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437AE2B" w14:textId="77777777" w:rsidTr="00BF1190">
        <w:trPr>
          <w:trHeight w:val="1863"/>
        </w:trPr>
        <w:tc>
          <w:tcPr>
            <w:tcW w:w="3652" w:type="dxa"/>
            <w:tcBorders>
              <w:top w:val="nil"/>
              <w:left w:val="nil"/>
              <w:bottom w:val="nil"/>
              <w:right w:val="nil"/>
            </w:tcBorders>
          </w:tcPr>
          <w:p w14:paraId="736447BA" w14:textId="4DA39903" w:rsidR="008E7846" w:rsidRPr="00096AA7" w:rsidRDefault="002C42ED" w:rsidP="002C42ED">
            <w:pPr>
              <w:rPr>
                <w:rFonts w:ascii="Arial" w:hAnsi="Arial" w:cs="Arial"/>
                <w:b/>
                <w:color w:val="002C47"/>
                <w:sz w:val="36"/>
                <w:szCs w:val="36"/>
              </w:rPr>
            </w:pPr>
            <w:r>
              <w:rPr>
                <w:rFonts w:ascii="Arial" w:hAnsi="Arial" w:cs="Arial"/>
                <w:b/>
                <w:color w:val="002C47"/>
                <w:sz w:val="36"/>
                <w:szCs w:val="36"/>
              </w:rPr>
              <w:t>December</w:t>
            </w:r>
            <w:r w:rsidR="000159A6">
              <w:rPr>
                <w:rFonts w:ascii="Arial" w:hAnsi="Arial" w:cs="Arial"/>
                <w:b/>
                <w:color w:val="002C47"/>
                <w:sz w:val="36"/>
                <w:szCs w:val="36"/>
              </w:rPr>
              <w:t xml:space="preserve"> </w:t>
            </w:r>
            <w:r w:rsidR="003517CE">
              <w:rPr>
                <w:rFonts w:ascii="Arial" w:hAnsi="Arial" w:cs="Arial"/>
                <w:b/>
                <w:color w:val="002C47"/>
                <w:sz w:val="36"/>
                <w:szCs w:val="36"/>
              </w:rPr>
              <w:t>2018</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46FCEAF" w14:textId="77777777" w:rsidTr="0032583B">
        <w:trPr>
          <w:trHeight w:val="868"/>
        </w:trPr>
        <w:tc>
          <w:tcPr>
            <w:tcW w:w="9079" w:type="dxa"/>
          </w:tcPr>
          <w:p w14:paraId="422D732F" w14:textId="2E98EF1D" w:rsidR="0032583B" w:rsidRPr="00A964D1" w:rsidRDefault="0032583B" w:rsidP="00A964D1">
            <w:pPr>
              <w:pStyle w:val="Title"/>
              <w:rPr>
                <w:color w:val="FFFFFF" w:themeColor="background1"/>
              </w:rPr>
            </w:pPr>
            <w:r w:rsidRPr="00A964D1">
              <w:rPr>
                <w:color w:val="FFFFFF" w:themeColor="background1"/>
              </w:rPr>
              <w:t>Australian</w:t>
            </w:r>
            <w:r w:rsidR="000159A6">
              <w:rPr>
                <w:color w:val="FFFFFF" w:themeColor="background1"/>
              </w:rPr>
              <w:t xml:space="preserve"> </w:t>
            </w:r>
            <w:r w:rsidRPr="00A964D1">
              <w:rPr>
                <w:color w:val="FFFFFF" w:themeColor="background1"/>
              </w:rPr>
              <w:t>Public</w:t>
            </w:r>
            <w:r w:rsidR="000159A6">
              <w:rPr>
                <w:color w:val="FFFFFF" w:themeColor="background1"/>
              </w:rPr>
              <w:t xml:space="preserve"> </w:t>
            </w:r>
            <w:r w:rsidRPr="00A964D1">
              <w:rPr>
                <w:color w:val="FFFFFF" w:themeColor="background1"/>
              </w:rPr>
              <w:t>Assessment</w:t>
            </w:r>
            <w:r w:rsidR="000159A6">
              <w:rPr>
                <w:color w:val="FFFFFF" w:themeColor="background1"/>
              </w:rPr>
              <w:t xml:space="preserve"> </w:t>
            </w:r>
            <w:r w:rsidRPr="00A964D1">
              <w:rPr>
                <w:color w:val="FFFFFF" w:themeColor="background1"/>
              </w:rPr>
              <w:t>Report</w:t>
            </w:r>
            <w:r w:rsidR="000159A6">
              <w:rPr>
                <w:color w:val="FFFFFF" w:themeColor="background1"/>
              </w:rPr>
              <w:t xml:space="preserve"> </w:t>
            </w:r>
            <w:r w:rsidRPr="00A964D1">
              <w:rPr>
                <w:color w:val="FFFFFF" w:themeColor="background1"/>
              </w:rPr>
              <w:t>for</w:t>
            </w:r>
            <w:r w:rsidR="000159A6">
              <w:rPr>
                <w:color w:val="FFFFFF" w:themeColor="background1"/>
              </w:rPr>
              <w:t xml:space="preserve"> </w:t>
            </w:r>
            <w:r w:rsidR="003517CE" w:rsidRPr="003517CE">
              <w:rPr>
                <w:color w:val="FFFFFF" w:themeColor="background1"/>
              </w:rPr>
              <w:t>Recombinant</w:t>
            </w:r>
            <w:r w:rsidR="000159A6">
              <w:rPr>
                <w:color w:val="FFFFFF" w:themeColor="background1"/>
              </w:rPr>
              <w:t xml:space="preserve"> </w:t>
            </w:r>
            <w:r w:rsidR="003517CE" w:rsidRPr="003517CE">
              <w:rPr>
                <w:color w:val="FFFFFF" w:themeColor="background1"/>
              </w:rPr>
              <w:t>Varicella</w:t>
            </w:r>
            <w:r w:rsidR="000159A6">
              <w:rPr>
                <w:color w:val="FFFFFF" w:themeColor="background1"/>
              </w:rPr>
              <w:t xml:space="preserve"> </w:t>
            </w:r>
            <w:r w:rsidR="003517CE" w:rsidRPr="003517CE">
              <w:rPr>
                <w:color w:val="FFFFFF" w:themeColor="background1"/>
              </w:rPr>
              <w:t>Zoster</w:t>
            </w:r>
            <w:r w:rsidR="000159A6">
              <w:rPr>
                <w:color w:val="FFFFFF" w:themeColor="background1"/>
              </w:rPr>
              <w:t xml:space="preserve"> </w:t>
            </w:r>
            <w:r w:rsidR="003517CE" w:rsidRPr="003517CE">
              <w:rPr>
                <w:color w:val="FFFFFF" w:themeColor="background1"/>
              </w:rPr>
              <w:t>Virus</w:t>
            </w:r>
            <w:r w:rsidR="000159A6">
              <w:rPr>
                <w:color w:val="FFFFFF" w:themeColor="background1"/>
              </w:rPr>
              <w:t xml:space="preserve"> </w:t>
            </w:r>
            <w:r w:rsidR="003517CE" w:rsidRPr="003517CE">
              <w:rPr>
                <w:color w:val="FFFFFF" w:themeColor="background1"/>
              </w:rPr>
              <w:t>(V</w:t>
            </w:r>
            <w:r w:rsidR="003517CE">
              <w:rPr>
                <w:color w:val="FFFFFF" w:themeColor="background1"/>
              </w:rPr>
              <w:t>ZV)</w:t>
            </w:r>
            <w:r w:rsidR="000159A6">
              <w:rPr>
                <w:color w:val="FFFFFF" w:themeColor="background1"/>
              </w:rPr>
              <w:t xml:space="preserve"> </w:t>
            </w:r>
            <w:r w:rsidR="003517CE">
              <w:rPr>
                <w:color w:val="FFFFFF" w:themeColor="background1"/>
              </w:rPr>
              <w:t>glycoprotein</w:t>
            </w:r>
            <w:r w:rsidR="000159A6">
              <w:rPr>
                <w:color w:val="FFFFFF" w:themeColor="background1"/>
              </w:rPr>
              <w:t xml:space="preserve"> </w:t>
            </w:r>
            <w:r w:rsidR="003517CE">
              <w:rPr>
                <w:color w:val="FFFFFF" w:themeColor="background1"/>
              </w:rPr>
              <w:t>E</w:t>
            </w:r>
            <w:r w:rsidR="000159A6">
              <w:rPr>
                <w:color w:val="FFFFFF" w:themeColor="background1"/>
              </w:rPr>
              <w:t xml:space="preserve"> </w:t>
            </w:r>
            <w:r w:rsidR="003517CE">
              <w:rPr>
                <w:color w:val="FFFFFF" w:themeColor="background1"/>
              </w:rPr>
              <w:t>(</w:t>
            </w:r>
            <w:proofErr w:type="gramStart"/>
            <w:r w:rsidR="003517CE">
              <w:rPr>
                <w:color w:val="FFFFFF" w:themeColor="background1"/>
              </w:rPr>
              <w:t>gE</w:t>
            </w:r>
            <w:proofErr w:type="gramEnd"/>
            <w:r w:rsidR="003517CE">
              <w:rPr>
                <w:color w:val="FFFFFF" w:themeColor="background1"/>
              </w:rPr>
              <w:t>)</w:t>
            </w:r>
            <w:r w:rsidR="000159A6">
              <w:rPr>
                <w:color w:val="FFFFFF" w:themeColor="background1"/>
              </w:rPr>
              <w:t xml:space="preserve"> </w:t>
            </w:r>
            <w:r w:rsidR="003517CE">
              <w:rPr>
                <w:color w:val="FFFFFF" w:themeColor="background1"/>
              </w:rPr>
              <w:t>antigen</w:t>
            </w:r>
          </w:p>
        </w:tc>
      </w:tr>
      <w:tr w:rsidR="0032583B" w:rsidRPr="00B64760" w14:paraId="46535EC1" w14:textId="77777777" w:rsidTr="0032583B">
        <w:tc>
          <w:tcPr>
            <w:tcW w:w="9079" w:type="dxa"/>
          </w:tcPr>
          <w:p w14:paraId="6B115211" w14:textId="7BA48FD7" w:rsidR="0032583B" w:rsidRPr="008E7846" w:rsidRDefault="0032583B" w:rsidP="003517CE">
            <w:pPr>
              <w:pStyle w:val="Subtitle"/>
              <w:rPr>
                <w:color w:val="FFFFFF" w:themeColor="background1"/>
              </w:rPr>
            </w:pPr>
            <w:r w:rsidRPr="008E7846">
              <w:rPr>
                <w:color w:val="FFFFFF" w:themeColor="background1"/>
              </w:rPr>
              <w:t>Proprietary</w:t>
            </w:r>
            <w:r w:rsidR="000159A6">
              <w:rPr>
                <w:color w:val="FFFFFF" w:themeColor="background1"/>
              </w:rPr>
              <w:t xml:space="preserve"> </w:t>
            </w:r>
            <w:r w:rsidRPr="008E7846">
              <w:rPr>
                <w:color w:val="FFFFFF" w:themeColor="background1"/>
              </w:rPr>
              <w:t>Product</w:t>
            </w:r>
            <w:r w:rsidR="000159A6">
              <w:rPr>
                <w:color w:val="FFFFFF" w:themeColor="background1"/>
              </w:rPr>
              <w:t xml:space="preserve"> </w:t>
            </w:r>
            <w:r w:rsidRPr="008E7846">
              <w:rPr>
                <w:color w:val="FFFFFF" w:themeColor="background1"/>
              </w:rPr>
              <w:t>Name:</w:t>
            </w:r>
            <w:r w:rsidR="000159A6">
              <w:rPr>
                <w:color w:val="FFFFFF" w:themeColor="background1"/>
              </w:rPr>
              <w:t xml:space="preserve"> </w:t>
            </w:r>
            <w:r w:rsidR="003517CE">
              <w:rPr>
                <w:color w:val="FFFFFF" w:themeColor="background1"/>
              </w:rPr>
              <w:t>Shingrix</w:t>
            </w:r>
          </w:p>
        </w:tc>
      </w:tr>
      <w:tr w:rsidR="0032583B" w:rsidRPr="00B64760" w14:paraId="4C2FB355" w14:textId="77777777" w:rsidTr="0032583B">
        <w:trPr>
          <w:trHeight w:val="486"/>
        </w:trPr>
        <w:tc>
          <w:tcPr>
            <w:tcW w:w="9079" w:type="dxa"/>
          </w:tcPr>
          <w:p w14:paraId="35661DA5" w14:textId="70810B31" w:rsidR="0032583B" w:rsidRPr="008E7846" w:rsidRDefault="0032583B" w:rsidP="0032583B">
            <w:pPr>
              <w:pStyle w:val="Subtitle"/>
              <w:rPr>
                <w:color w:val="FFFFFF" w:themeColor="background1"/>
              </w:rPr>
            </w:pPr>
            <w:r w:rsidRPr="008E7846">
              <w:rPr>
                <w:color w:val="FFFFFF" w:themeColor="background1"/>
              </w:rPr>
              <w:t>Sponsor:</w:t>
            </w:r>
            <w:r w:rsidR="000159A6">
              <w:rPr>
                <w:color w:val="FFFFFF" w:themeColor="background1"/>
              </w:rPr>
              <w:t xml:space="preserve"> </w:t>
            </w:r>
            <w:r w:rsidR="003517CE" w:rsidRPr="003517CE">
              <w:rPr>
                <w:color w:val="FFFFFF" w:themeColor="background1"/>
              </w:rPr>
              <w:t>GlaxoSmithKline</w:t>
            </w:r>
          </w:p>
        </w:tc>
      </w:tr>
    </w:tbl>
    <w:p w14:paraId="44DD15C3" w14:textId="77777777" w:rsidR="008E7846" w:rsidRPr="0085156D" w:rsidRDefault="008E7846" w:rsidP="0085156D">
      <w:r w:rsidRPr="0085156D">
        <w:br w:type="page"/>
      </w:r>
    </w:p>
    <w:p w14:paraId="12FA4D60" w14:textId="0A36782A" w:rsidR="008E7846" w:rsidRPr="001F6CBA" w:rsidRDefault="008E7846" w:rsidP="008E7846">
      <w:pPr>
        <w:pStyle w:val="NonTOCHeading2"/>
      </w:pPr>
      <w:r w:rsidRPr="001F6CBA">
        <w:lastRenderedPageBreak/>
        <w:t>About</w:t>
      </w:r>
      <w:r w:rsidR="000159A6">
        <w:t xml:space="preserve"> </w:t>
      </w:r>
      <w:r w:rsidRPr="001F6CBA">
        <w:t>the</w:t>
      </w:r>
      <w:r w:rsidR="000159A6">
        <w:t xml:space="preserve"> </w:t>
      </w:r>
      <w:r w:rsidRPr="001F6CBA">
        <w:t>Therapeutic</w:t>
      </w:r>
      <w:r w:rsidR="000159A6">
        <w:t xml:space="preserve"> </w:t>
      </w:r>
      <w:r w:rsidRPr="001F6CBA">
        <w:t>Goods</w:t>
      </w:r>
      <w:r w:rsidR="000159A6">
        <w:t xml:space="preserve"> </w:t>
      </w:r>
      <w:r w:rsidRPr="001F6CBA">
        <w:t>Administration</w:t>
      </w:r>
      <w:r w:rsidR="000159A6">
        <w:t xml:space="preserve"> </w:t>
      </w:r>
      <w:r w:rsidRPr="001F6CBA">
        <w:t>(TGA)</w:t>
      </w:r>
    </w:p>
    <w:p w14:paraId="1071750C" w14:textId="22FE19B6" w:rsidR="008E7846" w:rsidRDefault="008E7846" w:rsidP="008E7846">
      <w:pPr>
        <w:pStyle w:val="ListBullet"/>
        <w:numPr>
          <w:ilvl w:val="0"/>
          <w:numId w:val="3"/>
        </w:numPr>
        <w:ind w:left="357" w:hanging="357"/>
      </w:pPr>
      <w:r>
        <w:t>The</w:t>
      </w:r>
      <w:r w:rsidR="000159A6">
        <w:t xml:space="preserve"> </w:t>
      </w:r>
      <w:r>
        <w:t>Therapeutic</w:t>
      </w:r>
      <w:r w:rsidR="000159A6">
        <w:t xml:space="preserve"> </w:t>
      </w:r>
      <w:r>
        <w:t>Goods</w:t>
      </w:r>
      <w:r w:rsidR="000159A6">
        <w:t xml:space="preserve"> </w:t>
      </w:r>
      <w:r>
        <w:t>Administration</w:t>
      </w:r>
      <w:r w:rsidR="000159A6">
        <w:t xml:space="preserve"> </w:t>
      </w:r>
      <w:r>
        <w:t>(TGA)</w:t>
      </w:r>
      <w:r w:rsidR="000159A6">
        <w:t xml:space="preserve"> </w:t>
      </w:r>
      <w:r>
        <w:t>is</w:t>
      </w:r>
      <w:r w:rsidR="000159A6">
        <w:t xml:space="preserve"> </w:t>
      </w:r>
      <w:r w:rsidR="00E624A5">
        <w:t>part</w:t>
      </w:r>
      <w:r w:rsidR="000159A6">
        <w:t xml:space="preserve"> </w:t>
      </w:r>
      <w:r>
        <w:t>of</w:t>
      </w:r>
      <w:r w:rsidR="000159A6">
        <w:t xml:space="preserve"> </w:t>
      </w:r>
      <w:r>
        <w:t>the</w:t>
      </w:r>
      <w:r w:rsidR="000159A6">
        <w:t xml:space="preserve"> </w:t>
      </w:r>
      <w:r>
        <w:t>Australian</w:t>
      </w:r>
      <w:r w:rsidR="000159A6">
        <w:t xml:space="preserve"> </w:t>
      </w:r>
      <w:r>
        <w:t>Government</w:t>
      </w:r>
      <w:r w:rsidR="000159A6">
        <w:t xml:space="preserve"> </w:t>
      </w:r>
      <w:r>
        <w:t>Department</w:t>
      </w:r>
      <w:r w:rsidR="000159A6">
        <w:t xml:space="preserve"> </w:t>
      </w:r>
      <w:r>
        <w:t>of</w:t>
      </w:r>
      <w:r w:rsidR="000159A6">
        <w:t xml:space="preserve"> </w:t>
      </w:r>
      <w:r>
        <w:t>Health</w:t>
      </w:r>
      <w:r w:rsidR="000159A6">
        <w:t xml:space="preserve"> </w:t>
      </w:r>
      <w:r>
        <w:t>and</w:t>
      </w:r>
      <w:r w:rsidR="000159A6">
        <w:t xml:space="preserve"> </w:t>
      </w:r>
      <w:r>
        <w:t>is</w:t>
      </w:r>
      <w:r w:rsidR="000159A6">
        <w:t xml:space="preserve"> </w:t>
      </w:r>
      <w:r>
        <w:t>responsible</w:t>
      </w:r>
      <w:r w:rsidR="000159A6">
        <w:t xml:space="preserve"> </w:t>
      </w:r>
      <w:r>
        <w:t>for</w:t>
      </w:r>
      <w:r w:rsidR="000159A6">
        <w:t xml:space="preserve"> </w:t>
      </w:r>
      <w:r>
        <w:t>regulating</w:t>
      </w:r>
      <w:r w:rsidR="000159A6">
        <w:t xml:space="preserve"> </w:t>
      </w:r>
      <w:r>
        <w:t>medicines</w:t>
      </w:r>
      <w:r w:rsidR="000159A6">
        <w:t xml:space="preserve"> </w:t>
      </w:r>
      <w:r>
        <w:t>and</w:t>
      </w:r>
      <w:r w:rsidR="000159A6">
        <w:t xml:space="preserve"> </w:t>
      </w:r>
      <w:r>
        <w:t>medical</w:t>
      </w:r>
      <w:r w:rsidR="000159A6">
        <w:t xml:space="preserve"> </w:t>
      </w:r>
      <w:r>
        <w:t>devices.</w:t>
      </w:r>
    </w:p>
    <w:p w14:paraId="5FC62F74" w14:textId="4B007CC6" w:rsidR="008E7846" w:rsidRDefault="00C80137" w:rsidP="008E7846">
      <w:pPr>
        <w:pStyle w:val="ListBullet"/>
        <w:numPr>
          <w:ilvl w:val="0"/>
          <w:numId w:val="3"/>
        </w:numPr>
        <w:ind w:left="357" w:hanging="357"/>
      </w:pPr>
      <w:r>
        <w:t>The</w:t>
      </w:r>
      <w:r w:rsidR="000159A6">
        <w:t xml:space="preserve"> </w:t>
      </w:r>
      <w:r w:rsidR="008E7846">
        <w:t>TGA</w:t>
      </w:r>
      <w:r w:rsidR="000159A6">
        <w:t xml:space="preserve"> </w:t>
      </w:r>
      <w:r w:rsidR="008E7846">
        <w:t>administers</w:t>
      </w:r>
      <w:r w:rsidR="000159A6">
        <w:t xml:space="preserve"> </w:t>
      </w:r>
      <w:r w:rsidR="008E7846">
        <w:t>the</w:t>
      </w:r>
      <w:r w:rsidR="000159A6">
        <w:t xml:space="preserve"> </w:t>
      </w:r>
      <w:r w:rsidR="008E7846" w:rsidRPr="00F640B6">
        <w:rPr>
          <w:i/>
        </w:rPr>
        <w:t>Therapeutic</w:t>
      </w:r>
      <w:r w:rsidR="000159A6">
        <w:rPr>
          <w:i/>
        </w:rPr>
        <w:t xml:space="preserve"> </w:t>
      </w:r>
      <w:r w:rsidR="008E7846" w:rsidRPr="00F640B6">
        <w:rPr>
          <w:i/>
        </w:rPr>
        <w:t>Goods</w:t>
      </w:r>
      <w:r w:rsidR="000159A6">
        <w:rPr>
          <w:i/>
        </w:rPr>
        <w:t xml:space="preserve"> </w:t>
      </w:r>
      <w:r w:rsidR="008E7846" w:rsidRPr="00F640B6">
        <w:rPr>
          <w:i/>
        </w:rPr>
        <w:t>Act</w:t>
      </w:r>
      <w:r w:rsidR="000159A6">
        <w:rPr>
          <w:i/>
        </w:rPr>
        <w:t xml:space="preserve"> </w:t>
      </w:r>
      <w:r w:rsidR="008E7846" w:rsidRPr="00F640B6">
        <w:rPr>
          <w:i/>
        </w:rPr>
        <w:t>1989</w:t>
      </w:r>
      <w:r w:rsidR="000159A6">
        <w:rPr>
          <w:i/>
        </w:rPr>
        <w:t xml:space="preserve"> </w:t>
      </w:r>
      <w:r w:rsidR="00785717" w:rsidRPr="00785717">
        <w:t>(the</w:t>
      </w:r>
      <w:r w:rsidR="000159A6">
        <w:t xml:space="preserve"> </w:t>
      </w:r>
      <w:r w:rsidR="00785717" w:rsidRPr="00785717">
        <w:t>Act)</w:t>
      </w:r>
      <w:r w:rsidR="008E7846" w:rsidRPr="00785717">
        <w:t>,</w:t>
      </w:r>
      <w:r w:rsidR="000159A6">
        <w:t xml:space="preserve"> </w:t>
      </w:r>
      <w:r w:rsidR="008E7846">
        <w:t>applying</w:t>
      </w:r>
      <w:r w:rsidR="000159A6">
        <w:t xml:space="preserve"> </w:t>
      </w:r>
      <w:r w:rsidR="008E7846">
        <w:t>a</w:t>
      </w:r>
      <w:r w:rsidR="000159A6">
        <w:t xml:space="preserve"> </w:t>
      </w:r>
      <w:r w:rsidR="008E7846">
        <w:t>risk</w:t>
      </w:r>
      <w:r w:rsidR="000159A6">
        <w:t xml:space="preserve"> </w:t>
      </w:r>
      <w:r w:rsidR="008E7846">
        <w:t>management</w:t>
      </w:r>
      <w:r w:rsidR="000159A6">
        <w:t xml:space="preserve"> </w:t>
      </w:r>
      <w:r w:rsidR="008E7846">
        <w:t>approach</w:t>
      </w:r>
      <w:r w:rsidR="000159A6">
        <w:t xml:space="preserve"> </w:t>
      </w:r>
      <w:r w:rsidR="008E7846">
        <w:t>designed</w:t>
      </w:r>
      <w:r w:rsidR="000159A6">
        <w:t xml:space="preserve"> </w:t>
      </w:r>
      <w:r w:rsidR="008E7846">
        <w:t>to</w:t>
      </w:r>
      <w:r w:rsidR="000159A6">
        <w:t xml:space="preserve"> </w:t>
      </w:r>
      <w:r w:rsidR="008E7846">
        <w:t>ensure</w:t>
      </w:r>
      <w:r w:rsidR="000159A6">
        <w:t xml:space="preserve"> </w:t>
      </w:r>
      <w:r w:rsidR="008E7846">
        <w:t>therapeutic</w:t>
      </w:r>
      <w:r w:rsidR="000159A6">
        <w:t xml:space="preserve"> </w:t>
      </w:r>
      <w:r w:rsidR="008E7846">
        <w:t>goods</w:t>
      </w:r>
      <w:r w:rsidR="000159A6">
        <w:t xml:space="preserve"> </w:t>
      </w:r>
      <w:r w:rsidR="008E7846">
        <w:t>supplied</w:t>
      </w:r>
      <w:r w:rsidR="000159A6">
        <w:t xml:space="preserve"> </w:t>
      </w:r>
      <w:r w:rsidR="008E7846">
        <w:t>in</w:t>
      </w:r>
      <w:r w:rsidR="000159A6">
        <w:t xml:space="preserve"> </w:t>
      </w:r>
      <w:r w:rsidR="008E7846">
        <w:t>Australia</w:t>
      </w:r>
      <w:r w:rsidR="000159A6">
        <w:t xml:space="preserve"> </w:t>
      </w:r>
      <w:r w:rsidR="008E7846">
        <w:t>meet</w:t>
      </w:r>
      <w:r w:rsidR="000159A6">
        <w:t xml:space="preserve"> </w:t>
      </w:r>
      <w:r w:rsidR="008E7846">
        <w:t>acceptable</w:t>
      </w:r>
      <w:r w:rsidR="000159A6">
        <w:t xml:space="preserve"> </w:t>
      </w:r>
      <w:r w:rsidR="008E7846">
        <w:t>standards</w:t>
      </w:r>
      <w:r w:rsidR="000159A6">
        <w:t xml:space="preserve"> </w:t>
      </w:r>
      <w:r w:rsidR="008E7846">
        <w:t>of</w:t>
      </w:r>
      <w:r w:rsidR="000159A6">
        <w:t xml:space="preserve"> </w:t>
      </w:r>
      <w:r w:rsidR="008E7846">
        <w:t>quality,</w:t>
      </w:r>
      <w:r w:rsidR="000159A6">
        <w:t xml:space="preserve"> </w:t>
      </w:r>
      <w:r w:rsidR="008E7846">
        <w:t>safety</w:t>
      </w:r>
      <w:r w:rsidR="000159A6">
        <w:t xml:space="preserve"> </w:t>
      </w:r>
      <w:r w:rsidR="008E7846">
        <w:t>and</w:t>
      </w:r>
      <w:r w:rsidR="000159A6">
        <w:t xml:space="preserve"> </w:t>
      </w:r>
      <w:r w:rsidR="008E7846">
        <w:t>efficacy</w:t>
      </w:r>
      <w:r w:rsidR="000159A6">
        <w:t xml:space="preserve"> </w:t>
      </w:r>
      <w:r w:rsidR="008E7846">
        <w:t>(performance)</w:t>
      </w:r>
      <w:r w:rsidR="000159A6">
        <w:t xml:space="preserve"> </w:t>
      </w:r>
      <w:r w:rsidR="008E7846">
        <w:t>when</w:t>
      </w:r>
      <w:r w:rsidR="000159A6">
        <w:t xml:space="preserve"> </w:t>
      </w:r>
      <w:r w:rsidR="008E7846">
        <w:t>necessary.</w:t>
      </w:r>
    </w:p>
    <w:p w14:paraId="3303966F" w14:textId="161A63E4" w:rsidR="008E7846" w:rsidRDefault="008E7846" w:rsidP="008E7846">
      <w:pPr>
        <w:pStyle w:val="ListBullet"/>
        <w:numPr>
          <w:ilvl w:val="0"/>
          <w:numId w:val="3"/>
        </w:numPr>
        <w:ind w:left="357" w:hanging="357"/>
      </w:pPr>
      <w:r>
        <w:t>The</w:t>
      </w:r>
      <w:r w:rsidR="000159A6">
        <w:t xml:space="preserve"> </w:t>
      </w:r>
      <w:r>
        <w:t>work</w:t>
      </w:r>
      <w:r w:rsidR="000159A6">
        <w:t xml:space="preserve"> </w:t>
      </w:r>
      <w:r>
        <w:t>of</w:t>
      </w:r>
      <w:r w:rsidR="000159A6">
        <w:t xml:space="preserve"> </w:t>
      </w:r>
      <w:r>
        <w:t>the</w:t>
      </w:r>
      <w:r w:rsidR="000159A6">
        <w:t xml:space="preserve"> </w:t>
      </w:r>
      <w:r>
        <w:t>TGA</w:t>
      </w:r>
      <w:r w:rsidR="000159A6">
        <w:t xml:space="preserve"> </w:t>
      </w:r>
      <w:r>
        <w:t>is</w:t>
      </w:r>
      <w:r w:rsidR="000159A6">
        <w:t xml:space="preserve"> </w:t>
      </w:r>
      <w:r>
        <w:t>based</w:t>
      </w:r>
      <w:r w:rsidR="000159A6">
        <w:t xml:space="preserve"> </w:t>
      </w:r>
      <w:r>
        <w:t>on</w:t>
      </w:r>
      <w:r w:rsidR="000159A6">
        <w:t xml:space="preserve"> </w:t>
      </w:r>
      <w:r>
        <w:t>applying</w:t>
      </w:r>
      <w:r w:rsidR="000159A6">
        <w:t xml:space="preserve"> </w:t>
      </w:r>
      <w:r>
        <w:t>scientific</w:t>
      </w:r>
      <w:r w:rsidR="000159A6">
        <w:t xml:space="preserve"> </w:t>
      </w:r>
      <w:r>
        <w:t>and</w:t>
      </w:r>
      <w:r w:rsidR="000159A6">
        <w:t xml:space="preserve"> </w:t>
      </w:r>
      <w:r>
        <w:t>clinical</w:t>
      </w:r>
      <w:r w:rsidR="000159A6">
        <w:t xml:space="preserve"> </w:t>
      </w:r>
      <w:r>
        <w:t>expertise</w:t>
      </w:r>
      <w:r w:rsidR="000159A6">
        <w:t xml:space="preserve"> </w:t>
      </w:r>
      <w:r>
        <w:t>to</w:t>
      </w:r>
      <w:r w:rsidR="000159A6">
        <w:t xml:space="preserve"> </w:t>
      </w:r>
      <w:r>
        <w:t>decision-making,</w:t>
      </w:r>
      <w:r w:rsidR="000159A6">
        <w:t xml:space="preserve"> </w:t>
      </w:r>
      <w:r>
        <w:t>to</w:t>
      </w:r>
      <w:r w:rsidR="000159A6">
        <w:t xml:space="preserve"> </w:t>
      </w:r>
      <w:r>
        <w:t>ensure</w:t>
      </w:r>
      <w:r w:rsidR="000159A6">
        <w:t xml:space="preserve"> </w:t>
      </w:r>
      <w:r>
        <w:t>that</w:t>
      </w:r>
      <w:r w:rsidR="000159A6">
        <w:t xml:space="preserve"> </w:t>
      </w:r>
      <w:r>
        <w:t>the</w:t>
      </w:r>
      <w:r w:rsidR="000159A6">
        <w:t xml:space="preserve"> </w:t>
      </w:r>
      <w:r>
        <w:t>benefits</w:t>
      </w:r>
      <w:r w:rsidR="000159A6">
        <w:t xml:space="preserve"> </w:t>
      </w:r>
      <w:r>
        <w:t>to</w:t>
      </w:r>
      <w:r w:rsidR="000159A6">
        <w:t xml:space="preserve"> </w:t>
      </w:r>
      <w:r>
        <w:t>consumers</w:t>
      </w:r>
      <w:r w:rsidR="000159A6">
        <w:t xml:space="preserve"> </w:t>
      </w:r>
      <w:r>
        <w:t>outweigh</w:t>
      </w:r>
      <w:r w:rsidR="000159A6">
        <w:t xml:space="preserve"> </w:t>
      </w:r>
      <w:r>
        <w:t>any</w:t>
      </w:r>
      <w:r w:rsidR="000159A6">
        <w:t xml:space="preserve"> </w:t>
      </w:r>
      <w:r>
        <w:t>risks</w:t>
      </w:r>
      <w:r w:rsidR="000159A6">
        <w:t xml:space="preserve"> </w:t>
      </w:r>
      <w:r>
        <w:t>associated</w:t>
      </w:r>
      <w:r w:rsidR="000159A6">
        <w:t xml:space="preserve"> </w:t>
      </w:r>
      <w:r>
        <w:t>with</w:t>
      </w:r>
      <w:r w:rsidR="000159A6">
        <w:t xml:space="preserve"> </w:t>
      </w:r>
      <w:r>
        <w:t>the</w:t>
      </w:r>
      <w:r w:rsidR="000159A6">
        <w:t xml:space="preserve"> </w:t>
      </w:r>
      <w:r>
        <w:t>use</w:t>
      </w:r>
      <w:r w:rsidR="000159A6">
        <w:t xml:space="preserve"> </w:t>
      </w:r>
      <w:r>
        <w:t>of</w:t>
      </w:r>
      <w:r w:rsidR="000159A6">
        <w:t xml:space="preserve"> </w:t>
      </w:r>
      <w:r>
        <w:t>medicines</w:t>
      </w:r>
      <w:r w:rsidR="000159A6">
        <w:t xml:space="preserve"> </w:t>
      </w:r>
      <w:r>
        <w:t>and</w:t>
      </w:r>
      <w:r w:rsidR="000159A6">
        <w:t xml:space="preserve"> </w:t>
      </w:r>
      <w:r>
        <w:t>medical</w:t>
      </w:r>
      <w:r w:rsidR="000159A6">
        <w:t xml:space="preserve"> </w:t>
      </w:r>
      <w:r>
        <w:t>devices.</w:t>
      </w:r>
    </w:p>
    <w:p w14:paraId="79037481" w14:textId="4A9E99A0" w:rsidR="008E7846" w:rsidRDefault="008E7846" w:rsidP="008E7846">
      <w:pPr>
        <w:pStyle w:val="ListBullet"/>
        <w:numPr>
          <w:ilvl w:val="0"/>
          <w:numId w:val="3"/>
        </w:numPr>
        <w:ind w:left="357" w:hanging="357"/>
      </w:pPr>
      <w:r>
        <w:t>The</w:t>
      </w:r>
      <w:r w:rsidR="000159A6">
        <w:t xml:space="preserve"> </w:t>
      </w:r>
      <w:r>
        <w:t>TGA</w:t>
      </w:r>
      <w:r w:rsidR="000159A6">
        <w:t xml:space="preserve"> </w:t>
      </w:r>
      <w:r>
        <w:t>relies</w:t>
      </w:r>
      <w:r w:rsidR="000159A6">
        <w:t xml:space="preserve"> </w:t>
      </w:r>
      <w:r>
        <w:t>on</w:t>
      </w:r>
      <w:r w:rsidR="000159A6">
        <w:t xml:space="preserve"> </w:t>
      </w:r>
      <w:r>
        <w:t>the</w:t>
      </w:r>
      <w:r w:rsidR="000159A6">
        <w:t xml:space="preserve"> </w:t>
      </w:r>
      <w:r>
        <w:t>public,</w:t>
      </w:r>
      <w:r w:rsidR="000159A6">
        <w:t xml:space="preserve"> </w:t>
      </w:r>
      <w:r>
        <w:t>healthcare</w:t>
      </w:r>
      <w:r w:rsidR="000159A6">
        <w:t xml:space="preserve"> </w:t>
      </w:r>
      <w:r>
        <w:t>professionals</w:t>
      </w:r>
      <w:r w:rsidR="000159A6">
        <w:t xml:space="preserve"> </w:t>
      </w:r>
      <w:r>
        <w:t>and</w:t>
      </w:r>
      <w:r w:rsidR="000159A6">
        <w:t xml:space="preserve"> </w:t>
      </w:r>
      <w:r>
        <w:t>industry</w:t>
      </w:r>
      <w:r w:rsidR="000159A6">
        <w:t xml:space="preserve"> </w:t>
      </w:r>
      <w:r>
        <w:t>to</w:t>
      </w:r>
      <w:r w:rsidR="000159A6">
        <w:t xml:space="preserve"> </w:t>
      </w:r>
      <w:r>
        <w:t>report</w:t>
      </w:r>
      <w:r w:rsidR="000159A6">
        <w:t xml:space="preserve"> </w:t>
      </w:r>
      <w:r>
        <w:t>problems</w:t>
      </w:r>
      <w:r w:rsidR="000159A6">
        <w:t xml:space="preserve"> </w:t>
      </w:r>
      <w:r>
        <w:t>with</w:t>
      </w:r>
      <w:r w:rsidR="000159A6">
        <w:t xml:space="preserve"> </w:t>
      </w:r>
      <w:r>
        <w:t>medicines</w:t>
      </w:r>
      <w:r w:rsidR="000159A6">
        <w:t xml:space="preserve"> </w:t>
      </w:r>
      <w:r>
        <w:t>or</w:t>
      </w:r>
      <w:r w:rsidR="000159A6">
        <w:t xml:space="preserve"> </w:t>
      </w:r>
      <w:r>
        <w:t>medical</w:t>
      </w:r>
      <w:r w:rsidR="000159A6">
        <w:t xml:space="preserve"> </w:t>
      </w:r>
      <w:r>
        <w:t>devices.</w:t>
      </w:r>
      <w:r w:rsidR="000159A6">
        <w:t xml:space="preserve"> </w:t>
      </w:r>
      <w:r>
        <w:t>TGA</w:t>
      </w:r>
      <w:r w:rsidR="000159A6">
        <w:t xml:space="preserve"> </w:t>
      </w:r>
      <w:r>
        <w:t>investigates</w:t>
      </w:r>
      <w:r w:rsidR="000159A6">
        <w:t xml:space="preserve"> </w:t>
      </w:r>
      <w:r>
        <w:t>reports</w:t>
      </w:r>
      <w:r w:rsidR="000159A6">
        <w:t xml:space="preserve"> </w:t>
      </w:r>
      <w:r>
        <w:t>received</w:t>
      </w:r>
      <w:r w:rsidR="000159A6">
        <w:t xml:space="preserve"> </w:t>
      </w:r>
      <w:r>
        <w:t>by</w:t>
      </w:r>
      <w:r w:rsidR="000159A6">
        <w:t xml:space="preserve"> </w:t>
      </w:r>
      <w:r>
        <w:t>it</w:t>
      </w:r>
      <w:r w:rsidR="000159A6">
        <w:t xml:space="preserve"> </w:t>
      </w:r>
      <w:r>
        <w:t>to</w:t>
      </w:r>
      <w:r w:rsidR="000159A6">
        <w:t xml:space="preserve"> </w:t>
      </w:r>
      <w:r>
        <w:t>determine</w:t>
      </w:r>
      <w:r w:rsidR="000159A6">
        <w:t xml:space="preserve"> </w:t>
      </w:r>
      <w:r>
        <w:t>any</w:t>
      </w:r>
      <w:r w:rsidR="000159A6">
        <w:t xml:space="preserve"> </w:t>
      </w:r>
      <w:r>
        <w:t>necessary</w:t>
      </w:r>
      <w:r w:rsidR="000159A6">
        <w:t xml:space="preserve"> </w:t>
      </w:r>
      <w:r>
        <w:t>regulatory</w:t>
      </w:r>
      <w:r w:rsidR="000159A6">
        <w:t xml:space="preserve"> </w:t>
      </w:r>
      <w:r>
        <w:t>action.</w:t>
      </w:r>
    </w:p>
    <w:p w14:paraId="02ABDA3F" w14:textId="053BB85F" w:rsidR="00441C3F" w:rsidRDefault="008E7846" w:rsidP="00441C3F">
      <w:pPr>
        <w:pStyle w:val="ListBullet"/>
        <w:numPr>
          <w:ilvl w:val="0"/>
          <w:numId w:val="3"/>
        </w:numPr>
        <w:ind w:left="357" w:hanging="357"/>
      </w:pPr>
      <w:r>
        <w:t>To</w:t>
      </w:r>
      <w:r w:rsidR="000159A6">
        <w:t xml:space="preserve"> </w:t>
      </w:r>
      <w:r>
        <w:t>report</w:t>
      </w:r>
      <w:r w:rsidR="000159A6">
        <w:t xml:space="preserve"> </w:t>
      </w:r>
      <w:r>
        <w:t>a</w:t>
      </w:r>
      <w:r w:rsidR="000159A6">
        <w:t xml:space="preserve"> </w:t>
      </w:r>
      <w:r>
        <w:t>problem</w:t>
      </w:r>
      <w:r w:rsidR="000159A6">
        <w:t xml:space="preserve"> </w:t>
      </w:r>
      <w:r>
        <w:t>with</w:t>
      </w:r>
      <w:r w:rsidR="000159A6">
        <w:t xml:space="preserve"> </w:t>
      </w:r>
      <w:r>
        <w:t>a</w:t>
      </w:r>
      <w:r w:rsidR="000159A6">
        <w:t xml:space="preserve"> </w:t>
      </w:r>
      <w:r>
        <w:t>medicine</w:t>
      </w:r>
      <w:r w:rsidR="000159A6">
        <w:t xml:space="preserve"> </w:t>
      </w:r>
      <w:r>
        <w:t>or</w:t>
      </w:r>
      <w:r w:rsidR="000159A6">
        <w:t xml:space="preserve"> </w:t>
      </w:r>
      <w:r>
        <w:t>medical</w:t>
      </w:r>
      <w:r w:rsidR="000159A6">
        <w:t xml:space="preserve"> </w:t>
      </w:r>
      <w:r>
        <w:t>device,</w:t>
      </w:r>
      <w:r w:rsidR="000159A6">
        <w:t xml:space="preserve"> </w:t>
      </w:r>
      <w:r>
        <w:t>please</w:t>
      </w:r>
      <w:r w:rsidR="000159A6">
        <w:t xml:space="preserve"> </w:t>
      </w:r>
      <w:r>
        <w:t>see</w:t>
      </w:r>
      <w:r w:rsidR="000159A6">
        <w:t xml:space="preserve"> </w:t>
      </w:r>
      <w:r>
        <w:t>the</w:t>
      </w:r>
      <w:r w:rsidR="000159A6">
        <w:t xml:space="preserve"> </w:t>
      </w:r>
      <w:r>
        <w:t>information</w:t>
      </w:r>
      <w:r w:rsidR="000159A6">
        <w:t xml:space="preserve"> </w:t>
      </w:r>
      <w:r>
        <w:t>on</w:t>
      </w:r>
      <w:r w:rsidR="000159A6">
        <w:t xml:space="preserve"> </w:t>
      </w:r>
      <w:r w:rsidR="00441C3F">
        <w:t>the</w:t>
      </w:r>
      <w:r w:rsidR="000159A6">
        <w:t xml:space="preserve"> </w:t>
      </w:r>
      <w:r w:rsidR="00441C3F">
        <w:t>TGA</w:t>
      </w:r>
      <w:r w:rsidR="000159A6">
        <w:t xml:space="preserve"> </w:t>
      </w:r>
      <w:r w:rsidR="00441C3F">
        <w:t>website</w:t>
      </w:r>
      <w:r w:rsidR="000159A6">
        <w:t xml:space="preserve"> &lt;</w:t>
      </w:r>
      <w:hyperlink r:id="rId12" w:history="1">
        <w:r w:rsidR="00441C3F">
          <w:rPr>
            <w:rStyle w:val="Hyperlink"/>
          </w:rPr>
          <w:t>https://www.tga.gov.au</w:t>
        </w:r>
      </w:hyperlink>
      <w:r w:rsidR="000159A6">
        <w:t>&gt;</w:t>
      </w:r>
      <w:r w:rsidR="00441C3F">
        <w:t>.</w:t>
      </w:r>
    </w:p>
    <w:p w14:paraId="4B375DF0" w14:textId="70C908B4" w:rsidR="008E7846" w:rsidRDefault="008E7846" w:rsidP="00875A6B">
      <w:pPr>
        <w:pStyle w:val="NonTOCHeading2"/>
      </w:pPr>
      <w:r>
        <w:t>About</w:t>
      </w:r>
      <w:r w:rsidR="000159A6">
        <w:t xml:space="preserve"> </w:t>
      </w:r>
      <w:r>
        <w:t>AusPARs</w:t>
      </w:r>
    </w:p>
    <w:p w14:paraId="097A82F9" w14:textId="4F158223" w:rsidR="008E7846" w:rsidRDefault="008E7846" w:rsidP="008E7846">
      <w:pPr>
        <w:pStyle w:val="ListBullet"/>
        <w:numPr>
          <w:ilvl w:val="0"/>
          <w:numId w:val="3"/>
        </w:numPr>
        <w:ind w:left="357" w:hanging="357"/>
      </w:pPr>
      <w:r>
        <w:t>An</w:t>
      </w:r>
      <w:r w:rsidR="000159A6">
        <w:t xml:space="preserve"> </w:t>
      </w:r>
      <w:r>
        <w:t>Australian</w:t>
      </w:r>
      <w:r w:rsidR="000159A6">
        <w:t xml:space="preserve"> </w:t>
      </w:r>
      <w:r>
        <w:t>Public</w:t>
      </w:r>
      <w:r w:rsidR="000159A6">
        <w:t xml:space="preserve"> </w:t>
      </w:r>
      <w:r>
        <w:t>Assessment</w:t>
      </w:r>
      <w:r w:rsidR="000159A6">
        <w:t xml:space="preserve"> </w:t>
      </w:r>
      <w:r>
        <w:t>Re</w:t>
      </w:r>
      <w:r w:rsidR="00133A1B">
        <w:t>port</w:t>
      </w:r>
      <w:r w:rsidR="000159A6">
        <w:t xml:space="preserve"> </w:t>
      </w:r>
      <w:r>
        <w:t>(AusPAR)</w:t>
      </w:r>
      <w:r w:rsidR="000159A6">
        <w:t xml:space="preserve"> </w:t>
      </w:r>
      <w:r>
        <w:t>provides</w:t>
      </w:r>
      <w:r w:rsidR="000159A6">
        <w:t xml:space="preserve"> </w:t>
      </w:r>
      <w:r>
        <w:t>information</w:t>
      </w:r>
      <w:r w:rsidR="000159A6">
        <w:t xml:space="preserve"> </w:t>
      </w:r>
      <w:r>
        <w:t>about</w:t>
      </w:r>
      <w:r w:rsidR="000159A6">
        <w:t xml:space="preserve"> </w:t>
      </w:r>
      <w:r>
        <w:t>the</w:t>
      </w:r>
      <w:r w:rsidR="000159A6">
        <w:t xml:space="preserve"> </w:t>
      </w:r>
      <w:r>
        <w:t>evaluation</w:t>
      </w:r>
      <w:r w:rsidR="000159A6">
        <w:t xml:space="preserve"> </w:t>
      </w:r>
      <w:r>
        <w:t>of</w:t>
      </w:r>
      <w:r w:rsidR="000159A6">
        <w:t xml:space="preserve"> </w:t>
      </w:r>
      <w:r>
        <w:t>a</w:t>
      </w:r>
      <w:r w:rsidR="000159A6">
        <w:t xml:space="preserve"> </w:t>
      </w:r>
      <w:r>
        <w:t>prescription</w:t>
      </w:r>
      <w:r w:rsidR="000159A6">
        <w:t xml:space="preserve"> </w:t>
      </w:r>
      <w:r>
        <w:t>medicine</w:t>
      </w:r>
      <w:r w:rsidR="000159A6">
        <w:t xml:space="preserve"> </w:t>
      </w:r>
      <w:r>
        <w:t>and</w:t>
      </w:r>
      <w:r w:rsidR="000159A6">
        <w:t xml:space="preserve"> </w:t>
      </w:r>
      <w:r>
        <w:t>the</w:t>
      </w:r>
      <w:r w:rsidR="000159A6">
        <w:t xml:space="preserve"> </w:t>
      </w:r>
      <w:r>
        <w:t>considerations</w:t>
      </w:r>
      <w:r w:rsidR="000159A6">
        <w:t xml:space="preserve"> </w:t>
      </w:r>
      <w:r>
        <w:t>that</w:t>
      </w:r>
      <w:r w:rsidR="000159A6">
        <w:t xml:space="preserve"> </w:t>
      </w:r>
      <w:r>
        <w:t>led</w:t>
      </w:r>
      <w:r w:rsidR="000159A6">
        <w:t xml:space="preserve"> </w:t>
      </w:r>
      <w:r>
        <w:t>the</w:t>
      </w:r>
      <w:r w:rsidR="000159A6">
        <w:t xml:space="preserve"> </w:t>
      </w:r>
      <w:r>
        <w:t>TGA</w:t>
      </w:r>
      <w:r w:rsidR="000159A6">
        <w:t xml:space="preserve"> </w:t>
      </w:r>
      <w:r>
        <w:t>to</w:t>
      </w:r>
      <w:r w:rsidR="000159A6">
        <w:t xml:space="preserve"> </w:t>
      </w:r>
      <w:r>
        <w:t>approve</w:t>
      </w:r>
      <w:r w:rsidR="000159A6">
        <w:t xml:space="preserve"> </w:t>
      </w:r>
      <w:r>
        <w:t>or</w:t>
      </w:r>
      <w:r w:rsidR="000159A6">
        <w:t xml:space="preserve"> </w:t>
      </w:r>
      <w:r>
        <w:t>not</w:t>
      </w:r>
      <w:r w:rsidR="000159A6">
        <w:t xml:space="preserve"> </w:t>
      </w:r>
      <w:r>
        <w:t>approve</w:t>
      </w:r>
      <w:r w:rsidR="000159A6">
        <w:t xml:space="preserve"> </w:t>
      </w:r>
      <w:r>
        <w:t>a</w:t>
      </w:r>
      <w:r w:rsidR="000159A6">
        <w:t xml:space="preserve"> </w:t>
      </w:r>
      <w:r>
        <w:t>pr</w:t>
      </w:r>
      <w:r w:rsidR="00441C3F">
        <w:t>escription</w:t>
      </w:r>
      <w:r w:rsidR="000159A6">
        <w:t xml:space="preserve"> </w:t>
      </w:r>
      <w:r w:rsidR="00441C3F">
        <w:t>medicine</w:t>
      </w:r>
      <w:r w:rsidR="000159A6">
        <w:t xml:space="preserve"> </w:t>
      </w:r>
      <w:r w:rsidR="00441C3F">
        <w:t>submission.</w:t>
      </w:r>
    </w:p>
    <w:p w14:paraId="0B2ED52A" w14:textId="1327E1A0" w:rsidR="008E7846" w:rsidRDefault="008E7846" w:rsidP="008E7846">
      <w:pPr>
        <w:pStyle w:val="ListBullet"/>
        <w:numPr>
          <w:ilvl w:val="0"/>
          <w:numId w:val="3"/>
        </w:numPr>
        <w:ind w:left="357" w:hanging="357"/>
      </w:pPr>
      <w:r>
        <w:t>AusPARs</w:t>
      </w:r>
      <w:r w:rsidR="000159A6">
        <w:t xml:space="preserve"> </w:t>
      </w:r>
      <w:r>
        <w:t>are</w:t>
      </w:r>
      <w:r w:rsidR="000159A6">
        <w:t xml:space="preserve"> </w:t>
      </w:r>
      <w:r>
        <w:t>prepared</w:t>
      </w:r>
      <w:r w:rsidR="000159A6">
        <w:t xml:space="preserve"> </w:t>
      </w:r>
      <w:r>
        <w:t>and</w:t>
      </w:r>
      <w:r w:rsidR="000159A6">
        <w:t xml:space="preserve"> </w:t>
      </w:r>
      <w:r>
        <w:t>published</w:t>
      </w:r>
      <w:r w:rsidR="000159A6">
        <w:t xml:space="preserve"> </w:t>
      </w:r>
      <w:r>
        <w:t>by</w:t>
      </w:r>
      <w:r w:rsidR="000159A6">
        <w:t xml:space="preserve"> </w:t>
      </w:r>
      <w:r>
        <w:t>the</w:t>
      </w:r>
      <w:r w:rsidR="000159A6">
        <w:t xml:space="preserve"> </w:t>
      </w:r>
      <w:r>
        <w:t>TGA.</w:t>
      </w:r>
    </w:p>
    <w:p w14:paraId="146A9E98" w14:textId="641347EB" w:rsidR="008E7846" w:rsidRDefault="008E7846" w:rsidP="008E7846">
      <w:pPr>
        <w:pStyle w:val="ListBullet"/>
        <w:numPr>
          <w:ilvl w:val="0"/>
          <w:numId w:val="3"/>
        </w:numPr>
        <w:ind w:left="357" w:hanging="357"/>
      </w:pPr>
      <w:r>
        <w:t>An</w:t>
      </w:r>
      <w:r w:rsidR="000159A6">
        <w:t xml:space="preserve"> </w:t>
      </w:r>
      <w:r>
        <w:t>AusPAR</w:t>
      </w:r>
      <w:r w:rsidR="000159A6">
        <w:t xml:space="preserve"> </w:t>
      </w:r>
      <w:r>
        <w:t>is</w:t>
      </w:r>
      <w:r w:rsidR="000159A6">
        <w:t xml:space="preserve"> </w:t>
      </w:r>
      <w:r>
        <w:t>prepared</w:t>
      </w:r>
      <w:r w:rsidR="000159A6">
        <w:t xml:space="preserve"> </w:t>
      </w:r>
      <w:r>
        <w:t>for</w:t>
      </w:r>
      <w:r w:rsidR="000159A6">
        <w:t xml:space="preserve"> </w:t>
      </w:r>
      <w:r>
        <w:t>submissions</w:t>
      </w:r>
      <w:r w:rsidR="000159A6">
        <w:t xml:space="preserve"> </w:t>
      </w:r>
      <w:r>
        <w:t>that</w:t>
      </w:r>
      <w:r w:rsidR="000159A6">
        <w:t xml:space="preserve"> </w:t>
      </w:r>
      <w:r>
        <w:t>relate</w:t>
      </w:r>
      <w:r w:rsidR="000159A6">
        <w:t xml:space="preserve"> </w:t>
      </w:r>
      <w:r>
        <w:t>to</w:t>
      </w:r>
      <w:r w:rsidR="000159A6">
        <w:t xml:space="preserve"> </w:t>
      </w:r>
      <w:r>
        <w:t>new</w:t>
      </w:r>
      <w:r w:rsidR="000159A6">
        <w:t xml:space="preserve"> </w:t>
      </w:r>
      <w:r>
        <w:t>chemical</w:t>
      </w:r>
      <w:r w:rsidR="000159A6">
        <w:t xml:space="preserve"> </w:t>
      </w:r>
      <w:r>
        <w:t>entities,</w:t>
      </w:r>
      <w:r w:rsidR="000159A6">
        <w:t xml:space="preserve"> </w:t>
      </w:r>
      <w:r>
        <w:t>generic</w:t>
      </w:r>
      <w:r w:rsidR="000159A6">
        <w:t xml:space="preserve"> </w:t>
      </w:r>
      <w:r>
        <w:t>medicines,</w:t>
      </w:r>
      <w:r w:rsidR="000159A6">
        <w:t xml:space="preserve"> </w:t>
      </w:r>
      <w:r>
        <w:t>major</w:t>
      </w:r>
      <w:r w:rsidR="000159A6">
        <w:t xml:space="preserve"> </w:t>
      </w:r>
      <w:r>
        <w:t>variations</w:t>
      </w:r>
      <w:r w:rsidR="000159A6">
        <w:t xml:space="preserve"> </w:t>
      </w:r>
      <w:r>
        <w:t>and</w:t>
      </w:r>
      <w:r w:rsidR="000159A6">
        <w:t xml:space="preserve"> </w:t>
      </w:r>
      <w:r>
        <w:t>extensions</w:t>
      </w:r>
      <w:r w:rsidR="000159A6">
        <w:t xml:space="preserve"> </w:t>
      </w:r>
      <w:r>
        <w:t>of</w:t>
      </w:r>
      <w:r w:rsidR="000159A6">
        <w:t xml:space="preserve"> </w:t>
      </w:r>
      <w:r>
        <w:t>indications.</w:t>
      </w:r>
    </w:p>
    <w:p w14:paraId="31CB2859" w14:textId="79FE9B5E" w:rsidR="008E7846" w:rsidRDefault="008E7846" w:rsidP="008E7846">
      <w:pPr>
        <w:pStyle w:val="ListBullet"/>
        <w:numPr>
          <w:ilvl w:val="0"/>
          <w:numId w:val="3"/>
        </w:numPr>
        <w:ind w:left="357" w:hanging="357"/>
      </w:pPr>
      <w:r>
        <w:t>An</w:t>
      </w:r>
      <w:r w:rsidR="000159A6">
        <w:t xml:space="preserve"> </w:t>
      </w:r>
      <w:r>
        <w:t>AusPAR</w:t>
      </w:r>
      <w:r w:rsidR="000159A6">
        <w:t xml:space="preserve"> </w:t>
      </w:r>
      <w:r>
        <w:t>is</w:t>
      </w:r>
      <w:r w:rsidR="000159A6">
        <w:t xml:space="preserve"> </w:t>
      </w:r>
      <w:r>
        <w:t>a</w:t>
      </w:r>
      <w:r w:rsidR="000159A6">
        <w:t xml:space="preserve"> </w:t>
      </w:r>
      <w:r>
        <w:t>static</w:t>
      </w:r>
      <w:r w:rsidR="000159A6">
        <w:t xml:space="preserve"> </w:t>
      </w:r>
      <w:r>
        <w:t>document</w:t>
      </w:r>
      <w:r w:rsidR="00133A1B">
        <w:t>;</w:t>
      </w:r>
      <w:r w:rsidR="000159A6">
        <w:t xml:space="preserve"> </w:t>
      </w:r>
      <w:r>
        <w:t>it</w:t>
      </w:r>
      <w:r w:rsidR="000159A6">
        <w:t xml:space="preserve"> </w:t>
      </w:r>
      <w:r>
        <w:t>provide</w:t>
      </w:r>
      <w:r w:rsidR="00133A1B">
        <w:t>s</w:t>
      </w:r>
      <w:r w:rsidR="000159A6">
        <w:t xml:space="preserve"> </w:t>
      </w:r>
      <w:r>
        <w:t>information</w:t>
      </w:r>
      <w:r w:rsidR="000159A6">
        <w:t xml:space="preserve"> </w:t>
      </w:r>
      <w:r>
        <w:t>that</w:t>
      </w:r>
      <w:r w:rsidR="000159A6">
        <w:t xml:space="preserve"> </w:t>
      </w:r>
      <w:r>
        <w:t>relates</w:t>
      </w:r>
      <w:r w:rsidR="000159A6">
        <w:t xml:space="preserve"> </w:t>
      </w:r>
      <w:r>
        <w:t>to</w:t>
      </w:r>
      <w:r w:rsidR="000159A6">
        <w:t xml:space="preserve"> </w:t>
      </w:r>
      <w:r>
        <w:t>a</w:t>
      </w:r>
      <w:r w:rsidR="000159A6">
        <w:t xml:space="preserve"> </w:t>
      </w:r>
      <w:r>
        <w:t>submission</w:t>
      </w:r>
      <w:r w:rsidR="000159A6">
        <w:t xml:space="preserve"> </w:t>
      </w:r>
      <w:r>
        <w:t>at</w:t>
      </w:r>
      <w:r w:rsidR="000159A6">
        <w:t xml:space="preserve"> </w:t>
      </w:r>
      <w:r>
        <w:t>a</w:t>
      </w:r>
      <w:r w:rsidR="000159A6">
        <w:t xml:space="preserve"> </w:t>
      </w:r>
      <w:r>
        <w:t>particular</w:t>
      </w:r>
      <w:r w:rsidR="000159A6">
        <w:t xml:space="preserve"> </w:t>
      </w:r>
      <w:r>
        <w:t>point</w:t>
      </w:r>
      <w:r w:rsidR="000159A6">
        <w:t xml:space="preserve"> </w:t>
      </w:r>
      <w:r>
        <w:t>in</w:t>
      </w:r>
      <w:r w:rsidR="000159A6">
        <w:t xml:space="preserve"> </w:t>
      </w:r>
      <w:r>
        <w:t>time.</w:t>
      </w:r>
    </w:p>
    <w:p w14:paraId="3127E958" w14:textId="572C061E" w:rsidR="00B452CE" w:rsidRDefault="008E7846" w:rsidP="00FF5755">
      <w:pPr>
        <w:pStyle w:val="ListBullet"/>
        <w:numPr>
          <w:ilvl w:val="0"/>
          <w:numId w:val="3"/>
        </w:numPr>
        <w:ind w:left="357" w:hanging="357"/>
      </w:pPr>
      <w:r>
        <w:t>A</w:t>
      </w:r>
      <w:r w:rsidR="000159A6">
        <w:t xml:space="preserve"> </w:t>
      </w:r>
      <w:r>
        <w:t>new</w:t>
      </w:r>
      <w:r w:rsidR="000159A6">
        <w:t xml:space="preserve"> </w:t>
      </w:r>
      <w:r>
        <w:t>AusPAR</w:t>
      </w:r>
      <w:r w:rsidR="000159A6">
        <w:t xml:space="preserve"> </w:t>
      </w:r>
      <w:r>
        <w:t>will</w:t>
      </w:r>
      <w:r w:rsidR="000159A6">
        <w:t xml:space="preserve"> </w:t>
      </w:r>
      <w:r>
        <w:t>be</w:t>
      </w:r>
      <w:r w:rsidR="000159A6">
        <w:t xml:space="preserve"> </w:t>
      </w:r>
      <w:r>
        <w:t>developed</w:t>
      </w:r>
      <w:r w:rsidR="000159A6">
        <w:t xml:space="preserve"> </w:t>
      </w:r>
      <w:r>
        <w:t>to</w:t>
      </w:r>
      <w:r w:rsidR="000159A6">
        <w:t xml:space="preserve"> </w:t>
      </w:r>
      <w:r>
        <w:t>reflect</w:t>
      </w:r>
      <w:r w:rsidR="000159A6">
        <w:t xml:space="preserve"> </w:t>
      </w:r>
      <w:r>
        <w:t>changes</w:t>
      </w:r>
      <w:r w:rsidR="000159A6">
        <w:t xml:space="preserve"> </w:t>
      </w:r>
      <w:r>
        <w:t>to</w:t>
      </w:r>
      <w:r w:rsidR="000159A6">
        <w:t xml:space="preserve"> </w:t>
      </w:r>
      <w:r>
        <w:t>indications</w:t>
      </w:r>
      <w:r w:rsidR="000159A6">
        <w:t xml:space="preserve"> </w:t>
      </w:r>
      <w:r>
        <w:t>and/or</w:t>
      </w:r>
      <w:r w:rsidR="000159A6">
        <w:t xml:space="preserve"> </w:t>
      </w:r>
      <w:r>
        <w:t>major</w:t>
      </w:r>
      <w:r w:rsidR="000159A6">
        <w:t xml:space="preserve"> </w:t>
      </w:r>
      <w:r>
        <w:t>variations</w:t>
      </w:r>
      <w:r w:rsidR="000159A6">
        <w:t xml:space="preserve"> </w:t>
      </w:r>
      <w:r>
        <w:t>to</w:t>
      </w:r>
      <w:r w:rsidR="000159A6">
        <w:t xml:space="preserve"> </w:t>
      </w:r>
      <w:r>
        <w:t>a</w:t>
      </w:r>
      <w:r w:rsidR="000159A6">
        <w:t xml:space="preserve"> </w:t>
      </w:r>
      <w:r>
        <w:t>prescription</w:t>
      </w:r>
      <w:r w:rsidR="000159A6">
        <w:t xml:space="preserve"> </w:t>
      </w:r>
      <w:r>
        <w:t>medicine</w:t>
      </w:r>
      <w:r w:rsidR="000159A6">
        <w:t xml:space="preserve"> </w:t>
      </w:r>
      <w:r>
        <w:t>subject</w:t>
      </w:r>
      <w:r w:rsidR="000159A6">
        <w:t xml:space="preserve"> </w:t>
      </w:r>
      <w:r>
        <w:t>to</w:t>
      </w:r>
      <w:r w:rsidR="000159A6">
        <w:t xml:space="preserve"> </w:t>
      </w:r>
      <w:r>
        <w:t>evaluation</w:t>
      </w:r>
      <w:r w:rsidR="000159A6">
        <w:t xml:space="preserve"> </w:t>
      </w:r>
      <w:r>
        <w:t>by</w:t>
      </w:r>
      <w:r w:rsidR="000159A6">
        <w:t xml:space="preserve"> </w:t>
      </w:r>
      <w:r>
        <w:t>the</w:t>
      </w:r>
      <w:r w:rsidR="000159A6">
        <w:t xml:space="preserve"> </w:t>
      </w:r>
      <w:r>
        <w:t>TGA.</w:t>
      </w:r>
    </w:p>
    <w:p w14:paraId="4DE1CC5E" w14:textId="77777777" w:rsidR="00924482" w:rsidRPr="00DF1D7F" w:rsidRDefault="00924482" w:rsidP="00F54B65">
      <w:pPr>
        <w:pStyle w:val="LegalSubheading"/>
        <w:spacing w:before="3120"/>
      </w:pPr>
      <w:r w:rsidRPr="00DF1D7F">
        <w:t>Copyright</w:t>
      </w:r>
    </w:p>
    <w:p w14:paraId="638A1E24" w14:textId="6F2EC771" w:rsidR="00924482" w:rsidRDefault="00924482" w:rsidP="00924482">
      <w:pPr>
        <w:pStyle w:val="LegalCopy"/>
      </w:pPr>
      <w:r w:rsidRPr="00191B3B">
        <w:rPr>
          <w:rFonts w:cs="Arial"/>
          <w:lang w:val="en-GB"/>
        </w:rPr>
        <w:t>©</w:t>
      </w:r>
      <w:r w:rsidR="000159A6">
        <w:rPr>
          <w:rFonts w:cs="Arial"/>
          <w:lang w:val="en-GB"/>
        </w:rPr>
        <w:t xml:space="preserve"> </w:t>
      </w:r>
      <w:r w:rsidRPr="00191B3B">
        <w:rPr>
          <w:rFonts w:cs="Arial"/>
          <w:lang w:val="en-GB"/>
        </w:rPr>
        <w:t>Comm</w:t>
      </w:r>
      <w:r>
        <w:rPr>
          <w:rFonts w:cs="Arial"/>
          <w:lang w:val="en-GB"/>
        </w:rPr>
        <w:t>onwealth</w:t>
      </w:r>
      <w:r w:rsidR="000159A6">
        <w:rPr>
          <w:rFonts w:cs="Arial"/>
          <w:lang w:val="en-GB"/>
        </w:rPr>
        <w:t xml:space="preserve"> </w:t>
      </w:r>
      <w:r>
        <w:rPr>
          <w:rFonts w:cs="Arial"/>
          <w:lang w:val="en-GB"/>
        </w:rPr>
        <w:t>of</w:t>
      </w:r>
      <w:r w:rsidR="000159A6">
        <w:rPr>
          <w:rFonts w:cs="Arial"/>
          <w:lang w:val="en-GB"/>
        </w:rPr>
        <w:t xml:space="preserve"> </w:t>
      </w:r>
      <w:r>
        <w:rPr>
          <w:rFonts w:cs="Arial"/>
          <w:lang w:val="en-GB"/>
        </w:rPr>
        <w:t>Australia</w:t>
      </w:r>
      <w:r w:rsidR="000159A6">
        <w:rPr>
          <w:rFonts w:cs="Arial"/>
          <w:lang w:val="en-GB"/>
        </w:rPr>
        <w:t xml:space="preserve"> </w:t>
      </w:r>
      <w:r>
        <w:rPr>
          <w:rFonts w:cs="Arial"/>
          <w:lang w:val="en-GB"/>
        </w:rPr>
        <w:t>201</w:t>
      </w:r>
      <w:r w:rsidR="00D22598">
        <w:rPr>
          <w:rFonts w:cs="Arial"/>
          <w:lang w:val="en-GB"/>
        </w:rPr>
        <w:t>8</w:t>
      </w:r>
      <w:r w:rsidRPr="00191B3B">
        <w:rPr>
          <w:rFonts w:cs="Arial"/>
          <w:lang w:val="en-GB"/>
        </w:rPr>
        <w:br/>
      </w:r>
      <w:proofErr w:type="gramStart"/>
      <w:r w:rsidRPr="00191B3B">
        <w:rPr>
          <w:rFonts w:cs="Arial"/>
          <w:lang w:val="en-GB"/>
        </w:rPr>
        <w:t>This</w:t>
      </w:r>
      <w:proofErr w:type="gramEnd"/>
      <w:r w:rsidR="000159A6">
        <w:rPr>
          <w:rFonts w:cs="Arial"/>
          <w:lang w:val="en-GB"/>
        </w:rPr>
        <w:t xml:space="preserve"> </w:t>
      </w:r>
      <w:r w:rsidRPr="00191B3B">
        <w:rPr>
          <w:rFonts w:cs="Arial"/>
          <w:lang w:val="en-GB"/>
        </w:rPr>
        <w:t>work</w:t>
      </w:r>
      <w:r w:rsidR="000159A6">
        <w:rPr>
          <w:rFonts w:cs="Arial"/>
          <w:lang w:val="en-GB"/>
        </w:rPr>
        <w:t xml:space="preserve"> </w:t>
      </w:r>
      <w:r w:rsidRPr="00191B3B">
        <w:rPr>
          <w:rFonts w:cs="Arial"/>
          <w:lang w:val="en-GB"/>
        </w:rPr>
        <w:t>is</w:t>
      </w:r>
      <w:r w:rsidR="000159A6">
        <w:rPr>
          <w:rFonts w:cs="Arial"/>
          <w:lang w:val="en-GB"/>
        </w:rPr>
        <w:t xml:space="preserve"> </w:t>
      </w:r>
      <w:r w:rsidRPr="00191B3B">
        <w:rPr>
          <w:rFonts w:cs="Arial"/>
          <w:lang w:val="en-GB"/>
        </w:rPr>
        <w:t>copyright.</w:t>
      </w:r>
      <w:r w:rsidR="000159A6">
        <w:rPr>
          <w:rFonts w:cs="Arial"/>
          <w:lang w:val="en-GB"/>
        </w:rPr>
        <w:t xml:space="preserve"> </w:t>
      </w:r>
      <w:r w:rsidRPr="00191B3B">
        <w:rPr>
          <w:rFonts w:cs="Arial"/>
          <w:lang w:val="en-GB"/>
        </w:rPr>
        <w:t>You</w:t>
      </w:r>
      <w:r w:rsidR="000159A6">
        <w:rPr>
          <w:rFonts w:cs="Arial"/>
          <w:lang w:val="en-GB"/>
        </w:rPr>
        <w:t xml:space="preserve"> </w:t>
      </w:r>
      <w:r w:rsidRPr="00191B3B">
        <w:rPr>
          <w:rFonts w:cs="Arial"/>
          <w:lang w:val="en-GB"/>
        </w:rPr>
        <w:t>may</w:t>
      </w:r>
      <w:r w:rsidR="000159A6">
        <w:rPr>
          <w:rFonts w:cs="Arial"/>
          <w:lang w:val="en-GB"/>
        </w:rPr>
        <w:t xml:space="preserve"> </w:t>
      </w:r>
      <w:r w:rsidRPr="00191B3B">
        <w:rPr>
          <w:rFonts w:cs="Arial"/>
          <w:lang w:val="en-GB"/>
        </w:rPr>
        <w:t>reproduce</w:t>
      </w:r>
      <w:r w:rsidR="000159A6">
        <w:rPr>
          <w:rFonts w:cs="Arial"/>
          <w:lang w:val="en-GB"/>
        </w:rPr>
        <w:t xml:space="preserve"> </w:t>
      </w:r>
      <w:r w:rsidRPr="00191B3B">
        <w:rPr>
          <w:rFonts w:cs="Arial"/>
          <w:lang w:val="en-GB"/>
        </w:rPr>
        <w:t>the</w:t>
      </w:r>
      <w:r w:rsidR="000159A6">
        <w:rPr>
          <w:rFonts w:cs="Arial"/>
          <w:lang w:val="en-GB"/>
        </w:rPr>
        <w:t xml:space="preserve"> </w:t>
      </w:r>
      <w:r w:rsidRPr="00191B3B">
        <w:rPr>
          <w:rFonts w:cs="Arial"/>
          <w:lang w:val="en-GB"/>
        </w:rPr>
        <w:t>whole</w:t>
      </w:r>
      <w:r w:rsidR="000159A6">
        <w:rPr>
          <w:rFonts w:cs="Arial"/>
          <w:lang w:val="en-GB"/>
        </w:rPr>
        <w:t xml:space="preserve"> </w:t>
      </w:r>
      <w:r w:rsidRPr="00191B3B">
        <w:rPr>
          <w:rFonts w:cs="Arial"/>
          <w:lang w:val="en-GB"/>
        </w:rPr>
        <w:t>or</w:t>
      </w:r>
      <w:r w:rsidR="000159A6">
        <w:rPr>
          <w:rFonts w:cs="Arial"/>
          <w:lang w:val="en-GB"/>
        </w:rPr>
        <w:t xml:space="preserve"> </w:t>
      </w:r>
      <w:r w:rsidRPr="00191B3B">
        <w:rPr>
          <w:rFonts w:cs="Arial"/>
          <w:lang w:val="en-GB"/>
        </w:rPr>
        <w:t>part</w:t>
      </w:r>
      <w:r w:rsidR="000159A6">
        <w:rPr>
          <w:rFonts w:cs="Arial"/>
          <w:lang w:val="en-GB"/>
        </w:rPr>
        <w:t xml:space="preserve"> </w:t>
      </w:r>
      <w:r w:rsidRPr="00191B3B">
        <w:rPr>
          <w:rFonts w:cs="Arial"/>
          <w:lang w:val="en-GB"/>
        </w:rPr>
        <w:t>of</w:t>
      </w:r>
      <w:r w:rsidR="000159A6">
        <w:rPr>
          <w:rFonts w:cs="Arial"/>
          <w:lang w:val="en-GB"/>
        </w:rPr>
        <w:t xml:space="preserve"> </w:t>
      </w:r>
      <w:r w:rsidRPr="00191B3B">
        <w:rPr>
          <w:rFonts w:cs="Arial"/>
          <w:lang w:val="en-GB"/>
        </w:rPr>
        <w:t>this</w:t>
      </w:r>
      <w:r w:rsidR="000159A6">
        <w:rPr>
          <w:rFonts w:cs="Arial"/>
          <w:lang w:val="en-GB"/>
        </w:rPr>
        <w:t xml:space="preserve"> </w:t>
      </w:r>
      <w:r w:rsidRPr="00191B3B">
        <w:rPr>
          <w:rFonts w:cs="Arial"/>
          <w:lang w:val="en-GB"/>
        </w:rPr>
        <w:t>work</w:t>
      </w:r>
      <w:r w:rsidR="000159A6">
        <w:rPr>
          <w:rFonts w:cs="Arial"/>
          <w:lang w:val="en-GB"/>
        </w:rPr>
        <w:t xml:space="preserve"> </w:t>
      </w:r>
      <w:r w:rsidRPr="00191B3B">
        <w:rPr>
          <w:rFonts w:cs="Arial"/>
          <w:lang w:val="en-GB"/>
        </w:rPr>
        <w:t>in</w:t>
      </w:r>
      <w:r w:rsidR="000159A6">
        <w:rPr>
          <w:rFonts w:cs="Arial"/>
          <w:lang w:val="en-GB"/>
        </w:rPr>
        <w:t xml:space="preserve"> </w:t>
      </w:r>
      <w:r w:rsidRPr="00191B3B">
        <w:rPr>
          <w:rFonts w:cs="Arial"/>
          <w:lang w:val="en-GB"/>
        </w:rPr>
        <w:t>unaltered</w:t>
      </w:r>
      <w:r w:rsidR="000159A6">
        <w:rPr>
          <w:rFonts w:cs="Arial"/>
          <w:lang w:val="en-GB"/>
        </w:rPr>
        <w:t xml:space="preserve"> </w:t>
      </w:r>
      <w:r w:rsidRPr="00191B3B">
        <w:rPr>
          <w:rFonts w:cs="Arial"/>
          <w:lang w:val="en-GB"/>
        </w:rPr>
        <w:t>form</w:t>
      </w:r>
      <w:r w:rsidR="000159A6">
        <w:rPr>
          <w:rFonts w:cs="Arial"/>
          <w:lang w:val="en-GB"/>
        </w:rPr>
        <w:t xml:space="preserve"> </w:t>
      </w:r>
      <w:r w:rsidRPr="00191B3B">
        <w:rPr>
          <w:rFonts w:cs="Arial"/>
          <w:lang w:val="en-GB"/>
        </w:rPr>
        <w:t>for</w:t>
      </w:r>
      <w:r w:rsidR="000159A6">
        <w:rPr>
          <w:rFonts w:cs="Arial"/>
          <w:lang w:val="en-GB"/>
        </w:rPr>
        <w:t xml:space="preserve"> </w:t>
      </w:r>
      <w:r w:rsidRPr="00191B3B">
        <w:rPr>
          <w:rFonts w:cs="Arial"/>
          <w:lang w:val="en-GB"/>
        </w:rPr>
        <w:t>your</w:t>
      </w:r>
      <w:r w:rsidR="000159A6">
        <w:rPr>
          <w:rFonts w:cs="Arial"/>
          <w:lang w:val="en-GB"/>
        </w:rPr>
        <w:t xml:space="preserve"> </w:t>
      </w:r>
      <w:r w:rsidRPr="00191B3B">
        <w:rPr>
          <w:rFonts w:cs="Arial"/>
          <w:lang w:val="en-GB"/>
        </w:rPr>
        <w:t>own</w:t>
      </w:r>
      <w:r w:rsidR="000159A6">
        <w:rPr>
          <w:rFonts w:cs="Arial"/>
          <w:lang w:val="en-GB"/>
        </w:rPr>
        <w:t xml:space="preserve"> </w:t>
      </w:r>
      <w:r w:rsidRPr="00191B3B">
        <w:rPr>
          <w:rFonts w:cs="Arial"/>
          <w:lang w:val="en-GB"/>
        </w:rPr>
        <w:t>personal</w:t>
      </w:r>
      <w:r w:rsidR="000159A6">
        <w:rPr>
          <w:rFonts w:cs="Arial"/>
          <w:lang w:val="en-GB"/>
        </w:rPr>
        <w:t xml:space="preserve"> </w:t>
      </w:r>
      <w:r w:rsidRPr="00191B3B">
        <w:rPr>
          <w:rFonts w:cs="Arial"/>
          <w:lang w:val="en-GB"/>
        </w:rPr>
        <w:t>use</w:t>
      </w:r>
      <w:r w:rsidR="000159A6">
        <w:rPr>
          <w:rFonts w:cs="Arial"/>
          <w:lang w:val="en-GB"/>
        </w:rPr>
        <w:t xml:space="preserve"> </w:t>
      </w:r>
      <w:r w:rsidRPr="00191B3B">
        <w:rPr>
          <w:rFonts w:cs="Arial"/>
          <w:lang w:val="en-GB"/>
        </w:rPr>
        <w:t>or,</w:t>
      </w:r>
      <w:r w:rsidR="000159A6">
        <w:rPr>
          <w:rFonts w:cs="Arial"/>
          <w:lang w:val="en-GB"/>
        </w:rPr>
        <w:t xml:space="preserve"> </w:t>
      </w:r>
      <w:r w:rsidRPr="00191B3B">
        <w:rPr>
          <w:rFonts w:cs="Arial"/>
          <w:lang w:val="en-GB"/>
        </w:rPr>
        <w:t>if</w:t>
      </w:r>
      <w:r w:rsidR="000159A6">
        <w:rPr>
          <w:rFonts w:cs="Arial"/>
          <w:lang w:val="en-GB"/>
        </w:rPr>
        <w:t xml:space="preserve"> </w:t>
      </w:r>
      <w:r w:rsidRPr="00191B3B">
        <w:rPr>
          <w:rFonts w:cs="Arial"/>
          <w:lang w:val="en-GB"/>
        </w:rPr>
        <w:t>you</w:t>
      </w:r>
      <w:r w:rsidR="000159A6">
        <w:rPr>
          <w:rFonts w:cs="Arial"/>
          <w:lang w:val="en-GB"/>
        </w:rPr>
        <w:t xml:space="preserve"> </w:t>
      </w:r>
      <w:r w:rsidRPr="00191B3B">
        <w:rPr>
          <w:rFonts w:cs="Arial"/>
          <w:lang w:val="en-GB"/>
        </w:rPr>
        <w:t>are</w:t>
      </w:r>
      <w:r w:rsidR="000159A6">
        <w:rPr>
          <w:rFonts w:cs="Arial"/>
          <w:lang w:val="en-GB"/>
        </w:rPr>
        <w:t xml:space="preserve"> </w:t>
      </w:r>
      <w:r w:rsidRPr="00191B3B">
        <w:rPr>
          <w:rFonts w:cs="Arial"/>
          <w:lang w:val="en-GB"/>
        </w:rPr>
        <w:t>part</w:t>
      </w:r>
      <w:r w:rsidR="000159A6">
        <w:rPr>
          <w:rFonts w:cs="Arial"/>
          <w:lang w:val="en-GB"/>
        </w:rPr>
        <w:t xml:space="preserve"> </w:t>
      </w:r>
      <w:r w:rsidRPr="00191B3B">
        <w:rPr>
          <w:rFonts w:cs="Arial"/>
          <w:lang w:val="en-GB"/>
        </w:rPr>
        <w:t>of</w:t>
      </w:r>
      <w:r w:rsidR="000159A6">
        <w:rPr>
          <w:rFonts w:cs="Arial"/>
          <w:lang w:val="en-GB"/>
        </w:rPr>
        <w:t xml:space="preserve"> </w:t>
      </w:r>
      <w:r w:rsidRPr="00191B3B">
        <w:rPr>
          <w:rFonts w:cs="Arial"/>
          <w:lang w:val="en-GB"/>
        </w:rPr>
        <w:t>an</w:t>
      </w:r>
      <w:r w:rsidR="000159A6">
        <w:rPr>
          <w:rFonts w:cs="Arial"/>
          <w:lang w:val="en-GB"/>
        </w:rPr>
        <w:t xml:space="preserve"> </w:t>
      </w:r>
      <w:r w:rsidRPr="00191B3B">
        <w:rPr>
          <w:rFonts w:cs="Arial"/>
          <w:lang w:val="en-GB"/>
        </w:rPr>
        <w:t>organisation,</w:t>
      </w:r>
      <w:r w:rsidR="000159A6">
        <w:rPr>
          <w:rFonts w:cs="Arial"/>
          <w:lang w:val="en-GB"/>
        </w:rPr>
        <w:t xml:space="preserve"> </w:t>
      </w:r>
      <w:r w:rsidRPr="00191B3B">
        <w:rPr>
          <w:rFonts w:cs="Arial"/>
          <w:lang w:val="en-GB"/>
        </w:rPr>
        <w:t>for</w:t>
      </w:r>
      <w:r w:rsidR="000159A6">
        <w:rPr>
          <w:rFonts w:cs="Arial"/>
          <w:lang w:val="en-GB"/>
        </w:rPr>
        <w:t xml:space="preserve"> </w:t>
      </w:r>
      <w:r w:rsidRPr="00191B3B">
        <w:rPr>
          <w:rFonts w:cs="Arial"/>
          <w:lang w:val="en-GB"/>
        </w:rPr>
        <w:t>internal</w:t>
      </w:r>
      <w:r w:rsidR="000159A6">
        <w:rPr>
          <w:rFonts w:cs="Arial"/>
          <w:lang w:val="en-GB"/>
        </w:rPr>
        <w:t xml:space="preserve"> </w:t>
      </w:r>
      <w:r w:rsidRPr="00191B3B">
        <w:rPr>
          <w:rFonts w:cs="Arial"/>
          <w:lang w:val="en-GB"/>
        </w:rPr>
        <w:t>use</w:t>
      </w:r>
      <w:r w:rsidR="000159A6">
        <w:rPr>
          <w:rFonts w:cs="Arial"/>
          <w:lang w:val="en-GB"/>
        </w:rPr>
        <w:t xml:space="preserve"> </w:t>
      </w:r>
      <w:r w:rsidRPr="00191B3B">
        <w:rPr>
          <w:rFonts w:cs="Arial"/>
          <w:lang w:val="en-GB"/>
        </w:rPr>
        <w:t>within</w:t>
      </w:r>
      <w:r w:rsidR="000159A6">
        <w:rPr>
          <w:rFonts w:cs="Arial"/>
          <w:lang w:val="en-GB"/>
        </w:rPr>
        <w:t xml:space="preserve"> </w:t>
      </w:r>
      <w:r w:rsidRPr="00191B3B">
        <w:rPr>
          <w:rFonts w:cs="Arial"/>
          <w:lang w:val="en-GB"/>
        </w:rPr>
        <w:t>your</w:t>
      </w:r>
      <w:r w:rsidR="000159A6">
        <w:rPr>
          <w:rFonts w:cs="Arial"/>
          <w:lang w:val="en-GB"/>
        </w:rPr>
        <w:t xml:space="preserve"> </w:t>
      </w:r>
      <w:r w:rsidRPr="00191B3B">
        <w:rPr>
          <w:rFonts w:cs="Arial"/>
          <w:lang w:val="en-GB"/>
        </w:rPr>
        <w:t>organisation,</w:t>
      </w:r>
      <w:r w:rsidR="000159A6">
        <w:rPr>
          <w:rFonts w:cs="Arial"/>
          <w:lang w:val="en-GB"/>
        </w:rPr>
        <w:t xml:space="preserve"> </w:t>
      </w:r>
      <w:r w:rsidRPr="00191B3B">
        <w:rPr>
          <w:rFonts w:cs="Arial"/>
          <w:lang w:val="en-GB"/>
        </w:rPr>
        <w:t>but</w:t>
      </w:r>
      <w:r w:rsidR="000159A6">
        <w:rPr>
          <w:rFonts w:cs="Arial"/>
          <w:lang w:val="en-GB"/>
        </w:rPr>
        <w:t xml:space="preserve"> </w:t>
      </w:r>
      <w:r w:rsidRPr="00191B3B">
        <w:rPr>
          <w:rFonts w:cs="Arial"/>
          <w:lang w:val="en-GB"/>
        </w:rPr>
        <w:t>only</w:t>
      </w:r>
      <w:r w:rsidR="000159A6">
        <w:rPr>
          <w:rFonts w:cs="Arial"/>
          <w:lang w:val="en-GB"/>
        </w:rPr>
        <w:t xml:space="preserve"> </w:t>
      </w:r>
      <w:r w:rsidRPr="00191B3B">
        <w:rPr>
          <w:rFonts w:cs="Arial"/>
          <w:lang w:val="en-GB"/>
        </w:rPr>
        <w:t>if</w:t>
      </w:r>
      <w:r w:rsidR="000159A6">
        <w:rPr>
          <w:rFonts w:cs="Arial"/>
          <w:lang w:val="en-GB"/>
        </w:rPr>
        <w:t xml:space="preserve"> </w:t>
      </w:r>
      <w:r w:rsidRPr="00191B3B">
        <w:rPr>
          <w:rFonts w:cs="Arial"/>
          <w:lang w:val="en-GB"/>
        </w:rPr>
        <w:t>you</w:t>
      </w:r>
      <w:r w:rsidR="000159A6">
        <w:rPr>
          <w:rFonts w:cs="Arial"/>
          <w:lang w:val="en-GB"/>
        </w:rPr>
        <w:t xml:space="preserve"> </w:t>
      </w:r>
      <w:r w:rsidRPr="00191B3B">
        <w:rPr>
          <w:rFonts w:cs="Arial"/>
          <w:lang w:val="en-GB"/>
        </w:rPr>
        <w:t>or</w:t>
      </w:r>
      <w:r w:rsidR="000159A6">
        <w:rPr>
          <w:rFonts w:cs="Arial"/>
          <w:lang w:val="en-GB"/>
        </w:rPr>
        <w:t xml:space="preserve"> </w:t>
      </w:r>
      <w:r w:rsidRPr="00191B3B">
        <w:rPr>
          <w:rFonts w:cs="Arial"/>
          <w:lang w:val="en-GB"/>
        </w:rPr>
        <w:t>your</w:t>
      </w:r>
      <w:r w:rsidR="000159A6">
        <w:rPr>
          <w:rFonts w:cs="Arial"/>
          <w:lang w:val="en-GB"/>
        </w:rPr>
        <w:t xml:space="preserve"> </w:t>
      </w:r>
      <w:r w:rsidRPr="00191B3B">
        <w:rPr>
          <w:rFonts w:cs="Arial"/>
          <w:lang w:val="en-GB"/>
        </w:rPr>
        <w:t>organisation</w:t>
      </w:r>
      <w:r w:rsidR="000159A6">
        <w:rPr>
          <w:rFonts w:cs="Arial"/>
          <w:lang w:val="en-GB"/>
        </w:rPr>
        <w:t xml:space="preserve"> </w:t>
      </w:r>
      <w:r w:rsidRPr="00191B3B">
        <w:rPr>
          <w:rFonts w:cs="Arial"/>
          <w:lang w:val="en-GB"/>
        </w:rPr>
        <w:t>do</w:t>
      </w:r>
      <w:r w:rsidR="000159A6">
        <w:rPr>
          <w:rFonts w:cs="Arial"/>
          <w:lang w:val="en-GB"/>
        </w:rPr>
        <w:t xml:space="preserve"> </w:t>
      </w:r>
      <w:r w:rsidRPr="00191B3B">
        <w:rPr>
          <w:rFonts w:cs="Arial"/>
          <w:lang w:val="en-GB"/>
        </w:rPr>
        <w:t>not</w:t>
      </w:r>
      <w:r w:rsidR="000159A6">
        <w:rPr>
          <w:rFonts w:cs="Arial"/>
          <w:lang w:val="en-GB"/>
        </w:rPr>
        <w:t xml:space="preserve"> </w:t>
      </w:r>
      <w:r w:rsidRPr="00191B3B">
        <w:rPr>
          <w:rFonts w:cs="Arial"/>
          <w:lang w:val="en-GB"/>
        </w:rPr>
        <w:t>use</w:t>
      </w:r>
      <w:r w:rsidR="000159A6">
        <w:rPr>
          <w:rFonts w:cs="Arial"/>
          <w:lang w:val="en-GB"/>
        </w:rPr>
        <w:t xml:space="preserve"> </w:t>
      </w:r>
      <w:r w:rsidRPr="00191B3B">
        <w:rPr>
          <w:rFonts w:cs="Arial"/>
          <w:lang w:val="en-GB"/>
        </w:rPr>
        <w:t>the</w:t>
      </w:r>
      <w:r w:rsidR="000159A6">
        <w:rPr>
          <w:rFonts w:cs="Arial"/>
          <w:lang w:val="en-GB"/>
        </w:rPr>
        <w:t xml:space="preserve"> </w:t>
      </w:r>
      <w:r w:rsidRPr="00191B3B">
        <w:rPr>
          <w:rFonts w:cs="Arial"/>
          <w:lang w:val="en-GB"/>
        </w:rPr>
        <w:t>reproduction</w:t>
      </w:r>
      <w:r w:rsidR="000159A6">
        <w:rPr>
          <w:rFonts w:cs="Arial"/>
          <w:lang w:val="en-GB"/>
        </w:rPr>
        <w:t xml:space="preserve"> </w:t>
      </w:r>
      <w:r w:rsidRPr="00191B3B">
        <w:rPr>
          <w:rFonts w:cs="Arial"/>
          <w:lang w:val="en-GB"/>
        </w:rPr>
        <w:t>for</w:t>
      </w:r>
      <w:r w:rsidR="000159A6">
        <w:rPr>
          <w:rFonts w:cs="Arial"/>
          <w:lang w:val="en-GB"/>
        </w:rPr>
        <w:t xml:space="preserve"> </w:t>
      </w:r>
      <w:r w:rsidRPr="00191B3B">
        <w:rPr>
          <w:rFonts w:cs="Arial"/>
          <w:lang w:val="en-GB"/>
        </w:rPr>
        <w:t>any</w:t>
      </w:r>
      <w:r w:rsidR="000159A6">
        <w:rPr>
          <w:rFonts w:cs="Arial"/>
          <w:lang w:val="en-GB"/>
        </w:rPr>
        <w:t xml:space="preserve"> </w:t>
      </w:r>
      <w:r w:rsidRPr="00191B3B">
        <w:rPr>
          <w:rFonts w:cs="Arial"/>
          <w:lang w:val="en-GB"/>
        </w:rPr>
        <w:t>commercial</w:t>
      </w:r>
      <w:r w:rsidR="000159A6">
        <w:rPr>
          <w:rFonts w:cs="Arial"/>
          <w:lang w:val="en-GB"/>
        </w:rPr>
        <w:t xml:space="preserve"> </w:t>
      </w:r>
      <w:r w:rsidRPr="00191B3B">
        <w:rPr>
          <w:rFonts w:cs="Arial"/>
          <w:lang w:val="en-GB"/>
        </w:rPr>
        <w:t>purpose</w:t>
      </w:r>
      <w:r w:rsidR="000159A6">
        <w:rPr>
          <w:rFonts w:cs="Arial"/>
          <w:lang w:val="en-GB"/>
        </w:rPr>
        <w:t xml:space="preserve"> </w:t>
      </w:r>
      <w:r w:rsidRPr="00191B3B">
        <w:rPr>
          <w:rFonts w:cs="Arial"/>
          <w:lang w:val="en-GB"/>
        </w:rPr>
        <w:t>and</w:t>
      </w:r>
      <w:r w:rsidR="000159A6">
        <w:rPr>
          <w:rFonts w:cs="Arial"/>
          <w:lang w:val="en-GB"/>
        </w:rPr>
        <w:t xml:space="preserve"> </w:t>
      </w:r>
      <w:r w:rsidRPr="00191B3B">
        <w:rPr>
          <w:rFonts w:cs="Arial"/>
          <w:lang w:val="en-GB"/>
        </w:rPr>
        <w:t>retain</w:t>
      </w:r>
      <w:r w:rsidR="000159A6">
        <w:rPr>
          <w:rFonts w:cs="Arial"/>
          <w:lang w:val="en-GB"/>
        </w:rPr>
        <w:t xml:space="preserve"> </w:t>
      </w:r>
      <w:r w:rsidRPr="00191B3B">
        <w:rPr>
          <w:rFonts w:cs="Arial"/>
          <w:lang w:val="en-GB"/>
        </w:rPr>
        <w:t>this</w:t>
      </w:r>
      <w:r w:rsidR="000159A6">
        <w:rPr>
          <w:rFonts w:cs="Arial"/>
          <w:lang w:val="en-GB"/>
        </w:rPr>
        <w:t xml:space="preserve"> </w:t>
      </w:r>
      <w:r w:rsidRPr="00191B3B">
        <w:rPr>
          <w:rFonts w:cs="Arial"/>
          <w:lang w:val="en-GB"/>
        </w:rPr>
        <w:t>copyright</w:t>
      </w:r>
      <w:r w:rsidR="000159A6">
        <w:rPr>
          <w:rFonts w:cs="Arial"/>
          <w:lang w:val="en-GB"/>
        </w:rPr>
        <w:t xml:space="preserve"> </w:t>
      </w:r>
      <w:r w:rsidRPr="00191B3B">
        <w:rPr>
          <w:rFonts w:cs="Arial"/>
          <w:lang w:val="en-GB"/>
        </w:rPr>
        <w:t>notice</w:t>
      </w:r>
      <w:r w:rsidR="000159A6">
        <w:rPr>
          <w:rFonts w:cs="Arial"/>
          <w:lang w:val="en-GB"/>
        </w:rPr>
        <w:t xml:space="preserve"> </w:t>
      </w:r>
      <w:r w:rsidRPr="00191B3B">
        <w:rPr>
          <w:rFonts w:cs="Arial"/>
          <w:lang w:val="en-GB"/>
        </w:rPr>
        <w:t>and</w:t>
      </w:r>
      <w:r w:rsidR="000159A6">
        <w:rPr>
          <w:rFonts w:cs="Arial"/>
          <w:lang w:val="en-GB"/>
        </w:rPr>
        <w:t xml:space="preserve"> </w:t>
      </w:r>
      <w:r w:rsidRPr="00191B3B">
        <w:rPr>
          <w:rFonts w:cs="Arial"/>
          <w:lang w:val="en-GB"/>
        </w:rPr>
        <w:t>all</w:t>
      </w:r>
      <w:r w:rsidR="000159A6">
        <w:rPr>
          <w:rFonts w:cs="Arial"/>
          <w:lang w:val="en-GB"/>
        </w:rPr>
        <w:t xml:space="preserve"> </w:t>
      </w:r>
      <w:r w:rsidRPr="00191B3B">
        <w:rPr>
          <w:rFonts w:cs="Arial"/>
          <w:lang w:val="en-GB"/>
        </w:rPr>
        <w:t>disclaimer</w:t>
      </w:r>
      <w:r w:rsidR="000159A6">
        <w:rPr>
          <w:rFonts w:cs="Arial"/>
          <w:lang w:val="en-GB"/>
        </w:rPr>
        <w:t xml:space="preserve"> </w:t>
      </w:r>
      <w:r w:rsidRPr="00191B3B">
        <w:rPr>
          <w:rFonts w:cs="Arial"/>
          <w:lang w:val="en-GB"/>
        </w:rPr>
        <w:t>notices</w:t>
      </w:r>
      <w:r w:rsidR="000159A6">
        <w:rPr>
          <w:rFonts w:cs="Arial"/>
          <w:lang w:val="en-GB"/>
        </w:rPr>
        <w:t xml:space="preserve"> </w:t>
      </w:r>
      <w:r w:rsidRPr="00191B3B">
        <w:rPr>
          <w:rFonts w:cs="Arial"/>
          <w:lang w:val="en-GB"/>
        </w:rPr>
        <w:t>as</w:t>
      </w:r>
      <w:r w:rsidR="000159A6">
        <w:rPr>
          <w:rFonts w:cs="Arial"/>
          <w:lang w:val="en-GB"/>
        </w:rPr>
        <w:t xml:space="preserve"> </w:t>
      </w:r>
      <w:r w:rsidRPr="00191B3B">
        <w:rPr>
          <w:rFonts w:cs="Arial"/>
          <w:lang w:val="en-GB"/>
        </w:rPr>
        <w:t>part</w:t>
      </w:r>
      <w:r w:rsidR="000159A6">
        <w:rPr>
          <w:rFonts w:cs="Arial"/>
          <w:lang w:val="en-GB"/>
        </w:rPr>
        <w:t xml:space="preserve"> </w:t>
      </w:r>
      <w:r w:rsidRPr="00191B3B">
        <w:rPr>
          <w:rFonts w:cs="Arial"/>
          <w:lang w:val="en-GB"/>
        </w:rPr>
        <w:t>of</w:t>
      </w:r>
      <w:r w:rsidR="000159A6">
        <w:rPr>
          <w:rFonts w:cs="Arial"/>
          <w:lang w:val="en-GB"/>
        </w:rPr>
        <w:t xml:space="preserve"> </w:t>
      </w:r>
      <w:r w:rsidRPr="00191B3B">
        <w:rPr>
          <w:rFonts w:cs="Arial"/>
          <w:lang w:val="en-GB"/>
        </w:rPr>
        <w:t>that</w:t>
      </w:r>
      <w:r w:rsidR="000159A6">
        <w:rPr>
          <w:rFonts w:cs="Arial"/>
          <w:lang w:val="en-GB"/>
        </w:rPr>
        <w:t xml:space="preserve"> </w:t>
      </w:r>
      <w:r w:rsidRPr="00191B3B">
        <w:rPr>
          <w:rFonts w:cs="Arial"/>
          <w:lang w:val="en-GB"/>
        </w:rPr>
        <w:t>reproduction.</w:t>
      </w:r>
      <w:r w:rsidR="000159A6">
        <w:rPr>
          <w:rFonts w:cs="Arial"/>
          <w:lang w:val="en-GB"/>
        </w:rPr>
        <w:t xml:space="preserve"> </w:t>
      </w:r>
      <w:r w:rsidRPr="00191B3B">
        <w:rPr>
          <w:rFonts w:cs="Arial"/>
          <w:lang w:val="en-GB"/>
        </w:rPr>
        <w:t>Apart</w:t>
      </w:r>
      <w:r w:rsidR="000159A6">
        <w:rPr>
          <w:rFonts w:cs="Arial"/>
          <w:lang w:val="en-GB"/>
        </w:rPr>
        <w:t xml:space="preserve"> </w:t>
      </w:r>
      <w:r w:rsidRPr="00191B3B">
        <w:rPr>
          <w:rFonts w:cs="Arial"/>
          <w:lang w:val="en-GB"/>
        </w:rPr>
        <w:t>from</w:t>
      </w:r>
      <w:r w:rsidR="000159A6">
        <w:rPr>
          <w:rFonts w:cs="Arial"/>
          <w:lang w:val="en-GB"/>
        </w:rPr>
        <w:t xml:space="preserve"> </w:t>
      </w:r>
      <w:r w:rsidRPr="00191B3B">
        <w:rPr>
          <w:rFonts w:cs="Arial"/>
          <w:lang w:val="en-GB"/>
        </w:rPr>
        <w:t>rights</w:t>
      </w:r>
      <w:r w:rsidR="000159A6">
        <w:rPr>
          <w:rFonts w:cs="Arial"/>
          <w:lang w:val="en-GB"/>
        </w:rPr>
        <w:t xml:space="preserve"> </w:t>
      </w:r>
      <w:r w:rsidRPr="00191B3B">
        <w:rPr>
          <w:rFonts w:cs="Arial"/>
          <w:lang w:val="en-GB"/>
        </w:rPr>
        <w:t>to</w:t>
      </w:r>
      <w:r w:rsidR="000159A6">
        <w:rPr>
          <w:rFonts w:cs="Arial"/>
          <w:lang w:val="en-GB"/>
        </w:rPr>
        <w:t xml:space="preserve"> </w:t>
      </w:r>
      <w:r w:rsidRPr="00191B3B">
        <w:rPr>
          <w:rFonts w:cs="Arial"/>
          <w:lang w:val="en-GB"/>
        </w:rPr>
        <w:t>use</w:t>
      </w:r>
      <w:r w:rsidR="000159A6">
        <w:rPr>
          <w:rFonts w:cs="Arial"/>
          <w:lang w:val="en-GB"/>
        </w:rPr>
        <w:t xml:space="preserve"> </w:t>
      </w:r>
      <w:r w:rsidRPr="00191B3B">
        <w:rPr>
          <w:rFonts w:cs="Arial"/>
          <w:lang w:val="en-GB"/>
        </w:rPr>
        <w:t>as</w:t>
      </w:r>
      <w:r w:rsidR="000159A6">
        <w:rPr>
          <w:rFonts w:cs="Arial"/>
          <w:lang w:val="en-GB"/>
        </w:rPr>
        <w:t xml:space="preserve"> </w:t>
      </w:r>
      <w:r w:rsidRPr="00191B3B">
        <w:rPr>
          <w:rFonts w:cs="Arial"/>
          <w:lang w:val="en-GB"/>
        </w:rPr>
        <w:t>permitted</w:t>
      </w:r>
      <w:r w:rsidR="000159A6">
        <w:rPr>
          <w:rFonts w:cs="Arial"/>
          <w:lang w:val="en-GB"/>
        </w:rPr>
        <w:t xml:space="preserve"> </w:t>
      </w:r>
      <w:r w:rsidRPr="00191B3B">
        <w:rPr>
          <w:rFonts w:cs="Arial"/>
          <w:lang w:val="en-GB"/>
        </w:rPr>
        <w:t>by</w:t>
      </w:r>
      <w:r w:rsidR="000159A6">
        <w:rPr>
          <w:rFonts w:cs="Arial"/>
          <w:lang w:val="en-GB"/>
        </w:rPr>
        <w:t xml:space="preserve"> </w:t>
      </w:r>
      <w:r w:rsidRPr="00191B3B">
        <w:rPr>
          <w:rFonts w:cs="Arial"/>
          <w:lang w:val="en-GB"/>
        </w:rPr>
        <w:t>the</w:t>
      </w:r>
      <w:r w:rsidR="000159A6">
        <w:rPr>
          <w:rFonts w:cs="Arial"/>
          <w:lang w:val="en-GB"/>
        </w:rPr>
        <w:t xml:space="preserve"> </w:t>
      </w:r>
      <w:r w:rsidRPr="00191B3B">
        <w:rPr>
          <w:rFonts w:cs="Arial"/>
          <w:i/>
          <w:lang w:val="en-GB"/>
        </w:rPr>
        <w:t>Copyright</w:t>
      </w:r>
      <w:r w:rsidR="000159A6">
        <w:rPr>
          <w:rFonts w:cs="Arial"/>
          <w:i/>
          <w:lang w:val="en-GB"/>
        </w:rPr>
        <w:t xml:space="preserve"> </w:t>
      </w:r>
      <w:r w:rsidRPr="00191B3B">
        <w:rPr>
          <w:rFonts w:cs="Arial"/>
          <w:i/>
          <w:lang w:val="en-GB"/>
        </w:rPr>
        <w:t>Act</w:t>
      </w:r>
      <w:r w:rsidR="000159A6">
        <w:rPr>
          <w:rFonts w:cs="Arial"/>
          <w:i/>
          <w:lang w:val="en-GB"/>
        </w:rPr>
        <w:t xml:space="preserve"> </w:t>
      </w:r>
      <w:r w:rsidRPr="00191B3B">
        <w:rPr>
          <w:rFonts w:cs="Arial"/>
          <w:i/>
          <w:lang w:val="en-GB"/>
        </w:rPr>
        <w:t>1968</w:t>
      </w:r>
      <w:r w:rsidR="000159A6">
        <w:rPr>
          <w:rFonts w:cs="Arial"/>
          <w:lang w:val="en-GB"/>
        </w:rPr>
        <w:t xml:space="preserve"> </w:t>
      </w:r>
      <w:r w:rsidRPr="00191B3B">
        <w:rPr>
          <w:rFonts w:cs="Arial"/>
          <w:lang w:val="en-GB"/>
        </w:rPr>
        <w:t>or</w:t>
      </w:r>
      <w:r w:rsidR="000159A6">
        <w:rPr>
          <w:rFonts w:cs="Arial"/>
          <w:lang w:val="en-GB"/>
        </w:rPr>
        <w:t xml:space="preserve"> </w:t>
      </w:r>
      <w:r w:rsidRPr="00191B3B">
        <w:rPr>
          <w:rFonts w:cs="Arial"/>
          <w:lang w:val="en-GB"/>
        </w:rPr>
        <w:t>allowed</w:t>
      </w:r>
      <w:r w:rsidR="000159A6">
        <w:rPr>
          <w:rFonts w:cs="Arial"/>
          <w:lang w:val="en-GB"/>
        </w:rPr>
        <w:t xml:space="preserve"> </w:t>
      </w:r>
      <w:r w:rsidRPr="00191B3B">
        <w:rPr>
          <w:rFonts w:cs="Arial"/>
          <w:lang w:val="en-GB"/>
        </w:rPr>
        <w:t>by</w:t>
      </w:r>
      <w:r w:rsidR="000159A6">
        <w:rPr>
          <w:rFonts w:cs="Arial"/>
          <w:lang w:val="en-GB"/>
        </w:rPr>
        <w:t xml:space="preserve"> </w:t>
      </w:r>
      <w:r w:rsidRPr="00191B3B">
        <w:rPr>
          <w:rFonts w:cs="Arial"/>
          <w:lang w:val="en-GB"/>
        </w:rPr>
        <w:t>this</w:t>
      </w:r>
      <w:r w:rsidR="000159A6">
        <w:rPr>
          <w:rFonts w:cs="Arial"/>
          <w:lang w:val="en-GB"/>
        </w:rPr>
        <w:t xml:space="preserve"> </w:t>
      </w:r>
      <w:r w:rsidRPr="00191B3B">
        <w:rPr>
          <w:rFonts w:cs="Arial"/>
          <w:lang w:val="en-GB"/>
        </w:rPr>
        <w:t>copyright</w:t>
      </w:r>
      <w:r w:rsidR="000159A6">
        <w:rPr>
          <w:rFonts w:cs="Arial"/>
          <w:lang w:val="en-GB"/>
        </w:rPr>
        <w:t xml:space="preserve"> </w:t>
      </w:r>
      <w:r w:rsidRPr="00191B3B">
        <w:rPr>
          <w:rFonts w:cs="Arial"/>
          <w:lang w:val="en-GB"/>
        </w:rPr>
        <w:t>notice,</w:t>
      </w:r>
      <w:r w:rsidR="000159A6">
        <w:rPr>
          <w:rFonts w:cs="Arial"/>
          <w:lang w:val="en-GB"/>
        </w:rPr>
        <w:t xml:space="preserve"> </w:t>
      </w:r>
      <w:r w:rsidRPr="00191B3B">
        <w:rPr>
          <w:rFonts w:cs="Arial"/>
          <w:lang w:val="en-GB"/>
        </w:rPr>
        <w:t>all</w:t>
      </w:r>
      <w:r w:rsidR="000159A6">
        <w:rPr>
          <w:rFonts w:cs="Arial"/>
          <w:lang w:val="en-GB"/>
        </w:rPr>
        <w:t xml:space="preserve"> </w:t>
      </w:r>
      <w:r w:rsidRPr="00191B3B">
        <w:rPr>
          <w:rFonts w:cs="Arial"/>
          <w:lang w:val="en-GB"/>
        </w:rPr>
        <w:t>other</w:t>
      </w:r>
      <w:r w:rsidR="000159A6">
        <w:rPr>
          <w:rFonts w:cs="Arial"/>
          <w:lang w:val="en-GB"/>
        </w:rPr>
        <w:t xml:space="preserve"> </w:t>
      </w:r>
      <w:r w:rsidRPr="00191B3B">
        <w:rPr>
          <w:rFonts w:cs="Arial"/>
          <w:lang w:val="en-GB"/>
        </w:rPr>
        <w:t>rights</w:t>
      </w:r>
      <w:r w:rsidR="000159A6">
        <w:rPr>
          <w:rFonts w:cs="Arial"/>
          <w:lang w:val="en-GB"/>
        </w:rPr>
        <w:t xml:space="preserve"> </w:t>
      </w:r>
      <w:r w:rsidRPr="00191B3B">
        <w:rPr>
          <w:rFonts w:cs="Arial"/>
          <w:lang w:val="en-GB"/>
        </w:rPr>
        <w:t>are</w:t>
      </w:r>
      <w:r w:rsidR="000159A6">
        <w:rPr>
          <w:rFonts w:cs="Arial"/>
          <w:lang w:val="en-GB"/>
        </w:rPr>
        <w:t xml:space="preserve"> </w:t>
      </w:r>
      <w:r w:rsidRPr="00191B3B">
        <w:rPr>
          <w:rFonts w:cs="Arial"/>
          <w:lang w:val="en-GB"/>
        </w:rPr>
        <w:t>reserved</w:t>
      </w:r>
      <w:r w:rsidR="000159A6">
        <w:rPr>
          <w:rFonts w:cs="Arial"/>
          <w:lang w:val="en-GB"/>
        </w:rPr>
        <w:t xml:space="preserve"> </w:t>
      </w:r>
      <w:r w:rsidRPr="00191B3B">
        <w:rPr>
          <w:rFonts w:cs="Arial"/>
          <w:lang w:val="en-GB"/>
        </w:rPr>
        <w:t>and</w:t>
      </w:r>
      <w:r w:rsidR="000159A6">
        <w:rPr>
          <w:rFonts w:cs="Arial"/>
          <w:lang w:val="en-GB"/>
        </w:rPr>
        <w:t xml:space="preserve"> </w:t>
      </w:r>
      <w:r w:rsidRPr="00191B3B">
        <w:rPr>
          <w:rFonts w:cs="Arial"/>
          <w:lang w:val="en-GB"/>
        </w:rPr>
        <w:t>you</w:t>
      </w:r>
      <w:r w:rsidR="000159A6">
        <w:rPr>
          <w:rFonts w:cs="Arial"/>
          <w:lang w:val="en-GB"/>
        </w:rPr>
        <w:t xml:space="preserve"> </w:t>
      </w:r>
      <w:r w:rsidRPr="00191B3B">
        <w:rPr>
          <w:rFonts w:cs="Arial"/>
          <w:lang w:val="en-GB"/>
        </w:rPr>
        <w:t>are</w:t>
      </w:r>
      <w:r w:rsidR="000159A6">
        <w:rPr>
          <w:rFonts w:cs="Arial"/>
          <w:lang w:val="en-GB"/>
        </w:rPr>
        <w:t xml:space="preserve"> </w:t>
      </w:r>
      <w:r w:rsidRPr="00191B3B">
        <w:rPr>
          <w:rFonts w:cs="Arial"/>
          <w:lang w:val="en-GB"/>
        </w:rPr>
        <w:t>not</w:t>
      </w:r>
      <w:r w:rsidR="000159A6">
        <w:rPr>
          <w:rFonts w:cs="Arial"/>
          <w:lang w:val="en-GB"/>
        </w:rPr>
        <w:t xml:space="preserve"> </w:t>
      </w:r>
      <w:r w:rsidRPr="00191B3B">
        <w:rPr>
          <w:rFonts w:cs="Arial"/>
          <w:lang w:val="en-GB"/>
        </w:rPr>
        <w:t>allowed</w:t>
      </w:r>
      <w:r w:rsidR="000159A6">
        <w:rPr>
          <w:rFonts w:cs="Arial"/>
          <w:lang w:val="en-GB"/>
        </w:rPr>
        <w:t xml:space="preserve"> </w:t>
      </w:r>
      <w:r w:rsidRPr="00191B3B">
        <w:rPr>
          <w:rFonts w:cs="Arial"/>
          <w:lang w:val="en-GB"/>
        </w:rPr>
        <w:t>to</w:t>
      </w:r>
      <w:r w:rsidR="000159A6">
        <w:rPr>
          <w:rFonts w:cs="Arial"/>
          <w:lang w:val="en-GB"/>
        </w:rPr>
        <w:t xml:space="preserve"> </w:t>
      </w:r>
      <w:r w:rsidRPr="00191B3B">
        <w:rPr>
          <w:rFonts w:cs="Arial"/>
          <w:lang w:val="en-GB"/>
        </w:rPr>
        <w:t>reproduce</w:t>
      </w:r>
      <w:r w:rsidR="000159A6">
        <w:rPr>
          <w:rFonts w:cs="Arial"/>
          <w:lang w:val="en-GB"/>
        </w:rPr>
        <w:t xml:space="preserve"> </w:t>
      </w:r>
      <w:r w:rsidRPr="00191B3B">
        <w:rPr>
          <w:rFonts w:cs="Arial"/>
          <w:lang w:val="en-GB"/>
        </w:rPr>
        <w:t>the</w:t>
      </w:r>
      <w:r w:rsidR="000159A6">
        <w:rPr>
          <w:rFonts w:cs="Arial"/>
          <w:lang w:val="en-GB"/>
        </w:rPr>
        <w:t xml:space="preserve"> </w:t>
      </w:r>
      <w:r w:rsidRPr="00191B3B">
        <w:rPr>
          <w:rFonts w:cs="Arial"/>
          <w:lang w:val="en-GB"/>
        </w:rPr>
        <w:t>whole</w:t>
      </w:r>
      <w:r w:rsidR="000159A6">
        <w:rPr>
          <w:rFonts w:cs="Arial"/>
          <w:lang w:val="en-GB"/>
        </w:rPr>
        <w:t xml:space="preserve"> </w:t>
      </w:r>
      <w:r w:rsidRPr="00191B3B">
        <w:rPr>
          <w:rFonts w:cs="Arial"/>
          <w:lang w:val="en-GB"/>
        </w:rPr>
        <w:t>or</w:t>
      </w:r>
      <w:r w:rsidR="000159A6">
        <w:rPr>
          <w:rFonts w:cs="Arial"/>
          <w:lang w:val="en-GB"/>
        </w:rPr>
        <w:t xml:space="preserve"> </w:t>
      </w:r>
      <w:r w:rsidRPr="00191B3B">
        <w:rPr>
          <w:rFonts w:cs="Arial"/>
          <w:lang w:val="en-GB"/>
        </w:rPr>
        <w:t>any</w:t>
      </w:r>
      <w:r w:rsidR="000159A6">
        <w:rPr>
          <w:rFonts w:cs="Arial"/>
          <w:lang w:val="en-GB"/>
        </w:rPr>
        <w:t xml:space="preserve"> </w:t>
      </w:r>
      <w:r w:rsidRPr="00191B3B">
        <w:rPr>
          <w:rFonts w:cs="Arial"/>
          <w:lang w:val="en-GB"/>
        </w:rPr>
        <w:t>part</w:t>
      </w:r>
      <w:r w:rsidR="000159A6">
        <w:rPr>
          <w:rFonts w:cs="Arial"/>
          <w:lang w:val="en-GB"/>
        </w:rPr>
        <w:t xml:space="preserve"> </w:t>
      </w:r>
      <w:r w:rsidRPr="00191B3B">
        <w:rPr>
          <w:rFonts w:cs="Arial"/>
          <w:lang w:val="en-GB"/>
        </w:rPr>
        <w:t>of</w:t>
      </w:r>
      <w:r w:rsidR="000159A6">
        <w:rPr>
          <w:rFonts w:cs="Arial"/>
          <w:lang w:val="en-GB"/>
        </w:rPr>
        <w:t xml:space="preserve"> </w:t>
      </w:r>
      <w:r w:rsidRPr="00191B3B">
        <w:rPr>
          <w:rFonts w:cs="Arial"/>
          <w:lang w:val="en-GB"/>
        </w:rPr>
        <w:t>this</w:t>
      </w:r>
      <w:r w:rsidR="000159A6">
        <w:rPr>
          <w:rFonts w:cs="Arial"/>
          <w:lang w:val="en-GB"/>
        </w:rPr>
        <w:t xml:space="preserve"> </w:t>
      </w:r>
      <w:r w:rsidRPr="00191B3B">
        <w:rPr>
          <w:rFonts w:cs="Arial"/>
          <w:lang w:val="en-GB"/>
        </w:rPr>
        <w:t>work</w:t>
      </w:r>
      <w:r w:rsidR="000159A6">
        <w:rPr>
          <w:rFonts w:cs="Arial"/>
          <w:lang w:val="en-GB"/>
        </w:rPr>
        <w:t xml:space="preserve"> </w:t>
      </w:r>
      <w:r w:rsidRPr="00191B3B">
        <w:rPr>
          <w:rFonts w:cs="Arial"/>
          <w:lang w:val="en-GB"/>
        </w:rPr>
        <w:t>in</w:t>
      </w:r>
      <w:r w:rsidR="000159A6">
        <w:rPr>
          <w:rFonts w:cs="Arial"/>
          <w:lang w:val="en-GB"/>
        </w:rPr>
        <w:t xml:space="preserve"> </w:t>
      </w:r>
      <w:r w:rsidRPr="00191B3B">
        <w:rPr>
          <w:rFonts w:cs="Arial"/>
          <w:lang w:val="en-GB"/>
        </w:rPr>
        <w:t>any</w:t>
      </w:r>
      <w:r w:rsidR="000159A6">
        <w:rPr>
          <w:rFonts w:cs="Arial"/>
          <w:lang w:val="en-GB"/>
        </w:rPr>
        <w:t xml:space="preserve"> </w:t>
      </w:r>
      <w:r w:rsidRPr="00191B3B">
        <w:rPr>
          <w:rFonts w:cs="Arial"/>
          <w:lang w:val="en-GB"/>
        </w:rPr>
        <w:t>way</w:t>
      </w:r>
      <w:r w:rsidR="000159A6">
        <w:rPr>
          <w:rFonts w:cs="Arial"/>
          <w:lang w:val="en-GB"/>
        </w:rPr>
        <w:t xml:space="preserve"> </w:t>
      </w:r>
      <w:r w:rsidRPr="00191B3B">
        <w:rPr>
          <w:rFonts w:cs="Arial"/>
          <w:lang w:val="en-GB"/>
        </w:rPr>
        <w:t>(electronic</w:t>
      </w:r>
      <w:r w:rsidR="000159A6">
        <w:rPr>
          <w:rFonts w:cs="Arial"/>
          <w:lang w:val="en-GB"/>
        </w:rPr>
        <w:t xml:space="preserve"> </w:t>
      </w:r>
      <w:r w:rsidRPr="00191B3B">
        <w:rPr>
          <w:rFonts w:cs="Arial"/>
          <w:lang w:val="en-GB"/>
        </w:rPr>
        <w:t>or</w:t>
      </w:r>
      <w:r w:rsidR="000159A6">
        <w:rPr>
          <w:rFonts w:cs="Arial"/>
          <w:lang w:val="en-GB"/>
        </w:rPr>
        <w:t xml:space="preserve"> </w:t>
      </w:r>
      <w:r w:rsidRPr="00191B3B">
        <w:rPr>
          <w:rFonts w:cs="Arial"/>
          <w:lang w:val="en-GB"/>
        </w:rPr>
        <w:t>otherwise)</w:t>
      </w:r>
      <w:r w:rsidR="000159A6">
        <w:rPr>
          <w:rFonts w:cs="Arial"/>
          <w:lang w:val="en-GB"/>
        </w:rPr>
        <w:t xml:space="preserve"> </w:t>
      </w:r>
      <w:r w:rsidRPr="00191B3B">
        <w:rPr>
          <w:rFonts w:cs="Arial"/>
          <w:lang w:val="en-GB"/>
        </w:rPr>
        <w:t>without</w:t>
      </w:r>
      <w:r w:rsidR="000159A6">
        <w:rPr>
          <w:rFonts w:cs="Arial"/>
          <w:lang w:val="en-GB"/>
        </w:rPr>
        <w:t xml:space="preserve"> </w:t>
      </w:r>
      <w:r w:rsidRPr="00191B3B">
        <w:rPr>
          <w:rFonts w:cs="Arial"/>
          <w:lang w:val="en-GB"/>
        </w:rPr>
        <w:t>first</w:t>
      </w:r>
      <w:r w:rsidR="000159A6">
        <w:rPr>
          <w:rFonts w:cs="Arial"/>
          <w:lang w:val="en-GB"/>
        </w:rPr>
        <w:t xml:space="preserve"> </w:t>
      </w:r>
      <w:r w:rsidRPr="00191B3B">
        <w:rPr>
          <w:rFonts w:cs="Arial"/>
          <w:lang w:val="en-GB"/>
        </w:rPr>
        <w:t>being</w:t>
      </w:r>
      <w:r w:rsidR="000159A6">
        <w:rPr>
          <w:rFonts w:cs="Arial"/>
          <w:lang w:val="en-GB"/>
        </w:rPr>
        <w:t xml:space="preserve"> </w:t>
      </w:r>
      <w:r w:rsidRPr="00191B3B">
        <w:rPr>
          <w:rFonts w:cs="Arial"/>
          <w:lang w:val="en-GB"/>
        </w:rPr>
        <w:t>given</w:t>
      </w:r>
      <w:r w:rsidR="000159A6">
        <w:rPr>
          <w:rFonts w:cs="Arial"/>
          <w:lang w:val="en-GB"/>
        </w:rPr>
        <w:t xml:space="preserve"> </w:t>
      </w:r>
      <w:r w:rsidRPr="00191B3B">
        <w:rPr>
          <w:rFonts w:cs="Arial"/>
          <w:lang w:val="en-GB"/>
        </w:rPr>
        <w:t>specific</w:t>
      </w:r>
      <w:r w:rsidR="000159A6">
        <w:rPr>
          <w:rFonts w:cs="Arial"/>
          <w:lang w:val="en-GB"/>
        </w:rPr>
        <w:t xml:space="preserve"> </w:t>
      </w:r>
      <w:r w:rsidRPr="00191B3B">
        <w:rPr>
          <w:rFonts w:cs="Arial"/>
          <w:lang w:val="en-GB"/>
        </w:rPr>
        <w:t>written</w:t>
      </w:r>
      <w:r w:rsidR="000159A6">
        <w:rPr>
          <w:rFonts w:cs="Arial"/>
          <w:lang w:val="en-GB"/>
        </w:rPr>
        <w:t xml:space="preserve"> </w:t>
      </w:r>
      <w:r w:rsidRPr="00191B3B">
        <w:rPr>
          <w:rFonts w:cs="Arial"/>
          <w:lang w:val="en-GB"/>
        </w:rPr>
        <w:t>permission</w:t>
      </w:r>
      <w:r w:rsidR="000159A6">
        <w:rPr>
          <w:rFonts w:cs="Arial"/>
          <w:lang w:val="en-GB"/>
        </w:rPr>
        <w:t xml:space="preserve"> </w:t>
      </w:r>
      <w:r w:rsidRPr="00191B3B">
        <w:rPr>
          <w:rFonts w:cs="Arial"/>
          <w:lang w:val="en-GB"/>
        </w:rPr>
        <w:t>from</w:t>
      </w:r>
      <w:r w:rsidR="000159A6">
        <w:rPr>
          <w:rFonts w:cs="Arial"/>
          <w:lang w:val="en-GB"/>
        </w:rPr>
        <w:t xml:space="preserve"> </w:t>
      </w:r>
      <w:r w:rsidRPr="00191B3B">
        <w:rPr>
          <w:rFonts w:cs="Arial"/>
          <w:lang w:val="en-GB"/>
        </w:rPr>
        <w:t>the</w:t>
      </w:r>
      <w:r w:rsidR="000159A6">
        <w:rPr>
          <w:rFonts w:cs="Arial"/>
          <w:lang w:val="en-GB"/>
        </w:rPr>
        <w:t xml:space="preserve"> </w:t>
      </w:r>
      <w:r w:rsidRPr="00191B3B">
        <w:rPr>
          <w:rFonts w:cs="Arial"/>
          <w:lang w:val="en-GB"/>
        </w:rPr>
        <w:t>Commonwealth</w:t>
      </w:r>
      <w:r w:rsidR="000159A6">
        <w:rPr>
          <w:rFonts w:cs="Arial"/>
          <w:lang w:val="en-GB"/>
        </w:rPr>
        <w:t xml:space="preserve"> </w:t>
      </w:r>
      <w:r w:rsidRPr="00191B3B">
        <w:rPr>
          <w:rFonts w:cs="Arial"/>
          <w:lang w:val="en-GB"/>
        </w:rPr>
        <w:t>to</w:t>
      </w:r>
      <w:r w:rsidR="000159A6">
        <w:rPr>
          <w:rFonts w:cs="Arial"/>
          <w:lang w:val="en-GB"/>
        </w:rPr>
        <w:t xml:space="preserve"> </w:t>
      </w:r>
      <w:r w:rsidRPr="00191B3B">
        <w:rPr>
          <w:rFonts w:cs="Arial"/>
          <w:lang w:val="en-GB"/>
        </w:rPr>
        <w:t>do</w:t>
      </w:r>
      <w:r w:rsidR="000159A6">
        <w:rPr>
          <w:rFonts w:cs="Arial"/>
          <w:lang w:val="en-GB"/>
        </w:rPr>
        <w:t xml:space="preserve"> </w:t>
      </w:r>
      <w:r w:rsidRPr="00191B3B">
        <w:rPr>
          <w:rFonts w:cs="Arial"/>
          <w:lang w:val="en-GB"/>
        </w:rPr>
        <w:t>so.</w:t>
      </w:r>
      <w:r w:rsidR="000159A6">
        <w:rPr>
          <w:rFonts w:cs="Arial"/>
          <w:lang w:val="en-GB"/>
        </w:rPr>
        <w:t xml:space="preserve"> </w:t>
      </w:r>
      <w:r w:rsidRPr="00191B3B">
        <w:rPr>
          <w:rFonts w:cs="Arial"/>
          <w:lang w:val="en-GB"/>
        </w:rPr>
        <w:t>Requests</w:t>
      </w:r>
      <w:r w:rsidR="000159A6">
        <w:rPr>
          <w:rFonts w:cs="Arial"/>
          <w:lang w:val="en-GB"/>
        </w:rPr>
        <w:t xml:space="preserve"> </w:t>
      </w:r>
      <w:r w:rsidRPr="00191B3B">
        <w:rPr>
          <w:rFonts w:cs="Arial"/>
          <w:lang w:val="en-GB"/>
        </w:rPr>
        <w:t>and</w:t>
      </w:r>
      <w:r w:rsidR="000159A6">
        <w:rPr>
          <w:rFonts w:cs="Arial"/>
          <w:lang w:val="en-GB"/>
        </w:rPr>
        <w:t xml:space="preserve"> </w:t>
      </w:r>
      <w:r w:rsidRPr="00191B3B">
        <w:rPr>
          <w:rFonts w:cs="Arial"/>
          <w:lang w:val="en-GB"/>
        </w:rPr>
        <w:t>inquiries</w:t>
      </w:r>
      <w:r w:rsidR="000159A6">
        <w:rPr>
          <w:rFonts w:cs="Arial"/>
          <w:lang w:val="en-GB"/>
        </w:rPr>
        <w:t xml:space="preserve"> </w:t>
      </w:r>
      <w:r w:rsidRPr="00191B3B">
        <w:rPr>
          <w:rFonts w:cs="Arial"/>
          <w:lang w:val="en-GB"/>
        </w:rPr>
        <w:t>concerning</w:t>
      </w:r>
      <w:r w:rsidR="000159A6">
        <w:rPr>
          <w:rFonts w:cs="Arial"/>
          <w:lang w:val="en-GB"/>
        </w:rPr>
        <w:t xml:space="preserve"> </w:t>
      </w:r>
      <w:r w:rsidRPr="00191B3B">
        <w:rPr>
          <w:rFonts w:cs="Arial"/>
          <w:lang w:val="en-GB"/>
        </w:rPr>
        <w:t>reproduction</w:t>
      </w:r>
      <w:r w:rsidR="000159A6">
        <w:rPr>
          <w:rFonts w:cs="Arial"/>
          <w:lang w:val="en-GB"/>
        </w:rPr>
        <w:t xml:space="preserve"> </w:t>
      </w:r>
      <w:r w:rsidRPr="00191B3B">
        <w:rPr>
          <w:rFonts w:cs="Arial"/>
          <w:lang w:val="en-GB"/>
        </w:rPr>
        <w:t>and</w:t>
      </w:r>
      <w:r w:rsidR="000159A6">
        <w:rPr>
          <w:rFonts w:cs="Arial"/>
          <w:lang w:val="en-GB"/>
        </w:rPr>
        <w:t xml:space="preserve"> </w:t>
      </w:r>
      <w:r w:rsidRPr="00191B3B">
        <w:rPr>
          <w:rFonts w:cs="Arial"/>
          <w:lang w:val="en-GB"/>
        </w:rPr>
        <w:t>rights</w:t>
      </w:r>
      <w:r w:rsidR="000159A6">
        <w:rPr>
          <w:rFonts w:cs="Arial"/>
          <w:lang w:val="en-GB"/>
        </w:rPr>
        <w:t xml:space="preserve"> </w:t>
      </w:r>
      <w:r w:rsidRPr="00191B3B">
        <w:rPr>
          <w:rFonts w:cs="Arial"/>
          <w:lang w:val="en-GB"/>
        </w:rPr>
        <w:t>are</w:t>
      </w:r>
      <w:r w:rsidR="000159A6">
        <w:rPr>
          <w:rFonts w:cs="Arial"/>
          <w:lang w:val="en-GB"/>
        </w:rPr>
        <w:t xml:space="preserve"> </w:t>
      </w:r>
      <w:r w:rsidRPr="00191B3B">
        <w:rPr>
          <w:rFonts w:cs="Arial"/>
          <w:lang w:val="en-GB"/>
        </w:rPr>
        <w:t>to</w:t>
      </w:r>
      <w:r w:rsidR="000159A6">
        <w:rPr>
          <w:rFonts w:cs="Arial"/>
          <w:lang w:val="en-GB"/>
        </w:rPr>
        <w:t xml:space="preserve"> </w:t>
      </w:r>
      <w:r w:rsidRPr="00191B3B">
        <w:rPr>
          <w:rFonts w:cs="Arial"/>
          <w:lang w:val="en-GB"/>
        </w:rPr>
        <w:t>be</w:t>
      </w:r>
      <w:r w:rsidR="000159A6">
        <w:rPr>
          <w:rFonts w:cs="Arial"/>
          <w:lang w:val="en-GB"/>
        </w:rPr>
        <w:t xml:space="preserve"> </w:t>
      </w:r>
      <w:r w:rsidRPr="00191B3B">
        <w:rPr>
          <w:rFonts w:cs="Arial"/>
          <w:lang w:val="en-GB"/>
        </w:rPr>
        <w:t>sent</w:t>
      </w:r>
      <w:r w:rsidR="000159A6">
        <w:rPr>
          <w:rFonts w:cs="Arial"/>
          <w:lang w:val="en-GB"/>
        </w:rPr>
        <w:t xml:space="preserve"> </w:t>
      </w:r>
      <w:r w:rsidRPr="00191B3B">
        <w:rPr>
          <w:rFonts w:cs="Arial"/>
          <w:lang w:val="en-GB"/>
        </w:rPr>
        <w:t>to</w:t>
      </w:r>
      <w:r w:rsidR="000159A6">
        <w:rPr>
          <w:rFonts w:cs="Arial"/>
          <w:lang w:val="en-GB"/>
        </w:rPr>
        <w:t xml:space="preserve"> </w:t>
      </w:r>
      <w:r w:rsidRPr="00191B3B">
        <w:rPr>
          <w:rFonts w:cs="Arial"/>
          <w:lang w:val="en-GB"/>
        </w:rPr>
        <w:t>the</w:t>
      </w:r>
      <w:r w:rsidR="000159A6">
        <w:rPr>
          <w:rFonts w:cs="Arial"/>
          <w:lang w:val="en-GB"/>
        </w:rPr>
        <w:t xml:space="preserve"> </w:t>
      </w:r>
      <w:r w:rsidRPr="00191B3B">
        <w:rPr>
          <w:rFonts w:cs="Arial"/>
          <w:lang w:val="en-GB"/>
        </w:rPr>
        <w:t>TGA</w:t>
      </w:r>
      <w:r w:rsidR="000159A6">
        <w:rPr>
          <w:rFonts w:cs="Arial"/>
          <w:lang w:val="en-GB"/>
        </w:rPr>
        <w:t xml:space="preserve"> </w:t>
      </w:r>
      <w:r w:rsidRPr="00191B3B">
        <w:rPr>
          <w:rFonts w:cs="Arial"/>
          <w:lang w:val="en-GB"/>
        </w:rPr>
        <w:t>Copyright</w:t>
      </w:r>
      <w:r w:rsidR="000159A6">
        <w:rPr>
          <w:rFonts w:cs="Arial"/>
          <w:lang w:val="en-GB"/>
        </w:rPr>
        <w:t xml:space="preserve"> </w:t>
      </w:r>
      <w:r w:rsidRPr="00191B3B">
        <w:rPr>
          <w:rFonts w:cs="Arial"/>
          <w:lang w:val="en-GB"/>
        </w:rPr>
        <w:t>Officer,</w:t>
      </w:r>
      <w:r w:rsidR="000159A6">
        <w:rPr>
          <w:rFonts w:cs="Arial"/>
          <w:lang w:val="en-GB"/>
        </w:rPr>
        <w:t xml:space="preserve"> </w:t>
      </w:r>
      <w:r w:rsidRPr="00191B3B">
        <w:rPr>
          <w:rFonts w:cs="Arial"/>
          <w:lang w:val="en-GB"/>
        </w:rPr>
        <w:t>Therapeutic</w:t>
      </w:r>
      <w:r w:rsidR="000159A6">
        <w:rPr>
          <w:rFonts w:cs="Arial"/>
          <w:lang w:val="en-GB"/>
        </w:rPr>
        <w:t xml:space="preserve"> </w:t>
      </w:r>
      <w:r w:rsidRPr="00191B3B">
        <w:rPr>
          <w:rFonts w:cs="Arial"/>
          <w:lang w:val="en-GB"/>
        </w:rPr>
        <w:t>Goods</w:t>
      </w:r>
      <w:r w:rsidR="000159A6">
        <w:rPr>
          <w:rFonts w:cs="Arial"/>
          <w:lang w:val="en-GB"/>
        </w:rPr>
        <w:t xml:space="preserve"> </w:t>
      </w:r>
      <w:r w:rsidRPr="00191B3B">
        <w:rPr>
          <w:rFonts w:cs="Arial"/>
          <w:lang w:val="en-GB"/>
        </w:rPr>
        <w:t>Administration,</w:t>
      </w:r>
      <w:r w:rsidR="000159A6">
        <w:rPr>
          <w:rFonts w:cs="Arial"/>
          <w:lang w:val="en-GB"/>
        </w:rPr>
        <w:t xml:space="preserve"> </w:t>
      </w:r>
      <w:r w:rsidRPr="00191B3B">
        <w:rPr>
          <w:rFonts w:cs="Arial"/>
          <w:lang w:val="en-GB"/>
        </w:rPr>
        <w:t>PO</w:t>
      </w:r>
      <w:r w:rsidR="000159A6">
        <w:rPr>
          <w:rFonts w:cs="Arial"/>
          <w:lang w:val="en-GB"/>
        </w:rPr>
        <w:t xml:space="preserve"> </w:t>
      </w:r>
      <w:r w:rsidRPr="00191B3B">
        <w:rPr>
          <w:rFonts w:cs="Arial"/>
          <w:lang w:val="en-GB"/>
        </w:rPr>
        <w:t>Box</w:t>
      </w:r>
      <w:r w:rsidR="000159A6">
        <w:rPr>
          <w:rFonts w:cs="Arial"/>
          <w:lang w:val="en-GB"/>
        </w:rPr>
        <w:t xml:space="preserve"> </w:t>
      </w:r>
      <w:r w:rsidRPr="00191B3B">
        <w:rPr>
          <w:rFonts w:cs="Arial"/>
          <w:lang w:val="en-GB"/>
        </w:rPr>
        <w:t>100,</w:t>
      </w:r>
      <w:r w:rsidR="000159A6">
        <w:rPr>
          <w:rFonts w:cs="Arial"/>
          <w:lang w:val="en-GB"/>
        </w:rPr>
        <w:t xml:space="preserve"> </w:t>
      </w:r>
      <w:proofErr w:type="spellStart"/>
      <w:r w:rsidRPr="00191B3B">
        <w:rPr>
          <w:rFonts w:cs="Arial"/>
          <w:lang w:val="en-GB"/>
        </w:rPr>
        <w:t>Woden</w:t>
      </w:r>
      <w:proofErr w:type="spellEnd"/>
      <w:r w:rsidR="000159A6">
        <w:rPr>
          <w:rFonts w:cs="Arial"/>
          <w:lang w:val="en-GB"/>
        </w:rPr>
        <w:t xml:space="preserve"> </w:t>
      </w:r>
      <w:r w:rsidRPr="00191B3B">
        <w:rPr>
          <w:rFonts w:cs="Arial"/>
          <w:lang w:val="en-GB"/>
        </w:rPr>
        <w:t>ACT</w:t>
      </w:r>
      <w:r w:rsidR="000159A6">
        <w:rPr>
          <w:rFonts w:cs="Arial"/>
          <w:lang w:val="en-GB"/>
        </w:rPr>
        <w:t xml:space="preserve"> </w:t>
      </w:r>
      <w:r w:rsidRPr="00191B3B">
        <w:rPr>
          <w:rFonts w:cs="Arial"/>
          <w:lang w:val="en-GB"/>
        </w:rPr>
        <w:t>2606</w:t>
      </w:r>
      <w:r w:rsidR="000159A6">
        <w:rPr>
          <w:rFonts w:cs="Arial"/>
          <w:lang w:val="en-GB"/>
        </w:rPr>
        <w:t xml:space="preserve"> </w:t>
      </w:r>
      <w:r w:rsidRPr="00191B3B">
        <w:rPr>
          <w:rFonts w:cs="Arial"/>
          <w:lang w:val="en-GB"/>
        </w:rPr>
        <w:t>or</w:t>
      </w:r>
      <w:r w:rsidR="000159A6">
        <w:rPr>
          <w:rFonts w:cs="Arial"/>
          <w:lang w:val="en-GB"/>
        </w:rPr>
        <w:t xml:space="preserve"> </w:t>
      </w:r>
      <w:r w:rsidRPr="00191B3B">
        <w:rPr>
          <w:rFonts w:cs="Arial"/>
          <w:lang w:val="en-GB"/>
        </w:rPr>
        <w:t>emailed</w:t>
      </w:r>
      <w:r w:rsidR="000159A6">
        <w:rPr>
          <w:rFonts w:cs="Arial"/>
          <w:lang w:val="en-GB"/>
        </w:rPr>
        <w:t xml:space="preserve"> </w:t>
      </w:r>
      <w:r w:rsidRPr="00191B3B">
        <w:rPr>
          <w:rFonts w:cs="Arial"/>
          <w:lang w:val="en-GB"/>
        </w:rPr>
        <w:t>to</w:t>
      </w:r>
      <w:r w:rsidR="000159A6">
        <w:rPr>
          <w:rFonts w:cs="Arial"/>
          <w:lang w:val="en-GB"/>
        </w:rPr>
        <w:t xml:space="preserve"> </w:t>
      </w:r>
      <w:r w:rsidR="0037169B">
        <w:rPr>
          <w:rFonts w:cs="Arial"/>
          <w:lang w:val="en-GB"/>
        </w:rPr>
        <w:t>&lt;</w:t>
      </w:r>
      <w:r w:rsidR="000159A6">
        <w:rPr>
          <w:rFonts w:cs="Arial"/>
          <w:lang w:val="en-GB"/>
        </w:rPr>
        <w:t xml:space="preserve"> </w:t>
      </w:r>
      <w:hyperlink r:id="rId13" w:history="1">
        <w:r w:rsidRPr="00191B3B">
          <w:rPr>
            <w:rStyle w:val="Hyperlink"/>
            <w:rFonts w:cs="Arial"/>
            <w:lang w:val="en-GB"/>
          </w:rPr>
          <w:t>tga.copyright@tga.gov.au</w:t>
        </w:r>
      </w:hyperlink>
      <w:proofErr w:type="gramStart"/>
      <w:r w:rsidR="004715B4">
        <w:rPr>
          <w:rFonts w:cs="Arial"/>
        </w:rPr>
        <w:t>&gt;</w:t>
      </w:r>
      <w:r w:rsidR="000159A6">
        <w:rPr>
          <w:rFonts w:cs="Arial"/>
        </w:rPr>
        <w:t xml:space="preserve"> </w:t>
      </w:r>
      <w:r w:rsidRPr="00191B3B">
        <w:rPr>
          <w:rFonts w:cs="Arial"/>
        </w:rPr>
        <w:t>.</w:t>
      </w:r>
      <w:proofErr w:type="gramEnd"/>
    </w:p>
    <w:p w14:paraId="1195DCCA" w14:textId="77777777" w:rsidR="00924482" w:rsidRDefault="00924482" w:rsidP="00924482">
      <w:pPr>
        <w:pStyle w:val="LegalCopy"/>
        <w:sectPr w:rsidR="00924482" w:rsidSect="003D1E62">
          <w:headerReference w:type="even" r:id="rId14"/>
          <w:headerReference w:type="default" r:id="rId15"/>
          <w:footerReference w:type="even" r:id="rId16"/>
          <w:footerReference w:type="default" r:id="rId17"/>
          <w:headerReference w:type="first" r:id="rId18"/>
          <w:footerReference w:type="first" r:id="rId19"/>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530B76C4" w14:textId="77777777" w:rsidR="0089635C" w:rsidRPr="0089635C" w:rsidRDefault="0089635C" w:rsidP="0010788A">
          <w:pPr>
            <w:pStyle w:val="Contents"/>
          </w:pPr>
          <w:r w:rsidRPr="0010788A">
            <w:t>Conte</w:t>
          </w:r>
          <w:bookmarkStart w:id="2" w:name="_GoBack"/>
          <w:bookmarkEnd w:id="2"/>
          <w:r w:rsidRPr="0010788A">
            <w:t>nts</w:t>
          </w:r>
        </w:p>
        <w:p w14:paraId="40D93290" w14:textId="77777777" w:rsidR="007312FC"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1049794" w:history="1">
            <w:r w:rsidR="007312FC" w:rsidRPr="005D5C69">
              <w:rPr>
                <w:rStyle w:val="Hyperlink"/>
                <w:noProof/>
              </w:rPr>
              <w:t>Common abbreviations</w:t>
            </w:r>
            <w:r w:rsidR="007312FC">
              <w:rPr>
                <w:noProof/>
                <w:webHidden/>
              </w:rPr>
              <w:tab/>
            </w:r>
            <w:r w:rsidR="007312FC">
              <w:rPr>
                <w:noProof/>
                <w:webHidden/>
              </w:rPr>
              <w:fldChar w:fldCharType="begin"/>
            </w:r>
            <w:r w:rsidR="007312FC">
              <w:rPr>
                <w:noProof/>
                <w:webHidden/>
              </w:rPr>
              <w:instrText xml:space="preserve"> PAGEREF _Toc1049794 \h </w:instrText>
            </w:r>
            <w:r w:rsidR="007312FC">
              <w:rPr>
                <w:noProof/>
                <w:webHidden/>
              </w:rPr>
            </w:r>
            <w:r w:rsidR="007312FC">
              <w:rPr>
                <w:noProof/>
                <w:webHidden/>
              </w:rPr>
              <w:fldChar w:fldCharType="separate"/>
            </w:r>
            <w:r w:rsidR="007312FC">
              <w:rPr>
                <w:noProof/>
                <w:webHidden/>
              </w:rPr>
              <w:t>5</w:t>
            </w:r>
            <w:r w:rsidR="007312FC">
              <w:rPr>
                <w:noProof/>
                <w:webHidden/>
              </w:rPr>
              <w:fldChar w:fldCharType="end"/>
            </w:r>
          </w:hyperlink>
        </w:p>
        <w:p w14:paraId="6775A3EA" w14:textId="77777777" w:rsidR="007312FC" w:rsidRDefault="007312FC">
          <w:pPr>
            <w:pStyle w:val="TOC2"/>
            <w:rPr>
              <w:rFonts w:asciiTheme="minorHAnsi" w:eastAsiaTheme="minorEastAsia" w:hAnsiTheme="minorHAnsi" w:cstheme="minorBidi"/>
              <w:b w:val="0"/>
              <w:noProof/>
              <w:sz w:val="22"/>
              <w:lang w:eastAsia="en-AU"/>
            </w:rPr>
          </w:pPr>
          <w:hyperlink w:anchor="_Toc1049795" w:history="1">
            <w:r w:rsidRPr="005D5C69">
              <w:rPr>
                <w:rStyle w:val="Hyperlink"/>
                <w:noProof/>
              </w:rPr>
              <w:t>I. Introduction to product submission</w:t>
            </w:r>
            <w:r>
              <w:rPr>
                <w:noProof/>
                <w:webHidden/>
              </w:rPr>
              <w:tab/>
            </w:r>
            <w:r>
              <w:rPr>
                <w:noProof/>
                <w:webHidden/>
              </w:rPr>
              <w:fldChar w:fldCharType="begin"/>
            </w:r>
            <w:r>
              <w:rPr>
                <w:noProof/>
                <w:webHidden/>
              </w:rPr>
              <w:instrText xml:space="preserve"> PAGEREF _Toc1049795 \h </w:instrText>
            </w:r>
            <w:r>
              <w:rPr>
                <w:noProof/>
                <w:webHidden/>
              </w:rPr>
            </w:r>
            <w:r>
              <w:rPr>
                <w:noProof/>
                <w:webHidden/>
              </w:rPr>
              <w:fldChar w:fldCharType="separate"/>
            </w:r>
            <w:r>
              <w:rPr>
                <w:noProof/>
                <w:webHidden/>
              </w:rPr>
              <w:t>8</w:t>
            </w:r>
            <w:r>
              <w:rPr>
                <w:noProof/>
                <w:webHidden/>
              </w:rPr>
              <w:fldChar w:fldCharType="end"/>
            </w:r>
          </w:hyperlink>
        </w:p>
        <w:p w14:paraId="271E2D8A" w14:textId="77777777" w:rsidR="007312FC" w:rsidRDefault="007312FC">
          <w:pPr>
            <w:pStyle w:val="TOC3"/>
            <w:rPr>
              <w:rFonts w:asciiTheme="minorHAnsi" w:eastAsiaTheme="minorEastAsia" w:hAnsiTheme="minorHAnsi" w:cstheme="minorBidi"/>
              <w:noProof/>
              <w:lang w:eastAsia="en-AU"/>
            </w:rPr>
          </w:pPr>
          <w:hyperlink w:anchor="_Toc1049796" w:history="1">
            <w:r w:rsidRPr="005D5C69">
              <w:rPr>
                <w:rStyle w:val="Hyperlink"/>
                <w:noProof/>
                <w:lang w:eastAsia="en-AU"/>
              </w:rPr>
              <w:t>Submission details</w:t>
            </w:r>
            <w:r>
              <w:rPr>
                <w:noProof/>
                <w:webHidden/>
              </w:rPr>
              <w:tab/>
            </w:r>
            <w:r>
              <w:rPr>
                <w:noProof/>
                <w:webHidden/>
              </w:rPr>
              <w:fldChar w:fldCharType="begin"/>
            </w:r>
            <w:r>
              <w:rPr>
                <w:noProof/>
                <w:webHidden/>
              </w:rPr>
              <w:instrText xml:space="preserve"> PAGEREF _Toc1049796 \h </w:instrText>
            </w:r>
            <w:r>
              <w:rPr>
                <w:noProof/>
                <w:webHidden/>
              </w:rPr>
            </w:r>
            <w:r>
              <w:rPr>
                <w:noProof/>
                <w:webHidden/>
              </w:rPr>
              <w:fldChar w:fldCharType="separate"/>
            </w:r>
            <w:r>
              <w:rPr>
                <w:noProof/>
                <w:webHidden/>
              </w:rPr>
              <w:t>8</w:t>
            </w:r>
            <w:r>
              <w:rPr>
                <w:noProof/>
                <w:webHidden/>
              </w:rPr>
              <w:fldChar w:fldCharType="end"/>
            </w:r>
          </w:hyperlink>
        </w:p>
        <w:p w14:paraId="4BC5BF54" w14:textId="77777777" w:rsidR="007312FC" w:rsidRDefault="007312FC">
          <w:pPr>
            <w:pStyle w:val="TOC3"/>
            <w:rPr>
              <w:rFonts w:asciiTheme="minorHAnsi" w:eastAsiaTheme="minorEastAsia" w:hAnsiTheme="minorHAnsi" w:cstheme="minorBidi"/>
              <w:noProof/>
              <w:lang w:eastAsia="en-AU"/>
            </w:rPr>
          </w:pPr>
          <w:hyperlink w:anchor="_Toc1049797" w:history="1">
            <w:r w:rsidRPr="005D5C69">
              <w:rPr>
                <w:rStyle w:val="Hyperlink"/>
                <w:noProof/>
              </w:rPr>
              <w:t>Product background</w:t>
            </w:r>
            <w:r>
              <w:rPr>
                <w:noProof/>
                <w:webHidden/>
              </w:rPr>
              <w:tab/>
            </w:r>
            <w:r>
              <w:rPr>
                <w:noProof/>
                <w:webHidden/>
              </w:rPr>
              <w:fldChar w:fldCharType="begin"/>
            </w:r>
            <w:r>
              <w:rPr>
                <w:noProof/>
                <w:webHidden/>
              </w:rPr>
              <w:instrText xml:space="preserve"> PAGEREF _Toc1049797 \h </w:instrText>
            </w:r>
            <w:r>
              <w:rPr>
                <w:noProof/>
                <w:webHidden/>
              </w:rPr>
            </w:r>
            <w:r>
              <w:rPr>
                <w:noProof/>
                <w:webHidden/>
              </w:rPr>
              <w:fldChar w:fldCharType="separate"/>
            </w:r>
            <w:r>
              <w:rPr>
                <w:noProof/>
                <w:webHidden/>
              </w:rPr>
              <w:t>9</w:t>
            </w:r>
            <w:r>
              <w:rPr>
                <w:noProof/>
                <w:webHidden/>
              </w:rPr>
              <w:fldChar w:fldCharType="end"/>
            </w:r>
          </w:hyperlink>
        </w:p>
        <w:p w14:paraId="7C49DC31" w14:textId="77777777" w:rsidR="007312FC" w:rsidRDefault="007312FC">
          <w:pPr>
            <w:pStyle w:val="TOC3"/>
            <w:rPr>
              <w:rFonts w:asciiTheme="minorHAnsi" w:eastAsiaTheme="minorEastAsia" w:hAnsiTheme="minorHAnsi" w:cstheme="minorBidi"/>
              <w:noProof/>
              <w:lang w:eastAsia="en-AU"/>
            </w:rPr>
          </w:pPr>
          <w:hyperlink w:anchor="_Toc1049798" w:history="1">
            <w:r w:rsidRPr="005D5C69">
              <w:rPr>
                <w:rStyle w:val="Hyperlink"/>
                <w:noProof/>
              </w:rPr>
              <w:t>Regulatory status</w:t>
            </w:r>
            <w:r>
              <w:rPr>
                <w:noProof/>
                <w:webHidden/>
              </w:rPr>
              <w:tab/>
            </w:r>
            <w:r>
              <w:rPr>
                <w:noProof/>
                <w:webHidden/>
              </w:rPr>
              <w:fldChar w:fldCharType="begin"/>
            </w:r>
            <w:r>
              <w:rPr>
                <w:noProof/>
                <w:webHidden/>
              </w:rPr>
              <w:instrText xml:space="preserve"> PAGEREF _Toc1049798 \h </w:instrText>
            </w:r>
            <w:r>
              <w:rPr>
                <w:noProof/>
                <w:webHidden/>
              </w:rPr>
            </w:r>
            <w:r>
              <w:rPr>
                <w:noProof/>
                <w:webHidden/>
              </w:rPr>
              <w:fldChar w:fldCharType="separate"/>
            </w:r>
            <w:r>
              <w:rPr>
                <w:noProof/>
                <w:webHidden/>
              </w:rPr>
              <w:t>9</w:t>
            </w:r>
            <w:r>
              <w:rPr>
                <w:noProof/>
                <w:webHidden/>
              </w:rPr>
              <w:fldChar w:fldCharType="end"/>
            </w:r>
          </w:hyperlink>
        </w:p>
        <w:p w14:paraId="38914C79" w14:textId="77777777" w:rsidR="007312FC" w:rsidRDefault="007312FC">
          <w:pPr>
            <w:pStyle w:val="TOC3"/>
            <w:rPr>
              <w:rFonts w:asciiTheme="minorHAnsi" w:eastAsiaTheme="minorEastAsia" w:hAnsiTheme="minorHAnsi" w:cstheme="minorBidi"/>
              <w:noProof/>
              <w:lang w:eastAsia="en-AU"/>
            </w:rPr>
          </w:pPr>
          <w:hyperlink w:anchor="_Toc1049799" w:history="1">
            <w:r w:rsidRPr="005D5C69">
              <w:rPr>
                <w:rStyle w:val="Hyperlink"/>
                <w:noProof/>
              </w:rPr>
              <w:t>Product Information</w:t>
            </w:r>
            <w:r>
              <w:rPr>
                <w:noProof/>
                <w:webHidden/>
              </w:rPr>
              <w:tab/>
            </w:r>
            <w:r>
              <w:rPr>
                <w:noProof/>
                <w:webHidden/>
              </w:rPr>
              <w:fldChar w:fldCharType="begin"/>
            </w:r>
            <w:r>
              <w:rPr>
                <w:noProof/>
                <w:webHidden/>
              </w:rPr>
              <w:instrText xml:space="preserve"> PAGEREF _Toc1049799 \h </w:instrText>
            </w:r>
            <w:r>
              <w:rPr>
                <w:noProof/>
                <w:webHidden/>
              </w:rPr>
            </w:r>
            <w:r>
              <w:rPr>
                <w:noProof/>
                <w:webHidden/>
              </w:rPr>
              <w:fldChar w:fldCharType="separate"/>
            </w:r>
            <w:r>
              <w:rPr>
                <w:noProof/>
                <w:webHidden/>
              </w:rPr>
              <w:t>10</w:t>
            </w:r>
            <w:r>
              <w:rPr>
                <w:noProof/>
                <w:webHidden/>
              </w:rPr>
              <w:fldChar w:fldCharType="end"/>
            </w:r>
          </w:hyperlink>
        </w:p>
        <w:p w14:paraId="392F7D6C" w14:textId="77777777" w:rsidR="007312FC" w:rsidRDefault="007312FC">
          <w:pPr>
            <w:pStyle w:val="TOC2"/>
            <w:rPr>
              <w:rFonts w:asciiTheme="minorHAnsi" w:eastAsiaTheme="minorEastAsia" w:hAnsiTheme="minorHAnsi" w:cstheme="minorBidi"/>
              <w:b w:val="0"/>
              <w:noProof/>
              <w:sz w:val="22"/>
              <w:lang w:eastAsia="en-AU"/>
            </w:rPr>
          </w:pPr>
          <w:hyperlink w:anchor="_Toc1049800" w:history="1">
            <w:r w:rsidRPr="005D5C69">
              <w:rPr>
                <w:rStyle w:val="Hyperlink"/>
                <w:noProof/>
              </w:rPr>
              <w:t>II. Registration time line</w:t>
            </w:r>
            <w:r>
              <w:rPr>
                <w:noProof/>
                <w:webHidden/>
              </w:rPr>
              <w:tab/>
            </w:r>
            <w:r>
              <w:rPr>
                <w:noProof/>
                <w:webHidden/>
              </w:rPr>
              <w:fldChar w:fldCharType="begin"/>
            </w:r>
            <w:r>
              <w:rPr>
                <w:noProof/>
                <w:webHidden/>
              </w:rPr>
              <w:instrText xml:space="preserve"> PAGEREF _Toc1049800 \h </w:instrText>
            </w:r>
            <w:r>
              <w:rPr>
                <w:noProof/>
                <w:webHidden/>
              </w:rPr>
            </w:r>
            <w:r>
              <w:rPr>
                <w:noProof/>
                <w:webHidden/>
              </w:rPr>
              <w:fldChar w:fldCharType="separate"/>
            </w:r>
            <w:r>
              <w:rPr>
                <w:noProof/>
                <w:webHidden/>
              </w:rPr>
              <w:t>10</w:t>
            </w:r>
            <w:r>
              <w:rPr>
                <w:noProof/>
                <w:webHidden/>
              </w:rPr>
              <w:fldChar w:fldCharType="end"/>
            </w:r>
          </w:hyperlink>
        </w:p>
        <w:p w14:paraId="6DEB6C4D" w14:textId="77777777" w:rsidR="007312FC" w:rsidRDefault="007312FC">
          <w:pPr>
            <w:pStyle w:val="TOC2"/>
            <w:rPr>
              <w:rFonts w:asciiTheme="minorHAnsi" w:eastAsiaTheme="minorEastAsia" w:hAnsiTheme="minorHAnsi" w:cstheme="minorBidi"/>
              <w:b w:val="0"/>
              <w:noProof/>
              <w:sz w:val="22"/>
              <w:lang w:eastAsia="en-AU"/>
            </w:rPr>
          </w:pPr>
          <w:hyperlink w:anchor="_Toc1049801" w:history="1">
            <w:r w:rsidRPr="005D5C69">
              <w:rPr>
                <w:rStyle w:val="Hyperlink"/>
                <w:noProof/>
              </w:rPr>
              <w:t>III. Quality findings</w:t>
            </w:r>
            <w:r>
              <w:rPr>
                <w:noProof/>
                <w:webHidden/>
              </w:rPr>
              <w:tab/>
            </w:r>
            <w:r>
              <w:rPr>
                <w:noProof/>
                <w:webHidden/>
              </w:rPr>
              <w:fldChar w:fldCharType="begin"/>
            </w:r>
            <w:r>
              <w:rPr>
                <w:noProof/>
                <w:webHidden/>
              </w:rPr>
              <w:instrText xml:space="preserve"> PAGEREF _Toc1049801 \h </w:instrText>
            </w:r>
            <w:r>
              <w:rPr>
                <w:noProof/>
                <w:webHidden/>
              </w:rPr>
            </w:r>
            <w:r>
              <w:rPr>
                <w:noProof/>
                <w:webHidden/>
              </w:rPr>
              <w:fldChar w:fldCharType="separate"/>
            </w:r>
            <w:r>
              <w:rPr>
                <w:noProof/>
                <w:webHidden/>
              </w:rPr>
              <w:t>11</w:t>
            </w:r>
            <w:r>
              <w:rPr>
                <w:noProof/>
                <w:webHidden/>
              </w:rPr>
              <w:fldChar w:fldCharType="end"/>
            </w:r>
          </w:hyperlink>
        </w:p>
        <w:p w14:paraId="7BA6BE87" w14:textId="77777777" w:rsidR="007312FC" w:rsidRDefault="007312FC">
          <w:pPr>
            <w:pStyle w:val="TOC3"/>
            <w:rPr>
              <w:rFonts w:asciiTheme="minorHAnsi" w:eastAsiaTheme="minorEastAsia" w:hAnsiTheme="minorHAnsi" w:cstheme="minorBidi"/>
              <w:noProof/>
              <w:lang w:eastAsia="en-AU"/>
            </w:rPr>
          </w:pPr>
          <w:hyperlink w:anchor="_Toc1049802" w:history="1">
            <w:r w:rsidRPr="005D5C69">
              <w:rPr>
                <w:rStyle w:val="Hyperlink"/>
                <w:noProof/>
              </w:rPr>
              <w:t>Introduction</w:t>
            </w:r>
            <w:r>
              <w:rPr>
                <w:noProof/>
                <w:webHidden/>
              </w:rPr>
              <w:tab/>
            </w:r>
            <w:r>
              <w:rPr>
                <w:noProof/>
                <w:webHidden/>
              </w:rPr>
              <w:fldChar w:fldCharType="begin"/>
            </w:r>
            <w:r>
              <w:rPr>
                <w:noProof/>
                <w:webHidden/>
              </w:rPr>
              <w:instrText xml:space="preserve"> PAGEREF _Toc1049802 \h </w:instrText>
            </w:r>
            <w:r>
              <w:rPr>
                <w:noProof/>
                <w:webHidden/>
              </w:rPr>
            </w:r>
            <w:r>
              <w:rPr>
                <w:noProof/>
                <w:webHidden/>
              </w:rPr>
              <w:fldChar w:fldCharType="separate"/>
            </w:r>
            <w:r>
              <w:rPr>
                <w:noProof/>
                <w:webHidden/>
              </w:rPr>
              <w:t>11</w:t>
            </w:r>
            <w:r>
              <w:rPr>
                <w:noProof/>
                <w:webHidden/>
              </w:rPr>
              <w:fldChar w:fldCharType="end"/>
            </w:r>
          </w:hyperlink>
        </w:p>
        <w:p w14:paraId="46E84B49" w14:textId="77777777" w:rsidR="007312FC" w:rsidRDefault="007312FC">
          <w:pPr>
            <w:pStyle w:val="TOC3"/>
            <w:rPr>
              <w:rFonts w:asciiTheme="minorHAnsi" w:eastAsiaTheme="minorEastAsia" w:hAnsiTheme="minorHAnsi" w:cstheme="minorBidi"/>
              <w:noProof/>
              <w:lang w:eastAsia="en-AU"/>
            </w:rPr>
          </w:pPr>
          <w:hyperlink w:anchor="_Toc1049803" w:history="1">
            <w:r w:rsidRPr="005D5C69">
              <w:rPr>
                <w:rStyle w:val="Hyperlink"/>
                <w:noProof/>
              </w:rPr>
              <w:t>Drug substance (active ingredient)</w:t>
            </w:r>
            <w:r>
              <w:rPr>
                <w:noProof/>
                <w:webHidden/>
              </w:rPr>
              <w:tab/>
            </w:r>
            <w:r>
              <w:rPr>
                <w:noProof/>
                <w:webHidden/>
              </w:rPr>
              <w:fldChar w:fldCharType="begin"/>
            </w:r>
            <w:r>
              <w:rPr>
                <w:noProof/>
                <w:webHidden/>
              </w:rPr>
              <w:instrText xml:space="preserve"> PAGEREF _Toc1049803 \h </w:instrText>
            </w:r>
            <w:r>
              <w:rPr>
                <w:noProof/>
                <w:webHidden/>
              </w:rPr>
            </w:r>
            <w:r>
              <w:rPr>
                <w:noProof/>
                <w:webHidden/>
              </w:rPr>
              <w:fldChar w:fldCharType="separate"/>
            </w:r>
            <w:r>
              <w:rPr>
                <w:noProof/>
                <w:webHidden/>
              </w:rPr>
              <w:t>11</w:t>
            </w:r>
            <w:r>
              <w:rPr>
                <w:noProof/>
                <w:webHidden/>
              </w:rPr>
              <w:fldChar w:fldCharType="end"/>
            </w:r>
          </w:hyperlink>
        </w:p>
        <w:p w14:paraId="589D0E4D" w14:textId="77777777" w:rsidR="007312FC" w:rsidRDefault="007312FC">
          <w:pPr>
            <w:pStyle w:val="TOC3"/>
            <w:rPr>
              <w:rFonts w:asciiTheme="minorHAnsi" w:eastAsiaTheme="minorEastAsia" w:hAnsiTheme="minorHAnsi" w:cstheme="minorBidi"/>
              <w:noProof/>
              <w:lang w:eastAsia="en-AU"/>
            </w:rPr>
          </w:pPr>
          <w:hyperlink w:anchor="_Toc1049804" w:history="1">
            <w:r w:rsidRPr="005D5C69">
              <w:rPr>
                <w:rStyle w:val="Hyperlink"/>
                <w:noProof/>
              </w:rPr>
              <w:t>Drug product</w:t>
            </w:r>
            <w:r>
              <w:rPr>
                <w:noProof/>
                <w:webHidden/>
              </w:rPr>
              <w:tab/>
            </w:r>
            <w:r>
              <w:rPr>
                <w:noProof/>
                <w:webHidden/>
              </w:rPr>
              <w:fldChar w:fldCharType="begin"/>
            </w:r>
            <w:r>
              <w:rPr>
                <w:noProof/>
                <w:webHidden/>
              </w:rPr>
              <w:instrText xml:space="preserve"> PAGEREF _Toc1049804 \h </w:instrText>
            </w:r>
            <w:r>
              <w:rPr>
                <w:noProof/>
                <w:webHidden/>
              </w:rPr>
            </w:r>
            <w:r>
              <w:rPr>
                <w:noProof/>
                <w:webHidden/>
              </w:rPr>
              <w:fldChar w:fldCharType="separate"/>
            </w:r>
            <w:r>
              <w:rPr>
                <w:noProof/>
                <w:webHidden/>
              </w:rPr>
              <w:t>12</w:t>
            </w:r>
            <w:r>
              <w:rPr>
                <w:noProof/>
                <w:webHidden/>
              </w:rPr>
              <w:fldChar w:fldCharType="end"/>
            </w:r>
          </w:hyperlink>
        </w:p>
        <w:p w14:paraId="1C3A9790" w14:textId="77777777" w:rsidR="007312FC" w:rsidRDefault="007312FC">
          <w:pPr>
            <w:pStyle w:val="TOC3"/>
            <w:rPr>
              <w:rFonts w:asciiTheme="minorHAnsi" w:eastAsiaTheme="minorEastAsia" w:hAnsiTheme="minorHAnsi" w:cstheme="minorBidi"/>
              <w:noProof/>
              <w:lang w:eastAsia="en-AU"/>
            </w:rPr>
          </w:pPr>
          <w:hyperlink w:anchor="_Toc1049805" w:history="1">
            <w:r w:rsidRPr="005D5C69">
              <w:rPr>
                <w:rStyle w:val="Hyperlink"/>
                <w:noProof/>
              </w:rPr>
              <w:t>Quality summary and conclusions</w:t>
            </w:r>
            <w:r>
              <w:rPr>
                <w:noProof/>
                <w:webHidden/>
              </w:rPr>
              <w:tab/>
            </w:r>
            <w:r>
              <w:rPr>
                <w:noProof/>
                <w:webHidden/>
              </w:rPr>
              <w:fldChar w:fldCharType="begin"/>
            </w:r>
            <w:r>
              <w:rPr>
                <w:noProof/>
                <w:webHidden/>
              </w:rPr>
              <w:instrText xml:space="preserve"> PAGEREF _Toc1049805 \h </w:instrText>
            </w:r>
            <w:r>
              <w:rPr>
                <w:noProof/>
                <w:webHidden/>
              </w:rPr>
            </w:r>
            <w:r>
              <w:rPr>
                <w:noProof/>
                <w:webHidden/>
              </w:rPr>
              <w:fldChar w:fldCharType="separate"/>
            </w:r>
            <w:r>
              <w:rPr>
                <w:noProof/>
                <w:webHidden/>
              </w:rPr>
              <w:t>12</w:t>
            </w:r>
            <w:r>
              <w:rPr>
                <w:noProof/>
                <w:webHidden/>
              </w:rPr>
              <w:fldChar w:fldCharType="end"/>
            </w:r>
          </w:hyperlink>
        </w:p>
        <w:p w14:paraId="0ED51EE5" w14:textId="77777777" w:rsidR="007312FC" w:rsidRDefault="007312FC">
          <w:pPr>
            <w:pStyle w:val="TOC2"/>
            <w:rPr>
              <w:rFonts w:asciiTheme="minorHAnsi" w:eastAsiaTheme="minorEastAsia" w:hAnsiTheme="minorHAnsi" w:cstheme="minorBidi"/>
              <w:b w:val="0"/>
              <w:noProof/>
              <w:sz w:val="22"/>
              <w:lang w:eastAsia="en-AU"/>
            </w:rPr>
          </w:pPr>
          <w:hyperlink w:anchor="_Toc1049806" w:history="1">
            <w:r w:rsidRPr="005D5C69">
              <w:rPr>
                <w:rStyle w:val="Hyperlink"/>
                <w:noProof/>
              </w:rPr>
              <w:t>IV. Nonclinical findings</w:t>
            </w:r>
            <w:r>
              <w:rPr>
                <w:noProof/>
                <w:webHidden/>
              </w:rPr>
              <w:tab/>
            </w:r>
            <w:r>
              <w:rPr>
                <w:noProof/>
                <w:webHidden/>
              </w:rPr>
              <w:fldChar w:fldCharType="begin"/>
            </w:r>
            <w:r>
              <w:rPr>
                <w:noProof/>
                <w:webHidden/>
              </w:rPr>
              <w:instrText xml:space="preserve"> PAGEREF _Toc1049806 \h </w:instrText>
            </w:r>
            <w:r>
              <w:rPr>
                <w:noProof/>
                <w:webHidden/>
              </w:rPr>
            </w:r>
            <w:r>
              <w:rPr>
                <w:noProof/>
                <w:webHidden/>
              </w:rPr>
              <w:fldChar w:fldCharType="separate"/>
            </w:r>
            <w:r>
              <w:rPr>
                <w:noProof/>
                <w:webHidden/>
              </w:rPr>
              <w:t>13</w:t>
            </w:r>
            <w:r>
              <w:rPr>
                <w:noProof/>
                <w:webHidden/>
              </w:rPr>
              <w:fldChar w:fldCharType="end"/>
            </w:r>
          </w:hyperlink>
        </w:p>
        <w:p w14:paraId="210EF7C8" w14:textId="77777777" w:rsidR="007312FC" w:rsidRDefault="007312FC">
          <w:pPr>
            <w:pStyle w:val="TOC3"/>
            <w:rPr>
              <w:rFonts w:asciiTheme="minorHAnsi" w:eastAsiaTheme="minorEastAsia" w:hAnsiTheme="minorHAnsi" w:cstheme="minorBidi"/>
              <w:noProof/>
              <w:lang w:eastAsia="en-AU"/>
            </w:rPr>
          </w:pPr>
          <w:hyperlink w:anchor="_Toc1049807" w:history="1">
            <w:r w:rsidRPr="005D5C69">
              <w:rPr>
                <w:rStyle w:val="Hyperlink"/>
                <w:noProof/>
              </w:rPr>
              <w:t>Introduction</w:t>
            </w:r>
            <w:r>
              <w:rPr>
                <w:noProof/>
                <w:webHidden/>
              </w:rPr>
              <w:tab/>
            </w:r>
            <w:r>
              <w:rPr>
                <w:noProof/>
                <w:webHidden/>
              </w:rPr>
              <w:fldChar w:fldCharType="begin"/>
            </w:r>
            <w:r>
              <w:rPr>
                <w:noProof/>
                <w:webHidden/>
              </w:rPr>
              <w:instrText xml:space="preserve"> PAGEREF _Toc1049807 \h </w:instrText>
            </w:r>
            <w:r>
              <w:rPr>
                <w:noProof/>
                <w:webHidden/>
              </w:rPr>
            </w:r>
            <w:r>
              <w:rPr>
                <w:noProof/>
                <w:webHidden/>
              </w:rPr>
              <w:fldChar w:fldCharType="separate"/>
            </w:r>
            <w:r>
              <w:rPr>
                <w:noProof/>
                <w:webHidden/>
              </w:rPr>
              <w:t>13</w:t>
            </w:r>
            <w:r>
              <w:rPr>
                <w:noProof/>
                <w:webHidden/>
              </w:rPr>
              <w:fldChar w:fldCharType="end"/>
            </w:r>
          </w:hyperlink>
        </w:p>
        <w:p w14:paraId="56447D29" w14:textId="77777777" w:rsidR="007312FC" w:rsidRDefault="007312FC">
          <w:pPr>
            <w:pStyle w:val="TOC3"/>
            <w:rPr>
              <w:rFonts w:asciiTheme="minorHAnsi" w:eastAsiaTheme="minorEastAsia" w:hAnsiTheme="minorHAnsi" w:cstheme="minorBidi"/>
              <w:noProof/>
              <w:lang w:eastAsia="en-AU"/>
            </w:rPr>
          </w:pPr>
          <w:hyperlink w:anchor="_Toc1049808" w:history="1">
            <w:r w:rsidRPr="005D5C69">
              <w:rPr>
                <w:rStyle w:val="Hyperlink"/>
                <w:noProof/>
              </w:rPr>
              <w:t>Pharmacokinetics</w:t>
            </w:r>
            <w:r>
              <w:rPr>
                <w:noProof/>
                <w:webHidden/>
              </w:rPr>
              <w:tab/>
            </w:r>
            <w:r>
              <w:rPr>
                <w:noProof/>
                <w:webHidden/>
              </w:rPr>
              <w:fldChar w:fldCharType="begin"/>
            </w:r>
            <w:r>
              <w:rPr>
                <w:noProof/>
                <w:webHidden/>
              </w:rPr>
              <w:instrText xml:space="preserve"> PAGEREF _Toc1049808 \h </w:instrText>
            </w:r>
            <w:r>
              <w:rPr>
                <w:noProof/>
                <w:webHidden/>
              </w:rPr>
            </w:r>
            <w:r>
              <w:rPr>
                <w:noProof/>
                <w:webHidden/>
              </w:rPr>
              <w:fldChar w:fldCharType="separate"/>
            </w:r>
            <w:r>
              <w:rPr>
                <w:noProof/>
                <w:webHidden/>
              </w:rPr>
              <w:t>15</w:t>
            </w:r>
            <w:r>
              <w:rPr>
                <w:noProof/>
                <w:webHidden/>
              </w:rPr>
              <w:fldChar w:fldCharType="end"/>
            </w:r>
          </w:hyperlink>
        </w:p>
        <w:p w14:paraId="1C826F01" w14:textId="77777777" w:rsidR="007312FC" w:rsidRDefault="007312FC">
          <w:pPr>
            <w:pStyle w:val="TOC3"/>
            <w:rPr>
              <w:rFonts w:asciiTheme="minorHAnsi" w:eastAsiaTheme="minorEastAsia" w:hAnsiTheme="minorHAnsi" w:cstheme="minorBidi"/>
              <w:noProof/>
              <w:lang w:eastAsia="en-AU"/>
            </w:rPr>
          </w:pPr>
          <w:hyperlink w:anchor="_Toc1049809" w:history="1">
            <w:r w:rsidRPr="005D5C69">
              <w:rPr>
                <w:rStyle w:val="Hyperlink"/>
                <w:noProof/>
              </w:rPr>
              <w:t>Toxicology</w:t>
            </w:r>
            <w:r>
              <w:rPr>
                <w:noProof/>
                <w:webHidden/>
              </w:rPr>
              <w:tab/>
            </w:r>
            <w:r>
              <w:rPr>
                <w:noProof/>
                <w:webHidden/>
              </w:rPr>
              <w:fldChar w:fldCharType="begin"/>
            </w:r>
            <w:r>
              <w:rPr>
                <w:noProof/>
                <w:webHidden/>
              </w:rPr>
              <w:instrText xml:space="preserve"> PAGEREF _Toc1049809 \h </w:instrText>
            </w:r>
            <w:r>
              <w:rPr>
                <w:noProof/>
                <w:webHidden/>
              </w:rPr>
            </w:r>
            <w:r>
              <w:rPr>
                <w:noProof/>
                <w:webHidden/>
              </w:rPr>
              <w:fldChar w:fldCharType="separate"/>
            </w:r>
            <w:r>
              <w:rPr>
                <w:noProof/>
                <w:webHidden/>
              </w:rPr>
              <w:t>15</w:t>
            </w:r>
            <w:r>
              <w:rPr>
                <w:noProof/>
                <w:webHidden/>
              </w:rPr>
              <w:fldChar w:fldCharType="end"/>
            </w:r>
          </w:hyperlink>
        </w:p>
        <w:p w14:paraId="52E93C6C" w14:textId="77777777" w:rsidR="007312FC" w:rsidRDefault="007312FC">
          <w:pPr>
            <w:pStyle w:val="TOC3"/>
            <w:rPr>
              <w:rFonts w:asciiTheme="minorHAnsi" w:eastAsiaTheme="minorEastAsia" w:hAnsiTheme="minorHAnsi" w:cstheme="minorBidi"/>
              <w:noProof/>
              <w:lang w:eastAsia="en-AU"/>
            </w:rPr>
          </w:pPr>
          <w:hyperlink w:anchor="_Toc1049810" w:history="1">
            <w:r w:rsidRPr="005D5C69">
              <w:rPr>
                <w:rStyle w:val="Hyperlink"/>
                <w:noProof/>
              </w:rPr>
              <w:t>Nonclinical summary and conclusions</w:t>
            </w:r>
            <w:r>
              <w:rPr>
                <w:noProof/>
                <w:webHidden/>
              </w:rPr>
              <w:tab/>
            </w:r>
            <w:r>
              <w:rPr>
                <w:noProof/>
                <w:webHidden/>
              </w:rPr>
              <w:fldChar w:fldCharType="begin"/>
            </w:r>
            <w:r>
              <w:rPr>
                <w:noProof/>
                <w:webHidden/>
              </w:rPr>
              <w:instrText xml:space="preserve"> PAGEREF _Toc1049810 \h </w:instrText>
            </w:r>
            <w:r>
              <w:rPr>
                <w:noProof/>
                <w:webHidden/>
              </w:rPr>
            </w:r>
            <w:r>
              <w:rPr>
                <w:noProof/>
                <w:webHidden/>
              </w:rPr>
              <w:fldChar w:fldCharType="separate"/>
            </w:r>
            <w:r>
              <w:rPr>
                <w:noProof/>
                <w:webHidden/>
              </w:rPr>
              <w:t>20</w:t>
            </w:r>
            <w:r>
              <w:rPr>
                <w:noProof/>
                <w:webHidden/>
              </w:rPr>
              <w:fldChar w:fldCharType="end"/>
            </w:r>
          </w:hyperlink>
        </w:p>
        <w:p w14:paraId="58BFEAE0" w14:textId="77777777" w:rsidR="007312FC" w:rsidRDefault="007312FC">
          <w:pPr>
            <w:pStyle w:val="TOC2"/>
            <w:rPr>
              <w:rFonts w:asciiTheme="minorHAnsi" w:eastAsiaTheme="minorEastAsia" w:hAnsiTheme="minorHAnsi" w:cstheme="minorBidi"/>
              <w:b w:val="0"/>
              <w:noProof/>
              <w:sz w:val="22"/>
              <w:lang w:eastAsia="en-AU"/>
            </w:rPr>
          </w:pPr>
          <w:hyperlink w:anchor="_Toc1049811" w:history="1">
            <w:r w:rsidRPr="005D5C69">
              <w:rPr>
                <w:rStyle w:val="Hyperlink"/>
                <w:noProof/>
              </w:rPr>
              <w:t>V. Clinical findings</w:t>
            </w:r>
            <w:r>
              <w:rPr>
                <w:noProof/>
                <w:webHidden/>
              </w:rPr>
              <w:tab/>
            </w:r>
            <w:r>
              <w:rPr>
                <w:noProof/>
                <w:webHidden/>
              </w:rPr>
              <w:fldChar w:fldCharType="begin"/>
            </w:r>
            <w:r>
              <w:rPr>
                <w:noProof/>
                <w:webHidden/>
              </w:rPr>
              <w:instrText xml:space="preserve"> PAGEREF _Toc1049811 \h </w:instrText>
            </w:r>
            <w:r>
              <w:rPr>
                <w:noProof/>
                <w:webHidden/>
              </w:rPr>
            </w:r>
            <w:r>
              <w:rPr>
                <w:noProof/>
                <w:webHidden/>
              </w:rPr>
              <w:fldChar w:fldCharType="separate"/>
            </w:r>
            <w:r>
              <w:rPr>
                <w:noProof/>
                <w:webHidden/>
              </w:rPr>
              <w:t>22</w:t>
            </w:r>
            <w:r>
              <w:rPr>
                <w:noProof/>
                <w:webHidden/>
              </w:rPr>
              <w:fldChar w:fldCharType="end"/>
            </w:r>
          </w:hyperlink>
        </w:p>
        <w:p w14:paraId="55A285F0" w14:textId="77777777" w:rsidR="007312FC" w:rsidRDefault="007312FC">
          <w:pPr>
            <w:pStyle w:val="TOC3"/>
            <w:rPr>
              <w:rFonts w:asciiTheme="minorHAnsi" w:eastAsiaTheme="minorEastAsia" w:hAnsiTheme="minorHAnsi" w:cstheme="minorBidi"/>
              <w:noProof/>
              <w:lang w:eastAsia="en-AU"/>
            </w:rPr>
          </w:pPr>
          <w:hyperlink w:anchor="_Toc1049812" w:history="1">
            <w:r w:rsidRPr="005D5C69">
              <w:rPr>
                <w:rStyle w:val="Hyperlink"/>
                <w:noProof/>
              </w:rPr>
              <w:t>Introduction</w:t>
            </w:r>
            <w:r>
              <w:rPr>
                <w:noProof/>
                <w:webHidden/>
              </w:rPr>
              <w:tab/>
            </w:r>
            <w:r>
              <w:rPr>
                <w:noProof/>
                <w:webHidden/>
              </w:rPr>
              <w:fldChar w:fldCharType="begin"/>
            </w:r>
            <w:r>
              <w:rPr>
                <w:noProof/>
                <w:webHidden/>
              </w:rPr>
              <w:instrText xml:space="preserve"> PAGEREF _Toc1049812 \h </w:instrText>
            </w:r>
            <w:r>
              <w:rPr>
                <w:noProof/>
                <w:webHidden/>
              </w:rPr>
            </w:r>
            <w:r>
              <w:rPr>
                <w:noProof/>
                <w:webHidden/>
              </w:rPr>
              <w:fldChar w:fldCharType="separate"/>
            </w:r>
            <w:r>
              <w:rPr>
                <w:noProof/>
                <w:webHidden/>
              </w:rPr>
              <w:t>22</w:t>
            </w:r>
            <w:r>
              <w:rPr>
                <w:noProof/>
                <w:webHidden/>
              </w:rPr>
              <w:fldChar w:fldCharType="end"/>
            </w:r>
          </w:hyperlink>
        </w:p>
        <w:p w14:paraId="56F93DF9" w14:textId="77777777" w:rsidR="007312FC" w:rsidRDefault="007312FC">
          <w:pPr>
            <w:pStyle w:val="TOC3"/>
            <w:rPr>
              <w:rFonts w:asciiTheme="minorHAnsi" w:eastAsiaTheme="minorEastAsia" w:hAnsiTheme="minorHAnsi" w:cstheme="minorBidi"/>
              <w:noProof/>
              <w:lang w:eastAsia="en-AU"/>
            </w:rPr>
          </w:pPr>
          <w:hyperlink w:anchor="_Toc1049813" w:history="1">
            <w:r w:rsidRPr="005D5C69">
              <w:rPr>
                <w:rStyle w:val="Hyperlink"/>
                <w:noProof/>
              </w:rPr>
              <w:t>Pharmacokinetics</w:t>
            </w:r>
            <w:r>
              <w:rPr>
                <w:noProof/>
                <w:webHidden/>
              </w:rPr>
              <w:tab/>
            </w:r>
            <w:r>
              <w:rPr>
                <w:noProof/>
                <w:webHidden/>
              </w:rPr>
              <w:fldChar w:fldCharType="begin"/>
            </w:r>
            <w:r>
              <w:rPr>
                <w:noProof/>
                <w:webHidden/>
              </w:rPr>
              <w:instrText xml:space="preserve"> PAGEREF _Toc1049813 \h </w:instrText>
            </w:r>
            <w:r>
              <w:rPr>
                <w:noProof/>
                <w:webHidden/>
              </w:rPr>
            </w:r>
            <w:r>
              <w:rPr>
                <w:noProof/>
                <w:webHidden/>
              </w:rPr>
              <w:fldChar w:fldCharType="separate"/>
            </w:r>
            <w:r>
              <w:rPr>
                <w:noProof/>
                <w:webHidden/>
              </w:rPr>
              <w:t>25</w:t>
            </w:r>
            <w:r>
              <w:rPr>
                <w:noProof/>
                <w:webHidden/>
              </w:rPr>
              <w:fldChar w:fldCharType="end"/>
            </w:r>
          </w:hyperlink>
        </w:p>
        <w:p w14:paraId="32CB67FA" w14:textId="77777777" w:rsidR="007312FC" w:rsidRDefault="007312FC">
          <w:pPr>
            <w:pStyle w:val="TOC3"/>
            <w:rPr>
              <w:rFonts w:asciiTheme="minorHAnsi" w:eastAsiaTheme="minorEastAsia" w:hAnsiTheme="minorHAnsi" w:cstheme="minorBidi"/>
              <w:noProof/>
              <w:lang w:eastAsia="en-AU"/>
            </w:rPr>
          </w:pPr>
          <w:hyperlink w:anchor="_Toc1049814" w:history="1">
            <w:r w:rsidRPr="005D5C69">
              <w:rPr>
                <w:rStyle w:val="Hyperlink"/>
                <w:noProof/>
              </w:rPr>
              <w:t>Pharmacodynamics</w:t>
            </w:r>
            <w:r>
              <w:rPr>
                <w:noProof/>
                <w:webHidden/>
              </w:rPr>
              <w:tab/>
            </w:r>
            <w:r>
              <w:rPr>
                <w:noProof/>
                <w:webHidden/>
              </w:rPr>
              <w:fldChar w:fldCharType="begin"/>
            </w:r>
            <w:r>
              <w:rPr>
                <w:noProof/>
                <w:webHidden/>
              </w:rPr>
              <w:instrText xml:space="preserve"> PAGEREF _Toc1049814 \h </w:instrText>
            </w:r>
            <w:r>
              <w:rPr>
                <w:noProof/>
                <w:webHidden/>
              </w:rPr>
            </w:r>
            <w:r>
              <w:rPr>
                <w:noProof/>
                <w:webHidden/>
              </w:rPr>
              <w:fldChar w:fldCharType="separate"/>
            </w:r>
            <w:r>
              <w:rPr>
                <w:noProof/>
                <w:webHidden/>
              </w:rPr>
              <w:t>25</w:t>
            </w:r>
            <w:r>
              <w:rPr>
                <w:noProof/>
                <w:webHidden/>
              </w:rPr>
              <w:fldChar w:fldCharType="end"/>
            </w:r>
          </w:hyperlink>
        </w:p>
        <w:p w14:paraId="4060B896" w14:textId="77777777" w:rsidR="007312FC" w:rsidRDefault="007312FC">
          <w:pPr>
            <w:pStyle w:val="TOC3"/>
            <w:rPr>
              <w:rFonts w:asciiTheme="minorHAnsi" w:eastAsiaTheme="minorEastAsia" w:hAnsiTheme="minorHAnsi" w:cstheme="minorBidi"/>
              <w:noProof/>
              <w:lang w:eastAsia="en-AU"/>
            </w:rPr>
          </w:pPr>
          <w:hyperlink w:anchor="_Toc1049815" w:history="1">
            <w:r w:rsidRPr="005D5C69">
              <w:rPr>
                <w:rStyle w:val="Hyperlink"/>
                <w:noProof/>
              </w:rPr>
              <w:t>Dosage selection for the pivotal studies</w:t>
            </w:r>
            <w:r>
              <w:rPr>
                <w:noProof/>
                <w:webHidden/>
              </w:rPr>
              <w:tab/>
            </w:r>
            <w:r>
              <w:rPr>
                <w:noProof/>
                <w:webHidden/>
              </w:rPr>
              <w:fldChar w:fldCharType="begin"/>
            </w:r>
            <w:r>
              <w:rPr>
                <w:noProof/>
                <w:webHidden/>
              </w:rPr>
              <w:instrText xml:space="preserve"> PAGEREF _Toc1049815 \h </w:instrText>
            </w:r>
            <w:r>
              <w:rPr>
                <w:noProof/>
                <w:webHidden/>
              </w:rPr>
            </w:r>
            <w:r>
              <w:rPr>
                <w:noProof/>
                <w:webHidden/>
              </w:rPr>
              <w:fldChar w:fldCharType="separate"/>
            </w:r>
            <w:r>
              <w:rPr>
                <w:noProof/>
                <w:webHidden/>
              </w:rPr>
              <w:t>27</w:t>
            </w:r>
            <w:r>
              <w:rPr>
                <w:noProof/>
                <w:webHidden/>
              </w:rPr>
              <w:fldChar w:fldCharType="end"/>
            </w:r>
          </w:hyperlink>
        </w:p>
        <w:p w14:paraId="5996395E" w14:textId="77777777" w:rsidR="007312FC" w:rsidRDefault="007312FC">
          <w:pPr>
            <w:pStyle w:val="TOC3"/>
            <w:rPr>
              <w:rFonts w:asciiTheme="minorHAnsi" w:eastAsiaTheme="minorEastAsia" w:hAnsiTheme="minorHAnsi" w:cstheme="minorBidi"/>
              <w:noProof/>
              <w:lang w:eastAsia="en-AU"/>
            </w:rPr>
          </w:pPr>
          <w:hyperlink w:anchor="_Toc1049816" w:history="1">
            <w:r w:rsidRPr="005D5C69">
              <w:rPr>
                <w:rStyle w:val="Hyperlink"/>
                <w:noProof/>
              </w:rPr>
              <w:t>Efficacy</w:t>
            </w:r>
            <w:r>
              <w:rPr>
                <w:noProof/>
                <w:webHidden/>
              </w:rPr>
              <w:tab/>
            </w:r>
            <w:r>
              <w:rPr>
                <w:noProof/>
                <w:webHidden/>
              </w:rPr>
              <w:fldChar w:fldCharType="begin"/>
            </w:r>
            <w:r>
              <w:rPr>
                <w:noProof/>
                <w:webHidden/>
              </w:rPr>
              <w:instrText xml:space="preserve"> PAGEREF _Toc1049816 \h </w:instrText>
            </w:r>
            <w:r>
              <w:rPr>
                <w:noProof/>
                <w:webHidden/>
              </w:rPr>
            </w:r>
            <w:r>
              <w:rPr>
                <w:noProof/>
                <w:webHidden/>
              </w:rPr>
              <w:fldChar w:fldCharType="separate"/>
            </w:r>
            <w:r>
              <w:rPr>
                <w:noProof/>
                <w:webHidden/>
              </w:rPr>
              <w:t>29</w:t>
            </w:r>
            <w:r>
              <w:rPr>
                <w:noProof/>
                <w:webHidden/>
              </w:rPr>
              <w:fldChar w:fldCharType="end"/>
            </w:r>
          </w:hyperlink>
        </w:p>
        <w:p w14:paraId="7323B40C" w14:textId="77777777" w:rsidR="007312FC" w:rsidRDefault="007312FC">
          <w:pPr>
            <w:pStyle w:val="TOC3"/>
            <w:rPr>
              <w:rFonts w:asciiTheme="minorHAnsi" w:eastAsiaTheme="minorEastAsia" w:hAnsiTheme="minorHAnsi" w:cstheme="minorBidi"/>
              <w:noProof/>
              <w:lang w:eastAsia="en-AU"/>
            </w:rPr>
          </w:pPr>
          <w:hyperlink w:anchor="_Toc1049817" w:history="1">
            <w:r w:rsidRPr="005D5C69">
              <w:rPr>
                <w:rStyle w:val="Hyperlink"/>
                <w:noProof/>
              </w:rPr>
              <w:t>Safety</w:t>
            </w:r>
            <w:r>
              <w:rPr>
                <w:noProof/>
                <w:webHidden/>
              </w:rPr>
              <w:tab/>
            </w:r>
            <w:r>
              <w:rPr>
                <w:noProof/>
                <w:webHidden/>
              </w:rPr>
              <w:fldChar w:fldCharType="begin"/>
            </w:r>
            <w:r>
              <w:rPr>
                <w:noProof/>
                <w:webHidden/>
              </w:rPr>
              <w:instrText xml:space="preserve"> PAGEREF _Toc1049817 \h </w:instrText>
            </w:r>
            <w:r>
              <w:rPr>
                <w:noProof/>
                <w:webHidden/>
              </w:rPr>
            </w:r>
            <w:r>
              <w:rPr>
                <w:noProof/>
                <w:webHidden/>
              </w:rPr>
              <w:fldChar w:fldCharType="separate"/>
            </w:r>
            <w:r>
              <w:rPr>
                <w:noProof/>
                <w:webHidden/>
              </w:rPr>
              <w:t>34</w:t>
            </w:r>
            <w:r>
              <w:rPr>
                <w:noProof/>
                <w:webHidden/>
              </w:rPr>
              <w:fldChar w:fldCharType="end"/>
            </w:r>
          </w:hyperlink>
        </w:p>
        <w:p w14:paraId="3BBF1597" w14:textId="77777777" w:rsidR="007312FC" w:rsidRDefault="007312FC">
          <w:pPr>
            <w:pStyle w:val="TOC3"/>
            <w:rPr>
              <w:rFonts w:asciiTheme="minorHAnsi" w:eastAsiaTheme="minorEastAsia" w:hAnsiTheme="minorHAnsi" w:cstheme="minorBidi"/>
              <w:noProof/>
              <w:lang w:eastAsia="en-AU"/>
            </w:rPr>
          </w:pPr>
          <w:hyperlink w:anchor="_Toc1049818" w:history="1">
            <w:r w:rsidRPr="005D5C69">
              <w:rPr>
                <w:rStyle w:val="Hyperlink"/>
                <w:noProof/>
              </w:rPr>
              <w:t>First round benefit-risk assessment</w:t>
            </w:r>
            <w:r>
              <w:rPr>
                <w:noProof/>
                <w:webHidden/>
              </w:rPr>
              <w:tab/>
            </w:r>
            <w:r>
              <w:rPr>
                <w:noProof/>
                <w:webHidden/>
              </w:rPr>
              <w:fldChar w:fldCharType="begin"/>
            </w:r>
            <w:r>
              <w:rPr>
                <w:noProof/>
                <w:webHidden/>
              </w:rPr>
              <w:instrText xml:space="preserve"> PAGEREF _Toc1049818 \h </w:instrText>
            </w:r>
            <w:r>
              <w:rPr>
                <w:noProof/>
                <w:webHidden/>
              </w:rPr>
            </w:r>
            <w:r>
              <w:rPr>
                <w:noProof/>
                <w:webHidden/>
              </w:rPr>
              <w:fldChar w:fldCharType="separate"/>
            </w:r>
            <w:r>
              <w:rPr>
                <w:noProof/>
                <w:webHidden/>
              </w:rPr>
              <w:t>39</w:t>
            </w:r>
            <w:r>
              <w:rPr>
                <w:noProof/>
                <w:webHidden/>
              </w:rPr>
              <w:fldChar w:fldCharType="end"/>
            </w:r>
          </w:hyperlink>
        </w:p>
        <w:p w14:paraId="2CAC049E" w14:textId="77777777" w:rsidR="007312FC" w:rsidRDefault="007312FC">
          <w:pPr>
            <w:pStyle w:val="TOC3"/>
            <w:rPr>
              <w:rFonts w:asciiTheme="minorHAnsi" w:eastAsiaTheme="minorEastAsia" w:hAnsiTheme="minorHAnsi" w:cstheme="minorBidi"/>
              <w:noProof/>
              <w:lang w:eastAsia="en-AU"/>
            </w:rPr>
          </w:pPr>
          <w:hyperlink w:anchor="_Toc1049819" w:history="1">
            <w:r w:rsidRPr="005D5C69">
              <w:rPr>
                <w:rStyle w:val="Hyperlink"/>
                <w:noProof/>
              </w:rPr>
              <w:t>First round recommendation regarding authorisation</w:t>
            </w:r>
            <w:r>
              <w:rPr>
                <w:noProof/>
                <w:webHidden/>
              </w:rPr>
              <w:tab/>
            </w:r>
            <w:r>
              <w:rPr>
                <w:noProof/>
                <w:webHidden/>
              </w:rPr>
              <w:fldChar w:fldCharType="begin"/>
            </w:r>
            <w:r>
              <w:rPr>
                <w:noProof/>
                <w:webHidden/>
              </w:rPr>
              <w:instrText xml:space="preserve"> PAGEREF _Toc1049819 \h </w:instrText>
            </w:r>
            <w:r>
              <w:rPr>
                <w:noProof/>
                <w:webHidden/>
              </w:rPr>
            </w:r>
            <w:r>
              <w:rPr>
                <w:noProof/>
                <w:webHidden/>
              </w:rPr>
              <w:fldChar w:fldCharType="separate"/>
            </w:r>
            <w:r>
              <w:rPr>
                <w:noProof/>
                <w:webHidden/>
              </w:rPr>
              <w:t>42</w:t>
            </w:r>
            <w:r>
              <w:rPr>
                <w:noProof/>
                <w:webHidden/>
              </w:rPr>
              <w:fldChar w:fldCharType="end"/>
            </w:r>
          </w:hyperlink>
        </w:p>
        <w:p w14:paraId="5E39F52B" w14:textId="77777777" w:rsidR="007312FC" w:rsidRDefault="007312FC">
          <w:pPr>
            <w:pStyle w:val="TOC3"/>
            <w:rPr>
              <w:rFonts w:asciiTheme="minorHAnsi" w:eastAsiaTheme="minorEastAsia" w:hAnsiTheme="minorHAnsi" w:cstheme="minorBidi"/>
              <w:noProof/>
              <w:lang w:eastAsia="en-AU"/>
            </w:rPr>
          </w:pPr>
          <w:hyperlink w:anchor="_Toc1049820" w:history="1">
            <w:r w:rsidRPr="005D5C69">
              <w:rPr>
                <w:rStyle w:val="Hyperlink"/>
                <w:noProof/>
              </w:rPr>
              <w:t>Second round evaluation</w:t>
            </w:r>
            <w:r>
              <w:rPr>
                <w:noProof/>
                <w:webHidden/>
              </w:rPr>
              <w:tab/>
            </w:r>
            <w:r>
              <w:rPr>
                <w:noProof/>
                <w:webHidden/>
              </w:rPr>
              <w:fldChar w:fldCharType="begin"/>
            </w:r>
            <w:r>
              <w:rPr>
                <w:noProof/>
                <w:webHidden/>
              </w:rPr>
              <w:instrText xml:space="preserve"> PAGEREF _Toc1049820 \h </w:instrText>
            </w:r>
            <w:r>
              <w:rPr>
                <w:noProof/>
                <w:webHidden/>
              </w:rPr>
            </w:r>
            <w:r>
              <w:rPr>
                <w:noProof/>
                <w:webHidden/>
              </w:rPr>
              <w:fldChar w:fldCharType="separate"/>
            </w:r>
            <w:r>
              <w:rPr>
                <w:noProof/>
                <w:webHidden/>
              </w:rPr>
              <w:t>42</w:t>
            </w:r>
            <w:r>
              <w:rPr>
                <w:noProof/>
                <w:webHidden/>
              </w:rPr>
              <w:fldChar w:fldCharType="end"/>
            </w:r>
          </w:hyperlink>
        </w:p>
        <w:p w14:paraId="707F4F4E" w14:textId="77777777" w:rsidR="007312FC" w:rsidRDefault="007312FC">
          <w:pPr>
            <w:pStyle w:val="TOC3"/>
            <w:rPr>
              <w:rFonts w:asciiTheme="minorHAnsi" w:eastAsiaTheme="minorEastAsia" w:hAnsiTheme="minorHAnsi" w:cstheme="minorBidi"/>
              <w:noProof/>
              <w:lang w:eastAsia="en-AU"/>
            </w:rPr>
          </w:pPr>
          <w:hyperlink w:anchor="_Toc1049821" w:history="1">
            <w:r w:rsidRPr="005D5C69">
              <w:rPr>
                <w:rStyle w:val="Hyperlink"/>
                <w:noProof/>
              </w:rPr>
              <w:t>Second round benefit-risk assessment</w:t>
            </w:r>
            <w:r>
              <w:rPr>
                <w:noProof/>
                <w:webHidden/>
              </w:rPr>
              <w:tab/>
            </w:r>
            <w:r>
              <w:rPr>
                <w:noProof/>
                <w:webHidden/>
              </w:rPr>
              <w:fldChar w:fldCharType="begin"/>
            </w:r>
            <w:r>
              <w:rPr>
                <w:noProof/>
                <w:webHidden/>
              </w:rPr>
              <w:instrText xml:space="preserve"> PAGEREF _Toc1049821 \h </w:instrText>
            </w:r>
            <w:r>
              <w:rPr>
                <w:noProof/>
                <w:webHidden/>
              </w:rPr>
            </w:r>
            <w:r>
              <w:rPr>
                <w:noProof/>
                <w:webHidden/>
              </w:rPr>
              <w:fldChar w:fldCharType="separate"/>
            </w:r>
            <w:r>
              <w:rPr>
                <w:noProof/>
                <w:webHidden/>
              </w:rPr>
              <w:t>42</w:t>
            </w:r>
            <w:r>
              <w:rPr>
                <w:noProof/>
                <w:webHidden/>
              </w:rPr>
              <w:fldChar w:fldCharType="end"/>
            </w:r>
          </w:hyperlink>
        </w:p>
        <w:p w14:paraId="5F1257A0" w14:textId="77777777" w:rsidR="007312FC" w:rsidRDefault="007312FC">
          <w:pPr>
            <w:pStyle w:val="TOC2"/>
            <w:rPr>
              <w:rFonts w:asciiTheme="minorHAnsi" w:eastAsiaTheme="minorEastAsia" w:hAnsiTheme="minorHAnsi" w:cstheme="minorBidi"/>
              <w:b w:val="0"/>
              <w:noProof/>
              <w:sz w:val="22"/>
              <w:lang w:eastAsia="en-AU"/>
            </w:rPr>
          </w:pPr>
          <w:hyperlink w:anchor="_Toc1049822" w:history="1">
            <w:r w:rsidRPr="005D5C69">
              <w:rPr>
                <w:rStyle w:val="Hyperlink"/>
                <w:noProof/>
              </w:rPr>
              <w:t>VI. Pharmacovigilance findings</w:t>
            </w:r>
            <w:r>
              <w:rPr>
                <w:noProof/>
                <w:webHidden/>
              </w:rPr>
              <w:tab/>
            </w:r>
            <w:r>
              <w:rPr>
                <w:noProof/>
                <w:webHidden/>
              </w:rPr>
              <w:fldChar w:fldCharType="begin"/>
            </w:r>
            <w:r>
              <w:rPr>
                <w:noProof/>
                <w:webHidden/>
              </w:rPr>
              <w:instrText xml:space="preserve"> PAGEREF _Toc1049822 \h </w:instrText>
            </w:r>
            <w:r>
              <w:rPr>
                <w:noProof/>
                <w:webHidden/>
              </w:rPr>
            </w:r>
            <w:r>
              <w:rPr>
                <w:noProof/>
                <w:webHidden/>
              </w:rPr>
              <w:fldChar w:fldCharType="separate"/>
            </w:r>
            <w:r>
              <w:rPr>
                <w:noProof/>
                <w:webHidden/>
              </w:rPr>
              <w:t>44</w:t>
            </w:r>
            <w:r>
              <w:rPr>
                <w:noProof/>
                <w:webHidden/>
              </w:rPr>
              <w:fldChar w:fldCharType="end"/>
            </w:r>
          </w:hyperlink>
        </w:p>
        <w:p w14:paraId="5DB86B5E" w14:textId="77777777" w:rsidR="007312FC" w:rsidRDefault="007312FC">
          <w:pPr>
            <w:pStyle w:val="TOC3"/>
            <w:rPr>
              <w:rFonts w:asciiTheme="minorHAnsi" w:eastAsiaTheme="minorEastAsia" w:hAnsiTheme="minorHAnsi" w:cstheme="minorBidi"/>
              <w:noProof/>
              <w:lang w:eastAsia="en-AU"/>
            </w:rPr>
          </w:pPr>
          <w:hyperlink w:anchor="_Toc1049823" w:history="1">
            <w:r w:rsidRPr="005D5C69">
              <w:rPr>
                <w:rStyle w:val="Hyperlink"/>
                <w:noProof/>
                <w:lang w:eastAsia="en-AU"/>
              </w:rPr>
              <w:t xml:space="preserve">Risk </w:t>
            </w:r>
            <w:r w:rsidRPr="005D5C69">
              <w:rPr>
                <w:rStyle w:val="Hyperlink"/>
                <w:noProof/>
              </w:rPr>
              <w:t>management</w:t>
            </w:r>
            <w:r w:rsidRPr="005D5C69">
              <w:rPr>
                <w:rStyle w:val="Hyperlink"/>
                <w:noProof/>
                <w:lang w:eastAsia="en-AU"/>
              </w:rPr>
              <w:t xml:space="preserve"> plan</w:t>
            </w:r>
            <w:r>
              <w:rPr>
                <w:noProof/>
                <w:webHidden/>
              </w:rPr>
              <w:tab/>
            </w:r>
            <w:r>
              <w:rPr>
                <w:noProof/>
                <w:webHidden/>
              </w:rPr>
              <w:fldChar w:fldCharType="begin"/>
            </w:r>
            <w:r>
              <w:rPr>
                <w:noProof/>
                <w:webHidden/>
              </w:rPr>
              <w:instrText xml:space="preserve"> PAGEREF _Toc1049823 \h </w:instrText>
            </w:r>
            <w:r>
              <w:rPr>
                <w:noProof/>
                <w:webHidden/>
              </w:rPr>
            </w:r>
            <w:r>
              <w:rPr>
                <w:noProof/>
                <w:webHidden/>
              </w:rPr>
              <w:fldChar w:fldCharType="separate"/>
            </w:r>
            <w:r>
              <w:rPr>
                <w:noProof/>
                <w:webHidden/>
              </w:rPr>
              <w:t>44</w:t>
            </w:r>
            <w:r>
              <w:rPr>
                <w:noProof/>
                <w:webHidden/>
              </w:rPr>
              <w:fldChar w:fldCharType="end"/>
            </w:r>
          </w:hyperlink>
        </w:p>
        <w:p w14:paraId="06FBD19D" w14:textId="77777777" w:rsidR="007312FC" w:rsidRDefault="007312FC">
          <w:pPr>
            <w:pStyle w:val="TOC2"/>
            <w:rPr>
              <w:rFonts w:asciiTheme="minorHAnsi" w:eastAsiaTheme="minorEastAsia" w:hAnsiTheme="minorHAnsi" w:cstheme="minorBidi"/>
              <w:b w:val="0"/>
              <w:noProof/>
              <w:sz w:val="22"/>
              <w:lang w:eastAsia="en-AU"/>
            </w:rPr>
          </w:pPr>
          <w:hyperlink w:anchor="_Toc1049824" w:history="1">
            <w:r w:rsidRPr="005D5C69">
              <w:rPr>
                <w:rStyle w:val="Hyperlink"/>
                <w:noProof/>
              </w:rPr>
              <w:t>VII. Overall conclusion and risk/benefit assessment</w:t>
            </w:r>
            <w:r>
              <w:rPr>
                <w:noProof/>
                <w:webHidden/>
              </w:rPr>
              <w:tab/>
            </w:r>
            <w:r>
              <w:rPr>
                <w:noProof/>
                <w:webHidden/>
              </w:rPr>
              <w:fldChar w:fldCharType="begin"/>
            </w:r>
            <w:r>
              <w:rPr>
                <w:noProof/>
                <w:webHidden/>
              </w:rPr>
              <w:instrText xml:space="preserve"> PAGEREF _Toc1049824 \h </w:instrText>
            </w:r>
            <w:r>
              <w:rPr>
                <w:noProof/>
                <w:webHidden/>
              </w:rPr>
            </w:r>
            <w:r>
              <w:rPr>
                <w:noProof/>
                <w:webHidden/>
              </w:rPr>
              <w:fldChar w:fldCharType="separate"/>
            </w:r>
            <w:r>
              <w:rPr>
                <w:noProof/>
                <w:webHidden/>
              </w:rPr>
              <w:t>47</w:t>
            </w:r>
            <w:r>
              <w:rPr>
                <w:noProof/>
                <w:webHidden/>
              </w:rPr>
              <w:fldChar w:fldCharType="end"/>
            </w:r>
          </w:hyperlink>
        </w:p>
        <w:p w14:paraId="05A52D0F" w14:textId="77777777" w:rsidR="007312FC" w:rsidRDefault="007312FC">
          <w:pPr>
            <w:pStyle w:val="TOC3"/>
            <w:rPr>
              <w:rFonts w:asciiTheme="minorHAnsi" w:eastAsiaTheme="minorEastAsia" w:hAnsiTheme="minorHAnsi" w:cstheme="minorBidi"/>
              <w:noProof/>
              <w:lang w:eastAsia="en-AU"/>
            </w:rPr>
          </w:pPr>
          <w:hyperlink w:anchor="_Toc1049825" w:history="1">
            <w:r w:rsidRPr="005D5C69">
              <w:rPr>
                <w:rStyle w:val="Hyperlink"/>
                <w:noProof/>
              </w:rPr>
              <w:t>Introduction</w:t>
            </w:r>
            <w:r>
              <w:rPr>
                <w:noProof/>
                <w:webHidden/>
              </w:rPr>
              <w:tab/>
            </w:r>
            <w:r>
              <w:rPr>
                <w:noProof/>
                <w:webHidden/>
              </w:rPr>
              <w:fldChar w:fldCharType="begin"/>
            </w:r>
            <w:r>
              <w:rPr>
                <w:noProof/>
                <w:webHidden/>
              </w:rPr>
              <w:instrText xml:space="preserve"> PAGEREF _Toc1049825 \h </w:instrText>
            </w:r>
            <w:r>
              <w:rPr>
                <w:noProof/>
                <w:webHidden/>
              </w:rPr>
            </w:r>
            <w:r>
              <w:rPr>
                <w:noProof/>
                <w:webHidden/>
              </w:rPr>
              <w:fldChar w:fldCharType="separate"/>
            </w:r>
            <w:r>
              <w:rPr>
                <w:noProof/>
                <w:webHidden/>
              </w:rPr>
              <w:t>47</w:t>
            </w:r>
            <w:r>
              <w:rPr>
                <w:noProof/>
                <w:webHidden/>
              </w:rPr>
              <w:fldChar w:fldCharType="end"/>
            </w:r>
          </w:hyperlink>
        </w:p>
        <w:p w14:paraId="2CBE54B1" w14:textId="77777777" w:rsidR="007312FC" w:rsidRDefault="007312FC">
          <w:pPr>
            <w:pStyle w:val="TOC3"/>
            <w:rPr>
              <w:rFonts w:asciiTheme="minorHAnsi" w:eastAsiaTheme="minorEastAsia" w:hAnsiTheme="minorHAnsi" w:cstheme="minorBidi"/>
              <w:noProof/>
              <w:lang w:eastAsia="en-AU"/>
            </w:rPr>
          </w:pPr>
          <w:hyperlink w:anchor="_Toc1049826" w:history="1">
            <w:r w:rsidRPr="005D5C69">
              <w:rPr>
                <w:rStyle w:val="Hyperlink"/>
                <w:noProof/>
              </w:rPr>
              <w:t>Quality</w:t>
            </w:r>
            <w:r>
              <w:rPr>
                <w:noProof/>
                <w:webHidden/>
              </w:rPr>
              <w:tab/>
            </w:r>
            <w:r>
              <w:rPr>
                <w:noProof/>
                <w:webHidden/>
              </w:rPr>
              <w:fldChar w:fldCharType="begin"/>
            </w:r>
            <w:r>
              <w:rPr>
                <w:noProof/>
                <w:webHidden/>
              </w:rPr>
              <w:instrText xml:space="preserve"> PAGEREF _Toc1049826 \h </w:instrText>
            </w:r>
            <w:r>
              <w:rPr>
                <w:noProof/>
                <w:webHidden/>
              </w:rPr>
            </w:r>
            <w:r>
              <w:rPr>
                <w:noProof/>
                <w:webHidden/>
              </w:rPr>
              <w:fldChar w:fldCharType="separate"/>
            </w:r>
            <w:r>
              <w:rPr>
                <w:noProof/>
                <w:webHidden/>
              </w:rPr>
              <w:t>47</w:t>
            </w:r>
            <w:r>
              <w:rPr>
                <w:noProof/>
                <w:webHidden/>
              </w:rPr>
              <w:fldChar w:fldCharType="end"/>
            </w:r>
          </w:hyperlink>
        </w:p>
        <w:p w14:paraId="1CC3E5A4" w14:textId="77777777" w:rsidR="007312FC" w:rsidRDefault="007312FC">
          <w:pPr>
            <w:pStyle w:val="TOC3"/>
            <w:rPr>
              <w:rFonts w:asciiTheme="minorHAnsi" w:eastAsiaTheme="minorEastAsia" w:hAnsiTheme="minorHAnsi" w:cstheme="minorBidi"/>
              <w:noProof/>
              <w:lang w:eastAsia="en-AU"/>
            </w:rPr>
          </w:pPr>
          <w:hyperlink w:anchor="_Toc1049827" w:history="1">
            <w:r w:rsidRPr="005D5C69">
              <w:rPr>
                <w:rStyle w:val="Hyperlink"/>
                <w:noProof/>
              </w:rPr>
              <w:t>Nonclinical</w:t>
            </w:r>
            <w:r>
              <w:rPr>
                <w:noProof/>
                <w:webHidden/>
              </w:rPr>
              <w:tab/>
            </w:r>
            <w:r>
              <w:rPr>
                <w:noProof/>
                <w:webHidden/>
              </w:rPr>
              <w:fldChar w:fldCharType="begin"/>
            </w:r>
            <w:r>
              <w:rPr>
                <w:noProof/>
                <w:webHidden/>
              </w:rPr>
              <w:instrText xml:space="preserve"> PAGEREF _Toc1049827 \h </w:instrText>
            </w:r>
            <w:r>
              <w:rPr>
                <w:noProof/>
                <w:webHidden/>
              </w:rPr>
            </w:r>
            <w:r>
              <w:rPr>
                <w:noProof/>
                <w:webHidden/>
              </w:rPr>
              <w:fldChar w:fldCharType="separate"/>
            </w:r>
            <w:r>
              <w:rPr>
                <w:noProof/>
                <w:webHidden/>
              </w:rPr>
              <w:t>47</w:t>
            </w:r>
            <w:r>
              <w:rPr>
                <w:noProof/>
                <w:webHidden/>
              </w:rPr>
              <w:fldChar w:fldCharType="end"/>
            </w:r>
          </w:hyperlink>
        </w:p>
        <w:p w14:paraId="224D882A" w14:textId="77777777" w:rsidR="007312FC" w:rsidRDefault="007312FC">
          <w:pPr>
            <w:pStyle w:val="TOC3"/>
            <w:rPr>
              <w:rFonts w:asciiTheme="minorHAnsi" w:eastAsiaTheme="minorEastAsia" w:hAnsiTheme="minorHAnsi" w:cstheme="minorBidi"/>
              <w:noProof/>
              <w:lang w:eastAsia="en-AU"/>
            </w:rPr>
          </w:pPr>
          <w:hyperlink w:anchor="_Toc1049828" w:history="1">
            <w:r w:rsidRPr="005D5C69">
              <w:rPr>
                <w:rStyle w:val="Hyperlink"/>
                <w:noProof/>
              </w:rPr>
              <w:t>Clinical</w:t>
            </w:r>
            <w:r>
              <w:rPr>
                <w:noProof/>
                <w:webHidden/>
              </w:rPr>
              <w:tab/>
            </w:r>
            <w:r>
              <w:rPr>
                <w:noProof/>
                <w:webHidden/>
              </w:rPr>
              <w:fldChar w:fldCharType="begin"/>
            </w:r>
            <w:r>
              <w:rPr>
                <w:noProof/>
                <w:webHidden/>
              </w:rPr>
              <w:instrText xml:space="preserve"> PAGEREF _Toc1049828 \h </w:instrText>
            </w:r>
            <w:r>
              <w:rPr>
                <w:noProof/>
                <w:webHidden/>
              </w:rPr>
            </w:r>
            <w:r>
              <w:rPr>
                <w:noProof/>
                <w:webHidden/>
              </w:rPr>
              <w:fldChar w:fldCharType="separate"/>
            </w:r>
            <w:r>
              <w:rPr>
                <w:noProof/>
                <w:webHidden/>
              </w:rPr>
              <w:t>48</w:t>
            </w:r>
            <w:r>
              <w:rPr>
                <w:noProof/>
                <w:webHidden/>
              </w:rPr>
              <w:fldChar w:fldCharType="end"/>
            </w:r>
          </w:hyperlink>
        </w:p>
        <w:p w14:paraId="136D86F5" w14:textId="77777777" w:rsidR="007312FC" w:rsidRDefault="007312FC">
          <w:pPr>
            <w:pStyle w:val="TOC3"/>
            <w:rPr>
              <w:rFonts w:asciiTheme="minorHAnsi" w:eastAsiaTheme="minorEastAsia" w:hAnsiTheme="minorHAnsi" w:cstheme="minorBidi"/>
              <w:noProof/>
              <w:lang w:eastAsia="en-AU"/>
            </w:rPr>
          </w:pPr>
          <w:hyperlink w:anchor="_Toc1049829" w:history="1">
            <w:r w:rsidRPr="005D5C69">
              <w:rPr>
                <w:rStyle w:val="Hyperlink"/>
                <w:noProof/>
                <w:lang w:eastAsia="en-AU"/>
              </w:rPr>
              <w:t xml:space="preserve">Risk </w:t>
            </w:r>
            <w:r w:rsidRPr="005D5C69">
              <w:rPr>
                <w:rStyle w:val="Hyperlink"/>
                <w:noProof/>
              </w:rPr>
              <w:t>management</w:t>
            </w:r>
            <w:r w:rsidRPr="005D5C69">
              <w:rPr>
                <w:rStyle w:val="Hyperlink"/>
                <w:noProof/>
                <w:lang w:eastAsia="en-AU"/>
              </w:rPr>
              <w:t xml:space="preserve"> plan</w:t>
            </w:r>
            <w:r>
              <w:rPr>
                <w:noProof/>
                <w:webHidden/>
              </w:rPr>
              <w:tab/>
            </w:r>
            <w:r>
              <w:rPr>
                <w:noProof/>
                <w:webHidden/>
              </w:rPr>
              <w:fldChar w:fldCharType="begin"/>
            </w:r>
            <w:r>
              <w:rPr>
                <w:noProof/>
                <w:webHidden/>
              </w:rPr>
              <w:instrText xml:space="preserve"> PAGEREF _Toc1049829 \h </w:instrText>
            </w:r>
            <w:r>
              <w:rPr>
                <w:noProof/>
                <w:webHidden/>
              </w:rPr>
            </w:r>
            <w:r>
              <w:rPr>
                <w:noProof/>
                <w:webHidden/>
              </w:rPr>
              <w:fldChar w:fldCharType="separate"/>
            </w:r>
            <w:r>
              <w:rPr>
                <w:noProof/>
                <w:webHidden/>
              </w:rPr>
              <w:t>54</w:t>
            </w:r>
            <w:r>
              <w:rPr>
                <w:noProof/>
                <w:webHidden/>
              </w:rPr>
              <w:fldChar w:fldCharType="end"/>
            </w:r>
          </w:hyperlink>
        </w:p>
        <w:p w14:paraId="6BDF145B" w14:textId="77777777" w:rsidR="007312FC" w:rsidRDefault="007312FC">
          <w:pPr>
            <w:pStyle w:val="TOC3"/>
            <w:rPr>
              <w:rFonts w:asciiTheme="minorHAnsi" w:eastAsiaTheme="minorEastAsia" w:hAnsiTheme="minorHAnsi" w:cstheme="minorBidi"/>
              <w:noProof/>
              <w:lang w:eastAsia="en-AU"/>
            </w:rPr>
          </w:pPr>
          <w:hyperlink w:anchor="_Toc1049830" w:history="1">
            <w:r w:rsidRPr="005D5C69">
              <w:rPr>
                <w:rStyle w:val="Hyperlink"/>
                <w:noProof/>
              </w:rPr>
              <w:t>Risk-benefit analysis</w:t>
            </w:r>
            <w:r>
              <w:rPr>
                <w:noProof/>
                <w:webHidden/>
              </w:rPr>
              <w:tab/>
            </w:r>
            <w:r>
              <w:rPr>
                <w:noProof/>
                <w:webHidden/>
              </w:rPr>
              <w:fldChar w:fldCharType="begin"/>
            </w:r>
            <w:r>
              <w:rPr>
                <w:noProof/>
                <w:webHidden/>
              </w:rPr>
              <w:instrText xml:space="preserve"> PAGEREF _Toc1049830 \h </w:instrText>
            </w:r>
            <w:r>
              <w:rPr>
                <w:noProof/>
                <w:webHidden/>
              </w:rPr>
            </w:r>
            <w:r>
              <w:rPr>
                <w:noProof/>
                <w:webHidden/>
              </w:rPr>
              <w:fldChar w:fldCharType="separate"/>
            </w:r>
            <w:r>
              <w:rPr>
                <w:noProof/>
                <w:webHidden/>
              </w:rPr>
              <w:t>55</w:t>
            </w:r>
            <w:r>
              <w:rPr>
                <w:noProof/>
                <w:webHidden/>
              </w:rPr>
              <w:fldChar w:fldCharType="end"/>
            </w:r>
          </w:hyperlink>
        </w:p>
        <w:p w14:paraId="681CDF77" w14:textId="77777777" w:rsidR="007312FC" w:rsidRDefault="007312FC">
          <w:pPr>
            <w:pStyle w:val="TOC3"/>
            <w:rPr>
              <w:rFonts w:asciiTheme="minorHAnsi" w:eastAsiaTheme="minorEastAsia" w:hAnsiTheme="minorHAnsi" w:cstheme="minorBidi"/>
              <w:noProof/>
              <w:lang w:eastAsia="en-AU"/>
            </w:rPr>
          </w:pPr>
          <w:hyperlink w:anchor="_Toc1049831" w:history="1">
            <w:r w:rsidRPr="005D5C69">
              <w:rPr>
                <w:rStyle w:val="Hyperlink"/>
                <w:noProof/>
              </w:rPr>
              <w:t>Outcome</w:t>
            </w:r>
            <w:r>
              <w:rPr>
                <w:noProof/>
                <w:webHidden/>
              </w:rPr>
              <w:tab/>
            </w:r>
            <w:r>
              <w:rPr>
                <w:noProof/>
                <w:webHidden/>
              </w:rPr>
              <w:fldChar w:fldCharType="begin"/>
            </w:r>
            <w:r>
              <w:rPr>
                <w:noProof/>
                <w:webHidden/>
              </w:rPr>
              <w:instrText xml:space="preserve"> PAGEREF _Toc1049831 \h </w:instrText>
            </w:r>
            <w:r>
              <w:rPr>
                <w:noProof/>
                <w:webHidden/>
              </w:rPr>
            </w:r>
            <w:r>
              <w:rPr>
                <w:noProof/>
                <w:webHidden/>
              </w:rPr>
              <w:fldChar w:fldCharType="separate"/>
            </w:r>
            <w:r>
              <w:rPr>
                <w:noProof/>
                <w:webHidden/>
              </w:rPr>
              <w:t>64</w:t>
            </w:r>
            <w:r>
              <w:rPr>
                <w:noProof/>
                <w:webHidden/>
              </w:rPr>
              <w:fldChar w:fldCharType="end"/>
            </w:r>
          </w:hyperlink>
        </w:p>
        <w:p w14:paraId="36B5D48A" w14:textId="77777777" w:rsidR="007312FC" w:rsidRDefault="007312FC">
          <w:pPr>
            <w:pStyle w:val="TOC2"/>
            <w:rPr>
              <w:rFonts w:asciiTheme="minorHAnsi" w:eastAsiaTheme="minorEastAsia" w:hAnsiTheme="minorHAnsi" w:cstheme="minorBidi"/>
              <w:b w:val="0"/>
              <w:noProof/>
              <w:sz w:val="22"/>
              <w:lang w:eastAsia="en-AU"/>
            </w:rPr>
          </w:pPr>
          <w:hyperlink w:anchor="_Toc1049832" w:history="1">
            <w:r w:rsidRPr="005D5C69">
              <w:rPr>
                <w:rStyle w:val="Hyperlink"/>
                <w:noProof/>
              </w:rPr>
              <w:t>Attachment 1. Product Information</w:t>
            </w:r>
            <w:r>
              <w:rPr>
                <w:noProof/>
                <w:webHidden/>
              </w:rPr>
              <w:tab/>
            </w:r>
            <w:r>
              <w:rPr>
                <w:noProof/>
                <w:webHidden/>
              </w:rPr>
              <w:fldChar w:fldCharType="begin"/>
            </w:r>
            <w:r>
              <w:rPr>
                <w:noProof/>
                <w:webHidden/>
              </w:rPr>
              <w:instrText xml:space="preserve"> PAGEREF _Toc1049832 \h </w:instrText>
            </w:r>
            <w:r>
              <w:rPr>
                <w:noProof/>
                <w:webHidden/>
              </w:rPr>
            </w:r>
            <w:r>
              <w:rPr>
                <w:noProof/>
                <w:webHidden/>
              </w:rPr>
              <w:fldChar w:fldCharType="separate"/>
            </w:r>
            <w:r>
              <w:rPr>
                <w:noProof/>
                <w:webHidden/>
              </w:rPr>
              <w:t>64</w:t>
            </w:r>
            <w:r>
              <w:rPr>
                <w:noProof/>
                <w:webHidden/>
              </w:rPr>
              <w:fldChar w:fldCharType="end"/>
            </w:r>
          </w:hyperlink>
        </w:p>
        <w:p w14:paraId="78A772B8" w14:textId="77777777" w:rsidR="007312FC" w:rsidRDefault="007312FC">
          <w:pPr>
            <w:pStyle w:val="TOC2"/>
            <w:rPr>
              <w:rFonts w:asciiTheme="minorHAnsi" w:eastAsiaTheme="minorEastAsia" w:hAnsiTheme="minorHAnsi" w:cstheme="minorBidi"/>
              <w:b w:val="0"/>
              <w:noProof/>
              <w:sz w:val="22"/>
              <w:lang w:eastAsia="en-AU"/>
            </w:rPr>
          </w:pPr>
          <w:hyperlink w:anchor="_Toc1049833" w:history="1">
            <w:r w:rsidRPr="005D5C69">
              <w:rPr>
                <w:rStyle w:val="Hyperlink"/>
                <w:noProof/>
              </w:rPr>
              <w:t>Attachment 2. Extract from the Clinical Evaluation</w:t>
            </w:r>
            <w:r w:rsidRPr="005D5C69">
              <w:rPr>
                <w:rStyle w:val="Hyperlink"/>
                <w:noProof/>
                <w:lang w:eastAsia="en-AU"/>
              </w:rPr>
              <w:t xml:space="preserve"> Report</w:t>
            </w:r>
            <w:r>
              <w:rPr>
                <w:noProof/>
                <w:webHidden/>
              </w:rPr>
              <w:tab/>
            </w:r>
            <w:r>
              <w:rPr>
                <w:noProof/>
                <w:webHidden/>
              </w:rPr>
              <w:fldChar w:fldCharType="begin"/>
            </w:r>
            <w:r>
              <w:rPr>
                <w:noProof/>
                <w:webHidden/>
              </w:rPr>
              <w:instrText xml:space="preserve"> PAGEREF _Toc1049833 \h </w:instrText>
            </w:r>
            <w:r>
              <w:rPr>
                <w:noProof/>
                <w:webHidden/>
              </w:rPr>
            </w:r>
            <w:r>
              <w:rPr>
                <w:noProof/>
                <w:webHidden/>
              </w:rPr>
              <w:fldChar w:fldCharType="separate"/>
            </w:r>
            <w:r>
              <w:rPr>
                <w:noProof/>
                <w:webHidden/>
              </w:rPr>
              <w:t>64</w:t>
            </w:r>
            <w:r>
              <w:rPr>
                <w:noProof/>
                <w:webHidden/>
              </w:rPr>
              <w:fldChar w:fldCharType="end"/>
            </w:r>
          </w:hyperlink>
        </w:p>
        <w:p w14:paraId="7B721F42" w14:textId="77777777" w:rsidR="003A7F6C" w:rsidRPr="00B811C6" w:rsidRDefault="00DB6124" w:rsidP="00B811C6">
          <w:pPr>
            <w:pStyle w:val="TOC2"/>
          </w:pPr>
          <w:r>
            <w:fldChar w:fldCharType="end"/>
          </w:r>
        </w:p>
      </w:sdtContent>
    </w:sdt>
    <w:bookmarkStart w:id="3" w:name="_Toc314842482" w:displacedByCustomXml="prev"/>
    <w:p w14:paraId="5230591D" w14:textId="77777777" w:rsidR="000159A6" w:rsidRDefault="000159A6">
      <w:pPr>
        <w:spacing w:before="0" w:after="200" w:line="0" w:lineRule="auto"/>
        <w:sectPr w:rsidR="000159A6"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p w14:paraId="2651638F" w14:textId="52A7BF41" w:rsidR="00FD119B" w:rsidRPr="00FD119B" w:rsidRDefault="00441C3F" w:rsidP="00CC47E8">
      <w:pPr>
        <w:pStyle w:val="Heading2"/>
      </w:pPr>
      <w:bookmarkStart w:id="4" w:name="_Toc351716269"/>
      <w:bookmarkStart w:id="5" w:name="_Toc351718881"/>
      <w:bookmarkStart w:id="6" w:name="_Toc355338616"/>
      <w:bookmarkStart w:id="7" w:name="_Toc356306144"/>
      <w:bookmarkStart w:id="8" w:name="_Toc1049794"/>
      <w:r>
        <w:lastRenderedPageBreak/>
        <w:t>Common</w:t>
      </w:r>
      <w:r w:rsidR="000159A6">
        <w:t xml:space="preserve"> </w:t>
      </w:r>
      <w:r w:rsidR="00FD119B" w:rsidRPr="00CC47E8">
        <w:t>abbreviations</w:t>
      </w:r>
      <w:bookmarkEnd w:id="4"/>
      <w:bookmarkEnd w:id="5"/>
      <w:bookmarkEnd w:id="6"/>
      <w:bookmarkEnd w:id="7"/>
      <w:bookmarkEnd w:id="8"/>
    </w:p>
    <w:tbl>
      <w:tblPr>
        <w:tblStyle w:val="TableTGAblue"/>
        <w:tblW w:w="0" w:type="auto"/>
        <w:tblLook w:val="04A0" w:firstRow="1" w:lastRow="0" w:firstColumn="1" w:lastColumn="0" w:noHBand="0" w:noVBand="1"/>
        <w:tblDescription w:val="Common abbreviations"/>
      </w:tblPr>
      <w:tblGrid>
        <w:gridCol w:w="1890"/>
        <w:gridCol w:w="6830"/>
      </w:tblGrid>
      <w:tr w:rsidR="00FD119B" w:rsidRPr="00FD119B" w14:paraId="2306669C"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611239FE" w14:textId="77777777" w:rsidR="00FD119B" w:rsidRPr="00FD119B" w:rsidRDefault="00FD119B" w:rsidP="00CC47E8">
            <w:pPr>
              <w:rPr>
                <w:lang w:eastAsia="en-US"/>
              </w:rPr>
            </w:pPr>
            <w:r w:rsidRPr="00FD119B">
              <w:rPr>
                <w:lang w:eastAsia="en-US"/>
              </w:rPr>
              <w:t>Abbreviation</w:t>
            </w:r>
          </w:p>
        </w:tc>
        <w:tc>
          <w:tcPr>
            <w:tcW w:w="6911" w:type="dxa"/>
          </w:tcPr>
          <w:p w14:paraId="61265D3B" w14:textId="77777777" w:rsidR="00FD119B" w:rsidRPr="00FD119B" w:rsidRDefault="00FD119B" w:rsidP="00CC47E8">
            <w:pPr>
              <w:rPr>
                <w:lang w:eastAsia="en-US"/>
              </w:rPr>
            </w:pPr>
            <w:r w:rsidRPr="00FD119B">
              <w:rPr>
                <w:lang w:eastAsia="en-US"/>
              </w:rPr>
              <w:t>Meaning</w:t>
            </w:r>
          </w:p>
        </w:tc>
      </w:tr>
      <w:tr w:rsidR="00D22598" w:rsidRPr="00FD119B" w14:paraId="430185D1" w14:textId="77777777" w:rsidTr="00FD119B">
        <w:tc>
          <w:tcPr>
            <w:tcW w:w="1809" w:type="dxa"/>
          </w:tcPr>
          <w:p w14:paraId="1FA54F8F" w14:textId="77777777" w:rsidR="00D22598" w:rsidRPr="007C24FC" w:rsidRDefault="00D22598" w:rsidP="00CC47E8">
            <w:r>
              <w:t>Ab</w:t>
            </w:r>
          </w:p>
        </w:tc>
        <w:tc>
          <w:tcPr>
            <w:tcW w:w="6911" w:type="dxa"/>
          </w:tcPr>
          <w:p w14:paraId="64216E74" w14:textId="77777777" w:rsidR="00D22598" w:rsidRPr="007C24FC" w:rsidRDefault="00D22598" w:rsidP="00CC47E8">
            <w:r w:rsidRPr="007C24FC">
              <w:t>Antibody</w:t>
            </w:r>
          </w:p>
        </w:tc>
      </w:tr>
      <w:tr w:rsidR="00D22598" w:rsidRPr="00FD119B" w14:paraId="6AB4540D" w14:textId="77777777" w:rsidTr="00FD119B">
        <w:tc>
          <w:tcPr>
            <w:tcW w:w="1809" w:type="dxa"/>
          </w:tcPr>
          <w:p w14:paraId="47B43E9C" w14:textId="77777777" w:rsidR="00D22598" w:rsidRPr="007C24FC" w:rsidRDefault="00D22598" w:rsidP="00CC47E8">
            <w:r w:rsidRPr="007C24FC">
              <w:t>AE</w:t>
            </w:r>
          </w:p>
        </w:tc>
        <w:tc>
          <w:tcPr>
            <w:tcW w:w="6911" w:type="dxa"/>
          </w:tcPr>
          <w:p w14:paraId="5C608E6A" w14:textId="0CA5B81B" w:rsidR="00D22598" w:rsidRPr="007C24FC" w:rsidRDefault="00D22598" w:rsidP="00CC47E8">
            <w:r w:rsidRPr="007C24FC">
              <w:t>Adverse</w:t>
            </w:r>
            <w:r w:rsidR="000159A6">
              <w:t xml:space="preserve"> </w:t>
            </w:r>
            <w:r w:rsidR="002C42ED">
              <w:t>e</w:t>
            </w:r>
            <w:r w:rsidR="002C42ED" w:rsidRPr="007C24FC">
              <w:t>vent</w:t>
            </w:r>
          </w:p>
        </w:tc>
      </w:tr>
      <w:tr w:rsidR="00D22598" w:rsidRPr="00FD119B" w14:paraId="2393C488" w14:textId="77777777" w:rsidTr="00FD119B">
        <w:tc>
          <w:tcPr>
            <w:tcW w:w="1809" w:type="dxa"/>
          </w:tcPr>
          <w:p w14:paraId="17F71F5B" w14:textId="77777777" w:rsidR="00D22598" w:rsidRPr="007C24FC" w:rsidRDefault="00D22598" w:rsidP="00CC47E8">
            <w:r w:rsidRPr="007C24FC">
              <w:t>AML</w:t>
            </w:r>
          </w:p>
        </w:tc>
        <w:tc>
          <w:tcPr>
            <w:tcW w:w="6911" w:type="dxa"/>
          </w:tcPr>
          <w:p w14:paraId="438DC18D" w14:textId="0040B68F" w:rsidR="00D22598" w:rsidRPr="007C24FC" w:rsidRDefault="00D22598" w:rsidP="00CC47E8">
            <w:r w:rsidRPr="007C24FC">
              <w:t>Acute</w:t>
            </w:r>
            <w:r w:rsidR="000159A6">
              <w:t xml:space="preserve"> </w:t>
            </w:r>
            <w:r w:rsidR="002C42ED">
              <w:t>m</w:t>
            </w:r>
            <w:r w:rsidR="002C42ED" w:rsidRPr="007C24FC">
              <w:t>yeloid</w:t>
            </w:r>
            <w:r w:rsidR="000159A6">
              <w:t xml:space="preserve"> </w:t>
            </w:r>
            <w:r w:rsidR="002C42ED">
              <w:t>l</w:t>
            </w:r>
            <w:r w:rsidR="002C42ED" w:rsidRPr="007C24FC">
              <w:t>eukaemia</w:t>
            </w:r>
          </w:p>
        </w:tc>
      </w:tr>
      <w:tr w:rsidR="00D22598" w:rsidRPr="00FD119B" w14:paraId="61BA5866" w14:textId="77777777" w:rsidTr="00FD119B">
        <w:tc>
          <w:tcPr>
            <w:tcW w:w="1809" w:type="dxa"/>
          </w:tcPr>
          <w:p w14:paraId="1A2B7837" w14:textId="77777777" w:rsidR="00D22598" w:rsidRPr="007C24FC" w:rsidRDefault="000E6841" w:rsidP="00CC47E8">
            <w:r>
              <w:t>AS01</w:t>
            </w:r>
            <w:r w:rsidRPr="0070024F">
              <w:rPr>
                <w:vertAlign w:val="subscript"/>
              </w:rPr>
              <w:t>B</w:t>
            </w:r>
          </w:p>
        </w:tc>
        <w:tc>
          <w:tcPr>
            <w:tcW w:w="6911" w:type="dxa"/>
          </w:tcPr>
          <w:p w14:paraId="2E254438" w14:textId="0A5C0FDE" w:rsidR="00D22598" w:rsidRPr="007C24FC" w:rsidRDefault="00D22598" w:rsidP="00CC47E8">
            <w:r w:rsidRPr="007C24FC">
              <w:t>Adjuvant</w:t>
            </w:r>
            <w:r w:rsidR="000159A6">
              <w:t xml:space="preserve"> </w:t>
            </w:r>
            <w:r w:rsidRPr="007C24FC">
              <w:t>System</w:t>
            </w:r>
            <w:r w:rsidR="000159A6">
              <w:t xml:space="preserve"> </w:t>
            </w:r>
            <w:r w:rsidRPr="007C24FC">
              <w:t>containing</w:t>
            </w:r>
            <w:r w:rsidR="000159A6">
              <w:t xml:space="preserve"> </w:t>
            </w:r>
            <w:r w:rsidRPr="007C24FC">
              <w:t>50</w:t>
            </w:r>
            <w:r w:rsidR="000159A6">
              <w:t xml:space="preserve"> </w:t>
            </w:r>
            <w:r w:rsidR="00AE6925">
              <w:t>µ</w:t>
            </w:r>
            <w:r w:rsidRPr="007C24FC">
              <w:t>g</w:t>
            </w:r>
            <w:r w:rsidR="000159A6">
              <w:t xml:space="preserve"> </w:t>
            </w:r>
            <w:r w:rsidRPr="007C24FC">
              <w:t>MPL,</w:t>
            </w:r>
            <w:r w:rsidR="000159A6">
              <w:t xml:space="preserve"> </w:t>
            </w:r>
            <w:r w:rsidRPr="007C24FC">
              <w:t>50</w:t>
            </w:r>
            <w:r w:rsidR="000159A6">
              <w:t xml:space="preserve"> </w:t>
            </w:r>
            <w:r w:rsidR="00AE6925">
              <w:t>µ</w:t>
            </w:r>
            <w:r w:rsidRPr="007C24FC">
              <w:t>g</w:t>
            </w:r>
            <w:r w:rsidR="000159A6">
              <w:t xml:space="preserve"> </w:t>
            </w:r>
            <w:r w:rsidRPr="007C24FC">
              <w:t>QS-21</w:t>
            </w:r>
            <w:r w:rsidR="000159A6">
              <w:t xml:space="preserve"> </w:t>
            </w:r>
            <w:r w:rsidRPr="007C24FC">
              <w:t>and</w:t>
            </w:r>
            <w:r w:rsidR="000159A6">
              <w:t xml:space="preserve"> </w:t>
            </w:r>
            <w:r w:rsidRPr="007C24FC">
              <w:t>liposomes</w:t>
            </w:r>
          </w:p>
        </w:tc>
      </w:tr>
      <w:tr w:rsidR="00D22598" w:rsidRPr="00FD119B" w14:paraId="627FAACF" w14:textId="77777777" w:rsidTr="00FD119B">
        <w:tc>
          <w:tcPr>
            <w:tcW w:w="1809" w:type="dxa"/>
          </w:tcPr>
          <w:p w14:paraId="2A6A84E0" w14:textId="77777777" w:rsidR="00D22598" w:rsidRPr="007C24FC" w:rsidRDefault="00D22598" w:rsidP="00CC47E8">
            <w:r w:rsidRPr="007C24FC">
              <w:t>ATP</w:t>
            </w:r>
          </w:p>
        </w:tc>
        <w:tc>
          <w:tcPr>
            <w:tcW w:w="6911" w:type="dxa"/>
          </w:tcPr>
          <w:p w14:paraId="6A360DE2" w14:textId="77777777" w:rsidR="00D22598" w:rsidRPr="007C24FC" w:rsidRDefault="00D22598" w:rsidP="00CC47E8">
            <w:r w:rsidRPr="007C24FC">
              <w:t>According-To-Protocol</w:t>
            </w:r>
          </w:p>
        </w:tc>
      </w:tr>
      <w:tr w:rsidR="00331AB9" w:rsidRPr="00FD119B" w14:paraId="61449410" w14:textId="77777777" w:rsidTr="00FD119B">
        <w:tc>
          <w:tcPr>
            <w:tcW w:w="1809" w:type="dxa"/>
          </w:tcPr>
          <w:p w14:paraId="0C3FE2B1" w14:textId="77777777" w:rsidR="00331AB9" w:rsidRPr="007C24FC" w:rsidRDefault="00331AB9" w:rsidP="00CC47E8">
            <w:r w:rsidRPr="005C0A6F">
              <w:t>CBER</w:t>
            </w:r>
          </w:p>
        </w:tc>
        <w:tc>
          <w:tcPr>
            <w:tcW w:w="6911" w:type="dxa"/>
          </w:tcPr>
          <w:p w14:paraId="7A7B906A" w14:textId="7562D640" w:rsidR="00331AB9" w:rsidRPr="007C24FC" w:rsidRDefault="00331AB9" w:rsidP="00CC47E8">
            <w:r>
              <w:t>Center</w:t>
            </w:r>
            <w:r w:rsidR="000159A6">
              <w:t xml:space="preserve"> </w:t>
            </w:r>
            <w:r>
              <w:t>for</w:t>
            </w:r>
            <w:r w:rsidR="000159A6">
              <w:t xml:space="preserve"> </w:t>
            </w:r>
            <w:r>
              <w:t>Biologics</w:t>
            </w:r>
            <w:r w:rsidR="000159A6">
              <w:t xml:space="preserve"> </w:t>
            </w:r>
            <w:r>
              <w:t>Evaluation</w:t>
            </w:r>
            <w:r w:rsidR="000159A6">
              <w:t xml:space="preserve"> </w:t>
            </w:r>
            <w:r>
              <w:t>and</w:t>
            </w:r>
            <w:r w:rsidR="000159A6">
              <w:t xml:space="preserve"> </w:t>
            </w:r>
            <w:r>
              <w:t>Research</w:t>
            </w:r>
            <w:r w:rsidR="000159A6">
              <w:t xml:space="preserve"> </w:t>
            </w:r>
            <w:r>
              <w:t>(FDA)</w:t>
            </w:r>
          </w:p>
        </w:tc>
      </w:tr>
      <w:tr w:rsidR="00D22598" w:rsidRPr="00FD119B" w14:paraId="6FA72C18" w14:textId="77777777" w:rsidTr="00FD119B">
        <w:tc>
          <w:tcPr>
            <w:tcW w:w="1809" w:type="dxa"/>
          </w:tcPr>
          <w:p w14:paraId="11BF76AA" w14:textId="77777777" w:rsidR="00D22598" w:rsidRPr="007C24FC" w:rsidRDefault="00D22598" w:rsidP="00CC47E8">
            <w:r>
              <w:t>CD4</w:t>
            </w:r>
          </w:p>
        </w:tc>
        <w:tc>
          <w:tcPr>
            <w:tcW w:w="6911" w:type="dxa"/>
          </w:tcPr>
          <w:p w14:paraId="47370ECF" w14:textId="01FE4C84" w:rsidR="00D22598" w:rsidRPr="007C24FC" w:rsidRDefault="00D22598" w:rsidP="00CC47E8">
            <w:r w:rsidRPr="007C24FC">
              <w:t>Cluster</w:t>
            </w:r>
            <w:r w:rsidR="000159A6">
              <w:t xml:space="preserve"> </w:t>
            </w:r>
            <w:r w:rsidRPr="007C24FC">
              <w:t>of</w:t>
            </w:r>
            <w:r w:rsidR="000159A6">
              <w:t xml:space="preserve"> </w:t>
            </w:r>
            <w:r w:rsidRPr="007C24FC">
              <w:t>differentiation</w:t>
            </w:r>
            <w:r w:rsidR="000159A6">
              <w:t xml:space="preserve"> </w:t>
            </w:r>
            <w:r w:rsidRPr="007C24FC">
              <w:t>marker</w:t>
            </w:r>
            <w:r w:rsidR="000159A6">
              <w:t xml:space="preserve"> </w:t>
            </w:r>
            <w:r w:rsidRPr="007C24FC">
              <w:t>4</w:t>
            </w:r>
          </w:p>
        </w:tc>
      </w:tr>
      <w:tr w:rsidR="00D22598" w:rsidRPr="00FD119B" w14:paraId="575700BC" w14:textId="77777777" w:rsidTr="00FD119B">
        <w:tc>
          <w:tcPr>
            <w:tcW w:w="1809" w:type="dxa"/>
          </w:tcPr>
          <w:p w14:paraId="175191E2" w14:textId="022B8487" w:rsidR="00D22598" w:rsidRPr="007C24FC" w:rsidRDefault="000159A6" w:rsidP="00CC47E8">
            <w:r>
              <w:t>CD8</w:t>
            </w:r>
          </w:p>
        </w:tc>
        <w:tc>
          <w:tcPr>
            <w:tcW w:w="6911" w:type="dxa"/>
          </w:tcPr>
          <w:p w14:paraId="3060C555" w14:textId="3276718F" w:rsidR="00D22598" w:rsidRPr="007C24FC" w:rsidRDefault="00D22598" w:rsidP="00CC47E8">
            <w:r w:rsidRPr="007C24FC">
              <w:t>Cluster</w:t>
            </w:r>
            <w:r w:rsidR="000159A6">
              <w:t xml:space="preserve"> </w:t>
            </w:r>
            <w:r w:rsidRPr="007C24FC">
              <w:t>of</w:t>
            </w:r>
            <w:r w:rsidR="000159A6">
              <w:t xml:space="preserve"> </w:t>
            </w:r>
            <w:r w:rsidRPr="007C24FC">
              <w:t>differentiation</w:t>
            </w:r>
            <w:r w:rsidR="000159A6">
              <w:t xml:space="preserve"> </w:t>
            </w:r>
            <w:r w:rsidRPr="007C24FC">
              <w:t>marker</w:t>
            </w:r>
            <w:r w:rsidR="000159A6">
              <w:t xml:space="preserve"> </w:t>
            </w:r>
            <w:r w:rsidRPr="007C24FC">
              <w:t>8</w:t>
            </w:r>
          </w:p>
        </w:tc>
      </w:tr>
      <w:tr w:rsidR="00D22598" w:rsidRPr="00FD119B" w14:paraId="010C2951" w14:textId="77777777" w:rsidTr="00FD119B">
        <w:tc>
          <w:tcPr>
            <w:tcW w:w="1809" w:type="dxa"/>
          </w:tcPr>
          <w:p w14:paraId="4BD363BA" w14:textId="77777777" w:rsidR="00D22598" w:rsidRPr="007C24FC" w:rsidRDefault="00D22598" w:rsidP="00CC47E8">
            <w:r>
              <w:t>CHMP</w:t>
            </w:r>
          </w:p>
        </w:tc>
        <w:tc>
          <w:tcPr>
            <w:tcW w:w="6911" w:type="dxa"/>
          </w:tcPr>
          <w:p w14:paraId="5573F03E" w14:textId="5BC8FFC3" w:rsidR="00D22598" w:rsidRPr="007C24FC" w:rsidRDefault="00D22598" w:rsidP="00CC47E8">
            <w:r w:rsidRPr="007C24FC">
              <w:t>Committee</w:t>
            </w:r>
            <w:r w:rsidR="000159A6">
              <w:t xml:space="preserve"> </w:t>
            </w:r>
            <w:r w:rsidRPr="007C24FC">
              <w:t>for</w:t>
            </w:r>
            <w:r w:rsidR="000159A6">
              <w:t xml:space="preserve"> </w:t>
            </w:r>
            <w:r w:rsidRPr="007C24FC">
              <w:t>Medicinal</w:t>
            </w:r>
            <w:r w:rsidR="000159A6">
              <w:t xml:space="preserve"> </w:t>
            </w:r>
            <w:r w:rsidRPr="007C24FC">
              <w:t>Products</w:t>
            </w:r>
            <w:r w:rsidR="000159A6">
              <w:t xml:space="preserve"> </w:t>
            </w:r>
            <w:r w:rsidRPr="007C24FC">
              <w:t>for</w:t>
            </w:r>
            <w:r w:rsidR="000159A6">
              <w:t xml:space="preserve"> </w:t>
            </w:r>
            <w:r w:rsidRPr="007C24FC">
              <w:t>Human</w:t>
            </w:r>
            <w:r w:rsidR="000159A6">
              <w:t xml:space="preserve"> </w:t>
            </w:r>
            <w:r w:rsidRPr="007C24FC">
              <w:t>Use</w:t>
            </w:r>
            <w:r w:rsidR="000159A6">
              <w:t xml:space="preserve"> </w:t>
            </w:r>
            <w:r w:rsidR="00331AB9">
              <w:t>(EMA)</w:t>
            </w:r>
          </w:p>
        </w:tc>
      </w:tr>
      <w:tr w:rsidR="00D22598" w:rsidRPr="00FD119B" w14:paraId="72A4A6D6" w14:textId="77777777" w:rsidTr="00FD119B">
        <w:tc>
          <w:tcPr>
            <w:tcW w:w="1809" w:type="dxa"/>
          </w:tcPr>
          <w:p w14:paraId="7E2C9E2B" w14:textId="77777777" w:rsidR="00D22598" w:rsidRPr="007C24FC" w:rsidRDefault="00D22598" w:rsidP="00CC47E8">
            <w:r>
              <w:t>CI</w:t>
            </w:r>
          </w:p>
        </w:tc>
        <w:tc>
          <w:tcPr>
            <w:tcW w:w="6911" w:type="dxa"/>
          </w:tcPr>
          <w:p w14:paraId="62E3AE9C" w14:textId="6D570F94" w:rsidR="00D22598" w:rsidRPr="007C24FC" w:rsidRDefault="00D22598" w:rsidP="00CC47E8">
            <w:r w:rsidRPr="007C24FC">
              <w:t>Confidence</w:t>
            </w:r>
            <w:r w:rsidR="000159A6">
              <w:t xml:space="preserve"> </w:t>
            </w:r>
            <w:r w:rsidR="002C42ED">
              <w:t>i</w:t>
            </w:r>
            <w:r w:rsidRPr="007C24FC">
              <w:t>nterval</w:t>
            </w:r>
          </w:p>
        </w:tc>
      </w:tr>
      <w:tr w:rsidR="00D22598" w:rsidRPr="00FD119B" w14:paraId="6A0FAF12" w14:textId="77777777" w:rsidTr="00FD119B">
        <w:tc>
          <w:tcPr>
            <w:tcW w:w="1809" w:type="dxa"/>
          </w:tcPr>
          <w:p w14:paraId="2DF70870" w14:textId="77777777" w:rsidR="00D22598" w:rsidRPr="007C24FC" w:rsidRDefault="00D22598" w:rsidP="00CC47E8">
            <w:r>
              <w:t>CMI</w:t>
            </w:r>
          </w:p>
        </w:tc>
        <w:tc>
          <w:tcPr>
            <w:tcW w:w="6911" w:type="dxa"/>
          </w:tcPr>
          <w:p w14:paraId="76ED8A23" w14:textId="5426551C" w:rsidR="00D22598" w:rsidRPr="007C24FC" w:rsidRDefault="00D22598" w:rsidP="00CC47E8">
            <w:r w:rsidRPr="007C24FC">
              <w:t>Cell</w:t>
            </w:r>
            <w:r w:rsidR="000159A6">
              <w:t xml:space="preserve"> </w:t>
            </w:r>
            <w:r w:rsidR="002C42ED">
              <w:t>m</w:t>
            </w:r>
            <w:r w:rsidRPr="007C24FC">
              <w:t>ediated</w:t>
            </w:r>
            <w:r w:rsidR="000159A6">
              <w:t xml:space="preserve"> </w:t>
            </w:r>
            <w:r w:rsidR="002C42ED">
              <w:t>i</w:t>
            </w:r>
            <w:r w:rsidR="002C42ED" w:rsidRPr="007C24FC">
              <w:t>mmunity</w:t>
            </w:r>
          </w:p>
        </w:tc>
      </w:tr>
      <w:tr w:rsidR="008D4538" w:rsidRPr="00FD119B" w14:paraId="541FCE98" w14:textId="77777777" w:rsidTr="00FD119B">
        <w:tc>
          <w:tcPr>
            <w:tcW w:w="1809" w:type="dxa"/>
          </w:tcPr>
          <w:p w14:paraId="3B63BD5C" w14:textId="77777777" w:rsidR="008D4538" w:rsidRDefault="008D4538" w:rsidP="00CC47E8">
            <w:r>
              <w:t>CRP</w:t>
            </w:r>
          </w:p>
        </w:tc>
        <w:tc>
          <w:tcPr>
            <w:tcW w:w="6911" w:type="dxa"/>
          </w:tcPr>
          <w:p w14:paraId="3BCD3D28" w14:textId="4148049E" w:rsidR="008D4538" w:rsidRPr="007C24FC" w:rsidRDefault="008D4538" w:rsidP="00CC47E8">
            <w:r>
              <w:t>C-reactive</w:t>
            </w:r>
            <w:r w:rsidR="000159A6">
              <w:t xml:space="preserve"> </w:t>
            </w:r>
            <w:r>
              <w:t>protein</w:t>
            </w:r>
          </w:p>
        </w:tc>
      </w:tr>
      <w:tr w:rsidR="00D22598" w:rsidRPr="00FD119B" w14:paraId="4F995343" w14:textId="77777777" w:rsidTr="00FD119B">
        <w:tc>
          <w:tcPr>
            <w:tcW w:w="1809" w:type="dxa"/>
          </w:tcPr>
          <w:p w14:paraId="3C37F21B" w14:textId="77777777" w:rsidR="00D22598" w:rsidRPr="007C24FC" w:rsidRDefault="00D22598" w:rsidP="00CC47E8">
            <w:r>
              <w:t>CSR</w:t>
            </w:r>
          </w:p>
        </w:tc>
        <w:tc>
          <w:tcPr>
            <w:tcW w:w="6911" w:type="dxa"/>
          </w:tcPr>
          <w:p w14:paraId="4A8263D8" w14:textId="66A2D1BE" w:rsidR="00D22598" w:rsidRPr="007C24FC" w:rsidRDefault="00D22598" w:rsidP="00CC47E8">
            <w:r w:rsidRPr="007C24FC">
              <w:t>Clinical</w:t>
            </w:r>
            <w:r w:rsidR="000159A6">
              <w:t xml:space="preserve"> </w:t>
            </w:r>
            <w:r w:rsidRPr="007C24FC">
              <w:t>Study</w:t>
            </w:r>
            <w:r w:rsidR="000159A6">
              <w:t xml:space="preserve"> </w:t>
            </w:r>
            <w:r w:rsidRPr="007C24FC">
              <w:t>Report</w:t>
            </w:r>
          </w:p>
        </w:tc>
      </w:tr>
      <w:tr w:rsidR="00D22598" w:rsidRPr="00FD119B" w14:paraId="09F55362" w14:textId="77777777" w:rsidTr="00FD119B">
        <w:tc>
          <w:tcPr>
            <w:tcW w:w="1809" w:type="dxa"/>
          </w:tcPr>
          <w:p w14:paraId="6C46650D" w14:textId="77777777" w:rsidR="00D22598" w:rsidRPr="007C24FC" w:rsidRDefault="00D22598" w:rsidP="00CC47E8">
            <w:r w:rsidRPr="007C24FC">
              <w:t>DOPC</w:t>
            </w:r>
          </w:p>
        </w:tc>
        <w:tc>
          <w:tcPr>
            <w:tcW w:w="6911" w:type="dxa"/>
          </w:tcPr>
          <w:p w14:paraId="0AE2D28A" w14:textId="5690BB29" w:rsidR="00D22598" w:rsidRPr="007C24FC" w:rsidRDefault="00D22598" w:rsidP="00CC47E8">
            <w:proofErr w:type="spellStart"/>
            <w:r w:rsidRPr="007C24FC">
              <w:t>Dioleoyl</w:t>
            </w:r>
            <w:proofErr w:type="spellEnd"/>
            <w:r w:rsidR="000159A6">
              <w:t xml:space="preserve"> </w:t>
            </w:r>
            <w:r w:rsidRPr="007C24FC">
              <w:t>Phosphatidylcholine</w:t>
            </w:r>
          </w:p>
        </w:tc>
      </w:tr>
      <w:tr w:rsidR="00D22598" w:rsidRPr="00FD119B" w14:paraId="2B943ADD" w14:textId="77777777" w:rsidTr="00FD119B">
        <w:tc>
          <w:tcPr>
            <w:tcW w:w="1809" w:type="dxa"/>
          </w:tcPr>
          <w:p w14:paraId="727D9B51" w14:textId="77777777" w:rsidR="00D22598" w:rsidRPr="007C24FC" w:rsidRDefault="00D22598" w:rsidP="00CC47E8">
            <w:r>
              <w:t>ELISA</w:t>
            </w:r>
          </w:p>
        </w:tc>
        <w:tc>
          <w:tcPr>
            <w:tcW w:w="6911" w:type="dxa"/>
          </w:tcPr>
          <w:p w14:paraId="65BCF296" w14:textId="38E47763" w:rsidR="00D22598" w:rsidRPr="007C24FC" w:rsidRDefault="00D22598" w:rsidP="00CC47E8">
            <w:r w:rsidRPr="007C24FC">
              <w:t>Enzyme-Linked</w:t>
            </w:r>
            <w:r w:rsidR="000159A6">
              <w:t xml:space="preserve"> </w:t>
            </w:r>
            <w:r w:rsidRPr="007C24FC">
              <w:t>Immunosorbent</w:t>
            </w:r>
            <w:r w:rsidR="000159A6">
              <w:t xml:space="preserve"> </w:t>
            </w:r>
            <w:r w:rsidRPr="007C24FC">
              <w:t>Assay</w:t>
            </w:r>
          </w:p>
        </w:tc>
      </w:tr>
      <w:tr w:rsidR="00D22598" w:rsidRPr="00FD119B" w14:paraId="17E566C2" w14:textId="77777777" w:rsidTr="00FD119B">
        <w:tc>
          <w:tcPr>
            <w:tcW w:w="1809" w:type="dxa"/>
          </w:tcPr>
          <w:p w14:paraId="3B209C31" w14:textId="77777777" w:rsidR="00D22598" w:rsidRPr="007C24FC" w:rsidRDefault="00D22598" w:rsidP="00CC47E8">
            <w:r>
              <w:t>EMA</w:t>
            </w:r>
          </w:p>
        </w:tc>
        <w:tc>
          <w:tcPr>
            <w:tcW w:w="6911" w:type="dxa"/>
          </w:tcPr>
          <w:p w14:paraId="71A2C8D4" w14:textId="6B7717AB" w:rsidR="00D22598" w:rsidRPr="007C24FC" w:rsidRDefault="00D22598" w:rsidP="00CC47E8">
            <w:r w:rsidRPr="007C24FC">
              <w:t>European</w:t>
            </w:r>
            <w:r w:rsidR="000159A6">
              <w:t xml:space="preserve"> </w:t>
            </w:r>
            <w:r w:rsidRPr="007C24FC">
              <w:t>Medicines</w:t>
            </w:r>
            <w:r w:rsidR="000159A6">
              <w:t xml:space="preserve"> </w:t>
            </w:r>
            <w:r w:rsidRPr="007C24FC">
              <w:t>Agency,</w:t>
            </w:r>
            <w:r w:rsidR="000159A6">
              <w:t xml:space="preserve"> </w:t>
            </w:r>
            <w:r w:rsidRPr="007C24FC">
              <w:t>EU</w:t>
            </w:r>
          </w:p>
        </w:tc>
      </w:tr>
      <w:tr w:rsidR="00D22598" w:rsidRPr="00FD119B" w14:paraId="631BA4E2" w14:textId="77777777" w:rsidTr="00FD119B">
        <w:tc>
          <w:tcPr>
            <w:tcW w:w="1809" w:type="dxa"/>
          </w:tcPr>
          <w:p w14:paraId="1A2D8B32" w14:textId="77777777" w:rsidR="00D22598" w:rsidRPr="007C24FC" w:rsidRDefault="00D22598" w:rsidP="00CC47E8">
            <w:r>
              <w:t>EOS</w:t>
            </w:r>
          </w:p>
        </w:tc>
        <w:tc>
          <w:tcPr>
            <w:tcW w:w="6911" w:type="dxa"/>
          </w:tcPr>
          <w:p w14:paraId="205A23E9" w14:textId="76266609" w:rsidR="00D22598" w:rsidRPr="007C24FC" w:rsidRDefault="00D22598" w:rsidP="00CC47E8">
            <w:r w:rsidRPr="007C24FC">
              <w:t>End</w:t>
            </w:r>
            <w:r w:rsidR="000159A6">
              <w:t xml:space="preserve"> </w:t>
            </w:r>
            <w:r w:rsidRPr="007C24FC">
              <w:t>of</w:t>
            </w:r>
            <w:r w:rsidR="000159A6">
              <w:t xml:space="preserve"> </w:t>
            </w:r>
            <w:r w:rsidR="002C42ED">
              <w:t>s</w:t>
            </w:r>
            <w:r w:rsidR="002C42ED" w:rsidRPr="007C24FC">
              <w:t>tudy</w:t>
            </w:r>
          </w:p>
        </w:tc>
      </w:tr>
      <w:tr w:rsidR="00D22598" w:rsidRPr="00FD119B" w14:paraId="2BD5D324" w14:textId="77777777" w:rsidTr="00FD119B">
        <w:tc>
          <w:tcPr>
            <w:tcW w:w="1809" w:type="dxa"/>
          </w:tcPr>
          <w:p w14:paraId="335F3A83" w14:textId="77777777" w:rsidR="00D22598" w:rsidRPr="007C24FC" w:rsidRDefault="00D22598" w:rsidP="00CC47E8">
            <w:r>
              <w:t>EU</w:t>
            </w:r>
          </w:p>
        </w:tc>
        <w:tc>
          <w:tcPr>
            <w:tcW w:w="6911" w:type="dxa"/>
          </w:tcPr>
          <w:p w14:paraId="4F52C354" w14:textId="45FCD5C7" w:rsidR="00D22598" w:rsidRPr="007C24FC" w:rsidRDefault="00D22598" w:rsidP="00CC47E8">
            <w:r w:rsidRPr="007C24FC">
              <w:t>European</w:t>
            </w:r>
            <w:r w:rsidR="000159A6">
              <w:t xml:space="preserve"> </w:t>
            </w:r>
            <w:r w:rsidRPr="007C24FC">
              <w:t>Union</w:t>
            </w:r>
          </w:p>
        </w:tc>
      </w:tr>
      <w:tr w:rsidR="00D22598" w:rsidRPr="00FD119B" w14:paraId="19EF4E6C" w14:textId="77777777" w:rsidTr="00FD119B">
        <w:tc>
          <w:tcPr>
            <w:tcW w:w="1809" w:type="dxa"/>
          </w:tcPr>
          <w:p w14:paraId="6BAA8514" w14:textId="77777777" w:rsidR="00D22598" w:rsidRPr="007C24FC" w:rsidRDefault="00D22598" w:rsidP="00CC47E8">
            <w:r>
              <w:t>FDA</w:t>
            </w:r>
          </w:p>
        </w:tc>
        <w:tc>
          <w:tcPr>
            <w:tcW w:w="6911" w:type="dxa"/>
          </w:tcPr>
          <w:p w14:paraId="0853BDAD" w14:textId="3314B9A9" w:rsidR="00D22598" w:rsidRPr="007C24FC" w:rsidRDefault="00D22598" w:rsidP="00CC47E8">
            <w:r w:rsidRPr="007C24FC">
              <w:t>Food</w:t>
            </w:r>
            <w:r w:rsidR="000159A6">
              <w:t xml:space="preserve"> </w:t>
            </w:r>
            <w:r w:rsidRPr="007C24FC">
              <w:t>and</w:t>
            </w:r>
            <w:r w:rsidR="000159A6">
              <w:t xml:space="preserve"> </w:t>
            </w:r>
            <w:r w:rsidRPr="007C24FC">
              <w:t>Drug</w:t>
            </w:r>
            <w:r w:rsidR="000159A6">
              <w:t xml:space="preserve"> </w:t>
            </w:r>
            <w:r w:rsidRPr="007C24FC">
              <w:t>Administration,</w:t>
            </w:r>
            <w:r w:rsidR="000159A6">
              <w:t xml:space="preserve"> </w:t>
            </w:r>
            <w:r w:rsidRPr="007C24FC">
              <w:t>US</w:t>
            </w:r>
          </w:p>
        </w:tc>
      </w:tr>
      <w:tr w:rsidR="00D22598" w:rsidRPr="00FD119B" w14:paraId="33C0A91F" w14:textId="77777777" w:rsidTr="00FD119B">
        <w:tc>
          <w:tcPr>
            <w:tcW w:w="1809" w:type="dxa"/>
          </w:tcPr>
          <w:p w14:paraId="69A82ABC" w14:textId="77777777" w:rsidR="00D22598" w:rsidRPr="007C24FC" w:rsidRDefault="00D22598" w:rsidP="00CC47E8">
            <w:r w:rsidRPr="007C24FC">
              <w:t>FLU-D-QIV</w:t>
            </w:r>
          </w:p>
        </w:tc>
        <w:tc>
          <w:tcPr>
            <w:tcW w:w="6911" w:type="dxa"/>
          </w:tcPr>
          <w:p w14:paraId="7BE0DAE1" w14:textId="17260E0F" w:rsidR="00D22598" w:rsidRPr="007C24FC" w:rsidRDefault="00D22598" w:rsidP="00CC47E8">
            <w:r w:rsidRPr="007C24FC">
              <w:t>GlaxoSmithKline’s</w:t>
            </w:r>
            <w:r w:rsidR="000159A6">
              <w:t xml:space="preserve"> </w:t>
            </w:r>
            <w:proofErr w:type="spellStart"/>
            <w:r w:rsidRPr="007C24FC">
              <w:t>unadjuvanted</w:t>
            </w:r>
            <w:proofErr w:type="spellEnd"/>
            <w:r w:rsidR="000159A6">
              <w:t xml:space="preserve"> </w:t>
            </w:r>
            <w:proofErr w:type="spellStart"/>
            <w:r w:rsidRPr="007C24FC">
              <w:t>quadrivalent</w:t>
            </w:r>
            <w:proofErr w:type="spellEnd"/>
            <w:r w:rsidR="000159A6">
              <w:t xml:space="preserve"> </w:t>
            </w:r>
            <w:r w:rsidRPr="007C24FC">
              <w:t>seasonal</w:t>
            </w:r>
            <w:r w:rsidR="000159A6">
              <w:t xml:space="preserve"> </w:t>
            </w:r>
            <w:r w:rsidRPr="007C24FC">
              <w:t>influenza</w:t>
            </w:r>
            <w:r w:rsidR="000159A6">
              <w:t xml:space="preserve"> </w:t>
            </w:r>
            <w:r w:rsidRPr="007C24FC">
              <w:t>vaccine</w:t>
            </w:r>
          </w:p>
        </w:tc>
      </w:tr>
      <w:tr w:rsidR="00D22598" w:rsidRPr="00FD119B" w14:paraId="06EC9E2C" w14:textId="77777777" w:rsidTr="00FD119B">
        <w:tc>
          <w:tcPr>
            <w:tcW w:w="1809" w:type="dxa"/>
          </w:tcPr>
          <w:p w14:paraId="30EF1DB1" w14:textId="77777777" w:rsidR="00D22598" w:rsidRPr="007C24FC" w:rsidRDefault="00D22598" w:rsidP="00CC47E8">
            <w:r>
              <w:t>GCP</w:t>
            </w:r>
          </w:p>
        </w:tc>
        <w:tc>
          <w:tcPr>
            <w:tcW w:w="6911" w:type="dxa"/>
          </w:tcPr>
          <w:p w14:paraId="19CA812F" w14:textId="24D2DD31" w:rsidR="00D22598" w:rsidRPr="007C24FC" w:rsidRDefault="00D22598" w:rsidP="00CC47E8">
            <w:r w:rsidRPr="007C24FC">
              <w:t>Good</w:t>
            </w:r>
            <w:r w:rsidR="000159A6">
              <w:t xml:space="preserve"> </w:t>
            </w:r>
            <w:r w:rsidRPr="007C24FC">
              <w:t>Clinical</w:t>
            </w:r>
            <w:r w:rsidR="000159A6">
              <w:t xml:space="preserve"> </w:t>
            </w:r>
            <w:r w:rsidRPr="007C24FC">
              <w:t>Practice</w:t>
            </w:r>
          </w:p>
        </w:tc>
      </w:tr>
      <w:tr w:rsidR="00D22598" w:rsidRPr="00507966" w14:paraId="60AA12F0" w14:textId="77777777" w:rsidTr="00FD119B">
        <w:tc>
          <w:tcPr>
            <w:tcW w:w="1809" w:type="dxa"/>
          </w:tcPr>
          <w:p w14:paraId="77AAA953" w14:textId="77777777" w:rsidR="00D22598" w:rsidRPr="007C24FC" w:rsidRDefault="00D22598" w:rsidP="00CC47E8">
            <w:r>
              <w:t>gE</w:t>
            </w:r>
          </w:p>
        </w:tc>
        <w:tc>
          <w:tcPr>
            <w:tcW w:w="6911" w:type="dxa"/>
          </w:tcPr>
          <w:p w14:paraId="6C346FC6" w14:textId="273FB120" w:rsidR="00D22598" w:rsidRPr="0070024F" w:rsidRDefault="00D22598" w:rsidP="00CC47E8">
            <w:pPr>
              <w:rPr>
                <w:lang w:val="it-IT"/>
              </w:rPr>
            </w:pPr>
            <w:r w:rsidRPr="0070024F">
              <w:rPr>
                <w:lang w:val="it-IT"/>
              </w:rPr>
              <w:t>Glycoprotein</w:t>
            </w:r>
            <w:r w:rsidR="000159A6">
              <w:rPr>
                <w:lang w:val="it-IT"/>
              </w:rPr>
              <w:t xml:space="preserve"> </w:t>
            </w:r>
            <w:r w:rsidRPr="0070024F">
              <w:rPr>
                <w:lang w:val="it-IT"/>
              </w:rPr>
              <w:t>E</w:t>
            </w:r>
            <w:r w:rsidR="000159A6">
              <w:rPr>
                <w:lang w:val="it-IT"/>
              </w:rPr>
              <w:t xml:space="preserve"> </w:t>
            </w:r>
            <w:r w:rsidR="00331AB9" w:rsidRPr="0070024F">
              <w:rPr>
                <w:lang w:val="it-IT"/>
              </w:rPr>
              <w:t>(of</w:t>
            </w:r>
            <w:r w:rsidR="000159A6">
              <w:rPr>
                <w:lang w:val="it-IT"/>
              </w:rPr>
              <w:t xml:space="preserve"> </w:t>
            </w:r>
            <w:r w:rsidR="002C42ED">
              <w:t>v</w:t>
            </w:r>
            <w:r w:rsidR="002C42ED" w:rsidRPr="002C42ED">
              <w:t>aricella</w:t>
            </w:r>
            <w:r w:rsidR="000159A6">
              <w:rPr>
                <w:lang w:val="it-IT"/>
              </w:rPr>
              <w:t xml:space="preserve"> </w:t>
            </w:r>
            <w:r w:rsidR="002C42ED">
              <w:rPr>
                <w:lang w:val="it-IT"/>
              </w:rPr>
              <w:t>z</w:t>
            </w:r>
            <w:r w:rsidR="002C42ED" w:rsidRPr="0070024F">
              <w:rPr>
                <w:lang w:val="it-IT"/>
              </w:rPr>
              <w:t>oster</w:t>
            </w:r>
            <w:r w:rsidR="00331AB9" w:rsidRPr="0070024F">
              <w:rPr>
                <w:lang w:val="it-IT"/>
              </w:rPr>
              <w:t>)</w:t>
            </w:r>
          </w:p>
        </w:tc>
      </w:tr>
      <w:tr w:rsidR="00D22598" w:rsidRPr="00FD119B" w14:paraId="3737BA14" w14:textId="77777777" w:rsidTr="00FD119B">
        <w:tc>
          <w:tcPr>
            <w:tcW w:w="1809" w:type="dxa"/>
          </w:tcPr>
          <w:p w14:paraId="0E5FDC37" w14:textId="77777777" w:rsidR="00D22598" w:rsidRPr="007C24FC" w:rsidRDefault="00D22598" w:rsidP="00CC47E8">
            <w:r>
              <w:t>GMC</w:t>
            </w:r>
          </w:p>
        </w:tc>
        <w:tc>
          <w:tcPr>
            <w:tcW w:w="6911" w:type="dxa"/>
          </w:tcPr>
          <w:p w14:paraId="6F06C783" w14:textId="771E81C4" w:rsidR="00D22598" w:rsidRPr="007C24FC" w:rsidRDefault="00D22598" w:rsidP="00CC47E8">
            <w:r w:rsidRPr="007C24FC">
              <w:t>Geometric</w:t>
            </w:r>
            <w:r w:rsidR="000159A6">
              <w:t xml:space="preserve"> </w:t>
            </w:r>
            <w:r w:rsidR="002C42ED">
              <w:t>m</w:t>
            </w:r>
            <w:r w:rsidR="002C42ED" w:rsidRPr="007C24FC">
              <w:t>ean</w:t>
            </w:r>
            <w:r w:rsidR="000159A6">
              <w:t xml:space="preserve"> </w:t>
            </w:r>
            <w:r w:rsidR="002C42ED">
              <w:t>c</w:t>
            </w:r>
            <w:r w:rsidR="002C42ED" w:rsidRPr="007C24FC">
              <w:t>oncentration</w:t>
            </w:r>
          </w:p>
        </w:tc>
      </w:tr>
      <w:tr w:rsidR="00FF12AA" w:rsidRPr="00FD119B" w14:paraId="2E68D0BA" w14:textId="77777777" w:rsidTr="00FD119B">
        <w:tc>
          <w:tcPr>
            <w:tcW w:w="1809" w:type="dxa"/>
          </w:tcPr>
          <w:p w14:paraId="11AB40CD" w14:textId="77777777" w:rsidR="00FF12AA" w:rsidRDefault="00FF12AA" w:rsidP="00CC47E8">
            <w:r w:rsidRPr="00F61B2D">
              <w:lastRenderedPageBreak/>
              <w:t>GMP</w:t>
            </w:r>
          </w:p>
        </w:tc>
        <w:tc>
          <w:tcPr>
            <w:tcW w:w="6911" w:type="dxa"/>
          </w:tcPr>
          <w:p w14:paraId="5007F095" w14:textId="71039F11" w:rsidR="00FF12AA" w:rsidRPr="007C24FC" w:rsidRDefault="00FF12AA" w:rsidP="00CC47E8">
            <w:r>
              <w:t>Good</w:t>
            </w:r>
            <w:r w:rsidR="000159A6">
              <w:t xml:space="preserve"> </w:t>
            </w:r>
            <w:r w:rsidR="002C42ED">
              <w:t>Manufacturing</w:t>
            </w:r>
            <w:r w:rsidR="000159A6">
              <w:t xml:space="preserve"> </w:t>
            </w:r>
            <w:r w:rsidR="002C42ED">
              <w:t>Practice</w:t>
            </w:r>
          </w:p>
        </w:tc>
      </w:tr>
      <w:tr w:rsidR="00D22598" w:rsidRPr="00FD119B" w14:paraId="2FF92C92" w14:textId="77777777" w:rsidTr="00FD119B">
        <w:tc>
          <w:tcPr>
            <w:tcW w:w="1809" w:type="dxa"/>
          </w:tcPr>
          <w:p w14:paraId="65B1D8B6" w14:textId="77777777" w:rsidR="00D22598" w:rsidRPr="007C24FC" w:rsidRDefault="00D22598" w:rsidP="00CC47E8">
            <w:r>
              <w:t>GSK</w:t>
            </w:r>
          </w:p>
        </w:tc>
        <w:tc>
          <w:tcPr>
            <w:tcW w:w="6911" w:type="dxa"/>
          </w:tcPr>
          <w:p w14:paraId="2579119C" w14:textId="77777777" w:rsidR="00D22598" w:rsidRPr="007C24FC" w:rsidRDefault="00D22598" w:rsidP="00CC47E8">
            <w:r w:rsidRPr="007C24FC">
              <w:t>GlaxoSmithKline</w:t>
            </w:r>
          </w:p>
        </w:tc>
      </w:tr>
      <w:tr w:rsidR="00D22598" w:rsidRPr="00FD119B" w14:paraId="3C543C45" w14:textId="77777777" w:rsidTr="00FD119B">
        <w:tc>
          <w:tcPr>
            <w:tcW w:w="1809" w:type="dxa"/>
          </w:tcPr>
          <w:p w14:paraId="2BC2C5DF" w14:textId="77777777" w:rsidR="00D22598" w:rsidRPr="007C24FC" w:rsidRDefault="00D22598" w:rsidP="00CC47E8">
            <w:r>
              <w:t>HCT</w:t>
            </w:r>
          </w:p>
        </w:tc>
        <w:tc>
          <w:tcPr>
            <w:tcW w:w="6911" w:type="dxa"/>
          </w:tcPr>
          <w:p w14:paraId="24D3F690" w14:textId="7868F12D" w:rsidR="00D22598" w:rsidRPr="007C24FC" w:rsidRDefault="00D22598" w:rsidP="00CC47E8">
            <w:r w:rsidRPr="007C24FC">
              <w:t>Haematopoietic</w:t>
            </w:r>
            <w:r w:rsidR="000159A6">
              <w:t xml:space="preserve"> </w:t>
            </w:r>
            <w:r w:rsidRPr="007C24FC">
              <w:t>stem</w:t>
            </w:r>
            <w:r w:rsidR="000159A6">
              <w:t xml:space="preserve"> </w:t>
            </w:r>
            <w:r w:rsidR="002C42ED">
              <w:t>c</w:t>
            </w:r>
            <w:r w:rsidRPr="007C24FC">
              <w:t>ell</w:t>
            </w:r>
            <w:r w:rsidR="000159A6">
              <w:t xml:space="preserve"> </w:t>
            </w:r>
            <w:r w:rsidR="002C42ED">
              <w:t>t</w:t>
            </w:r>
            <w:r w:rsidRPr="007C24FC">
              <w:t>ransplant</w:t>
            </w:r>
          </w:p>
        </w:tc>
      </w:tr>
      <w:tr w:rsidR="00D22598" w:rsidRPr="00FD119B" w14:paraId="4AA3D2BE" w14:textId="77777777" w:rsidTr="00FD119B">
        <w:tc>
          <w:tcPr>
            <w:tcW w:w="1809" w:type="dxa"/>
          </w:tcPr>
          <w:p w14:paraId="6926C28E" w14:textId="77777777" w:rsidR="00D22598" w:rsidRPr="007C24FC" w:rsidRDefault="00D22598" w:rsidP="00CC47E8">
            <w:r>
              <w:t>HIV</w:t>
            </w:r>
          </w:p>
        </w:tc>
        <w:tc>
          <w:tcPr>
            <w:tcW w:w="6911" w:type="dxa"/>
          </w:tcPr>
          <w:p w14:paraId="10B2C789" w14:textId="3925C7B7" w:rsidR="00D22598" w:rsidRPr="007C24FC" w:rsidRDefault="00D22598" w:rsidP="00CC47E8">
            <w:r w:rsidRPr="007C24FC">
              <w:t>Human</w:t>
            </w:r>
            <w:r w:rsidR="000159A6">
              <w:t xml:space="preserve"> </w:t>
            </w:r>
            <w:r w:rsidR="002C42ED">
              <w:t>i</w:t>
            </w:r>
            <w:r w:rsidRPr="007C24FC">
              <w:t>mmunodeficiency</w:t>
            </w:r>
            <w:r w:rsidR="000159A6">
              <w:t xml:space="preserve"> </w:t>
            </w:r>
            <w:r w:rsidR="002C42ED">
              <w:t>v</w:t>
            </w:r>
            <w:r w:rsidRPr="007C24FC">
              <w:t>irus</w:t>
            </w:r>
          </w:p>
        </w:tc>
      </w:tr>
      <w:tr w:rsidR="00D22598" w:rsidRPr="00FD119B" w14:paraId="63D12769" w14:textId="77777777" w:rsidTr="00FD119B">
        <w:tc>
          <w:tcPr>
            <w:tcW w:w="1809" w:type="dxa"/>
          </w:tcPr>
          <w:p w14:paraId="0F8901F4" w14:textId="77777777" w:rsidR="00D22598" w:rsidRPr="007C24FC" w:rsidRDefault="00D22598" w:rsidP="00CC47E8">
            <w:r w:rsidRPr="007C24FC">
              <w:t>HZ</w:t>
            </w:r>
          </w:p>
        </w:tc>
        <w:tc>
          <w:tcPr>
            <w:tcW w:w="6911" w:type="dxa"/>
          </w:tcPr>
          <w:p w14:paraId="63FF12F9" w14:textId="2BDE690D" w:rsidR="00D22598" w:rsidRPr="007C24FC" w:rsidRDefault="00D22598" w:rsidP="00CC47E8">
            <w:r w:rsidRPr="007C24FC">
              <w:t>Herpes</w:t>
            </w:r>
            <w:r w:rsidR="000159A6">
              <w:t xml:space="preserve"> </w:t>
            </w:r>
            <w:r w:rsidR="002C42ED">
              <w:t>z</w:t>
            </w:r>
            <w:r w:rsidR="002C42ED" w:rsidRPr="007C24FC">
              <w:t>oster</w:t>
            </w:r>
          </w:p>
        </w:tc>
      </w:tr>
      <w:tr w:rsidR="00D22598" w:rsidRPr="00FD119B" w14:paraId="42898AB3" w14:textId="77777777" w:rsidTr="00FD119B">
        <w:tc>
          <w:tcPr>
            <w:tcW w:w="1809" w:type="dxa"/>
          </w:tcPr>
          <w:p w14:paraId="3E39DBEE" w14:textId="77777777" w:rsidR="00D22598" w:rsidRPr="007C24FC" w:rsidRDefault="00D22598" w:rsidP="00CC47E8">
            <w:r w:rsidRPr="007C24FC">
              <w:t>HZ/</w:t>
            </w:r>
            <w:proofErr w:type="spellStart"/>
            <w:r w:rsidRPr="007C24FC">
              <w:t>su</w:t>
            </w:r>
            <w:proofErr w:type="spellEnd"/>
          </w:p>
        </w:tc>
        <w:tc>
          <w:tcPr>
            <w:tcW w:w="6911" w:type="dxa"/>
          </w:tcPr>
          <w:p w14:paraId="7A97CDEC" w14:textId="5ADC5DD5" w:rsidR="00D22598" w:rsidRPr="007C24FC" w:rsidRDefault="00D22598" w:rsidP="00CC47E8">
            <w:r w:rsidRPr="007C24FC">
              <w:t>Herpes</w:t>
            </w:r>
            <w:r w:rsidR="000159A6">
              <w:t xml:space="preserve"> </w:t>
            </w:r>
            <w:r w:rsidR="002C42ED">
              <w:t>z</w:t>
            </w:r>
            <w:r w:rsidR="002C42ED" w:rsidRPr="007C24FC">
              <w:t>oster</w:t>
            </w:r>
            <w:r w:rsidR="000159A6">
              <w:t xml:space="preserve"> </w:t>
            </w:r>
            <w:r w:rsidRPr="007C24FC">
              <w:t>subunit</w:t>
            </w:r>
            <w:r w:rsidR="000159A6">
              <w:t xml:space="preserve"> </w:t>
            </w:r>
            <w:r w:rsidRPr="007C24FC">
              <w:t>candidate</w:t>
            </w:r>
            <w:r w:rsidR="000159A6">
              <w:t xml:space="preserve"> </w:t>
            </w:r>
            <w:r w:rsidRPr="007C24FC">
              <w:t>vaccine</w:t>
            </w:r>
            <w:r w:rsidR="000159A6">
              <w:t xml:space="preserve"> </w:t>
            </w:r>
            <w:r w:rsidRPr="007C24FC">
              <w:t>(50</w:t>
            </w:r>
            <w:r w:rsidR="000159A6">
              <w:t xml:space="preserve"> </w:t>
            </w:r>
            <w:r w:rsidRPr="007C24FC">
              <w:t>μg</w:t>
            </w:r>
            <w:r w:rsidR="000159A6">
              <w:t xml:space="preserve"> </w:t>
            </w:r>
            <w:r w:rsidRPr="007C24FC">
              <w:t>gE/</w:t>
            </w:r>
            <w:r w:rsidR="000159A6">
              <w:t xml:space="preserve"> </w:t>
            </w:r>
            <w:r w:rsidRPr="007C24FC">
              <w:t>AS01</w:t>
            </w:r>
            <w:r w:rsidR="000159A6">
              <w:t xml:space="preserve"> </w:t>
            </w:r>
            <w:r w:rsidRPr="007C24FC">
              <w:t>B),</w:t>
            </w:r>
            <w:r w:rsidR="000159A6">
              <w:t xml:space="preserve"> </w:t>
            </w:r>
            <w:r w:rsidRPr="007C24FC">
              <w:t>also</w:t>
            </w:r>
            <w:r w:rsidR="000159A6">
              <w:t xml:space="preserve"> </w:t>
            </w:r>
            <w:r w:rsidRPr="007C24FC">
              <w:t>cal</w:t>
            </w:r>
            <w:r w:rsidR="00FF12AA">
              <w:t>led</w:t>
            </w:r>
            <w:r w:rsidR="000159A6">
              <w:t xml:space="preserve"> </w:t>
            </w:r>
            <w:r w:rsidR="00FF12AA">
              <w:t>gE/</w:t>
            </w:r>
            <w:r w:rsidR="00503D1B">
              <w:t>AS01</w:t>
            </w:r>
            <w:r w:rsidR="00503D1B" w:rsidRPr="00570F2D">
              <w:rPr>
                <w:vertAlign w:val="subscript"/>
              </w:rPr>
              <w:t>B</w:t>
            </w:r>
            <w:r w:rsidR="000159A6">
              <w:t xml:space="preserve"> </w:t>
            </w:r>
            <w:r w:rsidR="001141E8">
              <w:t>candidate</w:t>
            </w:r>
            <w:r w:rsidR="000159A6">
              <w:t xml:space="preserve"> </w:t>
            </w:r>
            <w:r w:rsidR="001141E8">
              <w:t>vaccine</w:t>
            </w:r>
          </w:p>
        </w:tc>
      </w:tr>
      <w:tr w:rsidR="00D22598" w:rsidRPr="00FD119B" w14:paraId="279AC6CF" w14:textId="77777777" w:rsidTr="00FD119B">
        <w:tc>
          <w:tcPr>
            <w:tcW w:w="1809" w:type="dxa"/>
          </w:tcPr>
          <w:p w14:paraId="3A30802C" w14:textId="77777777" w:rsidR="00D22598" w:rsidRPr="007C24FC" w:rsidRDefault="00D22598" w:rsidP="00CC47E8">
            <w:r>
              <w:t>IC</w:t>
            </w:r>
          </w:p>
        </w:tc>
        <w:tc>
          <w:tcPr>
            <w:tcW w:w="6911" w:type="dxa"/>
          </w:tcPr>
          <w:p w14:paraId="4FB93847" w14:textId="77777777" w:rsidR="00D22598" w:rsidRPr="007C24FC" w:rsidRDefault="00D22598" w:rsidP="00CC47E8">
            <w:r w:rsidRPr="007C24FC">
              <w:t>Immunocompromised</w:t>
            </w:r>
          </w:p>
        </w:tc>
      </w:tr>
      <w:tr w:rsidR="00D22598" w:rsidRPr="00FD119B" w14:paraId="33797F7B" w14:textId="77777777" w:rsidTr="00FD119B">
        <w:tc>
          <w:tcPr>
            <w:tcW w:w="1809" w:type="dxa"/>
          </w:tcPr>
          <w:p w14:paraId="1BD8AA24" w14:textId="77777777" w:rsidR="00D22598" w:rsidRPr="007C24FC" w:rsidRDefault="00D22598" w:rsidP="00CC47E8">
            <w:r>
              <w:t>ICH</w:t>
            </w:r>
          </w:p>
        </w:tc>
        <w:tc>
          <w:tcPr>
            <w:tcW w:w="6911" w:type="dxa"/>
          </w:tcPr>
          <w:p w14:paraId="528FC75E" w14:textId="279AD07B" w:rsidR="00D22598" w:rsidRPr="007C24FC" w:rsidRDefault="00D22598" w:rsidP="00CC47E8">
            <w:r w:rsidRPr="007C24FC">
              <w:t>International</w:t>
            </w:r>
            <w:r w:rsidR="000159A6">
              <w:t xml:space="preserve"> </w:t>
            </w:r>
            <w:r w:rsidRPr="007C24FC">
              <w:t>Conference</w:t>
            </w:r>
            <w:r w:rsidR="000159A6">
              <w:t xml:space="preserve"> </w:t>
            </w:r>
            <w:r w:rsidRPr="007C24FC">
              <w:t>on</w:t>
            </w:r>
            <w:r w:rsidR="000159A6">
              <w:t xml:space="preserve"> </w:t>
            </w:r>
            <w:r w:rsidR="002C42ED" w:rsidRPr="007C24FC">
              <w:t>Harmoni</w:t>
            </w:r>
            <w:r w:rsidR="002C42ED">
              <w:t>s</w:t>
            </w:r>
            <w:r w:rsidR="002C42ED" w:rsidRPr="007C24FC">
              <w:t>ation</w:t>
            </w:r>
          </w:p>
        </w:tc>
      </w:tr>
      <w:tr w:rsidR="00D22598" w:rsidRPr="00FD119B" w14:paraId="4EA188F6" w14:textId="77777777" w:rsidTr="00FD119B">
        <w:tc>
          <w:tcPr>
            <w:tcW w:w="1809" w:type="dxa"/>
          </w:tcPr>
          <w:p w14:paraId="0308B536" w14:textId="77777777" w:rsidR="00D22598" w:rsidRPr="007C24FC" w:rsidRDefault="00D22598" w:rsidP="00CC47E8">
            <w:r>
              <w:t>IDMC</w:t>
            </w:r>
          </w:p>
        </w:tc>
        <w:tc>
          <w:tcPr>
            <w:tcW w:w="6911" w:type="dxa"/>
          </w:tcPr>
          <w:p w14:paraId="3B57475C" w14:textId="71658949" w:rsidR="00D22598" w:rsidRPr="007C24FC" w:rsidRDefault="00D22598" w:rsidP="00CC47E8">
            <w:r w:rsidRPr="007C24FC">
              <w:t>Independent</w:t>
            </w:r>
            <w:r w:rsidR="000159A6">
              <w:t xml:space="preserve"> </w:t>
            </w:r>
            <w:r w:rsidRPr="007C24FC">
              <w:t>Data</w:t>
            </w:r>
            <w:r w:rsidR="000159A6">
              <w:t xml:space="preserve"> </w:t>
            </w:r>
            <w:r w:rsidRPr="007C24FC">
              <w:t>Monitoring</w:t>
            </w:r>
            <w:r w:rsidR="000159A6">
              <w:t xml:space="preserve"> </w:t>
            </w:r>
            <w:r w:rsidRPr="007C24FC">
              <w:t>Committee</w:t>
            </w:r>
          </w:p>
        </w:tc>
      </w:tr>
      <w:tr w:rsidR="00D22598" w:rsidRPr="00FD119B" w14:paraId="7118515A" w14:textId="77777777" w:rsidTr="00FD119B">
        <w:tc>
          <w:tcPr>
            <w:tcW w:w="1809" w:type="dxa"/>
          </w:tcPr>
          <w:p w14:paraId="4AEA27EC" w14:textId="77777777" w:rsidR="00D22598" w:rsidRPr="007C24FC" w:rsidRDefault="00D22598" w:rsidP="00CC47E8">
            <w:r>
              <w:t>IFN-γ</w:t>
            </w:r>
          </w:p>
        </w:tc>
        <w:tc>
          <w:tcPr>
            <w:tcW w:w="6911" w:type="dxa"/>
          </w:tcPr>
          <w:p w14:paraId="7AD2F1FD" w14:textId="355B5756" w:rsidR="00D22598" w:rsidRPr="007C24FC" w:rsidRDefault="00D22598" w:rsidP="00CC47E8">
            <w:r w:rsidRPr="007C24FC">
              <w:t>Interferon</w:t>
            </w:r>
            <w:r w:rsidR="000159A6">
              <w:t xml:space="preserve"> </w:t>
            </w:r>
            <w:r w:rsidRPr="007C24FC">
              <w:t>gamma</w:t>
            </w:r>
          </w:p>
        </w:tc>
      </w:tr>
      <w:tr w:rsidR="00D22598" w:rsidRPr="00FD119B" w14:paraId="798882CF" w14:textId="77777777" w:rsidTr="00FD119B">
        <w:tc>
          <w:tcPr>
            <w:tcW w:w="1809" w:type="dxa"/>
          </w:tcPr>
          <w:p w14:paraId="60ADACAD" w14:textId="77777777" w:rsidR="00D22598" w:rsidRPr="007C24FC" w:rsidRDefault="00D22598" w:rsidP="00CC47E8">
            <w:r w:rsidRPr="007C24FC">
              <w:t>IL-2</w:t>
            </w:r>
          </w:p>
        </w:tc>
        <w:tc>
          <w:tcPr>
            <w:tcW w:w="6911" w:type="dxa"/>
          </w:tcPr>
          <w:p w14:paraId="2CC0BFFA" w14:textId="003F2844" w:rsidR="00D22598" w:rsidRPr="007C24FC" w:rsidRDefault="00D22598" w:rsidP="00CC47E8">
            <w:r w:rsidRPr="007C24FC">
              <w:t>Interleukin</w:t>
            </w:r>
            <w:r w:rsidR="000159A6">
              <w:t xml:space="preserve"> </w:t>
            </w:r>
            <w:r w:rsidRPr="007C24FC">
              <w:t>2</w:t>
            </w:r>
          </w:p>
        </w:tc>
      </w:tr>
      <w:tr w:rsidR="00D22598" w:rsidRPr="00FD119B" w14:paraId="029C0151" w14:textId="77777777" w:rsidTr="00FD119B">
        <w:tc>
          <w:tcPr>
            <w:tcW w:w="1809" w:type="dxa"/>
          </w:tcPr>
          <w:p w14:paraId="34B2D428" w14:textId="77777777" w:rsidR="00D22598" w:rsidRPr="007C24FC" w:rsidRDefault="00D22598" w:rsidP="00CC47E8">
            <w:r>
              <w:t>IM</w:t>
            </w:r>
          </w:p>
        </w:tc>
        <w:tc>
          <w:tcPr>
            <w:tcW w:w="6911" w:type="dxa"/>
          </w:tcPr>
          <w:p w14:paraId="08824A65" w14:textId="77777777" w:rsidR="00D22598" w:rsidRPr="007C24FC" w:rsidRDefault="00D22598" w:rsidP="00CC47E8">
            <w:r w:rsidRPr="007C24FC">
              <w:t>Intramuscular</w:t>
            </w:r>
          </w:p>
        </w:tc>
      </w:tr>
      <w:tr w:rsidR="00D22598" w:rsidRPr="00FD119B" w14:paraId="50523353" w14:textId="77777777" w:rsidTr="00FD119B">
        <w:tc>
          <w:tcPr>
            <w:tcW w:w="1809" w:type="dxa"/>
          </w:tcPr>
          <w:p w14:paraId="7BDCA691" w14:textId="77777777" w:rsidR="00D22598" w:rsidRPr="007C24FC" w:rsidRDefault="00D22598" w:rsidP="00CC47E8">
            <w:r w:rsidRPr="007C24FC">
              <w:t>LL</w:t>
            </w:r>
          </w:p>
        </w:tc>
        <w:tc>
          <w:tcPr>
            <w:tcW w:w="6911" w:type="dxa"/>
          </w:tcPr>
          <w:p w14:paraId="4DAD61CC" w14:textId="00BFE4E2" w:rsidR="00D22598" w:rsidRPr="007C24FC" w:rsidRDefault="00D22598" w:rsidP="00CC47E8">
            <w:r w:rsidRPr="007C24FC">
              <w:t>Lower</w:t>
            </w:r>
            <w:r w:rsidR="000159A6">
              <w:t xml:space="preserve"> </w:t>
            </w:r>
            <w:r w:rsidR="002C42ED">
              <w:t>l</w:t>
            </w:r>
            <w:r w:rsidR="002C42ED" w:rsidRPr="007C24FC">
              <w:t>imit</w:t>
            </w:r>
          </w:p>
        </w:tc>
      </w:tr>
      <w:tr w:rsidR="00D22598" w:rsidRPr="00FD119B" w14:paraId="29D9B1B8" w14:textId="77777777" w:rsidTr="00FD119B">
        <w:tc>
          <w:tcPr>
            <w:tcW w:w="1809" w:type="dxa"/>
          </w:tcPr>
          <w:p w14:paraId="5D9B1226" w14:textId="77777777" w:rsidR="00D22598" w:rsidRPr="007C24FC" w:rsidRDefault="00D22598" w:rsidP="00CC47E8">
            <w:proofErr w:type="spellStart"/>
            <w:r>
              <w:t>MedDRA</w:t>
            </w:r>
            <w:proofErr w:type="spellEnd"/>
          </w:p>
        </w:tc>
        <w:tc>
          <w:tcPr>
            <w:tcW w:w="6911" w:type="dxa"/>
          </w:tcPr>
          <w:p w14:paraId="3FE7BF35" w14:textId="638E9291" w:rsidR="00D22598" w:rsidRPr="007C24FC" w:rsidRDefault="00D22598" w:rsidP="00CC47E8">
            <w:r w:rsidRPr="007C24FC">
              <w:t>Medical</w:t>
            </w:r>
            <w:r w:rsidR="000159A6">
              <w:t xml:space="preserve"> </w:t>
            </w:r>
            <w:r w:rsidRPr="007C24FC">
              <w:t>Dictionary</w:t>
            </w:r>
            <w:r w:rsidR="000159A6">
              <w:t xml:space="preserve"> </w:t>
            </w:r>
            <w:r w:rsidRPr="007C24FC">
              <w:t>for</w:t>
            </w:r>
            <w:r w:rsidR="000159A6">
              <w:t xml:space="preserve"> </w:t>
            </w:r>
            <w:r w:rsidRPr="007C24FC">
              <w:t>Regulatory</w:t>
            </w:r>
            <w:r w:rsidR="000159A6">
              <w:t xml:space="preserve"> </w:t>
            </w:r>
            <w:r w:rsidRPr="007C24FC">
              <w:t>Activities</w:t>
            </w:r>
          </w:p>
        </w:tc>
      </w:tr>
      <w:tr w:rsidR="00D22598" w:rsidRPr="00FD119B" w14:paraId="637FC71C" w14:textId="77777777" w:rsidTr="00FD119B">
        <w:tc>
          <w:tcPr>
            <w:tcW w:w="1809" w:type="dxa"/>
          </w:tcPr>
          <w:p w14:paraId="691CD660" w14:textId="77777777" w:rsidR="00D22598" w:rsidRPr="007C24FC" w:rsidRDefault="00D22598" w:rsidP="00CC47E8">
            <w:r>
              <w:t>mL</w:t>
            </w:r>
          </w:p>
        </w:tc>
        <w:tc>
          <w:tcPr>
            <w:tcW w:w="6911" w:type="dxa"/>
          </w:tcPr>
          <w:p w14:paraId="0081682E" w14:textId="25AECA1C" w:rsidR="00D22598" w:rsidRPr="007C24FC" w:rsidRDefault="002C42ED" w:rsidP="00CC47E8">
            <w:r>
              <w:t>M</w:t>
            </w:r>
            <w:r w:rsidRPr="007C24FC">
              <w:t>illilitre</w:t>
            </w:r>
          </w:p>
        </w:tc>
      </w:tr>
      <w:tr w:rsidR="00D22598" w:rsidRPr="00FD119B" w14:paraId="6B2E1358" w14:textId="77777777" w:rsidTr="00FD119B">
        <w:tc>
          <w:tcPr>
            <w:tcW w:w="1809" w:type="dxa"/>
          </w:tcPr>
          <w:p w14:paraId="231B76C2" w14:textId="77777777" w:rsidR="00D22598" w:rsidRPr="007C24FC" w:rsidRDefault="00D22598" w:rsidP="00CC47E8">
            <w:r>
              <w:t>MPL</w:t>
            </w:r>
          </w:p>
        </w:tc>
        <w:tc>
          <w:tcPr>
            <w:tcW w:w="6911" w:type="dxa"/>
          </w:tcPr>
          <w:p w14:paraId="21661BBD" w14:textId="2EE1F79C" w:rsidR="00D22598" w:rsidRPr="0070024F" w:rsidRDefault="00D22598" w:rsidP="00CC47E8">
            <w:pPr>
              <w:rPr>
                <w:lang w:val="es-ES_tradnl"/>
              </w:rPr>
            </w:pPr>
            <w:r w:rsidRPr="0070024F">
              <w:rPr>
                <w:lang w:val="es-ES_tradnl"/>
              </w:rPr>
              <w:t>3-O-desacyl-4’-monophosporyl</w:t>
            </w:r>
            <w:r w:rsidR="000159A6">
              <w:rPr>
                <w:lang w:val="es-ES_tradnl"/>
              </w:rPr>
              <w:t xml:space="preserve"> </w:t>
            </w:r>
            <w:proofErr w:type="spellStart"/>
            <w:r w:rsidRPr="0070024F">
              <w:rPr>
                <w:lang w:val="es-ES_tradnl"/>
              </w:rPr>
              <w:t>Lipid</w:t>
            </w:r>
            <w:proofErr w:type="spellEnd"/>
            <w:r w:rsidR="000159A6">
              <w:rPr>
                <w:lang w:val="es-ES_tradnl"/>
              </w:rPr>
              <w:t xml:space="preserve"> </w:t>
            </w:r>
            <w:r w:rsidRPr="0070024F">
              <w:rPr>
                <w:lang w:val="es-ES_tradnl"/>
              </w:rPr>
              <w:t>A</w:t>
            </w:r>
          </w:p>
        </w:tc>
      </w:tr>
      <w:tr w:rsidR="00D22598" w:rsidRPr="00FD119B" w14:paraId="35CB6E35" w14:textId="77777777" w:rsidTr="00FD119B">
        <w:tc>
          <w:tcPr>
            <w:tcW w:w="1809" w:type="dxa"/>
          </w:tcPr>
          <w:p w14:paraId="1E20883D" w14:textId="77777777" w:rsidR="00D22598" w:rsidRPr="007C24FC" w:rsidRDefault="00D22598" w:rsidP="00CC47E8">
            <w:proofErr w:type="spellStart"/>
            <w:r w:rsidRPr="007C24FC">
              <w:t>mTVC</w:t>
            </w:r>
            <w:proofErr w:type="spellEnd"/>
          </w:p>
        </w:tc>
        <w:tc>
          <w:tcPr>
            <w:tcW w:w="6911" w:type="dxa"/>
          </w:tcPr>
          <w:p w14:paraId="3970CD65" w14:textId="16B53C3D" w:rsidR="00D22598" w:rsidRPr="007C24FC" w:rsidRDefault="002C42ED" w:rsidP="00CC47E8">
            <w:r>
              <w:t>Modified</w:t>
            </w:r>
            <w:r w:rsidR="000159A6">
              <w:t xml:space="preserve"> </w:t>
            </w:r>
            <w:r w:rsidR="000D0435">
              <w:t>Total</w:t>
            </w:r>
            <w:r w:rsidR="000159A6">
              <w:t xml:space="preserve"> </w:t>
            </w:r>
            <w:r w:rsidR="000D0435">
              <w:t>Vaccinated</w:t>
            </w:r>
            <w:r w:rsidR="000159A6">
              <w:t xml:space="preserve"> </w:t>
            </w:r>
            <w:r w:rsidR="000D0435">
              <w:t>Cohort</w:t>
            </w:r>
          </w:p>
        </w:tc>
      </w:tr>
      <w:tr w:rsidR="00D22598" w:rsidRPr="00FD119B" w14:paraId="719CA1D9" w14:textId="77777777" w:rsidTr="00FD119B">
        <w:tc>
          <w:tcPr>
            <w:tcW w:w="1809" w:type="dxa"/>
          </w:tcPr>
          <w:p w14:paraId="0F9CF345" w14:textId="77777777" w:rsidR="00D22598" w:rsidRPr="007C24FC" w:rsidRDefault="00D22598" w:rsidP="00CC47E8">
            <w:r>
              <w:t>PCR</w:t>
            </w:r>
          </w:p>
        </w:tc>
        <w:tc>
          <w:tcPr>
            <w:tcW w:w="6911" w:type="dxa"/>
          </w:tcPr>
          <w:p w14:paraId="542F5C0A" w14:textId="6F1A477A" w:rsidR="00D22598" w:rsidRPr="007C24FC" w:rsidRDefault="00D22598" w:rsidP="00CC47E8">
            <w:r w:rsidRPr="007C24FC">
              <w:t>Polymerase</w:t>
            </w:r>
            <w:r w:rsidR="000159A6">
              <w:t xml:space="preserve"> </w:t>
            </w:r>
            <w:r w:rsidR="002C42ED">
              <w:t>c</w:t>
            </w:r>
            <w:r w:rsidR="002C42ED" w:rsidRPr="007C24FC">
              <w:t>hain</w:t>
            </w:r>
            <w:r w:rsidR="000159A6">
              <w:t xml:space="preserve"> </w:t>
            </w:r>
            <w:r w:rsidR="002C42ED">
              <w:t>r</w:t>
            </w:r>
            <w:r w:rsidR="002C42ED" w:rsidRPr="007C24FC">
              <w:t>eaction</w:t>
            </w:r>
          </w:p>
        </w:tc>
      </w:tr>
      <w:tr w:rsidR="00D22598" w:rsidRPr="00FD119B" w14:paraId="1F4D8F3C" w14:textId="77777777" w:rsidTr="00FD119B">
        <w:tc>
          <w:tcPr>
            <w:tcW w:w="1809" w:type="dxa"/>
          </w:tcPr>
          <w:p w14:paraId="7AEF513E" w14:textId="77777777" w:rsidR="00D22598" w:rsidRPr="007C24FC" w:rsidRDefault="00D22598" w:rsidP="00CC47E8">
            <w:r>
              <w:t>PHN</w:t>
            </w:r>
          </w:p>
        </w:tc>
        <w:tc>
          <w:tcPr>
            <w:tcW w:w="6911" w:type="dxa"/>
          </w:tcPr>
          <w:p w14:paraId="75D296A8" w14:textId="3499D4AB" w:rsidR="00D22598" w:rsidRPr="007C24FC" w:rsidRDefault="00D22598" w:rsidP="00CC47E8">
            <w:r w:rsidRPr="007C24FC">
              <w:t>Post</w:t>
            </w:r>
            <w:r w:rsidR="002C42ED">
              <w:t>-</w:t>
            </w:r>
            <w:r w:rsidRPr="007C24FC">
              <w:t>herpetic</w:t>
            </w:r>
            <w:r w:rsidR="000159A6">
              <w:t xml:space="preserve"> </w:t>
            </w:r>
            <w:r w:rsidR="002C42ED">
              <w:t>n</w:t>
            </w:r>
            <w:r w:rsidR="002C42ED" w:rsidRPr="007C24FC">
              <w:t>euralgia</w:t>
            </w:r>
          </w:p>
        </w:tc>
      </w:tr>
      <w:tr w:rsidR="00D22598" w:rsidRPr="00FD119B" w14:paraId="7D782936" w14:textId="77777777" w:rsidTr="00FD119B">
        <w:tc>
          <w:tcPr>
            <w:tcW w:w="1809" w:type="dxa"/>
          </w:tcPr>
          <w:p w14:paraId="6157A39B" w14:textId="77777777" w:rsidR="00D22598" w:rsidRPr="007C24FC" w:rsidRDefault="00D22598" w:rsidP="00CC47E8">
            <w:proofErr w:type="spellStart"/>
            <w:r>
              <w:t>pIMD</w:t>
            </w:r>
            <w:proofErr w:type="spellEnd"/>
          </w:p>
        </w:tc>
        <w:tc>
          <w:tcPr>
            <w:tcW w:w="6911" w:type="dxa"/>
          </w:tcPr>
          <w:p w14:paraId="62A92380" w14:textId="0A2BA4AC" w:rsidR="00D22598" w:rsidRPr="007C24FC" w:rsidRDefault="00D22598" w:rsidP="00CC47E8">
            <w:r w:rsidRPr="007C24FC">
              <w:t>Po</w:t>
            </w:r>
            <w:r w:rsidR="00D0523C">
              <w:t>tential</w:t>
            </w:r>
            <w:r w:rsidR="000159A6">
              <w:t xml:space="preserve"> </w:t>
            </w:r>
            <w:r w:rsidR="002C42ED">
              <w:t>immune-mediated</w:t>
            </w:r>
            <w:r w:rsidR="000159A6">
              <w:t xml:space="preserve"> </w:t>
            </w:r>
            <w:r w:rsidR="002C42ED">
              <w:t>disease</w:t>
            </w:r>
          </w:p>
        </w:tc>
      </w:tr>
      <w:tr w:rsidR="00D22598" w:rsidRPr="00FD119B" w14:paraId="6A21CA3F" w14:textId="77777777" w:rsidTr="00FD119B">
        <w:tc>
          <w:tcPr>
            <w:tcW w:w="1809" w:type="dxa"/>
          </w:tcPr>
          <w:p w14:paraId="4B3BEAEA" w14:textId="77777777" w:rsidR="00D22598" w:rsidRPr="007C24FC" w:rsidRDefault="00D22598" w:rsidP="00CC47E8">
            <w:r>
              <w:t>PIP</w:t>
            </w:r>
          </w:p>
        </w:tc>
        <w:tc>
          <w:tcPr>
            <w:tcW w:w="6911" w:type="dxa"/>
          </w:tcPr>
          <w:p w14:paraId="60D89DF2" w14:textId="432A9848" w:rsidR="00D22598" w:rsidRPr="007C24FC" w:rsidRDefault="00D22598" w:rsidP="00CC47E8">
            <w:r w:rsidRPr="007C24FC">
              <w:t>Paediatric</w:t>
            </w:r>
            <w:r w:rsidR="000159A6">
              <w:t xml:space="preserve"> </w:t>
            </w:r>
            <w:r w:rsidRPr="007C24FC">
              <w:t>Investigation</w:t>
            </w:r>
            <w:r w:rsidR="000159A6">
              <w:t xml:space="preserve"> </w:t>
            </w:r>
            <w:r w:rsidRPr="007C24FC">
              <w:t>Plan</w:t>
            </w:r>
          </w:p>
        </w:tc>
      </w:tr>
      <w:tr w:rsidR="00D22598" w:rsidRPr="00507966" w14:paraId="2A010492" w14:textId="77777777" w:rsidTr="00FD119B">
        <w:tc>
          <w:tcPr>
            <w:tcW w:w="1809" w:type="dxa"/>
          </w:tcPr>
          <w:p w14:paraId="511B4FEE" w14:textId="77777777" w:rsidR="00D22598" w:rsidRPr="007C24FC" w:rsidRDefault="00D22598" w:rsidP="00CC47E8">
            <w:r>
              <w:t>QS-21</w:t>
            </w:r>
          </w:p>
        </w:tc>
        <w:tc>
          <w:tcPr>
            <w:tcW w:w="6911" w:type="dxa"/>
          </w:tcPr>
          <w:p w14:paraId="087915E1" w14:textId="144089A3" w:rsidR="00D22598" w:rsidRPr="00302976" w:rsidRDefault="000E6841" w:rsidP="00CC47E8">
            <w:pPr>
              <w:rPr>
                <w:lang w:val="fr-BE"/>
              </w:rPr>
            </w:pPr>
            <w:r w:rsidRPr="00302976">
              <w:rPr>
                <w:lang w:val="fr-BE"/>
              </w:rPr>
              <w:t>QS-21</w:t>
            </w:r>
            <w:r w:rsidR="000159A6">
              <w:rPr>
                <w:lang w:val="fr-BE"/>
              </w:rPr>
              <w:t xml:space="preserve"> </w:t>
            </w:r>
            <w:proofErr w:type="spellStart"/>
            <w:r w:rsidRPr="00302976">
              <w:rPr>
                <w:lang w:val="fr-BE"/>
              </w:rPr>
              <w:t>Stimulon</w:t>
            </w:r>
            <w:proofErr w:type="spellEnd"/>
            <w:r w:rsidR="000159A6">
              <w:rPr>
                <w:lang w:val="fr-BE"/>
              </w:rPr>
              <w:t xml:space="preserve"> </w:t>
            </w:r>
            <w:r w:rsidR="00D22598" w:rsidRPr="00302976">
              <w:rPr>
                <w:lang w:val="fr-BE"/>
              </w:rPr>
              <w:t>(</w:t>
            </w:r>
            <w:proofErr w:type="spellStart"/>
            <w:r w:rsidR="00D22598" w:rsidRPr="0070024F">
              <w:rPr>
                <w:i/>
                <w:lang w:val="fr-BE"/>
              </w:rPr>
              <w:t>Quillaja</w:t>
            </w:r>
            <w:proofErr w:type="spellEnd"/>
            <w:r w:rsidR="000159A6">
              <w:rPr>
                <w:i/>
                <w:lang w:val="fr-BE"/>
              </w:rPr>
              <w:t xml:space="preserve"> </w:t>
            </w:r>
            <w:proofErr w:type="spellStart"/>
            <w:r w:rsidR="00D22598" w:rsidRPr="0070024F">
              <w:rPr>
                <w:i/>
                <w:lang w:val="fr-BE"/>
              </w:rPr>
              <w:t>saponaria</w:t>
            </w:r>
            <w:proofErr w:type="spellEnd"/>
            <w:r w:rsidR="000159A6">
              <w:rPr>
                <w:lang w:val="fr-BE"/>
              </w:rPr>
              <w:t xml:space="preserve"> </w:t>
            </w:r>
            <w:r w:rsidR="00D22598" w:rsidRPr="00302976">
              <w:rPr>
                <w:lang w:val="fr-BE"/>
              </w:rPr>
              <w:t>Molina</w:t>
            </w:r>
            <w:r w:rsidR="000159A6">
              <w:rPr>
                <w:lang w:val="fr-BE"/>
              </w:rPr>
              <w:t xml:space="preserve"> </w:t>
            </w:r>
            <w:r w:rsidR="00D22598" w:rsidRPr="00302976">
              <w:rPr>
                <w:lang w:val="fr-BE"/>
              </w:rPr>
              <w:t>fraction</w:t>
            </w:r>
            <w:r w:rsidR="000159A6">
              <w:rPr>
                <w:lang w:val="fr-BE"/>
              </w:rPr>
              <w:t xml:space="preserve"> </w:t>
            </w:r>
            <w:r w:rsidR="00D22598" w:rsidRPr="00302976">
              <w:rPr>
                <w:lang w:val="fr-BE"/>
              </w:rPr>
              <w:t>21)</w:t>
            </w:r>
          </w:p>
        </w:tc>
      </w:tr>
      <w:tr w:rsidR="00D22598" w:rsidRPr="00FD119B" w14:paraId="63F2078E" w14:textId="77777777" w:rsidTr="00FD119B">
        <w:tc>
          <w:tcPr>
            <w:tcW w:w="1809" w:type="dxa"/>
          </w:tcPr>
          <w:p w14:paraId="61352618" w14:textId="77777777" w:rsidR="00D22598" w:rsidRPr="007C24FC" w:rsidRDefault="00D22598" w:rsidP="00CC47E8">
            <w:r>
              <w:t>RMP</w:t>
            </w:r>
          </w:p>
        </w:tc>
        <w:tc>
          <w:tcPr>
            <w:tcW w:w="6911" w:type="dxa"/>
          </w:tcPr>
          <w:p w14:paraId="5AD62DCB" w14:textId="6A089DBE" w:rsidR="00D22598" w:rsidRPr="007C24FC" w:rsidRDefault="00D22598" w:rsidP="00CC47E8">
            <w:r w:rsidRPr="007C24FC">
              <w:t>Risk</w:t>
            </w:r>
            <w:r w:rsidR="000159A6">
              <w:t xml:space="preserve"> </w:t>
            </w:r>
            <w:r w:rsidRPr="007C24FC">
              <w:t>Management</w:t>
            </w:r>
            <w:r w:rsidR="000159A6">
              <w:t xml:space="preserve"> </w:t>
            </w:r>
            <w:r w:rsidRPr="007C24FC">
              <w:t>Plan</w:t>
            </w:r>
          </w:p>
        </w:tc>
      </w:tr>
      <w:tr w:rsidR="00D22598" w:rsidRPr="00FD119B" w14:paraId="5B7CC894" w14:textId="77777777" w:rsidTr="00FD119B">
        <w:tc>
          <w:tcPr>
            <w:tcW w:w="1809" w:type="dxa"/>
          </w:tcPr>
          <w:p w14:paraId="7237575F" w14:textId="77777777" w:rsidR="00D22598" w:rsidRPr="007C24FC" w:rsidRDefault="00D22598" w:rsidP="00CC47E8">
            <w:r>
              <w:t>RR</w:t>
            </w:r>
          </w:p>
        </w:tc>
        <w:tc>
          <w:tcPr>
            <w:tcW w:w="6911" w:type="dxa"/>
          </w:tcPr>
          <w:p w14:paraId="425D355C" w14:textId="5F02912D" w:rsidR="00D22598" w:rsidRPr="007C24FC" w:rsidRDefault="00D22598" w:rsidP="00CC47E8">
            <w:r w:rsidRPr="007C24FC">
              <w:t>Risk</w:t>
            </w:r>
            <w:r w:rsidR="000159A6">
              <w:t xml:space="preserve"> </w:t>
            </w:r>
            <w:r w:rsidR="002C42ED">
              <w:t>r</w:t>
            </w:r>
            <w:r w:rsidR="002C42ED" w:rsidRPr="007C24FC">
              <w:t>atio</w:t>
            </w:r>
          </w:p>
        </w:tc>
      </w:tr>
      <w:tr w:rsidR="00D22598" w:rsidRPr="00FD119B" w14:paraId="2CEA6C20" w14:textId="77777777" w:rsidTr="00FD119B">
        <w:tc>
          <w:tcPr>
            <w:tcW w:w="1809" w:type="dxa"/>
          </w:tcPr>
          <w:p w14:paraId="7DC11516" w14:textId="77777777" w:rsidR="00D22598" w:rsidRPr="007C24FC" w:rsidRDefault="00D22598" w:rsidP="00CC47E8">
            <w:r>
              <w:t>SAE</w:t>
            </w:r>
          </w:p>
        </w:tc>
        <w:tc>
          <w:tcPr>
            <w:tcW w:w="6911" w:type="dxa"/>
          </w:tcPr>
          <w:p w14:paraId="5C956E05" w14:textId="537DDCFC" w:rsidR="00D22598" w:rsidRPr="007C24FC" w:rsidRDefault="00D22598" w:rsidP="00CC47E8">
            <w:r w:rsidRPr="007C24FC">
              <w:t>Serious</w:t>
            </w:r>
            <w:r w:rsidR="000159A6">
              <w:t xml:space="preserve"> </w:t>
            </w:r>
            <w:r w:rsidR="002C42ED">
              <w:t>a</w:t>
            </w:r>
            <w:r w:rsidR="002C42ED" w:rsidRPr="007C24FC">
              <w:t>dverse</w:t>
            </w:r>
            <w:r w:rsidR="000159A6">
              <w:t xml:space="preserve"> </w:t>
            </w:r>
            <w:r w:rsidR="002C42ED">
              <w:t>ev</w:t>
            </w:r>
            <w:r w:rsidR="002C42ED" w:rsidRPr="007C24FC">
              <w:t>ent</w:t>
            </w:r>
          </w:p>
        </w:tc>
      </w:tr>
      <w:tr w:rsidR="00D22598" w:rsidRPr="00FD119B" w14:paraId="0FD17912" w14:textId="77777777" w:rsidTr="00FD119B">
        <w:tc>
          <w:tcPr>
            <w:tcW w:w="1809" w:type="dxa"/>
          </w:tcPr>
          <w:p w14:paraId="4FF9B85E" w14:textId="77777777" w:rsidR="00D22598" w:rsidRPr="007C24FC" w:rsidRDefault="00D22598" w:rsidP="00CC47E8">
            <w:r>
              <w:lastRenderedPageBreak/>
              <w:t>SC</w:t>
            </w:r>
          </w:p>
        </w:tc>
        <w:tc>
          <w:tcPr>
            <w:tcW w:w="6911" w:type="dxa"/>
          </w:tcPr>
          <w:p w14:paraId="32BBD3C3" w14:textId="77777777" w:rsidR="00D22598" w:rsidRPr="007C24FC" w:rsidRDefault="00D22598" w:rsidP="00CC47E8">
            <w:r w:rsidRPr="007C24FC">
              <w:t>Subcutaneous</w:t>
            </w:r>
          </w:p>
        </w:tc>
      </w:tr>
      <w:tr w:rsidR="00D22598" w:rsidRPr="00FD119B" w14:paraId="520E5F30" w14:textId="77777777" w:rsidTr="00FD119B">
        <w:tc>
          <w:tcPr>
            <w:tcW w:w="1809" w:type="dxa"/>
          </w:tcPr>
          <w:p w14:paraId="6373759D" w14:textId="77777777" w:rsidR="00D22598" w:rsidRPr="007C24FC" w:rsidRDefault="00D22598" w:rsidP="00CC47E8">
            <w:r>
              <w:t>SMQ</w:t>
            </w:r>
          </w:p>
        </w:tc>
        <w:tc>
          <w:tcPr>
            <w:tcW w:w="6911" w:type="dxa"/>
          </w:tcPr>
          <w:p w14:paraId="5FED3E73" w14:textId="18557320" w:rsidR="00D22598" w:rsidRPr="007C24FC" w:rsidRDefault="00D22598" w:rsidP="00CC47E8">
            <w:r w:rsidRPr="007C24FC">
              <w:t>Standardised</w:t>
            </w:r>
            <w:r w:rsidR="000159A6">
              <w:t xml:space="preserve"> </w:t>
            </w:r>
            <w:proofErr w:type="spellStart"/>
            <w:r w:rsidRPr="007C24FC">
              <w:t>MedDRA</w:t>
            </w:r>
            <w:proofErr w:type="spellEnd"/>
            <w:r w:rsidR="000159A6">
              <w:t xml:space="preserve"> </w:t>
            </w:r>
            <w:r w:rsidRPr="007C24FC">
              <w:t>Query</w:t>
            </w:r>
          </w:p>
        </w:tc>
      </w:tr>
      <w:tr w:rsidR="00D22598" w:rsidRPr="00FD119B" w14:paraId="19F12B9F" w14:textId="77777777" w:rsidTr="00FD119B">
        <w:tc>
          <w:tcPr>
            <w:tcW w:w="1809" w:type="dxa"/>
          </w:tcPr>
          <w:p w14:paraId="3B4CE325" w14:textId="77777777" w:rsidR="00D22598" w:rsidRPr="007C24FC" w:rsidRDefault="00D22598" w:rsidP="00CC47E8">
            <w:r>
              <w:t>TVC</w:t>
            </w:r>
          </w:p>
        </w:tc>
        <w:tc>
          <w:tcPr>
            <w:tcW w:w="6911" w:type="dxa"/>
          </w:tcPr>
          <w:p w14:paraId="2CC99FAF" w14:textId="2748A95F" w:rsidR="00D22598" w:rsidRPr="007C24FC" w:rsidRDefault="00D22598" w:rsidP="00CC47E8">
            <w:r w:rsidRPr="007C24FC">
              <w:t>Total</w:t>
            </w:r>
            <w:r w:rsidR="000159A6">
              <w:t xml:space="preserve"> </w:t>
            </w:r>
            <w:r w:rsidRPr="007C24FC">
              <w:t>Vaccinated</w:t>
            </w:r>
            <w:r w:rsidR="000159A6">
              <w:t xml:space="preserve"> </w:t>
            </w:r>
            <w:r w:rsidRPr="007C24FC">
              <w:t>Cohort</w:t>
            </w:r>
          </w:p>
        </w:tc>
      </w:tr>
      <w:tr w:rsidR="00D22598" w:rsidRPr="00FD119B" w14:paraId="41622498" w14:textId="77777777" w:rsidTr="00FD119B">
        <w:tc>
          <w:tcPr>
            <w:tcW w:w="1809" w:type="dxa"/>
          </w:tcPr>
          <w:p w14:paraId="07EBE0F6" w14:textId="77777777" w:rsidR="00D22598" w:rsidRPr="007C24FC" w:rsidRDefault="00D22598" w:rsidP="00CC47E8">
            <w:r>
              <w:t>UL</w:t>
            </w:r>
          </w:p>
        </w:tc>
        <w:tc>
          <w:tcPr>
            <w:tcW w:w="6911" w:type="dxa"/>
          </w:tcPr>
          <w:p w14:paraId="5110B968" w14:textId="0CFB7DE3" w:rsidR="00D22598" w:rsidRPr="007C24FC" w:rsidRDefault="00D22598" w:rsidP="00CC47E8">
            <w:r w:rsidRPr="007C24FC">
              <w:t>Upper</w:t>
            </w:r>
            <w:r w:rsidR="000159A6">
              <w:t xml:space="preserve"> </w:t>
            </w:r>
            <w:r w:rsidR="002C42ED">
              <w:t>l</w:t>
            </w:r>
            <w:r w:rsidR="002C42ED" w:rsidRPr="007C24FC">
              <w:t>imit</w:t>
            </w:r>
          </w:p>
        </w:tc>
      </w:tr>
      <w:tr w:rsidR="00D22598" w:rsidRPr="00FD119B" w14:paraId="589163EF" w14:textId="77777777" w:rsidTr="00FD119B">
        <w:tc>
          <w:tcPr>
            <w:tcW w:w="1809" w:type="dxa"/>
          </w:tcPr>
          <w:p w14:paraId="634E7214" w14:textId="77777777" w:rsidR="00D22598" w:rsidRPr="007C24FC" w:rsidRDefault="00D22598" w:rsidP="00CC47E8">
            <w:r>
              <w:t>US</w:t>
            </w:r>
          </w:p>
        </w:tc>
        <w:tc>
          <w:tcPr>
            <w:tcW w:w="6911" w:type="dxa"/>
          </w:tcPr>
          <w:p w14:paraId="39C382E9" w14:textId="0C78B38D" w:rsidR="00D22598" w:rsidRPr="007C24FC" w:rsidRDefault="00D22598" w:rsidP="00CC47E8">
            <w:r w:rsidRPr="007C24FC">
              <w:t>United</w:t>
            </w:r>
            <w:r w:rsidR="000159A6">
              <w:t xml:space="preserve"> </w:t>
            </w:r>
            <w:r w:rsidRPr="007C24FC">
              <w:t>States</w:t>
            </w:r>
          </w:p>
        </w:tc>
      </w:tr>
      <w:tr w:rsidR="00D22598" w:rsidRPr="00FD119B" w14:paraId="12AFB3BC" w14:textId="77777777" w:rsidTr="00FD119B">
        <w:tc>
          <w:tcPr>
            <w:tcW w:w="1809" w:type="dxa"/>
          </w:tcPr>
          <w:p w14:paraId="52DA0A1C" w14:textId="77777777" w:rsidR="00D22598" w:rsidRPr="007C24FC" w:rsidRDefault="00D22598" w:rsidP="00CC47E8">
            <w:r>
              <w:t>VE</w:t>
            </w:r>
          </w:p>
        </w:tc>
        <w:tc>
          <w:tcPr>
            <w:tcW w:w="6911" w:type="dxa"/>
          </w:tcPr>
          <w:p w14:paraId="1A8502F6" w14:textId="6FD533B2" w:rsidR="00D22598" w:rsidRPr="007C24FC" w:rsidRDefault="00D22598" w:rsidP="00CC47E8">
            <w:r w:rsidRPr="007C24FC">
              <w:t>Vaccine</w:t>
            </w:r>
            <w:r w:rsidR="000159A6">
              <w:t xml:space="preserve"> </w:t>
            </w:r>
            <w:r w:rsidR="002C42ED">
              <w:t>e</w:t>
            </w:r>
            <w:r w:rsidR="002C42ED" w:rsidRPr="007C24FC">
              <w:t>fficacy</w:t>
            </w:r>
          </w:p>
        </w:tc>
      </w:tr>
      <w:tr w:rsidR="00175E10" w:rsidRPr="00FD119B" w14:paraId="6B043E4B" w14:textId="77777777" w:rsidTr="00FD119B">
        <w:tc>
          <w:tcPr>
            <w:tcW w:w="1809" w:type="dxa"/>
          </w:tcPr>
          <w:p w14:paraId="3FB7E778" w14:textId="77777777" w:rsidR="00175E10" w:rsidRDefault="00175E10" w:rsidP="00CC47E8">
            <w:r>
              <w:t>VHP</w:t>
            </w:r>
          </w:p>
        </w:tc>
        <w:tc>
          <w:tcPr>
            <w:tcW w:w="6911" w:type="dxa"/>
          </w:tcPr>
          <w:p w14:paraId="125F273C" w14:textId="0F0B379D" w:rsidR="00175E10" w:rsidRPr="007C24FC" w:rsidRDefault="00175E10" w:rsidP="00CC47E8">
            <w:r>
              <w:t>Vaporized</w:t>
            </w:r>
            <w:r w:rsidR="000159A6">
              <w:t xml:space="preserve"> </w:t>
            </w:r>
            <w:r>
              <w:t>hydrogen</w:t>
            </w:r>
            <w:r w:rsidR="000159A6">
              <w:t xml:space="preserve"> </w:t>
            </w:r>
            <w:r>
              <w:t>peroxide</w:t>
            </w:r>
          </w:p>
        </w:tc>
      </w:tr>
      <w:tr w:rsidR="00D22598" w:rsidRPr="00FD119B" w14:paraId="5F0F2142" w14:textId="77777777" w:rsidTr="00FD119B">
        <w:tc>
          <w:tcPr>
            <w:tcW w:w="1809" w:type="dxa"/>
          </w:tcPr>
          <w:p w14:paraId="397EC28A" w14:textId="77777777" w:rsidR="00D22598" w:rsidRPr="007C24FC" w:rsidRDefault="00D22598" w:rsidP="00CC47E8">
            <w:r>
              <w:t>VRR</w:t>
            </w:r>
          </w:p>
        </w:tc>
        <w:tc>
          <w:tcPr>
            <w:tcW w:w="6911" w:type="dxa"/>
          </w:tcPr>
          <w:p w14:paraId="18018672" w14:textId="7EA9F382" w:rsidR="00D22598" w:rsidRPr="007C24FC" w:rsidRDefault="00D22598" w:rsidP="00CC47E8">
            <w:r w:rsidRPr="007C24FC">
              <w:t>Vaccine</w:t>
            </w:r>
            <w:r w:rsidR="000159A6">
              <w:t xml:space="preserve"> </w:t>
            </w:r>
            <w:r w:rsidR="002C42ED">
              <w:t>r</w:t>
            </w:r>
            <w:r w:rsidR="002C42ED" w:rsidRPr="007C24FC">
              <w:t>esponse</w:t>
            </w:r>
            <w:r w:rsidR="000159A6">
              <w:t xml:space="preserve"> </w:t>
            </w:r>
            <w:r w:rsidR="002C42ED">
              <w:t>r</w:t>
            </w:r>
            <w:r w:rsidR="002C42ED" w:rsidRPr="007C24FC">
              <w:t>ate</w:t>
            </w:r>
          </w:p>
        </w:tc>
      </w:tr>
      <w:tr w:rsidR="00D22598" w:rsidRPr="00FD119B" w14:paraId="7808524C" w14:textId="77777777" w:rsidTr="00FD119B">
        <w:tc>
          <w:tcPr>
            <w:tcW w:w="1809" w:type="dxa"/>
          </w:tcPr>
          <w:p w14:paraId="073C0BCA" w14:textId="77777777" w:rsidR="00D22598" w:rsidRPr="007C24FC" w:rsidRDefault="00D22598" w:rsidP="00CC47E8">
            <w:r>
              <w:t>VZV</w:t>
            </w:r>
          </w:p>
        </w:tc>
        <w:tc>
          <w:tcPr>
            <w:tcW w:w="6911" w:type="dxa"/>
          </w:tcPr>
          <w:p w14:paraId="41E650A9" w14:textId="62AD61D4" w:rsidR="00D22598" w:rsidRPr="007C24FC" w:rsidRDefault="00D22598" w:rsidP="00CC47E8">
            <w:r w:rsidRPr="007C24FC">
              <w:t>Varicella</w:t>
            </w:r>
            <w:r w:rsidR="000159A6">
              <w:t xml:space="preserve"> </w:t>
            </w:r>
            <w:r w:rsidR="002C42ED">
              <w:t>z</w:t>
            </w:r>
            <w:r w:rsidR="002C42ED" w:rsidRPr="007C24FC">
              <w:t>oster</w:t>
            </w:r>
            <w:r w:rsidR="000159A6">
              <w:t xml:space="preserve"> </w:t>
            </w:r>
            <w:r w:rsidR="002C42ED">
              <w:t>v</w:t>
            </w:r>
            <w:r w:rsidR="002C42ED" w:rsidRPr="007C24FC">
              <w:t>irus</w:t>
            </w:r>
          </w:p>
        </w:tc>
      </w:tr>
      <w:tr w:rsidR="008D4538" w:rsidRPr="00FD119B" w14:paraId="468FEDF1" w14:textId="77777777" w:rsidTr="00FD119B">
        <w:tc>
          <w:tcPr>
            <w:tcW w:w="1809" w:type="dxa"/>
          </w:tcPr>
          <w:p w14:paraId="5A4EA5A0" w14:textId="77777777" w:rsidR="008D4538" w:rsidRDefault="008D4538" w:rsidP="00CC47E8">
            <w:r>
              <w:t>WBC</w:t>
            </w:r>
          </w:p>
        </w:tc>
        <w:tc>
          <w:tcPr>
            <w:tcW w:w="6911" w:type="dxa"/>
          </w:tcPr>
          <w:p w14:paraId="2BE930DD" w14:textId="2327C1D0" w:rsidR="008D4538" w:rsidRPr="007C24FC" w:rsidRDefault="008D4538" w:rsidP="00CC47E8">
            <w:r>
              <w:t>White</w:t>
            </w:r>
            <w:r w:rsidR="000159A6">
              <w:t xml:space="preserve"> </w:t>
            </w:r>
            <w:r>
              <w:t>blood</w:t>
            </w:r>
            <w:r w:rsidR="000159A6">
              <w:t xml:space="preserve"> </w:t>
            </w:r>
            <w:r>
              <w:t>cells</w:t>
            </w:r>
          </w:p>
        </w:tc>
      </w:tr>
      <w:tr w:rsidR="00AE6925" w:rsidRPr="00FD119B" w14:paraId="18F0CAE9" w14:textId="77777777" w:rsidTr="00FD119B">
        <w:tc>
          <w:tcPr>
            <w:tcW w:w="1809" w:type="dxa"/>
          </w:tcPr>
          <w:p w14:paraId="102DC4F7" w14:textId="68A4FB06" w:rsidR="00AE6925" w:rsidRDefault="00AE6925" w:rsidP="00CC47E8">
            <w:r>
              <w:t>WHO</w:t>
            </w:r>
          </w:p>
        </w:tc>
        <w:tc>
          <w:tcPr>
            <w:tcW w:w="6911" w:type="dxa"/>
          </w:tcPr>
          <w:p w14:paraId="46E9F88B" w14:textId="5B586132" w:rsidR="00AE6925" w:rsidRDefault="00AE6925" w:rsidP="00CC47E8">
            <w:r>
              <w:t>World</w:t>
            </w:r>
            <w:r w:rsidR="000159A6">
              <w:t xml:space="preserve"> </w:t>
            </w:r>
            <w:r>
              <w:t>Health</w:t>
            </w:r>
            <w:r w:rsidR="000159A6">
              <w:t xml:space="preserve"> </w:t>
            </w:r>
            <w:r>
              <w:t>Organization</w:t>
            </w:r>
          </w:p>
        </w:tc>
      </w:tr>
      <w:tr w:rsidR="00D22598" w:rsidRPr="00FD119B" w14:paraId="77139808" w14:textId="77777777" w:rsidTr="00FD119B">
        <w:tc>
          <w:tcPr>
            <w:tcW w:w="1809" w:type="dxa"/>
          </w:tcPr>
          <w:p w14:paraId="44B235B9" w14:textId="77777777" w:rsidR="00D22598" w:rsidRPr="007C24FC" w:rsidRDefault="00D22598" w:rsidP="00CC47E8">
            <w:r>
              <w:t>ZBPI</w:t>
            </w:r>
          </w:p>
        </w:tc>
        <w:tc>
          <w:tcPr>
            <w:tcW w:w="6911" w:type="dxa"/>
          </w:tcPr>
          <w:p w14:paraId="11DBDE2E" w14:textId="41FAD395" w:rsidR="00D22598" w:rsidRPr="007C24FC" w:rsidRDefault="00D22598" w:rsidP="00CC47E8">
            <w:r w:rsidRPr="007C24FC">
              <w:t>Zoster</w:t>
            </w:r>
            <w:r w:rsidR="000159A6">
              <w:t xml:space="preserve"> </w:t>
            </w:r>
            <w:r w:rsidRPr="007C24FC">
              <w:t>Brief</w:t>
            </w:r>
            <w:r w:rsidR="000159A6">
              <w:t xml:space="preserve"> </w:t>
            </w:r>
            <w:r w:rsidRPr="007C24FC">
              <w:t>Pain</w:t>
            </w:r>
            <w:r w:rsidR="000159A6">
              <w:t xml:space="preserve"> </w:t>
            </w:r>
            <w:r w:rsidRPr="007C24FC">
              <w:t>Inventory</w:t>
            </w:r>
          </w:p>
        </w:tc>
      </w:tr>
      <w:tr w:rsidR="00D22598" w:rsidRPr="00FD119B" w14:paraId="7799EE04" w14:textId="77777777" w:rsidTr="00FD119B">
        <w:tc>
          <w:tcPr>
            <w:tcW w:w="1809" w:type="dxa"/>
          </w:tcPr>
          <w:p w14:paraId="0F7C162A" w14:textId="77777777" w:rsidR="00D22598" w:rsidRPr="007C24FC" w:rsidRDefault="00D22598" w:rsidP="00CC47E8">
            <w:r w:rsidRPr="007C24FC">
              <w:t>μg</w:t>
            </w:r>
          </w:p>
        </w:tc>
        <w:tc>
          <w:tcPr>
            <w:tcW w:w="6911" w:type="dxa"/>
          </w:tcPr>
          <w:p w14:paraId="2AF598E0" w14:textId="77777777" w:rsidR="00D22598" w:rsidRPr="007C24FC" w:rsidRDefault="00D22598" w:rsidP="00CC47E8">
            <w:r w:rsidRPr="007C24FC">
              <w:t>Microgram</w:t>
            </w:r>
          </w:p>
        </w:tc>
      </w:tr>
      <w:tr w:rsidR="00D22598" w:rsidRPr="00FD119B" w14:paraId="4316C2E5" w14:textId="77777777" w:rsidTr="00FD119B">
        <w:tc>
          <w:tcPr>
            <w:tcW w:w="1809" w:type="dxa"/>
          </w:tcPr>
          <w:p w14:paraId="2B69CA06" w14:textId="717B1548" w:rsidR="00D22598" w:rsidRPr="007C24FC" w:rsidRDefault="002C42ED" w:rsidP="00CC47E8">
            <w:proofErr w:type="spellStart"/>
            <w:r w:rsidRPr="007C24FC">
              <w:t>μ</w:t>
            </w:r>
            <w:r w:rsidR="00D22598">
              <w:t>L</w:t>
            </w:r>
            <w:proofErr w:type="spellEnd"/>
          </w:p>
        </w:tc>
        <w:tc>
          <w:tcPr>
            <w:tcW w:w="6911" w:type="dxa"/>
          </w:tcPr>
          <w:p w14:paraId="7DE42DFD" w14:textId="77777777" w:rsidR="00D22598" w:rsidRPr="007C24FC" w:rsidRDefault="00D22598" w:rsidP="00CC47E8">
            <w:r w:rsidRPr="007C24FC">
              <w:t>Microliter</w:t>
            </w:r>
          </w:p>
        </w:tc>
      </w:tr>
    </w:tbl>
    <w:p w14:paraId="25147D72" w14:textId="77777777" w:rsidR="000159A6" w:rsidRDefault="000159A6" w:rsidP="00FD119B">
      <w:pPr>
        <w:sectPr w:rsidR="000159A6" w:rsidSect="00B452CE">
          <w:pgSz w:w="11906" w:h="16838" w:code="9"/>
          <w:pgMar w:top="834" w:right="1701" w:bottom="1191" w:left="1701" w:header="907" w:footer="216" w:gutter="0"/>
          <w:cols w:space="708"/>
          <w:docGrid w:linePitch="360"/>
        </w:sectPr>
      </w:pPr>
    </w:p>
    <w:p w14:paraId="0FEF07C5" w14:textId="417B18D5" w:rsidR="008E7846" w:rsidRDefault="00F53C07" w:rsidP="008E7846">
      <w:pPr>
        <w:pStyle w:val="Heading2"/>
      </w:pPr>
      <w:bookmarkStart w:id="9" w:name="_Toc1049795"/>
      <w:r>
        <w:lastRenderedPageBreak/>
        <w:t>I.</w:t>
      </w:r>
      <w:r w:rsidR="000159A6">
        <w:t xml:space="preserve"> </w:t>
      </w:r>
      <w:r w:rsidR="008E7846">
        <w:t>Introduction</w:t>
      </w:r>
      <w:r w:rsidR="000159A6">
        <w:t xml:space="preserve"> </w:t>
      </w:r>
      <w:r w:rsidR="008E7846">
        <w:t>to</w:t>
      </w:r>
      <w:r w:rsidR="000159A6">
        <w:t xml:space="preserve"> </w:t>
      </w:r>
      <w:r w:rsidR="008E7846">
        <w:t>product</w:t>
      </w:r>
      <w:r w:rsidR="000159A6">
        <w:t xml:space="preserve"> </w:t>
      </w:r>
      <w:r w:rsidR="008E7846">
        <w:t>submission</w:t>
      </w:r>
      <w:bookmarkEnd w:id="0"/>
      <w:bookmarkEnd w:id="3"/>
      <w:bookmarkEnd w:id="9"/>
    </w:p>
    <w:p w14:paraId="340EFE43" w14:textId="4F53FD47" w:rsidR="008E7846" w:rsidRDefault="008E7846" w:rsidP="008E7846">
      <w:pPr>
        <w:pStyle w:val="Heading3"/>
        <w:rPr>
          <w:lang w:eastAsia="en-AU"/>
        </w:rPr>
      </w:pPr>
      <w:bookmarkStart w:id="10" w:name="_Toc247691502"/>
      <w:bookmarkStart w:id="11" w:name="_Toc314842483"/>
      <w:bookmarkStart w:id="12" w:name="_Toc1049796"/>
      <w:r>
        <w:rPr>
          <w:lang w:eastAsia="en-AU"/>
        </w:rPr>
        <w:t>Submission</w:t>
      </w:r>
      <w:r w:rsidR="000159A6">
        <w:rPr>
          <w:lang w:eastAsia="en-AU"/>
        </w:rPr>
        <w:t xml:space="preserve"> </w:t>
      </w:r>
      <w:r>
        <w:rPr>
          <w:lang w:eastAsia="en-AU"/>
        </w:rPr>
        <w:t>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689EDFF9" w14:textId="77777777" w:rsidTr="00500337">
        <w:trPr>
          <w:trHeight w:hRule="exact" w:val="454"/>
        </w:trPr>
        <w:tc>
          <w:tcPr>
            <w:tcW w:w="2907" w:type="dxa"/>
          </w:tcPr>
          <w:p w14:paraId="492F6EF8" w14:textId="5DBFD9D1" w:rsidR="008E7846" w:rsidRPr="003D1E62" w:rsidRDefault="001B5C90" w:rsidP="001B5C90">
            <w:pPr>
              <w:rPr>
                <w:i/>
              </w:rPr>
            </w:pPr>
            <w:r>
              <w:rPr>
                <w:i/>
              </w:rPr>
              <w:t>Type</w:t>
            </w:r>
            <w:r w:rsidR="000159A6">
              <w:rPr>
                <w:i/>
              </w:rPr>
              <w:t xml:space="preserve"> </w:t>
            </w:r>
            <w:r>
              <w:rPr>
                <w:i/>
              </w:rPr>
              <w:t>of</w:t>
            </w:r>
            <w:r w:rsidR="000159A6">
              <w:rPr>
                <w:i/>
              </w:rPr>
              <w:t xml:space="preserve"> </w:t>
            </w:r>
            <w:r>
              <w:rPr>
                <w:i/>
              </w:rPr>
              <w:t>s</w:t>
            </w:r>
            <w:r w:rsidR="008E7846" w:rsidRPr="003D1E62">
              <w:rPr>
                <w:i/>
              </w:rPr>
              <w:t>ubmission</w:t>
            </w:r>
            <w:r>
              <w:rPr>
                <w:i/>
              </w:rPr>
              <w:t>:</w:t>
            </w:r>
          </w:p>
        </w:tc>
        <w:tc>
          <w:tcPr>
            <w:tcW w:w="6307" w:type="dxa"/>
          </w:tcPr>
          <w:p w14:paraId="37685C78" w14:textId="1678A925" w:rsidR="008E7846" w:rsidRPr="003D1E62" w:rsidRDefault="008E7846" w:rsidP="00AE1448">
            <w:r w:rsidRPr="003D1E62">
              <w:t>New</w:t>
            </w:r>
            <w:r w:rsidR="000159A6">
              <w:t xml:space="preserve"> </w:t>
            </w:r>
            <w:r w:rsidR="00AE1448">
              <w:t>biological</w:t>
            </w:r>
            <w:r w:rsidR="000159A6">
              <w:t xml:space="preserve"> </w:t>
            </w:r>
            <w:r w:rsidR="00D22598">
              <w:t>medicine</w:t>
            </w:r>
          </w:p>
        </w:tc>
      </w:tr>
      <w:tr w:rsidR="008E7846" w:rsidRPr="003D1E62" w14:paraId="0B60A39F" w14:textId="77777777" w:rsidTr="00500337">
        <w:trPr>
          <w:trHeight w:hRule="exact" w:val="454"/>
        </w:trPr>
        <w:tc>
          <w:tcPr>
            <w:tcW w:w="2907" w:type="dxa"/>
          </w:tcPr>
          <w:p w14:paraId="7DE6B403" w14:textId="77777777" w:rsidR="008E7846" w:rsidRPr="003D1E62" w:rsidRDefault="008E7846" w:rsidP="003D1E62">
            <w:r w:rsidRPr="003D1E62">
              <w:rPr>
                <w:i/>
              </w:rPr>
              <w:t>Decision</w:t>
            </w:r>
            <w:r w:rsidRPr="003D1E62">
              <w:t>:</w:t>
            </w:r>
          </w:p>
        </w:tc>
        <w:tc>
          <w:tcPr>
            <w:tcW w:w="6307" w:type="dxa"/>
          </w:tcPr>
          <w:p w14:paraId="2112AAE2" w14:textId="77777777" w:rsidR="008E7846" w:rsidRPr="003D1E62" w:rsidRDefault="00AE1448" w:rsidP="00AE1448">
            <w:r>
              <w:t>Approved</w:t>
            </w:r>
          </w:p>
        </w:tc>
      </w:tr>
      <w:tr w:rsidR="008E7846" w:rsidRPr="003D1E62" w14:paraId="48CD14D8" w14:textId="77777777" w:rsidTr="00500337">
        <w:trPr>
          <w:trHeight w:hRule="exact" w:val="454"/>
        </w:trPr>
        <w:tc>
          <w:tcPr>
            <w:tcW w:w="2907" w:type="dxa"/>
          </w:tcPr>
          <w:p w14:paraId="1F5D4D43" w14:textId="2E371926" w:rsidR="008E7846" w:rsidRPr="003D1E62" w:rsidRDefault="008E7846" w:rsidP="001B5C90">
            <w:pPr>
              <w:rPr>
                <w:i/>
              </w:rPr>
            </w:pPr>
            <w:r w:rsidRPr="003D1E62">
              <w:rPr>
                <w:i/>
              </w:rPr>
              <w:t>Date</w:t>
            </w:r>
            <w:r w:rsidR="000159A6">
              <w:rPr>
                <w:i/>
              </w:rPr>
              <w:t xml:space="preserve"> </w:t>
            </w:r>
            <w:r w:rsidRPr="003D1E62">
              <w:rPr>
                <w:i/>
              </w:rPr>
              <w:t>of</w:t>
            </w:r>
            <w:r w:rsidR="000159A6">
              <w:rPr>
                <w:i/>
              </w:rPr>
              <w:t xml:space="preserve"> </w:t>
            </w:r>
            <w:r w:rsidR="001B5C90">
              <w:rPr>
                <w:i/>
              </w:rPr>
              <w:t>d</w:t>
            </w:r>
            <w:r w:rsidRPr="003D1E62">
              <w:rPr>
                <w:i/>
              </w:rPr>
              <w:t>ecision:</w:t>
            </w:r>
          </w:p>
        </w:tc>
        <w:tc>
          <w:tcPr>
            <w:tcW w:w="6307" w:type="dxa"/>
          </w:tcPr>
          <w:p w14:paraId="27D83266" w14:textId="25852723" w:rsidR="008E7846" w:rsidRPr="003D1E62" w:rsidRDefault="00667D44" w:rsidP="001B5C90">
            <w:r>
              <w:t>27</w:t>
            </w:r>
            <w:r w:rsidR="000159A6">
              <w:t xml:space="preserve"> </w:t>
            </w:r>
            <w:r>
              <w:t>June</w:t>
            </w:r>
            <w:r w:rsidR="000159A6">
              <w:t xml:space="preserve"> </w:t>
            </w:r>
            <w:r>
              <w:t>2018</w:t>
            </w:r>
          </w:p>
        </w:tc>
      </w:tr>
      <w:tr w:rsidR="00ED2922" w:rsidRPr="003D1E62" w14:paraId="41E62DD4" w14:textId="77777777" w:rsidTr="00500337">
        <w:trPr>
          <w:trHeight w:hRule="exact" w:val="454"/>
        </w:trPr>
        <w:tc>
          <w:tcPr>
            <w:tcW w:w="2907" w:type="dxa"/>
          </w:tcPr>
          <w:p w14:paraId="3E092D9E" w14:textId="3A9640EA" w:rsidR="00ED2922" w:rsidRPr="00441C3F" w:rsidRDefault="00ED2922" w:rsidP="001B5C90">
            <w:pPr>
              <w:rPr>
                <w:i/>
              </w:rPr>
            </w:pPr>
            <w:r w:rsidRPr="00441C3F">
              <w:rPr>
                <w:i/>
              </w:rPr>
              <w:t>Date</w:t>
            </w:r>
            <w:r w:rsidR="000159A6">
              <w:rPr>
                <w:i/>
              </w:rPr>
              <w:t xml:space="preserve"> </w:t>
            </w:r>
            <w:r w:rsidRPr="00441C3F">
              <w:rPr>
                <w:i/>
              </w:rPr>
              <w:t>of</w:t>
            </w:r>
            <w:r w:rsidR="000159A6">
              <w:rPr>
                <w:i/>
              </w:rPr>
              <w:t xml:space="preserve"> </w:t>
            </w:r>
            <w:r w:rsidRPr="00441C3F">
              <w:rPr>
                <w:i/>
              </w:rPr>
              <w:t>entry</w:t>
            </w:r>
            <w:r w:rsidR="000159A6">
              <w:rPr>
                <w:i/>
              </w:rPr>
              <w:t xml:space="preserve"> </w:t>
            </w:r>
            <w:r w:rsidRPr="00441C3F">
              <w:rPr>
                <w:i/>
              </w:rPr>
              <w:t>onto</w:t>
            </w:r>
            <w:r w:rsidR="000159A6">
              <w:rPr>
                <w:i/>
              </w:rPr>
              <w:t xml:space="preserve"> </w:t>
            </w:r>
            <w:r w:rsidRPr="00441C3F">
              <w:rPr>
                <w:i/>
              </w:rPr>
              <w:t>ARTG</w:t>
            </w:r>
            <w:r w:rsidR="00500337">
              <w:rPr>
                <w:i/>
              </w:rPr>
              <w:t>:</w:t>
            </w:r>
          </w:p>
        </w:tc>
        <w:tc>
          <w:tcPr>
            <w:tcW w:w="6307" w:type="dxa"/>
          </w:tcPr>
          <w:p w14:paraId="4A3646C9" w14:textId="43C9B14E" w:rsidR="00ED2922" w:rsidRPr="00441C3F" w:rsidRDefault="00667D44" w:rsidP="00EC463D">
            <w:pPr>
              <w:rPr>
                <w:i/>
              </w:rPr>
            </w:pPr>
            <w:r>
              <w:t>2</w:t>
            </w:r>
            <w:r w:rsidR="000159A6">
              <w:t xml:space="preserve"> </w:t>
            </w:r>
            <w:r>
              <w:t>July</w:t>
            </w:r>
            <w:r w:rsidR="000159A6">
              <w:t xml:space="preserve"> </w:t>
            </w:r>
            <w:r>
              <w:t>2018</w:t>
            </w:r>
          </w:p>
        </w:tc>
      </w:tr>
      <w:tr w:rsidR="00500337" w:rsidRPr="003D1E62" w14:paraId="30C257CF" w14:textId="77777777" w:rsidTr="00500337">
        <w:trPr>
          <w:trHeight w:hRule="exact" w:val="454"/>
        </w:trPr>
        <w:tc>
          <w:tcPr>
            <w:tcW w:w="2907" w:type="dxa"/>
          </w:tcPr>
          <w:p w14:paraId="167AF5D4" w14:textId="46045C38" w:rsidR="00500337" w:rsidRPr="00441C3F" w:rsidRDefault="00667D44" w:rsidP="001B5C90">
            <w:pPr>
              <w:rPr>
                <w:i/>
              </w:rPr>
            </w:pPr>
            <w:r>
              <w:rPr>
                <w:i/>
              </w:rPr>
              <w:t>ARTG</w:t>
            </w:r>
            <w:r w:rsidR="000159A6">
              <w:rPr>
                <w:i/>
              </w:rPr>
              <w:t xml:space="preserve"> </w:t>
            </w:r>
            <w:r>
              <w:rPr>
                <w:i/>
              </w:rPr>
              <w:t>number</w:t>
            </w:r>
            <w:r w:rsidR="00500337">
              <w:rPr>
                <w:i/>
              </w:rPr>
              <w:t>:</w:t>
            </w:r>
          </w:p>
        </w:tc>
        <w:tc>
          <w:tcPr>
            <w:tcW w:w="6307" w:type="dxa"/>
          </w:tcPr>
          <w:p w14:paraId="1ABA4D51" w14:textId="77777777" w:rsidR="00500337" w:rsidRPr="00441C3F" w:rsidRDefault="00667D44" w:rsidP="00EC463D">
            <w:r>
              <w:t>289257</w:t>
            </w:r>
          </w:p>
        </w:tc>
      </w:tr>
      <w:tr w:rsidR="008E7846" w:rsidRPr="00507966" w14:paraId="5C3769D3" w14:textId="77777777" w:rsidTr="00BF1190">
        <w:tc>
          <w:tcPr>
            <w:tcW w:w="2907" w:type="dxa"/>
          </w:tcPr>
          <w:p w14:paraId="1E06EDCA" w14:textId="6FECEC82" w:rsidR="008E7846" w:rsidRPr="00487162" w:rsidRDefault="00667D44" w:rsidP="00E45619">
            <w:pPr>
              <w:rPr>
                <w:i/>
              </w:rPr>
            </w:pPr>
            <w:r>
              <w:rPr>
                <w:i/>
              </w:rPr>
              <w:t>Active</w:t>
            </w:r>
            <w:r w:rsidR="000159A6">
              <w:rPr>
                <w:i/>
              </w:rPr>
              <w:t xml:space="preserve"> </w:t>
            </w:r>
            <w:r>
              <w:rPr>
                <w:i/>
              </w:rPr>
              <w:t>ingredient</w:t>
            </w:r>
            <w:r w:rsidR="001B5C90">
              <w:rPr>
                <w:i/>
              </w:rPr>
              <w:t>:</w:t>
            </w:r>
          </w:p>
        </w:tc>
        <w:tc>
          <w:tcPr>
            <w:tcW w:w="6307" w:type="dxa"/>
          </w:tcPr>
          <w:p w14:paraId="53613DAD" w14:textId="61C7F219" w:rsidR="008E7846" w:rsidRPr="00486776" w:rsidRDefault="00667D44" w:rsidP="00486776">
            <w:r w:rsidRPr="00486776">
              <w:t>Recombinant</w:t>
            </w:r>
            <w:r w:rsidR="000159A6">
              <w:t xml:space="preserve"> </w:t>
            </w:r>
            <w:r w:rsidR="00486776">
              <w:t>v</w:t>
            </w:r>
            <w:r w:rsidR="00486776" w:rsidRPr="00486776">
              <w:t>aricella</w:t>
            </w:r>
            <w:r w:rsidR="000159A6">
              <w:t xml:space="preserve"> </w:t>
            </w:r>
            <w:r w:rsidR="00486776">
              <w:t>z</w:t>
            </w:r>
            <w:r w:rsidR="00486776" w:rsidRPr="00486776">
              <w:t>oster</w:t>
            </w:r>
            <w:r w:rsidR="000159A6">
              <w:t xml:space="preserve"> </w:t>
            </w:r>
            <w:r w:rsidR="00486776">
              <w:t>v</w:t>
            </w:r>
            <w:r w:rsidRPr="00486776">
              <w:t>irus</w:t>
            </w:r>
            <w:r w:rsidR="000159A6">
              <w:t xml:space="preserve"> </w:t>
            </w:r>
            <w:r w:rsidRPr="00486776">
              <w:t>glycoprotein</w:t>
            </w:r>
            <w:r w:rsidR="000159A6">
              <w:t xml:space="preserve"> </w:t>
            </w:r>
            <w:r w:rsidRPr="00486776">
              <w:t>E</w:t>
            </w:r>
            <w:r w:rsidR="000159A6">
              <w:t xml:space="preserve"> </w:t>
            </w:r>
            <w:r w:rsidRPr="00486776">
              <w:t>antigen</w:t>
            </w:r>
          </w:p>
        </w:tc>
      </w:tr>
      <w:tr w:rsidR="008E7846" w:rsidRPr="00487162" w14:paraId="60FE3D84" w14:textId="77777777" w:rsidTr="00BF1190">
        <w:tc>
          <w:tcPr>
            <w:tcW w:w="2907" w:type="dxa"/>
          </w:tcPr>
          <w:p w14:paraId="00E06ED2" w14:textId="5CF1F56A" w:rsidR="008E7846" w:rsidRPr="00487162" w:rsidRDefault="008E7846" w:rsidP="001B5C90">
            <w:pPr>
              <w:rPr>
                <w:i/>
              </w:rPr>
            </w:pPr>
            <w:r w:rsidRPr="00487162">
              <w:rPr>
                <w:i/>
              </w:rPr>
              <w:t>Product</w:t>
            </w:r>
            <w:r w:rsidR="000159A6">
              <w:rPr>
                <w:i/>
              </w:rPr>
              <w:t xml:space="preserve"> </w:t>
            </w:r>
            <w:r w:rsidR="00667D44">
              <w:rPr>
                <w:i/>
              </w:rPr>
              <w:t>name</w:t>
            </w:r>
            <w:r w:rsidR="001B5C90">
              <w:rPr>
                <w:i/>
              </w:rPr>
              <w:t>:</w:t>
            </w:r>
          </w:p>
        </w:tc>
        <w:tc>
          <w:tcPr>
            <w:tcW w:w="6307" w:type="dxa"/>
          </w:tcPr>
          <w:p w14:paraId="4A4E8C8F" w14:textId="77777777" w:rsidR="008E7846" w:rsidRPr="00487162" w:rsidRDefault="00667D44" w:rsidP="00E45619">
            <w:r>
              <w:t>Shingrix</w:t>
            </w:r>
          </w:p>
        </w:tc>
      </w:tr>
      <w:tr w:rsidR="008E7846" w:rsidRPr="00487162" w14:paraId="4339AB3C" w14:textId="77777777" w:rsidTr="00BF1190">
        <w:tc>
          <w:tcPr>
            <w:tcW w:w="2907" w:type="dxa"/>
          </w:tcPr>
          <w:p w14:paraId="3F34DB3A" w14:textId="270A49DB" w:rsidR="008E7846" w:rsidRPr="00487162" w:rsidRDefault="008E7846" w:rsidP="001B5C90">
            <w:pPr>
              <w:rPr>
                <w:i/>
              </w:rPr>
            </w:pPr>
            <w:r w:rsidRPr="00487162">
              <w:rPr>
                <w:i/>
              </w:rPr>
              <w:t>Sponsor’s</w:t>
            </w:r>
            <w:r w:rsidR="000159A6">
              <w:rPr>
                <w:i/>
              </w:rPr>
              <w:t xml:space="preserve"> </w:t>
            </w:r>
            <w:r w:rsidR="001B5C90">
              <w:rPr>
                <w:i/>
              </w:rPr>
              <w:t>n</w:t>
            </w:r>
            <w:r w:rsidRPr="00487162">
              <w:rPr>
                <w:i/>
              </w:rPr>
              <w:t>ame</w:t>
            </w:r>
            <w:r w:rsidR="000159A6">
              <w:rPr>
                <w:i/>
              </w:rPr>
              <w:t xml:space="preserve"> </w:t>
            </w:r>
            <w:r w:rsidRPr="00487162">
              <w:rPr>
                <w:i/>
              </w:rPr>
              <w:t>and</w:t>
            </w:r>
            <w:r w:rsidR="000159A6">
              <w:rPr>
                <w:i/>
              </w:rPr>
              <w:t xml:space="preserve"> </w:t>
            </w:r>
            <w:r w:rsidR="001B5C90">
              <w:rPr>
                <w:i/>
              </w:rPr>
              <w:t>a</w:t>
            </w:r>
            <w:r w:rsidRPr="00487162">
              <w:rPr>
                <w:i/>
              </w:rPr>
              <w:t>ddress:</w:t>
            </w:r>
          </w:p>
        </w:tc>
        <w:tc>
          <w:tcPr>
            <w:tcW w:w="6307" w:type="dxa"/>
          </w:tcPr>
          <w:p w14:paraId="60F775EA" w14:textId="3D6C84D2" w:rsidR="008E7846" w:rsidRPr="0070024F" w:rsidRDefault="00667D44" w:rsidP="00E45619">
            <w:pPr>
              <w:rPr>
                <w:lang w:val="it-IT"/>
              </w:rPr>
            </w:pPr>
            <w:r w:rsidRPr="0070024F">
              <w:rPr>
                <w:lang w:val="it-IT"/>
              </w:rPr>
              <w:t>GlaxoSmithKline</w:t>
            </w:r>
            <w:r w:rsidR="000159A6">
              <w:rPr>
                <w:lang w:val="it-IT"/>
              </w:rPr>
              <w:t xml:space="preserve"> </w:t>
            </w:r>
            <w:r w:rsidRPr="0070024F">
              <w:rPr>
                <w:lang w:val="it-IT"/>
              </w:rPr>
              <w:t>Australia</w:t>
            </w:r>
            <w:r w:rsidR="000159A6">
              <w:rPr>
                <w:lang w:val="it-IT"/>
              </w:rPr>
              <w:t xml:space="preserve"> </w:t>
            </w:r>
            <w:r w:rsidRPr="0070024F">
              <w:rPr>
                <w:lang w:val="it-IT"/>
              </w:rPr>
              <w:t>Pty</w:t>
            </w:r>
            <w:r w:rsidR="000159A6">
              <w:rPr>
                <w:lang w:val="it-IT"/>
              </w:rPr>
              <w:t xml:space="preserve"> </w:t>
            </w:r>
            <w:r w:rsidRPr="0070024F">
              <w:rPr>
                <w:lang w:val="it-IT"/>
              </w:rPr>
              <w:t>Ltd</w:t>
            </w:r>
          </w:p>
          <w:p w14:paraId="53D25BEA" w14:textId="2895A4A4" w:rsidR="00667D44" w:rsidRPr="0070024F" w:rsidRDefault="00667D44" w:rsidP="00E45619">
            <w:pPr>
              <w:rPr>
                <w:lang w:val="it-IT"/>
              </w:rPr>
            </w:pPr>
            <w:r w:rsidRPr="0070024F">
              <w:rPr>
                <w:lang w:val="it-IT"/>
              </w:rPr>
              <w:t>PO</w:t>
            </w:r>
            <w:r w:rsidR="000159A6">
              <w:rPr>
                <w:lang w:val="it-IT"/>
              </w:rPr>
              <w:t xml:space="preserve"> </w:t>
            </w:r>
            <w:r w:rsidRPr="0070024F">
              <w:rPr>
                <w:lang w:val="it-IT"/>
              </w:rPr>
              <w:t>Box</w:t>
            </w:r>
            <w:r w:rsidR="000159A6">
              <w:rPr>
                <w:lang w:val="it-IT"/>
              </w:rPr>
              <w:t xml:space="preserve"> </w:t>
            </w:r>
            <w:r w:rsidRPr="0070024F">
              <w:rPr>
                <w:lang w:val="it-IT"/>
              </w:rPr>
              <w:t>18095</w:t>
            </w:r>
          </w:p>
          <w:p w14:paraId="0ECDEA09" w14:textId="61197E57" w:rsidR="00667D44" w:rsidRPr="00487162" w:rsidRDefault="00667D44" w:rsidP="00E45619">
            <w:r>
              <w:t>Melbourne</w:t>
            </w:r>
            <w:r w:rsidR="000159A6">
              <w:t xml:space="preserve"> </w:t>
            </w:r>
            <w:r>
              <w:t>VIC</w:t>
            </w:r>
            <w:r w:rsidR="000159A6">
              <w:t xml:space="preserve"> </w:t>
            </w:r>
            <w:r>
              <w:t>8003</w:t>
            </w:r>
          </w:p>
        </w:tc>
      </w:tr>
      <w:tr w:rsidR="008E7846" w:rsidRPr="00487162" w14:paraId="4F98F0D6" w14:textId="77777777" w:rsidTr="00BF1190">
        <w:tc>
          <w:tcPr>
            <w:tcW w:w="2907" w:type="dxa"/>
          </w:tcPr>
          <w:p w14:paraId="27704016" w14:textId="5C248D61" w:rsidR="008E7846" w:rsidRPr="00487162" w:rsidRDefault="00A00668" w:rsidP="00E45619">
            <w:pPr>
              <w:rPr>
                <w:i/>
              </w:rPr>
            </w:pPr>
            <w:r>
              <w:rPr>
                <w:i/>
              </w:rPr>
              <w:t>Dose</w:t>
            </w:r>
            <w:r w:rsidR="000159A6">
              <w:rPr>
                <w:i/>
              </w:rPr>
              <w:t xml:space="preserve"> </w:t>
            </w:r>
            <w:r>
              <w:rPr>
                <w:i/>
              </w:rPr>
              <w:t>form</w:t>
            </w:r>
            <w:r w:rsidR="001B5C90">
              <w:rPr>
                <w:i/>
              </w:rPr>
              <w:t>:</w:t>
            </w:r>
          </w:p>
        </w:tc>
        <w:tc>
          <w:tcPr>
            <w:tcW w:w="6307" w:type="dxa"/>
          </w:tcPr>
          <w:p w14:paraId="1CA0D4F8" w14:textId="29C5799E" w:rsidR="008E7846" w:rsidRPr="00487162" w:rsidRDefault="00A00668" w:rsidP="00D22598">
            <w:r>
              <w:t>Powder</w:t>
            </w:r>
            <w:r w:rsidR="000159A6">
              <w:t xml:space="preserve"> </w:t>
            </w:r>
            <w:r>
              <w:t>for</w:t>
            </w:r>
            <w:r w:rsidR="000159A6">
              <w:t xml:space="preserve"> </w:t>
            </w:r>
            <w:r>
              <w:t>injection</w:t>
            </w:r>
            <w:r w:rsidR="000159A6">
              <w:t xml:space="preserve"> </w:t>
            </w:r>
            <w:r w:rsidR="00D22598">
              <w:t>vial</w:t>
            </w:r>
            <w:r w:rsidR="000159A6">
              <w:t xml:space="preserve"> </w:t>
            </w:r>
            <w:r>
              <w:t>with</w:t>
            </w:r>
            <w:r w:rsidR="000159A6">
              <w:t xml:space="preserve"> </w:t>
            </w:r>
            <w:r w:rsidR="00D22598">
              <w:t>solution</w:t>
            </w:r>
            <w:r w:rsidR="000159A6">
              <w:t xml:space="preserve"> </w:t>
            </w:r>
            <w:r w:rsidR="00D22598">
              <w:t>for</w:t>
            </w:r>
            <w:r w:rsidR="000159A6">
              <w:t xml:space="preserve"> </w:t>
            </w:r>
            <w:r>
              <w:t>suspension</w:t>
            </w:r>
            <w:r w:rsidR="000159A6">
              <w:t xml:space="preserve"> </w:t>
            </w:r>
            <w:r w:rsidR="00D22598">
              <w:t>vial</w:t>
            </w:r>
          </w:p>
        </w:tc>
      </w:tr>
      <w:tr w:rsidR="008E7846" w:rsidRPr="00487162" w14:paraId="6848593E" w14:textId="77777777" w:rsidTr="00BF1190">
        <w:tc>
          <w:tcPr>
            <w:tcW w:w="2907" w:type="dxa"/>
          </w:tcPr>
          <w:p w14:paraId="6F8748D7" w14:textId="05C5972B" w:rsidR="008E7846" w:rsidRPr="00487162" w:rsidRDefault="003B2999" w:rsidP="00E45619">
            <w:pPr>
              <w:rPr>
                <w:i/>
              </w:rPr>
            </w:pPr>
            <w:r>
              <w:rPr>
                <w:i/>
              </w:rPr>
              <w:t>Strength</w:t>
            </w:r>
            <w:r w:rsidR="008E7846" w:rsidRPr="00487162">
              <w:rPr>
                <w:i/>
              </w:rPr>
              <w:t>:</w:t>
            </w:r>
          </w:p>
        </w:tc>
        <w:tc>
          <w:tcPr>
            <w:tcW w:w="6307" w:type="dxa"/>
          </w:tcPr>
          <w:p w14:paraId="02701F77" w14:textId="1710EC4C" w:rsidR="008E7846" w:rsidRPr="00487162" w:rsidRDefault="003B2999" w:rsidP="00E45619">
            <w:r>
              <w:t>50</w:t>
            </w:r>
            <w:r w:rsidR="000159A6">
              <w:t xml:space="preserve"> </w:t>
            </w:r>
            <w:r>
              <w:t>μg</w:t>
            </w:r>
          </w:p>
        </w:tc>
      </w:tr>
      <w:tr w:rsidR="008E7846" w:rsidRPr="00487162" w14:paraId="2B0022FF" w14:textId="77777777" w:rsidTr="00BF1190">
        <w:tc>
          <w:tcPr>
            <w:tcW w:w="2907" w:type="dxa"/>
          </w:tcPr>
          <w:p w14:paraId="50DFE290" w14:textId="77777777" w:rsidR="008E7846" w:rsidRPr="00487162" w:rsidRDefault="003B2999" w:rsidP="00E45619">
            <w:pPr>
              <w:rPr>
                <w:i/>
              </w:rPr>
            </w:pPr>
            <w:r>
              <w:rPr>
                <w:i/>
              </w:rPr>
              <w:t>Containers</w:t>
            </w:r>
            <w:r w:rsidR="008E7846" w:rsidRPr="00487162">
              <w:rPr>
                <w:i/>
              </w:rPr>
              <w:t>:</w:t>
            </w:r>
          </w:p>
        </w:tc>
        <w:tc>
          <w:tcPr>
            <w:tcW w:w="6307" w:type="dxa"/>
          </w:tcPr>
          <w:p w14:paraId="4ED21779" w14:textId="77777777" w:rsidR="008E7846" w:rsidRPr="00487162" w:rsidRDefault="003B2999" w:rsidP="00E45619">
            <w:r>
              <w:t>vials</w:t>
            </w:r>
          </w:p>
        </w:tc>
      </w:tr>
      <w:tr w:rsidR="008E7846" w:rsidRPr="00487162" w14:paraId="409FF5D4" w14:textId="77777777" w:rsidTr="00BF1190">
        <w:tc>
          <w:tcPr>
            <w:tcW w:w="2907" w:type="dxa"/>
          </w:tcPr>
          <w:p w14:paraId="7BDB682A" w14:textId="35A5BA52" w:rsidR="008E7846" w:rsidRPr="00487162" w:rsidRDefault="003B2999" w:rsidP="00E45619">
            <w:pPr>
              <w:rPr>
                <w:i/>
              </w:rPr>
            </w:pPr>
            <w:r>
              <w:rPr>
                <w:i/>
              </w:rPr>
              <w:t>Pack</w:t>
            </w:r>
            <w:r w:rsidR="000159A6">
              <w:rPr>
                <w:i/>
              </w:rPr>
              <w:t xml:space="preserve"> </w:t>
            </w:r>
            <w:r>
              <w:rPr>
                <w:i/>
              </w:rPr>
              <w:t>size</w:t>
            </w:r>
            <w:r w:rsidR="008E7846" w:rsidRPr="00487162">
              <w:rPr>
                <w:i/>
              </w:rPr>
              <w:t>:</w:t>
            </w:r>
          </w:p>
        </w:tc>
        <w:tc>
          <w:tcPr>
            <w:tcW w:w="6307" w:type="dxa"/>
          </w:tcPr>
          <w:p w14:paraId="43FF9CA5" w14:textId="77777777" w:rsidR="008E7846" w:rsidRPr="00487162" w:rsidRDefault="003B2999" w:rsidP="00E45619">
            <w:r>
              <w:t>1</w:t>
            </w:r>
          </w:p>
        </w:tc>
      </w:tr>
      <w:tr w:rsidR="008E7846" w:rsidRPr="00487162" w14:paraId="257D430F" w14:textId="77777777" w:rsidTr="00BF1190">
        <w:tc>
          <w:tcPr>
            <w:tcW w:w="2907" w:type="dxa"/>
          </w:tcPr>
          <w:p w14:paraId="118190C8" w14:textId="26ED70E4" w:rsidR="008E7846" w:rsidRPr="00487162" w:rsidRDefault="008E7846" w:rsidP="001B5C90">
            <w:pPr>
              <w:rPr>
                <w:i/>
              </w:rPr>
            </w:pPr>
            <w:r w:rsidRPr="00487162">
              <w:rPr>
                <w:i/>
              </w:rPr>
              <w:t>Approved</w:t>
            </w:r>
            <w:r w:rsidR="000159A6">
              <w:rPr>
                <w:i/>
              </w:rPr>
              <w:t xml:space="preserve"> </w:t>
            </w:r>
            <w:r w:rsidR="001B5C90">
              <w:rPr>
                <w:i/>
              </w:rPr>
              <w:t>t</w:t>
            </w:r>
            <w:r w:rsidRPr="00487162">
              <w:rPr>
                <w:i/>
              </w:rPr>
              <w:t>herapeutic</w:t>
            </w:r>
            <w:r w:rsidR="000159A6">
              <w:rPr>
                <w:i/>
              </w:rPr>
              <w:t xml:space="preserve"> </w:t>
            </w:r>
            <w:r w:rsidRPr="00487162">
              <w:rPr>
                <w:i/>
              </w:rPr>
              <w:t>use:</w:t>
            </w:r>
          </w:p>
        </w:tc>
        <w:tc>
          <w:tcPr>
            <w:tcW w:w="6307" w:type="dxa"/>
          </w:tcPr>
          <w:p w14:paraId="0C8BE39A" w14:textId="62D56AC1" w:rsidR="008E7846" w:rsidRPr="007E7B17" w:rsidRDefault="00FF12AA" w:rsidP="007E7B17">
            <w:pPr>
              <w:rPr>
                <w:i/>
              </w:rPr>
            </w:pPr>
            <w:r>
              <w:rPr>
                <w:i/>
              </w:rPr>
              <w:t>Shingrix</w:t>
            </w:r>
            <w:r w:rsidR="000159A6">
              <w:rPr>
                <w:i/>
              </w:rPr>
              <w:t xml:space="preserve"> </w:t>
            </w:r>
            <w:r w:rsidR="007E7B17" w:rsidRPr="007E7B17">
              <w:rPr>
                <w:i/>
              </w:rPr>
              <w:t>is</w:t>
            </w:r>
            <w:r w:rsidR="000159A6">
              <w:rPr>
                <w:i/>
              </w:rPr>
              <w:t xml:space="preserve"> </w:t>
            </w:r>
            <w:r w:rsidR="007E7B17" w:rsidRPr="007E7B17">
              <w:rPr>
                <w:i/>
              </w:rPr>
              <w:t>indicated</w:t>
            </w:r>
            <w:r w:rsidR="000159A6">
              <w:rPr>
                <w:i/>
              </w:rPr>
              <w:t xml:space="preserve"> </w:t>
            </w:r>
            <w:r w:rsidR="007E7B17" w:rsidRPr="007E7B17">
              <w:rPr>
                <w:i/>
              </w:rPr>
              <w:t>for</w:t>
            </w:r>
            <w:r w:rsidR="000159A6">
              <w:rPr>
                <w:i/>
              </w:rPr>
              <w:t xml:space="preserve"> </w:t>
            </w:r>
            <w:r w:rsidR="007E7B17" w:rsidRPr="007E7B17">
              <w:rPr>
                <w:i/>
              </w:rPr>
              <w:t>the</w:t>
            </w:r>
            <w:r w:rsidR="000159A6">
              <w:rPr>
                <w:i/>
              </w:rPr>
              <w:t xml:space="preserve"> </w:t>
            </w:r>
            <w:r w:rsidR="007E7B17" w:rsidRPr="007E7B17">
              <w:rPr>
                <w:i/>
              </w:rPr>
              <w:t>prevention</w:t>
            </w:r>
            <w:r w:rsidR="000159A6">
              <w:rPr>
                <w:i/>
              </w:rPr>
              <w:t xml:space="preserve"> </w:t>
            </w:r>
            <w:r w:rsidR="007E7B17" w:rsidRPr="007E7B17">
              <w:rPr>
                <w:i/>
              </w:rPr>
              <w:t>of</w:t>
            </w:r>
            <w:r w:rsidR="000159A6">
              <w:rPr>
                <w:i/>
              </w:rPr>
              <w:t xml:space="preserve"> </w:t>
            </w:r>
            <w:r w:rsidR="007E7B17" w:rsidRPr="007E7B17">
              <w:rPr>
                <w:i/>
              </w:rPr>
              <w:t>herpes</w:t>
            </w:r>
            <w:r w:rsidR="000159A6">
              <w:rPr>
                <w:i/>
              </w:rPr>
              <w:t xml:space="preserve"> </w:t>
            </w:r>
            <w:r w:rsidR="007E7B17" w:rsidRPr="007E7B17">
              <w:rPr>
                <w:i/>
              </w:rPr>
              <w:t>zoster</w:t>
            </w:r>
            <w:r w:rsidR="000159A6">
              <w:rPr>
                <w:i/>
              </w:rPr>
              <w:t xml:space="preserve"> </w:t>
            </w:r>
            <w:r w:rsidR="007E7B17" w:rsidRPr="007E7B17">
              <w:rPr>
                <w:i/>
              </w:rPr>
              <w:t>and</w:t>
            </w:r>
            <w:r w:rsidR="000159A6">
              <w:rPr>
                <w:i/>
              </w:rPr>
              <w:t xml:space="preserve"> </w:t>
            </w:r>
            <w:r w:rsidR="000E6841">
              <w:rPr>
                <w:i/>
              </w:rPr>
              <w:t>post</w:t>
            </w:r>
            <w:r w:rsidR="000159A6">
              <w:rPr>
                <w:i/>
              </w:rPr>
              <w:t xml:space="preserve"> </w:t>
            </w:r>
            <w:r w:rsidR="000E6841">
              <w:rPr>
                <w:i/>
              </w:rPr>
              <w:t>herpetic</w:t>
            </w:r>
            <w:r w:rsidR="000159A6">
              <w:rPr>
                <w:i/>
              </w:rPr>
              <w:t xml:space="preserve"> </w:t>
            </w:r>
            <w:r w:rsidR="007E7B17" w:rsidRPr="007E7B17">
              <w:rPr>
                <w:i/>
              </w:rPr>
              <w:t>neuralgia</w:t>
            </w:r>
            <w:r w:rsidR="000159A6">
              <w:rPr>
                <w:i/>
              </w:rPr>
              <w:t xml:space="preserve"> </w:t>
            </w:r>
            <w:r w:rsidR="007E7B17" w:rsidRPr="007E7B17">
              <w:rPr>
                <w:i/>
              </w:rPr>
              <w:t>in</w:t>
            </w:r>
            <w:r w:rsidR="000159A6">
              <w:rPr>
                <w:i/>
              </w:rPr>
              <w:t xml:space="preserve"> </w:t>
            </w:r>
            <w:r w:rsidR="007E7B17" w:rsidRPr="007E7B17">
              <w:rPr>
                <w:i/>
              </w:rPr>
              <w:t>adults</w:t>
            </w:r>
            <w:r w:rsidR="000159A6">
              <w:rPr>
                <w:i/>
              </w:rPr>
              <w:t xml:space="preserve"> </w:t>
            </w:r>
            <w:r w:rsidR="007E7B17" w:rsidRPr="007E7B17">
              <w:rPr>
                <w:i/>
              </w:rPr>
              <w:t>50</w:t>
            </w:r>
            <w:r w:rsidR="000159A6">
              <w:rPr>
                <w:i/>
              </w:rPr>
              <w:t xml:space="preserve"> </w:t>
            </w:r>
            <w:r w:rsidR="007E7B17" w:rsidRPr="007E7B17">
              <w:rPr>
                <w:i/>
              </w:rPr>
              <w:t>years</w:t>
            </w:r>
            <w:r w:rsidR="000159A6">
              <w:rPr>
                <w:i/>
              </w:rPr>
              <w:t xml:space="preserve"> </w:t>
            </w:r>
            <w:r w:rsidR="007E7B17" w:rsidRPr="007E7B17">
              <w:rPr>
                <w:i/>
              </w:rPr>
              <w:t>of</w:t>
            </w:r>
            <w:r w:rsidR="000159A6">
              <w:rPr>
                <w:i/>
              </w:rPr>
              <w:t xml:space="preserve"> </w:t>
            </w:r>
            <w:r w:rsidR="007E7B17" w:rsidRPr="007E7B17">
              <w:rPr>
                <w:i/>
              </w:rPr>
              <w:t>age</w:t>
            </w:r>
            <w:r w:rsidR="000159A6">
              <w:rPr>
                <w:i/>
              </w:rPr>
              <w:t xml:space="preserve"> </w:t>
            </w:r>
            <w:r w:rsidR="007E7B17" w:rsidRPr="007E7B17">
              <w:rPr>
                <w:i/>
              </w:rPr>
              <w:t>or</w:t>
            </w:r>
            <w:r w:rsidR="000159A6">
              <w:rPr>
                <w:i/>
              </w:rPr>
              <w:t xml:space="preserve"> </w:t>
            </w:r>
            <w:r w:rsidR="007E7B17" w:rsidRPr="007E7B17">
              <w:rPr>
                <w:i/>
              </w:rPr>
              <w:t>older.</w:t>
            </w:r>
          </w:p>
        </w:tc>
      </w:tr>
      <w:tr w:rsidR="008E7846" w:rsidRPr="00487162" w14:paraId="4F3B65A2" w14:textId="77777777" w:rsidTr="00BF1190">
        <w:tc>
          <w:tcPr>
            <w:tcW w:w="2907" w:type="dxa"/>
          </w:tcPr>
          <w:p w14:paraId="02CC07E5" w14:textId="65D6D2CB" w:rsidR="008E7846" w:rsidRPr="00487162" w:rsidRDefault="00D22598" w:rsidP="00E45619">
            <w:pPr>
              <w:rPr>
                <w:i/>
              </w:rPr>
            </w:pPr>
            <w:r>
              <w:rPr>
                <w:i/>
              </w:rPr>
              <w:t>Route</w:t>
            </w:r>
            <w:r w:rsidR="000159A6">
              <w:rPr>
                <w:i/>
              </w:rPr>
              <w:t xml:space="preserve"> </w:t>
            </w:r>
            <w:r w:rsidR="008E7846" w:rsidRPr="00487162">
              <w:rPr>
                <w:i/>
              </w:rPr>
              <w:t>of</w:t>
            </w:r>
            <w:r w:rsidR="000159A6">
              <w:rPr>
                <w:i/>
              </w:rPr>
              <w:t xml:space="preserve"> </w:t>
            </w:r>
            <w:r w:rsidR="008E7846" w:rsidRPr="00487162">
              <w:rPr>
                <w:i/>
              </w:rPr>
              <w:t>administration:</w:t>
            </w:r>
          </w:p>
        </w:tc>
        <w:tc>
          <w:tcPr>
            <w:tcW w:w="6307" w:type="dxa"/>
          </w:tcPr>
          <w:p w14:paraId="53D2B08F" w14:textId="77777777" w:rsidR="008E7846" w:rsidRPr="00487162" w:rsidRDefault="003B2999" w:rsidP="00E45619">
            <w:r>
              <w:t>Intramuscular</w:t>
            </w:r>
          </w:p>
        </w:tc>
      </w:tr>
      <w:tr w:rsidR="008E7846" w:rsidRPr="00487162" w14:paraId="2D63A73B" w14:textId="77777777" w:rsidTr="00BF1190">
        <w:tc>
          <w:tcPr>
            <w:tcW w:w="2907" w:type="dxa"/>
          </w:tcPr>
          <w:p w14:paraId="5EB9BE5A" w14:textId="77777777" w:rsidR="008E7846" w:rsidRPr="00487162" w:rsidRDefault="008E7846" w:rsidP="00E45619">
            <w:pPr>
              <w:rPr>
                <w:i/>
              </w:rPr>
            </w:pPr>
            <w:r w:rsidRPr="00487162">
              <w:rPr>
                <w:i/>
              </w:rPr>
              <w:t>Dosage:</w:t>
            </w:r>
          </w:p>
        </w:tc>
        <w:tc>
          <w:tcPr>
            <w:tcW w:w="6307" w:type="dxa"/>
          </w:tcPr>
          <w:p w14:paraId="147AA30C" w14:textId="0AD1C8AF" w:rsidR="005C0A6F" w:rsidRPr="005C0A6F" w:rsidRDefault="005C0A6F" w:rsidP="005C0A6F">
            <w:r w:rsidRPr="005C0A6F">
              <w:t>The</w:t>
            </w:r>
            <w:r w:rsidR="000159A6">
              <w:t xml:space="preserve"> </w:t>
            </w:r>
            <w:r w:rsidRPr="005C0A6F">
              <w:t>primary</w:t>
            </w:r>
            <w:r w:rsidR="000159A6">
              <w:t xml:space="preserve"> </w:t>
            </w:r>
            <w:r w:rsidRPr="005C0A6F">
              <w:t>vaccination</w:t>
            </w:r>
            <w:r w:rsidR="000159A6">
              <w:t xml:space="preserve"> </w:t>
            </w:r>
            <w:r w:rsidRPr="005C0A6F">
              <w:t>schedule</w:t>
            </w:r>
            <w:r w:rsidR="000159A6">
              <w:t xml:space="preserve"> </w:t>
            </w:r>
            <w:r w:rsidRPr="005C0A6F">
              <w:t>consists</w:t>
            </w:r>
            <w:r w:rsidR="000159A6">
              <w:t xml:space="preserve"> </w:t>
            </w:r>
            <w:r w:rsidRPr="005C0A6F">
              <w:t>of</w:t>
            </w:r>
            <w:r w:rsidR="000159A6">
              <w:t xml:space="preserve"> </w:t>
            </w:r>
            <w:r w:rsidRPr="005C0A6F">
              <w:t>two</w:t>
            </w:r>
            <w:r w:rsidR="000159A6">
              <w:t xml:space="preserve"> </w:t>
            </w:r>
            <w:r w:rsidRPr="005C0A6F">
              <w:t>doses</w:t>
            </w:r>
            <w:r w:rsidR="000159A6">
              <w:t xml:space="preserve"> </w:t>
            </w:r>
            <w:r w:rsidRPr="005C0A6F">
              <w:t>of</w:t>
            </w:r>
            <w:r w:rsidR="000159A6">
              <w:t xml:space="preserve"> </w:t>
            </w:r>
            <w:r w:rsidRPr="005C0A6F">
              <w:t>0.5</w:t>
            </w:r>
            <w:r w:rsidR="000159A6">
              <w:t xml:space="preserve"> </w:t>
            </w:r>
            <w:r w:rsidRPr="005C0A6F">
              <w:t>m</w:t>
            </w:r>
            <w:r w:rsidR="002C42ED">
              <w:t>L</w:t>
            </w:r>
            <w:r w:rsidR="000159A6">
              <w:t xml:space="preserve"> </w:t>
            </w:r>
            <w:r w:rsidRPr="005C0A6F">
              <w:t>each;</w:t>
            </w:r>
            <w:r w:rsidR="000159A6">
              <w:t xml:space="preserve"> </w:t>
            </w:r>
            <w:r w:rsidRPr="005C0A6F">
              <w:t>an</w:t>
            </w:r>
            <w:r w:rsidR="000159A6">
              <w:t xml:space="preserve"> </w:t>
            </w:r>
            <w:r w:rsidRPr="005C0A6F">
              <w:t>initial</w:t>
            </w:r>
            <w:r w:rsidR="000159A6">
              <w:t xml:space="preserve"> </w:t>
            </w:r>
            <w:r w:rsidRPr="005C0A6F">
              <w:t>dose</w:t>
            </w:r>
            <w:r w:rsidR="000159A6">
              <w:t xml:space="preserve"> </w:t>
            </w:r>
            <w:r w:rsidRPr="005C0A6F">
              <w:t>followed</w:t>
            </w:r>
            <w:r w:rsidR="000159A6">
              <w:t xml:space="preserve"> </w:t>
            </w:r>
            <w:r w:rsidRPr="005C0A6F">
              <w:t>by</w:t>
            </w:r>
            <w:r w:rsidR="000159A6">
              <w:t xml:space="preserve"> </w:t>
            </w:r>
            <w:r w:rsidRPr="005C0A6F">
              <w:t>a</w:t>
            </w:r>
            <w:r w:rsidR="000159A6">
              <w:t xml:space="preserve"> </w:t>
            </w:r>
            <w:r w:rsidRPr="005C0A6F">
              <w:t>second</w:t>
            </w:r>
            <w:r w:rsidR="000159A6">
              <w:t xml:space="preserve"> </w:t>
            </w:r>
            <w:r w:rsidRPr="005C0A6F">
              <w:t>dose</w:t>
            </w:r>
            <w:r w:rsidR="000159A6">
              <w:t xml:space="preserve"> </w:t>
            </w:r>
            <w:r w:rsidRPr="005C0A6F">
              <w:t>2</w:t>
            </w:r>
            <w:r w:rsidR="000159A6">
              <w:t xml:space="preserve"> </w:t>
            </w:r>
            <w:r w:rsidRPr="005C0A6F">
              <w:t>to</w:t>
            </w:r>
            <w:r w:rsidR="000159A6">
              <w:t xml:space="preserve"> </w:t>
            </w:r>
            <w:r w:rsidRPr="005C0A6F">
              <w:t>6</w:t>
            </w:r>
            <w:r w:rsidR="000159A6">
              <w:t xml:space="preserve"> </w:t>
            </w:r>
            <w:r w:rsidRPr="005C0A6F">
              <w:t>months</w:t>
            </w:r>
            <w:r w:rsidR="000159A6">
              <w:t xml:space="preserve"> </w:t>
            </w:r>
            <w:r w:rsidRPr="005C0A6F">
              <w:t>later.</w:t>
            </w:r>
            <w:r w:rsidR="000159A6">
              <w:t xml:space="preserve"> </w:t>
            </w:r>
            <w:r w:rsidRPr="005C0A6F">
              <w:t>The</w:t>
            </w:r>
            <w:r w:rsidR="000159A6">
              <w:t xml:space="preserve"> </w:t>
            </w:r>
            <w:r w:rsidRPr="005C0A6F">
              <w:t>need</w:t>
            </w:r>
            <w:r w:rsidR="000159A6">
              <w:t xml:space="preserve"> </w:t>
            </w:r>
            <w:r w:rsidRPr="005C0A6F">
              <w:t>for</w:t>
            </w:r>
            <w:r w:rsidR="000159A6">
              <w:t xml:space="preserve"> </w:t>
            </w:r>
            <w:r w:rsidRPr="005C0A6F">
              <w:t>booster</w:t>
            </w:r>
            <w:r w:rsidR="000159A6">
              <w:t xml:space="preserve"> </w:t>
            </w:r>
            <w:r w:rsidRPr="005C0A6F">
              <w:t>doses</w:t>
            </w:r>
            <w:r w:rsidR="000159A6">
              <w:t xml:space="preserve"> </w:t>
            </w:r>
            <w:r w:rsidRPr="005C0A6F">
              <w:t>has</w:t>
            </w:r>
            <w:r w:rsidR="000159A6">
              <w:t xml:space="preserve"> </w:t>
            </w:r>
            <w:r w:rsidRPr="005C0A6F">
              <w:t>not</w:t>
            </w:r>
            <w:r w:rsidR="000159A6">
              <w:t xml:space="preserve"> </w:t>
            </w:r>
            <w:r w:rsidRPr="005C0A6F">
              <w:t>been</w:t>
            </w:r>
            <w:r w:rsidR="000159A6">
              <w:t xml:space="preserve"> </w:t>
            </w:r>
            <w:r w:rsidRPr="005C0A6F">
              <w:t>established.</w:t>
            </w:r>
          </w:p>
          <w:p w14:paraId="285C7594" w14:textId="40013F2E" w:rsidR="005C0A6F" w:rsidRPr="005C0A6F" w:rsidRDefault="005C0A6F" w:rsidP="005C0A6F">
            <w:r w:rsidRPr="005C0A6F">
              <w:t>S</w:t>
            </w:r>
            <w:r w:rsidR="00FF12AA" w:rsidRPr="005C0A6F">
              <w:t>hingrix</w:t>
            </w:r>
            <w:r w:rsidR="000159A6">
              <w:t xml:space="preserve"> </w:t>
            </w:r>
            <w:r w:rsidRPr="005C0A6F">
              <w:t>is</w:t>
            </w:r>
            <w:r w:rsidR="000159A6">
              <w:t xml:space="preserve"> </w:t>
            </w:r>
            <w:r w:rsidRPr="005C0A6F">
              <w:t>not</w:t>
            </w:r>
            <w:r w:rsidR="000159A6">
              <w:t xml:space="preserve"> </w:t>
            </w:r>
            <w:r w:rsidRPr="005C0A6F">
              <w:t>indicated</w:t>
            </w:r>
            <w:r w:rsidR="000159A6">
              <w:t xml:space="preserve"> </w:t>
            </w:r>
            <w:r w:rsidRPr="005C0A6F">
              <w:t>for</w:t>
            </w:r>
            <w:r w:rsidR="000159A6">
              <w:t xml:space="preserve"> </w:t>
            </w:r>
            <w:r w:rsidRPr="005C0A6F">
              <w:t>prevention</w:t>
            </w:r>
            <w:r w:rsidR="000159A6">
              <w:t xml:space="preserve"> </w:t>
            </w:r>
            <w:r w:rsidRPr="005C0A6F">
              <w:t>of</w:t>
            </w:r>
            <w:r w:rsidR="000159A6">
              <w:t xml:space="preserve"> </w:t>
            </w:r>
            <w:r w:rsidRPr="005C0A6F">
              <w:t>primary</w:t>
            </w:r>
            <w:r w:rsidR="000159A6">
              <w:t xml:space="preserve"> </w:t>
            </w:r>
            <w:r w:rsidRPr="005C0A6F">
              <w:t>varicella</w:t>
            </w:r>
            <w:r w:rsidR="000159A6">
              <w:t xml:space="preserve"> </w:t>
            </w:r>
            <w:r w:rsidRPr="005C0A6F">
              <w:t>infection.</w:t>
            </w:r>
          </w:p>
          <w:p w14:paraId="5163BD22" w14:textId="6FC48947" w:rsidR="008E7846" w:rsidRPr="00487162" w:rsidRDefault="005C0A6F" w:rsidP="005C0A6F">
            <w:r w:rsidRPr="005C0A6F">
              <w:t>Administration</w:t>
            </w:r>
            <w:r w:rsidR="000159A6">
              <w:t xml:space="preserve"> </w:t>
            </w:r>
            <w:r w:rsidRPr="005C0A6F">
              <w:t>is</w:t>
            </w:r>
            <w:r w:rsidR="000159A6">
              <w:t xml:space="preserve"> </w:t>
            </w:r>
            <w:r w:rsidRPr="005C0A6F">
              <w:t>via</w:t>
            </w:r>
            <w:r w:rsidR="000159A6">
              <w:t xml:space="preserve"> </w:t>
            </w:r>
            <w:r w:rsidRPr="005C0A6F">
              <w:t>intramuscular</w:t>
            </w:r>
            <w:r w:rsidR="000159A6">
              <w:t xml:space="preserve"> </w:t>
            </w:r>
            <w:r w:rsidRPr="005C0A6F">
              <w:t>injection</w:t>
            </w:r>
            <w:r w:rsidR="000159A6">
              <w:t xml:space="preserve"> </w:t>
            </w:r>
            <w:r w:rsidRPr="005C0A6F">
              <w:t>only,</w:t>
            </w:r>
            <w:r w:rsidR="000159A6">
              <w:t xml:space="preserve"> </w:t>
            </w:r>
            <w:r w:rsidRPr="005C0A6F">
              <w:t>preferably</w:t>
            </w:r>
            <w:r w:rsidR="000159A6">
              <w:t xml:space="preserve"> </w:t>
            </w:r>
            <w:r w:rsidRPr="005C0A6F">
              <w:t>in</w:t>
            </w:r>
            <w:r w:rsidR="000159A6">
              <w:t xml:space="preserve"> </w:t>
            </w:r>
            <w:r w:rsidRPr="005C0A6F">
              <w:t>the</w:t>
            </w:r>
            <w:r w:rsidR="000159A6">
              <w:t xml:space="preserve"> </w:t>
            </w:r>
            <w:r w:rsidRPr="005C0A6F">
              <w:t>deltoid</w:t>
            </w:r>
            <w:r w:rsidR="000159A6">
              <w:t xml:space="preserve"> </w:t>
            </w:r>
            <w:r w:rsidRPr="005C0A6F">
              <w:t>muscle</w:t>
            </w:r>
            <w:r w:rsidR="002C42ED">
              <w:t>.</w:t>
            </w:r>
          </w:p>
        </w:tc>
      </w:tr>
    </w:tbl>
    <w:p w14:paraId="21ACC42A" w14:textId="027EDDB5" w:rsidR="008E7846" w:rsidRDefault="008E7846" w:rsidP="006051B3">
      <w:pPr>
        <w:pStyle w:val="Heading3"/>
        <w:pageBreakBefore/>
      </w:pPr>
      <w:bookmarkStart w:id="13" w:name="_Toc247691503"/>
      <w:bookmarkStart w:id="14" w:name="_Toc314842484"/>
      <w:bookmarkStart w:id="15" w:name="_Toc1049797"/>
      <w:r>
        <w:lastRenderedPageBreak/>
        <w:t>Product</w:t>
      </w:r>
      <w:r w:rsidR="000159A6">
        <w:t xml:space="preserve"> </w:t>
      </w:r>
      <w:r>
        <w:t>background</w:t>
      </w:r>
      <w:bookmarkEnd w:id="13"/>
      <w:bookmarkEnd w:id="14"/>
      <w:bookmarkEnd w:id="15"/>
    </w:p>
    <w:p w14:paraId="64B4F742" w14:textId="0E3CBE18" w:rsidR="008E7846" w:rsidRDefault="00940A89" w:rsidP="00CC47E8">
      <w:r w:rsidRPr="00940A89">
        <w:t>This</w:t>
      </w:r>
      <w:r w:rsidR="000159A6">
        <w:t xml:space="preserve"> </w:t>
      </w:r>
      <w:r w:rsidRPr="00940A89">
        <w:t>AusPAR</w:t>
      </w:r>
      <w:r w:rsidR="000159A6">
        <w:t xml:space="preserve"> </w:t>
      </w:r>
      <w:r w:rsidRPr="00940A89">
        <w:t>describes</w:t>
      </w:r>
      <w:r w:rsidR="000159A6">
        <w:t xml:space="preserve"> </w:t>
      </w:r>
      <w:r w:rsidRPr="00940A89">
        <w:t>the</w:t>
      </w:r>
      <w:r w:rsidR="000159A6">
        <w:t xml:space="preserve"> </w:t>
      </w:r>
      <w:r w:rsidRPr="00940A89">
        <w:t>application</w:t>
      </w:r>
      <w:r w:rsidR="000159A6">
        <w:t xml:space="preserve"> </w:t>
      </w:r>
      <w:r w:rsidRPr="00940A89">
        <w:t>by</w:t>
      </w:r>
      <w:r w:rsidR="000159A6">
        <w:t xml:space="preserve"> </w:t>
      </w:r>
      <w:r w:rsidR="003421E8">
        <w:t>GlaxoSmithKline</w:t>
      </w:r>
      <w:r w:rsidR="000159A6">
        <w:t xml:space="preserve"> </w:t>
      </w:r>
      <w:r w:rsidR="003421E8">
        <w:t>Australia</w:t>
      </w:r>
      <w:r w:rsidR="000159A6">
        <w:t xml:space="preserve"> </w:t>
      </w:r>
      <w:r w:rsidR="003421E8">
        <w:t>Pty</w:t>
      </w:r>
      <w:r w:rsidR="000159A6">
        <w:t xml:space="preserve"> </w:t>
      </w:r>
      <w:r w:rsidR="003421E8">
        <w:t>Ltd</w:t>
      </w:r>
      <w:r w:rsidR="000159A6">
        <w:t xml:space="preserve"> </w:t>
      </w:r>
      <w:r w:rsidR="00331AB9">
        <w:t>(GSK)</w:t>
      </w:r>
      <w:r w:rsidR="000159A6">
        <w:t xml:space="preserve"> </w:t>
      </w:r>
      <w:r w:rsidR="003421E8">
        <w:t>(</w:t>
      </w:r>
      <w:r w:rsidRPr="00940A89">
        <w:t>the</w:t>
      </w:r>
      <w:r w:rsidR="000159A6">
        <w:t xml:space="preserve"> </w:t>
      </w:r>
      <w:r w:rsidRPr="00940A89">
        <w:t>sponsor</w:t>
      </w:r>
      <w:r w:rsidR="003421E8">
        <w:t>)</w:t>
      </w:r>
      <w:r w:rsidR="000159A6">
        <w:t xml:space="preserve"> </w:t>
      </w:r>
      <w:r w:rsidRPr="00940A89">
        <w:t>to</w:t>
      </w:r>
      <w:r w:rsidR="000159A6">
        <w:t xml:space="preserve"> </w:t>
      </w:r>
      <w:r w:rsidRPr="00940A89">
        <w:t>register</w:t>
      </w:r>
      <w:r w:rsidR="000159A6">
        <w:t xml:space="preserve"> </w:t>
      </w:r>
      <w:r w:rsidR="003421E8">
        <w:t>Shingrix</w:t>
      </w:r>
      <w:r w:rsidR="000159A6">
        <w:t xml:space="preserve"> </w:t>
      </w:r>
      <w:r w:rsidR="00F922B3">
        <w:t>recombinant</w:t>
      </w:r>
      <w:r w:rsidR="000159A6">
        <w:t xml:space="preserve"> </w:t>
      </w:r>
      <w:r w:rsidR="00F922B3">
        <w:t>varicella</w:t>
      </w:r>
      <w:r w:rsidR="000159A6">
        <w:t xml:space="preserve"> </w:t>
      </w:r>
      <w:r w:rsidR="00F922B3">
        <w:t>zoster</w:t>
      </w:r>
      <w:r w:rsidR="000159A6">
        <w:t xml:space="preserve"> </w:t>
      </w:r>
      <w:r w:rsidR="00F922B3">
        <w:t>virus</w:t>
      </w:r>
      <w:r w:rsidR="000159A6">
        <w:t xml:space="preserve"> </w:t>
      </w:r>
      <w:r w:rsidR="003421E8">
        <w:t>glycoprotein</w:t>
      </w:r>
      <w:r w:rsidR="000159A6">
        <w:t xml:space="preserve"> </w:t>
      </w:r>
      <w:r w:rsidR="003421E8">
        <w:t>E</w:t>
      </w:r>
      <w:r w:rsidR="000159A6">
        <w:t xml:space="preserve"> </w:t>
      </w:r>
      <w:r w:rsidR="003421E8">
        <w:t>antigen</w:t>
      </w:r>
      <w:r w:rsidR="000159A6">
        <w:t xml:space="preserve"> </w:t>
      </w:r>
      <w:r w:rsidR="003421E8">
        <w:t>vaccine</w:t>
      </w:r>
      <w:r w:rsidR="000159A6">
        <w:t xml:space="preserve"> </w:t>
      </w:r>
      <w:r w:rsidR="003421E8">
        <w:t>powder</w:t>
      </w:r>
      <w:r w:rsidR="000159A6">
        <w:t xml:space="preserve"> </w:t>
      </w:r>
      <w:r w:rsidRPr="00940A89">
        <w:t>f</w:t>
      </w:r>
      <w:r w:rsidR="003421E8">
        <w:t>or</w:t>
      </w:r>
      <w:r w:rsidR="000159A6">
        <w:t xml:space="preserve"> </w:t>
      </w:r>
      <w:r w:rsidR="003421E8">
        <w:t>injection</w:t>
      </w:r>
      <w:r w:rsidR="000159A6">
        <w:t xml:space="preserve"> </w:t>
      </w:r>
      <w:r w:rsidR="003421E8">
        <w:t>vial</w:t>
      </w:r>
      <w:r w:rsidR="000159A6">
        <w:t xml:space="preserve"> </w:t>
      </w:r>
      <w:r w:rsidR="003421E8">
        <w:t>with</w:t>
      </w:r>
      <w:r w:rsidR="000159A6">
        <w:t xml:space="preserve"> </w:t>
      </w:r>
      <w:r w:rsidR="003421E8">
        <w:t>suspension</w:t>
      </w:r>
      <w:r w:rsidR="000159A6">
        <w:t xml:space="preserve"> </w:t>
      </w:r>
      <w:r w:rsidR="003421E8">
        <w:t>for</w:t>
      </w:r>
      <w:r w:rsidR="000159A6">
        <w:t xml:space="preserve"> </w:t>
      </w:r>
      <w:r w:rsidR="003421E8">
        <w:t>suspension</w:t>
      </w:r>
      <w:r w:rsidR="000159A6">
        <w:t xml:space="preserve"> </w:t>
      </w:r>
      <w:r w:rsidR="003421E8">
        <w:t>vial</w:t>
      </w:r>
      <w:r w:rsidR="000159A6">
        <w:t xml:space="preserve"> </w:t>
      </w:r>
      <w:r w:rsidR="003421E8">
        <w:t>for</w:t>
      </w:r>
      <w:r w:rsidR="000159A6">
        <w:t xml:space="preserve"> </w:t>
      </w:r>
      <w:r w:rsidR="003421E8">
        <w:t>the</w:t>
      </w:r>
      <w:r w:rsidR="000159A6">
        <w:t xml:space="preserve"> </w:t>
      </w:r>
      <w:r w:rsidR="003421E8">
        <w:t>following</w:t>
      </w:r>
      <w:r w:rsidR="000159A6">
        <w:t xml:space="preserve"> </w:t>
      </w:r>
      <w:r w:rsidR="003421E8">
        <w:t>indication:</w:t>
      </w:r>
    </w:p>
    <w:p w14:paraId="7CCF60F2" w14:textId="6786CD84" w:rsidR="006051B3" w:rsidRPr="0039239E" w:rsidRDefault="006051B3" w:rsidP="006051B3">
      <w:pPr>
        <w:spacing w:before="0" w:line="240" w:lineRule="auto"/>
        <w:ind w:left="720"/>
        <w:rPr>
          <w:i/>
          <w:lang w:eastAsia="ja-JP"/>
        </w:rPr>
      </w:pPr>
      <w:r w:rsidRPr="0039239E">
        <w:rPr>
          <w:i/>
          <w:lang w:eastAsia="ja-JP"/>
        </w:rPr>
        <w:t>Shingrix</w:t>
      </w:r>
      <w:r w:rsidR="000159A6">
        <w:rPr>
          <w:i/>
          <w:lang w:eastAsia="ja-JP"/>
        </w:rPr>
        <w:t xml:space="preserve"> </w:t>
      </w:r>
      <w:r w:rsidRPr="0039239E">
        <w:rPr>
          <w:i/>
          <w:lang w:eastAsia="ja-JP"/>
        </w:rPr>
        <w:t>is</w:t>
      </w:r>
      <w:r w:rsidR="000159A6">
        <w:rPr>
          <w:i/>
          <w:lang w:eastAsia="ja-JP"/>
        </w:rPr>
        <w:t xml:space="preserve"> </w:t>
      </w:r>
      <w:r w:rsidRPr="0039239E">
        <w:rPr>
          <w:i/>
          <w:lang w:eastAsia="ja-JP"/>
        </w:rPr>
        <w:t>indicated</w:t>
      </w:r>
      <w:r w:rsidR="000159A6">
        <w:rPr>
          <w:i/>
          <w:lang w:eastAsia="ja-JP"/>
        </w:rPr>
        <w:t xml:space="preserve"> </w:t>
      </w:r>
      <w:r w:rsidRPr="0039239E">
        <w:rPr>
          <w:i/>
          <w:lang w:eastAsia="ja-JP"/>
        </w:rPr>
        <w:t>for</w:t>
      </w:r>
      <w:r w:rsidR="000159A6">
        <w:rPr>
          <w:i/>
          <w:lang w:eastAsia="ja-JP"/>
        </w:rPr>
        <w:t xml:space="preserve"> </w:t>
      </w:r>
      <w:r w:rsidRPr="0039239E">
        <w:rPr>
          <w:i/>
          <w:lang w:eastAsia="ja-JP"/>
        </w:rPr>
        <w:t>the</w:t>
      </w:r>
      <w:r w:rsidR="000159A6">
        <w:rPr>
          <w:i/>
          <w:lang w:eastAsia="ja-JP"/>
        </w:rPr>
        <w:t xml:space="preserve"> </w:t>
      </w:r>
      <w:r w:rsidRPr="0039239E">
        <w:rPr>
          <w:i/>
          <w:lang w:eastAsia="ja-JP"/>
        </w:rPr>
        <w:t>prevention</w:t>
      </w:r>
      <w:r w:rsidR="000159A6">
        <w:rPr>
          <w:i/>
          <w:lang w:eastAsia="ja-JP"/>
        </w:rPr>
        <w:t xml:space="preserve"> </w:t>
      </w:r>
      <w:r w:rsidRPr="0039239E">
        <w:rPr>
          <w:i/>
          <w:lang w:eastAsia="ja-JP"/>
        </w:rPr>
        <w:t>of</w:t>
      </w:r>
      <w:r w:rsidR="000159A6">
        <w:rPr>
          <w:i/>
          <w:lang w:eastAsia="ja-JP"/>
        </w:rPr>
        <w:t xml:space="preserve"> </w:t>
      </w:r>
      <w:r w:rsidRPr="0039239E">
        <w:rPr>
          <w:i/>
          <w:lang w:eastAsia="ja-JP"/>
        </w:rPr>
        <w:t>herpes</w:t>
      </w:r>
      <w:r w:rsidR="000159A6">
        <w:rPr>
          <w:i/>
          <w:lang w:eastAsia="ja-JP"/>
        </w:rPr>
        <w:t xml:space="preserve"> </w:t>
      </w:r>
      <w:r w:rsidRPr="0039239E">
        <w:rPr>
          <w:i/>
          <w:lang w:eastAsia="ja-JP"/>
        </w:rPr>
        <w:t>zoster</w:t>
      </w:r>
      <w:r w:rsidR="000159A6">
        <w:rPr>
          <w:i/>
          <w:lang w:eastAsia="ja-JP"/>
        </w:rPr>
        <w:t xml:space="preserve"> </w:t>
      </w:r>
      <w:r w:rsidRPr="0039239E">
        <w:rPr>
          <w:i/>
          <w:lang w:eastAsia="ja-JP"/>
        </w:rPr>
        <w:t>(HZ)</w:t>
      </w:r>
      <w:r w:rsidR="000159A6">
        <w:rPr>
          <w:i/>
          <w:lang w:eastAsia="ja-JP"/>
        </w:rPr>
        <w:t xml:space="preserve"> </w:t>
      </w:r>
      <w:r w:rsidRPr="0039239E">
        <w:rPr>
          <w:i/>
          <w:lang w:eastAsia="ja-JP"/>
        </w:rPr>
        <w:t>and</w:t>
      </w:r>
      <w:r w:rsidR="000159A6">
        <w:rPr>
          <w:i/>
          <w:lang w:eastAsia="ja-JP"/>
        </w:rPr>
        <w:t xml:space="preserve"> </w:t>
      </w:r>
      <w:r w:rsidR="000D0435">
        <w:rPr>
          <w:i/>
          <w:lang w:eastAsia="ja-JP"/>
        </w:rPr>
        <w:t>HZ</w:t>
      </w:r>
      <w:r w:rsidR="000159A6">
        <w:rPr>
          <w:i/>
          <w:lang w:eastAsia="ja-JP"/>
        </w:rPr>
        <w:t xml:space="preserve"> </w:t>
      </w:r>
      <w:r w:rsidR="000D0435">
        <w:rPr>
          <w:i/>
          <w:lang w:eastAsia="ja-JP"/>
        </w:rPr>
        <w:t>related</w:t>
      </w:r>
      <w:r w:rsidR="000159A6">
        <w:rPr>
          <w:i/>
          <w:lang w:eastAsia="ja-JP"/>
        </w:rPr>
        <w:t xml:space="preserve"> </w:t>
      </w:r>
      <w:r w:rsidRPr="0039239E">
        <w:rPr>
          <w:i/>
          <w:lang w:eastAsia="ja-JP"/>
        </w:rPr>
        <w:t>complications,</w:t>
      </w:r>
      <w:r w:rsidR="000159A6">
        <w:rPr>
          <w:i/>
          <w:lang w:eastAsia="ja-JP"/>
        </w:rPr>
        <w:t xml:space="preserve"> </w:t>
      </w:r>
      <w:r w:rsidRPr="0039239E">
        <w:rPr>
          <w:i/>
          <w:lang w:eastAsia="ja-JP"/>
        </w:rPr>
        <w:t>such</w:t>
      </w:r>
      <w:r w:rsidR="000159A6">
        <w:rPr>
          <w:i/>
          <w:lang w:eastAsia="ja-JP"/>
        </w:rPr>
        <w:t xml:space="preserve"> </w:t>
      </w:r>
      <w:r w:rsidRPr="0039239E">
        <w:rPr>
          <w:i/>
          <w:lang w:eastAsia="ja-JP"/>
        </w:rPr>
        <w:t>as</w:t>
      </w:r>
      <w:r w:rsidR="000159A6">
        <w:rPr>
          <w:i/>
          <w:lang w:eastAsia="ja-JP"/>
        </w:rPr>
        <w:t xml:space="preserve"> </w:t>
      </w:r>
      <w:r w:rsidR="000E6841">
        <w:rPr>
          <w:i/>
          <w:lang w:eastAsia="ja-JP"/>
        </w:rPr>
        <w:t>post</w:t>
      </w:r>
      <w:r w:rsidR="000159A6">
        <w:rPr>
          <w:i/>
          <w:lang w:eastAsia="ja-JP"/>
        </w:rPr>
        <w:t xml:space="preserve"> </w:t>
      </w:r>
      <w:r w:rsidR="000E6841">
        <w:rPr>
          <w:i/>
          <w:lang w:eastAsia="ja-JP"/>
        </w:rPr>
        <w:t>herpetic</w:t>
      </w:r>
      <w:r w:rsidR="000159A6">
        <w:rPr>
          <w:i/>
          <w:lang w:eastAsia="ja-JP"/>
        </w:rPr>
        <w:t xml:space="preserve"> </w:t>
      </w:r>
      <w:r w:rsidRPr="0039239E">
        <w:rPr>
          <w:i/>
          <w:lang w:eastAsia="ja-JP"/>
        </w:rPr>
        <w:t>neuralgia</w:t>
      </w:r>
      <w:r w:rsidR="000159A6">
        <w:rPr>
          <w:i/>
          <w:lang w:eastAsia="ja-JP"/>
        </w:rPr>
        <w:t xml:space="preserve"> </w:t>
      </w:r>
      <w:r w:rsidRPr="0039239E">
        <w:rPr>
          <w:i/>
          <w:lang w:eastAsia="ja-JP"/>
        </w:rPr>
        <w:t>(PHN),</w:t>
      </w:r>
      <w:r w:rsidR="000159A6">
        <w:rPr>
          <w:i/>
          <w:lang w:eastAsia="ja-JP"/>
        </w:rPr>
        <w:t xml:space="preserve"> </w:t>
      </w:r>
      <w:r w:rsidRPr="0039239E">
        <w:rPr>
          <w:i/>
          <w:lang w:eastAsia="ja-JP"/>
        </w:rPr>
        <w:t>in</w:t>
      </w:r>
      <w:r w:rsidR="000159A6">
        <w:rPr>
          <w:i/>
          <w:lang w:eastAsia="ja-JP"/>
        </w:rPr>
        <w:t xml:space="preserve"> </w:t>
      </w:r>
      <w:r w:rsidRPr="0039239E">
        <w:rPr>
          <w:i/>
          <w:lang w:eastAsia="ja-JP"/>
        </w:rPr>
        <w:t>adults</w:t>
      </w:r>
      <w:r w:rsidR="000159A6">
        <w:rPr>
          <w:i/>
          <w:lang w:eastAsia="ja-JP"/>
        </w:rPr>
        <w:t xml:space="preserve"> </w:t>
      </w:r>
      <w:r w:rsidRPr="0039239E">
        <w:rPr>
          <w:i/>
          <w:lang w:eastAsia="ja-JP"/>
        </w:rPr>
        <w:t>50</w:t>
      </w:r>
      <w:r w:rsidR="000159A6">
        <w:rPr>
          <w:i/>
          <w:lang w:eastAsia="ja-JP"/>
        </w:rPr>
        <w:t xml:space="preserve"> </w:t>
      </w:r>
      <w:r w:rsidRPr="0039239E">
        <w:rPr>
          <w:i/>
          <w:lang w:eastAsia="ja-JP"/>
        </w:rPr>
        <w:t>years</w:t>
      </w:r>
      <w:r w:rsidR="000159A6">
        <w:rPr>
          <w:i/>
          <w:lang w:eastAsia="ja-JP"/>
        </w:rPr>
        <w:t xml:space="preserve"> </w:t>
      </w:r>
      <w:r w:rsidRPr="0039239E">
        <w:rPr>
          <w:i/>
          <w:lang w:eastAsia="ja-JP"/>
        </w:rPr>
        <w:t>of</w:t>
      </w:r>
      <w:r w:rsidR="000159A6">
        <w:rPr>
          <w:i/>
          <w:lang w:eastAsia="ja-JP"/>
        </w:rPr>
        <w:t xml:space="preserve"> </w:t>
      </w:r>
      <w:r w:rsidRPr="0039239E">
        <w:rPr>
          <w:i/>
          <w:lang w:eastAsia="ja-JP"/>
        </w:rPr>
        <w:t>age</w:t>
      </w:r>
      <w:r w:rsidR="000159A6">
        <w:rPr>
          <w:i/>
          <w:lang w:eastAsia="ja-JP"/>
        </w:rPr>
        <w:t xml:space="preserve"> </w:t>
      </w:r>
      <w:r w:rsidRPr="0039239E">
        <w:rPr>
          <w:i/>
          <w:lang w:eastAsia="ja-JP"/>
        </w:rPr>
        <w:t>or</w:t>
      </w:r>
      <w:r w:rsidR="000159A6">
        <w:rPr>
          <w:i/>
          <w:lang w:eastAsia="ja-JP"/>
        </w:rPr>
        <w:t xml:space="preserve"> </w:t>
      </w:r>
      <w:r w:rsidRPr="0039239E">
        <w:rPr>
          <w:i/>
          <w:lang w:eastAsia="ja-JP"/>
        </w:rPr>
        <w:t>older</w:t>
      </w:r>
      <w:r w:rsidRPr="0039239E">
        <w:rPr>
          <w:i/>
          <w:iCs/>
          <w:lang w:eastAsia="ja-JP"/>
        </w:rPr>
        <w:t>.</w:t>
      </w:r>
    </w:p>
    <w:p w14:paraId="2EF0CA40" w14:textId="1F6D0D30" w:rsidR="006051B3" w:rsidRDefault="000C5861" w:rsidP="00CC47E8">
      <w:bookmarkStart w:id="16" w:name="_Toc314842485"/>
      <w:bookmarkStart w:id="17" w:name="_Toc247691504"/>
      <w:proofErr w:type="gramStart"/>
      <w:r w:rsidRPr="00F61B2D">
        <w:t>Shingrix</w:t>
      </w:r>
      <w:r>
        <w:t>,</w:t>
      </w:r>
      <w:proofErr w:type="gramEnd"/>
      <w:r w:rsidR="000159A6">
        <w:t xml:space="preserve"> </w:t>
      </w:r>
      <w:r w:rsidR="00FF12AA">
        <w:t>also</w:t>
      </w:r>
      <w:r w:rsidR="000159A6">
        <w:t xml:space="preserve"> </w:t>
      </w:r>
      <w:r w:rsidR="006051B3" w:rsidRPr="00F61B2D">
        <w:t>referred</w:t>
      </w:r>
      <w:r w:rsidR="000159A6">
        <w:t xml:space="preserve"> </w:t>
      </w:r>
      <w:r w:rsidR="006051B3" w:rsidRPr="00F61B2D">
        <w:t>to</w:t>
      </w:r>
      <w:r w:rsidR="000159A6">
        <w:t xml:space="preserve"> </w:t>
      </w:r>
      <w:r w:rsidR="006051B3" w:rsidRPr="00F61B2D">
        <w:t>as</w:t>
      </w:r>
      <w:r w:rsidR="000159A6">
        <w:t xml:space="preserve"> </w:t>
      </w:r>
      <w:r w:rsidR="002C42ED">
        <w:t>h</w:t>
      </w:r>
      <w:r w:rsidR="002C42ED" w:rsidRPr="00F61B2D">
        <w:t>erpes</w:t>
      </w:r>
      <w:r w:rsidR="000159A6">
        <w:t xml:space="preserve"> </w:t>
      </w:r>
      <w:r w:rsidR="002C42ED">
        <w:t>z</w:t>
      </w:r>
      <w:r w:rsidR="002C42ED" w:rsidRPr="00F61B2D">
        <w:t>oster</w:t>
      </w:r>
      <w:r w:rsidR="000159A6">
        <w:t xml:space="preserve"> </w:t>
      </w:r>
      <w:r w:rsidR="006051B3" w:rsidRPr="00F61B2D">
        <w:t>subunit</w:t>
      </w:r>
      <w:r w:rsidR="000159A6">
        <w:t xml:space="preserve"> </w:t>
      </w:r>
      <w:r w:rsidR="006051B3" w:rsidRPr="00F61B2D">
        <w:t>vaccine</w:t>
      </w:r>
      <w:r w:rsidR="000159A6">
        <w:t xml:space="preserve"> </w:t>
      </w:r>
      <w:r w:rsidR="006051B3" w:rsidRPr="00F61B2D">
        <w:t>(HZ/</w:t>
      </w:r>
      <w:proofErr w:type="spellStart"/>
      <w:r w:rsidR="006051B3" w:rsidRPr="00F61B2D">
        <w:t>su</w:t>
      </w:r>
      <w:proofErr w:type="spellEnd"/>
      <w:r w:rsidR="006051B3" w:rsidRPr="00F61B2D">
        <w:t>)</w:t>
      </w:r>
      <w:r w:rsidR="001141E8">
        <w:rPr>
          <w:rStyle w:val="FootnoteReference"/>
        </w:rPr>
        <w:footnoteReference w:id="2"/>
      </w:r>
      <w:r w:rsidR="006051B3" w:rsidRPr="00F61B2D">
        <w:t>,</w:t>
      </w:r>
      <w:r w:rsidR="000159A6">
        <w:t xml:space="preserve"> </w:t>
      </w:r>
      <w:r w:rsidR="006051B3" w:rsidRPr="00F61B2D">
        <w:t>is</w:t>
      </w:r>
      <w:r w:rsidR="000159A6">
        <w:t xml:space="preserve"> </w:t>
      </w:r>
      <w:r w:rsidR="006051B3" w:rsidRPr="00F61B2D">
        <w:t>designed</w:t>
      </w:r>
      <w:r w:rsidR="000159A6">
        <w:t xml:space="preserve"> </w:t>
      </w:r>
      <w:r w:rsidR="006051B3" w:rsidRPr="00F61B2D">
        <w:t>to</w:t>
      </w:r>
      <w:r w:rsidR="000159A6">
        <w:t xml:space="preserve"> </w:t>
      </w:r>
      <w:r w:rsidR="006051B3" w:rsidRPr="00F61B2D">
        <w:t>induce</w:t>
      </w:r>
      <w:r w:rsidR="000159A6">
        <w:t xml:space="preserve"> </w:t>
      </w:r>
      <w:r w:rsidR="000D0435">
        <w:t>antigen</w:t>
      </w:r>
      <w:r w:rsidR="000159A6">
        <w:t xml:space="preserve"> </w:t>
      </w:r>
      <w:r w:rsidR="000D0435">
        <w:t>specific</w:t>
      </w:r>
      <w:r w:rsidR="000159A6">
        <w:t xml:space="preserve"> </w:t>
      </w:r>
      <w:r w:rsidR="006051B3" w:rsidRPr="00F61B2D">
        <w:t>cellular</w:t>
      </w:r>
      <w:r w:rsidR="000159A6">
        <w:t xml:space="preserve"> </w:t>
      </w:r>
      <w:r w:rsidR="006051B3" w:rsidRPr="00F61B2D">
        <w:t>and</w:t>
      </w:r>
      <w:r w:rsidR="000159A6">
        <w:t xml:space="preserve"> </w:t>
      </w:r>
      <w:r w:rsidR="006051B3" w:rsidRPr="00F61B2D">
        <w:t>humoral</w:t>
      </w:r>
      <w:r w:rsidR="000159A6">
        <w:t xml:space="preserve"> </w:t>
      </w:r>
      <w:r w:rsidR="006051B3" w:rsidRPr="00F61B2D">
        <w:t>immune</w:t>
      </w:r>
      <w:r w:rsidR="000159A6">
        <w:t xml:space="preserve"> </w:t>
      </w:r>
      <w:r w:rsidR="006051B3" w:rsidRPr="00F61B2D">
        <w:t>responses</w:t>
      </w:r>
      <w:r w:rsidR="000159A6">
        <w:t xml:space="preserve"> </w:t>
      </w:r>
      <w:r w:rsidR="006051B3" w:rsidRPr="00F61B2D">
        <w:t>in</w:t>
      </w:r>
      <w:r w:rsidR="000159A6">
        <w:t xml:space="preserve"> </w:t>
      </w:r>
      <w:r w:rsidR="006051B3" w:rsidRPr="00F61B2D">
        <w:t>individuals</w:t>
      </w:r>
      <w:r w:rsidR="000159A6">
        <w:t xml:space="preserve"> </w:t>
      </w:r>
      <w:r w:rsidR="006051B3" w:rsidRPr="00F61B2D">
        <w:t>with</w:t>
      </w:r>
      <w:r w:rsidR="000159A6">
        <w:t xml:space="preserve"> </w:t>
      </w:r>
      <w:r w:rsidR="006051B3" w:rsidRPr="00F61B2D">
        <w:t>pre-existing</w:t>
      </w:r>
      <w:r w:rsidR="000159A6">
        <w:t xml:space="preserve"> </w:t>
      </w:r>
      <w:r w:rsidR="006051B3" w:rsidRPr="00F61B2D">
        <w:t>immunity</w:t>
      </w:r>
      <w:r w:rsidR="000159A6">
        <w:t xml:space="preserve"> </w:t>
      </w:r>
      <w:r w:rsidR="006051B3" w:rsidRPr="00F61B2D">
        <w:t>against</w:t>
      </w:r>
      <w:r w:rsidR="000159A6">
        <w:t xml:space="preserve"> </w:t>
      </w:r>
      <w:r w:rsidR="002C42ED">
        <w:t>v</w:t>
      </w:r>
      <w:r w:rsidR="002C42ED" w:rsidRPr="00F61B2D">
        <w:t>aricella</w:t>
      </w:r>
      <w:r w:rsidR="000159A6">
        <w:t xml:space="preserve"> </w:t>
      </w:r>
      <w:r w:rsidR="002C42ED">
        <w:t>z</w:t>
      </w:r>
      <w:r w:rsidR="002C42ED" w:rsidRPr="00F61B2D">
        <w:t>oster</w:t>
      </w:r>
      <w:r w:rsidR="000159A6">
        <w:t xml:space="preserve"> </w:t>
      </w:r>
      <w:r w:rsidR="002C42ED">
        <w:t>v</w:t>
      </w:r>
      <w:r w:rsidR="002C42ED" w:rsidRPr="00F61B2D">
        <w:t>irus</w:t>
      </w:r>
      <w:r w:rsidR="000159A6">
        <w:t xml:space="preserve"> </w:t>
      </w:r>
      <w:r w:rsidR="006051B3" w:rsidRPr="00F61B2D">
        <w:t>(VZV).</w:t>
      </w:r>
    </w:p>
    <w:p w14:paraId="332E8F71" w14:textId="721F0BDB" w:rsidR="00F922B3" w:rsidRDefault="00FF12AA" w:rsidP="00CC47E8">
      <w:r>
        <w:rPr>
          <w:lang w:eastAsia="ja-JP"/>
        </w:rPr>
        <w:t>The</w:t>
      </w:r>
      <w:r w:rsidR="000159A6">
        <w:rPr>
          <w:lang w:eastAsia="ja-JP"/>
        </w:rPr>
        <w:t xml:space="preserve"> </w:t>
      </w:r>
      <w:r w:rsidR="002C42ED">
        <w:rPr>
          <w:lang w:eastAsia="ja-JP"/>
        </w:rPr>
        <w:t>varicella</w:t>
      </w:r>
      <w:r w:rsidR="000159A6">
        <w:rPr>
          <w:lang w:eastAsia="ja-JP"/>
        </w:rPr>
        <w:t xml:space="preserve"> </w:t>
      </w:r>
      <w:r w:rsidR="002C42ED">
        <w:rPr>
          <w:lang w:eastAsia="ja-JP"/>
        </w:rPr>
        <w:t>zoster</w:t>
      </w:r>
      <w:r w:rsidR="000159A6">
        <w:rPr>
          <w:lang w:eastAsia="ja-JP"/>
        </w:rPr>
        <w:t xml:space="preserve"> </w:t>
      </w:r>
      <w:r w:rsidR="00F922B3">
        <w:rPr>
          <w:lang w:eastAsia="ja-JP"/>
        </w:rPr>
        <w:t>virus</w:t>
      </w:r>
      <w:r w:rsidR="000159A6">
        <w:rPr>
          <w:lang w:eastAsia="ja-JP"/>
        </w:rPr>
        <w:t xml:space="preserve"> </w:t>
      </w:r>
      <w:r w:rsidR="00F922B3">
        <w:rPr>
          <w:lang w:eastAsia="ja-JP"/>
        </w:rPr>
        <w:t>(VZV)</w:t>
      </w:r>
      <w:r w:rsidR="000159A6">
        <w:rPr>
          <w:lang w:eastAsia="ja-JP"/>
        </w:rPr>
        <w:t xml:space="preserve"> </w:t>
      </w:r>
      <w:r w:rsidR="00F922B3">
        <w:rPr>
          <w:lang w:eastAsia="ja-JP"/>
        </w:rPr>
        <w:t>is</w:t>
      </w:r>
      <w:r w:rsidR="000159A6">
        <w:rPr>
          <w:lang w:eastAsia="ja-JP"/>
        </w:rPr>
        <w:t xml:space="preserve"> </w:t>
      </w:r>
      <w:r w:rsidR="00F922B3">
        <w:rPr>
          <w:lang w:eastAsia="ja-JP"/>
        </w:rPr>
        <w:t>a</w:t>
      </w:r>
      <w:r w:rsidR="000159A6">
        <w:rPr>
          <w:lang w:eastAsia="ja-JP"/>
        </w:rPr>
        <w:t xml:space="preserve"> </w:t>
      </w:r>
      <w:r w:rsidR="00F922B3">
        <w:rPr>
          <w:lang w:eastAsia="ja-JP"/>
        </w:rPr>
        <w:t>DNA</w:t>
      </w:r>
      <w:r w:rsidR="000159A6">
        <w:rPr>
          <w:lang w:eastAsia="ja-JP"/>
        </w:rPr>
        <w:t xml:space="preserve"> </w:t>
      </w:r>
      <w:r w:rsidR="00F922B3">
        <w:rPr>
          <w:lang w:eastAsia="ja-JP"/>
        </w:rPr>
        <w:t>virus</w:t>
      </w:r>
      <w:r w:rsidR="000159A6">
        <w:rPr>
          <w:lang w:eastAsia="ja-JP"/>
        </w:rPr>
        <w:t xml:space="preserve"> </w:t>
      </w:r>
      <w:r w:rsidR="00F922B3">
        <w:rPr>
          <w:lang w:eastAsia="ja-JP"/>
        </w:rPr>
        <w:t>of</w:t>
      </w:r>
      <w:r w:rsidR="000159A6">
        <w:rPr>
          <w:lang w:eastAsia="ja-JP"/>
        </w:rPr>
        <w:t xml:space="preserve"> </w:t>
      </w:r>
      <w:r w:rsidR="00F922B3">
        <w:rPr>
          <w:lang w:eastAsia="ja-JP"/>
        </w:rPr>
        <w:t>the</w:t>
      </w:r>
      <w:r w:rsidR="000159A6">
        <w:rPr>
          <w:lang w:eastAsia="ja-JP"/>
        </w:rPr>
        <w:t xml:space="preserve"> </w:t>
      </w:r>
      <w:r w:rsidR="00F922B3">
        <w:rPr>
          <w:lang w:eastAsia="ja-JP"/>
        </w:rPr>
        <w:t>herpes</w:t>
      </w:r>
      <w:r w:rsidR="000159A6">
        <w:rPr>
          <w:lang w:eastAsia="ja-JP"/>
        </w:rPr>
        <w:t xml:space="preserve"> </w:t>
      </w:r>
      <w:r w:rsidR="00F922B3">
        <w:rPr>
          <w:lang w:eastAsia="ja-JP"/>
        </w:rPr>
        <w:t>virus</w:t>
      </w:r>
      <w:r w:rsidR="000159A6">
        <w:rPr>
          <w:lang w:eastAsia="ja-JP"/>
        </w:rPr>
        <w:t xml:space="preserve"> </w:t>
      </w:r>
      <w:r w:rsidR="00F922B3">
        <w:rPr>
          <w:lang w:eastAsia="ja-JP"/>
        </w:rPr>
        <w:t>family.</w:t>
      </w:r>
      <w:r w:rsidR="000159A6">
        <w:rPr>
          <w:lang w:eastAsia="ja-JP"/>
        </w:rPr>
        <w:t xml:space="preserve"> </w:t>
      </w:r>
      <w:r w:rsidR="00F922B3">
        <w:rPr>
          <w:lang w:eastAsia="ja-JP"/>
        </w:rPr>
        <w:t>The</w:t>
      </w:r>
      <w:r w:rsidR="000159A6">
        <w:rPr>
          <w:lang w:eastAsia="ja-JP"/>
        </w:rPr>
        <w:t xml:space="preserve"> </w:t>
      </w:r>
      <w:r w:rsidR="00F922B3">
        <w:rPr>
          <w:lang w:eastAsia="ja-JP"/>
        </w:rPr>
        <w:t>primary</w:t>
      </w:r>
      <w:r w:rsidR="000159A6">
        <w:rPr>
          <w:lang w:eastAsia="ja-JP"/>
        </w:rPr>
        <w:t xml:space="preserve"> </w:t>
      </w:r>
      <w:r w:rsidR="00F922B3">
        <w:rPr>
          <w:lang w:eastAsia="ja-JP"/>
        </w:rPr>
        <w:t>infection</w:t>
      </w:r>
      <w:r w:rsidR="000159A6">
        <w:rPr>
          <w:lang w:eastAsia="ja-JP"/>
        </w:rPr>
        <w:t xml:space="preserve"> </w:t>
      </w:r>
      <w:r w:rsidR="00F922B3">
        <w:rPr>
          <w:lang w:eastAsia="ja-JP"/>
        </w:rPr>
        <w:t>with</w:t>
      </w:r>
      <w:r w:rsidR="000159A6">
        <w:rPr>
          <w:lang w:eastAsia="ja-JP"/>
        </w:rPr>
        <w:t xml:space="preserve"> </w:t>
      </w:r>
      <w:r w:rsidR="00F922B3">
        <w:rPr>
          <w:lang w:eastAsia="ja-JP"/>
        </w:rPr>
        <w:t>VZV,</w:t>
      </w:r>
      <w:r w:rsidR="000159A6">
        <w:rPr>
          <w:lang w:eastAsia="ja-JP"/>
        </w:rPr>
        <w:t xml:space="preserve"> </w:t>
      </w:r>
      <w:r w:rsidR="00F922B3">
        <w:rPr>
          <w:lang w:eastAsia="ja-JP"/>
        </w:rPr>
        <w:t>varicella,</w:t>
      </w:r>
      <w:r w:rsidR="000159A6">
        <w:rPr>
          <w:lang w:eastAsia="ja-JP"/>
        </w:rPr>
        <w:t xml:space="preserve"> </w:t>
      </w:r>
      <w:r w:rsidR="00F922B3">
        <w:rPr>
          <w:lang w:eastAsia="ja-JP"/>
        </w:rPr>
        <w:t>causes</w:t>
      </w:r>
      <w:r w:rsidR="000159A6">
        <w:rPr>
          <w:lang w:eastAsia="ja-JP"/>
        </w:rPr>
        <w:t xml:space="preserve"> </w:t>
      </w:r>
      <w:r w:rsidR="00F922B3">
        <w:rPr>
          <w:lang w:eastAsia="ja-JP"/>
        </w:rPr>
        <w:t>a</w:t>
      </w:r>
      <w:r w:rsidR="000159A6">
        <w:rPr>
          <w:lang w:eastAsia="ja-JP"/>
        </w:rPr>
        <w:t xml:space="preserve"> </w:t>
      </w:r>
      <w:r w:rsidR="00F922B3">
        <w:rPr>
          <w:lang w:eastAsia="ja-JP"/>
        </w:rPr>
        <w:t>diffuse</w:t>
      </w:r>
      <w:r w:rsidR="000159A6">
        <w:rPr>
          <w:lang w:eastAsia="ja-JP"/>
        </w:rPr>
        <w:t xml:space="preserve"> </w:t>
      </w:r>
      <w:r w:rsidR="00F922B3">
        <w:rPr>
          <w:lang w:eastAsia="ja-JP"/>
        </w:rPr>
        <w:t>vesicular</w:t>
      </w:r>
      <w:r w:rsidR="000159A6">
        <w:rPr>
          <w:lang w:eastAsia="ja-JP"/>
        </w:rPr>
        <w:t xml:space="preserve"> </w:t>
      </w:r>
      <w:r w:rsidR="00F922B3">
        <w:rPr>
          <w:lang w:eastAsia="ja-JP"/>
        </w:rPr>
        <w:t>rash</w:t>
      </w:r>
      <w:r w:rsidR="000159A6">
        <w:rPr>
          <w:lang w:eastAsia="ja-JP"/>
        </w:rPr>
        <w:t xml:space="preserve"> </w:t>
      </w:r>
      <w:r w:rsidR="00F922B3">
        <w:rPr>
          <w:lang w:eastAsia="ja-JP"/>
        </w:rPr>
        <w:t>or</w:t>
      </w:r>
      <w:r w:rsidR="000159A6">
        <w:rPr>
          <w:lang w:eastAsia="ja-JP"/>
        </w:rPr>
        <w:t xml:space="preserve"> </w:t>
      </w:r>
      <w:r w:rsidR="00F922B3">
        <w:rPr>
          <w:lang w:eastAsia="ja-JP"/>
        </w:rPr>
        <w:t>chickenpox.</w:t>
      </w:r>
      <w:r w:rsidR="000159A6">
        <w:rPr>
          <w:lang w:eastAsia="ja-JP"/>
        </w:rPr>
        <w:t xml:space="preserve"> </w:t>
      </w:r>
      <w:r w:rsidR="00F922B3">
        <w:t>Clinical</w:t>
      </w:r>
      <w:r w:rsidR="000159A6">
        <w:t xml:space="preserve"> </w:t>
      </w:r>
      <w:r w:rsidR="00F922B3">
        <w:t>resolution</w:t>
      </w:r>
      <w:r w:rsidR="000159A6">
        <w:t xml:space="preserve"> </w:t>
      </w:r>
      <w:r w:rsidR="00F922B3">
        <w:t>is</w:t>
      </w:r>
      <w:r w:rsidR="000159A6">
        <w:t xml:space="preserve"> </w:t>
      </w:r>
      <w:r w:rsidR="00F922B3">
        <w:t>followed</w:t>
      </w:r>
      <w:r w:rsidR="000159A6">
        <w:t xml:space="preserve"> </w:t>
      </w:r>
      <w:r w:rsidR="00F922B3">
        <w:t>by</w:t>
      </w:r>
      <w:r w:rsidR="000159A6">
        <w:t xml:space="preserve"> </w:t>
      </w:r>
      <w:r w:rsidR="00F922B3">
        <w:t>the</w:t>
      </w:r>
      <w:r w:rsidR="000159A6">
        <w:t xml:space="preserve"> </w:t>
      </w:r>
      <w:r w:rsidR="00F922B3">
        <w:t>establishment</w:t>
      </w:r>
      <w:r w:rsidR="000159A6">
        <w:t xml:space="preserve"> </w:t>
      </w:r>
      <w:r w:rsidR="00F922B3">
        <w:t>of</w:t>
      </w:r>
      <w:r w:rsidR="000159A6">
        <w:t xml:space="preserve"> </w:t>
      </w:r>
      <w:r w:rsidR="00F922B3">
        <w:t>latent</w:t>
      </w:r>
      <w:r w:rsidR="000159A6">
        <w:t xml:space="preserve"> </w:t>
      </w:r>
      <w:r w:rsidR="00F922B3">
        <w:t>infection</w:t>
      </w:r>
      <w:r w:rsidR="000159A6">
        <w:t xml:space="preserve"> </w:t>
      </w:r>
      <w:r w:rsidR="00F922B3">
        <w:t>within</w:t>
      </w:r>
      <w:r w:rsidR="000159A6">
        <w:t xml:space="preserve"> </w:t>
      </w:r>
      <w:r w:rsidR="00F922B3">
        <w:t>the</w:t>
      </w:r>
      <w:r w:rsidR="000159A6">
        <w:t xml:space="preserve"> </w:t>
      </w:r>
      <w:r w:rsidR="00F922B3">
        <w:t>sensory</w:t>
      </w:r>
      <w:r w:rsidR="000159A6">
        <w:t xml:space="preserve"> </w:t>
      </w:r>
      <w:r w:rsidR="00F922B3">
        <w:t>dorsal</w:t>
      </w:r>
      <w:r w:rsidR="000159A6">
        <w:t xml:space="preserve"> </w:t>
      </w:r>
      <w:r w:rsidR="00F922B3">
        <w:t>root</w:t>
      </w:r>
      <w:r w:rsidR="000159A6">
        <w:t xml:space="preserve"> </w:t>
      </w:r>
      <w:r w:rsidR="00F922B3">
        <w:t>ganglia.</w:t>
      </w:r>
      <w:r w:rsidR="000159A6">
        <w:t xml:space="preserve"> </w:t>
      </w:r>
      <w:r w:rsidR="00F922B3">
        <w:t>Reactivation</w:t>
      </w:r>
      <w:r w:rsidR="000159A6">
        <w:t xml:space="preserve"> </w:t>
      </w:r>
      <w:r w:rsidR="00F922B3">
        <w:t>of</w:t>
      </w:r>
      <w:r w:rsidR="000159A6">
        <w:t xml:space="preserve"> </w:t>
      </w:r>
      <w:r w:rsidR="00F922B3">
        <w:t>this</w:t>
      </w:r>
      <w:r w:rsidR="000159A6">
        <w:t xml:space="preserve"> </w:t>
      </w:r>
      <w:r w:rsidR="00F922B3">
        <w:t>neurotropic</w:t>
      </w:r>
      <w:r w:rsidR="000159A6">
        <w:t xml:space="preserve"> </w:t>
      </w:r>
      <w:r w:rsidR="00F922B3">
        <w:t>virus,</w:t>
      </w:r>
      <w:r w:rsidR="000159A6">
        <w:t xml:space="preserve"> </w:t>
      </w:r>
      <w:r w:rsidR="00F922B3">
        <w:t>believed</w:t>
      </w:r>
      <w:r w:rsidR="000159A6">
        <w:t xml:space="preserve"> </w:t>
      </w:r>
      <w:r w:rsidR="00F922B3">
        <w:t>to</w:t>
      </w:r>
      <w:r w:rsidR="000159A6">
        <w:t xml:space="preserve"> </w:t>
      </w:r>
      <w:r w:rsidR="00F922B3">
        <w:t>be</w:t>
      </w:r>
      <w:r w:rsidR="000159A6">
        <w:t xml:space="preserve"> </w:t>
      </w:r>
      <w:r w:rsidR="00F922B3">
        <w:t>due</w:t>
      </w:r>
      <w:r w:rsidR="000159A6">
        <w:t xml:space="preserve"> </w:t>
      </w:r>
      <w:r w:rsidR="00F922B3">
        <w:t>to</w:t>
      </w:r>
      <w:r w:rsidR="000159A6">
        <w:t xml:space="preserve"> </w:t>
      </w:r>
      <w:r w:rsidR="00F922B3">
        <w:t>a</w:t>
      </w:r>
      <w:r w:rsidR="000159A6">
        <w:t xml:space="preserve"> </w:t>
      </w:r>
      <w:r w:rsidR="00F922B3">
        <w:t>decline</w:t>
      </w:r>
      <w:r w:rsidR="000159A6">
        <w:t xml:space="preserve"> </w:t>
      </w:r>
      <w:r w:rsidR="00F922B3">
        <w:t>in</w:t>
      </w:r>
      <w:r w:rsidR="000159A6">
        <w:t xml:space="preserve"> </w:t>
      </w:r>
      <w:r w:rsidR="00F922B3">
        <w:t>cellular</w:t>
      </w:r>
      <w:r w:rsidR="000159A6">
        <w:t xml:space="preserve"> </w:t>
      </w:r>
      <w:r w:rsidR="00F922B3">
        <w:t>immunity,</w:t>
      </w:r>
      <w:r w:rsidR="000159A6">
        <w:t xml:space="preserve"> </w:t>
      </w:r>
      <w:r w:rsidR="00F922B3">
        <w:t>leads</w:t>
      </w:r>
      <w:r w:rsidR="000159A6">
        <w:t xml:space="preserve"> </w:t>
      </w:r>
      <w:r w:rsidR="00F922B3">
        <w:t>to</w:t>
      </w:r>
      <w:r w:rsidR="000159A6">
        <w:t xml:space="preserve"> </w:t>
      </w:r>
      <w:r w:rsidR="00F922B3">
        <w:t>herpes</w:t>
      </w:r>
      <w:r w:rsidR="000159A6">
        <w:t xml:space="preserve"> </w:t>
      </w:r>
      <w:r w:rsidR="00F922B3">
        <w:t>zoster</w:t>
      </w:r>
      <w:r w:rsidR="000159A6">
        <w:t xml:space="preserve"> </w:t>
      </w:r>
      <w:r w:rsidR="00F922B3">
        <w:t>(HZ),</w:t>
      </w:r>
      <w:r w:rsidR="000159A6">
        <w:t xml:space="preserve"> </w:t>
      </w:r>
      <w:r w:rsidR="00F922B3">
        <w:t>or</w:t>
      </w:r>
      <w:r w:rsidR="000159A6">
        <w:t xml:space="preserve"> </w:t>
      </w:r>
      <w:r w:rsidR="00F922B3">
        <w:t>shingles,</w:t>
      </w:r>
      <w:r w:rsidR="000159A6">
        <w:t xml:space="preserve"> </w:t>
      </w:r>
      <w:r w:rsidR="00F922B3">
        <w:t>a</w:t>
      </w:r>
      <w:r w:rsidR="000159A6">
        <w:t xml:space="preserve"> </w:t>
      </w:r>
      <w:r w:rsidR="00F922B3">
        <w:t>painful,</w:t>
      </w:r>
      <w:r w:rsidR="000159A6">
        <w:t xml:space="preserve"> </w:t>
      </w:r>
      <w:r w:rsidR="00F922B3">
        <w:t>unilateral</w:t>
      </w:r>
      <w:r w:rsidR="000159A6">
        <w:t xml:space="preserve"> </w:t>
      </w:r>
      <w:r w:rsidR="00F922B3">
        <w:t>vesicular</w:t>
      </w:r>
      <w:r w:rsidR="000159A6">
        <w:t xml:space="preserve"> </w:t>
      </w:r>
      <w:r w:rsidR="00F922B3">
        <w:t>eruption</w:t>
      </w:r>
      <w:r w:rsidR="000159A6">
        <w:t xml:space="preserve"> </w:t>
      </w:r>
      <w:r w:rsidR="00F922B3">
        <w:t>in</w:t>
      </w:r>
      <w:r w:rsidR="000159A6">
        <w:t xml:space="preserve"> </w:t>
      </w:r>
      <w:r w:rsidR="00F922B3">
        <w:t>a</w:t>
      </w:r>
      <w:r w:rsidR="000159A6">
        <w:t xml:space="preserve"> </w:t>
      </w:r>
      <w:r w:rsidR="00F922B3">
        <w:t>restricted</w:t>
      </w:r>
      <w:r w:rsidR="000159A6">
        <w:t xml:space="preserve"> </w:t>
      </w:r>
      <w:r w:rsidR="00F922B3">
        <w:t>dermatomal</w:t>
      </w:r>
      <w:r w:rsidR="000159A6">
        <w:t xml:space="preserve"> </w:t>
      </w:r>
      <w:r w:rsidR="00F922B3">
        <w:t>distribution.</w:t>
      </w:r>
    </w:p>
    <w:p w14:paraId="1E50536A" w14:textId="08E9D936" w:rsidR="00F922B3" w:rsidRDefault="00F922B3" w:rsidP="00F922B3">
      <w:pPr>
        <w:rPr>
          <w:lang w:eastAsia="ja-JP"/>
        </w:rPr>
      </w:pPr>
      <w:r>
        <w:rPr>
          <w:lang w:eastAsia="ja-JP"/>
        </w:rPr>
        <w:t>Herpes</w:t>
      </w:r>
      <w:r w:rsidR="000159A6">
        <w:rPr>
          <w:lang w:eastAsia="ja-JP"/>
        </w:rPr>
        <w:t xml:space="preserve"> </w:t>
      </w:r>
      <w:r>
        <w:rPr>
          <w:lang w:eastAsia="ja-JP"/>
        </w:rPr>
        <w:t>zoster</w:t>
      </w:r>
      <w:r w:rsidR="000159A6">
        <w:rPr>
          <w:lang w:eastAsia="ja-JP"/>
        </w:rPr>
        <w:t xml:space="preserve"> </w:t>
      </w:r>
      <w:r>
        <w:rPr>
          <w:lang w:eastAsia="ja-JP"/>
        </w:rPr>
        <w:t>can</w:t>
      </w:r>
      <w:r w:rsidR="000159A6">
        <w:rPr>
          <w:lang w:eastAsia="ja-JP"/>
        </w:rPr>
        <w:t xml:space="preserve"> </w:t>
      </w:r>
      <w:r>
        <w:rPr>
          <w:lang w:eastAsia="ja-JP"/>
        </w:rPr>
        <w:t>be</w:t>
      </w:r>
      <w:r w:rsidR="000159A6">
        <w:rPr>
          <w:lang w:eastAsia="ja-JP"/>
        </w:rPr>
        <w:t xml:space="preserve"> </w:t>
      </w:r>
      <w:r>
        <w:rPr>
          <w:lang w:eastAsia="ja-JP"/>
        </w:rPr>
        <w:t>a</w:t>
      </w:r>
      <w:r w:rsidR="000159A6">
        <w:rPr>
          <w:lang w:eastAsia="ja-JP"/>
        </w:rPr>
        <w:t xml:space="preserve"> </w:t>
      </w:r>
      <w:r>
        <w:rPr>
          <w:lang w:eastAsia="ja-JP"/>
        </w:rPr>
        <w:t>debilitating</w:t>
      </w:r>
      <w:r w:rsidR="000159A6">
        <w:rPr>
          <w:lang w:eastAsia="ja-JP"/>
        </w:rPr>
        <w:t xml:space="preserve"> </w:t>
      </w:r>
      <w:r>
        <w:rPr>
          <w:lang w:eastAsia="ja-JP"/>
        </w:rPr>
        <w:t>illness</w:t>
      </w:r>
      <w:r w:rsidR="000159A6">
        <w:rPr>
          <w:lang w:eastAsia="ja-JP"/>
        </w:rPr>
        <w:t xml:space="preserve"> </w:t>
      </w:r>
      <w:r>
        <w:rPr>
          <w:lang w:eastAsia="ja-JP"/>
        </w:rPr>
        <w:t>with</w:t>
      </w:r>
      <w:r w:rsidR="000159A6">
        <w:rPr>
          <w:lang w:eastAsia="ja-JP"/>
        </w:rPr>
        <w:t xml:space="preserve"> </w:t>
      </w:r>
      <w:r>
        <w:rPr>
          <w:lang w:eastAsia="ja-JP"/>
        </w:rPr>
        <w:t>a</w:t>
      </w:r>
      <w:r w:rsidR="000159A6">
        <w:rPr>
          <w:lang w:eastAsia="ja-JP"/>
        </w:rPr>
        <w:t xml:space="preserve"> </w:t>
      </w:r>
      <w:r>
        <w:rPr>
          <w:lang w:eastAsia="ja-JP"/>
        </w:rPr>
        <w:t>significant</w:t>
      </w:r>
      <w:r w:rsidR="000159A6">
        <w:rPr>
          <w:lang w:eastAsia="ja-JP"/>
        </w:rPr>
        <w:t xml:space="preserve"> </w:t>
      </w:r>
      <w:r>
        <w:rPr>
          <w:lang w:eastAsia="ja-JP"/>
        </w:rPr>
        <w:t>risk</w:t>
      </w:r>
      <w:r w:rsidR="000159A6">
        <w:rPr>
          <w:lang w:eastAsia="ja-JP"/>
        </w:rPr>
        <w:t xml:space="preserve"> </w:t>
      </w:r>
      <w:r>
        <w:rPr>
          <w:lang w:eastAsia="ja-JP"/>
        </w:rPr>
        <w:t>of</w:t>
      </w:r>
      <w:r w:rsidR="000159A6">
        <w:rPr>
          <w:lang w:eastAsia="ja-JP"/>
        </w:rPr>
        <w:t xml:space="preserve"> </w:t>
      </w:r>
      <w:r>
        <w:rPr>
          <w:lang w:eastAsia="ja-JP"/>
        </w:rPr>
        <w:t>complications,</w:t>
      </w:r>
      <w:r w:rsidR="000159A6">
        <w:rPr>
          <w:lang w:eastAsia="ja-JP"/>
        </w:rPr>
        <w:t xml:space="preserve"> </w:t>
      </w:r>
      <w:r>
        <w:rPr>
          <w:lang w:eastAsia="ja-JP"/>
        </w:rPr>
        <w:t>particularly</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immunocompromised,</w:t>
      </w:r>
      <w:r w:rsidR="000159A6">
        <w:rPr>
          <w:lang w:eastAsia="ja-JP"/>
        </w:rPr>
        <w:t xml:space="preserve"> </w:t>
      </w:r>
      <w:r>
        <w:rPr>
          <w:lang w:eastAsia="ja-JP"/>
        </w:rPr>
        <w:t>and</w:t>
      </w:r>
      <w:r w:rsidR="000159A6">
        <w:rPr>
          <w:lang w:eastAsia="ja-JP"/>
        </w:rPr>
        <w:t xml:space="preserve"> </w:t>
      </w:r>
      <w:r>
        <w:rPr>
          <w:lang w:eastAsia="ja-JP"/>
        </w:rPr>
        <w:t>there</w:t>
      </w:r>
      <w:r w:rsidR="000159A6">
        <w:rPr>
          <w:lang w:eastAsia="ja-JP"/>
        </w:rPr>
        <w:t xml:space="preserve"> </w:t>
      </w:r>
      <w:r>
        <w:rPr>
          <w:lang w:eastAsia="ja-JP"/>
        </w:rPr>
        <w:t>are</w:t>
      </w:r>
      <w:r w:rsidR="000159A6">
        <w:rPr>
          <w:lang w:eastAsia="ja-JP"/>
        </w:rPr>
        <w:t xml:space="preserve"> </w:t>
      </w:r>
      <w:r>
        <w:rPr>
          <w:lang w:eastAsia="ja-JP"/>
        </w:rPr>
        <w:t>limited</w:t>
      </w:r>
      <w:r w:rsidR="000159A6">
        <w:rPr>
          <w:lang w:eastAsia="ja-JP"/>
        </w:rPr>
        <w:t xml:space="preserve"> </w:t>
      </w:r>
      <w:r>
        <w:rPr>
          <w:lang w:eastAsia="ja-JP"/>
        </w:rPr>
        <w:t>treatment</w:t>
      </w:r>
      <w:r w:rsidR="000159A6">
        <w:rPr>
          <w:lang w:eastAsia="ja-JP"/>
        </w:rPr>
        <w:t xml:space="preserve"> </w:t>
      </w:r>
      <w:r>
        <w:rPr>
          <w:lang w:eastAsia="ja-JP"/>
        </w:rPr>
        <w:t>options.</w:t>
      </w:r>
      <w:r w:rsidR="000159A6">
        <w:rPr>
          <w:lang w:eastAsia="ja-JP"/>
        </w:rPr>
        <w:t xml:space="preserve"> </w:t>
      </w:r>
      <w:r>
        <w:rPr>
          <w:lang w:eastAsia="ja-JP"/>
        </w:rPr>
        <w:t>The</w:t>
      </w:r>
      <w:r w:rsidR="000159A6">
        <w:rPr>
          <w:lang w:eastAsia="ja-JP"/>
        </w:rPr>
        <w:t xml:space="preserve"> </w:t>
      </w:r>
      <w:r>
        <w:rPr>
          <w:lang w:eastAsia="ja-JP"/>
        </w:rPr>
        <w:t>currently</w:t>
      </w:r>
      <w:r w:rsidR="000159A6">
        <w:rPr>
          <w:lang w:eastAsia="ja-JP"/>
        </w:rPr>
        <w:t xml:space="preserve"> </w:t>
      </w:r>
      <w:r>
        <w:rPr>
          <w:lang w:eastAsia="ja-JP"/>
        </w:rPr>
        <w:t>available</w:t>
      </w:r>
      <w:r w:rsidR="000159A6">
        <w:rPr>
          <w:lang w:eastAsia="ja-JP"/>
        </w:rPr>
        <w:t xml:space="preserve"> </w:t>
      </w:r>
      <w:r>
        <w:rPr>
          <w:lang w:eastAsia="ja-JP"/>
        </w:rPr>
        <w:t>vaccine,</w:t>
      </w:r>
      <w:r w:rsidR="000159A6">
        <w:rPr>
          <w:lang w:eastAsia="ja-JP"/>
        </w:rPr>
        <w:t xml:space="preserve"> </w:t>
      </w:r>
      <w:r>
        <w:rPr>
          <w:lang w:eastAsia="ja-JP"/>
        </w:rPr>
        <w:t>Zostavax,</w:t>
      </w:r>
      <w:r w:rsidR="000159A6">
        <w:rPr>
          <w:lang w:eastAsia="ja-JP"/>
        </w:rPr>
        <w:t xml:space="preserve"> </w:t>
      </w:r>
      <w:r>
        <w:rPr>
          <w:lang w:eastAsia="ja-JP"/>
        </w:rPr>
        <w:t>has</w:t>
      </w:r>
      <w:r w:rsidR="000159A6">
        <w:rPr>
          <w:lang w:eastAsia="ja-JP"/>
        </w:rPr>
        <w:t xml:space="preserve"> </w:t>
      </w:r>
      <w:r>
        <w:rPr>
          <w:lang w:eastAsia="ja-JP"/>
        </w:rPr>
        <w:t>a</w:t>
      </w:r>
      <w:r w:rsidR="000159A6">
        <w:rPr>
          <w:lang w:eastAsia="ja-JP"/>
        </w:rPr>
        <w:t xml:space="preserve"> </w:t>
      </w:r>
      <w:r>
        <w:rPr>
          <w:lang w:eastAsia="ja-JP"/>
        </w:rPr>
        <w:t>moderate</w:t>
      </w:r>
      <w:r w:rsidR="000159A6">
        <w:rPr>
          <w:lang w:eastAsia="ja-JP"/>
        </w:rPr>
        <w:t xml:space="preserve"> </w:t>
      </w:r>
      <w:r>
        <w:rPr>
          <w:lang w:eastAsia="ja-JP"/>
        </w:rPr>
        <w:t>protective</w:t>
      </w:r>
      <w:r w:rsidR="000159A6">
        <w:rPr>
          <w:lang w:eastAsia="ja-JP"/>
        </w:rPr>
        <w:t xml:space="preserve"> </w:t>
      </w:r>
      <w:r>
        <w:rPr>
          <w:lang w:eastAsia="ja-JP"/>
        </w:rPr>
        <w:t>efficacy</w:t>
      </w:r>
      <w:r w:rsidR="000159A6">
        <w:rPr>
          <w:lang w:eastAsia="ja-JP"/>
        </w:rPr>
        <w:t xml:space="preserve"> </w:t>
      </w:r>
      <w:r>
        <w:rPr>
          <w:lang w:eastAsia="ja-JP"/>
        </w:rPr>
        <w:t>of</w:t>
      </w:r>
      <w:r w:rsidR="000159A6">
        <w:rPr>
          <w:lang w:eastAsia="ja-JP"/>
        </w:rPr>
        <w:t xml:space="preserve"> </w:t>
      </w:r>
      <w:r>
        <w:rPr>
          <w:lang w:eastAsia="ja-JP"/>
        </w:rPr>
        <w:t>51%</w:t>
      </w:r>
      <w:r w:rsidR="000159A6">
        <w:rPr>
          <w:lang w:eastAsia="ja-JP"/>
        </w:rPr>
        <w:t xml:space="preserve"> </w:t>
      </w:r>
      <w:r>
        <w:rPr>
          <w:lang w:eastAsia="ja-JP"/>
        </w:rPr>
        <w:t>in</w:t>
      </w:r>
      <w:r w:rsidR="000159A6">
        <w:rPr>
          <w:lang w:eastAsia="ja-JP"/>
        </w:rPr>
        <w:t xml:space="preserve"> </w:t>
      </w:r>
      <w:r>
        <w:rPr>
          <w:lang w:eastAsia="ja-JP"/>
        </w:rPr>
        <w:t>adults</w:t>
      </w:r>
      <w:r w:rsidR="000159A6">
        <w:rPr>
          <w:lang w:eastAsia="ja-JP"/>
        </w:rPr>
        <w:t xml:space="preserve"> </w:t>
      </w:r>
      <w:r>
        <w:rPr>
          <w:lang w:eastAsia="ja-JP"/>
        </w:rPr>
        <w:t>60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or</w:t>
      </w:r>
      <w:r w:rsidR="000159A6">
        <w:rPr>
          <w:lang w:eastAsia="ja-JP"/>
        </w:rPr>
        <w:t xml:space="preserve"> </w:t>
      </w:r>
      <w:r>
        <w:rPr>
          <w:lang w:eastAsia="ja-JP"/>
        </w:rPr>
        <w:t>older.</w:t>
      </w:r>
      <w:r w:rsidR="000159A6">
        <w:rPr>
          <w:lang w:eastAsia="ja-JP"/>
        </w:rPr>
        <w:t xml:space="preserve"> </w:t>
      </w:r>
      <w:r w:rsidR="00FF12AA">
        <w:rPr>
          <w:lang w:eastAsia="ja-JP"/>
        </w:rPr>
        <w:t>Zostavax</w:t>
      </w:r>
      <w:r w:rsidR="000159A6">
        <w:rPr>
          <w:lang w:eastAsia="ja-JP"/>
        </w:rPr>
        <w:t xml:space="preserve"> </w:t>
      </w:r>
      <w:r>
        <w:rPr>
          <w:lang w:eastAsia="ja-JP"/>
        </w:rPr>
        <w:t>is</w:t>
      </w:r>
      <w:r w:rsidR="000159A6">
        <w:rPr>
          <w:lang w:eastAsia="ja-JP"/>
        </w:rPr>
        <w:t xml:space="preserve"> </w:t>
      </w:r>
      <w:r>
        <w:rPr>
          <w:lang w:eastAsia="ja-JP"/>
        </w:rPr>
        <w:t>a</w:t>
      </w:r>
      <w:r w:rsidR="000159A6">
        <w:rPr>
          <w:lang w:eastAsia="ja-JP"/>
        </w:rPr>
        <w:t xml:space="preserve"> </w:t>
      </w:r>
      <w:r>
        <w:rPr>
          <w:lang w:eastAsia="ja-JP"/>
        </w:rPr>
        <w:t>live</w:t>
      </w:r>
      <w:r w:rsidR="000159A6">
        <w:rPr>
          <w:lang w:eastAsia="ja-JP"/>
        </w:rPr>
        <w:t xml:space="preserve"> </w:t>
      </w:r>
      <w:r>
        <w:rPr>
          <w:lang w:eastAsia="ja-JP"/>
        </w:rPr>
        <w:t>attenuated</w:t>
      </w:r>
      <w:r w:rsidR="000159A6">
        <w:rPr>
          <w:lang w:eastAsia="ja-JP"/>
        </w:rPr>
        <w:t xml:space="preserve"> </w:t>
      </w:r>
      <w:r>
        <w:rPr>
          <w:lang w:eastAsia="ja-JP"/>
        </w:rPr>
        <w:t>vaccine</w:t>
      </w:r>
      <w:r w:rsidR="000159A6">
        <w:rPr>
          <w:lang w:eastAsia="ja-JP"/>
        </w:rPr>
        <w:t xml:space="preserve"> </w:t>
      </w:r>
      <w:r>
        <w:rPr>
          <w:lang w:eastAsia="ja-JP"/>
        </w:rPr>
        <w:t>and</w:t>
      </w:r>
      <w:r w:rsidR="000159A6">
        <w:rPr>
          <w:lang w:eastAsia="ja-JP"/>
        </w:rPr>
        <w:t xml:space="preserve"> </w:t>
      </w:r>
      <w:r>
        <w:rPr>
          <w:lang w:eastAsia="ja-JP"/>
        </w:rPr>
        <w:t>so</w:t>
      </w:r>
      <w:r w:rsidR="000159A6">
        <w:rPr>
          <w:lang w:eastAsia="ja-JP"/>
        </w:rPr>
        <w:t xml:space="preserve"> </w:t>
      </w:r>
      <w:r>
        <w:rPr>
          <w:lang w:eastAsia="ja-JP"/>
        </w:rPr>
        <w:t>is</w:t>
      </w:r>
      <w:r w:rsidR="000159A6">
        <w:rPr>
          <w:lang w:eastAsia="ja-JP"/>
        </w:rPr>
        <w:t xml:space="preserve"> </w:t>
      </w:r>
      <w:r>
        <w:rPr>
          <w:lang w:eastAsia="ja-JP"/>
        </w:rPr>
        <w:t>contraindicated</w:t>
      </w:r>
      <w:r w:rsidR="000159A6">
        <w:rPr>
          <w:lang w:eastAsia="ja-JP"/>
        </w:rPr>
        <w:t xml:space="preserve"> </w:t>
      </w:r>
      <w:r>
        <w:rPr>
          <w:lang w:eastAsia="ja-JP"/>
        </w:rPr>
        <w:t>in</w:t>
      </w:r>
      <w:r w:rsidR="000159A6">
        <w:rPr>
          <w:lang w:eastAsia="ja-JP"/>
        </w:rPr>
        <w:t xml:space="preserve"> </w:t>
      </w:r>
      <w:r>
        <w:rPr>
          <w:lang w:eastAsia="ja-JP"/>
        </w:rPr>
        <w:t>immunocompromised</w:t>
      </w:r>
      <w:r w:rsidR="000159A6">
        <w:rPr>
          <w:lang w:eastAsia="ja-JP"/>
        </w:rPr>
        <w:t xml:space="preserve"> </w:t>
      </w:r>
      <w:r>
        <w:rPr>
          <w:lang w:eastAsia="ja-JP"/>
        </w:rPr>
        <w:t>patients</w:t>
      </w:r>
      <w:r w:rsidR="000159A6">
        <w:rPr>
          <w:lang w:eastAsia="ja-JP"/>
        </w:rPr>
        <w:t xml:space="preserve"> </w:t>
      </w:r>
      <w:r>
        <w:rPr>
          <w:lang w:eastAsia="ja-JP"/>
        </w:rPr>
        <w:t>who</w:t>
      </w:r>
      <w:r w:rsidR="000159A6">
        <w:rPr>
          <w:lang w:eastAsia="ja-JP"/>
        </w:rPr>
        <w:t xml:space="preserve"> </w:t>
      </w:r>
      <w:r>
        <w:rPr>
          <w:lang w:eastAsia="ja-JP"/>
        </w:rPr>
        <w:t>are</w:t>
      </w:r>
      <w:r w:rsidR="000159A6">
        <w:rPr>
          <w:lang w:eastAsia="ja-JP"/>
        </w:rPr>
        <w:t xml:space="preserve"> </w:t>
      </w:r>
      <w:r>
        <w:rPr>
          <w:lang w:eastAsia="ja-JP"/>
        </w:rPr>
        <w:t>at</w:t>
      </w:r>
      <w:r w:rsidR="000159A6">
        <w:rPr>
          <w:lang w:eastAsia="ja-JP"/>
        </w:rPr>
        <w:t xml:space="preserve"> </w:t>
      </w:r>
      <w:r>
        <w:rPr>
          <w:lang w:eastAsia="ja-JP"/>
        </w:rPr>
        <w:t>particular</w:t>
      </w:r>
      <w:r w:rsidR="000159A6">
        <w:rPr>
          <w:lang w:eastAsia="ja-JP"/>
        </w:rPr>
        <w:t xml:space="preserve"> </w:t>
      </w:r>
      <w:r>
        <w:rPr>
          <w:lang w:eastAsia="ja-JP"/>
        </w:rPr>
        <w:t>risk</w:t>
      </w:r>
      <w:r w:rsidR="000159A6">
        <w:rPr>
          <w:lang w:eastAsia="ja-JP"/>
        </w:rPr>
        <w:t xml:space="preserve"> </w:t>
      </w:r>
      <w:r>
        <w:rPr>
          <w:lang w:eastAsia="ja-JP"/>
        </w:rPr>
        <w:t>of</w:t>
      </w:r>
      <w:r w:rsidR="000159A6">
        <w:rPr>
          <w:lang w:eastAsia="ja-JP"/>
        </w:rPr>
        <w:t xml:space="preserve"> </w:t>
      </w:r>
      <w:r>
        <w:rPr>
          <w:lang w:eastAsia="ja-JP"/>
        </w:rPr>
        <w:t>herpes</w:t>
      </w:r>
      <w:r w:rsidR="000159A6">
        <w:rPr>
          <w:lang w:eastAsia="ja-JP"/>
        </w:rPr>
        <w:t xml:space="preserve"> </w:t>
      </w:r>
      <w:r>
        <w:rPr>
          <w:lang w:eastAsia="ja-JP"/>
        </w:rPr>
        <w:t>zoster.</w:t>
      </w:r>
      <w:r w:rsidR="000159A6">
        <w:rPr>
          <w:lang w:eastAsia="ja-JP"/>
        </w:rPr>
        <w:t xml:space="preserve"> </w:t>
      </w:r>
      <w:r>
        <w:rPr>
          <w:lang w:eastAsia="ja-JP"/>
        </w:rPr>
        <w:t>Therefore,</w:t>
      </w:r>
      <w:r w:rsidR="000159A6">
        <w:rPr>
          <w:lang w:eastAsia="ja-JP"/>
        </w:rPr>
        <w:t xml:space="preserve"> </w:t>
      </w:r>
      <w:r>
        <w:rPr>
          <w:lang w:eastAsia="ja-JP"/>
        </w:rPr>
        <w:t>there</w:t>
      </w:r>
      <w:r w:rsidR="000159A6">
        <w:rPr>
          <w:lang w:eastAsia="ja-JP"/>
        </w:rPr>
        <w:t xml:space="preserve"> </w:t>
      </w:r>
      <w:r>
        <w:rPr>
          <w:lang w:eastAsia="ja-JP"/>
        </w:rPr>
        <w:t>is</w:t>
      </w:r>
      <w:r w:rsidR="000159A6">
        <w:rPr>
          <w:lang w:eastAsia="ja-JP"/>
        </w:rPr>
        <w:t xml:space="preserve"> </w:t>
      </w:r>
      <w:r>
        <w:rPr>
          <w:lang w:eastAsia="ja-JP"/>
        </w:rPr>
        <w:t>an</w:t>
      </w:r>
      <w:r w:rsidR="000159A6">
        <w:rPr>
          <w:lang w:eastAsia="ja-JP"/>
        </w:rPr>
        <w:t xml:space="preserve"> </w:t>
      </w:r>
      <w:r>
        <w:rPr>
          <w:lang w:eastAsia="ja-JP"/>
        </w:rPr>
        <w:t>evident</w:t>
      </w:r>
      <w:r w:rsidR="000159A6">
        <w:rPr>
          <w:lang w:eastAsia="ja-JP"/>
        </w:rPr>
        <w:t xml:space="preserve"> </w:t>
      </w:r>
      <w:r>
        <w:rPr>
          <w:lang w:eastAsia="ja-JP"/>
        </w:rPr>
        <w:t>clinical</w:t>
      </w:r>
      <w:r w:rsidR="000159A6">
        <w:rPr>
          <w:lang w:eastAsia="ja-JP"/>
        </w:rPr>
        <w:t xml:space="preserve"> </w:t>
      </w:r>
      <w:r>
        <w:rPr>
          <w:lang w:eastAsia="ja-JP"/>
        </w:rPr>
        <w:t>place</w:t>
      </w:r>
      <w:r w:rsidR="000159A6">
        <w:rPr>
          <w:lang w:eastAsia="ja-JP"/>
        </w:rPr>
        <w:t xml:space="preserve"> </w:t>
      </w:r>
      <w:r>
        <w:rPr>
          <w:lang w:eastAsia="ja-JP"/>
        </w:rPr>
        <w:t>for</w:t>
      </w:r>
      <w:r w:rsidR="000159A6">
        <w:rPr>
          <w:lang w:eastAsia="ja-JP"/>
        </w:rPr>
        <w:t xml:space="preserve"> </w:t>
      </w:r>
      <w:r>
        <w:rPr>
          <w:lang w:eastAsia="ja-JP"/>
        </w:rPr>
        <w:t>a</w:t>
      </w:r>
      <w:r w:rsidR="000159A6">
        <w:rPr>
          <w:lang w:eastAsia="ja-JP"/>
        </w:rPr>
        <w:t xml:space="preserve"> </w:t>
      </w:r>
      <w:r>
        <w:rPr>
          <w:lang w:eastAsia="ja-JP"/>
        </w:rPr>
        <w:t>vaccine</w:t>
      </w:r>
      <w:r w:rsidR="000159A6">
        <w:rPr>
          <w:lang w:eastAsia="ja-JP"/>
        </w:rPr>
        <w:t xml:space="preserve"> </w:t>
      </w:r>
      <w:r>
        <w:rPr>
          <w:lang w:eastAsia="ja-JP"/>
        </w:rPr>
        <w:t>which</w:t>
      </w:r>
      <w:r w:rsidR="000159A6">
        <w:rPr>
          <w:lang w:eastAsia="ja-JP"/>
        </w:rPr>
        <w:t xml:space="preserve"> </w:t>
      </w:r>
      <w:r>
        <w:rPr>
          <w:lang w:eastAsia="ja-JP"/>
        </w:rPr>
        <w:t>can</w:t>
      </w:r>
      <w:r w:rsidR="000159A6">
        <w:rPr>
          <w:lang w:eastAsia="ja-JP"/>
        </w:rPr>
        <w:t xml:space="preserve"> </w:t>
      </w:r>
      <w:r>
        <w:rPr>
          <w:lang w:eastAsia="ja-JP"/>
        </w:rPr>
        <w:t>be</w:t>
      </w:r>
      <w:r w:rsidR="000159A6">
        <w:rPr>
          <w:lang w:eastAsia="ja-JP"/>
        </w:rPr>
        <w:t xml:space="preserve"> </w:t>
      </w:r>
      <w:r>
        <w:rPr>
          <w:lang w:eastAsia="ja-JP"/>
        </w:rPr>
        <w:t>used</w:t>
      </w:r>
      <w:r w:rsidR="000159A6">
        <w:rPr>
          <w:lang w:eastAsia="ja-JP"/>
        </w:rPr>
        <w:t xml:space="preserve"> </w:t>
      </w:r>
      <w:r>
        <w:rPr>
          <w:lang w:eastAsia="ja-JP"/>
        </w:rPr>
        <w:t>in</w:t>
      </w:r>
      <w:r w:rsidR="000159A6">
        <w:rPr>
          <w:lang w:eastAsia="ja-JP"/>
        </w:rPr>
        <w:t xml:space="preserve"> </w:t>
      </w:r>
      <w:r>
        <w:rPr>
          <w:lang w:eastAsia="ja-JP"/>
        </w:rPr>
        <w:t>this</w:t>
      </w:r>
      <w:r w:rsidR="000159A6">
        <w:rPr>
          <w:lang w:eastAsia="ja-JP"/>
        </w:rPr>
        <w:t xml:space="preserve"> </w:t>
      </w:r>
      <w:r>
        <w:rPr>
          <w:lang w:eastAsia="ja-JP"/>
        </w:rPr>
        <w:t>patient</w:t>
      </w:r>
      <w:r w:rsidR="000159A6">
        <w:rPr>
          <w:lang w:eastAsia="ja-JP"/>
        </w:rPr>
        <w:t xml:space="preserve"> </w:t>
      </w:r>
      <w:r>
        <w:rPr>
          <w:lang w:eastAsia="ja-JP"/>
        </w:rPr>
        <w:t>group,</w:t>
      </w:r>
      <w:r w:rsidR="000159A6">
        <w:rPr>
          <w:lang w:eastAsia="ja-JP"/>
        </w:rPr>
        <w:t xml:space="preserve"> </w:t>
      </w:r>
      <w:r>
        <w:rPr>
          <w:lang w:eastAsia="ja-JP"/>
        </w:rPr>
        <w:t>as</w:t>
      </w:r>
      <w:r w:rsidR="000159A6">
        <w:rPr>
          <w:lang w:eastAsia="ja-JP"/>
        </w:rPr>
        <w:t xml:space="preserve"> </w:t>
      </w:r>
      <w:r>
        <w:rPr>
          <w:lang w:eastAsia="ja-JP"/>
        </w:rPr>
        <w:t>well</w:t>
      </w:r>
      <w:r w:rsidR="000159A6">
        <w:rPr>
          <w:lang w:eastAsia="ja-JP"/>
        </w:rPr>
        <w:t xml:space="preserve"> </w:t>
      </w:r>
      <w:r>
        <w:rPr>
          <w:lang w:eastAsia="ja-JP"/>
        </w:rPr>
        <w:t>as</w:t>
      </w:r>
      <w:r w:rsidR="000159A6">
        <w:rPr>
          <w:lang w:eastAsia="ja-JP"/>
        </w:rPr>
        <w:t xml:space="preserve"> </w:t>
      </w:r>
      <w:r>
        <w:rPr>
          <w:lang w:eastAsia="ja-JP"/>
        </w:rPr>
        <w:t>for</w:t>
      </w:r>
      <w:r w:rsidR="000159A6">
        <w:rPr>
          <w:lang w:eastAsia="ja-JP"/>
        </w:rPr>
        <w:t xml:space="preserve"> </w:t>
      </w:r>
      <w:r>
        <w:rPr>
          <w:lang w:eastAsia="ja-JP"/>
        </w:rPr>
        <w:t>a</w:t>
      </w:r>
      <w:r w:rsidR="000159A6">
        <w:rPr>
          <w:lang w:eastAsia="ja-JP"/>
        </w:rPr>
        <w:t xml:space="preserve"> </w:t>
      </w:r>
      <w:r>
        <w:rPr>
          <w:lang w:eastAsia="ja-JP"/>
        </w:rPr>
        <w:t>vaccine</w:t>
      </w:r>
      <w:r w:rsidR="000159A6">
        <w:rPr>
          <w:lang w:eastAsia="ja-JP"/>
        </w:rPr>
        <w:t xml:space="preserve"> </w:t>
      </w:r>
      <w:r>
        <w:rPr>
          <w:lang w:eastAsia="ja-JP"/>
        </w:rPr>
        <w:t>with</w:t>
      </w:r>
      <w:r w:rsidR="000159A6">
        <w:rPr>
          <w:lang w:eastAsia="ja-JP"/>
        </w:rPr>
        <w:t xml:space="preserve"> </w:t>
      </w:r>
      <w:r>
        <w:rPr>
          <w:lang w:eastAsia="ja-JP"/>
        </w:rPr>
        <w:t>higher</w:t>
      </w:r>
      <w:r w:rsidR="000159A6">
        <w:rPr>
          <w:lang w:eastAsia="ja-JP"/>
        </w:rPr>
        <w:t xml:space="preserve"> </w:t>
      </w:r>
      <w:r>
        <w:rPr>
          <w:lang w:eastAsia="ja-JP"/>
        </w:rPr>
        <w:t>clinical</w:t>
      </w:r>
      <w:r w:rsidR="000159A6">
        <w:rPr>
          <w:lang w:eastAsia="ja-JP"/>
        </w:rPr>
        <w:t xml:space="preserve"> </w:t>
      </w:r>
      <w:r>
        <w:rPr>
          <w:lang w:eastAsia="ja-JP"/>
        </w:rPr>
        <w:t>efficacy.</w:t>
      </w:r>
    </w:p>
    <w:p w14:paraId="05F5C3BC" w14:textId="2EF89D29" w:rsidR="006051B3" w:rsidRPr="00F922B3" w:rsidRDefault="006051B3" w:rsidP="00CC47E8">
      <w:r w:rsidRPr="00E97880">
        <w:t>Shingrix</w:t>
      </w:r>
      <w:r w:rsidR="000159A6">
        <w:t xml:space="preserve"> </w:t>
      </w:r>
      <w:r w:rsidRPr="00E97880">
        <w:t>i</w:t>
      </w:r>
      <w:r w:rsidR="00FF12AA">
        <w:t>s</w:t>
      </w:r>
      <w:r w:rsidR="000159A6">
        <w:t xml:space="preserve"> </w:t>
      </w:r>
      <w:r w:rsidR="00FF12AA">
        <w:t>an</w:t>
      </w:r>
      <w:r w:rsidR="000159A6">
        <w:t xml:space="preserve"> </w:t>
      </w:r>
      <w:r w:rsidR="00FF12AA">
        <w:t>adjuvanted</w:t>
      </w:r>
      <w:r w:rsidR="000159A6">
        <w:t xml:space="preserve"> </w:t>
      </w:r>
      <w:r w:rsidR="00FF12AA">
        <w:t>recombinant</w:t>
      </w:r>
      <w:r w:rsidR="000159A6">
        <w:t xml:space="preserve"> </w:t>
      </w:r>
      <w:r w:rsidR="00FF12AA">
        <w:t>VZV</w:t>
      </w:r>
      <w:r w:rsidR="000159A6">
        <w:t xml:space="preserve"> </w:t>
      </w:r>
      <w:r w:rsidRPr="00E97880">
        <w:t>glycoprotein</w:t>
      </w:r>
      <w:r w:rsidR="000159A6">
        <w:t xml:space="preserve"> </w:t>
      </w:r>
      <w:r w:rsidRPr="00E97880">
        <w:t>E</w:t>
      </w:r>
      <w:r w:rsidR="000159A6">
        <w:t xml:space="preserve"> </w:t>
      </w:r>
      <w:r w:rsidRPr="00E97880">
        <w:t>(</w:t>
      </w:r>
      <w:proofErr w:type="gramStart"/>
      <w:r w:rsidRPr="00E97880">
        <w:t>gE</w:t>
      </w:r>
      <w:proofErr w:type="gramEnd"/>
      <w:r w:rsidRPr="00E97880">
        <w:t>)</w:t>
      </w:r>
      <w:r w:rsidR="000159A6">
        <w:t xml:space="preserve"> </w:t>
      </w:r>
      <w:r w:rsidRPr="00E97880">
        <w:t>subunit</w:t>
      </w:r>
      <w:r w:rsidR="000159A6">
        <w:t xml:space="preserve"> </w:t>
      </w:r>
      <w:r w:rsidRPr="00E97880">
        <w:t>vaccine.</w:t>
      </w:r>
      <w:r w:rsidR="000159A6">
        <w:t xml:space="preserve"> </w:t>
      </w:r>
      <w:r w:rsidRPr="00E97880">
        <w:t>This</w:t>
      </w:r>
      <w:r w:rsidR="000159A6">
        <w:t xml:space="preserve"> </w:t>
      </w:r>
      <w:r w:rsidRPr="00E97880">
        <w:t>vaccine</w:t>
      </w:r>
      <w:r w:rsidR="000159A6">
        <w:t xml:space="preserve"> </w:t>
      </w:r>
      <w:r w:rsidRPr="00E97880">
        <w:t>does</w:t>
      </w:r>
      <w:r w:rsidR="000159A6">
        <w:t xml:space="preserve"> </w:t>
      </w:r>
      <w:r w:rsidRPr="00E97880">
        <w:t>not</w:t>
      </w:r>
      <w:r w:rsidR="000159A6">
        <w:t xml:space="preserve"> </w:t>
      </w:r>
      <w:r w:rsidRPr="00E97880">
        <w:t>contain</w:t>
      </w:r>
      <w:r w:rsidR="000159A6">
        <w:t xml:space="preserve"> </w:t>
      </w:r>
      <w:r w:rsidRPr="00E97880">
        <w:t>live</w:t>
      </w:r>
      <w:r w:rsidR="000159A6">
        <w:t xml:space="preserve"> </w:t>
      </w:r>
      <w:r w:rsidRPr="00E97880">
        <w:t>virus</w:t>
      </w:r>
      <w:r>
        <w:t>.</w:t>
      </w:r>
      <w:r w:rsidR="000159A6">
        <w:t xml:space="preserve"> </w:t>
      </w:r>
      <w:r w:rsidR="00FF12AA">
        <w:rPr>
          <w:lang w:eastAsia="ja-JP"/>
        </w:rPr>
        <w:t>G</w:t>
      </w:r>
      <w:r w:rsidRPr="00730DB6">
        <w:rPr>
          <w:lang w:eastAsia="ja-JP"/>
        </w:rPr>
        <w:t>lycoprotein</w:t>
      </w:r>
      <w:r w:rsidR="000159A6">
        <w:rPr>
          <w:lang w:eastAsia="ja-JP"/>
        </w:rPr>
        <w:t xml:space="preserve"> </w:t>
      </w:r>
      <w:r w:rsidRPr="00730DB6">
        <w:rPr>
          <w:lang w:eastAsia="ja-JP"/>
        </w:rPr>
        <w:t>E</w:t>
      </w:r>
      <w:r w:rsidR="000159A6">
        <w:rPr>
          <w:lang w:eastAsia="ja-JP"/>
        </w:rPr>
        <w:t xml:space="preserve"> </w:t>
      </w:r>
      <w:r w:rsidRPr="00730DB6">
        <w:rPr>
          <w:lang w:eastAsia="ja-JP"/>
        </w:rPr>
        <w:t>(</w:t>
      </w:r>
      <w:proofErr w:type="gramStart"/>
      <w:r w:rsidRPr="00730DB6">
        <w:rPr>
          <w:lang w:eastAsia="ja-JP"/>
        </w:rPr>
        <w:t>gE</w:t>
      </w:r>
      <w:proofErr w:type="gramEnd"/>
      <w:r w:rsidRPr="00730DB6">
        <w:rPr>
          <w:lang w:eastAsia="ja-JP"/>
        </w:rPr>
        <w:t>)</w:t>
      </w:r>
      <w:r w:rsidR="000159A6">
        <w:rPr>
          <w:lang w:eastAsia="ja-JP"/>
        </w:rPr>
        <w:t xml:space="preserve"> </w:t>
      </w:r>
      <w:r w:rsidRPr="00730DB6">
        <w:rPr>
          <w:lang w:eastAsia="ja-JP"/>
        </w:rPr>
        <w:t>was</w:t>
      </w:r>
      <w:r w:rsidR="000159A6">
        <w:rPr>
          <w:lang w:eastAsia="ja-JP"/>
        </w:rPr>
        <w:t xml:space="preserve"> </w:t>
      </w:r>
      <w:r w:rsidRPr="00730DB6">
        <w:rPr>
          <w:lang w:eastAsia="ja-JP"/>
        </w:rPr>
        <w:t>selected</w:t>
      </w:r>
      <w:r w:rsidR="000159A6">
        <w:rPr>
          <w:lang w:eastAsia="ja-JP"/>
        </w:rPr>
        <w:t xml:space="preserve"> </w:t>
      </w:r>
      <w:r w:rsidRPr="00730DB6">
        <w:rPr>
          <w:lang w:eastAsia="ja-JP"/>
        </w:rPr>
        <w:t>for</w:t>
      </w:r>
      <w:r w:rsidR="000159A6">
        <w:rPr>
          <w:lang w:eastAsia="ja-JP"/>
        </w:rPr>
        <w:t xml:space="preserve"> </w:t>
      </w:r>
      <w:r w:rsidRPr="00730DB6">
        <w:rPr>
          <w:lang w:eastAsia="ja-JP"/>
        </w:rPr>
        <w:t>the</w:t>
      </w:r>
      <w:r w:rsidR="000159A6">
        <w:rPr>
          <w:lang w:eastAsia="ja-JP"/>
        </w:rPr>
        <w:t xml:space="preserve"> </w:t>
      </w:r>
      <w:r w:rsidRPr="00730DB6">
        <w:rPr>
          <w:lang w:eastAsia="ja-JP"/>
        </w:rPr>
        <w:t>vaccine</w:t>
      </w:r>
      <w:r w:rsidR="000159A6">
        <w:rPr>
          <w:lang w:eastAsia="ja-JP"/>
        </w:rPr>
        <w:t xml:space="preserve"> </w:t>
      </w:r>
      <w:r>
        <w:rPr>
          <w:lang w:eastAsia="ja-JP"/>
        </w:rPr>
        <w:t>antigen</w:t>
      </w:r>
      <w:r w:rsidR="000159A6">
        <w:rPr>
          <w:lang w:eastAsia="ja-JP"/>
        </w:rPr>
        <w:t xml:space="preserve"> </w:t>
      </w:r>
      <w:r w:rsidR="00FF12AA">
        <w:rPr>
          <w:lang w:eastAsia="ja-JP"/>
        </w:rPr>
        <w:t>as</w:t>
      </w:r>
      <w:r w:rsidR="000159A6">
        <w:rPr>
          <w:lang w:eastAsia="ja-JP"/>
        </w:rPr>
        <w:t xml:space="preserve"> </w:t>
      </w:r>
      <w:r w:rsidRPr="00796166">
        <w:rPr>
          <w:rFonts w:eastAsia="TimesNewRoman" w:cs="TimesNewRoman"/>
        </w:rPr>
        <w:t>it</w:t>
      </w:r>
      <w:r w:rsidR="000159A6">
        <w:rPr>
          <w:rFonts w:eastAsia="TimesNewRoman" w:cs="TimesNewRoman"/>
        </w:rPr>
        <w:t xml:space="preserve"> </w:t>
      </w:r>
      <w:r w:rsidRPr="00796166">
        <w:rPr>
          <w:rFonts w:eastAsia="TimesNewRoman" w:cs="TimesNewRoman"/>
        </w:rPr>
        <w:t>is</w:t>
      </w:r>
      <w:r w:rsidR="000159A6">
        <w:rPr>
          <w:rFonts w:eastAsia="TimesNewRoman" w:cs="TimesNewRoman"/>
        </w:rPr>
        <w:t xml:space="preserve"> </w:t>
      </w:r>
      <w:r w:rsidRPr="00796166">
        <w:rPr>
          <w:rFonts w:eastAsia="TimesNewRoman" w:cs="TimesNewRoman"/>
        </w:rPr>
        <w:t>the</w:t>
      </w:r>
      <w:r w:rsidR="000159A6">
        <w:rPr>
          <w:rFonts w:eastAsia="TimesNewRoman" w:cs="TimesNewRoman"/>
        </w:rPr>
        <w:t xml:space="preserve"> </w:t>
      </w:r>
      <w:r w:rsidRPr="00796166">
        <w:rPr>
          <w:rFonts w:eastAsia="TimesNewRoman" w:cs="TimesNewRoman"/>
        </w:rPr>
        <w:t>most</w:t>
      </w:r>
      <w:r w:rsidR="000159A6">
        <w:rPr>
          <w:rFonts w:eastAsia="TimesNewRoman" w:cs="TimesNewRoman"/>
        </w:rPr>
        <w:t xml:space="preserve"> </w:t>
      </w:r>
      <w:r w:rsidRPr="00796166">
        <w:rPr>
          <w:rFonts w:eastAsia="TimesNewRoman" w:cs="TimesNewRoman"/>
        </w:rPr>
        <w:t>abundant</w:t>
      </w:r>
      <w:r w:rsidR="000159A6">
        <w:rPr>
          <w:rFonts w:eastAsia="TimesNewRoman" w:cs="TimesNewRoman"/>
        </w:rPr>
        <w:t xml:space="preserve"> </w:t>
      </w:r>
      <w:r w:rsidRPr="00796166">
        <w:rPr>
          <w:rFonts w:eastAsia="TimesNewRoman" w:cs="TimesNewRoman"/>
        </w:rPr>
        <w:t>viral</w:t>
      </w:r>
      <w:r w:rsidR="000159A6">
        <w:rPr>
          <w:rFonts w:eastAsia="TimesNewRoman" w:cs="TimesNewRoman"/>
        </w:rPr>
        <w:t xml:space="preserve"> </w:t>
      </w:r>
      <w:r w:rsidRPr="00796166">
        <w:rPr>
          <w:rFonts w:eastAsia="TimesNewRoman" w:cs="TimesNewRoman"/>
        </w:rPr>
        <w:t>surface</w:t>
      </w:r>
      <w:r w:rsidR="000159A6">
        <w:rPr>
          <w:rFonts w:eastAsia="TimesNewRoman" w:cs="TimesNewRoman"/>
        </w:rPr>
        <w:t xml:space="preserve"> </w:t>
      </w:r>
      <w:r w:rsidRPr="00796166">
        <w:rPr>
          <w:rFonts w:eastAsia="TimesNewRoman" w:cs="TimesNewRoman"/>
        </w:rPr>
        <w:t>glycoprotein</w:t>
      </w:r>
      <w:r w:rsidR="000159A6">
        <w:rPr>
          <w:rFonts w:eastAsia="TimesNewRoman" w:cs="TimesNewRoman"/>
        </w:rPr>
        <w:t xml:space="preserve"> </w:t>
      </w:r>
      <w:r w:rsidRPr="00796166">
        <w:rPr>
          <w:rFonts w:eastAsia="TimesNewRoman" w:cs="TimesNewRoman"/>
        </w:rPr>
        <w:t>in</w:t>
      </w:r>
      <w:r w:rsidR="000159A6">
        <w:rPr>
          <w:rFonts w:eastAsia="TimesNewRoman" w:cs="TimesNewRoman"/>
        </w:rPr>
        <w:t xml:space="preserve"> </w:t>
      </w:r>
      <w:r w:rsidRPr="00796166">
        <w:rPr>
          <w:rFonts w:eastAsia="TimesNewRoman" w:cs="TimesNewRoman"/>
        </w:rPr>
        <w:t>VZV</w:t>
      </w:r>
      <w:r w:rsidR="000159A6">
        <w:rPr>
          <w:rFonts w:eastAsia="TimesNewRoman" w:cs="TimesNewRoman"/>
        </w:rPr>
        <w:t xml:space="preserve"> </w:t>
      </w:r>
      <w:r w:rsidRPr="00796166">
        <w:rPr>
          <w:rFonts w:eastAsia="TimesNewRoman" w:cs="TimesNewRoman"/>
        </w:rPr>
        <w:t>virions</w:t>
      </w:r>
      <w:r w:rsidR="000159A6">
        <w:rPr>
          <w:rFonts w:eastAsia="TimesNewRoman" w:cs="TimesNewRoman"/>
        </w:rPr>
        <w:t xml:space="preserve"> </w:t>
      </w:r>
      <w:r w:rsidRPr="00796166">
        <w:rPr>
          <w:rFonts w:eastAsia="TimesNewRoman" w:cs="TimesNewRoman"/>
        </w:rPr>
        <w:t>and</w:t>
      </w:r>
      <w:r w:rsidR="000159A6">
        <w:rPr>
          <w:rFonts w:eastAsia="TimesNewRoman" w:cs="TimesNewRoman"/>
        </w:rPr>
        <w:t xml:space="preserve"> </w:t>
      </w:r>
      <w:r>
        <w:rPr>
          <w:rFonts w:eastAsia="TimesNewRoman" w:cs="TimesNewRoman"/>
        </w:rPr>
        <w:t>VZV</w:t>
      </w:r>
      <w:r w:rsidR="00CD5352">
        <w:rPr>
          <w:rFonts w:eastAsia="TimesNewRoman" w:cs="TimesNewRoman"/>
        </w:rPr>
        <w:t> </w:t>
      </w:r>
      <w:r>
        <w:rPr>
          <w:rFonts w:eastAsia="TimesNewRoman" w:cs="TimesNewRoman"/>
        </w:rPr>
        <w:t>infected</w:t>
      </w:r>
      <w:r w:rsidR="000159A6">
        <w:rPr>
          <w:rFonts w:eastAsia="TimesNewRoman" w:cs="TimesNewRoman"/>
        </w:rPr>
        <w:t xml:space="preserve"> </w:t>
      </w:r>
      <w:r w:rsidRPr="00796166">
        <w:rPr>
          <w:rFonts w:eastAsia="TimesNewRoman" w:cs="TimesNewRoman"/>
        </w:rPr>
        <w:t>cells,</w:t>
      </w:r>
      <w:r w:rsidR="000159A6">
        <w:rPr>
          <w:rFonts w:eastAsia="TimesNewRoman" w:cs="TimesNewRoman"/>
        </w:rPr>
        <w:t xml:space="preserve"> </w:t>
      </w:r>
      <w:r w:rsidRPr="00796166">
        <w:rPr>
          <w:rFonts w:eastAsia="TimesNewRoman" w:cs="TimesNewRoman"/>
        </w:rPr>
        <w:t>plays</w:t>
      </w:r>
      <w:r w:rsidR="000159A6">
        <w:rPr>
          <w:rFonts w:eastAsia="TimesNewRoman" w:cs="TimesNewRoman"/>
        </w:rPr>
        <w:t xml:space="preserve"> </w:t>
      </w:r>
      <w:r w:rsidRPr="00796166">
        <w:rPr>
          <w:rFonts w:eastAsia="TimesNewRoman" w:cs="TimesNewRoman"/>
        </w:rPr>
        <w:t>a</w:t>
      </w:r>
      <w:r w:rsidR="000159A6">
        <w:rPr>
          <w:rFonts w:eastAsia="TimesNewRoman" w:cs="TimesNewRoman"/>
        </w:rPr>
        <w:t xml:space="preserve"> </w:t>
      </w:r>
      <w:r w:rsidRPr="00796166">
        <w:rPr>
          <w:rFonts w:eastAsia="TimesNewRoman" w:cs="TimesNewRoman"/>
        </w:rPr>
        <w:t>central</w:t>
      </w:r>
      <w:r w:rsidR="000159A6">
        <w:rPr>
          <w:rFonts w:eastAsia="TimesNewRoman" w:cs="TimesNewRoman"/>
        </w:rPr>
        <w:t xml:space="preserve"> </w:t>
      </w:r>
      <w:r w:rsidRPr="00796166">
        <w:rPr>
          <w:rFonts w:eastAsia="TimesNewRoman" w:cs="TimesNewRoman"/>
        </w:rPr>
        <w:t>role</w:t>
      </w:r>
      <w:r w:rsidR="000159A6">
        <w:rPr>
          <w:rFonts w:eastAsia="TimesNewRoman" w:cs="TimesNewRoman"/>
        </w:rPr>
        <w:t xml:space="preserve"> </w:t>
      </w:r>
      <w:r w:rsidRPr="00796166">
        <w:rPr>
          <w:rFonts w:eastAsia="TimesNewRoman" w:cs="TimesNewRoman"/>
        </w:rPr>
        <w:t>in</w:t>
      </w:r>
      <w:r w:rsidR="000159A6">
        <w:rPr>
          <w:rFonts w:eastAsia="TimesNewRoman" w:cs="TimesNewRoman"/>
        </w:rPr>
        <w:t xml:space="preserve"> </w:t>
      </w:r>
      <w:r w:rsidRPr="00796166">
        <w:rPr>
          <w:rFonts w:eastAsia="TimesNewRoman" w:cs="TimesNewRoman"/>
        </w:rPr>
        <w:t>VZV</w:t>
      </w:r>
      <w:r w:rsidR="000159A6">
        <w:rPr>
          <w:rFonts w:eastAsia="TimesNewRoman" w:cs="TimesNewRoman"/>
        </w:rPr>
        <w:t xml:space="preserve"> </w:t>
      </w:r>
      <w:r w:rsidRPr="00796166">
        <w:rPr>
          <w:rFonts w:eastAsia="TimesNewRoman" w:cs="TimesNewRoman"/>
        </w:rPr>
        <w:t>infection</w:t>
      </w:r>
      <w:r w:rsidR="000159A6">
        <w:rPr>
          <w:rFonts w:eastAsia="TimesNewRoman" w:cs="TimesNewRoman"/>
        </w:rPr>
        <w:t xml:space="preserve"> </w:t>
      </w:r>
      <w:r w:rsidRPr="00796166">
        <w:rPr>
          <w:rFonts w:eastAsia="TimesNewRoman" w:cs="TimesNewRoman"/>
        </w:rPr>
        <w:t>and</w:t>
      </w:r>
      <w:r w:rsidR="000159A6">
        <w:rPr>
          <w:rFonts w:eastAsia="TimesNewRoman" w:cs="TimesNewRoman"/>
        </w:rPr>
        <w:t xml:space="preserve"> </w:t>
      </w:r>
      <w:r w:rsidRPr="00796166">
        <w:rPr>
          <w:rFonts w:eastAsia="TimesNewRoman" w:cs="TimesNewRoman"/>
        </w:rPr>
        <w:t>is</w:t>
      </w:r>
      <w:r w:rsidR="000159A6">
        <w:rPr>
          <w:rFonts w:eastAsia="TimesNewRoman" w:cs="TimesNewRoman"/>
        </w:rPr>
        <w:t xml:space="preserve"> </w:t>
      </w:r>
      <w:r w:rsidRPr="00796166">
        <w:rPr>
          <w:rFonts w:eastAsia="TimesNewRoman" w:cs="TimesNewRoman"/>
        </w:rPr>
        <w:t>an</w:t>
      </w:r>
      <w:r w:rsidR="000159A6">
        <w:rPr>
          <w:rFonts w:eastAsia="TimesNewRoman" w:cs="TimesNewRoman"/>
        </w:rPr>
        <w:t xml:space="preserve"> </w:t>
      </w:r>
      <w:r w:rsidRPr="00796166">
        <w:rPr>
          <w:rFonts w:eastAsia="TimesNewRoman" w:cs="TimesNewRoman"/>
        </w:rPr>
        <w:t>important</w:t>
      </w:r>
      <w:r w:rsidR="000159A6">
        <w:rPr>
          <w:rFonts w:eastAsia="TimesNewRoman" w:cs="TimesNewRoman"/>
        </w:rPr>
        <w:t xml:space="preserve"> </w:t>
      </w:r>
      <w:r w:rsidRPr="00796166">
        <w:rPr>
          <w:rFonts w:eastAsia="TimesNewRoman" w:cs="TimesNewRoman"/>
        </w:rPr>
        <w:t>target</w:t>
      </w:r>
      <w:r w:rsidR="000159A6">
        <w:rPr>
          <w:rFonts w:eastAsia="TimesNewRoman" w:cs="TimesNewRoman"/>
        </w:rPr>
        <w:t xml:space="preserve"> </w:t>
      </w:r>
      <w:r w:rsidRPr="00796166">
        <w:rPr>
          <w:rFonts w:eastAsia="TimesNewRoman" w:cs="TimesNewRoman"/>
        </w:rPr>
        <w:t>of</w:t>
      </w:r>
      <w:r w:rsidR="000159A6">
        <w:rPr>
          <w:rFonts w:eastAsia="TimesNewRoman" w:cs="TimesNewRoman"/>
        </w:rPr>
        <w:t xml:space="preserve"> </w:t>
      </w:r>
      <w:r>
        <w:rPr>
          <w:rFonts w:eastAsia="TimesNewRoman" w:cs="TimesNewRoman"/>
        </w:rPr>
        <w:t>VZV</w:t>
      </w:r>
      <w:r w:rsidR="000159A6">
        <w:rPr>
          <w:rFonts w:eastAsia="TimesNewRoman" w:cs="TimesNewRoman"/>
        </w:rPr>
        <w:t xml:space="preserve"> </w:t>
      </w:r>
      <w:r>
        <w:rPr>
          <w:rFonts w:eastAsia="TimesNewRoman" w:cs="TimesNewRoman"/>
        </w:rPr>
        <w:t>specific</w:t>
      </w:r>
      <w:r w:rsidR="000159A6">
        <w:rPr>
          <w:rFonts w:eastAsia="TimesNewRoman" w:cs="TimesNewRoman"/>
        </w:rPr>
        <w:t xml:space="preserve"> </w:t>
      </w:r>
      <w:r w:rsidRPr="00796166">
        <w:rPr>
          <w:rFonts w:eastAsia="TimesNewRoman" w:cs="TimesNewRoman"/>
        </w:rPr>
        <w:t>cellul</w:t>
      </w:r>
      <w:r w:rsidR="00FF12AA">
        <w:rPr>
          <w:rFonts w:eastAsia="TimesNewRoman" w:cs="TimesNewRoman"/>
        </w:rPr>
        <w:t>ar</w:t>
      </w:r>
      <w:r w:rsidR="000159A6">
        <w:rPr>
          <w:rFonts w:eastAsia="TimesNewRoman" w:cs="TimesNewRoman"/>
        </w:rPr>
        <w:t xml:space="preserve"> </w:t>
      </w:r>
      <w:r w:rsidR="00FF12AA">
        <w:rPr>
          <w:rFonts w:eastAsia="TimesNewRoman" w:cs="TimesNewRoman"/>
        </w:rPr>
        <w:t>and</w:t>
      </w:r>
      <w:r w:rsidR="000159A6">
        <w:rPr>
          <w:rFonts w:eastAsia="TimesNewRoman" w:cs="TimesNewRoman"/>
        </w:rPr>
        <w:t xml:space="preserve"> </w:t>
      </w:r>
      <w:r w:rsidR="00FF12AA">
        <w:rPr>
          <w:rFonts w:eastAsia="TimesNewRoman" w:cs="TimesNewRoman"/>
        </w:rPr>
        <w:t>humoral</w:t>
      </w:r>
      <w:r w:rsidR="000159A6">
        <w:rPr>
          <w:rFonts w:eastAsia="TimesNewRoman" w:cs="TimesNewRoman"/>
        </w:rPr>
        <w:t xml:space="preserve"> </w:t>
      </w:r>
      <w:r w:rsidR="00FF12AA">
        <w:rPr>
          <w:rFonts w:eastAsia="TimesNewRoman" w:cs="TimesNewRoman"/>
        </w:rPr>
        <w:t>immune</w:t>
      </w:r>
      <w:r w:rsidR="000159A6">
        <w:rPr>
          <w:rFonts w:eastAsia="TimesNewRoman" w:cs="TimesNewRoman"/>
        </w:rPr>
        <w:t xml:space="preserve"> </w:t>
      </w:r>
      <w:r w:rsidR="00FF12AA">
        <w:rPr>
          <w:rFonts w:eastAsia="TimesNewRoman" w:cs="TimesNewRoman"/>
        </w:rPr>
        <w:t>responses</w:t>
      </w:r>
      <w:r w:rsidRPr="00730DB6">
        <w:rPr>
          <w:rFonts w:eastAsia="TimesNewRoman" w:cs="TimesNewRoman"/>
        </w:rPr>
        <w:t>.</w:t>
      </w:r>
    </w:p>
    <w:p w14:paraId="7833813D" w14:textId="0FB06678" w:rsidR="006051B3" w:rsidRPr="00F922B3" w:rsidRDefault="006051B3" w:rsidP="00CC47E8">
      <w:r>
        <w:t>The</w:t>
      </w:r>
      <w:r w:rsidR="000159A6">
        <w:t xml:space="preserve"> </w:t>
      </w:r>
      <w:r>
        <w:t>adjuvant</w:t>
      </w:r>
      <w:r w:rsidR="000159A6">
        <w:t xml:space="preserve"> </w:t>
      </w:r>
      <w:r>
        <w:t>AS01</w:t>
      </w:r>
      <w:r w:rsidR="000159A6">
        <w:t xml:space="preserve"> </w:t>
      </w:r>
      <w:r>
        <w:t>contains</w:t>
      </w:r>
      <w:r w:rsidR="000159A6">
        <w:t xml:space="preserve"> </w:t>
      </w:r>
      <w:r>
        <w:t>the</w:t>
      </w:r>
      <w:r w:rsidR="000159A6">
        <w:t xml:space="preserve"> </w:t>
      </w:r>
      <w:r w:rsidRPr="005E3E65">
        <w:t>immunostimulants</w:t>
      </w:r>
      <w:r w:rsidR="000159A6">
        <w:t xml:space="preserve"> </w:t>
      </w:r>
      <w:r w:rsidR="002B2F1E">
        <w:t>QS-21</w:t>
      </w:r>
      <w:r w:rsidR="000159A6">
        <w:t xml:space="preserve"> </w:t>
      </w:r>
      <w:r w:rsidRPr="005E3E65">
        <w:t>(</w:t>
      </w:r>
      <w:r w:rsidRPr="0070024F">
        <w:rPr>
          <w:i/>
        </w:rPr>
        <w:t>Quillaria</w:t>
      </w:r>
      <w:r w:rsidR="000159A6">
        <w:rPr>
          <w:i/>
        </w:rPr>
        <w:t xml:space="preserve"> </w:t>
      </w:r>
      <w:r w:rsidRPr="0070024F">
        <w:rPr>
          <w:i/>
        </w:rPr>
        <w:t>saponaria</w:t>
      </w:r>
      <w:r w:rsidR="000159A6">
        <w:t xml:space="preserve"> </w:t>
      </w:r>
      <w:r w:rsidR="005B6459" w:rsidRPr="0070024F">
        <w:t>Molina</w:t>
      </w:r>
      <w:r w:rsidR="000159A6">
        <w:t xml:space="preserve"> </w:t>
      </w:r>
      <w:r w:rsidRPr="005E3E65">
        <w:t>21)</w:t>
      </w:r>
      <w:r w:rsidR="000159A6">
        <w:t xml:space="preserve"> </w:t>
      </w:r>
      <w:r w:rsidRPr="005E3E65">
        <w:t>and</w:t>
      </w:r>
      <w:r w:rsidR="000159A6">
        <w:t xml:space="preserve"> </w:t>
      </w:r>
      <w:r w:rsidRPr="005E3E65">
        <w:t>monophosphoryl</w:t>
      </w:r>
      <w:r w:rsidR="000159A6">
        <w:t xml:space="preserve"> </w:t>
      </w:r>
      <w:r w:rsidRPr="005E3E65">
        <w:t>lipid</w:t>
      </w:r>
      <w:r w:rsidR="000159A6">
        <w:t xml:space="preserve"> </w:t>
      </w:r>
      <w:r w:rsidRPr="005E3E65">
        <w:t>A</w:t>
      </w:r>
      <w:r w:rsidR="000159A6">
        <w:t xml:space="preserve"> </w:t>
      </w:r>
      <w:r w:rsidRPr="005E3E65">
        <w:t>(MPL)</w:t>
      </w:r>
      <w:r w:rsidR="000159A6">
        <w:t xml:space="preserve"> </w:t>
      </w:r>
      <w:r w:rsidRPr="005E3E65">
        <w:t>combined</w:t>
      </w:r>
      <w:r w:rsidR="000159A6">
        <w:t xml:space="preserve"> </w:t>
      </w:r>
      <w:r w:rsidRPr="005E3E65">
        <w:t>with</w:t>
      </w:r>
      <w:r w:rsidR="000159A6">
        <w:t xml:space="preserve"> </w:t>
      </w:r>
      <w:r w:rsidRPr="005E3E65">
        <w:t>liposomes</w:t>
      </w:r>
      <w:r>
        <w:t>.</w:t>
      </w:r>
      <w:r w:rsidR="000159A6">
        <w:t xml:space="preserve"> </w:t>
      </w:r>
      <w:r>
        <w:t>It</w:t>
      </w:r>
      <w:r w:rsidR="000159A6">
        <w:t xml:space="preserve"> </w:t>
      </w:r>
      <w:r>
        <w:t>was</w:t>
      </w:r>
      <w:r w:rsidR="000159A6">
        <w:t xml:space="preserve"> </w:t>
      </w:r>
      <w:r>
        <w:t>stated</w:t>
      </w:r>
      <w:r w:rsidR="000159A6">
        <w:t xml:space="preserve"> </w:t>
      </w:r>
      <w:r>
        <w:t>that</w:t>
      </w:r>
      <w:r w:rsidR="000159A6">
        <w:t xml:space="preserve"> </w:t>
      </w:r>
      <w:r>
        <w:t>this</w:t>
      </w:r>
      <w:r w:rsidR="000159A6">
        <w:t xml:space="preserve"> </w:t>
      </w:r>
      <w:r>
        <w:t>adjuvant</w:t>
      </w:r>
      <w:r w:rsidR="000159A6">
        <w:t xml:space="preserve"> </w:t>
      </w:r>
      <w:r>
        <w:t>is</w:t>
      </w:r>
      <w:r w:rsidR="000159A6">
        <w:t xml:space="preserve"> </w:t>
      </w:r>
      <w:r>
        <w:t>being</w:t>
      </w:r>
      <w:r w:rsidR="000159A6">
        <w:t xml:space="preserve"> </w:t>
      </w:r>
      <w:r>
        <w:t>tested</w:t>
      </w:r>
      <w:r w:rsidR="000159A6">
        <w:t xml:space="preserve"> </w:t>
      </w:r>
      <w:r>
        <w:t>in</w:t>
      </w:r>
      <w:r w:rsidR="000159A6">
        <w:t xml:space="preserve"> </w:t>
      </w:r>
      <w:r>
        <w:t>other</w:t>
      </w:r>
      <w:r w:rsidR="000159A6">
        <w:t xml:space="preserve"> </w:t>
      </w:r>
      <w:r>
        <w:t>investigational</w:t>
      </w:r>
      <w:r w:rsidR="000159A6">
        <w:t xml:space="preserve"> </w:t>
      </w:r>
      <w:r>
        <w:t>vaccines.</w:t>
      </w:r>
    </w:p>
    <w:p w14:paraId="2A692DB4" w14:textId="294DD51A" w:rsidR="008E7846" w:rsidRPr="003F31A2" w:rsidRDefault="00386150" w:rsidP="008E7846">
      <w:pPr>
        <w:pStyle w:val="Heading3"/>
      </w:pPr>
      <w:bookmarkStart w:id="18" w:name="_Toc1049798"/>
      <w:r>
        <w:t>Regulatory</w:t>
      </w:r>
      <w:r w:rsidR="000159A6">
        <w:t xml:space="preserve"> </w:t>
      </w:r>
      <w:r>
        <w:t>s</w:t>
      </w:r>
      <w:r w:rsidR="008E7846">
        <w:t>tatus</w:t>
      </w:r>
      <w:bookmarkEnd w:id="16"/>
      <w:bookmarkEnd w:id="17"/>
      <w:bookmarkEnd w:id="18"/>
    </w:p>
    <w:p w14:paraId="2A145819" w14:textId="359FA662" w:rsidR="00940A89" w:rsidRPr="00940A89" w:rsidRDefault="00940A89" w:rsidP="00CC47E8">
      <w:bookmarkStart w:id="19" w:name="_Toc247691505"/>
      <w:bookmarkStart w:id="20" w:name="_Toc314842486"/>
      <w:r w:rsidRPr="00940A89">
        <w:t>The</w:t>
      </w:r>
      <w:r w:rsidR="000159A6">
        <w:t xml:space="preserve"> </w:t>
      </w:r>
      <w:r w:rsidRPr="00940A89">
        <w:t>product</w:t>
      </w:r>
      <w:r w:rsidR="000159A6">
        <w:t xml:space="preserve"> </w:t>
      </w:r>
      <w:r w:rsidRPr="00940A89">
        <w:t>received</w:t>
      </w:r>
      <w:r w:rsidR="000159A6">
        <w:t xml:space="preserve"> </w:t>
      </w:r>
      <w:r w:rsidRPr="00940A89">
        <w:t>initial</w:t>
      </w:r>
      <w:r w:rsidR="000159A6">
        <w:t xml:space="preserve"> </w:t>
      </w:r>
      <w:r w:rsidRPr="00940A89">
        <w:t>registration</w:t>
      </w:r>
      <w:r w:rsidR="000159A6">
        <w:t xml:space="preserve"> </w:t>
      </w:r>
      <w:r w:rsidRPr="00940A89">
        <w:t>on</w:t>
      </w:r>
      <w:r w:rsidR="000159A6">
        <w:t xml:space="preserve"> </w:t>
      </w:r>
      <w:r w:rsidRPr="00940A89">
        <w:t>the</w:t>
      </w:r>
      <w:r w:rsidR="000159A6">
        <w:t xml:space="preserve"> </w:t>
      </w:r>
      <w:r w:rsidRPr="00940A89">
        <w:t>Australian</w:t>
      </w:r>
      <w:r w:rsidR="000159A6">
        <w:t xml:space="preserve"> </w:t>
      </w:r>
      <w:r w:rsidRPr="00940A89">
        <w:t>Register</w:t>
      </w:r>
      <w:r w:rsidR="000159A6">
        <w:t xml:space="preserve"> </w:t>
      </w:r>
      <w:r w:rsidR="006051B3">
        <w:t>of</w:t>
      </w:r>
      <w:r w:rsidR="000159A6">
        <w:t xml:space="preserve"> </w:t>
      </w:r>
      <w:r w:rsidR="006051B3">
        <w:t>Therapeutic</w:t>
      </w:r>
      <w:r w:rsidR="000159A6">
        <w:t xml:space="preserve"> </w:t>
      </w:r>
      <w:r w:rsidR="006051B3">
        <w:t>Goods</w:t>
      </w:r>
      <w:r w:rsidR="000159A6">
        <w:t xml:space="preserve"> </w:t>
      </w:r>
      <w:r w:rsidR="006051B3">
        <w:t>(ARTG)</w:t>
      </w:r>
      <w:r w:rsidR="000159A6">
        <w:t xml:space="preserve"> </w:t>
      </w:r>
      <w:r w:rsidR="006051B3">
        <w:t>on</w:t>
      </w:r>
      <w:r w:rsidR="000159A6">
        <w:t xml:space="preserve"> </w:t>
      </w:r>
      <w:r w:rsidR="006051B3">
        <w:t>2</w:t>
      </w:r>
      <w:r w:rsidR="000159A6">
        <w:t xml:space="preserve"> </w:t>
      </w:r>
      <w:r w:rsidR="006051B3">
        <w:t>July</w:t>
      </w:r>
      <w:r w:rsidR="000159A6">
        <w:t xml:space="preserve"> </w:t>
      </w:r>
      <w:r w:rsidR="006051B3">
        <w:t>2018</w:t>
      </w:r>
      <w:r w:rsidR="000C5861">
        <w:t>.</w:t>
      </w:r>
    </w:p>
    <w:p w14:paraId="1244C0D9" w14:textId="398F101F" w:rsidR="00940A89" w:rsidRDefault="00940A89" w:rsidP="00CC47E8">
      <w:r w:rsidRPr="00940A89">
        <w:t>At</w:t>
      </w:r>
      <w:r w:rsidR="000159A6">
        <w:t xml:space="preserve"> </w:t>
      </w:r>
      <w:r w:rsidRPr="00940A89">
        <w:t>the</w:t>
      </w:r>
      <w:r w:rsidR="000159A6">
        <w:t xml:space="preserve"> </w:t>
      </w:r>
      <w:r w:rsidRPr="00940A89">
        <w:t>time</w:t>
      </w:r>
      <w:r w:rsidR="000159A6">
        <w:t xml:space="preserve"> </w:t>
      </w:r>
      <w:r w:rsidRPr="00940A89">
        <w:t>the</w:t>
      </w:r>
      <w:r w:rsidR="000159A6">
        <w:t xml:space="preserve"> </w:t>
      </w:r>
      <w:r w:rsidRPr="00940A89">
        <w:t>TGA</w:t>
      </w:r>
      <w:r w:rsidR="000159A6">
        <w:t xml:space="preserve"> </w:t>
      </w:r>
      <w:r w:rsidRPr="00940A89">
        <w:t>considered</w:t>
      </w:r>
      <w:r w:rsidR="000159A6">
        <w:t xml:space="preserve"> </w:t>
      </w:r>
      <w:r w:rsidRPr="00940A89">
        <w:t>this</w:t>
      </w:r>
      <w:r w:rsidR="000159A6">
        <w:t xml:space="preserve"> </w:t>
      </w:r>
      <w:r w:rsidRPr="00940A89">
        <w:t>application,</w:t>
      </w:r>
      <w:r w:rsidR="000159A6">
        <w:t xml:space="preserve"> </w:t>
      </w:r>
      <w:r w:rsidRPr="00940A89">
        <w:t>a</w:t>
      </w:r>
      <w:r w:rsidR="000159A6">
        <w:t xml:space="preserve"> </w:t>
      </w:r>
      <w:r w:rsidRPr="00940A89">
        <w:t>similar</w:t>
      </w:r>
      <w:r w:rsidR="000159A6">
        <w:t xml:space="preserve"> </w:t>
      </w:r>
      <w:r w:rsidRPr="00940A89">
        <w:t>application</w:t>
      </w:r>
      <w:r w:rsidR="000159A6">
        <w:t xml:space="preserve"> </w:t>
      </w:r>
      <w:r w:rsidRPr="00940A89">
        <w:t>had</w:t>
      </w:r>
      <w:r w:rsidR="000159A6">
        <w:t xml:space="preserve"> </w:t>
      </w:r>
      <w:r w:rsidRPr="00940A89">
        <w:t>been</w:t>
      </w:r>
      <w:r w:rsidR="000159A6">
        <w:t xml:space="preserve"> </w:t>
      </w:r>
      <w:r w:rsidRPr="00940A89">
        <w:t>approved</w:t>
      </w:r>
      <w:r w:rsidR="000159A6">
        <w:t xml:space="preserve"> </w:t>
      </w:r>
      <w:r w:rsidR="001C0E49">
        <w:t>in</w:t>
      </w:r>
      <w:r w:rsidR="000159A6">
        <w:t xml:space="preserve"> </w:t>
      </w:r>
      <w:r w:rsidR="0012170B">
        <w:t>countries</w:t>
      </w:r>
      <w:r w:rsidR="000159A6">
        <w:t xml:space="preserve"> </w:t>
      </w:r>
      <w:r w:rsidR="001C0E49">
        <w:t>as</w:t>
      </w:r>
      <w:r w:rsidR="000159A6">
        <w:t xml:space="preserve"> </w:t>
      </w:r>
      <w:r w:rsidR="001C0E49">
        <w:t>shown</w:t>
      </w:r>
      <w:r w:rsidR="000159A6">
        <w:t xml:space="preserve"> </w:t>
      </w:r>
      <w:r w:rsidR="001C0E49">
        <w:t>in</w:t>
      </w:r>
      <w:r w:rsidR="000159A6">
        <w:t xml:space="preserve"> </w:t>
      </w:r>
      <w:r w:rsidR="001C0E49">
        <w:t>Table</w:t>
      </w:r>
      <w:r w:rsidR="000159A6">
        <w:t xml:space="preserve"> </w:t>
      </w:r>
      <w:r w:rsidR="001C0E49">
        <w:t>1.</w:t>
      </w:r>
    </w:p>
    <w:p w14:paraId="79342401" w14:textId="0096EA45" w:rsidR="001C0E49" w:rsidRPr="000C5861" w:rsidRDefault="001C0E49" w:rsidP="00CC47E8">
      <w:pPr>
        <w:pStyle w:val="Tabletitle0"/>
      </w:pPr>
      <w:r w:rsidRPr="000C5861">
        <w:lastRenderedPageBreak/>
        <w:t>Table</w:t>
      </w:r>
      <w:r w:rsidR="000159A6" w:rsidRPr="000C5861">
        <w:t xml:space="preserve"> </w:t>
      </w:r>
      <w:r w:rsidRPr="000C5861">
        <w:t>1:</w:t>
      </w:r>
      <w:r w:rsidR="000159A6" w:rsidRPr="000C5861">
        <w:t xml:space="preserve"> </w:t>
      </w:r>
      <w:r w:rsidRPr="000C5861">
        <w:t>List</w:t>
      </w:r>
      <w:r w:rsidR="000159A6" w:rsidRPr="000C5861">
        <w:t xml:space="preserve"> </w:t>
      </w:r>
      <w:r w:rsidRPr="000C5861">
        <w:t>of</w:t>
      </w:r>
      <w:r w:rsidR="000159A6" w:rsidRPr="000C5861">
        <w:t xml:space="preserve"> </w:t>
      </w:r>
      <w:r w:rsidRPr="00CC47E8">
        <w:t>countries</w:t>
      </w:r>
      <w:r w:rsidR="000159A6" w:rsidRPr="000C5861">
        <w:t xml:space="preserve"> </w:t>
      </w:r>
      <w:r w:rsidRPr="000C5861">
        <w:t>in</w:t>
      </w:r>
      <w:r w:rsidR="000159A6" w:rsidRPr="000C5861">
        <w:t xml:space="preserve"> </w:t>
      </w:r>
      <w:r w:rsidRPr="000C5861">
        <w:t>which</w:t>
      </w:r>
      <w:r w:rsidR="000159A6" w:rsidRPr="000C5861">
        <w:t xml:space="preserve"> </w:t>
      </w:r>
      <w:proofErr w:type="spellStart"/>
      <w:r w:rsidRPr="000C5861">
        <w:t>Shingrix</w:t>
      </w:r>
      <w:proofErr w:type="spellEnd"/>
      <w:r w:rsidR="000159A6" w:rsidRPr="000C5861">
        <w:t xml:space="preserve"> </w:t>
      </w:r>
      <w:r w:rsidRPr="000C5861">
        <w:t>application</w:t>
      </w:r>
      <w:r w:rsidR="000159A6" w:rsidRPr="000C5861">
        <w:t xml:space="preserve"> </w:t>
      </w:r>
      <w:r w:rsidRPr="000C5861">
        <w:t>had</w:t>
      </w:r>
      <w:r w:rsidR="000159A6" w:rsidRPr="000C5861">
        <w:t xml:space="preserve"> </w:t>
      </w:r>
      <w:r w:rsidRPr="000C5861">
        <w:t>been</w:t>
      </w:r>
      <w:r w:rsidR="000159A6" w:rsidRPr="000C5861">
        <w:t xml:space="preserve"> </w:t>
      </w:r>
      <w:r w:rsidRPr="000C5861">
        <w:t>submitted/</w:t>
      </w:r>
      <w:r w:rsidR="000159A6" w:rsidRPr="000C5861">
        <w:t xml:space="preserve"> </w:t>
      </w:r>
      <w:r w:rsidRPr="000C5861">
        <w:t>approved</w:t>
      </w:r>
    </w:p>
    <w:tbl>
      <w:tblPr>
        <w:tblStyle w:val="TableTGAblue"/>
        <w:tblW w:w="0" w:type="auto"/>
        <w:tblLook w:val="04A0" w:firstRow="1" w:lastRow="0" w:firstColumn="1" w:lastColumn="0" w:noHBand="0" w:noVBand="1"/>
        <w:tblDescription w:val="Table 1: List of countries in which Shingrix application had been submitted/ approved"/>
      </w:tblPr>
      <w:tblGrid>
        <w:gridCol w:w="2093"/>
        <w:gridCol w:w="2093"/>
        <w:gridCol w:w="4187"/>
      </w:tblGrid>
      <w:tr w:rsidR="001C0E49" w14:paraId="77ED0D2C" w14:textId="77777777" w:rsidTr="00335BC5">
        <w:trPr>
          <w:cnfStyle w:val="100000000000" w:firstRow="1" w:lastRow="0" w:firstColumn="0" w:lastColumn="0" w:oddVBand="0" w:evenVBand="0" w:oddHBand="0" w:evenHBand="0" w:firstRowFirstColumn="0" w:firstRowLastColumn="0" w:lastRowFirstColumn="0" w:lastRowLastColumn="0"/>
          <w:trHeight w:val="139"/>
        </w:trPr>
        <w:tc>
          <w:tcPr>
            <w:tcW w:w="2093" w:type="dxa"/>
          </w:tcPr>
          <w:p w14:paraId="0B375D6E" w14:textId="77777777" w:rsidR="001C0E49" w:rsidRDefault="001C0E49" w:rsidP="001C0E49">
            <w:r>
              <w:t>Country</w:t>
            </w:r>
          </w:p>
        </w:tc>
        <w:tc>
          <w:tcPr>
            <w:tcW w:w="2093" w:type="dxa"/>
          </w:tcPr>
          <w:p w14:paraId="599DD495" w14:textId="00BD0577" w:rsidR="001C0E49" w:rsidRPr="001C0E49" w:rsidRDefault="001C0E49" w:rsidP="006D376B">
            <w:r w:rsidRPr="001C0E49">
              <w:t>Submission</w:t>
            </w:r>
            <w:r w:rsidR="000159A6">
              <w:t xml:space="preserve"> </w:t>
            </w:r>
            <w:r w:rsidRPr="001C0E49">
              <w:t>/</w:t>
            </w:r>
            <w:r w:rsidR="006D376B">
              <w:t>a</w:t>
            </w:r>
            <w:r w:rsidR="006D376B" w:rsidRPr="001C0E49">
              <w:t>pproval</w:t>
            </w:r>
            <w:r w:rsidR="000159A6">
              <w:t xml:space="preserve"> </w:t>
            </w:r>
            <w:r w:rsidRPr="001C0E49">
              <w:t>dates</w:t>
            </w:r>
          </w:p>
        </w:tc>
        <w:tc>
          <w:tcPr>
            <w:tcW w:w="4187" w:type="dxa"/>
          </w:tcPr>
          <w:p w14:paraId="4E81E4C6" w14:textId="77777777" w:rsidR="001C0E49" w:rsidRPr="001C0E49" w:rsidRDefault="001C0E49" w:rsidP="001C0E49">
            <w:r w:rsidRPr="001C0E49">
              <w:t>Indication</w:t>
            </w:r>
          </w:p>
        </w:tc>
      </w:tr>
      <w:tr w:rsidR="001C0E49" w14:paraId="47C62752" w14:textId="77777777" w:rsidTr="00335BC5">
        <w:trPr>
          <w:trHeight w:val="139"/>
        </w:trPr>
        <w:tc>
          <w:tcPr>
            <w:tcW w:w="2093" w:type="dxa"/>
          </w:tcPr>
          <w:p w14:paraId="05C234D0" w14:textId="0DB1A016" w:rsidR="001C0E49" w:rsidRPr="001C0E49" w:rsidRDefault="001C0E49" w:rsidP="00335BC5">
            <w:pPr>
              <w:ind w:left="0" w:right="0"/>
              <w:rPr>
                <w:sz w:val="20"/>
                <w:szCs w:val="20"/>
              </w:rPr>
            </w:pPr>
            <w:r w:rsidRPr="001C0E49">
              <w:rPr>
                <w:sz w:val="20"/>
                <w:szCs w:val="20"/>
              </w:rPr>
              <w:t>European</w:t>
            </w:r>
            <w:r w:rsidR="000159A6">
              <w:rPr>
                <w:sz w:val="20"/>
                <w:szCs w:val="20"/>
              </w:rPr>
              <w:t xml:space="preserve"> </w:t>
            </w:r>
            <w:r w:rsidRPr="001C0E49">
              <w:rPr>
                <w:sz w:val="20"/>
                <w:szCs w:val="20"/>
              </w:rPr>
              <w:t>Union</w:t>
            </w:r>
            <w:r w:rsidR="000159A6">
              <w:rPr>
                <w:sz w:val="20"/>
                <w:szCs w:val="20"/>
              </w:rPr>
              <w:t xml:space="preserve"> </w:t>
            </w:r>
            <w:r w:rsidR="00335BC5">
              <w:rPr>
                <w:sz w:val="20"/>
                <w:szCs w:val="20"/>
              </w:rPr>
              <w:t>(centralised</w:t>
            </w:r>
            <w:r w:rsidR="000159A6">
              <w:rPr>
                <w:sz w:val="20"/>
                <w:szCs w:val="20"/>
              </w:rPr>
              <w:t xml:space="preserve"> </w:t>
            </w:r>
            <w:r w:rsidRPr="001C0E49">
              <w:rPr>
                <w:sz w:val="20"/>
                <w:szCs w:val="20"/>
              </w:rPr>
              <w:t>procedure)</w:t>
            </w:r>
          </w:p>
        </w:tc>
        <w:tc>
          <w:tcPr>
            <w:tcW w:w="2093" w:type="dxa"/>
          </w:tcPr>
          <w:p w14:paraId="459B1343" w14:textId="15EE72C8" w:rsidR="001C0E49" w:rsidRPr="001C0E49" w:rsidRDefault="001C0E49" w:rsidP="00335BC5">
            <w:pPr>
              <w:ind w:left="0" w:right="0"/>
              <w:rPr>
                <w:sz w:val="20"/>
                <w:szCs w:val="20"/>
              </w:rPr>
            </w:pPr>
            <w:r w:rsidRPr="001C0E49">
              <w:rPr>
                <w:sz w:val="20"/>
                <w:szCs w:val="20"/>
              </w:rPr>
              <w:t>Submission:</w:t>
            </w:r>
            <w:r w:rsidR="000159A6">
              <w:rPr>
                <w:sz w:val="20"/>
                <w:szCs w:val="20"/>
              </w:rPr>
              <w:t xml:space="preserve"> </w:t>
            </w:r>
            <w:r w:rsidRPr="001C0E49">
              <w:rPr>
                <w:sz w:val="20"/>
                <w:szCs w:val="20"/>
              </w:rPr>
              <w:t>25/11/2016</w:t>
            </w:r>
          </w:p>
          <w:p w14:paraId="4BE835D7" w14:textId="5361B641" w:rsidR="001C0E49" w:rsidRPr="001C0E49" w:rsidRDefault="00335BC5" w:rsidP="00335BC5">
            <w:pPr>
              <w:ind w:left="0" w:right="0"/>
              <w:rPr>
                <w:sz w:val="20"/>
                <w:szCs w:val="20"/>
              </w:rPr>
            </w:pPr>
            <w:r>
              <w:rPr>
                <w:sz w:val="20"/>
                <w:szCs w:val="20"/>
              </w:rPr>
              <w:t>Approval</w:t>
            </w:r>
            <w:r w:rsidR="000159A6">
              <w:rPr>
                <w:sz w:val="20"/>
                <w:szCs w:val="20"/>
              </w:rPr>
              <w:t xml:space="preserve"> </w:t>
            </w:r>
            <w:r>
              <w:rPr>
                <w:sz w:val="20"/>
                <w:szCs w:val="20"/>
              </w:rPr>
              <w:t>(Date</w:t>
            </w:r>
            <w:r w:rsidR="000159A6">
              <w:rPr>
                <w:sz w:val="20"/>
                <w:szCs w:val="20"/>
              </w:rPr>
              <w:t xml:space="preserve"> </w:t>
            </w:r>
            <w:r>
              <w:rPr>
                <w:sz w:val="20"/>
                <w:szCs w:val="20"/>
              </w:rPr>
              <w:t>of</w:t>
            </w:r>
            <w:r w:rsidR="000159A6">
              <w:rPr>
                <w:sz w:val="20"/>
                <w:szCs w:val="20"/>
              </w:rPr>
              <w:t xml:space="preserve"> </w:t>
            </w:r>
            <w:r>
              <w:rPr>
                <w:sz w:val="20"/>
                <w:szCs w:val="20"/>
              </w:rPr>
              <w:t>issue</w:t>
            </w:r>
            <w:r w:rsidR="000159A6">
              <w:rPr>
                <w:sz w:val="20"/>
                <w:szCs w:val="20"/>
              </w:rPr>
              <w:t xml:space="preserve"> </w:t>
            </w:r>
            <w:r>
              <w:rPr>
                <w:sz w:val="20"/>
                <w:szCs w:val="20"/>
              </w:rPr>
              <w:t>of</w:t>
            </w:r>
            <w:r w:rsidR="000159A6">
              <w:rPr>
                <w:sz w:val="20"/>
                <w:szCs w:val="20"/>
              </w:rPr>
              <w:t xml:space="preserve"> </w:t>
            </w:r>
            <w:r>
              <w:rPr>
                <w:sz w:val="20"/>
                <w:szCs w:val="20"/>
              </w:rPr>
              <w:t>marketing</w:t>
            </w:r>
            <w:r w:rsidR="000159A6">
              <w:rPr>
                <w:sz w:val="20"/>
                <w:szCs w:val="20"/>
              </w:rPr>
              <w:t xml:space="preserve"> </w:t>
            </w:r>
            <w:r>
              <w:rPr>
                <w:sz w:val="20"/>
                <w:szCs w:val="20"/>
              </w:rPr>
              <w:t>authorisation</w:t>
            </w:r>
            <w:r w:rsidR="000159A6">
              <w:rPr>
                <w:sz w:val="20"/>
                <w:szCs w:val="20"/>
              </w:rPr>
              <w:t xml:space="preserve"> </w:t>
            </w:r>
            <w:r>
              <w:rPr>
                <w:sz w:val="20"/>
                <w:szCs w:val="20"/>
              </w:rPr>
              <w:t>valid</w:t>
            </w:r>
            <w:r w:rsidR="000159A6">
              <w:rPr>
                <w:sz w:val="20"/>
                <w:szCs w:val="20"/>
              </w:rPr>
              <w:t xml:space="preserve"> </w:t>
            </w:r>
            <w:r>
              <w:rPr>
                <w:sz w:val="20"/>
                <w:szCs w:val="20"/>
              </w:rPr>
              <w:t>throughout</w:t>
            </w:r>
            <w:r w:rsidR="000159A6">
              <w:rPr>
                <w:sz w:val="20"/>
                <w:szCs w:val="20"/>
              </w:rPr>
              <w:t xml:space="preserve"> </w:t>
            </w:r>
            <w:r>
              <w:rPr>
                <w:sz w:val="20"/>
                <w:szCs w:val="20"/>
              </w:rPr>
              <w:t>the</w:t>
            </w:r>
            <w:r w:rsidR="000159A6">
              <w:rPr>
                <w:sz w:val="20"/>
                <w:szCs w:val="20"/>
              </w:rPr>
              <w:t xml:space="preserve"> </w:t>
            </w:r>
            <w:r>
              <w:rPr>
                <w:sz w:val="20"/>
                <w:szCs w:val="20"/>
              </w:rPr>
              <w:t>European</w:t>
            </w:r>
            <w:r w:rsidR="000159A6">
              <w:rPr>
                <w:sz w:val="20"/>
                <w:szCs w:val="20"/>
              </w:rPr>
              <w:t xml:space="preserve"> </w:t>
            </w:r>
            <w:r w:rsidR="001C0E49" w:rsidRPr="001C0E49">
              <w:rPr>
                <w:sz w:val="20"/>
                <w:szCs w:val="20"/>
              </w:rPr>
              <w:t>Union):</w:t>
            </w:r>
            <w:r w:rsidR="000159A6">
              <w:rPr>
                <w:sz w:val="20"/>
                <w:szCs w:val="20"/>
              </w:rPr>
              <w:t xml:space="preserve"> </w:t>
            </w:r>
            <w:r w:rsidR="001C0E49" w:rsidRPr="001C0E49">
              <w:rPr>
                <w:sz w:val="20"/>
                <w:szCs w:val="20"/>
              </w:rPr>
              <w:t>21/03/2018</w:t>
            </w:r>
          </w:p>
        </w:tc>
        <w:tc>
          <w:tcPr>
            <w:tcW w:w="4187" w:type="dxa"/>
          </w:tcPr>
          <w:p w14:paraId="1966170F" w14:textId="7548579D" w:rsidR="001C0E49" w:rsidRPr="001C0E49" w:rsidRDefault="001C0E49" w:rsidP="00335BC5">
            <w:pPr>
              <w:ind w:left="0" w:right="0"/>
              <w:rPr>
                <w:sz w:val="20"/>
                <w:szCs w:val="20"/>
              </w:rPr>
            </w:pPr>
            <w:r w:rsidRPr="001C0E49">
              <w:rPr>
                <w:sz w:val="20"/>
                <w:szCs w:val="20"/>
              </w:rPr>
              <w:t>Shingrix</w:t>
            </w:r>
            <w:r w:rsidR="000159A6">
              <w:rPr>
                <w:sz w:val="20"/>
                <w:szCs w:val="20"/>
              </w:rPr>
              <w:t xml:space="preserve"> </w:t>
            </w:r>
            <w:r w:rsidR="00335BC5">
              <w:rPr>
                <w:sz w:val="20"/>
                <w:szCs w:val="20"/>
              </w:rPr>
              <w:t>is</w:t>
            </w:r>
            <w:r w:rsidR="000159A6">
              <w:rPr>
                <w:sz w:val="20"/>
                <w:szCs w:val="20"/>
              </w:rPr>
              <w:t xml:space="preserve"> </w:t>
            </w:r>
            <w:r w:rsidR="00335BC5">
              <w:rPr>
                <w:sz w:val="20"/>
                <w:szCs w:val="20"/>
              </w:rPr>
              <w:t>indicated</w:t>
            </w:r>
            <w:r w:rsidR="000159A6">
              <w:rPr>
                <w:sz w:val="20"/>
                <w:szCs w:val="20"/>
              </w:rPr>
              <w:t xml:space="preserve"> </w:t>
            </w:r>
            <w:r w:rsidR="00335BC5">
              <w:rPr>
                <w:sz w:val="20"/>
                <w:szCs w:val="20"/>
              </w:rPr>
              <w:t>for</w:t>
            </w:r>
            <w:r w:rsidR="000159A6">
              <w:rPr>
                <w:sz w:val="20"/>
                <w:szCs w:val="20"/>
              </w:rPr>
              <w:t xml:space="preserve"> </w:t>
            </w:r>
            <w:r w:rsidR="00335BC5">
              <w:rPr>
                <w:sz w:val="20"/>
                <w:szCs w:val="20"/>
              </w:rPr>
              <w:t>prevention</w:t>
            </w:r>
            <w:r w:rsidR="000159A6">
              <w:rPr>
                <w:sz w:val="20"/>
                <w:szCs w:val="20"/>
              </w:rPr>
              <w:t xml:space="preserve"> </w:t>
            </w:r>
            <w:r w:rsidR="00335BC5">
              <w:rPr>
                <w:sz w:val="20"/>
                <w:szCs w:val="20"/>
              </w:rPr>
              <w:t>of</w:t>
            </w:r>
            <w:r w:rsidR="000159A6">
              <w:rPr>
                <w:sz w:val="20"/>
                <w:szCs w:val="20"/>
              </w:rPr>
              <w:t xml:space="preserve"> </w:t>
            </w:r>
            <w:r w:rsidRPr="001C0E49">
              <w:rPr>
                <w:sz w:val="20"/>
                <w:szCs w:val="20"/>
              </w:rPr>
              <w:t>herpe</w:t>
            </w:r>
            <w:r w:rsidR="00335BC5">
              <w:rPr>
                <w:sz w:val="20"/>
                <w:szCs w:val="20"/>
              </w:rPr>
              <w:t>s</w:t>
            </w:r>
            <w:r w:rsidR="000159A6">
              <w:rPr>
                <w:sz w:val="20"/>
                <w:szCs w:val="20"/>
              </w:rPr>
              <w:t xml:space="preserve"> </w:t>
            </w:r>
            <w:r w:rsidR="00335BC5">
              <w:rPr>
                <w:sz w:val="20"/>
                <w:szCs w:val="20"/>
              </w:rPr>
              <w:t>zoster</w:t>
            </w:r>
            <w:r w:rsidR="000159A6">
              <w:rPr>
                <w:sz w:val="20"/>
                <w:szCs w:val="20"/>
              </w:rPr>
              <w:t xml:space="preserve"> </w:t>
            </w:r>
            <w:r w:rsidR="00335BC5">
              <w:rPr>
                <w:sz w:val="20"/>
                <w:szCs w:val="20"/>
              </w:rPr>
              <w:t>(HZ)</w:t>
            </w:r>
            <w:r w:rsidR="000159A6">
              <w:rPr>
                <w:sz w:val="20"/>
                <w:szCs w:val="20"/>
              </w:rPr>
              <w:t xml:space="preserve"> </w:t>
            </w:r>
            <w:r w:rsidR="00335BC5">
              <w:rPr>
                <w:sz w:val="20"/>
                <w:szCs w:val="20"/>
              </w:rPr>
              <w:t>and</w:t>
            </w:r>
            <w:r w:rsidR="000159A6">
              <w:rPr>
                <w:sz w:val="20"/>
                <w:szCs w:val="20"/>
              </w:rPr>
              <w:t xml:space="preserve"> </w:t>
            </w:r>
            <w:r w:rsidR="000E6841">
              <w:rPr>
                <w:sz w:val="20"/>
                <w:szCs w:val="20"/>
              </w:rPr>
              <w:t>post</w:t>
            </w:r>
            <w:r w:rsidR="000159A6">
              <w:rPr>
                <w:sz w:val="20"/>
                <w:szCs w:val="20"/>
              </w:rPr>
              <w:t xml:space="preserve"> </w:t>
            </w:r>
            <w:r w:rsidR="000E6841">
              <w:rPr>
                <w:sz w:val="20"/>
                <w:szCs w:val="20"/>
              </w:rPr>
              <w:t>herpetic</w:t>
            </w:r>
            <w:r w:rsidR="000159A6">
              <w:rPr>
                <w:sz w:val="20"/>
                <w:szCs w:val="20"/>
              </w:rPr>
              <w:t xml:space="preserve"> </w:t>
            </w:r>
            <w:r w:rsidRPr="001C0E49">
              <w:rPr>
                <w:sz w:val="20"/>
                <w:szCs w:val="20"/>
              </w:rPr>
              <w:t>neuralg</w:t>
            </w:r>
            <w:r w:rsidR="00335BC5">
              <w:rPr>
                <w:sz w:val="20"/>
                <w:szCs w:val="20"/>
              </w:rPr>
              <w:t>ia</w:t>
            </w:r>
            <w:r w:rsidR="000159A6">
              <w:rPr>
                <w:sz w:val="20"/>
                <w:szCs w:val="20"/>
              </w:rPr>
              <w:t xml:space="preserve"> </w:t>
            </w:r>
            <w:r w:rsidR="00335BC5">
              <w:rPr>
                <w:sz w:val="20"/>
                <w:szCs w:val="20"/>
              </w:rPr>
              <w:t>(PHN),</w:t>
            </w:r>
            <w:r w:rsidR="000159A6">
              <w:rPr>
                <w:sz w:val="20"/>
                <w:szCs w:val="20"/>
              </w:rPr>
              <w:t xml:space="preserve"> </w:t>
            </w:r>
            <w:r w:rsidR="00335BC5">
              <w:rPr>
                <w:sz w:val="20"/>
                <w:szCs w:val="20"/>
              </w:rPr>
              <w:t>in</w:t>
            </w:r>
            <w:r w:rsidR="000159A6">
              <w:rPr>
                <w:sz w:val="20"/>
                <w:szCs w:val="20"/>
              </w:rPr>
              <w:t xml:space="preserve"> </w:t>
            </w:r>
            <w:r w:rsidR="00335BC5">
              <w:rPr>
                <w:sz w:val="20"/>
                <w:szCs w:val="20"/>
              </w:rPr>
              <w:t>adults</w:t>
            </w:r>
            <w:r w:rsidR="000159A6">
              <w:rPr>
                <w:sz w:val="20"/>
                <w:szCs w:val="20"/>
              </w:rPr>
              <w:t xml:space="preserve"> </w:t>
            </w:r>
            <w:r w:rsidR="00335BC5">
              <w:rPr>
                <w:sz w:val="20"/>
                <w:szCs w:val="20"/>
              </w:rPr>
              <w:t>50</w:t>
            </w:r>
            <w:r w:rsidR="000159A6">
              <w:rPr>
                <w:sz w:val="20"/>
                <w:szCs w:val="20"/>
              </w:rPr>
              <w:t xml:space="preserve"> </w:t>
            </w:r>
            <w:r w:rsidR="00335BC5">
              <w:rPr>
                <w:sz w:val="20"/>
                <w:szCs w:val="20"/>
              </w:rPr>
              <w:t>years</w:t>
            </w:r>
            <w:r w:rsidR="000159A6">
              <w:rPr>
                <w:sz w:val="20"/>
                <w:szCs w:val="20"/>
              </w:rPr>
              <w:t xml:space="preserve"> </w:t>
            </w:r>
            <w:r w:rsidR="00335BC5">
              <w:rPr>
                <w:sz w:val="20"/>
                <w:szCs w:val="20"/>
              </w:rPr>
              <w:t>of</w:t>
            </w:r>
            <w:r w:rsidR="000159A6">
              <w:rPr>
                <w:sz w:val="20"/>
                <w:szCs w:val="20"/>
              </w:rPr>
              <w:t xml:space="preserve"> </w:t>
            </w:r>
            <w:r w:rsidRPr="001C0E49">
              <w:rPr>
                <w:sz w:val="20"/>
                <w:szCs w:val="20"/>
              </w:rPr>
              <w:t>age</w:t>
            </w:r>
            <w:r w:rsidR="000159A6">
              <w:rPr>
                <w:sz w:val="20"/>
                <w:szCs w:val="20"/>
              </w:rPr>
              <w:t xml:space="preserve"> </w:t>
            </w:r>
            <w:r w:rsidRPr="001C0E49">
              <w:rPr>
                <w:sz w:val="20"/>
                <w:szCs w:val="20"/>
              </w:rPr>
              <w:t>or</w:t>
            </w:r>
            <w:r w:rsidR="000159A6">
              <w:rPr>
                <w:sz w:val="20"/>
                <w:szCs w:val="20"/>
              </w:rPr>
              <w:t xml:space="preserve"> </w:t>
            </w:r>
            <w:r w:rsidRPr="001C0E49">
              <w:rPr>
                <w:sz w:val="20"/>
                <w:szCs w:val="20"/>
              </w:rPr>
              <w:t>older</w:t>
            </w:r>
            <w:r w:rsidR="000159A6">
              <w:rPr>
                <w:sz w:val="20"/>
                <w:szCs w:val="20"/>
              </w:rPr>
              <w:t xml:space="preserve"> </w:t>
            </w:r>
            <w:r w:rsidRPr="001C0E49">
              <w:rPr>
                <w:sz w:val="20"/>
                <w:szCs w:val="20"/>
              </w:rPr>
              <w:t>(see</w:t>
            </w:r>
            <w:r w:rsidR="000159A6">
              <w:rPr>
                <w:sz w:val="20"/>
                <w:szCs w:val="20"/>
              </w:rPr>
              <w:t xml:space="preserve"> </w:t>
            </w:r>
            <w:r w:rsidRPr="001C0E49">
              <w:rPr>
                <w:sz w:val="20"/>
                <w:szCs w:val="20"/>
              </w:rPr>
              <w:t>section</w:t>
            </w:r>
            <w:r w:rsidR="000159A6">
              <w:rPr>
                <w:sz w:val="20"/>
                <w:szCs w:val="20"/>
              </w:rPr>
              <w:t xml:space="preserve"> </w:t>
            </w:r>
            <w:r w:rsidRPr="001C0E49">
              <w:rPr>
                <w:sz w:val="20"/>
                <w:szCs w:val="20"/>
              </w:rPr>
              <w:t>5.1).</w:t>
            </w:r>
          </w:p>
          <w:p w14:paraId="605C01A8" w14:textId="0A96A596" w:rsidR="001C0E49" w:rsidRPr="001C0E49" w:rsidRDefault="001C0E49" w:rsidP="00335BC5">
            <w:pPr>
              <w:ind w:left="0" w:right="0"/>
              <w:rPr>
                <w:sz w:val="20"/>
                <w:szCs w:val="20"/>
              </w:rPr>
            </w:pPr>
            <w:r w:rsidRPr="001C0E49">
              <w:rPr>
                <w:sz w:val="20"/>
                <w:szCs w:val="20"/>
              </w:rPr>
              <w:t>T</w:t>
            </w:r>
            <w:r w:rsidR="00335BC5">
              <w:rPr>
                <w:sz w:val="20"/>
                <w:szCs w:val="20"/>
              </w:rPr>
              <w:t>he</w:t>
            </w:r>
            <w:r w:rsidR="000159A6">
              <w:rPr>
                <w:sz w:val="20"/>
                <w:szCs w:val="20"/>
              </w:rPr>
              <w:t xml:space="preserve"> </w:t>
            </w:r>
            <w:r w:rsidR="00335BC5">
              <w:rPr>
                <w:sz w:val="20"/>
                <w:szCs w:val="20"/>
              </w:rPr>
              <w:t>use</w:t>
            </w:r>
            <w:r w:rsidR="000159A6">
              <w:rPr>
                <w:sz w:val="20"/>
                <w:szCs w:val="20"/>
              </w:rPr>
              <w:t xml:space="preserve"> </w:t>
            </w:r>
            <w:r w:rsidR="00335BC5">
              <w:rPr>
                <w:sz w:val="20"/>
                <w:szCs w:val="20"/>
              </w:rPr>
              <w:t>of</w:t>
            </w:r>
            <w:r w:rsidR="000159A6">
              <w:rPr>
                <w:sz w:val="20"/>
                <w:szCs w:val="20"/>
              </w:rPr>
              <w:t xml:space="preserve"> </w:t>
            </w:r>
            <w:r w:rsidR="00335BC5">
              <w:rPr>
                <w:sz w:val="20"/>
                <w:szCs w:val="20"/>
              </w:rPr>
              <w:t>Shingrix</w:t>
            </w:r>
            <w:r w:rsidR="000159A6">
              <w:rPr>
                <w:sz w:val="20"/>
                <w:szCs w:val="20"/>
              </w:rPr>
              <w:t xml:space="preserve"> </w:t>
            </w:r>
            <w:r w:rsidR="00335BC5">
              <w:rPr>
                <w:sz w:val="20"/>
                <w:szCs w:val="20"/>
              </w:rPr>
              <w:t>should</w:t>
            </w:r>
            <w:r w:rsidR="000159A6">
              <w:rPr>
                <w:sz w:val="20"/>
                <w:szCs w:val="20"/>
              </w:rPr>
              <w:t xml:space="preserve"> </w:t>
            </w:r>
            <w:r w:rsidR="00335BC5">
              <w:rPr>
                <w:sz w:val="20"/>
                <w:szCs w:val="20"/>
              </w:rPr>
              <w:t>be</w:t>
            </w:r>
            <w:r w:rsidR="000159A6">
              <w:rPr>
                <w:sz w:val="20"/>
                <w:szCs w:val="20"/>
              </w:rPr>
              <w:t xml:space="preserve"> </w:t>
            </w:r>
            <w:r w:rsidR="00335BC5">
              <w:rPr>
                <w:sz w:val="20"/>
                <w:szCs w:val="20"/>
              </w:rPr>
              <w:t>in</w:t>
            </w:r>
            <w:r w:rsidR="000159A6">
              <w:rPr>
                <w:sz w:val="20"/>
                <w:szCs w:val="20"/>
              </w:rPr>
              <w:t xml:space="preserve"> </w:t>
            </w:r>
            <w:r w:rsidR="00335BC5">
              <w:rPr>
                <w:sz w:val="20"/>
                <w:szCs w:val="20"/>
              </w:rPr>
              <w:t>accordance</w:t>
            </w:r>
            <w:r w:rsidR="000159A6">
              <w:rPr>
                <w:sz w:val="20"/>
                <w:szCs w:val="20"/>
              </w:rPr>
              <w:t xml:space="preserve"> </w:t>
            </w:r>
            <w:r w:rsidR="00335BC5">
              <w:rPr>
                <w:sz w:val="20"/>
                <w:szCs w:val="20"/>
              </w:rPr>
              <w:t>with</w:t>
            </w:r>
            <w:r w:rsidR="000159A6">
              <w:rPr>
                <w:sz w:val="20"/>
                <w:szCs w:val="20"/>
              </w:rPr>
              <w:t xml:space="preserve"> </w:t>
            </w:r>
            <w:r w:rsidR="00335BC5">
              <w:rPr>
                <w:sz w:val="20"/>
                <w:szCs w:val="20"/>
              </w:rPr>
              <w:t>official</w:t>
            </w:r>
            <w:r w:rsidR="000159A6">
              <w:rPr>
                <w:sz w:val="20"/>
                <w:szCs w:val="20"/>
              </w:rPr>
              <w:t xml:space="preserve"> </w:t>
            </w:r>
            <w:r w:rsidRPr="001C0E49">
              <w:rPr>
                <w:sz w:val="20"/>
                <w:szCs w:val="20"/>
              </w:rPr>
              <w:t>recommendations.</w:t>
            </w:r>
          </w:p>
        </w:tc>
      </w:tr>
      <w:tr w:rsidR="001C0E49" w14:paraId="5A075124" w14:textId="77777777" w:rsidTr="00335BC5">
        <w:trPr>
          <w:trHeight w:val="139"/>
        </w:trPr>
        <w:tc>
          <w:tcPr>
            <w:tcW w:w="2093" w:type="dxa"/>
          </w:tcPr>
          <w:p w14:paraId="2DE3FA9E" w14:textId="77777777" w:rsidR="001C0E49" w:rsidRPr="001C0E49" w:rsidRDefault="001C0E49" w:rsidP="00335BC5">
            <w:pPr>
              <w:ind w:left="0" w:right="0"/>
              <w:rPr>
                <w:sz w:val="20"/>
                <w:szCs w:val="20"/>
              </w:rPr>
            </w:pPr>
            <w:r w:rsidRPr="001C0E49">
              <w:rPr>
                <w:sz w:val="20"/>
                <w:szCs w:val="20"/>
              </w:rPr>
              <w:t>USA</w:t>
            </w:r>
          </w:p>
        </w:tc>
        <w:tc>
          <w:tcPr>
            <w:tcW w:w="2093" w:type="dxa"/>
          </w:tcPr>
          <w:p w14:paraId="4F7CACBC" w14:textId="51F53AE2" w:rsidR="001C0E49" w:rsidRPr="001C0E49" w:rsidRDefault="001C0E49" w:rsidP="00335BC5">
            <w:pPr>
              <w:ind w:left="0" w:right="0"/>
              <w:rPr>
                <w:sz w:val="20"/>
                <w:szCs w:val="20"/>
              </w:rPr>
            </w:pPr>
            <w:r w:rsidRPr="001C0E49">
              <w:rPr>
                <w:sz w:val="20"/>
                <w:szCs w:val="20"/>
              </w:rPr>
              <w:t>Submission:</w:t>
            </w:r>
            <w:r w:rsidR="000159A6">
              <w:rPr>
                <w:sz w:val="20"/>
                <w:szCs w:val="20"/>
              </w:rPr>
              <w:t xml:space="preserve"> </w:t>
            </w:r>
            <w:r w:rsidRPr="001C0E49">
              <w:rPr>
                <w:sz w:val="20"/>
                <w:szCs w:val="20"/>
              </w:rPr>
              <w:t>21/10/2016</w:t>
            </w:r>
          </w:p>
          <w:p w14:paraId="74548B37" w14:textId="160BF016" w:rsidR="001C0E49" w:rsidRPr="001C0E49" w:rsidRDefault="001C0E49" w:rsidP="00335BC5">
            <w:pPr>
              <w:ind w:left="0" w:right="0"/>
              <w:rPr>
                <w:sz w:val="20"/>
                <w:szCs w:val="20"/>
              </w:rPr>
            </w:pPr>
            <w:r w:rsidRPr="001C0E49">
              <w:rPr>
                <w:sz w:val="20"/>
                <w:szCs w:val="20"/>
              </w:rPr>
              <w:t>Approval:</w:t>
            </w:r>
            <w:r w:rsidR="000159A6">
              <w:rPr>
                <w:sz w:val="20"/>
                <w:szCs w:val="20"/>
              </w:rPr>
              <w:t xml:space="preserve"> </w:t>
            </w:r>
            <w:r w:rsidRPr="001C0E49">
              <w:rPr>
                <w:sz w:val="20"/>
                <w:szCs w:val="20"/>
              </w:rPr>
              <w:t>20/10/2017</w:t>
            </w:r>
          </w:p>
        </w:tc>
        <w:tc>
          <w:tcPr>
            <w:tcW w:w="4187" w:type="dxa"/>
          </w:tcPr>
          <w:p w14:paraId="7B1326EC" w14:textId="1F4650D4" w:rsidR="001C0E49" w:rsidRPr="001C0E49" w:rsidRDefault="00FF12AA" w:rsidP="00335BC5">
            <w:pPr>
              <w:ind w:left="0" w:right="0"/>
              <w:rPr>
                <w:sz w:val="20"/>
                <w:szCs w:val="20"/>
              </w:rPr>
            </w:pPr>
            <w:r>
              <w:rPr>
                <w:sz w:val="20"/>
                <w:szCs w:val="20"/>
              </w:rPr>
              <w:t>Shingrix</w:t>
            </w:r>
            <w:r w:rsidR="000159A6">
              <w:rPr>
                <w:sz w:val="20"/>
                <w:szCs w:val="20"/>
              </w:rPr>
              <w:t xml:space="preserve"> </w:t>
            </w:r>
            <w:r w:rsidR="00335BC5">
              <w:rPr>
                <w:sz w:val="20"/>
                <w:szCs w:val="20"/>
              </w:rPr>
              <w:t>is</w:t>
            </w:r>
            <w:r w:rsidR="000159A6">
              <w:rPr>
                <w:sz w:val="20"/>
                <w:szCs w:val="20"/>
              </w:rPr>
              <w:t xml:space="preserve"> </w:t>
            </w:r>
            <w:r w:rsidR="00335BC5">
              <w:rPr>
                <w:sz w:val="20"/>
                <w:szCs w:val="20"/>
              </w:rPr>
              <w:t>a</w:t>
            </w:r>
            <w:r w:rsidR="000159A6">
              <w:rPr>
                <w:sz w:val="20"/>
                <w:szCs w:val="20"/>
              </w:rPr>
              <w:t xml:space="preserve"> </w:t>
            </w:r>
            <w:r w:rsidR="00335BC5">
              <w:rPr>
                <w:sz w:val="20"/>
                <w:szCs w:val="20"/>
              </w:rPr>
              <w:t>vaccine</w:t>
            </w:r>
            <w:r w:rsidR="000159A6">
              <w:rPr>
                <w:sz w:val="20"/>
                <w:szCs w:val="20"/>
              </w:rPr>
              <w:t xml:space="preserve"> </w:t>
            </w:r>
            <w:r w:rsidR="00335BC5">
              <w:rPr>
                <w:sz w:val="20"/>
                <w:szCs w:val="20"/>
              </w:rPr>
              <w:t>indicated</w:t>
            </w:r>
            <w:r w:rsidR="000159A6">
              <w:rPr>
                <w:sz w:val="20"/>
                <w:szCs w:val="20"/>
              </w:rPr>
              <w:t xml:space="preserve"> </w:t>
            </w:r>
            <w:r w:rsidR="00335BC5">
              <w:rPr>
                <w:sz w:val="20"/>
                <w:szCs w:val="20"/>
              </w:rPr>
              <w:t>for</w:t>
            </w:r>
            <w:r w:rsidR="000159A6">
              <w:rPr>
                <w:sz w:val="20"/>
                <w:szCs w:val="20"/>
              </w:rPr>
              <w:t xml:space="preserve"> </w:t>
            </w:r>
            <w:r w:rsidR="001C0E49" w:rsidRPr="001C0E49">
              <w:rPr>
                <w:sz w:val="20"/>
                <w:szCs w:val="20"/>
              </w:rPr>
              <w:t>prevention</w:t>
            </w:r>
            <w:r w:rsidR="000159A6">
              <w:rPr>
                <w:sz w:val="20"/>
                <w:szCs w:val="20"/>
              </w:rPr>
              <w:t xml:space="preserve"> </w:t>
            </w:r>
            <w:r w:rsidR="00335BC5">
              <w:rPr>
                <w:sz w:val="20"/>
                <w:szCs w:val="20"/>
              </w:rPr>
              <w:t>of</w:t>
            </w:r>
            <w:r w:rsidR="000159A6">
              <w:rPr>
                <w:sz w:val="20"/>
                <w:szCs w:val="20"/>
              </w:rPr>
              <w:t xml:space="preserve"> </w:t>
            </w:r>
            <w:r w:rsidR="00335BC5">
              <w:rPr>
                <w:sz w:val="20"/>
                <w:szCs w:val="20"/>
              </w:rPr>
              <w:t>herpes</w:t>
            </w:r>
            <w:r w:rsidR="000159A6">
              <w:rPr>
                <w:sz w:val="20"/>
                <w:szCs w:val="20"/>
              </w:rPr>
              <w:t xml:space="preserve"> </w:t>
            </w:r>
            <w:r w:rsidR="00335BC5">
              <w:rPr>
                <w:sz w:val="20"/>
                <w:szCs w:val="20"/>
              </w:rPr>
              <w:t>zoster</w:t>
            </w:r>
            <w:r w:rsidR="000159A6">
              <w:rPr>
                <w:sz w:val="20"/>
                <w:szCs w:val="20"/>
              </w:rPr>
              <w:t xml:space="preserve"> </w:t>
            </w:r>
            <w:r w:rsidR="00335BC5">
              <w:rPr>
                <w:sz w:val="20"/>
                <w:szCs w:val="20"/>
              </w:rPr>
              <w:t>(shingles)</w:t>
            </w:r>
            <w:r w:rsidR="000159A6">
              <w:rPr>
                <w:sz w:val="20"/>
                <w:szCs w:val="20"/>
              </w:rPr>
              <w:t xml:space="preserve"> </w:t>
            </w:r>
            <w:r w:rsidR="00335BC5">
              <w:rPr>
                <w:sz w:val="20"/>
                <w:szCs w:val="20"/>
              </w:rPr>
              <w:t>in</w:t>
            </w:r>
            <w:r w:rsidR="000159A6">
              <w:rPr>
                <w:sz w:val="20"/>
                <w:szCs w:val="20"/>
              </w:rPr>
              <w:t xml:space="preserve"> </w:t>
            </w:r>
            <w:r w:rsidR="001C0E49" w:rsidRPr="001C0E49">
              <w:rPr>
                <w:sz w:val="20"/>
                <w:szCs w:val="20"/>
              </w:rPr>
              <w:t>adults</w:t>
            </w:r>
            <w:r w:rsidR="000159A6">
              <w:rPr>
                <w:sz w:val="20"/>
                <w:szCs w:val="20"/>
              </w:rPr>
              <w:t xml:space="preserve"> </w:t>
            </w:r>
            <w:r w:rsidR="001C0E49" w:rsidRPr="001C0E49">
              <w:rPr>
                <w:sz w:val="20"/>
                <w:szCs w:val="20"/>
              </w:rPr>
              <w:t>aged</w:t>
            </w:r>
            <w:r w:rsidR="000159A6">
              <w:rPr>
                <w:sz w:val="20"/>
                <w:szCs w:val="20"/>
              </w:rPr>
              <w:t xml:space="preserve"> </w:t>
            </w:r>
            <w:r w:rsidR="001C0E49" w:rsidRPr="001C0E49">
              <w:rPr>
                <w:sz w:val="20"/>
                <w:szCs w:val="20"/>
              </w:rPr>
              <w:t>50</w:t>
            </w:r>
            <w:r w:rsidR="000159A6">
              <w:rPr>
                <w:sz w:val="20"/>
                <w:szCs w:val="20"/>
              </w:rPr>
              <w:t xml:space="preserve"> </w:t>
            </w:r>
            <w:r w:rsidR="001C0E49" w:rsidRPr="001C0E49">
              <w:rPr>
                <w:sz w:val="20"/>
                <w:szCs w:val="20"/>
              </w:rPr>
              <w:t>years</w:t>
            </w:r>
            <w:r w:rsidR="000159A6">
              <w:rPr>
                <w:sz w:val="20"/>
                <w:szCs w:val="20"/>
              </w:rPr>
              <w:t xml:space="preserve"> </w:t>
            </w:r>
            <w:r w:rsidR="001C0E49" w:rsidRPr="001C0E49">
              <w:rPr>
                <w:sz w:val="20"/>
                <w:szCs w:val="20"/>
              </w:rPr>
              <w:t>and</w:t>
            </w:r>
            <w:r w:rsidR="000159A6">
              <w:rPr>
                <w:sz w:val="20"/>
                <w:szCs w:val="20"/>
              </w:rPr>
              <w:t xml:space="preserve"> </w:t>
            </w:r>
            <w:r w:rsidR="001C0E49" w:rsidRPr="001C0E49">
              <w:rPr>
                <w:sz w:val="20"/>
                <w:szCs w:val="20"/>
              </w:rPr>
              <w:t>older.</w:t>
            </w:r>
          </w:p>
          <w:p w14:paraId="406DA357" w14:textId="0E64DF1D" w:rsidR="001C0E49" w:rsidRPr="001C0E49" w:rsidRDefault="00335BC5" w:rsidP="00335BC5">
            <w:pPr>
              <w:ind w:left="0" w:right="0"/>
              <w:rPr>
                <w:sz w:val="20"/>
                <w:szCs w:val="20"/>
              </w:rPr>
            </w:pPr>
            <w:r>
              <w:rPr>
                <w:sz w:val="20"/>
                <w:szCs w:val="20"/>
              </w:rPr>
              <w:t>Limitations</w:t>
            </w:r>
            <w:r w:rsidR="000159A6">
              <w:rPr>
                <w:sz w:val="20"/>
                <w:szCs w:val="20"/>
              </w:rPr>
              <w:t xml:space="preserve"> </w:t>
            </w:r>
            <w:r>
              <w:rPr>
                <w:sz w:val="20"/>
                <w:szCs w:val="20"/>
              </w:rPr>
              <w:t>of</w:t>
            </w:r>
            <w:r w:rsidR="000159A6">
              <w:rPr>
                <w:sz w:val="20"/>
                <w:szCs w:val="20"/>
              </w:rPr>
              <w:t xml:space="preserve"> </w:t>
            </w:r>
            <w:r>
              <w:rPr>
                <w:sz w:val="20"/>
                <w:szCs w:val="20"/>
              </w:rPr>
              <w:t>Use</w:t>
            </w:r>
            <w:r w:rsidR="000159A6">
              <w:rPr>
                <w:sz w:val="20"/>
                <w:szCs w:val="20"/>
              </w:rPr>
              <w:t xml:space="preserve"> </w:t>
            </w:r>
            <w:r>
              <w:rPr>
                <w:sz w:val="20"/>
                <w:szCs w:val="20"/>
              </w:rPr>
              <w:t>(1):</w:t>
            </w:r>
            <w:r w:rsidR="000159A6">
              <w:rPr>
                <w:sz w:val="20"/>
                <w:szCs w:val="20"/>
              </w:rPr>
              <w:t xml:space="preserve"> </w:t>
            </w:r>
            <w:r w:rsidR="00FF12AA">
              <w:rPr>
                <w:sz w:val="20"/>
                <w:szCs w:val="20"/>
              </w:rPr>
              <w:t>Shingrix</w:t>
            </w:r>
            <w:r w:rsidR="000159A6">
              <w:rPr>
                <w:sz w:val="20"/>
                <w:szCs w:val="20"/>
              </w:rPr>
              <w:t xml:space="preserve"> </w:t>
            </w:r>
            <w:r>
              <w:rPr>
                <w:sz w:val="20"/>
                <w:szCs w:val="20"/>
              </w:rPr>
              <w:t>is</w:t>
            </w:r>
            <w:r w:rsidR="000159A6">
              <w:rPr>
                <w:sz w:val="20"/>
                <w:szCs w:val="20"/>
              </w:rPr>
              <w:t xml:space="preserve"> </w:t>
            </w:r>
            <w:r>
              <w:rPr>
                <w:sz w:val="20"/>
                <w:szCs w:val="20"/>
              </w:rPr>
              <w:t>not</w:t>
            </w:r>
            <w:r w:rsidR="000159A6">
              <w:rPr>
                <w:sz w:val="20"/>
                <w:szCs w:val="20"/>
              </w:rPr>
              <w:t xml:space="preserve"> </w:t>
            </w:r>
            <w:r>
              <w:rPr>
                <w:sz w:val="20"/>
                <w:szCs w:val="20"/>
              </w:rPr>
              <w:t>indicated</w:t>
            </w:r>
            <w:r w:rsidR="000159A6">
              <w:rPr>
                <w:sz w:val="20"/>
                <w:szCs w:val="20"/>
              </w:rPr>
              <w:t xml:space="preserve"> </w:t>
            </w:r>
            <w:r>
              <w:rPr>
                <w:sz w:val="20"/>
                <w:szCs w:val="20"/>
              </w:rPr>
              <w:t>for</w:t>
            </w:r>
            <w:r w:rsidR="000159A6">
              <w:rPr>
                <w:sz w:val="20"/>
                <w:szCs w:val="20"/>
              </w:rPr>
              <w:t xml:space="preserve"> </w:t>
            </w:r>
            <w:r w:rsidR="001C0E49" w:rsidRPr="001C0E49">
              <w:rPr>
                <w:sz w:val="20"/>
                <w:szCs w:val="20"/>
              </w:rPr>
              <w:t>prevention</w:t>
            </w:r>
            <w:r w:rsidR="000159A6">
              <w:rPr>
                <w:sz w:val="20"/>
                <w:szCs w:val="20"/>
              </w:rPr>
              <w:t xml:space="preserve"> </w:t>
            </w:r>
            <w:r>
              <w:rPr>
                <w:sz w:val="20"/>
                <w:szCs w:val="20"/>
              </w:rPr>
              <w:t>of</w:t>
            </w:r>
            <w:r w:rsidR="000159A6">
              <w:rPr>
                <w:sz w:val="20"/>
                <w:szCs w:val="20"/>
              </w:rPr>
              <w:t xml:space="preserve"> </w:t>
            </w:r>
            <w:r>
              <w:rPr>
                <w:sz w:val="20"/>
                <w:szCs w:val="20"/>
              </w:rPr>
              <w:t>primary</w:t>
            </w:r>
            <w:r w:rsidR="000159A6">
              <w:rPr>
                <w:sz w:val="20"/>
                <w:szCs w:val="20"/>
              </w:rPr>
              <w:t xml:space="preserve"> </w:t>
            </w:r>
            <w:r>
              <w:rPr>
                <w:sz w:val="20"/>
                <w:szCs w:val="20"/>
              </w:rPr>
              <w:t>varicella</w:t>
            </w:r>
            <w:r w:rsidR="000159A6">
              <w:rPr>
                <w:sz w:val="20"/>
                <w:szCs w:val="20"/>
              </w:rPr>
              <w:t xml:space="preserve"> </w:t>
            </w:r>
            <w:r>
              <w:rPr>
                <w:sz w:val="20"/>
                <w:szCs w:val="20"/>
              </w:rPr>
              <w:t>infection</w:t>
            </w:r>
            <w:r w:rsidR="000159A6">
              <w:rPr>
                <w:sz w:val="20"/>
                <w:szCs w:val="20"/>
              </w:rPr>
              <w:t xml:space="preserve"> </w:t>
            </w:r>
            <w:r w:rsidR="001C0E49" w:rsidRPr="001C0E49">
              <w:rPr>
                <w:sz w:val="20"/>
                <w:szCs w:val="20"/>
              </w:rPr>
              <w:t>(chickenpox).</w:t>
            </w:r>
          </w:p>
        </w:tc>
      </w:tr>
      <w:tr w:rsidR="001C0E49" w14:paraId="6B622AAA" w14:textId="77777777" w:rsidTr="00335BC5">
        <w:trPr>
          <w:trHeight w:val="139"/>
        </w:trPr>
        <w:tc>
          <w:tcPr>
            <w:tcW w:w="2093" w:type="dxa"/>
          </w:tcPr>
          <w:p w14:paraId="3393CEAF" w14:textId="77777777" w:rsidR="001C0E49" w:rsidRPr="001C0E49" w:rsidRDefault="001C0E49" w:rsidP="00335BC5">
            <w:pPr>
              <w:ind w:left="0" w:right="0"/>
              <w:rPr>
                <w:sz w:val="20"/>
                <w:szCs w:val="20"/>
              </w:rPr>
            </w:pPr>
            <w:r w:rsidRPr="001C0E49">
              <w:rPr>
                <w:sz w:val="20"/>
                <w:szCs w:val="20"/>
              </w:rPr>
              <w:t>Canada</w:t>
            </w:r>
          </w:p>
        </w:tc>
        <w:tc>
          <w:tcPr>
            <w:tcW w:w="2093" w:type="dxa"/>
          </w:tcPr>
          <w:p w14:paraId="75189D8F" w14:textId="1CF12DE1" w:rsidR="001C0E49" w:rsidRPr="001C0E49" w:rsidRDefault="001C0E49" w:rsidP="00335BC5">
            <w:pPr>
              <w:ind w:left="0" w:right="0"/>
              <w:rPr>
                <w:sz w:val="20"/>
                <w:szCs w:val="20"/>
              </w:rPr>
            </w:pPr>
            <w:r w:rsidRPr="001C0E49">
              <w:rPr>
                <w:sz w:val="20"/>
                <w:szCs w:val="20"/>
              </w:rPr>
              <w:t>Submission:</w:t>
            </w:r>
            <w:r w:rsidR="000159A6">
              <w:rPr>
                <w:sz w:val="20"/>
                <w:szCs w:val="20"/>
              </w:rPr>
              <w:t xml:space="preserve"> </w:t>
            </w:r>
            <w:r w:rsidRPr="001C0E49">
              <w:rPr>
                <w:sz w:val="20"/>
                <w:szCs w:val="20"/>
              </w:rPr>
              <w:t>14/11/2016</w:t>
            </w:r>
          </w:p>
          <w:p w14:paraId="7A5346FC" w14:textId="3B774BFC" w:rsidR="001C0E49" w:rsidRPr="001C0E49" w:rsidRDefault="001C0E49" w:rsidP="00335BC5">
            <w:pPr>
              <w:ind w:left="0" w:right="0"/>
              <w:rPr>
                <w:sz w:val="20"/>
                <w:szCs w:val="20"/>
              </w:rPr>
            </w:pPr>
            <w:r w:rsidRPr="001C0E49">
              <w:rPr>
                <w:sz w:val="20"/>
                <w:szCs w:val="20"/>
              </w:rPr>
              <w:t>Approval:</w:t>
            </w:r>
            <w:r w:rsidR="000159A6">
              <w:rPr>
                <w:sz w:val="20"/>
                <w:szCs w:val="20"/>
              </w:rPr>
              <w:t xml:space="preserve"> </w:t>
            </w:r>
            <w:r w:rsidRPr="001C0E49">
              <w:rPr>
                <w:sz w:val="20"/>
                <w:szCs w:val="20"/>
              </w:rPr>
              <w:t>13/10/2017</w:t>
            </w:r>
          </w:p>
        </w:tc>
        <w:tc>
          <w:tcPr>
            <w:tcW w:w="4187" w:type="dxa"/>
          </w:tcPr>
          <w:p w14:paraId="273C7B42" w14:textId="091FA8E8" w:rsidR="001C0E49" w:rsidRPr="001C0E49" w:rsidRDefault="00FF12AA" w:rsidP="00335BC5">
            <w:pPr>
              <w:ind w:left="0" w:right="0"/>
              <w:rPr>
                <w:sz w:val="20"/>
                <w:szCs w:val="20"/>
              </w:rPr>
            </w:pPr>
            <w:r>
              <w:rPr>
                <w:sz w:val="20"/>
                <w:szCs w:val="20"/>
              </w:rPr>
              <w:t>Shingrix</w:t>
            </w:r>
            <w:r w:rsidR="000159A6">
              <w:rPr>
                <w:sz w:val="20"/>
                <w:szCs w:val="20"/>
              </w:rPr>
              <w:t xml:space="preserve"> </w:t>
            </w:r>
            <w:r w:rsidR="00335BC5">
              <w:rPr>
                <w:sz w:val="20"/>
                <w:szCs w:val="20"/>
              </w:rPr>
              <w:t>is</w:t>
            </w:r>
            <w:r w:rsidR="000159A6">
              <w:rPr>
                <w:sz w:val="20"/>
                <w:szCs w:val="20"/>
              </w:rPr>
              <w:t xml:space="preserve"> </w:t>
            </w:r>
            <w:r w:rsidR="00335BC5">
              <w:rPr>
                <w:sz w:val="20"/>
                <w:szCs w:val="20"/>
              </w:rPr>
              <w:t>indicated</w:t>
            </w:r>
            <w:r w:rsidR="000159A6">
              <w:rPr>
                <w:sz w:val="20"/>
                <w:szCs w:val="20"/>
              </w:rPr>
              <w:t xml:space="preserve"> </w:t>
            </w:r>
            <w:r w:rsidR="00335BC5">
              <w:rPr>
                <w:sz w:val="20"/>
                <w:szCs w:val="20"/>
              </w:rPr>
              <w:t>for</w:t>
            </w:r>
            <w:r w:rsidR="000159A6">
              <w:rPr>
                <w:sz w:val="20"/>
                <w:szCs w:val="20"/>
              </w:rPr>
              <w:t xml:space="preserve"> </w:t>
            </w:r>
            <w:r w:rsidR="00335BC5">
              <w:rPr>
                <w:sz w:val="20"/>
                <w:szCs w:val="20"/>
              </w:rPr>
              <w:t>prevention</w:t>
            </w:r>
            <w:r w:rsidR="000159A6">
              <w:rPr>
                <w:sz w:val="20"/>
                <w:szCs w:val="20"/>
              </w:rPr>
              <w:t xml:space="preserve"> </w:t>
            </w:r>
            <w:r w:rsidR="00335BC5">
              <w:rPr>
                <w:sz w:val="20"/>
                <w:szCs w:val="20"/>
              </w:rPr>
              <w:t>of</w:t>
            </w:r>
            <w:r w:rsidR="000159A6">
              <w:rPr>
                <w:sz w:val="20"/>
                <w:szCs w:val="20"/>
              </w:rPr>
              <w:t xml:space="preserve"> </w:t>
            </w:r>
            <w:r w:rsidR="001C0E49" w:rsidRPr="001C0E49">
              <w:rPr>
                <w:sz w:val="20"/>
                <w:szCs w:val="20"/>
              </w:rPr>
              <w:t>herpes</w:t>
            </w:r>
            <w:r w:rsidR="000159A6">
              <w:rPr>
                <w:sz w:val="20"/>
                <w:szCs w:val="20"/>
              </w:rPr>
              <w:t xml:space="preserve"> </w:t>
            </w:r>
            <w:r w:rsidR="001C0E49" w:rsidRPr="001C0E49">
              <w:rPr>
                <w:sz w:val="20"/>
                <w:szCs w:val="20"/>
              </w:rPr>
              <w:t>zos</w:t>
            </w:r>
            <w:r w:rsidR="00335BC5">
              <w:rPr>
                <w:sz w:val="20"/>
                <w:szCs w:val="20"/>
              </w:rPr>
              <w:t>ter</w:t>
            </w:r>
            <w:r w:rsidR="000159A6">
              <w:rPr>
                <w:sz w:val="20"/>
                <w:szCs w:val="20"/>
              </w:rPr>
              <w:t xml:space="preserve"> </w:t>
            </w:r>
            <w:r w:rsidR="00335BC5">
              <w:rPr>
                <w:sz w:val="20"/>
                <w:szCs w:val="20"/>
              </w:rPr>
              <w:t>(HZ,</w:t>
            </w:r>
            <w:r w:rsidR="000159A6">
              <w:rPr>
                <w:sz w:val="20"/>
                <w:szCs w:val="20"/>
              </w:rPr>
              <w:t xml:space="preserve"> </w:t>
            </w:r>
            <w:r w:rsidR="00335BC5">
              <w:rPr>
                <w:sz w:val="20"/>
                <w:szCs w:val="20"/>
              </w:rPr>
              <w:t>or</w:t>
            </w:r>
            <w:r w:rsidR="000159A6">
              <w:rPr>
                <w:sz w:val="20"/>
                <w:szCs w:val="20"/>
              </w:rPr>
              <w:t xml:space="preserve"> </w:t>
            </w:r>
            <w:r w:rsidR="00335BC5">
              <w:rPr>
                <w:sz w:val="20"/>
                <w:szCs w:val="20"/>
              </w:rPr>
              <w:t>shingles)</w:t>
            </w:r>
            <w:r w:rsidR="000159A6">
              <w:rPr>
                <w:sz w:val="20"/>
                <w:szCs w:val="20"/>
              </w:rPr>
              <w:t xml:space="preserve"> </w:t>
            </w:r>
            <w:r w:rsidR="00335BC5">
              <w:rPr>
                <w:sz w:val="20"/>
                <w:szCs w:val="20"/>
              </w:rPr>
              <w:t>in</w:t>
            </w:r>
            <w:r w:rsidR="000159A6">
              <w:rPr>
                <w:sz w:val="20"/>
                <w:szCs w:val="20"/>
              </w:rPr>
              <w:t xml:space="preserve"> </w:t>
            </w:r>
            <w:r w:rsidR="00335BC5">
              <w:rPr>
                <w:sz w:val="20"/>
                <w:szCs w:val="20"/>
              </w:rPr>
              <w:t>adults</w:t>
            </w:r>
            <w:r w:rsidR="000159A6">
              <w:rPr>
                <w:sz w:val="20"/>
                <w:szCs w:val="20"/>
              </w:rPr>
              <w:t xml:space="preserve"> </w:t>
            </w:r>
            <w:r w:rsidR="001C0E49" w:rsidRPr="001C0E49">
              <w:rPr>
                <w:sz w:val="20"/>
                <w:szCs w:val="20"/>
              </w:rPr>
              <w:t>50</w:t>
            </w:r>
            <w:r w:rsidR="000159A6">
              <w:rPr>
                <w:sz w:val="20"/>
                <w:szCs w:val="20"/>
              </w:rPr>
              <w:t xml:space="preserve"> </w:t>
            </w:r>
            <w:r w:rsidR="001C0E49" w:rsidRPr="001C0E49">
              <w:rPr>
                <w:sz w:val="20"/>
                <w:szCs w:val="20"/>
              </w:rPr>
              <w:t>year</w:t>
            </w:r>
            <w:r w:rsidR="00335BC5">
              <w:rPr>
                <w:sz w:val="20"/>
                <w:szCs w:val="20"/>
              </w:rPr>
              <w:t>s</w:t>
            </w:r>
            <w:r w:rsidR="000159A6">
              <w:rPr>
                <w:sz w:val="20"/>
                <w:szCs w:val="20"/>
              </w:rPr>
              <w:t xml:space="preserve"> </w:t>
            </w:r>
            <w:r w:rsidR="00335BC5">
              <w:rPr>
                <w:sz w:val="20"/>
                <w:szCs w:val="20"/>
              </w:rPr>
              <w:t>of</w:t>
            </w:r>
            <w:r w:rsidR="000159A6">
              <w:rPr>
                <w:sz w:val="20"/>
                <w:szCs w:val="20"/>
              </w:rPr>
              <w:t xml:space="preserve"> </w:t>
            </w:r>
            <w:r w:rsidR="00335BC5">
              <w:rPr>
                <w:sz w:val="20"/>
                <w:szCs w:val="20"/>
              </w:rPr>
              <w:t>age</w:t>
            </w:r>
            <w:r w:rsidR="000159A6">
              <w:rPr>
                <w:sz w:val="20"/>
                <w:szCs w:val="20"/>
              </w:rPr>
              <w:t xml:space="preserve"> </w:t>
            </w:r>
            <w:r w:rsidR="00335BC5">
              <w:rPr>
                <w:sz w:val="20"/>
                <w:szCs w:val="20"/>
              </w:rPr>
              <w:t>or</w:t>
            </w:r>
            <w:r w:rsidR="000159A6">
              <w:rPr>
                <w:sz w:val="20"/>
                <w:szCs w:val="20"/>
              </w:rPr>
              <w:t xml:space="preserve"> </w:t>
            </w:r>
            <w:r w:rsidR="00335BC5">
              <w:rPr>
                <w:sz w:val="20"/>
                <w:szCs w:val="20"/>
              </w:rPr>
              <w:t>older</w:t>
            </w:r>
            <w:r w:rsidR="000159A6">
              <w:rPr>
                <w:sz w:val="20"/>
                <w:szCs w:val="20"/>
              </w:rPr>
              <w:t xml:space="preserve"> </w:t>
            </w:r>
            <w:r w:rsidR="00335BC5">
              <w:rPr>
                <w:sz w:val="20"/>
                <w:szCs w:val="20"/>
              </w:rPr>
              <w:t>(see</w:t>
            </w:r>
            <w:r w:rsidR="000159A6">
              <w:rPr>
                <w:sz w:val="20"/>
                <w:szCs w:val="20"/>
              </w:rPr>
              <w:t xml:space="preserve"> </w:t>
            </w:r>
            <w:r w:rsidR="00335BC5">
              <w:rPr>
                <w:sz w:val="20"/>
                <w:szCs w:val="20"/>
              </w:rPr>
              <w:t>Clinical</w:t>
            </w:r>
            <w:r w:rsidR="000159A6">
              <w:rPr>
                <w:sz w:val="20"/>
                <w:szCs w:val="20"/>
              </w:rPr>
              <w:t xml:space="preserve"> </w:t>
            </w:r>
            <w:r w:rsidR="001C0E49" w:rsidRPr="001C0E49">
              <w:rPr>
                <w:sz w:val="20"/>
                <w:szCs w:val="20"/>
              </w:rPr>
              <w:t>Trials</w:t>
            </w:r>
            <w:r w:rsidR="000159A6">
              <w:rPr>
                <w:sz w:val="20"/>
                <w:szCs w:val="20"/>
              </w:rPr>
              <w:t xml:space="preserve"> </w:t>
            </w:r>
            <w:r w:rsidR="001C0E49" w:rsidRPr="001C0E49">
              <w:rPr>
                <w:sz w:val="20"/>
                <w:szCs w:val="20"/>
              </w:rPr>
              <w:t>section).</w:t>
            </w:r>
          </w:p>
        </w:tc>
      </w:tr>
      <w:tr w:rsidR="001C0E49" w14:paraId="560C82F3" w14:textId="77777777" w:rsidTr="00335BC5">
        <w:trPr>
          <w:trHeight w:val="139"/>
        </w:trPr>
        <w:tc>
          <w:tcPr>
            <w:tcW w:w="2093" w:type="dxa"/>
          </w:tcPr>
          <w:p w14:paraId="7AF410CD" w14:textId="77777777" w:rsidR="001C0E49" w:rsidRPr="001C0E49" w:rsidRDefault="001C0E49" w:rsidP="00335BC5">
            <w:pPr>
              <w:ind w:left="0" w:right="0"/>
              <w:rPr>
                <w:sz w:val="20"/>
                <w:szCs w:val="20"/>
              </w:rPr>
            </w:pPr>
            <w:r w:rsidRPr="001C0E49">
              <w:rPr>
                <w:sz w:val="20"/>
                <w:szCs w:val="20"/>
              </w:rPr>
              <w:t>Japan</w:t>
            </w:r>
          </w:p>
        </w:tc>
        <w:tc>
          <w:tcPr>
            <w:tcW w:w="2093" w:type="dxa"/>
          </w:tcPr>
          <w:p w14:paraId="039361FC" w14:textId="673A2F8D" w:rsidR="001C0E49" w:rsidRPr="001C0E49" w:rsidRDefault="001C0E49" w:rsidP="00335BC5">
            <w:pPr>
              <w:ind w:left="0" w:right="0"/>
              <w:rPr>
                <w:sz w:val="20"/>
                <w:szCs w:val="20"/>
              </w:rPr>
            </w:pPr>
            <w:r w:rsidRPr="001C0E49">
              <w:rPr>
                <w:sz w:val="20"/>
                <w:szCs w:val="20"/>
              </w:rPr>
              <w:t>Submission:</w:t>
            </w:r>
            <w:r w:rsidR="000159A6">
              <w:rPr>
                <w:sz w:val="20"/>
                <w:szCs w:val="20"/>
              </w:rPr>
              <w:t xml:space="preserve"> </w:t>
            </w:r>
            <w:r w:rsidRPr="001C0E49">
              <w:rPr>
                <w:sz w:val="20"/>
                <w:szCs w:val="20"/>
              </w:rPr>
              <w:t>18/04/2017</w:t>
            </w:r>
          </w:p>
          <w:p w14:paraId="72B7E7E4" w14:textId="199FED36" w:rsidR="001C0E49" w:rsidRPr="001C0E49" w:rsidRDefault="001C0E49" w:rsidP="00335BC5">
            <w:pPr>
              <w:ind w:left="0" w:right="0"/>
              <w:rPr>
                <w:sz w:val="20"/>
                <w:szCs w:val="20"/>
              </w:rPr>
            </w:pPr>
            <w:r w:rsidRPr="001C0E49">
              <w:rPr>
                <w:sz w:val="20"/>
                <w:szCs w:val="20"/>
              </w:rPr>
              <w:t>Approval:</w:t>
            </w:r>
            <w:r w:rsidR="000159A6">
              <w:rPr>
                <w:sz w:val="20"/>
                <w:szCs w:val="20"/>
              </w:rPr>
              <w:t xml:space="preserve"> </w:t>
            </w:r>
            <w:r w:rsidRPr="001C0E49">
              <w:rPr>
                <w:sz w:val="20"/>
                <w:szCs w:val="20"/>
              </w:rPr>
              <w:t>23/03/2018</w:t>
            </w:r>
          </w:p>
        </w:tc>
        <w:tc>
          <w:tcPr>
            <w:tcW w:w="4187" w:type="dxa"/>
          </w:tcPr>
          <w:p w14:paraId="537F5536" w14:textId="493F44BB" w:rsidR="001C0E49" w:rsidRPr="001C0E49" w:rsidRDefault="001C0E49" w:rsidP="00335BC5">
            <w:pPr>
              <w:ind w:left="0" w:right="0"/>
              <w:rPr>
                <w:sz w:val="20"/>
                <w:szCs w:val="20"/>
              </w:rPr>
            </w:pPr>
            <w:r w:rsidRPr="001C0E49">
              <w:rPr>
                <w:sz w:val="20"/>
                <w:szCs w:val="20"/>
              </w:rPr>
              <w:t>Prevention</w:t>
            </w:r>
            <w:r w:rsidR="000159A6">
              <w:rPr>
                <w:sz w:val="20"/>
                <w:szCs w:val="20"/>
              </w:rPr>
              <w:t xml:space="preserve"> </w:t>
            </w:r>
            <w:r w:rsidRPr="001C0E49">
              <w:rPr>
                <w:sz w:val="20"/>
                <w:szCs w:val="20"/>
              </w:rPr>
              <w:t>of</w:t>
            </w:r>
            <w:r w:rsidR="000159A6">
              <w:rPr>
                <w:sz w:val="20"/>
                <w:szCs w:val="20"/>
              </w:rPr>
              <w:t xml:space="preserve"> </w:t>
            </w:r>
            <w:r w:rsidRPr="001C0E49">
              <w:rPr>
                <w:sz w:val="20"/>
                <w:szCs w:val="20"/>
              </w:rPr>
              <w:t>herpes</w:t>
            </w:r>
            <w:r w:rsidR="000159A6">
              <w:rPr>
                <w:sz w:val="20"/>
                <w:szCs w:val="20"/>
              </w:rPr>
              <w:t xml:space="preserve"> </w:t>
            </w:r>
            <w:r w:rsidRPr="001C0E49">
              <w:rPr>
                <w:sz w:val="20"/>
                <w:szCs w:val="20"/>
              </w:rPr>
              <w:t>zoster</w:t>
            </w:r>
            <w:r w:rsidR="000159A6">
              <w:rPr>
                <w:sz w:val="20"/>
                <w:szCs w:val="20"/>
              </w:rPr>
              <w:t xml:space="preserve"> </w:t>
            </w:r>
            <w:r w:rsidRPr="001C0E49">
              <w:rPr>
                <w:sz w:val="20"/>
                <w:szCs w:val="20"/>
              </w:rPr>
              <w:t>(HZ</w:t>
            </w:r>
            <w:r w:rsidR="00335BC5">
              <w:rPr>
                <w:sz w:val="20"/>
                <w:szCs w:val="20"/>
              </w:rPr>
              <w:t>)</w:t>
            </w:r>
          </w:p>
          <w:p w14:paraId="77D1938D" w14:textId="4C59060F" w:rsidR="001C0E49" w:rsidRPr="001C0E49" w:rsidRDefault="001C0E49" w:rsidP="00335BC5">
            <w:pPr>
              <w:ind w:left="0" w:right="0"/>
              <w:rPr>
                <w:sz w:val="20"/>
                <w:szCs w:val="20"/>
              </w:rPr>
            </w:pPr>
            <w:r w:rsidRPr="001C0E49">
              <w:rPr>
                <w:sz w:val="20"/>
                <w:szCs w:val="20"/>
              </w:rPr>
              <w:t>Pr</w:t>
            </w:r>
            <w:r w:rsidR="00335BC5">
              <w:rPr>
                <w:sz w:val="20"/>
                <w:szCs w:val="20"/>
              </w:rPr>
              <w:t>ecaution</w:t>
            </w:r>
            <w:r w:rsidR="000159A6">
              <w:rPr>
                <w:sz w:val="20"/>
                <w:szCs w:val="20"/>
              </w:rPr>
              <w:t xml:space="preserve"> </w:t>
            </w:r>
            <w:r w:rsidR="00335BC5">
              <w:rPr>
                <w:sz w:val="20"/>
                <w:szCs w:val="20"/>
              </w:rPr>
              <w:t>(s)</w:t>
            </w:r>
            <w:r w:rsidR="000159A6">
              <w:rPr>
                <w:sz w:val="20"/>
                <w:szCs w:val="20"/>
              </w:rPr>
              <w:t xml:space="preserve"> </w:t>
            </w:r>
            <w:r w:rsidR="00335BC5">
              <w:rPr>
                <w:sz w:val="20"/>
                <w:szCs w:val="20"/>
              </w:rPr>
              <w:t>for</w:t>
            </w:r>
            <w:r w:rsidR="000159A6">
              <w:rPr>
                <w:sz w:val="20"/>
                <w:szCs w:val="20"/>
              </w:rPr>
              <w:t xml:space="preserve"> </w:t>
            </w:r>
            <w:r w:rsidR="00335BC5">
              <w:rPr>
                <w:sz w:val="20"/>
                <w:szCs w:val="20"/>
              </w:rPr>
              <w:t>indication</w:t>
            </w:r>
            <w:r w:rsidR="000159A6">
              <w:rPr>
                <w:sz w:val="20"/>
                <w:szCs w:val="20"/>
              </w:rPr>
              <w:t xml:space="preserve"> </w:t>
            </w:r>
            <w:r w:rsidR="00335BC5">
              <w:rPr>
                <w:sz w:val="20"/>
                <w:szCs w:val="20"/>
              </w:rPr>
              <w:t>(s)</w:t>
            </w:r>
            <w:r w:rsidR="000159A6">
              <w:rPr>
                <w:sz w:val="20"/>
                <w:szCs w:val="20"/>
              </w:rPr>
              <w:t xml:space="preserve"> </w:t>
            </w:r>
            <w:r w:rsidRPr="001C0E49">
              <w:rPr>
                <w:sz w:val="20"/>
                <w:szCs w:val="20"/>
              </w:rPr>
              <w:t>This</w:t>
            </w:r>
            <w:r w:rsidR="000159A6">
              <w:rPr>
                <w:sz w:val="20"/>
                <w:szCs w:val="20"/>
              </w:rPr>
              <w:t xml:space="preserve"> </w:t>
            </w:r>
            <w:r w:rsidR="00335BC5">
              <w:rPr>
                <w:sz w:val="20"/>
                <w:szCs w:val="20"/>
              </w:rPr>
              <w:t>vaccine</w:t>
            </w:r>
            <w:r w:rsidR="000159A6">
              <w:rPr>
                <w:sz w:val="20"/>
                <w:szCs w:val="20"/>
              </w:rPr>
              <w:t xml:space="preserve"> </w:t>
            </w:r>
            <w:r w:rsidR="00335BC5">
              <w:rPr>
                <w:sz w:val="20"/>
                <w:szCs w:val="20"/>
              </w:rPr>
              <w:t>should</w:t>
            </w:r>
            <w:r w:rsidR="000159A6">
              <w:rPr>
                <w:sz w:val="20"/>
                <w:szCs w:val="20"/>
              </w:rPr>
              <w:t xml:space="preserve"> </w:t>
            </w:r>
            <w:r w:rsidR="00335BC5">
              <w:rPr>
                <w:sz w:val="20"/>
                <w:szCs w:val="20"/>
              </w:rPr>
              <w:t>not</w:t>
            </w:r>
            <w:r w:rsidR="000159A6">
              <w:rPr>
                <w:sz w:val="20"/>
                <w:szCs w:val="20"/>
              </w:rPr>
              <w:t xml:space="preserve"> </w:t>
            </w:r>
            <w:r w:rsidR="00335BC5">
              <w:rPr>
                <w:sz w:val="20"/>
                <w:szCs w:val="20"/>
              </w:rPr>
              <w:t>be</w:t>
            </w:r>
            <w:r w:rsidR="000159A6">
              <w:rPr>
                <w:sz w:val="20"/>
                <w:szCs w:val="20"/>
              </w:rPr>
              <w:t xml:space="preserve"> </w:t>
            </w:r>
            <w:r w:rsidRPr="001C0E49">
              <w:rPr>
                <w:sz w:val="20"/>
                <w:szCs w:val="20"/>
              </w:rPr>
              <w:t>admi</w:t>
            </w:r>
            <w:r w:rsidR="00335BC5">
              <w:rPr>
                <w:sz w:val="20"/>
                <w:szCs w:val="20"/>
              </w:rPr>
              <w:t>nistered</w:t>
            </w:r>
            <w:r w:rsidR="000159A6">
              <w:rPr>
                <w:sz w:val="20"/>
                <w:szCs w:val="20"/>
              </w:rPr>
              <w:t xml:space="preserve"> </w:t>
            </w:r>
            <w:r w:rsidR="00335BC5">
              <w:rPr>
                <w:sz w:val="20"/>
                <w:szCs w:val="20"/>
              </w:rPr>
              <w:t>as</w:t>
            </w:r>
            <w:r w:rsidR="000159A6">
              <w:rPr>
                <w:sz w:val="20"/>
                <w:szCs w:val="20"/>
              </w:rPr>
              <w:t xml:space="preserve"> </w:t>
            </w:r>
            <w:r w:rsidR="00335BC5">
              <w:rPr>
                <w:sz w:val="20"/>
                <w:szCs w:val="20"/>
              </w:rPr>
              <w:t>a</w:t>
            </w:r>
            <w:r w:rsidR="000159A6">
              <w:rPr>
                <w:sz w:val="20"/>
                <w:szCs w:val="20"/>
              </w:rPr>
              <w:t xml:space="preserve"> </w:t>
            </w:r>
            <w:r w:rsidR="00335BC5">
              <w:rPr>
                <w:sz w:val="20"/>
                <w:szCs w:val="20"/>
              </w:rPr>
              <w:t>varicella</w:t>
            </w:r>
            <w:r w:rsidR="000159A6">
              <w:rPr>
                <w:sz w:val="20"/>
                <w:szCs w:val="20"/>
              </w:rPr>
              <w:t xml:space="preserve"> </w:t>
            </w:r>
            <w:r w:rsidR="00335BC5">
              <w:rPr>
                <w:sz w:val="20"/>
                <w:szCs w:val="20"/>
              </w:rPr>
              <w:t>vaccine</w:t>
            </w:r>
            <w:r w:rsidR="000159A6">
              <w:rPr>
                <w:sz w:val="20"/>
                <w:szCs w:val="20"/>
              </w:rPr>
              <w:t xml:space="preserve"> </w:t>
            </w:r>
            <w:r w:rsidRPr="001C0E49">
              <w:rPr>
                <w:sz w:val="20"/>
                <w:szCs w:val="20"/>
              </w:rPr>
              <w:t>base</w:t>
            </w:r>
            <w:r w:rsidR="00335BC5">
              <w:rPr>
                <w:sz w:val="20"/>
                <w:szCs w:val="20"/>
              </w:rPr>
              <w:t>d</w:t>
            </w:r>
            <w:r w:rsidR="000159A6">
              <w:rPr>
                <w:sz w:val="20"/>
                <w:szCs w:val="20"/>
              </w:rPr>
              <w:t xml:space="preserve"> </w:t>
            </w:r>
            <w:r w:rsidR="00335BC5">
              <w:rPr>
                <w:sz w:val="20"/>
                <w:szCs w:val="20"/>
              </w:rPr>
              <w:t>on</w:t>
            </w:r>
            <w:r w:rsidR="000159A6">
              <w:rPr>
                <w:sz w:val="20"/>
                <w:szCs w:val="20"/>
              </w:rPr>
              <w:t xml:space="preserve"> </w:t>
            </w:r>
            <w:r w:rsidR="00335BC5">
              <w:rPr>
                <w:sz w:val="20"/>
                <w:szCs w:val="20"/>
              </w:rPr>
              <w:t>the</w:t>
            </w:r>
            <w:r w:rsidR="000159A6">
              <w:rPr>
                <w:sz w:val="20"/>
                <w:szCs w:val="20"/>
              </w:rPr>
              <w:t xml:space="preserve"> </w:t>
            </w:r>
            <w:r w:rsidR="00335BC5">
              <w:rPr>
                <w:sz w:val="20"/>
                <w:szCs w:val="20"/>
              </w:rPr>
              <w:t>Preventive</w:t>
            </w:r>
            <w:r w:rsidR="000159A6">
              <w:rPr>
                <w:sz w:val="20"/>
                <w:szCs w:val="20"/>
              </w:rPr>
              <w:t xml:space="preserve"> </w:t>
            </w:r>
            <w:r w:rsidR="00335BC5">
              <w:rPr>
                <w:sz w:val="20"/>
                <w:szCs w:val="20"/>
              </w:rPr>
              <w:t>Vaccination</w:t>
            </w:r>
            <w:r w:rsidR="000159A6">
              <w:rPr>
                <w:sz w:val="20"/>
                <w:szCs w:val="20"/>
              </w:rPr>
              <w:t xml:space="preserve"> </w:t>
            </w:r>
            <w:r w:rsidRPr="001C0E49">
              <w:rPr>
                <w:sz w:val="20"/>
                <w:szCs w:val="20"/>
              </w:rPr>
              <w:t>Law.</w:t>
            </w:r>
          </w:p>
        </w:tc>
      </w:tr>
    </w:tbl>
    <w:p w14:paraId="48DC53BD" w14:textId="52A0936D" w:rsidR="008E7846" w:rsidRPr="000C5861" w:rsidRDefault="008E7846" w:rsidP="000C5861">
      <w:pPr>
        <w:pStyle w:val="Heading3"/>
      </w:pPr>
      <w:bookmarkStart w:id="21" w:name="_Toc1049799"/>
      <w:r w:rsidRPr="000C5861">
        <w:t>Product</w:t>
      </w:r>
      <w:r w:rsidR="000159A6" w:rsidRPr="000C5861">
        <w:t xml:space="preserve"> </w:t>
      </w:r>
      <w:r w:rsidRPr="000C5861">
        <w:t>Information</w:t>
      </w:r>
      <w:bookmarkEnd w:id="19"/>
      <w:bookmarkEnd w:id="20"/>
      <w:bookmarkEnd w:id="21"/>
    </w:p>
    <w:p w14:paraId="486C7496" w14:textId="2F6C716F" w:rsidR="00940A89" w:rsidRDefault="006136D7" w:rsidP="00CC47E8">
      <w:bookmarkStart w:id="22" w:name="_Toc247691506"/>
      <w:bookmarkStart w:id="23" w:name="_Toc314842487"/>
      <w:r w:rsidRPr="00940A89">
        <w:t>The</w:t>
      </w:r>
      <w:r w:rsidR="000159A6">
        <w:t xml:space="preserve"> </w:t>
      </w:r>
      <w:r w:rsidRPr="00940A89">
        <w:t>Product</w:t>
      </w:r>
      <w:r w:rsidR="000159A6">
        <w:t xml:space="preserve"> </w:t>
      </w:r>
      <w:r w:rsidRPr="00940A89">
        <w:t>Information</w:t>
      </w:r>
      <w:r w:rsidR="000159A6">
        <w:t xml:space="preserve"> </w:t>
      </w:r>
      <w:r w:rsidRPr="00940A89">
        <w:t>(PI)</w:t>
      </w:r>
      <w:r w:rsidR="000159A6">
        <w:t xml:space="preserve"> </w:t>
      </w:r>
      <w:r>
        <w:t>approved</w:t>
      </w:r>
      <w:r w:rsidR="000159A6">
        <w:t xml:space="preserve"> </w:t>
      </w:r>
      <w:r>
        <w:t>with</w:t>
      </w:r>
      <w:r w:rsidR="000159A6">
        <w:t xml:space="preserve"> </w:t>
      </w:r>
      <w:r>
        <w:t>the</w:t>
      </w:r>
      <w:r w:rsidR="000159A6">
        <w:t xml:space="preserve"> </w:t>
      </w:r>
      <w:r>
        <w:t>submission</w:t>
      </w:r>
      <w:r w:rsidR="000159A6">
        <w:t xml:space="preserve"> </w:t>
      </w:r>
      <w:r>
        <w:t>which</w:t>
      </w:r>
      <w:r w:rsidR="000159A6">
        <w:t xml:space="preserve"> </w:t>
      </w:r>
      <w:r>
        <w:t>is</w:t>
      </w:r>
      <w:r w:rsidR="000159A6">
        <w:t xml:space="preserve"> </w:t>
      </w:r>
      <w:r>
        <w:t>described</w:t>
      </w:r>
      <w:r w:rsidR="000159A6">
        <w:t xml:space="preserve"> </w:t>
      </w:r>
      <w:r>
        <w:t>in</w:t>
      </w:r>
      <w:r w:rsidR="000159A6">
        <w:t xml:space="preserve"> </w:t>
      </w:r>
      <w:r w:rsidRPr="00940A89">
        <w:t>this</w:t>
      </w:r>
      <w:r w:rsidR="000159A6">
        <w:t xml:space="preserve"> </w:t>
      </w:r>
      <w:r w:rsidRPr="00940A89">
        <w:t>AusPAR</w:t>
      </w:r>
      <w:r w:rsidR="000159A6">
        <w:t xml:space="preserve"> </w:t>
      </w:r>
      <w:r w:rsidRPr="00940A89">
        <w:t>can</w:t>
      </w:r>
      <w:r w:rsidR="000159A6">
        <w:t xml:space="preserve"> </w:t>
      </w:r>
      <w:r w:rsidRPr="00940A89">
        <w:t>be</w:t>
      </w:r>
      <w:r w:rsidR="000159A6">
        <w:t xml:space="preserve"> </w:t>
      </w:r>
      <w:r w:rsidRPr="00940A89">
        <w:t>found</w:t>
      </w:r>
      <w:r w:rsidR="000159A6">
        <w:t xml:space="preserve"> </w:t>
      </w:r>
      <w:r w:rsidRPr="00940A89">
        <w:t>as</w:t>
      </w:r>
      <w:r w:rsidR="000159A6">
        <w:t xml:space="preserve"> </w:t>
      </w:r>
      <w:r w:rsidRPr="00940A89">
        <w:t>Attachment</w:t>
      </w:r>
      <w:r w:rsidR="000159A6">
        <w:t xml:space="preserve"> </w:t>
      </w:r>
      <w:r w:rsidRPr="00940A89">
        <w:t>1.</w:t>
      </w:r>
      <w:r w:rsidR="000159A6">
        <w:t xml:space="preserve"> </w:t>
      </w:r>
      <w:r w:rsidRPr="00940A89">
        <w:t>For</w:t>
      </w:r>
      <w:r w:rsidR="000159A6">
        <w:t xml:space="preserve"> </w:t>
      </w:r>
      <w:r w:rsidRPr="00940A89">
        <w:t>the</w:t>
      </w:r>
      <w:r w:rsidR="000159A6">
        <w:t xml:space="preserve"> </w:t>
      </w:r>
      <w:r w:rsidRPr="00940A89">
        <w:t>most</w:t>
      </w:r>
      <w:r w:rsidR="000159A6">
        <w:t xml:space="preserve"> </w:t>
      </w:r>
      <w:r w:rsidRPr="00940A89">
        <w:t>recent</w:t>
      </w:r>
      <w:r w:rsidR="000159A6">
        <w:t xml:space="preserve"> </w:t>
      </w:r>
      <w:r>
        <w:t>PI,</w:t>
      </w:r>
      <w:r w:rsidR="000159A6">
        <w:t xml:space="preserve"> </w:t>
      </w:r>
      <w:r w:rsidRPr="00940A89">
        <w:t>ple</w:t>
      </w:r>
      <w:r>
        <w:t>ase</w:t>
      </w:r>
      <w:r w:rsidR="000159A6">
        <w:t xml:space="preserve"> </w:t>
      </w:r>
      <w:r>
        <w:t>refer</w:t>
      </w:r>
      <w:r w:rsidR="000159A6">
        <w:t xml:space="preserve"> </w:t>
      </w:r>
      <w:r>
        <w:t>to</w:t>
      </w:r>
      <w:r w:rsidR="000159A6">
        <w:t xml:space="preserve"> </w:t>
      </w:r>
      <w:r>
        <w:t>the</w:t>
      </w:r>
      <w:r w:rsidR="000159A6">
        <w:t xml:space="preserve"> </w:t>
      </w:r>
      <w:r>
        <w:t>TGA</w:t>
      </w:r>
      <w:r w:rsidR="000159A6">
        <w:t xml:space="preserve"> </w:t>
      </w:r>
      <w:r>
        <w:t>website</w:t>
      </w:r>
      <w:r w:rsidR="000159A6">
        <w:t xml:space="preserve"> </w:t>
      </w:r>
      <w:r w:rsidRPr="00441C3F">
        <w:t>at</w:t>
      </w:r>
      <w:r w:rsidR="000159A6">
        <w:t xml:space="preserve"> </w:t>
      </w:r>
      <w:r w:rsidR="0037169B">
        <w:t>&lt;</w:t>
      </w:r>
      <w:hyperlink r:id="rId24" w:history="1">
        <w:r w:rsidR="00441C3F" w:rsidRPr="00441C3F">
          <w:rPr>
            <w:rStyle w:val="Hyperlink"/>
          </w:rPr>
          <w:t>https://www.tga.gov.au/product-information-pi</w:t>
        </w:r>
      </w:hyperlink>
      <w:r w:rsidR="004715B4">
        <w:t>&gt;</w:t>
      </w:r>
      <w:r w:rsidR="00940A89" w:rsidRPr="00940A89">
        <w:t>.</w:t>
      </w:r>
    </w:p>
    <w:p w14:paraId="51723A76" w14:textId="3CDA62CA" w:rsidR="00500337" w:rsidRPr="000C5861" w:rsidRDefault="00500337" w:rsidP="00CC47E8">
      <w:pPr>
        <w:pStyle w:val="Heading2"/>
      </w:pPr>
      <w:bookmarkStart w:id="24" w:name="_Toc504480011"/>
      <w:bookmarkStart w:id="25" w:name="_Toc1049800"/>
      <w:r w:rsidRPr="000C5861">
        <w:t>II.</w:t>
      </w:r>
      <w:r w:rsidR="000159A6" w:rsidRPr="000C5861">
        <w:t xml:space="preserve"> </w:t>
      </w:r>
      <w:r w:rsidRPr="000C5861">
        <w:t>Registration</w:t>
      </w:r>
      <w:r w:rsidR="000159A6" w:rsidRPr="000C5861">
        <w:t xml:space="preserve"> </w:t>
      </w:r>
      <w:r w:rsidRPr="00CC47E8">
        <w:t>time</w:t>
      </w:r>
      <w:r w:rsidR="000159A6" w:rsidRPr="000C5861">
        <w:t xml:space="preserve"> </w:t>
      </w:r>
      <w:r w:rsidRPr="000C5861">
        <w:t>line</w:t>
      </w:r>
      <w:bookmarkEnd w:id="24"/>
      <w:bookmarkEnd w:id="25"/>
    </w:p>
    <w:p w14:paraId="19EB448C" w14:textId="7E408679" w:rsidR="00500337" w:rsidRDefault="0012170B" w:rsidP="00CC47E8">
      <w:r>
        <w:t>Table</w:t>
      </w:r>
      <w:r w:rsidR="000159A6">
        <w:t xml:space="preserve"> </w:t>
      </w:r>
      <w:r>
        <w:t>2</w:t>
      </w:r>
      <w:r w:rsidR="000159A6">
        <w:t xml:space="preserve"> </w:t>
      </w:r>
      <w:r w:rsidR="00500337">
        <w:t>captures</w:t>
      </w:r>
      <w:r w:rsidR="000159A6">
        <w:t xml:space="preserve"> </w:t>
      </w:r>
      <w:r w:rsidR="00500337">
        <w:t>the</w:t>
      </w:r>
      <w:r w:rsidR="000159A6">
        <w:t xml:space="preserve"> </w:t>
      </w:r>
      <w:r w:rsidR="00500337">
        <w:t>key</w:t>
      </w:r>
      <w:r w:rsidR="000159A6">
        <w:t xml:space="preserve"> </w:t>
      </w:r>
      <w:r w:rsidR="00500337">
        <w:t>steps</w:t>
      </w:r>
      <w:r w:rsidR="000159A6">
        <w:t xml:space="preserve"> </w:t>
      </w:r>
      <w:r w:rsidR="00500337">
        <w:t>and</w:t>
      </w:r>
      <w:r w:rsidR="000159A6">
        <w:t xml:space="preserve"> </w:t>
      </w:r>
      <w:r w:rsidR="00500337">
        <w:t>dates</w:t>
      </w:r>
      <w:r w:rsidR="000159A6">
        <w:t xml:space="preserve"> </w:t>
      </w:r>
      <w:r w:rsidR="00500337">
        <w:t>for</w:t>
      </w:r>
      <w:r w:rsidR="000159A6">
        <w:t xml:space="preserve"> </w:t>
      </w:r>
      <w:r w:rsidR="00500337">
        <w:t>this</w:t>
      </w:r>
      <w:r w:rsidR="000159A6">
        <w:t xml:space="preserve"> </w:t>
      </w:r>
      <w:r w:rsidR="00500337">
        <w:t>application</w:t>
      </w:r>
      <w:r w:rsidR="000159A6">
        <w:t xml:space="preserve"> </w:t>
      </w:r>
      <w:r w:rsidR="00500337">
        <w:t>and</w:t>
      </w:r>
      <w:r w:rsidR="000159A6">
        <w:t xml:space="preserve"> </w:t>
      </w:r>
      <w:r w:rsidR="00500337">
        <w:t>which</w:t>
      </w:r>
      <w:r w:rsidR="000159A6">
        <w:t xml:space="preserve"> </w:t>
      </w:r>
      <w:r w:rsidR="00500337">
        <w:t>are</w:t>
      </w:r>
      <w:r w:rsidR="000159A6">
        <w:t xml:space="preserve"> </w:t>
      </w:r>
      <w:r w:rsidR="00500337">
        <w:t>detailed</w:t>
      </w:r>
      <w:r w:rsidR="000159A6">
        <w:t xml:space="preserve"> </w:t>
      </w:r>
      <w:r w:rsidR="00500337">
        <w:t>and</w:t>
      </w:r>
      <w:r w:rsidR="000159A6">
        <w:t xml:space="preserve"> </w:t>
      </w:r>
      <w:r w:rsidR="00500337">
        <w:t>discussed</w:t>
      </w:r>
      <w:r w:rsidR="000159A6">
        <w:t xml:space="preserve"> </w:t>
      </w:r>
      <w:r w:rsidR="00500337">
        <w:t>in</w:t>
      </w:r>
      <w:r w:rsidR="000159A6">
        <w:t xml:space="preserve"> </w:t>
      </w:r>
      <w:r w:rsidR="00500337">
        <w:t>this</w:t>
      </w:r>
      <w:r w:rsidR="000159A6">
        <w:t xml:space="preserve"> </w:t>
      </w:r>
      <w:r w:rsidR="00500337">
        <w:t>AusPAR</w:t>
      </w:r>
      <w:r w:rsidR="000159A6">
        <w:t xml:space="preserve"> </w:t>
      </w:r>
      <w:r w:rsidR="00500337">
        <w:t>and</w:t>
      </w:r>
      <w:r w:rsidR="000159A6">
        <w:t xml:space="preserve"> </w:t>
      </w:r>
      <w:r w:rsidR="00500337">
        <w:t>Attachment</w:t>
      </w:r>
      <w:r w:rsidR="000159A6">
        <w:t xml:space="preserve"> </w:t>
      </w:r>
      <w:r w:rsidR="00500337">
        <w:t>2.</w:t>
      </w:r>
    </w:p>
    <w:p w14:paraId="13388236" w14:textId="17BE7140" w:rsidR="00500337" w:rsidRPr="00FF12AA" w:rsidRDefault="00FF12AA" w:rsidP="006D376B">
      <w:pPr>
        <w:pStyle w:val="Tabletitle0"/>
      </w:pPr>
      <w:r w:rsidRPr="00FF12AA">
        <w:t>Table</w:t>
      </w:r>
      <w:r w:rsidR="000159A6">
        <w:t xml:space="preserve"> </w:t>
      </w:r>
      <w:r w:rsidRPr="00FF12AA">
        <w:t>2:</w:t>
      </w:r>
      <w:r w:rsidR="000159A6">
        <w:t xml:space="preserve"> </w:t>
      </w:r>
      <w:r>
        <w:t>Timeline</w:t>
      </w:r>
      <w:r w:rsidR="000159A6">
        <w:t xml:space="preserve"> </w:t>
      </w:r>
      <w:r>
        <w:t>for</w:t>
      </w:r>
      <w:r w:rsidR="000159A6">
        <w:t xml:space="preserve"> </w:t>
      </w:r>
      <w:r>
        <w:t>Submission</w:t>
      </w:r>
      <w:r w:rsidR="000159A6">
        <w:t xml:space="preserve"> </w:t>
      </w:r>
      <w:r>
        <w:t>PM-2017-01784-1-2</w:t>
      </w:r>
    </w:p>
    <w:tbl>
      <w:tblPr>
        <w:tblStyle w:val="TableTGAblue"/>
        <w:tblW w:w="0" w:type="auto"/>
        <w:tblLook w:val="04A0" w:firstRow="1" w:lastRow="0" w:firstColumn="1" w:lastColumn="0" w:noHBand="0" w:noVBand="1"/>
        <w:tblDescription w:val="Table 2: Timeline for Submission PM-2017-01784-1-2"/>
      </w:tblPr>
      <w:tblGrid>
        <w:gridCol w:w="4360"/>
        <w:gridCol w:w="4360"/>
      </w:tblGrid>
      <w:tr w:rsidR="00500337" w14:paraId="184D6CC6" w14:textId="77777777" w:rsidTr="000C5861">
        <w:trPr>
          <w:cnfStyle w:val="100000000000" w:firstRow="1" w:lastRow="0" w:firstColumn="0" w:lastColumn="0" w:oddVBand="0" w:evenVBand="0" w:oddHBand="0" w:evenHBand="0" w:firstRowFirstColumn="0" w:firstRowLastColumn="0" w:lastRowFirstColumn="0" w:lastRowLastColumn="0"/>
        </w:trPr>
        <w:tc>
          <w:tcPr>
            <w:tcW w:w="4360" w:type="dxa"/>
          </w:tcPr>
          <w:p w14:paraId="149ED66D" w14:textId="77777777" w:rsidR="00500337" w:rsidRDefault="00500337" w:rsidP="00CC47E8">
            <w:r>
              <w:t>Description</w:t>
            </w:r>
          </w:p>
        </w:tc>
        <w:tc>
          <w:tcPr>
            <w:tcW w:w="4360" w:type="dxa"/>
          </w:tcPr>
          <w:p w14:paraId="44040834" w14:textId="77777777" w:rsidR="00500337" w:rsidRDefault="00500337" w:rsidP="00CC47E8">
            <w:r>
              <w:t>Date</w:t>
            </w:r>
          </w:p>
        </w:tc>
      </w:tr>
      <w:tr w:rsidR="00500337" w14:paraId="292E334F" w14:textId="77777777" w:rsidTr="000C5861">
        <w:tc>
          <w:tcPr>
            <w:tcW w:w="4360" w:type="dxa"/>
          </w:tcPr>
          <w:p w14:paraId="0550CBC9" w14:textId="3F5033A7" w:rsidR="00500337" w:rsidRDefault="00500337" w:rsidP="00CC47E8">
            <w:r>
              <w:t>Submission</w:t>
            </w:r>
            <w:r w:rsidR="000159A6">
              <w:t xml:space="preserve"> </w:t>
            </w:r>
            <w:r>
              <w:t>dossier</w:t>
            </w:r>
            <w:r w:rsidR="000159A6">
              <w:t xml:space="preserve"> </w:t>
            </w:r>
            <w:r>
              <w:t>accepted</w:t>
            </w:r>
            <w:r w:rsidR="000159A6">
              <w:t xml:space="preserve"> </w:t>
            </w:r>
            <w:r>
              <w:t>and</w:t>
            </w:r>
            <w:r w:rsidR="000159A6">
              <w:t xml:space="preserve"> </w:t>
            </w:r>
            <w:r>
              <w:t>first</w:t>
            </w:r>
            <w:r w:rsidR="000159A6">
              <w:t xml:space="preserve"> </w:t>
            </w:r>
            <w:r>
              <w:t>round</w:t>
            </w:r>
            <w:r w:rsidR="000159A6">
              <w:t xml:space="preserve"> </w:t>
            </w:r>
            <w:r>
              <w:t>evaluation</w:t>
            </w:r>
            <w:r w:rsidR="000159A6">
              <w:t xml:space="preserve"> </w:t>
            </w:r>
            <w:r>
              <w:t>commenced</w:t>
            </w:r>
          </w:p>
        </w:tc>
        <w:tc>
          <w:tcPr>
            <w:tcW w:w="4360" w:type="dxa"/>
          </w:tcPr>
          <w:p w14:paraId="659D7FE8" w14:textId="17148AF7" w:rsidR="00500337" w:rsidRDefault="00AE1448" w:rsidP="00CC47E8">
            <w:r>
              <w:t>28</w:t>
            </w:r>
            <w:r w:rsidR="000159A6">
              <w:t xml:space="preserve"> </w:t>
            </w:r>
            <w:r>
              <w:t>June</w:t>
            </w:r>
            <w:r w:rsidR="000159A6">
              <w:t xml:space="preserve"> </w:t>
            </w:r>
            <w:r>
              <w:t>2017</w:t>
            </w:r>
          </w:p>
        </w:tc>
      </w:tr>
      <w:tr w:rsidR="00500337" w14:paraId="58F7898A" w14:textId="77777777" w:rsidTr="000C5861">
        <w:tc>
          <w:tcPr>
            <w:tcW w:w="4360" w:type="dxa"/>
          </w:tcPr>
          <w:p w14:paraId="4EDF8FC8" w14:textId="456193BE" w:rsidR="00500337" w:rsidRDefault="00500337" w:rsidP="00CC47E8">
            <w:r>
              <w:lastRenderedPageBreak/>
              <w:t>First</w:t>
            </w:r>
            <w:r w:rsidR="000159A6">
              <w:t xml:space="preserve"> </w:t>
            </w:r>
            <w:r>
              <w:t>round</w:t>
            </w:r>
            <w:r w:rsidR="000159A6">
              <w:t xml:space="preserve"> </w:t>
            </w:r>
            <w:r>
              <w:t>evaluation</w:t>
            </w:r>
            <w:r w:rsidR="000159A6">
              <w:t xml:space="preserve"> </w:t>
            </w:r>
            <w:r>
              <w:t>completed</w:t>
            </w:r>
          </w:p>
        </w:tc>
        <w:tc>
          <w:tcPr>
            <w:tcW w:w="4360" w:type="dxa"/>
          </w:tcPr>
          <w:p w14:paraId="5C743FBC" w14:textId="08F1435B" w:rsidR="00500337" w:rsidRDefault="00AE1448" w:rsidP="00CC47E8">
            <w:r>
              <w:t>11</w:t>
            </w:r>
            <w:r w:rsidR="000159A6">
              <w:t xml:space="preserve"> </w:t>
            </w:r>
            <w:r>
              <w:t>December</w:t>
            </w:r>
            <w:r w:rsidR="000159A6">
              <w:t xml:space="preserve"> </w:t>
            </w:r>
            <w:r>
              <w:t>2017</w:t>
            </w:r>
          </w:p>
        </w:tc>
      </w:tr>
      <w:tr w:rsidR="00500337" w14:paraId="37FDA613" w14:textId="77777777" w:rsidTr="000C5861">
        <w:tc>
          <w:tcPr>
            <w:tcW w:w="4360" w:type="dxa"/>
          </w:tcPr>
          <w:p w14:paraId="4150C281" w14:textId="0E5204BA" w:rsidR="00500337" w:rsidRDefault="00500337" w:rsidP="00CC47E8">
            <w:r>
              <w:t>Sponsor</w:t>
            </w:r>
            <w:r w:rsidR="000159A6">
              <w:t xml:space="preserve"> </w:t>
            </w:r>
            <w:r>
              <w:t>provides</w:t>
            </w:r>
            <w:r w:rsidR="000159A6">
              <w:t xml:space="preserve"> </w:t>
            </w:r>
            <w:r>
              <w:t>responses</w:t>
            </w:r>
            <w:r w:rsidR="000159A6">
              <w:t xml:space="preserve"> </w:t>
            </w:r>
            <w:r>
              <w:t>on</w:t>
            </w:r>
            <w:r w:rsidR="000159A6">
              <w:t xml:space="preserve"> </w:t>
            </w:r>
            <w:r>
              <w:t>questions</w:t>
            </w:r>
            <w:r w:rsidR="000159A6">
              <w:t xml:space="preserve"> </w:t>
            </w:r>
            <w:r>
              <w:t>raised</w:t>
            </w:r>
            <w:r w:rsidR="000159A6">
              <w:t xml:space="preserve"> </w:t>
            </w:r>
            <w:r>
              <w:t>in</w:t>
            </w:r>
            <w:r w:rsidR="000159A6">
              <w:t xml:space="preserve"> </w:t>
            </w:r>
            <w:r>
              <w:t>first</w:t>
            </w:r>
            <w:r w:rsidR="000159A6">
              <w:t xml:space="preserve"> </w:t>
            </w:r>
            <w:r>
              <w:t>round</w:t>
            </w:r>
            <w:r w:rsidR="000159A6">
              <w:t xml:space="preserve"> </w:t>
            </w:r>
            <w:r>
              <w:t>evaluation</w:t>
            </w:r>
          </w:p>
        </w:tc>
        <w:tc>
          <w:tcPr>
            <w:tcW w:w="4360" w:type="dxa"/>
          </w:tcPr>
          <w:p w14:paraId="0AADA61E" w14:textId="310F7932" w:rsidR="00500337" w:rsidRDefault="00AE1448" w:rsidP="00CC47E8">
            <w:r>
              <w:t>12</w:t>
            </w:r>
            <w:r w:rsidR="000159A6">
              <w:t xml:space="preserve"> </w:t>
            </w:r>
            <w:r>
              <w:t>February</w:t>
            </w:r>
            <w:r w:rsidR="000159A6">
              <w:t xml:space="preserve"> </w:t>
            </w:r>
            <w:r>
              <w:t>2018</w:t>
            </w:r>
          </w:p>
        </w:tc>
      </w:tr>
      <w:tr w:rsidR="00500337" w14:paraId="4EEB6654" w14:textId="77777777" w:rsidTr="000C5861">
        <w:tc>
          <w:tcPr>
            <w:tcW w:w="4360" w:type="dxa"/>
          </w:tcPr>
          <w:p w14:paraId="5F741D83" w14:textId="1DCEBB57" w:rsidR="00500337" w:rsidRDefault="00500337" w:rsidP="00CC47E8">
            <w:r>
              <w:t>Second</w:t>
            </w:r>
            <w:r w:rsidR="000159A6">
              <w:t xml:space="preserve"> </w:t>
            </w:r>
            <w:r>
              <w:t>round</w:t>
            </w:r>
            <w:r w:rsidR="000159A6">
              <w:t xml:space="preserve"> </w:t>
            </w:r>
            <w:r>
              <w:t>evaluation</w:t>
            </w:r>
            <w:r w:rsidR="000159A6">
              <w:t xml:space="preserve"> </w:t>
            </w:r>
            <w:r>
              <w:t>completed</w:t>
            </w:r>
          </w:p>
        </w:tc>
        <w:tc>
          <w:tcPr>
            <w:tcW w:w="4360" w:type="dxa"/>
          </w:tcPr>
          <w:p w14:paraId="3EDA0439" w14:textId="121384F4" w:rsidR="00500337" w:rsidRDefault="00AE1448" w:rsidP="00CC47E8">
            <w:r>
              <w:t>27</w:t>
            </w:r>
            <w:r w:rsidR="000159A6">
              <w:t xml:space="preserve"> </w:t>
            </w:r>
            <w:r>
              <w:t>April</w:t>
            </w:r>
            <w:r w:rsidR="000159A6">
              <w:t xml:space="preserve"> </w:t>
            </w:r>
            <w:r>
              <w:t>2018</w:t>
            </w:r>
          </w:p>
        </w:tc>
      </w:tr>
      <w:tr w:rsidR="00500337" w14:paraId="233D2C7D" w14:textId="77777777" w:rsidTr="000C5861">
        <w:tc>
          <w:tcPr>
            <w:tcW w:w="4360" w:type="dxa"/>
          </w:tcPr>
          <w:p w14:paraId="45882064" w14:textId="5E49CA23" w:rsidR="00500337" w:rsidRDefault="00500337" w:rsidP="00CC47E8">
            <w:r>
              <w:t>Delegate’s</w:t>
            </w:r>
            <w:r w:rsidR="000159A6">
              <w:t xml:space="preserve"> </w:t>
            </w:r>
            <w:r>
              <w:t>Overall</w:t>
            </w:r>
            <w:r w:rsidR="000159A6">
              <w:t xml:space="preserve"> </w:t>
            </w:r>
            <w:r>
              <w:t>benefit-risk</w:t>
            </w:r>
            <w:r w:rsidR="000159A6">
              <w:t xml:space="preserve"> </w:t>
            </w:r>
            <w:r>
              <w:t>assessment</w:t>
            </w:r>
            <w:r w:rsidR="000159A6">
              <w:t xml:space="preserve"> </w:t>
            </w:r>
            <w:r>
              <w:t>and</w:t>
            </w:r>
            <w:r w:rsidR="000159A6">
              <w:t xml:space="preserve"> </w:t>
            </w:r>
            <w:r>
              <w:t>request</w:t>
            </w:r>
            <w:r w:rsidR="000159A6">
              <w:t xml:space="preserve"> </w:t>
            </w:r>
            <w:r>
              <w:t>for</w:t>
            </w:r>
            <w:r w:rsidR="000159A6">
              <w:t xml:space="preserve"> </w:t>
            </w:r>
            <w:r>
              <w:t>Advisory</w:t>
            </w:r>
            <w:r w:rsidR="000159A6">
              <w:t xml:space="preserve"> </w:t>
            </w:r>
            <w:r>
              <w:t>Committee</w:t>
            </w:r>
            <w:r w:rsidR="000159A6">
              <w:t xml:space="preserve"> </w:t>
            </w:r>
            <w:r>
              <w:t>advice</w:t>
            </w:r>
          </w:p>
        </w:tc>
        <w:tc>
          <w:tcPr>
            <w:tcW w:w="4360" w:type="dxa"/>
          </w:tcPr>
          <w:p w14:paraId="0CD15693" w14:textId="33D62E5E" w:rsidR="00500337" w:rsidRDefault="00F666D2" w:rsidP="00CC47E8">
            <w:r>
              <w:t>1</w:t>
            </w:r>
            <w:r w:rsidR="000159A6">
              <w:t xml:space="preserve"> </w:t>
            </w:r>
            <w:r>
              <w:t>May</w:t>
            </w:r>
            <w:r w:rsidR="000159A6">
              <w:t xml:space="preserve"> </w:t>
            </w:r>
            <w:r>
              <w:t>2018</w:t>
            </w:r>
          </w:p>
        </w:tc>
      </w:tr>
      <w:tr w:rsidR="00500337" w14:paraId="76D55F04" w14:textId="77777777" w:rsidTr="000C5861">
        <w:tc>
          <w:tcPr>
            <w:tcW w:w="4360" w:type="dxa"/>
          </w:tcPr>
          <w:p w14:paraId="34FBBA89" w14:textId="0C6298D2" w:rsidR="00500337" w:rsidRDefault="00500337" w:rsidP="00CC47E8">
            <w:r>
              <w:t>Sponsor’s</w:t>
            </w:r>
            <w:r w:rsidR="000159A6">
              <w:t xml:space="preserve"> </w:t>
            </w:r>
            <w:r>
              <w:t>pre-Advisory</w:t>
            </w:r>
            <w:r w:rsidR="000159A6">
              <w:t xml:space="preserve"> </w:t>
            </w:r>
            <w:r>
              <w:t>Committee</w:t>
            </w:r>
            <w:r w:rsidR="000159A6">
              <w:t xml:space="preserve"> </w:t>
            </w:r>
            <w:r>
              <w:t>response</w:t>
            </w:r>
          </w:p>
        </w:tc>
        <w:tc>
          <w:tcPr>
            <w:tcW w:w="4360" w:type="dxa"/>
          </w:tcPr>
          <w:p w14:paraId="17F179DC" w14:textId="22A9DA8A" w:rsidR="00500337" w:rsidRDefault="00FF12AA" w:rsidP="00CC47E8">
            <w:r>
              <w:t>14</w:t>
            </w:r>
            <w:r w:rsidR="000159A6">
              <w:t xml:space="preserve"> </w:t>
            </w:r>
            <w:r>
              <w:t>May</w:t>
            </w:r>
            <w:r w:rsidR="000159A6">
              <w:t xml:space="preserve"> </w:t>
            </w:r>
            <w:r>
              <w:t>2018</w:t>
            </w:r>
          </w:p>
        </w:tc>
      </w:tr>
      <w:tr w:rsidR="00500337" w14:paraId="51F7A8BF" w14:textId="77777777" w:rsidTr="000C5861">
        <w:tc>
          <w:tcPr>
            <w:tcW w:w="4360" w:type="dxa"/>
          </w:tcPr>
          <w:p w14:paraId="21E08A39" w14:textId="517878BA" w:rsidR="00500337" w:rsidRDefault="00500337" w:rsidP="00CC47E8">
            <w:r>
              <w:t>Advisory</w:t>
            </w:r>
            <w:r w:rsidR="000159A6">
              <w:t xml:space="preserve"> </w:t>
            </w:r>
            <w:r>
              <w:t>Committee</w:t>
            </w:r>
            <w:r w:rsidR="000159A6">
              <w:t xml:space="preserve"> </w:t>
            </w:r>
            <w:r>
              <w:t>meeting</w:t>
            </w:r>
            <w:r w:rsidR="000159A6">
              <w:t xml:space="preserve"> </w:t>
            </w:r>
            <w:r w:rsidR="00F666D2">
              <w:t>(ACV</w:t>
            </w:r>
            <w:r w:rsidR="000159A6">
              <w:t xml:space="preserve"> </w:t>
            </w:r>
            <w:r w:rsidR="00F666D2">
              <w:t>8)</w:t>
            </w:r>
          </w:p>
        </w:tc>
        <w:tc>
          <w:tcPr>
            <w:tcW w:w="4360" w:type="dxa"/>
          </w:tcPr>
          <w:p w14:paraId="10434CA0" w14:textId="6E6D4277" w:rsidR="00500337" w:rsidRDefault="00F666D2" w:rsidP="00CC47E8">
            <w:r>
              <w:t>30</w:t>
            </w:r>
            <w:r w:rsidR="000159A6">
              <w:t xml:space="preserve"> </w:t>
            </w:r>
            <w:r>
              <w:t>May</w:t>
            </w:r>
            <w:r w:rsidR="000159A6">
              <w:t xml:space="preserve"> </w:t>
            </w:r>
            <w:r>
              <w:t>2018</w:t>
            </w:r>
          </w:p>
        </w:tc>
      </w:tr>
      <w:tr w:rsidR="00500337" w14:paraId="560A7299" w14:textId="77777777" w:rsidTr="000C5861">
        <w:tc>
          <w:tcPr>
            <w:tcW w:w="4360" w:type="dxa"/>
          </w:tcPr>
          <w:p w14:paraId="5BC9FCE1" w14:textId="43A65E30" w:rsidR="00500337" w:rsidRDefault="00500337" w:rsidP="00CC47E8">
            <w:r>
              <w:t>Registration</w:t>
            </w:r>
            <w:r w:rsidR="000159A6">
              <w:t xml:space="preserve"> </w:t>
            </w:r>
            <w:r>
              <w:t>decision</w:t>
            </w:r>
            <w:r w:rsidR="000159A6">
              <w:t xml:space="preserve"> </w:t>
            </w:r>
            <w:r>
              <w:t>(Outcome)</w:t>
            </w:r>
          </w:p>
        </w:tc>
        <w:tc>
          <w:tcPr>
            <w:tcW w:w="4360" w:type="dxa"/>
          </w:tcPr>
          <w:p w14:paraId="7446D21B" w14:textId="440F3D7E" w:rsidR="00500337" w:rsidRDefault="00F666D2" w:rsidP="00CC47E8">
            <w:r>
              <w:t>27</w:t>
            </w:r>
            <w:r w:rsidR="000159A6">
              <w:t xml:space="preserve"> </w:t>
            </w:r>
            <w:r>
              <w:t>June</w:t>
            </w:r>
            <w:r w:rsidR="000159A6">
              <w:t xml:space="preserve"> </w:t>
            </w:r>
            <w:r>
              <w:t>2018</w:t>
            </w:r>
          </w:p>
        </w:tc>
      </w:tr>
      <w:tr w:rsidR="00500337" w14:paraId="0DF0A142" w14:textId="77777777" w:rsidTr="000C5861">
        <w:tc>
          <w:tcPr>
            <w:tcW w:w="4360" w:type="dxa"/>
          </w:tcPr>
          <w:p w14:paraId="130B841D" w14:textId="351A82B2" w:rsidR="00500337" w:rsidRDefault="00500337" w:rsidP="00CC47E8">
            <w:r>
              <w:t>Completion</w:t>
            </w:r>
            <w:r w:rsidR="000159A6">
              <w:t xml:space="preserve"> </w:t>
            </w:r>
            <w:r>
              <w:t>of</w:t>
            </w:r>
            <w:r w:rsidR="000159A6">
              <w:t xml:space="preserve"> </w:t>
            </w:r>
            <w:r>
              <w:t>administrative</w:t>
            </w:r>
            <w:r w:rsidR="000159A6">
              <w:t xml:space="preserve"> </w:t>
            </w:r>
            <w:r>
              <w:t>activities</w:t>
            </w:r>
            <w:r w:rsidR="000159A6">
              <w:t xml:space="preserve"> </w:t>
            </w:r>
            <w:r>
              <w:t>and</w:t>
            </w:r>
            <w:r w:rsidR="000159A6">
              <w:t xml:space="preserve"> </w:t>
            </w:r>
            <w:r>
              <w:t>registration</w:t>
            </w:r>
            <w:r w:rsidR="000159A6">
              <w:t xml:space="preserve"> </w:t>
            </w:r>
            <w:r>
              <w:t>on</w:t>
            </w:r>
            <w:r w:rsidR="000159A6">
              <w:t xml:space="preserve"> </w:t>
            </w:r>
            <w:r>
              <w:t>ARTG</w:t>
            </w:r>
          </w:p>
        </w:tc>
        <w:tc>
          <w:tcPr>
            <w:tcW w:w="4360" w:type="dxa"/>
          </w:tcPr>
          <w:p w14:paraId="030BE21A" w14:textId="65B425B6" w:rsidR="00500337" w:rsidRDefault="00F666D2" w:rsidP="00CC47E8">
            <w:r>
              <w:t>2</w:t>
            </w:r>
            <w:r w:rsidR="000159A6">
              <w:t xml:space="preserve"> </w:t>
            </w:r>
            <w:r>
              <w:t>July</w:t>
            </w:r>
            <w:r w:rsidR="000159A6">
              <w:t xml:space="preserve"> </w:t>
            </w:r>
            <w:r>
              <w:t>2018</w:t>
            </w:r>
          </w:p>
        </w:tc>
      </w:tr>
      <w:tr w:rsidR="00500337" w14:paraId="50F9A278" w14:textId="77777777" w:rsidTr="000C5861">
        <w:tc>
          <w:tcPr>
            <w:tcW w:w="4360" w:type="dxa"/>
          </w:tcPr>
          <w:p w14:paraId="0EE9C732" w14:textId="233AD345" w:rsidR="00500337" w:rsidRDefault="00500337" w:rsidP="00CC47E8">
            <w:r>
              <w:t>Number</w:t>
            </w:r>
            <w:r w:rsidR="000159A6">
              <w:t xml:space="preserve"> </w:t>
            </w:r>
            <w:r>
              <w:t>of</w:t>
            </w:r>
            <w:r w:rsidR="000159A6">
              <w:t xml:space="preserve"> </w:t>
            </w:r>
            <w:r>
              <w:t>working</w:t>
            </w:r>
            <w:r w:rsidR="000159A6">
              <w:t xml:space="preserve"> </w:t>
            </w:r>
            <w:r>
              <w:t>days</w:t>
            </w:r>
            <w:r w:rsidR="000159A6">
              <w:t xml:space="preserve"> </w:t>
            </w:r>
            <w:r>
              <w:t>from</w:t>
            </w:r>
            <w:r w:rsidR="000159A6">
              <w:t xml:space="preserve"> </w:t>
            </w:r>
            <w:r>
              <w:t>submission</w:t>
            </w:r>
            <w:r w:rsidR="000159A6">
              <w:t xml:space="preserve"> </w:t>
            </w:r>
            <w:r>
              <w:t>dossier</w:t>
            </w:r>
            <w:r w:rsidR="000159A6">
              <w:t xml:space="preserve"> </w:t>
            </w:r>
            <w:r>
              <w:t>acceptance</w:t>
            </w:r>
            <w:r w:rsidR="000159A6">
              <w:t xml:space="preserve"> </w:t>
            </w:r>
            <w:r>
              <w:t>to</w:t>
            </w:r>
            <w:r w:rsidR="000159A6">
              <w:t xml:space="preserve"> </w:t>
            </w:r>
            <w:r>
              <w:t>registration</w:t>
            </w:r>
            <w:r w:rsidR="000159A6">
              <w:t xml:space="preserve"> </w:t>
            </w:r>
            <w:r>
              <w:t>decision*</w:t>
            </w:r>
          </w:p>
        </w:tc>
        <w:tc>
          <w:tcPr>
            <w:tcW w:w="4360" w:type="dxa"/>
          </w:tcPr>
          <w:p w14:paraId="401C0C98" w14:textId="77777777" w:rsidR="00500337" w:rsidRDefault="00AE1448" w:rsidP="00CC47E8">
            <w:r>
              <w:t>207</w:t>
            </w:r>
          </w:p>
        </w:tc>
      </w:tr>
    </w:tbl>
    <w:p w14:paraId="1AAB7868" w14:textId="2A4B0CE7" w:rsidR="00500337" w:rsidRDefault="00500337" w:rsidP="00500337">
      <w:pPr>
        <w:pStyle w:val="TableDescription"/>
      </w:pPr>
      <w:r>
        <w:t>*</w:t>
      </w:r>
      <w:r w:rsidR="00AE1448">
        <w:t>Statutory</w:t>
      </w:r>
      <w:r w:rsidR="000159A6">
        <w:t xml:space="preserve"> </w:t>
      </w:r>
      <w:r>
        <w:t>timeframe</w:t>
      </w:r>
      <w:r w:rsidR="000159A6">
        <w:t xml:space="preserve"> </w:t>
      </w:r>
      <w:r>
        <w:t>for</w:t>
      </w:r>
      <w:r w:rsidR="000159A6">
        <w:t xml:space="preserve"> </w:t>
      </w:r>
      <w:r>
        <w:t>applications</w:t>
      </w:r>
      <w:r w:rsidR="000159A6">
        <w:t xml:space="preserve"> </w:t>
      </w:r>
      <w:r>
        <w:t>is</w:t>
      </w:r>
      <w:r w:rsidR="000159A6">
        <w:t xml:space="preserve"> </w:t>
      </w:r>
      <w:r>
        <w:t>2</w:t>
      </w:r>
      <w:r w:rsidR="00AE1448">
        <w:t>55</w:t>
      </w:r>
      <w:r w:rsidR="000159A6">
        <w:t xml:space="preserve"> </w:t>
      </w:r>
      <w:r>
        <w:t>working</w:t>
      </w:r>
      <w:r w:rsidR="000159A6">
        <w:t xml:space="preserve"> </w:t>
      </w:r>
      <w:r>
        <w:t>days</w:t>
      </w:r>
    </w:p>
    <w:p w14:paraId="372F3FF6" w14:textId="30D04359" w:rsidR="008E7846" w:rsidRPr="003602A9" w:rsidRDefault="00500337" w:rsidP="00CC47E8">
      <w:pPr>
        <w:pStyle w:val="Heading2"/>
      </w:pPr>
      <w:bookmarkStart w:id="26" w:name="_Toc1049801"/>
      <w:r>
        <w:t>I</w:t>
      </w:r>
      <w:r w:rsidR="008E7846">
        <w:t>II.</w:t>
      </w:r>
      <w:r w:rsidR="000159A6">
        <w:t xml:space="preserve"> </w:t>
      </w:r>
      <w:r w:rsidR="008E7846">
        <w:t>Quality</w:t>
      </w:r>
      <w:bookmarkEnd w:id="1"/>
      <w:r w:rsidR="000159A6">
        <w:t xml:space="preserve"> </w:t>
      </w:r>
      <w:r w:rsidR="008E7846" w:rsidRPr="00CC47E8">
        <w:t>findings</w:t>
      </w:r>
      <w:bookmarkEnd w:id="22"/>
      <w:bookmarkEnd w:id="23"/>
      <w:bookmarkEnd w:id="26"/>
    </w:p>
    <w:p w14:paraId="5FB5B4CA" w14:textId="77777777" w:rsidR="00F61B2D" w:rsidRDefault="00F61B2D" w:rsidP="00940A89">
      <w:pPr>
        <w:pStyle w:val="Heading3"/>
      </w:pPr>
      <w:bookmarkStart w:id="27" w:name="_Toc247691507"/>
      <w:bookmarkStart w:id="28" w:name="_Toc314842488"/>
      <w:bookmarkStart w:id="29" w:name="_Toc1049802"/>
      <w:r>
        <w:t>Introduction</w:t>
      </w:r>
      <w:bookmarkEnd w:id="29"/>
    </w:p>
    <w:p w14:paraId="370F1EB8" w14:textId="4F90D1F5" w:rsidR="00F61B2D" w:rsidRPr="00F61B2D" w:rsidRDefault="00F61B2D" w:rsidP="00F61B2D">
      <w:bookmarkStart w:id="30" w:name="_Toc507599999"/>
      <w:r w:rsidRPr="00F61B2D">
        <w:t>Shingrix,</w:t>
      </w:r>
      <w:r w:rsidR="000159A6">
        <w:t xml:space="preserve"> </w:t>
      </w:r>
      <w:r w:rsidRPr="00F61B2D">
        <w:t>referred</w:t>
      </w:r>
      <w:r w:rsidR="000159A6">
        <w:t xml:space="preserve"> </w:t>
      </w:r>
      <w:r w:rsidRPr="00F61B2D">
        <w:t>to</w:t>
      </w:r>
      <w:r w:rsidR="000159A6">
        <w:t xml:space="preserve"> </w:t>
      </w:r>
      <w:r w:rsidRPr="00F61B2D">
        <w:t>as</w:t>
      </w:r>
      <w:r w:rsidR="000159A6">
        <w:t xml:space="preserve"> </w:t>
      </w:r>
      <w:r w:rsidR="006D376B">
        <w:t>h</w:t>
      </w:r>
      <w:r w:rsidR="006D376B" w:rsidRPr="00F61B2D">
        <w:t>erpes</w:t>
      </w:r>
      <w:r w:rsidR="000159A6">
        <w:t xml:space="preserve"> </w:t>
      </w:r>
      <w:r w:rsidR="006D376B">
        <w:t>z</w:t>
      </w:r>
      <w:r w:rsidR="006D376B" w:rsidRPr="00F61B2D">
        <w:t>oster</w:t>
      </w:r>
      <w:r w:rsidR="000159A6">
        <w:t xml:space="preserve"> </w:t>
      </w:r>
      <w:r w:rsidRPr="00F61B2D">
        <w:t>subunit</w:t>
      </w:r>
      <w:r w:rsidR="000159A6">
        <w:t xml:space="preserve"> </w:t>
      </w:r>
      <w:r w:rsidRPr="00F61B2D">
        <w:t>vaccine</w:t>
      </w:r>
      <w:r w:rsidR="000159A6">
        <w:t xml:space="preserve"> </w:t>
      </w:r>
      <w:r w:rsidRPr="00F61B2D">
        <w:t>(HZ/</w:t>
      </w:r>
      <w:proofErr w:type="spellStart"/>
      <w:r w:rsidRPr="00F61B2D">
        <w:t>su</w:t>
      </w:r>
      <w:proofErr w:type="spellEnd"/>
      <w:r w:rsidRPr="00F61B2D">
        <w:t>),</w:t>
      </w:r>
      <w:r w:rsidR="000159A6">
        <w:t xml:space="preserve"> </w:t>
      </w:r>
      <w:r w:rsidRPr="00F61B2D">
        <w:t>is</w:t>
      </w:r>
      <w:r w:rsidR="000159A6">
        <w:t xml:space="preserve"> </w:t>
      </w:r>
      <w:r w:rsidRPr="00F61B2D">
        <w:t>designed</w:t>
      </w:r>
      <w:r w:rsidR="000159A6">
        <w:t xml:space="preserve"> </w:t>
      </w:r>
      <w:r w:rsidRPr="00F61B2D">
        <w:t>to</w:t>
      </w:r>
      <w:r w:rsidR="000159A6">
        <w:t xml:space="preserve"> </w:t>
      </w:r>
      <w:r w:rsidRPr="00F61B2D">
        <w:t>induce</w:t>
      </w:r>
      <w:r w:rsidR="000159A6">
        <w:t xml:space="preserve"> </w:t>
      </w:r>
      <w:r w:rsidR="000D0435">
        <w:t>antigen</w:t>
      </w:r>
      <w:r w:rsidR="000159A6">
        <w:t xml:space="preserve"> </w:t>
      </w:r>
      <w:r w:rsidR="000D0435">
        <w:t>specific</w:t>
      </w:r>
      <w:r w:rsidR="000159A6">
        <w:t xml:space="preserve"> </w:t>
      </w:r>
      <w:r w:rsidRPr="00F61B2D">
        <w:t>cellular</w:t>
      </w:r>
      <w:r w:rsidR="000159A6">
        <w:t xml:space="preserve"> </w:t>
      </w:r>
      <w:r w:rsidRPr="00CC47E8">
        <w:t>a</w:t>
      </w:r>
      <w:r w:rsidRPr="00F61B2D">
        <w:t>nd</w:t>
      </w:r>
      <w:r w:rsidR="000159A6">
        <w:t xml:space="preserve"> </w:t>
      </w:r>
      <w:r w:rsidRPr="00F61B2D">
        <w:t>humoral</w:t>
      </w:r>
      <w:r w:rsidR="000159A6">
        <w:t xml:space="preserve"> </w:t>
      </w:r>
      <w:r w:rsidRPr="00F61B2D">
        <w:t>immune</w:t>
      </w:r>
      <w:r w:rsidR="000159A6">
        <w:t xml:space="preserve"> </w:t>
      </w:r>
      <w:r w:rsidRPr="00F61B2D">
        <w:t>responses</w:t>
      </w:r>
      <w:r w:rsidR="000159A6">
        <w:t xml:space="preserve"> </w:t>
      </w:r>
      <w:r w:rsidRPr="00F61B2D">
        <w:t>in</w:t>
      </w:r>
      <w:r w:rsidR="000159A6">
        <w:t xml:space="preserve"> </w:t>
      </w:r>
      <w:r w:rsidRPr="00F61B2D">
        <w:t>individuals</w:t>
      </w:r>
      <w:r w:rsidR="000159A6">
        <w:t xml:space="preserve"> </w:t>
      </w:r>
      <w:r w:rsidRPr="00F61B2D">
        <w:t>with</w:t>
      </w:r>
      <w:r w:rsidR="000159A6">
        <w:t xml:space="preserve"> </w:t>
      </w:r>
      <w:r w:rsidRPr="00F61B2D">
        <w:t>pre-existing</w:t>
      </w:r>
      <w:r w:rsidR="000159A6">
        <w:t xml:space="preserve"> </w:t>
      </w:r>
      <w:r w:rsidRPr="00F61B2D">
        <w:t>immunity</w:t>
      </w:r>
      <w:r w:rsidR="000159A6">
        <w:t xml:space="preserve"> </w:t>
      </w:r>
      <w:r w:rsidRPr="00F61B2D">
        <w:t>against</w:t>
      </w:r>
      <w:r w:rsidR="000159A6">
        <w:t xml:space="preserve"> </w:t>
      </w:r>
      <w:r w:rsidR="006D376B">
        <w:t>v</w:t>
      </w:r>
      <w:r w:rsidR="006D376B" w:rsidRPr="00F61B2D">
        <w:t>aricella</w:t>
      </w:r>
      <w:r w:rsidR="000159A6">
        <w:t xml:space="preserve"> </w:t>
      </w:r>
      <w:r w:rsidR="005C2425">
        <w:t>z</w:t>
      </w:r>
      <w:r w:rsidR="006D376B" w:rsidRPr="00F61B2D">
        <w:t>oster</w:t>
      </w:r>
      <w:r w:rsidR="000159A6">
        <w:t xml:space="preserve"> </w:t>
      </w:r>
      <w:r w:rsidR="006D376B">
        <w:t>v</w:t>
      </w:r>
      <w:r w:rsidR="006D376B" w:rsidRPr="00F61B2D">
        <w:t>irus</w:t>
      </w:r>
      <w:r w:rsidR="000159A6">
        <w:t xml:space="preserve"> </w:t>
      </w:r>
      <w:r w:rsidRPr="00F61B2D">
        <w:t>(VZV).</w:t>
      </w:r>
      <w:bookmarkEnd w:id="30"/>
    </w:p>
    <w:bookmarkEnd w:id="27"/>
    <w:bookmarkEnd w:id="28"/>
    <w:p w14:paraId="173F7008" w14:textId="4191192C" w:rsidR="005A0BA4" w:rsidRDefault="00FF12AA" w:rsidP="005A0BA4">
      <w:r>
        <w:t>Shingrix</w:t>
      </w:r>
      <w:r w:rsidR="000159A6">
        <w:t xml:space="preserve"> </w:t>
      </w:r>
      <w:r w:rsidR="00E03924">
        <w:t>vaccine</w:t>
      </w:r>
      <w:r w:rsidR="000159A6">
        <w:t xml:space="preserve"> </w:t>
      </w:r>
      <w:r w:rsidR="00E03924">
        <w:t>is</w:t>
      </w:r>
      <w:r w:rsidR="000159A6">
        <w:t xml:space="preserve"> </w:t>
      </w:r>
      <w:r w:rsidR="00E03924">
        <w:t>composed</w:t>
      </w:r>
      <w:r w:rsidR="000159A6">
        <w:t xml:space="preserve"> </w:t>
      </w:r>
      <w:r w:rsidR="00E03924">
        <w:t>of</w:t>
      </w:r>
      <w:r w:rsidR="000159A6">
        <w:t xml:space="preserve"> </w:t>
      </w:r>
      <w:r w:rsidR="005A0BA4" w:rsidRPr="005A0BA4">
        <w:t>recombinant</w:t>
      </w:r>
      <w:r w:rsidR="000159A6">
        <w:t xml:space="preserve"> </w:t>
      </w:r>
      <w:r w:rsidR="005A0BA4" w:rsidRPr="005A0BA4">
        <w:t>varicella</w:t>
      </w:r>
      <w:r w:rsidR="000159A6">
        <w:t xml:space="preserve"> </w:t>
      </w:r>
      <w:r w:rsidR="005A0BA4" w:rsidRPr="005A0BA4">
        <w:t>zoster</w:t>
      </w:r>
      <w:r w:rsidR="000159A6">
        <w:t xml:space="preserve"> </w:t>
      </w:r>
      <w:r w:rsidR="005A0BA4" w:rsidRPr="005A0BA4">
        <w:t>virus</w:t>
      </w:r>
      <w:r w:rsidR="000159A6">
        <w:t xml:space="preserve"> </w:t>
      </w:r>
      <w:r w:rsidR="005A0BA4" w:rsidRPr="005A0BA4">
        <w:t>glycoprotein</w:t>
      </w:r>
      <w:r w:rsidR="000159A6">
        <w:t xml:space="preserve"> </w:t>
      </w:r>
      <w:r w:rsidR="005A0BA4" w:rsidRPr="005A0BA4">
        <w:t>E</w:t>
      </w:r>
      <w:r w:rsidR="000159A6">
        <w:t xml:space="preserve"> </w:t>
      </w:r>
      <w:r w:rsidR="005A0BA4" w:rsidRPr="005A0BA4">
        <w:t>antigen</w:t>
      </w:r>
      <w:r w:rsidR="000159A6">
        <w:t xml:space="preserve"> </w:t>
      </w:r>
      <w:r w:rsidR="0021040C">
        <w:t>(</w:t>
      </w:r>
      <w:r w:rsidR="005A0BA4" w:rsidRPr="005A0BA4">
        <w:t>50</w:t>
      </w:r>
      <w:r w:rsidR="000159A6">
        <w:t xml:space="preserve"> </w:t>
      </w:r>
      <w:r w:rsidR="005A0BA4" w:rsidRPr="005A0BA4">
        <w:t>micrograms</w:t>
      </w:r>
      <w:r w:rsidR="00E03924">
        <w:t>)</w:t>
      </w:r>
      <w:r w:rsidR="000159A6">
        <w:t xml:space="preserve"> </w:t>
      </w:r>
      <w:r w:rsidR="005A0BA4" w:rsidRPr="005A0BA4">
        <w:t>powder</w:t>
      </w:r>
      <w:r w:rsidR="000159A6">
        <w:t xml:space="preserve"> </w:t>
      </w:r>
      <w:r w:rsidR="005A0BA4" w:rsidRPr="005A0BA4">
        <w:t>and</w:t>
      </w:r>
      <w:r w:rsidR="000159A6">
        <w:t xml:space="preserve"> </w:t>
      </w:r>
      <w:r w:rsidR="005A0BA4" w:rsidRPr="005A0BA4">
        <w:t>suspension</w:t>
      </w:r>
      <w:r w:rsidR="000159A6">
        <w:t xml:space="preserve"> </w:t>
      </w:r>
      <w:r w:rsidR="005A0BA4" w:rsidRPr="005A0BA4">
        <w:t>for</w:t>
      </w:r>
      <w:r w:rsidR="000159A6">
        <w:t xml:space="preserve"> </w:t>
      </w:r>
      <w:r w:rsidR="005A0BA4" w:rsidRPr="005A0BA4">
        <w:t>suspension</w:t>
      </w:r>
      <w:r w:rsidR="000159A6">
        <w:t xml:space="preserve"> </w:t>
      </w:r>
      <w:r w:rsidR="005A0BA4" w:rsidRPr="005A0BA4">
        <w:t>for</w:t>
      </w:r>
      <w:r w:rsidR="000159A6">
        <w:t xml:space="preserve"> </w:t>
      </w:r>
      <w:r w:rsidR="005A0BA4" w:rsidRPr="005A0BA4">
        <w:t>injection</w:t>
      </w:r>
      <w:r w:rsidR="000159A6">
        <w:t xml:space="preserve"> </w:t>
      </w:r>
      <w:r w:rsidR="005A0BA4" w:rsidRPr="005A0BA4">
        <w:t>vial</w:t>
      </w:r>
      <w:r w:rsidR="00E03924">
        <w:t>.</w:t>
      </w:r>
      <w:r w:rsidR="000159A6">
        <w:t xml:space="preserve"> </w:t>
      </w:r>
      <w:r w:rsidR="00E03924">
        <w:t>The</w:t>
      </w:r>
      <w:r w:rsidR="000159A6">
        <w:t xml:space="preserve"> </w:t>
      </w:r>
      <w:r w:rsidR="00E03924" w:rsidRPr="005A0BA4">
        <w:t>glycoprotein</w:t>
      </w:r>
      <w:r w:rsidR="000159A6">
        <w:t xml:space="preserve"> </w:t>
      </w:r>
      <w:r w:rsidR="00E03924" w:rsidRPr="005A0BA4">
        <w:t>E</w:t>
      </w:r>
      <w:r w:rsidR="000159A6">
        <w:t xml:space="preserve"> </w:t>
      </w:r>
      <w:r w:rsidR="00E03924" w:rsidRPr="005A0BA4">
        <w:t>antigen</w:t>
      </w:r>
      <w:r w:rsidR="000159A6">
        <w:t xml:space="preserve"> </w:t>
      </w:r>
      <w:r w:rsidR="00E03924">
        <w:t>is</w:t>
      </w:r>
      <w:r w:rsidR="000159A6">
        <w:t xml:space="preserve"> </w:t>
      </w:r>
      <w:r w:rsidR="00E03924">
        <w:t>p</w:t>
      </w:r>
      <w:r w:rsidR="005A0BA4" w:rsidRPr="005A0BA4">
        <w:t>roduced</w:t>
      </w:r>
      <w:r w:rsidR="000159A6">
        <w:t xml:space="preserve"> </w:t>
      </w:r>
      <w:r w:rsidR="005A0BA4" w:rsidRPr="005A0BA4">
        <w:t>in</w:t>
      </w:r>
      <w:r w:rsidR="000159A6">
        <w:t xml:space="preserve"> </w:t>
      </w:r>
      <w:r w:rsidR="005A0BA4" w:rsidRPr="005A0BA4">
        <w:t>Chinese</w:t>
      </w:r>
      <w:r w:rsidR="000159A6">
        <w:t xml:space="preserve"> </w:t>
      </w:r>
      <w:r w:rsidR="006D376B">
        <w:t>h</w:t>
      </w:r>
      <w:r w:rsidR="006D376B" w:rsidRPr="005A0BA4">
        <w:t>amster</w:t>
      </w:r>
      <w:r w:rsidR="000159A6">
        <w:t xml:space="preserve"> </w:t>
      </w:r>
      <w:r w:rsidR="006D376B">
        <w:t>o</w:t>
      </w:r>
      <w:r w:rsidR="006D376B" w:rsidRPr="005A0BA4">
        <w:t>varian</w:t>
      </w:r>
      <w:r w:rsidR="000159A6">
        <w:t xml:space="preserve"> </w:t>
      </w:r>
      <w:r w:rsidR="005A0BA4" w:rsidRPr="005A0BA4">
        <w:t>(CHO)</w:t>
      </w:r>
      <w:r w:rsidR="000159A6">
        <w:t xml:space="preserve"> </w:t>
      </w:r>
      <w:r w:rsidR="005A0BA4" w:rsidRPr="005A0BA4">
        <w:t>cells</w:t>
      </w:r>
      <w:r w:rsidR="005A0BA4">
        <w:t>.</w:t>
      </w:r>
    </w:p>
    <w:p w14:paraId="66115EE1" w14:textId="4E9B3A1D" w:rsidR="005A0BA4" w:rsidRDefault="005A0BA4" w:rsidP="00CC47E8">
      <w:r w:rsidRPr="00235BB3">
        <w:t>The</w:t>
      </w:r>
      <w:r w:rsidR="000159A6">
        <w:t xml:space="preserve"> </w:t>
      </w:r>
      <w:r w:rsidR="006D376B" w:rsidRPr="00235BB3">
        <w:t>varicella</w:t>
      </w:r>
      <w:r w:rsidR="000159A6">
        <w:t xml:space="preserve"> </w:t>
      </w:r>
      <w:r w:rsidR="006D376B" w:rsidRPr="00235BB3">
        <w:t>zoster</w:t>
      </w:r>
      <w:r w:rsidR="000159A6">
        <w:t xml:space="preserve"> </w:t>
      </w:r>
      <w:r w:rsidR="006D376B" w:rsidRPr="00235BB3">
        <w:t>virus</w:t>
      </w:r>
      <w:r w:rsidR="000159A6">
        <w:t xml:space="preserve"> </w:t>
      </w:r>
      <w:r w:rsidRPr="00235BB3">
        <w:t>glycoprotein</w:t>
      </w:r>
      <w:r w:rsidR="000159A6">
        <w:t xml:space="preserve"> </w:t>
      </w:r>
      <w:r w:rsidRPr="00235BB3">
        <w:t>E</w:t>
      </w:r>
      <w:r w:rsidR="000159A6">
        <w:t xml:space="preserve"> </w:t>
      </w:r>
      <w:r>
        <w:t>(</w:t>
      </w:r>
      <w:r w:rsidRPr="00235BB3">
        <w:t>VZV</w:t>
      </w:r>
      <w:r w:rsidR="000159A6">
        <w:t xml:space="preserve"> </w:t>
      </w:r>
      <w:proofErr w:type="gramStart"/>
      <w:r w:rsidRPr="00235BB3">
        <w:t>gE</w:t>
      </w:r>
      <w:proofErr w:type="gramEnd"/>
      <w:r>
        <w:t>)</w:t>
      </w:r>
      <w:r w:rsidR="000159A6">
        <w:t xml:space="preserve"> </w:t>
      </w:r>
      <w:r w:rsidRPr="00235BB3">
        <w:t>is</w:t>
      </w:r>
      <w:r w:rsidR="000159A6">
        <w:t xml:space="preserve"> </w:t>
      </w:r>
      <w:r w:rsidRPr="00235BB3">
        <w:t>the</w:t>
      </w:r>
      <w:r w:rsidR="000159A6">
        <w:t xml:space="preserve"> </w:t>
      </w:r>
      <w:r w:rsidRPr="00235BB3">
        <w:t>most</w:t>
      </w:r>
      <w:r w:rsidR="000159A6">
        <w:t xml:space="preserve"> </w:t>
      </w:r>
      <w:r w:rsidRPr="00235BB3">
        <w:t>abundant</w:t>
      </w:r>
      <w:r w:rsidR="000159A6">
        <w:t xml:space="preserve"> </w:t>
      </w:r>
      <w:r w:rsidRPr="00235BB3">
        <w:t>virion</w:t>
      </w:r>
      <w:r w:rsidR="000159A6">
        <w:t xml:space="preserve"> </w:t>
      </w:r>
      <w:r w:rsidRPr="00235BB3">
        <w:t>envelope</w:t>
      </w:r>
      <w:r w:rsidR="000159A6">
        <w:t xml:space="preserve"> </w:t>
      </w:r>
      <w:r w:rsidRPr="00235BB3">
        <w:t>glycoprotein</w:t>
      </w:r>
      <w:r w:rsidR="000159A6">
        <w:t xml:space="preserve"> </w:t>
      </w:r>
      <w:r w:rsidRPr="00235BB3">
        <w:t>and</w:t>
      </w:r>
      <w:r w:rsidR="000159A6">
        <w:t xml:space="preserve"> </w:t>
      </w:r>
      <w:r w:rsidRPr="00235BB3">
        <w:t>the</w:t>
      </w:r>
      <w:r w:rsidR="000159A6">
        <w:t xml:space="preserve"> </w:t>
      </w:r>
      <w:r w:rsidRPr="00235BB3">
        <w:t>predominant</w:t>
      </w:r>
      <w:r w:rsidR="000159A6">
        <w:t xml:space="preserve"> </w:t>
      </w:r>
      <w:r w:rsidRPr="00235BB3">
        <w:t>VZV</w:t>
      </w:r>
      <w:r w:rsidR="000159A6">
        <w:t xml:space="preserve"> </w:t>
      </w:r>
      <w:r w:rsidRPr="00235BB3">
        <w:t>glycoprotein</w:t>
      </w:r>
      <w:r w:rsidR="000159A6">
        <w:t xml:space="preserve"> </w:t>
      </w:r>
      <w:r w:rsidRPr="00235BB3">
        <w:t>expressed</w:t>
      </w:r>
      <w:r w:rsidR="000159A6">
        <w:t xml:space="preserve"> </w:t>
      </w:r>
      <w:r w:rsidRPr="00235BB3">
        <w:t>on</w:t>
      </w:r>
      <w:r w:rsidR="000159A6">
        <w:t xml:space="preserve"> </w:t>
      </w:r>
      <w:r w:rsidRPr="00235BB3">
        <w:t>the</w:t>
      </w:r>
      <w:r w:rsidR="000159A6">
        <w:t xml:space="preserve"> </w:t>
      </w:r>
      <w:r w:rsidRPr="00235BB3">
        <w:t>surface</w:t>
      </w:r>
      <w:r w:rsidR="000159A6">
        <w:t xml:space="preserve"> </w:t>
      </w:r>
      <w:r w:rsidRPr="00235BB3">
        <w:t>of</w:t>
      </w:r>
      <w:r w:rsidR="000159A6">
        <w:t xml:space="preserve"> </w:t>
      </w:r>
      <w:r w:rsidRPr="00235BB3">
        <w:t>VZV</w:t>
      </w:r>
      <w:r w:rsidR="00CD5352">
        <w:t> </w:t>
      </w:r>
      <w:r w:rsidRPr="00235BB3">
        <w:t>infected</w:t>
      </w:r>
      <w:r w:rsidR="000159A6">
        <w:t xml:space="preserve"> </w:t>
      </w:r>
      <w:r w:rsidRPr="00235BB3">
        <w:t>cells.</w:t>
      </w:r>
      <w:r w:rsidR="000159A6">
        <w:t xml:space="preserve"> </w:t>
      </w:r>
      <w:r w:rsidRPr="00F36CF9">
        <w:t>A</w:t>
      </w:r>
      <w:r w:rsidR="000159A6">
        <w:t xml:space="preserve"> </w:t>
      </w:r>
      <w:r w:rsidRPr="00F36CF9">
        <w:t>truncated</w:t>
      </w:r>
      <w:r w:rsidR="000159A6">
        <w:t xml:space="preserve"> </w:t>
      </w:r>
      <w:r w:rsidRPr="00F36CF9">
        <w:t>form</w:t>
      </w:r>
      <w:r w:rsidR="000159A6">
        <w:t xml:space="preserve"> </w:t>
      </w:r>
      <w:r w:rsidRPr="00F36CF9">
        <w:t>of</w:t>
      </w:r>
      <w:r w:rsidR="000159A6">
        <w:t xml:space="preserve"> </w:t>
      </w:r>
      <w:r w:rsidRPr="00F36CF9">
        <w:t>the</w:t>
      </w:r>
      <w:r w:rsidR="000159A6">
        <w:t xml:space="preserve"> </w:t>
      </w:r>
      <w:r w:rsidRPr="00F36CF9">
        <w:t>VZV</w:t>
      </w:r>
      <w:r w:rsidR="000159A6">
        <w:t xml:space="preserve"> </w:t>
      </w:r>
      <w:proofErr w:type="gramStart"/>
      <w:r w:rsidRPr="00F36CF9">
        <w:t>gE</w:t>
      </w:r>
      <w:proofErr w:type="gramEnd"/>
      <w:r w:rsidRPr="00235BB3">
        <w:t>,</w:t>
      </w:r>
      <w:r w:rsidR="000159A6">
        <w:t xml:space="preserve"> </w:t>
      </w:r>
      <w:r w:rsidRPr="00235BB3">
        <w:t>lacking</w:t>
      </w:r>
      <w:r w:rsidR="000159A6">
        <w:t xml:space="preserve"> </w:t>
      </w:r>
      <w:r w:rsidRPr="00F36CF9">
        <w:t>the</w:t>
      </w:r>
      <w:r w:rsidR="000159A6">
        <w:t xml:space="preserve"> </w:t>
      </w:r>
      <w:r w:rsidRPr="00F36CF9">
        <w:t>coding</w:t>
      </w:r>
      <w:r w:rsidR="000159A6">
        <w:t xml:space="preserve"> </w:t>
      </w:r>
      <w:r w:rsidRPr="00F36CF9">
        <w:t>sequences</w:t>
      </w:r>
      <w:r w:rsidR="000159A6">
        <w:t xml:space="preserve"> </w:t>
      </w:r>
      <w:r w:rsidRPr="00F36CF9">
        <w:t>for</w:t>
      </w:r>
      <w:r w:rsidR="000159A6">
        <w:t xml:space="preserve"> </w:t>
      </w:r>
      <w:r w:rsidRPr="00F36CF9">
        <w:t>the</w:t>
      </w:r>
      <w:r w:rsidR="000159A6">
        <w:t xml:space="preserve"> </w:t>
      </w:r>
      <w:r w:rsidRPr="00F36CF9">
        <w:t>hydrophobic</w:t>
      </w:r>
      <w:r w:rsidR="000159A6">
        <w:t xml:space="preserve"> </w:t>
      </w:r>
      <w:r w:rsidRPr="00F36CF9">
        <w:t>transmembrane</w:t>
      </w:r>
      <w:r w:rsidR="000159A6">
        <w:t xml:space="preserve"> </w:t>
      </w:r>
      <w:r w:rsidRPr="00F36CF9">
        <w:t>domain</w:t>
      </w:r>
      <w:r w:rsidR="000159A6">
        <w:t xml:space="preserve"> </w:t>
      </w:r>
      <w:r w:rsidRPr="00F36CF9">
        <w:t>and</w:t>
      </w:r>
      <w:r w:rsidR="000159A6">
        <w:t xml:space="preserve"> </w:t>
      </w:r>
      <w:r w:rsidRPr="00F36CF9">
        <w:t>the</w:t>
      </w:r>
      <w:r w:rsidR="000159A6">
        <w:t xml:space="preserve"> </w:t>
      </w:r>
      <w:r w:rsidRPr="00F36CF9">
        <w:t>C-terminal</w:t>
      </w:r>
      <w:r w:rsidR="000159A6">
        <w:t xml:space="preserve"> </w:t>
      </w:r>
      <w:r w:rsidRPr="00F36CF9">
        <w:t>cytoplasmic</w:t>
      </w:r>
      <w:r w:rsidR="000159A6">
        <w:t xml:space="preserve"> </w:t>
      </w:r>
      <w:r w:rsidRPr="00F36CF9">
        <w:t>tail,</w:t>
      </w:r>
      <w:r w:rsidR="000159A6">
        <w:t xml:space="preserve"> </w:t>
      </w:r>
      <w:r w:rsidRPr="00F36CF9">
        <w:t>is</w:t>
      </w:r>
      <w:r w:rsidR="000159A6">
        <w:t xml:space="preserve"> </w:t>
      </w:r>
      <w:r w:rsidRPr="00F36CF9">
        <w:t>produced</w:t>
      </w:r>
      <w:r w:rsidR="000159A6">
        <w:t xml:space="preserve"> </w:t>
      </w:r>
      <w:r w:rsidRPr="00F36CF9">
        <w:t>by</w:t>
      </w:r>
      <w:r w:rsidR="000159A6">
        <w:t xml:space="preserve"> </w:t>
      </w:r>
      <w:r w:rsidRPr="00F36CF9">
        <w:t>recombinant</w:t>
      </w:r>
      <w:r w:rsidR="000159A6">
        <w:t xml:space="preserve"> </w:t>
      </w:r>
      <w:r w:rsidRPr="00F36CF9">
        <w:t>DNA</w:t>
      </w:r>
      <w:r w:rsidR="000159A6">
        <w:t xml:space="preserve"> </w:t>
      </w:r>
      <w:r w:rsidRPr="00F36CF9">
        <w:t>technology</w:t>
      </w:r>
      <w:r w:rsidR="000159A6">
        <w:t xml:space="preserve"> </w:t>
      </w:r>
      <w:r w:rsidRPr="00F36CF9">
        <w:t>in</w:t>
      </w:r>
      <w:r w:rsidR="000159A6">
        <w:t xml:space="preserve"> </w:t>
      </w:r>
      <w:r w:rsidRPr="00F36CF9">
        <w:t>CHO-K1</w:t>
      </w:r>
      <w:r w:rsidR="000159A6">
        <w:t xml:space="preserve"> </w:t>
      </w:r>
      <w:r w:rsidRPr="00F36CF9">
        <w:t>cells</w:t>
      </w:r>
      <w:r>
        <w:t>.</w:t>
      </w:r>
      <w:r w:rsidR="000159A6">
        <w:t xml:space="preserve"> </w:t>
      </w:r>
      <w:r w:rsidRPr="00F36CF9">
        <w:t>Elimination</w:t>
      </w:r>
      <w:r w:rsidR="000159A6">
        <w:t xml:space="preserve"> </w:t>
      </w:r>
      <w:r w:rsidRPr="00F36CF9">
        <w:t>of</w:t>
      </w:r>
      <w:r w:rsidR="000159A6">
        <w:t xml:space="preserve"> </w:t>
      </w:r>
      <w:r w:rsidRPr="00F36CF9">
        <w:t>the</w:t>
      </w:r>
      <w:r w:rsidR="000159A6">
        <w:t xml:space="preserve"> </w:t>
      </w:r>
      <w:r w:rsidRPr="00F36CF9">
        <w:t>transmembrane</w:t>
      </w:r>
      <w:r w:rsidR="000159A6">
        <w:t xml:space="preserve"> </w:t>
      </w:r>
      <w:r w:rsidRPr="00F36CF9">
        <w:t>anchor</w:t>
      </w:r>
      <w:r w:rsidR="000159A6">
        <w:t xml:space="preserve"> </w:t>
      </w:r>
      <w:r w:rsidRPr="00F36CF9">
        <w:t>domain-coding</w:t>
      </w:r>
      <w:r w:rsidR="000159A6">
        <w:t xml:space="preserve"> </w:t>
      </w:r>
      <w:r w:rsidRPr="00F36CF9">
        <w:t>sequence</w:t>
      </w:r>
      <w:r w:rsidR="000159A6">
        <w:t xml:space="preserve"> </w:t>
      </w:r>
      <w:r w:rsidRPr="00F36CF9">
        <w:t>facilitates</w:t>
      </w:r>
      <w:r w:rsidR="000159A6">
        <w:t xml:space="preserve"> </w:t>
      </w:r>
      <w:r w:rsidRPr="00F36CF9">
        <w:t>the</w:t>
      </w:r>
      <w:r w:rsidR="000159A6">
        <w:t xml:space="preserve"> </w:t>
      </w:r>
      <w:r w:rsidRPr="00F36CF9">
        <w:t>secretion</w:t>
      </w:r>
      <w:r w:rsidR="000159A6">
        <w:t xml:space="preserve"> </w:t>
      </w:r>
      <w:r w:rsidRPr="00F36CF9">
        <w:t>of</w:t>
      </w:r>
      <w:r w:rsidR="000159A6">
        <w:t xml:space="preserve"> </w:t>
      </w:r>
      <w:r w:rsidRPr="00F36CF9">
        <w:t>t</w:t>
      </w:r>
      <w:r>
        <w:t>he</w:t>
      </w:r>
      <w:r w:rsidR="000159A6">
        <w:t xml:space="preserve"> </w:t>
      </w:r>
      <w:r>
        <w:t>recombinant</w:t>
      </w:r>
      <w:r w:rsidR="000159A6">
        <w:t xml:space="preserve"> </w:t>
      </w:r>
      <w:r>
        <w:t>protein.</w:t>
      </w:r>
    </w:p>
    <w:p w14:paraId="4DF64EC6" w14:textId="49F3DE4F" w:rsidR="00F61B2D" w:rsidRDefault="00F61B2D" w:rsidP="00F61B2D">
      <w:pPr>
        <w:pStyle w:val="Heading3"/>
      </w:pPr>
      <w:bookmarkStart w:id="31" w:name="_Toc1049803"/>
      <w:r w:rsidRPr="008751DC">
        <w:t>Drug</w:t>
      </w:r>
      <w:r w:rsidR="000159A6">
        <w:t xml:space="preserve"> </w:t>
      </w:r>
      <w:r>
        <w:t>s</w:t>
      </w:r>
      <w:r w:rsidRPr="008751DC">
        <w:t>ubstance</w:t>
      </w:r>
      <w:r w:rsidR="000159A6">
        <w:t xml:space="preserve"> </w:t>
      </w:r>
      <w:r>
        <w:t>(active</w:t>
      </w:r>
      <w:r w:rsidR="000159A6">
        <w:t xml:space="preserve"> </w:t>
      </w:r>
      <w:r>
        <w:t>ingredient)</w:t>
      </w:r>
      <w:bookmarkEnd w:id="31"/>
    </w:p>
    <w:p w14:paraId="1C211405" w14:textId="614A9306" w:rsidR="005A0BA4" w:rsidRPr="00F61B2D" w:rsidRDefault="00FF12AA" w:rsidP="00CC47E8">
      <w:r>
        <w:t>The</w:t>
      </w:r>
      <w:r w:rsidR="000159A6">
        <w:t xml:space="preserve"> </w:t>
      </w:r>
      <w:r>
        <w:t>drug</w:t>
      </w:r>
      <w:r w:rsidR="000159A6">
        <w:t xml:space="preserve"> </w:t>
      </w:r>
      <w:r>
        <w:t>substance</w:t>
      </w:r>
      <w:r w:rsidR="000159A6">
        <w:t xml:space="preserve"> </w:t>
      </w:r>
      <w:r w:rsidR="00F61B2D" w:rsidRPr="00F61B2D">
        <w:t>of</w:t>
      </w:r>
      <w:r w:rsidR="000159A6">
        <w:t xml:space="preserve"> </w:t>
      </w:r>
      <w:r w:rsidR="00F61B2D" w:rsidRPr="00F61B2D">
        <w:t>the</w:t>
      </w:r>
      <w:r w:rsidR="000159A6">
        <w:t xml:space="preserve"> </w:t>
      </w:r>
      <w:r w:rsidR="00F61B2D" w:rsidRPr="00F61B2D">
        <w:t>recombinant</w:t>
      </w:r>
      <w:r w:rsidR="000159A6">
        <w:t xml:space="preserve"> </w:t>
      </w:r>
      <w:r w:rsidR="00F61B2D" w:rsidRPr="00F61B2D">
        <w:t>VZV</w:t>
      </w:r>
      <w:r w:rsidR="000159A6">
        <w:t xml:space="preserve"> </w:t>
      </w:r>
      <w:r w:rsidR="00F61B2D" w:rsidRPr="00F61B2D">
        <w:t>glycoprotein</w:t>
      </w:r>
      <w:r w:rsidR="000159A6">
        <w:t xml:space="preserve"> </w:t>
      </w:r>
      <w:r w:rsidR="00F61B2D" w:rsidRPr="00F61B2D">
        <w:t>E</w:t>
      </w:r>
      <w:r w:rsidR="000159A6">
        <w:t xml:space="preserve"> </w:t>
      </w:r>
      <w:r w:rsidR="00F61B2D" w:rsidRPr="00F61B2D">
        <w:t>(gE)</w:t>
      </w:r>
      <w:r w:rsidR="000159A6">
        <w:t xml:space="preserve"> </w:t>
      </w:r>
      <w:r w:rsidRPr="00F61B2D">
        <w:t>purified</w:t>
      </w:r>
      <w:r w:rsidR="000159A6">
        <w:t xml:space="preserve"> </w:t>
      </w:r>
      <w:r w:rsidRPr="00F61B2D">
        <w:t>bulk</w:t>
      </w:r>
      <w:r w:rsidR="000159A6">
        <w:t xml:space="preserve"> </w:t>
      </w:r>
      <w:r w:rsidR="00F61B2D" w:rsidRPr="00F61B2D">
        <w:t>is</w:t>
      </w:r>
      <w:r w:rsidR="000159A6">
        <w:t xml:space="preserve"> </w:t>
      </w:r>
      <w:r w:rsidR="00F61B2D" w:rsidRPr="00F61B2D">
        <w:t>produced</w:t>
      </w:r>
      <w:r w:rsidR="000159A6">
        <w:t xml:space="preserve"> </w:t>
      </w:r>
      <w:r w:rsidR="00F61B2D" w:rsidRPr="00F61B2D">
        <w:t>by</w:t>
      </w:r>
      <w:r w:rsidR="000159A6">
        <w:t xml:space="preserve"> </w:t>
      </w:r>
      <w:r w:rsidR="00F61B2D" w:rsidRPr="00F61B2D">
        <w:t>using</w:t>
      </w:r>
      <w:r w:rsidR="000159A6">
        <w:t xml:space="preserve"> </w:t>
      </w:r>
      <w:r w:rsidR="00F61B2D" w:rsidRPr="00F61B2D">
        <w:t>a</w:t>
      </w:r>
      <w:r w:rsidR="000159A6">
        <w:t xml:space="preserve"> </w:t>
      </w:r>
      <w:r w:rsidR="00F61B2D" w:rsidRPr="00F61B2D">
        <w:t>cell</w:t>
      </w:r>
      <w:r w:rsidR="000159A6">
        <w:t xml:space="preserve"> </w:t>
      </w:r>
      <w:r w:rsidR="00F61B2D" w:rsidRPr="00F61B2D">
        <w:t>culture,</w:t>
      </w:r>
      <w:r w:rsidR="000159A6">
        <w:t xml:space="preserve"> </w:t>
      </w:r>
      <w:r w:rsidR="00F61B2D" w:rsidRPr="00F61B2D">
        <w:t>harvested</w:t>
      </w:r>
      <w:r w:rsidR="000159A6">
        <w:t xml:space="preserve"> </w:t>
      </w:r>
      <w:r w:rsidR="00F61B2D" w:rsidRPr="00F61B2D">
        <w:t>via</w:t>
      </w:r>
      <w:r w:rsidR="000159A6">
        <w:t xml:space="preserve"> </w:t>
      </w:r>
      <w:r w:rsidR="00F61B2D" w:rsidRPr="00F61B2D">
        <w:t>filtration,</w:t>
      </w:r>
      <w:r w:rsidR="000159A6">
        <w:t xml:space="preserve"> </w:t>
      </w:r>
      <w:r w:rsidR="00F61B2D" w:rsidRPr="00F61B2D">
        <w:t>and</w:t>
      </w:r>
      <w:r w:rsidR="000159A6">
        <w:t xml:space="preserve"> </w:t>
      </w:r>
      <w:r w:rsidR="00F61B2D" w:rsidRPr="00F61B2D">
        <w:t>purified</w:t>
      </w:r>
      <w:r w:rsidR="000159A6">
        <w:t xml:space="preserve"> </w:t>
      </w:r>
      <w:r w:rsidR="00F61B2D" w:rsidRPr="00F61B2D">
        <w:t>through</w:t>
      </w:r>
      <w:r w:rsidR="000159A6">
        <w:t xml:space="preserve"> </w:t>
      </w:r>
      <w:r w:rsidR="00F61B2D" w:rsidRPr="00F61B2D">
        <w:t>a</w:t>
      </w:r>
      <w:r w:rsidR="000159A6">
        <w:t xml:space="preserve"> </w:t>
      </w:r>
      <w:r w:rsidR="00F61B2D" w:rsidRPr="00F61B2D">
        <w:t>series</w:t>
      </w:r>
      <w:r w:rsidR="000159A6">
        <w:t xml:space="preserve"> </w:t>
      </w:r>
      <w:r w:rsidR="00F61B2D" w:rsidRPr="00F61B2D">
        <w:t>of</w:t>
      </w:r>
      <w:r w:rsidR="000159A6">
        <w:t xml:space="preserve"> </w:t>
      </w:r>
      <w:r w:rsidR="00E51C07">
        <w:t>purification</w:t>
      </w:r>
      <w:r w:rsidR="000159A6">
        <w:t xml:space="preserve"> </w:t>
      </w:r>
      <w:r w:rsidR="00E51C07">
        <w:lastRenderedPageBreak/>
        <w:t>steps,</w:t>
      </w:r>
      <w:r w:rsidR="000159A6">
        <w:t xml:space="preserve"> </w:t>
      </w:r>
      <w:r w:rsidR="00E51C07">
        <w:t>including</w:t>
      </w:r>
      <w:r w:rsidR="000159A6">
        <w:t xml:space="preserve"> </w:t>
      </w:r>
      <w:r w:rsidR="00F61B2D" w:rsidRPr="00F61B2D">
        <w:t>chromatography</w:t>
      </w:r>
      <w:r w:rsidR="000159A6">
        <w:t xml:space="preserve"> </w:t>
      </w:r>
      <w:r w:rsidR="00F61B2D" w:rsidRPr="00F61B2D">
        <w:t>columns.</w:t>
      </w:r>
      <w:r w:rsidR="000159A6">
        <w:t xml:space="preserve"> </w:t>
      </w:r>
      <w:r w:rsidR="00F61B2D" w:rsidRPr="00F61B2D">
        <w:t>After</w:t>
      </w:r>
      <w:r w:rsidR="000159A6">
        <w:t xml:space="preserve"> </w:t>
      </w:r>
      <w:r w:rsidR="00F61B2D" w:rsidRPr="00F61B2D">
        <w:t>post</w:t>
      </w:r>
      <w:r w:rsidR="000159A6">
        <w:t xml:space="preserve"> </w:t>
      </w:r>
      <w:r w:rsidR="00F61B2D" w:rsidRPr="00F61B2D">
        <w:t>purification</w:t>
      </w:r>
      <w:r w:rsidR="000159A6">
        <w:t xml:space="preserve"> </w:t>
      </w:r>
      <w:r w:rsidR="00F61B2D" w:rsidRPr="00F61B2D">
        <w:t>filtration,</w:t>
      </w:r>
      <w:r w:rsidR="000159A6">
        <w:t xml:space="preserve"> </w:t>
      </w:r>
      <w:r w:rsidR="00F61B2D" w:rsidRPr="00F61B2D">
        <w:t>the</w:t>
      </w:r>
      <w:r w:rsidR="000159A6">
        <w:t xml:space="preserve"> </w:t>
      </w:r>
      <w:r w:rsidRPr="00F61B2D">
        <w:t>purified</w:t>
      </w:r>
      <w:r w:rsidR="000159A6">
        <w:t xml:space="preserve"> </w:t>
      </w:r>
      <w:r w:rsidRPr="00F61B2D">
        <w:t>bulk</w:t>
      </w:r>
      <w:r w:rsidR="000159A6">
        <w:t xml:space="preserve"> </w:t>
      </w:r>
      <w:r w:rsidR="00F61B2D" w:rsidRPr="00F61B2D">
        <w:t>is</w:t>
      </w:r>
      <w:r w:rsidR="000159A6">
        <w:t xml:space="preserve"> </w:t>
      </w:r>
      <w:r w:rsidR="00F61B2D" w:rsidRPr="00F61B2D">
        <w:t>stored</w:t>
      </w:r>
      <w:r w:rsidR="000159A6">
        <w:t xml:space="preserve"> </w:t>
      </w:r>
      <w:r w:rsidR="00F61B2D" w:rsidRPr="00F61B2D">
        <w:t>at</w:t>
      </w:r>
      <w:r w:rsidR="000159A6">
        <w:t xml:space="preserve"> </w:t>
      </w:r>
      <w:r w:rsidR="00F61B2D" w:rsidRPr="00F61B2D">
        <w:t>-45</w:t>
      </w:r>
      <w:r w:rsidR="000159A6">
        <w:t xml:space="preserve"> </w:t>
      </w:r>
      <w:r>
        <w:t>±</w:t>
      </w:r>
      <w:r w:rsidR="000159A6">
        <w:t xml:space="preserve"> </w:t>
      </w:r>
      <w:r w:rsidR="00F61B2D" w:rsidRPr="00F61B2D">
        <w:t>10</w:t>
      </w:r>
      <w:r>
        <w:t>°C</w:t>
      </w:r>
      <w:r w:rsidR="00F61B2D" w:rsidRPr="00F61B2D">
        <w:t>.</w:t>
      </w:r>
    </w:p>
    <w:p w14:paraId="2B73B734" w14:textId="06BE3D07" w:rsidR="00F61B2D" w:rsidRPr="00F61B2D" w:rsidRDefault="00F61B2D" w:rsidP="00F61B2D">
      <w:r w:rsidRPr="00F61B2D">
        <w:t>One</w:t>
      </w:r>
      <w:r w:rsidR="000159A6">
        <w:t xml:space="preserve"> </w:t>
      </w:r>
      <w:r w:rsidRPr="00F61B2D">
        <w:t>single</w:t>
      </w:r>
      <w:r w:rsidR="000159A6">
        <w:t xml:space="preserve"> </w:t>
      </w:r>
      <w:r w:rsidRPr="00F61B2D">
        <w:t>cell</w:t>
      </w:r>
      <w:r w:rsidR="000159A6">
        <w:t xml:space="preserve"> </w:t>
      </w:r>
      <w:r w:rsidRPr="00F61B2D">
        <w:t>culture</w:t>
      </w:r>
      <w:r w:rsidR="000159A6">
        <w:t xml:space="preserve"> </w:t>
      </w:r>
      <w:r w:rsidRPr="00F61B2D">
        <w:t>provides</w:t>
      </w:r>
      <w:r w:rsidR="000159A6">
        <w:t xml:space="preserve"> </w:t>
      </w:r>
      <w:r w:rsidRPr="00F61B2D">
        <w:t>one</w:t>
      </w:r>
      <w:r w:rsidR="000159A6">
        <w:t xml:space="preserve"> </w:t>
      </w:r>
      <w:r w:rsidRPr="00F61B2D">
        <w:t>single</w:t>
      </w:r>
      <w:r w:rsidR="000159A6">
        <w:t xml:space="preserve"> </w:t>
      </w:r>
      <w:r w:rsidRPr="00F61B2D">
        <w:t>harvest</w:t>
      </w:r>
      <w:r w:rsidR="000159A6">
        <w:t xml:space="preserve"> </w:t>
      </w:r>
      <w:r w:rsidRPr="00F61B2D">
        <w:t>(intermediate)</w:t>
      </w:r>
      <w:r w:rsidR="000159A6">
        <w:t xml:space="preserve"> </w:t>
      </w:r>
      <w:r w:rsidRPr="00F61B2D">
        <w:t>on</w:t>
      </w:r>
      <w:r w:rsidR="000159A6">
        <w:t xml:space="preserve"> </w:t>
      </w:r>
      <w:r w:rsidRPr="00F61B2D">
        <w:t>which</w:t>
      </w:r>
      <w:r w:rsidR="000159A6">
        <w:t xml:space="preserve"> </w:t>
      </w:r>
      <w:r w:rsidRPr="00F61B2D">
        <w:t>one</w:t>
      </w:r>
      <w:r w:rsidR="000159A6">
        <w:t xml:space="preserve"> </w:t>
      </w:r>
      <w:r w:rsidRPr="00F61B2D">
        <w:t>single</w:t>
      </w:r>
      <w:r w:rsidR="000159A6">
        <w:t xml:space="preserve"> </w:t>
      </w:r>
      <w:r w:rsidRPr="00F61B2D">
        <w:t>clarification</w:t>
      </w:r>
      <w:r w:rsidR="000159A6">
        <w:t xml:space="preserve"> </w:t>
      </w:r>
      <w:r w:rsidRPr="00F61B2D">
        <w:t>is</w:t>
      </w:r>
      <w:r w:rsidR="000159A6">
        <w:t xml:space="preserve"> </w:t>
      </w:r>
      <w:r w:rsidRPr="00F61B2D">
        <w:t>performed.</w:t>
      </w:r>
      <w:r w:rsidR="000159A6">
        <w:t xml:space="preserve"> </w:t>
      </w:r>
      <w:r w:rsidRPr="00F61B2D">
        <w:t>From</w:t>
      </w:r>
      <w:r w:rsidR="000159A6">
        <w:t xml:space="preserve"> </w:t>
      </w:r>
      <w:r w:rsidRPr="00F61B2D">
        <w:t>this,</w:t>
      </w:r>
      <w:r w:rsidR="000159A6">
        <w:t xml:space="preserve"> </w:t>
      </w:r>
      <w:r w:rsidRPr="00F61B2D">
        <w:t>one</w:t>
      </w:r>
      <w:r w:rsidR="000159A6">
        <w:t xml:space="preserve"> </w:t>
      </w:r>
      <w:r w:rsidRPr="00F61B2D">
        <w:t>single</w:t>
      </w:r>
      <w:r w:rsidR="000159A6">
        <w:t xml:space="preserve"> </w:t>
      </w:r>
      <w:r w:rsidRPr="00F61B2D">
        <w:t>purification</w:t>
      </w:r>
      <w:r w:rsidR="000159A6">
        <w:t xml:space="preserve"> </w:t>
      </w:r>
      <w:r w:rsidRPr="00F61B2D">
        <w:t>is</w:t>
      </w:r>
      <w:r w:rsidR="000159A6">
        <w:t xml:space="preserve"> </w:t>
      </w:r>
      <w:r w:rsidRPr="00F61B2D">
        <w:t>performed</w:t>
      </w:r>
      <w:r w:rsidR="000159A6">
        <w:t xml:space="preserve"> </w:t>
      </w:r>
      <w:r w:rsidRPr="00F61B2D">
        <w:t>to</w:t>
      </w:r>
      <w:r w:rsidR="000159A6">
        <w:t xml:space="preserve"> </w:t>
      </w:r>
      <w:r w:rsidRPr="00F61B2D">
        <w:t>obtain</w:t>
      </w:r>
      <w:r w:rsidR="000159A6">
        <w:t xml:space="preserve"> </w:t>
      </w:r>
      <w:r w:rsidRPr="00F61B2D">
        <w:t>one</w:t>
      </w:r>
      <w:r w:rsidR="000159A6">
        <w:t xml:space="preserve"> </w:t>
      </w:r>
      <w:r w:rsidRPr="00F61B2D">
        <w:t>batch</w:t>
      </w:r>
      <w:r w:rsidR="000159A6">
        <w:t xml:space="preserve"> </w:t>
      </w:r>
      <w:r w:rsidRPr="00F61B2D">
        <w:t>of</w:t>
      </w:r>
      <w:r w:rsidR="000159A6">
        <w:t xml:space="preserve"> </w:t>
      </w:r>
      <w:proofErr w:type="gramStart"/>
      <w:r w:rsidRPr="00F61B2D">
        <w:t>gE</w:t>
      </w:r>
      <w:proofErr w:type="gramEnd"/>
      <w:r w:rsidR="000159A6">
        <w:t xml:space="preserve"> </w:t>
      </w:r>
      <w:r w:rsidR="00E51C07">
        <w:t>purified</w:t>
      </w:r>
      <w:r w:rsidR="000159A6">
        <w:t xml:space="preserve"> </w:t>
      </w:r>
      <w:r w:rsidRPr="00F61B2D">
        <w:t>bulk</w:t>
      </w:r>
      <w:r w:rsidR="000159A6">
        <w:t xml:space="preserve"> </w:t>
      </w:r>
      <w:r w:rsidRPr="00F61B2D">
        <w:t>antigen.</w:t>
      </w:r>
    </w:p>
    <w:p w14:paraId="4AC83B85" w14:textId="7D9FAF12" w:rsidR="005A0BA4" w:rsidRPr="00F61B2D" w:rsidRDefault="00F61B2D" w:rsidP="00F61B2D">
      <w:r w:rsidRPr="00F61B2D">
        <w:t>The</w:t>
      </w:r>
      <w:r w:rsidR="000159A6">
        <w:t xml:space="preserve"> </w:t>
      </w:r>
      <w:r w:rsidRPr="00F61B2D">
        <w:t>manufacturing</w:t>
      </w:r>
      <w:r w:rsidR="000159A6">
        <w:t xml:space="preserve"> </w:t>
      </w:r>
      <w:r w:rsidRPr="00F61B2D">
        <w:t>is</w:t>
      </w:r>
      <w:r w:rsidR="000159A6">
        <w:t xml:space="preserve"> </w:t>
      </w:r>
      <w:r w:rsidRPr="00F61B2D">
        <w:t>performed</w:t>
      </w:r>
      <w:r w:rsidR="000159A6">
        <w:t xml:space="preserve"> </w:t>
      </w:r>
      <w:r w:rsidRPr="00F61B2D">
        <w:t>according</w:t>
      </w:r>
      <w:r w:rsidR="000159A6">
        <w:t xml:space="preserve"> </w:t>
      </w:r>
      <w:r w:rsidRPr="00F61B2D">
        <w:t>to</w:t>
      </w:r>
      <w:r w:rsidR="000159A6">
        <w:t xml:space="preserve"> </w:t>
      </w:r>
      <w:r w:rsidR="00FF12AA">
        <w:t>good</w:t>
      </w:r>
      <w:r w:rsidR="000159A6">
        <w:t xml:space="preserve"> </w:t>
      </w:r>
      <w:r w:rsidR="00FF12AA">
        <w:t>manufacturing</w:t>
      </w:r>
      <w:r w:rsidR="000159A6">
        <w:t xml:space="preserve"> </w:t>
      </w:r>
      <w:r w:rsidR="00FF12AA">
        <w:t>practice</w:t>
      </w:r>
      <w:r w:rsidR="000159A6">
        <w:t xml:space="preserve"> </w:t>
      </w:r>
      <w:r w:rsidR="00FF12AA">
        <w:t>(</w:t>
      </w:r>
      <w:r w:rsidRPr="00F61B2D">
        <w:t>GMP</w:t>
      </w:r>
      <w:r w:rsidR="00FF12AA">
        <w:t>)</w:t>
      </w:r>
      <w:r w:rsidR="000159A6">
        <w:t xml:space="preserve"> </w:t>
      </w:r>
      <w:r w:rsidRPr="00F61B2D">
        <w:t>requirements.</w:t>
      </w:r>
    </w:p>
    <w:p w14:paraId="1E0EDCE0" w14:textId="4F7DF99F" w:rsidR="00F61B2D" w:rsidRPr="00F61B2D" w:rsidRDefault="00F61B2D" w:rsidP="00F61B2D">
      <w:r w:rsidRPr="00F61B2D">
        <w:t>There</w:t>
      </w:r>
      <w:r w:rsidR="000159A6">
        <w:t xml:space="preserve"> </w:t>
      </w:r>
      <w:r w:rsidRPr="00F61B2D">
        <w:t>were</w:t>
      </w:r>
      <w:r w:rsidR="000159A6">
        <w:t xml:space="preserve"> </w:t>
      </w:r>
      <w:r w:rsidRPr="00F61B2D">
        <w:t>no</w:t>
      </w:r>
      <w:r w:rsidR="000159A6">
        <w:t xml:space="preserve"> </w:t>
      </w:r>
      <w:r w:rsidRPr="00F61B2D">
        <w:t>issues</w:t>
      </w:r>
      <w:r w:rsidR="000159A6">
        <w:t xml:space="preserve"> </w:t>
      </w:r>
      <w:r w:rsidRPr="00F61B2D">
        <w:t>pertaining</w:t>
      </w:r>
      <w:r w:rsidR="000159A6">
        <w:t xml:space="preserve"> </w:t>
      </w:r>
      <w:r w:rsidRPr="00F61B2D">
        <w:t>to</w:t>
      </w:r>
      <w:r w:rsidR="000159A6">
        <w:t xml:space="preserve"> </w:t>
      </w:r>
      <w:r w:rsidRPr="00F61B2D">
        <w:t>manufacture</w:t>
      </w:r>
      <w:r w:rsidR="000159A6">
        <w:t xml:space="preserve"> </w:t>
      </w:r>
      <w:r w:rsidRPr="00F61B2D">
        <w:t>or</w:t>
      </w:r>
      <w:r w:rsidR="000159A6">
        <w:t xml:space="preserve"> </w:t>
      </w:r>
      <w:r w:rsidRPr="00F61B2D">
        <w:t>manufacturer</w:t>
      </w:r>
      <w:r w:rsidR="000159A6">
        <w:t xml:space="preserve"> </w:t>
      </w:r>
      <w:r w:rsidRPr="00F61B2D">
        <w:t>of</w:t>
      </w:r>
      <w:r w:rsidR="000159A6">
        <w:t xml:space="preserve"> </w:t>
      </w:r>
      <w:r w:rsidRPr="00F61B2D">
        <w:t>the</w:t>
      </w:r>
      <w:r w:rsidR="000159A6">
        <w:t xml:space="preserve"> </w:t>
      </w:r>
      <w:r w:rsidRPr="00F61B2D">
        <w:t>product.</w:t>
      </w:r>
    </w:p>
    <w:p w14:paraId="39A34E4C" w14:textId="1FF491BD" w:rsidR="00F61B2D" w:rsidRPr="00F61B2D" w:rsidRDefault="00F61B2D" w:rsidP="00CC47E8">
      <w:r w:rsidRPr="00F61B2D">
        <w:t>The</w:t>
      </w:r>
      <w:r w:rsidR="000159A6">
        <w:t xml:space="preserve"> </w:t>
      </w:r>
      <w:r w:rsidRPr="00F61B2D">
        <w:t>release</w:t>
      </w:r>
      <w:r w:rsidR="000159A6">
        <w:t xml:space="preserve"> </w:t>
      </w:r>
      <w:r w:rsidRPr="00F61B2D">
        <w:t>specifications</w:t>
      </w:r>
      <w:r w:rsidR="000159A6">
        <w:t xml:space="preserve"> </w:t>
      </w:r>
      <w:r w:rsidRPr="00F61B2D">
        <w:t>for</w:t>
      </w:r>
      <w:r w:rsidR="000159A6">
        <w:t xml:space="preserve"> </w:t>
      </w:r>
      <w:proofErr w:type="gramStart"/>
      <w:r w:rsidRPr="00F61B2D">
        <w:t>gE</w:t>
      </w:r>
      <w:proofErr w:type="gramEnd"/>
      <w:r w:rsidR="000159A6">
        <w:t xml:space="preserve"> </w:t>
      </w:r>
      <w:r w:rsidRPr="00F61B2D">
        <w:t>purified</w:t>
      </w:r>
      <w:r w:rsidR="000159A6">
        <w:t xml:space="preserve"> </w:t>
      </w:r>
      <w:r w:rsidRPr="00F61B2D">
        <w:t>bulk</w:t>
      </w:r>
      <w:r w:rsidR="000159A6">
        <w:t xml:space="preserve"> </w:t>
      </w:r>
      <w:r w:rsidRPr="00F61B2D">
        <w:t>are</w:t>
      </w:r>
      <w:r w:rsidR="000159A6">
        <w:t xml:space="preserve"> </w:t>
      </w:r>
      <w:r w:rsidRPr="00F61B2D">
        <w:t>according</w:t>
      </w:r>
      <w:r w:rsidR="000159A6">
        <w:t xml:space="preserve"> </w:t>
      </w:r>
      <w:r w:rsidRPr="00F61B2D">
        <w:t>to</w:t>
      </w:r>
      <w:r w:rsidR="000159A6">
        <w:t xml:space="preserve"> </w:t>
      </w:r>
      <w:r w:rsidRPr="00F61B2D">
        <w:t>company</w:t>
      </w:r>
      <w:r w:rsidR="000159A6">
        <w:t xml:space="preserve"> </w:t>
      </w:r>
      <w:r w:rsidRPr="00F61B2D">
        <w:t>specifications.</w:t>
      </w:r>
      <w:r w:rsidR="000159A6">
        <w:t xml:space="preserve"> </w:t>
      </w:r>
      <w:r w:rsidRPr="00F61B2D">
        <w:t>There</w:t>
      </w:r>
      <w:r w:rsidR="000159A6">
        <w:t xml:space="preserve"> </w:t>
      </w:r>
      <w:r w:rsidRPr="00F61B2D">
        <w:t>were</w:t>
      </w:r>
      <w:r w:rsidR="000159A6">
        <w:t xml:space="preserve"> </w:t>
      </w:r>
      <w:r w:rsidRPr="00F61B2D">
        <w:t>no</w:t>
      </w:r>
      <w:r w:rsidR="000159A6">
        <w:t xml:space="preserve"> </w:t>
      </w:r>
      <w:r w:rsidRPr="00F61B2D">
        <w:t>issues</w:t>
      </w:r>
      <w:r w:rsidR="000159A6">
        <w:t xml:space="preserve"> </w:t>
      </w:r>
      <w:r w:rsidRPr="00F61B2D">
        <w:t>pertaining</w:t>
      </w:r>
      <w:r w:rsidR="000159A6">
        <w:t xml:space="preserve"> </w:t>
      </w:r>
      <w:r w:rsidRPr="00F61B2D">
        <w:t>to</w:t>
      </w:r>
      <w:r w:rsidR="000159A6">
        <w:t xml:space="preserve"> </w:t>
      </w:r>
      <w:r w:rsidRPr="00F61B2D">
        <w:t>specifications.</w:t>
      </w:r>
    </w:p>
    <w:p w14:paraId="78E5BBDD" w14:textId="650FB5F6" w:rsidR="005C0A6F" w:rsidRDefault="008E7846" w:rsidP="008E7846">
      <w:pPr>
        <w:pStyle w:val="Heading3"/>
      </w:pPr>
      <w:bookmarkStart w:id="32" w:name="_Toc247691508"/>
      <w:bookmarkStart w:id="33" w:name="_Toc314842490"/>
      <w:bookmarkStart w:id="34" w:name="_Toc1049804"/>
      <w:r w:rsidRPr="008751DC">
        <w:t>Drug</w:t>
      </w:r>
      <w:r w:rsidR="000159A6">
        <w:t xml:space="preserve"> </w:t>
      </w:r>
      <w:r>
        <w:t>p</w:t>
      </w:r>
      <w:r w:rsidRPr="008751DC">
        <w:t>roduct</w:t>
      </w:r>
      <w:bookmarkEnd w:id="32"/>
      <w:bookmarkEnd w:id="33"/>
      <w:bookmarkEnd w:id="34"/>
    </w:p>
    <w:p w14:paraId="23CC8190" w14:textId="6AF05B3F" w:rsidR="00FF12AA" w:rsidRDefault="00FF12AA" w:rsidP="00CC47E8">
      <w:r>
        <w:t>The</w:t>
      </w:r>
      <w:r w:rsidR="000159A6">
        <w:t xml:space="preserve"> </w:t>
      </w:r>
      <w:r>
        <w:t>vaccine</w:t>
      </w:r>
      <w:r w:rsidR="000159A6">
        <w:t xml:space="preserve"> </w:t>
      </w:r>
      <w:r>
        <w:t>is</w:t>
      </w:r>
      <w:r w:rsidR="000159A6">
        <w:t xml:space="preserve"> </w:t>
      </w:r>
      <w:r>
        <w:t>provided</w:t>
      </w:r>
      <w:r w:rsidR="000159A6">
        <w:t xml:space="preserve"> </w:t>
      </w:r>
      <w:r>
        <w:t>as</w:t>
      </w:r>
      <w:r w:rsidR="000159A6">
        <w:t xml:space="preserve"> </w:t>
      </w:r>
      <w:r>
        <w:t>a</w:t>
      </w:r>
      <w:r w:rsidR="000159A6">
        <w:t xml:space="preserve"> </w:t>
      </w:r>
      <w:r>
        <w:t>lyophilised</w:t>
      </w:r>
      <w:r w:rsidR="000159A6">
        <w:t xml:space="preserve"> </w:t>
      </w:r>
      <w:r>
        <w:t>powder</w:t>
      </w:r>
      <w:r w:rsidR="000159A6">
        <w:t xml:space="preserve"> </w:t>
      </w:r>
      <w:r>
        <w:t>in</w:t>
      </w:r>
      <w:r w:rsidR="000159A6">
        <w:t xml:space="preserve"> </w:t>
      </w:r>
      <w:r>
        <w:t>a</w:t>
      </w:r>
      <w:r w:rsidR="000159A6">
        <w:t xml:space="preserve"> </w:t>
      </w:r>
      <w:r>
        <w:t>vial</w:t>
      </w:r>
      <w:r w:rsidR="000159A6">
        <w:t xml:space="preserve"> </w:t>
      </w:r>
      <w:r>
        <w:t>with</w:t>
      </w:r>
      <w:r w:rsidR="000159A6">
        <w:t xml:space="preserve"> </w:t>
      </w:r>
      <w:r>
        <w:t>a</w:t>
      </w:r>
      <w:r w:rsidR="000159A6">
        <w:t xml:space="preserve"> </w:t>
      </w:r>
      <w:r>
        <w:t>suspension</w:t>
      </w:r>
      <w:r w:rsidR="000159A6">
        <w:t xml:space="preserve"> </w:t>
      </w:r>
      <w:r>
        <w:t>solution</w:t>
      </w:r>
      <w:r w:rsidR="000159A6">
        <w:t xml:space="preserve"> </w:t>
      </w:r>
      <w:r>
        <w:t>used</w:t>
      </w:r>
      <w:r w:rsidR="000159A6">
        <w:t xml:space="preserve"> </w:t>
      </w:r>
      <w:r>
        <w:t>for</w:t>
      </w:r>
      <w:r w:rsidR="000159A6">
        <w:t xml:space="preserve"> </w:t>
      </w:r>
      <w:r>
        <w:t>suspension</w:t>
      </w:r>
      <w:r w:rsidR="000159A6">
        <w:t xml:space="preserve"> </w:t>
      </w:r>
      <w:r>
        <w:t>of</w:t>
      </w:r>
      <w:r w:rsidR="000159A6">
        <w:t xml:space="preserve"> </w:t>
      </w:r>
      <w:r>
        <w:t>the</w:t>
      </w:r>
      <w:r w:rsidR="000159A6">
        <w:t xml:space="preserve"> </w:t>
      </w:r>
      <w:r>
        <w:t>powder</w:t>
      </w:r>
      <w:r w:rsidR="000159A6">
        <w:t xml:space="preserve"> </w:t>
      </w:r>
      <w:r>
        <w:t>in</w:t>
      </w:r>
      <w:r w:rsidR="000159A6">
        <w:t xml:space="preserve"> </w:t>
      </w:r>
      <w:r>
        <w:t>a</w:t>
      </w:r>
      <w:r w:rsidR="000159A6">
        <w:t xml:space="preserve"> </w:t>
      </w:r>
      <w:r>
        <w:t>separate</w:t>
      </w:r>
      <w:r w:rsidR="000159A6">
        <w:t xml:space="preserve"> </w:t>
      </w:r>
      <w:r>
        <w:t>vial.</w:t>
      </w:r>
    </w:p>
    <w:p w14:paraId="740B37B2" w14:textId="60BF0959" w:rsidR="00FF12AA" w:rsidRDefault="00FF12AA" w:rsidP="00F61B2D">
      <w:r>
        <w:t>The</w:t>
      </w:r>
      <w:r w:rsidR="000159A6">
        <w:t xml:space="preserve"> </w:t>
      </w:r>
      <w:proofErr w:type="gramStart"/>
      <w:r>
        <w:t>gE</w:t>
      </w:r>
      <w:proofErr w:type="gramEnd"/>
      <w:r w:rsidR="000159A6">
        <w:t xml:space="preserve"> </w:t>
      </w:r>
      <w:r>
        <w:t>purified</w:t>
      </w:r>
      <w:r w:rsidR="000159A6">
        <w:t xml:space="preserve"> </w:t>
      </w:r>
      <w:r>
        <w:t>bulk</w:t>
      </w:r>
      <w:r w:rsidR="000159A6">
        <w:t xml:space="preserve"> </w:t>
      </w:r>
      <w:r>
        <w:t>substance</w:t>
      </w:r>
      <w:r w:rsidR="000159A6">
        <w:t xml:space="preserve"> </w:t>
      </w:r>
      <w:r>
        <w:t>is</w:t>
      </w:r>
      <w:r w:rsidR="000159A6">
        <w:t xml:space="preserve"> </w:t>
      </w:r>
      <w:r>
        <w:t>formulated</w:t>
      </w:r>
      <w:r w:rsidR="000159A6">
        <w:t xml:space="preserve"> </w:t>
      </w:r>
      <w:r>
        <w:t>and</w:t>
      </w:r>
      <w:r w:rsidR="000159A6">
        <w:t xml:space="preserve"> </w:t>
      </w:r>
      <w:r>
        <w:t>tested</w:t>
      </w:r>
      <w:r w:rsidR="000159A6">
        <w:t xml:space="preserve"> </w:t>
      </w:r>
      <w:r>
        <w:t>against</w:t>
      </w:r>
      <w:r w:rsidR="000159A6">
        <w:t xml:space="preserve"> </w:t>
      </w:r>
      <w:r>
        <w:t>the</w:t>
      </w:r>
      <w:r w:rsidR="000159A6">
        <w:t xml:space="preserve"> </w:t>
      </w:r>
      <w:r>
        <w:t>nominated</w:t>
      </w:r>
      <w:r w:rsidR="000159A6">
        <w:t xml:space="preserve"> </w:t>
      </w:r>
      <w:r>
        <w:t>specifications</w:t>
      </w:r>
      <w:r w:rsidR="000159A6">
        <w:t xml:space="preserve"> </w:t>
      </w:r>
      <w:r>
        <w:t>prior</w:t>
      </w:r>
      <w:r w:rsidR="000159A6">
        <w:t xml:space="preserve"> </w:t>
      </w:r>
      <w:r>
        <w:t>to</w:t>
      </w:r>
      <w:r w:rsidR="000159A6">
        <w:t xml:space="preserve"> </w:t>
      </w:r>
      <w:r>
        <w:t>sterile</w:t>
      </w:r>
      <w:r w:rsidR="000159A6">
        <w:t xml:space="preserve"> </w:t>
      </w:r>
      <w:r>
        <w:t>filtration</w:t>
      </w:r>
      <w:r w:rsidR="000159A6">
        <w:t xml:space="preserve"> </w:t>
      </w:r>
      <w:r>
        <w:t>and</w:t>
      </w:r>
      <w:r w:rsidR="000159A6">
        <w:t xml:space="preserve"> </w:t>
      </w:r>
      <w:r>
        <w:t>aseptic</w:t>
      </w:r>
      <w:r w:rsidR="000159A6">
        <w:t xml:space="preserve"> </w:t>
      </w:r>
      <w:r>
        <w:t>filling</w:t>
      </w:r>
      <w:r w:rsidR="000159A6">
        <w:t xml:space="preserve"> </w:t>
      </w:r>
      <w:r>
        <w:t>into</w:t>
      </w:r>
      <w:r w:rsidR="000159A6">
        <w:t xml:space="preserve"> </w:t>
      </w:r>
      <w:r>
        <w:t>vials</w:t>
      </w:r>
      <w:r w:rsidR="000159A6">
        <w:t xml:space="preserve"> </w:t>
      </w:r>
      <w:r>
        <w:t>followed</w:t>
      </w:r>
      <w:r w:rsidR="000159A6">
        <w:t xml:space="preserve"> </w:t>
      </w:r>
      <w:r>
        <w:t>by</w:t>
      </w:r>
      <w:r w:rsidR="000159A6">
        <w:t xml:space="preserve"> </w:t>
      </w:r>
      <w:r>
        <w:t>lyophilisation.</w:t>
      </w:r>
    </w:p>
    <w:p w14:paraId="38F78F54" w14:textId="709250BA" w:rsidR="00FF12AA" w:rsidRDefault="00FF12AA" w:rsidP="00F61B2D">
      <w:r>
        <w:t>The</w:t>
      </w:r>
      <w:r w:rsidR="000159A6">
        <w:t xml:space="preserve"> </w:t>
      </w:r>
      <w:r>
        <w:t>suspension</w:t>
      </w:r>
      <w:r w:rsidR="000159A6">
        <w:t xml:space="preserve"> </w:t>
      </w:r>
      <w:r>
        <w:t>solution</w:t>
      </w:r>
      <w:r w:rsidR="000159A6">
        <w:t xml:space="preserve"> </w:t>
      </w:r>
      <w:r>
        <w:t>is</w:t>
      </w:r>
      <w:r w:rsidR="000159A6">
        <w:t xml:space="preserve"> </w:t>
      </w:r>
      <w:r>
        <w:t>formulated</w:t>
      </w:r>
      <w:r w:rsidR="000159A6">
        <w:t xml:space="preserve"> </w:t>
      </w:r>
      <w:r>
        <w:t>and</w:t>
      </w:r>
      <w:r w:rsidR="000159A6">
        <w:t xml:space="preserve"> </w:t>
      </w:r>
      <w:r>
        <w:t>tested</w:t>
      </w:r>
      <w:r w:rsidR="000159A6">
        <w:t xml:space="preserve"> </w:t>
      </w:r>
      <w:r>
        <w:t>prior</w:t>
      </w:r>
      <w:r w:rsidR="000159A6">
        <w:t xml:space="preserve"> </w:t>
      </w:r>
      <w:r>
        <w:t>to</w:t>
      </w:r>
      <w:r w:rsidR="000159A6">
        <w:t xml:space="preserve"> </w:t>
      </w:r>
      <w:r>
        <w:t>filling</w:t>
      </w:r>
      <w:r w:rsidR="000159A6">
        <w:t xml:space="preserve"> </w:t>
      </w:r>
      <w:r>
        <w:t>into</w:t>
      </w:r>
      <w:r w:rsidR="000159A6">
        <w:t xml:space="preserve"> </w:t>
      </w:r>
      <w:r>
        <w:t>vials.</w:t>
      </w:r>
    </w:p>
    <w:p w14:paraId="0F5262A9" w14:textId="48A973F5" w:rsidR="00F61B2D" w:rsidRPr="00F61B2D" w:rsidRDefault="00F61B2D" w:rsidP="00F61B2D">
      <w:r w:rsidRPr="00F61B2D">
        <w:t>The</w:t>
      </w:r>
      <w:r w:rsidR="000159A6">
        <w:t xml:space="preserve"> </w:t>
      </w:r>
      <w:r w:rsidRPr="00F61B2D">
        <w:t>proposed</w:t>
      </w:r>
      <w:r w:rsidR="000159A6">
        <w:t xml:space="preserve"> </w:t>
      </w:r>
      <w:r w:rsidRPr="00F61B2D">
        <w:t>shelf</w:t>
      </w:r>
      <w:r w:rsidR="000159A6">
        <w:t xml:space="preserve"> </w:t>
      </w:r>
      <w:r w:rsidRPr="00F61B2D">
        <w:t>life</w:t>
      </w:r>
      <w:r w:rsidR="000159A6">
        <w:t xml:space="preserve"> </w:t>
      </w:r>
      <w:r w:rsidRPr="00F61B2D">
        <w:t>of</w:t>
      </w:r>
      <w:r w:rsidR="000159A6">
        <w:t xml:space="preserve"> </w:t>
      </w:r>
      <w:r w:rsidRPr="00F61B2D">
        <w:t>the</w:t>
      </w:r>
      <w:r w:rsidR="000159A6">
        <w:t xml:space="preserve"> </w:t>
      </w:r>
      <w:r w:rsidRPr="00F61B2D">
        <w:t>vaccine</w:t>
      </w:r>
      <w:r w:rsidR="000159A6">
        <w:t xml:space="preserve"> </w:t>
      </w:r>
      <w:r w:rsidRPr="00F61B2D">
        <w:t>is</w:t>
      </w:r>
      <w:r w:rsidR="000159A6">
        <w:t xml:space="preserve"> </w:t>
      </w:r>
      <w:r w:rsidRPr="00F61B2D">
        <w:t>36</w:t>
      </w:r>
      <w:r w:rsidR="000159A6">
        <w:t xml:space="preserve"> </w:t>
      </w:r>
      <w:r w:rsidRPr="00F61B2D">
        <w:t>months</w:t>
      </w:r>
      <w:r w:rsidR="000159A6">
        <w:t xml:space="preserve"> </w:t>
      </w:r>
      <w:r w:rsidRPr="00F61B2D">
        <w:t>at</w:t>
      </w:r>
      <w:r w:rsidR="000159A6">
        <w:t xml:space="preserve"> </w:t>
      </w:r>
      <w:r w:rsidR="000E6841">
        <w:t>+</w:t>
      </w:r>
      <w:r w:rsidRPr="00F61B2D">
        <w:t>2°C/</w:t>
      </w:r>
      <w:r w:rsidR="000E6841">
        <w:t>+</w:t>
      </w:r>
      <w:r w:rsidRPr="00F61B2D">
        <w:t>8°C</w:t>
      </w:r>
      <w:r w:rsidR="000159A6">
        <w:t xml:space="preserve"> </w:t>
      </w:r>
      <w:r w:rsidRPr="00F61B2D">
        <w:t>and</w:t>
      </w:r>
      <w:r w:rsidR="000159A6">
        <w:t xml:space="preserve"> </w:t>
      </w:r>
      <w:r w:rsidRPr="00F61B2D">
        <w:t>protected</w:t>
      </w:r>
      <w:r w:rsidR="000159A6">
        <w:t xml:space="preserve"> </w:t>
      </w:r>
      <w:r w:rsidRPr="00F61B2D">
        <w:t>from</w:t>
      </w:r>
      <w:r w:rsidR="000159A6">
        <w:t xml:space="preserve"> </w:t>
      </w:r>
      <w:r w:rsidRPr="00F61B2D">
        <w:t>light.</w:t>
      </w:r>
    </w:p>
    <w:p w14:paraId="03543359" w14:textId="2767F3AA" w:rsidR="00F61B2D" w:rsidRPr="00F61B2D" w:rsidRDefault="00F61B2D" w:rsidP="00CC47E8">
      <w:r w:rsidRPr="00F61B2D">
        <w:t>Stability</w:t>
      </w:r>
      <w:r w:rsidR="000159A6">
        <w:t xml:space="preserve"> </w:t>
      </w:r>
      <w:r w:rsidRPr="00F61B2D">
        <w:t>data</w:t>
      </w:r>
      <w:r w:rsidR="000159A6">
        <w:t xml:space="preserve"> </w:t>
      </w:r>
      <w:r w:rsidRPr="00F61B2D">
        <w:t>have</w:t>
      </w:r>
      <w:r w:rsidR="000159A6">
        <w:t xml:space="preserve"> </w:t>
      </w:r>
      <w:r w:rsidRPr="00F61B2D">
        <w:t>been</w:t>
      </w:r>
      <w:r w:rsidR="000159A6">
        <w:t xml:space="preserve"> </w:t>
      </w:r>
      <w:r w:rsidRPr="00F61B2D">
        <w:t>generated</w:t>
      </w:r>
      <w:r w:rsidR="000159A6">
        <w:t xml:space="preserve"> </w:t>
      </w:r>
      <w:r w:rsidRPr="00F61B2D">
        <w:t>under</w:t>
      </w:r>
      <w:r w:rsidR="000159A6">
        <w:t xml:space="preserve"> </w:t>
      </w:r>
      <w:r w:rsidRPr="00F61B2D">
        <w:t>stressed</w:t>
      </w:r>
      <w:r w:rsidR="000159A6">
        <w:t xml:space="preserve"> </w:t>
      </w:r>
      <w:r w:rsidRPr="00F61B2D">
        <w:t>and</w:t>
      </w:r>
      <w:r w:rsidR="000159A6">
        <w:t xml:space="preserve"> </w:t>
      </w:r>
      <w:r w:rsidRPr="00F61B2D">
        <w:t>real</w:t>
      </w:r>
      <w:r w:rsidR="000159A6">
        <w:t xml:space="preserve"> </w:t>
      </w:r>
      <w:r w:rsidRPr="00F61B2D">
        <w:t>time</w:t>
      </w:r>
      <w:r w:rsidR="000159A6">
        <w:t xml:space="preserve"> </w:t>
      </w:r>
      <w:r w:rsidRPr="00F61B2D">
        <w:t>conditions</w:t>
      </w:r>
      <w:r w:rsidR="000159A6">
        <w:t xml:space="preserve"> </w:t>
      </w:r>
      <w:r w:rsidRPr="00F61B2D">
        <w:t>to</w:t>
      </w:r>
      <w:r w:rsidR="000159A6">
        <w:t xml:space="preserve"> </w:t>
      </w:r>
      <w:r w:rsidRPr="00F61B2D">
        <w:t>characterise</w:t>
      </w:r>
      <w:r w:rsidR="000159A6">
        <w:t xml:space="preserve"> </w:t>
      </w:r>
      <w:r w:rsidRPr="00F61B2D">
        <w:t>the</w:t>
      </w:r>
      <w:r w:rsidR="000159A6">
        <w:t xml:space="preserve"> </w:t>
      </w:r>
      <w:r w:rsidRPr="00F61B2D">
        <w:t>stability</w:t>
      </w:r>
      <w:r w:rsidR="000159A6">
        <w:t xml:space="preserve"> </w:t>
      </w:r>
      <w:r w:rsidRPr="00F61B2D">
        <w:t>profile</w:t>
      </w:r>
      <w:r w:rsidR="000159A6">
        <w:t xml:space="preserve"> </w:t>
      </w:r>
      <w:r w:rsidRPr="00F61B2D">
        <w:t>of</w:t>
      </w:r>
      <w:r w:rsidR="000159A6">
        <w:t xml:space="preserve"> </w:t>
      </w:r>
      <w:r w:rsidRPr="00F61B2D">
        <w:t>the</w:t>
      </w:r>
      <w:r w:rsidR="000159A6">
        <w:t xml:space="preserve"> </w:t>
      </w:r>
      <w:r w:rsidRPr="00F61B2D">
        <w:t>product</w:t>
      </w:r>
      <w:r w:rsidR="000159A6">
        <w:t xml:space="preserve"> </w:t>
      </w:r>
      <w:r w:rsidRPr="00F61B2D">
        <w:t>and</w:t>
      </w:r>
      <w:r w:rsidR="000159A6">
        <w:t xml:space="preserve"> </w:t>
      </w:r>
      <w:r w:rsidRPr="00F61B2D">
        <w:t>to</w:t>
      </w:r>
      <w:r w:rsidR="000159A6">
        <w:t xml:space="preserve"> </w:t>
      </w:r>
      <w:r w:rsidRPr="00F61B2D">
        <w:t>establish</w:t>
      </w:r>
      <w:r w:rsidR="000159A6">
        <w:t xml:space="preserve"> </w:t>
      </w:r>
      <w:r w:rsidRPr="00F61B2D">
        <w:t>a</w:t>
      </w:r>
      <w:r w:rsidR="000159A6">
        <w:t xml:space="preserve"> </w:t>
      </w:r>
      <w:r w:rsidRPr="00F61B2D">
        <w:t>shelf</w:t>
      </w:r>
      <w:r w:rsidR="000159A6">
        <w:t xml:space="preserve"> </w:t>
      </w:r>
      <w:r w:rsidRPr="00F61B2D">
        <w:t>life.</w:t>
      </w:r>
      <w:r w:rsidR="000159A6">
        <w:t xml:space="preserve"> </w:t>
      </w:r>
      <w:r w:rsidRPr="00F61B2D">
        <w:t>The</w:t>
      </w:r>
      <w:r w:rsidR="000159A6">
        <w:t xml:space="preserve"> </w:t>
      </w:r>
      <w:r w:rsidRPr="00F61B2D">
        <w:t>real</w:t>
      </w:r>
      <w:r w:rsidR="000159A6">
        <w:t xml:space="preserve"> </w:t>
      </w:r>
      <w:r w:rsidRPr="00F61B2D">
        <w:t>time</w:t>
      </w:r>
      <w:r w:rsidR="000159A6">
        <w:t xml:space="preserve"> </w:t>
      </w:r>
      <w:r w:rsidRPr="00F61B2D">
        <w:t>data</w:t>
      </w:r>
      <w:r w:rsidR="000159A6">
        <w:t xml:space="preserve"> </w:t>
      </w:r>
      <w:r w:rsidRPr="00F61B2D">
        <w:t>submitted</w:t>
      </w:r>
      <w:r w:rsidR="000159A6">
        <w:t xml:space="preserve"> </w:t>
      </w:r>
      <w:r w:rsidRPr="00F61B2D">
        <w:t>support</w:t>
      </w:r>
      <w:r w:rsidR="000159A6">
        <w:t xml:space="preserve"> </w:t>
      </w:r>
      <w:r w:rsidRPr="00F61B2D">
        <w:t>the</w:t>
      </w:r>
      <w:r w:rsidR="000159A6">
        <w:t xml:space="preserve"> </w:t>
      </w:r>
      <w:r w:rsidRPr="00F61B2D">
        <w:t>shelf</w:t>
      </w:r>
      <w:r w:rsidR="000159A6">
        <w:t xml:space="preserve"> </w:t>
      </w:r>
      <w:r w:rsidRPr="00F61B2D">
        <w:t>life</w:t>
      </w:r>
      <w:r w:rsidR="000159A6">
        <w:t xml:space="preserve"> </w:t>
      </w:r>
      <w:r w:rsidRPr="00F61B2D">
        <w:t>of</w:t>
      </w:r>
      <w:r w:rsidR="000159A6">
        <w:t xml:space="preserve"> </w:t>
      </w:r>
      <w:r w:rsidRPr="00F61B2D">
        <w:t>36</w:t>
      </w:r>
      <w:r w:rsidR="000159A6">
        <w:t xml:space="preserve"> </w:t>
      </w:r>
      <w:r w:rsidRPr="00F61B2D">
        <w:t>months</w:t>
      </w:r>
      <w:r w:rsidR="000159A6">
        <w:t xml:space="preserve"> </w:t>
      </w:r>
      <w:r w:rsidRPr="00F61B2D">
        <w:t>when</w:t>
      </w:r>
      <w:r w:rsidR="000159A6">
        <w:t xml:space="preserve"> </w:t>
      </w:r>
      <w:r w:rsidRPr="00F61B2D">
        <w:t>stored</w:t>
      </w:r>
      <w:r w:rsidR="000159A6">
        <w:t xml:space="preserve"> </w:t>
      </w:r>
      <w:r w:rsidRPr="00F61B2D">
        <w:t>at</w:t>
      </w:r>
      <w:r w:rsidR="000159A6">
        <w:t xml:space="preserve"> </w:t>
      </w:r>
      <w:r w:rsidR="000E6841">
        <w:t>+</w:t>
      </w:r>
      <w:r w:rsidRPr="00F61B2D">
        <w:t>2°C/</w:t>
      </w:r>
      <w:r w:rsidR="000E6841">
        <w:t>+</w:t>
      </w:r>
      <w:r w:rsidRPr="00F61B2D">
        <w:t>8°C</w:t>
      </w:r>
      <w:r w:rsidR="000159A6">
        <w:t xml:space="preserve"> </w:t>
      </w:r>
      <w:r w:rsidRPr="00F61B2D">
        <w:t>in</w:t>
      </w:r>
      <w:r w:rsidR="000159A6">
        <w:t xml:space="preserve"> </w:t>
      </w:r>
      <w:r w:rsidRPr="00F61B2D">
        <w:t>the</w:t>
      </w:r>
      <w:r w:rsidR="000159A6">
        <w:t xml:space="preserve"> </w:t>
      </w:r>
      <w:r w:rsidRPr="00F61B2D">
        <w:t>original</w:t>
      </w:r>
      <w:r w:rsidR="000159A6">
        <w:t xml:space="preserve"> </w:t>
      </w:r>
      <w:r w:rsidRPr="00F61B2D">
        <w:t>packaging</w:t>
      </w:r>
      <w:r w:rsidR="000159A6">
        <w:t xml:space="preserve"> </w:t>
      </w:r>
      <w:r w:rsidRPr="00F61B2D">
        <w:t>to</w:t>
      </w:r>
      <w:r w:rsidR="000159A6">
        <w:t xml:space="preserve"> </w:t>
      </w:r>
      <w:r w:rsidRPr="00F61B2D">
        <w:t>protect</w:t>
      </w:r>
      <w:r w:rsidR="000159A6">
        <w:t xml:space="preserve"> </w:t>
      </w:r>
      <w:r w:rsidRPr="00F61B2D">
        <w:t>from</w:t>
      </w:r>
      <w:r w:rsidR="000159A6">
        <w:t xml:space="preserve"> </w:t>
      </w:r>
      <w:r w:rsidRPr="00F61B2D">
        <w:t>light.</w:t>
      </w:r>
    </w:p>
    <w:p w14:paraId="3B9B1E03" w14:textId="003F1170" w:rsidR="00FF12AA" w:rsidRDefault="00F61B2D" w:rsidP="00F61B2D">
      <w:r w:rsidRPr="00F61B2D">
        <w:t>In-use</w:t>
      </w:r>
      <w:r w:rsidR="000159A6">
        <w:t xml:space="preserve"> </w:t>
      </w:r>
      <w:r w:rsidRPr="00F61B2D">
        <w:t>stability</w:t>
      </w:r>
      <w:r w:rsidR="000159A6">
        <w:t xml:space="preserve"> </w:t>
      </w:r>
      <w:r w:rsidRPr="00F61B2D">
        <w:t>data</w:t>
      </w:r>
      <w:r w:rsidR="000159A6">
        <w:t xml:space="preserve"> </w:t>
      </w:r>
      <w:r w:rsidRPr="00F61B2D">
        <w:t>have</w:t>
      </w:r>
      <w:r w:rsidR="000159A6">
        <w:t xml:space="preserve"> </w:t>
      </w:r>
      <w:r w:rsidRPr="00F61B2D">
        <w:t>also</w:t>
      </w:r>
      <w:r w:rsidR="000159A6">
        <w:t xml:space="preserve"> </w:t>
      </w:r>
      <w:r w:rsidRPr="00F61B2D">
        <w:t>been</w:t>
      </w:r>
      <w:r w:rsidR="000159A6">
        <w:t xml:space="preserve"> </w:t>
      </w:r>
      <w:r w:rsidRPr="00F61B2D">
        <w:t>submitted.</w:t>
      </w:r>
      <w:r w:rsidR="000159A6">
        <w:t xml:space="preserve"> </w:t>
      </w:r>
      <w:r w:rsidRPr="00F61B2D">
        <w:t>The</w:t>
      </w:r>
      <w:r w:rsidR="000159A6">
        <w:t xml:space="preserve"> </w:t>
      </w:r>
      <w:r w:rsidRPr="00F61B2D">
        <w:t>proposed</w:t>
      </w:r>
      <w:r w:rsidR="000159A6">
        <w:t xml:space="preserve"> </w:t>
      </w:r>
      <w:r w:rsidRPr="00F61B2D">
        <w:t>shelf</w:t>
      </w:r>
      <w:r w:rsidR="000159A6">
        <w:t xml:space="preserve"> </w:t>
      </w:r>
      <w:r w:rsidRPr="00F61B2D">
        <w:t>life</w:t>
      </w:r>
      <w:r w:rsidR="000159A6">
        <w:t xml:space="preserve"> </w:t>
      </w:r>
      <w:r w:rsidRPr="00F61B2D">
        <w:t>and</w:t>
      </w:r>
      <w:r w:rsidR="000159A6">
        <w:t xml:space="preserve"> </w:t>
      </w:r>
      <w:r w:rsidRPr="00F61B2D">
        <w:t>storage</w:t>
      </w:r>
      <w:r w:rsidR="000159A6">
        <w:t xml:space="preserve"> </w:t>
      </w:r>
      <w:r w:rsidRPr="00F61B2D">
        <w:t>conditions</w:t>
      </w:r>
      <w:r w:rsidR="000159A6">
        <w:t xml:space="preserve"> </w:t>
      </w:r>
      <w:r w:rsidRPr="00F61B2D">
        <w:t>for</w:t>
      </w:r>
      <w:r w:rsidR="000159A6">
        <w:t xml:space="preserve"> </w:t>
      </w:r>
      <w:r w:rsidRPr="00F61B2D">
        <w:t>the</w:t>
      </w:r>
      <w:r w:rsidR="000159A6">
        <w:t xml:space="preserve"> </w:t>
      </w:r>
      <w:r w:rsidRPr="00F61B2D">
        <w:t>reconstituted</w:t>
      </w:r>
      <w:r w:rsidR="000159A6">
        <w:t xml:space="preserve"> </w:t>
      </w:r>
      <w:r w:rsidRPr="00F61B2D">
        <w:t>vacc</w:t>
      </w:r>
      <w:r w:rsidR="00FF12AA">
        <w:t>ine</w:t>
      </w:r>
      <w:r w:rsidR="000159A6">
        <w:t xml:space="preserve"> </w:t>
      </w:r>
      <w:r w:rsidR="00FF12AA">
        <w:t>are</w:t>
      </w:r>
      <w:r w:rsidR="000159A6">
        <w:t xml:space="preserve"> </w:t>
      </w:r>
      <w:r w:rsidR="00FF12AA">
        <w:t>6</w:t>
      </w:r>
      <w:r w:rsidR="000159A6">
        <w:t xml:space="preserve"> </w:t>
      </w:r>
      <w:r w:rsidR="00FF12AA">
        <w:t>hours</w:t>
      </w:r>
      <w:r w:rsidR="000159A6">
        <w:t xml:space="preserve"> </w:t>
      </w:r>
      <w:r w:rsidR="00FF12AA">
        <w:t>when</w:t>
      </w:r>
      <w:r w:rsidR="000159A6">
        <w:t xml:space="preserve"> </w:t>
      </w:r>
      <w:r w:rsidR="00FF12AA">
        <w:t>stored</w:t>
      </w:r>
      <w:r w:rsidR="000159A6">
        <w:t xml:space="preserve"> </w:t>
      </w:r>
      <w:r w:rsidR="00FF12AA">
        <w:t>at</w:t>
      </w:r>
      <w:r w:rsidR="000159A6">
        <w:t xml:space="preserve"> </w:t>
      </w:r>
      <w:r w:rsidR="00235D7B">
        <w:t>+</w:t>
      </w:r>
      <w:r w:rsidR="000159A6">
        <w:t xml:space="preserve"> </w:t>
      </w:r>
      <w:r w:rsidR="00FF12AA">
        <w:t>2°C</w:t>
      </w:r>
      <w:r w:rsidR="000159A6">
        <w:t xml:space="preserve"> </w:t>
      </w:r>
      <w:r w:rsidR="00FF12AA">
        <w:t>to</w:t>
      </w:r>
      <w:r w:rsidR="000159A6">
        <w:t xml:space="preserve"> </w:t>
      </w:r>
      <w:r w:rsidR="00235D7B">
        <w:t>+</w:t>
      </w:r>
      <w:r w:rsidR="000159A6">
        <w:t xml:space="preserve"> </w:t>
      </w:r>
      <w:r w:rsidRPr="00F61B2D">
        <w:t>8°C</w:t>
      </w:r>
      <w:r w:rsidR="00FF12AA">
        <w:t>.</w:t>
      </w:r>
    </w:p>
    <w:p w14:paraId="5A9CDB71" w14:textId="7E2C9AE3" w:rsidR="00F61B2D" w:rsidRPr="00F61B2D" w:rsidRDefault="00F61B2D" w:rsidP="00F61B2D">
      <w:r w:rsidRPr="00F61B2D">
        <w:t>Regarding</w:t>
      </w:r>
      <w:r w:rsidR="000159A6">
        <w:t xml:space="preserve"> </w:t>
      </w:r>
      <w:r w:rsidRPr="00F61B2D">
        <w:t>the</w:t>
      </w:r>
      <w:r w:rsidR="000159A6">
        <w:t xml:space="preserve"> </w:t>
      </w:r>
      <w:r w:rsidRPr="00F61B2D">
        <w:t>transportation</w:t>
      </w:r>
      <w:r w:rsidR="000159A6">
        <w:t xml:space="preserve"> </w:t>
      </w:r>
      <w:r w:rsidRPr="00F61B2D">
        <w:t>of</w:t>
      </w:r>
      <w:r w:rsidR="000159A6">
        <w:t xml:space="preserve"> </w:t>
      </w:r>
      <w:r w:rsidRPr="00F61B2D">
        <w:t>this</w:t>
      </w:r>
      <w:r w:rsidR="000159A6">
        <w:t xml:space="preserve"> </w:t>
      </w:r>
      <w:r w:rsidRPr="00F61B2D">
        <w:t>vaccine</w:t>
      </w:r>
      <w:r w:rsidR="000159A6">
        <w:t xml:space="preserve"> </w:t>
      </w:r>
      <w:r w:rsidRPr="00F61B2D">
        <w:t>to</w:t>
      </w:r>
      <w:r w:rsidR="000159A6">
        <w:t xml:space="preserve"> </w:t>
      </w:r>
      <w:r w:rsidRPr="00F61B2D">
        <w:t>Australia:</w:t>
      </w:r>
    </w:p>
    <w:p w14:paraId="64EF8A02" w14:textId="5C902E9C" w:rsidR="00F61B2D" w:rsidRPr="000C5861" w:rsidRDefault="00F61B2D" w:rsidP="00CC47E8">
      <w:pPr>
        <w:pStyle w:val="ListBullet"/>
      </w:pPr>
      <w:r w:rsidRPr="000C5861">
        <w:t>The</w:t>
      </w:r>
      <w:r w:rsidR="000159A6" w:rsidRPr="000C5861">
        <w:t xml:space="preserve"> </w:t>
      </w:r>
      <w:r w:rsidRPr="000C5861">
        <w:t>company</w:t>
      </w:r>
      <w:r w:rsidR="000159A6" w:rsidRPr="000C5861">
        <w:t xml:space="preserve"> </w:t>
      </w:r>
      <w:r w:rsidRPr="000C5861">
        <w:t>has</w:t>
      </w:r>
      <w:r w:rsidR="000159A6" w:rsidRPr="000C5861">
        <w:t xml:space="preserve"> </w:t>
      </w:r>
      <w:r w:rsidRPr="000C5861">
        <w:t>confirmed</w:t>
      </w:r>
      <w:r w:rsidR="000159A6" w:rsidRPr="000C5861">
        <w:t xml:space="preserve"> </w:t>
      </w:r>
      <w:r w:rsidRPr="000C5861">
        <w:t>that</w:t>
      </w:r>
      <w:r w:rsidR="000159A6" w:rsidRPr="000C5861">
        <w:t xml:space="preserve"> </w:t>
      </w:r>
      <w:r w:rsidRPr="000C5861">
        <w:t>all</w:t>
      </w:r>
      <w:r w:rsidR="000159A6" w:rsidRPr="000C5861">
        <w:t xml:space="preserve"> </w:t>
      </w:r>
      <w:r w:rsidRPr="000C5861">
        <w:t>batches</w:t>
      </w:r>
      <w:r w:rsidR="000159A6" w:rsidRPr="000C5861">
        <w:t xml:space="preserve"> </w:t>
      </w:r>
      <w:r w:rsidRPr="000C5861">
        <w:t>of</w:t>
      </w:r>
      <w:r w:rsidR="000159A6" w:rsidRPr="000C5861">
        <w:t xml:space="preserve"> </w:t>
      </w:r>
      <w:r w:rsidRPr="000C5861">
        <w:t>Shingrix</w:t>
      </w:r>
      <w:r w:rsidR="000159A6" w:rsidRPr="000C5861">
        <w:t xml:space="preserve"> </w:t>
      </w:r>
      <w:r w:rsidRPr="000C5861">
        <w:t>will</w:t>
      </w:r>
      <w:r w:rsidR="000159A6" w:rsidRPr="000C5861">
        <w:t xml:space="preserve"> </w:t>
      </w:r>
      <w:r w:rsidRPr="000C5861">
        <w:t>be</w:t>
      </w:r>
      <w:r w:rsidR="000159A6" w:rsidRPr="000C5861">
        <w:t xml:space="preserve"> </w:t>
      </w:r>
      <w:r w:rsidRPr="000C5861">
        <w:t>transported</w:t>
      </w:r>
      <w:r w:rsidR="000159A6" w:rsidRPr="000C5861">
        <w:t xml:space="preserve"> </w:t>
      </w:r>
      <w:r w:rsidRPr="000C5861">
        <w:t>to</w:t>
      </w:r>
      <w:r w:rsidR="000159A6" w:rsidRPr="000C5861">
        <w:t xml:space="preserve"> </w:t>
      </w:r>
      <w:r w:rsidRPr="000C5861">
        <w:t>Australia</w:t>
      </w:r>
      <w:r w:rsidR="000159A6" w:rsidRPr="000C5861">
        <w:t xml:space="preserve"> </w:t>
      </w:r>
      <w:r w:rsidRPr="000C5861">
        <w:t>within</w:t>
      </w:r>
      <w:r w:rsidR="000159A6" w:rsidRPr="000C5861">
        <w:t xml:space="preserve"> </w:t>
      </w:r>
      <w:r w:rsidRPr="000C5861">
        <w:t>the</w:t>
      </w:r>
      <w:r w:rsidR="000159A6" w:rsidRPr="000C5861">
        <w:t xml:space="preserve"> </w:t>
      </w:r>
      <w:r w:rsidRPr="00CC47E8">
        <w:t>required</w:t>
      </w:r>
      <w:r w:rsidR="000159A6" w:rsidRPr="000C5861">
        <w:t xml:space="preserve"> </w:t>
      </w:r>
      <w:r w:rsidRPr="000C5861">
        <w:t>storage</w:t>
      </w:r>
      <w:r w:rsidR="000159A6" w:rsidRPr="000C5861">
        <w:t xml:space="preserve"> </w:t>
      </w:r>
      <w:r w:rsidRPr="000C5861">
        <w:t>temperature</w:t>
      </w:r>
      <w:r w:rsidR="000159A6" w:rsidRPr="000C5861">
        <w:t xml:space="preserve"> </w:t>
      </w:r>
      <w:r w:rsidRPr="000C5861">
        <w:t>of</w:t>
      </w:r>
      <w:r w:rsidR="000159A6" w:rsidRPr="000C5861">
        <w:t xml:space="preserve"> </w:t>
      </w:r>
      <w:r w:rsidR="005B6459" w:rsidRPr="000C5861">
        <w:t>+</w:t>
      </w:r>
      <w:r w:rsidR="000159A6" w:rsidRPr="000C5861">
        <w:t xml:space="preserve"> </w:t>
      </w:r>
      <w:r w:rsidRPr="000C5861">
        <w:t>2</w:t>
      </w:r>
      <w:r w:rsidR="000159A6" w:rsidRPr="000C5861">
        <w:t xml:space="preserve"> </w:t>
      </w:r>
      <w:r w:rsidR="00FF12AA" w:rsidRPr="000C5861">
        <w:t>to</w:t>
      </w:r>
      <w:r w:rsidR="000159A6" w:rsidRPr="000C5861">
        <w:t xml:space="preserve"> </w:t>
      </w:r>
      <w:r w:rsidR="005B6459" w:rsidRPr="000C5861">
        <w:t>+</w:t>
      </w:r>
      <w:r w:rsidR="000159A6" w:rsidRPr="000C5861">
        <w:t xml:space="preserve"> </w:t>
      </w:r>
      <w:r w:rsidRPr="000C5861">
        <w:t>8°C.</w:t>
      </w:r>
    </w:p>
    <w:p w14:paraId="7B470859" w14:textId="5A4E0C62" w:rsidR="00FF12AA" w:rsidRDefault="00F61B2D" w:rsidP="00CC47E8">
      <w:pPr>
        <w:pStyle w:val="ListBullet"/>
      </w:pPr>
      <w:r w:rsidRPr="000C5861">
        <w:t>However,</w:t>
      </w:r>
      <w:r w:rsidR="000159A6" w:rsidRPr="000C5861">
        <w:t xml:space="preserve"> </w:t>
      </w:r>
      <w:r w:rsidRPr="000C5861">
        <w:t>the</w:t>
      </w:r>
      <w:r w:rsidR="000159A6" w:rsidRPr="000C5861">
        <w:t xml:space="preserve"> </w:t>
      </w:r>
      <w:r w:rsidRPr="000C5861">
        <w:t>stability</w:t>
      </w:r>
      <w:r w:rsidR="000159A6" w:rsidRPr="000C5861">
        <w:t xml:space="preserve"> </w:t>
      </w:r>
      <w:r w:rsidRPr="000C5861">
        <w:t>data</w:t>
      </w:r>
      <w:r w:rsidR="000159A6" w:rsidRPr="000C5861">
        <w:t xml:space="preserve"> </w:t>
      </w:r>
      <w:r w:rsidRPr="000C5861">
        <w:t>for</w:t>
      </w:r>
      <w:r w:rsidR="000159A6" w:rsidRPr="000C5861">
        <w:t xml:space="preserve"> </w:t>
      </w:r>
      <w:r w:rsidRPr="000C5861">
        <w:t>temperature</w:t>
      </w:r>
      <w:r w:rsidR="000159A6" w:rsidRPr="000C5861">
        <w:t xml:space="preserve"> </w:t>
      </w:r>
      <w:r w:rsidRPr="000C5861">
        <w:t>cycling</w:t>
      </w:r>
      <w:r w:rsidR="000159A6" w:rsidRPr="000C5861">
        <w:t xml:space="preserve"> </w:t>
      </w:r>
      <w:r w:rsidRPr="000C5861">
        <w:t>studies</w:t>
      </w:r>
      <w:r w:rsidR="000159A6" w:rsidRPr="000C5861">
        <w:t xml:space="preserve"> </w:t>
      </w:r>
      <w:r w:rsidRPr="000C5861">
        <w:t>were</w:t>
      </w:r>
      <w:r w:rsidR="000159A6" w:rsidRPr="000C5861">
        <w:t xml:space="preserve"> </w:t>
      </w:r>
      <w:r w:rsidRPr="000C5861">
        <w:t>provided</w:t>
      </w:r>
      <w:r w:rsidR="000159A6" w:rsidRPr="000C5861">
        <w:t xml:space="preserve"> </w:t>
      </w:r>
      <w:r w:rsidRPr="000C5861">
        <w:t>to</w:t>
      </w:r>
      <w:r w:rsidR="000159A6" w:rsidRPr="000C5861">
        <w:t xml:space="preserve"> </w:t>
      </w:r>
      <w:r w:rsidRPr="000C5861">
        <w:t>support</w:t>
      </w:r>
      <w:r w:rsidR="000159A6" w:rsidRPr="000C5861">
        <w:t xml:space="preserve"> </w:t>
      </w:r>
      <w:r w:rsidRPr="000C5861">
        <w:t>the</w:t>
      </w:r>
      <w:r w:rsidR="000159A6" w:rsidRPr="000C5861">
        <w:t xml:space="preserve"> </w:t>
      </w:r>
      <w:r w:rsidRPr="000C5861">
        <w:t>temperature</w:t>
      </w:r>
      <w:r w:rsidR="000159A6" w:rsidRPr="000C5861">
        <w:t xml:space="preserve"> </w:t>
      </w:r>
      <w:r w:rsidRPr="000C5861">
        <w:t>excursions</w:t>
      </w:r>
      <w:r w:rsidR="000159A6" w:rsidRPr="000C5861">
        <w:t xml:space="preserve"> </w:t>
      </w:r>
      <w:r w:rsidRPr="00CC47E8">
        <w:t>from</w:t>
      </w:r>
      <w:r w:rsidR="000159A6" w:rsidRPr="000C5861">
        <w:t xml:space="preserve"> </w:t>
      </w:r>
      <w:r w:rsidR="005B6459" w:rsidRPr="000C5861">
        <w:t>+</w:t>
      </w:r>
      <w:r w:rsidR="000159A6" w:rsidRPr="000C5861">
        <w:t xml:space="preserve"> </w:t>
      </w:r>
      <w:r w:rsidRPr="000C5861">
        <w:t>2</w:t>
      </w:r>
      <w:r w:rsidR="005B6459" w:rsidRPr="000C5861">
        <w:t>/+</w:t>
      </w:r>
      <w:r w:rsidR="000159A6" w:rsidRPr="000C5861">
        <w:t xml:space="preserve"> </w:t>
      </w:r>
      <w:r w:rsidRPr="000C5861">
        <w:t>8°C</w:t>
      </w:r>
      <w:r w:rsidR="000159A6" w:rsidRPr="000C5861">
        <w:t xml:space="preserve"> </w:t>
      </w:r>
      <w:r w:rsidRPr="000C5861">
        <w:t>storage</w:t>
      </w:r>
      <w:r w:rsidR="000159A6" w:rsidRPr="000C5861">
        <w:t xml:space="preserve"> </w:t>
      </w:r>
      <w:r w:rsidRPr="000C5861">
        <w:t>conditions.</w:t>
      </w:r>
      <w:r w:rsidR="000159A6" w:rsidRPr="000C5861">
        <w:t xml:space="preserve"> </w:t>
      </w:r>
      <w:r w:rsidRPr="000C5861">
        <w:t>The</w:t>
      </w:r>
      <w:r w:rsidR="000159A6" w:rsidRPr="000C5861">
        <w:t xml:space="preserve"> </w:t>
      </w:r>
      <w:r w:rsidRPr="000C5861">
        <w:t>product</w:t>
      </w:r>
      <w:r w:rsidR="000159A6" w:rsidRPr="000C5861">
        <w:t xml:space="preserve"> </w:t>
      </w:r>
      <w:r w:rsidRPr="000C5861">
        <w:t>exposure</w:t>
      </w:r>
      <w:r w:rsidR="000159A6" w:rsidRPr="000C5861">
        <w:t xml:space="preserve"> </w:t>
      </w:r>
      <w:r w:rsidRPr="000C5861">
        <w:t>up</w:t>
      </w:r>
      <w:r w:rsidR="000159A6">
        <w:t xml:space="preserve"> </w:t>
      </w:r>
      <w:r w:rsidRPr="00F61B2D">
        <w:t>to</w:t>
      </w:r>
      <w:r w:rsidR="000159A6">
        <w:t xml:space="preserve"> </w:t>
      </w:r>
      <w:r w:rsidRPr="00F61B2D">
        <w:t>14</w:t>
      </w:r>
      <w:r w:rsidR="000159A6">
        <w:t xml:space="preserve"> </w:t>
      </w:r>
      <w:r w:rsidRPr="00F61B2D">
        <w:t>days</w:t>
      </w:r>
      <w:r w:rsidR="000159A6">
        <w:t xml:space="preserve"> </w:t>
      </w:r>
      <w:r w:rsidRPr="00F61B2D">
        <w:t>at</w:t>
      </w:r>
      <w:r w:rsidR="000159A6">
        <w:t xml:space="preserve"> </w:t>
      </w:r>
      <w:r w:rsidRPr="00F61B2D">
        <w:t>25°C</w:t>
      </w:r>
      <w:r w:rsidR="000159A6">
        <w:t xml:space="preserve"> </w:t>
      </w:r>
      <w:r w:rsidRPr="00F61B2D">
        <w:t>during</w:t>
      </w:r>
      <w:r w:rsidR="000159A6">
        <w:t xml:space="preserve"> </w:t>
      </w:r>
      <w:r w:rsidRPr="00F61B2D">
        <w:t>the</w:t>
      </w:r>
      <w:r w:rsidR="000159A6">
        <w:t xml:space="preserve"> </w:t>
      </w:r>
      <w:r w:rsidRPr="00F61B2D">
        <w:t>36</w:t>
      </w:r>
      <w:r w:rsidR="000159A6">
        <w:t xml:space="preserve"> </w:t>
      </w:r>
      <w:r w:rsidRPr="00F61B2D">
        <w:t>months</w:t>
      </w:r>
      <w:r w:rsidR="000159A6">
        <w:t xml:space="preserve"> </w:t>
      </w:r>
      <w:r w:rsidRPr="00F61B2D">
        <w:t>shelf-life</w:t>
      </w:r>
      <w:r w:rsidR="000159A6">
        <w:t xml:space="preserve"> </w:t>
      </w:r>
      <w:r w:rsidRPr="00F61B2D">
        <w:t>is</w:t>
      </w:r>
      <w:r w:rsidR="000159A6">
        <w:t xml:space="preserve"> </w:t>
      </w:r>
      <w:r w:rsidRPr="00F61B2D">
        <w:t>acceptable</w:t>
      </w:r>
      <w:r w:rsidR="00FF12AA">
        <w:t>.</w:t>
      </w:r>
    </w:p>
    <w:p w14:paraId="4655C406" w14:textId="02ABE888" w:rsidR="00F61B2D" w:rsidRPr="00F61B2D" w:rsidRDefault="00F61B2D" w:rsidP="00CC47E8">
      <w:r w:rsidRPr="00F61B2D">
        <w:t>The</w:t>
      </w:r>
      <w:r w:rsidR="000159A6">
        <w:t xml:space="preserve"> </w:t>
      </w:r>
      <w:r w:rsidRPr="00F61B2D">
        <w:t>stability</w:t>
      </w:r>
      <w:r w:rsidR="000159A6">
        <w:t xml:space="preserve"> </w:t>
      </w:r>
      <w:r w:rsidRPr="00F61B2D">
        <w:t>studies</w:t>
      </w:r>
      <w:r w:rsidR="000159A6">
        <w:t xml:space="preserve"> </w:t>
      </w:r>
      <w:r w:rsidRPr="00F61B2D">
        <w:t>were</w:t>
      </w:r>
      <w:r w:rsidR="000159A6">
        <w:t xml:space="preserve"> </w:t>
      </w:r>
      <w:r w:rsidRPr="00F61B2D">
        <w:t>performed</w:t>
      </w:r>
      <w:r w:rsidR="000159A6">
        <w:t xml:space="preserve"> </w:t>
      </w:r>
      <w:r w:rsidRPr="00F61B2D">
        <w:t>according</w:t>
      </w:r>
      <w:r w:rsidR="000159A6">
        <w:t xml:space="preserve"> </w:t>
      </w:r>
      <w:r w:rsidRPr="00F61B2D">
        <w:t>to</w:t>
      </w:r>
      <w:r w:rsidR="000159A6">
        <w:t xml:space="preserve"> </w:t>
      </w:r>
      <w:r w:rsidRPr="00F61B2D">
        <w:t>the</w:t>
      </w:r>
      <w:r w:rsidR="000159A6">
        <w:t xml:space="preserve"> </w:t>
      </w:r>
      <w:r w:rsidRPr="00F61B2D">
        <w:t>ICH</w:t>
      </w:r>
      <w:r w:rsidR="000159A6">
        <w:t xml:space="preserve"> </w:t>
      </w:r>
      <w:r w:rsidRPr="00F61B2D">
        <w:t>Q1E.</w:t>
      </w:r>
      <w:r w:rsidR="00FF12AA">
        <w:rPr>
          <w:rStyle w:val="FootnoteReference"/>
        </w:rPr>
        <w:footnoteReference w:id="3"/>
      </w:r>
    </w:p>
    <w:p w14:paraId="72BE4C33" w14:textId="683D64A1" w:rsidR="005C0A6F" w:rsidRPr="000C5861" w:rsidRDefault="008E7846" w:rsidP="00CC47E8">
      <w:pPr>
        <w:pStyle w:val="Heading3"/>
      </w:pPr>
      <w:bookmarkStart w:id="35" w:name="_Toc247691509"/>
      <w:bookmarkStart w:id="36" w:name="_Toc314842493"/>
      <w:bookmarkStart w:id="37" w:name="_Toc1049805"/>
      <w:r w:rsidRPr="000C5861">
        <w:t>Quality</w:t>
      </w:r>
      <w:r w:rsidR="000159A6" w:rsidRPr="000C5861">
        <w:t xml:space="preserve"> </w:t>
      </w:r>
      <w:r w:rsidRPr="000C5861">
        <w:t>summary</w:t>
      </w:r>
      <w:r w:rsidR="000159A6" w:rsidRPr="000C5861">
        <w:t xml:space="preserve"> </w:t>
      </w:r>
      <w:r w:rsidRPr="00CC47E8">
        <w:t>and</w:t>
      </w:r>
      <w:r w:rsidR="000159A6" w:rsidRPr="000C5861">
        <w:t xml:space="preserve"> </w:t>
      </w:r>
      <w:r w:rsidRPr="000C5861">
        <w:t>conclusions</w:t>
      </w:r>
      <w:bookmarkEnd w:id="35"/>
      <w:bookmarkEnd w:id="36"/>
      <w:bookmarkEnd w:id="37"/>
    </w:p>
    <w:p w14:paraId="33C0BB94" w14:textId="46D45540" w:rsidR="00F61B2D" w:rsidRPr="00F61B2D" w:rsidRDefault="00F61B2D" w:rsidP="00CC47E8">
      <w:r w:rsidRPr="00F61B2D">
        <w:t>There</w:t>
      </w:r>
      <w:r w:rsidR="000159A6">
        <w:t xml:space="preserve"> </w:t>
      </w:r>
      <w:r w:rsidRPr="00F61B2D">
        <w:t>are</w:t>
      </w:r>
      <w:r w:rsidR="000159A6">
        <w:t xml:space="preserve"> </w:t>
      </w:r>
      <w:r w:rsidRPr="00F61B2D">
        <w:t>no</w:t>
      </w:r>
      <w:r w:rsidR="000159A6">
        <w:t xml:space="preserve"> </w:t>
      </w:r>
      <w:r w:rsidRPr="00F61B2D">
        <w:t>outstanding</w:t>
      </w:r>
      <w:r w:rsidR="000159A6">
        <w:t xml:space="preserve"> </w:t>
      </w:r>
      <w:r w:rsidR="0076046F">
        <w:t>q</w:t>
      </w:r>
      <w:r w:rsidRPr="00F61B2D">
        <w:t>uality</w:t>
      </w:r>
      <w:r w:rsidR="000159A6">
        <w:t xml:space="preserve"> </w:t>
      </w:r>
      <w:r w:rsidRPr="00F61B2D">
        <w:t>issues</w:t>
      </w:r>
      <w:r w:rsidR="000159A6">
        <w:t xml:space="preserve"> </w:t>
      </w:r>
      <w:r w:rsidRPr="00F61B2D">
        <w:t>in</w:t>
      </w:r>
      <w:r w:rsidR="000159A6">
        <w:t xml:space="preserve"> </w:t>
      </w:r>
      <w:r w:rsidRPr="00F61B2D">
        <w:t>regards</w:t>
      </w:r>
      <w:r w:rsidR="000159A6">
        <w:t xml:space="preserve"> </w:t>
      </w:r>
      <w:r w:rsidRPr="00F61B2D">
        <w:t>to</w:t>
      </w:r>
      <w:r w:rsidR="000159A6">
        <w:t xml:space="preserve"> </w:t>
      </w:r>
      <w:r w:rsidRPr="00F61B2D">
        <w:t>approval</w:t>
      </w:r>
      <w:r w:rsidR="000159A6">
        <w:t xml:space="preserve"> </w:t>
      </w:r>
      <w:r w:rsidRPr="00F61B2D">
        <w:t>of</w:t>
      </w:r>
      <w:r w:rsidR="000159A6">
        <w:t xml:space="preserve"> </w:t>
      </w:r>
      <w:r w:rsidRPr="00F61B2D">
        <w:t>Shingrix</w:t>
      </w:r>
      <w:r w:rsidR="006D376B">
        <w:t>.</w:t>
      </w:r>
    </w:p>
    <w:p w14:paraId="5323C0B5" w14:textId="5D28CA0C" w:rsidR="008E7846" w:rsidRPr="000C5861" w:rsidRDefault="008E7846" w:rsidP="00CC47E8">
      <w:pPr>
        <w:pStyle w:val="Heading2"/>
      </w:pPr>
      <w:bookmarkStart w:id="38" w:name="_Toc196046439"/>
      <w:bookmarkStart w:id="39" w:name="_Toc247691510"/>
      <w:bookmarkStart w:id="40" w:name="_Toc314842494"/>
      <w:bookmarkStart w:id="41" w:name="_Toc1049806"/>
      <w:r w:rsidRPr="000C5861">
        <w:lastRenderedPageBreak/>
        <w:t>I</w:t>
      </w:r>
      <w:r w:rsidR="00500337" w:rsidRPr="000C5861">
        <w:t>V</w:t>
      </w:r>
      <w:r w:rsidRPr="000C5861">
        <w:t>.</w:t>
      </w:r>
      <w:r w:rsidR="000159A6" w:rsidRPr="000C5861">
        <w:t xml:space="preserve"> </w:t>
      </w:r>
      <w:r w:rsidRPr="000C5861">
        <w:t>Nonclinical</w:t>
      </w:r>
      <w:bookmarkEnd w:id="38"/>
      <w:r w:rsidR="000159A6" w:rsidRPr="000C5861">
        <w:t xml:space="preserve"> </w:t>
      </w:r>
      <w:r w:rsidRPr="00CC47E8">
        <w:t>findings</w:t>
      </w:r>
      <w:bookmarkEnd w:id="39"/>
      <w:bookmarkEnd w:id="40"/>
      <w:bookmarkEnd w:id="41"/>
    </w:p>
    <w:p w14:paraId="2986CEE7" w14:textId="77777777" w:rsidR="005C0A6F" w:rsidRPr="000C5861" w:rsidRDefault="008E7846" w:rsidP="000C5861">
      <w:pPr>
        <w:pStyle w:val="Heading3"/>
      </w:pPr>
      <w:bookmarkStart w:id="42" w:name="_Toc247691511"/>
      <w:bookmarkStart w:id="43" w:name="_Toc314842495"/>
      <w:bookmarkStart w:id="44" w:name="_Toc1049807"/>
      <w:r w:rsidRPr="000C5861">
        <w:t>Introduction</w:t>
      </w:r>
      <w:bookmarkEnd w:id="42"/>
      <w:bookmarkEnd w:id="43"/>
      <w:bookmarkEnd w:id="44"/>
    </w:p>
    <w:p w14:paraId="7156ADCC" w14:textId="686240D6" w:rsidR="005B220F" w:rsidRPr="00256F52" w:rsidRDefault="006D376B" w:rsidP="00CC47E8">
      <w:r>
        <w:t>The</w:t>
      </w:r>
      <w:r w:rsidR="000159A6">
        <w:t xml:space="preserve"> </w:t>
      </w:r>
      <w:r>
        <w:t>sponsor</w:t>
      </w:r>
      <w:r w:rsidR="000159A6">
        <w:t xml:space="preserve"> </w:t>
      </w:r>
      <w:r w:rsidR="005B220F" w:rsidRPr="00802C9D">
        <w:t>has</w:t>
      </w:r>
      <w:r w:rsidR="000159A6">
        <w:t xml:space="preserve"> </w:t>
      </w:r>
      <w:r w:rsidR="005B220F" w:rsidRPr="00802C9D">
        <w:t>applied</w:t>
      </w:r>
      <w:r w:rsidR="000159A6">
        <w:t xml:space="preserve"> </w:t>
      </w:r>
      <w:r w:rsidR="005B220F" w:rsidRPr="00802C9D">
        <w:t>to</w:t>
      </w:r>
      <w:r w:rsidR="000159A6">
        <w:t xml:space="preserve"> </w:t>
      </w:r>
      <w:r w:rsidR="005B220F" w:rsidRPr="00802C9D">
        <w:t>register</w:t>
      </w:r>
      <w:r w:rsidR="000159A6">
        <w:t xml:space="preserve"> </w:t>
      </w:r>
      <w:r w:rsidR="005B220F" w:rsidRPr="00802C9D">
        <w:t>a</w:t>
      </w:r>
      <w:r w:rsidR="000159A6">
        <w:t xml:space="preserve"> </w:t>
      </w:r>
      <w:r w:rsidR="005B220F" w:rsidRPr="00802C9D">
        <w:t>new</w:t>
      </w:r>
      <w:r w:rsidR="000159A6">
        <w:t xml:space="preserve"> </w:t>
      </w:r>
      <w:r w:rsidR="005B220F" w:rsidRPr="00802C9D">
        <w:t>biological</w:t>
      </w:r>
      <w:r w:rsidR="000159A6">
        <w:t xml:space="preserve"> </w:t>
      </w:r>
      <w:r w:rsidR="005B220F" w:rsidRPr="00802C9D">
        <w:t>entity,</w:t>
      </w:r>
      <w:r w:rsidR="000159A6">
        <w:t xml:space="preserve"> </w:t>
      </w:r>
      <w:r w:rsidR="005B220F">
        <w:t>a</w:t>
      </w:r>
      <w:r w:rsidR="000159A6">
        <w:t xml:space="preserve"> </w:t>
      </w:r>
      <w:r w:rsidR="005B220F">
        <w:t>non-live</w:t>
      </w:r>
      <w:r w:rsidR="000159A6">
        <w:t xml:space="preserve"> </w:t>
      </w:r>
      <w:r w:rsidR="005B220F">
        <w:t>zoster</w:t>
      </w:r>
      <w:r w:rsidR="000159A6">
        <w:t xml:space="preserve"> </w:t>
      </w:r>
      <w:r w:rsidR="005B220F">
        <w:t>vaccine</w:t>
      </w:r>
      <w:r w:rsidR="000159A6">
        <w:t xml:space="preserve"> </w:t>
      </w:r>
      <w:r w:rsidR="005B220F">
        <w:t>consisting</w:t>
      </w:r>
      <w:r w:rsidR="000159A6">
        <w:t xml:space="preserve"> </w:t>
      </w:r>
      <w:r w:rsidR="005B220F">
        <w:t>of</w:t>
      </w:r>
      <w:r w:rsidR="000159A6">
        <w:t xml:space="preserve"> </w:t>
      </w:r>
      <w:r w:rsidR="005B220F">
        <w:t>the</w:t>
      </w:r>
      <w:r w:rsidR="000159A6">
        <w:t xml:space="preserve"> </w:t>
      </w:r>
      <w:r w:rsidR="005B220F" w:rsidRPr="00802C9D">
        <w:t>recombinant</w:t>
      </w:r>
      <w:r w:rsidR="000159A6">
        <w:t xml:space="preserve"> </w:t>
      </w:r>
      <w:r w:rsidR="005B220F">
        <w:t>subunit</w:t>
      </w:r>
      <w:r w:rsidR="000159A6">
        <w:t xml:space="preserve"> </w:t>
      </w:r>
      <w:r w:rsidR="005B220F" w:rsidRPr="00802C9D">
        <w:t>varicella</w:t>
      </w:r>
      <w:r w:rsidR="000159A6">
        <w:t xml:space="preserve"> </w:t>
      </w:r>
      <w:r w:rsidR="005B220F" w:rsidRPr="00802C9D">
        <w:t>zoster</w:t>
      </w:r>
      <w:r w:rsidR="000159A6">
        <w:t xml:space="preserve"> </w:t>
      </w:r>
      <w:r w:rsidR="005B220F" w:rsidRPr="00802C9D">
        <w:t>virus</w:t>
      </w:r>
      <w:r w:rsidR="000159A6">
        <w:t xml:space="preserve"> </w:t>
      </w:r>
      <w:r w:rsidR="005B220F" w:rsidRPr="00802C9D">
        <w:t>(VZV)</w:t>
      </w:r>
      <w:r w:rsidR="000159A6">
        <w:t xml:space="preserve"> </w:t>
      </w:r>
      <w:r w:rsidR="005B220F" w:rsidRPr="00802C9D">
        <w:t>glycoprotein</w:t>
      </w:r>
      <w:r w:rsidR="000159A6">
        <w:t xml:space="preserve"> </w:t>
      </w:r>
      <w:r w:rsidR="005B220F" w:rsidRPr="00802C9D">
        <w:t>E</w:t>
      </w:r>
      <w:r w:rsidR="000159A6">
        <w:t xml:space="preserve"> </w:t>
      </w:r>
      <w:r w:rsidR="005B220F" w:rsidRPr="00802C9D">
        <w:t>(</w:t>
      </w:r>
      <w:proofErr w:type="gramStart"/>
      <w:r w:rsidR="005B220F" w:rsidRPr="00802C9D">
        <w:t>gE</w:t>
      </w:r>
      <w:proofErr w:type="gramEnd"/>
      <w:r w:rsidR="005B220F" w:rsidRPr="00802C9D">
        <w:t>)</w:t>
      </w:r>
      <w:r w:rsidR="000159A6">
        <w:t xml:space="preserve"> </w:t>
      </w:r>
      <w:r w:rsidR="005B220F">
        <w:t>and</w:t>
      </w:r>
      <w:r w:rsidR="000159A6">
        <w:t xml:space="preserve"> </w:t>
      </w:r>
      <w:r w:rsidR="005B220F">
        <w:t>the</w:t>
      </w:r>
      <w:r w:rsidR="000159A6">
        <w:t xml:space="preserve"> </w:t>
      </w:r>
      <w:r w:rsidR="00503D1B">
        <w:t>AS01</w:t>
      </w:r>
      <w:r w:rsidR="00503D1B" w:rsidRPr="00570F2D">
        <w:rPr>
          <w:vertAlign w:val="subscript"/>
        </w:rPr>
        <w:t>B</w:t>
      </w:r>
      <w:r w:rsidR="00331AB9">
        <w:rPr>
          <w:rStyle w:val="FootnoteReference"/>
        </w:rPr>
        <w:footnoteReference w:id="4"/>
      </w:r>
      <w:r w:rsidR="000159A6">
        <w:t xml:space="preserve"> </w:t>
      </w:r>
      <w:r w:rsidR="005B220F">
        <w:t>adjuvant</w:t>
      </w:r>
      <w:r w:rsidR="000159A6">
        <w:t xml:space="preserve"> </w:t>
      </w:r>
      <w:r w:rsidR="005B220F">
        <w:t>system</w:t>
      </w:r>
      <w:r w:rsidR="000159A6">
        <w:t xml:space="preserve"> </w:t>
      </w:r>
      <w:r w:rsidR="005B220F" w:rsidRPr="00802C9D">
        <w:rPr>
          <w:smallCaps/>
        </w:rPr>
        <w:t>(</w:t>
      </w:r>
      <w:r w:rsidR="005B220F" w:rsidRPr="005B220F">
        <w:t>Shingrix</w:t>
      </w:r>
      <w:r w:rsidR="005B220F">
        <w:t>,</w:t>
      </w:r>
      <w:r w:rsidR="000159A6">
        <w:t xml:space="preserve"> </w:t>
      </w:r>
      <w:r w:rsidR="005B220F">
        <w:t>also</w:t>
      </w:r>
      <w:r w:rsidR="000159A6">
        <w:t xml:space="preserve"> </w:t>
      </w:r>
      <w:r w:rsidR="005B220F">
        <w:t>referred</w:t>
      </w:r>
      <w:r w:rsidR="000159A6">
        <w:t xml:space="preserve"> </w:t>
      </w:r>
      <w:r w:rsidR="005B220F">
        <w:t>to</w:t>
      </w:r>
      <w:r w:rsidR="000159A6">
        <w:t xml:space="preserve"> </w:t>
      </w:r>
      <w:r w:rsidR="005B220F">
        <w:t>as</w:t>
      </w:r>
      <w:r w:rsidR="000159A6">
        <w:t xml:space="preserve"> </w:t>
      </w:r>
      <w:r w:rsidR="005B220F">
        <w:t>gE/</w:t>
      </w:r>
      <w:r w:rsidR="00503D1B">
        <w:t>AS01</w:t>
      </w:r>
      <w:r w:rsidR="00503D1B" w:rsidRPr="00570F2D">
        <w:rPr>
          <w:vertAlign w:val="subscript"/>
        </w:rPr>
        <w:t>B</w:t>
      </w:r>
      <w:r w:rsidR="005B220F" w:rsidRPr="00802C9D">
        <w:t>)</w:t>
      </w:r>
      <w:r w:rsidR="005B220F">
        <w:t>.</w:t>
      </w:r>
      <w:r w:rsidR="000159A6">
        <w:rPr>
          <w:rFonts w:eastAsia="MS Mincho" w:cstheme="minorBidi"/>
          <w:smallCaps/>
          <w:sz w:val="23"/>
        </w:rPr>
        <w:t xml:space="preserve"> </w:t>
      </w:r>
      <w:r w:rsidR="005B220F" w:rsidRPr="00802C9D">
        <w:t>Shingrix</w:t>
      </w:r>
      <w:r w:rsidR="000159A6">
        <w:t xml:space="preserve"> </w:t>
      </w:r>
      <w:r w:rsidR="005B220F">
        <w:t>is</w:t>
      </w:r>
      <w:r w:rsidR="000159A6">
        <w:t xml:space="preserve"> </w:t>
      </w:r>
      <w:r w:rsidR="005B220F">
        <w:t>proposed</w:t>
      </w:r>
      <w:r w:rsidR="000159A6">
        <w:t xml:space="preserve"> </w:t>
      </w:r>
      <w:r w:rsidR="005B220F">
        <w:t>to</w:t>
      </w:r>
      <w:r w:rsidR="000159A6">
        <w:t xml:space="preserve"> </w:t>
      </w:r>
      <w:r w:rsidR="005B220F">
        <w:t>be</w:t>
      </w:r>
      <w:r w:rsidR="000159A6">
        <w:t xml:space="preserve"> </w:t>
      </w:r>
      <w:r w:rsidR="005B220F">
        <w:t>used</w:t>
      </w:r>
      <w:r w:rsidR="000159A6">
        <w:t xml:space="preserve"> </w:t>
      </w:r>
      <w:r w:rsidR="005B220F">
        <w:t>for</w:t>
      </w:r>
      <w:r w:rsidR="000159A6">
        <w:t xml:space="preserve"> </w:t>
      </w:r>
      <w:r w:rsidR="005B220F">
        <w:t>the</w:t>
      </w:r>
      <w:r w:rsidR="000159A6">
        <w:t xml:space="preserve"> </w:t>
      </w:r>
      <w:r w:rsidR="005B220F">
        <w:t>prevention</w:t>
      </w:r>
      <w:r w:rsidR="000159A6">
        <w:t xml:space="preserve"> </w:t>
      </w:r>
      <w:r w:rsidR="005B220F">
        <w:t>of</w:t>
      </w:r>
      <w:r w:rsidR="000159A6">
        <w:t xml:space="preserve"> </w:t>
      </w:r>
      <w:r w:rsidR="005B220F">
        <w:t>herpes</w:t>
      </w:r>
      <w:r w:rsidR="000159A6">
        <w:t xml:space="preserve"> </w:t>
      </w:r>
      <w:r w:rsidR="005B220F">
        <w:t>zoster</w:t>
      </w:r>
      <w:r w:rsidR="000159A6">
        <w:t xml:space="preserve"> </w:t>
      </w:r>
      <w:r w:rsidR="005B220F">
        <w:t>(HZ)</w:t>
      </w:r>
      <w:r w:rsidR="000159A6">
        <w:t xml:space="preserve"> </w:t>
      </w:r>
      <w:r w:rsidR="005B220F">
        <w:t>and</w:t>
      </w:r>
      <w:r w:rsidR="000159A6">
        <w:t xml:space="preserve"> </w:t>
      </w:r>
      <w:r w:rsidR="005B220F">
        <w:t>HZ</w:t>
      </w:r>
      <w:r w:rsidR="000159A6">
        <w:t xml:space="preserve"> </w:t>
      </w:r>
      <w:r w:rsidR="005B220F">
        <w:t>related</w:t>
      </w:r>
      <w:r w:rsidR="000159A6">
        <w:t xml:space="preserve"> </w:t>
      </w:r>
      <w:r w:rsidR="005B220F">
        <w:t>complications,</w:t>
      </w:r>
      <w:r w:rsidR="000159A6">
        <w:t xml:space="preserve"> </w:t>
      </w:r>
      <w:r w:rsidR="005B220F">
        <w:t>such</w:t>
      </w:r>
      <w:r w:rsidR="000159A6">
        <w:t xml:space="preserve"> </w:t>
      </w:r>
      <w:r w:rsidR="005B220F">
        <w:t>as</w:t>
      </w:r>
      <w:r w:rsidR="000159A6">
        <w:t xml:space="preserve"> </w:t>
      </w:r>
      <w:r w:rsidR="000E6841">
        <w:t>post</w:t>
      </w:r>
      <w:r w:rsidR="000159A6">
        <w:t xml:space="preserve"> </w:t>
      </w:r>
      <w:r w:rsidR="000E6841">
        <w:t>herpetic</w:t>
      </w:r>
      <w:r w:rsidR="000159A6">
        <w:t xml:space="preserve"> </w:t>
      </w:r>
      <w:r w:rsidR="005B220F">
        <w:t>neuralgia,</w:t>
      </w:r>
      <w:r w:rsidR="000159A6">
        <w:t xml:space="preserve"> </w:t>
      </w:r>
      <w:r w:rsidR="005B220F">
        <w:t>in</w:t>
      </w:r>
      <w:r w:rsidR="000159A6">
        <w:t xml:space="preserve"> </w:t>
      </w:r>
      <w:r w:rsidR="005B220F">
        <w:t>adults</w:t>
      </w:r>
      <w:r w:rsidR="000159A6">
        <w:t xml:space="preserve"> </w:t>
      </w:r>
      <w:r w:rsidR="005B220F">
        <w:t>50</w:t>
      </w:r>
      <w:r w:rsidR="000159A6">
        <w:t xml:space="preserve"> </w:t>
      </w:r>
      <w:r w:rsidR="005B220F">
        <w:t>years</w:t>
      </w:r>
      <w:r w:rsidR="000159A6">
        <w:t xml:space="preserve"> </w:t>
      </w:r>
      <w:r w:rsidR="005B220F">
        <w:t>of</w:t>
      </w:r>
      <w:r w:rsidR="000159A6">
        <w:t xml:space="preserve"> </w:t>
      </w:r>
      <w:r w:rsidR="005B220F">
        <w:t>age</w:t>
      </w:r>
      <w:r w:rsidR="000159A6">
        <w:t xml:space="preserve"> </w:t>
      </w:r>
      <w:r w:rsidR="005B220F">
        <w:t>or</w:t>
      </w:r>
      <w:r w:rsidR="000159A6">
        <w:t xml:space="preserve"> </w:t>
      </w:r>
      <w:r w:rsidR="005B220F">
        <w:t>older.</w:t>
      </w:r>
      <w:r w:rsidR="000159A6">
        <w:t xml:space="preserve"> </w:t>
      </w:r>
      <w:r w:rsidR="005B220F">
        <w:t>The</w:t>
      </w:r>
      <w:r w:rsidR="000159A6">
        <w:t xml:space="preserve"> </w:t>
      </w:r>
      <w:r w:rsidR="005B220F">
        <w:t>proposed</w:t>
      </w:r>
      <w:r w:rsidR="000159A6">
        <w:t xml:space="preserve"> </w:t>
      </w:r>
      <w:r w:rsidR="005B220F">
        <w:t>regimen</w:t>
      </w:r>
      <w:r w:rsidR="000159A6">
        <w:t xml:space="preserve"> </w:t>
      </w:r>
      <w:r w:rsidR="005B220F">
        <w:t>involves</w:t>
      </w:r>
      <w:r w:rsidR="000159A6">
        <w:t xml:space="preserve"> </w:t>
      </w:r>
      <w:r w:rsidR="005B220F">
        <w:t>two</w:t>
      </w:r>
      <w:r w:rsidR="000159A6">
        <w:t xml:space="preserve"> </w:t>
      </w:r>
      <w:r w:rsidR="005B220F">
        <w:t>doses</w:t>
      </w:r>
      <w:r w:rsidR="000159A6">
        <w:t xml:space="preserve"> </w:t>
      </w:r>
      <w:r w:rsidR="005B220F">
        <w:t>of</w:t>
      </w:r>
      <w:r w:rsidR="000159A6">
        <w:t xml:space="preserve"> </w:t>
      </w:r>
      <w:r w:rsidR="005B220F">
        <w:t>0.5</w:t>
      </w:r>
      <w:r w:rsidR="000159A6">
        <w:t xml:space="preserve"> </w:t>
      </w:r>
      <w:r w:rsidR="005B220F">
        <w:t>mL</w:t>
      </w:r>
      <w:r w:rsidR="000159A6">
        <w:t xml:space="preserve"> </w:t>
      </w:r>
      <w:r w:rsidR="005B220F">
        <w:t>each,</w:t>
      </w:r>
      <w:r w:rsidR="000159A6">
        <w:t xml:space="preserve"> </w:t>
      </w:r>
      <w:r w:rsidR="005B220F">
        <w:t>by</w:t>
      </w:r>
      <w:r w:rsidR="000159A6">
        <w:t xml:space="preserve"> </w:t>
      </w:r>
      <w:r w:rsidR="000E6841">
        <w:t>intramuscular</w:t>
      </w:r>
      <w:r w:rsidR="000159A6">
        <w:t xml:space="preserve"> </w:t>
      </w:r>
      <w:r w:rsidR="000E6841">
        <w:t>(</w:t>
      </w:r>
      <w:r w:rsidR="005B220F">
        <w:t>IM</w:t>
      </w:r>
      <w:r w:rsidR="000E6841">
        <w:t>)</w:t>
      </w:r>
      <w:r w:rsidR="000159A6">
        <w:t xml:space="preserve"> </w:t>
      </w:r>
      <w:r w:rsidR="005B220F">
        <w:t>injection;</w:t>
      </w:r>
      <w:r w:rsidR="000159A6">
        <w:t xml:space="preserve"> </w:t>
      </w:r>
      <w:r w:rsidR="005B220F">
        <w:t>an</w:t>
      </w:r>
      <w:r w:rsidR="000159A6">
        <w:t xml:space="preserve"> </w:t>
      </w:r>
      <w:r w:rsidR="005B220F">
        <w:t>initial</w:t>
      </w:r>
      <w:r w:rsidR="000159A6">
        <w:t xml:space="preserve"> </w:t>
      </w:r>
      <w:r w:rsidR="005B220F">
        <w:t>dose</w:t>
      </w:r>
      <w:r w:rsidR="000159A6">
        <w:t xml:space="preserve"> </w:t>
      </w:r>
      <w:r w:rsidR="005B220F">
        <w:t>followed</w:t>
      </w:r>
      <w:r w:rsidR="000159A6">
        <w:t xml:space="preserve"> </w:t>
      </w:r>
      <w:r w:rsidR="005B220F">
        <w:t>by</w:t>
      </w:r>
      <w:r w:rsidR="000159A6">
        <w:t xml:space="preserve"> </w:t>
      </w:r>
      <w:r w:rsidR="005B220F">
        <w:t>a</w:t>
      </w:r>
      <w:r w:rsidR="000159A6">
        <w:t xml:space="preserve"> </w:t>
      </w:r>
      <w:r w:rsidR="005B220F">
        <w:t>second</w:t>
      </w:r>
      <w:r w:rsidR="000159A6">
        <w:t xml:space="preserve"> </w:t>
      </w:r>
      <w:r w:rsidR="005B220F">
        <w:t>dose</w:t>
      </w:r>
      <w:r w:rsidR="000159A6">
        <w:t xml:space="preserve"> </w:t>
      </w:r>
      <w:r w:rsidR="005B220F">
        <w:t>2</w:t>
      </w:r>
      <w:r w:rsidR="000159A6">
        <w:t xml:space="preserve"> </w:t>
      </w:r>
      <w:r w:rsidR="005B220F">
        <w:t>to</w:t>
      </w:r>
      <w:r w:rsidR="000159A6">
        <w:t xml:space="preserve"> </w:t>
      </w:r>
      <w:r w:rsidR="005B220F">
        <w:t>6</w:t>
      </w:r>
      <w:r w:rsidR="000159A6">
        <w:t xml:space="preserve"> </w:t>
      </w:r>
      <w:r w:rsidR="005B220F">
        <w:t>months</w:t>
      </w:r>
      <w:r w:rsidR="000159A6">
        <w:t xml:space="preserve"> </w:t>
      </w:r>
      <w:r w:rsidR="005B220F">
        <w:t>later.</w:t>
      </w:r>
      <w:r w:rsidR="000159A6">
        <w:t xml:space="preserve"> </w:t>
      </w:r>
      <w:r w:rsidR="005B220F">
        <w:t>The</w:t>
      </w:r>
      <w:r w:rsidR="000159A6">
        <w:t xml:space="preserve"> </w:t>
      </w:r>
      <w:r w:rsidR="005B220F">
        <w:t>need</w:t>
      </w:r>
      <w:r w:rsidR="000159A6">
        <w:t xml:space="preserve"> </w:t>
      </w:r>
      <w:r w:rsidR="005B220F">
        <w:t>for</w:t>
      </w:r>
      <w:r w:rsidR="000159A6">
        <w:t xml:space="preserve"> </w:t>
      </w:r>
      <w:r w:rsidR="005B220F">
        <w:t>a</w:t>
      </w:r>
      <w:r w:rsidR="000159A6">
        <w:t xml:space="preserve"> </w:t>
      </w:r>
      <w:r w:rsidR="005B220F">
        <w:t>booster</w:t>
      </w:r>
      <w:r w:rsidR="000159A6">
        <w:t xml:space="preserve"> </w:t>
      </w:r>
      <w:r w:rsidR="005B220F">
        <w:t>dose</w:t>
      </w:r>
      <w:r w:rsidR="000159A6">
        <w:t xml:space="preserve"> </w:t>
      </w:r>
      <w:r w:rsidR="005B220F">
        <w:t>has</w:t>
      </w:r>
      <w:r w:rsidR="000159A6">
        <w:t xml:space="preserve"> </w:t>
      </w:r>
      <w:r w:rsidR="005B220F">
        <w:t>not</w:t>
      </w:r>
      <w:r w:rsidR="000159A6">
        <w:t xml:space="preserve"> </w:t>
      </w:r>
      <w:r w:rsidR="005B220F">
        <w:t>been</w:t>
      </w:r>
      <w:r w:rsidR="000159A6">
        <w:t xml:space="preserve"> </w:t>
      </w:r>
      <w:r w:rsidR="005B220F">
        <w:t>established.</w:t>
      </w:r>
      <w:r w:rsidR="000159A6">
        <w:rPr>
          <w:smallCaps/>
          <w:kern w:val="2"/>
        </w:rPr>
        <w:t xml:space="preserve"> </w:t>
      </w:r>
      <w:r w:rsidR="005B220F" w:rsidRPr="005B220F">
        <w:t>Shingrix</w:t>
      </w:r>
      <w:r w:rsidR="000159A6">
        <w:t xml:space="preserve"> </w:t>
      </w:r>
      <w:r w:rsidR="005B220F">
        <w:t>is</w:t>
      </w:r>
      <w:r w:rsidR="000159A6">
        <w:t xml:space="preserve"> </w:t>
      </w:r>
      <w:r w:rsidR="005B220F">
        <w:t>not</w:t>
      </w:r>
      <w:r w:rsidR="000159A6">
        <w:t xml:space="preserve"> </w:t>
      </w:r>
      <w:r w:rsidR="005B220F">
        <w:t>indicated</w:t>
      </w:r>
      <w:r w:rsidR="000159A6">
        <w:t xml:space="preserve"> </w:t>
      </w:r>
      <w:r w:rsidR="005B220F">
        <w:t>for</w:t>
      </w:r>
      <w:r w:rsidR="000159A6">
        <w:t xml:space="preserve"> </w:t>
      </w:r>
      <w:r w:rsidR="005B220F">
        <w:t>prevention</w:t>
      </w:r>
      <w:r w:rsidR="000159A6">
        <w:t xml:space="preserve"> </w:t>
      </w:r>
      <w:r w:rsidR="005B220F">
        <w:t>of</w:t>
      </w:r>
      <w:r w:rsidR="000159A6">
        <w:t xml:space="preserve"> </w:t>
      </w:r>
      <w:r w:rsidR="005B220F">
        <w:t>primary</w:t>
      </w:r>
      <w:r w:rsidR="000159A6">
        <w:t xml:space="preserve"> </w:t>
      </w:r>
      <w:r w:rsidR="005B220F">
        <w:t>varicella</w:t>
      </w:r>
      <w:r w:rsidR="000159A6">
        <w:t xml:space="preserve"> </w:t>
      </w:r>
      <w:r w:rsidR="005B220F">
        <w:t>infection.</w:t>
      </w:r>
    </w:p>
    <w:p w14:paraId="4B06E848" w14:textId="68FEE825" w:rsidR="005B220F" w:rsidRPr="000C5861" w:rsidRDefault="005B220F" w:rsidP="00CC47E8">
      <w:pPr>
        <w:pStyle w:val="Heading4"/>
      </w:pPr>
      <w:bookmarkStart w:id="45" w:name="_Toc294861722"/>
      <w:bookmarkStart w:id="46" w:name="_Toc295290864"/>
      <w:bookmarkStart w:id="47" w:name="_Toc507155308"/>
      <w:r w:rsidRPr="000C5861">
        <w:t>General</w:t>
      </w:r>
      <w:r w:rsidR="000159A6" w:rsidRPr="000C5861">
        <w:t xml:space="preserve"> </w:t>
      </w:r>
      <w:r w:rsidRPr="00CC47E8">
        <w:t>comments</w:t>
      </w:r>
      <w:bookmarkEnd w:id="45"/>
      <w:bookmarkEnd w:id="46"/>
      <w:bookmarkEnd w:id="47"/>
    </w:p>
    <w:p w14:paraId="3BD40BAB" w14:textId="50D1A295" w:rsidR="005B220F" w:rsidRPr="00E97880" w:rsidRDefault="005B220F" w:rsidP="00CC47E8">
      <w:r w:rsidRPr="00E97880">
        <w:t>Shingrix</w:t>
      </w:r>
      <w:r w:rsidR="000159A6">
        <w:t xml:space="preserve"> </w:t>
      </w:r>
      <w:r w:rsidRPr="00E97880">
        <w:t>is</w:t>
      </w:r>
      <w:r w:rsidR="000159A6">
        <w:t xml:space="preserve"> </w:t>
      </w:r>
      <w:r w:rsidRPr="00E97880">
        <w:t>an</w:t>
      </w:r>
      <w:r w:rsidR="000159A6">
        <w:t xml:space="preserve"> </w:t>
      </w:r>
      <w:r w:rsidRPr="00E97880">
        <w:t>adjuvanted</w:t>
      </w:r>
      <w:r w:rsidR="000159A6">
        <w:t xml:space="preserve"> </w:t>
      </w:r>
      <w:r w:rsidRPr="00E97880">
        <w:t>recombinant</w:t>
      </w:r>
      <w:r w:rsidR="000159A6">
        <w:t xml:space="preserve"> </w:t>
      </w:r>
      <w:r w:rsidRPr="00E97880">
        <w:t>VZV-glycoprotein</w:t>
      </w:r>
      <w:r w:rsidR="000159A6">
        <w:t xml:space="preserve"> </w:t>
      </w:r>
      <w:r w:rsidRPr="00E97880">
        <w:t>E</w:t>
      </w:r>
      <w:r w:rsidR="000159A6">
        <w:t xml:space="preserve"> </w:t>
      </w:r>
      <w:r w:rsidRPr="00E97880">
        <w:t>(</w:t>
      </w:r>
      <w:proofErr w:type="gramStart"/>
      <w:r w:rsidRPr="00E97880">
        <w:t>gE</w:t>
      </w:r>
      <w:proofErr w:type="gramEnd"/>
      <w:r w:rsidRPr="00E97880">
        <w:t>)</w:t>
      </w:r>
      <w:r w:rsidR="000159A6">
        <w:t xml:space="preserve"> </w:t>
      </w:r>
      <w:r w:rsidRPr="00E97880">
        <w:t>subunit</w:t>
      </w:r>
      <w:r w:rsidR="000159A6">
        <w:t xml:space="preserve"> </w:t>
      </w:r>
      <w:r w:rsidRPr="00E97880">
        <w:t>vaccine.</w:t>
      </w:r>
      <w:r w:rsidR="000159A6">
        <w:t xml:space="preserve"> </w:t>
      </w:r>
      <w:r w:rsidRPr="00E97880">
        <w:t>This</w:t>
      </w:r>
      <w:r w:rsidR="000159A6">
        <w:t xml:space="preserve"> </w:t>
      </w:r>
      <w:r w:rsidRPr="00E97880">
        <w:t>vaccine</w:t>
      </w:r>
      <w:r w:rsidR="000159A6">
        <w:t xml:space="preserve"> </w:t>
      </w:r>
      <w:r w:rsidRPr="00E97880">
        <w:t>does</w:t>
      </w:r>
      <w:r w:rsidR="000159A6">
        <w:t xml:space="preserve"> </w:t>
      </w:r>
      <w:r w:rsidRPr="00E97880">
        <w:t>not</w:t>
      </w:r>
      <w:r w:rsidR="000159A6">
        <w:t xml:space="preserve"> </w:t>
      </w:r>
      <w:r w:rsidRPr="00E97880">
        <w:t>contain</w:t>
      </w:r>
      <w:r w:rsidR="000159A6">
        <w:t xml:space="preserve"> </w:t>
      </w:r>
      <w:r w:rsidRPr="00E97880">
        <w:t>live</w:t>
      </w:r>
      <w:r w:rsidR="000159A6">
        <w:t xml:space="preserve"> </w:t>
      </w:r>
      <w:r w:rsidRPr="00E97880">
        <w:t>virus</w:t>
      </w:r>
      <w:r w:rsidR="000159A6">
        <w:t xml:space="preserve"> </w:t>
      </w:r>
      <w:r w:rsidRPr="00E97880">
        <w:t>(unlike</w:t>
      </w:r>
      <w:r w:rsidR="000159A6">
        <w:t xml:space="preserve"> </w:t>
      </w:r>
      <w:r w:rsidRPr="00E97880">
        <w:t>the</w:t>
      </w:r>
      <w:r w:rsidR="000159A6">
        <w:t xml:space="preserve"> </w:t>
      </w:r>
      <w:r w:rsidRPr="00E97880">
        <w:t>current</w:t>
      </w:r>
      <w:r w:rsidR="000159A6">
        <w:t xml:space="preserve"> </w:t>
      </w:r>
      <w:r w:rsidRPr="00E97880">
        <w:t>registered</w:t>
      </w:r>
      <w:r w:rsidR="000159A6">
        <w:t xml:space="preserve"> </w:t>
      </w:r>
      <w:r w:rsidRPr="00E97880">
        <w:t>Zostavax,</w:t>
      </w:r>
      <w:r w:rsidR="000159A6">
        <w:t xml:space="preserve"> </w:t>
      </w:r>
      <w:r w:rsidRPr="00E97880">
        <w:t>which</w:t>
      </w:r>
      <w:r w:rsidR="000159A6">
        <w:t xml:space="preserve"> </w:t>
      </w:r>
      <w:r w:rsidRPr="00E97880">
        <w:t>is</w:t>
      </w:r>
      <w:r w:rsidR="000159A6">
        <w:t xml:space="preserve"> </w:t>
      </w:r>
      <w:r w:rsidRPr="00E97880">
        <w:t>not</w:t>
      </w:r>
      <w:r w:rsidR="000159A6">
        <w:t xml:space="preserve"> </w:t>
      </w:r>
      <w:r w:rsidRPr="00E97880">
        <w:t>approved</w:t>
      </w:r>
      <w:r w:rsidR="000159A6">
        <w:t xml:space="preserve"> </w:t>
      </w:r>
      <w:r w:rsidRPr="00E97880">
        <w:t>for</w:t>
      </w:r>
      <w:r w:rsidR="000159A6">
        <w:t xml:space="preserve"> </w:t>
      </w:r>
      <w:r w:rsidRPr="00E97880">
        <w:t>use</w:t>
      </w:r>
      <w:r w:rsidR="000159A6">
        <w:t xml:space="preserve"> </w:t>
      </w:r>
      <w:r w:rsidRPr="00E97880">
        <w:t>in</w:t>
      </w:r>
      <w:r w:rsidR="000159A6">
        <w:t xml:space="preserve"> </w:t>
      </w:r>
      <w:r w:rsidRPr="00E97880">
        <w:t>immunocompromised</w:t>
      </w:r>
      <w:r w:rsidR="000159A6">
        <w:t xml:space="preserve"> </w:t>
      </w:r>
      <w:r w:rsidRPr="00E97880">
        <w:t>individuals</w:t>
      </w:r>
      <w:r w:rsidR="000159A6">
        <w:t xml:space="preserve"> </w:t>
      </w:r>
      <w:r w:rsidRPr="00E97880">
        <w:t>sin</w:t>
      </w:r>
      <w:r w:rsidR="00E97880">
        <w:t>ce</w:t>
      </w:r>
      <w:r w:rsidR="000159A6">
        <w:t xml:space="preserve"> </w:t>
      </w:r>
      <w:r w:rsidR="00E97880">
        <w:t>it</w:t>
      </w:r>
      <w:r w:rsidR="000159A6">
        <w:t xml:space="preserve"> </w:t>
      </w:r>
      <w:r w:rsidR="00E97880">
        <w:t>is</w:t>
      </w:r>
      <w:r w:rsidR="000159A6">
        <w:t xml:space="preserve"> </w:t>
      </w:r>
      <w:r w:rsidR="00E97880">
        <w:t>a</w:t>
      </w:r>
      <w:r w:rsidR="000159A6">
        <w:t xml:space="preserve"> </w:t>
      </w:r>
      <w:r w:rsidR="00E97880">
        <w:t>live</w:t>
      </w:r>
      <w:r w:rsidR="000159A6">
        <w:t xml:space="preserve"> </w:t>
      </w:r>
      <w:r w:rsidR="00E97880">
        <w:t>virus</w:t>
      </w:r>
      <w:r w:rsidR="000159A6">
        <w:t xml:space="preserve"> </w:t>
      </w:r>
      <w:r w:rsidR="00E97880">
        <w:t>vaccine).</w:t>
      </w:r>
    </w:p>
    <w:p w14:paraId="59685DA2" w14:textId="6FD7DD9A" w:rsidR="005B220F" w:rsidRPr="002A621F" w:rsidRDefault="005B220F" w:rsidP="00E97880">
      <w:r w:rsidRPr="002A621F">
        <w:t>The</w:t>
      </w:r>
      <w:r w:rsidR="000159A6">
        <w:t xml:space="preserve"> </w:t>
      </w:r>
      <w:proofErr w:type="gramStart"/>
      <w:r w:rsidRPr="002A621F">
        <w:t>gE</w:t>
      </w:r>
      <w:proofErr w:type="gramEnd"/>
      <w:r w:rsidR="000159A6">
        <w:t xml:space="preserve"> </w:t>
      </w:r>
      <w:r w:rsidRPr="002A621F">
        <w:t>antigen</w:t>
      </w:r>
      <w:r w:rsidR="000159A6">
        <w:t xml:space="preserve"> </w:t>
      </w:r>
      <w:r w:rsidRPr="002A621F">
        <w:t>is</w:t>
      </w:r>
      <w:r w:rsidR="000159A6">
        <w:t xml:space="preserve"> </w:t>
      </w:r>
      <w:r w:rsidRPr="002A621F">
        <w:t>a</w:t>
      </w:r>
      <w:r w:rsidR="000159A6">
        <w:t xml:space="preserve"> </w:t>
      </w:r>
      <w:r w:rsidRPr="002A621F">
        <w:t>purified</w:t>
      </w:r>
      <w:r w:rsidR="000159A6">
        <w:t xml:space="preserve"> </w:t>
      </w:r>
      <w:r w:rsidRPr="002A621F">
        <w:t>recombinant</w:t>
      </w:r>
      <w:r w:rsidR="000159A6">
        <w:t xml:space="preserve"> </w:t>
      </w:r>
      <w:r w:rsidRPr="002A621F">
        <w:t>protein</w:t>
      </w:r>
      <w:r w:rsidR="000159A6">
        <w:t xml:space="preserve"> </w:t>
      </w:r>
      <w:r w:rsidRPr="002A621F">
        <w:t>produced</w:t>
      </w:r>
      <w:r w:rsidR="000159A6">
        <w:t xml:space="preserve"> </w:t>
      </w:r>
      <w:r w:rsidRPr="002A621F">
        <w:t>in</w:t>
      </w:r>
      <w:r w:rsidR="000159A6">
        <w:t xml:space="preserve"> </w:t>
      </w:r>
      <w:r w:rsidRPr="002A621F">
        <w:t>Chinese</w:t>
      </w:r>
      <w:r w:rsidR="000159A6">
        <w:t xml:space="preserve"> </w:t>
      </w:r>
      <w:r w:rsidRPr="002A621F">
        <w:t>Hamster</w:t>
      </w:r>
      <w:r w:rsidR="000159A6">
        <w:t xml:space="preserve"> </w:t>
      </w:r>
      <w:r w:rsidRPr="002A621F">
        <w:t>Ovary</w:t>
      </w:r>
      <w:r w:rsidR="000159A6">
        <w:t xml:space="preserve"> </w:t>
      </w:r>
      <w:r w:rsidRPr="002A621F">
        <w:t>(CHO)</w:t>
      </w:r>
      <w:r w:rsidR="000159A6">
        <w:t xml:space="preserve"> </w:t>
      </w:r>
      <w:r w:rsidRPr="002A621F">
        <w:t>cells.</w:t>
      </w:r>
      <w:r w:rsidR="000159A6">
        <w:t xml:space="preserve"> </w:t>
      </w:r>
      <w:r w:rsidRPr="002A621F">
        <w:t>The</w:t>
      </w:r>
      <w:r w:rsidR="000159A6">
        <w:t xml:space="preserve"> </w:t>
      </w:r>
      <w:proofErr w:type="gramStart"/>
      <w:r w:rsidRPr="002A621F">
        <w:t>gE</w:t>
      </w:r>
      <w:proofErr w:type="gramEnd"/>
      <w:r w:rsidR="000159A6">
        <w:t xml:space="preserve"> </w:t>
      </w:r>
      <w:r w:rsidRPr="002A621F">
        <w:t>protein</w:t>
      </w:r>
      <w:r w:rsidR="000159A6">
        <w:t xml:space="preserve"> </w:t>
      </w:r>
      <w:r w:rsidRPr="002A621F">
        <w:t>is</w:t>
      </w:r>
      <w:r w:rsidR="000159A6">
        <w:t xml:space="preserve"> </w:t>
      </w:r>
      <w:r w:rsidRPr="002A621F">
        <w:t>provided</w:t>
      </w:r>
      <w:r w:rsidR="000159A6">
        <w:t xml:space="preserve"> </w:t>
      </w:r>
      <w:r w:rsidRPr="002A621F">
        <w:t>in</w:t>
      </w:r>
      <w:r w:rsidR="000159A6">
        <w:t xml:space="preserve"> </w:t>
      </w:r>
      <w:r w:rsidRPr="002A621F">
        <w:t>a</w:t>
      </w:r>
      <w:r w:rsidR="000159A6">
        <w:t xml:space="preserve"> </w:t>
      </w:r>
      <w:r w:rsidRPr="002A621F">
        <w:t>lyophil</w:t>
      </w:r>
      <w:r w:rsidR="00E97880">
        <w:t>ized</w:t>
      </w:r>
      <w:r w:rsidR="000159A6">
        <w:t xml:space="preserve"> </w:t>
      </w:r>
      <w:r w:rsidR="00E97880">
        <w:t>form</w:t>
      </w:r>
      <w:r w:rsidR="000159A6">
        <w:t xml:space="preserve"> </w:t>
      </w:r>
      <w:r w:rsidR="00E97880">
        <w:t>in</w:t>
      </w:r>
      <w:r w:rsidR="000159A6">
        <w:t xml:space="preserve"> </w:t>
      </w:r>
      <w:r w:rsidR="00E97880">
        <w:t>mono</w:t>
      </w:r>
      <w:r w:rsidR="000159A6">
        <w:t xml:space="preserve"> </w:t>
      </w:r>
      <w:r w:rsidR="00E97880">
        <w:t>dose</w:t>
      </w:r>
      <w:r w:rsidR="000159A6">
        <w:t xml:space="preserve"> </w:t>
      </w:r>
      <w:r w:rsidR="00E97880">
        <w:t>vials</w:t>
      </w:r>
      <w:r w:rsidR="000159A6">
        <w:t xml:space="preserve"> </w:t>
      </w:r>
      <w:r w:rsidR="00E97880">
        <w:t>(50</w:t>
      </w:r>
      <w:r w:rsidR="00CD5352">
        <w:t> </w:t>
      </w:r>
      <w:r w:rsidRPr="002A621F">
        <w:t>μg/dose).</w:t>
      </w:r>
      <w:r w:rsidR="000159A6">
        <w:t xml:space="preserve"> </w:t>
      </w:r>
      <w:r w:rsidRPr="002A621F">
        <w:t>The</w:t>
      </w:r>
      <w:r w:rsidR="000159A6">
        <w:t xml:space="preserve"> </w:t>
      </w:r>
      <w:r w:rsidR="00503D1B">
        <w:t>AS01</w:t>
      </w:r>
      <w:r w:rsidR="00503D1B" w:rsidRPr="00570F2D">
        <w:rPr>
          <w:vertAlign w:val="subscript"/>
        </w:rPr>
        <w:t>B</w:t>
      </w:r>
      <w:r w:rsidR="000159A6">
        <w:t xml:space="preserve"> </w:t>
      </w:r>
      <w:r w:rsidRPr="002A621F">
        <w:t>(liquid)</w:t>
      </w:r>
      <w:r w:rsidR="000159A6">
        <w:t xml:space="preserve"> </w:t>
      </w:r>
      <w:r>
        <w:t>a</w:t>
      </w:r>
      <w:r w:rsidRPr="002A621F">
        <w:t>djuvant</w:t>
      </w:r>
      <w:r w:rsidR="000159A6">
        <w:t xml:space="preserve"> </w:t>
      </w:r>
      <w:r>
        <w:t>s</w:t>
      </w:r>
      <w:r w:rsidRPr="002A621F">
        <w:t>ystem</w:t>
      </w:r>
      <w:r w:rsidR="000159A6">
        <w:t xml:space="preserve"> </w:t>
      </w:r>
      <w:r w:rsidRPr="002A621F">
        <w:t>is</w:t>
      </w:r>
      <w:r w:rsidR="000159A6">
        <w:t xml:space="preserve"> </w:t>
      </w:r>
      <w:r w:rsidRPr="002A621F">
        <w:t>provided</w:t>
      </w:r>
      <w:r w:rsidR="000159A6">
        <w:t xml:space="preserve"> </w:t>
      </w:r>
      <w:r w:rsidRPr="002A621F">
        <w:t>in</w:t>
      </w:r>
      <w:r w:rsidR="000159A6">
        <w:t xml:space="preserve"> </w:t>
      </w:r>
      <w:r w:rsidRPr="002A621F">
        <w:t>separate</w:t>
      </w:r>
      <w:r w:rsidR="000159A6">
        <w:t xml:space="preserve"> </w:t>
      </w:r>
      <w:r w:rsidRPr="002A621F">
        <w:t>mono</w:t>
      </w:r>
      <w:r w:rsidR="000159A6">
        <w:t xml:space="preserve"> </w:t>
      </w:r>
      <w:r w:rsidRPr="002A621F">
        <w:t>dose</w:t>
      </w:r>
      <w:r w:rsidR="000159A6">
        <w:t xml:space="preserve"> </w:t>
      </w:r>
      <w:r w:rsidRPr="002A621F">
        <w:t>vials</w:t>
      </w:r>
      <w:r w:rsidR="000159A6">
        <w:t xml:space="preserve"> </w:t>
      </w:r>
      <w:r w:rsidRPr="002A621F">
        <w:t>(0.5</w:t>
      </w:r>
      <w:r w:rsidR="000159A6">
        <w:t xml:space="preserve"> </w:t>
      </w:r>
      <w:r w:rsidRPr="002A621F">
        <w:t>ml/dose).</w:t>
      </w:r>
      <w:r w:rsidR="000159A6">
        <w:t xml:space="preserve"> </w:t>
      </w:r>
      <w:r w:rsidR="000E6841">
        <w:t>AS01</w:t>
      </w:r>
      <w:r w:rsidR="000E6841" w:rsidRPr="005C2425">
        <w:rPr>
          <w:vertAlign w:val="subscript"/>
        </w:rPr>
        <w:t>B</w:t>
      </w:r>
      <w:r w:rsidR="000159A6">
        <w:t xml:space="preserve"> </w:t>
      </w:r>
      <w:r w:rsidRPr="002A621F">
        <w:t>contains</w:t>
      </w:r>
      <w:r w:rsidR="000159A6">
        <w:t xml:space="preserve"> </w:t>
      </w:r>
      <w:r w:rsidRPr="002A621F">
        <w:t>50</w:t>
      </w:r>
      <w:r w:rsidR="000159A6">
        <w:t xml:space="preserve"> </w:t>
      </w:r>
      <w:r w:rsidRPr="002A621F">
        <w:t>μg</w:t>
      </w:r>
      <w:r w:rsidR="000159A6">
        <w:t xml:space="preserve"> </w:t>
      </w:r>
      <w:r w:rsidRPr="002A621F">
        <w:t>of</w:t>
      </w:r>
      <w:r w:rsidR="000159A6">
        <w:t xml:space="preserve"> </w:t>
      </w:r>
      <w:r w:rsidRPr="002A621F">
        <w:t>each</w:t>
      </w:r>
      <w:r w:rsidR="000159A6">
        <w:t xml:space="preserve"> </w:t>
      </w:r>
      <w:r w:rsidRPr="002A621F">
        <w:t>of</w:t>
      </w:r>
      <w:r w:rsidR="000159A6">
        <w:t xml:space="preserve"> </w:t>
      </w:r>
      <w:r w:rsidRPr="002A621F">
        <w:t>the</w:t>
      </w:r>
      <w:r w:rsidR="000159A6">
        <w:t xml:space="preserve"> </w:t>
      </w:r>
      <w:r w:rsidR="00AE6925" w:rsidRPr="002A621F">
        <w:t>immuno-enhancers</w:t>
      </w:r>
      <w:r w:rsidR="000159A6">
        <w:t xml:space="preserve"> </w:t>
      </w:r>
      <w:r w:rsidRPr="002A621F">
        <w:t>QS-21</w:t>
      </w:r>
      <w:r w:rsidR="000159A6">
        <w:t xml:space="preserve"> </w:t>
      </w:r>
      <w:r w:rsidRPr="002A621F">
        <w:t>(</w:t>
      </w:r>
      <w:proofErr w:type="spellStart"/>
      <w:r w:rsidRPr="005C2425">
        <w:rPr>
          <w:i/>
        </w:rPr>
        <w:t>Quillaja</w:t>
      </w:r>
      <w:proofErr w:type="spellEnd"/>
      <w:r w:rsidR="000159A6">
        <w:rPr>
          <w:i/>
        </w:rPr>
        <w:t xml:space="preserve"> </w:t>
      </w:r>
      <w:proofErr w:type="spellStart"/>
      <w:r w:rsidRPr="005C2425">
        <w:rPr>
          <w:i/>
        </w:rPr>
        <w:t>saponaria</w:t>
      </w:r>
      <w:proofErr w:type="spellEnd"/>
      <w:r w:rsidR="000159A6">
        <w:t xml:space="preserve"> </w:t>
      </w:r>
      <w:r w:rsidRPr="002A621F">
        <w:t>Molina,</w:t>
      </w:r>
      <w:r w:rsidR="000159A6">
        <w:t xml:space="preserve"> </w:t>
      </w:r>
      <w:r w:rsidRPr="002A621F">
        <w:t>fraction</w:t>
      </w:r>
      <w:r w:rsidR="000159A6">
        <w:t xml:space="preserve"> </w:t>
      </w:r>
      <w:r w:rsidRPr="002A621F">
        <w:t>21)</w:t>
      </w:r>
      <w:r w:rsidR="000159A6">
        <w:t xml:space="preserve"> </w:t>
      </w:r>
      <w:r w:rsidRPr="002A621F">
        <w:t>and</w:t>
      </w:r>
      <w:r w:rsidR="000159A6">
        <w:t xml:space="preserve"> </w:t>
      </w:r>
      <w:r w:rsidR="00AE6925">
        <w:t>monophosphorlyl</w:t>
      </w:r>
      <w:r w:rsidR="000159A6">
        <w:t xml:space="preserve"> </w:t>
      </w:r>
      <w:r w:rsidR="00AE6925">
        <w:t>lipid</w:t>
      </w:r>
      <w:r w:rsidR="000159A6">
        <w:t xml:space="preserve"> </w:t>
      </w:r>
      <w:r w:rsidR="00AE6925">
        <w:t>A</w:t>
      </w:r>
      <w:r w:rsidR="000159A6">
        <w:t xml:space="preserve"> </w:t>
      </w:r>
      <w:r w:rsidR="00AE6925">
        <w:t>(</w:t>
      </w:r>
      <w:r w:rsidRPr="002A621F">
        <w:t>MPL</w:t>
      </w:r>
      <w:r w:rsidR="00AE6925">
        <w:t>,</w:t>
      </w:r>
      <w:r w:rsidR="000159A6">
        <w:t xml:space="preserve"> </w:t>
      </w:r>
      <w:r w:rsidRPr="002A621F">
        <w:t>3-O-desacyl-4’-monophosphoryl</w:t>
      </w:r>
      <w:r w:rsidR="000159A6">
        <w:t xml:space="preserve"> </w:t>
      </w:r>
      <w:r w:rsidRPr="002A621F">
        <w:t>li</w:t>
      </w:r>
      <w:r w:rsidR="00E97880">
        <w:t>pid</w:t>
      </w:r>
      <w:r w:rsidR="000159A6">
        <w:t xml:space="preserve"> </w:t>
      </w:r>
      <w:r w:rsidR="00E97880">
        <w:t>A)</w:t>
      </w:r>
      <w:r w:rsidR="000159A6">
        <w:t xml:space="preserve"> </w:t>
      </w:r>
      <w:r w:rsidR="00E97880">
        <w:t>combined</w:t>
      </w:r>
      <w:r w:rsidR="000159A6">
        <w:t xml:space="preserve"> </w:t>
      </w:r>
      <w:r w:rsidR="00E97880">
        <w:t>with</w:t>
      </w:r>
      <w:r w:rsidR="000159A6">
        <w:t xml:space="preserve"> </w:t>
      </w:r>
      <w:r w:rsidR="00E97880">
        <w:t>liposomes.</w:t>
      </w:r>
    </w:p>
    <w:p w14:paraId="6704039A" w14:textId="36C532D8" w:rsidR="005B220F" w:rsidRPr="00E97880" w:rsidRDefault="005B220F" w:rsidP="00CC47E8">
      <w:r w:rsidRPr="002D423D">
        <w:t>The</w:t>
      </w:r>
      <w:r w:rsidR="000159A6">
        <w:t xml:space="preserve"> </w:t>
      </w:r>
      <w:r w:rsidRPr="002D423D">
        <w:t>sponsor</w:t>
      </w:r>
      <w:r w:rsidR="000159A6">
        <w:t xml:space="preserve"> </w:t>
      </w:r>
      <w:r w:rsidRPr="002D423D">
        <w:t>has</w:t>
      </w:r>
      <w:r w:rsidR="000159A6">
        <w:t xml:space="preserve"> </w:t>
      </w:r>
      <w:r w:rsidRPr="002D423D">
        <w:t>submitted</w:t>
      </w:r>
      <w:r w:rsidR="000159A6">
        <w:t xml:space="preserve"> </w:t>
      </w:r>
      <w:r w:rsidRPr="002D423D">
        <w:t>nonclinical</w:t>
      </w:r>
      <w:r w:rsidR="000159A6">
        <w:t xml:space="preserve"> </w:t>
      </w:r>
      <w:r w:rsidRPr="002D423D">
        <w:t>studies</w:t>
      </w:r>
      <w:r w:rsidR="000159A6">
        <w:t xml:space="preserve"> </w:t>
      </w:r>
      <w:r w:rsidRPr="002D423D">
        <w:t>of</w:t>
      </w:r>
      <w:r w:rsidR="000159A6">
        <w:t xml:space="preserve"> </w:t>
      </w:r>
      <w:r w:rsidRPr="002D423D">
        <w:t>the</w:t>
      </w:r>
      <w:r w:rsidR="000159A6">
        <w:t xml:space="preserve"> </w:t>
      </w:r>
      <w:r w:rsidRPr="002D423D">
        <w:t>candidate</w:t>
      </w:r>
      <w:r w:rsidR="000159A6">
        <w:t xml:space="preserve"> </w:t>
      </w:r>
      <w:r w:rsidRPr="002D423D">
        <w:t>vaccine,</w:t>
      </w:r>
      <w:r w:rsidR="000159A6">
        <w:t xml:space="preserve"> </w:t>
      </w:r>
      <w:r w:rsidRPr="002D423D">
        <w:t>adjuvant</w:t>
      </w:r>
      <w:r w:rsidR="000159A6">
        <w:t xml:space="preserve"> </w:t>
      </w:r>
      <w:r w:rsidRPr="002D423D">
        <w:t>alone</w:t>
      </w:r>
      <w:r w:rsidR="000159A6">
        <w:t xml:space="preserve"> </w:t>
      </w:r>
      <w:r w:rsidRPr="002D423D">
        <w:t>or</w:t>
      </w:r>
      <w:r w:rsidR="000159A6">
        <w:t xml:space="preserve"> </w:t>
      </w:r>
      <w:r w:rsidRPr="002D423D">
        <w:t>components</w:t>
      </w:r>
      <w:r w:rsidR="000159A6">
        <w:t xml:space="preserve"> </w:t>
      </w:r>
      <w:r w:rsidRPr="002D423D">
        <w:t>of</w:t>
      </w:r>
      <w:r w:rsidR="000159A6">
        <w:t xml:space="preserve"> </w:t>
      </w:r>
      <w:r w:rsidRPr="002D423D">
        <w:t>the</w:t>
      </w:r>
      <w:r w:rsidR="000159A6">
        <w:t xml:space="preserve"> </w:t>
      </w:r>
      <w:r w:rsidRPr="002D423D">
        <w:t>adjuvant</w:t>
      </w:r>
      <w:r w:rsidR="000159A6">
        <w:t xml:space="preserve"> </w:t>
      </w:r>
      <w:r w:rsidRPr="002D423D">
        <w:t>(MPL</w:t>
      </w:r>
      <w:r w:rsidR="000159A6">
        <w:t xml:space="preserve"> </w:t>
      </w:r>
      <w:r w:rsidRPr="002D423D">
        <w:t>and</w:t>
      </w:r>
      <w:r w:rsidR="000159A6">
        <w:t xml:space="preserve"> </w:t>
      </w:r>
      <w:r w:rsidRPr="002D423D">
        <w:t>QS-21).</w:t>
      </w:r>
      <w:r w:rsidR="000159A6">
        <w:t xml:space="preserve"> </w:t>
      </w:r>
      <w:r w:rsidRPr="002D423D">
        <w:t>In</w:t>
      </w:r>
      <w:r w:rsidR="000159A6">
        <w:t xml:space="preserve"> </w:t>
      </w:r>
      <w:r w:rsidRPr="002D423D">
        <w:t>the</w:t>
      </w:r>
      <w:r w:rsidR="000159A6">
        <w:t xml:space="preserve"> </w:t>
      </w:r>
      <w:r w:rsidRPr="002D423D">
        <w:t>nonclinical</w:t>
      </w:r>
      <w:r w:rsidR="000159A6">
        <w:t xml:space="preserve"> </w:t>
      </w:r>
      <w:r w:rsidRPr="002D423D">
        <w:t>studies</w:t>
      </w:r>
      <w:r w:rsidR="000159A6">
        <w:t xml:space="preserve"> </w:t>
      </w:r>
      <w:r w:rsidRPr="002D423D">
        <w:t>the</w:t>
      </w:r>
      <w:r w:rsidR="000159A6">
        <w:t xml:space="preserve"> </w:t>
      </w:r>
      <w:r w:rsidRPr="002D423D">
        <w:t>component</w:t>
      </w:r>
      <w:r w:rsidR="000159A6">
        <w:t xml:space="preserve"> </w:t>
      </w:r>
      <w:r w:rsidRPr="002D423D">
        <w:t>QS-21</w:t>
      </w:r>
      <w:r w:rsidR="000159A6">
        <w:t xml:space="preserve"> </w:t>
      </w:r>
      <w:r w:rsidRPr="002D423D">
        <w:t>was</w:t>
      </w:r>
      <w:r w:rsidR="000159A6">
        <w:t xml:space="preserve"> </w:t>
      </w:r>
      <w:r w:rsidRPr="002D423D">
        <w:t>evaluated</w:t>
      </w:r>
      <w:r w:rsidR="000159A6">
        <w:t xml:space="preserve"> </w:t>
      </w:r>
      <w:r w:rsidRPr="002D423D">
        <w:t>alone</w:t>
      </w:r>
      <w:r w:rsidR="000159A6">
        <w:t xml:space="preserve"> </w:t>
      </w:r>
      <w:r w:rsidRPr="002D423D">
        <w:t>as</w:t>
      </w:r>
      <w:r w:rsidR="000159A6">
        <w:t xml:space="preserve"> </w:t>
      </w:r>
      <w:r w:rsidRPr="002D423D">
        <w:t>detoxified</w:t>
      </w:r>
      <w:r w:rsidR="000159A6">
        <w:t xml:space="preserve"> </w:t>
      </w:r>
      <w:r w:rsidRPr="002D423D">
        <w:t>QS-21(DQ),</w:t>
      </w:r>
      <w:r w:rsidR="000159A6">
        <w:t xml:space="preserve"> </w:t>
      </w:r>
      <w:r w:rsidRPr="002D423D">
        <w:t>in</w:t>
      </w:r>
      <w:r w:rsidR="000159A6">
        <w:t xml:space="preserve"> </w:t>
      </w:r>
      <w:r w:rsidRPr="002D423D">
        <w:t>which</w:t>
      </w:r>
      <w:r w:rsidR="000159A6">
        <w:t xml:space="preserve"> </w:t>
      </w:r>
      <w:r w:rsidRPr="002D423D">
        <w:t>cholesterol</w:t>
      </w:r>
      <w:r w:rsidR="000159A6">
        <w:t xml:space="preserve"> </w:t>
      </w:r>
      <w:r w:rsidRPr="002D423D">
        <w:t>was</w:t>
      </w:r>
      <w:r w:rsidR="000159A6">
        <w:t xml:space="preserve"> </w:t>
      </w:r>
      <w:r w:rsidRPr="002D423D">
        <w:t>added</w:t>
      </w:r>
      <w:r w:rsidR="000159A6">
        <w:t xml:space="preserve"> </w:t>
      </w:r>
      <w:r w:rsidRPr="002D423D">
        <w:t>to</w:t>
      </w:r>
      <w:r w:rsidR="000159A6">
        <w:t xml:space="preserve"> </w:t>
      </w:r>
      <w:r w:rsidRPr="002D423D">
        <w:t>reduce</w:t>
      </w:r>
      <w:r w:rsidR="000159A6">
        <w:t xml:space="preserve"> </w:t>
      </w:r>
      <w:r w:rsidRPr="002D423D">
        <w:t>the</w:t>
      </w:r>
      <w:r w:rsidR="000159A6">
        <w:t xml:space="preserve"> </w:t>
      </w:r>
      <w:r w:rsidRPr="002D423D">
        <w:t>known</w:t>
      </w:r>
      <w:r w:rsidR="000159A6">
        <w:t xml:space="preserve"> </w:t>
      </w:r>
      <w:r w:rsidRPr="002D423D">
        <w:t>haemolytic</w:t>
      </w:r>
      <w:r w:rsidR="000159A6">
        <w:t xml:space="preserve"> </w:t>
      </w:r>
      <w:r w:rsidRPr="002D423D">
        <w:t>activity</w:t>
      </w:r>
      <w:r w:rsidR="000159A6">
        <w:t xml:space="preserve"> </w:t>
      </w:r>
      <w:r w:rsidRPr="002D423D">
        <w:t>of</w:t>
      </w:r>
      <w:r w:rsidR="000159A6">
        <w:t xml:space="preserve"> </w:t>
      </w:r>
      <w:r w:rsidRPr="002D423D">
        <w:t>QS-21</w:t>
      </w:r>
      <w:r w:rsidR="000159A6">
        <w:t xml:space="preserve"> </w:t>
      </w:r>
      <w:r w:rsidRPr="002D423D">
        <w:t>which</w:t>
      </w:r>
      <w:r w:rsidR="000159A6">
        <w:t xml:space="preserve"> </w:t>
      </w:r>
      <w:r w:rsidRPr="002D423D">
        <w:t>is</w:t>
      </w:r>
      <w:r w:rsidR="000159A6">
        <w:t xml:space="preserve"> </w:t>
      </w:r>
      <w:r w:rsidRPr="002D423D">
        <w:t>seen</w:t>
      </w:r>
      <w:r w:rsidR="000159A6">
        <w:t xml:space="preserve"> </w:t>
      </w:r>
      <w:r w:rsidRPr="002D423D">
        <w:t>when</w:t>
      </w:r>
      <w:r w:rsidR="000159A6">
        <w:t xml:space="preserve"> </w:t>
      </w:r>
      <w:r w:rsidRPr="002D423D">
        <w:t>QS-21</w:t>
      </w:r>
      <w:r w:rsidR="000159A6">
        <w:t xml:space="preserve"> </w:t>
      </w:r>
      <w:r w:rsidRPr="002D423D">
        <w:t>is</w:t>
      </w:r>
      <w:r w:rsidR="000159A6">
        <w:t xml:space="preserve"> </w:t>
      </w:r>
      <w:r w:rsidRPr="002D423D">
        <w:t>administered</w:t>
      </w:r>
      <w:r w:rsidR="000159A6">
        <w:t xml:space="preserve"> </w:t>
      </w:r>
      <w:r w:rsidRPr="002D423D">
        <w:t>without</w:t>
      </w:r>
      <w:r w:rsidR="000159A6">
        <w:t xml:space="preserve"> </w:t>
      </w:r>
      <w:r w:rsidRPr="002D423D">
        <w:t>cholesterol.</w:t>
      </w:r>
      <w:r w:rsidR="000159A6">
        <w:t xml:space="preserve"> </w:t>
      </w:r>
      <w:r w:rsidRPr="002D423D">
        <w:t>QS-21</w:t>
      </w:r>
      <w:r w:rsidR="000159A6">
        <w:t xml:space="preserve"> </w:t>
      </w:r>
      <w:r w:rsidRPr="002D423D">
        <w:t>(DQ)</w:t>
      </w:r>
      <w:r w:rsidR="000159A6">
        <w:t xml:space="preserve"> </w:t>
      </w:r>
      <w:r w:rsidRPr="002D423D">
        <w:t>was</w:t>
      </w:r>
      <w:r w:rsidR="000159A6">
        <w:t xml:space="preserve"> </w:t>
      </w:r>
      <w:r w:rsidRPr="002D423D">
        <w:t>used</w:t>
      </w:r>
      <w:r w:rsidR="000159A6">
        <w:t xml:space="preserve"> </w:t>
      </w:r>
      <w:r w:rsidRPr="002D423D">
        <w:t>in</w:t>
      </w:r>
      <w:r w:rsidR="000159A6">
        <w:t xml:space="preserve"> </w:t>
      </w:r>
      <w:r w:rsidRPr="002D423D">
        <w:t>primary</w:t>
      </w:r>
      <w:r w:rsidR="000159A6">
        <w:t xml:space="preserve"> </w:t>
      </w:r>
      <w:r w:rsidRPr="002D423D">
        <w:t>pharmacodynamics</w:t>
      </w:r>
      <w:r w:rsidR="000159A6">
        <w:t xml:space="preserve"> </w:t>
      </w:r>
      <w:r w:rsidRPr="002D423D">
        <w:t>and</w:t>
      </w:r>
      <w:r w:rsidR="000159A6">
        <w:t xml:space="preserve"> </w:t>
      </w:r>
      <w:r w:rsidR="00AE6925">
        <w:t>Good</w:t>
      </w:r>
      <w:r w:rsidR="000159A6">
        <w:t xml:space="preserve"> </w:t>
      </w:r>
      <w:r w:rsidR="00AE6925">
        <w:t>Laboratory</w:t>
      </w:r>
      <w:r w:rsidR="000159A6">
        <w:t xml:space="preserve"> </w:t>
      </w:r>
      <w:r w:rsidR="00AE6925">
        <w:t>Practice</w:t>
      </w:r>
      <w:r w:rsidR="000159A6">
        <w:t xml:space="preserve"> </w:t>
      </w:r>
      <w:r w:rsidR="00AE6925">
        <w:t>(</w:t>
      </w:r>
      <w:r w:rsidRPr="002D423D">
        <w:t>GLP</w:t>
      </w:r>
      <w:r w:rsidR="00AE6925">
        <w:t>)</w:t>
      </w:r>
      <w:r w:rsidR="000159A6">
        <w:t xml:space="preserve"> </w:t>
      </w:r>
      <w:r w:rsidRPr="002D423D">
        <w:t>toxicology</w:t>
      </w:r>
      <w:r w:rsidR="000159A6">
        <w:t xml:space="preserve"> </w:t>
      </w:r>
      <w:r w:rsidRPr="002D423D">
        <w:t>testing</w:t>
      </w:r>
      <w:r w:rsidR="000159A6">
        <w:t xml:space="preserve"> </w:t>
      </w:r>
      <w:r w:rsidRPr="002D423D">
        <w:t>of</w:t>
      </w:r>
      <w:r w:rsidR="000159A6">
        <w:t xml:space="preserve"> </w:t>
      </w:r>
      <w:r w:rsidRPr="002D423D">
        <w:t>QS-21.</w:t>
      </w:r>
      <w:r w:rsidR="000159A6">
        <w:t xml:space="preserve"> </w:t>
      </w:r>
      <w:r w:rsidRPr="002D423D">
        <w:t>In</w:t>
      </w:r>
      <w:r w:rsidR="000159A6">
        <w:t xml:space="preserve"> </w:t>
      </w:r>
      <w:r w:rsidRPr="002D423D">
        <w:t>the</w:t>
      </w:r>
      <w:r w:rsidR="000159A6">
        <w:t xml:space="preserve"> </w:t>
      </w:r>
      <w:r w:rsidRPr="002D423D">
        <w:t>vaccine</w:t>
      </w:r>
      <w:r w:rsidR="000159A6">
        <w:t xml:space="preserve"> </w:t>
      </w:r>
      <w:r w:rsidRPr="002D423D">
        <w:t>formulation</w:t>
      </w:r>
      <w:r w:rsidR="000159A6">
        <w:t xml:space="preserve"> </w:t>
      </w:r>
      <w:r w:rsidRPr="002D423D">
        <w:t>QS-21</w:t>
      </w:r>
      <w:r w:rsidR="000159A6">
        <w:t xml:space="preserve"> </w:t>
      </w:r>
      <w:r w:rsidRPr="002D423D">
        <w:t>is</w:t>
      </w:r>
      <w:r w:rsidR="000159A6">
        <w:t xml:space="preserve"> </w:t>
      </w:r>
      <w:r w:rsidRPr="002D423D">
        <w:t>added</w:t>
      </w:r>
      <w:r w:rsidR="000159A6">
        <w:t xml:space="preserve"> </w:t>
      </w:r>
      <w:r w:rsidRPr="002D423D">
        <w:t>post</w:t>
      </w:r>
      <w:r w:rsidR="000159A6">
        <w:t xml:space="preserve"> </w:t>
      </w:r>
      <w:r w:rsidRPr="002D423D">
        <w:t>formation</w:t>
      </w:r>
      <w:r w:rsidR="000159A6">
        <w:t xml:space="preserve"> </w:t>
      </w:r>
      <w:r w:rsidRPr="002D423D">
        <w:t>of</w:t>
      </w:r>
      <w:r w:rsidR="000159A6">
        <w:t xml:space="preserve"> </w:t>
      </w:r>
      <w:r w:rsidRPr="002D423D">
        <w:t>the</w:t>
      </w:r>
      <w:r w:rsidR="000159A6">
        <w:t xml:space="preserve"> </w:t>
      </w:r>
      <w:r w:rsidRPr="002D423D">
        <w:t>liposome</w:t>
      </w:r>
      <w:r w:rsidR="000159A6">
        <w:t xml:space="preserve"> </w:t>
      </w:r>
      <w:r w:rsidRPr="002D423D">
        <w:t>and</w:t>
      </w:r>
      <w:r w:rsidR="000159A6">
        <w:t xml:space="preserve"> </w:t>
      </w:r>
      <w:r w:rsidRPr="002D423D">
        <w:t>is</w:t>
      </w:r>
      <w:r w:rsidR="000159A6">
        <w:t xml:space="preserve"> </w:t>
      </w:r>
      <w:r w:rsidRPr="002D423D">
        <w:t>associated</w:t>
      </w:r>
      <w:r w:rsidR="000159A6">
        <w:t xml:space="preserve"> </w:t>
      </w:r>
      <w:r w:rsidRPr="002D423D">
        <w:t>with</w:t>
      </w:r>
      <w:r w:rsidR="000159A6">
        <w:t xml:space="preserve"> </w:t>
      </w:r>
      <w:r w:rsidRPr="002D423D">
        <w:t>the</w:t>
      </w:r>
      <w:r w:rsidR="000159A6">
        <w:t xml:space="preserve"> </w:t>
      </w:r>
      <w:r w:rsidRPr="002D423D">
        <w:t>liposomes</w:t>
      </w:r>
      <w:r w:rsidR="000159A6">
        <w:t xml:space="preserve"> </w:t>
      </w:r>
      <w:r w:rsidRPr="002D423D">
        <w:t>through</w:t>
      </w:r>
      <w:r w:rsidR="000159A6">
        <w:t xml:space="preserve"> </w:t>
      </w:r>
      <w:r w:rsidRPr="002D423D">
        <w:t>its</w:t>
      </w:r>
      <w:r w:rsidR="000159A6">
        <w:t xml:space="preserve"> </w:t>
      </w:r>
      <w:r w:rsidRPr="002D423D">
        <w:t>interaction</w:t>
      </w:r>
      <w:r w:rsidR="000159A6">
        <w:t xml:space="preserve"> </w:t>
      </w:r>
      <w:r w:rsidRPr="002D423D">
        <w:t>with</w:t>
      </w:r>
      <w:r w:rsidR="000159A6">
        <w:t xml:space="preserve"> </w:t>
      </w:r>
      <w:r w:rsidRPr="002D423D">
        <w:t>cholesterol.</w:t>
      </w:r>
      <w:r w:rsidR="000159A6">
        <w:t xml:space="preserve"> </w:t>
      </w:r>
      <w:r w:rsidRPr="002D423D">
        <w:t>MPL</w:t>
      </w:r>
      <w:r w:rsidR="000159A6">
        <w:t xml:space="preserve"> </w:t>
      </w:r>
      <w:r w:rsidRPr="002D423D">
        <w:t>is</w:t>
      </w:r>
      <w:r w:rsidR="000159A6">
        <w:t xml:space="preserve"> </w:t>
      </w:r>
      <w:r w:rsidRPr="002D423D">
        <w:t>not</w:t>
      </w:r>
      <w:r w:rsidR="000159A6">
        <w:t xml:space="preserve"> </w:t>
      </w:r>
      <w:r w:rsidRPr="002D423D">
        <w:t>a</w:t>
      </w:r>
      <w:r w:rsidR="000159A6">
        <w:t xml:space="preserve"> </w:t>
      </w:r>
      <w:r w:rsidRPr="002D423D">
        <w:t>new</w:t>
      </w:r>
      <w:r w:rsidR="000159A6">
        <w:t xml:space="preserve"> </w:t>
      </w:r>
      <w:r w:rsidRPr="002D423D">
        <w:t>excipient.</w:t>
      </w:r>
      <w:r w:rsidR="000159A6">
        <w:t xml:space="preserve"> </w:t>
      </w:r>
      <w:r w:rsidRPr="002D423D">
        <w:t>Studies</w:t>
      </w:r>
      <w:r w:rsidR="000159A6">
        <w:t xml:space="preserve"> </w:t>
      </w:r>
      <w:r w:rsidRPr="002D423D">
        <w:t>with</w:t>
      </w:r>
      <w:r w:rsidR="000159A6">
        <w:t xml:space="preserve"> </w:t>
      </w:r>
      <w:r w:rsidRPr="002D423D">
        <w:t>MPL</w:t>
      </w:r>
      <w:r w:rsidR="000159A6">
        <w:t xml:space="preserve"> </w:t>
      </w:r>
      <w:r w:rsidRPr="002D423D">
        <w:t>alone</w:t>
      </w:r>
      <w:r w:rsidR="000159A6">
        <w:t xml:space="preserve"> </w:t>
      </w:r>
      <w:r w:rsidRPr="002D423D">
        <w:t>have</w:t>
      </w:r>
      <w:r w:rsidR="000159A6">
        <w:t xml:space="preserve"> </w:t>
      </w:r>
      <w:r w:rsidRPr="002D423D">
        <w:t>been</w:t>
      </w:r>
      <w:r w:rsidR="000159A6">
        <w:t xml:space="preserve"> </w:t>
      </w:r>
      <w:r w:rsidRPr="002D423D">
        <w:t>previously</w:t>
      </w:r>
      <w:r w:rsidR="000159A6">
        <w:t xml:space="preserve"> </w:t>
      </w:r>
      <w:r w:rsidRPr="002D423D">
        <w:t>evaluated</w:t>
      </w:r>
      <w:r w:rsidR="000159A6">
        <w:t xml:space="preserve"> </w:t>
      </w:r>
      <w:r w:rsidRPr="002D423D">
        <w:t>in</w:t>
      </w:r>
      <w:r w:rsidR="000159A6">
        <w:t xml:space="preserve"> </w:t>
      </w:r>
      <w:r w:rsidRPr="002D423D">
        <w:t>the</w:t>
      </w:r>
      <w:r w:rsidR="000159A6">
        <w:t xml:space="preserve"> </w:t>
      </w:r>
      <w:r w:rsidRPr="002D423D">
        <w:t>C</w:t>
      </w:r>
      <w:r w:rsidR="000E6841" w:rsidRPr="002D423D">
        <w:t>ervarix</w:t>
      </w:r>
      <w:r w:rsidR="000159A6">
        <w:t xml:space="preserve"> </w:t>
      </w:r>
      <w:r w:rsidRPr="002D423D">
        <w:t>evaluation</w:t>
      </w:r>
      <w:r w:rsidR="000159A6">
        <w:t xml:space="preserve"> </w:t>
      </w:r>
      <w:r w:rsidRPr="002D423D">
        <w:t>report</w:t>
      </w:r>
      <w:r w:rsidR="000159A6">
        <w:t xml:space="preserve"> </w:t>
      </w:r>
      <w:r w:rsidRPr="002D423D">
        <w:t>(Submission</w:t>
      </w:r>
      <w:r w:rsidR="000159A6">
        <w:t xml:space="preserve"> </w:t>
      </w:r>
      <w:r w:rsidR="000E6841">
        <w:t>PM-</w:t>
      </w:r>
      <w:r w:rsidRPr="002D423D">
        <w:t>2006-0544-2</w:t>
      </w:r>
      <w:r w:rsidR="000E6841">
        <w:t>-1</w:t>
      </w:r>
      <w:r w:rsidRPr="002D423D">
        <w:t>),</w:t>
      </w:r>
      <w:r w:rsidR="000159A6">
        <w:t xml:space="preserve"> </w:t>
      </w:r>
      <w:r w:rsidRPr="002D423D">
        <w:t>and</w:t>
      </w:r>
      <w:r w:rsidR="000159A6">
        <w:t xml:space="preserve"> </w:t>
      </w:r>
      <w:r w:rsidRPr="002D423D">
        <w:t>thus</w:t>
      </w:r>
      <w:r w:rsidR="000159A6">
        <w:t xml:space="preserve"> </w:t>
      </w:r>
      <w:r w:rsidRPr="002D423D">
        <w:t>they</w:t>
      </w:r>
      <w:r w:rsidR="000159A6">
        <w:t xml:space="preserve"> </w:t>
      </w:r>
      <w:r w:rsidRPr="002D423D">
        <w:t>are</w:t>
      </w:r>
      <w:r w:rsidR="000159A6">
        <w:t xml:space="preserve"> </w:t>
      </w:r>
      <w:r w:rsidRPr="002D423D">
        <w:t>not</w:t>
      </w:r>
      <w:r w:rsidR="000159A6">
        <w:t xml:space="preserve"> </w:t>
      </w:r>
      <w:r w:rsidRPr="002D423D">
        <w:t>reviewed</w:t>
      </w:r>
      <w:r w:rsidR="000159A6">
        <w:t xml:space="preserve"> </w:t>
      </w:r>
      <w:r w:rsidRPr="002D423D">
        <w:t>in</w:t>
      </w:r>
      <w:r w:rsidR="000159A6">
        <w:t xml:space="preserve"> </w:t>
      </w:r>
      <w:r w:rsidRPr="002D423D">
        <w:t>this</w:t>
      </w:r>
      <w:r w:rsidR="000159A6">
        <w:t xml:space="preserve"> </w:t>
      </w:r>
      <w:r w:rsidRPr="002D423D">
        <w:t>report</w:t>
      </w:r>
      <w:r w:rsidR="00E97880">
        <w:t>.</w:t>
      </w:r>
    </w:p>
    <w:p w14:paraId="3266FB4F" w14:textId="77777777" w:rsidR="005C0A6F" w:rsidRPr="00E97880" w:rsidRDefault="008E7846" w:rsidP="00CC47E8">
      <w:pPr>
        <w:pStyle w:val="Heading4"/>
      </w:pPr>
      <w:bookmarkStart w:id="48" w:name="_Toc247691512"/>
      <w:bookmarkStart w:id="49" w:name="_Toc314842496"/>
      <w:r w:rsidRPr="00CC47E8">
        <w:t>Pharmacology</w:t>
      </w:r>
      <w:bookmarkEnd w:id="48"/>
      <w:bookmarkEnd w:id="49"/>
    </w:p>
    <w:p w14:paraId="4A919985" w14:textId="0A51FD93" w:rsidR="005B220F" w:rsidRPr="00743A0E" w:rsidRDefault="005B220F" w:rsidP="00CC47E8">
      <w:r>
        <w:t>Since</w:t>
      </w:r>
      <w:r w:rsidR="000159A6">
        <w:t xml:space="preserve"> </w:t>
      </w:r>
      <w:r>
        <w:t>there</w:t>
      </w:r>
      <w:r w:rsidR="000159A6">
        <w:t xml:space="preserve"> </w:t>
      </w:r>
      <w:r>
        <w:t>is</w:t>
      </w:r>
      <w:r w:rsidR="000159A6">
        <w:t xml:space="preserve"> </w:t>
      </w:r>
      <w:r>
        <w:t>no</w:t>
      </w:r>
      <w:r w:rsidR="000159A6">
        <w:t xml:space="preserve"> </w:t>
      </w:r>
      <w:r>
        <w:t>appropriate</w:t>
      </w:r>
      <w:r w:rsidR="000159A6">
        <w:t xml:space="preserve"> </w:t>
      </w:r>
      <w:r>
        <w:t>animal</w:t>
      </w:r>
      <w:r w:rsidR="000159A6">
        <w:t xml:space="preserve"> </w:t>
      </w:r>
      <w:r>
        <w:t>model</w:t>
      </w:r>
      <w:r w:rsidR="000159A6">
        <w:t xml:space="preserve"> </w:t>
      </w:r>
      <w:r>
        <w:t>to</w:t>
      </w:r>
      <w:r w:rsidR="000159A6">
        <w:t xml:space="preserve"> </w:t>
      </w:r>
      <w:r>
        <w:t>study</w:t>
      </w:r>
      <w:r w:rsidR="000159A6">
        <w:t xml:space="preserve"> </w:t>
      </w:r>
      <w:r>
        <w:t>VZV</w:t>
      </w:r>
      <w:r w:rsidR="000159A6">
        <w:t xml:space="preserve"> </w:t>
      </w:r>
      <w:r>
        <w:t>pathogenesis,</w:t>
      </w:r>
      <w:r w:rsidR="000159A6">
        <w:t xml:space="preserve"> </w:t>
      </w:r>
      <w:r>
        <w:t>latency</w:t>
      </w:r>
      <w:r w:rsidR="000159A6">
        <w:t xml:space="preserve"> </w:t>
      </w:r>
      <w:r>
        <w:t>or</w:t>
      </w:r>
      <w:r w:rsidR="000159A6">
        <w:t xml:space="preserve"> </w:t>
      </w:r>
      <w:r>
        <w:t>reactivation,</w:t>
      </w:r>
      <w:r w:rsidR="000159A6">
        <w:t xml:space="preserve"> </w:t>
      </w:r>
      <w:r>
        <w:t>no</w:t>
      </w:r>
      <w:r w:rsidR="000159A6">
        <w:t xml:space="preserve"> </w:t>
      </w:r>
      <w:r>
        <w:t>nonclinical</w:t>
      </w:r>
      <w:r w:rsidR="000159A6">
        <w:t xml:space="preserve"> </w:t>
      </w:r>
      <w:r>
        <w:t>data</w:t>
      </w:r>
      <w:r w:rsidR="000159A6">
        <w:t xml:space="preserve"> </w:t>
      </w:r>
      <w:r>
        <w:t>to</w:t>
      </w:r>
      <w:r w:rsidR="000159A6">
        <w:t xml:space="preserve"> </w:t>
      </w:r>
      <w:r>
        <w:t>demonstrate</w:t>
      </w:r>
      <w:r w:rsidR="000159A6">
        <w:t xml:space="preserve"> </w:t>
      </w:r>
      <w:r>
        <w:t>protection</w:t>
      </w:r>
      <w:r w:rsidR="000159A6">
        <w:t xml:space="preserve"> </w:t>
      </w:r>
      <w:r>
        <w:t>against</w:t>
      </w:r>
      <w:r w:rsidR="000159A6">
        <w:t xml:space="preserve"> </w:t>
      </w:r>
      <w:r>
        <w:t>HZ</w:t>
      </w:r>
      <w:r w:rsidR="000159A6">
        <w:t xml:space="preserve"> </w:t>
      </w:r>
      <w:r>
        <w:t>by</w:t>
      </w:r>
      <w:r w:rsidR="000159A6">
        <w:t xml:space="preserve"> </w:t>
      </w:r>
      <w:r>
        <w:t>vaccine</w:t>
      </w:r>
      <w:r w:rsidR="000159A6">
        <w:t xml:space="preserve"> </w:t>
      </w:r>
      <w:r>
        <w:t>candidates</w:t>
      </w:r>
      <w:r w:rsidR="000159A6">
        <w:t xml:space="preserve"> </w:t>
      </w:r>
      <w:r>
        <w:t>(</w:t>
      </w:r>
      <w:r w:rsidR="000E6841">
        <w:t>that</w:t>
      </w:r>
      <w:r w:rsidR="000159A6">
        <w:t xml:space="preserve"> </w:t>
      </w:r>
      <w:r w:rsidR="000E6841">
        <w:t>is</w:t>
      </w:r>
      <w:r w:rsidR="000159A6">
        <w:t xml:space="preserve"> </w:t>
      </w:r>
      <w:r>
        <w:t>challenge</w:t>
      </w:r>
      <w:r w:rsidR="000159A6">
        <w:t xml:space="preserve"> </w:t>
      </w:r>
      <w:r>
        <w:t>studies)</w:t>
      </w:r>
      <w:r w:rsidR="000159A6">
        <w:t xml:space="preserve"> </w:t>
      </w:r>
      <w:r>
        <w:t>were</w:t>
      </w:r>
      <w:r w:rsidR="000159A6">
        <w:t xml:space="preserve"> </w:t>
      </w:r>
      <w:r>
        <w:t>submitted.</w:t>
      </w:r>
      <w:r w:rsidR="000159A6">
        <w:t xml:space="preserve"> </w:t>
      </w:r>
      <w:r>
        <w:t>Nonclinical</w:t>
      </w:r>
      <w:r w:rsidR="000159A6">
        <w:t xml:space="preserve"> </w:t>
      </w:r>
      <w:r>
        <w:t>pharmacology</w:t>
      </w:r>
      <w:r w:rsidR="000159A6">
        <w:t xml:space="preserve"> </w:t>
      </w:r>
      <w:r>
        <w:t>studies</w:t>
      </w:r>
      <w:r w:rsidR="000159A6">
        <w:t xml:space="preserve"> </w:t>
      </w:r>
      <w:r>
        <w:t>were</w:t>
      </w:r>
      <w:r w:rsidR="000159A6">
        <w:t xml:space="preserve"> </w:t>
      </w:r>
      <w:r>
        <w:t>limited</w:t>
      </w:r>
      <w:r w:rsidR="000159A6">
        <w:t xml:space="preserve"> </w:t>
      </w:r>
      <w:r>
        <w:t>to</w:t>
      </w:r>
      <w:r w:rsidR="000159A6">
        <w:t xml:space="preserve"> </w:t>
      </w:r>
      <w:r>
        <w:t>demonstration</w:t>
      </w:r>
      <w:r w:rsidR="000159A6">
        <w:t xml:space="preserve"> </w:t>
      </w:r>
      <w:r>
        <w:t>of</w:t>
      </w:r>
      <w:r w:rsidR="000159A6">
        <w:t xml:space="preserve"> </w:t>
      </w:r>
      <w:r>
        <w:t>immunogenicity</w:t>
      </w:r>
      <w:r w:rsidR="000159A6">
        <w:t xml:space="preserve"> </w:t>
      </w:r>
      <w:r>
        <w:t>and</w:t>
      </w:r>
      <w:r w:rsidR="000159A6">
        <w:t xml:space="preserve"> </w:t>
      </w:r>
      <w:r>
        <w:t>this</w:t>
      </w:r>
      <w:r w:rsidR="000159A6">
        <w:t xml:space="preserve"> </w:t>
      </w:r>
      <w:r>
        <w:t>is</w:t>
      </w:r>
      <w:r w:rsidR="000159A6">
        <w:t xml:space="preserve"> </w:t>
      </w:r>
      <w:r>
        <w:t>considered</w:t>
      </w:r>
      <w:r w:rsidR="000159A6">
        <w:t xml:space="preserve"> </w:t>
      </w:r>
      <w:r>
        <w:t>acceptable</w:t>
      </w:r>
      <w:r w:rsidR="000159A6">
        <w:t xml:space="preserve"> </w:t>
      </w:r>
      <w:r>
        <w:t>under</w:t>
      </w:r>
      <w:r w:rsidR="000159A6">
        <w:t xml:space="preserve"> </w:t>
      </w:r>
      <w:r>
        <w:t>these</w:t>
      </w:r>
      <w:r w:rsidR="000159A6">
        <w:t xml:space="preserve"> </w:t>
      </w:r>
      <w:r>
        <w:t>circumstances.</w:t>
      </w:r>
      <w:r w:rsidR="000159A6">
        <w:t xml:space="preserve"> </w:t>
      </w:r>
      <w:r>
        <w:t>Other</w:t>
      </w:r>
      <w:r w:rsidR="000159A6">
        <w:t xml:space="preserve"> </w:t>
      </w:r>
      <w:r>
        <w:t>primary</w:t>
      </w:r>
      <w:r w:rsidR="000159A6">
        <w:t xml:space="preserve"> </w:t>
      </w:r>
      <w:r>
        <w:t>pharmacology</w:t>
      </w:r>
      <w:r w:rsidR="000159A6">
        <w:t xml:space="preserve"> </w:t>
      </w:r>
      <w:r>
        <w:t>studies</w:t>
      </w:r>
      <w:r w:rsidR="000159A6">
        <w:t xml:space="preserve"> </w:t>
      </w:r>
      <w:r>
        <w:t>were</w:t>
      </w:r>
      <w:r w:rsidR="000159A6">
        <w:t xml:space="preserve"> </w:t>
      </w:r>
      <w:r>
        <w:t>conducted</w:t>
      </w:r>
      <w:r w:rsidR="000159A6">
        <w:t xml:space="preserve"> </w:t>
      </w:r>
      <w:r>
        <w:t>for</w:t>
      </w:r>
      <w:r w:rsidR="000159A6">
        <w:t xml:space="preserve"> </w:t>
      </w:r>
      <w:r>
        <w:t>the</w:t>
      </w:r>
      <w:r w:rsidR="000159A6">
        <w:t xml:space="preserve"> </w:t>
      </w:r>
      <w:r>
        <w:t>selection</w:t>
      </w:r>
      <w:r w:rsidR="000159A6">
        <w:t xml:space="preserve"> </w:t>
      </w:r>
      <w:r>
        <w:t>of</w:t>
      </w:r>
      <w:r w:rsidR="000159A6">
        <w:t xml:space="preserve"> </w:t>
      </w:r>
      <w:r>
        <w:t>an</w:t>
      </w:r>
      <w:r w:rsidR="000159A6">
        <w:t xml:space="preserve"> </w:t>
      </w:r>
      <w:r>
        <w:t>adjuvant,</w:t>
      </w:r>
      <w:r w:rsidR="000159A6">
        <w:t xml:space="preserve"> </w:t>
      </w:r>
      <w:r>
        <w:t>supporting</w:t>
      </w:r>
      <w:r w:rsidR="000159A6">
        <w:t xml:space="preserve"> </w:t>
      </w:r>
      <w:r>
        <w:t>manufacturing</w:t>
      </w:r>
      <w:r w:rsidR="000159A6">
        <w:t xml:space="preserve"> </w:t>
      </w:r>
      <w:r>
        <w:t>changes</w:t>
      </w:r>
      <w:r w:rsidR="000159A6">
        <w:t xml:space="preserve"> </w:t>
      </w:r>
      <w:r>
        <w:t>during</w:t>
      </w:r>
      <w:r w:rsidR="000159A6">
        <w:t xml:space="preserve"> </w:t>
      </w:r>
      <w:r>
        <w:t>development</w:t>
      </w:r>
      <w:r w:rsidR="000159A6">
        <w:t xml:space="preserve"> </w:t>
      </w:r>
      <w:r>
        <w:t>and</w:t>
      </w:r>
      <w:r w:rsidR="000159A6">
        <w:t xml:space="preserve"> </w:t>
      </w:r>
      <w:r>
        <w:t>investigating</w:t>
      </w:r>
      <w:r w:rsidR="000159A6">
        <w:t xml:space="preserve"> </w:t>
      </w:r>
      <w:r>
        <w:t>the</w:t>
      </w:r>
      <w:r w:rsidR="000159A6">
        <w:t xml:space="preserve"> </w:t>
      </w:r>
      <w:r>
        <w:t>mode</w:t>
      </w:r>
      <w:r w:rsidR="000159A6">
        <w:t xml:space="preserve"> </w:t>
      </w:r>
      <w:r>
        <w:t>of</w:t>
      </w:r>
      <w:r w:rsidR="000159A6">
        <w:t xml:space="preserve"> </w:t>
      </w:r>
      <w:r>
        <w:t>action</w:t>
      </w:r>
      <w:r w:rsidR="000159A6">
        <w:t xml:space="preserve"> </w:t>
      </w:r>
      <w:r>
        <w:t>of</w:t>
      </w:r>
      <w:r w:rsidR="000159A6">
        <w:t xml:space="preserve"> </w:t>
      </w:r>
      <w:r>
        <w:t>the</w:t>
      </w:r>
      <w:r w:rsidR="000159A6">
        <w:t xml:space="preserve"> </w:t>
      </w:r>
      <w:r>
        <w:t>adjuvant</w:t>
      </w:r>
      <w:r w:rsidR="000159A6">
        <w:t xml:space="preserve"> </w:t>
      </w:r>
      <w:r>
        <w:t>system.</w:t>
      </w:r>
      <w:r w:rsidR="000159A6">
        <w:t xml:space="preserve"> </w:t>
      </w:r>
      <w:r>
        <w:t>In</w:t>
      </w:r>
      <w:r w:rsidR="000159A6">
        <w:t xml:space="preserve"> </w:t>
      </w:r>
      <w:r>
        <w:t>addition,</w:t>
      </w:r>
      <w:r w:rsidR="000159A6">
        <w:t xml:space="preserve"> </w:t>
      </w:r>
      <w:r>
        <w:t>safety</w:t>
      </w:r>
      <w:r w:rsidR="000159A6">
        <w:t xml:space="preserve"> </w:t>
      </w:r>
      <w:r>
        <w:t>pharmacology</w:t>
      </w:r>
      <w:r w:rsidR="000159A6">
        <w:t xml:space="preserve"> </w:t>
      </w:r>
      <w:r>
        <w:t>studies</w:t>
      </w:r>
      <w:r w:rsidR="000159A6">
        <w:t xml:space="preserve"> </w:t>
      </w:r>
      <w:r>
        <w:t>were</w:t>
      </w:r>
      <w:r w:rsidR="000159A6">
        <w:t xml:space="preserve"> </w:t>
      </w:r>
      <w:r>
        <w:t>conducted</w:t>
      </w:r>
      <w:r w:rsidR="000159A6">
        <w:t xml:space="preserve"> </w:t>
      </w:r>
      <w:r>
        <w:t>with</w:t>
      </w:r>
      <w:r w:rsidR="000159A6">
        <w:t xml:space="preserve"> </w:t>
      </w:r>
      <w:r>
        <w:t>gE/</w:t>
      </w:r>
      <w:r w:rsidR="000E6841">
        <w:t>AS01</w:t>
      </w:r>
      <w:r w:rsidR="000E6841" w:rsidRPr="006B28FF">
        <w:rPr>
          <w:vertAlign w:val="subscript"/>
        </w:rPr>
        <w:t>B</w:t>
      </w:r>
      <w:r>
        <w:t>,</w:t>
      </w:r>
      <w:r w:rsidR="000159A6">
        <w:t xml:space="preserve"> </w:t>
      </w:r>
      <w:r w:rsidR="000E6841">
        <w:t>AS01</w:t>
      </w:r>
      <w:r w:rsidR="000E6841" w:rsidRPr="006B28FF">
        <w:rPr>
          <w:vertAlign w:val="subscript"/>
        </w:rPr>
        <w:t>B</w:t>
      </w:r>
      <w:r w:rsidR="000159A6">
        <w:rPr>
          <w:vertAlign w:val="subscript"/>
        </w:rPr>
        <w:t xml:space="preserve"> </w:t>
      </w:r>
      <w:r>
        <w:t>and</w:t>
      </w:r>
      <w:r w:rsidR="000159A6">
        <w:t xml:space="preserve"> </w:t>
      </w:r>
      <w:r>
        <w:t>MPL.</w:t>
      </w:r>
    </w:p>
    <w:p w14:paraId="343FEDEC" w14:textId="04D871AC" w:rsidR="005B220F" w:rsidRPr="000C5861" w:rsidRDefault="005B220F" w:rsidP="00CC47E8">
      <w:pPr>
        <w:pStyle w:val="Heading5"/>
      </w:pPr>
      <w:r w:rsidRPr="000C5861">
        <w:lastRenderedPageBreak/>
        <w:t>Primary</w:t>
      </w:r>
      <w:r w:rsidR="000159A6" w:rsidRPr="000C5861">
        <w:t xml:space="preserve"> </w:t>
      </w:r>
      <w:r w:rsidRPr="00CC47E8">
        <w:t>pharmacology</w:t>
      </w:r>
    </w:p>
    <w:p w14:paraId="2844DD8D" w14:textId="77777777" w:rsidR="005B220F" w:rsidRPr="000C5861" w:rsidRDefault="005B220F" w:rsidP="000C5861">
      <w:pPr>
        <w:pStyle w:val="Heading6"/>
      </w:pPr>
      <w:proofErr w:type="gramStart"/>
      <w:r w:rsidRPr="000C5861">
        <w:t>gE/</w:t>
      </w:r>
      <w:r w:rsidR="000E6841" w:rsidRPr="000C5861">
        <w:t>AS01</w:t>
      </w:r>
      <w:r w:rsidR="000E6841" w:rsidRPr="00CD5352">
        <w:rPr>
          <w:vertAlign w:val="subscript"/>
        </w:rPr>
        <w:t>B</w:t>
      </w:r>
      <w:proofErr w:type="gramEnd"/>
    </w:p>
    <w:p w14:paraId="5F244F6E" w14:textId="6703FECE" w:rsidR="005B220F" w:rsidRDefault="005B220F" w:rsidP="00CC47E8">
      <w:proofErr w:type="gramStart"/>
      <w:r>
        <w:t>gE/</w:t>
      </w:r>
      <w:r w:rsidR="000E6841">
        <w:t>AS01</w:t>
      </w:r>
      <w:r w:rsidR="000E6841" w:rsidRPr="006B28FF">
        <w:rPr>
          <w:vertAlign w:val="subscript"/>
        </w:rPr>
        <w:t>B</w:t>
      </w:r>
      <w:proofErr w:type="gramEnd"/>
      <w:r w:rsidR="000159A6">
        <w:t xml:space="preserve"> </w:t>
      </w:r>
      <w:r>
        <w:t>has</w:t>
      </w:r>
      <w:r w:rsidR="000159A6">
        <w:t xml:space="preserve"> </w:t>
      </w:r>
      <w:r>
        <w:t>been</w:t>
      </w:r>
      <w:r w:rsidR="000159A6">
        <w:t xml:space="preserve"> </w:t>
      </w:r>
      <w:r>
        <w:t>designed</w:t>
      </w:r>
      <w:r w:rsidR="000159A6">
        <w:t xml:space="preserve"> </w:t>
      </w:r>
      <w:r>
        <w:t>to</w:t>
      </w:r>
      <w:r w:rsidR="000159A6">
        <w:t xml:space="preserve"> </w:t>
      </w:r>
      <w:r>
        <w:t>induce</w:t>
      </w:r>
      <w:r w:rsidR="000159A6">
        <w:t xml:space="preserve"> </w:t>
      </w:r>
      <w:r>
        <w:t>both</w:t>
      </w:r>
      <w:r w:rsidR="000159A6">
        <w:t xml:space="preserve"> </w:t>
      </w:r>
      <w:r>
        <w:t>cellular</w:t>
      </w:r>
      <w:r w:rsidR="000159A6">
        <w:t xml:space="preserve"> </w:t>
      </w:r>
      <w:r>
        <w:t>and</w:t>
      </w:r>
      <w:r w:rsidR="000159A6">
        <w:t xml:space="preserve"> </w:t>
      </w:r>
      <w:r>
        <w:t>humoral</w:t>
      </w:r>
      <w:r w:rsidR="000159A6">
        <w:t xml:space="preserve"> </w:t>
      </w:r>
      <w:r>
        <w:t>immune</w:t>
      </w:r>
      <w:r w:rsidR="000159A6">
        <w:t xml:space="preserve"> </w:t>
      </w:r>
      <w:r>
        <w:t>responses.</w:t>
      </w:r>
      <w:r w:rsidR="000159A6">
        <w:t xml:space="preserve"> </w:t>
      </w:r>
      <w:r>
        <w:t>In</w:t>
      </w:r>
      <w:r w:rsidR="000159A6">
        <w:t xml:space="preserve"> </w:t>
      </w:r>
      <w:r>
        <w:t>the</w:t>
      </w:r>
      <w:r w:rsidR="000159A6">
        <w:t xml:space="preserve"> </w:t>
      </w:r>
      <w:r>
        <w:t>nonclinical</w:t>
      </w:r>
      <w:r w:rsidR="000159A6">
        <w:t xml:space="preserve"> </w:t>
      </w:r>
      <w:r>
        <w:t>studies</w:t>
      </w:r>
      <w:r w:rsidR="000159A6">
        <w:t xml:space="preserve"> </w:t>
      </w:r>
      <w:r>
        <w:t>both</w:t>
      </w:r>
      <w:r w:rsidR="000159A6">
        <w:t xml:space="preserve"> </w:t>
      </w:r>
      <w:r>
        <w:t>humoral</w:t>
      </w:r>
      <w:r w:rsidR="000159A6">
        <w:t xml:space="preserve"> </w:t>
      </w:r>
      <w:r>
        <w:t>and</w:t>
      </w:r>
      <w:r w:rsidR="000159A6">
        <w:t xml:space="preserve"> </w:t>
      </w:r>
      <w:r>
        <w:t>T</w:t>
      </w:r>
      <w:r w:rsidR="000159A6">
        <w:t xml:space="preserve"> </w:t>
      </w:r>
      <w:r>
        <w:t>cell</w:t>
      </w:r>
      <w:r w:rsidR="000159A6">
        <w:t xml:space="preserve"> </w:t>
      </w:r>
      <w:r>
        <w:t>(CD4</w:t>
      </w:r>
      <w:r w:rsidR="000E6841">
        <w:t>+</w:t>
      </w:r>
      <w:r w:rsidR="000159A6">
        <w:t xml:space="preserve"> </w:t>
      </w:r>
      <w:r>
        <w:t>and</w:t>
      </w:r>
      <w:r w:rsidR="000159A6">
        <w:t xml:space="preserve"> </w:t>
      </w:r>
      <w:r>
        <w:t>CD8</w:t>
      </w:r>
      <w:r w:rsidR="000E6841">
        <w:t>+</w:t>
      </w:r>
      <w:r>
        <w:t>)</w:t>
      </w:r>
      <w:r w:rsidR="000159A6">
        <w:t xml:space="preserve"> </w:t>
      </w:r>
      <w:r>
        <w:t>responses</w:t>
      </w:r>
      <w:r w:rsidR="000159A6">
        <w:t xml:space="preserve"> </w:t>
      </w:r>
      <w:r>
        <w:t>were</w:t>
      </w:r>
      <w:r w:rsidR="000159A6">
        <w:t xml:space="preserve"> </w:t>
      </w:r>
      <w:r>
        <w:t>evaluated</w:t>
      </w:r>
      <w:r w:rsidR="000159A6">
        <w:t xml:space="preserve"> </w:t>
      </w:r>
      <w:r>
        <w:t>following</w:t>
      </w:r>
      <w:r w:rsidR="000159A6">
        <w:t xml:space="preserve"> </w:t>
      </w:r>
      <w:r>
        <w:t>injection</w:t>
      </w:r>
      <w:r w:rsidR="000159A6">
        <w:t xml:space="preserve"> </w:t>
      </w:r>
      <w:r>
        <w:t>of</w:t>
      </w:r>
      <w:r w:rsidR="000159A6">
        <w:t xml:space="preserve"> </w:t>
      </w:r>
      <w:r>
        <w:t>the</w:t>
      </w:r>
      <w:r w:rsidR="000159A6">
        <w:t xml:space="preserve"> </w:t>
      </w:r>
      <w:r>
        <w:t>recombinant</w:t>
      </w:r>
      <w:r w:rsidR="000159A6">
        <w:t xml:space="preserve"> </w:t>
      </w:r>
      <w:r>
        <w:t>gE</w:t>
      </w:r>
      <w:r w:rsidR="000159A6">
        <w:t xml:space="preserve"> </w:t>
      </w:r>
      <w:r>
        <w:t>protein</w:t>
      </w:r>
      <w:r w:rsidR="000159A6">
        <w:t xml:space="preserve"> </w:t>
      </w:r>
      <w:r>
        <w:t>formulated</w:t>
      </w:r>
      <w:r w:rsidR="000159A6">
        <w:t xml:space="preserve"> </w:t>
      </w:r>
      <w:r>
        <w:t>with</w:t>
      </w:r>
      <w:r w:rsidR="000159A6">
        <w:t xml:space="preserve"> </w:t>
      </w:r>
      <w:r>
        <w:t>different</w:t>
      </w:r>
      <w:r w:rsidR="000159A6">
        <w:t xml:space="preserve"> </w:t>
      </w:r>
      <w:r>
        <w:t>adjuvants</w:t>
      </w:r>
      <w:r w:rsidR="000159A6">
        <w:t xml:space="preserve"> </w:t>
      </w:r>
      <w:r>
        <w:t>systems</w:t>
      </w:r>
      <w:r w:rsidR="000159A6">
        <w:t xml:space="preserve"> </w:t>
      </w:r>
      <w:r>
        <w:t>(including</w:t>
      </w:r>
      <w:r w:rsidR="000159A6">
        <w:t xml:space="preserve"> </w:t>
      </w:r>
      <w:r>
        <w:t>oil-in-water</w:t>
      </w:r>
      <w:r w:rsidR="000159A6">
        <w:t xml:space="preserve"> </w:t>
      </w:r>
      <w:r>
        <w:t>emulsions</w:t>
      </w:r>
      <w:r w:rsidR="000159A6">
        <w:t xml:space="preserve"> </w:t>
      </w:r>
      <w:r>
        <w:t>±</w:t>
      </w:r>
      <w:r w:rsidR="000159A6">
        <w:t xml:space="preserve"> </w:t>
      </w:r>
      <w:r>
        <w:t>MPL</w:t>
      </w:r>
      <w:r w:rsidR="000159A6">
        <w:t xml:space="preserve"> </w:t>
      </w:r>
      <w:r>
        <w:t>±</w:t>
      </w:r>
      <w:r w:rsidR="000159A6">
        <w:t xml:space="preserve"> </w:t>
      </w:r>
      <w:r>
        <w:t>QS-21</w:t>
      </w:r>
      <w:r w:rsidR="000159A6">
        <w:t xml:space="preserve"> </w:t>
      </w:r>
      <w:r>
        <w:t>(ASO2,</w:t>
      </w:r>
      <w:r w:rsidR="000159A6">
        <w:t xml:space="preserve"> </w:t>
      </w:r>
      <w:r>
        <w:t>ASO3),</w:t>
      </w:r>
      <w:r w:rsidR="000159A6">
        <w:t xml:space="preserve"> </w:t>
      </w:r>
      <w:r>
        <w:t>MPL</w:t>
      </w:r>
      <w:r w:rsidR="000159A6">
        <w:t xml:space="preserve"> </w:t>
      </w:r>
      <w:r w:rsidR="000E6841">
        <w:t>+</w:t>
      </w:r>
      <w:r w:rsidR="000159A6">
        <w:t xml:space="preserve"> </w:t>
      </w:r>
      <w:r>
        <w:t>Alum</w:t>
      </w:r>
      <w:r w:rsidR="000159A6">
        <w:t xml:space="preserve"> </w:t>
      </w:r>
      <w:r>
        <w:t>(ASO4),</w:t>
      </w:r>
      <w:r w:rsidR="000159A6">
        <w:t xml:space="preserve"> </w:t>
      </w:r>
      <w:r>
        <w:t>and</w:t>
      </w:r>
      <w:r w:rsidR="000159A6">
        <w:t xml:space="preserve"> </w:t>
      </w:r>
      <w:r>
        <w:t>liposomes</w:t>
      </w:r>
      <w:r w:rsidR="000159A6">
        <w:t xml:space="preserve"> </w:t>
      </w:r>
      <w:r w:rsidR="000E6841">
        <w:t>+</w:t>
      </w:r>
      <w:r w:rsidR="000159A6">
        <w:t xml:space="preserve"> </w:t>
      </w:r>
      <w:r>
        <w:t>MPL</w:t>
      </w:r>
      <w:r w:rsidR="000159A6">
        <w:t xml:space="preserve"> </w:t>
      </w:r>
      <w:r w:rsidR="000E6841">
        <w:t>+</w:t>
      </w:r>
      <w:r w:rsidR="000159A6">
        <w:t xml:space="preserve"> </w:t>
      </w:r>
      <w:r>
        <w:t>QS-21</w:t>
      </w:r>
      <w:r w:rsidR="000159A6">
        <w:t xml:space="preserve"> </w:t>
      </w:r>
      <w:r>
        <w:t>at</w:t>
      </w:r>
      <w:r w:rsidR="000159A6">
        <w:t xml:space="preserve"> </w:t>
      </w:r>
      <w:r>
        <w:t>different</w:t>
      </w:r>
      <w:r w:rsidR="000159A6">
        <w:t xml:space="preserve"> </w:t>
      </w:r>
      <w:r>
        <w:t>quantities</w:t>
      </w:r>
      <w:r w:rsidR="000159A6">
        <w:t xml:space="preserve"> </w:t>
      </w:r>
      <w:r>
        <w:t>(AS01))</w:t>
      </w:r>
      <w:r w:rsidR="000159A6">
        <w:t xml:space="preserve"> </w:t>
      </w:r>
      <w:r>
        <w:t>in</w:t>
      </w:r>
      <w:r w:rsidR="000159A6">
        <w:t xml:space="preserve"> </w:t>
      </w:r>
      <w:r>
        <w:t>mice</w:t>
      </w:r>
      <w:r w:rsidR="00E97880">
        <w:t>.</w:t>
      </w:r>
    </w:p>
    <w:p w14:paraId="6C2E0DC4" w14:textId="341A6520" w:rsidR="005B220F" w:rsidRPr="00127367" w:rsidRDefault="005B220F" w:rsidP="00CC47E8">
      <w:r>
        <w:t>Significantly</w:t>
      </w:r>
      <w:r w:rsidR="000159A6">
        <w:t xml:space="preserve"> </w:t>
      </w:r>
      <w:r>
        <w:t>higher</w:t>
      </w:r>
      <w:r w:rsidR="000159A6">
        <w:t xml:space="preserve"> </w:t>
      </w:r>
      <w:r w:rsidR="000E6841">
        <w:t>titres</w:t>
      </w:r>
      <w:r w:rsidR="000159A6">
        <w:t xml:space="preserve"> </w:t>
      </w:r>
      <w:r>
        <w:t>of</w:t>
      </w:r>
      <w:r w:rsidR="000159A6">
        <w:t xml:space="preserve"> </w:t>
      </w:r>
      <w:r>
        <w:t>gE-specific</w:t>
      </w:r>
      <w:r w:rsidR="000159A6">
        <w:t xml:space="preserve"> </w:t>
      </w:r>
      <w:r>
        <w:t>antibodies</w:t>
      </w:r>
      <w:r w:rsidR="000159A6">
        <w:t xml:space="preserve"> </w:t>
      </w:r>
      <w:r>
        <w:t>and</w:t>
      </w:r>
      <w:r w:rsidR="000159A6">
        <w:t xml:space="preserve"> </w:t>
      </w:r>
      <w:r>
        <w:t>CD4</w:t>
      </w:r>
      <w:r w:rsidR="000E6841">
        <w:t>+</w:t>
      </w:r>
      <w:r w:rsidR="000159A6">
        <w:t xml:space="preserve"> </w:t>
      </w:r>
      <w:r>
        <w:t>T</w:t>
      </w:r>
      <w:r w:rsidR="000159A6">
        <w:t xml:space="preserve"> </w:t>
      </w:r>
      <w:r>
        <w:t>cell</w:t>
      </w:r>
      <w:r w:rsidR="000159A6">
        <w:t xml:space="preserve"> </w:t>
      </w:r>
      <w:r>
        <w:t>responses</w:t>
      </w:r>
      <w:r w:rsidR="000159A6">
        <w:t xml:space="preserve"> </w:t>
      </w:r>
      <w:r>
        <w:t>were</w:t>
      </w:r>
      <w:r w:rsidR="000159A6">
        <w:t xml:space="preserve"> </w:t>
      </w:r>
      <w:r>
        <w:t>observed</w:t>
      </w:r>
      <w:r w:rsidR="000159A6">
        <w:t xml:space="preserve"> </w:t>
      </w:r>
      <w:r>
        <w:t>in</w:t>
      </w:r>
      <w:r w:rsidR="000159A6">
        <w:t xml:space="preserve"> </w:t>
      </w:r>
      <w:r>
        <w:t>VZV</w:t>
      </w:r>
      <w:r w:rsidR="000159A6">
        <w:t xml:space="preserve"> </w:t>
      </w:r>
      <w:r>
        <w:t>primed</w:t>
      </w:r>
      <w:r w:rsidR="000159A6">
        <w:t xml:space="preserve"> </w:t>
      </w:r>
      <w:r>
        <w:t>mice</w:t>
      </w:r>
      <w:r w:rsidR="000159A6">
        <w:t xml:space="preserve"> </w:t>
      </w:r>
      <w:r>
        <w:t>injected</w:t>
      </w:r>
      <w:r w:rsidR="000159A6">
        <w:t xml:space="preserve"> </w:t>
      </w:r>
      <w:r>
        <w:t>with</w:t>
      </w:r>
      <w:r w:rsidR="000159A6">
        <w:t xml:space="preserve"> </w:t>
      </w:r>
      <w:r>
        <w:t>any</w:t>
      </w:r>
      <w:r w:rsidR="000159A6">
        <w:t xml:space="preserve"> </w:t>
      </w:r>
      <w:r>
        <w:t>adjuvant</w:t>
      </w:r>
      <w:r w:rsidR="000159A6">
        <w:t xml:space="preserve"> </w:t>
      </w:r>
      <w:r>
        <w:t>system</w:t>
      </w:r>
      <w:r w:rsidR="000159A6">
        <w:t xml:space="preserve"> </w:t>
      </w:r>
      <w:r>
        <w:t>compared</w:t>
      </w:r>
      <w:r w:rsidR="000159A6">
        <w:t xml:space="preserve"> </w:t>
      </w:r>
      <w:r>
        <w:t>to</w:t>
      </w:r>
      <w:r w:rsidR="000159A6">
        <w:t xml:space="preserve"> </w:t>
      </w:r>
      <w:proofErr w:type="gramStart"/>
      <w:r>
        <w:t>gE</w:t>
      </w:r>
      <w:proofErr w:type="gramEnd"/>
      <w:r w:rsidR="000159A6">
        <w:t xml:space="preserve"> </w:t>
      </w:r>
      <w:r>
        <w:t>protein</w:t>
      </w:r>
      <w:r w:rsidR="000159A6">
        <w:t xml:space="preserve"> </w:t>
      </w:r>
      <w:r>
        <w:t>alone</w:t>
      </w:r>
      <w:r w:rsidR="000159A6">
        <w:t xml:space="preserve"> </w:t>
      </w:r>
      <w:r>
        <w:t>indicating</w:t>
      </w:r>
      <w:r w:rsidR="000159A6">
        <w:t xml:space="preserve"> </w:t>
      </w:r>
      <w:r>
        <w:t>the</w:t>
      </w:r>
      <w:r w:rsidR="000159A6">
        <w:t xml:space="preserve"> </w:t>
      </w:r>
      <w:r>
        <w:t>requirement</w:t>
      </w:r>
      <w:r w:rsidR="000159A6">
        <w:t xml:space="preserve"> </w:t>
      </w:r>
      <w:r>
        <w:t>of</w:t>
      </w:r>
      <w:r w:rsidR="000159A6">
        <w:t xml:space="preserve"> </w:t>
      </w:r>
      <w:r>
        <w:t>an</w:t>
      </w:r>
      <w:r w:rsidR="000159A6">
        <w:t xml:space="preserve"> </w:t>
      </w:r>
      <w:r>
        <w:t>adjuvant</w:t>
      </w:r>
      <w:r w:rsidR="000159A6">
        <w:t xml:space="preserve"> </w:t>
      </w:r>
      <w:r>
        <w:t>in</w:t>
      </w:r>
      <w:r w:rsidR="000159A6">
        <w:t xml:space="preserve"> </w:t>
      </w:r>
      <w:r>
        <w:t>this</w:t>
      </w:r>
      <w:r w:rsidR="000159A6">
        <w:t xml:space="preserve"> </w:t>
      </w:r>
      <w:r>
        <w:t>vaccine.</w:t>
      </w:r>
      <w:r w:rsidR="000159A6">
        <w:t xml:space="preserve"> </w:t>
      </w:r>
      <w:r>
        <w:t>At</w:t>
      </w:r>
      <w:r w:rsidR="000159A6">
        <w:t xml:space="preserve"> </w:t>
      </w:r>
      <w:r>
        <w:t>1/10</w:t>
      </w:r>
      <w:r w:rsidRPr="00812CA9">
        <w:rPr>
          <w:vertAlign w:val="superscript"/>
        </w:rPr>
        <w:t>th</w:t>
      </w:r>
      <w:r w:rsidR="000159A6">
        <w:t xml:space="preserve"> </w:t>
      </w:r>
      <w:r>
        <w:t>of</w:t>
      </w:r>
      <w:r w:rsidR="000159A6">
        <w:t xml:space="preserve"> </w:t>
      </w:r>
      <w:r>
        <w:t>the</w:t>
      </w:r>
      <w:r w:rsidR="000159A6">
        <w:t xml:space="preserve"> </w:t>
      </w:r>
      <w:r>
        <w:t>human</w:t>
      </w:r>
      <w:r w:rsidR="000159A6">
        <w:t xml:space="preserve"> </w:t>
      </w:r>
      <w:r>
        <w:t>dose</w:t>
      </w:r>
      <w:r w:rsidR="000159A6">
        <w:t xml:space="preserve"> </w:t>
      </w:r>
      <w:r w:rsidRPr="0057127E">
        <w:t>gE</w:t>
      </w:r>
      <w:r w:rsidR="000159A6">
        <w:t xml:space="preserve"> </w:t>
      </w:r>
      <w:r w:rsidRPr="0057127E">
        <w:t>(5</w:t>
      </w:r>
      <w:r w:rsidR="000159A6">
        <w:t xml:space="preserve"> </w:t>
      </w:r>
      <w:r w:rsidRPr="0057127E">
        <w:t>µg)/</w:t>
      </w:r>
      <w:r w:rsidR="000E6841">
        <w:t>AS01</w:t>
      </w:r>
      <w:r w:rsidR="000E6841" w:rsidRPr="006B28FF">
        <w:rPr>
          <w:vertAlign w:val="subscript"/>
        </w:rPr>
        <w:t>B</w:t>
      </w:r>
      <w:r w:rsidR="000159A6">
        <w:t xml:space="preserve"> </w:t>
      </w:r>
      <w:r>
        <w:t>induced</w:t>
      </w:r>
      <w:r w:rsidR="000159A6">
        <w:t xml:space="preserve"> </w:t>
      </w:r>
      <w:r>
        <w:t>superior</w:t>
      </w:r>
      <w:r w:rsidR="000159A6">
        <w:t xml:space="preserve"> </w:t>
      </w:r>
      <w:r>
        <w:t>cellular</w:t>
      </w:r>
      <w:r w:rsidR="000159A6">
        <w:t xml:space="preserve"> </w:t>
      </w:r>
      <w:r>
        <w:t>immune</w:t>
      </w:r>
      <w:r w:rsidR="000159A6">
        <w:t xml:space="preserve"> </w:t>
      </w:r>
      <w:r>
        <w:t>responses,</w:t>
      </w:r>
      <w:r w:rsidR="000159A6">
        <w:t xml:space="preserve"> </w:t>
      </w:r>
      <w:r>
        <w:t>measured</w:t>
      </w:r>
      <w:r w:rsidR="000159A6">
        <w:t xml:space="preserve"> </w:t>
      </w:r>
      <w:r>
        <w:t>as</w:t>
      </w:r>
      <w:r w:rsidR="000159A6">
        <w:t xml:space="preserve"> </w:t>
      </w:r>
      <w:r w:rsidR="00175E10">
        <w:t>i</w:t>
      </w:r>
      <w:r w:rsidR="000E6841" w:rsidRPr="007C24FC">
        <w:t>nterferon</w:t>
      </w:r>
      <w:r w:rsidR="000159A6">
        <w:t xml:space="preserve"> </w:t>
      </w:r>
      <w:r w:rsidR="000E6841" w:rsidRPr="007C24FC">
        <w:t>gamma</w:t>
      </w:r>
      <w:r w:rsidR="000159A6">
        <w:t xml:space="preserve"> </w:t>
      </w:r>
      <w:r w:rsidR="000E6841">
        <w:t>(</w:t>
      </w:r>
      <w:r>
        <w:t>IFN-</w:t>
      </w:r>
      <w:r w:rsidRPr="00127367">
        <w:t>γ</w:t>
      </w:r>
      <w:r w:rsidR="000E6841">
        <w:t>)</w:t>
      </w:r>
      <w:r w:rsidR="000159A6">
        <w:t xml:space="preserve"> </w:t>
      </w:r>
      <w:r>
        <w:t>and/or</w:t>
      </w:r>
      <w:r w:rsidR="000159A6">
        <w:t xml:space="preserve"> </w:t>
      </w:r>
      <w:r w:rsidR="00175E10">
        <w:t>i</w:t>
      </w:r>
      <w:r w:rsidR="000E6841">
        <w:t>nterleukin</w:t>
      </w:r>
      <w:r w:rsidR="000159A6">
        <w:t xml:space="preserve"> </w:t>
      </w:r>
      <w:r w:rsidR="000E6841">
        <w:t>2</w:t>
      </w:r>
      <w:r w:rsidR="000159A6">
        <w:t xml:space="preserve"> </w:t>
      </w:r>
      <w:r w:rsidR="000E6841">
        <w:t>(</w:t>
      </w:r>
      <w:r>
        <w:t>IL-2</w:t>
      </w:r>
      <w:r w:rsidR="000E6841">
        <w:t>)</w:t>
      </w:r>
      <w:r w:rsidR="000159A6">
        <w:t xml:space="preserve"> </w:t>
      </w:r>
      <w:r>
        <w:t>producing</w:t>
      </w:r>
      <w:r w:rsidR="000159A6">
        <w:t xml:space="preserve"> </w:t>
      </w:r>
      <w:r>
        <w:t>CD4</w:t>
      </w:r>
      <w:r w:rsidR="000159A6">
        <w:t xml:space="preserve"> </w:t>
      </w:r>
      <w:r>
        <w:t>T</w:t>
      </w:r>
      <w:r w:rsidR="000159A6">
        <w:t xml:space="preserve"> </w:t>
      </w:r>
      <w:r>
        <w:t>cells,</w:t>
      </w:r>
      <w:r w:rsidR="000159A6">
        <w:t xml:space="preserve"> </w:t>
      </w:r>
      <w:r>
        <w:t>compared</w:t>
      </w:r>
      <w:r w:rsidR="000159A6">
        <w:t xml:space="preserve"> </w:t>
      </w:r>
      <w:r>
        <w:t>to</w:t>
      </w:r>
      <w:r w:rsidR="000159A6">
        <w:t xml:space="preserve"> </w:t>
      </w:r>
      <w:r>
        <w:t>other</w:t>
      </w:r>
      <w:r w:rsidR="000159A6">
        <w:t xml:space="preserve"> </w:t>
      </w:r>
      <w:r>
        <w:t>adjuvant</w:t>
      </w:r>
      <w:r w:rsidR="000159A6">
        <w:t xml:space="preserve"> </w:t>
      </w:r>
      <w:r>
        <w:t>systems</w:t>
      </w:r>
      <w:r w:rsidR="000159A6">
        <w:t xml:space="preserve"> </w:t>
      </w:r>
      <w:r>
        <w:t>(including</w:t>
      </w:r>
      <w:r w:rsidR="000159A6">
        <w:t xml:space="preserve"> </w:t>
      </w:r>
      <w:r>
        <w:t>MPL</w:t>
      </w:r>
      <w:r w:rsidR="000159A6">
        <w:t xml:space="preserve"> </w:t>
      </w:r>
      <w:r>
        <w:t>alone,</w:t>
      </w:r>
      <w:r w:rsidR="000159A6">
        <w:t xml:space="preserve"> </w:t>
      </w:r>
      <w:r>
        <w:t>QS-21</w:t>
      </w:r>
      <w:r w:rsidR="000E6841">
        <w:t>+</w:t>
      </w:r>
      <w:r>
        <w:t>MPL</w:t>
      </w:r>
      <w:r w:rsidR="000159A6">
        <w:t xml:space="preserve"> </w:t>
      </w:r>
      <w:r>
        <w:t>without</w:t>
      </w:r>
      <w:r w:rsidR="000159A6">
        <w:t xml:space="preserve"> </w:t>
      </w:r>
      <w:proofErr w:type="spellStart"/>
      <w:r w:rsidR="00331AB9">
        <w:t>dioleoyl</w:t>
      </w:r>
      <w:proofErr w:type="spellEnd"/>
      <w:r w:rsidR="000159A6">
        <w:t xml:space="preserve"> </w:t>
      </w:r>
      <w:r w:rsidR="00331AB9">
        <w:t>phosphatidylcholine</w:t>
      </w:r>
      <w:r w:rsidR="000159A6">
        <w:t xml:space="preserve"> </w:t>
      </w:r>
      <w:r w:rsidR="00331AB9">
        <w:t>(</w:t>
      </w:r>
      <w:r>
        <w:t>DOPC</w:t>
      </w:r>
      <w:r w:rsidR="00331AB9">
        <w:t>)</w:t>
      </w:r>
      <w:r>
        <w:t>,</w:t>
      </w:r>
      <w:r w:rsidR="000159A6">
        <w:t xml:space="preserve"> </w:t>
      </w:r>
      <w:proofErr w:type="spellStart"/>
      <w:r>
        <w:t>MPL</w:t>
      </w:r>
      <w:r w:rsidR="000E6841">
        <w:t>+</w:t>
      </w:r>
      <w:r>
        <w:t>AlumOH</w:t>
      </w:r>
      <w:proofErr w:type="spellEnd"/>
      <w:r>
        <w:t>).</w:t>
      </w:r>
      <w:r w:rsidR="000159A6">
        <w:t xml:space="preserve"> </w:t>
      </w:r>
      <w:r>
        <w:t>The</w:t>
      </w:r>
      <w:r w:rsidR="000159A6">
        <w:t xml:space="preserve"> </w:t>
      </w:r>
      <w:r>
        <w:t>selection</w:t>
      </w:r>
      <w:r w:rsidR="000159A6">
        <w:t xml:space="preserve"> </w:t>
      </w:r>
      <w:r>
        <w:t>of</w:t>
      </w:r>
      <w:r w:rsidR="000159A6">
        <w:t xml:space="preserve"> </w:t>
      </w:r>
      <w:r w:rsidR="000E6841">
        <w:t>AS01</w:t>
      </w:r>
      <w:r w:rsidR="000E6841" w:rsidRPr="006B28FF">
        <w:rPr>
          <w:vertAlign w:val="subscript"/>
        </w:rPr>
        <w:t>B</w:t>
      </w:r>
      <w:r w:rsidR="000159A6">
        <w:t xml:space="preserve"> </w:t>
      </w:r>
      <w:r>
        <w:t>as</w:t>
      </w:r>
      <w:r w:rsidR="000159A6">
        <w:t xml:space="preserve"> </w:t>
      </w:r>
      <w:r>
        <w:t>the</w:t>
      </w:r>
      <w:r w:rsidR="000159A6">
        <w:t xml:space="preserve"> </w:t>
      </w:r>
      <w:r>
        <w:t>adjuvant</w:t>
      </w:r>
      <w:r w:rsidR="000159A6">
        <w:t xml:space="preserve"> </w:t>
      </w:r>
      <w:r>
        <w:t>was</w:t>
      </w:r>
      <w:r w:rsidR="000159A6">
        <w:t xml:space="preserve"> </w:t>
      </w:r>
      <w:r>
        <w:t>supported</w:t>
      </w:r>
      <w:r w:rsidR="000159A6">
        <w:t xml:space="preserve"> </w:t>
      </w:r>
      <w:r>
        <w:t>by</w:t>
      </w:r>
      <w:r w:rsidR="000159A6">
        <w:t xml:space="preserve"> </w:t>
      </w:r>
      <w:r>
        <w:t>the</w:t>
      </w:r>
      <w:r w:rsidR="000159A6">
        <w:t xml:space="preserve"> </w:t>
      </w:r>
      <w:r>
        <w:t>immunogenicity</w:t>
      </w:r>
      <w:r w:rsidR="000159A6">
        <w:t xml:space="preserve"> </w:t>
      </w:r>
      <w:r>
        <w:t>data.</w:t>
      </w:r>
      <w:r w:rsidR="000159A6">
        <w:t xml:space="preserve"> </w:t>
      </w:r>
      <w:r>
        <w:t>High</w:t>
      </w:r>
      <w:r w:rsidR="000159A6">
        <w:t xml:space="preserve"> </w:t>
      </w:r>
      <w:r>
        <w:t>antibody</w:t>
      </w:r>
      <w:r w:rsidR="000159A6">
        <w:t xml:space="preserve"> </w:t>
      </w:r>
      <w:r>
        <w:t>titres</w:t>
      </w:r>
      <w:r w:rsidR="000159A6">
        <w:t xml:space="preserve"> </w:t>
      </w:r>
      <w:r>
        <w:t>to</w:t>
      </w:r>
      <w:r w:rsidR="000159A6">
        <w:t xml:space="preserve"> </w:t>
      </w:r>
      <w:proofErr w:type="gramStart"/>
      <w:r>
        <w:t>gE</w:t>
      </w:r>
      <w:proofErr w:type="gramEnd"/>
      <w:r w:rsidR="000159A6">
        <w:t xml:space="preserve"> </w:t>
      </w:r>
      <w:r>
        <w:t>were</w:t>
      </w:r>
      <w:r w:rsidR="000159A6">
        <w:t xml:space="preserve"> </w:t>
      </w:r>
      <w:r>
        <w:t>also</w:t>
      </w:r>
      <w:r w:rsidR="000159A6">
        <w:t xml:space="preserve"> </w:t>
      </w:r>
      <w:r>
        <w:t>detected</w:t>
      </w:r>
      <w:r w:rsidR="000159A6">
        <w:t xml:space="preserve"> </w:t>
      </w:r>
      <w:r>
        <w:t>in</w:t>
      </w:r>
      <w:r w:rsidR="000159A6">
        <w:t xml:space="preserve"> </w:t>
      </w:r>
      <w:r>
        <w:t>rabbits</w:t>
      </w:r>
      <w:r w:rsidR="000159A6">
        <w:t xml:space="preserve"> </w:t>
      </w:r>
      <w:r>
        <w:t>after</w:t>
      </w:r>
      <w:r w:rsidR="000159A6">
        <w:t xml:space="preserve"> </w:t>
      </w:r>
      <w:r>
        <w:t>3</w:t>
      </w:r>
      <w:r w:rsidR="000159A6">
        <w:t xml:space="preserve"> </w:t>
      </w:r>
      <w:r w:rsidR="00175E10">
        <w:t>subcutaneous</w:t>
      </w:r>
      <w:r w:rsidR="000159A6">
        <w:t xml:space="preserve"> </w:t>
      </w:r>
      <w:r w:rsidR="00175E10">
        <w:t>(</w:t>
      </w:r>
      <w:r>
        <w:t>SC</w:t>
      </w:r>
      <w:r w:rsidR="00175E10">
        <w:t>)</w:t>
      </w:r>
      <w:r w:rsidR="000159A6">
        <w:t xml:space="preserve"> </w:t>
      </w:r>
      <w:r>
        <w:t>or</w:t>
      </w:r>
      <w:r w:rsidR="000159A6">
        <w:t xml:space="preserve"> </w:t>
      </w:r>
      <w:r>
        <w:t>IM</w:t>
      </w:r>
      <w:r w:rsidR="000159A6">
        <w:t xml:space="preserve"> </w:t>
      </w:r>
      <w:r>
        <w:t>doses</w:t>
      </w:r>
      <w:r w:rsidR="000159A6">
        <w:t xml:space="preserve"> </w:t>
      </w:r>
      <w:r>
        <w:t>of</w:t>
      </w:r>
      <w:r w:rsidR="000159A6">
        <w:t xml:space="preserve"> </w:t>
      </w:r>
      <w:r>
        <w:t>the</w:t>
      </w:r>
      <w:r w:rsidR="000159A6">
        <w:t xml:space="preserve"> </w:t>
      </w:r>
      <w:r>
        <w:t>vaccine</w:t>
      </w:r>
      <w:r w:rsidR="000159A6">
        <w:t xml:space="preserve"> </w:t>
      </w:r>
      <w:r>
        <w:t>in</w:t>
      </w:r>
      <w:r w:rsidR="000159A6">
        <w:t xml:space="preserve"> </w:t>
      </w:r>
      <w:r>
        <w:t>the</w:t>
      </w:r>
      <w:r w:rsidR="000159A6">
        <w:t xml:space="preserve"> </w:t>
      </w:r>
      <w:r>
        <w:t>repeat</w:t>
      </w:r>
      <w:r w:rsidR="000159A6">
        <w:t xml:space="preserve"> </w:t>
      </w:r>
      <w:r>
        <w:t>dose</w:t>
      </w:r>
      <w:r w:rsidR="000159A6">
        <w:t xml:space="preserve"> </w:t>
      </w:r>
      <w:r>
        <w:t>toxicity</w:t>
      </w:r>
      <w:r w:rsidR="000159A6">
        <w:t xml:space="preserve"> </w:t>
      </w:r>
      <w:r>
        <w:t>studies.</w:t>
      </w:r>
      <w:r w:rsidR="000159A6">
        <w:t xml:space="preserve"> </w:t>
      </w:r>
      <w:r w:rsidRPr="00854819">
        <w:t>These</w:t>
      </w:r>
      <w:r w:rsidR="000159A6">
        <w:t xml:space="preserve"> </w:t>
      </w:r>
      <w:r w:rsidRPr="00854819">
        <w:t>studies</w:t>
      </w:r>
      <w:r w:rsidR="000159A6">
        <w:t xml:space="preserve"> </w:t>
      </w:r>
      <w:r w:rsidRPr="00854819">
        <w:t>lacked</w:t>
      </w:r>
      <w:r w:rsidR="000159A6">
        <w:t xml:space="preserve"> </w:t>
      </w:r>
      <w:r w:rsidRPr="00854819">
        <w:t>efficacy</w:t>
      </w:r>
      <w:r w:rsidR="000159A6">
        <w:t xml:space="preserve"> </w:t>
      </w:r>
      <w:r w:rsidRPr="00854819">
        <w:t>data</w:t>
      </w:r>
      <w:r w:rsidR="000159A6">
        <w:t xml:space="preserve"> </w:t>
      </w:r>
      <w:r w:rsidRPr="00854819">
        <w:t>(protection</w:t>
      </w:r>
      <w:r w:rsidR="000159A6">
        <w:t xml:space="preserve"> </w:t>
      </w:r>
      <w:r w:rsidRPr="00854819">
        <w:t>against</w:t>
      </w:r>
      <w:r w:rsidR="000159A6">
        <w:t xml:space="preserve"> </w:t>
      </w:r>
      <w:r w:rsidRPr="00854819">
        <w:t>HZ)</w:t>
      </w:r>
      <w:r w:rsidR="000159A6">
        <w:t xml:space="preserve"> </w:t>
      </w:r>
      <w:r w:rsidRPr="0057127E">
        <w:t>and</w:t>
      </w:r>
      <w:r w:rsidR="000159A6">
        <w:t xml:space="preserve"> </w:t>
      </w:r>
      <w:r w:rsidRPr="0057127E">
        <w:t>would</w:t>
      </w:r>
      <w:r w:rsidR="000159A6">
        <w:t xml:space="preserve"> </w:t>
      </w:r>
      <w:r w:rsidRPr="0057127E">
        <w:t>need</w:t>
      </w:r>
      <w:r w:rsidR="000159A6">
        <w:t xml:space="preserve"> </w:t>
      </w:r>
      <w:r w:rsidRPr="0057127E">
        <w:t>to</w:t>
      </w:r>
      <w:r w:rsidR="000159A6">
        <w:t xml:space="preserve"> </w:t>
      </w:r>
      <w:r w:rsidRPr="0057127E">
        <w:t>be</w:t>
      </w:r>
      <w:r w:rsidR="000159A6">
        <w:t xml:space="preserve"> </w:t>
      </w:r>
      <w:r w:rsidRPr="0057127E">
        <w:t>addressed</w:t>
      </w:r>
      <w:r w:rsidR="000159A6">
        <w:t xml:space="preserve"> </w:t>
      </w:r>
      <w:r w:rsidRPr="0057127E">
        <w:t>in</w:t>
      </w:r>
      <w:r w:rsidR="000159A6">
        <w:t xml:space="preserve"> </w:t>
      </w:r>
      <w:r w:rsidRPr="0057127E">
        <w:t>the</w:t>
      </w:r>
      <w:r w:rsidR="000159A6">
        <w:t xml:space="preserve"> </w:t>
      </w:r>
      <w:r w:rsidRPr="0057127E">
        <w:t>clinical</w:t>
      </w:r>
      <w:r w:rsidR="000159A6">
        <w:t xml:space="preserve"> </w:t>
      </w:r>
      <w:r w:rsidRPr="0057127E">
        <w:t>studies.</w:t>
      </w:r>
    </w:p>
    <w:p w14:paraId="2E48B05C" w14:textId="61A9251F" w:rsidR="005B220F" w:rsidRDefault="005B220F" w:rsidP="00CC47E8">
      <w:r w:rsidRPr="00145F52">
        <w:t>Various</w:t>
      </w:r>
      <w:r w:rsidR="000159A6">
        <w:t xml:space="preserve"> </w:t>
      </w:r>
      <w:r w:rsidRPr="00145F52">
        <w:t>gE/</w:t>
      </w:r>
      <w:r w:rsidR="000E6841">
        <w:t>AS01</w:t>
      </w:r>
      <w:r w:rsidR="000E6841" w:rsidRPr="006B28FF">
        <w:rPr>
          <w:vertAlign w:val="subscript"/>
        </w:rPr>
        <w:t>B</w:t>
      </w:r>
      <w:r w:rsidR="000159A6">
        <w:t xml:space="preserve"> </w:t>
      </w:r>
      <w:r>
        <w:t>lots</w:t>
      </w:r>
      <w:r w:rsidR="000159A6">
        <w:t xml:space="preserve"> </w:t>
      </w:r>
      <w:r w:rsidRPr="005F1778">
        <w:t>(</w:t>
      </w:r>
      <w:proofErr w:type="gramStart"/>
      <w:r w:rsidRPr="005F1778">
        <w:t>gE</w:t>
      </w:r>
      <w:proofErr w:type="gramEnd"/>
      <w:r w:rsidR="000159A6">
        <w:t xml:space="preserve"> </w:t>
      </w:r>
      <w:r w:rsidRPr="005F1778">
        <w:t>antigen</w:t>
      </w:r>
      <w:r w:rsidR="000159A6">
        <w:t xml:space="preserve"> </w:t>
      </w:r>
      <w:r w:rsidRPr="005F1778">
        <w:t>produced</w:t>
      </w:r>
      <w:r w:rsidR="000159A6">
        <w:t xml:space="preserve"> </w:t>
      </w:r>
      <w:r w:rsidRPr="005F1778">
        <w:t>at</w:t>
      </w:r>
      <w:r w:rsidR="000159A6">
        <w:t xml:space="preserve"> </w:t>
      </w:r>
      <w:r w:rsidR="00151A76">
        <w:t>different</w:t>
      </w:r>
      <w:r w:rsidR="000159A6">
        <w:t xml:space="preserve"> </w:t>
      </w:r>
      <w:r w:rsidR="00151A76">
        <w:t>manufacturing</w:t>
      </w:r>
      <w:r w:rsidR="000159A6">
        <w:t xml:space="preserve"> </w:t>
      </w:r>
      <w:r w:rsidR="00151A76">
        <w:t>scales</w:t>
      </w:r>
      <w:r w:rsidR="00AE6925">
        <w:t>,</w:t>
      </w:r>
      <w:r w:rsidR="000159A6">
        <w:t xml:space="preserve"> </w:t>
      </w:r>
      <w:r w:rsidR="00151A76">
        <w:t>including</w:t>
      </w:r>
      <w:r w:rsidR="000159A6">
        <w:t xml:space="preserve"> </w:t>
      </w:r>
      <w:r w:rsidRPr="005F1778">
        <w:t>the</w:t>
      </w:r>
      <w:r w:rsidR="000159A6">
        <w:t xml:space="preserve"> </w:t>
      </w:r>
      <w:r w:rsidR="00151A76">
        <w:t>final</w:t>
      </w:r>
      <w:r w:rsidR="000159A6">
        <w:t xml:space="preserve"> </w:t>
      </w:r>
      <w:r w:rsidR="00AE6925">
        <w:t>s</w:t>
      </w:r>
      <w:r w:rsidRPr="005F1778">
        <w:t>cale</w:t>
      </w:r>
      <w:r w:rsidR="00AE6925">
        <w:t>;</w:t>
      </w:r>
      <w:r w:rsidR="000159A6">
        <w:t xml:space="preserve"> </w:t>
      </w:r>
      <w:r w:rsidR="00AE6925">
        <w:t>a</w:t>
      </w:r>
      <w:r w:rsidRPr="005F1778">
        <w:t>nd</w:t>
      </w:r>
      <w:r w:rsidR="000159A6">
        <w:t xml:space="preserve"> </w:t>
      </w:r>
      <w:r w:rsidRPr="005F1778">
        <w:t>lots</w:t>
      </w:r>
      <w:r w:rsidR="000159A6">
        <w:t xml:space="preserve"> </w:t>
      </w:r>
      <w:r w:rsidRPr="005F1778">
        <w:t>used</w:t>
      </w:r>
      <w:r w:rsidR="000159A6">
        <w:t xml:space="preserve"> </w:t>
      </w:r>
      <w:r w:rsidRPr="005F1778">
        <w:t>in</w:t>
      </w:r>
      <w:r w:rsidR="000159A6">
        <w:t xml:space="preserve"> </w:t>
      </w:r>
      <w:r w:rsidRPr="005F1778">
        <w:t>clinical</w:t>
      </w:r>
      <w:r w:rsidR="000159A6">
        <w:t xml:space="preserve"> </w:t>
      </w:r>
      <w:r w:rsidRPr="005F1778">
        <w:t>efficacy</w:t>
      </w:r>
      <w:r w:rsidR="000159A6">
        <w:t xml:space="preserve"> </w:t>
      </w:r>
      <w:r w:rsidRPr="005F1778">
        <w:t>and</w:t>
      </w:r>
      <w:r w:rsidR="000159A6">
        <w:t xml:space="preserve"> </w:t>
      </w:r>
      <w:r w:rsidRPr="005F1778">
        <w:t>clinical</w:t>
      </w:r>
      <w:r w:rsidR="000159A6">
        <w:t xml:space="preserve"> </w:t>
      </w:r>
      <w:r w:rsidRPr="005F1778">
        <w:t>consistency</w:t>
      </w:r>
      <w:r w:rsidR="000159A6">
        <w:t xml:space="preserve"> </w:t>
      </w:r>
      <w:r w:rsidRPr="005F1778">
        <w:t>campaigns)</w:t>
      </w:r>
      <w:r w:rsidR="000159A6">
        <w:t xml:space="preserve"> </w:t>
      </w:r>
      <w:r w:rsidRPr="005F1778">
        <w:t>generated</w:t>
      </w:r>
      <w:r w:rsidR="000159A6">
        <w:t xml:space="preserve"> </w:t>
      </w:r>
      <w:r>
        <w:t>comparable</w:t>
      </w:r>
      <w:r w:rsidR="000159A6">
        <w:t xml:space="preserve"> </w:t>
      </w:r>
      <w:r w:rsidRPr="005F1778">
        <w:t>immune</w:t>
      </w:r>
      <w:r w:rsidR="000159A6">
        <w:t xml:space="preserve"> </w:t>
      </w:r>
      <w:r w:rsidRPr="005F1778">
        <w:t>response</w:t>
      </w:r>
      <w:r>
        <w:t>s</w:t>
      </w:r>
      <w:r w:rsidR="000159A6">
        <w:t xml:space="preserve"> </w:t>
      </w:r>
      <w:r w:rsidRPr="005F1778">
        <w:t>in</w:t>
      </w:r>
      <w:r w:rsidR="000159A6">
        <w:t xml:space="preserve"> </w:t>
      </w:r>
      <w:r w:rsidRPr="005F1778">
        <w:t>terms</w:t>
      </w:r>
      <w:r w:rsidR="000159A6">
        <w:t xml:space="preserve"> </w:t>
      </w:r>
      <w:r w:rsidRPr="005F1778">
        <w:t>of</w:t>
      </w:r>
      <w:r w:rsidR="000159A6">
        <w:t xml:space="preserve"> </w:t>
      </w:r>
      <w:r w:rsidRPr="005F1778">
        <w:t>gE</w:t>
      </w:r>
      <w:r w:rsidR="000159A6">
        <w:t xml:space="preserve"> </w:t>
      </w:r>
      <w:r w:rsidRPr="005F1778">
        <w:t>specific</w:t>
      </w:r>
      <w:r w:rsidR="000159A6">
        <w:t xml:space="preserve"> </w:t>
      </w:r>
      <w:r w:rsidRPr="005F1778">
        <w:t>antibody</w:t>
      </w:r>
      <w:r w:rsidR="000159A6">
        <w:t xml:space="preserve"> </w:t>
      </w:r>
      <w:r w:rsidR="00175E10" w:rsidRPr="005F1778">
        <w:t>titres</w:t>
      </w:r>
      <w:r w:rsidR="000159A6">
        <w:t xml:space="preserve"> </w:t>
      </w:r>
      <w:r w:rsidRPr="005F1778">
        <w:t>and</w:t>
      </w:r>
      <w:r w:rsidR="000159A6">
        <w:t xml:space="preserve"> </w:t>
      </w:r>
      <w:r w:rsidRPr="005F1778">
        <w:t>frequency</w:t>
      </w:r>
      <w:r w:rsidR="000159A6">
        <w:t xml:space="preserve"> </w:t>
      </w:r>
      <w:r w:rsidRPr="005F1778">
        <w:t>of</w:t>
      </w:r>
      <w:r w:rsidR="000159A6">
        <w:t xml:space="preserve"> </w:t>
      </w:r>
      <w:r w:rsidRPr="005F1778">
        <w:t>gE-specific</w:t>
      </w:r>
      <w:r w:rsidR="000159A6">
        <w:t xml:space="preserve"> </w:t>
      </w:r>
      <w:r w:rsidR="00175E10">
        <w:t>cytokine</w:t>
      </w:r>
      <w:r w:rsidR="000159A6">
        <w:t xml:space="preserve"> </w:t>
      </w:r>
      <w:r w:rsidRPr="005F1778">
        <w:t>producing</w:t>
      </w:r>
      <w:r w:rsidR="000159A6">
        <w:t xml:space="preserve"> </w:t>
      </w:r>
      <w:r w:rsidRPr="005F1778">
        <w:t>CD4</w:t>
      </w:r>
      <w:r w:rsidR="000E6841">
        <w:t>+</w:t>
      </w:r>
      <w:r w:rsidR="000159A6">
        <w:t xml:space="preserve"> </w:t>
      </w:r>
      <w:r w:rsidRPr="005F1778">
        <w:t>T</w:t>
      </w:r>
      <w:r w:rsidR="000159A6">
        <w:t xml:space="preserve"> </w:t>
      </w:r>
      <w:r w:rsidRPr="005F1778">
        <w:t>cells</w:t>
      </w:r>
      <w:r w:rsidR="000159A6">
        <w:t xml:space="preserve"> </w:t>
      </w:r>
      <w:r w:rsidRPr="005F1778">
        <w:t>in</w:t>
      </w:r>
      <w:r w:rsidR="000159A6">
        <w:t xml:space="preserve"> </w:t>
      </w:r>
      <w:r w:rsidRPr="005F1778">
        <w:t>mice</w:t>
      </w:r>
      <w:r w:rsidR="000159A6">
        <w:t xml:space="preserve"> </w:t>
      </w:r>
      <w:r>
        <w:t>(IFN</w:t>
      </w:r>
      <w:r w:rsidR="00AE6925">
        <w:noBreakHyphen/>
      </w:r>
      <w:r>
        <w:t>γ</w:t>
      </w:r>
      <w:r w:rsidR="000159A6">
        <w:t xml:space="preserve"> </w:t>
      </w:r>
      <w:r>
        <w:t>±</w:t>
      </w:r>
      <w:r w:rsidR="000159A6">
        <w:t xml:space="preserve"> </w:t>
      </w:r>
      <w:r>
        <w:t>IL-2</w:t>
      </w:r>
      <w:r w:rsidR="000159A6">
        <w:t xml:space="preserve"> </w:t>
      </w:r>
      <w:r>
        <w:t>producing</w:t>
      </w:r>
      <w:r w:rsidR="000159A6">
        <w:t xml:space="preserve"> </w:t>
      </w:r>
      <w:r>
        <w:t>T</w:t>
      </w:r>
      <w:r w:rsidR="00CD5352">
        <w:t> </w:t>
      </w:r>
      <w:r>
        <w:t>cells</w:t>
      </w:r>
      <w:r w:rsidR="000159A6">
        <w:t xml:space="preserve"> </w:t>
      </w:r>
      <w:r>
        <w:t>isolated</w:t>
      </w:r>
      <w:r w:rsidR="000159A6">
        <w:t xml:space="preserve"> </w:t>
      </w:r>
      <w:r>
        <w:t>from</w:t>
      </w:r>
      <w:r w:rsidR="000159A6">
        <w:t xml:space="preserve"> </w:t>
      </w:r>
      <w:r>
        <w:t>the</w:t>
      </w:r>
      <w:r w:rsidR="000159A6">
        <w:t xml:space="preserve"> </w:t>
      </w:r>
      <w:r>
        <w:t>spleen).</w:t>
      </w:r>
      <w:r w:rsidR="000159A6">
        <w:t xml:space="preserve"> </w:t>
      </w:r>
      <w:r>
        <w:t>The</w:t>
      </w:r>
      <w:r w:rsidR="000159A6">
        <w:t xml:space="preserve"> </w:t>
      </w:r>
      <w:r>
        <w:t>geometric</w:t>
      </w:r>
      <w:r w:rsidR="000159A6">
        <w:t xml:space="preserve"> </w:t>
      </w:r>
      <w:r>
        <w:t>mean</w:t>
      </w:r>
      <w:r w:rsidR="000159A6">
        <w:t xml:space="preserve"> </w:t>
      </w:r>
      <w:r>
        <w:t>ratios</w:t>
      </w:r>
      <w:r w:rsidR="000159A6">
        <w:t xml:space="preserve"> </w:t>
      </w:r>
      <w:r>
        <w:t>and</w:t>
      </w:r>
      <w:r w:rsidR="000159A6">
        <w:t xml:space="preserve"> </w:t>
      </w:r>
      <w:r>
        <w:t>the</w:t>
      </w:r>
      <w:r w:rsidR="000159A6">
        <w:t xml:space="preserve"> </w:t>
      </w:r>
      <w:r>
        <w:t>estimated</w:t>
      </w:r>
      <w:r w:rsidR="000159A6">
        <w:t xml:space="preserve"> </w:t>
      </w:r>
      <w:r>
        <w:t>95%</w:t>
      </w:r>
      <w:r w:rsidR="000159A6">
        <w:t xml:space="preserve"> </w:t>
      </w:r>
      <w:r>
        <w:t>confidence</w:t>
      </w:r>
      <w:r w:rsidR="000159A6">
        <w:t xml:space="preserve"> </w:t>
      </w:r>
      <w:r>
        <w:t>intervals</w:t>
      </w:r>
      <w:r w:rsidR="000159A6">
        <w:t xml:space="preserve"> </w:t>
      </w:r>
      <w:r>
        <w:t>are</w:t>
      </w:r>
      <w:r w:rsidR="000159A6">
        <w:t xml:space="preserve"> </w:t>
      </w:r>
      <w:r>
        <w:t>within</w:t>
      </w:r>
      <w:r w:rsidR="000159A6">
        <w:t xml:space="preserve"> </w:t>
      </w:r>
      <w:r w:rsidRPr="00BD1402">
        <w:t>the</w:t>
      </w:r>
      <w:r w:rsidR="000159A6">
        <w:t xml:space="preserve"> </w:t>
      </w:r>
      <w:r>
        <w:t>predefined</w:t>
      </w:r>
      <w:r w:rsidR="000159A6">
        <w:t xml:space="preserve"> </w:t>
      </w:r>
      <w:r w:rsidRPr="00BD1402">
        <w:t>equivalence</w:t>
      </w:r>
      <w:r w:rsidR="000159A6">
        <w:t xml:space="preserve"> </w:t>
      </w:r>
      <w:r w:rsidRPr="00BD1402">
        <w:t>limits</w:t>
      </w:r>
      <w:r w:rsidR="000159A6">
        <w:t xml:space="preserve"> </w:t>
      </w:r>
      <w:r>
        <w:t>of</w:t>
      </w:r>
      <w:r w:rsidR="000159A6">
        <w:t xml:space="preserve"> </w:t>
      </w:r>
      <w:r w:rsidR="00175E10">
        <w:t>0.5</w:t>
      </w:r>
      <w:r w:rsidR="000159A6">
        <w:t xml:space="preserve"> </w:t>
      </w:r>
      <w:r w:rsidR="00175E10">
        <w:t>to</w:t>
      </w:r>
      <w:r w:rsidR="000159A6">
        <w:t xml:space="preserve"> </w:t>
      </w:r>
      <w:r w:rsidRPr="00BD1402">
        <w:t>2</w:t>
      </w:r>
      <w:r>
        <w:t>.</w:t>
      </w:r>
    </w:p>
    <w:p w14:paraId="26BFF7B1" w14:textId="680C138C" w:rsidR="005B220F" w:rsidRDefault="005B220F" w:rsidP="00CC47E8">
      <w:r>
        <w:t>During</w:t>
      </w:r>
      <w:r w:rsidR="000159A6">
        <w:t xml:space="preserve"> </w:t>
      </w:r>
      <w:r>
        <w:t>the</w:t>
      </w:r>
      <w:r w:rsidR="000159A6">
        <w:t xml:space="preserve"> </w:t>
      </w:r>
      <w:r>
        <w:t>production</w:t>
      </w:r>
      <w:r w:rsidR="000159A6">
        <w:t xml:space="preserve"> </w:t>
      </w:r>
      <w:r>
        <w:t>of</w:t>
      </w:r>
      <w:r w:rsidR="000159A6">
        <w:t xml:space="preserve"> </w:t>
      </w:r>
      <w:proofErr w:type="gramStart"/>
      <w:r>
        <w:t>gE</w:t>
      </w:r>
      <w:proofErr w:type="gramEnd"/>
      <w:r w:rsidR="000159A6">
        <w:t xml:space="preserve"> </w:t>
      </w:r>
      <w:r>
        <w:t>commercial</w:t>
      </w:r>
      <w:r w:rsidR="000159A6">
        <w:t xml:space="preserve"> </w:t>
      </w:r>
      <w:r>
        <w:t>lots,</w:t>
      </w:r>
      <w:r w:rsidR="000159A6">
        <w:t xml:space="preserve"> </w:t>
      </w:r>
      <w:r>
        <w:t>higher</w:t>
      </w:r>
      <w:r w:rsidR="000159A6">
        <w:t xml:space="preserve"> </w:t>
      </w:r>
      <w:r>
        <w:t>levels</w:t>
      </w:r>
      <w:r w:rsidR="000159A6">
        <w:t xml:space="preserve"> </w:t>
      </w:r>
      <w:r>
        <w:t>of</w:t>
      </w:r>
      <w:r w:rsidR="000159A6">
        <w:t xml:space="preserve"> </w:t>
      </w:r>
      <w:r>
        <w:t>gE</w:t>
      </w:r>
      <w:r w:rsidR="000159A6">
        <w:t xml:space="preserve"> </w:t>
      </w:r>
      <w:r>
        <w:t>methionine</w:t>
      </w:r>
      <w:r w:rsidR="000159A6">
        <w:t xml:space="preserve"> </w:t>
      </w:r>
      <w:r>
        <w:t>oxidation</w:t>
      </w:r>
      <w:r w:rsidR="000159A6">
        <w:t xml:space="preserve"> </w:t>
      </w:r>
      <w:r>
        <w:t>were</w:t>
      </w:r>
      <w:r w:rsidR="000159A6">
        <w:t xml:space="preserve"> </w:t>
      </w:r>
      <w:r>
        <w:t>observed</w:t>
      </w:r>
      <w:r w:rsidR="000159A6">
        <w:t xml:space="preserve"> </w:t>
      </w:r>
      <w:r>
        <w:t>compared</w:t>
      </w:r>
      <w:r w:rsidR="000159A6">
        <w:t xml:space="preserve"> </w:t>
      </w:r>
      <w:r>
        <w:t>to</w:t>
      </w:r>
      <w:r w:rsidR="000159A6">
        <w:t xml:space="preserve"> </w:t>
      </w:r>
      <w:r>
        <w:t>the</w:t>
      </w:r>
      <w:r w:rsidR="000159A6">
        <w:t xml:space="preserve"> </w:t>
      </w:r>
      <w:r>
        <w:t>clinical</w:t>
      </w:r>
      <w:r w:rsidR="000159A6">
        <w:t xml:space="preserve"> </w:t>
      </w:r>
      <w:r>
        <w:t>consistency</w:t>
      </w:r>
      <w:r w:rsidR="000159A6">
        <w:t xml:space="preserve"> </w:t>
      </w:r>
      <w:r>
        <w:t>lots,</w:t>
      </w:r>
      <w:r w:rsidR="000159A6">
        <w:t xml:space="preserve"> </w:t>
      </w:r>
      <w:r>
        <w:t>which</w:t>
      </w:r>
      <w:r w:rsidR="000159A6">
        <w:t xml:space="preserve"> </w:t>
      </w:r>
      <w:r>
        <w:t>was</w:t>
      </w:r>
      <w:r w:rsidR="000159A6">
        <w:t xml:space="preserve"> </w:t>
      </w:r>
      <w:r>
        <w:t>attributed</w:t>
      </w:r>
      <w:r w:rsidR="000159A6">
        <w:t xml:space="preserve"> </w:t>
      </w:r>
      <w:r>
        <w:t>to</w:t>
      </w:r>
      <w:r w:rsidR="000159A6">
        <w:t xml:space="preserve"> </w:t>
      </w:r>
      <w:r>
        <w:t>a</w:t>
      </w:r>
      <w:r w:rsidR="000159A6">
        <w:t xml:space="preserve"> </w:t>
      </w:r>
      <w:r>
        <w:t>transient</w:t>
      </w:r>
      <w:r w:rsidR="000159A6">
        <w:t xml:space="preserve"> </w:t>
      </w:r>
      <w:r>
        <w:t>exposure</w:t>
      </w:r>
      <w:r w:rsidR="000159A6">
        <w:t xml:space="preserve"> </w:t>
      </w:r>
      <w:r>
        <w:t>of</w:t>
      </w:r>
      <w:r w:rsidR="000159A6">
        <w:t xml:space="preserve"> </w:t>
      </w:r>
      <w:r>
        <w:t>gE</w:t>
      </w:r>
      <w:r w:rsidR="000159A6">
        <w:t xml:space="preserve"> </w:t>
      </w:r>
      <w:r>
        <w:t>final</w:t>
      </w:r>
      <w:r w:rsidR="000159A6">
        <w:t xml:space="preserve"> </w:t>
      </w:r>
      <w:r>
        <w:t>bulk</w:t>
      </w:r>
      <w:r w:rsidR="000159A6">
        <w:t xml:space="preserve"> </w:t>
      </w:r>
      <w:r>
        <w:t>to</w:t>
      </w:r>
      <w:r w:rsidR="000159A6">
        <w:t xml:space="preserve"> </w:t>
      </w:r>
      <w:r>
        <w:t>vaporized</w:t>
      </w:r>
      <w:r w:rsidR="000159A6">
        <w:t xml:space="preserve"> </w:t>
      </w:r>
      <w:r>
        <w:t>hydrogen</w:t>
      </w:r>
      <w:r w:rsidR="000159A6">
        <w:t xml:space="preserve"> </w:t>
      </w:r>
      <w:r>
        <w:t>peroxide</w:t>
      </w:r>
      <w:r w:rsidR="000159A6">
        <w:t xml:space="preserve"> </w:t>
      </w:r>
      <w:r>
        <w:t>(VHP)</w:t>
      </w:r>
      <w:r w:rsidR="000159A6">
        <w:t xml:space="preserve"> </w:t>
      </w:r>
      <w:r>
        <w:t>residues</w:t>
      </w:r>
      <w:r w:rsidR="000159A6">
        <w:t xml:space="preserve"> </w:t>
      </w:r>
      <w:r>
        <w:t>prior</w:t>
      </w:r>
      <w:r w:rsidR="000159A6">
        <w:t xml:space="preserve"> </w:t>
      </w:r>
      <w:r>
        <w:t>to</w:t>
      </w:r>
      <w:r w:rsidR="000159A6">
        <w:t xml:space="preserve"> </w:t>
      </w:r>
      <w:r>
        <w:t>the</w:t>
      </w:r>
      <w:r w:rsidR="000159A6">
        <w:t xml:space="preserve"> </w:t>
      </w:r>
      <w:r>
        <w:t>lyophilisation</w:t>
      </w:r>
      <w:r w:rsidR="000159A6">
        <w:t xml:space="preserve"> </w:t>
      </w:r>
      <w:r>
        <w:t>step.</w:t>
      </w:r>
      <w:r w:rsidR="000159A6">
        <w:t xml:space="preserve"> </w:t>
      </w:r>
      <w:r w:rsidR="00E73A88">
        <w:t>Artificial</w:t>
      </w:r>
      <w:r w:rsidR="000159A6">
        <w:t xml:space="preserve"> </w:t>
      </w:r>
      <w:r w:rsidR="00E73A88">
        <w:t>oxidation</w:t>
      </w:r>
      <w:r w:rsidR="000159A6">
        <w:t xml:space="preserve"> </w:t>
      </w:r>
      <w:r w:rsidR="00E73A88">
        <w:t>of</w:t>
      </w:r>
      <w:r w:rsidR="000159A6">
        <w:t xml:space="preserve"> </w:t>
      </w:r>
      <w:proofErr w:type="gramStart"/>
      <w:r w:rsidR="00E73A88">
        <w:t>gE</w:t>
      </w:r>
      <w:proofErr w:type="gramEnd"/>
      <w:r w:rsidR="000159A6">
        <w:t xml:space="preserve"> </w:t>
      </w:r>
      <w:r>
        <w:t>in</w:t>
      </w:r>
      <w:r w:rsidR="000159A6">
        <w:t xml:space="preserve"> </w:t>
      </w:r>
      <w:r>
        <w:t>gE</w:t>
      </w:r>
      <w:r w:rsidR="000159A6">
        <w:t xml:space="preserve"> </w:t>
      </w:r>
      <w:r w:rsidR="00476177">
        <w:t>final</w:t>
      </w:r>
      <w:r w:rsidR="000159A6">
        <w:t xml:space="preserve"> </w:t>
      </w:r>
      <w:r>
        <w:t>bulk</w:t>
      </w:r>
      <w:r w:rsidR="000159A6">
        <w:t xml:space="preserve"> </w:t>
      </w:r>
      <w:r>
        <w:t>had</w:t>
      </w:r>
      <w:r w:rsidR="000159A6">
        <w:t xml:space="preserve"> </w:t>
      </w:r>
      <w:r>
        <w:t>no</w:t>
      </w:r>
      <w:r w:rsidR="000159A6">
        <w:t xml:space="preserve"> </w:t>
      </w:r>
      <w:r>
        <w:t>effect</w:t>
      </w:r>
      <w:r w:rsidR="000159A6">
        <w:t xml:space="preserve"> </w:t>
      </w:r>
      <w:r>
        <w:t>on</w:t>
      </w:r>
      <w:r w:rsidR="000159A6">
        <w:t xml:space="preserve"> </w:t>
      </w:r>
      <w:r>
        <w:t>humoral</w:t>
      </w:r>
      <w:r w:rsidR="000159A6">
        <w:t xml:space="preserve"> </w:t>
      </w:r>
      <w:r>
        <w:t>or</w:t>
      </w:r>
      <w:r w:rsidR="000159A6">
        <w:t xml:space="preserve"> </w:t>
      </w:r>
      <w:r>
        <w:t>cellular</w:t>
      </w:r>
      <w:r w:rsidR="000159A6">
        <w:t xml:space="preserve"> </w:t>
      </w:r>
      <w:r>
        <w:t>immunity</w:t>
      </w:r>
      <w:r w:rsidR="000159A6">
        <w:t xml:space="preserve"> </w:t>
      </w:r>
      <w:r>
        <w:t>in</w:t>
      </w:r>
      <w:r w:rsidR="000159A6">
        <w:t xml:space="preserve"> </w:t>
      </w:r>
      <w:r>
        <w:t>mice</w:t>
      </w:r>
      <w:r w:rsidR="000159A6">
        <w:t xml:space="preserve"> </w:t>
      </w:r>
      <w:r>
        <w:t>in</w:t>
      </w:r>
      <w:r w:rsidR="000159A6">
        <w:t xml:space="preserve"> </w:t>
      </w:r>
      <w:r>
        <w:t>terms</w:t>
      </w:r>
      <w:r w:rsidR="000159A6">
        <w:t xml:space="preserve"> </w:t>
      </w:r>
      <w:r>
        <w:t>of</w:t>
      </w:r>
      <w:r w:rsidR="000159A6">
        <w:t xml:space="preserve"> </w:t>
      </w:r>
      <w:r>
        <w:t>levels</w:t>
      </w:r>
      <w:r w:rsidR="000159A6">
        <w:t xml:space="preserve"> </w:t>
      </w:r>
      <w:r>
        <w:t>of</w:t>
      </w:r>
      <w:r w:rsidR="000159A6">
        <w:t xml:space="preserve"> </w:t>
      </w:r>
      <w:r>
        <w:t>gE-specific</w:t>
      </w:r>
      <w:r w:rsidR="000159A6">
        <w:t xml:space="preserve"> </w:t>
      </w:r>
      <w:r>
        <w:t>antibodies</w:t>
      </w:r>
      <w:r w:rsidR="000159A6">
        <w:t xml:space="preserve"> </w:t>
      </w:r>
      <w:r>
        <w:t>and</w:t>
      </w:r>
      <w:r w:rsidR="000159A6">
        <w:t xml:space="preserve"> </w:t>
      </w:r>
      <w:r>
        <w:t>frequencies</w:t>
      </w:r>
      <w:r w:rsidR="000159A6">
        <w:t xml:space="preserve"> </w:t>
      </w:r>
      <w:r>
        <w:t>of</w:t>
      </w:r>
      <w:r w:rsidR="000159A6">
        <w:t xml:space="preserve"> </w:t>
      </w:r>
      <w:r>
        <w:t>gE</w:t>
      </w:r>
      <w:r w:rsidR="000159A6">
        <w:t xml:space="preserve"> </w:t>
      </w:r>
      <w:r>
        <w:t>specific</w:t>
      </w:r>
      <w:r w:rsidR="000159A6">
        <w:t xml:space="preserve"> </w:t>
      </w:r>
      <w:r w:rsidR="00175E10">
        <w:t>cytokine</w:t>
      </w:r>
      <w:r w:rsidR="000159A6">
        <w:t xml:space="preserve"> </w:t>
      </w:r>
      <w:r w:rsidR="00175E10">
        <w:t>producing</w:t>
      </w:r>
      <w:r w:rsidR="000159A6">
        <w:t xml:space="preserve"> </w:t>
      </w:r>
      <w:r>
        <w:t>CD4</w:t>
      </w:r>
      <w:r w:rsidR="000E6841">
        <w:t>+</w:t>
      </w:r>
      <w:r w:rsidR="000159A6">
        <w:t xml:space="preserve"> </w:t>
      </w:r>
      <w:r>
        <w:t>T</w:t>
      </w:r>
      <w:r w:rsidR="000159A6">
        <w:t xml:space="preserve"> </w:t>
      </w:r>
      <w:r>
        <w:t>cells</w:t>
      </w:r>
      <w:r w:rsidR="000159A6">
        <w:t xml:space="preserve"> </w:t>
      </w:r>
      <w:r>
        <w:t>(IFN-γ</w:t>
      </w:r>
      <w:r w:rsidR="000159A6">
        <w:t xml:space="preserve"> </w:t>
      </w:r>
      <w:r>
        <w:t>±</w:t>
      </w:r>
      <w:r w:rsidR="000159A6">
        <w:t xml:space="preserve"> </w:t>
      </w:r>
      <w:r>
        <w:t>IL-2</w:t>
      </w:r>
      <w:r w:rsidR="000159A6">
        <w:t xml:space="preserve"> </w:t>
      </w:r>
      <w:r>
        <w:t>producing</w:t>
      </w:r>
      <w:r w:rsidR="000159A6">
        <w:t xml:space="preserve"> </w:t>
      </w:r>
      <w:r>
        <w:t>T</w:t>
      </w:r>
      <w:r w:rsidR="000159A6">
        <w:t xml:space="preserve"> </w:t>
      </w:r>
      <w:r>
        <w:t>cells</w:t>
      </w:r>
      <w:r w:rsidR="000159A6">
        <w:t xml:space="preserve"> </w:t>
      </w:r>
      <w:r>
        <w:t>isolated</w:t>
      </w:r>
      <w:r w:rsidR="000159A6">
        <w:t xml:space="preserve"> </w:t>
      </w:r>
      <w:r>
        <w:t>from</w:t>
      </w:r>
      <w:r w:rsidR="000159A6">
        <w:t xml:space="preserve"> </w:t>
      </w:r>
      <w:r>
        <w:t>the</w:t>
      </w:r>
      <w:r w:rsidR="000159A6">
        <w:t xml:space="preserve"> </w:t>
      </w:r>
      <w:r>
        <w:t>spleen).</w:t>
      </w:r>
      <w:r w:rsidR="000159A6">
        <w:t xml:space="preserve"> </w:t>
      </w:r>
      <w:r>
        <w:t>The</w:t>
      </w:r>
      <w:r w:rsidR="000159A6">
        <w:t xml:space="preserve"> </w:t>
      </w:r>
      <w:r>
        <w:t>geometric</w:t>
      </w:r>
      <w:r w:rsidR="000159A6">
        <w:t xml:space="preserve"> </w:t>
      </w:r>
      <w:r>
        <w:t>mean</w:t>
      </w:r>
      <w:r w:rsidR="000159A6">
        <w:t xml:space="preserve"> </w:t>
      </w:r>
      <w:r>
        <w:t>ratios</w:t>
      </w:r>
      <w:r w:rsidR="000159A6">
        <w:t xml:space="preserve"> </w:t>
      </w:r>
      <w:r>
        <w:t>and</w:t>
      </w:r>
      <w:r w:rsidR="000159A6">
        <w:t xml:space="preserve"> </w:t>
      </w:r>
      <w:r>
        <w:t>the</w:t>
      </w:r>
      <w:r w:rsidR="000159A6">
        <w:t xml:space="preserve"> </w:t>
      </w:r>
      <w:r>
        <w:t>estimated</w:t>
      </w:r>
      <w:r w:rsidR="000159A6">
        <w:t xml:space="preserve"> </w:t>
      </w:r>
      <w:r>
        <w:t>95%</w:t>
      </w:r>
      <w:r w:rsidR="000159A6">
        <w:t xml:space="preserve"> </w:t>
      </w:r>
      <w:r>
        <w:t>confidence</w:t>
      </w:r>
      <w:r w:rsidR="000159A6">
        <w:t xml:space="preserve"> </w:t>
      </w:r>
      <w:r>
        <w:t>intervals</w:t>
      </w:r>
      <w:r w:rsidR="000159A6">
        <w:t xml:space="preserve"> </w:t>
      </w:r>
      <w:r w:rsidR="00331AB9">
        <w:t>(CI)</w:t>
      </w:r>
      <w:r w:rsidR="000159A6">
        <w:t xml:space="preserve"> </w:t>
      </w:r>
      <w:r>
        <w:t>were</w:t>
      </w:r>
      <w:r w:rsidR="000159A6">
        <w:t xml:space="preserve"> </w:t>
      </w:r>
      <w:r>
        <w:t>with</w:t>
      </w:r>
      <w:r w:rsidR="00175E10">
        <w:t>in</w:t>
      </w:r>
      <w:r w:rsidR="000159A6">
        <w:t xml:space="preserve"> </w:t>
      </w:r>
      <w:r w:rsidR="00175E10">
        <w:t>the</w:t>
      </w:r>
      <w:r w:rsidR="000159A6">
        <w:t xml:space="preserve"> </w:t>
      </w:r>
      <w:r w:rsidR="00175E10">
        <w:t>predefined</w:t>
      </w:r>
      <w:r w:rsidR="000159A6">
        <w:t xml:space="preserve"> </w:t>
      </w:r>
      <w:r w:rsidR="00175E10">
        <w:t>limits</w:t>
      </w:r>
      <w:r w:rsidR="000159A6">
        <w:t xml:space="preserve"> </w:t>
      </w:r>
      <w:r w:rsidR="00175E10">
        <w:t>of</w:t>
      </w:r>
      <w:r w:rsidR="000159A6">
        <w:t xml:space="preserve"> </w:t>
      </w:r>
      <w:r w:rsidR="00175E10">
        <w:t>0.5</w:t>
      </w:r>
      <w:r w:rsidR="000159A6">
        <w:t xml:space="preserve"> </w:t>
      </w:r>
      <w:r w:rsidR="00175E10">
        <w:t>to</w:t>
      </w:r>
      <w:r w:rsidR="000159A6">
        <w:t xml:space="preserve"> </w:t>
      </w:r>
      <w:r>
        <w:t>2</w:t>
      </w:r>
      <w:r w:rsidR="000159A6">
        <w:t xml:space="preserve"> </w:t>
      </w:r>
      <w:r>
        <w:t>CI.</w:t>
      </w:r>
    </w:p>
    <w:p w14:paraId="28DF103E" w14:textId="646AAAF3" w:rsidR="005B220F" w:rsidRPr="00974A25" w:rsidRDefault="005B220F" w:rsidP="00E97880">
      <w:r>
        <w:t>In</w:t>
      </w:r>
      <w:r w:rsidR="000159A6">
        <w:t xml:space="preserve"> </w:t>
      </w:r>
      <w:r>
        <w:t>mice,</w:t>
      </w:r>
      <w:r w:rsidR="000159A6">
        <w:t xml:space="preserve"> </w:t>
      </w:r>
      <w:r w:rsidRPr="00974A25">
        <w:t>SC</w:t>
      </w:r>
      <w:r w:rsidR="000159A6">
        <w:t xml:space="preserve"> </w:t>
      </w:r>
      <w:r w:rsidRPr="00974A25">
        <w:t>route</w:t>
      </w:r>
      <w:r w:rsidR="000159A6">
        <w:t xml:space="preserve"> </w:t>
      </w:r>
      <w:r w:rsidRPr="00974A25">
        <w:t>of</w:t>
      </w:r>
      <w:r w:rsidR="000159A6">
        <w:t xml:space="preserve"> </w:t>
      </w:r>
      <w:r w:rsidRPr="00974A25">
        <w:t>administration</w:t>
      </w:r>
      <w:r w:rsidR="000159A6">
        <w:t xml:space="preserve"> </w:t>
      </w:r>
      <w:r w:rsidRPr="00974A25">
        <w:t>of</w:t>
      </w:r>
      <w:r w:rsidR="000159A6">
        <w:t xml:space="preserve"> </w:t>
      </w:r>
      <w:r w:rsidRPr="00974A25">
        <w:t>gE/</w:t>
      </w:r>
      <w:r w:rsidR="000E6841">
        <w:t>AS01</w:t>
      </w:r>
      <w:r w:rsidR="000E6841" w:rsidRPr="006B28FF">
        <w:rPr>
          <w:vertAlign w:val="subscript"/>
        </w:rPr>
        <w:t>B</w:t>
      </w:r>
      <w:r w:rsidR="000159A6">
        <w:t xml:space="preserve"> </w:t>
      </w:r>
      <w:r w:rsidRPr="00974A25">
        <w:t>induced</w:t>
      </w:r>
      <w:r w:rsidR="000159A6">
        <w:t xml:space="preserve"> </w:t>
      </w:r>
      <w:r>
        <w:t>lower</w:t>
      </w:r>
      <w:r w:rsidR="000159A6">
        <w:t xml:space="preserve"> </w:t>
      </w:r>
      <w:r>
        <w:t>(by</w:t>
      </w:r>
      <w:r w:rsidR="000159A6">
        <w:t xml:space="preserve"> </w:t>
      </w:r>
      <w:r w:rsidR="00175E10">
        <w:t>approximately</w:t>
      </w:r>
      <w:r w:rsidR="000159A6">
        <w:t xml:space="preserve"> </w:t>
      </w:r>
      <w:r>
        <w:t>1.4</w:t>
      </w:r>
      <w:r w:rsidR="000159A6">
        <w:t xml:space="preserve"> </w:t>
      </w:r>
      <w:r>
        <w:t>fold)</w:t>
      </w:r>
      <w:r w:rsidR="000159A6">
        <w:t xml:space="preserve"> </w:t>
      </w:r>
      <w:r>
        <w:t>humoral</w:t>
      </w:r>
      <w:r w:rsidR="000159A6">
        <w:t xml:space="preserve"> </w:t>
      </w:r>
      <w:r>
        <w:t>and</w:t>
      </w:r>
      <w:r w:rsidR="000159A6">
        <w:t xml:space="preserve"> </w:t>
      </w:r>
      <w:r>
        <w:t>cellular</w:t>
      </w:r>
      <w:r w:rsidR="000159A6">
        <w:t xml:space="preserve"> </w:t>
      </w:r>
      <w:r>
        <w:t>immune</w:t>
      </w:r>
      <w:r w:rsidR="000159A6">
        <w:t xml:space="preserve"> </w:t>
      </w:r>
      <w:r>
        <w:t>responses</w:t>
      </w:r>
      <w:r w:rsidR="000159A6">
        <w:t xml:space="preserve"> </w:t>
      </w:r>
      <w:r>
        <w:t>than</w:t>
      </w:r>
      <w:r w:rsidR="000159A6">
        <w:t xml:space="preserve"> </w:t>
      </w:r>
      <w:r>
        <w:t>the</w:t>
      </w:r>
      <w:r w:rsidR="000159A6">
        <w:t xml:space="preserve"> </w:t>
      </w:r>
      <w:r>
        <w:t>IM</w:t>
      </w:r>
      <w:r w:rsidR="000159A6">
        <w:t xml:space="preserve"> </w:t>
      </w:r>
      <w:r>
        <w:t>injection,</w:t>
      </w:r>
      <w:r w:rsidR="000159A6">
        <w:t xml:space="preserve"> </w:t>
      </w:r>
      <w:r w:rsidRPr="00974A25">
        <w:t>statistically</w:t>
      </w:r>
      <w:r w:rsidR="000159A6">
        <w:t xml:space="preserve"> </w:t>
      </w:r>
      <w:r>
        <w:t>non-</w:t>
      </w:r>
      <w:r w:rsidRPr="00974A25">
        <w:t>significant</w:t>
      </w:r>
      <w:r w:rsidR="000159A6">
        <w:t xml:space="preserve"> </w:t>
      </w:r>
      <w:r>
        <w:t>for</w:t>
      </w:r>
      <w:r w:rsidR="000159A6">
        <w:t xml:space="preserve"> </w:t>
      </w:r>
      <w:r>
        <w:t>CD4</w:t>
      </w:r>
      <w:r w:rsidR="000E6841">
        <w:t>+</w:t>
      </w:r>
      <w:r w:rsidR="000159A6">
        <w:t xml:space="preserve"> </w:t>
      </w:r>
      <w:r>
        <w:t>T</w:t>
      </w:r>
      <w:r w:rsidR="000159A6">
        <w:t xml:space="preserve"> </w:t>
      </w:r>
      <w:r>
        <w:t>cell</w:t>
      </w:r>
      <w:r w:rsidR="000159A6">
        <w:t xml:space="preserve"> </w:t>
      </w:r>
      <w:r>
        <w:t>response</w:t>
      </w:r>
      <w:r w:rsidR="000159A6">
        <w:t xml:space="preserve"> </w:t>
      </w:r>
      <w:r>
        <w:t>and</w:t>
      </w:r>
      <w:r w:rsidR="000159A6">
        <w:t xml:space="preserve"> </w:t>
      </w:r>
      <w:r>
        <w:t>statistically</w:t>
      </w:r>
      <w:r w:rsidR="000159A6">
        <w:t xml:space="preserve"> </w:t>
      </w:r>
      <w:r>
        <w:t>significant</w:t>
      </w:r>
      <w:r w:rsidR="000159A6">
        <w:t xml:space="preserve"> </w:t>
      </w:r>
      <w:r>
        <w:t>for</w:t>
      </w:r>
      <w:r w:rsidR="000159A6">
        <w:t xml:space="preserve"> </w:t>
      </w:r>
      <w:r>
        <w:t>antibody</w:t>
      </w:r>
      <w:r w:rsidR="000159A6">
        <w:t xml:space="preserve"> </w:t>
      </w:r>
      <w:r>
        <w:t>response.</w:t>
      </w:r>
    </w:p>
    <w:p w14:paraId="18DAA684" w14:textId="3D76AB26" w:rsidR="005B220F" w:rsidRPr="006B1C78" w:rsidRDefault="005B220F" w:rsidP="00CC47E8">
      <w:pPr>
        <w:pStyle w:val="Heading6"/>
      </w:pPr>
      <w:r w:rsidRPr="006B1C78">
        <w:t>AS01</w:t>
      </w:r>
      <w:r>
        <w:t>,</w:t>
      </w:r>
      <w:r w:rsidR="000159A6">
        <w:t xml:space="preserve"> </w:t>
      </w:r>
      <w:r>
        <w:t>QS-21</w:t>
      </w:r>
      <w:r w:rsidR="000159A6">
        <w:t xml:space="preserve"> </w:t>
      </w:r>
      <w:r w:rsidRPr="00CC47E8">
        <w:t>and</w:t>
      </w:r>
      <w:r w:rsidR="000159A6">
        <w:t xml:space="preserve"> </w:t>
      </w:r>
      <w:r>
        <w:t>MPL</w:t>
      </w:r>
    </w:p>
    <w:p w14:paraId="6C7DC2A7" w14:textId="1AA3B142" w:rsidR="005B220F" w:rsidRDefault="005B220F" w:rsidP="00CC47E8">
      <w:r w:rsidRPr="00DF43A6">
        <w:t>The</w:t>
      </w:r>
      <w:r w:rsidR="000159A6">
        <w:t xml:space="preserve"> </w:t>
      </w:r>
      <w:r w:rsidRPr="00DF43A6">
        <w:t>mechanism</w:t>
      </w:r>
      <w:r w:rsidR="000159A6">
        <w:t xml:space="preserve"> </w:t>
      </w:r>
      <w:r w:rsidRPr="00DF43A6">
        <w:t>of</w:t>
      </w:r>
      <w:r w:rsidR="000159A6">
        <w:t xml:space="preserve"> </w:t>
      </w:r>
      <w:r w:rsidRPr="00DF43A6">
        <w:t>action</w:t>
      </w:r>
      <w:r w:rsidR="000159A6">
        <w:t xml:space="preserve"> </w:t>
      </w:r>
      <w:r w:rsidRPr="00DF43A6">
        <w:t>of</w:t>
      </w:r>
      <w:r w:rsidR="000159A6">
        <w:t xml:space="preserve"> </w:t>
      </w:r>
      <w:r w:rsidRPr="00DF43A6">
        <w:t>AS01</w:t>
      </w:r>
      <w:r w:rsidR="000159A6">
        <w:t xml:space="preserve"> </w:t>
      </w:r>
      <w:r w:rsidRPr="00DF43A6">
        <w:t>and</w:t>
      </w:r>
      <w:r w:rsidR="000159A6">
        <w:t xml:space="preserve"> </w:t>
      </w:r>
      <w:r w:rsidRPr="00DF43A6">
        <w:t>individual</w:t>
      </w:r>
      <w:r w:rsidR="000159A6">
        <w:t xml:space="preserve"> </w:t>
      </w:r>
      <w:r w:rsidRPr="00DF43A6">
        <w:t>components</w:t>
      </w:r>
      <w:r w:rsidR="000159A6">
        <w:t xml:space="preserve"> </w:t>
      </w:r>
      <w:r w:rsidRPr="00DF43A6">
        <w:t>QS-21</w:t>
      </w:r>
      <w:r w:rsidR="000159A6">
        <w:t xml:space="preserve"> </w:t>
      </w:r>
      <w:r w:rsidRPr="00DF43A6">
        <w:t>and</w:t>
      </w:r>
      <w:r w:rsidR="000159A6">
        <w:t xml:space="preserve"> </w:t>
      </w:r>
      <w:r w:rsidRPr="00DF43A6">
        <w:t>MPL</w:t>
      </w:r>
      <w:r w:rsidR="000159A6">
        <w:t xml:space="preserve"> </w:t>
      </w:r>
      <w:r w:rsidRPr="00DF43A6">
        <w:t>was</w:t>
      </w:r>
      <w:r w:rsidR="000159A6">
        <w:t xml:space="preserve"> </w:t>
      </w:r>
      <w:r w:rsidRPr="00DF43A6">
        <w:t>studied</w:t>
      </w:r>
      <w:r>
        <w:t>.</w:t>
      </w:r>
      <w:r w:rsidR="000159A6">
        <w:t xml:space="preserve"> </w:t>
      </w:r>
      <w:r>
        <w:t>The</w:t>
      </w:r>
      <w:r w:rsidR="000159A6">
        <w:t xml:space="preserve"> </w:t>
      </w:r>
      <w:r>
        <w:t>AS01</w:t>
      </w:r>
      <w:r w:rsidR="000159A6">
        <w:t xml:space="preserve"> </w:t>
      </w:r>
      <w:r>
        <w:t>adjuvant</w:t>
      </w:r>
      <w:r w:rsidR="000159A6">
        <w:t xml:space="preserve"> </w:t>
      </w:r>
      <w:r>
        <w:t>system</w:t>
      </w:r>
      <w:r w:rsidR="000159A6">
        <w:t xml:space="preserve"> </w:t>
      </w:r>
      <w:r>
        <w:t>differs</w:t>
      </w:r>
      <w:r w:rsidR="000159A6">
        <w:t xml:space="preserve"> </w:t>
      </w:r>
      <w:r>
        <w:t>from</w:t>
      </w:r>
      <w:r w:rsidR="000159A6">
        <w:t xml:space="preserve"> </w:t>
      </w:r>
      <w:r>
        <w:t>other</w:t>
      </w:r>
      <w:r w:rsidR="000159A6">
        <w:t xml:space="preserve"> </w:t>
      </w:r>
      <w:r>
        <w:t>licensed</w:t>
      </w:r>
      <w:r w:rsidR="000159A6">
        <w:t xml:space="preserve"> </w:t>
      </w:r>
      <w:r>
        <w:t>vaccine</w:t>
      </w:r>
      <w:r w:rsidR="000159A6">
        <w:t xml:space="preserve"> </w:t>
      </w:r>
      <w:r>
        <w:t>adjuvants</w:t>
      </w:r>
      <w:r w:rsidR="000159A6">
        <w:t xml:space="preserve"> </w:t>
      </w:r>
      <w:r>
        <w:t>in</w:t>
      </w:r>
      <w:r w:rsidR="000159A6">
        <w:t xml:space="preserve"> </w:t>
      </w:r>
      <w:r>
        <w:t>terms</w:t>
      </w:r>
      <w:r w:rsidR="000159A6">
        <w:t xml:space="preserve"> </w:t>
      </w:r>
      <w:r>
        <w:t>of</w:t>
      </w:r>
      <w:r w:rsidR="000159A6">
        <w:t xml:space="preserve"> </w:t>
      </w:r>
      <w:r>
        <w:t>ability</w:t>
      </w:r>
      <w:r w:rsidR="000159A6">
        <w:t xml:space="preserve"> </w:t>
      </w:r>
      <w:r>
        <w:t>to</w:t>
      </w:r>
      <w:r w:rsidR="000159A6">
        <w:t xml:space="preserve"> </w:t>
      </w:r>
      <w:r>
        <w:t>enhance</w:t>
      </w:r>
      <w:r w:rsidR="000159A6">
        <w:t xml:space="preserve"> </w:t>
      </w:r>
      <w:r w:rsidR="000D0435">
        <w:t>antigen</w:t>
      </w:r>
      <w:r w:rsidR="000159A6">
        <w:t xml:space="preserve"> </w:t>
      </w:r>
      <w:r w:rsidR="000D0435">
        <w:t>specific</w:t>
      </w:r>
      <w:r w:rsidR="000159A6">
        <w:t xml:space="preserve"> </w:t>
      </w:r>
      <w:r>
        <w:t>T</w:t>
      </w:r>
      <w:r w:rsidR="000159A6">
        <w:t xml:space="preserve"> </w:t>
      </w:r>
      <w:r>
        <w:t>cell</w:t>
      </w:r>
      <w:r w:rsidR="000159A6">
        <w:t xml:space="preserve"> </w:t>
      </w:r>
      <w:r>
        <w:t>response</w:t>
      </w:r>
      <w:r w:rsidR="000159A6">
        <w:t xml:space="preserve"> </w:t>
      </w:r>
      <w:r>
        <w:t>in</w:t>
      </w:r>
      <w:r w:rsidR="000159A6">
        <w:t xml:space="preserve"> </w:t>
      </w:r>
      <w:r>
        <w:t>several</w:t>
      </w:r>
      <w:r w:rsidR="000159A6">
        <w:t xml:space="preserve"> </w:t>
      </w:r>
      <w:r>
        <w:t>model</w:t>
      </w:r>
      <w:r w:rsidR="000159A6">
        <w:t xml:space="preserve"> </w:t>
      </w:r>
      <w:r>
        <w:t>antigen</w:t>
      </w:r>
      <w:r w:rsidR="000159A6">
        <w:t xml:space="preserve"> </w:t>
      </w:r>
      <w:r>
        <w:t>systems</w:t>
      </w:r>
      <w:r w:rsidR="000159A6">
        <w:t xml:space="preserve"> </w:t>
      </w:r>
      <w:r>
        <w:t>(</w:t>
      </w:r>
      <w:proofErr w:type="gramStart"/>
      <w:r>
        <w:t>gE</w:t>
      </w:r>
      <w:proofErr w:type="gramEnd"/>
      <w:r>
        <w:t>,</w:t>
      </w:r>
      <w:r w:rsidR="000159A6">
        <w:t xml:space="preserve"> </w:t>
      </w:r>
      <w:r>
        <w:t>HBs,</w:t>
      </w:r>
      <w:r w:rsidR="000159A6">
        <w:t xml:space="preserve"> </w:t>
      </w:r>
      <w:r>
        <w:t>OVA).</w:t>
      </w:r>
      <w:r w:rsidR="000159A6">
        <w:t xml:space="preserve"> </w:t>
      </w:r>
      <w:r>
        <w:t>Activation</w:t>
      </w:r>
      <w:r w:rsidR="000159A6">
        <w:t xml:space="preserve"> </w:t>
      </w:r>
      <w:r>
        <w:t>of</w:t>
      </w:r>
      <w:r w:rsidR="000159A6">
        <w:t xml:space="preserve"> </w:t>
      </w:r>
      <w:r>
        <w:t>the</w:t>
      </w:r>
      <w:r w:rsidR="000159A6">
        <w:t xml:space="preserve"> </w:t>
      </w:r>
      <w:r>
        <w:t>innate</w:t>
      </w:r>
      <w:r w:rsidR="000159A6">
        <w:t xml:space="preserve"> </w:t>
      </w:r>
      <w:r>
        <w:t>immune</w:t>
      </w:r>
      <w:r w:rsidR="000159A6">
        <w:t xml:space="preserve"> </w:t>
      </w:r>
      <w:r>
        <w:t>system</w:t>
      </w:r>
      <w:r w:rsidR="000159A6">
        <w:t xml:space="preserve"> </w:t>
      </w:r>
      <w:r>
        <w:t>by</w:t>
      </w:r>
      <w:r w:rsidR="000159A6">
        <w:t xml:space="preserve"> </w:t>
      </w:r>
      <w:r>
        <w:t>AS01</w:t>
      </w:r>
      <w:r w:rsidR="000159A6">
        <w:t xml:space="preserve"> </w:t>
      </w:r>
      <w:r>
        <w:t>was</w:t>
      </w:r>
      <w:r w:rsidR="000159A6">
        <w:t xml:space="preserve"> </w:t>
      </w:r>
      <w:r>
        <w:t>transient</w:t>
      </w:r>
      <w:r w:rsidR="000159A6">
        <w:t xml:space="preserve"> </w:t>
      </w:r>
      <w:r>
        <w:t>and</w:t>
      </w:r>
      <w:r w:rsidR="000159A6">
        <w:t xml:space="preserve"> </w:t>
      </w:r>
      <w:r>
        <w:t>mediated</w:t>
      </w:r>
      <w:r w:rsidR="000159A6">
        <w:t xml:space="preserve"> </w:t>
      </w:r>
      <w:r>
        <w:t>via</w:t>
      </w:r>
      <w:r w:rsidR="000159A6">
        <w:t xml:space="preserve"> </w:t>
      </w:r>
      <w:r>
        <w:t>TLR4</w:t>
      </w:r>
      <w:r w:rsidR="000159A6">
        <w:t xml:space="preserve"> </w:t>
      </w:r>
      <w:r>
        <w:t>signalling</w:t>
      </w:r>
      <w:r w:rsidR="000159A6">
        <w:t xml:space="preserve"> </w:t>
      </w:r>
      <w:r>
        <w:t>for</w:t>
      </w:r>
      <w:r w:rsidR="000159A6">
        <w:t xml:space="preserve"> </w:t>
      </w:r>
      <w:r>
        <w:t>MPL.</w:t>
      </w:r>
      <w:r w:rsidR="000159A6">
        <w:t xml:space="preserve"> </w:t>
      </w:r>
      <w:r>
        <w:t>For</w:t>
      </w:r>
      <w:r w:rsidR="000159A6">
        <w:t xml:space="preserve"> </w:t>
      </w:r>
      <w:r>
        <w:t>QS-21,</w:t>
      </w:r>
      <w:r w:rsidR="000159A6">
        <w:t xml:space="preserve"> </w:t>
      </w:r>
      <w:r>
        <w:t>the</w:t>
      </w:r>
      <w:r w:rsidR="000159A6">
        <w:t xml:space="preserve"> </w:t>
      </w:r>
      <w:r>
        <w:t>signalling</w:t>
      </w:r>
      <w:r w:rsidR="000159A6">
        <w:t xml:space="preserve"> </w:t>
      </w:r>
      <w:r>
        <w:t>pathways</w:t>
      </w:r>
      <w:r w:rsidR="000159A6">
        <w:t xml:space="preserve"> </w:t>
      </w:r>
      <w:r>
        <w:t>were</w:t>
      </w:r>
      <w:r w:rsidR="000159A6">
        <w:t xml:space="preserve"> </w:t>
      </w:r>
      <w:r>
        <w:t>not</w:t>
      </w:r>
      <w:r w:rsidR="000159A6">
        <w:t xml:space="preserve"> </w:t>
      </w:r>
      <w:r>
        <w:t>fully</w:t>
      </w:r>
      <w:r w:rsidR="000159A6">
        <w:t xml:space="preserve"> </w:t>
      </w:r>
      <w:r>
        <w:t>elucidated</w:t>
      </w:r>
      <w:r w:rsidR="000159A6">
        <w:t xml:space="preserve"> </w:t>
      </w:r>
      <w:r>
        <w:t>but</w:t>
      </w:r>
      <w:r w:rsidR="000159A6">
        <w:t xml:space="preserve"> </w:t>
      </w:r>
      <w:r>
        <w:t>involved</w:t>
      </w:r>
      <w:r w:rsidR="000159A6">
        <w:t xml:space="preserve"> </w:t>
      </w:r>
      <w:r>
        <w:t>caspase</w:t>
      </w:r>
      <w:r w:rsidR="000159A6">
        <w:t xml:space="preserve"> </w:t>
      </w:r>
      <w:r>
        <w:t>1/</w:t>
      </w:r>
      <w:proofErr w:type="spellStart"/>
      <w:r>
        <w:t>inflammasome</w:t>
      </w:r>
      <w:proofErr w:type="spellEnd"/>
      <w:r w:rsidR="000159A6">
        <w:t xml:space="preserve"> </w:t>
      </w:r>
      <w:r>
        <w:t>activation,</w:t>
      </w:r>
      <w:r w:rsidR="000159A6">
        <w:t xml:space="preserve"> </w:t>
      </w:r>
      <w:r>
        <w:t>and</w:t>
      </w:r>
      <w:r w:rsidR="000159A6">
        <w:t xml:space="preserve"> </w:t>
      </w:r>
      <w:r>
        <w:t>it</w:t>
      </w:r>
      <w:r w:rsidR="000159A6">
        <w:t xml:space="preserve"> </w:t>
      </w:r>
      <w:r>
        <w:t>enters</w:t>
      </w:r>
      <w:r w:rsidR="000159A6">
        <w:t xml:space="preserve"> </w:t>
      </w:r>
      <w:r>
        <w:t>cells</w:t>
      </w:r>
      <w:r w:rsidR="000159A6">
        <w:t xml:space="preserve"> </w:t>
      </w:r>
      <w:r>
        <w:t>via</w:t>
      </w:r>
      <w:r w:rsidR="000159A6">
        <w:t xml:space="preserve"> </w:t>
      </w:r>
      <w:r>
        <w:t>endocytosis</w:t>
      </w:r>
      <w:r w:rsidR="000159A6">
        <w:t xml:space="preserve"> </w:t>
      </w:r>
      <w:r>
        <w:t>and</w:t>
      </w:r>
      <w:r w:rsidR="000159A6">
        <w:t xml:space="preserve"> </w:t>
      </w:r>
      <w:r>
        <w:t>then</w:t>
      </w:r>
      <w:r w:rsidR="000159A6">
        <w:t xml:space="preserve"> </w:t>
      </w:r>
      <w:r>
        <w:t>traffics</w:t>
      </w:r>
      <w:r w:rsidR="000159A6">
        <w:t xml:space="preserve"> </w:t>
      </w:r>
      <w:r>
        <w:t>to</w:t>
      </w:r>
      <w:r w:rsidR="000159A6">
        <w:t xml:space="preserve"> </w:t>
      </w:r>
      <w:r>
        <w:t>lysosomes.</w:t>
      </w:r>
      <w:r w:rsidR="000159A6">
        <w:t xml:space="preserve"> </w:t>
      </w:r>
      <w:r>
        <w:t>The</w:t>
      </w:r>
      <w:r w:rsidR="000159A6">
        <w:t xml:space="preserve"> </w:t>
      </w:r>
      <w:r>
        <w:t>maximum</w:t>
      </w:r>
      <w:r w:rsidR="000159A6">
        <w:t xml:space="preserve"> </w:t>
      </w:r>
      <w:r>
        <w:t>adjuvant</w:t>
      </w:r>
      <w:r w:rsidR="000159A6">
        <w:t xml:space="preserve"> </w:t>
      </w:r>
      <w:r>
        <w:t>effect</w:t>
      </w:r>
      <w:r w:rsidR="000159A6">
        <w:t xml:space="preserve"> </w:t>
      </w:r>
      <w:r>
        <w:t>of</w:t>
      </w:r>
      <w:r w:rsidR="000159A6">
        <w:t xml:space="preserve"> </w:t>
      </w:r>
      <w:r>
        <w:t>AS01</w:t>
      </w:r>
      <w:r w:rsidR="000159A6">
        <w:t xml:space="preserve"> </w:t>
      </w:r>
      <w:r>
        <w:t>on</w:t>
      </w:r>
      <w:r w:rsidR="000159A6">
        <w:t xml:space="preserve"> </w:t>
      </w:r>
      <w:r>
        <w:t>adaptive</w:t>
      </w:r>
      <w:r w:rsidR="000159A6">
        <w:t xml:space="preserve"> </w:t>
      </w:r>
      <w:r>
        <w:t>response,</w:t>
      </w:r>
      <w:r w:rsidR="000159A6">
        <w:t xml:space="preserve"> </w:t>
      </w:r>
      <w:r>
        <w:t>especially</w:t>
      </w:r>
      <w:r w:rsidR="000159A6">
        <w:t xml:space="preserve"> </w:t>
      </w:r>
      <w:r>
        <w:t>T</w:t>
      </w:r>
      <w:r w:rsidR="000159A6">
        <w:t xml:space="preserve"> </w:t>
      </w:r>
      <w:r>
        <w:t>cell</w:t>
      </w:r>
      <w:r w:rsidR="000159A6">
        <w:t xml:space="preserve"> </w:t>
      </w:r>
      <w:r>
        <w:t>response,</w:t>
      </w:r>
      <w:r w:rsidR="000159A6">
        <w:t xml:space="preserve"> </w:t>
      </w:r>
      <w:r>
        <w:t>required</w:t>
      </w:r>
      <w:r w:rsidR="000159A6">
        <w:t xml:space="preserve"> </w:t>
      </w:r>
      <w:proofErr w:type="spellStart"/>
      <w:r>
        <w:t>spatio</w:t>
      </w:r>
      <w:proofErr w:type="spellEnd"/>
      <w:r>
        <w:t>-temporal</w:t>
      </w:r>
      <w:r w:rsidR="000159A6">
        <w:t xml:space="preserve"> </w:t>
      </w:r>
      <w:r>
        <w:t>co-localization</w:t>
      </w:r>
      <w:r w:rsidR="000159A6">
        <w:t xml:space="preserve"> </w:t>
      </w:r>
      <w:r>
        <w:t>of</w:t>
      </w:r>
      <w:r w:rsidR="000159A6">
        <w:t xml:space="preserve"> </w:t>
      </w:r>
      <w:r>
        <w:t>AS01</w:t>
      </w:r>
      <w:r w:rsidR="000159A6">
        <w:t xml:space="preserve"> </w:t>
      </w:r>
      <w:r>
        <w:t>with</w:t>
      </w:r>
      <w:r w:rsidR="000159A6">
        <w:t xml:space="preserve"> </w:t>
      </w:r>
      <w:r>
        <w:t>the</w:t>
      </w:r>
      <w:r w:rsidR="000159A6">
        <w:t xml:space="preserve"> </w:t>
      </w:r>
      <w:r>
        <w:t>antigen,</w:t>
      </w:r>
      <w:r w:rsidR="000159A6">
        <w:t xml:space="preserve"> </w:t>
      </w:r>
      <w:r>
        <w:t>consistent</w:t>
      </w:r>
      <w:r w:rsidR="000159A6">
        <w:t xml:space="preserve"> </w:t>
      </w:r>
      <w:r>
        <w:t>with</w:t>
      </w:r>
      <w:r w:rsidR="000159A6">
        <w:t xml:space="preserve"> </w:t>
      </w:r>
      <w:r>
        <w:t>an</w:t>
      </w:r>
      <w:r w:rsidR="000159A6">
        <w:t xml:space="preserve"> </w:t>
      </w:r>
      <w:r>
        <w:t>early</w:t>
      </w:r>
      <w:r w:rsidR="000159A6">
        <w:t xml:space="preserve"> </w:t>
      </w:r>
      <w:r>
        <w:t>and</w:t>
      </w:r>
      <w:r w:rsidR="000159A6">
        <w:t xml:space="preserve"> </w:t>
      </w:r>
      <w:r>
        <w:t>locally</w:t>
      </w:r>
      <w:r w:rsidR="000159A6">
        <w:t xml:space="preserve"> </w:t>
      </w:r>
      <w:r>
        <w:t>acting</w:t>
      </w:r>
      <w:r w:rsidR="000159A6">
        <w:t xml:space="preserve"> </w:t>
      </w:r>
      <w:r>
        <w:t>mechanism</w:t>
      </w:r>
      <w:r w:rsidR="000159A6">
        <w:t xml:space="preserve"> </w:t>
      </w:r>
      <w:r>
        <w:t>of</w:t>
      </w:r>
      <w:r w:rsidR="000159A6">
        <w:t xml:space="preserve"> </w:t>
      </w:r>
      <w:r>
        <w:t>the</w:t>
      </w:r>
      <w:r w:rsidR="000159A6">
        <w:t xml:space="preserve"> </w:t>
      </w:r>
      <w:r>
        <w:t>adjuvant.</w:t>
      </w:r>
      <w:r w:rsidR="000159A6">
        <w:t xml:space="preserve"> </w:t>
      </w:r>
      <w:r>
        <w:t>A</w:t>
      </w:r>
      <w:r w:rsidR="000159A6">
        <w:t xml:space="preserve"> </w:t>
      </w:r>
      <w:r>
        <w:t>combination</w:t>
      </w:r>
      <w:r w:rsidR="000159A6">
        <w:t xml:space="preserve"> </w:t>
      </w:r>
      <w:r>
        <w:t>of</w:t>
      </w:r>
      <w:r w:rsidR="000159A6">
        <w:t xml:space="preserve"> </w:t>
      </w:r>
      <w:r>
        <w:t>MPL</w:t>
      </w:r>
      <w:r w:rsidR="000159A6">
        <w:t xml:space="preserve"> </w:t>
      </w:r>
      <w:r>
        <w:t>and</w:t>
      </w:r>
      <w:r w:rsidR="000159A6">
        <w:t xml:space="preserve"> </w:t>
      </w:r>
      <w:r w:rsidR="002B2F1E">
        <w:t>QS-21</w:t>
      </w:r>
      <w:r w:rsidR="000159A6">
        <w:t xml:space="preserve"> </w:t>
      </w:r>
      <w:r>
        <w:t>in</w:t>
      </w:r>
      <w:r w:rsidR="000159A6">
        <w:t xml:space="preserve"> </w:t>
      </w:r>
      <w:r>
        <w:t>AS01</w:t>
      </w:r>
      <w:r w:rsidR="000159A6">
        <w:t xml:space="preserve"> </w:t>
      </w:r>
      <w:r>
        <w:t>induced</w:t>
      </w:r>
      <w:r w:rsidR="000159A6">
        <w:t xml:space="preserve"> </w:t>
      </w:r>
      <w:r>
        <w:t>a</w:t>
      </w:r>
      <w:r w:rsidR="000159A6">
        <w:t xml:space="preserve"> </w:t>
      </w:r>
      <w:r>
        <w:t>synergistic</w:t>
      </w:r>
      <w:r w:rsidR="000159A6">
        <w:t xml:space="preserve"> </w:t>
      </w:r>
      <w:r>
        <w:t>response,</w:t>
      </w:r>
      <w:r w:rsidR="000159A6">
        <w:t xml:space="preserve"> </w:t>
      </w:r>
      <w:r>
        <w:t>characterized</w:t>
      </w:r>
      <w:r w:rsidR="000159A6">
        <w:t xml:space="preserve"> </w:t>
      </w:r>
      <w:r>
        <w:t>by</w:t>
      </w:r>
      <w:r w:rsidR="000159A6">
        <w:t xml:space="preserve"> </w:t>
      </w:r>
      <w:r>
        <w:t>increased</w:t>
      </w:r>
      <w:r w:rsidR="000159A6">
        <w:t xml:space="preserve"> </w:t>
      </w:r>
      <w:r>
        <w:t>or</w:t>
      </w:r>
      <w:r w:rsidR="000159A6">
        <w:t xml:space="preserve"> </w:t>
      </w:r>
      <w:r>
        <w:t>sustained</w:t>
      </w:r>
      <w:r w:rsidR="000159A6">
        <w:t xml:space="preserve"> </w:t>
      </w:r>
      <w:r>
        <w:t>cytokine</w:t>
      </w:r>
      <w:r w:rsidR="000159A6">
        <w:t xml:space="preserve"> </w:t>
      </w:r>
      <w:r>
        <w:t>levels,</w:t>
      </w:r>
      <w:r w:rsidR="000159A6">
        <w:t xml:space="preserve"> </w:t>
      </w:r>
      <w:r>
        <w:t>associated</w:t>
      </w:r>
      <w:r w:rsidR="000159A6">
        <w:t xml:space="preserve"> </w:t>
      </w:r>
      <w:r>
        <w:t>with</w:t>
      </w:r>
      <w:r w:rsidR="000159A6">
        <w:t xml:space="preserve"> </w:t>
      </w:r>
      <w:r>
        <w:t>a</w:t>
      </w:r>
      <w:r w:rsidR="000159A6">
        <w:t xml:space="preserve"> </w:t>
      </w:r>
      <w:r>
        <w:t>more</w:t>
      </w:r>
      <w:r w:rsidR="000159A6">
        <w:t xml:space="preserve"> </w:t>
      </w:r>
      <w:r>
        <w:t>efficient</w:t>
      </w:r>
      <w:r w:rsidR="000159A6">
        <w:t xml:space="preserve"> </w:t>
      </w:r>
      <w:r>
        <w:t>induction</w:t>
      </w:r>
      <w:r w:rsidR="000159A6">
        <w:t xml:space="preserve"> </w:t>
      </w:r>
      <w:r>
        <w:t>of</w:t>
      </w:r>
      <w:r w:rsidR="000159A6">
        <w:t xml:space="preserve"> </w:t>
      </w:r>
      <w:r>
        <w:t>an</w:t>
      </w:r>
      <w:r w:rsidR="000159A6">
        <w:t xml:space="preserve"> </w:t>
      </w:r>
      <w:r>
        <w:t>adaptive</w:t>
      </w:r>
      <w:r w:rsidR="000159A6">
        <w:t xml:space="preserve"> </w:t>
      </w:r>
      <w:r>
        <w:t>response.</w:t>
      </w:r>
      <w:r w:rsidR="000159A6">
        <w:t xml:space="preserve"> </w:t>
      </w:r>
      <w:r>
        <w:t>MPL</w:t>
      </w:r>
      <w:r w:rsidR="000159A6">
        <w:t xml:space="preserve"> </w:t>
      </w:r>
      <w:r>
        <w:t>contributed</w:t>
      </w:r>
      <w:r w:rsidR="000159A6">
        <w:t xml:space="preserve"> </w:t>
      </w:r>
      <w:r>
        <w:t>to</w:t>
      </w:r>
      <w:r w:rsidR="000159A6">
        <w:t xml:space="preserve"> </w:t>
      </w:r>
      <w:r>
        <w:t>the</w:t>
      </w:r>
      <w:r w:rsidR="000159A6">
        <w:t xml:space="preserve"> </w:t>
      </w:r>
      <w:r>
        <w:t>early</w:t>
      </w:r>
      <w:r w:rsidR="000159A6">
        <w:t xml:space="preserve"> </w:t>
      </w:r>
      <w:r>
        <w:t>cytokine</w:t>
      </w:r>
      <w:r w:rsidR="000159A6">
        <w:t xml:space="preserve"> </w:t>
      </w:r>
      <w:r>
        <w:t>response</w:t>
      </w:r>
      <w:r w:rsidR="000159A6">
        <w:t xml:space="preserve"> </w:t>
      </w:r>
      <w:r>
        <w:t>in</w:t>
      </w:r>
      <w:r w:rsidR="000159A6">
        <w:t xml:space="preserve"> </w:t>
      </w:r>
      <w:r>
        <w:t>the</w:t>
      </w:r>
      <w:r w:rsidR="000159A6">
        <w:t xml:space="preserve"> </w:t>
      </w:r>
      <w:r>
        <w:t>muscle</w:t>
      </w:r>
      <w:r w:rsidR="000159A6">
        <w:t xml:space="preserve"> </w:t>
      </w:r>
      <w:r>
        <w:t>while</w:t>
      </w:r>
      <w:r w:rsidR="000159A6">
        <w:t xml:space="preserve"> </w:t>
      </w:r>
      <w:r>
        <w:t>QS-21</w:t>
      </w:r>
      <w:r w:rsidR="000159A6">
        <w:t xml:space="preserve"> </w:t>
      </w:r>
      <w:r>
        <w:t>played</w:t>
      </w:r>
      <w:r w:rsidR="000159A6">
        <w:t xml:space="preserve"> </w:t>
      </w:r>
      <w:r>
        <w:t>a</w:t>
      </w:r>
      <w:r w:rsidR="000159A6">
        <w:t xml:space="preserve"> </w:t>
      </w:r>
      <w:r>
        <w:t>role</w:t>
      </w:r>
      <w:r w:rsidR="000159A6">
        <w:t xml:space="preserve"> </w:t>
      </w:r>
      <w:r>
        <w:t>in</w:t>
      </w:r>
      <w:r w:rsidR="000159A6">
        <w:t xml:space="preserve"> </w:t>
      </w:r>
      <w:r>
        <w:t>the</w:t>
      </w:r>
      <w:r w:rsidR="000159A6">
        <w:t xml:space="preserve"> </w:t>
      </w:r>
      <w:r>
        <w:t>early</w:t>
      </w:r>
      <w:r w:rsidR="000159A6">
        <w:t xml:space="preserve"> </w:t>
      </w:r>
      <w:r>
        <w:t>cytokine</w:t>
      </w:r>
      <w:r w:rsidR="000159A6">
        <w:t xml:space="preserve"> </w:t>
      </w:r>
      <w:r>
        <w:t>response</w:t>
      </w:r>
      <w:r w:rsidR="000159A6">
        <w:t xml:space="preserve"> </w:t>
      </w:r>
      <w:r>
        <w:t>in</w:t>
      </w:r>
      <w:r w:rsidR="000159A6">
        <w:t xml:space="preserve"> </w:t>
      </w:r>
      <w:r>
        <w:t>the</w:t>
      </w:r>
      <w:r w:rsidR="000159A6">
        <w:t xml:space="preserve"> </w:t>
      </w:r>
      <w:r>
        <w:t>draining</w:t>
      </w:r>
      <w:r w:rsidR="000159A6">
        <w:t xml:space="preserve"> </w:t>
      </w:r>
      <w:r>
        <w:t>lymph</w:t>
      </w:r>
      <w:r w:rsidR="000159A6">
        <w:t xml:space="preserve"> </w:t>
      </w:r>
      <w:r>
        <w:t>node.</w:t>
      </w:r>
      <w:r w:rsidR="000159A6">
        <w:t xml:space="preserve"> </w:t>
      </w:r>
      <w:r>
        <w:t>The</w:t>
      </w:r>
      <w:r w:rsidR="000159A6">
        <w:t xml:space="preserve"> </w:t>
      </w:r>
      <w:r>
        <w:t>early</w:t>
      </w:r>
      <w:r w:rsidR="000159A6">
        <w:t xml:space="preserve"> </w:t>
      </w:r>
      <w:r>
        <w:t>IFN-γ</w:t>
      </w:r>
      <w:r w:rsidR="000159A6">
        <w:t xml:space="preserve"> </w:t>
      </w:r>
      <w:r>
        <w:t>secretion</w:t>
      </w:r>
      <w:r w:rsidR="000159A6">
        <w:t xml:space="preserve"> </w:t>
      </w:r>
      <w:r>
        <w:t>produced</w:t>
      </w:r>
      <w:r w:rsidR="000159A6">
        <w:t xml:space="preserve"> </w:t>
      </w:r>
      <w:r>
        <w:t>by</w:t>
      </w:r>
      <w:r w:rsidR="000159A6">
        <w:t xml:space="preserve"> </w:t>
      </w:r>
      <w:r>
        <w:t>NK</w:t>
      </w:r>
      <w:r w:rsidR="000159A6">
        <w:t xml:space="preserve"> </w:t>
      </w:r>
      <w:r>
        <w:t>cells</w:t>
      </w:r>
      <w:r w:rsidR="000159A6">
        <w:t xml:space="preserve"> </w:t>
      </w:r>
      <w:r>
        <w:t>within</w:t>
      </w:r>
      <w:r w:rsidR="000159A6">
        <w:t xml:space="preserve"> </w:t>
      </w:r>
      <w:r>
        <w:t>6</w:t>
      </w:r>
      <w:r w:rsidR="000159A6">
        <w:t xml:space="preserve"> </w:t>
      </w:r>
      <w:r>
        <w:t>h</w:t>
      </w:r>
      <w:r w:rsidR="000159A6">
        <w:t xml:space="preserve"> </w:t>
      </w:r>
      <w:r>
        <w:t>post</w:t>
      </w:r>
      <w:r w:rsidR="000159A6">
        <w:t xml:space="preserve"> </w:t>
      </w:r>
      <w:r w:rsidR="00AE6925">
        <w:t>immunisation</w:t>
      </w:r>
      <w:r>
        <w:t>,</w:t>
      </w:r>
      <w:r w:rsidR="000159A6">
        <w:t xml:space="preserve"> </w:t>
      </w:r>
      <w:r>
        <w:t>resulted</w:t>
      </w:r>
      <w:r w:rsidR="000159A6">
        <w:t xml:space="preserve"> </w:t>
      </w:r>
      <w:r>
        <w:t>from</w:t>
      </w:r>
      <w:r w:rsidR="000159A6">
        <w:t xml:space="preserve"> </w:t>
      </w:r>
      <w:r>
        <w:t>a</w:t>
      </w:r>
      <w:r w:rsidR="000159A6">
        <w:t xml:space="preserve"> </w:t>
      </w:r>
      <w:r>
        <w:lastRenderedPageBreak/>
        <w:t>synergy</w:t>
      </w:r>
      <w:r w:rsidR="000159A6">
        <w:t xml:space="preserve"> </w:t>
      </w:r>
      <w:r>
        <w:t>between</w:t>
      </w:r>
      <w:r w:rsidR="000159A6">
        <w:t xml:space="preserve"> </w:t>
      </w:r>
      <w:r>
        <w:t>MPL</w:t>
      </w:r>
      <w:r w:rsidR="000159A6">
        <w:t xml:space="preserve"> </w:t>
      </w:r>
      <w:r>
        <w:t>and</w:t>
      </w:r>
      <w:r w:rsidR="000159A6">
        <w:t xml:space="preserve"> </w:t>
      </w:r>
      <w:r>
        <w:t>QS-21.</w:t>
      </w:r>
      <w:r w:rsidR="000159A6">
        <w:t xml:space="preserve"> </w:t>
      </w:r>
      <w:r w:rsidRPr="00DE3404">
        <w:t>IFN-γ</w:t>
      </w:r>
      <w:r w:rsidR="000159A6">
        <w:t xml:space="preserve"> </w:t>
      </w:r>
      <w:r w:rsidRPr="00DE3404">
        <w:t>signalling</w:t>
      </w:r>
      <w:r w:rsidR="000159A6">
        <w:t xml:space="preserve"> </w:t>
      </w:r>
      <w:r w:rsidRPr="00DE3404">
        <w:t>pathway</w:t>
      </w:r>
      <w:r w:rsidR="000159A6">
        <w:t xml:space="preserve"> </w:t>
      </w:r>
      <w:r w:rsidRPr="00DE3404">
        <w:t>plays</w:t>
      </w:r>
      <w:r w:rsidR="000159A6">
        <w:t xml:space="preserve"> </w:t>
      </w:r>
      <w:r w:rsidRPr="00DE3404">
        <w:t>a</w:t>
      </w:r>
      <w:r w:rsidR="000159A6">
        <w:t xml:space="preserve"> </w:t>
      </w:r>
      <w:r w:rsidRPr="00DE3404">
        <w:t>major</w:t>
      </w:r>
      <w:r w:rsidR="000159A6">
        <w:t xml:space="preserve"> </w:t>
      </w:r>
      <w:r w:rsidRPr="00DE3404">
        <w:t>role</w:t>
      </w:r>
      <w:r w:rsidR="000159A6">
        <w:t xml:space="preserve"> </w:t>
      </w:r>
      <w:r w:rsidRPr="00DE3404">
        <w:t>in</w:t>
      </w:r>
      <w:r w:rsidR="000159A6">
        <w:t xml:space="preserve"> </w:t>
      </w:r>
      <w:r w:rsidRPr="00DE3404">
        <w:t>adjuvant</w:t>
      </w:r>
      <w:r w:rsidR="000159A6">
        <w:t xml:space="preserve"> </w:t>
      </w:r>
      <w:r w:rsidRPr="00DE3404">
        <w:t>effect</w:t>
      </w:r>
      <w:r w:rsidR="000159A6">
        <w:t xml:space="preserve"> </w:t>
      </w:r>
      <w:r w:rsidRPr="00DE3404">
        <w:t>of</w:t>
      </w:r>
      <w:r w:rsidR="000159A6">
        <w:t xml:space="preserve"> </w:t>
      </w:r>
      <w:r w:rsidR="00503D1B">
        <w:t>AS01</w:t>
      </w:r>
      <w:r w:rsidR="00503D1B" w:rsidRPr="00570F2D">
        <w:rPr>
          <w:vertAlign w:val="subscript"/>
        </w:rPr>
        <w:t>B</w:t>
      </w:r>
      <w:r w:rsidR="000159A6">
        <w:t xml:space="preserve"> </w:t>
      </w:r>
      <w:r w:rsidRPr="00DE3404">
        <w:t>by</w:t>
      </w:r>
      <w:r w:rsidR="000159A6">
        <w:t xml:space="preserve"> </w:t>
      </w:r>
      <w:r w:rsidRPr="00DE3404">
        <w:t>enhancing</w:t>
      </w:r>
      <w:r w:rsidR="000159A6">
        <w:t xml:space="preserve"> </w:t>
      </w:r>
      <w:r w:rsidRPr="00DE3404">
        <w:t>early</w:t>
      </w:r>
      <w:r w:rsidR="000159A6">
        <w:t xml:space="preserve"> </w:t>
      </w:r>
      <w:r w:rsidRPr="00DE3404">
        <w:t>cytokine</w:t>
      </w:r>
      <w:r w:rsidR="000159A6">
        <w:t xml:space="preserve"> </w:t>
      </w:r>
      <w:r w:rsidRPr="00DE3404">
        <w:t>production,</w:t>
      </w:r>
      <w:r w:rsidR="000159A6">
        <w:t xml:space="preserve"> </w:t>
      </w:r>
      <w:r w:rsidRPr="00DE3404">
        <w:t>immune</w:t>
      </w:r>
      <w:r w:rsidR="000159A6">
        <w:t xml:space="preserve"> </w:t>
      </w:r>
      <w:r w:rsidRPr="00DE3404">
        <w:t>cell</w:t>
      </w:r>
      <w:r w:rsidR="000159A6">
        <w:t xml:space="preserve"> </w:t>
      </w:r>
      <w:r w:rsidRPr="00DE3404">
        <w:t>recruitment</w:t>
      </w:r>
      <w:r w:rsidR="000159A6">
        <w:t xml:space="preserve"> </w:t>
      </w:r>
      <w:r w:rsidRPr="00DE3404">
        <w:t>and</w:t>
      </w:r>
      <w:r w:rsidR="000159A6">
        <w:t xml:space="preserve"> </w:t>
      </w:r>
      <w:r w:rsidRPr="00DE3404">
        <w:t>activation</w:t>
      </w:r>
      <w:r w:rsidR="000159A6">
        <w:t xml:space="preserve"> </w:t>
      </w:r>
      <w:r w:rsidRPr="00DE3404">
        <w:t>after</w:t>
      </w:r>
      <w:r w:rsidR="000159A6">
        <w:t xml:space="preserve"> </w:t>
      </w:r>
      <w:r w:rsidRPr="00DE3404">
        <w:t>immunisation</w:t>
      </w:r>
      <w:r w:rsidR="000159A6">
        <w:t xml:space="preserve"> </w:t>
      </w:r>
      <w:r w:rsidRPr="00DE3404">
        <w:t>with</w:t>
      </w:r>
      <w:r w:rsidR="000159A6">
        <w:t xml:space="preserve"> </w:t>
      </w:r>
      <w:r w:rsidR="00503D1B">
        <w:t>AS01</w:t>
      </w:r>
      <w:r w:rsidR="00503D1B" w:rsidRPr="00570F2D">
        <w:rPr>
          <w:vertAlign w:val="subscript"/>
        </w:rPr>
        <w:t>B</w:t>
      </w:r>
      <w:r w:rsidR="000159A6">
        <w:t xml:space="preserve"> </w:t>
      </w:r>
      <w:r w:rsidRPr="00DE3404">
        <w:t>adjuvanted</w:t>
      </w:r>
      <w:r w:rsidR="000159A6">
        <w:t xml:space="preserve"> </w:t>
      </w:r>
      <w:r w:rsidRPr="00DE3404">
        <w:t>vaccines.</w:t>
      </w:r>
      <w:r w:rsidR="000159A6">
        <w:t xml:space="preserve"> </w:t>
      </w:r>
      <w:r>
        <w:t>MPL</w:t>
      </w:r>
      <w:r w:rsidR="000159A6">
        <w:t xml:space="preserve"> </w:t>
      </w:r>
      <w:r>
        <w:t>and</w:t>
      </w:r>
      <w:r w:rsidR="000159A6">
        <w:t xml:space="preserve"> </w:t>
      </w:r>
      <w:r>
        <w:t>QS-21</w:t>
      </w:r>
      <w:r w:rsidR="000159A6">
        <w:t xml:space="preserve"> </w:t>
      </w:r>
      <w:r>
        <w:t>induces</w:t>
      </w:r>
      <w:r w:rsidR="000159A6">
        <w:t xml:space="preserve"> </w:t>
      </w:r>
      <w:r>
        <w:t>a</w:t>
      </w:r>
      <w:r w:rsidR="000159A6">
        <w:t xml:space="preserve"> </w:t>
      </w:r>
      <w:r>
        <w:t>diversified</w:t>
      </w:r>
      <w:r w:rsidR="000159A6">
        <w:t xml:space="preserve"> </w:t>
      </w:r>
      <w:r>
        <w:t>population</w:t>
      </w:r>
      <w:r w:rsidR="000159A6">
        <w:t xml:space="preserve"> </w:t>
      </w:r>
      <w:r>
        <w:t>of</w:t>
      </w:r>
      <w:r w:rsidR="000159A6">
        <w:t xml:space="preserve"> </w:t>
      </w:r>
      <w:r>
        <w:t>activated</w:t>
      </w:r>
      <w:r w:rsidR="000159A6">
        <w:t xml:space="preserve"> </w:t>
      </w:r>
      <w:r>
        <w:t>antigen</w:t>
      </w:r>
      <w:r w:rsidR="000159A6">
        <w:t xml:space="preserve"> </w:t>
      </w:r>
      <w:r>
        <w:t>presenting</w:t>
      </w:r>
      <w:r w:rsidR="000159A6">
        <w:t xml:space="preserve"> </w:t>
      </w:r>
      <w:r>
        <w:t>cells,</w:t>
      </w:r>
      <w:r w:rsidR="000159A6">
        <w:t xml:space="preserve"> </w:t>
      </w:r>
      <w:r>
        <w:t>responsible</w:t>
      </w:r>
      <w:r w:rsidR="000159A6">
        <w:t xml:space="preserve"> </w:t>
      </w:r>
      <w:r>
        <w:t>for</w:t>
      </w:r>
      <w:r w:rsidR="000159A6">
        <w:t xml:space="preserve"> </w:t>
      </w:r>
      <w:r>
        <w:t>T</w:t>
      </w:r>
      <w:r w:rsidR="000159A6">
        <w:t xml:space="preserve"> </w:t>
      </w:r>
      <w:r>
        <w:t>cell</w:t>
      </w:r>
      <w:r w:rsidR="000159A6">
        <w:t xml:space="preserve"> </w:t>
      </w:r>
      <w:r>
        <w:t>priming,</w:t>
      </w:r>
      <w:r w:rsidR="000159A6">
        <w:t xml:space="preserve"> </w:t>
      </w:r>
      <w:r>
        <w:t>driven</w:t>
      </w:r>
      <w:r w:rsidR="000159A6">
        <w:t xml:space="preserve"> </w:t>
      </w:r>
      <w:r>
        <w:t>by</w:t>
      </w:r>
      <w:r w:rsidR="000159A6">
        <w:t xml:space="preserve"> </w:t>
      </w:r>
      <w:r>
        <w:t>the</w:t>
      </w:r>
      <w:r w:rsidR="000159A6">
        <w:t xml:space="preserve"> </w:t>
      </w:r>
      <w:r>
        <w:t>specific</w:t>
      </w:r>
      <w:r w:rsidR="000159A6">
        <w:t xml:space="preserve"> </w:t>
      </w:r>
      <w:r>
        <w:t>ability</w:t>
      </w:r>
      <w:r w:rsidR="000159A6">
        <w:t xml:space="preserve"> </w:t>
      </w:r>
      <w:r>
        <w:t>of</w:t>
      </w:r>
      <w:r w:rsidR="000159A6">
        <w:t xml:space="preserve"> </w:t>
      </w:r>
      <w:r>
        <w:t>MPL</w:t>
      </w:r>
      <w:r w:rsidR="000159A6">
        <w:t xml:space="preserve"> </w:t>
      </w:r>
      <w:r>
        <w:t>and</w:t>
      </w:r>
      <w:r w:rsidR="000159A6">
        <w:t xml:space="preserve"> </w:t>
      </w:r>
      <w:r>
        <w:t>QS-21</w:t>
      </w:r>
      <w:r w:rsidR="000159A6">
        <w:t xml:space="preserve"> </w:t>
      </w:r>
      <w:r>
        <w:t>to</w:t>
      </w:r>
      <w:r w:rsidR="000159A6">
        <w:t xml:space="preserve"> </w:t>
      </w:r>
      <w:r>
        <w:t>activate</w:t>
      </w:r>
      <w:r w:rsidR="000159A6">
        <w:t xml:space="preserve"> </w:t>
      </w:r>
      <w:r>
        <w:t>DC</w:t>
      </w:r>
      <w:r w:rsidR="000159A6">
        <w:t xml:space="preserve"> </w:t>
      </w:r>
      <w:r>
        <w:t>and</w:t>
      </w:r>
      <w:r w:rsidR="000159A6">
        <w:t xml:space="preserve"> </w:t>
      </w:r>
      <w:r>
        <w:t>monocytes</w:t>
      </w:r>
      <w:r w:rsidR="000159A6">
        <w:t xml:space="preserve"> </w:t>
      </w:r>
      <w:r>
        <w:t>respectively.</w:t>
      </w:r>
      <w:r w:rsidR="000159A6">
        <w:t xml:space="preserve"> </w:t>
      </w:r>
      <w:r>
        <w:t>These</w:t>
      </w:r>
      <w:r w:rsidR="000159A6">
        <w:t xml:space="preserve"> </w:t>
      </w:r>
      <w:r>
        <w:t>data</w:t>
      </w:r>
      <w:r w:rsidR="000159A6">
        <w:t xml:space="preserve"> </w:t>
      </w:r>
      <w:r>
        <w:t>support</w:t>
      </w:r>
      <w:r w:rsidR="000159A6">
        <w:t xml:space="preserve"> </w:t>
      </w:r>
      <w:r>
        <w:t>addition</w:t>
      </w:r>
      <w:r w:rsidR="000159A6">
        <w:t xml:space="preserve"> </w:t>
      </w:r>
      <w:r>
        <w:t>of</w:t>
      </w:r>
      <w:r w:rsidR="000159A6">
        <w:t xml:space="preserve"> </w:t>
      </w:r>
      <w:r>
        <w:t>both</w:t>
      </w:r>
      <w:r w:rsidR="000159A6">
        <w:t xml:space="preserve"> </w:t>
      </w:r>
      <w:r>
        <w:t>immune</w:t>
      </w:r>
      <w:r w:rsidR="000159A6">
        <w:t xml:space="preserve"> </w:t>
      </w:r>
      <w:r>
        <w:t>enhancers</w:t>
      </w:r>
      <w:r w:rsidR="000159A6">
        <w:t xml:space="preserve"> </w:t>
      </w:r>
      <w:r>
        <w:t>in</w:t>
      </w:r>
      <w:r w:rsidR="000159A6">
        <w:t xml:space="preserve"> </w:t>
      </w:r>
      <w:r>
        <w:t>the</w:t>
      </w:r>
      <w:r w:rsidR="000159A6">
        <w:t xml:space="preserve"> </w:t>
      </w:r>
      <w:r>
        <w:t>liposome</w:t>
      </w:r>
      <w:r w:rsidR="000159A6">
        <w:t xml:space="preserve"> </w:t>
      </w:r>
      <w:r>
        <w:t>adjuvant</w:t>
      </w:r>
      <w:r w:rsidR="000159A6">
        <w:t xml:space="preserve"> </w:t>
      </w:r>
      <w:r>
        <w:t>formulation.</w:t>
      </w:r>
    </w:p>
    <w:p w14:paraId="072F6D3A" w14:textId="214BD82B" w:rsidR="005B220F" w:rsidRPr="00EB69F1" w:rsidRDefault="005B220F" w:rsidP="00AD5810">
      <w:pPr>
        <w:pStyle w:val="Heading5"/>
      </w:pPr>
      <w:r>
        <w:t>S</w:t>
      </w:r>
      <w:r w:rsidRPr="00EB69F1">
        <w:t>afety</w:t>
      </w:r>
      <w:r w:rsidR="000159A6">
        <w:t xml:space="preserve"> </w:t>
      </w:r>
      <w:r w:rsidRPr="00EB69F1">
        <w:t>pharmacology</w:t>
      </w:r>
    </w:p>
    <w:p w14:paraId="03D1AD59" w14:textId="35BAA0B5" w:rsidR="00FF12AA" w:rsidRDefault="005B220F" w:rsidP="00CC47E8">
      <w:r>
        <w:t>Safety</w:t>
      </w:r>
      <w:r w:rsidR="000159A6">
        <w:t xml:space="preserve"> </w:t>
      </w:r>
      <w:r>
        <w:t>pharmacology</w:t>
      </w:r>
      <w:r w:rsidR="000159A6">
        <w:t xml:space="preserve"> </w:t>
      </w:r>
      <w:r>
        <w:t>studies</w:t>
      </w:r>
      <w:r w:rsidR="000159A6">
        <w:t xml:space="preserve"> </w:t>
      </w:r>
      <w:r>
        <w:t>covered</w:t>
      </w:r>
      <w:r w:rsidR="000159A6">
        <w:t xml:space="preserve"> </w:t>
      </w:r>
      <w:r>
        <w:t>only</w:t>
      </w:r>
      <w:r w:rsidR="000159A6">
        <w:t xml:space="preserve"> </w:t>
      </w:r>
      <w:r>
        <w:t>the</w:t>
      </w:r>
      <w:r w:rsidR="000159A6">
        <w:t xml:space="preserve"> </w:t>
      </w:r>
      <w:r>
        <w:t>cardiovascular</w:t>
      </w:r>
      <w:r w:rsidR="000159A6">
        <w:t xml:space="preserve"> </w:t>
      </w:r>
      <w:r>
        <w:t>and</w:t>
      </w:r>
      <w:r w:rsidR="000159A6">
        <w:t xml:space="preserve"> </w:t>
      </w:r>
      <w:r>
        <w:t>respiratory</w:t>
      </w:r>
      <w:r w:rsidR="000159A6">
        <w:t xml:space="preserve"> </w:t>
      </w:r>
      <w:r>
        <w:t>systems</w:t>
      </w:r>
      <w:r w:rsidR="000159A6">
        <w:t xml:space="preserve"> </w:t>
      </w:r>
      <w:r>
        <w:t>using</w:t>
      </w:r>
      <w:r w:rsidR="000159A6">
        <w:t xml:space="preserve"> </w:t>
      </w:r>
      <w:r>
        <w:t>full</w:t>
      </w:r>
      <w:r w:rsidR="000159A6">
        <w:t xml:space="preserve"> </w:t>
      </w:r>
      <w:r>
        <w:t>human</w:t>
      </w:r>
      <w:r w:rsidR="000159A6">
        <w:t xml:space="preserve"> </w:t>
      </w:r>
      <w:r>
        <w:t>dose.</w:t>
      </w:r>
      <w:r w:rsidR="000159A6">
        <w:t xml:space="preserve"> </w:t>
      </w:r>
      <w:r>
        <w:t>No</w:t>
      </w:r>
      <w:r w:rsidR="000159A6">
        <w:t xml:space="preserve"> </w:t>
      </w:r>
      <w:r>
        <w:t>effects</w:t>
      </w:r>
      <w:r w:rsidR="000159A6">
        <w:t xml:space="preserve"> </w:t>
      </w:r>
      <w:r>
        <w:t>on</w:t>
      </w:r>
      <w:r w:rsidR="000159A6">
        <w:t xml:space="preserve"> </w:t>
      </w:r>
      <w:r>
        <w:t>these</w:t>
      </w:r>
      <w:r w:rsidR="000159A6">
        <w:t xml:space="preserve"> </w:t>
      </w:r>
      <w:r>
        <w:t>systems</w:t>
      </w:r>
      <w:r w:rsidR="000159A6">
        <w:t xml:space="preserve"> </w:t>
      </w:r>
      <w:r>
        <w:t>were</w:t>
      </w:r>
      <w:r w:rsidR="000159A6">
        <w:t xml:space="preserve"> </w:t>
      </w:r>
      <w:r>
        <w:t>observed</w:t>
      </w:r>
      <w:r w:rsidR="000159A6">
        <w:t xml:space="preserve"> </w:t>
      </w:r>
      <w:r>
        <w:t>following</w:t>
      </w:r>
      <w:r w:rsidR="000159A6">
        <w:t xml:space="preserve"> </w:t>
      </w:r>
      <w:r w:rsidR="003F4D2A">
        <w:t>intravenous</w:t>
      </w:r>
      <w:r w:rsidR="00CD5352">
        <w:t> </w:t>
      </w:r>
      <w:r w:rsidR="003F4D2A">
        <w:t>(</w:t>
      </w:r>
      <w:r>
        <w:t>IV</w:t>
      </w:r>
      <w:r w:rsidR="003F4D2A">
        <w:t>)</w:t>
      </w:r>
      <w:r w:rsidR="000159A6">
        <w:t xml:space="preserve"> </w:t>
      </w:r>
      <w:r>
        <w:t>administration</w:t>
      </w:r>
      <w:r w:rsidR="000159A6">
        <w:t xml:space="preserve"> </w:t>
      </w:r>
      <w:r>
        <w:t>of</w:t>
      </w:r>
      <w:r w:rsidR="000159A6">
        <w:t xml:space="preserve"> </w:t>
      </w:r>
      <w:r>
        <w:t>the</w:t>
      </w:r>
      <w:r w:rsidR="000159A6">
        <w:t xml:space="preserve"> </w:t>
      </w:r>
      <w:r>
        <w:t>complete</w:t>
      </w:r>
      <w:r w:rsidR="000159A6">
        <w:t xml:space="preserve"> </w:t>
      </w:r>
      <w:r>
        <w:t>vaccine</w:t>
      </w:r>
      <w:r w:rsidR="000159A6">
        <w:t xml:space="preserve"> </w:t>
      </w:r>
      <w:r>
        <w:t>(1</w:t>
      </w:r>
      <w:r w:rsidR="000159A6">
        <w:t xml:space="preserve"> </w:t>
      </w:r>
      <w:r>
        <w:t>mL/kg)</w:t>
      </w:r>
      <w:r w:rsidR="000159A6">
        <w:t xml:space="preserve"> </w:t>
      </w:r>
      <w:r>
        <w:t>in</w:t>
      </w:r>
      <w:r w:rsidR="000159A6">
        <w:t xml:space="preserve"> </w:t>
      </w:r>
      <w:r>
        <w:t>rats</w:t>
      </w:r>
      <w:r w:rsidR="000159A6">
        <w:t xml:space="preserve"> </w:t>
      </w:r>
      <w:r w:rsidRPr="00D81CFB">
        <w:t>(</w:t>
      </w:r>
      <w:r w:rsidRPr="00F56EDE">
        <w:t>200</w:t>
      </w:r>
      <w:r w:rsidR="000159A6">
        <w:t xml:space="preserve"> </w:t>
      </w:r>
      <w:r w:rsidRPr="00F56EDE">
        <w:t>x</w:t>
      </w:r>
      <w:r w:rsidR="000159A6">
        <w:t xml:space="preserve"> </w:t>
      </w:r>
      <w:r>
        <w:t>the</w:t>
      </w:r>
      <w:r w:rsidR="000159A6">
        <w:t xml:space="preserve"> </w:t>
      </w:r>
      <w:r>
        <w:t>human</w:t>
      </w:r>
      <w:r w:rsidR="000159A6">
        <w:t xml:space="preserve"> </w:t>
      </w:r>
      <w:r>
        <w:t>dose</w:t>
      </w:r>
      <w:r w:rsidR="000159A6">
        <w:t xml:space="preserve"> </w:t>
      </w:r>
      <w:r w:rsidRPr="00F56EDE">
        <w:t>based</w:t>
      </w:r>
      <w:r w:rsidR="000159A6">
        <w:t xml:space="preserve"> </w:t>
      </w:r>
      <w:r w:rsidRPr="00F56EDE">
        <w:t>on</w:t>
      </w:r>
      <w:r w:rsidR="000159A6">
        <w:t xml:space="preserve"> </w:t>
      </w:r>
      <w:r>
        <w:t>µg/kg</w:t>
      </w:r>
      <w:r w:rsidR="000159A6">
        <w:t xml:space="preserve"> </w:t>
      </w:r>
      <w:r w:rsidRPr="00F56EDE">
        <w:t>body</w:t>
      </w:r>
      <w:r w:rsidR="000159A6">
        <w:t xml:space="preserve"> </w:t>
      </w:r>
      <w:r w:rsidRPr="00D81CFB">
        <w:t>weight</w:t>
      </w:r>
      <w:r w:rsidR="000159A6">
        <w:t xml:space="preserve"> </w:t>
      </w:r>
      <w:r w:rsidRPr="00D81CFB">
        <w:t>for</w:t>
      </w:r>
      <w:r w:rsidR="000159A6">
        <w:t xml:space="preserve"> </w:t>
      </w:r>
      <w:r w:rsidRPr="00D81CFB">
        <w:t>gE,</w:t>
      </w:r>
      <w:r w:rsidR="000159A6">
        <w:t xml:space="preserve"> </w:t>
      </w:r>
      <w:r w:rsidR="00175E10">
        <w:t>approximately</w:t>
      </w:r>
      <w:r w:rsidR="000159A6">
        <w:t xml:space="preserve"> </w:t>
      </w:r>
      <w:r w:rsidRPr="00D81CFB">
        <w:t>36</w:t>
      </w:r>
      <w:r w:rsidR="000159A6">
        <w:t xml:space="preserve"> </w:t>
      </w:r>
      <w:r w:rsidRPr="007E4615">
        <w:t>x</w:t>
      </w:r>
      <w:r w:rsidR="000159A6">
        <w:t xml:space="preserve"> </w:t>
      </w:r>
      <w:r w:rsidRPr="007E4615">
        <w:t>the</w:t>
      </w:r>
      <w:r w:rsidR="000159A6">
        <w:t xml:space="preserve"> </w:t>
      </w:r>
      <w:r w:rsidRPr="007E4615">
        <w:t>human</w:t>
      </w:r>
      <w:r w:rsidR="000159A6">
        <w:t xml:space="preserve"> </w:t>
      </w:r>
      <w:r w:rsidRPr="007E4615">
        <w:t>dose</w:t>
      </w:r>
      <w:r w:rsidR="000159A6">
        <w:t xml:space="preserve"> </w:t>
      </w:r>
      <w:r w:rsidRPr="007E4615">
        <w:t>on</w:t>
      </w:r>
      <w:r w:rsidR="000159A6">
        <w:t xml:space="preserve"> </w:t>
      </w:r>
      <w:r>
        <w:t>µg</w:t>
      </w:r>
      <w:r w:rsidRPr="007E4615">
        <w:t>/m</w:t>
      </w:r>
      <w:r w:rsidRPr="007E4615">
        <w:rPr>
          <w:vertAlign w:val="superscript"/>
        </w:rPr>
        <w:t>2</w:t>
      </w:r>
      <w:r w:rsidR="000159A6">
        <w:t xml:space="preserve"> </w:t>
      </w:r>
      <w:r w:rsidRPr="007E4615">
        <w:t>body</w:t>
      </w:r>
      <w:r w:rsidR="000159A6">
        <w:t xml:space="preserve"> </w:t>
      </w:r>
      <w:r w:rsidRPr="007E4615">
        <w:t>surface</w:t>
      </w:r>
      <w:r w:rsidR="000159A6">
        <w:t xml:space="preserve"> </w:t>
      </w:r>
      <w:r w:rsidRPr="007E4615">
        <w:t>area</w:t>
      </w:r>
      <w:r w:rsidR="000159A6">
        <w:t xml:space="preserve"> </w:t>
      </w:r>
      <w:r w:rsidRPr="007E4615">
        <w:t>basis</w:t>
      </w:r>
      <w:r w:rsidR="000159A6">
        <w:t xml:space="preserve"> </w:t>
      </w:r>
      <w:r>
        <w:t>of</w:t>
      </w:r>
      <w:r w:rsidR="000159A6">
        <w:t xml:space="preserve"> </w:t>
      </w:r>
      <w:r>
        <w:t>adjuvants</w:t>
      </w:r>
      <w:r w:rsidRPr="007E4615">
        <w:t>)</w:t>
      </w:r>
      <w:r w:rsidR="000159A6">
        <w:t xml:space="preserve"> </w:t>
      </w:r>
      <w:r>
        <w:t>or</w:t>
      </w:r>
      <w:r w:rsidR="000159A6">
        <w:t xml:space="preserve"> </w:t>
      </w:r>
      <w:r>
        <w:t>following</w:t>
      </w:r>
      <w:r w:rsidR="000159A6">
        <w:t xml:space="preserve"> </w:t>
      </w:r>
      <w:r>
        <w:t>IM</w:t>
      </w:r>
      <w:r w:rsidR="000159A6">
        <w:t xml:space="preserve"> </w:t>
      </w:r>
      <w:r>
        <w:t>administration</w:t>
      </w:r>
      <w:r w:rsidR="000159A6">
        <w:t xml:space="preserve"> </w:t>
      </w:r>
      <w:r>
        <w:t>of</w:t>
      </w:r>
      <w:r w:rsidR="000159A6">
        <w:t xml:space="preserve"> </w:t>
      </w:r>
      <w:r w:rsidR="00503D1B">
        <w:t>AS01</w:t>
      </w:r>
      <w:r w:rsidR="00503D1B" w:rsidRPr="00570F2D">
        <w:rPr>
          <w:vertAlign w:val="subscript"/>
        </w:rPr>
        <w:t>B</w:t>
      </w:r>
      <w:r w:rsidR="000159A6">
        <w:t xml:space="preserve"> </w:t>
      </w:r>
      <w:r>
        <w:t>adjuvant</w:t>
      </w:r>
      <w:r w:rsidR="000159A6">
        <w:t xml:space="preserve"> </w:t>
      </w:r>
      <w:r>
        <w:t>alone</w:t>
      </w:r>
      <w:r w:rsidR="000159A6">
        <w:t xml:space="preserve"> </w:t>
      </w:r>
      <w:r>
        <w:t>(0.5</w:t>
      </w:r>
      <w:r w:rsidR="000159A6">
        <w:t xml:space="preserve"> </w:t>
      </w:r>
      <w:r>
        <w:t>mL/animal)</w:t>
      </w:r>
      <w:r w:rsidR="000159A6">
        <w:t xml:space="preserve"> </w:t>
      </w:r>
      <w:r>
        <w:t>in</w:t>
      </w:r>
      <w:r w:rsidR="000159A6">
        <w:t xml:space="preserve"> </w:t>
      </w:r>
      <w:r>
        <w:t>dogs</w:t>
      </w:r>
      <w:r w:rsidR="000159A6">
        <w:t xml:space="preserve"> </w:t>
      </w:r>
      <w:r w:rsidRPr="00D81CFB">
        <w:t>(</w:t>
      </w:r>
      <w:r w:rsidR="00175E10">
        <w:t>approximately</w:t>
      </w:r>
      <w:r w:rsidR="000159A6">
        <w:t xml:space="preserve"> </w:t>
      </w:r>
      <w:r w:rsidRPr="00D81CFB">
        <w:t>3</w:t>
      </w:r>
      <w:r w:rsidR="000159A6">
        <w:t xml:space="preserve"> </w:t>
      </w:r>
      <w:r w:rsidRPr="007E4615">
        <w:t>x</w:t>
      </w:r>
      <w:r w:rsidR="000159A6">
        <w:t xml:space="preserve"> </w:t>
      </w:r>
      <w:r w:rsidRPr="007E4615">
        <w:t>the</w:t>
      </w:r>
      <w:r w:rsidR="000159A6">
        <w:t xml:space="preserve"> </w:t>
      </w:r>
      <w:r w:rsidRPr="007E4615">
        <w:t>human</w:t>
      </w:r>
      <w:r w:rsidR="000159A6">
        <w:t xml:space="preserve"> </w:t>
      </w:r>
      <w:r w:rsidRPr="007E4615">
        <w:t>dose</w:t>
      </w:r>
      <w:r w:rsidR="000159A6">
        <w:t xml:space="preserve"> </w:t>
      </w:r>
      <w:r w:rsidRPr="007E4615">
        <w:t>on</w:t>
      </w:r>
      <w:r w:rsidR="000159A6">
        <w:t xml:space="preserve"> </w:t>
      </w:r>
      <w:r>
        <w:t>µg</w:t>
      </w:r>
      <w:r w:rsidRPr="007E4615">
        <w:t>/m</w:t>
      </w:r>
      <w:r w:rsidRPr="007E4615">
        <w:rPr>
          <w:vertAlign w:val="superscript"/>
        </w:rPr>
        <w:t>2</w:t>
      </w:r>
      <w:r w:rsidR="000159A6">
        <w:t xml:space="preserve"> </w:t>
      </w:r>
      <w:r w:rsidRPr="007E4615">
        <w:t>body</w:t>
      </w:r>
      <w:r w:rsidR="000159A6">
        <w:t xml:space="preserve"> </w:t>
      </w:r>
      <w:r w:rsidRPr="007E4615">
        <w:t>surface</w:t>
      </w:r>
      <w:r w:rsidR="000159A6">
        <w:t xml:space="preserve"> </w:t>
      </w:r>
      <w:r w:rsidRPr="007E4615">
        <w:t>area</w:t>
      </w:r>
      <w:r w:rsidR="000159A6">
        <w:t xml:space="preserve"> </w:t>
      </w:r>
      <w:r w:rsidRPr="007E4615">
        <w:t>basis)</w:t>
      </w:r>
      <w:r w:rsidR="000159A6">
        <w:t xml:space="preserve"> </w:t>
      </w:r>
      <w:r>
        <w:t>and</w:t>
      </w:r>
      <w:r w:rsidR="000159A6">
        <w:t xml:space="preserve"> </w:t>
      </w:r>
      <w:r>
        <w:t>IV</w:t>
      </w:r>
      <w:r w:rsidR="000159A6">
        <w:t xml:space="preserve"> </w:t>
      </w:r>
      <w:r>
        <w:t>injection</w:t>
      </w:r>
      <w:r w:rsidR="000159A6">
        <w:t xml:space="preserve"> </w:t>
      </w:r>
      <w:r>
        <w:t>of</w:t>
      </w:r>
      <w:r w:rsidR="000159A6">
        <w:t xml:space="preserve"> </w:t>
      </w:r>
      <w:r w:rsidR="00503D1B">
        <w:t>AS01</w:t>
      </w:r>
      <w:r w:rsidR="00503D1B" w:rsidRPr="00570F2D">
        <w:rPr>
          <w:vertAlign w:val="subscript"/>
        </w:rPr>
        <w:t>B</w:t>
      </w:r>
      <w:r w:rsidR="000159A6">
        <w:t xml:space="preserve"> </w:t>
      </w:r>
      <w:r>
        <w:t>in</w:t>
      </w:r>
      <w:r w:rsidR="000159A6">
        <w:t xml:space="preserve"> </w:t>
      </w:r>
      <w:r>
        <w:t>rats</w:t>
      </w:r>
      <w:r w:rsidR="000159A6">
        <w:t xml:space="preserve"> </w:t>
      </w:r>
      <w:r w:rsidRPr="00D81CFB">
        <w:t>(1</w:t>
      </w:r>
      <w:r w:rsidR="000159A6">
        <w:t xml:space="preserve"> </w:t>
      </w:r>
      <w:r w:rsidRPr="00D81CFB">
        <w:t>mL/kg,</w:t>
      </w:r>
      <w:r w:rsidR="000159A6">
        <w:t xml:space="preserve"> </w:t>
      </w:r>
      <w:r w:rsidR="00175E10">
        <w:t>approximately</w:t>
      </w:r>
      <w:r w:rsidR="000159A6">
        <w:t xml:space="preserve"> </w:t>
      </w:r>
      <w:r w:rsidRPr="00D81CFB">
        <w:t>36</w:t>
      </w:r>
      <w:r w:rsidR="000159A6">
        <w:t xml:space="preserve"> </w:t>
      </w:r>
      <w:r w:rsidRPr="007E4615">
        <w:t>x</w:t>
      </w:r>
      <w:r w:rsidR="000159A6">
        <w:t xml:space="preserve"> </w:t>
      </w:r>
      <w:r w:rsidRPr="007E4615">
        <w:t>the</w:t>
      </w:r>
      <w:r w:rsidR="000159A6">
        <w:t xml:space="preserve"> </w:t>
      </w:r>
      <w:r w:rsidRPr="007E4615">
        <w:t>human</w:t>
      </w:r>
      <w:r w:rsidR="000159A6">
        <w:t xml:space="preserve"> </w:t>
      </w:r>
      <w:r w:rsidRPr="007E4615">
        <w:t>dose</w:t>
      </w:r>
      <w:r w:rsidR="000159A6">
        <w:t xml:space="preserve"> </w:t>
      </w:r>
      <w:r w:rsidRPr="007E4615">
        <w:t>on</w:t>
      </w:r>
      <w:r w:rsidR="000159A6">
        <w:t xml:space="preserve"> </w:t>
      </w:r>
      <w:r>
        <w:t>µg</w:t>
      </w:r>
      <w:r w:rsidRPr="007E4615">
        <w:t>/m</w:t>
      </w:r>
      <w:r w:rsidRPr="007E4615">
        <w:rPr>
          <w:vertAlign w:val="superscript"/>
        </w:rPr>
        <w:t>2</w:t>
      </w:r>
      <w:r w:rsidR="000159A6">
        <w:t xml:space="preserve"> </w:t>
      </w:r>
      <w:r w:rsidRPr="007E4615">
        <w:t>body</w:t>
      </w:r>
      <w:r w:rsidR="000159A6">
        <w:t xml:space="preserve"> </w:t>
      </w:r>
      <w:r w:rsidRPr="007E4615">
        <w:t>surface</w:t>
      </w:r>
      <w:r w:rsidR="000159A6">
        <w:t xml:space="preserve"> </w:t>
      </w:r>
      <w:r w:rsidRPr="007E4615">
        <w:t>area</w:t>
      </w:r>
      <w:r w:rsidR="000159A6">
        <w:t xml:space="preserve"> </w:t>
      </w:r>
      <w:r w:rsidRPr="007E4615">
        <w:t>basis)</w:t>
      </w:r>
      <w:r w:rsidR="00FF12AA">
        <w:t>.</w:t>
      </w:r>
    </w:p>
    <w:p w14:paraId="569FFE53" w14:textId="36BBED96" w:rsidR="00FF12AA" w:rsidRDefault="005B220F" w:rsidP="00E97880">
      <w:r w:rsidRPr="00934B08">
        <w:t>Effects</w:t>
      </w:r>
      <w:r w:rsidR="000159A6">
        <w:t xml:space="preserve"> </w:t>
      </w:r>
      <w:r w:rsidRPr="00934B08">
        <w:t>on</w:t>
      </w:r>
      <w:r w:rsidR="000159A6">
        <w:t xml:space="preserve"> </w:t>
      </w:r>
      <w:r w:rsidRPr="00934B08">
        <w:t>the</w:t>
      </w:r>
      <w:r w:rsidR="000159A6">
        <w:t xml:space="preserve"> </w:t>
      </w:r>
      <w:r w:rsidRPr="00934B08">
        <w:t>central</w:t>
      </w:r>
      <w:r w:rsidR="000159A6">
        <w:t xml:space="preserve"> </w:t>
      </w:r>
      <w:r w:rsidRPr="00934B08">
        <w:t>nervous</w:t>
      </w:r>
      <w:r w:rsidR="000159A6">
        <w:t xml:space="preserve"> </w:t>
      </w:r>
      <w:r w:rsidRPr="00934B08">
        <w:t>system</w:t>
      </w:r>
      <w:r w:rsidR="000159A6">
        <w:t xml:space="preserve"> </w:t>
      </w:r>
      <w:r w:rsidRPr="00934B08">
        <w:t>were</w:t>
      </w:r>
      <w:r w:rsidR="000159A6">
        <w:t xml:space="preserve"> </w:t>
      </w:r>
      <w:r w:rsidRPr="00934B08">
        <w:t>not</w:t>
      </w:r>
      <w:r w:rsidR="000159A6">
        <w:t xml:space="preserve"> </w:t>
      </w:r>
      <w:r w:rsidRPr="00934B08">
        <w:t>specifically</w:t>
      </w:r>
      <w:r w:rsidR="000159A6">
        <w:t xml:space="preserve"> </w:t>
      </w:r>
      <w:r w:rsidRPr="00934B08">
        <w:t>studied</w:t>
      </w:r>
      <w:r w:rsidR="000159A6">
        <w:t xml:space="preserve"> </w:t>
      </w:r>
      <w:r w:rsidRPr="00934B08">
        <w:t>for</w:t>
      </w:r>
      <w:r w:rsidR="000159A6">
        <w:t xml:space="preserve"> </w:t>
      </w:r>
      <w:r w:rsidRPr="00934B08">
        <w:t>the</w:t>
      </w:r>
      <w:r w:rsidR="000159A6">
        <w:t xml:space="preserve"> </w:t>
      </w:r>
      <w:r w:rsidRPr="00934B08">
        <w:t>new</w:t>
      </w:r>
      <w:r w:rsidR="000159A6">
        <w:t xml:space="preserve"> </w:t>
      </w:r>
      <w:r w:rsidRPr="00934B08">
        <w:t>adjuvant</w:t>
      </w:r>
      <w:r w:rsidR="000159A6">
        <w:t xml:space="preserve"> </w:t>
      </w:r>
      <w:r w:rsidRPr="00934B08">
        <w:t>system,</w:t>
      </w:r>
      <w:r w:rsidR="000159A6">
        <w:t xml:space="preserve"> </w:t>
      </w:r>
      <w:r w:rsidRPr="00934B08">
        <w:t>but</w:t>
      </w:r>
      <w:r w:rsidR="000159A6">
        <w:t xml:space="preserve"> </w:t>
      </w:r>
      <w:r w:rsidRPr="00934B08">
        <w:t>repeat</w:t>
      </w:r>
      <w:r w:rsidR="000159A6">
        <w:t xml:space="preserve"> </w:t>
      </w:r>
      <w:r w:rsidRPr="00934B08">
        <w:t>dose</w:t>
      </w:r>
      <w:r w:rsidR="000159A6">
        <w:t xml:space="preserve"> </w:t>
      </w:r>
      <w:r w:rsidRPr="00934B08">
        <w:t>toxicity</w:t>
      </w:r>
      <w:r w:rsidR="000159A6">
        <w:t xml:space="preserve"> </w:t>
      </w:r>
      <w:r w:rsidRPr="00934B08">
        <w:t>studies</w:t>
      </w:r>
      <w:r w:rsidR="000159A6">
        <w:t xml:space="preserve"> </w:t>
      </w:r>
      <w:r w:rsidRPr="00934B08">
        <w:t>showed</w:t>
      </w:r>
      <w:r w:rsidR="000159A6">
        <w:t xml:space="preserve"> </w:t>
      </w:r>
      <w:r w:rsidRPr="00934B08">
        <w:t>no</w:t>
      </w:r>
      <w:r w:rsidR="000159A6">
        <w:t xml:space="preserve"> </w:t>
      </w:r>
      <w:r w:rsidRPr="00934B08">
        <w:t>signs</w:t>
      </w:r>
      <w:r w:rsidR="000159A6">
        <w:t xml:space="preserve"> </w:t>
      </w:r>
      <w:r w:rsidRPr="00934B08">
        <w:t>of</w:t>
      </w:r>
      <w:r w:rsidR="000159A6">
        <w:t xml:space="preserve"> </w:t>
      </w:r>
      <w:r w:rsidRPr="00934B08">
        <w:t>neurological</w:t>
      </w:r>
      <w:r w:rsidR="000159A6">
        <w:t xml:space="preserve"> </w:t>
      </w:r>
      <w:r w:rsidRPr="00934B08">
        <w:t>toxicity</w:t>
      </w:r>
      <w:r w:rsidR="00FF12AA">
        <w:t>.</w:t>
      </w:r>
    </w:p>
    <w:p w14:paraId="5D24B6BB" w14:textId="77777777" w:rsidR="005C0A6F" w:rsidRPr="00AD5810" w:rsidRDefault="008E7846" w:rsidP="00CC47E8">
      <w:pPr>
        <w:pStyle w:val="Heading3"/>
      </w:pPr>
      <w:bookmarkStart w:id="50" w:name="_Toc247691513"/>
      <w:bookmarkStart w:id="51" w:name="_Toc314842497"/>
      <w:bookmarkStart w:id="52" w:name="_Toc1049808"/>
      <w:r w:rsidRPr="00CC47E8">
        <w:t>Pharmacokinetics</w:t>
      </w:r>
      <w:bookmarkEnd w:id="50"/>
      <w:bookmarkEnd w:id="51"/>
      <w:bookmarkEnd w:id="52"/>
    </w:p>
    <w:p w14:paraId="37FD7B51" w14:textId="30017B30" w:rsidR="005B220F" w:rsidRDefault="005B220F" w:rsidP="00E97880">
      <w:r>
        <w:t>Pharmacokinetic</w:t>
      </w:r>
      <w:r w:rsidR="000159A6">
        <w:t xml:space="preserve"> </w:t>
      </w:r>
      <w:r>
        <w:t>studies</w:t>
      </w:r>
      <w:r w:rsidR="000159A6">
        <w:t xml:space="preserve"> </w:t>
      </w:r>
      <w:r>
        <w:t>are</w:t>
      </w:r>
      <w:r w:rsidR="000159A6">
        <w:t xml:space="preserve"> </w:t>
      </w:r>
      <w:r>
        <w:t>not</w:t>
      </w:r>
      <w:r w:rsidR="000159A6">
        <w:t xml:space="preserve"> </w:t>
      </w:r>
      <w:r>
        <w:t>required</w:t>
      </w:r>
      <w:r w:rsidR="000159A6">
        <w:t xml:space="preserve"> </w:t>
      </w:r>
      <w:r>
        <w:t>for</w:t>
      </w:r>
      <w:r w:rsidR="000159A6">
        <w:t xml:space="preserve"> </w:t>
      </w:r>
      <w:r>
        <w:t>vaccines</w:t>
      </w:r>
      <w:r w:rsidR="000159A6">
        <w:t xml:space="preserve"> </w:t>
      </w:r>
      <w:r>
        <w:t>as</w:t>
      </w:r>
      <w:r w:rsidR="000159A6">
        <w:t xml:space="preserve"> </w:t>
      </w:r>
      <w:r>
        <w:t>per</w:t>
      </w:r>
      <w:r w:rsidR="000159A6">
        <w:t xml:space="preserve"> </w:t>
      </w:r>
      <w:r w:rsidR="003F4D2A">
        <w:t>the</w:t>
      </w:r>
      <w:r w:rsidR="000159A6">
        <w:t xml:space="preserve"> </w:t>
      </w:r>
      <w:r w:rsidR="003F4D2A">
        <w:t>guideline</w:t>
      </w:r>
      <w:r w:rsidR="00AE6925">
        <w:t>;</w:t>
      </w:r>
      <w:r w:rsidR="003F4D2A">
        <w:rPr>
          <w:rStyle w:val="FootnoteReference"/>
        </w:rPr>
        <w:footnoteReference w:id="5"/>
      </w:r>
      <w:r w:rsidR="000159A6">
        <w:t xml:space="preserve"> </w:t>
      </w:r>
      <w:r>
        <w:t>and</w:t>
      </w:r>
      <w:r w:rsidR="000159A6">
        <w:t xml:space="preserve"> </w:t>
      </w:r>
      <w:r w:rsidR="00AE6925">
        <w:t>the</w:t>
      </w:r>
      <w:r w:rsidR="000159A6">
        <w:t xml:space="preserve"> </w:t>
      </w:r>
      <w:r w:rsidR="00AE6925">
        <w:t>World</w:t>
      </w:r>
      <w:r w:rsidR="000159A6">
        <w:t xml:space="preserve"> </w:t>
      </w:r>
      <w:r w:rsidR="00AE6925">
        <w:t>Health</w:t>
      </w:r>
      <w:r w:rsidR="000159A6">
        <w:t xml:space="preserve"> </w:t>
      </w:r>
      <w:r w:rsidR="00AE6925">
        <w:t>Organization</w:t>
      </w:r>
      <w:r w:rsidR="000159A6">
        <w:t xml:space="preserve"> </w:t>
      </w:r>
      <w:r w:rsidR="00AE6925">
        <w:t>(</w:t>
      </w:r>
      <w:r>
        <w:t>WHO</w:t>
      </w:r>
      <w:r w:rsidR="00AE6925">
        <w:t>)</w:t>
      </w:r>
      <w:r w:rsidR="000159A6">
        <w:t xml:space="preserve"> </w:t>
      </w:r>
      <w:r>
        <w:t>guideline</w:t>
      </w:r>
      <w:r w:rsidR="000159A6">
        <w:t xml:space="preserve"> </w:t>
      </w:r>
      <w:r>
        <w:t>on</w:t>
      </w:r>
      <w:r w:rsidR="000159A6">
        <w:t xml:space="preserve"> </w:t>
      </w:r>
      <w:r>
        <w:t>nonclinical</w:t>
      </w:r>
      <w:r w:rsidR="000159A6">
        <w:t xml:space="preserve"> </w:t>
      </w:r>
      <w:r>
        <w:t>testing</w:t>
      </w:r>
      <w:r w:rsidR="000159A6">
        <w:t xml:space="preserve"> </w:t>
      </w:r>
      <w:r>
        <w:t>of</w:t>
      </w:r>
      <w:r w:rsidR="000159A6">
        <w:t xml:space="preserve"> </w:t>
      </w:r>
      <w:r>
        <w:t>vaccines.</w:t>
      </w:r>
      <w:r w:rsidR="000159A6">
        <w:t xml:space="preserve"> </w:t>
      </w:r>
      <w:r>
        <w:t>The</w:t>
      </w:r>
      <w:r w:rsidR="000159A6">
        <w:t xml:space="preserve"> </w:t>
      </w:r>
      <w:r>
        <w:t>sponsor</w:t>
      </w:r>
      <w:r w:rsidR="000159A6">
        <w:t xml:space="preserve"> </w:t>
      </w:r>
      <w:r>
        <w:t>has</w:t>
      </w:r>
      <w:r w:rsidR="000159A6">
        <w:t xml:space="preserve"> </w:t>
      </w:r>
      <w:r>
        <w:t>provided</w:t>
      </w:r>
      <w:r w:rsidR="000159A6">
        <w:t xml:space="preserve"> </w:t>
      </w:r>
      <w:r>
        <w:t>bio-distribution</w:t>
      </w:r>
      <w:r w:rsidR="000159A6">
        <w:t xml:space="preserve"> </w:t>
      </w:r>
      <w:r>
        <w:t>studies</w:t>
      </w:r>
      <w:r w:rsidR="000159A6">
        <w:t xml:space="preserve"> </w:t>
      </w:r>
      <w:r>
        <w:t>of</w:t>
      </w:r>
      <w:r w:rsidR="000159A6">
        <w:t xml:space="preserve"> </w:t>
      </w:r>
      <w:r>
        <w:t>the</w:t>
      </w:r>
      <w:r w:rsidR="000159A6">
        <w:t xml:space="preserve"> </w:t>
      </w:r>
      <w:r>
        <w:t>adjuvants.</w:t>
      </w:r>
    </w:p>
    <w:p w14:paraId="003B9A69" w14:textId="21DF38BB" w:rsidR="00FF12AA" w:rsidRDefault="005B220F" w:rsidP="00E97880">
      <w:r>
        <w:t>The</w:t>
      </w:r>
      <w:r w:rsidR="000159A6">
        <w:t xml:space="preserve"> </w:t>
      </w:r>
      <w:r>
        <w:t>bio-distribution</w:t>
      </w:r>
      <w:r w:rsidR="000159A6">
        <w:t xml:space="preserve"> </w:t>
      </w:r>
      <w:r>
        <w:t>of</w:t>
      </w:r>
      <w:r w:rsidR="000159A6">
        <w:t xml:space="preserve"> </w:t>
      </w:r>
      <w:r>
        <w:t>[</w:t>
      </w:r>
      <w:r w:rsidRPr="00F93EC2">
        <w:rPr>
          <w:vertAlign w:val="superscript"/>
        </w:rPr>
        <w:t>14</w:t>
      </w:r>
      <w:r>
        <w:t>C</w:t>
      </w:r>
      <w:proofErr w:type="gramStart"/>
      <w:r>
        <w:t>]QS</w:t>
      </w:r>
      <w:proofErr w:type="gramEnd"/>
      <w:r>
        <w:t>-21</w:t>
      </w:r>
      <w:r w:rsidR="000159A6">
        <w:t xml:space="preserve"> </w:t>
      </w:r>
      <w:r>
        <w:t>and</w:t>
      </w:r>
      <w:r w:rsidR="000159A6">
        <w:t xml:space="preserve"> </w:t>
      </w:r>
      <w:r>
        <w:t>[</w:t>
      </w:r>
      <w:r w:rsidRPr="00F93EC2">
        <w:rPr>
          <w:vertAlign w:val="superscript"/>
        </w:rPr>
        <w:t>14</w:t>
      </w:r>
      <w:r>
        <w:t>C]DOPC</w:t>
      </w:r>
      <w:r w:rsidR="000159A6">
        <w:t xml:space="preserve"> </w:t>
      </w:r>
      <w:r>
        <w:t>was</w:t>
      </w:r>
      <w:r w:rsidR="000159A6">
        <w:t xml:space="preserve"> </w:t>
      </w:r>
      <w:r>
        <w:t>analysed</w:t>
      </w:r>
      <w:r w:rsidR="000159A6">
        <w:t xml:space="preserve"> </w:t>
      </w:r>
      <w:r>
        <w:t>after</w:t>
      </w:r>
      <w:r w:rsidR="000159A6">
        <w:t xml:space="preserve"> </w:t>
      </w:r>
      <w:r>
        <w:t>a</w:t>
      </w:r>
      <w:r w:rsidR="000159A6">
        <w:t xml:space="preserve"> </w:t>
      </w:r>
      <w:r>
        <w:t>single</w:t>
      </w:r>
      <w:r w:rsidR="000159A6">
        <w:t xml:space="preserve"> </w:t>
      </w:r>
      <w:r>
        <w:t>IM</w:t>
      </w:r>
      <w:r w:rsidR="000159A6">
        <w:t xml:space="preserve"> </w:t>
      </w:r>
      <w:r>
        <w:t>administration</w:t>
      </w:r>
      <w:r w:rsidR="000159A6">
        <w:t xml:space="preserve"> </w:t>
      </w:r>
      <w:r>
        <w:t>in</w:t>
      </w:r>
      <w:r w:rsidR="000159A6">
        <w:t xml:space="preserve"> </w:t>
      </w:r>
      <w:r>
        <w:t>an</w:t>
      </w:r>
      <w:r w:rsidR="000159A6">
        <w:t xml:space="preserve"> </w:t>
      </w:r>
      <w:r>
        <w:t>AS01-like</w:t>
      </w:r>
      <w:r w:rsidR="000159A6">
        <w:t xml:space="preserve"> </w:t>
      </w:r>
      <w:r>
        <w:t>formulation</w:t>
      </w:r>
      <w:r w:rsidR="000159A6">
        <w:t xml:space="preserve"> </w:t>
      </w:r>
      <w:r>
        <w:t>in</w:t>
      </w:r>
      <w:r w:rsidR="000159A6">
        <w:t xml:space="preserve"> </w:t>
      </w:r>
      <w:r>
        <w:t>mice.</w:t>
      </w:r>
      <w:r w:rsidR="000159A6">
        <w:t xml:space="preserve"> </w:t>
      </w:r>
      <w:r>
        <w:t>DOPC</w:t>
      </w:r>
      <w:r w:rsidR="000159A6">
        <w:t xml:space="preserve"> </w:t>
      </w:r>
      <w:r>
        <w:t>and</w:t>
      </w:r>
      <w:r w:rsidR="000159A6">
        <w:t xml:space="preserve"> </w:t>
      </w:r>
      <w:r>
        <w:t>QS-21,</w:t>
      </w:r>
      <w:r w:rsidR="000159A6">
        <w:t xml:space="preserve"> </w:t>
      </w:r>
      <w:r>
        <w:t>formulated</w:t>
      </w:r>
      <w:r w:rsidR="000159A6">
        <w:t xml:space="preserve"> </w:t>
      </w:r>
      <w:r>
        <w:t>in</w:t>
      </w:r>
      <w:r w:rsidR="000159A6">
        <w:t xml:space="preserve"> </w:t>
      </w:r>
      <w:r>
        <w:t>AS01,</w:t>
      </w:r>
      <w:r w:rsidR="000159A6">
        <w:t xml:space="preserve"> </w:t>
      </w:r>
      <w:r>
        <w:t>were</w:t>
      </w:r>
      <w:r w:rsidR="000159A6">
        <w:t xml:space="preserve"> </w:t>
      </w:r>
      <w:r>
        <w:t>distributed</w:t>
      </w:r>
      <w:r w:rsidR="000159A6">
        <w:t xml:space="preserve"> </w:t>
      </w:r>
      <w:r>
        <w:t>most</w:t>
      </w:r>
      <w:r w:rsidR="000159A6">
        <w:t xml:space="preserve"> </w:t>
      </w:r>
      <w:r>
        <w:t>notably</w:t>
      </w:r>
      <w:r w:rsidR="000159A6">
        <w:t xml:space="preserve"> </w:t>
      </w:r>
      <w:r>
        <w:t>to</w:t>
      </w:r>
      <w:r w:rsidR="000159A6">
        <w:t xml:space="preserve"> </w:t>
      </w:r>
      <w:r>
        <w:t>the</w:t>
      </w:r>
      <w:r w:rsidR="000159A6">
        <w:t xml:space="preserve"> </w:t>
      </w:r>
      <w:r>
        <w:t>draining</w:t>
      </w:r>
      <w:r w:rsidR="000159A6">
        <w:t xml:space="preserve"> </w:t>
      </w:r>
      <w:r>
        <w:t>lymph</w:t>
      </w:r>
      <w:r w:rsidR="000159A6">
        <w:t xml:space="preserve"> </w:t>
      </w:r>
      <w:r>
        <w:t>nodes</w:t>
      </w:r>
      <w:r w:rsidR="000159A6">
        <w:t xml:space="preserve"> </w:t>
      </w:r>
      <w:r>
        <w:t>and</w:t>
      </w:r>
      <w:r w:rsidR="000159A6">
        <w:t xml:space="preserve"> </w:t>
      </w:r>
      <w:r>
        <w:t>the</w:t>
      </w:r>
      <w:r w:rsidR="000159A6">
        <w:t xml:space="preserve"> </w:t>
      </w:r>
      <w:r>
        <w:t>liver.</w:t>
      </w:r>
      <w:r w:rsidR="000159A6">
        <w:t xml:space="preserve"> </w:t>
      </w:r>
      <w:r>
        <w:t>QS-21</w:t>
      </w:r>
      <w:r w:rsidR="000159A6">
        <w:t xml:space="preserve"> </w:t>
      </w:r>
      <w:r>
        <w:t>and</w:t>
      </w:r>
      <w:r w:rsidR="000159A6">
        <w:t xml:space="preserve"> </w:t>
      </w:r>
      <w:r>
        <w:t>DOPC</w:t>
      </w:r>
      <w:r w:rsidR="000159A6">
        <w:t xml:space="preserve"> </w:t>
      </w:r>
      <w:r>
        <w:t>were</w:t>
      </w:r>
      <w:r w:rsidR="000159A6">
        <w:t xml:space="preserve"> </w:t>
      </w:r>
      <w:r>
        <w:t>rapidly</w:t>
      </w:r>
      <w:r w:rsidR="000159A6">
        <w:t xml:space="preserve"> </w:t>
      </w:r>
      <w:r>
        <w:t>cleared</w:t>
      </w:r>
      <w:r w:rsidR="000159A6">
        <w:t xml:space="preserve"> </w:t>
      </w:r>
      <w:r>
        <w:t>from</w:t>
      </w:r>
      <w:r w:rsidR="000159A6">
        <w:t xml:space="preserve"> </w:t>
      </w:r>
      <w:r>
        <w:t>the</w:t>
      </w:r>
      <w:r w:rsidR="000159A6">
        <w:t xml:space="preserve"> </w:t>
      </w:r>
      <w:r>
        <w:t>injection</w:t>
      </w:r>
      <w:r w:rsidR="000159A6">
        <w:t xml:space="preserve"> </w:t>
      </w:r>
      <w:r>
        <w:t>site</w:t>
      </w:r>
      <w:r w:rsidR="000159A6">
        <w:t xml:space="preserve"> </w:t>
      </w:r>
      <w:r>
        <w:t>and</w:t>
      </w:r>
      <w:r w:rsidR="000159A6">
        <w:t xml:space="preserve"> </w:t>
      </w:r>
      <w:r>
        <w:t>became</w:t>
      </w:r>
      <w:r w:rsidR="000159A6">
        <w:t xml:space="preserve"> </w:t>
      </w:r>
      <w:r>
        <w:t>progressively</w:t>
      </w:r>
      <w:r w:rsidR="000159A6">
        <w:t xml:space="preserve"> </w:t>
      </w:r>
      <w:r>
        <w:t>dissociated</w:t>
      </w:r>
      <w:r w:rsidR="000159A6">
        <w:t xml:space="preserve"> </w:t>
      </w:r>
      <w:r>
        <w:t>from</w:t>
      </w:r>
      <w:r w:rsidR="000159A6">
        <w:t xml:space="preserve"> </w:t>
      </w:r>
      <w:r>
        <w:t>each</w:t>
      </w:r>
      <w:r w:rsidR="000159A6">
        <w:t xml:space="preserve"> </w:t>
      </w:r>
      <w:r>
        <w:t>other.</w:t>
      </w:r>
      <w:r w:rsidR="000159A6">
        <w:t xml:space="preserve"> </w:t>
      </w:r>
      <w:r w:rsidR="003F4D2A">
        <w:t>Bio</w:t>
      </w:r>
      <w:r w:rsidR="000159A6">
        <w:t xml:space="preserve"> </w:t>
      </w:r>
      <w:r w:rsidR="003F4D2A">
        <w:t>distribution</w:t>
      </w:r>
      <w:r w:rsidR="000159A6">
        <w:t xml:space="preserve"> </w:t>
      </w:r>
      <w:r>
        <w:t>studies</w:t>
      </w:r>
      <w:r w:rsidR="000159A6">
        <w:t xml:space="preserve"> </w:t>
      </w:r>
      <w:r>
        <w:t>with</w:t>
      </w:r>
      <w:r w:rsidR="000159A6">
        <w:t xml:space="preserve"> </w:t>
      </w:r>
      <w:r>
        <w:t>a</w:t>
      </w:r>
      <w:r w:rsidR="000159A6">
        <w:t xml:space="preserve"> </w:t>
      </w:r>
      <w:r>
        <w:t>single</w:t>
      </w:r>
      <w:r w:rsidR="000159A6">
        <w:t xml:space="preserve"> </w:t>
      </w:r>
      <w:r>
        <w:t>IM</w:t>
      </w:r>
      <w:r w:rsidR="000159A6">
        <w:t xml:space="preserve"> </w:t>
      </w:r>
      <w:r>
        <w:t>administration</w:t>
      </w:r>
      <w:r w:rsidR="000159A6">
        <w:t xml:space="preserve"> </w:t>
      </w:r>
      <w:r>
        <w:t>of</w:t>
      </w:r>
      <w:r w:rsidR="000159A6">
        <w:t xml:space="preserve"> </w:t>
      </w:r>
      <w:r>
        <w:t>QS-21</w:t>
      </w:r>
      <w:r w:rsidR="000159A6">
        <w:t xml:space="preserve"> </w:t>
      </w:r>
      <w:r>
        <w:t>in</w:t>
      </w:r>
      <w:r w:rsidR="000159A6">
        <w:t xml:space="preserve"> </w:t>
      </w:r>
      <w:r>
        <w:t>an</w:t>
      </w:r>
      <w:r w:rsidR="000159A6">
        <w:t xml:space="preserve"> </w:t>
      </w:r>
      <w:r>
        <w:t>aqueous</w:t>
      </w:r>
      <w:r w:rsidR="000159A6">
        <w:t xml:space="preserve"> </w:t>
      </w:r>
      <w:r>
        <w:t>solution</w:t>
      </w:r>
      <w:r w:rsidR="000159A6">
        <w:t xml:space="preserve"> </w:t>
      </w:r>
      <w:r>
        <w:t>in</w:t>
      </w:r>
      <w:r w:rsidR="000159A6">
        <w:t xml:space="preserve"> </w:t>
      </w:r>
      <w:r>
        <w:t>rabbits</w:t>
      </w:r>
      <w:r w:rsidR="000159A6">
        <w:t xml:space="preserve"> </w:t>
      </w:r>
      <w:r>
        <w:t>also</w:t>
      </w:r>
      <w:r w:rsidR="000159A6">
        <w:t xml:space="preserve"> </w:t>
      </w:r>
      <w:r>
        <w:t>showed</w:t>
      </w:r>
      <w:r w:rsidR="000159A6">
        <w:t xml:space="preserve"> </w:t>
      </w:r>
      <w:r>
        <w:t>wide</w:t>
      </w:r>
      <w:r w:rsidR="000159A6">
        <w:t xml:space="preserve"> </w:t>
      </w:r>
      <w:r>
        <w:t>distribution</w:t>
      </w:r>
      <w:r w:rsidR="000159A6">
        <w:t xml:space="preserve"> </w:t>
      </w:r>
      <w:r>
        <w:t>throughout</w:t>
      </w:r>
      <w:r w:rsidR="000159A6">
        <w:t xml:space="preserve"> </w:t>
      </w:r>
      <w:r>
        <w:t>the</w:t>
      </w:r>
      <w:r w:rsidR="000159A6">
        <w:t xml:space="preserve"> </w:t>
      </w:r>
      <w:r>
        <w:t>body</w:t>
      </w:r>
      <w:r w:rsidR="00FF12AA">
        <w:t>.</w:t>
      </w:r>
    </w:p>
    <w:p w14:paraId="54F911ED" w14:textId="76E5127E" w:rsidR="005B220F" w:rsidRPr="00E97880" w:rsidRDefault="005B220F" w:rsidP="00CC47E8">
      <w:r>
        <w:t>Greater</w:t>
      </w:r>
      <w:r w:rsidR="000159A6">
        <w:t xml:space="preserve"> </w:t>
      </w:r>
      <w:r>
        <w:t>than</w:t>
      </w:r>
      <w:r w:rsidR="000159A6">
        <w:t xml:space="preserve"> </w:t>
      </w:r>
      <w:r>
        <w:t>99%</w:t>
      </w:r>
      <w:r w:rsidR="000159A6">
        <w:t xml:space="preserve"> </w:t>
      </w:r>
      <w:r w:rsidRPr="00F35280">
        <w:t>QS-21</w:t>
      </w:r>
      <w:r w:rsidR="000159A6">
        <w:t xml:space="preserve"> </w:t>
      </w:r>
      <w:r w:rsidRPr="00F35280">
        <w:t>was</w:t>
      </w:r>
      <w:r w:rsidR="000159A6">
        <w:t xml:space="preserve"> </w:t>
      </w:r>
      <w:r w:rsidRPr="00F35280">
        <w:t>eliminated</w:t>
      </w:r>
      <w:r w:rsidR="000159A6">
        <w:t xml:space="preserve"> </w:t>
      </w:r>
      <w:r w:rsidRPr="00F35280">
        <w:t>via</w:t>
      </w:r>
      <w:r w:rsidR="000159A6">
        <w:t xml:space="preserve"> </w:t>
      </w:r>
      <w:r w:rsidRPr="00F35280">
        <w:t>renal</w:t>
      </w:r>
      <w:r w:rsidR="000159A6">
        <w:t xml:space="preserve"> </w:t>
      </w:r>
      <w:r w:rsidRPr="00F35280">
        <w:t>excretion</w:t>
      </w:r>
      <w:r w:rsidR="000159A6">
        <w:t xml:space="preserve"> </w:t>
      </w:r>
      <w:r>
        <w:t>within</w:t>
      </w:r>
      <w:r w:rsidR="000159A6">
        <w:t xml:space="preserve"> </w:t>
      </w:r>
      <w:r>
        <w:t>72</w:t>
      </w:r>
      <w:r w:rsidR="000159A6">
        <w:t xml:space="preserve"> </w:t>
      </w:r>
      <w:r w:rsidR="003F4D2A">
        <w:t>hours</w:t>
      </w:r>
      <w:r>
        <w:t>.</w:t>
      </w:r>
      <w:r w:rsidR="000159A6">
        <w:t xml:space="preserve"> </w:t>
      </w:r>
      <w:r>
        <w:t>Only</w:t>
      </w:r>
      <w:r w:rsidR="000159A6">
        <w:t xml:space="preserve"> </w:t>
      </w:r>
      <w:r>
        <w:t>2%</w:t>
      </w:r>
      <w:r w:rsidR="000159A6">
        <w:t xml:space="preserve"> </w:t>
      </w:r>
      <w:r>
        <w:t>DOPC</w:t>
      </w:r>
      <w:r w:rsidR="000159A6">
        <w:t xml:space="preserve"> </w:t>
      </w:r>
      <w:r>
        <w:t>was</w:t>
      </w:r>
      <w:r w:rsidR="000159A6">
        <w:t xml:space="preserve"> </w:t>
      </w:r>
      <w:r>
        <w:t>excreted</w:t>
      </w:r>
      <w:r w:rsidR="000159A6">
        <w:t xml:space="preserve"> </w:t>
      </w:r>
      <w:r>
        <w:t>via</w:t>
      </w:r>
      <w:r w:rsidR="000159A6">
        <w:t xml:space="preserve"> </w:t>
      </w:r>
      <w:r>
        <w:t>urine</w:t>
      </w:r>
      <w:r w:rsidR="000159A6">
        <w:t xml:space="preserve"> </w:t>
      </w:r>
      <w:r>
        <w:t>and</w:t>
      </w:r>
      <w:r w:rsidR="000159A6">
        <w:t xml:space="preserve"> </w:t>
      </w:r>
      <w:r>
        <w:t>the</w:t>
      </w:r>
      <w:r w:rsidR="000159A6">
        <w:t xml:space="preserve"> </w:t>
      </w:r>
      <w:r>
        <w:t>low</w:t>
      </w:r>
      <w:r w:rsidR="000159A6">
        <w:t xml:space="preserve"> </w:t>
      </w:r>
      <w:r>
        <w:t>recovery</w:t>
      </w:r>
      <w:r w:rsidR="000159A6">
        <w:t xml:space="preserve"> </w:t>
      </w:r>
      <w:r>
        <w:t>(18%</w:t>
      </w:r>
      <w:r w:rsidR="000159A6">
        <w:t xml:space="preserve"> </w:t>
      </w:r>
      <w:r>
        <w:t>of</w:t>
      </w:r>
      <w:r w:rsidR="000159A6">
        <w:t xml:space="preserve"> </w:t>
      </w:r>
      <w:r>
        <w:t>dose)</w:t>
      </w:r>
      <w:r w:rsidR="000159A6">
        <w:t xml:space="preserve"> </w:t>
      </w:r>
      <w:r>
        <w:t>after</w:t>
      </w:r>
      <w:r w:rsidR="000159A6">
        <w:t xml:space="preserve"> </w:t>
      </w:r>
      <w:r>
        <w:t>72</w:t>
      </w:r>
      <w:r w:rsidR="000159A6">
        <w:t xml:space="preserve"> </w:t>
      </w:r>
      <w:r w:rsidR="003F4D2A">
        <w:t>hours</w:t>
      </w:r>
      <w:r w:rsidR="000159A6">
        <w:t xml:space="preserve"> </w:t>
      </w:r>
      <w:r>
        <w:t>suggested</w:t>
      </w:r>
      <w:r w:rsidR="000159A6">
        <w:t xml:space="preserve"> </w:t>
      </w:r>
      <w:r>
        <w:t>that</w:t>
      </w:r>
      <w:r w:rsidR="000159A6">
        <w:t xml:space="preserve"> </w:t>
      </w:r>
      <w:r>
        <w:t>DOPC</w:t>
      </w:r>
      <w:r w:rsidR="000159A6">
        <w:t xml:space="preserve"> </w:t>
      </w:r>
      <w:r>
        <w:t>was</w:t>
      </w:r>
      <w:r w:rsidR="000159A6">
        <w:t xml:space="preserve"> </w:t>
      </w:r>
      <w:r>
        <w:t>excreted</w:t>
      </w:r>
      <w:r w:rsidR="000159A6">
        <w:t xml:space="preserve"> </w:t>
      </w:r>
      <w:r>
        <w:t>via</w:t>
      </w:r>
      <w:r w:rsidR="000159A6">
        <w:t xml:space="preserve"> </w:t>
      </w:r>
      <w:r>
        <w:t>the</w:t>
      </w:r>
      <w:r w:rsidR="000159A6">
        <w:t xml:space="preserve"> </w:t>
      </w:r>
      <w:r>
        <w:t>expired</w:t>
      </w:r>
      <w:r w:rsidR="000159A6">
        <w:t xml:space="preserve"> </w:t>
      </w:r>
      <w:r>
        <w:t>air</w:t>
      </w:r>
      <w:r w:rsidR="000159A6">
        <w:t xml:space="preserve"> </w:t>
      </w:r>
      <w:r>
        <w:t>or</w:t>
      </w:r>
      <w:r w:rsidR="000159A6">
        <w:t xml:space="preserve"> </w:t>
      </w:r>
      <w:r>
        <w:t>faecal</w:t>
      </w:r>
      <w:r w:rsidR="000159A6">
        <w:t xml:space="preserve"> </w:t>
      </w:r>
      <w:r>
        <w:t>excretion</w:t>
      </w:r>
      <w:r w:rsidR="000159A6">
        <w:t xml:space="preserve"> </w:t>
      </w:r>
      <w:r>
        <w:t>(faecal</w:t>
      </w:r>
      <w:r w:rsidR="000159A6">
        <w:t xml:space="preserve"> </w:t>
      </w:r>
      <w:r>
        <w:t>excretion</w:t>
      </w:r>
      <w:r w:rsidR="000159A6">
        <w:t xml:space="preserve"> </w:t>
      </w:r>
      <w:r>
        <w:t>not</w:t>
      </w:r>
      <w:r w:rsidR="000159A6">
        <w:t xml:space="preserve"> </w:t>
      </w:r>
      <w:r>
        <w:t>examined)</w:t>
      </w:r>
      <w:r w:rsidR="000159A6">
        <w:t xml:space="preserve"> </w:t>
      </w:r>
      <w:r>
        <w:t>or</w:t>
      </w:r>
      <w:r w:rsidR="000159A6">
        <w:t xml:space="preserve"> </w:t>
      </w:r>
      <w:r>
        <w:t>retained</w:t>
      </w:r>
      <w:r w:rsidR="000159A6">
        <w:t xml:space="preserve"> </w:t>
      </w:r>
      <w:r>
        <w:t>in</w:t>
      </w:r>
      <w:r w:rsidR="000159A6">
        <w:t xml:space="preserve"> </w:t>
      </w:r>
      <w:r>
        <w:t>the</w:t>
      </w:r>
      <w:r w:rsidR="000159A6">
        <w:t xml:space="preserve"> </w:t>
      </w:r>
      <w:r>
        <w:t>body.</w:t>
      </w:r>
    </w:p>
    <w:p w14:paraId="03B92174" w14:textId="77777777" w:rsidR="005C0A6F" w:rsidRPr="00AD5810" w:rsidRDefault="008E7846" w:rsidP="00AD5810">
      <w:pPr>
        <w:pStyle w:val="Heading3"/>
      </w:pPr>
      <w:bookmarkStart w:id="53" w:name="_Toc247691514"/>
      <w:bookmarkStart w:id="54" w:name="_Toc314842498"/>
      <w:bookmarkStart w:id="55" w:name="_Toc1049809"/>
      <w:r w:rsidRPr="00AD5810">
        <w:t>Toxicology</w:t>
      </w:r>
      <w:bookmarkEnd w:id="53"/>
      <w:bookmarkEnd w:id="54"/>
      <w:bookmarkEnd w:id="55"/>
    </w:p>
    <w:p w14:paraId="7FB7AEC0" w14:textId="1886D249" w:rsidR="005B220F" w:rsidRPr="00332B86" w:rsidRDefault="005B220F" w:rsidP="00CC47E8">
      <w:r>
        <w:t>Nonclinical</w:t>
      </w:r>
      <w:r w:rsidR="000159A6">
        <w:t xml:space="preserve"> </w:t>
      </w:r>
      <w:r>
        <w:t>toxicity</w:t>
      </w:r>
      <w:r w:rsidR="000159A6">
        <w:t xml:space="preserve"> </w:t>
      </w:r>
      <w:r>
        <w:t>studies</w:t>
      </w:r>
      <w:r w:rsidR="000159A6">
        <w:t xml:space="preserve"> </w:t>
      </w:r>
      <w:r>
        <w:t>were</w:t>
      </w:r>
      <w:r w:rsidR="000159A6">
        <w:t xml:space="preserve"> </w:t>
      </w:r>
      <w:r>
        <w:t>undertaken</w:t>
      </w:r>
      <w:r w:rsidR="000159A6">
        <w:t xml:space="preserve"> </w:t>
      </w:r>
      <w:r>
        <w:t>with</w:t>
      </w:r>
      <w:r w:rsidR="000159A6">
        <w:t xml:space="preserve"> </w:t>
      </w:r>
      <w:r>
        <w:t>the</w:t>
      </w:r>
      <w:r w:rsidR="000159A6">
        <w:t xml:space="preserve"> </w:t>
      </w:r>
      <w:r>
        <w:t>vaccine</w:t>
      </w:r>
      <w:r w:rsidR="000159A6">
        <w:t xml:space="preserve"> </w:t>
      </w:r>
      <w:r>
        <w:t>gE/</w:t>
      </w:r>
      <w:r w:rsidR="00503D1B">
        <w:t>AS01</w:t>
      </w:r>
      <w:r w:rsidR="00503D1B" w:rsidRPr="00570F2D">
        <w:rPr>
          <w:vertAlign w:val="subscript"/>
        </w:rPr>
        <w:t>B</w:t>
      </w:r>
      <w:r>
        <w:t>,</w:t>
      </w:r>
      <w:r w:rsidR="000159A6">
        <w:t xml:space="preserve"> </w:t>
      </w:r>
      <w:r>
        <w:t>the</w:t>
      </w:r>
      <w:r w:rsidR="000159A6">
        <w:t xml:space="preserve"> </w:t>
      </w:r>
      <w:r w:rsidR="00503D1B">
        <w:t>AS01</w:t>
      </w:r>
      <w:r w:rsidR="00503D1B" w:rsidRPr="00570F2D">
        <w:rPr>
          <w:vertAlign w:val="subscript"/>
        </w:rPr>
        <w:t>B</w:t>
      </w:r>
      <w:r w:rsidR="000159A6">
        <w:t xml:space="preserve"> </w:t>
      </w:r>
      <w:r>
        <w:t>Adjuvant</w:t>
      </w:r>
      <w:r w:rsidR="000159A6">
        <w:t xml:space="preserve"> </w:t>
      </w:r>
      <w:r>
        <w:t>System</w:t>
      </w:r>
      <w:r w:rsidR="000159A6">
        <w:t xml:space="preserve"> </w:t>
      </w:r>
      <w:r>
        <w:t>and</w:t>
      </w:r>
      <w:r w:rsidR="000159A6">
        <w:t xml:space="preserve"> </w:t>
      </w:r>
      <w:r>
        <w:t>its</w:t>
      </w:r>
      <w:r w:rsidR="000159A6">
        <w:t xml:space="preserve"> </w:t>
      </w:r>
      <w:r>
        <w:t>individual</w:t>
      </w:r>
      <w:r w:rsidR="000159A6">
        <w:t xml:space="preserve"> </w:t>
      </w:r>
      <w:r>
        <w:t>immune-enhancers</w:t>
      </w:r>
      <w:r w:rsidR="000159A6">
        <w:t xml:space="preserve"> </w:t>
      </w:r>
      <w:r>
        <w:t>QS-21</w:t>
      </w:r>
      <w:r w:rsidR="000159A6">
        <w:t xml:space="preserve"> </w:t>
      </w:r>
      <w:r>
        <w:t>and</w:t>
      </w:r>
      <w:r w:rsidR="000159A6">
        <w:t xml:space="preserve"> </w:t>
      </w:r>
      <w:r>
        <w:t>MPL.</w:t>
      </w:r>
      <w:r w:rsidR="000159A6">
        <w:t xml:space="preserve"> </w:t>
      </w:r>
      <w:r>
        <w:t>Most</w:t>
      </w:r>
      <w:r w:rsidR="000159A6">
        <w:t xml:space="preserve"> </w:t>
      </w:r>
      <w:r>
        <w:t>studies</w:t>
      </w:r>
      <w:r w:rsidR="000159A6">
        <w:t xml:space="preserve"> </w:t>
      </w:r>
      <w:r>
        <w:t>were</w:t>
      </w:r>
      <w:r w:rsidR="000159A6">
        <w:t xml:space="preserve"> </w:t>
      </w:r>
      <w:r>
        <w:t>done</w:t>
      </w:r>
      <w:r w:rsidR="000159A6">
        <w:t xml:space="preserve"> </w:t>
      </w:r>
      <w:r>
        <w:t>in</w:t>
      </w:r>
      <w:r w:rsidR="000159A6">
        <w:t xml:space="preserve"> </w:t>
      </w:r>
      <w:r>
        <w:t>rat</w:t>
      </w:r>
      <w:r w:rsidR="000159A6">
        <w:t xml:space="preserve"> </w:t>
      </w:r>
      <w:r>
        <w:t>and</w:t>
      </w:r>
      <w:r w:rsidR="000159A6">
        <w:t xml:space="preserve"> </w:t>
      </w:r>
      <w:r>
        <w:t>rabbit,</w:t>
      </w:r>
      <w:r w:rsidR="000159A6">
        <w:t xml:space="preserve"> </w:t>
      </w:r>
      <w:r>
        <w:t>both</w:t>
      </w:r>
      <w:r w:rsidR="000159A6">
        <w:t xml:space="preserve"> </w:t>
      </w:r>
      <w:r>
        <w:t>demonstrating</w:t>
      </w:r>
      <w:r w:rsidR="000159A6">
        <w:t xml:space="preserve"> </w:t>
      </w:r>
      <w:r>
        <w:t>a</w:t>
      </w:r>
      <w:r w:rsidR="000159A6">
        <w:t xml:space="preserve"> </w:t>
      </w:r>
      <w:r>
        <w:t>good</w:t>
      </w:r>
      <w:r w:rsidR="000159A6">
        <w:t xml:space="preserve"> </w:t>
      </w:r>
      <w:r>
        <w:t>antibody</w:t>
      </w:r>
      <w:r w:rsidR="000159A6">
        <w:t xml:space="preserve"> </w:t>
      </w:r>
      <w:r>
        <w:t>response.</w:t>
      </w:r>
      <w:r w:rsidR="000159A6">
        <w:t xml:space="preserve"> </w:t>
      </w:r>
      <w:r>
        <w:t>The</w:t>
      </w:r>
      <w:r w:rsidR="000159A6">
        <w:t xml:space="preserve"> </w:t>
      </w:r>
      <w:r>
        <w:t>toxicity</w:t>
      </w:r>
      <w:r w:rsidR="000159A6">
        <w:t xml:space="preserve"> </w:t>
      </w:r>
      <w:r>
        <w:t>studies</w:t>
      </w:r>
      <w:r w:rsidR="000159A6">
        <w:t xml:space="preserve"> </w:t>
      </w:r>
      <w:r>
        <w:t>were</w:t>
      </w:r>
      <w:r w:rsidR="000159A6">
        <w:t xml:space="preserve"> </w:t>
      </w:r>
      <w:r>
        <w:t>mostly</w:t>
      </w:r>
      <w:r w:rsidR="000159A6">
        <w:t xml:space="preserve"> </w:t>
      </w:r>
      <w:r>
        <w:t>performed</w:t>
      </w:r>
      <w:r w:rsidR="000159A6">
        <w:t xml:space="preserve"> </w:t>
      </w:r>
      <w:r>
        <w:t>by</w:t>
      </w:r>
      <w:r w:rsidR="000159A6">
        <w:t xml:space="preserve"> </w:t>
      </w:r>
      <w:r>
        <w:t>the</w:t>
      </w:r>
      <w:r w:rsidR="000159A6">
        <w:t xml:space="preserve"> </w:t>
      </w:r>
      <w:r>
        <w:t>IM</w:t>
      </w:r>
      <w:r w:rsidR="000159A6">
        <w:t xml:space="preserve"> </w:t>
      </w:r>
      <w:r>
        <w:t>route</w:t>
      </w:r>
      <w:r w:rsidR="000159A6">
        <w:t xml:space="preserve"> </w:t>
      </w:r>
      <w:r>
        <w:t>of</w:t>
      </w:r>
      <w:r w:rsidR="000159A6">
        <w:t xml:space="preserve"> </w:t>
      </w:r>
      <w:r>
        <w:t>administration</w:t>
      </w:r>
      <w:r w:rsidR="000159A6">
        <w:t xml:space="preserve"> </w:t>
      </w:r>
      <w:r>
        <w:t>since</w:t>
      </w:r>
      <w:r w:rsidR="000159A6">
        <w:t xml:space="preserve"> </w:t>
      </w:r>
      <w:r>
        <w:t>this</w:t>
      </w:r>
      <w:r w:rsidR="000159A6">
        <w:t xml:space="preserve"> </w:t>
      </w:r>
      <w:r>
        <w:t>is</w:t>
      </w:r>
      <w:r w:rsidR="000159A6">
        <w:t xml:space="preserve"> </w:t>
      </w:r>
      <w:r>
        <w:t>the</w:t>
      </w:r>
      <w:r w:rsidR="000159A6">
        <w:t xml:space="preserve"> </w:t>
      </w:r>
      <w:r>
        <w:t>proposed</w:t>
      </w:r>
      <w:r w:rsidR="000159A6">
        <w:t xml:space="preserve"> </w:t>
      </w:r>
      <w:r>
        <w:t>route</w:t>
      </w:r>
      <w:r w:rsidR="000159A6">
        <w:t xml:space="preserve"> </w:t>
      </w:r>
      <w:r>
        <w:t>of</w:t>
      </w:r>
      <w:r w:rsidR="000159A6">
        <w:t xml:space="preserve"> </w:t>
      </w:r>
      <w:r>
        <w:t>administration</w:t>
      </w:r>
      <w:r w:rsidR="000159A6">
        <w:t xml:space="preserve"> </w:t>
      </w:r>
      <w:r>
        <w:t>for</w:t>
      </w:r>
      <w:r w:rsidR="000159A6">
        <w:t xml:space="preserve"> </w:t>
      </w:r>
      <w:r>
        <w:t>licensure.</w:t>
      </w:r>
      <w:r w:rsidR="000159A6">
        <w:t xml:space="preserve"> </w:t>
      </w:r>
      <w:r>
        <w:t>Toxicity</w:t>
      </w:r>
      <w:r w:rsidR="000159A6">
        <w:t xml:space="preserve"> </w:t>
      </w:r>
      <w:r>
        <w:t>studies</w:t>
      </w:r>
      <w:r w:rsidR="000159A6">
        <w:t xml:space="preserve"> </w:t>
      </w:r>
      <w:r>
        <w:t>were</w:t>
      </w:r>
      <w:r w:rsidR="000159A6">
        <w:t xml:space="preserve"> </w:t>
      </w:r>
      <w:r>
        <w:t>also</w:t>
      </w:r>
      <w:r w:rsidR="000159A6">
        <w:t xml:space="preserve"> </w:t>
      </w:r>
      <w:r>
        <w:t>conducted</w:t>
      </w:r>
      <w:r w:rsidR="000159A6">
        <w:t xml:space="preserve"> </w:t>
      </w:r>
      <w:r>
        <w:t>by</w:t>
      </w:r>
      <w:r w:rsidR="000159A6">
        <w:t xml:space="preserve"> </w:t>
      </w:r>
      <w:r>
        <w:t>the</w:t>
      </w:r>
      <w:r w:rsidR="000159A6">
        <w:t xml:space="preserve"> </w:t>
      </w:r>
      <w:r>
        <w:t>SC</w:t>
      </w:r>
      <w:r w:rsidR="000159A6">
        <w:t xml:space="preserve"> </w:t>
      </w:r>
      <w:r>
        <w:t>route</w:t>
      </w:r>
      <w:r w:rsidR="000159A6">
        <w:t xml:space="preserve"> </w:t>
      </w:r>
      <w:r>
        <w:t>of</w:t>
      </w:r>
      <w:r w:rsidR="000159A6">
        <w:t xml:space="preserve"> </w:t>
      </w:r>
      <w:r>
        <w:t>administration</w:t>
      </w:r>
      <w:r w:rsidR="000159A6">
        <w:t xml:space="preserve"> </w:t>
      </w:r>
      <w:r>
        <w:t>to</w:t>
      </w:r>
      <w:r w:rsidR="000159A6">
        <w:t xml:space="preserve"> </w:t>
      </w:r>
      <w:r>
        <w:t>support</w:t>
      </w:r>
      <w:r w:rsidR="000159A6">
        <w:t xml:space="preserve"> </w:t>
      </w:r>
      <w:r>
        <w:t>a</w:t>
      </w:r>
      <w:r w:rsidR="000159A6">
        <w:t xml:space="preserve"> </w:t>
      </w:r>
      <w:r>
        <w:t>specific</w:t>
      </w:r>
      <w:r w:rsidR="000159A6">
        <w:t xml:space="preserve"> </w:t>
      </w:r>
      <w:r>
        <w:t>clinical</w:t>
      </w:r>
      <w:r w:rsidR="000159A6">
        <w:t xml:space="preserve"> </w:t>
      </w:r>
      <w:r>
        <w:t>trial.</w:t>
      </w:r>
    </w:p>
    <w:p w14:paraId="155E8475" w14:textId="6EF13505" w:rsidR="005B220F" w:rsidRPr="000C5861" w:rsidRDefault="005B220F" w:rsidP="000C5861">
      <w:pPr>
        <w:pStyle w:val="Heading4"/>
      </w:pPr>
      <w:bookmarkStart w:id="56" w:name="_Toc294861727"/>
      <w:r w:rsidRPr="000C5861">
        <w:t>Acute</w:t>
      </w:r>
      <w:r w:rsidR="000159A6" w:rsidRPr="000C5861">
        <w:t xml:space="preserve"> </w:t>
      </w:r>
      <w:r w:rsidRPr="000C5861">
        <w:t>toxicity</w:t>
      </w:r>
      <w:bookmarkEnd w:id="56"/>
    </w:p>
    <w:p w14:paraId="344CEBC0" w14:textId="6D7668FB" w:rsidR="00FF12AA" w:rsidRDefault="005B220F" w:rsidP="00E97880">
      <w:r w:rsidRPr="005936B3">
        <w:t>The</w:t>
      </w:r>
      <w:r w:rsidR="000159A6">
        <w:t xml:space="preserve"> </w:t>
      </w:r>
      <w:r w:rsidRPr="005936B3">
        <w:t>single</w:t>
      </w:r>
      <w:r w:rsidR="000159A6">
        <w:t xml:space="preserve"> </w:t>
      </w:r>
      <w:r w:rsidRPr="005936B3">
        <w:t>dose</w:t>
      </w:r>
      <w:r w:rsidR="000159A6">
        <w:t xml:space="preserve"> </w:t>
      </w:r>
      <w:r w:rsidRPr="005936B3">
        <w:t>toxicity</w:t>
      </w:r>
      <w:r w:rsidR="000159A6">
        <w:t xml:space="preserve"> </w:t>
      </w:r>
      <w:r w:rsidRPr="005936B3">
        <w:t>of</w:t>
      </w:r>
      <w:r w:rsidR="000159A6">
        <w:t xml:space="preserve"> </w:t>
      </w:r>
      <w:r w:rsidRPr="005936B3">
        <w:t>gE/</w:t>
      </w:r>
      <w:r w:rsidR="00503D1B">
        <w:t>AS01</w:t>
      </w:r>
      <w:r w:rsidR="00503D1B" w:rsidRPr="00570F2D">
        <w:rPr>
          <w:vertAlign w:val="subscript"/>
        </w:rPr>
        <w:t>B</w:t>
      </w:r>
      <w:r>
        <w:rPr>
          <w:vertAlign w:val="subscript"/>
        </w:rPr>
        <w:t>,</w:t>
      </w:r>
      <w:r w:rsidR="000159A6">
        <w:t xml:space="preserve"> </w:t>
      </w:r>
      <w:r w:rsidR="00503D1B">
        <w:t>AS01</w:t>
      </w:r>
      <w:r w:rsidR="00503D1B" w:rsidRPr="00570F2D">
        <w:rPr>
          <w:vertAlign w:val="subscript"/>
        </w:rPr>
        <w:t>B</w:t>
      </w:r>
      <w:r w:rsidR="000159A6">
        <w:t xml:space="preserve"> </w:t>
      </w:r>
      <w:r>
        <w:t>and</w:t>
      </w:r>
      <w:r w:rsidR="000159A6">
        <w:t xml:space="preserve"> </w:t>
      </w:r>
      <w:r>
        <w:t>QS-21</w:t>
      </w:r>
      <w:r w:rsidR="000159A6">
        <w:t xml:space="preserve"> </w:t>
      </w:r>
      <w:r w:rsidRPr="005936B3">
        <w:t>was</w:t>
      </w:r>
      <w:r w:rsidR="000159A6">
        <w:t xml:space="preserve"> </w:t>
      </w:r>
      <w:r w:rsidRPr="005936B3">
        <w:t>assessed</w:t>
      </w:r>
      <w:r w:rsidR="000159A6">
        <w:t xml:space="preserve"> </w:t>
      </w:r>
      <w:r w:rsidRPr="005936B3">
        <w:t>as</w:t>
      </w:r>
      <w:r w:rsidR="000159A6">
        <w:t xml:space="preserve"> </w:t>
      </w:r>
      <w:r w:rsidRPr="005936B3">
        <w:t>part</w:t>
      </w:r>
      <w:r w:rsidR="000159A6">
        <w:t xml:space="preserve"> </w:t>
      </w:r>
      <w:r w:rsidRPr="005936B3">
        <w:t>of</w:t>
      </w:r>
      <w:r w:rsidR="000159A6">
        <w:t xml:space="preserve"> </w:t>
      </w:r>
      <w:r w:rsidRPr="005936B3">
        <w:t>the</w:t>
      </w:r>
      <w:r w:rsidR="000159A6">
        <w:t xml:space="preserve"> </w:t>
      </w:r>
      <w:r w:rsidRPr="005936B3">
        <w:t>local</w:t>
      </w:r>
      <w:r w:rsidR="000159A6">
        <w:t xml:space="preserve"> </w:t>
      </w:r>
      <w:r w:rsidRPr="005936B3">
        <w:t>tolerance</w:t>
      </w:r>
      <w:r w:rsidR="000159A6">
        <w:t xml:space="preserve"> </w:t>
      </w:r>
      <w:r w:rsidRPr="005936B3">
        <w:t>toxicity</w:t>
      </w:r>
      <w:r w:rsidR="000159A6">
        <w:t xml:space="preserve"> </w:t>
      </w:r>
      <w:r w:rsidRPr="005936B3">
        <w:t>studies</w:t>
      </w:r>
      <w:r w:rsidR="000159A6">
        <w:t xml:space="preserve"> </w:t>
      </w:r>
      <w:r>
        <w:t>and</w:t>
      </w:r>
      <w:r w:rsidR="000159A6">
        <w:t xml:space="preserve"> </w:t>
      </w:r>
      <w:r>
        <w:t>is</w:t>
      </w:r>
      <w:r w:rsidR="000159A6">
        <w:t xml:space="preserve"> </w:t>
      </w:r>
      <w:r>
        <w:t>discussed</w:t>
      </w:r>
      <w:r w:rsidR="000159A6">
        <w:t xml:space="preserve"> </w:t>
      </w:r>
      <w:r>
        <w:t>in</w:t>
      </w:r>
      <w:r w:rsidR="000159A6">
        <w:t xml:space="preserve"> </w:t>
      </w:r>
      <w:r>
        <w:t>the</w:t>
      </w:r>
      <w:r w:rsidR="000159A6">
        <w:t xml:space="preserve"> </w:t>
      </w:r>
      <w:r>
        <w:t>local</w:t>
      </w:r>
      <w:r w:rsidR="000159A6">
        <w:t xml:space="preserve"> </w:t>
      </w:r>
      <w:r>
        <w:t>tolerance</w:t>
      </w:r>
      <w:r w:rsidR="000159A6">
        <w:t xml:space="preserve"> </w:t>
      </w:r>
      <w:r>
        <w:t>section</w:t>
      </w:r>
      <w:r w:rsidR="00FF12AA">
        <w:t>.</w:t>
      </w:r>
    </w:p>
    <w:p w14:paraId="5B2C8295" w14:textId="71843BA0" w:rsidR="005B220F" w:rsidRPr="000C5861" w:rsidRDefault="005B220F" w:rsidP="000C5861">
      <w:pPr>
        <w:pStyle w:val="Heading4"/>
      </w:pPr>
      <w:bookmarkStart w:id="57" w:name="_Toc294861728"/>
      <w:r w:rsidRPr="000C5861">
        <w:lastRenderedPageBreak/>
        <w:t>Repeat-dose</w:t>
      </w:r>
      <w:r w:rsidR="000159A6" w:rsidRPr="000C5861">
        <w:t xml:space="preserve"> </w:t>
      </w:r>
      <w:r w:rsidRPr="000C5861">
        <w:t>toxicity</w:t>
      </w:r>
      <w:bookmarkEnd w:id="57"/>
    </w:p>
    <w:p w14:paraId="1F64700E" w14:textId="45E5E08C" w:rsidR="005B220F" w:rsidRPr="004E2082" w:rsidRDefault="005B220F" w:rsidP="00CC47E8">
      <w:r w:rsidRPr="00A659FA">
        <w:t>Repeat</w:t>
      </w:r>
      <w:r w:rsidR="000159A6">
        <w:t xml:space="preserve"> </w:t>
      </w:r>
      <w:r w:rsidRPr="00A659FA">
        <w:t>dose</w:t>
      </w:r>
      <w:r w:rsidR="000159A6">
        <w:t xml:space="preserve"> </w:t>
      </w:r>
      <w:r w:rsidRPr="00A659FA">
        <w:t>toxicity</w:t>
      </w:r>
      <w:r w:rsidR="000159A6">
        <w:t xml:space="preserve"> </w:t>
      </w:r>
      <w:r w:rsidRPr="00A659FA">
        <w:t>studies</w:t>
      </w:r>
      <w:r w:rsidR="000159A6">
        <w:t xml:space="preserve"> </w:t>
      </w:r>
      <w:r w:rsidRPr="00A659FA">
        <w:t>with</w:t>
      </w:r>
      <w:r w:rsidR="000159A6">
        <w:t xml:space="preserve"> </w:t>
      </w:r>
      <w:r w:rsidRPr="00A659FA">
        <w:t>the</w:t>
      </w:r>
      <w:r w:rsidR="000159A6">
        <w:t xml:space="preserve"> </w:t>
      </w:r>
      <w:r w:rsidRPr="00A659FA">
        <w:t>vaccine</w:t>
      </w:r>
      <w:r w:rsidR="000159A6">
        <w:t xml:space="preserve"> </w:t>
      </w:r>
      <w:r w:rsidRPr="00A659FA">
        <w:t>were</w:t>
      </w:r>
      <w:r w:rsidR="000159A6">
        <w:t xml:space="preserve"> </w:t>
      </w:r>
      <w:r w:rsidRPr="00A659FA">
        <w:t>adequately</w:t>
      </w:r>
      <w:r w:rsidR="000159A6">
        <w:t xml:space="preserve"> </w:t>
      </w:r>
      <w:r w:rsidRPr="00A659FA">
        <w:t>conducted.</w:t>
      </w:r>
      <w:r w:rsidR="000159A6">
        <w:t xml:space="preserve"> </w:t>
      </w:r>
      <w:r w:rsidRPr="00A659FA">
        <w:t>The</w:t>
      </w:r>
      <w:r w:rsidR="000159A6">
        <w:t xml:space="preserve"> </w:t>
      </w:r>
      <w:r w:rsidRPr="00A659FA">
        <w:t>use</w:t>
      </w:r>
      <w:r w:rsidR="000159A6">
        <w:t xml:space="preserve"> </w:t>
      </w:r>
      <w:r w:rsidRPr="00A659FA">
        <w:t>of</w:t>
      </w:r>
      <w:r w:rsidR="000159A6">
        <w:t xml:space="preserve"> </w:t>
      </w:r>
      <w:r w:rsidRPr="00A659FA">
        <w:t>a</w:t>
      </w:r>
      <w:r w:rsidR="000159A6">
        <w:t xml:space="preserve"> </w:t>
      </w:r>
      <w:r w:rsidRPr="00A659FA">
        <w:t>single</w:t>
      </w:r>
      <w:r w:rsidR="000159A6">
        <w:t xml:space="preserve"> </w:t>
      </w:r>
      <w:r w:rsidRPr="00A659FA">
        <w:t>species</w:t>
      </w:r>
      <w:r w:rsidR="000159A6">
        <w:t xml:space="preserve"> </w:t>
      </w:r>
      <w:r>
        <w:t>(rabbit)</w:t>
      </w:r>
      <w:r w:rsidR="000159A6">
        <w:t xml:space="preserve"> </w:t>
      </w:r>
      <w:r w:rsidRPr="00A659FA">
        <w:t>is</w:t>
      </w:r>
      <w:r w:rsidR="000159A6">
        <w:t xml:space="preserve"> </w:t>
      </w:r>
      <w:r w:rsidRPr="00A659FA">
        <w:t>consistent</w:t>
      </w:r>
      <w:r w:rsidR="000159A6">
        <w:t xml:space="preserve"> </w:t>
      </w:r>
      <w:r w:rsidRPr="00A659FA">
        <w:t>with</w:t>
      </w:r>
      <w:r w:rsidR="000159A6">
        <w:t xml:space="preserve"> </w:t>
      </w:r>
      <w:r w:rsidRPr="00A659FA">
        <w:t>the</w:t>
      </w:r>
      <w:r w:rsidR="000159A6">
        <w:t xml:space="preserve"> </w:t>
      </w:r>
      <w:r w:rsidRPr="00A659FA">
        <w:t>relevant</w:t>
      </w:r>
      <w:r w:rsidR="000159A6">
        <w:t xml:space="preserve"> </w:t>
      </w:r>
      <w:r w:rsidRPr="00A659FA">
        <w:t>guidelines</w:t>
      </w:r>
      <w:r w:rsidR="000159A6">
        <w:t xml:space="preserve"> </w:t>
      </w:r>
      <w:r>
        <w:t>and</w:t>
      </w:r>
      <w:r w:rsidR="000159A6">
        <w:t xml:space="preserve"> </w:t>
      </w:r>
      <w:r>
        <w:t>demonstration</w:t>
      </w:r>
      <w:r w:rsidR="000159A6">
        <w:t xml:space="preserve"> </w:t>
      </w:r>
      <w:r>
        <w:t>of</w:t>
      </w:r>
      <w:r w:rsidR="000159A6">
        <w:t xml:space="preserve"> </w:t>
      </w:r>
      <w:r>
        <w:t>good</w:t>
      </w:r>
      <w:r w:rsidR="000159A6">
        <w:t xml:space="preserve"> </w:t>
      </w:r>
      <w:r>
        <w:t>immunogenicity</w:t>
      </w:r>
      <w:r w:rsidR="000159A6">
        <w:t xml:space="preserve"> </w:t>
      </w:r>
      <w:r>
        <w:t>which</w:t>
      </w:r>
      <w:r w:rsidR="000159A6">
        <w:t xml:space="preserve"> </w:t>
      </w:r>
      <w:r>
        <w:t>supports</w:t>
      </w:r>
      <w:r w:rsidR="000159A6">
        <w:t xml:space="preserve"> </w:t>
      </w:r>
      <w:r>
        <w:t>the</w:t>
      </w:r>
      <w:r w:rsidR="000159A6">
        <w:t xml:space="preserve"> </w:t>
      </w:r>
      <w:r>
        <w:t>use</w:t>
      </w:r>
      <w:r w:rsidR="000159A6">
        <w:t xml:space="preserve"> </w:t>
      </w:r>
      <w:r>
        <w:t>of</w:t>
      </w:r>
      <w:r w:rsidR="000159A6">
        <w:t xml:space="preserve"> </w:t>
      </w:r>
      <w:r>
        <w:t>this</w:t>
      </w:r>
      <w:r w:rsidR="000159A6">
        <w:t xml:space="preserve"> </w:t>
      </w:r>
      <w:r>
        <w:t>species</w:t>
      </w:r>
      <w:r w:rsidR="000159A6">
        <w:t xml:space="preserve"> </w:t>
      </w:r>
      <w:r>
        <w:t>as</w:t>
      </w:r>
      <w:r w:rsidR="000159A6">
        <w:t xml:space="preserve"> </w:t>
      </w:r>
      <w:r>
        <w:t>an</w:t>
      </w:r>
      <w:r w:rsidR="000159A6">
        <w:t xml:space="preserve"> </w:t>
      </w:r>
      <w:r>
        <w:t>appropriate</w:t>
      </w:r>
      <w:r w:rsidR="000159A6">
        <w:t xml:space="preserve"> </w:t>
      </w:r>
      <w:r>
        <w:t>animal</w:t>
      </w:r>
      <w:r w:rsidR="000159A6">
        <w:t xml:space="preserve"> </w:t>
      </w:r>
      <w:r>
        <w:t>model</w:t>
      </w:r>
      <w:r w:rsidR="000159A6">
        <w:t xml:space="preserve"> </w:t>
      </w:r>
      <w:r>
        <w:t>for</w:t>
      </w:r>
      <w:r w:rsidR="000159A6">
        <w:t xml:space="preserve"> </w:t>
      </w:r>
      <w:r>
        <w:t>toxicity</w:t>
      </w:r>
      <w:r w:rsidR="000159A6">
        <w:t xml:space="preserve"> </w:t>
      </w:r>
      <w:r>
        <w:t>(note</w:t>
      </w:r>
      <w:r w:rsidR="000159A6">
        <w:t xml:space="preserve"> </w:t>
      </w:r>
      <w:r>
        <w:t>rabbits</w:t>
      </w:r>
      <w:r w:rsidR="000159A6">
        <w:t xml:space="preserve"> </w:t>
      </w:r>
      <w:r>
        <w:t>were</w:t>
      </w:r>
      <w:r w:rsidR="000159A6">
        <w:t xml:space="preserve"> </w:t>
      </w:r>
      <w:r>
        <w:t>not</w:t>
      </w:r>
      <w:r w:rsidR="000159A6">
        <w:t xml:space="preserve"> </w:t>
      </w:r>
      <w:r>
        <w:t>used</w:t>
      </w:r>
      <w:r w:rsidR="000159A6">
        <w:t xml:space="preserve"> </w:t>
      </w:r>
      <w:r>
        <w:t>in</w:t>
      </w:r>
      <w:r w:rsidR="000159A6">
        <w:t xml:space="preserve"> </w:t>
      </w:r>
      <w:r>
        <w:t>pharmacodynamic</w:t>
      </w:r>
      <w:r w:rsidR="000159A6">
        <w:t xml:space="preserve"> </w:t>
      </w:r>
      <w:r>
        <w:t>studies).</w:t>
      </w:r>
      <w:r w:rsidR="000159A6">
        <w:t xml:space="preserve"> </w:t>
      </w:r>
      <w:r>
        <w:t>The</w:t>
      </w:r>
      <w:r w:rsidR="000159A6">
        <w:t xml:space="preserve"> </w:t>
      </w:r>
      <w:r>
        <w:t>toxicity</w:t>
      </w:r>
      <w:r w:rsidR="000159A6">
        <w:t xml:space="preserve"> </w:t>
      </w:r>
      <w:r>
        <w:t>studies</w:t>
      </w:r>
      <w:r w:rsidR="000159A6">
        <w:t xml:space="preserve"> </w:t>
      </w:r>
      <w:r>
        <w:t>were</w:t>
      </w:r>
      <w:r w:rsidR="000159A6">
        <w:t xml:space="preserve"> </w:t>
      </w:r>
      <w:r>
        <w:t>generally</w:t>
      </w:r>
      <w:r w:rsidR="000159A6">
        <w:t xml:space="preserve"> </w:t>
      </w:r>
      <w:r>
        <w:t>performed</w:t>
      </w:r>
      <w:r w:rsidR="000159A6">
        <w:t xml:space="preserve"> </w:t>
      </w:r>
      <w:r>
        <w:t>by</w:t>
      </w:r>
      <w:r w:rsidR="000159A6">
        <w:t xml:space="preserve"> </w:t>
      </w:r>
      <w:r>
        <w:t>the</w:t>
      </w:r>
      <w:r w:rsidR="000159A6">
        <w:t xml:space="preserve"> </w:t>
      </w:r>
      <w:r>
        <w:t>IM</w:t>
      </w:r>
      <w:r w:rsidR="000159A6">
        <w:t xml:space="preserve"> </w:t>
      </w:r>
      <w:r>
        <w:t>route</w:t>
      </w:r>
      <w:r w:rsidR="000159A6">
        <w:t xml:space="preserve"> </w:t>
      </w:r>
      <w:r>
        <w:t>which</w:t>
      </w:r>
      <w:r w:rsidR="000159A6">
        <w:t xml:space="preserve"> </w:t>
      </w:r>
      <w:r>
        <w:t>is</w:t>
      </w:r>
      <w:r w:rsidR="000159A6">
        <w:t xml:space="preserve"> </w:t>
      </w:r>
      <w:r>
        <w:t>the</w:t>
      </w:r>
      <w:r w:rsidR="000159A6">
        <w:t xml:space="preserve"> </w:t>
      </w:r>
      <w:r>
        <w:t>clinical</w:t>
      </w:r>
      <w:r w:rsidR="000159A6">
        <w:t xml:space="preserve"> </w:t>
      </w:r>
      <w:r>
        <w:t>route.</w:t>
      </w:r>
      <w:r w:rsidR="000159A6">
        <w:t xml:space="preserve"> </w:t>
      </w:r>
      <w:r>
        <w:t>Vaccine</w:t>
      </w:r>
      <w:r w:rsidR="000159A6">
        <w:t xml:space="preserve"> </w:t>
      </w:r>
      <w:r>
        <w:t>testing</w:t>
      </w:r>
      <w:r w:rsidR="000159A6">
        <w:t xml:space="preserve"> </w:t>
      </w:r>
      <w:r>
        <w:t>in</w:t>
      </w:r>
      <w:r w:rsidR="000159A6">
        <w:t xml:space="preserve"> </w:t>
      </w:r>
      <w:r>
        <w:t>both</w:t>
      </w:r>
      <w:r w:rsidR="000159A6">
        <w:t xml:space="preserve"> </w:t>
      </w:r>
      <w:r>
        <w:t>sexes</w:t>
      </w:r>
      <w:r w:rsidR="000159A6">
        <w:t xml:space="preserve"> </w:t>
      </w:r>
      <w:r>
        <w:t>and</w:t>
      </w:r>
      <w:r w:rsidR="000159A6">
        <w:t xml:space="preserve"> </w:t>
      </w:r>
      <w:r>
        <w:t>group</w:t>
      </w:r>
      <w:r w:rsidR="000159A6">
        <w:t xml:space="preserve"> </w:t>
      </w:r>
      <w:r>
        <w:t>sizes</w:t>
      </w:r>
      <w:r w:rsidR="000159A6">
        <w:t xml:space="preserve"> </w:t>
      </w:r>
      <w:r>
        <w:t>were</w:t>
      </w:r>
      <w:r w:rsidR="000159A6">
        <w:t xml:space="preserve"> </w:t>
      </w:r>
      <w:r>
        <w:t>appropriate.</w:t>
      </w:r>
      <w:r w:rsidR="000159A6">
        <w:t xml:space="preserve"> </w:t>
      </w:r>
      <w:r>
        <w:t>Repeat</w:t>
      </w:r>
      <w:r w:rsidR="000159A6">
        <w:t xml:space="preserve"> </w:t>
      </w:r>
      <w:r>
        <w:t>dose</w:t>
      </w:r>
      <w:r w:rsidR="000159A6">
        <w:t xml:space="preserve"> </w:t>
      </w:r>
      <w:r>
        <w:t>testing</w:t>
      </w:r>
      <w:r w:rsidR="000159A6">
        <w:t xml:space="preserve"> </w:t>
      </w:r>
      <w:r>
        <w:t>with</w:t>
      </w:r>
      <w:r w:rsidR="000159A6">
        <w:t xml:space="preserve"> </w:t>
      </w:r>
      <w:r w:rsidR="00503D1B">
        <w:t>AS01</w:t>
      </w:r>
      <w:r w:rsidR="00503D1B" w:rsidRPr="00570F2D">
        <w:rPr>
          <w:vertAlign w:val="subscript"/>
        </w:rPr>
        <w:t>B</w:t>
      </w:r>
      <w:r w:rsidR="000159A6">
        <w:t xml:space="preserve"> </w:t>
      </w:r>
      <w:r>
        <w:t>and</w:t>
      </w:r>
      <w:r w:rsidR="000159A6">
        <w:t xml:space="preserve"> </w:t>
      </w:r>
      <w:r>
        <w:t>QS-21</w:t>
      </w:r>
      <w:r w:rsidR="000159A6">
        <w:t xml:space="preserve"> </w:t>
      </w:r>
      <w:r>
        <w:t>administered</w:t>
      </w:r>
      <w:r w:rsidR="000159A6">
        <w:t xml:space="preserve"> </w:t>
      </w:r>
      <w:r>
        <w:t>by</w:t>
      </w:r>
      <w:r w:rsidR="000159A6">
        <w:t xml:space="preserve"> </w:t>
      </w:r>
      <w:r>
        <w:t>the</w:t>
      </w:r>
      <w:r w:rsidR="000159A6">
        <w:t xml:space="preserve"> </w:t>
      </w:r>
      <w:r>
        <w:t>IV</w:t>
      </w:r>
      <w:r w:rsidR="000159A6">
        <w:t xml:space="preserve"> </w:t>
      </w:r>
      <w:r>
        <w:t>route</w:t>
      </w:r>
      <w:r w:rsidR="000159A6">
        <w:t xml:space="preserve"> </w:t>
      </w:r>
      <w:r>
        <w:t>in</w:t>
      </w:r>
      <w:r w:rsidR="000159A6">
        <w:t xml:space="preserve"> </w:t>
      </w:r>
      <w:r>
        <w:t>rats</w:t>
      </w:r>
      <w:r w:rsidR="000159A6">
        <w:t xml:space="preserve"> </w:t>
      </w:r>
      <w:r>
        <w:t>and</w:t>
      </w:r>
      <w:r w:rsidR="000159A6">
        <w:t xml:space="preserve"> </w:t>
      </w:r>
      <w:r>
        <w:t>rabbits</w:t>
      </w:r>
      <w:r w:rsidR="000159A6">
        <w:t xml:space="preserve"> </w:t>
      </w:r>
      <w:r>
        <w:t>were</w:t>
      </w:r>
      <w:r w:rsidR="000159A6">
        <w:t xml:space="preserve"> </w:t>
      </w:r>
      <w:r>
        <w:t>also</w:t>
      </w:r>
      <w:r w:rsidR="000159A6">
        <w:t xml:space="preserve"> </w:t>
      </w:r>
      <w:r>
        <w:t>adequately</w:t>
      </w:r>
      <w:r w:rsidR="000159A6">
        <w:t xml:space="preserve"> </w:t>
      </w:r>
      <w:r>
        <w:t>conducted.</w:t>
      </w:r>
    </w:p>
    <w:p w14:paraId="70D97BEF" w14:textId="00CD5FFB" w:rsidR="005B220F" w:rsidRDefault="005B220F" w:rsidP="00E97880">
      <w:r w:rsidRPr="00011D32">
        <w:t>Exposure</w:t>
      </w:r>
      <w:r w:rsidR="000159A6">
        <w:t xml:space="preserve"> </w:t>
      </w:r>
      <w:r w:rsidRPr="00011D32">
        <w:t>ratios</w:t>
      </w:r>
      <w:r w:rsidR="000159A6">
        <w:t xml:space="preserve"> </w:t>
      </w:r>
      <w:r w:rsidRPr="00011D32">
        <w:t>have</w:t>
      </w:r>
      <w:r w:rsidR="000159A6">
        <w:t xml:space="preserve"> </w:t>
      </w:r>
      <w:r w:rsidRPr="00011D32">
        <w:t>been</w:t>
      </w:r>
      <w:r w:rsidR="000159A6">
        <w:t xml:space="preserve"> </w:t>
      </w:r>
      <w:r w:rsidRPr="00011D32">
        <w:t>calculated</w:t>
      </w:r>
      <w:r w:rsidR="000159A6">
        <w:t xml:space="preserve"> </w:t>
      </w:r>
      <w:r w:rsidRPr="00011D32">
        <w:t>based</w:t>
      </w:r>
      <w:r w:rsidR="000159A6">
        <w:t xml:space="preserve"> </w:t>
      </w:r>
      <w:r w:rsidRPr="00011D32">
        <w:t>on</w:t>
      </w:r>
      <w:r w:rsidR="000159A6">
        <w:t xml:space="preserve"> </w:t>
      </w:r>
      <w:r w:rsidRPr="00011D32">
        <w:t>dose</w:t>
      </w:r>
      <w:r w:rsidR="000159A6">
        <w:t xml:space="preserve"> </w:t>
      </w:r>
      <w:r>
        <w:t>per</w:t>
      </w:r>
      <w:r w:rsidR="000159A6">
        <w:t xml:space="preserve"> </w:t>
      </w:r>
      <w:r>
        <w:t>kg</w:t>
      </w:r>
      <w:r w:rsidR="000159A6">
        <w:t xml:space="preserve"> </w:t>
      </w:r>
      <w:r>
        <w:t>body</w:t>
      </w:r>
      <w:r w:rsidR="000159A6">
        <w:t xml:space="preserve"> </w:t>
      </w:r>
      <w:r>
        <w:t>weight</w:t>
      </w:r>
      <w:r w:rsidR="000159A6">
        <w:t xml:space="preserve"> </w:t>
      </w:r>
      <w:r>
        <w:t>(µg</w:t>
      </w:r>
      <w:r w:rsidRPr="00011D32">
        <w:t>/kg)</w:t>
      </w:r>
      <w:r w:rsidR="000159A6">
        <w:t xml:space="preserve"> </w:t>
      </w:r>
      <w:r>
        <w:t>for</w:t>
      </w:r>
      <w:r w:rsidR="000159A6">
        <w:t xml:space="preserve"> </w:t>
      </w:r>
      <w:r>
        <w:t>the</w:t>
      </w:r>
      <w:r w:rsidR="000159A6">
        <w:t xml:space="preserve"> </w:t>
      </w:r>
      <w:r>
        <w:t>varicella</w:t>
      </w:r>
      <w:r w:rsidR="000159A6">
        <w:t xml:space="preserve"> </w:t>
      </w:r>
      <w:r>
        <w:t>antigen</w:t>
      </w:r>
      <w:r w:rsidR="000159A6">
        <w:t xml:space="preserve"> </w:t>
      </w:r>
      <w:r>
        <w:t>and</w:t>
      </w:r>
      <w:r w:rsidR="000159A6">
        <w:t xml:space="preserve"> </w:t>
      </w:r>
      <w:r>
        <w:t>per</w:t>
      </w:r>
      <w:r w:rsidR="000159A6">
        <w:t xml:space="preserve"> </w:t>
      </w:r>
      <w:r>
        <w:t>body</w:t>
      </w:r>
      <w:r w:rsidR="000159A6">
        <w:t xml:space="preserve"> </w:t>
      </w:r>
      <w:r>
        <w:t>surface</w:t>
      </w:r>
      <w:r w:rsidR="000159A6">
        <w:t xml:space="preserve"> </w:t>
      </w:r>
      <w:r>
        <w:t>area</w:t>
      </w:r>
      <w:r w:rsidR="000159A6">
        <w:t xml:space="preserve"> </w:t>
      </w:r>
      <w:r w:rsidRPr="00011D32">
        <w:t>(</w:t>
      </w:r>
      <w:r>
        <w:t>µg</w:t>
      </w:r>
      <w:r w:rsidRPr="00011D32">
        <w:t>/m</w:t>
      </w:r>
      <w:r w:rsidRPr="00011D32">
        <w:rPr>
          <w:vertAlign w:val="superscript"/>
        </w:rPr>
        <w:t>2</w:t>
      </w:r>
      <w:r w:rsidRPr="00011D32">
        <w:t>)</w:t>
      </w:r>
      <w:r w:rsidR="000159A6">
        <w:t xml:space="preserve"> </w:t>
      </w:r>
      <w:r>
        <w:t>for</w:t>
      </w:r>
      <w:r w:rsidR="000159A6">
        <w:t xml:space="preserve"> </w:t>
      </w:r>
      <w:r>
        <w:t>the</w:t>
      </w:r>
      <w:r w:rsidR="000159A6">
        <w:t xml:space="preserve"> </w:t>
      </w:r>
      <w:r>
        <w:t>adjuvant</w:t>
      </w:r>
      <w:r w:rsidR="000159A6">
        <w:t xml:space="preserve"> </w:t>
      </w:r>
      <w:r>
        <w:t>QS-21</w:t>
      </w:r>
      <w:r w:rsidR="000159A6">
        <w:t xml:space="preserve"> </w:t>
      </w:r>
      <w:r>
        <w:t>present</w:t>
      </w:r>
      <w:r w:rsidR="000159A6">
        <w:t xml:space="preserve"> </w:t>
      </w:r>
      <w:r>
        <w:t>in</w:t>
      </w:r>
      <w:r w:rsidR="000159A6">
        <w:t xml:space="preserve"> </w:t>
      </w:r>
      <w:r w:rsidR="00503D1B">
        <w:t>AS01</w:t>
      </w:r>
      <w:r w:rsidR="00503D1B" w:rsidRPr="00570F2D">
        <w:rPr>
          <w:vertAlign w:val="subscript"/>
        </w:rPr>
        <w:t>B</w:t>
      </w:r>
      <w:r w:rsidRPr="00011D32">
        <w:t>.</w:t>
      </w:r>
      <w:r w:rsidR="000159A6">
        <w:t xml:space="preserve"> </w:t>
      </w:r>
      <w:r w:rsidRPr="00011D32">
        <w:t>The</w:t>
      </w:r>
      <w:r w:rsidR="000159A6">
        <w:t xml:space="preserve"> </w:t>
      </w:r>
      <w:r w:rsidRPr="00011D32">
        <w:t>number</w:t>
      </w:r>
      <w:r w:rsidR="000159A6">
        <w:t xml:space="preserve"> </w:t>
      </w:r>
      <w:r w:rsidRPr="00011D32">
        <w:t>of</w:t>
      </w:r>
      <w:r w:rsidR="000159A6">
        <w:t xml:space="preserve"> </w:t>
      </w:r>
      <w:r w:rsidRPr="00011D32">
        <w:t>doses</w:t>
      </w:r>
      <w:r w:rsidR="000159A6">
        <w:t xml:space="preserve"> </w:t>
      </w:r>
      <w:r w:rsidRPr="00011D32">
        <w:t>administered</w:t>
      </w:r>
      <w:r w:rsidR="000159A6">
        <w:t xml:space="preserve"> </w:t>
      </w:r>
      <w:r w:rsidRPr="00011D32">
        <w:t>to</w:t>
      </w:r>
      <w:r w:rsidR="000159A6">
        <w:t xml:space="preserve"> </w:t>
      </w:r>
      <w:r w:rsidRPr="00011D32">
        <w:t>the</w:t>
      </w:r>
      <w:r w:rsidR="000159A6">
        <w:t xml:space="preserve"> </w:t>
      </w:r>
      <w:r w:rsidRPr="00011D32">
        <w:t>animals</w:t>
      </w:r>
      <w:r w:rsidR="000159A6">
        <w:t xml:space="preserve"> </w:t>
      </w:r>
      <w:r w:rsidRPr="00011D32">
        <w:t>in</w:t>
      </w:r>
      <w:r w:rsidR="000159A6">
        <w:t xml:space="preserve"> </w:t>
      </w:r>
      <w:r w:rsidRPr="00011D32">
        <w:t>the</w:t>
      </w:r>
      <w:r w:rsidR="000159A6">
        <w:t xml:space="preserve"> </w:t>
      </w:r>
      <w:r w:rsidRPr="00011D32">
        <w:t>repeat</w:t>
      </w:r>
      <w:r w:rsidR="000159A6">
        <w:t xml:space="preserve"> </w:t>
      </w:r>
      <w:r w:rsidRPr="00011D32">
        <w:t>dose</w:t>
      </w:r>
      <w:r w:rsidR="000159A6">
        <w:t xml:space="preserve"> </w:t>
      </w:r>
      <w:r w:rsidRPr="00011D32">
        <w:t>toxicity</w:t>
      </w:r>
      <w:r w:rsidR="000159A6">
        <w:t xml:space="preserve"> </w:t>
      </w:r>
      <w:r w:rsidRPr="00011D32">
        <w:t>studies</w:t>
      </w:r>
      <w:r w:rsidR="000159A6">
        <w:t xml:space="preserve"> </w:t>
      </w:r>
      <w:r w:rsidRPr="00011D32">
        <w:t>exceeded</w:t>
      </w:r>
      <w:r w:rsidR="000159A6">
        <w:t xml:space="preserve"> </w:t>
      </w:r>
      <w:r w:rsidRPr="00011D32">
        <w:t>the</w:t>
      </w:r>
      <w:r w:rsidR="000159A6">
        <w:t xml:space="preserve"> </w:t>
      </w:r>
      <w:r w:rsidRPr="00011D32">
        <w:t>number</w:t>
      </w:r>
      <w:r w:rsidR="000159A6">
        <w:t xml:space="preserve"> </w:t>
      </w:r>
      <w:r w:rsidRPr="00011D32">
        <w:t>of</w:t>
      </w:r>
      <w:r w:rsidR="000159A6">
        <w:t xml:space="preserve"> </w:t>
      </w:r>
      <w:r w:rsidRPr="00011D32">
        <w:t>doses</w:t>
      </w:r>
      <w:r w:rsidR="000159A6">
        <w:t xml:space="preserve"> </w:t>
      </w:r>
      <w:r w:rsidRPr="00011D32">
        <w:t>proposed</w:t>
      </w:r>
      <w:r w:rsidR="000159A6">
        <w:t xml:space="preserve"> </w:t>
      </w:r>
      <w:r w:rsidRPr="00011D32">
        <w:t>in</w:t>
      </w:r>
      <w:r w:rsidR="000159A6">
        <w:t xml:space="preserve"> </w:t>
      </w:r>
      <w:r w:rsidRPr="00011D32">
        <w:t>the</w:t>
      </w:r>
      <w:r w:rsidR="000159A6">
        <w:t xml:space="preserve"> </w:t>
      </w:r>
      <w:r w:rsidRPr="00011D32">
        <w:t>clinic</w:t>
      </w:r>
      <w:r w:rsidR="000159A6">
        <w:t xml:space="preserve"> </w:t>
      </w:r>
      <w:r w:rsidRPr="00011D32">
        <w:t>and</w:t>
      </w:r>
      <w:r w:rsidR="000159A6">
        <w:t xml:space="preserve"> </w:t>
      </w:r>
      <w:r w:rsidRPr="00011D32">
        <w:t>the</w:t>
      </w:r>
      <w:r w:rsidR="000159A6">
        <w:t xml:space="preserve"> </w:t>
      </w:r>
      <w:r w:rsidRPr="00011D32">
        <w:t>doses</w:t>
      </w:r>
      <w:r w:rsidR="000159A6">
        <w:t xml:space="preserve"> </w:t>
      </w:r>
      <w:r w:rsidRPr="00011D32">
        <w:t>administered</w:t>
      </w:r>
      <w:r w:rsidR="000159A6">
        <w:t xml:space="preserve"> </w:t>
      </w:r>
      <w:r w:rsidRPr="00011D32">
        <w:t>were</w:t>
      </w:r>
      <w:r w:rsidR="000159A6">
        <w:t xml:space="preserve"> </w:t>
      </w:r>
      <w:r w:rsidRPr="00011D32">
        <w:t>greater</w:t>
      </w:r>
      <w:r w:rsidR="000159A6">
        <w:t xml:space="preserve"> </w:t>
      </w:r>
      <w:r w:rsidRPr="00011D32">
        <w:t>than</w:t>
      </w:r>
      <w:r w:rsidR="000159A6">
        <w:t xml:space="preserve"> </w:t>
      </w:r>
      <w:r w:rsidRPr="00011D32">
        <w:t>the</w:t>
      </w:r>
      <w:r w:rsidR="000159A6">
        <w:t xml:space="preserve"> </w:t>
      </w:r>
      <w:r w:rsidRPr="00011D32">
        <w:t>proposed</w:t>
      </w:r>
      <w:r w:rsidR="000159A6">
        <w:t xml:space="preserve"> </w:t>
      </w:r>
      <w:r w:rsidRPr="00011D32">
        <w:t>clinical</w:t>
      </w:r>
      <w:r w:rsidR="000159A6">
        <w:t xml:space="preserve"> </w:t>
      </w:r>
      <w:r w:rsidRPr="00011D32">
        <w:t>dose</w:t>
      </w:r>
      <w:r w:rsidR="000159A6">
        <w:t xml:space="preserve"> </w:t>
      </w:r>
      <w:r>
        <w:t>which</w:t>
      </w:r>
      <w:r w:rsidR="000159A6">
        <w:t xml:space="preserve"> </w:t>
      </w:r>
      <w:r>
        <w:t>is</w:t>
      </w:r>
      <w:r w:rsidR="000159A6">
        <w:t xml:space="preserve"> </w:t>
      </w:r>
      <w:r>
        <w:t>adequate</w:t>
      </w:r>
      <w:r w:rsidR="000159A6">
        <w:t xml:space="preserve"> </w:t>
      </w:r>
      <w:r w:rsidRPr="00011D32">
        <w:t>(see</w:t>
      </w:r>
      <w:r w:rsidR="000159A6">
        <w:t xml:space="preserve"> </w:t>
      </w:r>
      <w:r w:rsidRPr="00011D32">
        <w:t>Table</w:t>
      </w:r>
      <w:r w:rsidR="000159A6">
        <w:t xml:space="preserve"> </w:t>
      </w:r>
      <w:r w:rsidR="0012170B">
        <w:t>3</w:t>
      </w:r>
      <w:r w:rsidR="000159A6">
        <w:t xml:space="preserve"> </w:t>
      </w:r>
      <w:r w:rsidRPr="00011D32">
        <w:t>below).</w:t>
      </w:r>
    </w:p>
    <w:p w14:paraId="6CF76896" w14:textId="4AB079EA" w:rsidR="005B220F" w:rsidRPr="00E97880" w:rsidRDefault="0012170B" w:rsidP="00CC47E8">
      <w:pPr>
        <w:pStyle w:val="TableTitle"/>
      </w:pPr>
      <w:r>
        <w:t>Table</w:t>
      </w:r>
      <w:r w:rsidR="000159A6">
        <w:t xml:space="preserve"> </w:t>
      </w:r>
      <w:r>
        <w:t>3:</w:t>
      </w:r>
      <w:r w:rsidR="000159A6">
        <w:t xml:space="preserve"> </w:t>
      </w:r>
      <w:r w:rsidR="005B220F" w:rsidRPr="00E97880">
        <w:t>Dose</w:t>
      </w:r>
      <w:r w:rsidR="000159A6">
        <w:t xml:space="preserve"> </w:t>
      </w:r>
      <w:r w:rsidR="005B220F" w:rsidRPr="00CC47E8">
        <w:t>and</w:t>
      </w:r>
      <w:r w:rsidR="000159A6">
        <w:t xml:space="preserve"> </w:t>
      </w:r>
      <w:r w:rsidR="005B220F" w:rsidRPr="00E97880">
        <w:t>relative</w:t>
      </w:r>
      <w:r w:rsidR="000159A6">
        <w:t xml:space="preserve"> </w:t>
      </w:r>
      <w:r w:rsidR="005B220F" w:rsidRPr="00E97880">
        <w:t>exposure</w:t>
      </w:r>
      <w:r w:rsidR="000159A6">
        <w:t xml:space="preserve"> </w:t>
      </w:r>
      <w:r w:rsidR="005B220F" w:rsidRPr="00E97880">
        <w:t>in</w:t>
      </w:r>
      <w:r w:rsidR="000159A6">
        <w:t xml:space="preserve"> </w:t>
      </w:r>
      <w:r w:rsidR="005B220F" w:rsidRPr="00E97880">
        <w:t>repeat</w:t>
      </w:r>
      <w:r w:rsidR="000159A6">
        <w:t xml:space="preserve"> </w:t>
      </w:r>
      <w:r w:rsidR="005B220F" w:rsidRPr="00CC47E8">
        <w:t>dose</w:t>
      </w:r>
      <w:r w:rsidR="000159A6">
        <w:t xml:space="preserve"> </w:t>
      </w:r>
      <w:r w:rsidR="005B220F" w:rsidRPr="00E97880">
        <w:t>toxicity</w:t>
      </w:r>
      <w:r w:rsidR="000159A6">
        <w:t xml:space="preserve"> </w:t>
      </w:r>
      <w:r w:rsidR="005B220F" w:rsidRPr="00E97880">
        <w:t>studies</w:t>
      </w:r>
    </w:p>
    <w:tbl>
      <w:tblPr>
        <w:tblStyle w:val="TableTGAblue"/>
        <w:tblW w:w="8928" w:type="dxa"/>
        <w:tblLayout w:type="fixed"/>
        <w:tblLook w:val="01E0" w:firstRow="1" w:lastRow="1" w:firstColumn="1" w:lastColumn="1" w:noHBand="0" w:noVBand="0"/>
        <w:tblDescription w:val="Table 3: Dose and relative exposure in repeat dose toxicity studies"/>
      </w:tblPr>
      <w:tblGrid>
        <w:gridCol w:w="1215"/>
        <w:gridCol w:w="949"/>
        <w:gridCol w:w="1697"/>
        <w:gridCol w:w="1019"/>
        <w:gridCol w:w="1018"/>
        <w:gridCol w:w="1021"/>
        <w:gridCol w:w="967"/>
        <w:gridCol w:w="1042"/>
      </w:tblGrid>
      <w:tr w:rsidR="00CC47E8" w:rsidRPr="008D4538" w14:paraId="034E6324" w14:textId="77777777" w:rsidTr="00CC47E8">
        <w:trPr>
          <w:cnfStyle w:val="100000000000" w:firstRow="1" w:lastRow="0" w:firstColumn="0" w:lastColumn="0" w:oddVBand="0" w:evenVBand="0" w:oddHBand="0" w:evenHBand="0" w:firstRowFirstColumn="0" w:firstRowLastColumn="0" w:lastRowFirstColumn="0" w:lastRowLastColumn="0"/>
          <w:trHeight w:val="146"/>
        </w:trPr>
        <w:tc>
          <w:tcPr>
            <w:tcW w:w="1215" w:type="dxa"/>
            <w:vMerge w:val="restart"/>
            <w:tcBorders>
              <w:right w:val="single" w:sz="8" w:space="0" w:color="000000" w:themeColor="text1"/>
            </w:tcBorders>
          </w:tcPr>
          <w:p w14:paraId="441BAF52" w14:textId="77777777" w:rsidR="00CC47E8" w:rsidRPr="008D4538" w:rsidRDefault="00CC47E8" w:rsidP="00CD5352">
            <w:pPr>
              <w:spacing w:line="240" w:lineRule="auto"/>
              <w:ind w:left="0" w:right="0"/>
              <w:rPr>
                <w:rFonts w:asciiTheme="minorHAnsi" w:hAnsiTheme="minorHAnsi"/>
                <w:sz w:val="20"/>
                <w:szCs w:val="20"/>
              </w:rPr>
            </w:pPr>
            <w:r w:rsidRPr="008D4538">
              <w:rPr>
                <w:rFonts w:asciiTheme="minorHAnsi" w:hAnsiTheme="minorHAnsi"/>
                <w:sz w:val="20"/>
                <w:szCs w:val="20"/>
              </w:rPr>
              <w:t>Study</w:t>
            </w:r>
          </w:p>
        </w:tc>
        <w:tc>
          <w:tcPr>
            <w:tcW w:w="949" w:type="dxa"/>
            <w:vMerge w:val="restart"/>
            <w:tcBorders>
              <w:left w:val="single" w:sz="8" w:space="0" w:color="000000" w:themeColor="text1"/>
              <w:right w:val="single" w:sz="8" w:space="0" w:color="000000" w:themeColor="text1"/>
            </w:tcBorders>
          </w:tcPr>
          <w:p w14:paraId="3C8A8FFA" w14:textId="77777777" w:rsidR="00CC47E8" w:rsidRPr="008D4538" w:rsidRDefault="00CC47E8" w:rsidP="00CD5352">
            <w:pPr>
              <w:spacing w:line="240" w:lineRule="auto"/>
              <w:ind w:left="0" w:right="0"/>
              <w:rPr>
                <w:rFonts w:asciiTheme="minorHAnsi" w:hAnsiTheme="minorHAnsi"/>
                <w:sz w:val="20"/>
                <w:szCs w:val="20"/>
              </w:rPr>
            </w:pPr>
            <w:r w:rsidRPr="008D4538">
              <w:rPr>
                <w:rFonts w:asciiTheme="minorHAnsi" w:hAnsiTheme="minorHAnsi"/>
                <w:sz w:val="20"/>
                <w:szCs w:val="20"/>
              </w:rPr>
              <w:t>Species</w:t>
            </w:r>
          </w:p>
        </w:tc>
        <w:tc>
          <w:tcPr>
            <w:tcW w:w="1697" w:type="dxa"/>
            <w:vMerge w:val="restart"/>
            <w:tcBorders>
              <w:left w:val="single" w:sz="8" w:space="0" w:color="000000" w:themeColor="text1"/>
              <w:right w:val="single" w:sz="8" w:space="0" w:color="000000" w:themeColor="text1"/>
            </w:tcBorders>
          </w:tcPr>
          <w:p w14:paraId="511A2BBC" w14:textId="37DF660B" w:rsidR="00CC47E8" w:rsidRPr="008D4538" w:rsidRDefault="00CC47E8" w:rsidP="00CD5352">
            <w:pPr>
              <w:spacing w:line="240" w:lineRule="auto"/>
              <w:ind w:left="0" w:right="0"/>
              <w:rPr>
                <w:rFonts w:asciiTheme="minorHAnsi" w:hAnsiTheme="minorHAnsi"/>
                <w:sz w:val="20"/>
                <w:szCs w:val="20"/>
              </w:rPr>
            </w:pPr>
            <w:r w:rsidRPr="008D4538">
              <w:rPr>
                <w:rFonts w:asciiTheme="minorHAnsi" w:hAnsiTheme="minorHAnsi"/>
                <w:sz w:val="20"/>
                <w:szCs w:val="20"/>
              </w:rPr>
              <w:t>Treatment</w:t>
            </w:r>
            <w:r>
              <w:rPr>
                <w:rFonts w:asciiTheme="minorHAnsi" w:hAnsiTheme="minorHAnsi"/>
                <w:sz w:val="20"/>
                <w:szCs w:val="20"/>
              </w:rPr>
              <w:t xml:space="preserve"> </w:t>
            </w:r>
            <w:r w:rsidRPr="008D4538">
              <w:rPr>
                <w:rFonts w:asciiTheme="minorHAnsi" w:hAnsiTheme="minorHAnsi"/>
                <w:sz w:val="20"/>
                <w:szCs w:val="20"/>
              </w:rPr>
              <w:t>Regimen</w:t>
            </w:r>
          </w:p>
        </w:tc>
        <w:tc>
          <w:tcPr>
            <w:tcW w:w="3058" w:type="dxa"/>
            <w:gridSpan w:val="3"/>
            <w:tcBorders>
              <w:left w:val="single" w:sz="8" w:space="0" w:color="000000" w:themeColor="text1"/>
              <w:right w:val="single" w:sz="8" w:space="0" w:color="000000" w:themeColor="text1"/>
            </w:tcBorders>
          </w:tcPr>
          <w:p w14:paraId="6F9FAB88" w14:textId="203B80B9" w:rsidR="00CC47E8" w:rsidRPr="008D4538" w:rsidRDefault="00CC47E8" w:rsidP="00CD5352">
            <w:pPr>
              <w:spacing w:line="240" w:lineRule="auto"/>
              <w:ind w:left="0" w:right="0"/>
              <w:rPr>
                <w:rFonts w:asciiTheme="minorHAnsi" w:hAnsiTheme="minorHAnsi"/>
                <w:sz w:val="20"/>
                <w:szCs w:val="20"/>
              </w:rPr>
            </w:pPr>
            <w:r w:rsidRPr="008D4538">
              <w:rPr>
                <w:rFonts w:asciiTheme="minorHAnsi" w:hAnsiTheme="minorHAnsi"/>
                <w:sz w:val="20"/>
                <w:szCs w:val="20"/>
              </w:rPr>
              <w:t>Dose</w:t>
            </w:r>
          </w:p>
        </w:tc>
        <w:tc>
          <w:tcPr>
            <w:tcW w:w="2009" w:type="dxa"/>
            <w:gridSpan w:val="2"/>
            <w:tcBorders>
              <w:left w:val="single" w:sz="8" w:space="0" w:color="000000" w:themeColor="text1"/>
            </w:tcBorders>
          </w:tcPr>
          <w:p w14:paraId="715FDDE2" w14:textId="4F5D40AC" w:rsidR="00CC47E8" w:rsidRPr="008D4538" w:rsidRDefault="00CC47E8" w:rsidP="00CD5352">
            <w:pPr>
              <w:spacing w:line="240" w:lineRule="auto"/>
              <w:ind w:left="0" w:right="0"/>
              <w:rPr>
                <w:rFonts w:asciiTheme="minorHAnsi" w:hAnsiTheme="minorHAnsi"/>
                <w:sz w:val="20"/>
                <w:szCs w:val="20"/>
              </w:rPr>
            </w:pPr>
            <w:r w:rsidRPr="008D4538">
              <w:rPr>
                <w:rFonts w:asciiTheme="minorHAnsi" w:hAnsiTheme="minorHAnsi"/>
                <w:sz w:val="20"/>
                <w:szCs w:val="20"/>
              </w:rPr>
              <w:t>Exposure</w:t>
            </w:r>
            <w:r>
              <w:rPr>
                <w:rFonts w:asciiTheme="minorHAnsi" w:hAnsiTheme="minorHAnsi"/>
                <w:sz w:val="20"/>
                <w:szCs w:val="20"/>
              </w:rPr>
              <w:t xml:space="preserve"> </w:t>
            </w:r>
            <w:r w:rsidRPr="008D4538">
              <w:rPr>
                <w:rFonts w:asciiTheme="minorHAnsi" w:hAnsiTheme="minorHAnsi"/>
                <w:sz w:val="20"/>
                <w:szCs w:val="20"/>
              </w:rPr>
              <w:t>ratio#</w:t>
            </w:r>
          </w:p>
        </w:tc>
      </w:tr>
      <w:tr w:rsidR="005B220F" w:rsidRPr="008D4538" w14:paraId="370AD945" w14:textId="77777777" w:rsidTr="00CC47E8">
        <w:trPr>
          <w:cnfStyle w:val="100000000000" w:firstRow="1" w:lastRow="0" w:firstColumn="0" w:lastColumn="0" w:oddVBand="0" w:evenVBand="0" w:oddHBand="0" w:evenHBand="0" w:firstRowFirstColumn="0" w:firstRowLastColumn="0" w:lastRowFirstColumn="0" w:lastRowLastColumn="0"/>
          <w:trHeight w:val="146"/>
        </w:trPr>
        <w:tc>
          <w:tcPr>
            <w:tcW w:w="1215" w:type="dxa"/>
            <w:vMerge/>
          </w:tcPr>
          <w:p w14:paraId="073C52FD" w14:textId="77777777" w:rsidR="005B220F" w:rsidRPr="008D4538" w:rsidRDefault="005B220F" w:rsidP="00CD5352">
            <w:pPr>
              <w:spacing w:line="240" w:lineRule="auto"/>
              <w:ind w:left="0" w:right="0"/>
              <w:rPr>
                <w:rFonts w:asciiTheme="minorHAnsi" w:hAnsiTheme="minorHAnsi"/>
                <w:sz w:val="20"/>
                <w:szCs w:val="20"/>
              </w:rPr>
            </w:pPr>
          </w:p>
        </w:tc>
        <w:tc>
          <w:tcPr>
            <w:tcW w:w="949" w:type="dxa"/>
            <w:vMerge/>
          </w:tcPr>
          <w:p w14:paraId="2E542258" w14:textId="77777777" w:rsidR="005B220F" w:rsidRPr="008D4538" w:rsidRDefault="005B220F" w:rsidP="00CD5352">
            <w:pPr>
              <w:spacing w:line="240" w:lineRule="auto"/>
              <w:ind w:left="0" w:right="0"/>
              <w:rPr>
                <w:rFonts w:asciiTheme="minorHAnsi" w:hAnsiTheme="minorHAnsi"/>
                <w:sz w:val="20"/>
                <w:szCs w:val="20"/>
              </w:rPr>
            </w:pPr>
          </w:p>
        </w:tc>
        <w:tc>
          <w:tcPr>
            <w:tcW w:w="1697" w:type="dxa"/>
            <w:vMerge/>
          </w:tcPr>
          <w:p w14:paraId="6F8C93A3" w14:textId="77777777" w:rsidR="005B220F" w:rsidRPr="008D4538" w:rsidRDefault="005B220F" w:rsidP="00CD5352">
            <w:pPr>
              <w:spacing w:line="240" w:lineRule="auto"/>
              <w:ind w:left="0" w:right="0"/>
              <w:rPr>
                <w:rFonts w:asciiTheme="minorHAnsi" w:hAnsiTheme="minorHAnsi"/>
                <w:sz w:val="20"/>
                <w:szCs w:val="20"/>
              </w:rPr>
            </w:pPr>
          </w:p>
        </w:tc>
        <w:tc>
          <w:tcPr>
            <w:tcW w:w="1019" w:type="dxa"/>
          </w:tcPr>
          <w:p w14:paraId="59D33FE5" w14:textId="763064F6" w:rsidR="005B220F" w:rsidRPr="005D0C02" w:rsidRDefault="005B220F" w:rsidP="00CD5352">
            <w:pPr>
              <w:spacing w:line="240" w:lineRule="auto"/>
              <w:ind w:left="0" w:right="0"/>
              <w:rPr>
                <w:rFonts w:asciiTheme="minorHAnsi" w:hAnsiTheme="minorHAnsi"/>
                <w:sz w:val="18"/>
                <w:szCs w:val="18"/>
              </w:rPr>
            </w:pPr>
            <w:proofErr w:type="spellStart"/>
            <w:r w:rsidRPr="005D0C02">
              <w:rPr>
                <w:rFonts w:asciiTheme="minorHAnsi" w:hAnsiTheme="minorHAnsi"/>
                <w:sz w:val="18"/>
                <w:szCs w:val="18"/>
              </w:rPr>
              <w:t>gE</w:t>
            </w:r>
            <w:proofErr w:type="spellEnd"/>
            <w:r w:rsidR="000159A6" w:rsidRPr="005D0C02">
              <w:rPr>
                <w:rFonts w:asciiTheme="minorHAnsi" w:hAnsiTheme="minorHAnsi"/>
                <w:sz w:val="18"/>
                <w:szCs w:val="18"/>
              </w:rPr>
              <w:t xml:space="preserve"> </w:t>
            </w:r>
            <w:r w:rsidRPr="005D0C02">
              <w:rPr>
                <w:rFonts w:asciiTheme="minorHAnsi" w:hAnsiTheme="minorHAnsi"/>
                <w:sz w:val="18"/>
                <w:szCs w:val="18"/>
              </w:rPr>
              <w:t>Ag</w:t>
            </w:r>
            <w:r w:rsidR="005D0C02" w:rsidRPr="005D0C02">
              <w:rPr>
                <w:rFonts w:asciiTheme="minorHAnsi" w:hAnsiTheme="minorHAnsi"/>
                <w:sz w:val="18"/>
                <w:szCs w:val="18"/>
              </w:rPr>
              <w:t xml:space="preserve"> </w:t>
            </w:r>
            <w:r w:rsidRPr="005D0C02">
              <w:rPr>
                <w:rFonts w:asciiTheme="minorHAnsi" w:hAnsiTheme="minorHAnsi"/>
                <w:sz w:val="18"/>
                <w:szCs w:val="18"/>
              </w:rPr>
              <w:t>(µg/kg)</w:t>
            </w:r>
          </w:p>
        </w:tc>
        <w:tc>
          <w:tcPr>
            <w:tcW w:w="1018" w:type="dxa"/>
          </w:tcPr>
          <w:p w14:paraId="550B82FC" w14:textId="04790472" w:rsidR="005B220F" w:rsidRPr="005D0C02" w:rsidRDefault="005B220F" w:rsidP="00CD5352">
            <w:pPr>
              <w:spacing w:line="240" w:lineRule="auto"/>
              <w:ind w:left="0" w:right="0"/>
              <w:rPr>
                <w:rFonts w:asciiTheme="minorHAnsi" w:hAnsiTheme="minorHAnsi"/>
                <w:sz w:val="18"/>
                <w:szCs w:val="18"/>
              </w:rPr>
            </w:pPr>
            <w:r w:rsidRPr="005D0C02">
              <w:rPr>
                <w:rFonts w:asciiTheme="minorHAnsi" w:hAnsiTheme="minorHAnsi"/>
                <w:sz w:val="18"/>
                <w:szCs w:val="18"/>
              </w:rPr>
              <w:t>QS-21</w:t>
            </w:r>
            <w:r w:rsidR="005D0C02" w:rsidRPr="005D0C02">
              <w:rPr>
                <w:rFonts w:asciiTheme="minorHAnsi" w:hAnsiTheme="minorHAnsi"/>
                <w:sz w:val="18"/>
                <w:szCs w:val="18"/>
              </w:rPr>
              <w:t xml:space="preserve"> </w:t>
            </w:r>
            <w:r w:rsidRPr="005D0C02">
              <w:rPr>
                <w:rFonts w:asciiTheme="minorHAnsi" w:hAnsiTheme="minorHAnsi"/>
                <w:sz w:val="18"/>
                <w:szCs w:val="18"/>
              </w:rPr>
              <w:t>(µg/kg)</w:t>
            </w:r>
          </w:p>
        </w:tc>
        <w:tc>
          <w:tcPr>
            <w:tcW w:w="1021" w:type="dxa"/>
          </w:tcPr>
          <w:p w14:paraId="14DB2652" w14:textId="48EBBAF0" w:rsidR="005B220F" w:rsidRPr="005D0C02" w:rsidRDefault="005B220F" w:rsidP="00CD5352">
            <w:pPr>
              <w:spacing w:line="240" w:lineRule="auto"/>
              <w:ind w:left="0" w:right="0"/>
              <w:rPr>
                <w:rFonts w:asciiTheme="minorHAnsi" w:hAnsiTheme="minorHAnsi"/>
                <w:sz w:val="18"/>
                <w:szCs w:val="18"/>
              </w:rPr>
            </w:pPr>
            <w:r w:rsidRPr="005D0C02">
              <w:rPr>
                <w:rFonts w:asciiTheme="minorHAnsi" w:hAnsiTheme="minorHAnsi"/>
                <w:sz w:val="18"/>
                <w:szCs w:val="18"/>
              </w:rPr>
              <w:t>QS-21</w:t>
            </w:r>
            <w:r w:rsidR="000159A6" w:rsidRPr="005D0C02">
              <w:rPr>
                <w:rFonts w:asciiTheme="minorHAnsi" w:hAnsiTheme="minorHAnsi"/>
                <w:sz w:val="18"/>
                <w:szCs w:val="18"/>
              </w:rPr>
              <w:t xml:space="preserve"> </w:t>
            </w:r>
            <w:r w:rsidRPr="005D0C02">
              <w:rPr>
                <w:rFonts w:asciiTheme="minorHAnsi" w:hAnsiTheme="minorHAnsi"/>
                <w:sz w:val="18"/>
                <w:szCs w:val="18"/>
              </w:rPr>
              <w:t>(µg/m2)†</w:t>
            </w:r>
          </w:p>
        </w:tc>
        <w:tc>
          <w:tcPr>
            <w:tcW w:w="967" w:type="dxa"/>
          </w:tcPr>
          <w:p w14:paraId="31BDCB33" w14:textId="47AD3271" w:rsidR="005B220F" w:rsidRPr="005D0C02" w:rsidRDefault="005B220F" w:rsidP="00CD5352">
            <w:pPr>
              <w:spacing w:line="240" w:lineRule="auto"/>
              <w:ind w:left="0" w:right="0"/>
              <w:rPr>
                <w:rFonts w:asciiTheme="minorHAnsi" w:hAnsiTheme="minorHAnsi"/>
                <w:sz w:val="18"/>
                <w:szCs w:val="18"/>
              </w:rPr>
            </w:pPr>
            <w:r w:rsidRPr="005D0C02">
              <w:rPr>
                <w:rFonts w:asciiTheme="minorHAnsi" w:hAnsiTheme="minorHAnsi"/>
                <w:sz w:val="18"/>
                <w:szCs w:val="18"/>
              </w:rPr>
              <w:t>gE</w:t>
            </w:r>
            <w:r w:rsidR="000159A6" w:rsidRPr="005D0C02">
              <w:rPr>
                <w:rFonts w:asciiTheme="minorHAnsi" w:hAnsiTheme="minorHAnsi"/>
                <w:sz w:val="18"/>
                <w:szCs w:val="18"/>
              </w:rPr>
              <w:t xml:space="preserve"> </w:t>
            </w:r>
            <w:r w:rsidRPr="005D0C02">
              <w:rPr>
                <w:rFonts w:asciiTheme="minorHAnsi" w:hAnsiTheme="minorHAnsi"/>
                <w:sz w:val="18"/>
                <w:szCs w:val="18"/>
              </w:rPr>
              <w:t>Ag</w:t>
            </w:r>
          </w:p>
        </w:tc>
        <w:tc>
          <w:tcPr>
            <w:tcW w:w="1042" w:type="dxa"/>
          </w:tcPr>
          <w:p w14:paraId="4C14E37E" w14:textId="77777777" w:rsidR="005B220F" w:rsidRPr="005D0C02" w:rsidRDefault="005B220F" w:rsidP="00CD5352">
            <w:pPr>
              <w:spacing w:line="240" w:lineRule="auto"/>
              <w:ind w:left="0" w:right="0"/>
              <w:rPr>
                <w:rFonts w:asciiTheme="minorHAnsi" w:hAnsiTheme="minorHAnsi"/>
                <w:sz w:val="18"/>
                <w:szCs w:val="18"/>
              </w:rPr>
            </w:pPr>
            <w:r w:rsidRPr="005D0C02">
              <w:rPr>
                <w:rFonts w:asciiTheme="minorHAnsi" w:hAnsiTheme="minorHAnsi"/>
                <w:sz w:val="18"/>
                <w:szCs w:val="18"/>
              </w:rPr>
              <w:t>QS-21</w:t>
            </w:r>
          </w:p>
        </w:tc>
      </w:tr>
      <w:tr w:rsidR="00CC47E8" w:rsidRPr="00CC47E8" w14:paraId="0EC945B2" w14:textId="77777777" w:rsidTr="00CC47E8">
        <w:trPr>
          <w:trHeight w:val="229"/>
        </w:trPr>
        <w:tc>
          <w:tcPr>
            <w:tcW w:w="8928" w:type="dxa"/>
            <w:gridSpan w:val="8"/>
          </w:tcPr>
          <w:p w14:paraId="3F2656CC" w14:textId="58C79FCE" w:rsidR="00CC47E8" w:rsidRPr="00CC47E8" w:rsidRDefault="00CC47E8" w:rsidP="00CD5352">
            <w:pPr>
              <w:keepNext/>
              <w:spacing w:line="240" w:lineRule="auto"/>
              <w:ind w:left="0" w:right="0"/>
              <w:rPr>
                <w:rFonts w:asciiTheme="minorHAnsi" w:hAnsiTheme="minorHAnsi"/>
                <w:b/>
                <w:sz w:val="18"/>
                <w:szCs w:val="18"/>
              </w:rPr>
            </w:pPr>
            <w:proofErr w:type="spellStart"/>
            <w:r w:rsidRPr="00CC47E8">
              <w:rPr>
                <w:rFonts w:asciiTheme="minorHAnsi" w:hAnsiTheme="minorHAnsi"/>
                <w:b/>
                <w:sz w:val="20"/>
                <w:szCs w:val="18"/>
              </w:rPr>
              <w:t>gE</w:t>
            </w:r>
            <w:proofErr w:type="spellEnd"/>
            <w:r w:rsidRPr="00CC47E8">
              <w:rPr>
                <w:rFonts w:asciiTheme="minorHAnsi" w:hAnsiTheme="minorHAnsi"/>
                <w:b/>
                <w:sz w:val="20"/>
                <w:szCs w:val="18"/>
              </w:rPr>
              <w:t>/</w:t>
            </w:r>
            <w:r w:rsidRPr="00CC47E8">
              <w:rPr>
                <w:b/>
                <w:sz w:val="20"/>
                <w:szCs w:val="18"/>
              </w:rPr>
              <w:t>AS01</w:t>
            </w:r>
            <w:r w:rsidRPr="00CC47E8">
              <w:rPr>
                <w:b/>
                <w:sz w:val="20"/>
                <w:szCs w:val="18"/>
                <w:vertAlign w:val="subscript"/>
              </w:rPr>
              <w:t>B</w:t>
            </w:r>
          </w:p>
        </w:tc>
      </w:tr>
      <w:tr w:rsidR="00CC47E8" w:rsidRPr="008D4538" w14:paraId="6EEC9EDA" w14:textId="77777777" w:rsidTr="00CC47E8">
        <w:trPr>
          <w:trHeight w:val="229"/>
        </w:trPr>
        <w:tc>
          <w:tcPr>
            <w:tcW w:w="1215" w:type="dxa"/>
          </w:tcPr>
          <w:p w14:paraId="5D20BD40" w14:textId="551DD4E9"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[information redacted]</w:t>
            </w:r>
          </w:p>
        </w:tc>
        <w:tc>
          <w:tcPr>
            <w:tcW w:w="949" w:type="dxa"/>
            <w:vMerge w:val="restart"/>
          </w:tcPr>
          <w:p w14:paraId="71895395" w14:textId="07D78B60"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Rabbit</w:t>
            </w:r>
          </w:p>
        </w:tc>
        <w:tc>
          <w:tcPr>
            <w:tcW w:w="1697" w:type="dxa"/>
          </w:tcPr>
          <w:p w14:paraId="760DD65A" w14:textId="270026A0"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3 doses (IM)</w:t>
            </w:r>
            <w:r>
              <w:rPr>
                <w:rFonts w:asciiTheme="minorHAnsi" w:hAnsiTheme="minorHAnsi"/>
                <w:sz w:val="18"/>
                <w:szCs w:val="18"/>
              </w:rPr>
              <w:br/>
            </w:r>
            <w:r w:rsidRPr="005D0C02">
              <w:rPr>
                <w:rFonts w:asciiTheme="minorHAnsi" w:hAnsiTheme="minorHAnsi"/>
                <w:sz w:val="18"/>
                <w:szCs w:val="18"/>
              </w:rPr>
              <w:t>2 week intervals</w:t>
            </w:r>
          </w:p>
        </w:tc>
        <w:tc>
          <w:tcPr>
            <w:tcW w:w="1019" w:type="dxa"/>
          </w:tcPr>
          <w:p w14:paraId="381AEA37"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33</w:t>
            </w:r>
          </w:p>
        </w:tc>
        <w:tc>
          <w:tcPr>
            <w:tcW w:w="1018" w:type="dxa"/>
          </w:tcPr>
          <w:p w14:paraId="59B0AEE1"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17</w:t>
            </w:r>
          </w:p>
        </w:tc>
        <w:tc>
          <w:tcPr>
            <w:tcW w:w="1021" w:type="dxa"/>
          </w:tcPr>
          <w:p w14:paraId="51A57F25"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204</w:t>
            </w:r>
          </w:p>
        </w:tc>
        <w:tc>
          <w:tcPr>
            <w:tcW w:w="967" w:type="dxa"/>
          </w:tcPr>
          <w:p w14:paraId="7E1A0F8E"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17</w:t>
            </w:r>
          </w:p>
        </w:tc>
        <w:tc>
          <w:tcPr>
            <w:tcW w:w="1042" w:type="dxa"/>
          </w:tcPr>
          <w:p w14:paraId="6F6516EF"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6</w:t>
            </w:r>
          </w:p>
        </w:tc>
      </w:tr>
      <w:tr w:rsidR="00CC47E8" w:rsidRPr="008D4538" w14:paraId="14DB7DDE" w14:textId="77777777" w:rsidTr="00CC47E8">
        <w:trPr>
          <w:trHeight w:val="229"/>
        </w:trPr>
        <w:tc>
          <w:tcPr>
            <w:tcW w:w="1215" w:type="dxa"/>
            <w:tcBorders>
              <w:bottom w:val="single" w:sz="8" w:space="0" w:color="000000" w:themeColor="text1"/>
            </w:tcBorders>
          </w:tcPr>
          <w:p w14:paraId="376B619D" w14:textId="081B84B2" w:rsidR="00CC47E8" w:rsidRPr="005D0C02" w:rsidRDefault="00CC47E8" w:rsidP="00CD5352">
            <w:pPr>
              <w:keepNext/>
              <w:spacing w:line="240" w:lineRule="auto"/>
              <w:ind w:left="0" w:right="0"/>
              <w:rPr>
                <w:rFonts w:asciiTheme="minorHAnsi" w:hAnsiTheme="minorHAnsi"/>
                <w:i/>
                <w:sz w:val="18"/>
                <w:szCs w:val="18"/>
              </w:rPr>
            </w:pPr>
            <w:r w:rsidRPr="005D0C02">
              <w:rPr>
                <w:rFonts w:asciiTheme="minorHAnsi" w:hAnsiTheme="minorHAnsi"/>
                <w:sz w:val="18"/>
                <w:szCs w:val="18"/>
              </w:rPr>
              <w:t>[information redacted]</w:t>
            </w:r>
          </w:p>
        </w:tc>
        <w:tc>
          <w:tcPr>
            <w:tcW w:w="949" w:type="dxa"/>
            <w:vMerge/>
            <w:tcBorders>
              <w:bottom w:val="single" w:sz="8" w:space="0" w:color="000000" w:themeColor="text1"/>
            </w:tcBorders>
          </w:tcPr>
          <w:p w14:paraId="722CE6D7" w14:textId="77777777" w:rsidR="00CC47E8" w:rsidRPr="005D0C02" w:rsidRDefault="00CC47E8" w:rsidP="00CD5352">
            <w:pPr>
              <w:keepNext/>
              <w:spacing w:line="240" w:lineRule="auto"/>
              <w:ind w:left="0" w:right="0"/>
              <w:rPr>
                <w:rFonts w:asciiTheme="minorHAnsi" w:hAnsiTheme="minorHAnsi"/>
                <w:sz w:val="18"/>
                <w:szCs w:val="18"/>
              </w:rPr>
            </w:pPr>
          </w:p>
        </w:tc>
        <w:tc>
          <w:tcPr>
            <w:tcW w:w="1697" w:type="dxa"/>
            <w:tcBorders>
              <w:bottom w:val="single" w:sz="8" w:space="0" w:color="000000" w:themeColor="text1"/>
            </w:tcBorders>
          </w:tcPr>
          <w:p w14:paraId="6A2D0109" w14:textId="58597FE4"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4 doses (SC/IM)</w:t>
            </w:r>
            <w:r>
              <w:rPr>
                <w:rFonts w:asciiTheme="minorHAnsi" w:hAnsiTheme="minorHAnsi"/>
                <w:sz w:val="18"/>
                <w:szCs w:val="18"/>
              </w:rPr>
              <w:br/>
            </w:r>
            <w:r w:rsidRPr="005D0C02">
              <w:rPr>
                <w:rFonts w:asciiTheme="minorHAnsi" w:hAnsiTheme="minorHAnsi"/>
                <w:sz w:val="18"/>
                <w:szCs w:val="18"/>
              </w:rPr>
              <w:t>2 week intervals</w:t>
            </w:r>
          </w:p>
        </w:tc>
        <w:tc>
          <w:tcPr>
            <w:tcW w:w="1019" w:type="dxa"/>
            <w:tcBorders>
              <w:bottom w:val="single" w:sz="8" w:space="0" w:color="000000" w:themeColor="text1"/>
            </w:tcBorders>
          </w:tcPr>
          <w:p w14:paraId="6A3567B6"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17</w:t>
            </w:r>
          </w:p>
        </w:tc>
        <w:tc>
          <w:tcPr>
            <w:tcW w:w="1018" w:type="dxa"/>
            <w:tcBorders>
              <w:bottom w:val="single" w:sz="8" w:space="0" w:color="000000" w:themeColor="text1"/>
            </w:tcBorders>
          </w:tcPr>
          <w:p w14:paraId="4C3F6F44"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17</w:t>
            </w:r>
          </w:p>
        </w:tc>
        <w:tc>
          <w:tcPr>
            <w:tcW w:w="1021" w:type="dxa"/>
            <w:tcBorders>
              <w:bottom w:val="single" w:sz="8" w:space="0" w:color="000000" w:themeColor="text1"/>
            </w:tcBorders>
          </w:tcPr>
          <w:p w14:paraId="47C07AC7"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204</w:t>
            </w:r>
          </w:p>
        </w:tc>
        <w:tc>
          <w:tcPr>
            <w:tcW w:w="967" w:type="dxa"/>
            <w:tcBorders>
              <w:bottom w:val="single" w:sz="8" w:space="0" w:color="000000" w:themeColor="text1"/>
            </w:tcBorders>
          </w:tcPr>
          <w:p w14:paraId="7CDE171E"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17</w:t>
            </w:r>
          </w:p>
        </w:tc>
        <w:tc>
          <w:tcPr>
            <w:tcW w:w="1042" w:type="dxa"/>
            <w:tcBorders>
              <w:bottom w:val="single" w:sz="8" w:space="0" w:color="000000" w:themeColor="text1"/>
            </w:tcBorders>
          </w:tcPr>
          <w:p w14:paraId="15CF8F57"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6</w:t>
            </w:r>
          </w:p>
        </w:tc>
      </w:tr>
      <w:tr w:rsidR="00CC47E8" w:rsidRPr="00CC47E8" w14:paraId="4CC6D413" w14:textId="77777777" w:rsidTr="00CC47E8">
        <w:trPr>
          <w:trHeight w:val="229"/>
        </w:trPr>
        <w:tc>
          <w:tcPr>
            <w:tcW w:w="8928" w:type="dxa"/>
            <w:gridSpan w:val="8"/>
          </w:tcPr>
          <w:p w14:paraId="4F63AB56" w14:textId="172975F1" w:rsidR="00CC47E8" w:rsidRPr="00CC47E8" w:rsidRDefault="00CC47E8" w:rsidP="00CD5352">
            <w:pPr>
              <w:keepNext/>
              <w:spacing w:line="240" w:lineRule="auto"/>
              <w:ind w:left="0" w:right="0"/>
              <w:rPr>
                <w:rFonts w:asciiTheme="minorHAnsi" w:hAnsiTheme="minorHAnsi"/>
                <w:b/>
                <w:sz w:val="18"/>
                <w:szCs w:val="18"/>
              </w:rPr>
            </w:pPr>
            <w:r w:rsidRPr="00CC47E8">
              <w:rPr>
                <w:b/>
                <w:sz w:val="18"/>
                <w:szCs w:val="18"/>
              </w:rPr>
              <w:t>AS01</w:t>
            </w:r>
            <w:r w:rsidRPr="00CC47E8">
              <w:rPr>
                <w:b/>
                <w:sz w:val="18"/>
                <w:szCs w:val="18"/>
                <w:vertAlign w:val="subscript"/>
              </w:rPr>
              <w:t>B</w:t>
            </w:r>
          </w:p>
        </w:tc>
      </w:tr>
      <w:tr w:rsidR="005B220F" w:rsidRPr="008D4538" w14:paraId="2ED09463" w14:textId="77777777" w:rsidTr="005D0C02">
        <w:trPr>
          <w:trHeight w:val="229"/>
        </w:trPr>
        <w:tc>
          <w:tcPr>
            <w:tcW w:w="1215" w:type="dxa"/>
          </w:tcPr>
          <w:p w14:paraId="4870E7AD" w14:textId="47A76F35" w:rsidR="005B220F" w:rsidRPr="005D0C02" w:rsidRDefault="00503D1B"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[information</w:t>
            </w:r>
            <w:r w:rsidR="000159A6" w:rsidRPr="005D0C02">
              <w:rPr>
                <w:rFonts w:asciiTheme="minorHAnsi" w:hAnsiTheme="minorHAnsi"/>
                <w:sz w:val="18"/>
                <w:szCs w:val="18"/>
              </w:rPr>
              <w:t xml:space="preserve"> </w:t>
            </w:r>
            <w:r w:rsidR="00E22B7E" w:rsidRPr="005D0C02">
              <w:rPr>
                <w:rFonts w:asciiTheme="minorHAnsi" w:hAnsiTheme="minorHAnsi"/>
                <w:sz w:val="18"/>
                <w:szCs w:val="18"/>
              </w:rPr>
              <w:t>redacted</w:t>
            </w:r>
            <w:r w:rsidRPr="005D0C02">
              <w:rPr>
                <w:rFonts w:asciiTheme="minorHAnsi" w:hAnsiTheme="minorHAnsi"/>
                <w:sz w:val="18"/>
                <w:szCs w:val="18"/>
              </w:rPr>
              <w:t>]</w:t>
            </w:r>
          </w:p>
        </w:tc>
        <w:tc>
          <w:tcPr>
            <w:tcW w:w="949" w:type="dxa"/>
          </w:tcPr>
          <w:p w14:paraId="34754043"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Rat</w:t>
            </w:r>
          </w:p>
        </w:tc>
        <w:tc>
          <w:tcPr>
            <w:tcW w:w="1697" w:type="dxa"/>
          </w:tcPr>
          <w:p w14:paraId="6094CC8F" w14:textId="11FF3461"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7</w:t>
            </w:r>
            <w:r w:rsidR="000159A6" w:rsidRPr="005D0C02">
              <w:rPr>
                <w:rFonts w:asciiTheme="minorHAnsi" w:hAnsiTheme="minorHAnsi"/>
                <w:sz w:val="18"/>
                <w:szCs w:val="18"/>
              </w:rPr>
              <w:t xml:space="preserve"> </w:t>
            </w:r>
            <w:r w:rsidRPr="005D0C02">
              <w:rPr>
                <w:rFonts w:asciiTheme="minorHAnsi" w:hAnsiTheme="minorHAnsi"/>
                <w:sz w:val="18"/>
                <w:szCs w:val="18"/>
              </w:rPr>
              <w:t>doses</w:t>
            </w:r>
            <w:r w:rsidR="000159A6" w:rsidRPr="005D0C02">
              <w:rPr>
                <w:rFonts w:asciiTheme="minorHAnsi" w:hAnsiTheme="minorHAnsi"/>
                <w:sz w:val="18"/>
                <w:szCs w:val="18"/>
              </w:rPr>
              <w:t xml:space="preserve"> </w:t>
            </w:r>
            <w:r w:rsidRPr="005D0C02">
              <w:rPr>
                <w:rFonts w:asciiTheme="minorHAnsi" w:hAnsiTheme="minorHAnsi"/>
                <w:sz w:val="18"/>
                <w:szCs w:val="18"/>
              </w:rPr>
              <w:t>(IM)</w:t>
            </w:r>
            <w:r w:rsidR="005D0C02">
              <w:rPr>
                <w:rFonts w:asciiTheme="minorHAnsi" w:hAnsiTheme="minorHAnsi"/>
                <w:sz w:val="18"/>
                <w:szCs w:val="18"/>
              </w:rPr>
              <w:br/>
            </w:r>
            <w:r w:rsidRPr="005D0C02">
              <w:rPr>
                <w:rFonts w:asciiTheme="minorHAnsi" w:hAnsiTheme="minorHAnsi"/>
                <w:sz w:val="18"/>
                <w:szCs w:val="18"/>
              </w:rPr>
              <w:t>2</w:t>
            </w:r>
            <w:r w:rsidR="000159A6" w:rsidRPr="005D0C02">
              <w:rPr>
                <w:rFonts w:asciiTheme="minorHAnsi" w:hAnsiTheme="minorHAnsi"/>
                <w:sz w:val="18"/>
                <w:szCs w:val="18"/>
              </w:rPr>
              <w:t xml:space="preserve"> </w:t>
            </w:r>
            <w:r w:rsidRPr="005D0C02">
              <w:rPr>
                <w:rFonts w:asciiTheme="minorHAnsi" w:hAnsiTheme="minorHAnsi"/>
                <w:sz w:val="18"/>
                <w:szCs w:val="18"/>
              </w:rPr>
              <w:t>week</w:t>
            </w:r>
            <w:r w:rsidR="000159A6" w:rsidRPr="005D0C02">
              <w:rPr>
                <w:rFonts w:asciiTheme="minorHAnsi" w:hAnsiTheme="minorHAnsi"/>
                <w:sz w:val="18"/>
                <w:szCs w:val="18"/>
              </w:rPr>
              <w:t xml:space="preserve"> </w:t>
            </w:r>
            <w:r w:rsidRPr="005D0C02">
              <w:rPr>
                <w:rFonts w:asciiTheme="minorHAnsi" w:hAnsiTheme="minorHAnsi"/>
                <w:sz w:val="18"/>
                <w:szCs w:val="18"/>
              </w:rPr>
              <w:t>intervals</w:t>
            </w:r>
          </w:p>
        </w:tc>
        <w:tc>
          <w:tcPr>
            <w:tcW w:w="1019" w:type="dxa"/>
          </w:tcPr>
          <w:p w14:paraId="2AAC2BC4"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18" w:type="dxa"/>
          </w:tcPr>
          <w:p w14:paraId="00835E23"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80</w:t>
            </w:r>
          </w:p>
        </w:tc>
        <w:tc>
          <w:tcPr>
            <w:tcW w:w="1021" w:type="dxa"/>
          </w:tcPr>
          <w:p w14:paraId="028F208D"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480</w:t>
            </w:r>
          </w:p>
        </w:tc>
        <w:tc>
          <w:tcPr>
            <w:tcW w:w="967" w:type="dxa"/>
          </w:tcPr>
          <w:p w14:paraId="0F179F17"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42" w:type="dxa"/>
          </w:tcPr>
          <w:p w14:paraId="109B2A5C"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15</w:t>
            </w:r>
          </w:p>
        </w:tc>
      </w:tr>
      <w:tr w:rsidR="005B220F" w:rsidRPr="008D4538" w14:paraId="31B32523" w14:textId="77777777" w:rsidTr="005D0C02">
        <w:trPr>
          <w:trHeight w:val="229"/>
        </w:trPr>
        <w:tc>
          <w:tcPr>
            <w:tcW w:w="1215" w:type="dxa"/>
            <w:tcBorders>
              <w:bottom w:val="single" w:sz="8" w:space="0" w:color="000000" w:themeColor="text1"/>
            </w:tcBorders>
          </w:tcPr>
          <w:p w14:paraId="7E0AC9BB" w14:textId="4928F200" w:rsidR="005B220F" w:rsidRPr="005D0C02" w:rsidRDefault="00503D1B"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[information</w:t>
            </w:r>
            <w:r w:rsidR="000159A6" w:rsidRPr="005D0C02">
              <w:rPr>
                <w:rFonts w:asciiTheme="minorHAnsi" w:hAnsiTheme="minorHAnsi"/>
                <w:sz w:val="18"/>
                <w:szCs w:val="18"/>
              </w:rPr>
              <w:t xml:space="preserve"> </w:t>
            </w:r>
            <w:r w:rsidR="00E22B7E" w:rsidRPr="005D0C02">
              <w:rPr>
                <w:rFonts w:asciiTheme="minorHAnsi" w:hAnsiTheme="minorHAnsi"/>
                <w:sz w:val="18"/>
                <w:szCs w:val="18"/>
              </w:rPr>
              <w:t>redacted</w:t>
            </w:r>
            <w:r w:rsidRPr="005D0C02">
              <w:rPr>
                <w:rFonts w:asciiTheme="minorHAnsi" w:hAnsiTheme="minorHAnsi"/>
                <w:sz w:val="18"/>
                <w:szCs w:val="18"/>
              </w:rPr>
              <w:t>]</w:t>
            </w:r>
          </w:p>
        </w:tc>
        <w:tc>
          <w:tcPr>
            <w:tcW w:w="949" w:type="dxa"/>
            <w:tcBorders>
              <w:bottom w:val="single" w:sz="8" w:space="0" w:color="000000" w:themeColor="text1"/>
            </w:tcBorders>
          </w:tcPr>
          <w:p w14:paraId="262DA5E3"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Rabbit</w:t>
            </w:r>
          </w:p>
        </w:tc>
        <w:tc>
          <w:tcPr>
            <w:tcW w:w="1697" w:type="dxa"/>
            <w:tcBorders>
              <w:bottom w:val="single" w:sz="8" w:space="0" w:color="000000" w:themeColor="text1"/>
            </w:tcBorders>
          </w:tcPr>
          <w:p w14:paraId="4B013C64" w14:textId="54D92029"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5</w:t>
            </w:r>
            <w:r w:rsidR="000159A6" w:rsidRPr="005D0C02">
              <w:rPr>
                <w:rFonts w:asciiTheme="minorHAnsi" w:hAnsiTheme="minorHAnsi"/>
                <w:sz w:val="18"/>
                <w:szCs w:val="18"/>
              </w:rPr>
              <w:t xml:space="preserve"> </w:t>
            </w:r>
            <w:r w:rsidRPr="005D0C02">
              <w:rPr>
                <w:rFonts w:asciiTheme="minorHAnsi" w:hAnsiTheme="minorHAnsi"/>
                <w:sz w:val="18"/>
                <w:szCs w:val="18"/>
              </w:rPr>
              <w:t>doses</w:t>
            </w:r>
            <w:r w:rsidR="000159A6" w:rsidRPr="005D0C02">
              <w:rPr>
                <w:rFonts w:asciiTheme="minorHAnsi" w:hAnsiTheme="minorHAnsi"/>
                <w:sz w:val="18"/>
                <w:szCs w:val="18"/>
              </w:rPr>
              <w:t xml:space="preserve"> </w:t>
            </w:r>
            <w:r w:rsidRPr="005D0C02">
              <w:rPr>
                <w:rFonts w:asciiTheme="minorHAnsi" w:hAnsiTheme="minorHAnsi"/>
                <w:sz w:val="18"/>
                <w:szCs w:val="18"/>
              </w:rPr>
              <w:t>(IM)</w:t>
            </w:r>
            <w:r w:rsidR="005D0C02">
              <w:rPr>
                <w:rFonts w:asciiTheme="minorHAnsi" w:hAnsiTheme="minorHAnsi"/>
                <w:sz w:val="18"/>
                <w:szCs w:val="18"/>
              </w:rPr>
              <w:t xml:space="preserve"> </w:t>
            </w:r>
            <w:r w:rsidR="005D0C02">
              <w:rPr>
                <w:rFonts w:asciiTheme="minorHAnsi" w:hAnsiTheme="minorHAnsi"/>
                <w:sz w:val="18"/>
                <w:szCs w:val="18"/>
              </w:rPr>
              <w:br/>
            </w:r>
            <w:r w:rsidRPr="005D0C02">
              <w:rPr>
                <w:rFonts w:asciiTheme="minorHAnsi" w:hAnsiTheme="minorHAnsi"/>
                <w:sz w:val="18"/>
                <w:szCs w:val="18"/>
              </w:rPr>
              <w:t>2</w:t>
            </w:r>
            <w:r w:rsidR="000159A6" w:rsidRPr="005D0C02">
              <w:rPr>
                <w:rFonts w:asciiTheme="minorHAnsi" w:hAnsiTheme="minorHAnsi"/>
                <w:sz w:val="18"/>
                <w:szCs w:val="18"/>
              </w:rPr>
              <w:t xml:space="preserve"> </w:t>
            </w:r>
            <w:r w:rsidRPr="005D0C02">
              <w:rPr>
                <w:rFonts w:asciiTheme="minorHAnsi" w:hAnsiTheme="minorHAnsi"/>
                <w:sz w:val="18"/>
                <w:szCs w:val="18"/>
              </w:rPr>
              <w:t>week</w:t>
            </w:r>
            <w:r w:rsidR="000159A6" w:rsidRPr="005D0C02">
              <w:rPr>
                <w:rFonts w:asciiTheme="minorHAnsi" w:hAnsiTheme="minorHAnsi"/>
                <w:sz w:val="18"/>
                <w:szCs w:val="18"/>
              </w:rPr>
              <w:t xml:space="preserve"> </w:t>
            </w:r>
            <w:r w:rsidRPr="005D0C02">
              <w:rPr>
                <w:rFonts w:asciiTheme="minorHAnsi" w:hAnsiTheme="minorHAnsi"/>
                <w:sz w:val="18"/>
                <w:szCs w:val="18"/>
              </w:rPr>
              <w:t>intervals</w:t>
            </w:r>
          </w:p>
        </w:tc>
        <w:tc>
          <w:tcPr>
            <w:tcW w:w="1019" w:type="dxa"/>
            <w:tcBorders>
              <w:bottom w:val="single" w:sz="8" w:space="0" w:color="000000" w:themeColor="text1"/>
            </w:tcBorders>
          </w:tcPr>
          <w:p w14:paraId="6B848D95"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18" w:type="dxa"/>
            <w:tcBorders>
              <w:bottom w:val="single" w:sz="8" w:space="0" w:color="000000" w:themeColor="text1"/>
            </w:tcBorders>
          </w:tcPr>
          <w:p w14:paraId="5B0C5561"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17</w:t>
            </w:r>
          </w:p>
        </w:tc>
        <w:tc>
          <w:tcPr>
            <w:tcW w:w="1021" w:type="dxa"/>
            <w:tcBorders>
              <w:bottom w:val="single" w:sz="8" w:space="0" w:color="000000" w:themeColor="text1"/>
            </w:tcBorders>
          </w:tcPr>
          <w:p w14:paraId="3784C151"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204</w:t>
            </w:r>
          </w:p>
        </w:tc>
        <w:tc>
          <w:tcPr>
            <w:tcW w:w="967" w:type="dxa"/>
            <w:tcBorders>
              <w:bottom w:val="single" w:sz="8" w:space="0" w:color="000000" w:themeColor="text1"/>
            </w:tcBorders>
          </w:tcPr>
          <w:p w14:paraId="17AF2F01"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42" w:type="dxa"/>
            <w:tcBorders>
              <w:bottom w:val="single" w:sz="8" w:space="0" w:color="000000" w:themeColor="text1"/>
            </w:tcBorders>
          </w:tcPr>
          <w:p w14:paraId="65655A1F"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6</w:t>
            </w:r>
          </w:p>
        </w:tc>
      </w:tr>
      <w:tr w:rsidR="00CC47E8" w:rsidRPr="008D4538" w14:paraId="0922436E" w14:textId="77777777" w:rsidTr="00CC47E8">
        <w:trPr>
          <w:trHeight w:val="229"/>
        </w:trPr>
        <w:tc>
          <w:tcPr>
            <w:tcW w:w="8928" w:type="dxa"/>
            <w:gridSpan w:val="8"/>
          </w:tcPr>
          <w:p w14:paraId="3EEF0B68" w14:textId="45DA3C60" w:rsidR="00CC47E8" w:rsidRPr="005D0C02" w:rsidRDefault="00CC47E8" w:rsidP="00CD5352">
            <w:pPr>
              <w:keepNext/>
              <w:spacing w:line="240" w:lineRule="auto"/>
              <w:ind w:left="0" w:right="0"/>
              <w:rPr>
                <w:rFonts w:asciiTheme="minorHAnsi" w:hAnsiTheme="minorHAnsi"/>
                <w:b/>
                <w:sz w:val="18"/>
                <w:szCs w:val="18"/>
              </w:rPr>
            </w:pPr>
            <w:r w:rsidRPr="005D0C02">
              <w:rPr>
                <w:rFonts w:asciiTheme="minorHAnsi" w:hAnsiTheme="minorHAnsi"/>
                <w:b/>
                <w:sz w:val="20"/>
                <w:szCs w:val="18"/>
              </w:rPr>
              <w:t>QS-21</w:t>
            </w:r>
          </w:p>
        </w:tc>
      </w:tr>
      <w:tr w:rsidR="00CC47E8" w:rsidRPr="008D4538" w14:paraId="5AB115C5" w14:textId="77777777" w:rsidTr="00CC47E8">
        <w:trPr>
          <w:trHeight w:val="229"/>
        </w:trPr>
        <w:tc>
          <w:tcPr>
            <w:tcW w:w="1215" w:type="dxa"/>
            <w:vMerge w:val="restart"/>
          </w:tcPr>
          <w:p w14:paraId="145AF888" w14:textId="71413392"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[information redacted]</w:t>
            </w:r>
          </w:p>
        </w:tc>
        <w:tc>
          <w:tcPr>
            <w:tcW w:w="949" w:type="dxa"/>
            <w:vMerge w:val="restart"/>
          </w:tcPr>
          <w:p w14:paraId="67A6590D"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Rat</w:t>
            </w:r>
          </w:p>
        </w:tc>
        <w:tc>
          <w:tcPr>
            <w:tcW w:w="1697" w:type="dxa"/>
            <w:vMerge w:val="restart"/>
          </w:tcPr>
          <w:p w14:paraId="6ADE81F2" w14:textId="126C03C4"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6 doses (IM)</w:t>
            </w:r>
            <w:r>
              <w:rPr>
                <w:rFonts w:asciiTheme="minorHAnsi" w:hAnsiTheme="minorHAnsi"/>
                <w:sz w:val="18"/>
                <w:szCs w:val="18"/>
              </w:rPr>
              <w:br/>
            </w:r>
            <w:r w:rsidRPr="005D0C02">
              <w:rPr>
                <w:rFonts w:asciiTheme="minorHAnsi" w:hAnsiTheme="minorHAnsi"/>
                <w:sz w:val="18"/>
                <w:szCs w:val="18"/>
              </w:rPr>
              <w:t>3-4 day intervals</w:t>
            </w:r>
          </w:p>
        </w:tc>
        <w:tc>
          <w:tcPr>
            <w:tcW w:w="1019" w:type="dxa"/>
          </w:tcPr>
          <w:p w14:paraId="2AA5BE9B"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18" w:type="dxa"/>
          </w:tcPr>
          <w:p w14:paraId="657E5BEE"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10/16‡</w:t>
            </w:r>
          </w:p>
        </w:tc>
        <w:tc>
          <w:tcPr>
            <w:tcW w:w="1021" w:type="dxa"/>
          </w:tcPr>
          <w:p w14:paraId="045468B7"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60/96‡</w:t>
            </w:r>
          </w:p>
        </w:tc>
        <w:tc>
          <w:tcPr>
            <w:tcW w:w="967" w:type="dxa"/>
          </w:tcPr>
          <w:p w14:paraId="11EB2E93"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42" w:type="dxa"/>
          </w:tcPr>
          <w:p w14:paraId="2956C775"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2/3‡</w:t>
            </w:r>
          </w:p>
        </w:tc>
      </w:tr>
      <w:tr w:rsidR="00CC47E8" w:rsidRPr="008D4538" w14:paraId="2225CAC7" w14:textId="77777777" w:rsidTr="00CC47E8">
        <w:trPr>
          <w:trHeight w:val="229"/>
        </w:trPr>
        <w:tc>
          <w:tcPr>
            <w:tcW w:w="1215" w:type="dxa"/>
            <w:vMerge/>
          </w:tcPr>
          <w:p w14:paraId="0DBD11EA" w14:textId="77777777" w:rsidR="00CC47E8" w:rsidRPr="005D0C02" w:rsidRDefault="00CC47E8" w:rsidP="00CD5352">
            <w:pPr>
              <w:keepNext/>
              <w:spacing w:line="240" w:lineRule="auto"/>
              <w:ind w:left="0" w:right="0"/>
              <w:rPr>
                <w:rFonts w:asciiTheme="minorHAnsi" w:hAnsiTheme="minorHAnsi"/>
                <w:sz w:val="18"/>
                <w:szCs w:val="18"/>
              </w:rPr>
            </w:pPr>
          </w:p>
        </w:tc>
        <w:tc>
          <w:tcPr>
            <w:tcW w:w="949" w:type="dxa"/>
            <w:vMerge/>
          </w:tcPr>
          <w:p w14:paraId="472E7596" w14:textId="77777777" w:rsidR="00CC47E8" w:rsidRPr="005D0C02" w:rsidRDefault="00CC47E8" w:rsidP="00CD5352">
            <w:pPr>
              <w:keepNext/>
              <w:spacing w:line="240" w:lineRule="auto"/>
              <w:ind w:left="0" w:right="0"/>
              <w:rPr>
                <w:rFonts w:asciiTheme="minorHAnsi" w:hAnsiTheme="minorHAnsi"/>
                <w:sz w:val="18"/>
                <w:szCs w:val="18"/>
              </w:rPr>
            </w:pPr>
          </w:p>
        </w:tc>
        <w:tc>
          <w:tcPr>
            <w:tcW w:w="1697" w:type="dxa"/>
            <w:vMerge/>
          </w:tcPr>
          <w:p w14:paraId="29186BE8" w14:textId="77777777" w:rsidR="00CC47E8" w:rsidRPr="005D0C02" w:rsidRDefault="00CC47E8" w:rsidP="00CD5352">
            <w:pPr>
              <w:keepNext/>
              <w:spacing w:line="240" w:lineRule="auto"/>
              <w:ind w:left="0" w:right="0"/>
              <w:rPr>
                <w:rFonts w:asciiTheme="minorHAnsi" w:hAnsiTheme="minorHAnsi"/>
                <w:sz w:val="18"/>
                <w:szCs w:val="18"/>
              </w:rPr>
            </w:pPr>
          </w:p>
        </w:tc>
        <w:tc>
          <w:tcPr>
            <w:tcW w:w="1019" w:type="dxa"/>
          </w:tcPr>
          <w:p w14:paraId="3CA5D320"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18" w:type="dxa"/>
          </w:tcPr>
          <w:p w14:paraId="7AE80452"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50/80‡</w:t>
            </w:r>
          </w:p>
        </w:tc>
        <w:tc>
          <w:tcPr>
            <w:tcW w:w="1021" w:type="dxa"/>
          </w:tcPr>
          <w:p w14:paraId="57861DA7"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300/480‡</w:t>
            </w:r>
          </w:p>
        </w:tc>
        <w:tc>
          <w:tcPr>
            <w:tcW w:w="967" w:type="dxa"/>
          </w:tcPr>
          <w:p w14:paraId="2F04831D"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42" w:type="dxa"/>
          </w:tcPr>
          <w:p w14:paraId="51222102"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9/15‡</w:t>
            </w:r>
          </w:p>
        </w:tc>
      </w:tr>
      <w:tr w:rsidR="00CC47E8" w:rsidRPr="008D4538" w14:paraId="7B8AEF01" w14:textId="77777777" w:rsidTr="00CC47E8">
        <w:trPr>
          <w:trHeight w:val="229"/>
        </w:trPr>
        <w:tc>
          <w:tcPr>
            <w:tcW w:w="1215" w:type="dxa"/>
            <w:vMerge/>
            <w:tcBorders>
              <w:bottom w:val="single" w:sz="8" w:space="0" w:color="000000" w:themeColor="text1"/>
            </w:tcBorders>
          </w:tcPr>
          <w:p w14:paraId="604D77D8" w14:textId="77777777" w:rsidR="00CC47E8" w:rsidRPr="005D0C02" w:rsidRDefault="00CC47E8" w:rsidP="00CD5352">
            <w:pPr>
              <w:keepNext/>
              <w:spacing w:line="240" w:lineRule="auto"/>
              <w:ind w:left="0" w:right="0"/>
              <w:rPr>
                <w:rFonts w:asciiTheme="minorHAnsi" w:hAnsiTheme="minorHAnsi"/>
                <w:sz w:val="18"/>
                <w:szCs w:val="18"/>
              </w:rPr>
            </w:pPr>
          </w:p>
        </w:tc>
        <w:tc>
          <w:tcPr>
            <w:tcW w:w="949" w:type="dxa"/>
            <w:vMerge/>
            <w:tcBorders>
              <w:bottom w:val="single" w:sz="8" w:space="0" w:color="000000" w:themeColor="text1"/>
            </w:tcBorders>
          </w:tcPr>
          <w:p w14:paraId="04405382" w14:textId="77777777" w:rsidR="00CC47E8" w:rsidRPr="005D0C02" w:rsidRDefault="00CC47E8" w:rsidP="00CD5352">
            <w:pPr>
              <w:keepNext/>
              <w:spacing w:line="240" w:lineRule="auto"/>
              <w:ind w:left="0" w:right="0"/>
              <w:rPr>
                <w:rFonts w:asciiTheme="minorHAnsi" w:hAnsiTheme="minorHAnsi"/>
                <w:sz w:val="18"/>
                <w:szCs w:val="18"/>
              </w:rPr>
            </w:pPr>
          </w:p>
        </w:tc>
        <w:tc>
          <w:tcPr>
            <w:tcW w:w="1697" w:type="dxa"/>
            <w:vMerge/>
            <w:tcBorders>
              <w:bottom w:val="single" w:sz="8" w:space="0" w:color="000000" w:themeColor="text1"/>
            </w:tcBorders>
          </w:tcPr>
          <w:p w14:paraId="05B83C7A" w14:textId="77777777" w:rsidR="00CC47E8" w:rsidRPr="005D0C02" w:rsidRDefault="00CC47E8" w:rsidP="00CD5352">
            <w:pPr>
              <w:keepNext/>
              <w:spacing w:line="240" w:lineRule="auto"/>
              <w:ind w:left="0" w:right="0"/>
              <w:rPr>
                <w:rFonts w:asciiTheme="minorHAnsi" w:hAnsiTheme="minorHAnsi"/>
                <w:sz w:val="18"/>
                <w:szCs w:val="18"/>
              </w:rPr>
            </w:pPr>
          </w:p>
        </w:tc>
        <w:tc>
          <w:tcPr>
            <w:tcW w:w="1019" w:type="dxa"/>
          </w:tcPr>
          <w:p w14:paraId="74221D1B"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18" w:type="dxa"/>
          </w:tcPr>
          <w:p w14:paraId="42B204BD"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100/160‡</w:t>
            </w:r>
          </w:p>
        </w:tc>
        <w:tc>
          <w:tcPr>
            <w:tcW w:w="1021" w:type="dxa"/>
          </w:tcPr>
          <w:p w14:paraId="1C105BB1"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600/960‡</w:t>
            </w:r>
          </w:p>
        </w:tc>
        <w:tc>
          <w:tcPr>
            <w:tcW w:w="967" w:type="dxa"/>
          </w:tcPr>
          <w:p w14:paraId="1F342B52"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42" w:type="dxa"/>
          </w:tcPr>
          <w:p w14:paraId="60BAE1AE"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18/29‡</w:t>
            </w:r>
          </w:p>
        </w:tc>
      </w:tr>
      <w:tr w:rsidR="00CC47E8" w:rsidRPr="008D4538" w14:paraId="6CB42565" w14:textId="77777777" w:rsidTr="00CC47E8">
        <w:trPr>
          <w:trHeight w:val="229"/>
        </w:trPr>
        <w:tc>
          <w:tcPr>
            <w:tcW w:w="1215" w:type="dxa"/>
            <w:vMerge w:val="restart"/>
          </w:tcPr>
          <w:p w14:paraId="455955CD" w14:textId="73DCA072"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[information redacted]</w:t>
            </w:r>
          </w:p>
        </w:tc>
        <w:tc>
          <w:tcPr>
            <w:tcW w:w="949" w:type="dxa"/>
            <w:vMerge w:val="restart"/>
          </w:tcPr>
          <w:p w14:paraId="7E206055"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Rabbit</w:t>
            </w:r>
          </w:p>
        </w:tc>
        <w:tc>
          <w:tcPr>
            <w:tcW w:w="1697" w:type="dxa"/>
            <w:vMerge w:val="restart"/>
          </w:tcPr>
          <w:p w14:paraId="464167E8" w14:textId="7F30CA8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6 doses (IM)</w:t>
            </w:r>
            <w:r>
              <w:rPr>
                <w:rFonts w:asciiTheme="minorHAnsi" w:hAnsiTheme="minorHAnsi"/>
                <w:sz w:val="18"/>
                <w:szCs w:val="18"/>
              </w:rPr>
              <w:br/>
            </w:r>
            <w:r w:rsidRPr="005D0C02">
              <w:rPr>
                <w:rFonts w:asciiTheme="minorHAnsi" w:hAnsiTheme="minorHAnsi"/>
                <w:sz w:val="18"/>
                <w:szCs w:val="18"/>
              </w:rPr>
              <w:t>3-4 day intervals</w:t>
            </w:r>
          </w:p>
        </w:tc>
        <w:tc>
          <w:tcPr>
            <w:tcW w:w="1019" w:type="dxa"/>
          </w:tcPr>
          <w:p w14:paraId="6FE188FA"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18" w:type="dxa"/>
          </w:tcPr>
          <w:p w14:paraId="6DBFD1E7"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7</w:t>
            </w:r>
          </w:p>
        </w:tc>
        <w:tc>
          <w:tcPr>
            <w:tcW w:w="1021" w:type="dxa"/>
          </w:tcPr>
          <w:p w14:paraId="201A47BB"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84</w:t>
            </w:r>
          </w:p>
        </w:tc>
        <w:tc>
          <w:tcPr>
            <w:tcW w:w="967" w:type="dxa"/>
          </w:tcPr>
          <w:p w14:paraId="137F78FA"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42" w:type="dxa"/>
          </w:tcPr>
          <w:p w14:paraId="2650224C"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2.5</w:t>
            </w:r>
          </w:p>
        </w:tc>
      </w:tr>
      <w:tr w:rsidR="00CC47E8" w:rsidRPr="008D4538" w14:paraId="3FCDA9D1" w14:textId="77777777" w:rsidTr="00CC47E8">
        <w:trPr>
          <w:trHeight w:val="229"/>
        </w:trPr>
        <w:tc>
          <w:tcPr>
            <w:tcW w:w="1215" w:type="dxa"/>
            <w:vMerge/>
          </w:tcPr>
          <w:p w14:paraId="55DD9F87" w14:textId="77777777" w:rsidR="00CC47E8" w:rsidRPr="005D0C02" w:rsidRDefault="00CC47E8" w:rsidP="00CD5352">
            <w:pPr>
              <w:keepNext/>
              <w:spacing w:line="240" w:lineRule="auto"/>
              <w:ind w:left="0" w:right="0"/>
              <w:rPr>
                <w:rFonts w:asciiTheme="minorHAnsi" w:hAnsiTheme="minorHAnsi"/>
                <w:sz w:val="18"/>
                <w:szCs w:val="18"/>
              </w:rPr>
            </w:pPr>
          </w:p>
        </w:tc>
        <w:tc>
          <w:tcPr>
            <w:tcW w:w="949" w:type="dxa"/>
            <w:vMerge/>
          </w:tcPr>
          <w:p w14:paraId="1D10C49E" w14:textId="77777777" w:rsidR="00CC47E8" w:rsidRPr="005D0C02" w:rsidRDefault="00CC47E8" w:rsidP="00CD5352">
            <w:pPr>
              <w:keepNext/>
              <w:spacing w:line="240" w:lineRule="auto"/>
              <w:ind w:left="0" w:right="0"/>
              <w:rPr>
                <w:rFonts w:asciiTheme="minorHAnsi" w:hAnsiTheme="minorHAnsi"/>
                <w:sz w:val="18"/>
                <w:szCs w:val="18"/>
              </w:rPr>
            </w:pPr>
          </w:p>
        </w:tc>
        <w:tc>
          <w:tcPr>
            <w:tcW w:w="1697" w:type="dxa"/>
            <w:vMerge/>
          </w:tcPr>
          <w:p w14:paraId="0AC33660" w14:textId="77777777" w:rsidR="00CC47E8" w:rsidRPr="005D0C02" w:rsidRDefault="00CC47E8" w:rsidP="00CD5352">
            <w:pPr>
              <w:keepNext/>
              <w:spacing w:line="240" w:lineRule="auto"/>
              <w:ind w:left="0" w:right="0"/>
              <w:rPr>
                <w:rFonts w:asciiTheme="minorHAnsi" w:hAnsiTheme="minorHAnsi"/>
                <w:sz w:val="18"/>
                <w:szCs w:val="18"/>
              </w:rPr>
            </w:pPr>
          </w:p>
        </w:tc>
        <w:tc>
          <w:tcPr>
            <w:tcW w:w="1019" w:type="dxa"/>
          </w:tcPr>
          <w:p w14:paraId="7EAFFBC8"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18" w:type="dxa"/>
          </w:tcPr>
          <w:p w14:paraId="085C5DAE"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33</w:t>
            </w:r>
          </w:p>
        </w:tc>
        <w:tc>
          <w:tcPr>
            <w:tcW w:w="1021" w:type="dxa"/>
          </w:tcPr>
          <w:p w14:paraId="5BE4FEF4"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396</w:t>
            </w:r>
          </w:p>
        </w:tc>
        <w:tc>
          <w:tcPr>
            <w:tcW w:w="967" w:type="dxa"/>
          </w:tcPr>
          <w:p w14:paraId="187093F9"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42" w:type="dxa"/>
          </w:tcPr>
          <w:p w14:paraId="06EE2FC2"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12</w:t>
            </w:r>
          </w:p>
        </w:tc>
      </w:tr>
      <w:tr w:rsidR="00CC47E8" w:rsidRPr="008D4538" w14:paraId="21E8D07C" w14:textId="77777777" w:rsidTr="00CC47E8">
        <w:trPr>
          <w:trHeight w:val="229"/>
        </w:trPr>
        <w:tc>
          <w:tcPr>
            <w:tcW w:w="1215" w:type="dxa"/>
            <w:vMerge/>
          </w:tcPr>
          <w:p w14:paraId="2EDEBA75" w14:textId="77777777" w:rsidR="00CC47E8" w:rsidRPr="005D0C02" w:rsidRDefault="00CC47E8" w:rsidP="00CD5352">
            <w:pPr>
              <w:keepNext/>
              <w:spacing w:line="240" w:lineRule="auto"/>
              <w:ind w:left="0" w:right="0"/>
              <w:rPr>
                <w:rFonts w:asciiTheme="minorHAnsi" w:hAnsiTheme="minorHAnsi"/>
                <w:sz w:val="18"/>
                <w:szCs w:val="18"/>
              </w:rPr>
            </w:pPr>
          </w:p>
        </w:tc>
        <w:tc>
          <w:tcPr>
            <w:tcW w:w="949" w:type="dxa"/>
            <w:vMerge/>
          </w:tcPr>
          <w:p w14:paraId="6024510E" w14:textId="77777777" w:rsidR="00CC47E8" w:rsidRPr="005D0C02" w:rsidRDefault="00CC47E8" w:rsidP="00CD5352">
            <w:pPr>
              <w:keepNext/>
              <w:spacing w:line="240" w:lineRule="auto"/>
              <w:ind w:left="0" w:right="0"/>
              <w:rPr>
                <w:rFonts w:asciiTheme="minorHAnsi" w:hAnsiTheme="minorHAnsi"/>
                <w:sz w:val="18"/>
                <w:szCs w:val="18"/>
              </w:rPr>
            </w:pPr>
          </w:p>
        </w:tc>
        <w:tc>
          <w:tcPr>
            <w:tcW w:w="1697" w:type="dxa"/>
            <w:vMerge/>
          </w:tcPr>
          <w:p w14:paraId="5FFEA3A9" w14:textId="77777777" w:rsidR="00CC47E8" w:rsidRPr="005D0C02" w:rsidRDefault="00CC47E8" w:rsidP="00CD5352">
            <w:pPr>
              <w:keepNext/>
              <w:spacing w:line="240" w:lineRule="auto"/>
              <w:ind w:left="0" w:right="0"/>
              <w:rPr>
                <w:rFonts w:asciiTheme="minorHAnsi" w:hAnsiTheme="minorHAnsi"/>
                <w:sz w:val="18"/>
                <w:szCs w:val="18"/>
              </w:rPr>
            </w:pPr>
          </w:p>
        </w:tc>
        <w:tc>
          <w:tcPr>
            <w:tcW w:w="1019" w:type="dxa"/>
          </w:tcPr>
          <w:p w14:paraId="68AAABE3"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18" w:type="dxa"/>
          </w:tcPr>
          <w:p w14:paraId="1443391D"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67</w:t>
            </w:r>
          </w:p>
        </w:tc>
        <w:tc>
          <w:tcPr>
            <w:tcW w:w="1021" w:type="dxa"/>
          </w:tcPr>
          <w:p w14:paraId="0D97546C"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804</w:t>
            </w:r>
          </w:p>
        </w:tc>
        <w:tc>
          <w:tcPr>
            <w:tcW w:w="967" w:type="dxa"/>
          </w:tcPr>
          <w:p w14:paraId="5EA1938F"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42" w:type="dxa"/>
          </w:tcPr>
          <w:p w14:paraId="5670C243" w14:textId="77777777" w:rsidR="00CC47E8" w:rsidRPr="005D0C02" w:rsidRDefault="00CC47E8"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24</w:t>
            </w:r>
          </w:p>
        </w:tc>
      </w:tr>
      <w:tr w:rsidR="005B220F" w:rsidRPr="008D4538" w14:paraId="0EA2BC0E" w14:textId="77777777" w:rsidTr="005D0C02">
        <w:trPr>
          <w:trHeight w:val="229"/>
        </w:trPr>
        <w:tc>
          <w:tcPr>
            <w:tcW w:w="1215" w:type="dxa"/>
          </w:tcPr>
          <w:p w14:paraId="73843BF1" w14:textId="21B1BD78"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Proposed</w:t>
            </w:r>
            <w:r w:rsidR="000159A6" w:rsidRPr="005D0C02">
              <w:rPr>
                <w:rFonts w:asciiTheme="minorHAnsi" w:hAnsiTheme="minorHAnsi"/>
                <w:sz w:val="18"/>
                <w:szCs w:val="18"/>
              </w:rPr>
              <w:t xml:space="preserve"> </w:t>
            </w:r>
            <w:r w:rsidRPr="005D0C02">
              <w:rPr>
                <w:rFonts w:asciiTheme="minorHAnsi" w:hAnsiTheme="minorHAnsi"/>
                <w:sz w:val="18"/>
                <w:szCs w:val="18"/>
              </w:rPr>
              <w:t>clinical</w:t>
            </w:r>
            <w:r w:rsidR="000159A6" w:rsidRPr="005D0C02">
              <w:rPr>
                <w:rFonts w:asciiTheme="minorHAnsi" w:hAnsiTheme="minorHAnsi"/>
                <w:sz w:val="18"/>
                <w:szCs w:val="18"/>
              </w:rPr>
              <w:t xml:space="preserve"> </w:t>
            </w:r>
            <w:r w:rsidRPr="005D0C02">
              <w:rPr>
                <w:rFonts w:asciiTheme="minorHAnsi" w:hAnsiTheme="minorHAnsi"/>
                <w:sz w:val="18"/>
                <w:szCs w:val="18"/>
              </w:rPr>
              <w:t>use</w:t>
            </w:r>
          </w:p>
        </w:tc>
        <w:tc>
          <w:tcPr>
            <w:tcW w:w="949" w:type="dxa"/>
          </w:tcPr>
          <w:p w14:paraId="7792A585"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Human</w:t>
            </w:r>
          </w:p>
        </w:tc>
        <w:tc>
          <w:tcPr>
            <w:tcW w:w="1697" w:type="dxa"/>
          </w:tcPr>
          <w:p w14:paraId="0B719349" w14:textId="7B1C657F"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2</w:t>
            </w:r>
            <w:r w:rsidR="000159A6" w:rsidRPr="005D0C02">
              <w:rPr>
                <w:rFonts w:asciiTheme="minorHAnsi" w:hAnsiTheme="minorHAnsi"/>
                <w:sz w:val="18"/>
                <w:szCs w:val="18"/>
              </w:rPr>
              <w:t xml:space="preserve"> </w:t>
            </w:r>
            <w:r w:rsidRPr="005D0C02">
              <w:rPr>
                <w:rFonts w:asciiTheme="minorHAnsi" w:hAnsiTheme="minorHAnsi"/>
                <w:sz w:val="18"/>
                <w:szCs w:val="18"/>
              </w:rPr>
              <w:t>doses</w:t>
            </w:r>
            <w:r w:rsidR="000159A6" w:rsidRPr="005D0C02">
              <w:rPr>
                <w:rFonts w:asciiTheme="minorHAnsi" w:hAnsiTheme="minorHAnsi"/>
                <w:sz w:val="18"/>
                <w:szCs w:val="18"/>
              </w:rPr>
              <w:t xml:space="preserve"> </w:t>
            </w:r>
            <w:r w:rsidRPr="005D0C02">
              <w:rPr>
                <w:rFonts w:asciiTheme="minorHAnsi" w:hAnsiTheme="minorHAnsi"/>
                <w:sz w:val="18"/>
                <w:szCs w:val="18"/>
              </w:rPr>
              <w:t>(IM)</w:t>
            </w:r>
            <w:r w:rsidR="005D0C02">
              <w:rPr>
                <w:rFonts w:asciiTheme="minorHAnsi" w:hAnsiTheme="minorHAnsi"/>
                <w:sz w:val="18"/>
                <w:szCs w:val="18"/>
              </w:rPr>
              <w:br/>
            </w:r>
            <w:r w:rsidRPr="005D0C02">
              <w:rPr>
                <w:rFonts w:asciiTheme="minorHAnsi" w:hAnsiTheme="minorHAnsi"/>
                <w:sz w:val="18"/>
                <w:szCs w:val="18"/>
              </w:rPr>
              <w:t>2-6</w:t>
            </w:r>
            <w:r w:rsidR="000159A6" w:rsidRPr="005D0C02">
              <w:rPr>
                <w:rFonts w:asciiTheme="minorHAnsi" w:hAnsiTheme="minorHAnsi"/>
                <w:sz w:val="18"/>
                <w:szCs w:val="18"/>
              </w:rPr>
              <w:t xml:space="preserve"> </w:t>
            </w:r>
            <w:r w:rsidRPr="005D0C02">
              <w:rPr>
                <w:rFonts w:asciiTheme="minorHAnsi" w:hAnsiTheme="minorHAnsi"/>
                <w:sz w:val="18"/>
                <w:szCs w:val="18"/>
              </w:rPr>
              <w:t>months</w:t>
            </w:r>
            <w:r w:rsidR="000159A6" w:rsidRPr="005D0C02">
              <w:rPr>
                <w:rFonts w:asciiTheme="minorHAnsi" w:hAnsiTheme="minorHAnsi"/>
                <w:sz w:val="18"/>
                <w:szCs w:val="18"/>
              </w:rPr>
              <w:t xml:space="preserve"> </w:t>
            </w:r>
            <w:r w:rsidRPr="005D0C02">
              <w:rPr>
                <w:rFonts w:asciiTheme="minorHAnsi" w:hAnsiTheme="minorHAnsi"/>
                <w:sz w:val="18"/>
                <w:szCs w:val="18"/>
              </w:rPr>
              <w:t>apart</w:t>
            </w:r>
          </w:p>
        </w:tc>
        <w:tc>
          <w:tcPr>
            <w:tcW w:w="1019" w:type="dxa"/>
          </w:tcPr>
          <w:p w14:paraId="04C37A40"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w:t>
            </w:r>
          </w:p>
        </w:tc>
        <w:tc>
          <w:tcPr>
            <w:tcW w:w="1018" w:type="dxa"/>
          </w:tcPr>
          <w:p w14:paraId="17A04351"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1*</w:t>
            </w:r>
          </w:p>
        </w:tc>
        <w:tc>
          <w:tcPr>
            <w:tcW w:w="1021" w:type="dxa"/>
          </w:tcPr>
          <w:p w14:paraId="4C91D8C5"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33</w:t>
            </w:r>
          </w:p>
        </w:tc>
        <w:tc>
          <w:tcPr>
            <w:tcW w:w="967" w:type="dxa"/>
          </w:tcPr>
          <w:p w14:paraId="2B36671F"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c>
          <w:tcPr>
            <w:tcW w:w="1042" w:type="dxa"/>
          </w:tcPr>
          <w:p w14:paraId="3AC450D3" w14:textId="77777777" w:rsidR="005B220F" w:rsidRPr="005D0C02" w:rsidRDefault="005B220F" w:rsidP="00CD5352">
            <w:pPr>
              <w:keepNext/>
              <w:spacing w:line="240" w:lineRule="auto"/>
              <w:ind w:left="0" w:right="0"/>
              <w:rPr>
                <w:rFonts w:asciiTheme="minorHAnsi" w:hAnsiTheme="minorHAnsi"/>
                <w:sz w:val="18"/>
                <w:szCs w:val="18"/>
              </w:rPr>
            </w:pPr>
            <w:r w:rsidRPr="005D0C02">
              <w:rPr>
                <w:rFonts w:asciiTheme="minorHAnsi" w:hAnsiTheme="minorHAnsi"/>
                <w:sz w:val="18"/>
                <w:szCs w:val="18"/>
              </w:rPr>
              <w:t>-</w:t>
            </w:r>
          </w:p>
        </w:tc>
      </w:tr>
    </w:tbl>
    <w:p w14:paraId="477BAA01" w14:textId="6B9923D5" w:rsidR="005B220F" w:rsidRPr="008F7BC7" w:rsidRDefault="005B220F" w:rsidP="008F7BC7">
      <w:pPr>
        <w:pStyle w:val="TableDescription"/>
      </w:pPr>
      <w:r w:rsidRPr="008F7BC7">
        <w:t>†</w:t>
      </w:r>
      <w:r w:rsidR="000159A6" w:rsidRPr="008F7BC7">
        <w:t xml:space="preserve"> </w:t>
      </w:r>
      <w:proofErr w:type="gramStart"/>
      <w:r w:rsidRPr="008F7BC7">
        <w:t>conversion</w:t>
      </w:r>
      <w:proofErr w:type="gramEnd"/>
      <w:r w:rsidR="000159A6" w:rsidRPr="008F7BC7">
        <w:t xml:space="preserve"> </w:t>
      </w:r>
      <w:r w:rsidRPr="008F7BC7">
        <w:t>factor</w:t>
      </w:r>
      <w:r w:rsidR="000159A6" w:rsidRPr="008F7BC7">
        <w:t xml:space="preserve"> </w:t>
      </w:r>
      <w:r w:rsidRPr="008F7BC7">
        <w:t>from</w:t>
      </w:r>
      <w:r w:rsidR="000159A6" w:rsidRPr="008F7BC7">
        <w:t xml:space="preserve"> </w:t>
      </w:r>
      <w:r w:rsidRPr="008F7BC7">
        <w:t>mg/kg</w:t>
      </w:r>
      <w:r w:rsidR="000159A6" w:rsidRPr="008F7BC7">
        <w:t xml:space="preserve"> </w:t>
      </w:r>
      <w:r w:rsidRPr="008F7BC7">
        <w:t>to</w:t>
      </w:r>
      <w:r w:rsidR="000159A6" w:rsidRPr="008F7BC7">
        <w:t xml:space="preserve"> </w:t>
      </w:r>
      <w:r w:rsidRPr="008F7BC7">
        <w:t>mg/m2</w:t>
      </w:r>
      <w:r w:rsidR="000159A6" w:rsidRPr="008F7BC7">
        <w:t xml:space="preserve"> </w:t>
      </w:r>
      <w:r w:rsidRPr="008F7BC7">
        <w:t>6</w:t>
      </w:r>
      <w:r w:rsidR="000159A6" w:rsidRPr="008F7BC7">
        <w:t xml:space="preserve"> </w:t>
      </w:r>
      <w:r w:rsidRPr="008F7BC7">
        <w:t>for</w:t>
      </w:r>
      <w:r w:rsidR="000159A6" w:rsidRPr="008F7BC7">
        <w:t xml:space="preserve"> </w:t>
      </w:r>
      <w:r w:rsidRPr="008F7BC7">
        <w:t>rats,</w:t>
      </w:r>
      <w:r w:rsidR="000159A6" w:rsidRPr="008F7BC7">
        <w:t xml:space="preserve"> </w:t>
      </w:r>
      <w:r w:rsidRPr="008F7BC7">
        <w:t>12</w:t>
      </w:r>
      <w:r w:rsidR="000159A6" w:rsidRPr="008F7BC7">
        <w:t xml:space="preserve"> </w:t>
      </w:r>
      <w:r w:rsidRPr="008F7BC7">
        <w:t>for</w:t>
      </w:r>
      <w:r w:rsidR="000159A6" w:rsidRPr="008F7BC7">
        <w:t xml:space="preserve"> </w:t>
      </w:r>
      <w:r w:rsidRPr="008F7BC7">
        <w:t>rabbits,</w:t>
      </w:r>
      <w:r w:rsidR="000159A6" w:rsidRPr="008F7BC7">
        <w:t xml:space="preserve"> </w:t>
      </w:r>
      <w:r w:rsidRPr="008F7BC7">
        <w:t>33</w:t>
      </w:r>
      <w:r w:rsidR="000159A6" w:rsidRPr="008F7BC7">
        <w:t xml:space="preserve"> </w:t>
      </w:r>
      <w:r w:rsidRPr="008F7BC7">
        <w:t>for</w:t>
      </w:r>
      <w:r w:rsidR="000159A6" w:rsidRPr="008F7BC7">
        <w:t xml:space="preserve"> </w:t>
      </w:r>
      <w:r w:rsidRPr="008F7BC7">
        <w:t>humans;</w:t>
      </w:r>
      <w:r w:rsidR="000159A6" w:rsidRPr="008F7BC7">
        <w:t xml:space="preserve"> </w:t>
      </w:r>
      <w:r w:rsidRPr="008F7BC7">
        <w:t>#</w:t>
      </w:r>
      <w:r w:rsidR="000159A6" w:rsidRPr="008F7BC7">
        <w:t xml:space="preserve"> </w:t>
      </w:r>
      <w:r w:rsidRPr="008F7BC7">
        <w:t>Animal/human</w:t>
      </w:r>
      <w:r w:rsidR="000159A6" w:rsidRPr="008F7BC7">
        <w:t xml:space="preserve"> </w:t>
      </w:r>
      <w:r w:rsidRPr="008F7BC7">
        <w:t>dose</w:t>
      </w:r>
      <w:r w:rsidR="000159A6" w:rsidRPr="008F7BC7">
        <w:t xml:space="preserve"> </w:t>
      </w:r>
      <w:r w:rsidRPr="008F7BC7">
        <w:t>in</w:t>
      </w:r>
      <w:r w:rsidR="000159A6" w:rsidRPr="008F7BC7">
        <w:t xml:space="preserve"> </w:t>
      </w:r>
      <w:r w:rsidRPr="008F7BC7">
        <w:t>mg/kg</w:t>
      </w:r>
      <w:r w:rsidR="000159A6" w:rsidRPr="008F7BC7">
        <w:t xml:space="preserve"> </w:t>
      </w:r>
      <w:r w:rsidRPr="008F7BC7">
        <w:t>for</w:t>
      </w:r>
      <w:r w:rsidR="000159A6" w:rsidRPr="008F7BC7">
        <w:t xml:space="preserve"> </w:t>
      </w:r>
      <w:r w:rsidRPr="008F7BC7">
        <w:t>gE</w:t>
      </w:r>
      <w:r w:rsidR="000159A6" w:rsidRPr="008F7BC7">
        <w:t xml:space="preserve"> </w:t>
      </w:r>
      <w:r w:rsidRPr="008F7BC7">
        <w:t>Ag</w:t>
      </w:r>
      <w:r w:rsidR="000159A6" w:rsidRPr="008F7BC7">
        <w:t xml:space="preserve"> </w:t>
      </w:r>
      <w:r w:rsidRPr="008F7BC7">
        <w:t>and</w:t>
      </w:r>
      <w:r w:rsidR="000159A6" w:rsidRPr="008F7BC7">
        <w:t xml:space="preserve"> </w:t>
      </w:r>
      <w:r w:rsidRPr="008F7BC7">
        <w:t>in</w:t>
      </w:r>
      <w:r w:rsidR="000159A6" w:rsidRPr="008F7BC7">
        <w:t xml:space="preserve"> </w:t>
      </w:r>
      <w:r w:rsidRPr="008F7BC7">
        <w:t>mg/m2</w:t>
      </w:r>
      <w:r w:rsidR="000159A6" w:rsidRPr="008F7BC7">
        <w:t xml:space="preserve"> </w:t>
      </w:r>
      <w:r w:rsidRPr="008F7BC7">
        <w:t>for</w:t>
      </w:r>
      <w:r w:rsidR="000159A6" w:rsidRPr="008F7BC7">
        <w:t xml:space="preserve"> </w:t>
      </w:r>
      <w:r w:rsidRPr="008F7BC7">
        <w:t>QS-21;</w:t>
      </w:r>
      <w:r w:rsidR="000159A6" w:rsidRPr="008F7BC7">
        <w:t xml:space="preserve"> </w:t>
      </w:r>
      <w:r w:rsidRPr="008F7BC7">
        <w:t>*</w:t>
      </w:r>
      <w:r w:rsidR="000159A6" w:rsidRPr="008F7BC7">
        <w:t xml:space="preserve"> </w:t>
      </w:r>
      <w:r w:rsidRPr="008F7BC7">
        <w:t>50</w:t>
      </w:r>
      <w:r w:rsidR="000159A6" w:rsidRPr="008F7BC7">
        <w:t xml:space="preserve"> </w:t>
      </w:r>
      <w:r w:rsidRPr="008F7BC7">
        <w:t>µg</w:t>
      </w:r>
      <w:r w:rsidR="000159A6" w:rsidRPr="008F7BC7">
        <w:t xml:space="preserve"> </w:t>
      </w:r>
      <w:r w:rsidRPr="008F7BC7">
        <w:t>dose</w:t>
      </w:r>
      <w:r w:rsidR="000159A6" w:rsidRPr="008F7BC7">
        <w:t xml:space="preserve"> </w:t>
      </w:r>
      <w:r w:rsidRPr="008F7BC7">
        <w:t>and</w:t>
      </w:r>
      <w:r w:rsidR="000159A6" w:rsidRPr="008F7BC7">
        <w:t xml:space="preserve"> </w:t>
      </w:r>
      <w:r w:rsidRPr="008F7BC7">
        <w:t>assuming</w:t>
      </w:r>
      <w:r w:rsidR="000159A6" w:rsidRPr="008F7BC7">
        <w:t xml:space="preserve"> </w:t>
      </w:r>
      <w:r w:rsidRPr="008F7BC7">
        <w:t>50</w:t>
      </w:r>
      <w:r w:rsidR="000159A6" w:rsidRPr="008F7BC7">
        <w:t xml:space="preserve"> </w:t>
      </w:r>
      <w:r w:rsidRPr="008F7BC7">
        <w:t>kg</w:t>
      </w:r>
      <w:r w:rsidR="000159A6" w:rsidRPr="008F7BC7">
        <w:t xml:space="preserve"> </w:t>
      </w:r>
      <w:r w:rsidRPr="008F7BC7">
        <w:t>body</w:t>
      </w:r>
      <w:r w:rsidR="000159A6" w:rsidRPr="008F7BC7">
        <w:t xml:space="preserve"> </w:t>
      </w:r>
      <w:r w:rsidRPr="008F7BC7">
        <w:t>weight;</w:t>
      </w:r>
      <w:r w:rsidR="000159A6" w:rsidRPr="008F7BC7">
        <w:t xml:space="preserve"> </w:t>
      </w:r>
      <w:r w:rsidRPr="008F7BC7">
        <w:t>‡</w:t>
      </w:r>
      <w:r w:rsidR="000159A6" w:rsidRPr="008F7BC7">
        <w:t xml:space="preserve"> </w:t>
      </w:r>
      <w:r w:rsidRPr="008F7BC7">
        <w:t>male/female</w:t>
      </w:r>
    </w:p>
    <w:p w14:paraId="574CEC9B" w14:textId="19915DBD" w:rsidR="005B220F" w:rsidRPr="008F7BC7" w:rsidRDefault="005B220F" w:rsidP="00C5388D">
      <w:pPr>
        <w:pStyle w:val="Heading5"/>
      </w:pPr>
      <w:proofErr w:type="gramStart"/>
      <w:r w:rsidRPr="008F7BC7">
        <w:lastRenderedPageBreak/>
        <w:t>gE-</w:t>
      </w:r>
      <w:r w:rsidR="00503D1B" w:rsidRPr="008F7BC7">
        <w:t>AS01</w:t>
      </w:r>
      <w:r w:rsidR="00503D1B" w:rsidRPr="00CD5352">
        <w:rPr>
          <w:vertAlign w:val="subscript"/>
        </w:rPr>
        <w:t>B</w:t>
      </w:r>
      <w:proofErr w:type="gramEnd"/>
    </w:p>
    <w:p w14:paraId="3B589A00" w14:textId="18662B57" w:rsidR="005B220F" w:rsidRPr="00E97880" w:rsidRDefault="005B220F" w:rsidP="00C5388D">
      <w:r>
        <w:t>The</w:t>
      </w:r>
      <w:r w:rsidR="000159A6">
        <w:t xml:space="preserve"> </w:t>
      </w:r>
      <w:r>
        <w:t>vaccine</w:t>
      </w:r>
      <w:r w:rsidR="000159A6">
        <w:t xml:space="preserve"> </w:t>
      </w:r>
      <w:r>
        <w:t>was</w:t>
      </w:r>
      <w:r w:rsidR="000159A6">
        <w:t xml:space="preserve"> </w:t>
      </w:r>
      <w:r>
        <w:t>well</w:t>
      </w:r>
      <w:r w:rsidR="000159A6">
        <w:t xml:space="preserve"> </w:t>
      </w:r>
      <w:r>
        <w:t>tolerated</w:t>
      </w:r>
      <w:r w:rsidR="000159A6">
        <w:t xml:space="preserve"> </w:t>
      </w:r>
      <w:r>
        <w:t>in</w:t>
      </w:r>
      <w:r w:rsidR="000159A6">
        <w:t xml:space="preserve"> </w:t>
      </w:r>
      <w:r>
        <w:t>both</w:t>
      </w:r>
      <w:r w:rsidR="000159A6">
        <w:t xml:space="preserve"> </w:t>
      </w:r>
      <w:r>
        <w:t>the</w:t>
      </w:r>
      <w:r w:rsidR="000159A6">
        <w:t xml:space="preserve"> </w:t>
      </w:r>
      <w:r>
        <w:t>6</w:t>
      </w:r>
      <w:r w:rsidR="000159A6">
        <w:t xml:space="preserve"> </w:t>
      </w:r>
      <w:r>
        <w:t>and</w:t>
      </w:r>
      <w:r w:rsidR="000159A6">
        <w:t xml:space="preserve"> </w:t>
      </w:r>
      <w:r>
        <w:t>8</w:t>
      </w:r>
      <w:r w:rsidR="000159A6">
        <w:t xml:space="preserve"> </w:t>
      </w:r>
      <w:r>
        <w:t>week</w:t>
      </w:r>
      <w:r w:rsidR="000159A6">
        <w:t xml:space="preserve"> </w:t>
      </w:r>
      <w:r>
        <w:t>repeat</w:t>
      </w:r>
      <w:r w:rsidR="000159A6">
        <w:t xml:space="preserve"> </w:t>
      </w:r>
      <w:r>
        <w:t>dose</w:t>
      </w:r>
      <w:r w:rsidR="000159A6">
        <w:t xml:space="preserve"> </w:t>
      </w:r>
      <w:r>
        <w:t>studies,</w:t>
      </w:r>
      <w:r w:rsidR="000159A6">
        <w:t xml:space="preserve"> </w:t>
      </w:r>
      <w:r>
        <w:t>where</w:t>
      </w:r>
      <w:r w:rsidR="000159A6">
        <w:t xml:space="preserve"> </w:t>
      </w:r>
      <w:r>
        <w:t>rabbits</w:t>
      </w:r>
      <w:r w:rsidR="000159A6">
        <w:t xml:space="preserve"> </w:t>
      </w:r>
      <w:r>
        <w:t>were</w:t>
      </w:r>
      <w:r w:rsidR="000159A6">
        <w:t xml:space="preserve"> </w:t>
      </w:r>
      <w:r>
        <w:t>administered,</w:t>
      </w:r>
      <w:r w:rsidR="000159A6">
        <w:t xml:space="preserve"> </w:t>
      </w:r>
      <w:r w:rsidRPr="0057127E">
        <w:t>33</w:t>
      </w:r>
      <w:r w:rsidR="000159A6">
        <w:t xml:space="preserve"> </w:t>
      </w:r>
      <w:r>
        <w:t>times</w:t>
      </w:r>
      <w:r w:rsidR="000159A6">
        <w:t xml:space="preserve"> </w:t>
      </w:r>
      <w:r>
        <w:t>the</w:t>
      </w:r>
      <w:r w:rsidR="000159A6">
        <w:t xml:space="preserve"> </w:t>
      </w:r>
      <w:r>
        <w:t>human</w:t>
      </w:r>
      <w:r w:rsidR="000159A6">
        <w:t xml:space="preserve"> </w:t>
      </w:r>
      <w:r>
        <w:t>dose</w:t>
      </w:r>
      <w:r w:rsidR="000159A6">
        <w:t xml:space="preserve"> </w:t>
      </w:r>
      <w:r>
        <w:t>(µg/kg)</w:t>
      </w:r>
      <w:r w:rsidR="000159A6">
        <w:t xml:space="preserve"> </w:t>
      </w:r>
      <w:r>
        <w:t>for</w:t>
      </w:r>
      <w:r w:rsidR="000159A6">
        <w:t xml:space="preserve"> </w:t>
      </w:r>
      <w:r>
        <w:t>the</w:t>
      </w:r>
      <w:r w:rsidR="000159A6">
        <w:t xml:space="preserve"> </w:t>
      </w:r>
      <w:r>
        <w:t>antigen</w:t>
      </w:r>
      <w:r w:rsidR="000159A6">
        <w:t xml:space="preserve"> </w:t>
      </w:r>
      <w:r>
        <w:t>and</w:t>
      </w:r>
      <w:r w:rsidR="000159A6">
        <w:t xml:space="preserve"> </w:t>
      </w:r>
      <w:r>
        <w:t>6</w:t>
      </w:r>
      <w:r w:rsidR="000159A6">
        <w:t xml:space="preserve"> </w:t>
      </w:r>
      <w:r>
        <w:t>times</w:t>
      </w:r>
      <w:r w:rsidR="000159A6">
        <w:t xml:space="preserve"> </w:t>
      </w:r>
      <w:r>
        <w:t>the</w:t>
      </w:r>
      <w:r w:rsidR="000159A6">
        <w:t xml:space="preserve"> </w:t>
      </w:r>
      <w:r>
        <w:t>human</w:t>
      </w:r>
      <w:r w:rsidR="000159A6">
        <w:t xml:space="preserve"> </w:t>
      </w:r>
      <w:r>
        <w:t>dose</w:t>
      </w:r>
      <w:r w:rsidR="000159A6">
        <w:t xml:space="preserve"> </w:t>
      </w:r>
      <w:r>
        <w:t>(µg/m</w:t>
      </w:r>
      <w:r>
        <w:rPr>
          <w:vertAlign w:val="superscript"/>
        </w:rPr>
        <w:t>2</w:t>
      </w:r>
      <w:r>
        <w:t>)</w:t>
      </w:r>
      <w:r w:rsidR="000159A6">
        <w:t xml:space="preserve"> </w:t>
      </w:r>
      <w:r>
        <w:t>for</w:t>
      </w:r>
      <w:r w:rsidR="000159A6">
        <w:t xml:space="preserve"> </w:t>
      </w:r>
      <w:r>
        <w:t>the</w:t>
      </w:r>
      <w:r w:rsidR="000159A6">
        <w:t xml:space="preserve"> </w:t>
      </w:r>
      <w:r>
        <w:t>adjuvant,</w:t>
      </w:r>
      <w:r w:rsidR="000159A6">
        <w:t xml:space="preserve"> </w:t>
      </w:r>
      <w:r>
        <w:t>either</w:t>
      </w:r>
      <w:r w:rsidR="000159A6">
        <w:t xml:space="preserve"> </w:t>
      </w:r>
      <w:r>
        <w:t>by</w:t>
      </w:r>
      <w:r w:rsidR="000159A6">
        <w:t xml:space="preserve"> </w:t>
      </w:r>
      <w:r>
        <w:t>IM</w:t>
      </w:r>
      <w:r w:rsidR="000159A6">
        <w:t xml:space="preserve"> </w:t>
      </w:r>
      <w:r>
        <w:t>or</w:t>
      </w:r>
      <w:r w:rsidR="000159A6">
        <w:t xml:space="preserve"> </w:t>
      </w:r>
      <w:r>
        <w:t>SC</w:t>
      </w:r>
      <w:r w:rsidR="000159A6">
        <w:t xml:space="preserve"> </w:t>
      </w:r>
      <w:r>
        <w:t>route,</w:t>
      </w:r>
      <w:r w:rsidR="000159A6">
        <w:t xml:space="preserve"> </w:t>
      </w:r>
      <w:r>
        <w:t>3</w:t>
      </w:r>
      <w:r w:rsidR="000159A6">
        <w:t xml:space="preserve"> </w:t>
      </w:r>
      <w:r>
        <w:t>or</w:t>
      </w:r>
      <w:r w:rsidR="000159A6">
        <w:t xml:space="preserve"> </w:t>
      </w:r>
      <w:r>
        <w:t>4</w:t>
      </w:r>
      <w:r w:rsidR="000159A6">
        <w:t xml:space="preserve"> </w:t>
      </w:r>
      <w:r>
        <w:t>doses</w:t>
      </w:r>
      <w:r w:rsidR="000159A6">
        <w:t xml:space="preserve"> </w:t>
      </w:r>
      <w:r>
        <w:t>at</w:t>
      </w:r>
      <w:r w:rsidR="000159A6">
        <w:t xml:space="preserve"> </w:t>
      </w:r>
      <w:r>
        <w:t>2</w:t>
      </w:r>
      <w:r w:rsidR="000159A6">
        <w:t xml:space="preserve"> </w:t>
      </w:r>
      <w:r>
        <w:t>week</w:t>
      </w:r>
      <w:r w:rsidR="000159A6">
        <w:t xml:space="preserve"> </w:t>
      </w:r>
      <w:r>
        <w:t>intervals.</w:t>
      </w:r>
      <w:r w:rsidR="000159A6">
        <w:t xml:space="preserve"> </w:t>
      </w:r>
      <w:r>
        <w:t>Local</w:t>
      </w:r>
      <w:r w:rsidR="000159A6">
        <w:t xml:space="preserve"> </w:t>
      </w:r>
      <w:r>
        <w:t>inflammatory</w:t>
      </w:r>
      <w:r w:rsidR="000159A6">
        <w:t xml:space="preserve"> </w:t>
      </w:r>
      <w:r>
        <w:t>changes</w:t>
      </w:r>
      <w:r w:rsidR="000159A6">
        <w:t xml:space="preserve"> </w:t>
      </w:r>
      <w:r>
        <w:t>at</w:t>
      </w:r>
      <w:r w:rsidR="000159A6">
        <w:t xml:space="preserve"> </w:t>
      </w:r>
      <w:r>
        <w:t>the</w:t>
      </w:r>
      <w:r w:rsidR="000159A6">
        <w:t xml:space="preserve"> </w:t>
      </w:r>
      <w:r>
        <w:t>injection</w:t>
      </w:r>
      <w:r w:rsidR="000159A6">
        <w:t xml:space="preserve"> </w:t>
      </w:r>
      <w:r>
        <w:t>site</w:t>
      </w:r>
      <w:r w:rsidR="000159A6">
        <w:t xml:space="preserve"> </w:t>
      </w:r>
      <w:r>
        <w:t>were</w:t>
      </w:r>
      <w:r w:rsidR="000159A6">
        <w:t xml:space="preserve"> </w:t>
      </w:r>
      <w:r>
        <w:t>produced</w:t>
      </w:r>
      <w:r w:rsidR="000159A6">
        <w:t xml:space="preserve"> </w:t>
      </w:r>
      <w:r>
        <w:t>as</w:t>
      </w:r>
      <w:r w:rsidR="000159A6">
        <w:t xml:space="preserve"> </w:t>
      </w:r>
      <w:r>
        <w:t>expected</w:t>
      </w:r>
      <w:r w:rsidR="000159A6">
        <w:t xml:space="preserve"> </w:t>
      </w:r>
      <w:r>
        <w:t>which</w:t>
      </w:r>
      <w:r w:rsidR="000159A6">
        <w:t xml:space="preserve"> </w:t>
      </w:r>
      <w:r>
        <w:t>was</w:t>
      </w:r>
      <w:r w:rsidR="000159A6">
        <w:t xml:space="preserve"> </w:t>
      </w:r>
      <w:r>
        <w:t>reversible.</w:t>
      </w:r>
      <w:r w:rsidR="000159A6">
        <w:t xml:space="preserve"> </w:t>
      </w:r>
      <w:r>
        <w:t>Other</w:t>
      </w:r>
      <w:r w:rsidR="000159A6">
        <w:t xml:space="preserve"> </w:t>
      </w:r>
      <w:r>
        <w:t>treatment</w:t>
      </w:r>
      <w:r w:rsidR="000159A6">
        <w:t xml:space="preserve"> </w:t>
      </w:r>
      <w:r>
        <w:t>related</w:t>
      </w:r>
      <w:r w:rsidR="000159A6">
        <w:t xml:space="preserve"> </w:t>
      </w:r>
      <w:r>
        <w:t>changes</w:t>
      </w:r>
      <w:r w:rsidR="000159A6">
        <w:t xml:space="preserve"> </w:t>
      </w:r>
      <w:r>
        <w:t>included</w:t>
      </w:r>
      <w:r w:rsidR="000159A6">
        <w:t xml:space="preserve"> </w:t>
      </w:r>
      <w:r>
        <w:t>a</w:t>
      </w:r>
      <w:r w:rsidR="000159A6">
        <w:t xml:space="preserve"> </w:t>
      </w:r>
      <w:r>
        <w:t>transient</w:t>
      </w:r>
      <w:r w:rsidR="000159A6">
        <w:t xml:space="preserve"> </w:t>
      </w:r>
      <w:r>
        <w:t>increase</w:t>
      </w:r>
      <w:r w:rsidR="000159A6">
        <w:t xml:space="preserve"> </w:t>
      </w:r>
      <w:r>
        <w:t>in</w:t>
      </w:r>
      <w:r w:rsidR="000159A6">
        <w:t xml:space="preserve"> </w:t>
      </w:r>
      <w:r>
        <w:t>fibrinogen,</w:t>
      </w:r>
      <w:r w:rsidR="000159A6">
        <w:t xml:space="preserve"> </w:t>
      </w:r>
      <w:r w:rsidR="008D4538">
        <w:t>white</w:t>
      </w:r>
      <w:r w:rsidR="000159A6">
        <w:t xml:space="preserve"> </w:t>
      </w:r>
      <w:r w:rsidR="008D4538">
        <w:t>blood</w:t>
      </w:r>
      <w:r w:rsidR="000159A6">
        <w:t xml:space="preserve"> </w:t>
      </w:r>
      <w:r w:rsidR="008D4538">
        <w:t>cells</w:t>
      </w:r>
      <w:r w:rsidR="000159A6">
        <w:t xml:space="preserve"> </w:t>
      </w:r>
      <w:r w:rsidR="008D4538">
        <w:t>(</w:t>
      </w:r>
      <w:r>
        <w:t>WBC</w:t>
      </w:r>
      <w:r w:rsidR="008D4538">
        <w:t>)</w:t>
      </w:r>
      <w:r w:rsidR="000159A6">
        <w:t xml:space="preserve"> </w:t>
      </w:r>
      <w:r>
        <w:t>(mainly</w:t>
      </w:r>
      <w:r w:rsidR="000159A6">
        <w:t xml:space="preserve"> </w:t>
      </w:r>
      <w:r>
        <w:t>neutrophils)</w:t>
      </w:r>
      <w:r w:rsidR="000159A6">
        <w:t xml:space="preserve"> </w:t>
      </w:r>
      <w:r>
        <w:t>and</w:t>
      </w:r>
      <w:r w:rsidR="000159A6">
        <w:t xml:space="preserve"> </w:t>
      </w:r>
      <w:r>
        <w:t>C-reactive</w:t>
      </w:r>
      <w:r w:rsidR="000159A6">
        <w:t xml:space="preserve"> </w:t>
      </w:r>
      <w:r>
        <w:t>protein</w:t>
      </w:r>
      <w:r w:rsidR="000159A6">
        <w:t xml:space="preserve"> </w:t>
      </w:r>
      <w:r>
        <w:t>(CRP),</w:t>
      </w:r>
      <w:r w:rsidR="000159A6">
        <w:t xml:space="preserve"> </w:t>
      </w:r>
      <w:r>
        <w:t>a</w:t>
      </w:r>
      <w:r w:rsidR="000159A6">
        <w:t xml:space="preserve"> </w:t>
      </w:r>
      <w:r>
        <w:t>decrease</w:t>
      </w:r>
      <w:r w:rsidR="000159A6">
        <w:t xml:space="preserve"> </w:t>
      </w:r>
      <w:r>
        <w:t>in</w:t>
      </w:r>
      <w:r w:rsidR="000159A6">
        <w:t xml:space="preserve"> </w:t>
      </w:r>
      <w:r>
        <w:t>albumin/globulin</w:t>
      </w:r>
      <w:r w:rsidR="000159A6">
        <w:t xml:space="preserve"> </w:t>
      </w:r>
      <w:r>
        <w:t>ratio</w:t>
      </w:r>
      <w:r w:rsidR="000159A6">
        <w:t xml:space="preserve"> </w:t>
      </w:r>
      <w:r>
        <w:t>and</w:t>
      </w:r>
      <w:r w:rsidR="000159A6">
        <w:t xml:space="preserve"> </w:t>
      </w:r>
      <w:r>
        <w:t>activated</w:t>
      </w:r>
      <w:r w:rsidR="000159A6">
        <w:t xml:space="preserve"> </w:t>
      </w:r>
      <w:r>
        <w:t>response</w:t>
      </w:r>
      <w:r w:rsidR="000159A6">
        <w:t xml:space="preserve"> </w:t>
      </w:r>
      <w:r>
        <w:t>of</w:t>
      </w:r>
      <w:r w:rsidR="000159A6">
        <w:t xml:space="preserve"> </w:t>
      </w:r>
      <w:r>
        <w:t>the</w:t>
      </w:r>
      <w:r w:rsidR="000159A6">
        <w:t xml:space="preserve"> </w:t>
      </w:r>
      <w:r>
        <w:t>draining</w:t>
      </w:r>
      <w:r w:rsidR="000159A6">
        <w:t xml:space="preserve"> </w:t>
      </w:r>
      <w:r>
        <w:t>popliteal</w:t>
      </w:r>
      <w:r w:rsidR="000159A6">
        <w:t xml:space="preserve"> </w:t>
      </w:r>
      <w:r>
        <w:t>and</w:t>
      </w:r>
      <w:r w:rsidR="000159A6">
        <w:t xml:space="preserve"> </w:t>
      </w:r>
      <w:r>
        <w:t>inguinal</w:t>
      </w:r>
      <w:r w:rsidR="000159A6">
        <w:t xml:space="preserve"> </w:t>
      </w:r>
      <w:r>
        <w:t>lymph</w:t>
      </w:r>
      <w:r w:rsidR="000159A6">
        <w:t xml:space="preserve"> </w:t>
      </w:r>
      <w:r>
        <w:t>nodes.</w:t>
      </w:r>
      <w:r w:rsidR="000159A6">
        <w:t xml:space="preserve"> </w:t>
      </w:r>
      <w:r>
        <w:t>These</w:t>
      </w:r>
      <w:r w:rsidR="000159A6">
        <w:t xml:space="preserve"> </w:t>
      </w:r>
      <w:r>
        <w:t>responses</w:t>
      </w:r>
      <w:r w:rsidR="000159A6">
        <w:t xml:space="preserve"> </w:t>
      </w:r>
      <w:r>
        <w:t>are</w:t>
      </w:r>
      <w:r w:rsidR="000159A6">
        <w:t xml:space="preserve"> </w:t>
      </w:r>
      <w:r>
        <w:t>generally</w:t>
      </w:r>
      <w:r w:rsidR="000159A6">
        <w:t xml:space="preserve"> </w:t>
      </w:r>
      <w:r>
        <w:t>related</w:t>
      </w:r>
      <w:r w:rsidR="000159A6">
        <w:t xml:space="preserve"> </w:t>
      </w:r>
      <w:r>
        <w:t>to</w:t>
      </w:r>
      <w:r w:rsidR="000159A6">
        <w:t xml:space="preserve"> </w:t>
      </w:r>
      <w:r>
        <w:t>the</w:t>
      </w:r>
      <w:r w:rsidR="000159A6">
        <w:t xml:space="preserve"> </w:t>
      </w:r>
      <w:r>
        <w:t>inflammatory</w:t>
      </w:r>
      <w:r w:rsidR="000159A6">
        <w:t xml:space="preserve"> </w:t>
      </w:r>
      <w:r>
        <w:t>process</w:t>
      </w:r>
      <w:r w:rsidR="000159A6">
        <w:t xml:space="preserve"> </w:t>
      </w:r>
      <w:r>
        <w:t>following</w:t>
      </w:r>
      <w:r w:rsidR="000159A6">
        <w:t xml:space="preserve"> </w:t>
      </w:r>
      <w:r>
        <w:t>vaccination</w:t>
      </w:r>
      <w:r w:rsidR="000159A6">
        <w:t xml:space="preserve"> </w:t>
      </w:r>
      <w:r>
        <w:t>and</w:t>
      </w:r>
      <w:r w:rsidR="000159A6">
        <w:t xml:space="preserve"> </w:t>
      </w:r>
      <w:r>
        <w:t>no</w:t>
      </w:r>
      <w:r w:rsidR="000159A6">
        <w:t xml:space="preserve"> </w:t>
      </w:r>
      <w:r>
        <w:t>other</w:t>
      </w:r>
      <w:r w:rsidR="000159A6">
        <w:t xml:space="preserve"> </w:t>
      </w:r>
      <w:r>
        <w:t>significant</w:t>
      </w:r>
      <w:r w:rsidR="000159A6">
        <w:t xml:space="preserve"> </w:t>
      </w:r>
      <w:r>
        <w:t>safety</w:t>
      </w:r>
      <w:r w:rsidR="000159A6">
        <w:t xml:space="preserve"> </w:t>
      </w:r>
      <w:r>
        <w:t>issues</w:t>
      </w:r>
      <w:r w:rsidR="000159A6">
        <w:t xml:space="preserve"> </w:t>
      </w:r>
      <w:r>
        <w:t>were</w:t>
      </w:r>
      <w:r w:rsidR="000159A6">
        <w:t xml:space="preserve"> </w:t>
      </w:r>
      <w:r>
        <w:t>identified.</w:t>
      </w:r>
      <w:r w:rsidR="000159A6">
        <w:t xml:space="preserve"> </w:t>
      </w:r>
      <w:r>
        <w:t>There</w:t>
      </w:r>
      <w:r w:rsidR="000159A6">
        <w:t xml:space="preserve"> </w:t>
      </w:r>
      <w:r>
        <w:t>was</w:t>
      </w:r>
      <w:r w:rsidR="000159A6">
        <w:t xml:space="preserve"> </w:t>
      </w:r>
      <w:r>
        <w:t>also</w:t>
      </w:r>
      <w:r w:rsidR="000159A6">
        <w:t xml:space="preserve"> </w:t>
      </w:r>
      <w:r>
        <w:t>an</w:t>
      </w:r>
      <w:r w:rsidR="000159A6">
        <w:t xml:space="preserve"> </w:t>
      </w:r>
      <w:r>
        <w:t>increase</w:t>
      </w:r>
      <w:r w:rsidR="000159A6">
        <w:t xml:space="preserve"> </w:t>
      </w:r>
      <w:r>
        <w:t>in</w:t>
      </w:r>
      <w:r w:rsidR="000159A6">
        <w:t xml:space="preserve"> </w:t>
      </w:r>
      <w:r>
        <w:t>plasma</w:t>
      </w:r>
      <w:r w:rsidR="000159A6">
        <w:t xml:space="preserve"> </w:t>
      </w:r>
      <w:r>
        <w:t>bilirubin</w:t>
      </w:r>
      <w:r w:rsidR="000159A6">
        <w:t xml:space="preserve"> </w:t>
      </w:r>
      <w:r>
        <w:t>(only</w:t>
      </w:r>
      <w:r w:rsidR="000159A6">
        <w:t xml:space="preserve"> </w:t>
      </w:r>
      <w:r>
        <w:t>total</w:t>
      </w:r>
      <w:r w:rsidR="000159A6">
        <w:t xml:space="preserve"> </w:t>
      </w:r>
      <w:r>
        <w:t>bilirubin</w:t>
      </w:r>
      <w:r w:rsidR="000159A6">
        <w:t xml:space="preserve"> </w:t>
      </w:r>
      <w:r>
        <w:t>was</w:t>
      </w:r>
      <w:r w:rsidR="000159A6">
        <w:t xml:space="preserve"> </w:t>
      </w:r>
      <w:r>
        <w:t>measured),</w:t>
      </w:r>
      <w:r w:rsidR="000159A6">
        <w:t xml:space="preserve"> </w:t>
      </w:r>
      <w:r w:rsidRPr="0057127E">
        <w:t>which</w:t>
      </w:r>
      <w:r w:rsidR="000159A6">
        <w:t xml:space="preserve"> </w:t>
      </w:r>
      <w:r w:rsidRPr="0057127E">
        <w:t>was</w:t>
      </w:r>
      <w:r w:rsidR="000159A6">
        <w:t xml:space="preserve"> </w:t>
      </w:r>
      <w:r w:rsidRPr="0057127E">
        <w:t>probably</w:t>
      </w:r>
      <w:r w:rsidR="000159A6">
        <w:t xml:space="preserve"> </w:t>
      </w:r>
      <w:r w:rsidRPr="0057127E">
        <w:t>secondary</w:t>
      </w:r>
      <w:r w:rsidR="000159A6">
        <w:t xml:space="preserve"> </w:t>
      </w:r>
      <w:r w:rsidRPr="0057127E">
        <w:t>to</w:t>
      </w:r>
      <w:r w:rsidR="000159A6">
        <w:t xml:space="preserve"> </w:t>
      </w:r>
      <w:r w:rsidRPr="0057127E">
        <w:t>haemolysis</w:t>
      </w:r>
      <w:r w:rsidR="000159A6">
        <w:t xml:space="preserve"> </w:t>
      </w:r>
      <w:r w:rsidRPr="0057127E">
        <w:t>induced</w:t>
      </w:r>
      <w:r w:rsidR="000159A6">
        <w:t xml:space="preserve"> </w:t>
      </w:r>
      <w:r w:rsidRPr="0057127E">
        <w:t>by</w:t>
      </w:r>
      <w:r w:rsidR="000159A6">
        <w:t xml:space="preserve"> </w:t>
      </w:r>
      <w:r w:rsidRPr="0057127E">
        <w:t>the</w:t>
      </w:r>
      <w:r w:rsidR="000159A6">
        <w:t xml:space="preserve"> </w:t>
      </w:r>
      <w:r w:rsidRPr="0057127E">
        <w:t>adjuvant</w:t>
      </w:r>
      <w:r w:rsidR="000159A6">
        <w:t xml:space="preserve"> </w:t>
      </w:r>
      <w:r w:rsidRPr="0057127E">
        <w:t>(see</w:t>
      </w:r>
      <w:r w:rsidR="000159A6">
        <w:t xml:space="preserve"> </w:t>
      </w:r>
      <w:r w:rsidRPr="0057127E">
        <w:t>also</w:t>
      </w:r>
      <w:r w:rsidR="000159A6">
        <w:t xml:space="preserve"> </w:t>
      </w:r>
      <w:r w:rsidRPr="0057127E">
        <w:t>discussion</w:t>
      </w:r>
      <w:r w:rsidR="000159A6">
        <w:t xml:space="preserve"> </w:t>
      </w:r>
      <w:r w:rsidRPr="0057127E">
        <w:t>below).</w:t>
      </w:r>
      <w:r w:rsidR="000159A6">
        <w:t xml:space="preserve"> </w:t>
      </w:r>
      <w:r w:rsidRPr="006078B2">
        <w:t>No</w:t>
      </w:r>
      <w:r w:rsidR="000159A6">
        <w:t xml:space="preserve"> </w:t>
      </w:r>
      <w:r w:rsidRPr="006078B2">
        <w:t>distinct</w:t>
      </w:r>
      <w:r w:rsidR="000159A6">
        <w:t xml:space="preserve"> </w:t>
      </w:r>
      <w:r w:rsidRPr="006078B2">
        <w:t>differences</w:t>
      </w:r>
      <w:r w:rsidR="000159A6">
        <w:t xml:space="preserve"> </w:t>
      </w:r>
      <w:r w:rsidRPr="006078B2">
        <w:t>in</w:t>
      </w:r>
      <w:r w:rsidR="000159A6">
        <w:t xml:space="preserve"> </w:t>
      </w:r>
      <w:r w:rsidRPr="006078B2">
        <w:t>systemic</w:t>
      </w:r>
      <w:r w:rsidR="000159A6">
        <w:t xml:space="preserve"> </w:t>
      </w:r>
      <w:r w:rsidRPr="006078B2">
        <w:t>effects</w:t>
      </w:r>
      <w:r w:rsidR="000159A6">
        <w:t xml:space="preserve"> </w:t>
      </w:r>
      <w:r w:rsidRPr="006078B2">
        <w:t>between</w:t>
      </w:r>
      <w:r w:rsidR="000159A6">
        <w:t xml:space="preserve"> </w:t>
      </w:r>
      <w:r w:rsidRPr="006078B2">
        <w:t>the</w:t>
      </w:r>
      <w:r w:rsidR="000159A6">
        <w:t xml:space="preserve"> </w:t>
      </w:r>
      <w:r w:rsidRPr="006078B2">
        <w:t>routes</w:t>
      </w:r>
      <w:r w:rsidR="000159A6">
        <w:t xml:space="preserve"> </w:t>
      </w:r>
      <w:r w:rsidRPr="006078B2">
        <w:t>of</w:t>
      </w:r>
      <w:r w:rsidR="000159A6">
        <w:t xml:space="preserve"> </w:t>
      </w:r>
      <w:r w:rsidRPr="006078B2">
        <w:t>administration</w:t>
      </w:r>
      <w:r w:rsidR="000159A6">
        <w:t xml:space="preserve"> </w:t>
      </w:r>
      <w:r w:rsidRPr="006078B2">
        <w:t>in</w:t>
      </w:r>
      <w:r w:rsidR="000159A6">
        <w:t xml:space="preserve"> </w:t>
      </w:r>
      <w:r w:rsidRPr="006078B2">
        <w:t>rabbits</w:t>
      </w:r>
      <w:r w:rsidR="000159A6">
        <w:t xml:space="preserve"> </w:t>
      </w:r>
      <w:r w:rsidRPr="006078B2">
        <w:t>(IM</w:t>
      </w:r>
      <w:r w:rsidR="000159A6">
        <w:t xml:space="preserve"> </w:t>
      </w:r>
      <w:r w:rsidR="008D4538">
        <w:t>versus</w:t>
      </w:r>
      <w:r w:rsidR="000159A6">
        <w:t xml:space="preserve"> </w:t>
      </w:r>
      <w:r w:rsidRPr="006078B2">
        <w:t>SC)</w:t>
      </w:r>
      <w:r w:rsidR="000159A6">
        <w:t xml:space="preserve"> </w:t>
      </w:r>
      <w:r w:rsidRPr="006078B2">
        <w:t>but</w:t>
      </w:r>
      <w:r w:rsidR="000159A6">
        <w:t xml:space="preserve"> </w:t>
      </w:r>
      <w:r w:rsidRPr="006078B2">
        <w:t>microscopically,</w:t>
      </w:r>
      <w:r w:rsidR="000159A6">
        <w:t xml:space="preserve"> </w:t>
      </w:r>
      <w:r w:rsidRPr="006078B2">
        <w:t>the</w:t>
      </w:r>
      <w:r w:rsidR="000159A6">
        <w:t xml:space="preserve"> </w:t>
      </w:r>
      <w:r w:rsidRPr="006078B2">
        <w:t>SC</w:t>
      </w:r>
      <w:r w:rsidR="000159A6">
        <w:t xml:space="preserve"> </w:t>
      </w:r>
      <w:r w:rsidRPr="006078B2">
        <w:t>injections</w:t>
      </w:r>
      <w:r w:rsidR="000159A6">
        <w:t xml:space="preserve"> </w:t>
      </w:r>
      <w:r w:rsidRPr="006078B2">
        <w:t>caused</w:t>
      </w:r>
      <w:r w:rsidR="000159A6">
        <w:t xml:space="preserve"> </w:t>
      </w:r>
      <w:r w:rsidRPr="006078B2">
        <w:t>less</w:t>
      </w:r>
      <w:r w:rsidR="000159A6">
        <w:t xml:space="preserve"> </w:t>
      </w:r>
      <w:r w:rsidRPr="006078B2">
        <w:t>reaction</w:t>
      </w:r>
      <w:r w:rsidR="000159A6">
        <w:t xml:space="preserve"> </w:t>
      </w:r>
      <w:r w:rsidRPr="006078B2">
        <w:t>(in</w:t>
      </w:r>
      <w:r w:rsidR="000159A6">
        <w:t xml:space="preserve"> </w:t>
      </w:r>
      <w:r w:rsidRPr="006078B2">
        <w:t>both</w:t>
      </w:r>
      <w:r w:rsidR="000159A6">
        <w:t xml:space="preserve"> </w:t>
      </w:r>
      <w:r w:rsidRPr="006078B2">
        <w:t>incidences</w:t>
      </w:r>
      <w:r w:rsidR="000159A6">
        <w:t xml:space="preserve"> </w:t>
      </w:r>
      <w:r w:rsidRPr="006078B2">
        <w:t>and</w:t>
      </w:r>
      <w:r w:rsidR="000159A6">
        <w:t xml:space="preserve"> </w:t>
      </w:r>
      <w:r w:rsidRPr="006078B2">
        <w:t>severity)</w:t>
      </w:r>
      <w:r w:rsidR="000159A6">
        <w:t xml:space="preserve"> </w:t>
      </w:r>
      <w:r w:rsidRPr="006078B2">
        <w:t>at</w:t>
      </w:r>
      <w:r w:rsidR="000159A6">
        <w:t xml:space="preserve"> </w:t>
      </w:r>
      <w:r w:rsidRPr="006078B2">
        <w:t>the</w:t>
      </w:r>
      <w:r w:rsidR="000159A6">
        <w:t xml:space="preserve"> </w:t>
      </w:r>
      <w:r w:rsidRPr="006078B2">
        <w:t>site</w:t>
      </w:r>
      <w:r w:rsidR="000159A6">
        <w:t xml:space="preserve"> </w:t>
      </w:r>
      <w:r w:rsidRPr="006078B2">
        <w:t>of</w:t>
      </w:r>
      <w:r w:rsidR="000159A6">
        <w:t xml:space="preserve"> </w:t>
      </w:r>
      <w:r w:rsidRPr="006078B2">
        <w:t>injection</w:t>
      </w:r>
      <w:r w:rsidR="000159A6">
        <w:t xml:space="preserve"> </w:t>
      </w:r>
      <w:r w:rsidRPr="006078B2">
        <w:t>than</w:t>
      </w:r>
      <w:r w:rsidR="000159A6">
        <w:t xml:space="preserve"> </w:t>
      </w:r>
      <w:r w:rsidRPr="00E97880">
        <w:t>IM.</w:t>
      </w:r>
    </w:p>
    <w:p w14:paraId="1C8B8B65" w14:textId="7037C5C1" w:rsidR="005B220F" w:rsidRPr="008F7BC7" w:rsidRDefault="00503D1B" w:rsidP="008F7BC7">
      <w:pPr>
        <w:pStyle w:val="Heading5"/>
      </w:pPr>
      <w:r w:rsidRPr="008F7BC7">
        <w:t>AS01</w:t>
      </w:r>
      <w:r w:rsidRPr="00CD5352">
        <w:rPr>
          <w:vertAlign w:val="subscript"/>
        </w:rPr>
        <w:t>B</w:t>
      </w:r>
      <w:r w:rsidR="000159A6" w:rsidRPr="008F7BC7">
        <w:t xml:space="preserve"> </w:t>
      </w:r>
      <w:r w:rsidR="005B220F" w:rsidRPr="008F7BC7">
        <w:t>alone</w:t>
      </w:r>
    </w:p>
    <w:p w14:paraId="67688B58" w14:textId="69517A9C" w:rsidR="005B220F" w:rsidRPr="00A71DAB" w:rsidRDefault="005B220F" w:rsidP="00C5388D">
      <w:r>
        <w:t>Repeat</w:t>
      </w:r>
      <w:r w:rsidR="000159A6">
        <w:t xml:space="preserve"> </w:t>
      </w:r>
      <w:r>
        <w:t>dose</w:t>
      </w:r>
      <w:r w:rsidR="000159A6">
        <w:t xml:space="preserve"> </w:t>
      </w:r>
      <w:r>
        <w:t>toxicity</w:t>
      </w:r>
      <w:r w:rsidR="000159A6">
        <w:t xml:space="preserve"> </w:t>
      </w:r>
      <w:r>
        <w:t>studies</w:t>
      </w:r>
      <w:r w:rsidR="000159A6">
        <w:t xml:space="preserve"> </w:t>
      </w:r>
      <w:r>
        <w:t>were</w:t>
      </w:r>
      <w:r w:rsidR="000159A6">
        <w:t xml:space="preserve"> </w:t>
      </w:r>
      <w:r>
        <w:t>conducted</w:t>
      </w:r>
      <w:r w:rsidR="000159A6">
        <w:t xml:space="preserve"> </w:t>
      </w:r>
      <w:r>
        <w:t>by</w:t>
      </w:r>
      <w:r w:rsidR="000159A6">
        <w:t xml:space="preserve"> </w:t>
      </w:r>
      <w:r>
        <w:t>administering</w:t>
      </w:r>
      <w:r w:rsidR="000159A6">
        <w:t xml:space="preserve"> </w:t>
      </w:r>
      <w:r>
        <w:t>7</w:t>
      </w:r>
      <w:r w:rsidR="000159A6">
        <w:t xml:space="preserve"> </w:t>
      </w:r>
      <w:r>
        <w:t>injections</w:t>
      </w:r>
      <w:r w:rsidR="000159A6">
        <w:t xml:space="preserve"> </w:t>
      </w:r>
      <w:r>
        <w:t>of</w:t>
      </w:r>
      <w:r w:rsidR="000159A6">
        <w:t xml:space="preserve"> </w:t>
      </w:r>
      <w:r w:rsidR="00503D1B">
        <w:t>AS01</w:t>
      </w:r>
      <w:r w:rsidR="00503D1B" w:rsidRPr="00570F2D">
        <w:rPr>
          <w:vertAlign w:val="subscript"/>
        </w:rPr>
        <w:t>B</w:t>
      </w:r>
      <w:r w:rsidR="000159A6">
        <w:t xml:space="preserve"> </w:t>
      </w:r>
      <w:r>
        <w:t>in</w:t>
      </w:r>
      <w:r w:rsidR="000159A6">
        <w:t xml:space="preserve"> </w:t>
      </w:r>
      <w:r>
        <w:t>rats</w:t>
      </w:r>
      <w:r w:rsidR="000159A6">
        <w:t xml:space="preserve"> </w:t>
      </w:r>
      <w:r>
        <w:t>and</w:t>
      </w:r>
      <w:r w:rsidR="000159A6">
        <w:t xml:space="preserve"> </w:t>
      </w:r>
      <w:r>
        <w:t>5</w:t>
      </w:r>
      <w:r w:rsidR="000159A6">
        <w:t xml:space="preserve"> </w:t>
      </w:r>
      <w:r>
        <w:t>injections</w:t>
      </w:r>
      <w:r w:rsidR="000159A6">
        <w:t xml:space="preserve"> </w:t>
      </w:r>
      <w:r>
        <w:t>in</w:t>
      </w:r>
      <w:r w:rsidR="000159A6">
        <w:t xml:space="preserve"> </w:t>
      </w:r>
      <w:r>
        <w:t>rabbits</w:t>
      </w:r>
      <w:r w:rsidR="000159A6">
        <w:t xml:space="preserve"> </w:t>
      </w:r>
      <w:r>
        <w:t>by</w:t>
      </w:r>
      <w:r w:rsidR="000159A6">
        <w:t xml:space="preserve"> </w:t>
      </w:r>
      <w:r>
        <w:t>the</w:t>
      </w:r>
      <w:r w:rsidR="000159A6">
        <w:t xml:space="preserve"> </w:t>
      </w:r>
      <w:r>
        <w:t>IM</w:t>
      </w:r>
      <w:r w:rsidR="000159A6">
        <w:t xml:space="preserve"> </w:t>
      </w:r>
      <w:r>
        <w:t>route</w:t>
      </w:r>
      <w:r w:rsidR="000159A6">
        <w:t xml:space="preserve"> </w:t>
      </w:r>
      <w:r>
        <w:t>at</w:t>
      </w:r>
      <w:r w:rsidR="000159A6">
        <w:t xml:space="preserve"> </w:t>
      </w:r>
      <w:r>
        <w:t>2</w:t>
      </w:r>
      <w:r w:rsidR="000159A6">
        <w:t xml:space="preserve"> </w:t>
      </w:r>
      <w:r>
        <w:t>week</w:t>
      </w:r>
      <w:r w:rsidR="000159A6">
        <w:t xml:space="preserve"> </w:t>
      </w:r>
      <w:r>
        <w:t>intervals</w:t>
      </w:r>
      <w:r w:rsidR="000159A6">
        <w:t xml:space="preserve"> </w:t>
      </w:r>
      <w:r>
        <w:t>(15</w:t>
      </w:r>
      <w:r w:rsidR="000159A6">
        <w:t xml:space="preserve"> </w:t>
      </w:r>
      <w:r>
        <w:t>and</w:t>
      </w:r>
      <w:r w:rsidR="000159A6">
        <w:t xml:space="preserve"> </w:t>
      </w:r>
      <w:r>
        <w:t>6</w:t>
      </w:r>
      <w:r w:rsidR="000159A6">
        <w:t xml:space="preserve"> </w:t>
      </w:r>
      <w:r w:rsidRPr="00143E06">
        <w:t>x</w:t>
      </w:r>
      <w:r w:rsidR="000159A6">
        <w:t xml:space="preserve"> </w:t>
      </w:r>
      <w:r w:rsidRPr="00143E06">
        <w:t>the</w:t>
      </w:r>
      <w:r w:rsidR="000159A6">
        <w:t xml:space="preserve"> </w:t>
      </w:r>
      <w:r w:rsidRPr="00143E06">
        <w:t>human</w:t>
      </w:r>
      <w:r w:rsidR="000159A6">
        <w:t xml:space="preserve"> </w:t>
      </w:r>
      <w:r w:rsidRPr="00143E06">
        <w:t>dose</w:t>
      </w:r>
      <w:r w:rsidR="000159A6">
        <w:t xml:space="preserve"> </w:t>
      </w:r>
      <w:r w:rsidRPr="00143E06">
        <w:t>based</w:t>
      </w:r>
      <w:r w:rsidR="000159A6">
        <w:t xml:space="preserve"> </w:t>
      </w:r>
      <w:r w:rsidRPr="00143E06">
        <w:t>on</w:t>
      </w:r>
      <w:r w:rsidR="000159A6">
        <w:t xml:space="preserve"> </w:t>
      </w:r>
      <w:r>
        <w:t>µg</w:t>
      </w:r>
      <w:r w:rsidRPr="00143E06">
        <w:t>/m</w:t>
      </w:r>
      <w:r w:rsidRPr="00143E06">
        <w:rPr>
          <w:vertAlign w:val="superscript"/>
        </w:rPr>
        <w:t>2</w:t>
      </w:r>
      <w:r w:rsidR="000159A6">
        <w:t xml:space="preserve"> </w:t>
      </w:r>
      <w:r w:rsidRPr="00143E06">
        <w:t>body</w:t>
      </w:r>
      <w:r w:rsidR="000159A6">
        <w:t xml:space="preserve"> </w:t>
      </w:r>
      <w:r w:rsidRPr="00143E06">
        <w:t>surface</w:t>
      </w:r>
      <w:r w:rsidR="000159A6">
        <w:t xml:space="preserve"> </w:t>
      </w:r>
      <w:r w:rsidRPr="00143E06">
        <w:t>area</w:t>
      </w:r>
      <w:r>
        <w:t>,</w:t>
      </w:r>
      <w:r w:rsidR="000159A6">
        <w:t xml:space="preserve"> </w:t>
      </w:r>
      <w:r>
        <w:t>respectively).</w:t>
      </w:r>
      <w:r w:rsidR="000159A6">
        <w:t xml:space="preserve"> </w:t>
      </w:r>
      <w:r>
        <w:t>Findings</w:t>
      </w:r>
      <w:r w:rsidR="000159A6">
        <w:t xml:space="preserve"> </w:t>
      </w:r>
      <w:r>
        <w:t>were</w:t>
      </w:r>
      <w:r w:rsidR="000159A6">
        <w:t xml:space="preserve"> </w:t>
      </w:r>
      <w:r>
        <w:t>similar</w:t>
      </w:r>
      <w:r w:rsidR="000159A6">
        <w:t xml:space="preserve"> </w:t>
      </w:r>
      <w:r>
        <w:t>to</w:t>
      </w:r>
      <w:r w:rsidR="000159A6">
        <w:t xml:space="preserve"> </w:t>
      </w:r>
      <w:r>
        <w:t>those</w:t>
      </w:r>
      <w:r w:rsidR="000159A6">
        <w:t xml:space="preserve"> </w:t>
      </w:r>
      <w:r>
        <w:t>with</w:t>
      </w:r>
      <w:r w:rsidR="000159A6">
        <w:t xml:space="preserve"> </w:t>
      </w:r>
      <w:r>
        <w:t>the</w:t>
      </w:r>
      <w:r w:rsidR="000159A6">
        <w:t xml:space="preserve"> </w:t>
      </w:r>
      <w:r>
        <w:t>complete</w:t>
      </w:r>
      <w:r w:rsidR="000159A6">
        <w:t xml:space="preserve"> </w:t>
      </w:r>
      <w:r>
        <w:t>vaccine,</w:t>
      </w:r>
      <w:r w:rsidR="000159A6">
        <w:t xml:space="preserve"> </w:t>
      </w:r>
      <w:r>
        <w:t>gE/</w:t>
      </w:r>
      <w:r w:rsidR="00503D1B">
        <w:t>AS01</w:t>
      </w:r>
      <w:r w:rsidR="00503D1B" w:rsidRPr="00570F2D">
        <w:rPr>
          <w:vertAlign w:val="subscript"/>
        </w:rPr>
        <w:t>B</w:t>
      </w:r>
      <w:r>
        <w:t>.</w:t>
      </w:r>
      <w:r w:rsidR="000159A6">
        <w:t xml:space="preserve"> </w:t>
      </w:r>
      <w:r>
        <w:t>Acute</w:t>
      </w:r>
      <w:r w:rsidR="000159A6">
        <w:t xml:space="preserve"> </w:t>
      </w:r>
      <w:r>
        <w:t>inflammatory</w:t>
      </w:r>
      <w:r w:rsidR="000159A6">
        <w:t xml:space="preserve"> </w:t>
      </w:r>
      <w:r>
        <w:t>response</w:t>
      </w:r>
      <w:r w:rsidR="000159A6">
        <w:t xml:space="preserve"> </w:t>
      </w:r>
      <w:r>
        <w:t>at</w:t>
      </w:r>
      <w:r w:rsidR="000159A6">
        <w:t xml:space="preserve"> </w:t>
      </w:r>
      <w:r>
        <w:t>the</w:t>
      </w:r>
      <w:r w:rsidR="000159A6">
        <w:t xml:space="preserve"> </w:t>
      </w:r>
      <w:r>
        <w:t>injection</w:t>
      </w:r>
      <w:r w:rsidR="000159A6">
        <w:t xml:space="preserve"> </w:t>
      </w:r>
      <w:r>
        <w:t>site</w:t>
      </w:r>
      <w:r w:rsidR="000159A6">
        <w:t xml:space="preserve"> </w:t>
      </w:r>
      <w:r>
        <w:t>was</w:t>
      </w:r>
      <w:r w:rsidR="000159A6">
        <w:t xml:space="preserve"> </w:t>
      </w:r>
      <w:r>
        <w:t>observed</w:t>
      </w:r>
      <w:r w:rsidR="000159A6">
        <w:t xml:space="preserve"> </w:t>
      </w:r>
      <w:r>
        <w:t>in</w:t>
      </w:r>
      <w:r w:rsidR="000159A6">
        <w:t xml:space="preserve"> </w:t>
      </w:r>
      <w:r>
        <w:t>all</w:t>
      </w:r>
      <w:r w:rsidR="000159A6">
        <w:t xml:space="preserve"> </w:t>
      </w:r>
      <w:r>
        <w:t>the</w:t>
      </w:r>
      <w:r w:rsidR="000159A6">
        <w:t xml:space="preserve"> </w:t>
      </w:r>
      <w:r>
        <w:t>animals.</w:t>
      </w:r>
      <w:r w:rsidR="000159A6">
        <w:t xml:space="preserve"> </w:t>
      </w:r>
      <w:r>
        <w:t>Transient</w:t>
      </w:r>
      <w:r w:rsidR="000159A6">
        <w:t xml:space="preserve"> </w:t>
      </w:r>
      <w:r>
        <w:t>increases</w:t>
      </w:r>
      <w:r w:rsidR="000159A6">
        <w:t xml:space="preserve"> </w:t>
      </w:r>
      <w:r>
        <w:t>in</w:t>
      </w:r>
      <w:r w:rsidR="000159A6">
        <w:t xml:space="preserve"> </w:t>
      </w:r>
      <w:r>
        <w:t>WBC</w:t>
      </w:r>
      <w:r w:rsidR="000159A6">
        <w:t xml:space="preserve"> </w:t>
      </w:r>
      <w:r>
        <w:t>(mainly</w:t>
      </w:r>
      <w:r w:rsidR="000159A6">
        <w:t xml:space="preserve"> </w:t>
      </w:r>
      <w:r>
        <w:t>neutrophil),</w:t>
      </w:r>
      <w:r w:rsidR="000159A6">
        <w:t xml:space="preserve"> </w:t>
      </w:r>
      <w:r>
        <w:t>increase</w:t>
      </w:r>
      <w:r w:rsidR="000159A6">
        <w:t xml:space="preserve"> </w:t>
      </w:r>
      <w:r>
        <w:t>in</w:t>
      </w:r>
      <w:r w:rsidR="000159A6">
        <w:t xml:space="preserve"> </w:t>
      </w:r>
      <w:r>
        <w:t>fibrinogen,</w:t>
      </w:r>
      <w:r w:rsidR="000159A6">
        <w:t xml:space="preserve"> </w:t>
      </w:r>
      <w:r>
        <w:t>decrease</w:t>
      </w:r>
      <w:r w:rsidR="000159A6">
        <w:t xml:space="preserve"> </w:t>
      </w:r>
      <w:r>
        <w:t>in</w:t>
      </w:r>
      <w:r w:rsidR="000159A6">
        <w:t xml:space="preserve"> </w:t>
      </w:r>
      <w:r>
        <w:t>albumin/globulin</w:t>
      </w:r>
      <w:r w:rsidR="000159A6">
        <w:t xml:space="preserve"> </w:t>
      </w:r>
      <w:r>
        <w:t>ratio,</w:t>
      </w:r>
      <w:r w:rsidR="000159A6">
        <w:t xml:space="preserve"> </w:t>
      </w:r>
      <w:r>
        <w:t>increase</w:t>
      </w:r>
      <w:r w:rsidR="000159A6">
        <w:t xml:space="preserve"> </w:t>
      </w:r>
      <w:r>
        <w:t>in</w:t>
      </w:r>
      <w:r w:rsidR="000159A6">
        <w:t xml:space="preserve"> </w:t>
      </w:r>
      <w:r>
        <w:t>CRP</w:t>
      </w:r>
      <w:r w:rsidR="000159A6">
        <w:t xml:space="preserve"> </w:t>
      </w:r>
      <w:r>
        <w:t>and</w:t>
      </w:r>
      <w:r w:rsidR="000159A6">
        <w:t xml:space="preserve"> </w:t>
      </w:r>
      <w:r>
        <w:t>increased</w:t>
      </w:r>
      <w:r w:rsidR="000159A6">
        <w:t xml:space="preserve"> </w:t>
      </w:r>
      <w:r>
        <w:t>body</w:t>
      </w:r>
      <w:r w:rsidR="000159A6">
        <w:t xml:space="preserve"> </w:t>
      </w:r>
      <w:r>
        <w:t>temperature</w:t>
      </w:r>
      <w:r w:rsidR="000159A6">
        <w:t xml:space="preserve"> </w:t>
      </w:r>
      <w:r>
        <w:t>(observed</w:t>
      </w:r>
      <w:r w:rsidR="000159A6">
        <w:t xml:space="preserve"> </w:t>
      </w:r>
      <w:r>
        <w:t>in</w:t>
      </w:r>
      <w:r w:rsidR="000159A6">
        <w:t xml:space="preserve"> </w:t>
      </w:r>
      <w:r>
        <w:t>rats</w:t>
      </w:r>
      <w:r w:rsidR="000159A6">
        <w:t xml:space="preserve"> </w:t>
      </w:r>
      <w:r>
        <w:t>only)</w:t>
      </w:r>
      <w:r w:rsidR="000159A6">
        <w:t xml:space="preserve"> </w:t>
      </w:r>
      <w:r>
        <w:t>were</w:t>
      </w:r>
      <w:r w:rsidR="000159A6">
        <w:t xml:space="preserve"> </w:t>
      </w:r>
      <w:r>
        <w:t>probably</w:t>
      </w:r>
      <w:r w:rsidR="000159A6">
        <w:t xml:space="preserve"> </w:t>
      </w:r>
      <w:r>
        <w:t>related</w:t>
      </w:r>
      <w:r w:rsidR="000159A6">
        <w:t xml:space="preserve"> </w:t>
      </w:r>
      <w:r>
        <w:t>to</w:t>
      </w:r>
      <w:r w:rsidR="000159A6">
        <w:t xml:space="preserve"> </w:t>
      </w:r>
      <w:r>
        <w:t>the</w:t>
      </w:r>
      <w:r w:rsidR="000159A6">
        <w:t xml:space="preserve"> </w:t>
      </w:r>
      <w:r>
        <w:t>local</w:t>
      </w:r>
      <w:r w:rsidR="000159A6">
        <w:t xml:space="preserve"> </w:t>
      </w:r>
      <w:r>
        <w:t>inflammation</w:t>
      </w:r>
      <w:r w:rsidR="000159A6">
        <w:t xml:space="preserve"> </w:t>
      </w:r>
      <w:r>
        <w:t>or</w:t>
      </w:r>
      <w:r w:rsidR="000159A6">
        <w:t xml:space="preserve"> </w:t>
      </w:r>
      <w:r>
        <w:t>the</w:t>
      </w:r>
      <w:r w:rsidR="000159A6">
        <w:t xml:space="preserve"> </w:t>
      </w:r>
      <w:r>
        <w:t>immune</w:t>
      </w:r>
      <w:r w:rsidR="000159A6">
        <w:t xml:space="preserve"> </w:t>
      </w:r>
      <w:r>
        <w:t>stimulation</w:t>
      </w:r>
      <w:r w:rsidR="000159A6">
        <w:t xml:space="preserve"> </w:t>
      </w:r>
      <w:r>
        <w:t>following</w:t>
      </w:r>
      <w:r w:rsidR="000159A6">
        <w:t xml:space="preserve"> </w:t>
      </w:r>
      <w:r w:rsidR="00503D1B">
        <w:t>AS01</w:t>
      </w:r>
      <w:r w:rsidR="00503D1B" w:rsidRPr="00570F2D">
        <w:rPr>
          <w:vertAlign w:val="subscript"/>
        </w:rPr>
        <w:t>B</w:t>
      </w:r>
      <w:r w:rsidR="000159A6">
        <w:t xml:space="preserve"> </w:t>
      </w:r>
      <w:r>
        <w:t>injection</w:t>
      </w:r>
      <w:r w:rsidRPr="002D5A8C">
        <w:t>.</w:t>
      </w:r>
      <w:r w:rsidR="000159A6">
        <w:t xml:space="preserve"> </w:t>
      </w:r>
      <w:r w:rsidRPr="002D5A8C">
        <w:t>Small</w:t>
      </w:r>
      <w:r w:rsidR="000159A6">
        <w:t xml:space="preserve"> </w:t>
      </w:r>
      <w:r w:rsidRPr="002D5A8C">
        <w:t>increases</w:t>
      </w:r>
      <w:r w:rsidR="000159A6">
        <w:t xml:space="preserve"> </w:t>
      </w:r>
      <w:r w:rsidRPr="002D5A8C">
        <w:t>in</w:t>
      </w:r>
      <w:r w:rsidR="000159A6">
        <w:t xml:space="preserve"> </w:t>
      </w:r>
      <w:r w:rsidRPr="002D5A8C">
        <w:t>plasma</w:t>
      </w:r>
      <w:r w:rsidR="000159A6">
        <w:t xml:space="preserve"> </w:t>
      </w:r>
      <w:r w:rsidRPr="002D5A8C">
        <w:t>bilirubin</w:t>
      </w:r>
      <w:r w:rsidR="000159A6">
        <w:t xml:space="preserve"> </w:t>
      </w:r>
      <w:r w:rsidRPr="002D5A8C">
        <w:t>(only</w:t>
      </w:r>
      <w:r w:rsidR="000159A6">
        <w:t xml:space="preserve"> </w:t>
      </w:r>
      <w:r w:rsidRPr="002D5A8C">
        <w:t>total</w:t>
      </w:r>
      <w:r w:rsidR="000159A6">
        <w:t xml:space="preserve"> </w:t>
      </w:r>
      <w:r w:rsidRPr="002D5A8C">
        <w:t>bilirubin</w:t>
      </w:r>
      <w:r w:rsidR="000159A6">
        <w:t xml:space="preserve"> </w:t>
      </w:r>
      <w:r w:rsidRPr="002D5A8C">
        <w:t>was</w:t>
      </w:r>
      <w:r w:rsidR="000159A6">
        <w:t xml:space="preserve"> </w:t>
      </w:r>
      <w:r w:rsidRPr="002D5A8C">
        <w:t>measured)</w:t>
      </w:r>
      <w:r w:rsidR="000159A6">
        <w:t xml:space="preserve"> </w:t>
      </w:r>
      <w:r w:rsidRPr="002D5A8C">
        <w:t>were</w:t>
      </w:r>
      <w:r w:rsidR="000159A6">
        <w:t xml:space="preserve"> </w:t>
      </w:r>
      <w:r w:rsidRPr="002D5A8C">
        <w:t>observed</w:t>
      </w:r>
      <w:r w:rsidR="000159A6">
        <w:t xml:space="preserve"> </w:t>
      </w:r>
      <w:r w:rsidRPr="002D5A8C">
        <w:t>in</w:t>
      </w:r>
      <w:r w:rsidR="000159A6">
        <w:t xml:space="preserve"> </w:t>
      </w:r>
      <w:r w:rsidRPr="002D5A8C">
        <w:t>rats,</w:t>
      </w:r>
      <w:r w:rsidR="000159A6">
        <w:t xml:space="preserve"> </w:t>
      </w:r>
      <w:r w:rsidRPr="002D5A8C">
        <w:t>and</w:t>
      </w:r>
      <w:r w:rsidR="000159A6">
        <w:t xml:space="preserve"> </w:t>
      </w:r>
      <w:r w:rsidR="00643548" w:rsidRPr="002D5A8C">
        <w:t>w</w:t>
      </w:r>
      <w:r w:rsidR="00643548">
        <w:t>ere</w:t>
      </w:r>
      <w:r w:rsidR="000159A6">
        <w:t xml:space="preserve"> </w:t>
      </w:r>
      <w:r w:rsidRPr="002D5A8C">
        <w:t>probably</w:t>
      </w:r>
      <w:r w:rsidR="000159A6">
        <w:t xml:space="preserve"> </w:t>
      </w:r>
      <w:r w:rsidRPr="002D5A8C">
        <w:t>secondary</w:t>
      </w:r>
      <w:r w:rsidR="000159A6">
        <w:t xml:space="preserve"> </w:t>
      </w:r>
      <w:r w:rsidRPr="002D5A8C">
        <w:t>to</w:t>
      </w:r>
      <w:r w:rsidR="000159A6">
        <w:t xml:space="preserve"> </w:t>
      </w:r>
      <w:r w:rsidRPr="002D5A8C">
        <w:t>haemolysis</w:t>
      </w:r>
      <w:r w:rsidR="000159A6">
        <w:t xml:space="preserve"> </w:t>
      </w:r>
      <w:r w:rsidRPr="002D5A8C">
        <w:t>induced</w:t>
      </w:r>
      <w:r w:rsidR="000159A6">
        <w:t xml:space="preserve"> </w:t>
      </w:r>
      <w:r w:rsidRPr="002D5A8C">
        <w:t>by</w:t>
      </w:r>
      <w:r w:rsidR="000159A6">
        <w:t xml:space="preserve"> </w:t>
      </w:r>
      <w:r w:rsidRPr="002D5A8C">
        <w:t>the</w:t>
      </w:r>
      <w:r w:rsidR="000159A6">
        <w:t xml:space="preserve"> </w:t>
      </w:r>
      <w:r w:rsidRPr="002D5A8C">
        <w:t>adjuvant.</w:t>
      </w:r>
      <w:r w:rsidR="000159A6">
        <w:t xml:space="preserve"> </w:t>
      </w:r>
      <w:r>
        <w:t>Significant</w:t>
      </w:r>
      <w:r w:rsidR="000159A6">
        <w:t xml:space="preserve"> </w:t>
      </w:r>
      <w:r>
        <w:t>but</w:t>
      </w:r>
      <w:r w:rsidR="000159A6">
        <w:t xml:space="preserve"> </w:t>
      </w:r>
      <w:r>
        <w:t>small</w:t>
      </w:r>
      <w:r w:rsidR="000159A6">
        <w:t xml:space="preserve"> </w:t>
      </w:r>
      <w:r>
        <w:t>decreases</w:t>
      </w:r>
      <w:r w:rsidR="000159A6">
        <w:t xml:space="preserve"> </w:t>
      </w:r>
      <w:r>
        <w:t>in</w:t>
      </w:r>
      <w:r w:rsidR="000159A6">
        <w:t xml:space="preserve"> </w:t>
      </w:r>
      <w:r w:rsidRPr="00767D59">
        <w:t>haemoglobin</w:t>
      </w:r>
      <w:r w:rsidR="000159A6">
        <w:t xml:space="preserve"> </w:t>
      </w:r>
      <w:r w:rsidRPr="00767D59">
        <w:t>concentration,</w:t>
      </w:r>
      <w:r w:rsidR="000159A6">
        <w:t xml:space="preserve"> </w:t>
      </w:r>
      <w:r w:rsidRPr="00767D59">
        <w:t>haematocrit</w:t>
      </w:r>
      <w:r>
        <w:t>,</w:t>
      </w:r>
      <w:r w:rsidR="000159A6">
        <w:t xml:space="preserve"> </w:t>
      </w:r>
      <w:r w:rsidRPr="00767D59">
        <w:t>red</w:t>
      </w:r>
      <w:r w:rsidR="000159A6">
        <w:t xml:space="preserve"> </w:t>
      </w:r>
      <w:r w:rsidRPr="00767D59">
        <w:t>blood</w:t>
      </w:r>
      <w:r w:rsidR="000159A6">
        <w:t xml:space="preserve"> </w:t>
      </w:r>
      <w:r w:rsidRPr="00767D59">
        <w:t>cell</w:t>
      </w:r>
      <w:r w:rsidR="000159A6">
        <w:t xml:space="preserve"> </w:t>
      </w:r>
      <w:r w:rsidRPr="00767D59">
        <w:t>count</w:t>
      </w:r>
      <w:r>
        <w:t>,</w:t>
      </w:r>
      <w:r w:rsidR="000159A6">
        <w:t xml:space="preserve"> </w:t>
      </w:r>
      <w:r>
        <w:t>mean</w:t>
      </w:r>
      <w:r w:rsidR="000159A6">
        <w:t xml:space="preserve"> </w:t>
      </w:r>
      <w:r>
        <w:t>corpuscular</w:t>
      </w:r>
      <w:r w:rsidR="000159A6">
        <w:t xml:space="preserve"> </w:t>
      </w:r>
      <w:r>
        <w:t>volume</w:t>
      </w:r>
      <w:r w:rsidR="000159A6">
        <w:t xml:space="preserve"> </w:t>
      </w:r>
      <w:r>
        <w:t>and</w:t>
      </w:r>
      <w:r w:rsidR="000159A6">
        <w:t xml:space="preserve"> </w:t>
      </w:r>
      <w:r>
        <w:t>mean</w:t>
      </w:r>
      <w:r w:rsidR="000159A6">
        <w:t xml:space="preserve"> </w:t>
      </w:r>
      <w:r>
        <w:t>corpuscular</w:t>
      </w:r>
      <w:r w:rsidR="000159A6">
        <w:t xml:space="preserve"> </w:t>
      </w:r>
      <w:r w:rsidR="008D4538">
        <w:t>haemoglobin</w:t>
      </w:r>
      <w:r w:rsidR="000159A6">
        <w:t xml:space="preserve"> </w:t>
      </w:r>
      <w:r>
        <w:t>were</w:t>
      </w:r>
      <w:r w:rsidR="000159A6">
        <w:t xml:space="preserve"> </w:t>
      </w:r>
      <w:r>
        <w:t>observed</w:t>
      </w:r>
      <w:r w:rsidR="000159A6">
        <w:t xml:space="preserve"> </w:t>
      </w:r>
      <w:r>
        <w:t>in</w:t>
      </w:r>
      <w:r w:rsidR="000159A6">
        <w:t xml:space="preserve"> </w:t>
      </w:r>
      <w:r>
        <w:t>male</w:t>
      </w:r>
      <w:r w:rsidR="000159A6">
        <w:t xml:space="preserve"> </w:t>
      </w:r>
      <w:r>
        <w:t>rats.</w:t>
      </w:r>
      <w:r w:rsidR="000159A6">
        <w:t xml:space="preserve"> </w:t>
      </w:r>
      <w:r>
        <w:t>These</w:t>
      </w:r>
      <w:r w:rsidR="000159A6">
        <w:t xml:space="preserve"> </w:t>
      </w:r>
      <w:r>
        <w:t>parameters</w:t>
      </w:r>
      <w:r w:rsidR="000159A6">
        <w:t xml:space="preserve"> </w:t>
      </w:r>
      <w:r>
        <w:t>returned</w:t>
      </w:r>
      <w:r w:rsidR="000159A6">
        <w:t xml:space="preserve"> </w:t>
      </w:r>
      <w:r>
        <w:t>to</w:t>
      </w:r>
      <w:r w:rsidR="000159A6">
        <w:t xml:space="preserve"> </w:t>
      </w:r>
      <w:r>
        <w:t>normal</w:t>
      </w:r>
      <w:r w:rsidR="000159A6">
        <w:t xml:space="preserve"> </w:t>
      </w:r>
      <w:r>
        <w:t>values</w:t>
      </w:r>
      <w:r w:rsidR="000159A6">
        <w:t xml:space="preserve"> </w:t>
      </w:r>
      <w:r>
        <w:t>28</w:t>
      </w:r>
      <w:r w:rsidR="000159A6">
        <w:t xml:space="preserve"> </w:t>
      </w:r>
      <w:r>
        <w:t>days</w:t>
      </w:r>
      <w:r w:rsidR="000159A6">
        <w:t xml:space="preserve"> </w:t>
      </w:r>
      <w:r>
        <w:t>after</w:t>
      </w:r>
      <w:r w:rsidR="000159A6">
        <w:t xml:space="preserve"> </w:t>
      </w:r>
      <w:r>
        <w:t>the</w:t>
      </w:r>
      <w:r w:rsidR="000159A6">
        <w:t xml:space="preserve"> </w:t>
      </w:r>
      <w:r>
        <w:t>injection</w:t>
      </w:r>
      <w:r w:rsidRPr="00A71DAB">
        <w:t>.</w:t>
      </w:r>
    </w:p>
    <w:p w14:paraId="3135FB5B" w14:textId="36C7E590" w:rsidR="005B220F" w:rsidRPr="008F7BC7" w:rsidRDefault="005B220F" w:rsidP="008F7BC7">
      <w:pPr>
        <w:pStyle w:val="Heading5"/>
      </w:pPr>
      <w:r w:rsidRPr="008F7BC7">
        <w:t>QS-21(DQ)</w:t>
      </w:r>
      <w:r w:rsidR="000159A6" w:rsidRPr="008F7BC7">
        <w:t xml:space="preserve"> </w:t>
      </w:r>
      <w:r w:rsidRPr="008F7BC7">
        <w:t>alone</w:t>
      </w:r>
    </w:p>
    <w:p w14:paraId="6F36D94B" w14:textId="7BBE220E" w:rsidR="00FF12AA" w:rsidRDefault="005B220F" w:rsidP="00C5388D">
      <w:r>
        <w:t>Repeat</w:t>
      </w:r>
      <w:r w:rsidR="000159A6">
        <w:t xml:space="preserve"> </w:t>
      </w:r>
      <w:r>
        <w:t>dose</w:t>
      </w:r>
      <w:r w:rsidR="000159A6">
        <w:t xml:space="preserve"> </w:t>
      </w:r>
      <w:r>
        <w:t>toxicity</w:t>
      </w:r>
      <w:r w:rsidR="000159A6">
        <w:t xml:space="preserve"> </w:t>
      </w:r>
      <w:r>
        <w:t>studies</w:t>
      </w:r>
      <w:r w:rsidR="000159A6">
        <w:t xml:space="preserve"> </w:t>
      </w:r>
      <w:r>
        <w:t>were</w:t>
      </w:r>
      <w:r w:rsidR="000159A6">
        <w:t xml:space="preserve"> </w:t>
      </w:r>
      <w:r>
        <w:t>conducted</w:t>
      </w:r>
      <w:r w:rsidR="000159A6">
        <w:t xml:space="preserve"> </w:t>
      </w:r>
      <w:r>
        <w:t>by</w:t>
      </w:r>
      <w:r w:rsidR="000159A6">
        <w:t xml:space="preserve"> </w:t>
      </w:r>
      <w:r w:rsidRPr="008E263F">
        <w:t>administ</w:t>
      </w:r>
      <w:r>
        <w:t>ering</w:t>
      </w:r>
      <w:r w:rsidR="000159A6">
        <w:t xml:space="preserve"> </w:t>
      </w:r>
      <w:r w:rsidRPr="00625E8A">
        <w:t>6</w:t>
      </w:r>
      <w:r w:rsidR="000159A6">
        <w:t xml:space="preserve"> </w:t>
      </w:r>
      <w:r w:rsidRPr="00625E8A">
        <w:t>injections</w:t>
      </w:r>
      <w:r w:rsidR="000159A6">
        <w:t xml:space="preserve"> </w:t>
      </w:r>
      <w:r>
        <w:t>of</w:t>
      </w:r>
      <w:r w:rsidR="000159A6">
        <w:t xml:space="preserve"> </w:t>
      </w:r>
      <w:r>
        <w:t>DS-12</w:t>
      </w:r>
      <w:r w:rsidR="000159A6">
        <w:t xml:space="preserve"> </w:t>
      </w:r>
      <w:r>
        <w:t>(DQ)</w:t>
      </w:r>
      <w:r w:rsidR="000159A6">
        <w:t xml:space="preserve"> </w:t>
      </w:r>
      <w:r w:rsidRPr="00943D4A">
        <w:t>(</w:t>
      </w:r>
      <w:r>
        <w:t>2</w:t>
      </w:r>
      <w:r w:rsidR="000159A6">
        <w:t xml:space="preserve"> </w:t>
      </w:r>
      <w:r>
        <w:t>to</w:t>
      </w:r>
      <w:r w:rsidR="000159A6">
        <w:t xml:space="preserve"> </w:t>
      </w:r>
      <w:r w:rsidRPr="00943D4A">
        <w:t>29</w:t>
      </w:r>
      <w:r w:rsidR="000159A6">
        <w:t xml:space="preserve"> </w:t>
      </w:r>
      <w:r>
        <w:t>times</w:t>
      </w:r>
      <w:r w:rsidR="000159A6">
        <w:t xml:space="preserve"> </w:t>
      </w:r>
      <w:r w:rsidRPr="00943D4A">
        <w:t>or</w:t>
      </w:r>
      <w:r w:rsidR="000159A6">
        <w:t xml:space="preserve"> </w:t>
      </w:r>
      <w:r w:rsidRPr="00943D4A">
        <w:t>3</w:t>
      </w:r>
      <w:r w:rsidR="000159A6">
        <w:t xml:space="preserve"> </w:t>
      </w:r>
      <w:r>
        <w:t>to</w:t>
      </w:r>
      <w:r w:rsidR="000159A6">
        <w:t xml:space="preserve"> </w:t>
      </w:r>
      <w:r w:rsidRPr="00943D4A">
        <w:t>24</w:t>
      </w:r>
      <w:r w:rsidR="000159A6">
        <w:t xml:space="preserve"> </w:t>
      </w:r>
      <w:r>
        <w:t>times</w:t>
      </w:r>
      <w:r w:rsidR="000159A6">
        <w:t xml:space="preserve"> </w:t>
      </w:r>
      <w:r w:rsidRPr="00943D4A">
        <w:t>the</w:t>
      </w:r>
      <w:r w:rsidR="000159A6">
        <w:t xml:space="preserve"> </w:t>
      </w:r>
      <w:r w:rsidRPr="00943D4A">
        <w:t>human</w:t>
      </w:r>
      <w:r w:rsidR="000159A6">
        <w:t xml:space="preserve"> </w:t>
      </w:r>
      <w:r w:rsidRPr="00943D4A">
        <w:t>dose</w:t>
      </w:r>
      <w:r w:rsidR="000159A6">
        <w:t xml:space="preserve"> </w:t>
      </w:r>
      <w:r w:rsidRPr="00943D4A">
        <w:t>per</w:t>
      </w:r>
      <w:r w:rsidR="000159A6">
        <w:t xml:space="preserve"> </w:t>
      </w:r>
      <w:r w:rsidRPr="00943D4A">
        <w:t>injection,</w:t>
      </w:r>
      <w:r w:rsidR="000159A6">
        <w:t xml:space="preserve"> </w:t>
      </w:r>
      <w:r w:rsidRPr="00943D4A">
        <w:t>based</w:t>
      </w:r>
      <w:r w:rsidR="000159A6">
        <w:t xml:space="preserve"> </w:t>
      </w:r>
      <w:r w:rsidRPr="00943D4A">
        <w:t>on</w:t>
      </w:r>
      <w:r w:rsidR="000159A6">
        <w:t xml:space="preserve"> </w:t>
      </w:r>
      <w:r>
        <w:t>µg</w:t>
      </w:r>
      <w:r w:rsidRPr="00943D4A">
        <w:t>/m</w:t>
      </w:r>
      <w:r w:rsidRPr="00943D4A">
        <w:rPr>
          <w:vertAlign w:val="superscript"/>
        </w:rPr>
        <w:t>2</w:t>
      </w:r>
      <w:r w:rsidR="000159A6">
        <w:t xml:space="preserve"> </w:t>
      </w:r>
      <w:r w:rsidRPr="00943D4A">
        <w:t>body</w:t>
      </w:r>
      <w:r w:rsidR="000159A6">
        <w:t xml:space="preserve"> </w:t>
      </w:r>
      <w:r w:rsidRPr="00943D4A">
        <w:t>surface</w:t>
      </w:r>
      <w:r w:rsidR="000159A6">
        <w:t xml:space="preserve"> </w:t>
      </w:r>
      <w:r w:rsidRPr="00943D4A">
        <w:t>area</w:t>
      </w:r>
      <w:r w:rsidR="000159A6">
        <w:t xml:space="preserve"> </w:t>
      </w:r>
      <w:r w:rsidRPr="00943D4A">
        <w:t>in</w:t>
      </w:r>
      <w:r w:rsidR="000159A6">
        <w:t xml:space="preserve"> </w:t>
      </w:r>
      <w:r w:rsidRPr="00943D4A">
        <w:t>rats</w:t>
      </w:r>
      <w:r w:rsidR="000159A6">
        <w:t xml:space="preserve"> </w:t>
      </w:r>
      <w:r w:rsidRPr="00943D4A">
        <w:t>and</w:t>
      </w:r>
      <w:r w:rsidR="000159A6">
        <w:t xml:space="preserve"> </w:t>
      </w:r>
      <w:r w:rsidRPr="00943D4A">
        <w:t>rabbits</w:t>
      </w:r>
      <w:r>
        <w:t>,</w:t>
      </w:r>
      <w:r w:rsidR="000159A6">
        <w:t xml:space="preserve"> </w:t>
      </w:r>
      <w:r w:rsidRPr="00943D4A">
        <w:t>respectively)</w:t>
      </w:r>
      <w:r w:rsidR="000159A6">
        <w:t xml:space="preserve"> </w:t>
      </w:r>
      <w:r>
        <w:t>by</w:t>
      </w:r>
      <w:r w:rsidR="000159A6">
        <w:t xml:space="preserve"> </w:t>
      </w:r>
      <w:r>
        <w:t>IM</w:t>
      </w:r>
      <w:r w:rsidR="000159A6">
        <w:t xml:space="preserve"> </w:t>
      </w:r>
      <w:r>
        <w:t>route</w:t>
      </w:r>
      <w:r w:rsidR="000159A6">
        <w:t xml:space="preserve"> </w:t>
      </w:r>
      <w:r>
        <w:t>at</w:t>
      </w:r>
      <w:r w:rsidR="000159A6">
        <w:t xml:space="preserve"> </w:t>
      </w:r>
      <w:r>
        <w:t>2</w:t>
      </w:r>
      <w:r w:rsidR="000159A6">
        <w:t xml:space="preserve"> </w:t>
      </w:r>
      <w:r>
        <w:t>week</w:t>
      </w:r>
      <w:r w:rsidR="000159A6">
        <w:t xml:space="preserve"> </w:t>
      </w:r>
      <w:r>
        <w:t>intervals.</w:t>
      </w:r>
      <w:r w:rsidR="000159A6">
        <w:t xml:space="preserve"> </w:t>
      </w:r>
      <w:r>
        <w:t>Repeat</w:t>
      </w:r>
      <w:r w:rsidR="000159A6">
        <w:t xml:space="preserve"> </w:t>
      </w:r>
      <w:r>
        <w:t>doses</w:t>
      </w:r>
      <w:r w:rsidR="000159A6">
        <w:t xml:space="preserve"> </w:t>
      </w:r>
      <w:r>
        <w:t>were</w:t>
      </w:r>
      <w:r w:rsidR="000159A6">
        <w:t xml:space="preserve"> </w:t>
      </w:r>
      <w:r>
        <w:t>well</w:t>
      </w:r>
      <w:r w:rsidR="000159A6">
        <w:t xml:space="preserve"> </w:t>
      </w:r>
      <w:r>
        <w:t>tolerated</w:t>
      </w:r>
      <w:r w:rsidR="000159A6">
        <w:t xml:space="preserve"> </w:t>
      </w:r>
      <w:r>
        <w:t>by</w:t>
      </w:r>
      <w:r w:rsidR="000159A6">
        <w:t xml:space="preserve"> </w:t>
      </w:r>
      <w:r>
        <w:t>both</w:t>
      </w:r>
      <w:r w:rsidR="000159A6">
        <w:t xml:space="preserve"> </w:t>
      </w:r>
      <w:r>
        <w:t>the</w:t>
      </w:r>
      <w:r w:rsidR="000159A6">
        <w:t xml:space="preserve"> </w:t>
      </w:r>
      <w:r>
        <w:t>animals</w:t>
      </w:r>
      <w:r w:rsidR="000159A6">
        <w:t xml:space="preserve"> </w:t>
      </w:r>
      <w:r>
        <w:t>and</w:t>
      </w:r>
      <w:r w:rsidR="000159A6">
        <w:t xml:space="preserve"> </w:t>
      </w:r>
      <w:r>
        <w:t>only</w:t>
      </w:r>
      <w:r w:rsidR="000159A6">
        <w:t xml:space="preserve"> </w:t>
      </w:r>
      <w:r>
        <w:t>caused</w:t>
      </w:r>
      <w:r w:rsidR="000159A6">
        <w:t xml:space="preserve"> </w:t>
      </w:r>
      <w:r>
        <w:t>transient</w:t>
      </w:r>
      <w:r w:rsidR="000159A6">
        <w:t xml:space="preserve"> </w:t>
      </w:r>
      <w:r>
        <w:t>effects</w:t>
      </w:r>
      <w:r w:rsidR="000159A6">
        <w:t xml:space="preserve"> </w:t>
      </w:r>
      <w:r>
        <w:t>on</w:t>
      </w:r>
      <w:r w:rsidR="000159A6">
        <w:t xml:space="preserve"> </w:t>
      </w:r>
      <w:r>
        <w:t>haematology</w:t>
      </w:r>
      <w:r w:rsidR="000159A6">
        <w:t xml:space="preserve"> </w:t>
      </w:r>
      <w:r>
        <w:t>and</w:t>
      </w:r>
      <w:r w:rsidR="000159A6">
        <w:t xml:space="preserve"> </w:t>
      </w:r>
      <w:r>
        <w:t>clinical</w:t>
      </w:r>
      <w:r w:rsidR="000159A6">
        <w:t xml:space="preserve"> </w:t>
      </w:r>
      <w:r>
        <w:t>chemistry</w:t>
      </w:r>
      <w:r w:rsidR="000159A6">
        <w:t xml:space="preserve"> </w:t>
      </w:r>
      <w:r w:rsidRPr="00CC4F17">
        <w:t>and</w:t>
      </w:r>
      <w:r w:rsidR="000159A6">
        <w:t xml:space="preserve"> </w:t>
      </w:r>
      <w:r w:rsidRPr="00CC4F17">
        <w:t>a</w:t>
      </w:r>
      <w:r w:rsidR="000159A6">
        <w:t xml:space="preserve"> </w:t>
      </w:r>
      <w:r w:rsidRPr="00CC4F17">
        <w:t>higher</w:t>
      </w:r>
      <w:r w:rsidR="000159A6">
        <w:t xml:space="preserve"> </w:t>
      </w:r>
      <w:r w:rsidRPr="00CC4F17">
        <w:t>mean</w:t>
      </w:r>
      <w:r w:rsidR="000159A6">
        <w:t xml:space="preserve"> </w:t>
      </w:r>
      <w:r w:rsidRPr="00CC4F17">
        <w:t>body</w:t>
      </w:r>
      <w:r w:rsidR="000159A6">
        <w:t xml:space="preserve"> </w:t>
      </w:r>
      <w:r w:rsidRPr="00CC4F17">
        <w:t>temperature</w:t>
      </w:r>
      <w:r w:rsidR="000159A6">
        <w:t xml:space="preserve"> </w:t>
      </w:r>
      <w:r w:rsidRPr="00CC4F17">
        <w:t>in</w:t>
      </w:r>
      <w:r w:rsidR="000159A6">
        <w:t xml:space="preserve"> </w:t>
      </w:r>
      <w:r w:rsidRPr="00CC4F17">
        <w:t>the</w:t>
      </w:r>
      <w:r w:rsidR="000159A6">
        <w:t xml:space="preserve"> </w:t>
      </w:r>
      <w:r w:rsidRPr="00CC4F17">
        <w:t>high</w:t>
      </w:r>
      <w:r w:rsidR="000159A6">
        <w:t xml:space="preserve"> </w:t>
      </w:r>
      <w:r w:rsidRPr="00CC4F17">
        <w:t>dose</w:t>
      </w:r>
      <w:r w:rsidR="000159A6">
        <w:t xml:space="preserve"> </w:t>
      </w:r>
      <w:r w:rsidRPr="00CC4F17">
        <w:t>group</w:t>
      </w:r>
      <w:r w:rsidR="000159A6">
        <w:t xml:space="preserve"> </w:t>
      </w:r>
      <w:r w:rsidRPr="00CC4F17">
        <w:t>24</w:t>
      </w:r>
      <w:r w:rsidR="000159A6">
        <w:t xml:space="preserve"> </w:t>
      </w:r>
      <w:r w:rsidR="003F4D2A">
        <w:t>hours</w:t>
      </w:r>
      <w:r w:rsidR="000159A6">
        <w:t xml:space="preserve"> </w:t>
      </w:r>
      <w:r w:rsidRPr="00CC4F17">
        <w:t>after</w:t>
      </w:r>
      <w:r w:rsidR="000159A6">
        <w:t xml:space="preserve"> </w:t>
      </w:r>
      <w:r w:rsidRPr="00CC4F17">
        <w:t>the</w:t>
      </w:r>
      <w:r w:rsidR="000159A6">
        <w:t xml:space="preserve"> </w:t>
      </w:r>
      <w:r w:rsidRPr="00CC4F17">
        <w:t>first</w:t>
      </w:r>
      <w:r w:rsidR="000159A6">
        <w:t xml:space="preserve"> </w:t>
      </w:r>
      <w:r w:rsidRPr="00CC4F17">
        <w:t>injection</w:t>
      </w:r>
      <w:r w:rsidR="000159A6">
        <w:t xml:space="preserve"> </w:t>
      </w:r>
      <w:r w:rsidRPr="00CC4F17">
        <w:t>in</w:t>
      </w:r>
      <w:r w:rsidR="000159A6">
        <w:t xml:space="preserve"> </w:t>
      </w:r>
      <w:r w:rsidRPr="00CC4F17">
        <w:t>the</w:t>
      </w:r>
      <w:r w:rsidR="000159A6">
        <w:t xml:space="preserve"> </w:t>
      </w:r>
      <w:r w:rsidRPr="00CC4F17">
        <w:t>rabbits</w:t>
      </w:r>
      <w:r>
        <w:t>,</w:t>
      </w:r>
      <w:r w:rsidR="000159A6">
        <w:t xml:space="preserve"> </w:t>
      </w:r>
      <w:r>
        <w:t>as</w:t>
      </w:r>
      <w:r w:rsidR="000159A6">
        <w:t xml:space="preserve"> </w:t>
      </w:r>
      <w:r>
        <w:t>observed</w:t>
      </w:r>
      <w:r w:rsidR="000159A6">
        <w:t xml:space="preserve"> </w:t>
      </w:r>
      <w:r>
        <w:t>with</w:t>
      </w:r>
      <w:r w:rsidR="000159A6">
        <w:t xml:space="preserve"> </w:t>
      </w:r>
      <w:r w:rsidR="00503D1B">
        <w:t>AS01</w:t>
      </w:r>
      <w:r w:rsidR="00503D1B" w:rsidRPr="00570F2D">
        <w:rPr>
          <w:vertAlign w:val="subscript"/>
        </w:rPr>
        <w:t>B</w:t>
      </w:r>
      <w:r>
        <w:t>.</w:t>
      </w:r>
      <w:r w:rsidR="000159A6">
        <w:t xml:space="preserve"> </w:t>
      </w:r>
      <w:r w:rsidRPr="00CC4F17">
        <w:t>Microscopically,</w:t>
      </w:r>
      <w:r w:rsidR="000159A6">
        <w:t xml:space="preserve"> </w:t>
      </w:r>
      <w:r w:rsidRPr="00CC4F17">
        <w:t>some</w:t>
      </w:r>
      <w:r w:rsidR="000159A6">
        <w:t xml:space="preserve"> </w:t>
      </w:r>
      <w:r w:rsidRPr="00207682">
        <w:t>inflammatory</w:t>
      </w:r>
      <w:r w:rsidR="000159A6">
        <w:t xml:space="preserve"> </w:t>
      </w:r>
      <w:r w:rsidRPr="00207682">
        <w:t>response</w:t>
      </w:r>
      <w:r w:rsidR="000159A6">
        <w:t xml:space="preserve"> </w:t>
      </w:r>
      <w:r w:rsidRPr="00207682">
        <w:t>was</w:t>
      </w:r>
      <w:r w:rsidR="000159A6">
        <w:t xml:space="preserve"> </w:t>
      </w:r>
      <w:r w:rsidRPr="00207682">
        <w:t>observed</w:t>
      </w:r>
      <w:r w:rsidR="000159A6">
        <w:t xml:space="preserve"> </w:t>
      </w:r>
      <w:r w:rsidRPr="00207682">
        <w:t>at</w:t>
      </w:r>
      <w:r w:rsidR="000159A6">
        <w:t xml:space="preserve"> </w:t>
      </w:r>
      <w:r w:rsidRPr="00207682">
        <w:t>the</w:t>
      </w:r>
      <w:r w:rsidR="000159A6">
        <w:t xml:space="preserve"> </w:t>
      </w:r>
      <w:r w:rsidRPr="00207682">
        <w:t>injection</w:t>
      </w:r>
      <w:r w:rsidR="000159A6">
        <w:t xml:space="preserve"> </w:t>
      </w:r>
      <w:r w:rsidRPr="00207682">
        <w:t>sites,</w:t>
      </w:r>
      <w:r w:rsidR="000159A6">
        <w:t xml:space="preserve"> </w:t>
      </w:r>
      <w:r>
        <w:t>with</w:t>
      </w:r>
      <w:r w:rsidR="000159A6">
        <w:t xml:space="preserve"> </w:t>
      </w:r>
      <w:r w:rsidRPr="00207682">
        <w:t>complete</w:t>
      </w:r>
      <w:r w:rsidR="000159A6">
        <w:t xml:space="preserve"> </w:t>
      </w:r>
      <w:r w:rsidRPr="00207682">
        <w:t>recovery</w:t>
      </w:r>
      <w:r w:rsidR="000159A6">
        <w:t xml:space="preserve"> </w:t>
      </w:r>
      <w:r w:rsidRPr="00207682">
        <w:t>after</w:t>
      </w:r>
      <w:r w:rsidR="000159A6">
        <w:t xml:space="preserve"> </w:t>
      </w:r>
      <w:r w:rsidRPr="00207682">
        <w:t>28</w:t>
      </w:r>
      <w:r w:rsidR="000159A6">
        <w:t xml:space="preserve"> </w:t>
      </w:r>
      <w:r w:rsidRPr="00207682">
        <w:t>days</w:t>
      </w:r>
      <w:r w:rsidR="00FF12AA">
        <w:t>.</w:t>
      </w:r>
    </w:p>
    <w:p w14:paraId="7B44817A" w14:textId="77777777" w:rsidR="005B220F" w:rsidRPr="008F7BC7" w:rsidRDefault="005B220F" w:rsidP="00C5388D">
      <w:pPr>
        <w:pStyle w:val="Heading4"/>
      </w:pPr>
      <w:bookmarkStart w:id="58" w:name="_Toc294861729"/>
      <w:r w:rsidRPr="00C5388D">
        <w:t>Genotoxicity</w:t>
      </w:r>
      <w:bookmarkEnd w:id="58"/>
    </w:p>
    <w:p w14:paraId="5E7A2A63" w14:textId="65655748" w:rsidR="00FF12AA" w:rsidRDefault="005B220F" w:rsidP="00C5388D">
      <w:r>
        <w:t>The</w:t>
      </w:r>
      <w:r w:rsidR="000159A6">
        <w:t xml:space="preserve"> </w:t>
      </w:r>
      <w:r>
        <w:t>sponsor</w:t>
      </w:r>
      <w:r w:rsidR="000159A6">
        <w:t xml:space="preserve"> </w:t>
      </w:r>
      <w:r>
        <w:t>did</w:t>
      </w:r>
      <w:r w:rsidR="000159A6">
        <w:t xml:space="preserve"> </w:t>
      </w:r>
      <w:r>
        <w:t>not</w:t>
      </w:r>
      <w:r w:rsidR="000159A6">
        <w:t xml:space="preserve"> </w:t>
      </w:r>
      <w:r>
        <w:t>provide</w:t>
      </w:r>
      <w:r w:rsidR="000159A6">
        <w:t xml:space="preserve"> </w:t>
      </w:r>
      <w:r>
        <w:t>genotoxicity</w:t>
      </w:r>
      <w:r w:rsidR="000159A6">
        <w:t xml:space="preserve"> </w:t>
      </w:r>
      <w:r>
        <w:t>data</w:t>
      </w:r>
      <w:r w:rsidR="000159A6">
        <w:t xml:space="preserve"> </w:t>
      </w:r>
      <w:r>
        <w:t>for</w:t>
      </w:r>
      <w:r w:rsidR="000159A6">
        <w:t xml:space="preserve"> </w:t>
      </w:r>
      <w:r>
        <w:t>the</w:t>
      </w:r>
      <w:r w:rsidR="000159A6">
        <w:t xml:space="preserve"> </w:t>
      </w:r>
      <w:r>
        <w:t>final</w:t>
      </w:r>
      <w:r w:rsidR="000159A6">
        <w:t xml:space="preserve"> </w:t>
      </w:r>
      <w:r>
        <w:t>vaccine</w:t>
      </w:r>
      <w:r w:rsidR="000159A6">
        <w:t xml:space="preserve"> </w:t>
      </w:r>
      <w:r>
        <w:t>formulation</w:t>
      </w:r>
      <w:r w:rsidR="000159A6">
        <w:t xml:space="preserve"> </w:t>
      </w:r>
      <w:r>
        <w:t>gE/</w:t>
      </w:r>
      <w:r w:rsidR="00503D1B">
        <w:t>AS01</w:t>
      </w:r>
      <w:r w:rsidR="00503D1B" w:rsidRPr="00570F2D">
        <w:rPr>
          <w:vertAlign w:val="subscript"/>
        </w:rPr>
        <w:t>B</w:t>
      </w:r>
      <w:r>
        <w:t>,</w:t>
      </w:r>
      <w:r w:rsidR="000159A6">
        <w:t xml:space="preserve"> </w:t>
      </w:r>
      <w:r>
        <w:t>which</w:t>
      </w:r>
      <w:r w:rsidR="000159A6">
        <w:t xml:space="preserve"> </w:t>
      </w:r>
      <w:r>
        <w:t>is</w:t>
      </w:r>
      <w:r w:rsidR="000159A6">
        <w:t xml:space="preserve"> </w:t>
      </w:r>
      <w:r>
        <w:t>considered</w:t>
      </w:r>
      <w:r w:rsidR="000159A6">
        <w:t xml:space="preserve"> </w:t>
      </w:r>
      <w:r>
        <w:t>acceptable</w:t>
      </w:r>
      <w:r w:rsidR="000159A6">
        <w:t xml:space="preserve"> </w:t>
      </w:r>
      <w:r>
        <w:t>as</w:t>
      </w:r>
      <w:r w:rsidR="000159A6">
        <w:t xml:space="preserve"> </w:t>
      </w:r>
      <w:r>
        <w:t>per</w:t>
      </w:r>
      <w:r w:rsidR="000159A6">
        <w:t xml:space="preserve"> </w:t>
      </w:r>
      <w:r>
        <w:t>guidelines.</w:t>
      </w:r>
      <w:r w:rsidR="000159A6">
        <w:t xml:space="preserve"> </w:t>
      </w:r>
      <w:r w:rsidRPr="00B83C41">
        <w:t>In</w:t>
      </w:r>
      <w:r w:rsidR="000159A6">
        <w:t xml:space="preserve"> </w:t>
      </w:r>
      <w:r w:rsidRPr="00B83C41">
        <w:t>accordance</w:t>
      </w:r>
      <w:r w:rsidR="000159A6">
        <w:t xml:space="preserve"> </w:t>
      </w:r>
      <w:r w:rsidRPr="00B83C41">
        <w:t>with</w:t>
      </w:r>
      <w:r w:rsidR="000159A6">
        <w:t xml:space="preserve"> </w:t>
      </w:r>
      <w:r w:rsidRPr="00B83C41">
        <w:t>the</w:t>
      </w:r>
      <w:r w:rsidR="000159A6">
        <w:t xml:space="preserve"> </w:t>
      </w:r>
      <w:r w:rsidRPr="00B83C41">
        <w:t>EMEA</w:t>
      </w:r>
      <w:r w:rsidR="000159A6">
        <w:t xml:space="preserve"> </w:t>
      </w:r>
      <w:r w:rsidRPr="00B83C41">
        <w:t>guidelines,</w:t>
      </w:r>
      <w:r w:rsidR="000159A6">
        <w:t xml:space="preserve"> </w:t>
      </w:r>
      <w:r w:rsidRPr="00B83C41">
        <w:t>a</w:t>
      </w:r>
      <w:r w:rsidR="000159A6">
        <w:t xml:space="preserve"> </w:t>
      </w:r>
      <w:r w:rsidRPr="00B83C41">
        <w:t>standard</w:t>
      </w:r>
      <w:r w:rsidR="000159A6">
        <w:t xml:space="preserve"> </w:t>
      </w:r>
      <w:r w:rsidRPr="00B83C41">
        <w:t>battery</w:t>
      </w:r>
      <w:r w:rsidR="000159A6">
        <w:t xml:space="preserve"> </w:t>
      </w:r>
      <w:r w:rsidRPr="00B83C41">
        <w:t>of</w:t>
      </w:r>
      <w:r w:rsidR="000159A6">
        <w:t xml:space="preserve"> </w:t>
      </w:r>
      <w:r w:rsidRPr="00B83C41">
        <w:t>genotoxicity</w:t>
      </w:r>
      <w:r w:rsidR="000159A6">
        <w:t xml:space="preserve"> </w:t>
      </w:r>
      <w:r w:rsidRPr="00B83C41">
        <w:t>studies</w:t>
      </w:r>
      <w:r w:rsidR="000159A6">
        <w:t xml:space="preserve"> </w:t>
      </w:r>
      <w:r w:rsidRPr="00B83C41">
        <w:t>was</w:t>
      </w:r>
      <w:r w:rsidR="000159A6">
        <w:t xml:space="preserve"> </w:t>
      </w:r>
      <w:r w:rsidRPr="00B83C41">
        <w:t>conducted</w:t>
      </w:r>
      <w:r w:rsidR="000159A6">
        <w:t xml:space="preserve"> </w:t>
      </w:r>
      <w:r w:rsidRPr="00B83C41">
        <w:t>for</w:t>
      </w:r>
      <w:r w:rsidR="000159A6">
        <w:t xml:space="preserve"> </w:t>
      </w:r>
      <w:r>
        <w:t>the</w:t>
      </w:r>
      <w:r w:rsidR="000159A6">
        <w:t xml:space="preserve"> </w:t>
      </w:r>
      <w:r>
        <w:t>adjuvant,</w:t>
      </w:r>
      <w:r w:rsidR="000159A6">
        <w:t xml:space="preserve"> </w:t>
      </w:r>
      <w:r w:rsidR="00503D1B">
        <w:t>AS01</w:t>
      </w:r>
      <w:r w:rsidR="00503D1B" w:rsidRPr="00570F2D">
        <w:rPr>
          <w:vertAlign w:val="subscript"/>
        </w:rPr>
        <w:t>B</w:t>
      </w:r>
      <w:r w:rsidR="000159A6">
        <w:t xml:space="preserve"> </w:t>
      </w:r>
      <w:r>
        <w:t>and</w:t>
      </w:r>
      <w:r w:rsidR="000159A6">
        <w:t xml:space="preserve"> </w:t>
      </w:r>
      <w:r>
        <w:t>its</w:t>
      </w:r>
      <w:r w:rsidR="000159A6">
        <w:t xml:space="preserve"> </w:t>
      </w:r>
      <w:r>
        <w:t>component</w:t>
      </w:r>
      <w:r w:rsidR="000159A6">
        <w:t xml:space="preserve"> </w:t>
      </w:r>
      <w:r w:rsidRPr="00B83C41">
        <w:t>QS-21</w:t>
      </w:r>
      <w:r>
        <w:t>.</w:t>
      </w:r>
      <w:r w:rsidR="000159A6">
        <w:t xml:space="preserve"> </w:t>
      </w:r>
      <w:r>
        <w:t>Different</w:t>
      </w:r>
      <w:r w:rsidR="000159A6">
        <w:t xml:space="preserve"> </w:t>
      </w:r>
      <w:r>
        <w:t>batches</w:t>
      </w:r>
      <w:r w:rsidR="000159A6">
        <w:t xml:space="preserve"> </w:t>
      </w:r>
      <w:r>
        <w:t>of</w:t>
      </w:r>
      <w:r w:rsidR="000159A6">
        <w:t xml:space="preserve"> </w:t>
      </w:r>
      <w:r w:rsidR="00503D1B">
        <w:t>AS01</w:t>
      </w:r>
      <w:r w:rsidR="00503D1B" w:rsidRPr="00570F2D">
        <w:rPr>
          <w:vertAlign w:val="subscript"/>
        </w:rPr>
        <w:t>B</w:t>
      </w:r>
      <w:r w:rsidR="000159A6">
        <w:t xml:space="preserve"> </w:t>
      </w:r>
      <w:r>
        <w:t>by</w:t>
      </w:r>
      <w:r w:rsidR="000159A6">
        <w:t xml:space="preserve"> </w:t>
      </w:r>
      <w:r>
        <w:t>IV</w:t>
      </w:r>
      <w:r w:rsidR="000159A6">
        <w:t xml:space="preserve"> </w:t>
      </w:r>
      <w:r>
        <w:t>or</w:t>
      </w:r>
      <w:r w:rsidR="000159A6">
        <w:t xml:space="preserve"> </w:t>
      </w:r>
      <w:r>
        <w:t>IM</w:t>
      </w:r>
      <w:r w:rsidR="000159A6">
        <w:t xml:space="preserve"> </w:t>
      </w:r>
      <w:r>
        <w:t>administration</w:t>
      </w:r>
      <w:r w:rsidR="000159A6">
        <w:t xml:space="preserve"> </w:t>
      </w:r>
      <w:r w:rsidRPr="008A3517">
        <w:t>did</w:t>
      </w:r>
      <w:r w:rsidR="000159A6">
        <w:t xml:space="preserve"> </w:t>
      </w:r>
      <w:r w:rsidRPr="008A3517">
        <w:t>not</w:t>
      </w:r>
      <w:r w:rsidR="000159A6">
        <w:t xml:space="preserve"> </w:t>
      </w:r>
      <w:r w:rsidRPr="008A3517">
        <w:t>show</w:t>
      </w:r>
      <w:r w:rsidR="000159A6">
        <w:t xml:space="preserve"> </w:t>
      </w:r>
      <w:r w:rsidRPr="008A3517">
        <w:t>any</w:t>
      </w:r>
      <w:r w:rsidR="000159A6">
        <w:t xml:space="preserve"> </w:t>
      </w:r>
      <w:r w:rsidRPr="008A3517">
        <w:t>evidence</w:t>
      </w:r>
      <w:r w:rsidR="000159A6">
        <w:t xml:space="preserve"> </w:t>
      </w:r>
      <w:r w:rsidRPr="008A3517">
        <w:t>of</w:t>
      </w:r>
      <w:r w:rsidR="000159A6">
        <w:t xml:space="preserve"> </w:t>
      </w:r>
      <w:r w:rsidRPr="008A3517">
        <w:t>causing</w:t>
      </w:r>
      <w:r w:rsidR="000159A6">
        <w:t xml:space="preserve"> </w:t>
      </w:r>
      <w:r w:rsidRPr="008A3517">
        <w:t>chromosomal</w:t>
      </w:r>
      <w:r w:rsidR="000159A6">
        <w:t xml:space="preserve"> </w:t>
      </w:r>
      <w:r w:rsidRPr="008A3517">
        <w:t>damage</w:t>
      </w:r>
      <w:r w:rsidR="000159A6">
        <w:t xml:space="preserve"> </w:t>
      </w:r>
      <w:r w:rsidRPr="008A3517">
        <w:t>or</w:t>
      </w:r>
      <w:r w:rsidR="000159A6">
        <w:t xml:space="preserve"> </w:t>
      </w:r>
      <w:r w:rsidRPr="008A3517">
        <w:t>bone</w:t>
      </w:r>
      <w:r w:rsidR="000159A6">
        <w:t xml:space="preserve"> </w:t>
      </w:r>
      <w:r w:rsidRPr="008A3517">
        <w:t>marrow</w:t>
      </w:r>
      <w:r w:rsidR="000159A6">
        <w:t xml:space="preserve"> </w:t>
      </w:r>
      <w:r w:rsidRPr="008A3517">
        <w:t>cell</w:t>
      </w:r>
      <w:r w:rsidR="000159A6">
        <w:t xml:space="preserve"> </w:t>
      </w:r>
      <w:r w:rsidRPr="008A3517">
        <w:t>toxicity.</w:t>
      </w:r>
      <w:r w:rsidR="000159A6">
        <w:t xml:space="preserve"> </w:t>
      </w:r>
      <w:r w:rsidRPr="008A3517">
        <w:t>IM3</w:t>
      </w:r>
      <w:r w:rsidR="000159A6">
        <w:t xml:space="preserve"> </w:t>
      </w:r>
      <w:r>
        <w:t>(</w:t>
      </w:r>
      <w:r w:rsidR="00503D1B">
        <w:t>AS01</w:t>
      </w:r>
      <w:r w:rsidR="00503D1B" w:rsidRPr="00570F2D">
        <w:rPr>
          <w:vertAlign w:val="subscript"/>
        </w:rPr>
        <w:t>B</w:t>
      </w:r>
      <w:r w:rsidRPr="008A3517">
        <w:t>end</w:t>
      </w:r>
      <w:r w:rsidR="000159A6">
        <w:t xml:space="preserve"> </w:t>
      </w:r>
      <w:r w:rsidRPr="008A3517">
        <w:t>of</w:t>
      </w:r>
      <w:r w:rsidR="000159A6">
        <w:t xml:space="preserve"> </w:t>
      </w:r>
      <w:r w:rsidRPr="008A3517">
        <w:t>filling</w:t>
      </w:r>
      <w:r>
        <w:t>)</w:t>
      </w:r>
      <w:r w:rsidR="000159A6">
        <w:t xml:space="preserve"> </w:t>
      </w:r>
      <w:r>
        <w:t>at</w:t>
      </w:r>
      <w:r w:rsidR="000159A6">
        <w:t xml:space="preserve"> </w:t>
      </w:r>
      <w:r w:rsidRPr="005F1CA7">
        <w:t>14</w:t>
      </w:r>
      <w:r w:rsidR="000159A6">
        <w:t xml:space="preserve"> </w:t>
      </w:r>
      <w:r>
        <w:t>times</w:t>
      </w:r>
      <w:r w:rsidR="000159A6">
        <w:t xml:space="preserve"> </w:t>
      </w:r>
      <w:r>
        <w:t>the</w:t>
      </w:r>
      <w:r w:rsidR="000159A6">
        <w:t xml:space="preserve"> </w:t>
      </w:r>
      <w:r>
        <w:t>human</w:t>
      </w:r>
      <w:r w:rsidR="000159A6">
        <w:t xml:space="preserve"> </w:t>
      </w:r>
      <w:r>
        <w:t>dose</w:t>
      </w:r>
      <w:r w:rsidR="000159A6">
        <w:t xml:space="preserve"> </w:t>
      </w:r>
      <w:r>
        <w:t>(µg</w:t>
      </w:r>
      <w:r w:rsidRPr="006C7B37">
        <w:t>/m</w:t>
      </w:r>
      <w:r w:rsidRPr="006C7B37">
        <w:rPr>
          <w:vertAlign w:val="superscript"/>
        </w:rPr>
        <w:t>2</w:t>
      </w:r>
      <w:r>
        <w:t>)</w:t>
      </w:r>
      <w:r w:rsidR="000159A6">
        <w:t xml:space="preserve"> </w:t>
      </w:r>
      <w:r>
        <w:t>did</w:t>
      </w:r>
      <w:r w:rsidR="000159A6">
        <w:t xml:space="preserve"> </w:t>
      </w:r>
      <w:r>
        <w:t>not</w:t>
      </w:r>
      <w:r w:rsidR="000159A6">
        <w:t xml:space="preserve"> </w:t>
      </w:r>
      <w:r>
        <w:t>induce</w:t>
      </w:r>
      <w:r w:rsidR="000159A6">
        <w:t xml:space="preserve"> </w:t>
      </w:r>
      <w:r w:rsidRPr="008A3517">
        <w:t>micronuclei</w:t>
      </w:r>
      <w:r w:rsidR="000159A6">
        <w:t xml:space="preserve"> </w:t>
      </w:r>
      <w:r>
        <w:t>in</w:t>
      </w:r>
      <w:r w:rsidR="000159A6">
        <w:t xml:space="preserve"> </w:t>
      </w:r>
      <w:r>
        <w:t>rats,</w:t>
      </w:r>
      <w:r w:rsidR="000159A6">
        <w:t xml:space="preserve"> </w:t>
      </w:r>
      <w:r w:rsidRPr="008A3517">
        <w:t>but</w:t>
      </w:r>
      <w:r w:rsidR="000159A6">
        <w:t xml:space="preserve"> </w:t>
      </w:r>
      <w:r w:rsidRPr="008A3517">
        <w:t>caus</w:t>
      </w:r>
      <w:r>
        <w:t>ed</w:t>
      </w:r>
      <w:r w:rsidR="000159A6">
        <w:t xml:space="preserve"> </w:t>
      </w:r>
      <w:r>
        <w:t>a</w:t>
      </w:r>
      <w:r w:rsidR="000159A6">
        <w:t xml:space="preserve"> </w:t>
      </w:r>
      <w:r>
        <w:t>decrease</w:t>
      </w:r>
      <w:r w:rsidR="000159A6">
        <w:t xml:space="preserve"> </w:t>
      </w:r>
      <w:r>
        <w:t>in</w:t>
      </w:r>
      <w:r w:rsidR="000159A6">
        <w:t xml:space="preserve"> </w:t>
      </w:r>
      <w:r>
        <w:t>immature</w:t>
      </w:r>
      <w:r w:rsidR="000159A6">
        <w:t xml:space="preserve"> </w:t>
      </w:r>
      <w:r>
        <w:t>erythrocytes</w:t>
      </w:r>
      <w:r w:rsidR="000159A6">
        <w:t xml:space="preserve"> </w:t>
      </w:r>
      <w:r>
        <w:t>in</w:t>
      </w:r>
      <w:r w:rsidR="000159A6">
        <w:t xml:space="preserve"> </w:t>
      </w:r>
      <w:r>
        <w:t>the</w:t>
      </w:r>
      <w:r w:rsidR="000159A6">
        <w:t xml:space="preserve"> </w:t>
      </w:r>
      <w:r w:rsidRPr="008A3517">
        <w:t>bone</w:t>
      </w:r>
      <w:r w:rsidR="000159A6">
        <w:t xml:space="preserve"> </w:t>
      </w:r>
      <w:r w:rsidRPr="008A3517">
        <w:t>marrow</w:t>
      </w:r>
      <w:r>
        <w:t>,</w:t>
      </w:r>
      <w:r w:rsidR="000159A6">
        <w:t xml:space="preserve"> </w:t>
      </w:r>
      <w:r>
        <w:t>suggesting</w:t>
      </w:r>
      <w:r w:rsidR="000159A6">
        <w:t xml:space="preserve"> </w:t>
      </w:r>
      <w:r>
        <w:t>bone</w:t>
      </w:r>
      <w:r w:rsidR="000159A6">
        <w:t xml:space="preserve"> </w:t>
      </w:r>
      <w:r>
        <w:t>marrow</w:t>
      </w:r>
      <w:r w:rsidR="000159A6">
        <w:t xml:space="preserve"> </w:t>
      </w:r>
      <w:r>
        <w:t>toxicity.</w:t>
      </w:r>
      <w:r w:rsidR="000159A6">
        <w:t xml:space="preserve"> </w:t>
      </w:r>
      <w:r>
        <w:t>A</w:t>
      </w:r>
      <w:r w:rsidR="000159A6">
        <w:t xml:space="preserve"> </w:t>
      </w:r>
      <w:r>
        <w:t>follow</w:t>
      </w:r>
      <w:r w:rsidR="000159A6">
        <w:t xml:space="preserve"> </w:t>
      </w:r>
      <w:r>
        <w:t>up</w:t>
      </w:r>
      <w:r w:rsidR="000159A6">
        <w:t xml:space="preserve"> </w:t>
      </w:r>
      <w:r>
        <w:t>study</w:t>
      </w:r>
      <w:r w:rsidR="000159A6">
        <w:t xml:space="preserve"> </w:t>
      </w:r>
      <w:r>
        <w:t>of</w:t>
      </w:r>
      <w:r w:rsidR="000159A6">
        <w:t xml:space="preserve"> </w:t>
      </w:r>
      <w:r w:rsidR="00503D1B">
        <w:t>AS01</w:t>
      </w:r>
      <w:r w:rsidR="00503D1B" w:rsidRPr="00570F2D">
        <w:rPr>
          <w:vertAlign w:val="subscript"/>
        </w:rPr>
        <w:t>B</w:t>
      </w:r>
      <w:r w:rsidR="000159A6">
        <w:t xml:space="preserve"> </w:t>
      </w:r>
      <w:r>
        <w:t>with</w:t>
      </w:r>
      <w:r w:rsidR="000159A6">
        <w:t xml:space="preserve"> </w:t>
      </w:r>
      <w:r>
        <w:t>the</w:t>
      </w:r>
      <w:r w:rsidR="000159A6">
        <w:t xml:space="preserve"> </w:t>
      </w:r>
      <w:r>
        <w:t>same</w:t>
      </w:r>
      <w:r w:rsidR="000159A6">
        <w:t xml:space="preserve"> </w:t>
      </w:r>
      <w:r>
        <w:t>dose</w:t>
      </w:r>
      <w:r w:rsidR="000159A6">
        <w:t xml:space="preserve"> </w:t>
      </w:r>
      <w:r>
        <w:t>and</w:t>
      </w:r>
      <w:r w:rsidR="000159A6">
        <w:t xml:space="preserve"> </w:t>
      </w:r>
      <w:r>
        <w:t>dosing</w:t>
      </w:r>
      <w:r w:rsidR="000159A6">
        <w:t xml:space="preserve"> </w:t>
      </w:r>
      <w:r>
        <w:t>schedule</w:t>
      </w:r>
      <w:r w:rsidR="000159A6">
        <w:t xml:space="preserve"> </w:t>
      </w:r>
      <w:r>
        <w:t>as</w:t>
      </w:r>
      <w:r w:rsidR="000159A6">
        <w:t xml:space="preserve"> </w:t>
      </w:r>
      <w:r>
        <w:t>the</w:t>
      </w:r>
      <w:r w:rsidR="000159A6">
        <w:t xml:space="preserve"> </w:t>
      </w:r>
      <w:r>
        <w:t>micronucleus</w:t>
      </w:r>
      <w:r w:rsidR="000159A6">
        <w:t xml:space="preserve"> </w:t>
      </w:r>
      <w:r>
        <w:t>test</w:t>
      </w:r>
      <w:r w:rsidR="000159A6">
        <w:t xml:space="preserve"> </w:t>
      </w:r>
      <w:r>
        <w:t>(</w:t>
      </w:r>
      <w:r w:rsidR="000E6841">
        <w:t>that</w:t>
      </w:r>
      <w:r w:rsidR="000159A6">
        <w:t xml:space="preserve"> </w:t>
      </w:r>
      <w:r w:rsidR="000E6841">
        <w:t>is</w:t>
      </w:r>
      <w:r w:rsidR="000159A6">
        <w:t xml:space="preserve"> </w:t>
      </w:r>
      <w:r w:rsidRPr="005F1CA7">
        <w:t>0.2</w:t>
      </w:r>
      <w:r w:rsidR="000159A6">
        <w:t xml:space="preserve"> </w:t>
      </w:r>
      <w:r w:rsidRPr="005F1CA7">
        <w:t>mL/</w:t>
      </w:r>
      <w:r>
        <w:t>day</w:t>
      </w:r>
      <w:r w:rsidR="000159A6">
        <w:t xml:space="preserve"> </w:t>
      </w:r>
      <w:r>
        <w:t>for</w:t>
      </w:r>
      <w:r w:rsidR="000159A6">
        <w:t xml:space="preserve"> </w:t>
      </w:r>
      <w:r>
        <w:t>2</w:t>
      </w:r>
      <w:r w:rsidR="000159A6">
        <w:t xml:space="preserve"> </w:t>
      </w:r>
      <w:r>
        <w:t>days</w:t>
      </w:r>
      <w:r w:rsidRPr="005F1CA7">
        <w:t>,</w:t>
      </w:r>
      <w:r w:rsidR="000159A6">
        <w:t xml:space="preserve"> </w:t>
      </w:r>
      <w:r w:rsidRPr="005F1CA7">
        <w:t>14</w:t>
      </w:r>
      <w:r w:rsidR="000159A6">
        <w:t xml:space="preserve"> </w:t>
      </w:r>
      <w:r>
        <w:t>times</w:t>
      </w:r>
      <w:r w:rsidR="000159A6">
        <w:t xml:space="preserve"> </w:t>
      </w:r>
      <w:r w:rsidRPr="005F1CA7">
        <w:t>the</w:t>
      </w:r>
      <w:r w:rsidR="000159A6">
        <w:t xml:space="preserve"> </w:t>
      </w:r>
      <w:r w:rsidRPr="005F1CA7">
        <w:t>human</w:t>
      </w:r>
      <w:r w:rsidR="000159A6">
        <w:t xml:space="preserve"> </w:t>
      </w:r>
      <w:r w:rsidRPr="005F1CA7">
        <w:t>dose</w:t>
      </w:r>
      <w:r w:rsidR="000159A6">
        <w:t xml:space="preserve"> </w:t>
      </w:r>
      <w:r w:rsidRPr="005F1CA7">
        <w:t>on</w:t>
      </w:r>
      <w:r w:rsidR="000159A6">
        <w:t xml:space="preserve"> </w:t>
      </w:r>
      <w:r w:rsidRPr="005F1CA7">
        <w:t>a</w:t>
      </w:r>
      <w:r w:rsidR="000159A6">
        <w:t xml:space="preserve"> </w:t>
      </w:r>
      <w:r w:rsidRPr="005F1CA7">
        <w:t>µg/m</w:t>
      </w:r>
      <w:r w:rsidRPr="005F1CA7">
        <w:rPr>
          <w:vertAlign w:val="superscript"/>
        </w:rPr>
        <w:t>2</w:t>
      </w:r>
      <w:r w:rsidR="000159A6">
        <w:t xml:space="preserve"> </w:t>
      </w:r>
      <w:r w:rsidRPr="005F1CA7">
        <w:t>body</w:t>
      </w:r>
      <w:r w:rsidR="000159A6">
        <w:t xml:space="preserve"> </w:t>
      </w:r>
      <w:r w:rsidRPr="005F1CA7">
        <w:t>surface</w:t>
      </w:r>
      <w:r w:rsidR="000159A6">
        <w:t xml:space="preserve"> </w:t>
      </w:r>
      <w:r w:rsidRPr="005F1CA7">
        <w:t>area</w:t>
      </w:r>
      <w:r w:rsidR="000159A6">
        <w:t xml:space="preserve"> </w:t>
      </w:r>
      <w:r w:rsidRPr="005F1CA7">
        <w:t>basis)</w:t>
      </w:r>
      <w:r w:rsidR="000159A6">
        <w:t xml:space="preserve"> </w:t>
      </w:r>
      <w:r>
        <w:t>showed</w:t>
      </w:r>
      <w:r w:rsidR="000159A6">
        <w:t xml:space="preserve"> </w:t>
      </w:r>
      <w:r>
        <w:t>no</w:t>
      </w:r>
      <w:r w:rsidR="000159A6">
        <w:t xml:space="preserve"> </w:t>
      </w:r>
      <w:r w:rsidRPr="009D75EF">
        <w:t>bone</w:t>
      </w:r>
      <w:r w:rsidR="000159A6">
        <w:t xml:space="preserve"> </w:t>
      </w:r>
      <w:r w:rsidRPr="009D75EF">
        <w:t>marrow</w:t>
      </w:r>
      <w:r w:rsidR="000159A6">
        <w:t xml:space="preserve"> </w:t>
      </w:r>
      <w:r w:rsidRPr="009D75EF">
        <w:t>toxicity.</w:t>
      </w:r>
      <w:r w:rsidR="000159A6">
        <w:t xml:space="preserve"> </w:t>
      </w:r>
      <w:r w:rsidRPr="009D75EF">
        <w:t>Instead,</w:t>
      </w:r>
      <w:r w:rsidR="000159A6">
        <w:t xml:space="preserve"> </w:t>
      </w:r>
      <w:r w:rsidRPr="009D75EF">
        <w:t>bone</w:t>
      </w:r>
      <w:r w:rsidR="000159A6">
        <w:t xml:space="preserve"> </w:t>
      </w:r>
      <w:r w:rsidRPr="009D75EF">
        <w:t>marrow</w:t>
      </w:r>
      <w:r w:rsidR="000159A6">
        <w:t xml:space="preserve"> </w:t>
      </w:r>
      <w:r w:rsidRPr="009D75EF">
        <w:t>pro-erythrocytes</w:t>
      </w:r>
      <w:r w:rsidR="000159A6">
        <w:t xml:space="preserve"> </w:t>
      </w:r>
      <w:r w:rsidRPr="009D75EF">
        <w:t>increased</w:t>
      </w:r>
      <w:r w:rsidR="000159A6">
        <w:t xml:space="preserve"> </w:t>
      </w:r>
      <w:r w:rsidRPr="009D75EF">
        <w:t>slightly</w:t>
      </w:r>
      <w:r w:rsidR="000159A6">
        <w:t xml:space="preserve"> </w:t>
      </w:r>
      <w:r w:rsidRPr="009D75EF">
        <w:t>on</w:t>
      </w:r>
      <w:r w:rsidR="000159A6">
        <w:t xml:space="preserve"> </w:t>
      </w:r>
      <w:r w:rsidR="008D4538">
        <w:t>Day</w:t>
      </w:r>
      <w:r w:rsidR="000159A6">
        <w:t xml:space="preserve"> </w:t>
      </w:r>
      <w:r w:rsidRPr="009D75EF">
        <w:t>13</w:t>
      </w:r>
      <w:r w:rsidR="000159A6">
        <w:t xml:space="preserve"> </w:t>
      </w:r>
      <w:r w:rsidRPr="009D75EF">
        <w:t>(not</w:t>
      </w:r>
      <w:r w:rsidR="000159A6">
        <w:t xml:space="preserve"> </w:t>
      </w:r>
      <w:r w:rsidRPr="009D75EF">
        <w:t>on</w:t>
      </w:r>
      <w:r w:rsidR="000159A6">
        <w:t xml:space="preserve"> </w:t>
      </w:r>
      <w:r w:rsidR="008D4538">
        <w:t>Day</w:t>
      </w:r>
      <w:r w:rsidR="000159A6">
        <w:t xml:space="preserve"> </w:t>
      </w:r>
      <w:r w:rsidRPr="009D75EF">
        <w:t>3),</w:t>
      </w:r>
      <w:r w:rsidR="000159A6">
        <w:t xml:space="preserve"> </w:t>
      </w:r>
      <w:r w:rsidRPr="009D75EF">
        <w:t>while</w:t>
      </w:r>
      <w:r w:rsidR="000159A6">
        <w:t xml:space="preserve"> </w:t>
      </w:r>
      <w:r w:rsidRPr="009D75EF">
        <w:t>late</w:t>
      </w:r>
      <w:r w:rsidR="000159A6">
        <w:t xml:space="preserve"> </w:t>
      </w:r>
      <w:r w:rsidRPr="009D75EF">
        <w:t>normoblasts</w:t>
      </w:r>
      <w:r w:rsidR="000159A6">
        <w:t xml:space="preserve"> </w:t>
      </w:r>
      <w:r w:rsidRPr="009D75EF">
        <w:lastRenderedPageBreak/>
        <w:t>decreased</w:t>
      </w:r>
      <w:r w:rsidR="000159A6">
        <w:t xml:space="preserve"> </w:t>
      </w:r>
      <w:r w:rsidRPr="009D75EF">
        <w:t>(note</w:t>
      </w:r>
      <w:r w:rsidR="000159A6">
        <w:t xml:space="preserve"> </w:t>
      </w:r>
      <w:r w:rsidRPr="009D75EF">
        <w:t>no</w:t>
      </w:r>
      <w:r w:rsidR="000159A6">
        <w:t xml:space="preserve"> </w:t>
      </w:r>
      <w:r w:rsidRPr="009D75EF">
        <w:t>difference</w:t>
      </w:r>
      <w:r w:rsidR="000159A6">
        <w:t xml:space="preserve"> </w:t>
      </w:r>
      <w:r w:rsidRPr="009D75EF">
        <w:t>was</w:t>
      </w:r>
      <w:r w:rsidR="000159A6">
        <w:t xml:space="preserve"> </w:t>
      </w:r>
      <w:r w:rsidRPr="009D75EF">
        <w:t>observed</w:t>
      </w:r>
      <w:r w:rsidR="000159A6">
        <w:t xml:space="preserve"> </w:t>
      </w:r>
      <w:r w:rsidRPr="009D75EF">
        <w:t>in</w:t>
      </w:r>
      <w:r w:rsidR="000159A6">
        <w:t xml:space="preserve"> </w:t>
      </w:r>
      <w:r w:rsidRPr="009D75EF">
        <w:t>early</w:t>
      </w:r>
      <w:r w:rsidR="000159A6">
        <w:t xml:space="preserve"> </w:t>
      </w:r>
      <w:r w:rsidRPr="009D75EF">
        <w:t>or</w:t>
      </w:r>
      <w:r w:rsidR="000159A6">
        <w:t xml:space="preserve"> </w:t>
      </w:r>
      <w:r w:rsidRPr="009D75EF">
        <w:t>intermediate</w:t>
      </w:r>
      <w:r w:rsidR="000159A6">
        <w:t xml:space="preserve"> </w:t>
      </w:r>
      <w:r w:rsidRPr="009D75EF">
        <w:t>normoblasts).</w:t>
      </w:r>
      <w:r w:rsidR="000159A6">
        <w:t xml:space="preserve"> </w:t>
      </w:r>
      <w:r w:rsidRPr="009D75EF">
        <w:t>This</w:t>
      </w:r>
      <w:r w:rsidR="000159A6">
        <w:t xml:space="preserve"> </w:t>
      </w:r>
      <w:r w:rsidRPr="009D75EF">
        <w:t>would</w:t>
      </w:r>
      <w:r w:rsidR="000159A6">
        <w:t xml:space="preserve"> </w:t>
      </w:r>
      <w:r w:rsidRPr="009D75EF">
        <w:t>indicate</w:t>
      </w:r>
      <w:r w:rsidR="000159A6">
        <w:t xml:space="preserve"> </w:t>
      </w:r>
      <w:r w:rsidRPr="009D75EF">
        <w:t>no</w:t>
      </w:r>
      <w:r w:rsidR="000159A6">
        <w:t xml:space="preserve"> </w:t>
      </w:r>
      <w:r w:rsidRPr="009D75EF">
        <w:t>interference</w:t>
      </w:r>
      <w:r w:rsidR="000159A6">
        <w:t xml:space="preserve"> </w:t>
      </w:r>
      <w:r w:rsidRPr="009D75EF">
        <w:t>by</w:t>
      </w:r>
      <w:r w:rsidR="000159A6">
        <w:t xml:space="preserve"> </w:t>
      </w:r>
      <w:r w:rsidR="00503D1B">
        <w:t>AS01</w:t>
      </w:r>
      <w:r w:rsidR="00503D1B">
        <w:rPr>
          <w:vertAlign w:val="subscript"/>
        </w:rPr>
        <w:t>B</w:t>
      </w:r>
      <w:r w:rsidR="000159A6">
        <w:t xml:space="preserve"> </w:t>
      </w:r>
      <w:r w:rsidRPr="009D75EF">
        <w:t>in</w:t>
      </w:r>
      <w:r w:rsidR="000159A6">
        <w:t xml:space="preserve"> </w:t>
      </w:r>
      <w:r w:rsidRPr="009D75EF">
        <w:t>early</w:t>
      </w:r>
      <w:r w:rsidR="000159A6">
        <w:t xml:space="preserve"> </w:t>
      </w:r>
      <w:r w:rsidRPr="009D75EF">
        <w:t>stages</w:t>
      </w:r>
      <w:r w:rsidR="000159A6">
        <w:t xml:space="preserve"> </w:t>
      </w:r>
      <w:r w:rsidRPr="009D75EF">
        <w:t>of</w:t>
      </w:r>
      <w:r w:rsidR="000159A6">
        <w:t xml:space="preserve"> </w:t>
      </w:r>
      <w:r w:rsidRPr="009D75EF">
        <w:t>red</w:t>
      </w:r>
      <w:r w:rsidR="000159A6">
        <w:t xml:space="preserve"> </w:t>
      </w:r>
      <w:r w:rsidRPr="009D75EF">
        <w:t>cell</w:t>
      </w:r>
      <w:r w:rsidR="000159A6">
        <w:t xml:space="preserve"> </w:t>
      </w:r>
      <w:r w:rsidRPr="009D75EF">
        <w:t>production.</w:t>
      </w:r>
      <w:r w:rsidR="000159A6">
        <w:t xml:space="preserve"> </w:t>
      </w:r>
      <w:r w:rsidRPr="009D75EF">
        <w:t>Slight</w:t>
      </w:r>
      <w:r w:rsidR="000159A6">
        <w:t xml:space="preserve"> </w:t>
      </w:r>
      <w:r w:rsidRPr="009D75EF">
        <w:t>decreases</w:t>
      </w:r>
      <w:r w:rsidR="000159A6">
        <w:t xml:space="preserve"> </w:t>
      </w:r>
      <w:r w:rsidRPr="009D75EF">
        <w:t>in</w:t>
      </w:r>
      <w:r w:rsidR="000159A6">
        <w:t xml:space="preserve"> </w:t>
      </w:r>
      <w:r w:rsidRPr="009D75EF">
        <w:t>peripheral</w:t>
      </w:r>
      <w:r w:rsidR="000159A6">
        <w:t xml:space="preserve"> </w:t>
      </w:r>
      <w:r w:rsidRPr="009D75EF">
        <w:t>blood</w:t>
      </w:r>
      <w:r w:rsidR="000159A6">
        <w:t xml:space="preserve"> </w:t>
      </w:r>
      <w:r w:rsidRPr="009D75EF">
        <w:t>(haemoglobin,</w:t>
      </w:r>
      <w:r w:rsidR="000159A6">
        <w:t xml:space="preserve"> </w:t>
      </w:r>
      <w:r w:rsidRPr="009D75EF">
        <w:t>packed</w:t>
      </w:r>
      <w:r w:rsidR="000159A6">
        <w:t xml:space="preserve"> </w:t>
      </w:r>
      <w:r w:rsidRPr="009D75EF">
        <w:t>cell</w:t>
      </w:r>
      <w:r w:rsidR="000159A6">
        <w:t xml:space="preserve"> </w:t>
      </w:r>
      <w:r w:rsidRPr="009D75EF">
        <w:t>volume,</w:t>
      </w:r>
      <w:r w:rsidR="000159A6">
        <w:t xml:space="preserve"> </w:t>
      </w:r>
      <w:r w:rsidRPr="009D75EF">
        <w:t>mean</w:t>
      </w:r>
      <w:r w:rsidR="000159A6">
        <w:t xml:space="preserve"> </w:t>
      </w:r>
      <w:r w:rsidRPr="009D75EF">
        <w:t>corpuscular</w:t>
      </w:r>
      <w:r w:rsidR="000159A6">
        <w:t xml:space="preserve"> </w:t>
      </w:r>
      <w:r w:rsidRPr="009D75EF">
        <w:t>haemoglobin,</w:t>
      </w:r>
      <w:r w:rsidR="000159A6">
        <w:t xml:space="preserve"> </w:t>
      </w:r>
      <w:r w:rsidRPr="009D75EF">
        <w:t>mean</w:t>
      </w:r>
      <w:r w:rsidR="000159A6">
        <w:t xml:space="preserve"> </w:t>
      </w:r>
      <w:r w:rsidRPr="009D75EF">
        <w:t>corpuscular</w:t>
      </w:r>
      <w:r w:rsidR="000159A6">
        <w:t xml:space="preserve"> </w:t>
      </w:r>
      <w:r w:rsidRPr="009D75EF">
        <w:t>volume</w:t>
      </w:r>
      <w:r>
        <w:t>)</w:t>
      </w:r>
      <w:r w:rsidRPr="009D75EF">
        <w:t>,</w:t>
      </w:r>
      <w:r w:rsidR="000159A6">
        <w:t xml:space="preserve"> </w:t>
      </w:r>
      <w:r w:rsidRPr="009D75EF">
        <w:t>a</w:t>
      </w:r>
      <w:r w:rsidR="000159A6">
        <w:t xml:space="preserve"> </w:t>
      </w:r>
      <w:r w:rsidRPr="009D75EF">
        <w:t>slight</w:t>
      </w:r>
      <w:r w:rsidR="000159A6">
        <w:t xml:space="preserve"> </w:t>
      </w:r>
      <w:r w:rsidRPr="009D75EF">
        <w:t>increase</w:t>
      </w:r>
      <w:r w:rsidR="000159A6">
        <w:t xml:space="preserve"> </w:t>
      </w:r>
      <w:r w:rsidRPr="009D75EF">
        <w:t>in</w:t>
      </w:r>
      <w:r w:rsidR="000159A6">
        <w:t xml:space="preserve"> </w:t>
      </w:r>
      <w:r w:rsidRPr="009D75EF">
        <w:t>reticulocytes,</w:t>
      </w:r>
      <w:r w:rsidR="000159A6">
        <w:t xml:space="preserve"> </w:t>
      </w:r>
      <w:r w:rsidRPr="009D75EF">
        <w:t>higher</w:t>
      </w:r>
      <w:r w:rsidR="000159A6">
        <w:t xml:space="preserve"> </w:t>
      </w:r>
      <w:r w:rsidRPr="009D75EF">
        <w:t>incidence</w:t>
      </w:r>
      <w:r w:rsidR="000159A6">
        <w:t xml:space="preserve"> </w:t>
      </w:r>
      <w:r w:rsidRPr="009D75EF">
        <w:t>of</w:t>
      </w:r>
      <w:r w:rsidR="000159A6">
        <w:t xml:space="preserve"> </w:t>
      </w:r>
      <w:r w:rsidRPr="009D75EF">
        <w:t>abnormal</w:t>
      </w:r>
      <w:r w:rsidR="000159A6">
        <w:t xml:space="preserve"> </w:t>
      </w:r>
      <w:r w:rsidRPr="009D75EF">
        <w:t>red</w:t>
      </w:r>
      <w:r w:rsidR="000159A6">
        <w:t xml:space="preserve"> </w:t>
      </w:r>
      <w:r w:rsidRPr="009D75EF">
        <w:t>cell</w:t>
      </w:r>
      <w:r w:rsidR="000159A6">
        <w:t xml:space="preserve"> </w:t>
      </w:r>
      <w:r w:rsidRPr="009D75EF">
        <w:t>forms</w:t>
      </w:r>
      <w:r w:rsidR="000159A6">
        <w:t xml:space="preserve"> </w:t>
      </w:r>
      <w:r w:rsidRPr="009D75EF">
        <w:t>(anisocytosis,</w:t>
      </w:r>
      <w:r w:rsidR="000159A6">
        <w:t xml:space="preserve"> </w:t>
      </w:r>
      <w:r w:rsidRPr="009D75EF">
        <w:t>hypochromasia</w:t>
      </w:r>
      <w:r w:rsidR="000159A6">
        <w:t xml:space="preserve"> </w:t>
      </w:r>
      <w:r w:rsidRPr="009D75EF">
        <w:t>and</w:t>
      </w:r>
      <w:r w:rsidR="000159A6">
        <w:t xml:space="preserve"> </w:t>
      </w:r>
      <w:r w:rsidRPr="009D75EF">
        <w:t>macrocytosis)</w:t>
      </w:r>
      <w:r w:rsidR="000159A6">
        <w:t xml:space="preserve"> </w:t>
      </w:r>
      <w:r w:rsidRPr="009D75EF">
        <w:t>and</w:t>
      </w:r>
      <w:r w:rsidR="000159A6">
        <w:t xml:space="preserve"> </w:t>
      </w:r>
      <w:r w:rsidRPr="009D75EF">
        <w:t>cell</w:t>
      </w:r>
      <w:r w:rsidR="000159A6">
        <w:t xml:space="preserve"> </w:t>
      </w:r>
      <w:r w:rsidRPr="009D75EF">
        <w:t>clumping</w:t>
      </w:r>
      <w:r w:rsidR="000159A6">
        <w:t xml:space="preserve"> </w:t>
      </w:r>
      <w:r w:rsidRPr="009D75EF">
        <w:t>were</w:t>
      </w:r>
      <w:r w:rsidR="000159A6">
        <w:t xml:space="preserve"> </w:t>
      </w:r>
      <w:r w:rsidRPr="009D75EF">
        <w:t>observed</w:t>
      </w:r>
      <w:r w:rsidR="000159A6">
        <w:t xml:space="preserve"> </w:t>
      </w:r>
      <w:r w:rsidRPr="009D75EF">
        <w:t>in</w:t>
      </w:r>
      <w:r w:rsidR="000159A6">
        <w:t xml:space="preserve"> </w:t>
      </w:r>
      <w:r w:rsidRPr="009D75EF">
        <w:t>the</w:t>
      </w:r>
      <w:r w:rsidR="000159A6">
        <w:t xml:space="preserve"> </w:t>
      </w:r>
      <w:r w:rsidRPr="009D75EF">
        <w:t>treated</w:t>
      </w:r>
      <w:r w:rsidR="000159A6">
        <w:t xml:space="preserve"> </w:t>
      </w:r>
      <w:r w:rsidRPr="009D75EF">
        <w:t>groups</w:t>
      </w:r>
      <w:r w:rsidR="000159A6">
        <w:t xml:space="preserve"> </w:t>
      </w:r>
      <w:r w:rsidRPr="009D75EF">
        <w:t>and</w:t>
      </w:r>
      <w:r w:rsidR="000159A6">
        <w:t xml:space="preserve"> </w:t>
      </w:r>
      <w:r w:rsidRPr="009D75EF">
        <w:t>were</w:t>
      </w:r>
      <w:r w:rsidR="000159A6">
        <w:t xml:space="preserve"> </w:t>
      </w:r>
      <w:r w:rsidRPr="009D75EF">
        <w:t>probably</w:t>
      </w:r>
      <w:r w:rsidR="000159A6">
        <w:t xml:space="preserve"> </w:t>
      </w:r>
      <w:r w:rsidRPr="009D75EF">
        <w:t>due</w:t>
      </w:r>
      <w:r w:rsidR="000159A6">
        <w:t xml:space="preserve"> </w:t>
      </w:r>
      <w:r w:rsidRPr="009D75EF">
        <w:t>to</w:t>
      </w:r>
      <w:r w:rsidR="000159A6">
        <w:t xml:space="preserve"> </w:t>
      </w:r>
      <w:r w:rsidRPr="009D75EF">
        <w:t>direct</w:t>
      </w:r>
      <w:r w:rsidR="000159A6">
        <w:t xml:space="preserve"> </w:t>
      </w:r>
      <w:r w:rsidRPr="009D75EF">
        <w:t>effects</w:t>
      </w:r>
      <w:r w:rsidR="000159A6">
        <w:t xml:space="preserve"> </w:t>
      </w:r>
      <w:r w:rsidRPr="009D75EF">
        <w:t>of</w:t>
      </w:r>
      <w:r w:rsidR="000159A6">
        <w:t xml:space="preserve"> </w:t>
      </w:r>
      <w:r w:rsidRPr="009D75EF">
        <w:t>the</w:t>
      </w:r>
      <w:r w:rsidR="000159A6">
        <w:t xml:space="preserve"> </w:t>
      </w:r>
      <w:r w:rsidRPr="009D75EF">
        <w:t>adjuvant</w:t>
      </w:r>
      <w:r w:rsidR="000159A6">
        <w:t xml:space="preserve"> </w:t>
      </w:r>
      <w:r w:rsidRPr="009D75EF">
        <w:t>on</w:t>
      </w:r>
      <w:r w:rsidR="000159A6">
        <w:t xml:space="preserve"> </w:t>
      </w:r>
      <w:r w:rsidRPr="009D75EF">
        <w:t>peripheral</w:t>
      </w:r>
      <w:r w:rsidR="000159A6">
        <w:t xml:space="preserve"> </w:t>
      </w:r>
      <w:r w:rsidRPr="009D75EF">
        <w:t>erythrocytes,</w:t>
      </w:r>
      <w:r w:rsidR="000159A6">
        <w:t xml:space="preserve"> </w:t>
      </w:r>
      <w:r w:rsidRPr="002D5A8C">
        <w:t>as</w:t>
      </w:r>
      <w:r w:rsidR="000159A6">
        <w:t xml:space="preserve"> </w:t>
      </w:r>
      <w:r w:rsidRPr="002D5A8C">
        <w:t>observed</w:t>
      </w:r>
      <w:r w:rsidR="000159A6">
        <w:t xml:space="preserve"> </w:t>
      </w:r>
      <w:r w:rsidRPr="002D5A8C">
        <w:t>in</w:t>
      </w:r>
      <w:r w:rsidR="000159A6">
        <w:t xml:space="preserve"> </w:t>
      </w:r>
      <w:r w:rsidRPr="002D5A8C">
        <w:t>repeat</w:t>
      </w:r>
      <w:r w:rsidR="000159A6">
        <w:t xml:space="preserve"> </w:t>
      </w:r>
      <w:r w:rsidRPr="002D5A8C">
        <w:t>dose</w:t>
      </w:r>
      <w:r w:rsidR="000159A6">
        <w:t xml:space="preserve"> </w:t>
      </w:r>
      <w:r w:rsidRPr="002D5A8C">
        <w:t>toxicity</w:t>
      </w:r>
      <w:r w:rsidR="000159A6">
        <w:t xml:space="preserve"> </w:t>
      </w:r>
      <w:r w:rsidRPr="002D5A8C">
        <w:t>studies</w:t>
      </w:r>
      <w:r w:rsidR="000159A6">
        <w:t xml:space="preserve"> </w:t>
      </w:r>
      <w:r w:rsidRPr="002D5A8C">
        <w:t>with</w:t>
      </w:r>
      <w:r w:rsidR="000159A6">
        <w:t xml:space="preserve"> </w:t>
      </w:r>
      <w:r w:rsidR="00503D1B">
        <w:t>AS01</w:t>
      </w:r>
      <w:r w:rsidR="00503D1B">
        <w:rPr>
          <w:vertAlign w:val="subscript"/>
        </w:rPr>
        <w:t>B</w:t>
      </w:r>
      <w:r w:rsidR="000159A6">
        <w:t xml:space="preserve"> </w:t>
      </w:r>
      <w:r w:rsidRPr="002D5A8C">
        <w:t>and</w:t>
      </w:r>
      <w:r w:rsidR="000159A6">
        <w:t xml:space="preserve"> </w:t>
      </w:r>
      <w:r w:rsidRPr="002D5A8C">
        <w:t>QS-21</w:t>
      </w:r>
      <w:r w:rsidR="00FF12AA">
        <w:t>.</w:t>
      </w:r>
    </w:p>
    <w:p w14:paraId="558A4178" w14:textId="2D121E72" w:rsidR="005B220F" w:rsidRPr="00E97880" w:rsidRDefault="00503D1B" w:rsidP="00C5388D">
      <w:r>
        <w:t>AS01</w:t>
      </w:r>
      <w:r w:rsidRPr="00570F2D">
        <w:rPr>
          <w:vertAlign w:val="subscript"/>
        </w:rPr>
        <w:t>B</w:t>
      </w:r>
      <w:r w:rsidR="000159A6">
        <w:t xml:space="preserve"> </w:t>
      </w:r>
      <w:r w:rsidR="005B220F">
        <w:t>was</w:t>
      </w:r>
      <w:r w:rsidR="000159A6">
        <w:t xml:space="preserve"> </w:t>
      </w:r>
      <w:r w:rsidR="005B220F">
        <w:t>not</w:t>
      </w:r>
      <w:r w:rsidR="000159A6">
        <w:t xml:space="preserve"> </w:t>
      </w:r>
      <w:r w:rsidR="005B220F">
        <w:t>tested</w:t>
      </w:r>
      <w:r w:rsidR="000159A6">
        <w:t xml:space="preserve"> </w:t>
      </w:r>
      <w:r w:rsidR="005B220F">
        <w:t>for</w:t>
      </w:r>
      <w:r w:rsidR="000159A6">
        <w:t xml:space="preserve"> </w:t>
      </w:r>
      <w:r w:rsidR="005B220F">
        <w:t>mutagenicity</w:t>
      </w:r>
      <w:r w:rsidR="000159A6">
        <w:t xml:space="preserve"> </w:t>
      </w:r>
      <w:r w:rsidR="005B220F">
        <w:t>in</w:t>
      </w:r>
      <w:r w:rsidR="000159A6">
        <w:t xml:space="preserve"> </w:t>
      </w:r>
      <w:r w:rsidR="005B220F">
        <w:t>bacteria</w:t>
      </w:r>
      <w:r w:rsidR="000159A6">
        <w:t xml:space="preserve"> </w:t>
      </w:r>
      <w:r w:rsidR="005B220F">
        <w:t>or</w:t>
      </w:r>
      <w:r w:rsidR="000159A6">
        <w:t xml:space="preserve"> </w:t>
      </w:r>
      <w:r w:rsidR="005B220F">
        <w:t>mammalian</w:t>
      </w:r>
      <w:r w:rsidR="000159A6">
        <w:t xml:space="preserve"> </w:t>
      </w:r>
      <w:r w:rsidR="005B220F">
        <w:t>cells.</w:t>
      </w:r>
      <w:r w:rsidR="000159A6">
        <w:t xml:space="preserve"> </w:t>
      </w:r>
      <w:r w:rsidR="005B220F">
        <w:t>QS-21(</w:t>
      </w:r>
      <w:r w:rsidR="005B220F" w:rsidRPr="00931140">
        <w:t>DQ</w:t>
      </w:r>
      <w:r w:rsidR="005B220F">
        <w:t>)</w:t>
      </w:r>
      <w:r w:rsidR="000159A6">
        <w:t xml:space="preserve"> </w:t>
      </w:r>
      <w:r w:rsidR="008D4538">
        <w:t>and</w:t>
      </w:r>
      <w:r w:rsidR="000159A6">
        <w:t xml:space="preserve"> </w:t>
      </w:r>
      <w:r w:rsidR="008D4538">
        <w:t>QS</w:t>
      </w:r>
      <w:r w:rsidR="008D4538">
        <w:noBreakHyphen/>
      </w:r>
      <w:r w:rsidR="005B220F" w:rsidRPr="00931140">
        <w:t>21</w:t>
      </w:r>
      <w:r w:rsidR="000159A6">
        <w:t xml:space="preserve"> </w:t>
      </w:r>
      <w:r w:rsidR="005B220F">
        <w:t>were</w:t>
      </w:r>
      <w:r w:rsidR="000159A6">
        <w:t xml:space="preserve"> </w:t>
      </w:r>
      <w:r w:rsidR="005B220F">
        <w:t>non-mutagenic</w:t>
      </w:r>
      <w:r w:rsidR="000159A6">
        <w:t xml:space="preserve"> </w:t>
      </w:r>
      <w:r w:rsidR="005B220F" w:rsidRPr="00931140">
        <w:t>in</w:t>
      </w:r>
      <w:r w:rsidR="000159A6">
        <w:t xml:space="preserve"> </w:t>
      </w:r>
      <w:r w:rsidR="005B220F" w:rsidRPr="00931140">
        <w:t>bacterial</w:t>
      </w:r>
      <w:r w:rsidR="000159A6">
        <w:t xml:space="preserve"> </w:t>
      </w:r>
      <w:r w:rsidR="005B220F" w:rsidRPr="00931140">
        <w:t>mutation</w:t>
      </w:r>
      <w:r w:rsidR="000159A6">
        <w:t xml:space="preserve"> </w:t>
      </w:r>
      <w:r w:rsidR="005B220F" w:rsidRPr="00931140">
        <w:t>tests</w:t>
      </w:r>
      <w:r w:rsidR="000159A6">
        <w:t xml:space="preserve"> </w:t>
      </w:r>
      <w:r w:rsidR="005B220F" w:rsidRPr="00931140">
        <w:t>and</w:t>
      </w:r>
      <w:r w:rsidR="000159A6">
        <w:t xml:space="preserve"> </w:t>
      </w:r>
      <w:r w:rsidR="005B220F">
        <w:t>gene</w:t>
      </w:r>
      <w:r w:rsidR="000159A6">
        <w:t xml:space="preserve"> </w:t>
      </w:r>
      <w:r w:rsidR="005B220F">
        <w:t>mutation</w:t>
      </w:r>
      <w:r w:rsidR="000159A6">
        <w:t xml:space="preserve"> </w:t>
      </w:r>
      <w:r w:rsidR="005B220F" w:rsidRPr="00931140">
        <w:t>of</w:t>
      </w:r>
      <w:r w:rsidR="000159A6">
        <w:t xml:space="preserve"> </w:t>
      </w:r>
      <w:r w:rsidR="005B220F" w:rsidRPr="00931140">
        <w:t>cultured</w:t>
      </w:r>
      <w:r w:rsidR="000159A6">
        <w:t xml:space="preserve"> </w:t>
      </w:r>
      <w:r w:rsidR="005B220F">
        <w:t>mouse</w:t>
      </w:r>
      <w:r w:rsidR="000159A6">
        <w:t xml:space="preserve"> </w:t>
      </w:r>
      <w:r w:rsidR="005B220F" w:rsidRPr="00931140">
        <w:t>lymphoma</w:t>
      </w:r>
      <w:r w:rsidR="000159A6">
        <w:t xml:space="preserve"> </w:t>
      </w:r>
      <w:r w:rsidR="005B220F">
        <w:t>cells</w:t>
      </w:r>
      <w:r w:rsidR="000159A6">
        <w:t xml:space="preserve"> </w:t>
      </w:r>
      <w:r w:rsidR="005B220F" w:rsidRPr="00B634AC">
        <w:rPr>
          <w:i/>
        </w:rPr>
        <w:t>in</w:t>
      </w:r>
      <w:r w:rsidR="000159A6">
        <w:rPr>
          <w:i/>
        </w:rPr>
        <w:t xml:space="preserve"> </w:t>
      </w:r>
      <w:r w:rsidR="005B220F" w:rsidRPr="00B634AC">
        <w:rPr>
          <w:i/>
        </w:rPr>
        <w:t>vitro</w:t>
      </w:r>
      <w:r w:rsidR="005B220F">
        <w:t>.</w:t>
      </w:r>
      <w:r w:rsidR="000159A6">
        <w:t xml:space="preserve"> </w:t>
      </w:r>
      <w:r w:rsidR="005B220F">
        <w:t>The</w:t>
      </w:r>
      <w:r w:rsidR="000159A6">
        <w:t xml:space="preserve"> </w:t>
      </w:r>
      <w:r w:rsidR="005B220F">
        <w:t>test</w:t>
      </w:r>
      <w:r w:rsidR="000159A6">
        <w:t xml:space="preserve"> </w:t>
      </w:r>
      <w:r w:rsidR="005B220F">
        <w:t>concentration</w:t>
      </w:r>
      <w:r w:rsidR="000159A6">
        <w:t xml:space="preserve"> </w:t>
      </w:r>
      <w:r w:rsidR="005B220F">
        <w:t>o</w:t>
      </w:r>
      <w:r w:rsidR="008D4538">
        <w:t>f</w:t>
      </w:r>
      <w:r w:rsidR="000159A6">
        <w:t xml:space="preserve"> </w:t>
      </w:r>
      <w:r w:rsidR="008D4538">
        <w:t>QS-21</w:t>
      </w:r>
      <w:r w:rsidR="000159A6">
        <w:t xml:space="preserve"> </w:t>
      </w:r>
      <w:r w:rsidR="008D4538">
        <w:t>(DQ)</w:t>
      </w:r>
      <w:r w:rsidR="000159A6">
        <w:t xml:space="preserve"> </w:t>
      </w:r>
      <w:r w:rsidR="008D4538">
        <w:t>was</w:t>
      </w:r>
      <w:r w:rsidR="000159A6">
        <w:t xml:space="preserve"> </w:t>
      </w:r>
      <w:r w:rsidR="008D4538">
        <w:t>low</w:t>
      </w:r>
      <w:r w:rsidR="000159A6">
        <w:t xml:space="preserve"> </w:t>
      </w:r>
      <w:r w:rsidR="008D4538">
        <w:t>(up</w:t>
      </w:r>
      <w:r w:rsidR="000159A6">
        <w:t xml:space="preserve"> </w:t>
      </w:r>
      <w:r w:rsidR="008D4538">
        <w:t>to</w:t>
      </w:r>
      <w:r w:rsidR="000159A6">
        <w:t xml:space="preserve"> </w:t>
      </w:r>
      <w:r w:rsidR="008D4538">
        <w:t>100</w:t>
      </w:r>
      <w:r w:rsidR="00CD5352">
        <w:t> </w:t>
      </w:r>
      <w:r w:rsidR="005B220F">
        <w:t>µg/plate</w:t>
      </w:r>
      <w:r w:rsidR="000159A6">
        <w:t xml:space="preserve"> </w:t>
      </w:r>
      <w:r w:rsidR="005B220F">
        <w:t>in</w:t>
      </w:r>
      <w:r w:rsidR="000159A6">
        <w:t xml:space="preserve"> </w:t>
      </w:r>
      <w:r w:rsidR="005B220F">
        <w:t>the</w:t>
      </w:r>
      <w:r w:rsidR="000159A6">
        <w:t xml:space="preserve"> </w:t>
      </w:r>
      <w:r w:rsidR="005B220F">
        <w:t>bacterial</w:t>
      </w:r>
      <w:r w:rsidR="000159A6">
        <w:t xml:space="preserve"> </w:t>
      </w:r>
      <w:r w:rsidR="005B220F">
        <w:t>assay</w:t>
      </w:r>
      <w:r w:rsidR="000159A6">
        <w:t xml:space="preserve"> </w:t>
      </w:r>
      <w:r w:rsidR="005B220F">
        <w:t>and</w:t>
      </w:r>
      <w:r w:rsidR="000159A6">
        <w:t xml:space="preserve"> </w:t>
      </w:r>
      <w:r w:rsidR="005B220F">
        <w:t>10</w:t>
      </w:r>
      <w:r w:rsidR="000159A6">
        <w:t xml:space="preserve"> </w:t>
      </w:r>
      <w:r w:rsidR="005B220F">
        <w:t>µg/mL</w:t>
      </w:r>
      <w:r w:rsidR="000159A6">
        <w:t xml:space="preserve"> </w:t>
      </w:r>
      <w:r w:rsidR="005B220F">
        <w:t>in</w:t>
      </w:r>
      <w:r w:rsidR="000159A6">
        <w:t xml:space="preserve"> </w:t>
      </w:r>
      <w:r w:rsidR="005B220F">
        <w:t>the</w:t>
      </w:r>
      <w:r w:rsidR="000159A6">
        <w:t xml:space="preserve"> </w:t>
      </w:r>
      <w:r w:rsidR="005B220F">
        <w:t>mammalian</w:t>
      </w:r>
      <w:r w:rsidR="000159A6">
        <w:t xml:space="preserve"> </w:t>
      </w:r>
      <w:r w:rsidR="005B220F">
        <w:t>cell</w:t>
      </w:r>
      <w:r w:rsidR="000159A6">
        <w:t xml:space="preserve"> </w:t>
      </w:r>
      <w:r w:rsidR="005B220F">
        <w:t>assay)</w:t>
      </w:r>
      <w:r w:rsidR="000159A6">
        <w:t xml:space="preserve"> </w:t>
      </w:r>
      <w:r w:rsidR="005B220F">
        <w:t>due</w:t>
      </w:r>
      <w:r w:rsidR="000159A6">
        <w:t xml:space="preserve"> </w:t>
      </w:r>
      <w:r w:rsidR="005B220F">
        <w:t>to</w:t>
      </w:r>
      <w:r w:rsidR="000159A6">
        <w:t xml:space="preserve"> </w:t>
      </w:r>
      <w:r w:rsidR="005B220F">
        <w:t>the</w:t>
      </w:r>
      <w:r w:rsidR="000159A6">
        <w:t xml:space="preserve"> </w:t>
      </w:r>
      <w:r w:rsidR="005B220F">
        <w:t>presence</w:t>
      </w:r>
      <w:r w:rsidR="000159A6">
        <w:t xml:space="preserve"> </w:t>
      </w:r>
      <w:r w:rsidR="005B220F">
        <w:t>of</w:t>
      </w:r>
      <w:r w:rsidR="000159A6">
        <w:t xml:space="preserve"> </w:t>
      </w:r>
      <w:r w:rsidR="005B220F">
        <w:t>liposomes</w:t>
      </w:r>
      <w:r w:rsidR="000159A6">
        <w:t xml:space="preserve"> </w:t>
      </w:r>
      <w:r w:rsidR="005B220F">
        <w:t>(cholesterol</w:t>
      </w:r>
      <w:r w:rsidR="000159A6">
        <w:t xml:space="preserve"> </w:t>
      </w:r>
      <w:r w:rsidR="005B220F">
        <w:t>and</w:t>
      </w:r>
      <w:r w:rsidR="000159A6">
        <w:t xml:space="preserve"> </w:t>
      </w:r>
      <w:r w:rsidR="005B220F">
        <w:t>DOPC),</w:t>
      </w:r>
      <w:r w:rsidR="000159A6">
        <w:t xml:space="preserve"> </w:t>
      </w:r>
      <w:r w:rsidR="005B220F">
        <w:t>but</w:t>
      </w:r>
      <w:r w:rsidR="000159A6">
        <w:t xml:space="preserve"> </w:t>
      </w:r>
      <w:r w:rsidR="005B220F">
        <w:t>the</w:t>
      </w:r>
      <w:r w:rsidR="000159A6">
        <w:t xml:space="preserve"> </w:t>
      </w:r>
      <w:r w:rsidR="005B220F">
        <w:t>concentration</w:t>
      </w:r>
      <w:r w:rsidR="000159A6">
        <w:t xml:space="preserve"> </w:t>
      </w:r>
      <w:r w:rsidR="005B220F">
        <w:t>of</w:t>
      </w:r>
      <w:r w:rsidR="000159A6">
        <w:t xml:space="preserve"> </w:t>
      </w:r>
      <w:r w:rsidR="005B220F">
        <w:t>QS-21</w:t>
      </w:r>
      <w:r w:rsidR="000159A6">
        <w:t xml:space="preserve"> </w:t>
      </w:r>
      <w:r w:rsidR="005B220F">
        <w:t>(non-DQ</w:t>
      </w:r>
      <w:r w:rsidR="000159A6">
        <w:t xml:space="preserve"> </w:t>
      </w:r>
      <w:r w:rsidR="005B220F">
        <w:t>form)</w:t>
      </w:r>
      <w:r w:rsidR="000159A6">
        <w:t xml:space="preserve"> </w:t>
      </w:r>
      <w:r w:rsidR="005B220F">
        <w:t>in</w:t>
      </w:r>
      <w:r w:rsidR="000159A6">
        <w:t xml:space="preserve"> </w:t>
      </w:r>
      <w:r w:rsidR="005B220F">
        <w:t>another</w:t>
      </w:r>
      <w:r w:rsidR="000159A6">
        <w:t xml:space="preserve"> </w:t>
      </w:r>
      <w:r w:rsidR="005B220F">
        <w:t>bacterial</w:t>
      </w:r>
      <w:r w:rsidR="000159A6">
        <w:t xml:space="preserve"> </w:t>
      </w:r>
      <w:r w:rsidR="005B220F">
        <w:t>assay</w:t>
      </w:r>
      <w:r w:rsidR="000159A6">
        <w:t xml:space="preserve"> </w:t>
      </w:r>
      <w:r w:rsidR="005B220F">
        <w:t>was</w:t>
      </w:r>
      <w:r w:rsidR="000159A6">
        <w:t xml:space="preserve"> </w:t>
      </w:r>
      <w:r w:rsidR="005B220F">
        <w:t>adequate.</w:t>
      </w:r>
      <w:r w:rsidR="000159A6">
        <w:t xml:space="preserve"> </w:t>
      </w:r>
      <w:r w:rsidR="008D4538">
        <w:t>No</w:t>
      </w:r>
      <w:r w:rsidR="000159A6">
        <w:t xml:space="preserve"> </w:t>
      </w:r>
      <w:r w:rsidR="008D4538">
        <w:t>test</w:t>
      </w:r>
      <w:r w:rsidR="000159A6">
        <w:t xml:space="preserve"> </w:t>
      </w:r>
      <w:r w:rsidR="008D4538">
        <w:t>article</w:t>
      </w:r>
      <w:r w:rsidR="000159A6">
        <w:t xml:space="preserve"> </w:t>
      </w:r>
      <w:r w:rsidR="005B220F" w:rsidRPr="00931140">
        <w:t>related</w:t>
      </w:r>
      <w:r w:rsidR="000159A6">
        <w:t xml:space="preserve"> </w:t>
      </w:r>
      <w:r w:rsidR="005B220F" w:rsidRPr="00931140">
        <w:t>chromosomal</w:t>
      </w:r>
      <w:r w:rsidR="000159A6">
        <w:t xml:space="preserve"> </w:t>
      </w:r>
      <w:r w:rsidR="005B220F" w:rsidRPr="00931140">
        <w:t>damage</w:t>
      </w:r>
      <w:r w:rsidR="000159A6">
        <w:t xml:space="preserve"> </w:t>
      </w:r>
      <w:r w:rsidR="005B220F" w:rsidRPr="00931140">
        <w:t>and/or</w:t>
      </w:r>
      <w:r w:rsidR="000159A6">
        <w:t xml:space="preserve"> </w:t>
      </w:r>
      <w:r w:rsidR="005B220F" w:rsidRPr="00931140">
        <w:t>damage</w:t>
      </w:r>
      <w:r w:rsidR="000159A6">
        <w:t xml:space="preserve"> </w:t>
      </w:r>
      <w:r w:rsidR="005B220F" w:rsidRPr="00931140">
        <w:t>to</w:t>
      </w:r>
      <w:r w:rsidR="000159A6">
        <w:t xml:space="preserve"> </w:t>
      </w:r>
      <w:r w:rsidR="005B220F" w:rsidRPr="00931140">
        <w:t>the</w:t>
      </w:r>
      <w:r w:rsidR="000159A6">
        <w:t xml:space="preserve"> </w:t>
      </w:r>
      <w:r w:rsidR="005B220F" w:rsidRPr="00931140">
        <w:t>mitotic</w:t>
      </w:r>
      <w:r w:rsidR="000159A6">
        <w:t xml:space="preserve"> </w:t>
      </w:r>
      <w:r w:rsidR="005B220F" w:rsidRPr="00931140">
        <w:t>spindle</w:t>
      </w:r>
      <w:r w:rsidR="000159A6">
        <w:t xml:space="preserve"> </w:t>
      </w:r>
      <w:r w:rsidR="005B220F" w:rsidRPr="00931140">
        <w:t>apparatus</w:t>
      </w:r>
      <w:r w:rsidR="000159A6">
        <w:t xml:space="preserve"> </w:t>
      </w:r>
      <w:r w:rsidR="005B220F" w:rsidRPr="00931140">
        <w:t>of</w:t>
      </w:r>
      <w:r w:rsidR="000159A6">
        <w:t xml:space="preserve"> </w:t>
      </w:r>
      <w:r w:rsidR="005B220F" w:rsidRPr="00931140">
        <w:t>the</w:t>
      </w:r>
      <w:r w:rsidR="000159A6">
        <w:t xml:space="preserve"> </w:t>
      </w:r>
      <w:r w:rsidR="005B220F" w:rsidRPr="00931140">
        <w:t>bone</w:t>
      </w:r>
      <w:r w:rsidR="000159A6">
        <w:t xml:space="preserve"> </w:t>
      </w:r>
      <w:r w:rsidR="005B220F" w:rsidRPr="00931140">
        <w:t>marrow</w:t>
      </w:r>
      <w:r w:rsidR="000159A6">
        <w:t xml:space="preserve"> </w:t>
      </w:r>
      <w:r w:rsidR="005B220F" w:rsidRPr="00931140">
        <w:t>target</w:t>
      </w:r>
      <w:r w:rsidR="000159A6">
        <w:t xml:space="preserve"> </w:t>
      </w:r>
      <w:r w:rsidR="005B220F" w:rsidRPr="00931140">
        <w:t>cells</w:t>
      </w:r>
      <w:r w:rsidR="000159A6">
        <w:t xml:space="preserve"> </w:t>
      </w:r>
      <w:r w:rsidR="005B220F" w:rsidRPr="00931140">
        <w:t>was</w:t>
      </w:r>
      <w:r w:rsidR="000159A6">
        <w:t xml:space="preserve"> </w:t>
      </w:r>
      <w:r w:rsidR="005B220F">
        <w:t>observed</w:t>
      </w:r>
      <w:r w:rsidR="000159A6">
        <w:t xml:space="preserve"> </w:t>
      </w:r>
      <w:r w:rsidR="005B220F" w:rsidRPr="00931140">
        <w:t>in</w:t>
      </w:r>
      <w:r w:rsidR="000159A6">
        <w:t xml:space="preserve"> </w:t>
      </w:r>
      <w:r w:rsidR="005B220F" w:rsidRPr="00931140">
        <w:t>male</w:t>
      </w:r>
      <w:r w:rsidR="000159A6">
        <w:t xml:space="preserve"> </w:t>
      </w:r>
      <w:r w:rsidR="005B220F" w:rsidRPr="00931140">
        <w:t>rats</w:t>
      </w:r>
      <w:r w:rsidR="000159A6">
        <w:t xml:space="preserve"> </w:t>
      </w:r>
      <w:r w:rsidR="005B220F" w:rsidRPr="00931140">
        <w:t>treated</w:t>
      </w:r>
      <w:r w:rsidR="000159A6">
        <w:t xml:space="preserve"> </w:t>
      </w:r>
      <w:r w:rsidR="005B220F" w:rsidRPr="00931140">
        <w:t>by</w:t>
      </w:r>
      <w:r w:rsidR="000159A6">
        <w:t xml:space="preserve"> </w:t>
      </w:r>
      <w:r w:rsidR="005B220F" w:rsidRPr="00931140">
        <w:t>IV</w:t>
      </w:r>
      <w:r w:rsidR="000159A6">
        <w:t xml:space="preserve"> </w:t>
      </w:r>
      <w:r w:rsidR="005B220F" w:rsidRPr="00931140">
        <w:t>administration</w:t>
      </w:r>
      <w:r w:rsidR="000159A6">
        <w:t xml:space="preserve"> </w:t>
      </w:r>
      <w:r w:rsidR="005B220F" w:rsidRPr="00931140">
        <w:t>of</w:t>
      </w:r>
      <w:r w:rsidR="000159A6">
        <w:t xml:space="preserve"> </w:t>
      </w:r>
      <w:r w:rsidR="005B220F" w:rsidRPr="00931140">
        <w:t>the</w:t>
      </w:r>
      <w:r w:rsidR="000159A6">
        <w:t xml:space="preserve"> </w:t>
      </w:r>
      <w:r w:rsidR="005B220F" w:rsidRPr="00931140">
        <w:t>maximum</w:t>
      </w:r>
      <w:r w:rsidR="000159A6">
        <w:t xml:space="preserve"> </w:t>
      </w:r>
      <w:r w:rsidR="005B220F" w:rsidRPr="00931140">
        <w:t>(tolerable)</w:t>
      </w:r>
      <w:r w:rsidR="000159A6">
        <w:t xml:space="preserve"> </w:t>
      </w:r>
      <w:r w:rsidR="005B220F" w:rsidRPr="00931140">
        <w:t>dose</w:t>
      </w:r>
      <w:r w:rsidR="000159A6">
        <w:t xml:space="preserve"> </w:t>
      </w:r>
      <w:r w:rsidR="005B220F" w:rsidRPr="00931140">
        <w:t>of</w:t>
      </w:r>
      <w:r w:rsidR="000159A6">
        <w:t xml:space="preserve"> </w:t>
      </w:r>
      <w:r w:rsidR="005B220F">
        <w:t>QS-21</w:t>
      </w:r>
      <w:r w:rsidR="000159A6">
        <w:t xml:space="preserve"> </w:t>
      </w:r>
      <w:r w:rsidR="005B220F">
        <w:t>(</w:t>
      </w:r>
      <w:r w:rsidR="005B220F" w:rsidRPr="00931140">
        <w:t>DQ</w:t>
      </w:r>
      <w:r w:rsidR="005B220F">
        <w:t>)</w:t>
      </w:r>
      <w:r w:rsidR="000159A6">
        <w:t xml:space="preserve"> </w:t>
      </w:r>
      <w:r w:rsidR="005B220F" w:rsidRPr="00931140">
        <w:t>containing</w:t>
      </w:r>
      <w:r w:rsidR="000159A6">
        <w:t xml:space="preserve"> </w:t>
      </w:r>
      <w:r w:rsidR="005B220F" w:rsidRPr="00931140">
        <w:t>up</w:t>
      </w:r>
      <w:r w:rsidR="000159A6">
        <w:t xml:space="preserve"> </w:t>
      </w:r>
      <w:r w:rsidR="005B220F" w:rsidRPr="00931140">
        <w:t>to</w:t>
      </w:r>
      <w:r w:rsidR="000159A6">
        <w:t xml:space="preserve"> </w:t>
      </w:r>
      <w:r w:rsidR="005B220F">
        <w:t>160</w:t>
      </w:r>
      <w:r w:rsidR="000159A6">
        <w:t xml:space="preserve"> </w:t>
      </w:r>
      <w:r w:rsidR="005B220F">
        <w:t>μg</w:t>
      </w:r>
      <w:r w:rsidR="000159A6">
        <w:t xml:space="preserve"> </w:t>
      </w:r>
      <w:r w:rsidR="005B220F">
        <w:t>QS-21/kg</w:t>
      </w:r>
      <w:r w:rsidR="000159A6">
        <w:t xml:space="preserve"> </w:t>
      </w:r>
      <w:r w:rsidR="005B220F" w:rsidRPr="005F1CA7">
        <w:t>(which</w:t>
      </w:r>
      <w:r w:rsidR="000159A6">
        <w:t xml:space="preserve"> </w:t>
      </w:r>
      <w:r w:rsidR="005B220F" w:rsidRPr="005F1CA7">
        <w:t>is</w:t>
      </w:r>
      <w:r w:rsidR="000159A6">
        <w:t xml:space="preserve"> </w:t>
      </w:r>
      <w:r w:rsidR="005B220F" w:rsidRPr="005F1CA7">
        <w:t>29-</w:t>
      </w:r>
      <w:r w:rsidR="005B220F">
        <w:t>fold</w:t>
      </w:r>
      <w:r w:rsidR="000159A6">
        <w:t xml:space="preserve"> </w:t>
      </w:r>
      <w:r w:rsidR="005B220F" w:rsidRPr="005F1CA7">
        <w:t>greater</w:t>
      </w:r>
      <w:r w:rsidR="000159A6">
        <w:t xml:space="preserve"> </w:t>
      </w:r>
      <w:r w:rsidR="005B220F" w:rsidRPr="005F1CA7">
        <w:t>than</w:t>
      </w:r>
      <w:r w:rsidR="000159A6">
        <w:t xml:space="preserve"> </w:t>
      </w:r>
      <w:r w:rsidR="005B220F" w:rsidRPr="005F1CA7">
        <w:t>the</w:t>
      </w:r>
      <w:r w:rsidR="000159A6">
        <w:t xml:space="preserve"> </w:t>
      </w:r>
      <w:r w:rsidR="005B220F" w:rsidRPr="005F1CA7">
        <w:t>human</w:t>
      </w:r>
      <w:r w:rsidR="000159A6">
        <w:t xml:space="preserve"> </w:t>
      </w:r>
      <w:r w:rsidR="005B220F" w:rsidRPr="005F1CA7">
        <w:t>dose</w:t>
      </w:r>
      <w:r w:rsidR="000159A6">
        <w:t xml:space="preserve"> </w:t>
      </w:r>
      <w:r w:rsidR="005B220F" w:rsidRPr="005F1CA7">
        <w:t>on</w:t>
      </w:r>
      <w:r w:rsidR="000159A6">
        <w:t xml:space="preserve"> </w:t>
      </w:r>
      <w:r w:rsidR="005B220F" w:rsidRPr="005F1CA7">
        <w:t>a</w:t>
      </w:r>
      <w:r w:rsidR="000159A6">
        <w:t xml:space="preserve"> </w:t>
      </w:r>
      <w:r w:rsidR="005B220F" w:rsidRPr="005F1CA7">
        <w:t>µg/m</w:t>
      </w:r>
      <w:r w:rsidR="005B220F" w:rsidRPr="005F1CA7">
        <w:rPr>
          <w:vertAlign w:val="superscript"/>
        </w:rPr>
        <w:t>2</w:t>
      </w:r>
      <w:r w:rsidR="000159A6">
        <w:t xml:space="preserve"> </w:t>
      </w:r>
      <w:r w:rsidR="005B220F" w:rsidRPr="005F1CA7">
        <w:t>surface</w:t>
      </w:r>
      <w:r w:rsidR="000159A6">
        <w:t xml:space="preserve"> </w:t>
      </w:r>
      <w:r w:rsidR="005B220F" w:rsidRPr="005F1CA7">
        <w:t>area</w:t>
      </w:r>
      <w:r w:rsidR="000159A6">
        <w:t xml:space="preserve"> </w:t>
      </w:r>
      <w:r w:rsidR="005B220F" w:rsidRPr="005F1CA7">
        <w:t>basis),</w:t>
      </w:r>
      <w:r w:rsidR="000159A6">
        <w:t xml:space="preserve"> </w:t>
      </w:r>
      <w:r w:rsidR="005B220F" w:rsidRPr="005F1CA7">
        <w:t>although</w:t>
      </w:r>
      <w:r w:rsidR="000159A6">
        <w:t xml:space="preserve"> </w:t>
      </w:r>
      <w:r w:rsidR="005B220F" w:rsidRPr="005F1CA7">
        <w:t>it</w:t>
      </w:r>
      <w:r w:rsidR="000159A6">
        <w:t xml:space="preserve"> </w:t>
      </w:r>
      <w:r w:rsidR="005B220F" w:rsidRPr="005F1CA7">
        <w:t>is</w:t>
      </w:r>
      <w:r w:rsidR="000159A6">
        <w:t xml:space="preserve"> </w:t>
      </w:r>
      <w:r w:rsidR="005B220F" w:rsidRPr="005F1CA7">
        <w:t>worth</w:t>
      </w:r>
      <w:r w:rsidR="000159A6">
        <w:t xml:space="preserve"> </w:t>
      </w:r>
      <w:r w:rsidR="005B220F" w:rsidRPr="005F1CA7">
        <w:t>noting</w:t>
      </w:r>
      <w:r w:rsidR="000159A6">
        <w:t xml:space="preserve"> </w:t>
      </w:r>
      <w:r w:rsidR="005B220F" w:rsidRPr="005F1CA7">
        <w:t>distribution</w:t>
      </w:r>
      <w:r w:rsidR="000159A6">
        <w:t xml:space="preserve"> </w:t>
      </w:r>
      <w:r w:rsidR="005B220F" w:rsidRPr="005F1CA7">
        <w:t>of</w:t>
      </w:r>
      <w:r w:rsidR="000159A6">
        <w:t xml:space="preserve"> </w:t>
      </w:r>
      <w:r w:rsidR="005B220F" w:rsidRPr="005F1CA7">
        <w:t>QS-21</w:t>
      </w:r>
      <w:r w:rsidR="000159A6">
        <w:t xml:space="preserve"> </w:t>
      </w:r>
      <w:r w:rsidR="005B220F" w:rsidRPr="005F1CA7">
        <w:t>to</w:t>
      </w:r>
      <w:r w:rsidR="000159A6">
        <w:t xml:space="preserve"> </w:t>
      </w:r>
      <w:r w:rsidR="005B220F" w:rsidRPr="005F1CA7">
        <w:t>the</w:t>
      </w:r>
      <w:r w:rsidR="000159A6">
        <w:t xml:space="preserve"> </w:t>
      </w:r>
      <w:r w:rsidR="005B220F" w:rsidRPr="005F1CA7">
        <w:t>bone</w:t>
      </w:r>
      <w:r w:rsidR="000159A6">
        <w:t xml:space="preserve"> </w:t>
      </w:r>
      <w:r w:rsidR="005B220F" w:rsidRPr="005F1CA7">
        <w:t>marrow</w:t>
      </w:r>
      <w:r w:rsidR="000159A6">
        <w:t xml:space="preserve"> </w:t>
      </w:r>
      <w:r w:rsidR="005B220F" w:rsidRPr="005F1CA7">
        <w:t>was</w:t>
      </w:r>
      <w:r w:rsidR="000159A6">
        <w:t xml:space="preserve"> </w:t>
      </w:r>
      <w:r w:rsidR="005B220F" w:rsidRPr="005F1CA7">
        <w:t>not</w:t>
      </w:r>
      <w:r w:rsidR="000159A6">
        <w:t xml:space="preserve"> </w:t>
      </w:r>
      <w:r w:rsidR="005B220F" w:rsidRPr="005F1CA7">
        <w:t>explicitly</w:t>
      </w:r>
      <w:r w:rsidR="000159A6">
        <w:t xml:space="preserve"> </w:t>
      </w:r>
      <w:r w:rsidR="005B220F" w:rsidRPr="005F1CA7">
        <w:t>demonstrated</w:t>
      </w:r>
      <w:r w:rsidR="000159A6">
        <w:t xml:space="preserve"> </w:t>
      </w:r>
      <w:r w:rsidR="005B220F" w:rsidRPr="005F1CA7">
        <w:t>in</w:t>
      </w:r>
      <w:r w:rsidR="000159A6">
        <w:t xml:space="preserve"> </w:t>
      </w:r>
      <w:r w:rsidR="005B220F" w:rsidRPr="005F1CA7">
        <w:t>this</w:t>
      </w:r>
      <w:r w:rsidR="000159A6">
        <w:t xml:space="preserve"> </w:t>
      </w:r>
      <w:r w:rsidR="005B220F" w:rsidRPr="005F1CA7">
        <w:t>study).</w:t>
      </w:r>
      <w:r w:rsidR="000159A6">
        <w:t xml:space="preserve"> </w:t>
      </w:r>
      <w:r w:rsidR="005B220F" w:rsidRPr="005F1CA7">
        <w:t>Generally</w:t>
      </w:r>
      <w:r w:rsidR="000159A6">
        <w:t xml:space="preserve"> </w:t>
      </w:r>
      <w:r w:rsidR="005B220F" w:rsidRPr="005F1CA7">
        <w:t>these</w:t>
      </w:r>
      <w:r w:rsidR="000159A6">
        <w:t xml:space="preserve"> </w:t>
      </w:r>
      <w:r w:rsidR="005B220F" w:rsidRPr="005F1CA7">
        <w:t>data</w:t>
      </w:r>
      <w:r w:rsidR="000159A6">
        <w:t xml:space="preserve"> </w:t>
      </w:r>
      <w:r w:rsidR="005B220F" w:rsidRPr="005F1CA7">
        <w:t>support</w:t>
      </w:r>
      <w:r w:rsidR="000159A6">
        <w:t xml:space="preserve"> </w:t>
      </w:r>
      <w:r w:rsidR="005B220F" w:rsidRPr="005F1CA7">
        <w:t>the</w:t>
      </w:r>
      <w:r w:rsidR="000159A6">
        <w:t xml:space="preserve"> </w:t>
      </w:r>
      <w:r w:rsidR="005B220F" w:rsidRPr="005F1CA7">
        <w:t>lack</w:t>
      </w:r>
      <w:r w:rsidR="000159A6">
        <w:t xml:space="preserve"> </w:t>
      </w:r>
      <w:r w:rsidR="005B220F" w:rsidRPr="005F1CA7">
        <w:t>of</w:t>
      </w:r>
      <w:r w:rsidR="000159A6">
        <w:t xml:space="preserve"> </w:t>
      </w:r>
      <w:r w:rsidR="005B220F" w:rsidRPr="005F1CA7">
        <w:t>genotoxic</w:t>
      </w:r>
      <w:r w:rsidR="000159A6">
        <w:t xml:space="preserve"> </w:t>
      </w:r>
      <w:r w:rsidR="005B220F" w:rsidRPr="005F1CA7">
        <w:t>potential</w:t>
      </w:r>
      <w:r w:rsidR="000159A6">
        <w:t xml:space="preserve"> </w:t>
      </w:r>
      <w:r w:rsidR="005B220F" w:rsidRPr="005F1CA7">
        <w:t>of</w:t>
      </w:r>
      <w:r w:rsidR="000159A6">
        <w:t xml:space="preserve"> </w:t>
      </w:r>
      <w:r w:rsidR="005B220F" w:rsidRPr="005F1CA7">
        <w:t>gE/</w:t>
      </w:r>
      <w:r>
        <w:t>AS01</w:t>
      </w:r>
      <w:r w:rsidRPr="00570F2D">
        <w:rPr>
          <w:vertAlign w:val="subscript"/>
        </w:rPr>
        <w:t>B</w:t>
      </w:r>
      <w:r w:rsidR="005B220F" w:rsidRPr="00E97880">
        <w:t>.</w:t>
      </w:r>
    </w:p>
    <w:p w14:paraId="059057B9" w14:textId="77777777" w:rsidR="005B220F" w:rsidRPr="008F7BC7" w:rsidRDefault="005B220F" w:rsidP="008F7BC7">
      <w:pPr>
        <w:pStyle w:val="Heading4"/>
      </w:pPr>
      <w:bookmarkStart w:id="59" w:name="_Toc294861730"/>
      <w:r w:rsidRPr="008F7BC7">
        <w:t>Carcinogenicity</w:t>
      </w:r>
      <w:bookmarkEnd w:id="59"/>
    </w:p>
    <w:p w14:paraId="7D5BDECB" w14:textId="3882399B" w:rsidR="005B220F" w:rsidRPr="00E97880" w:rsidRDefault="005B220F" w:rsidP="00E97880">
      <w:r w:rsidRPr="00E97880">
        <w:t>Carcinogenicity</w:t>
      </w:r>
      <w:r w:rsidR="000159A6">
        <w:t xml:space="preserve"> </w:t>
      </w:r>
      <w:r w:rsidRPr="00E97880">
        <w:t>studies</w:t>
      </w:r>
      <w:r w:rsidR="000159A6">
        <w:t xml:space="preserve"> </w:t>
      </w:r>
      <w:r w:rsidRPr="00E97880">
        <w:t>were</w:t>
      </w:r>
      <w:r w:rsidR="000159A6">
        <w:t xml:space="preserve"> </w:t>
      </w:r>
      <w:r w:rsidRPr="00E97880">
        <w:t>not</w:t>
      </w:r>
      <w:r w:rsidR="000159A6">
        <w:t xml:space="preserve"> </w:t>
      </w:r>
      <w:r w:rsidRPr="00E97880">
        <w:t>performed</w:t>
      </w:r>
      <w:r w:rsidR="000159A6">
        <w:t xml:space="preserve"> </w:t>
      </w:r>
      <w:r w:rsidRPr="00E97880">
        <w:t>as</w:t>
      </w:r>
      <w:r w:rsidR="000159A6">
        <w:t xml:space="preserve"> </w:t>
      </w:r>
      <w:r w:rsidRPr="00E97880">
        <w:t>per</w:t>
      </w:r>
      <w:r w:rsidR="000159A6">
        <w:t xml:space="preserve"> </w:t>
      </w:r>
      <w:r w:rsidRPr="00E97880">
        <w:t>guideline.</w:t>
      </w:r>
    </w:p>
    <w:p w14:paraId="183D1E27" w14:textId="57A274B4" w:rsidR="005B220F" w:rsidRPr="008F7BC7" w:rsidRDefault="005B220F" w:rsidP="008F7BC7">
      <w:pPr>
        <w:pStyle w:val="Heading4"/>
      </w:pPr>
      <w:r w:rsidRPr="008F7BC7">
        <w:t>Reproductive</w:t>
      </w:r>
      <w:r w:rsidR="000159A6" w:rsidRPr="008F7BC7">
        <w:t xml:space="preserve"> </w:t>
      </w:r>
      <w:r w:rsidRPr="008F7BC7">
        <w:t>toxicity</w:t>
      </w:r>
    </w:p>
    <w:p w14:paraId="2A4170C4" w14:textId="7F7A224A" w:rsidR="00FF12AA" w:rsidRDefault="005B220F" w:rsidP="00C5388D">
      <w:r w:rsidRPr="00E97880">
        <w:t>The</w:t>
      </w:r>
      <w:r w:rsidR="000159A6">
        <w:t xml:space="preserve"> </w:t>
      </w:r>
      <w:r w:rsidRPr="00E97880">
        <w:t>vaccine</w:t>
      </w:r>
      <w:r w:rsidR="000159A6">
        <w:t xml:space="preserve"> </w:t>
      </w:r>
      <w:r w:rsidRPr="00E97880">
        <w:t>and</w:t>
      </w:r>
      <w:r w:rsidR="000159A6">
        <w:t xml:space="preserve"> </w:t>
      </w:r>
      <w:r w:rsidRPr="00E97880">
        <w:t>adjuvants</w:t>
      </w:r>
      <w:r w:rsidR="000159A6">
        <w:t xml:space="preserve"> </w:t>
      </w:r>
      <w:r w:rsidRPr="00E97880">
        <w:t>were</w:t>
      </w:r>
      <w:r w:rsidR="000159A6">
        <w:t xml:space="preserve"> </w:t>
      </w:r>
      <w:r w:rsidRPr="00E97880">
        <w:t>evaluated</w:t>
      </w:r>
      <w:r w:rsidR="000159A6">
        <w:t xml:space="preserve"> </w:t>
      </w:r>
      <w:r w:rsidRPr="00E97880">
        <w:t>for</w:t>
      </w:r>
      <w:r w:rsidR="000159A6">
        <w:t xml:space="preserve"> </w:t>
      </w:r>
      <w:r w:rsidRPr="00E97880">
        <w:t>effects</w:t>
      </w:r>
      <w:r w:rsidR="000159A6">
        <w:t xml:space="preserve"> </w:t>
      </w:r>
      <w:r w:rsidRPr="00E97880">
        <w:t>on</w:t>
      </w:r>
      <w:r w:rsidR="000159A6">
        <w:t xml:space="preserve"> </w:t>
      </w:r>
      <w:r w:rsidRPr="00E97880">
        <w:t>male</w:t>
      </w:r>
      <w:r w:rsidR="000159A6">
        <w:t xml:space="preserve"> </w:t>
      </w:r>
      <w:r w:rsidRPr="00E97880">
        <w:t>and</w:t>
      </w:r>
      <w:r w:rsidR="000159A6">
        <w:t xml:space="preserve"> </w:t>
      </w:r>
      <w:r w:rsidRPr="00E97880">
        <w:t>female</w:t>
      </w:r>
      <w:r w:rsidR="000159A6">
        <w:t xml:space="preserve"> </w:t>
      </w:r>
      <w:r w:rsidRPr="00E97880">
        <w:t>fertility,</w:t>
      </w:r>
      <w:r w:rsidR="000159A6">
        <w:t xml:space="preserve"> </w:t>
      </w:r>
      <w:r w:rsidRPr="00E97880">
        <w:t>embryofetal</w:t>
      </w:r>
      <w:r w:rsidR="000159A6">
        <w:t xml:space="preserve"> </w:t>
      </w:r>
      <w:r w:rsidRPr="00E97880">
        <w:t>development,</w:t>
      </w:r>
      <w:r w:rsidR="000159A6">
        <w:t xml:space="preserve"> </w:t>
      </w:r>
      <w:r w:rsidRPr="00E97880">
        <w:t>and</w:t>
      </w:r>
      <w:r w:rsidR="000159A6">
        <w:t xml:space="preserve"> </w:t>
      </w:r>
      <w:r w:rsidRPr="00E97880">
        <w:t>pre</w:t>
      </w:r>
      <w:r w:rsidR="000159A6">
        <w:t xml:space="preserve"> </w:t>
      </w:r>
      <w:r w:rsidRPr="00E97880">
        <w:t>and</w:t>
      </w:r>
      <w:r w:rsidR="000159A6">
        <w:t xml:space="preserve"> </w:t>
      </w:r>
      <w:r w:rsidRPr="00E97880">
        <w:t>postnatal</w:t>
      </w:r>
      <w:r w:rsidR="000159A6">
        <w:t xml:space="preserve"> </w:t>
      </w:r>
      <w:r w:rsidRPr="00E97880">
        <w:t>development</w:t>
      </w:r>
      <w:r w:rsidR="000159A6">
        <w:t xml:space="preserve"> </w:t>
      </w:r>
      <w:r w:rsidRPr="00E97880">
        <w:t>in</w:t>
      </w:r>
      <w:r w:rsidR="000159A6">
        <w:t xml:space="preserve"> </w:t>
      </w:r>
      <w:r w:rsidRPr="00E97880">
        <w:t>rats</w:t>
      </w:r>
      <w:r w:rsidR="000159A6">
        <w:t xml:space="preserve"> </w:t>
      </w:r>
      <w:r w:rsidRPr="00E97880">
        <w:t>and</w:t>
      </w:r>
      <w:r w:rsidR="000159A6">
        <w:t xml:space="preserve"> </w:t>
      </w:r>
      <w:r w:rsidRPr="00E97880">
        <w:t>rabbits.</w:t>
      </w:r>
      <w:r w:rsidR="000159A6">
        <w:t xml:space="preserve"> </w:t>
      </w:r>
      <w:r w:rsidRPr="00E97880">
        <w:t>Numbers</w:t>
      </w:r>
      <w:r w:rsidR="000159A6">
        <w:t xml:space="preserve"> </w:t>
      </w:r>
      <w:r w:rsidRPr="00E97880">
        <w:t>of</w:t>
      </w:r>
      <w:r w:rsidR="000159A6">
        <w:t xml:space="preserve"> </w:t>
      </w:r>
      <w:r w:rsidRPr="00E97880">
        <w:t>animals</w:t>
      </w:r>
      <w:r w:rsidR="000159A6">
        <w:t xml:space="preserve"> </w:t>
      </w:r>
      <w:r w:rsidRPr="00E97880">
        <w:t>used,</w:t>
      </w:r>
      <w:r w:rsidR="000159A6">
        <w:t xml:space="preserve"> </w:t>
      </w:r>
      <w:r w:rsidRPr="00E97880">
        <w:t>study</w:t>
      </w:r>
      <w:r w:rsidR="000159A6">
        <w:t xml:space="preserve"> </w:t>
      </w:r>
      <w:r w:rsidRPr="00E97880">
        <w:t>design,</w:t>
      </w:r>
      <w:r w:rsidR="000159A6">
        <w:t xml:space="preserve"> </w:t>
      </w:r>
      <w:r w:rsidRPr="00E97880">
        <w:t>IM</w:t>
      </w:r>
      <w:r w:rsidR="000159A6">
        <w:t xml:space="preserve"> </w:t>
      </w:r>
      <w:r w:rsidRPr="00E97880">
        <w:t>route</w:t>
      </w:r>
      <w:r w:rsidR="000159A6">
        <w:t xml:space="preserve"> </w:t>
      </w:r>
      <w:r w:rsidRPr="00E97880">
        <w:t>of</w:t>
      </w:r>
      <w:r w:rsidR="000159A6">
        <w:t xml:space="preserve"> </w:t>
      </w:r>
      <w:r w:rsidRPr="00E97880">
        <w:t>administration</w:t>
      </w:r>
      <w:r w:rsidR="000159A6">
        <w:t xml:space="preserve"> </w:t>
      </w:r>
      <w:r w:rsidRPr="00E97880">
        <w:t>and</w:t>
      </w:r>
      <w:r w:rsidR="000159A6">
        <w:t xml:space="preserve"> </w:t>
      </w:r>
      <w:r w:rsidRPr="00E97880">
        <w:t>duration</w:t>
      </w:r>
      <w:r w:rsidR="000159A6">
        <w:t xml:space="preserve"> </w:t>
      </w:r>
      <w:r w:rsidRPr="00E97880">
        <w:t>were</w:t>
      </w:r>
      <w:r w:rsidR="000159A6">
        <w:t xml:space="preserve"> </w:t>
      </w:r>
      <w:r w:rsidRPr="00E97880">
        <w:t>appropriate.</w:t>
      </w:r>
      <w:r w:rsidR="000159A6">
        <w:t xml:space="preserve"> </w:t>
      </w:r>
      <w:r w:rsidRPr="00E97880">
        <w:t>Doses</w:t>
      </w:r>
      <w:r w:rsidR="000159A6">
        <w:t xml:space="preserve"> </w:t>
      </w:r>
      <w:r w:rsidRPr="00E97880">
        <w:t>and</w:t>
      </w:r>
      <w:r w:rsidR="000159A6">
        <w:t xml:space="preserve"> </w:t>
      </w:r>
      <w:r w:rsidRPr="00E97880">
        <w:t>relative</w:t>
      </w:r>
      <w:r w:rsidR="000159A6">
        <w:t xml:space="preserve"> </w:t>
      </w:r>
      <w:r w:rsidR="0012170B">
        <w:t>exposures</w:t>
      </w:r>
      <w:r w:rsidR="000159A6">
        <w:t xml:space="preserve"> </w:t>
      </w:r>
      <w:r w:rsidR="0012170B">
        <w:t>are</w:t>
      </w:r>
      <w:r w:rsidR="000159A6">
        <w:t xml:space="preserve"> </w:t>
      </w:r>
      <w:r w:rsidR="0012170B">
        <w:t>shown</w:t>
      </w:r>
      <w:r w:rsidR="000159A6">
        <w:t xml:space="preserve"> </w:t>
      </w:r>
      <w:r w:rsidR="0012170B">
        <w:t>in</w:t>
      </w:r>
      <w:r w:rsidR="000159A6">
        <w:t xml:space="preserve"> </w:t>
      </w:r>
      <w:r w:rsidR="0012170B">
        <w:t>Table</w:t>
      </w:r>
      <w:r w:rsidR="000159A6">
        <w:t xml:space="preserve"> </w:t>
      </w:r>
      <w:r w:rsidR="0012170B">
        <w:t>4</w:t>
      </w:r>
      <w:r w:rsidR="00FF12AA">
        <w:t>.</w:t>
      </w:r>
    </w:p>
    <w:p w14:paraId="15222BEF" w14:textId="1DF46DF5" w:rsidR="005B220F" w:rsidRDefault="0012170B" w:rsidP="00C5388D">
      <w:pPr>
        <w:pStyle w:val="TableTitle"/>
      </w:pPr>
      <w:r>
        <w:lastRenderedPageBreak/>
        <w:t>Table</w:t>
      </w:r>
      <w:r w:rsidR="000159A6">
        <w:t xml:space="preserve"> </w:t>
      </w:r>
      <w:r>
        <w:t>4:</w:t>
      </w:r>
      <w:r w:rsidR="000159A6">
        <w:t xml:space="preserve"> </w:t>
      </w:r>
      <w:r w:rsidR="005B220F">
        <w:t>Dose</w:t>
      </w:r>
      <w:r w:rsidR="000159A6">
        <w:t xml:space="preserve"> </w:t>
      </w:r>
      <w:r w:rsidR="005B220F">
        <w:t>and</w:t>
      </w:r>
      <w:r w:rsidR="000159A6">
        <w:t xml:space="preserve"> </w:t>
      </w:r>
      <w:r w:rsidR="005B220F">
        <w:t>r</w:t>
      </w:r>
      <w:r w:rsidR="005B220F" w:rsidRPr="00EB69F1">
        <w:t>elative</w:t>
      </w:r>
      <w:r w:rsidR="000159A6">
        <w:t xml:space="preserve"> </w:t>
      </w:r>
      <w:r w:rsidR="005B220F" w:rsidRPr="00C5388D">
        <w:t>exposure</w:t>
      </w:r>
      <w:r w:rsidR="000159A6">
        <w:t xml:space="preserve"> </w:t>
      </w:r>
      <w:r w:rsidR="005B220F" w:rsidRPr="00EB69F1">
        <w:t>in</w:t>
      </w:r>
      <w:r w:rsidR="000159A6">
        <w:t xml:space="preserve"> </w:t>
      </w:r>
      <w:r w:rsidR="005B220F">
        <w:t>reproductive</w:t>
      </w:r>
      <w:r w:rsidR="000159A6">
        <w:t xml:space="preserve"> </w:t>
      </w:r>
      <w:r w:rsidR="005B220F" w:rsidRPr="00EB69F1">
        <w:t>toxicity</w:t>
      </w:r>
      <w:r w:rsidR="000159A6">
        <w:t xml:space="preserve"> </w:t>
      </w:r>
      <w:r w:rsidR="005B220F" w:rsidRPr="00EB69F1">
        <w:t>studies</w:t>
      </w:r>
    </w:p>
    <w:tbl>
      <w:tblPr>
        <w:tblStyle w:val="TableTGAblue"/>
        <w:tblW w:w="8704" w:type="dxa"/>
        <w:tblLayout w:type="fixed"/>
        <w:tblLook w:val="01E0" w:firstRow="1" w:lastRow="1" w:firstColumn="1" w:lastColumn="1" w:noHBand="0" w:noVBand="0"/>
        <w:tblDescription w:val="Table 4: Dose and relative exposure in reproductive toxicity studies"/>
      </w:tblPr>
      <w:tblGrid>
        <w:gridCol w:w="925"/>
        <w:gridCol w:w="1651"/>
        <w:gridCol w:w="1651"/>
        <w:gridCol w:w="925"/>
        <w:gridCol w:w="925"/>
        <w:gridCol w:w="978"/>
        <w:gridCol w:w="750"/>
        <w:gridCol w:w="899"/>
      </w:tblGrid>
      <w:tr w:rsidR="005B220F" w:rsidRPr="00C5388D" w14:paraId="7D4B5AD5" w14:textId="77777777" w:rsidTr="00C5388D">
        <w:trPr>
          <w:cnfStyle w:val="100000000000" w:firstRow="1" w:lastRow="0" w:firstColumn="0" w:lastColumn="0" w:oddVBand="0" w:evenVBand="0" w:oddHBand="0" w:evenHBand="0" w:firstRowFirstColumn="0" w:firstRowLastColumn="0" w:lastRowFirstColumn="0" w:lastRowLastColumn="0"/>
          <w:trHeight w:val="337"/>
        </w:trPr>
        <w:tc>
          <w:tcPr>
            <w:tcW w:w="925" w:type="dxa"/>
            <w:vMerge w:val="restart"/>
          </w:tcPr>
          <w:p w14:paraId="31DC2739" w14:textId="77777777" w:rsidR="005B220F" w:rsidRPr="00C5388D" w:rsidRDefault="005B220F" w:rsidP="005B220F">
            <w:pPr>
              <w:pStyle w:val="TableHeader"/>
              <w:spacing w:line="240" w:lineRule="auto"/>
              <w:ind w:left="0" w:right="0"/>
              <w:rPr>
                <w:b/>
              </w:rPr>
            </w:pPr>
            <w:r w:rsidRPr="00C5388D">
              <w:rPr>
                <w:b/>
              </w:rPr>
              <w:t>Species</w:t>
            </w:r>
          </w:p>
        </w:tc>
        <w:tc>
          <w:tcPr>
            <w:tcW w:w="1651" w:type="dxa"/>
            <w:vMerge w:val="restart"/>
          </w:tcPr>
          <w:p w14:paraId="0C8FD457" w14:textId="1F482AD0" w:rsidR="005B220F" w:rsidRPr="00C5388D" w:rsidRDefault="005B220F" w:rsidP="005B220F">
            <w:pPr>
              <w:pStyle w:val="TableHeader"/>
              <w:spacing w:line="240" w:lineRule="auto"/>
              <w:ind w:left="0" w:right="0"/>
              <w:rPr>
                <w:b/>
              </w:rPr>
            </w:pPr>
            <w:r w:rsidRPr="00C5388D">
              <w:rPr>
                <w:b/>
              </w:rPr>
              <w:t>Study</w:t>
            </w:r>
            <w:r w:rsidR="000159A6" w:rsidRPr="00C5388D">
              <w:rPr>
                <w:b/>
              </w:rPr>
              <w:t xml:space="preserve"> </w:t>
            </w:r>
          </w:p>
          <w:p w14:paraId="655AB223" w14:textId="2D07C8AC" w:rsidR="005B220F" w:rsidRPr="00C5388D" w:rsidRDefault="004715B4" w:rsidP="005B220F">
            <w:pPr>
              <w:pStyle w:val="TableHeader"/>
              <w:spacing w:line="240" w:lineRule="auto"/>
              <w:ind w:left="0" w:right="0"/>
              <w:rPr>
                <w:b/>
              </w:rPr>
            </w:pPr>
            <w:r w:rsidRPr="00C5388D">
              <w:rPr>
                <w:b/>
              </w:rPr>
              <w:t>(</w:t>
            </w:r>
            <w:r w:rsidR="005B220F" w:rsidRPr="00C5388D">
              <w:rPr>
                <w:b/>
              </w:rPr>
              <w:t>Study</w:t>
            </w:r>
            <w:r w:rsidR="000159A6" w:rsidRPr="00C5388D">
              <w:rPr>
                <w:b/>
              </w:rPr>
              <w:t xml:space="preserve"> </w:t>
            </w:r>
            <w:r w:rsidR="005B220F" w:rsidRPr="00C5388D">
              <w:rPr>
                <w:b/>
              </w:rPr>
              <w:t>no.</w:t>
            </w:r>
            <w:r w:rsidRPr="00C5388D">
              <w:rPr>
                <w:b/>
              </w:rPr>
              <w:t>)</w:t>
            </w:r>
          </w:p>
        </w:tc>
        <w:tc>
          <w:tcPr>
            <w:tcW w:w="1651" w:type="dxa"/>
            <w:vMerge w:val="restart"/>
          </w:tcPr>
          <w:p w14:paraId="1575B472" w14:textId="77777777" w:rsidR="005B220F" w:rsidRPr="00C5388D" w:rsidRDefault="005B220F" w:rsidP="005B220F">
            <w:pPr>
              <w:pStyle w:val="TableHeader"/>
              <w:spacing w:line="240" w:lineRule="auto"/>
              <w:ind w:left="0" w:right="0"/>
              <w:rPr>
                <w:b/>
              </w:rPr>
            </w:pPr>
            <w:r w:rsidRPr="00C5388D">
              <w:rPr>
                <w:b/>
              </w:rPr>
              <w:t>Treatment</w:t>
            </w:r>
          </w:p>
          <w:p w14:paraId="531E40D6" w14:textId="77777777" w:rsidR="005B220F" w:rsidRPr="00C5388D" w:rsidRDefault="005B220F" w:rsidP="005B220F">
            <w:pPr>
              <w:pStyle w:val="TableHeader"/>
              <w:spacing w:line="240" w:lineRule="auto"/>
              <w:ind w:left="0" w:right="0"/>
              <w:rPr>
                <w:b/>
              </w:rPr>
            </w:pPr>
            <w:r w:rsidRPr="00C5388D">
              <w:rPr>
                <w:b/>
              </w:rPr>
              <w:t>regimen</w:t>
            </w:r>
          </w:p>
        </w:tc>
        <w:tc>
          <w:tcPr>
            <w:tcW w:w="2828" w:type="dxa"/>
            <w:gridSpan w:val="3"/>
          </w:tcPr>
          <w:p w14:paraId="38AA137C" w14:textId="77777777" w:rsidR="005B220F" w:rsidRPr="00C5388D" w:rsidRDefault="005B220F" w:rsidP="005B220F">
            <w:pPr>
              <w:pStyle w:val="TableHeader"/>
              <w:spacing w:line="240" w:lineRule="auto"/>
              <w:ind w:left="0" w:right="0"/>
              <w:rPr>
                <w:b/>
              </w:rPr>
            </w:pPr>
            <w:r w:rsidRPr="00C5388D">
              <w:rPr>
                <w:b/>
              </w:rPr>
              <w:t>Dose</w:t>
            </w:r>
          </w:p>
        </w:tc>
        <w:tc>
          <w:tcPr>
            <w:tcW w:w="1649" w:type="dxa"/>
            <w:gridSpan w:val="2"/>
          </w:tcPr>
          <w:p w14:paraId="113FF56B" w14:textId="0415DBCE" w:rsidR="005B220F" w:rsidRPr="00C5388D" w:rsidRDefault="005B220F" w:rsidP="008D4538">
            <w:pPr>
              <w:pStyle w:val="TableHeader"/>
              <w:spacing w:line="240" w:lineRule="auto"/>
              <w:ind w:left="0" w:right="0"/>
              <w:rPr>
                <w:b/>
              </w:rPr>
            </w:pPr>
            <w:r w:rsidRPr="00C5388D">
              <w:rPr>
                <w:b/>
              </w:rPr>
              <w:t>Exposure</w:t>
            </w:r>
            <w:r w:rsidR="000159A6" w:rsidRPr="00C5388D">
              <w:rPr>
                <w:b/>
              </w:rPr>
              <w:t xml:space="preserve"> </w:t>
            </w:r>
            <w:r w:rsidRPr="00C5388D">
              <w:rPr>
                <w:b/>
              </w:rPr>
              <w:t>ratio</w:t>
            </w:r>
            <w:r w:rsidR="008D4538" w:rsidRPr="00C5388D">
              <w:rPr>
                <w:b/>
                <w:vertAlign w:val="superscript"/>
              </w:rPr>
              <w:t>#</w:t>
            </w:r>
          </w:p>
        </w:tc>
      </w:tr>
      <w:tr w:rsidR="005B220F" w:rsidRPr="00C5388D" w14:paraId="174F0FA4" w14:textId="77777777" w:rsidTr="00C5388D">
        <w:trPr>
          <w:cnfStyle w:val="100000000000" w:firstRow="1" w:lastRow="0" w:firstColumn="0" w:lastColumn="0" w:oddVBand="0" w:evenVBand="0" w:oddHBand="0" w:evenHBand="0" w:firstRowFirstColumn="0" w:firstRowLastColumn="0" w:lastRowFirstColumn="0" w:lastRowLastColumn="0"/>
          <w:trHeight w:val="140"/>
        </w:trPr>
        <w:tc>
          <w:tcPr>
            <w:tcW w:w="925" w:type="dxa"/>
            <w:vMerge/>
          </w:tcPr>
          <w:p w14:paraId="11778BAD" w14:textId="77777777" w:rsidR="005B220F" w:rsidRPr="00C5388D" w:rsidRDefault="005B220F" w:rsidP="005B220F">
            <w:pPr>
              <w:pStyle w:val="TableHeader"/>
              <w:spacing w:line="240" w:lineRule="auto"/>
              <w:ind w:left="0" w:right="0"/>
              <w:rPr>
                <w:b/>
              </w:rPr>
            </w:pPr>
          </w:p>
        </w:tc>
        <w:tc>
          <w:tcPr>
            <w:tcW w:w="1651" w:type="dxa"/>
            <w:vMerge/>
          </w:tcPr>
          <w:p w14:paraId="1FFB3D08" w14:textId="77777777" w:rsidR="005B220F" w:rsidRPr="00C5388D" w:rsidRDefault="005B220F" w:rsidP="005B220F">
            <w:pPr>
              <w:pStyle w:val="TableHeader"/>
              <w:spacing w:line="240" w:lineRule="auto"/>
              <w:ind w:left="0" w:right="0"/>
              <w:rPr>
                <w:b/>
              </w:rPr>
            </w:pPr>
          </w:p>
        </w:tc>
        <w:tc>
          <w:tcPr>
            <w:tcW w:w="1651" w:type="dxa"/>
            <w:vMerge/>
          </w:tcPr>
          <w:p w14:paraId="2EBD7CC6" w14:textId="77777777" w:rsidR="005B220F" w:rsidRPr="00C5388D" w:rsidRDefault="005B220F" w:rsidP="005B220F">
            <w:pPr>
              <w:pStyle w:val="TableHeader"/>
              <w:spacing w:line="240" w:lineRule="auto"/>
              <w:ind w:left="0" w:right="0"/>
              <w:rPr>
                <w:b/>
              </w:rPr>
            </w:pPr>
          </w:p>
        </w:tc>
        <w:tc>
          <w:tcPr>
            <w:tcW w:w="925" w:type="dxa"/>
          </w:tcPr>
          <w:p w14:paraId="70FF838F" w14:textId="2DFAF10A" w:rsidR="005B220F" w:rsidRPr="00C5388D" w:rsidRDefault="005B220F" w:rsidP="005B220F">
            <w:pPr>
              <w:pStyle w:val="TableHeader"/>
              <w:spacing w:line="240" w:lineRule="auto"/>
              <w:ind w:left="0" w:right="0"/>
              <w:rPr>
                <w:b/>
              </w:rPr>
            </w:pPr>
            <w:r w:rsidRPr="00C5388D">
              <w:rPr>
                <w:b/>
              </w:rPr>
              <w:t>gE</w:t>
            </w:r>
            <w:r w:rsidR="000159A6" w:rsidRPr="00C5388D">
              <w:rPr>
                <w:b/>
              </w:rPr>
              <w:t xml:space="preserve"> </w:t>
            </w:r>
            <w:r w:rsidRPr="00C5388D">
              <w:rPr>
                <w:b/>
              </w:rPr>
              <w:t>Ag</w:t>
            </w:r>
          </w:p>
          <w:p w14:paraId="4A6C0C3E" w14:textId="77777777" w:rsidR="005B220F" w:rsidRPr="00C5388D" w:rsidRDefault="005B220F" w:rsidP="005B220F">
            <w:pPr>
              <w:pStyle w:val="TableHeader"/>
              <w:spacing w:line="240" w:lineRule="auto"/>
              <w:ind w:left="0" w:right="0"/>
              <w:rPr>
                <w:b/>
              </w:rPr>
            </w:pPr>
            <w:r w:rsidRPr="00C5388D">
              <w:rPr>
                <w:b/>
              </w:rPr>
              <w:t>(µg/kg)</w:t>
            </w:r>
          </w:p>
        </w:tc>
        <w:tc>
          <w:tcPr>
            <w:tcW w:w="925" w:type="dxa"/>
          </w:tcPr>
          <w:p w14:paraId="184D4A5E" w14:textId="77777777" w:rsidR="005B220F" w:rsidRPr="00C5388D" w:rsidRDefault="005B220F" w:rsidP="005B220F">
            <w:pPr>
              <w:pStyle w:val="TableHeader"/>
              <w:spacing w:line="240" w:lineRule="auto"/>
              <w:ind w:left="0" w:right="0"/>
              <w:rPr>
                <w:b/>
              </w:rPr>
            </w:pPr>
            <w:r w:rsidRPr="00C5388D">
              <w:rPr>
                <w:b/>
              </w:rPr>
              <w:t>QS-21</w:t>
            </w:r>
          </w:p>
          <w:p w14:paraId="7322F30E" w14:textId="77777777" w:rsidR="005B220F" w:rsidRPr="00C5388D" w:rsidRDefault="005B220F" w:rsidP="005B220F">
            <w:pPr>
              <w:pStyle w:val="TableHeader"/>
              <w:spacing w:line="240" w:lineRule="auto"/>
              <w:ind w:left="0" w:right="0"/>
              <w:rPr>
                <w:b/>
              </w:rPr>
            </w:pPr>
            <w:r w:rsidRPr="00C5388D">
              <w:rPr>
                <w:b/>
              </w:rPr>
              <w:t>(µg/kg)</w:t>
            </w:r>
          </w:p>
        </w:tc>
        <w:tc>
          <w:tcPr>
            <w:tcW w:w="978" w:type="dxa"/>
          </w:tcPr>
          <w:p w14:paraId="321E2303" w14:textId="3A0189DA" w:rsidR="005B220F" w:rsidRPr="00C5388D" w:rsidRDefault="005B220F" w:rsidP="008D4538">
            <w:pPr>
              <w:pStyle w:val="TableHeader"/>
              <w:spacing w:line="240" w:lineRule="auto"/>
              <w:ind w:left="0" w:right="0"/>
              <w:rPr>
                <w:b/>
              </w:rPr>
            </w:pPr>
            <w:r w:rsidRPr="00C5388D">
              <w:rPr>
                <w:b/>
              </w:rPr>
              <w:t>QS-21</w:t>
            </w:r>
            <w:r w:rsidR="000159A6" w:rsidRPr="00C5388D">
              <w:rPr>
                <w:b/>
              </w:rPr>
              <w:t xml:space="preserve"> </w:t>
            </w:r>
            <w:r w:rsidRPr="00C5388D">
              <w:rPr>
                <w:b/>
              </w:rPr>
              <w:t>(µg/m</w:t>
            </w:r>
            <w:r w:rsidRPr="00C5388D">
              <w:rPr>
                <w:b/>
                <w:vertAlign w:val="superscript"/>
              </w:rPr>
              <w:t>2</w:t>
            </w:r>
            <w:r w:rsidRPr="00C5388D">
              <w:rPr>
                <w:b/>
              </w:rPr>
              <w:t>)</w:t>
            </w:r>
            <w:r w:rsidR="008D4538" w:rsidRPr="00C5388D">
              <w:rPr>
                <w:b/>
              </w:rPr>
              <w:t>†</w:t>
            </w:r>
          </w:p>
        </w:tc>
        <w:tc>
          <w:tcPr>
            <w:tcW w:w="750" w:type="dxa"/>
          </w:tcPr>
          <w:p w14:paraId="5D25F68E" w14:textId="1D36D4E8" w:rsidR="005B220F" w:rsidRPr="00C5388D" w:rsidRDefault="005B220F" w:rsidP="005B220F">
            <w:pPr>
              <w:pStyle w:val="TableHeader"/>
              <w:spacing w:line="240" w:lineRule="auto"/>
              <w:ind w:left="0" w:right="0"/>
              <w:rPr>
                <w:b/>
              </w:rPr>
            </w:pPr>
            <w:r w:rsidRPr="00C5388D">
              <w:rPr>
                <w:b/>
              </w:rPr>
              <w:t>gE</w:t>
            </w:r>
            <w:r w:rsidR="000159A6" w:rsidRPr="00C5388D">
              <w:rPr>
                <w:b/>
              </w:rPr>
              <w:t xml:space="preserve"> </w:t>
            </w:r>
            <w:r w:rsidRPr="00C5388D">
              <w:rPr>
                <w:b/>
              </w:rPr>
              <w:t>Ag</w:t>
            </w:r>
          </w:p>
        </w:tc>
        <w:tc>
          <w:tcPr>
            <w:tcW w:w="899" w:type="dxa"/>
          </w:tcPr>
          <w:p w14:paraId="2120AE21" w14:textId="77777777" w:rsidR="005B220F" w:rsidRPr="00C5388D" w:rsidRDefault="005B220F" w:rsidP="005B220F">
            <w:pPr>
              <w:pStyle w:val="TableHeader"/>
              <w:spacing w:line="240" w:lineRule="auto"/>
              <w:ind w:left="0" w:right="0"/>
              <w:rPr>
                <w:b/>
              </w:rPr>
            </w:pPr>
            <w:r w:rsidRPr="00C5388D">
              <w:rPr>
                <w:b/>
              </w:rPr>
              <w:t>QS-21</w:t>
            </w:r>
          </w:p>
        </w:tc>
      </w:tr>
      <w:tr w:rsidR="005B220F" w:rsidRPr="00EB69F1" w14:paraId="50F4E9F7" w14:textId="77777777" w:rsidTr="005B220F">
        <w:trPr>
          <w:trHeight w:val="221"/>
        </w:trPr>
        <w:tc>
          <w:tcPr>
            <w:tcW w:w="8704" w:type="dxa"/>
            <w:gridSpan w:val="8"/>
          </w:tcPr>
          <w:p w14:paraId="2FA14326" w14:textId="5C58593F" w:rsidR="005B220F" w:rsidRPr="00CD5352" w:rsidRDefault="005B220F" w:rsidP="005B220F">
            <w:pPr>
              <w:pStyle w:val="Tabletext"/>
              <w:keepNext/>
              <w:keepLines/>
              <w:spacing w:before="0" w:after="0" w:line="240" w:lineRule="auto"/>
              <w:ind w:left="0" w:right="0"/>
              <w:rPr>
                <w:b/>
                <w:kern w:val="2"/>
              </w:rPr>
            </w:pPr>
            <w:r w:rsidRPr="00CD5352">
              <w:rPr>
                <w:b/>
                <w:kern w:val="2"/>
              </w:rPr>
              <w:t>gE/</w:t>
            </w:r>
            <w:r w:rsidR="00503D1B" w:rsidRPr="00CD5352">
              <w:rPr>
                <w:b/>
              </w:rPr>
              <w:t>AS01</w:t>
            </w:r>
            <w:r w:rsidR="00503D1B" w:rsidRPr="00CD5352">
              <w:rPr>
                <w:b/>
                <w:vertAlign w:val="subscript"/>
              </w:rPr>
              <w:t>B</w:t>
            </w:r>
            <w:r w:rsidR="000159A6" w:rsidRPr="00CD5352">
              <w:rPr>
                <w:b/>
                <w:kern w:val="2"/>
              </w:rPr>
              <w:t xml:space="preserve"> </w:t>
            </w:r>
            <w:r w:rsidRPr="00CD5352">
              <w:rPr>
                <w:b/>
                <w:kern w:val="2"/>
              </w:rPr>
              <w:t>and</w:t>
            </w:r>
            <w:r w:rsidR="000159A6" w:rsidRPr="00CD5352">
              <w:rPr>
                <w:b/>
                <w:kern w:val="2"/>
              </w:rPr>
              <w:t xml:space="preserve"> </w:t>
            </w:r>
            <w:r w:rsidR="00503D1B" w:rsidRPr="00CD5352">
              <w:rPr>
                <w:b/>
              </w:rPr>
              <w:t>AS01</w:t>
            </w:r>
            <w:r w:rsidR="00503D1B" w:rsidRPr="00CD5352">
              <w:rPr>
                <w:b/>
                <w:vertAlign w:val="subscript"/>
              </w:rPr>
              <w:t>B</w:t>
            </w:r>
          </w:p>
        </w:tc>
      </w:tr>
      <w:tr w:rsidR="005B220F" w:rsidRPr="00EB69F1" w14:paraId="6690367B" w14:textId="77777777" w:rsidTr="005B220F">
        <w:trPr>
          <w:trHeight w:val="221"/>
        </w:trPr>
        <w:tc>
          <w:tcPr>
            <w:tcW w:w="925" w:type="dxa"/>
            <w:vMerge w:val="restart"/>
          </w:tcPr>
          <w:p w14:paraId="12532F10" w14:textId="77777777" w:rsidR="005B220F" w:rsidRPr="007E2E47" w:rsidRDefault="008D4538" w:rsidP="005B220F">
            <w:pPr>
              <w:pStyle w:val="Tabletext"/>
              <w:keepNext/>
              <w:keepLines/>
              <w:spacing w:before="40" w:after="40" w:line="240" w:lineRule="auto"/>
              <w:ind w:left="0" w:right="0"/>
              <w:rPr>
                <w:kern w:val="2"/>
              </w:rPr>
            </w:pPr>
            <w:r>
              <w:rPr>
                <w:kern w:val="2"/>
              </w:rPr>
              <w:t>Rat</w:t>
            </w:r>
          </w:p>
        </w:tc>
        <w:tc>
          <w:tcPr>
            <w:tcW w:w="1651" w:type="dxa"/>
          </w:tcPr>
          <w:p w14:paraId="78BBC5B5" w14:textId="63DD4DE7" w:rsidR="005B220F" w:rsidRDefault="005B220F" w:rsidP="005B220F">
            <w:pPr>
              <w:pStyle w:val="Tabletext"/>
              <w:keepNext/>
              <w:keepLines/>
              <w:spacing w:before="40" w:after="40" w:line="240" w:lineRule="auto"/>
              <w:ind w:left="0" w:right="0"/>
              <w:rPr>
                <w:kern w:val="2"/>
              </w:rPr>
            </w:pPr>
            <w:r>
              <w:rPr>
                <w:kern w:val="2"/>
              </w:rPr>
              <w:t>Male</w:t>
            </w:r>
            <w:r w:rsidR="000159A6">
              <w:rPr>
                <w:kern w:val="2"/>
              </w:rPr>
              <w:t xml:space="preserve"> </w:t>
            </w:r>
            <w:r>
              <w:rPr>
                <w:kern w:val="2"/>
              </w:rPr>
              <w:t>fertility</w:t>
            </w:r>
          </w:p>
          <w:p w14:paraId="2EC8A84E" w14:textId="48D7042B" w:rsidR="005B220F" w:rsidRPr="00665425" w:rsidRDefault="00503D1B" w:rsidP="005B220F">
            <w:pPr>
              <w:pStyle w:val="Tabletext"/>
              <w:keepNext/>
              <w:keepLines/>
              <w:spacing w:before="40" w:after="40" w:line="240" w:lineRule="auto"/>
              <w:ind w:left="0" w:right="0"/>
              <w:rPr>
                <w:kern w:val="2"/>
              </w:rPr>
            </w:pPr>
            <w:r>
              <w:rPr>
                <w:rFonts w:asciiTheme="minorHAnsi" w:hAnsiTheme="minorHAnsi"/>
                <w:sz w:val="20"/>
                <w:szCs w:val="20"/>
              </w:rPr>
              <w:t>[information</w:t>
            </w:r>
            <w:r w:rsidR="000159A6">
              <w:rPr>
                <w:rFonts w:asciiTheme="minorHAnsi" w:hAnsiTheme="minorHAnsi"/>
                <w:sz w:val="20"/>
                <w:szCs w:val="20"/>
              </w:rPr>
              <w:t xml:space="preserve"> </w:t>
            </w:r>
            <w:r w:rsidR="00E22B7E">
              <w:rPr>
                <w:rFonts w:asciiTheme="minorHAnsi" w:hAnsiTheme="minorHAnsi"/>
                <w:sz w:val="20"/>
                <w:szCs w:val="20"/>
              </w:rPr>
              <w:t>redacted</w:t>
            </w:r>
            <w:r>
              <w:rPr>
                <w:rFonts w:asciiTheme="minorHAnsi" w:hAnsiTheme="minorHAnsi"/>
                <w:sz w:val="20"/>
                <w:szCs w:val="20"/>
              </w:rPr>
              <w:t>]</w:t>
            </w:r>
          </w:p>
        </w:tc>
        <w:tc>
          <w:tcPr>
            <w:tcW w:w="1651" w:type="dxa"/>
          </w:tcPr>
          <w:p w14:paraId="7973D297" w14:textId="2FFC13A3" w:rsidR="005B220F" w:rsidRPr="00665425" w:rsidRDefault="005B220F" w:rsidP="005B220F">
            <w:pPr>
              <w:pStyle w:val="Tabletext"/>
              <w:keepNext/>
              <w:keepLines/>
              <w:spacing w:before="40" w:after="40" w:line="240" w:lineRule="auto"/>
              <w:ind w:left="0" w:right="0"/>
              <w:rPr>
                <w:kern w:val="2"/>
              </w:rPr>
            </w:pPr>
            <w:r>
              <w:rPr>
                <w:kern w:val="2"/>
              </w:rPr>
              <w:t>42,</w:t>
            </w:r>
            <w:r w:rsidR="000159A6">
              <w:rPr>
                <w:kern w:val="2"/>
              </w:rPr>
              <w:t xml:space="preserve"> </w:t>
            </w:r>
            <w:r>
              <w:rPr>
                <w:kern w:val="2"/>
              </w:rPr>
              <w:t>28</w:t>
            </w:r>
            <w:r w:rsidR="000159A6">
              <w:rPr>
                <w:kern w:val="2"/>
              </w:rPr>
              <w:t xml:space="preserve"> </w:t>
            </w:r>
            <w:r>
              <w:rPr>
                <w:kern w:val="2"/>
              </w:rPr>
              <w:t>and</w:t>
            </w:r>
            <w:r w:rsidR="000159A6">
              <w:rPr>
                <w:kern w:val="2"/>
              </w:rPr>
              <w:t xml:space="preserve"> </w:t>
            </w:r>
            <w:r>
              <w:rPr>
                <w:kern w:val="2"/>
              </w:rPr>
              <w:t>14</w:t>
            </w:r>
            <w:r w:rsidR="000159A6">
              <w:rPr>
                <w:kern w:val="2"/>
              </w:rPr>
              <w:t xml:space="preserve"> </w:t>
            </w:r>
            <w:r>
              <w:rPr>
                <w:kern w:val="2"/>
              </w:rPr>
              <w:t>days</w:t>
            </w:r>
            <w:r w:rsidR="000159A6">
              <w:rPr>
                <w:kern w:val="2"/>
              </w:rPr>
              <w:t xml:space="preserve"> </w:t>
            </w:r>
            <w:r>
              <w:rPr>
                <w:kern w:val="2"/>
              </w:rPr>
              <w:t>prior</w:t>
            </w:r>
            <w:r w:rsidR="000159A6">
              <w:rPr>
                <w:kern w:val="2"/>
              </w:rPr>
              <w:t xml:space="preserve"> </w:t>
            </w:r>
            <w:r>
              <w:rPr>
                <w:kern w:val="2"/>
              </w:rPr>
              <w:t>to</w:t>
            </w:r>
            <w:r w:rsidR="000159A6">
              <w:rPr>
                <w:kern w:val="2"/>
              </w:rPr>
              <w:t xml:space="preserve"> </w:t>
            </w:r>
            <w:r>
              <w:rPr>
                <w:kern w:val="2"/>
              </w:rPr>
              <w:t>mating</w:t>
            </w:r>
          </w:p>
        </w:tc>
        <w:tc>
          <w:tcPr>
            <w:tcW w:w="925" w:type="dxa"/>
          </w:tcPr>
          <w:p w14:paraId="18FEB7A2" w14:textId="77777777" w:rsidR="005B220F" w:rsidRPr="00E22C9A" w:rsidRDefault="005B220F" w:rsidP="005B220F">
            <w:pPr>
              <w:pStyle w:val="Tabletext"/>
              <w:keepNext/>
              <w:keepLines/>
              <w:spacing w:before="0" w:after="0" w:line="240" w:lineRule="auto"/>
              <w:ind w:left="0" w:right="0"/>
              <w:rPr>
                <w:kern w:val="2"/>
              </w:rPr>
            </w:pPr>
            <w:r w:rsidRPr="00E22C9A">
              <w:rPr>
                <w:kern w:val="2"/>
              </w:rPr>
              <w:t>40</w:t>
            </w:r>
          </w:p>
        </w:tc>
        <w:tc>
          <w:tcPr>
            <w:tcW w:w="925" w:type="dxa"/>
          </w:tcPr>
          <w:p w14:paraId="2F1D2A08" w14:textId="77777777" w:rsidR="005B220F" w:rsidRPr="00E22C9A" w:rsidRDefault="005B220F" w:rsidP="005B220F">
            <w:pPr>
              <w:pStyle w:val="Tabletext"/>
              <w:keepNext/>
              <w:keepLines/>
              <w:spacing w:before="0" w:after="0" w:line="240" w:lineRule="auto"/>
              <w:ind w:left="0" w:right="0"/>
              <w:rPr>
                <w:kern w:val="2"/>
              </w:rPr>
            </w:pPr>
            <w:r w:rsidRPr="00E22C9A">
              <w:rPr>
                <w:kern w:val="2"/>
              </w:rPr>
              <w:t>40</w:t>
            </w:r>
          </w:p>
        </w:tc>
        <w:tc>
          <w:tcPr>
            <w:tcW w:w="978" w:type="dxa"/>
          </w:tcPr>
          <w:p w14:paraId="09175217" w14:textId="77777777" w:rsidR="005B220F" w:rsidRPr="00E22C9A" w:rsidRDefault="005B220F" w:rsidP="005B220F">
            <w:pPr>
              <w:pStyle w:val="Tabletext"/>
              <w:keepNext/>
              <w:keepLines/>
              <w:spacing w:before="0" w:after="0" w:line="240" w:lineRule="auto"/>
              <w:ind w:left="0" w:right="0"/>
              <w:rPr>
                <w:kern w:val="2"/>
              </w:rPr>
            </w:pPr>
            <w:r w:rsidRPr="00E22C9A">
              <w:rPr>
                <w:kern w:val="2"/>
              </w:rPr>
              <w:t>240</w:t>
            </w:r>
          </w:p>
        </w:tc>
        <w:tc>
          <w:tcPr>
            <w:tcW w:w="750" w:type="dxa"/>
          </w:tcPr>
          <w:p w14:paraId="50E06A8A" w14:textId="77777777" w:rsidR="005B220F" w:rsidRPr="00E22C9A" w:rsidRDefault="005B220F" w:rsidP="005B220F">
            <w:pPr>
              <w:pStyle w:val="Tabletext"/>
              <w:keepNext/>
              <w:keepLines/>
              <w:spacing w:before="0" w:after="0" w:line="240" w:lineRule="auto"/>
              <w:ind w:left="0" w:right="0"/>
              <w:rPr>
                <w:kern w:val="2"/>
              </w:rPr>
            </w:pPr>
            <w:r w:rsidRPr="00E22C9A">
              <w:rPr>
                <w:kern w:val="2"/>
              </w:rPr>
              <w:t>40</w:t>
            </w:r>
          </w:p>
        </w:tc>
        <w:tc>
          <w:tcPr>
            <w:tcW w:w="899" w:type="dxa"/>
          </w:tcPr>
          <w:p w14:paraId="1146DD42" w14:textId="77777777" w:rsidR="005B220F" w:rsidRPr="00E22C9A" w:rsidRDefault="005B220F" w:rsidP="005B220F">
            <w:pPr>
              <w:pStyle w:val="Tabletext"/>
              <w:keepNext/>
              <w:keepLines/>
              <w:spacing w:before="0" w:after="0" w:line="240" w:lineRule="auto"/>
              <w:ind w:left="0" w:right="0"/>
              <w:rPr>
                <w:kern w:val="2"/>
              </w:rPr>
            </w:pPr>
            <w:r w:rsidRPr="00E22C9A">
              <w:rPr>
                <w:kern w:val="2"/>
              </w:rPr>
              <w:t>7</w:t>
            </w:r>
          </w:p>
        </w:tc>
      </w:tr>
      <w:tr w:rsidR="005B220F" w:rsidRPr="00EB69F1" w14:paraId="5B471DCA" w14:textId="77777777" w:rsidTr="005B220F">
        <w:trPr>
          <w:trHeight w:val="221"/>
        </w:trPr>
        <w:tc>
          <w:tcPr>
            <w:tcW w:w="925" w:type="dxa"/>
            <w:vMerge/>
          </w:tcPr>
          <w:p w14:paraId="4D5134C1" w14:textId="77777777" w:rsidR="005B220F" w:rsidRDefault="005B220F" w:rsidP="005B220F">
            <w:pPr>
              <w:pStyle w:val="Tabletext"/>
              <w:keepNext/>
              <w:keepLines/>
              <w:spacing w:before="40" w:after="40" w:line="240" w:lineRule="auto"/>
              <w:ind w:left="0" w:right="0"/>
              <w:rPr>
                <w:b/>
                <w:color w:val="00B050"/>
                <w:kern w:val="2"/>
              </w:rPr>
            </w:pPr>
          </w:p>
        </w:tc>
        <w:tc>
          <w:tcPr>
            <w:tcW w:w="1651" w:type="dxa"/>
          </w:tcPr>
          <w:p w14:paraId="39ABFA52" w14:textId="07C64A43" w:rsidR="005B220F" w:rsidRDefault="005B220F" w:rsidP="005B220F">
            <w:pPr>
              <w:pStyle w:val="Tabletext"/>
              <w:keepNext/>
              <w:keepLines/>
              <w:spacing w:before="40" w:after="40" w:line="240" w:lineRule="auto"/>
              <w:ind w:left="0" w:right="0"/>
              <w:rPr>
                <w:kern w:val="2"/>
              </w:rPr>
            </w:pPr>
            <w:r>
              <w:rPr>
                <w:kern w:val="2"/>
              </w:rPr>
              <w:t>Female</w:t>
            </w:r>
            <w:r w:rsidR="000159A6">
              <w:rPr>
                <w:kern w:val="2"/>
              </w:rPr>
              <w:t xml:space="preserve"> </w:t>
            </w:r>
            <w:r>
              <w:rPr>
                <w:kern w:val="2"/>
              </w:rPr>
              <w:t>fertility,</w:t>
            </w:r>
            <w:r w:rsidR="000159A6">
              <w:rPr>
                <w:kern w:val="2"/>
              </w:rPr>
              <w:t xml:space="preserve"> </w:t>
            </w:r>
            <w:r>
              <w:rPr>
                <w:kern w:val="2"/>
              </w:rPr>
              <w:t>embryofetal</w:t>
            </w:r>
            <w:r w:rsidR="000159A6">
              <w:rPr>
                <w:kern w:val="2"/>
              </w:rPr>
              <w:t xml:space="preserve"> </w:t>
            </w:r>
            <w:r w:rsidR="008D4538">
              <w:rPr>
                <w:kern w:val="2"/>
              </w:rPr>
              <w:t>and</w:t>
            </w:r>
            <w:r w:rsidR="000159A6">
              <w:rPr>
                <w:kern w:val="2"/>
              </w:rPr>
              <w:t xml:space="preserve"> </w:t>
            </w:r>
            <w:r>
              <w:rPr>
                <w:kern w:val="2"/>
              </w:rPr>
              <w:t>pre-postnatal</w:t>
            </w:r>
            <w:r w:rsidR="000159A6">
              <w:rPr>
                <w:kern w:val="2"/>
              </w:rPr>
              <w:t xml:space="preserve"> </w:t>
            </w:r>
            <w:r>
              <w:rPr>
                <w:kern w:val="2"/>
              </w:rPr>
              <w:t>development</w:t>
            </w:r>
          </w:p>
          <w:p w14:paraId="0E263873" w14:textId="08645FE0" w:rsidR="005B220F" w:rsidRPr="007E2E47" w:rsidRDefault="00503D1B" w:rsidP="005B220F">
            <w:pPr>
              <w:pStyle w:val="Tabletext"/>
              <w:keepNext/>
              <w:keepLines/>
              <w:spacing w:before="40" w:after="40" w:line="240" w:lineRule="auto"/>
              <w:ind w:left="0" w:right="0"/>
              <w:rPr>
                <w:kern w:val="2"/>
              </w:rPr>
            </w:pPr>
            <w:r>
              <w:rPr>
                <w:rFonts w:asciiTheme="minorHAnsi" w:hAnsiTheme="minorHAnsi"/>
                <w:sz w:val="20"/>
                <w:szCs w:val="20"/>
              </w:rPr>
              <w:t>[information</w:t>
            </w:r>
            <w:r w:rsidR="000159A6">
              <w:rPr>
                <w:rFonts w:asciiTheme="minorHAnsi" w:hAnsiTheme="minorHAnsi"/>
                <w:sz w:val="20"/>
                <w:szCs w:val="20"/>
              </w:rPr>
              <w:t xml:space="preserve"> </w:t>
            </w:r>
            <w:r w:rsidR="00E22B7E">
              <w:rPr>
                <w:rFonts w:asciiTheme="minorHAnsi" w:hAnsiTheme="minorHAnsi"/>
                <w:sz w:val="20"/>
                <w:szCs w:val="20"/>
              </w:rPr>
              <w:t>redacted</w:t>
            </w:r>
            <w:r>
              <w:rPr>
                <w:rFonts w:asciiTheme="minorHAnsi" w:hAnsiTheme="minorHAnsi"/>
                <w:sz w:val="20"/>
                <w:szCs w:val="20"/>
              </w:rPr>
              <w:t>]</w:t>
            </w:r>
          </w:p>
        </w:tc>
        <w:tc>
          <w:tcPr>
            <w:tcW w:w="1651" w:type="dxa"/>
          </w:tcPr>
          <w:p w14:paraId="52E75306" w14:textId="3D15AE53" w:rsidR="005B220F" w:rsidRPr="007E2E47" w:rsidRDefault="005B220F" w:rsidP="005B220F">
            <w:pPr>
              <w:pStyle w:val="Tabletext"/>
              <w:keepNext/>
              <w:keepLines/>
              <w:spacing w:before="40" w:after="40" w:line="240" w:lineRule="auto"/>
              <w:ind w:left="0" w:right="0"/>
              <w:rPr>
                <w:color w:val="00B050"/>
                <w:kern w:val="2"/>
              </w:rPr>
            </w:pPr>
            <w:r w:rsidRPr="00BE2B2B">
              <w:rPr>
                <w:kern w:val="2"/>
              </w:rPr>
              <w:t>28</w:t>
            </w:r>
            <w:r w:rsidR="000159A6">
              <w:rPr>
                <w:kern w:val="2"/>
              </w:rPr>
              <w:t xml:space="preserve"> </w:t>
            </w:r>
            <w:r w:rsidRPr="00BE2B2B">
              <w:rPr>
                <w:kern w:val="2"/>
              </w:rPr>
              <w:t>and</w:t>
            </w:r>
            <w:r w:rsidR="000159A6">
              <w:rPr>
                <w:kern w:val="2"/>
              </w:rPr>
              <w:t xml:space="preserve"> </w:t>
            </w:r>
            <w:r w:rsidRPr="00BE2B2B">
              <w:rPr>
                <w:kern w:val="2"/>
              </w:rPr>
              <w:t>14</w:t>
            </w:r>
            <w:r w:rsidR="000159A6">
              <w:rPr>
                <w:kern w:val="2"/>
              </w:rPr>
              <w:t xml:space="preserve"> </w:t>
            </w:r>
            <w:r>
              <w:rPr>
                <w:kern w:val="2"/>
              </w:rPr>
              <w:t>days</w:t>
            </w:r>
            <w:r w:rsidR="000159A6">
              <w:rPr>
                <w:kern w:val="2"/>
              </w:rPr>
              <w:t xml:space="preserve"> </w:t>
            </w:r>
            <w:r w:rsidRPr="00BE2B2B">
              <w:rPr>
                <w:kern w:val="2"/>
              </w:rPr>
              <w:t>before</w:t>
            </w:r>
            <w:r w:rsidR="000159A6">
              <w:rPr>
                <w:kern w:val="2"/>
              </w:rPr>
              <w:t xml:space="preserve"> </w:t>
            </w:r>
            <w:r w:rsidRPr="00BE2B2B">
              <w:rPr>
                <w:kern w:val="2"/>
              </w:rPr>
              <w:t>mating,</w:t>
            </w:r>
            <w:r w:rsidR="000159A6">
              <w:rPr>
                <w:kern w:val="2"/>
              </w:rPr>
              <w:t xml:space="preserve"> </w:t>
            </w:r>
            <w:r>
              <w:rPr>
                <w:kern w:val="2"/>
              </w:rPr>
              <w:t>gestation</w:t>
            </w:r>
            <w:r w:rsidR="000159A6">
              <w:rPr>
                <w:kern w:val="2"/>
              </w:rPr>
              <w:t xml:space="preserve"> </w:t>
            </w:r>
            <w:r w:rsidR="008D4538">
              <w:rPr>
                <w:kern w:val="2"/>
              </w:rPr>
              <w:t>Day</w:t>
            </w:r>
            <w:r w:rsidR="000159A6">
              <w:rPr>
                <w:kern w:val="2"/>
              </w:rPr>
              <w:t xml:space="preserve"> </w:t>
            </w:r>
            <w:r w:rsidRPr="00BE2B2B">
              <w:rPr>
                <w:kern w:val="2"/>
              </w:rPr>
              <w:t>3,</w:t>
            </w:r>
            <w:r w:rsidR="000159A6">
              <w:rPr>
                <w:kern w:val="2"/>
              </w:rPr>
              <w:t xml:space="preserve"> </w:t>
            </w:r>
            <w:r w:rsidRPr="00BE2B2B">
              <w:rPr>
                <w:kern w:val="2"/>
              </w:rPr>
              <w:t>8,</w:t>
            </w:r>
            <w:r w:rsidR="000159A6">
              <w:rPr>
                <w:kern w:val="2"/>
              </w:rPr>
              <w:t xml:space="preserve"> </w:t>
            </w:r>
            <w:r>
              <w:rPr>
                <w:kern w:val="2"/>
              </w:rPr>
              <w:t>11</w:t>
            </w:r>
            <w:r w:rsidR="000159A6">
              <w:rPr>
                <w:kern w:val="2"/>
              </w:rPr>
              <w:t xml:space="preserve"> </w:t>
            </w:r>
            <w:r>
              <w:rPr>
                <w:kern w:val="2"/>
              </w:rPr>
              <w:t>and</w:t>
            </w:r>
            <w:r w:rsidR="000159A6">
              <w:rPr>
                <w:kern w:val="2"/>
              </w:rPr>
              <w:t xml:space="preserve"> </w:t>
            </w:r>
            <w:r>
              <w:rPr>
                <w:kern w:val="2"/>
              </w:rPr>
              <w:t>15,</w:t>
            </w:r>
            <w:r w:rsidR="000159A6">
              <w:rPr>
                <w:kern w:val="2"/>
              </w:rPr>
              <w:t xml:space="preserve"> </w:t>
            </w:r>
            <w:r>
              <w:rPr>
                <w:kern w:val="2"/>
              </w:rPr>
              <w:t>and</w:t>
            </w:r>
            <w:r w:rsidR="000159A6">
              <w:rPr>
                <w:kern w:val="2"/>
              </w:rPr>
              <w:t xml:space="preserve"> </w:t>
            </w:r>
            <w:r>
              <w:rPr>
                <w:kern w:val="2"/>
              </w:rPr>
              <w:t>lactation</w:t>
            </w:r>
            <w:r w:rsidR="000159A6">
              <w:rPr>
                <w:kern w:val="2"/>
              </w:rPr>
              <w:t xml:space="preserve"> </w:t>
            </w:r>
            <w:r w:rsidR="008D4538">
              <w:rPr>
                <w:kern w:val="2"/>
              </w:rPr>
              <w:t>Day</w:t>
            </w:r>
            <w:r w:rsidR="000159A6">
              <w:rPr>
                <w:kern w:val="2"/>
              </w:rPr>
              <w:t xml:space="preserve"> </w:t>
            </w:r>
            <w:r>
              <w:rPr>
                <w:kern w:val="2"/>
              </w:rPr>
              <w:t>7</w:t>
            </w:r>
          </w:p>
        </w:tc>
        <w:tc>
          <w:tcPr>
            <w:tcW w:w="925" w:type="dxa"/>
          </w:tcPr>
          <w:p w14:paraId="0B106EFA" w14:textId="77777777" w:rsidR="005B220F" w:rsidRPr="00E22C9A" w:rsidRDefault="005B220F" w:rsidP="005B220F">
            <w:pPr>
              <w:pStyle w:val="Tabletext"/>
              <w:keepNext/>
              <w:keepLines/>
              <w:spacing w:before="0" w:after="0" w:line="240" w:lineRule="auto"/>
              <w:ind w:left="0" w:right="0"/>
              <w:rPr>
                <w:kern w:val="2"/>
              </w:rPr>
            </w:pPr>
            <w:r w:rsidRPr="00E22C9A">
              <w:rPr>
                <w:kern w:val="2"/>
              </w:rPr>
              <w:t>80</w:t>
            </w:r>
          </w:p>
        </w:tc>
        <w:tc>
          <w:tcPr>
            <w:tcW w:w="925" w:type="dxa"/>
          </w:tcPr>
          <w:p w14:paraId="673726A1" w14:textId="77777777" w:rsidR="005B220F" w:rsidRPr="00E22C9A" w:rsidRDefault="005B220F" w:rsidP="005B220F">
            <w:pPr>
              <w:pStyle w:val="Tabletext"/>
              <w:keepNext/>
              <w:keepLines/>
              <w:spacing w:before="0" w:after="0" w:line="240" w:lineRule="auto"/>
              <w:ind w:left="0" w:right="0"/>
              <w:rPr>
                <w:kern w:val="2"/>
              </w:rPr>
            </w:pPr>
            <w:r w:rsidRPr="00E22C9A">
              <w:rPr>
                <w:kern w:val="2"/>
              </w:rPr>
              <w:t>80</w:t>
            </w:r>
          </w:p>
        </w:tc>
        <w:tc>
          <w:tcPr>
            <w:tcW w:w="978" w:type="dxa"/>
          </w:tcPr>
          <w:p w14:paraId="15C0B2AD" w14:textId="77777777" w:rsidR="005B220F" w:rsidRPr="00E22C9A" w:rsidRDefault="005B220F" w:rsidP="005B220F">
            <w:pPr>
              <w:pStyle w:val="Tabletext"/>
              <w:keepNext/>
              <w:keepLines/>
              <w:spacing w:before="0" w:after="0" w:line="240" w:lineRule="auto"/>
              <w:ind w:left="0" w:right="0"/>
              <w:rPr>
                <w:kern w:val="2"/>
              </w:rPr>
            </w:pPr>
            <w:r w:rsidRPr="00E22C9A">
              <w:rPr>
                <w:kern w:val="2"/>
              </w:rPr>
              <w:t>480</w:t>
            </w:r>
          </w:p>
        </w:tc>
        <w:tc>
          <w:tcPr>
            <w:tcW w:w="750" w:type="dxa"/>
          </w:tcPr>
          <w:p w14:paraId="67A60FFC" w14:textId="77777777" w:rsidR="005B220F" w:rsidRPr="00E22C9A" w:rsidRDefault="005B220F" w:rsidP="005B220F">
            <w:pPr>
              <w:pStyle w:val="Tabletext"/>
              <w:keepNext/>
              <w:keepLines/>
              <w:spacing w:before="0" w:after="0" w:line="240" w:lineRule="auto"/>
              <w:ind w:left="0" w:right="0"/>
              <w:rPr>
                <w:kern w:val="2"/>
              </w:rPr>
            </w:pPr>
            <w:r w:rsidRPr="00E22C9A">
              <w:rPr>
                <w:kern w:val="2"/>
              </w:rPr>
              <w:t>80</w:t>
            </w:r>
          </w:p>
        </w:tc>
        <w:tc>
          <w:tcPr>
            <w:tcW w:w="899" w:type="dxa"/>
          </w:tcPr>
          <w:p w14:paraId="0ED19685" w14:textId="77777777" w:rsidR="005B220F" w:rsidRPr="00E22C9A" w:rsidRDefault="005B220F" w:rsidP="005B220F">
            <w:pPr>
              <w:pStyle w:val="Tabletext"/>
              <w:keepNext/>
              <w:keepLines/>
              <w:spacing w:before="0" w:after="0" w:line="240" w:lineRule="auto"/>
              <w:ind w:left="0" w:right="0"/>
              <w:rPr>
                <w:kern w:val="2"/>
              </w:rPr>
            </w:pPr>
            <w:r w:rsidRPr="00E22C9A">
              <w:rPr>
                <w:kern w:val="2"/>
              </w:rPr>
              <w:t>15</w:t>
            </w:r>
          </w:p>
        </w:tc>
      </w:tr>
      <w:tr w:rsidR="005B220F" w:rsidRPr="00EB69F1" w14:paraId="460CF730" w14:textId="77777777" w:rsidTr="005B220F">
        <w:trPr>
          <w:trHeight w:val="221"/>
        </w:trPr>
        <w:tc>
          <w:tcPr>
            <w:tcW w:w="8704" w:type="dxa"/>
            <w:gridSpan w:val="8"/>
          </w:tcPr>
          <w:p w14:paraId="24098A5C" w14:textId="7E2CBF83" w:rsidR="005B220F" w:rsidRPr="00AB2564" w:rsidRDefault="005B220F" w:rsidP="005B220F">
            <w:pPr>
              <w:pStyle w:val="Tabletext"/>
              <w:keepNext/>
              <w:keepLines/>
              <w:spacing w:before="0" w:after="0" w:line="240" w:lineRule="auto"/>
              <w:ind w:left="0" w:right="0"/>
              <w:rPr>
                <w:b/>
                <w:kern w:val="2"/>
              </w:rPr>
            </w:pPr>
            <w:r w:rsidRPr="00AB2564">
              <w:rPr>
                <w:b/>
                <w:kern w:val="2"/>
              </w:rPr>
              <w:t>QS-21</w:t>
            </w:r>
            <w:r w:rsidR="000159A6">
              <w:rPr>
                <w:b/>
                <w:kern w:val="2"/>
              </w:rPr>
              <w:t xml:space="preserve"> </w:t>
            </w:r>
            <w:r w:rsidRPr="00AB2564">
              <w:rPr>
                <w:b/>
                <w:kern w:val="2"/>
              </w:rPr>
              <w:t>(DQ)</w:t>
            </w:r>
          </w:p>
        </w:tc>
      </w:tr>
      <w:tr w:rsidR="005B220F" w:rsidRPr="00E22C9A" w14:paraId="0B13FFB8" w14:textId="77777777" w:rsidTr="005B220F">
        <w:trPr>
          <w:trHeight w:val="221"/>
        </w:trPr>
        <w:tc>
          <w:tcPr>
            <w:tcW w:w="925" w:type="dxa"/>
          </w:tcPr>
          <w:p w14:paraId="476D4E50" w14:textId="77777777" w:rsidR="005B220F" w:rsidRPr="00C10F7D" w:rsidRDefault="005B220F" w:rsidP="005B220F">
            <w:pPr>
              <w:pStyle w:val="Tabletext"/>
              <w:keepNext/>
              <w:keepLines/>
              <w:spacing w:before="40" w:after="40" w:line="240" w:lineRule="auto"/>
              <w:ind w:left="0" w:right="0"/>
              <w:rPr>
                <w:kern w:val="2"/>
              </w:rPr>
            </w:pPr>
            <w:r>
              <w:rPr>
                <w:kern w:val="2"/>
              </w:rPr>
              <w:t>Rat</w:t>
            </w:r>
          </w:p>
        </w:tc>
        <w:tc>
          <w:tcPr>
            <w:tcW w:w="1651" w:type="dxa"/>
          </w:tcPr>
          <w:p w14:paraId="02787E95" w14:textId="7C010A2E" w:rsidR="005B220F" w:rsidRDefault="005B220F" w:rsidP="005B220F">
            <w:pPr>
              <w:pStyle w:val="Tabletext"/>
              <w:keepNext/>
              <w:keepLines/>
              <w:spacing w:before="40" w:after="40" w:line="240" w:lineRule="auto"/>
              <w:ind w:left="0" w:right="0"/>
              <w:rPr>
                <w:kern w:val="2"/>
              </w:rPr>
            </w:pPr>
            <w:r>
              <w:rPr>
                <w:kern w:val="2"/>
              </w:rPr>
              <w:t>Female</w:t>
            </w:r>
            <w:r w:rsidR="000159A6">
              <w:rPr>
                <w:kern w:val="2"/>
              </w:rPr>
              <w:t xml:space="preserve"> </w:t>
            </w:r>
            <w:r>
              <w:rPr>
                <w:kern w:val="2"/>
              </w:rPr>
              <w:t>fertility,</w:t>
            </w:r>
            <w:r w:rsidR="000159A6">
              <w:rPr>
                <w:kern w:val="2"/>
              </w:rPr>
              <w:t xml:space="preserve"> </w:t>
            </w:r>
            <w:r>
              <w:rPr>
                <w:kern w:val="2"/>
              </w:rPr>
              <w:t>embryofetal</w:t>
            </w:r>
            <w:r w:rsidR="000159A6">
              <w:rPr>
                <w:kern w:val="2"/>
              </w:rPr>
              <w:t xml:space="preserve"> </w:t>
            </w:r>
            <w:r>
              <w:rPr>
                <w:kern w:val="2"/>
              </w:rPr>
              <w:t>&amp;</w:t>
            </w:r>
            <w:r w:rsidR="000159A6">
              <w:rPr>
                <w:kern w:val="2"/>
              </w:rPr>
              <w:t xml:space="preserve"> </w:t>
            </w:r>
            <w:r>
              <w:rPr>
                <w:kern w:val="2"/>
              </w:rPr>
              <w:t>pre-postnatal</w:t>
            </w:r>
            <w:r w:rsidR="000159A6">
              <w:rPr>
                <w:kern w:val="2"/>
              </w:rPr>
              <w:t xml:space="preserve"> </w:t>
            </w:r>
            <w:r>
              <w:rPr>
                <w:kern w:val="2"/>
              </w:rPr>
              <w:t>development</w:t>
            </w:r>
          </w:p>
          <w:p w14:paraId="7E3755BB" w14:textId="7E1B1DAA" w:rsidR="005B220F" w:rsidRPr="008C1D8F" w:rsidRDefault="00503D1B" w:rsidP="005B220F">
            <w:pPr>
              <w:pStyle w:val="Tabletext"/>
              <w:keepNext/>
              <w:keepLines/>
              <w:spacing w:before="40" w:after="40" w:line="240" w:lineRule="auto"/>
              <w:ind w:left="0" w:right="0"/>
              <w:rPr>
                <w:kern w:val="2"/>
              </w:rPr>
            </w:pPr>
            <w:r>
              <w:rPr>
                <w:rFonts w:asciiTheme="minorHAnsi" w:hAnsiTheme="minorHAnsi"/>
                <w:sz w:val="20"/>
                <w:szCs w:val="20"/>
              </w:rPr>
              <w:t>[information</w:t>
            </w:r>
            <w:r w:rsidR="000159A6">
              <w:rPr>
                <w:rFonts w:asciiTheme="minorHAnsi" w:hAnsiTheme="minorHAnsi"/>
                <w:sz w:val="20"/>
                <w:szCs w:val="20"/>
              </w:rPr>
              <w:t xml:space="preserve"> </w:t>
            </w:r>
            <w:r w:rsidR="00E22B7E">
              <w:rPr>
                <w:rFonts w:asciiTheme="minorHAnsi" w:hAnsiTheme="minorHAnsi"/>
                <w:sz w:val="20"/>
                <w:szCs w:val="20"/>
              </w:rPr>
              <w:t>redacted</w:t>
            </w:r>
            <w:r>
              <w:rPr>
                <w:rFonts w:asciiTheme="minorHAnsi" w:hAnsiTheme="minorHAnsi"/>
                <w:sz w:val="20"/>
                <w:szCs w:val="20"/>
              </w:rPr>
              <w:t>]</w:t>
            </w:r>
          </w:p>
        </w:tc>
        <w:tc>
          <w:tcPr>
            <w:tcW w:w="1651" w:type="dxa"/>
          </w:tcPr>
          <w:p w14:paraId="30D8753C" w14:textId="6BB69159" w:rsidR="005B220F" w:rsidRPr="00C10F7D" w:rsidRDefault="005B220F" w:rsidP="005B220F">
            <w:pPr>
              <w:pStyle w:val="Tabletext"/>
              <w:keepNext/>
              <w:keepLines/>
              <w:spacing w:before="40" w:after="40" w:line="240" w:lineRule="auto"/>
              <w:ind w:left="0" w:right="0"/>
              <w:rPr>
                <w:b/>
                <w:kern w:val="2"/>
              </w:rPr>
            </w:pPr>
            <w:r w:rsidRPr="00BE2B2B">
              <w:rPr>
                <w:kern w:val="2"/>
              </w:rPr>
              <w:t>28</w:t>
            </w:r>
            <w:r w:rsidR="000159A6">
              <w:rPr>
                <w:kern w:val="2"/>
              </w:rPr>
              <w:t xml:space="preserve"> </w:t>
            </w:r>
            <w:r w:rsidRPr="00BE2B2B">
              <w:rPr>
                <w:kern w:val="2"/>
              </w:rPr>
              <w:t>and</w:t>
            </w:r>
            <w:r w:rsidR="000159A6">
              <w:rPr>
                <w:kern w:val="2"/>
              </w:rPr>
              <w:t xml:space="preserve"> </w:t>
            </w:r>
            <w:r w:rsidRPr="00BE2B2B">
              <w:rPr>
                <w:kern w:val="2"/>
              </w:rPr>
              <w:t>14</w:t>
            </w:r>
            <w:r w:rsidR="000159A6">
              <w:rPr>
                <w:kern w:val="2"/>
              </w:rPr>
              <w:t xml:space="preserve"> </w:t>
            </w:r>
            <w:r>
              <w:rPr>
                <w:kern w:val="2"/>
              </w:rPr>
              <w:t>days</w:t>
            </w:r>
            <w:r w:rsidR="000159A6">
              <w:rPr>
                <w:kern w:val="2"/>
              </w:rPr>
              <w:t xml:space="preserve"> </w:t>
            </w:r>
            <w:r w:rsidRPr="00BE2B2B">
              <w:rPr>
                <w:kern w:val="2"/>
              </w:rPr>
              <w:t>before</w:t>
            </w:r>
            <w:r w:rsidR="000159A6">
              <w:rPr>
                <w:kern w:val="2"/>
              </w:rPr>
              <w:t xml:space="preserve"> </w:t>
            </w:r>
            <w:r w:rsidRPr="00BE2B2B">
              <w:rPr>
                <w:kern w:val="2"/>
              </w:rPr>
              <w:t>mating,</w:t>
            </w:r>
            <w:r w:rsidR="000159A6">
              <w:rPr>
                <w:kern w:val="2"/>
              </w:rPr>
              <w:t xml:space="preserve"> </w:t>
            </w:r>
            <w:r>
              <w:rPr>
                <w:kern w:val="2"/>
              </w:rPr>
              <w:t>gestation</w:t>
            </w:r>
            <w:r w:rsidR="000159A6">
              <w:rPr>
                <w:kern w:val="2"/>
              </w:rPr>
              <w:t xml:space="preserve"> </w:t>
            </w:r>
            <w:r w:rsidR="008D4538">
              <w:rPr>
                <w:kern w:val="2"/>
              </w:rPr>
              <w:t>Day</w:t>
            </w:r>
            <w:r w:rsidR="000159A6">
              <w:rPr>
                <w:kern w:val="2"/>
              </w:rPr>
              <w:t xml:space="preserve"> </w:t>
            </w:r>
            <w:r w:rsidRPr="00BE2B2B">
              <w:rPr>
                <w:kern w:val="2"/>
              </w:rPr>
              <w:t>3,</w:t>
            </w:r>
            <w:r w:rsidR="000159A6">
              <w:rPr>
                <w:kern w:val="2"/>
              </w:rPr>
              <w:t xml:space="preserve"> </w:t>
            </w:r>
            <w:r w:rsidRPr="00BE2B2B">
              <w:rPr>
                <w:kern w:val="2"/>
              </w:rPr>
              <w:t>8,</w:t>
            </w:r>
            <w:r w:rsidR="000159A6">
              <w:rPr>
                <w:kern w:val="2"/>
              </w:rPr>
              <w:t xml:space="preserve"> </w:t>
            </w:r>
            <w:r>
              <w:rPr>
                <w:kern w:val="2"/>
              </w:rPr>
              <w:t>11</w:t>
            </w:r>
            <w:r w:rsidR="000159A6">
              <w:rPr>
                <w:kern w:val="2"/>
              </w:rPr>
              <w:t xml:space="preserve"> </w:t>
            </w:r>
            <w:r>
              <w:rPr>
                <w:kern w:val="2"/>
              </w:rPr>
              <w:t>and</w:t>
            </w:r>
            <w:r w:rsidR="000159A6">
              <w:rPr>
                <w:kern w:val="2"/>
              </w:rPr>
              <w:t xml:space="preserve"> </w:t>
            </w:r>
            <w:r>
              <w:rPr>
                <w:kern w:val="2"/>
              </w:rPr>
              <w:t>15,</w:t>
            </w:r>
            <w:r w:rsidR="000159A6">
              <w:rPr>
                <w:kern w:val="2"/>
              </w:rPr>
              <w:t xml:space="preserve"> </w:t>
            </w:r>
            <w:r>
              <w:rPr>
                <w:kern w:val="2"/>
              </w:rPr>
              <w:t>and</w:t>
            </w:r>
            <w:r w:rsidR="000159A6">
              <w:rPr>
                <w:kern w:val="2"/>
              </w:rPr>
              <w:t xml:space="preserve"> </w:t>
            </w:r>
            <w:r>
              <w:rPr>
                <w:kern w:val="2"/>
              </w:rPr>
              <w:t>lactation</w:t>
            </w:r>
            <w:r w:rsidR="000159A6">
              <w:rPr>
                <w:kern w:val="2"/>
              </w:rPr>
              <w:t xml:space="preserve"> </w:t>
            </w:r>
            <w:r w:rsidR="008D4538">
              <w:rPr>
                <w:kern w:val="2"/>
              </w:rPr>
              <w:t>Day</w:t>
            </w:r>
            <w:r w:rsidR="000159A6">
              <w:rPr>
                <w:kern w:val="2"/>
              </w:rPr>
              <w:t xml:space="preserve"> </w:t>
            </w:r>
            <w:r>
              <w:rPr>
                <w:kern w:val="2"/>
              </w:rPr>
              <w:t>7</w:t>
            </w:r>
          </w:p>
        </w:tc>
        <w:tc>
          <w:tcPr>
            <w:tcW w:w="925" w:type="dxa"/>
          </w:tcPr>
          <w:p w14:paraId="462CE005" w14:textId="77777777" w:rsidR="005B220F" w:rsidRPr="0080659E" w:rsidRDefault="005B220F" w:rsidP="005B220F">
            <w:pPr>
              <w:pStyle w:val="Tabletext"/>
              <w:keepNext/>
              <w:keepLines/>
              <w:spacing w:before="0" w:after="0" w:line="240" w:lineRule="auto"/>
              <w:ind w:left="0" w:right="0"/>
              <w:rPr>
                <w:kern w:val="2"/>
              </w:rPr>
            </w:pPr>
            <w:r w:rsidRPr="0080659E">
              <w:rPr>
                <w:kern w:val="2"/>
              </w:rPr>
              <w:t>-</w:t>
            </w:r>
          </w:p>
        </w:tc>
        <w:tc>
          <w:tcPr>
            <w:tcW w:w="925" w:type="dxa"/>
          </w:tcPr>
          <w:p w14:paraId="62674E69" w14:textId="0DD66E23" w:rsidR="005B220F" w:rsidRPr="0080659E" w:rsidRDefault="005B220F" w:rsidP="005B220F">
            <w:pPr>
              <w:pStyle w:val="Tabletext"/>
              <w:keepNext/>
              <w:keepLines/>
              <w:spacing w:before="0" w:after="0" w:line="240" w:lineRule="auto"/>
              <w:ind w:left="0" w:right="0"/>
              <w:rPr>
                <w:kern w:val="2"/>
              </w:rPr>
            </w:pPr>
            <w:r w:rsidRPr="0080659E">
              <w:rPr>
                <w:kern w:val="2"/>
              </w:rPr>
              <w:t>16,</w:t>
            </w:r>
            <w:r w:rsidR="000159A6">
              <w:rPr>
                <w:kern w:val="2"/>
              </w:rPr>
              <w:t xml:space="preserve"> </w:t>
            </w:r>
            <w:r w:rsidRPr="0080659E">
              <w:rPr>
                <w:kern w:val="2"/>
              </w:rPr>
              <w:t>80,</w:t>
            </w:r>
            <w:r w:rsidR="000159A6">
              <w:rPr>
                <w:kern w:val="2"/>
              </w:rPr>
              <w:t xml:space="preserve"> </w:t>
            </w:r>
            <w:r w:rsidRPr="0080659E">
              <w:rPr>
                <w:kern w:val="2"/>
              </w:rPr>
              <w:t>160</w:t>
            </w:r>
          </w:p>
        </w:tc>
        <w:tc>
          <w:tcPr>
            <w:tcW w:w="978" w:type="dxa"/>
          </w:tcPr>
          <w:p w14:paraId="537234B5" w14:textId="7469A120" w:rsidR="005B220F" w:rsidRPr="00E22C9A" w:rsidRDefault="005B220F" w:rsidP="005B220F">
            <w:pPr>
              <w:pStyle w:val="Tabletext"/>
              <w:keepNext/>
              <w:keepLines/>
              <w:spacing w:before="0" w:after="0" w:line="240" w:lineRule="auto"/>
              <w:ind w:left="0" w:right="0"/>
              <w:rPr>
                <w:kern w:val="2"/>
              </w:rPr>
            </w:pPr>
            <w:r w:rsidRPr="00E22C9A">
              <w:rPr>
                <w:kern w:val="2"/>
              </w:rPr>
              <w:t>96,</w:t>
            </w:r>
            <w:r w:rsidR="000159A6">
              <w:rPr>
                <w:kern w:val="2"/>
              </w:rPr>
              <w:t xml:space="preserve"> </w:t>
            </w:r>
            <w:r w:rsidRPr="00E22C9A">
              <w:rPr>
                <w:kern w:val="2"/>
              </w:rPr>
              <w:t>480,</w:t>
            </w:r>
            <w:r w:rsidR="000159A6">
              <w:rPr>
                <w:kern w:val="2"/>
              </w:rPr>
              <w:t xml:space="preserve"> </w:t>
            </w:r>
            <w:r w:rsidRPr="00E22C9A">
              <w:rPr>
                <w:kern w:val="2"/>
              </w:rPr>
              <w:t>960</w:t>
            </w:r>
          </w:p>
        </w:tc>
        <w:tc>
          <w:tcPr>
            <w:tcW w:w="750" w:type="dxa"/>
          </w:tcPr>
          <w:p w14:paraId="2035E83D" w14:textId="77777777" w:rsidR="005B220F" w:rsidRPr="00E22C9A" w:rsidRDefault="005B220F" w:rsidP="005B220F">
            <w:pPr>
              <w:pStyle w:val="Tabletext"/>
              <w:keepNext/>
              <w:keepLines/>
              <w:spacing w:before="0" w:after="0" w:line="240" w:lineRule="auto"/>
              <w:ind w:left="0" w:right="0"/>
              <w:rPr>
                <w:kern w:val="2"/>
              </w:rPr>
            </w:pPr>
            <w:r w:rsidRPr="00E22C9A">
              <w:rPr>
                <w:kern w:val="2"/>
              </w:rPr>
              <w:t>-</w:t>
            </w:r>
          </w:p>
        </w:tc>
        <w:tc>
          <w:tcPr>
            <w:tcW w:w="899" w:type="dxa"/>
          </w:tcPr>
          <w:p w14:paraId="771C7005" w14:textId="3513484E" w:rsidR="005B220F" w:rsidRPr="00E22C9A" w:rsidRDefault="005B220F" w:rsidP="005B220F">
            <w:pPr>
              <w:pStyle w:val="Tabletext"/>
              <w:keepNext/>
              <w:keepLines/>
              <w:spacing w:before="0" w:after="0" w:line="240" w:lineRule="auto"/>
              <w:ind w:left="0" w:right="0"/>
              <w:rPr>
                <w:kern w:val="2"/>
              </w:rPr>
            </w:pPr>
            <w:r w:rsidRPr="00E22C9A">
              <w:rPr>
                <w:kern w:val="2"/>
              </w:rPr>
              <w:t>3,</w:t>
            </w:r>
            <w:r w:rsidR="000159A6">
              <w:rPr>
                <w:kern w:val="2"/>
              </w:rPr>
              <w:t xml:space="preserve"> </w:t>
            </w:r>
            <w:r w:rsidRPr="00E22C9A">
              <w:rPr>
                <w:kern w:val="2"/>
              </w:rPr>
              <w:t>15,</w:t>
            </w:r>
            <w:r w:rsidR="000159A6">
              <w:rPr>
                <w:kern w:val="2"/>
              </w:rPr>
              <w:t xml:space="preserve"> </w:t>
            </w:r>
            <w:r w:rsidRPr="00E22C9A">
              <w:rPr>
                <w:kern w:val="2"/>
              </w:rPr>
              <w:t>29</w:t>
            </w:r>
          </w:p>
        </w:tc>
      </w:tr>
      <w:tr w:rsidR="005B220F" w:rsidRPr="00E22C9A" w14:paraId="594C86CC" w14:textId="77777777" w:rsidTr="005B220F">
        <w:trPr>
          <w:trHeight w:val="221"/>
        </w:trPr>
        <w:tc>
          <w:tcPr>
            <w:tcW w:w="925" w:type="dxa"/>
          </w:tcPr>
          <w:p w14:paraId="6580E8C8" w14:textId="77777777" w:rsidR="005B220F" w:rsidRPr="008D4538" w:rsidRDefault="005B220F" w:rsidP="008D4538">
            <w:pPr>
              <w:ind w:left="0" w:right="0"/>
              <w:rPr>
                <w:sz w:val="19"/>
                <w:szCs w:val="19"/>
              </w:rPr>
            </w:pPr>
            <w:r w:rsidRPr="008D4538">
              <w:rPr>
                <w:sz w:val="19"/>
                <w:szCs w:val="19"/>
              </w:rPr>
              <w:t>Rabbit</w:t>
            </w:r>
          </w:p>
        </w:tc>
        <w:tc>
          <w:tcPr>
            <w:tcW w:w="1651" w:type="dxa"/>
          </w:tcPr>
          <w:p w14:paraId="16BB245A" w14:textId="023C32C1" w:rsidR="005B220F" w:rsidRDefault="005B220F" w:rsidP="005B220F">
            <w:pPr>
              <w:pStyle w:val="Tabletext"/>
              <w:keepNext/>
              <w:keepLines/>
              <w:spacing w:before="40" w:after="40" w:line="240" w:lineRule="auto"/>
              <w:ind w:left="0" w:right="0"/>
              <w:rPr>
                <w:kern w:val="2"/>
              </w:rPr>
            </w:pPr>
            <w:r>
              <w:rPr>
                <w:kern w:val="2"/>
              </w:rPr>
              <w:t>Female</w:t>
            </w:r>
            <w:r w:rsidR="000159A6">
              <w:rPr>
                <w:kern w:val="2"/>
              </w:rPr>
              <w:t xml:space="preserve"> </w:t>
            </w:r>
            <w:r>
              <w:rPr>
                <w:kern w:val="2"/>
              </w:rPr>
              <w:t>fertility,</w:t>
            </w:r>
            <w:r w:rsidR="000159A6">
              <w:rPr>
                <w:kern w:val="2"/>
              </w:rPr>
              <w:t xml:space="preserve"> </w:t>
            </w:r>
            <w:r>
              <w:rPr>
                <w:kern w:val="2"/>
              </w:rPr>
              <w:t>embryofetal</w:t>
            </w:r>
            <w:r w:rsidR="000159A6">
              <w:rPr>
                <w:kern w:val="2"/>
              </w:rPr>
              <w:t xml:space="preserve"> </w:t>
            </w:r>
            <w:r>
              <w:rPr>
                <w:kern w:val="2"/>
              </w:rPr>
              <w:t>&amp;</w:t>
            </w:r>
            <w:r w:rsidR="000159A6">
              <w:rPr>
                <w:kern w:val="2"/>
              </w:rPr>
              <w:t xml:space="preserve"> </w:t>
            </w:r>
            <w:r>
              <w:rPr>
                <w:kern w:val="2"/>
              </w:rPr>
              <w:t>pre-postnatal</w:t>
            </w:r>
            <w:r w:rsidR="000159A6">
              <w:rPr>
                <w:kern w:val="2"/>
              </w:rPr>
              <w:t xml:space="preserve"> </w:t>
            </w:r>
            <w:r>
              <w:rPr>
                <w:kern w:val="2"/>
              </w:rPr>
              <w:t>development</w:t>
            </w:r>
          </w:p>
          <w:p w14:paraId="1F88F829" w14:textId="77777777" w:rsidR="005B220F" w:rsidRPr="008C1D8F" w:rsidRDefault="004715B4" w:rsidP="005B220F">
            <w:pPr>
              <w:pStyle w:val="Tabletext"/>
              <w:keepNext/>
              <w:keepLines/>
              <w:spacing w:before="40" w:after="40" w:line="240" w:lineRule="auto"/>
              <w:ind w:left="0" w:right="0"/>
              <w:rPr>
                <w:kern w:val="2"/>
              </w:rPr>
            </w:pPr>
            <w:r>
              <w:rPr>
                <w:kern w:val="2"/>
              </w:rPr>
              <w:t>(</w:t>
            </w:r>
            <w:r w:rsidR="005B220F">
              <w:rPr>
                <w:kern w:val="2"/>
              </w:rPr>
              <w:t>AB14898</w:t>
            </w:r>
            <w:r>
              <w:rPr>
                <w:kern w:val="2"/>
              </w:rPr>
              <w:t>)</w:t>
            </w:r>
          </w:p>
        </w:tc>
        <w:tc>
          <w:tcPr>
            <w:tcW w:w="1651" w:type="dxa"/>
          </w:tcPr>
          <w:p w14:paraId="13D40EA1" w14:textId="1399A61D" w:rsidR="005B220F" w:rsidRPr="008D4538" w:rsidRDefault="005B220F" w:rsidP="008D4538">
            <w:pPr>
              <w:ind w:left="0" w:right="0"/>
              <w:rPr>
                <w:sz w:val="19"/>
                <w:szCs w:val="19"/>
              </w:rPr>
            </w:pPr>
            <w:r w:rsidRPr="008D4538">
              <w:rPr>
                <w:sz w:val="19"/>
                <w:szCs w:val="19"/>
              </w:rPr>
              <w:t>28</w:t>
            </w:r>
            <w:r w:rsidR="000159A6">
              <w:rPr>
                <w:sz w:val="19"/>
                <w:szCs w:val="19"/>
              </w:rPr>
              <w:t xml:space="preserve"> </w:t>
            </w:r>
            <w:r w:rsidRPr="008D4538">
              <w:rPr>
                <w:sz w:val="19"/>
                <w:szCs w:val="19"/>
              </w:rPr>
              <w:t>and</w:t>
            </w:r>
            <w:r w:rsidR="000159A6">
              <w:rPr>
                <w:sz w:val="19"/>
                <w:szCs w:val="19"/>
              </w:rPr>
              <w:t xml:space="preserve"> </w:t>
            </w:r>
            <w:r w:rsidRPr="008D4538">
              <w:rPr>
                <w:sz w:val="19"/>
                <w:szCs w:val="19"/>
              </w:rPr>
              <w:t>14</w:t>
            </w:r>
            <w:r w:rsidR="000159A6">
              <w:rPr>
                <w:sz w:val="19"/>
                <w:szCs w:val="19"/>
              </w:rPr>
              <w:t xml:space="preserve"> </w:t>
            </w:r>
            <w:r w:rsidRPr="008D4538">
              <w:rPr>
                <w:sz w:val="19"/>
                <w:szCs w:val="19"/>
              </w:rPr>
              <w:t>days</w:t>
            </w:r>
            <w:r w:rsidR="000159A6">
              <w:rPr>
                <w:sz w:val="19"/>
                <w:szCs w:val="19"/>
              </w:rPr>
              <w:t xml:space="preserve"> </w:t>
            </w:r>
            <w:r w:rsidRPr="008D4538">
              <w:rPr>
                <w:sz w:val="19"/>
                <w:szCs w:val="19"/>
              </w:rPr>
              <w:t>before</w:t>
            </w:r>
            <w:r w:rsidR="000159A6">
              <w:rPr>
                <w:sz w:val="19"/>
                <w:szCs w:val="19"/>
              </w:rPr>
              <w:t xml:space="preserve"> </w:t>
            </w:r>
            <w:r w:rsidRPr="008D4538">
              <w:rPr>
                <w:sz w:val="19"/>
                <w:szCs w:val="19"/>
              </w:rPr>
              <w:t>mating,</w:t>
            </w:r>
            <w:r w:rsidR="000159A6">
              <w:rPr>
                <w:sz w:val="19"/>
                <w:szCs w:val="19"/>
              </w:rPr>
              <w:t xml:space="preserve"> </w:t>
            </w:r>
            <w:r w:rsidRPr="008D4538">
              <w:rPr>
                <w:sz w:val="19"/>
                <w:szCs w:val="19"/>
              </w:rPr>
              <w:t>gestation</w:t>
            </w:r>
            <w:r w:rsidR="000159A6">
              <w:rPr>
                <w:sz w:val="19"/>
                <w:szCs w:val="19"/>
              </w:rPr>
              <w:t xml:space="preserve"> </w:t>
            </w:r>
            <w:r w:rsidR="008D4538" w:rsidRPr="008D4538">
              <w:rPr>
                <w:sz w:val="19"/>
                <w:szCs w:val="19"/>
              </w:rPr>
              <w:t>Day</w:t>
            </w:r>
            <w:r w:rsidR="000159A6">
              <w:rPr>
                <w:sz w:val="19"/>
                <w:szCs w:val="19"/>
              </w:rPr>
              <w:t xml:space="preserve"> </w:t>
            </w:r>
            <w:r w:rsidRPr="008D4538">
              <w:rPr>
                <w:sz w:val="19"/>
                <w:szCs w:val="19"/>
              </w:rPr>
              <w:t>3,</w:t>
            </w:r>
            <w:r w:rsidR="000159A6">
              <w:rPr>
                <w:sz w:val="19"/>
                <w:szCs w:val="19"/>
              </w:rPr>
              <w:t xml:space="preserve"> </w:t>
            </w:r>
            <w:r w:rsidRPr="008D4538">
              <w:rPr>
                <w:sz w:val="19"/>
                <w:szCs w:val="19"/>
              </w:rPr>
              <w:t>8,</w:t>
            </w:r>
            <w:r w:rsidR="000159A6">
              <w:rPr>
                <w:sz w:val="19"/>
                <w:szCs w:val="19"/>
              </w:rPr>
              <w:t xml:space="preserve"> </w:t>
            </w:r>
            <w:r w:rsidRPr="008D4538">
              <w:rPr>
                <w:sz w:val="19"/>
                <w:szCs w:val="19"/>
              </w:rPr>
              <w:t>11</w:t>
            </w:r>
            <w:r w:rsidR="000159A6">
              <w:rPr>
                <w:sz w:val="19"/>
                <w:szCs w:val="19"/>
              </w:rPr>
              <w:t xml:space="preserve"> </w:t>
            </w:r>
            <w:r w:rsidRPr="008D4538">
              <w:rPr>
                <w:sz w:val="19"/>
                <w:szCs w:val="19"/>
              </w:rPr>
              <w:t>15</w:t>
            </w:r>
            <w:r w:rsidR="000159A6">
              <w:rPr>
                <w:sz w:val="19"/>
                <w:szCs w:val="19"/>
              </w:rPr>
              <w:t xml:space="preserve"> </w:t>
            </w:r>
            <w:r w:rsidRPr="008D4538">
              <w:rPr>
                <w:sz w:val="19"/>
                <w:szCs w:val="19"/>
              </w:rPr>
              <w:t>and</w:t>
            </w:r>
            <w:r w:rsidR="000159A6">
              <w:rPr>
                <w:sz w:val="19"/>
                <w:szCs w:val="19"/>
              </w:rPr>
              <w:t xml:space="preserve"> </w:t>
            </w:r>
            <w:r w:rsidRPr="008D4538">
              <w:rPr>
                <w:sz w:val="19"/>
                <w:szCs w:val="19"/>
              </w:rPr>
              <w:t>24,</w:t>
            </w:r>
            <w:r w:rsidR="000159A6">
              <w:rPr>
                <w:sz w:val="19"/>
                <w:szCs w:val="19"/>
              </w:rPr>
              <w:t xml:space="preserve"> </w:t>
            </w:r>
            <w:r w:rsidRPr="008D4538">
              <w:rPr>
                <w:sz w:val="19"/>
                <w:szCs w:val="19"/>
              </w:rPr>
              <w:t>and</w:t>
            </w:r>
            <w:r w:rsidR="000159A6">
              <w:rPr>
                <w:sz w:val="19"/>
                <w:szCs w:val="19"/>
              </w:rPr>
              <w:t xml:space="preserve"> </w:t>
            </w:r>
            <w:r w:rsidRPr="008D4538">
              <w:rPr>
                <w:sz w:val="19"/>
                <w:szCs w:val="19"/>
              </w:rPr>
              <w:t>lactation</w:t>
            </w:r>
            <w:r w:rsidR="000159A6">
              <w:rPr>
                <w:sz w:val="19"/>
                <w:szCs w:val="19"/>
              </w:rPr>
              <w:t xml:space="preserve"> </w:t>
            </w:r>
            <w:r w:rsidR="008D4538" w:rsidRPr="008D4538">
              <w:rPr>
                <w:sz w:val="19"/>
                <w:szCs w:val="19"/>
              </w:rPr>
              <w:t>Day</w:t>
            </w:r>
            <w:r w:rsidR="000159A6">
              <w:rPr>
                <w:sz w:val="19"/>
                <w:szCs w:val="19"/>
              </w:rPr>
              <w:t xml:space="preserve"> </w:t>
            </w:r>
            <w:r w:rsidRPr="008D4538">
              <w:rPr>
                <w:sz w:val="19"/>
                <w:szCs w:val="19"/>
              </w:rPr>
              <w:t>7</w:t>
            </w:r>
          </w:p>
        </w:tc>
        <w:tc>
          <w:tcPr>
            <w:tcW w:w="925" w:type="dxa"/>
          </w:tcPr>
          <w:p w14:paraId="369209D5" w14:textId="77777777" w:rsidR="005B220F" w:rsidRPr="0080659E" w:rsidRDefault="005B220F" w:rsidP="005B220F">
            <w:pPr>
              <w:pStyle w:val="Tabletext"/>
              <w:keepNext/>
              <w:keepLines/>
              <w:spacing w:before="0" w:after="0" w:line="240" w:lineRule="auto"/>
              <w:ind w:left="0" w:right="0"/>
              <w:rPr>
                <w:kern w:val="2"/>
              </w:rPr>
            </w:pPr>
            <w:r w:rsidRPr="0080659E">
              <w:rPr>
                <w:kern w:val="2"/>
              </w:rPr>
              <w:t>-</w:t>
            </w:r>
          </w:p>
        </w:tc>
        <w:tc>
          <w:tcPr>
            <w:tcW w:w="925" w:type="dxa"/>
          </w:tcPr>
          <w:p w14:paraId="1C01E1DA" w14:textId="714B705E" w:rsidR="005B220F" w:rsidRPr="0080659E" w:rsidRDefault="005B220F" w:rsidP="005B220F">
            <w:pPr>
              <w:pStyle w:val="Tabletext"/>
              <w:keepNext/>
              <w:keepLines/>
              <w:spacing w:before="0" w:after="0" w:line="240" w:lineRule="auto"/>
              <w:ind w:left="0" w:right="0"/>
              <w:rPr>
                <w:kern w:val="2"/>
              </w:rPr>
            </w:pPr>
            <w:r w:rsidRPr="0080659E">
              <w:rPr>
                <w:kern w:val="2"/>
              </w:rPr>
              <w:t>7,</w:t>
            </w:r>
            <w:r w:rsidR="000159A6">
              <w:rPr>
                <w:kern w:val="2"/>
              </w:rPr>
              <w:t xml:space="preserve"> </w:t>
            </w:r>
            <w:r w:rsidRPr="0080659E">
              <w:rPr>
                <w:kern w:val="2"/>
              </w:rPr>
              <w:t>33,</w:t>
            </w:r>
            <w:r w:rsidR="000159A6">
              <w:rPr>
                <w:kern w:val="2"/>
              </w:rPr>
              <w:t xml:space="preserve"> </w:t>
            </w:r>
            <w:r w:rsidRPr="0080659E">
              <w:rPr>
                <w:kern w:val="2"/>
              </w:rPr>
              <w:t>67</w:t>
            </w:r>
          </w:p>
        </w:tc>
        <w:tc>
          <w:tcPr>
            <w:tcW w:w="978" w:type="dxa"/>
          </w:tcPr>
          <w:p w14:paraId="3A1F8934" w14:textId="35D16F99" w:rsidR="005B220F" w:rsidRPr="00E22C9A" w:rsidRDefault="005B220F" w:rsidP="005B220F">
            <w:pPr>
              <w:pStyle w:val="Tabletext"/>
              <w:keepNext/>
              <w:keepLines/>
              <w:spacing w:before="0" w:after="0" w:line="240" w:lineRule="auto"/>
              <w:ind w:left="0" w:right="0"/>
              <w:rPr>
                <w:kern w:val="2"/>
              </w:rPr>
            </w:pPr>
            <w:r w:rsidRPr="00E22C9A">
              <w:rPr>
                <w:kern w:val="2"/>
              </w:rPr>
              <w:t>84,</w:t>
            </w:r>
            <w:r w:rsidR="000159A6">
              <w:rPr>
                <w:kern w:val="2"/>
              </w:rPr>
              <w:t xml:space="preserve"> </w:t>
            </w:r>
            <w:r w:rsidRPr="00E22C9A">
              <w:rPr>
                <w:kern w:val="2"/>
              </w:rPr>
              <w:t>396,</w:t>
            </w:r>
            <w:r w:rsidR="000159A6">
              <w:rPr>
                <w:kern w:val="2"/>
              </w:rPr>
              <w:t xml:space="preserve"> </w:t>
            </w:r>
            <w:r w:rsidRPr="00E22C9A">
              <w:rPr>
                <w:kern w:val="2"/>
              </w:rPr>
              <w:t>804</w:t>
            </w:r>
          </w:p>
        </w:tc>
        <w:tc>
          <w:tcPr>
            <w:tcW w:w="750" w:type="dxa"/>
          </w:tcPr>
          <w:p w14:paraId="098CE974" w14:textId="77777777" w:rsidR="005B220F" w:rsidRPr="00E22C9A" w:rsidRDefault="005B220F" w:rsidP="005B220F">
            <w:pPr>
              <w:pStyle w:val="Tabletext"/>
              <w:keepNext/>
              <w:keepLines/>
              <w:spacing w:before="0" w:after="0" w:line="240" w:lineRule="auto"/>
              <w:ind w:left="0" w:right="0"/>
              <w:rPr>
                <w:kern w:val="2"/>
              </w:rPr>
            </w:pPr>
            <w:r w:rsidRPr="00E22C9A">
              <w:rPr>
                <w:kern w:val="2"/>
              </w:rPr>
              <w:t>-</w:t>
            </w:r>
          </w:p>
        </w:tc>
        <w:tc>
          <w:tcPr>
            <w:tcW w:w="899" w:type="dxa"/>
          </w:tcPr>
          <w:p w14:paraId="0828A354" w14:textId="478F8774" w:rsidR="005B220F" w:rsidRPr="00E22C9A" w:rsidRDefault="005B220F" w:rsidP="005B220F">
            <w:pPr>
              <w:pStyle w:val="Tabletext"/>
              <w:keepNext/>
              <w:keepLines/>
              <w:spacing w:before="0" w:after="0" w:line="240" w:lineRule="auto"/>
              <w:ind w:left="0" w:right="0"/>
              <w:rPr>
                <w:kern w:val="2"/>
              </w:rPr>
            </w:pPr>
            <w:r w:rsidRPr="00E22C9A">
              <w:rPr>
                <w:kern w:val="2"/>
              </w:rPr>
              <w:t>2.5,</w:t>
            </w:r>
            <w:r w:rsidR="000159A6">
              <w:rPr>
                <w:kern w:val="2"/>
              </w:rPr>
              <w:t xml:space="preserve"> </w:t>
            </w:r>
            <w:r w:rsidRPr="00E22C9A">
              <w:rPr>
                <w:kern w:val="2"/>
              </w:rPr>
              <w:t>12,</w:t>
            </w:r>
            <w:r w:rsidR="000159A6">
              <w:rPr>
                <w:kern w:val="2"/>
              </w:rPr>
              <w:t xml:space="preserve"> </w:t>
            </w:r>
            <w:r w:rsidRPr="00E22C9A">
              <w:rPr>
                <w:kern w:val="2"/>
              </w:rPr>
              <w:t>24</w:t>
            </w:r>
          </w:p>
        </w:tc>
      </w:tr>
      <w:tr w:rsidR="005B220F" w:rsidRPr="00EB69F1" w14:paraId="466EA519" w14:textId="77777777" w:rsidTr="005B220F">
        <w:trPr>
          <w:trHeight w:val="221"/>
        </w:trPr>
        <w:tc>
          <w:tcPr>
            <w:tcW w:w="925" w:type="dxa"/>
          </w:tcPr>
          <w:p w14:paraId="0030AE6B" w14:textId="77777777" w:rsidR="005B220F" w:rsidRPr="00AB2564" w:rsidRDefault="005B220F" w:rsidP="005B220F">
            <w:pPr>
              <w:pStyle w:val="Tabletext"/>
              <w:keepNext/>
              <w:keepLines/>
              <w:spacing w:before="40" w:after="40" w:line="240" w:lineRule="auto"/>
              <w:ind w:left="0" w:right="0"/>
              <w:rPr>
                <w:kern w:val="2"/>
              </w:rPr>
            </w:pPr>
            <w:r w:rsidRPr="00AB2564">
              <w:rPr>
                <w:kern w:val="2"/>
              </w:rPr>
              <w:t>Human</w:t>
            </w:r>
          </w:p>
        </w:tc>
        <w:tc>
          <w:tcPr>
            <w:tcW w:w="1651" w:type="dxa"/>
          </w:tcPr>
          <w:p w14:paraId="44B41F3D" w14:textId="77777777" w:rsidR="005B220F" w:rsidRPr="00665425" w:rsidRDefault="005B220F" w:rsidP="005B220F">
            <w:pPr>
              <w:pStyle w:val="Tabletext"/>
              <w:keepNext/>
              <w:keepLines/>
              <w:spacing w:before="40" w:after="40" w:line="240" w:lineRule="auto"/>
              <w:ind w:left="0" w:right="0"/>
              <w:rPr>
                <w:kern w:val="2"/>
              </w:rPr>
            </w:pPr>
            <w:r>
              <w:rPr>
                <w:kern w:val="2"/>
              </w:rPr>
              <w:t>-</w:t>
            </w:r>
          </w:p>
        </w:tc>
        <w:tc>
          <w:tcPr>
            <w:tcW w:w="1651" w:type="dxa"/>
          </w:tcPr>
          <w:p w14:paraId="616C4804" w14:textId="5054A7FA" w:rsidR="005B220F" w:rsidRPr="00665425" w:rsidRDefault="005B220F" w:rsidP="005B220F">
            <w:pPr>
              <w:pStyle w:val="Tabletext"/>
              <w:keepNext/>
              <w:keepLines/>
              <w:spacing w:before="40" w:after="40" w:line="240" w:lineRule="auto"/>
              <w:ind w:left="0" w:right="0"/>
              <w:rPr>
                <w:kern w:val="2"/>
              </w:rPr>
            </w:pPr>
            <w:r w:rsidRPr="00665425">
              <w:rPr>
                <w:kern w:val="2"/>
              </w:rPr>
              <w:t>2</w:t>
            </w:r>
            <w:r w:rsidR="000159A6">
              <w:rPr>
                <w:kern w:val="2"/>
              </w:rPr>
              <w:t xml:space="preserve"> </w:t>
            </w:r>
            <w:r w:rsidRPr="00665425">
              <w:rPr>
                <w:kern w:val="2"/>
              </w:rPr>
              <w:t>doses</w:t>
            </w:r>
          </w:p>
          <w:p w14:paraId="3753893D" w14:textId="1759856D" w:rsidR="005B220F" w:rsidRPr="00665425" w:rsidRDefault="005B220F" w:rsidP="005B220F">
            <w:pPr>
              <w:pStyle w:val="Tabletext"/>
              <w:keepNext/>
              <w:keepLines/>
              <w:spacing w:before="40" w:after="40" w:line="240" w:lineRule="auto"/>
              <w:ind w:left="0" w:right="0"/>
              <w:rPr>
                <w:kern w:val="2"/>
              </w:rPr>
            </w:pPr>
            <w:r w:rsidRPr="00665425">
              <w:rPr>
                <w:kern w:val="2"/>
              </w:rPr>
              <w:t>2-6</w:t>
            </w:r>
            <w:r w:rsidR="000159A6">
              <w:rPr>
                <w:kern w:val="2"/>
              </w:rPr>
              <w:t xml:space="preserve"> </w:t>
            </w:r>
            <w:r w:rsidRPr="00665425">
              <w:rPr>
                <w:kern w:val="2"/>
              </w:rPr>
              <w:t>months</w:t>
            </w:r>
            <w:r w:rsidR="000159A6">
              <w:rPr>
                <w:kern w:val="2"/>
              </w:rPr>
              <w:t xml:space="preserve"> </w:t>
            </w:r>
            <w:r w:rsidRPr="00665425">
              <w:rPr>
                <w:kern w:val="2"/>
              </w:rPr>
              <w:t>apart</w:t>
            </w:r>
          </w:p>
        </w:tc>
        <w:tc>
          <w:tcPr>
            <w:tcW w:w="925" w:type="dxa"/>
          </w:tcPr>
          <w:p w14:paraId="3C45D3CB" w14:textId="77777777" w:rsidR="005B220F" w:rsidRPr="00E22C9A" w:rsidRDefault="005B220F" w:rsidP="008D4538">
            <w:pPr>
              <w:pStyle w:val="Tabletext"/>
              <w:keepNext/>
              <w:keepLines/>
              <w:spacing w:before="0" w:after="0" w:line="240" w:lineRule="auto"/>
              <w:ind w:left="0" w:right="0"/>
              <w:rPr>
                <w:kern w:val="2"/>
              </w:rPr>
            </w:pPr>
            <w:r w:rsidRPr="00E22C9A">
              <w:rPr>
                <w:kern w:val="2"/>
              </w:rPr>
              <w:t>1</w:t>
            </w:r>
            <w:r w:rsidR="008D4538">
              <w:rPr>
                <w:kern w:val="2"/>
              </w:rPr>
              <w:t>*</w:t>
            </w:r>
          </w:p>
        </w:tc>
        <w:tc>
          <w:tcPr>
            <w:tcW w:w="925" w:type="dxa"/>
          </w:tcPr>
          <w:p w14:paraId="4565F757" w14:textId="77777777" w:rsidR="005B220F" w:rsidRPr="00E22C9A" w:rsidRDefault="005B220F" w:rsidP="008D4538">
            <w:pPr>
              <w:pStyle w:val="Tabletext"/>
              <w:keepNext/>
              <w:keepLines/>
              <w:spacing w:before="0" w:after="0" w:line="240" w:lineRule="auto"/>
              <w:ind w:left="0" w:right="0"/>
              <w:rPr>
                <w:kern w:val="2"/>
              </w:rPr>
            </w:pPr>
            <w:r w:rsidRPr="00E22C9A">
              <w:rPr>
                <w:kern w:val="2"/>
              </w:rPr>
              <w:t>1</w:t>
            </w:r>
            <w:r w:rsidR="008D4538">
              <w:rPr>
                <w:kern w:val="2"/>
              </w:rPr>
              <w:t>*</w:t>
            </w:r>
          </w:p>
        </w:tc>
        <w:tc>
          <w:tcPr>
            <w:tcW w:w="978" w:type="dxa"/>
          </w:tcPr>
          <w:p w14:paraId="68128414" w14:textId="77777777" w:rsidR="005B220F" w:rsidRPr="00E22C9A" w:rsidRDefault="005B220F" w:rsidP="005B220F">
            <w:pPr>
              <w:pStyle w:val="Tabletext"/>
              <w:keepNext/>
              <w:keepLines/>
              <w:spacing w:before="0" w:after="0" w:line="240" w:lineRule="auto"/>
              <w:ind w:left="0" w:right="0"/>
              <w:rPr>
                <w:kern w:val="2"/>
              </w:rPr>
            </w:pPr>
            <w:r w:rsidRPr="00E22C9A">
              <w:rPr>
                <w:kern w:val="2"/>
              </w:rPr>
              <w:t>33</w:t>
            </w:r>
          </w:p>
        </w:tc>
        <w:tc>
          <w:tcPr>
            <w:tcW w:w="750" w:type="dxa"/>
          </w:tcPr>
          <w:p w14:paraId="4AE6FC61" w14:textId="77777777" w:rsidR="005B220F" w:rsidRPr="00E22C9A" w:rsidRDefault="005B220F" w:rsidP="005B220F">
            <w:pPr>
              <w:pStyle w:val="Tabletext"/>
              <w:keepNext/>
              <w:keepLines/>
              <w:spacing w:before="0" w:after="0" w:line="240" w:lineRule="auto"/>
              <w:ind w:left="0" w:right="0"/>
              <w:rPr>
                <w:kern w:val="2"/>
              </w:rPr>
            </w:pPr>
            <w:r w:rsidRPr="00E22C9A">
              <w:rPr>
                <w:kern w:val="2"/>
              </w:rPr>
              <w:t>-</w:t>
            </w:r>
          </w:p>
        </w:tc>
        <w:tc>
          <w:tcPr>
            <w:tcW w:w="899" w:type="dxa"/>
          </w:tcPr>
          <w:p w14:paraId="476543E1" w14:textId="77777777" w:rsidR="005B220F" w:rsidRPr="00E22C9A" w:rsidRDefault="005B220F" w:rsidP="005B220F">
            <w:pPr>
              <w:pStyle w:val="Tabletext"/>
              <w:keepNext/>
              <w:keepLines/>
              <w:spacing w:before="0" w:after="0" w:line="240" w:lineRule="auto"/>
              <w:ind w:left="0" w:right="0"/>
              <w:rPr>
                <w:kern w:val="2"/>
              </w:rPr>
            </w:pPr>
            <w:r w:rsidRPr="00E22C9A">
              <w:rPr>
                <w:kern w:val="2"/>
              </w:rPr>
              <w:t>-</w:t>
            </w:r>
          </w:p>
        </w:tc>
      </w:tr>
    </w:tbl>
    <w:p w14:paraId="397A9E24" w14:textId="22FEE018" w:rsidR="005B220F" w:rsidRPr="008F7BC7" w:rsidRDefault="008D4538" w:rsidP="008F7BC7">
      <w:pPr>
        <w:pStyle w:val="TableDescription"/>
      </w:pPr>
      <w:r w:rsidRPr="008F7BC7">
        <w:t>†</w:t>
      </w:r>
      <w:r w:rsidR="000159A6" w:rsidRPr="008F7BC7">
        <w:t xml:space="preserve"> </w:t>
      </w:r>
      <w:proofErr w:type="gramStart"/>
      <w:r w:rsidR="005B220F" w:rsidRPr="008F7BC7">
        <w:t>conversion</w:t>
      </w:r>
      <w:proofErr w:type="gramEnd"/>
      <w:r w:rsidR="000159A6" w:rsidRPr="008F7BC7">
        <w:t xml:space="preserve"> </w:t>
      </w:r>
      <w:r w:rsidR="005B220F" w:rsidRPr="008F7BC7">
        <w:t>factor</w:t>
      </w:r>
      <w:r w:rsidR="000159A6" w:rsidRPr="008F7BC7">
        <w:t xml:space="preserve"> </w:t>
      </w:r>
      <w:r w:rsidR="005B220F" w:rsidRPr="008F7BC7">
        <w:t>from</w:t>
      </w:r>
      <w:r w:rsidR="000159A6" w:rsidRPr="008F7BC7">
        <w:t xml:space="preserve"> </w:t>
      </w:r>
      <w:r w:rsidR="005B220F" w:rsidRPr="008F7BC7">
        <w:t>mg/kg</w:t>
      </w:r>
      <w:r w:rsidR="000159A6" w:rsidRPr="008F7BC7">
        <w:t xml:space="preserve"> </w:t>
      </w:r>
      <w:r w:rsidR="005B220F" w:rsidRPr="008F7BC7">
        <w:t>to</w:t>
      </w:r>
      <w:r w:rsidR="000159A6" w:rsidRPr="008F7BC7">
        <w:t xml:space="preserve"> </w:t>
      </w:r>
      <w:r w:rsidR="005B220F" w:rsidRPr="008F7BC7">
        <w:t>mg/m2</w:t>
      </w:r>
      <w:r w:rsidR="000159A6" w:rsidRPr="008F7BC7">
        <w:t xml:space="preserve"> </w:t>
      </w:r>
      <w:r w:rsidR="005B220F" w:rsidRPr="008F7BC7">
        <w:t>6</w:t>
      </w:r>
      <w:r w:rsidR="000159A6" w:rsidRPr="008F7BC7">
        <w:t xml:space="preserve"> </w:t>
      </w:r>
      <w:r w:rsidR="005B220F" w:rsidRPr="008F7BC7">
        <w:t>for</w:t>
      </w:r>
      <w:r w:rsidR="000159A6" w:rsidRPr="008F7BC7">
        <w:t xml:space="preserve"> </w:t>
      </w:r>
      <w:r w:rsidR="005B220F" w:rsidRPr="008F7BC7">
        <w:t>rats,</w:t>
      </w:r>
      <w:r w:rsidR="000159A6" w:rsidRPr="008F7BC7">
        <w:t xml:space="preserve"> </w:t>
      </w:r>
      <w:r w:rsidR="005B220F" w:rsidRPr="008F7BC7">
        <w:t>12</w:t>
      </w:r>
      <w:r w:rsidR="000159A6" w:rsidRPr="008F7BC7">
        <w:t xml:space="preserve"> </w:t>
      </w:r>
      <w:r w:rsidR="005B220F" w:rsidRPr="008F7BC7">
        <w:t>for</w:t>
      </w:r>
      <w:r w:rsidR="000159A6" w:rsidRPr="008F7BC7">
        <w:t xml:space="preserve"> </w:t>
      </w:r>
      <w:r w:rsidR="005B220F" w:rsidRPr="008F7BC7">
        <w:t>rabbits,</w:t>
      </w:r>
      <w:r w:rsidR="000159A6" w:rsidRPr="008F7BC7">
        <w:t xml:space="preserve"> </w:t>
      </w:r>
      <w:r w:rsidR="005B220F" w:rsidRPr="008F7BC7">
        <w:t>33</w:t>
      </w:r>
      <w:r w:rsidR="000159A6" w:rsidRPr="008F7BC7">
        <w:t xml:space="preserve"> </w:t>
      </w:r>
      <w:r w:rsidR="005B220F" w:rsidRPr="008F7BC7">
        <w:t>for</w:t>
      </w:r>
      <w:r w:rsidR="000159A6" w:rsidRPr="008F7BC7">
        <w:t xml:space="preserve"> </w:t>
      </w:r>
      <w:r w:rsidR="005B220F" w:rsidRPr="008F7BC7">
        <w:t>humans;</w:t>
      </w:r>
      <w:r w:rsidR="000159A6" w:rsidRPr="008F7BC7">
        <w:t xml:space="preserve"> </w:t>
      </w:r>
      <w:r w:rsidRPr="008F7BC7">
        <w:t>#</w:t>
      </w:r>
      <w:r w:rsidR="000159A6" w:rsidRPr="008F7BC7">
        <w:t xml:space="preserve"> </w:t>
      </w:r>
      <w:r w:rsidR="005B220F" w:rsidRPr="008F7BC7">
        <w:t>Animal/human</w:t>
      </w:r>
      <w:r w:rsidR="000159A6" w:rsidRPr="008F7BC7">
        <w:t xml:space="preserve"> </w:t>
      </w:r>
      <w:r w:rsidR="005B220F" w:rsidRPr="008F7BC7">
        <w:t>dose</w:t>
      </w:r>
      <w:r w:rsidR="000159A6" w:rsidRPr="008F7BC7">
        <w:t xml:space="preserve"> </w:t>
      </w:r>
      <w:r w:rsidR="005B220F" w:rsidRPr="008F7BC7">
        <w:t>in</w:t>
      </w:r>
      <w:r w:rsidR="000159A6" w:rsidRPr="008F7BC7">
        <w:t xml:space="preserve"> </w:t>
      </w:r>
      <w:r w:rsidR="005B220F" w:rsidRPr="008F7BC7">
        <w:t>mg/kg</w:t>
      </w:r>
      <w:r w:rsidR="000159A6" w:rsidRPr="008F7BC7">
        <w:t xml:space="preserve"> </w:t>
      </w:r>
      <w:r w:rsidR="005B220F" w:rsidRPr="008F7BC7">
        <w:t>for</w:t>
      </w:r>
      <w:r w:rsidR="000159A6" w:rsidRPr="008F7BC7">
        <w:t xml:space="preserve"> </w:t>
      </w:r>
      <w:r w:rsidR="005B220F" w:rsidRPr="008F7BC7">
        <w:t>gE</w:t>
      </w:r>
      <w:r w:rsidR="000159A6" w:rsidRPr="008F7BC7">
        <w:t xml:space="preserve"> </w:t>
      </w:r>
      <w:r w:rsidR="005B220F" w:rsidRPr="008F7BC7">
        <w:t>Ag</w:t>
      </w:r>
      <w:r w:rsidR="000159A6" w:rsidRPr="008F7BC7">
        <w:t xml:space="preserve"> </w:t>
      </w:r>
      <w:r w:rsidR="005B220F" w:rsidRPr="008F7BC7">
        <w:t>and</w:t>
      </w:r>
      <w:r w:rsidR="000159A6" w:rsidRPr="008F7BC7">
        <w:t xml:space="preserve"> </w:t>
      </w:r>
      <w:r w:rsidR="005B220F" w:rsidRPr="008F7BC7">
        <w:t>in</w:t>
      </w:r>
      <w:r w:rsidR="000159A6" w:rsidRPr="008F7BC7">
        <w:t xml:space="preserve"> </w:t>
      </w:r>
      <w:r w:rsidR="005B220F" w:rsidRPr="008F7BC7">
        <w:t>mg/m2</w:t>
      </w:r>
      <w:r w:rsidR="000159A6" w:rsidRPr="008F7BC7">
        <w:t xml:space="preserve"> </w:t>
      </w:r>
      <w:r w:rsidR="005B220F" w:rsidRPr="008F7BC7">
        <w:t>for</w:t>
      </w:r>
      <w:r w:rsidR="000159A6" w:rsidRPr="008F7BC7">
        <w:t xml:space="preserve"> </w:t>
      </w:r>
      <w:r w:rsidR="005B220F" w:rsidRPr="008F7BC7">
        <w:t>QS-21;</w:t>
      </w:r>
      <w:r w:rsidR="000159A6" w:rsidRPr="008F7BC7">
        <w:t xml:space="preserve"> </w:t>
      </w:r>
      <w:r w:rsidRPr="008F7BC7">
        <w:t>*</w:t>
      </w:r>
      <w:r w:rsidR="000159A6" w:rsidRPr="008F7BC7">
        <w:t xml:space="preserve"> </w:t>
      </w:r>
      <w:r w:rsidR="005B220F" w:rsidRPr="008F7BC7">
        <w:t>50</w:t>
      </w:r>
      <w:r w:rsidR="000159A6" w:rsidRPr="008F7BC7">
        <w:t xml:space="preserve"> </w:t>
      </w:r>
      <w:r w:rsidR="005B220F" w:rsidRPr="008F7BC7">
        <w:t>µg</w:t>
      </w:r>
      <w:r w:rsidR="000159A6" w:rsidRPr="008F7BC7">
        <w:t xml:space="preserve"> </w:t>
      </w:r>
      <w:r w:rsidR="005B220F" w:rsidRPr="008F7BC7">
        <w:t>dose</w:t>
      </w:r>
      <w:r w:rsidR="000159A6" w:rsidRPr="008F7BC7">
        <w:t xml:space="preserve"> </w:t>
      </w:r>
      <w:r w:rsidR="005B220F" w:rsidRPr="008F7BC7">
        <w:t>and</w:t>
      </w:r>
      <w:r w:rsidR="000159A6" w:rsidRPr="008F7BC7">
        <w:t xml:space="preserve"> </w:t>
      </w:r>
      <w:r w:rsidR="005B220F" w:rsidRPr="008F7BC7">
        <w:t>assuming</w:t>
      </w:r>
      <w:r w:rsidR="000159A6" w:rsidRPr="008F7BC7">
        <w:t xml:space="preserve"> </w:t>
      </w:r>
      <w:r w:rsidR="005B220F" w:rsidRPr="008F7BC7">
        <w:t>50</w:t>
      </w:r>
      <w:r w:rsidR="000159A6" w:rsidRPr="008F7BC7">
        <w:t xml:space="preserve"> </w:t>
      </w:r>
      <w:r w:rsidR="005B220F" w:rsidRPr="008F7BC7">
        <w:t>kg</w:t>
      </w:r>
      <w:r w:rsidR="000159A6" w:rsidRPr="008F7BC7">
        <w:t xml:space="preserve"> </w:t>
      </w:r>
      <w:r w:rsidR="005B220F" w:rsidRPr="008F7BC7">
        <w:t>body</w:t>
      </w:r>
      <w:r w:rsidR="000159A6" w:rsidRPr="008F7BC7">
        <w:t xml:space="preserve"> </w:t>
      </w:r>
      <w:r w:rsidR="005B220F" w:rsidRPr="008F7BC7">
        <w:t>weight</w:t>
      </w:r>
    </w:p>
    <w:p w14:paraId="42235372" w14:textId="2469D488" w:rsidR="00FF12AA" w:rsidRDefault="005B220F" w:rsidP="00C5388D">
      <w:r w:rsidRPr="00930F91">
        <w:t>Treatment</w:t>
      </w:r>
      <w:r w:rsidR="000159A6">
        <w:t xml:space="preserve"> </w:t>
      </w:r>
      <w:r w:rsidRPr="00930F91">
        <w:t>of</w:t>
      </w:r>
      <w:r w:rsidR="000159A6">
        <w:t xml:space="preserve"> </w:t>
      </w:r>
      <w:r w:rsidRPr="00930F91">
        <w:t>male</w:t>
      </w:r>
      <w:r w:rsidR="000159A6">
        <w:t xml:space="preserve"> </w:t>
      </w:r>
      <w:r w:rsidRPr="00930F91">
        <w:t>rats</w:t>
      </w:r>
      <w:r w:rsidR="000159A6">
        <w:t xml:space="preserve"> </w:t>
      </w:r>
      <w:r w:rsidRPr="00930F91">
        <w:t>with</w:t>
      </w:r>
      <w:r w:rsidR="000159A6">
        <w:t xml:space="preserve"> </w:t>
      </w:r>
      <w:r>
        <w:t>40</w:t>
      </w:r>
      <w:r w:rsidR="000159A6">
        <w:t xml:space="preserve"> </w:t>
      </w:r>
      <w:r>
        <w:t>µg/kg</w:t>
      </w:r>
      <w:r w:rsidR="000159A6">
        <w:t xml:space="preserve"> </w:t>
      </w:r>
      <w:r w:rsidRPr="00930F91">
        <w:t>gE</w:t>
      </w:r>
      <w:r w:rsidR="000159A6">
        <w:t xml:space="preserve"> </w:t>
      </w:r>
      <w:r>
        <w:t>in</w:t>
      </w:r>
      <w:r w:rsidR="000159A6">
        <w:t xml:space="preserve"> </w:t>
      </w:r>
      <w:r w:rsidR="00503D1B">
        <w:t>AS01</w:t>
      </w:r>
      <w:r w:rsidR="00503D1B" w:rsidRPr="00570F2D">
        <w:rPr>
          <w:vertAlign w:val="subscript"/>
        </w:rPr>
        <w:t>B</w:t>
      </w:r>
      <w:r w:rsidR="000159A6">
        <w:t xml:space="preserve"> </w:t>
      </w:r>
      <w:r>
        <w:t>(40</w:t>
      </w:r>
      <w:r w:rsidR="000159A6">
        <w:t xml:space="preserve"> </w:t>
      </w:r>
      <w:r>
        <w:t>times</w:t>
      </w:r>
      <w:r w:rsidR="000159A6">
        <w:t xml:space="preserve"> </w:t>
      </w:r>
      <w:r>
        <w:t>the</w:t>
      </w:r>
      <w:r w:rsidR="000159A6">
        <w:t xml:space="preserve"> </w:t>
      </w:r>
      <w:r>
        <w:t>clinical</w:t>
      </w:r>
      <w:r w:rsidR="000159A6">
        <w:t xml:space="preserve"> </w:t>
      </w:r>
      <w:r>
        <w:t>dose</w:t>
      </w:r>
      <w:r w:rsidR="000159A6">
        <w:t xml:space="preserve"> </w:t>
      </w:r>
      <w:r>
        <w:t>on</w:t>
      </w:r>
      <w:r w:rsidR="000159A6">
        <w:t xml:space="preserve"> </w:t>
      </w:r>
      <w:r>
        <w:t>µg/kg</w:t>
      </w:r>
      <w:r w:rsidR="000159A6">
        <w:t xml:space="preserve"> </w:t>
      </w:r>
      <w:r>
        <w:t>body</w:t>
      </w:r>
      <w:r w:rsidR="000159A6">
        <w:t xml:space="preserve"> </w:t>
      </w:r>
      <w:r>
        <w:t>weight</w:t>
      </w:r>
      <w:r w:rsidR="000159A6">
        <w:t xml:space="preserve"> </w:t>
      </w:r>
      <w:r>
        <w:t>basis)</w:t>
      </w:r>
      <w:r w:rsidR="000159A6">
        <w:t xml:space="preserve"> </w:t>
      </w:r>
      <w:r w:rsidRPr="00930F91">
        <w:t>or</w:t>
      </w:r>
      <w:r w:rsidR="000159A6">
        <w:t xml:space="preserve"> </w:t>
      </w:r>
      <w:r>
        <w:t>up</w:t>
      </w:r>
      <w:r w:rsidR="000159A6">
        <w:t xml:space="preserve"> </w:t>
      </w:r>
      <w:r>
        <w:t>to</w:t>
      </w:r>
      <w:r w:rsidR="000159A6">
        <w:t xml:space="preserve"> </w:t>
      </w:r>
      <w:r>
        <w:t>80</w:t>
      </w:r>
      <w:r w:rsidR="000159A6">
        <w:t xml:space="preserve"> </w:t>
      </w:r>
      <w:r>
        <w:t>µg/kg</w:t>
      </w:r>
      <w:r w:rsidR="000159A6">
        <w:t xml:space="preserve"> </w:t>
      </w:r>
      <w:r w:rsidRPr="00930F91">
        <w:t>adjuvant</w:t>
      </w:r>
      <w:r w:rsidR="000159A6">
        <w:t xml:space="preserve"> </w:t>
      </w:r>
      <w:r w:rsidR="00503D1B">
        <w:t>AS01</w:t>
      </w:r>
      <w:r w:rsidR="00503D1B" w:rsidRPr="00570F2D">
        <w:rPr>
          <w:vertAlign w:val="subscript"/>
        </w:rPr>
        <w:t>B</w:t>
      </w:r>
      <w:r w:rsidR="000159A6">
        <w:t xml:space="preserve"> </w:t>
      </w:r>
      <w:r w:rsidRPr="00930F91">
        <w:t>alone</w:t>
      </w:r>
      <w:r w:rsidR="000159A6">
        <w:t xml:space="preserve"> </w:t>
      </w:r>
      <w:r>
        <w:t>(7</w:t>
      </w:r>
      <w:r w:rsidR="000159A6">
        <w:t xml:space="preserve"> </w:t>
      </w:r>
      <w:r>
        <w:t>times</w:t>
      </w:r>
      <w:r w:rsidR="000159A6">
        <w:t xml:space="preserve"> </w:t>
      </w:r>
      <w:r>
        <w:t>the</w:t>
      </w:r>
      <w:r w:rsidR="000159A6">
        <w:t xml:space="preserve"> </w:t>
      </w:r>
      <w:r>
        <w:t>human</w:t>
      </w:r>
      <w:r w:rsidR="000159A6">
        <w:t xml:space="preserve"> </w:t>
      </w:r>
      <w:r>
        <w:t>dose</w:t>
      </w:r>
      <w:r w:rsidR="000159A6">
        <w:t xml:space="preserve"> </w:t>
      </w:r>
      <w:r>
        <w:t>on</w:t>
      </w:r>
      <w:r w:rsidR="000159A6">
        <w:t xml:space="preserve"> </w:t>
      </w:r>
      <w:r>
        <w:t>a</w:t>
      </w:r>
      <w:r w:rsidR="000159A6">
        <w:t xml:space="preserve"> </w:t>
      </w:r>
      <w:r>
        <w:t>µg</w:t>
      </w:r>
      <w:r w:rsidRPr="00960DD5">
        <w:t>/m</w:t>
      </w:r>
      <w:r w:rsidRPr="00960DD5">
        <w:rPr>
          <w:vertAlign w:val="superscript"/>
        </w:rPr>
        <w:t>2</w:t>
      </w:r>
      <w:r w:rsidR="000159A6">
        <w:t xml:space="preserve"> </w:t>
      </w:r>
      <w:r>
        <w:t>body</w:t>
      </w:r>
      <w:r w:rsidR="000159A6">
        <w:t xml:space="preserve"> </w:t>
      </w:r>
      <w:r>
        <w:t>surface</w:t>
      </w:r>
      <w:r w:rsidR="000159A6">
        <w:t xml:space="preserve"> </w:t>
      </w:r>
      <w:r>
        <w:t>area</w:t>
      </w:r>
      <w:r w:rsidR="000159A6">
        <w:t xml:space="preserve"> </w:t>
      </w:r>
      <w:r>
        <w:t>basis)</w:t>
      </w:r>
      <w:r w:rsidR="000159A6">
        <w:t xml:space="preserve"> </w:t>
      </w:r>
      <w:r>
        <w:t>3</w:t>
      </w:r>
      <w:r w:rsidR="000159A6">
        <w:t xml:space="preserve"> </w:t>
      </w:r>
      <w:r>
        <w:t>times</w:t>
      </w:r>
      <w:r w:rsidR="000159A6">
        <w:t xml:space="preserve"> </w:t>
      </w:r>
      <w:r>
        <w:t>before</w:t>
      </w:r>
      <w:r w:rsidR="000159A6">
        <w:t xml:space="preserve"> </w:t>
      </w:r>
      <w:r>
        <w:t>mating</w:t>
      </w:r>
      <w:r w:rsidR="000159A6">
        <w:t xml:space="preserve"> </w:t>
      </w:r>
      <w:r w:rsidRPr="00930F91">
        <w:t>did</w:t>
      </w:r>
      <w:r w:rsidR="000159A6">
        <w:t xml:space="preserve"> </w:t>
      </w:r>
      <w:r w:rsidRPr="00930F91">
        <w:t>not</w:t>
      </w:r>
      <w:r w:rsidR="000159A6">
        <w:t xml:space="preserve"> </w:t>
      </w:r>
      <w:r w:rsidRPr="00930F91">
        <w:t>affect</w:t>
      </w:r>
      <w:r w:rsidR="000159A6">
        <w:t xml:space="preserve"> </w:t>
      </w:r>
      <w:r w:rsidRPr="00930F91">
        <w:t>male</w:t>
      </w:r>
      <w:r w:rsidR="000159A6">
        <w:t xml:space="preserve"> </w:t>
      </w:r>
      <w:r w:rsidRPr="00930F91">
        <w:t>mating</w:t>
      </w:r>
      <w:r w:rsidR="000159A6">
        <w:t xml:space="preserve"> </w:t>
      </w:r>
      <w:r w:rsidRPr="00930F91">
        <w:t>performance,</w:t>
      </w:r>
      <w:r w:rsidR="000159A6">
        <w:t xml:space="preserve"> </w:t>
      </w:r>
      <w:r w:rsidRPr="00930F91">
        <w:t>fertility</w:t>
      </w:r>
      <w:r>
        <w:t>,</w:t>
      </w:r>
      <w:r w:rsidR="000159A6">
        <w:t xml:space="preserve"> </w:t>
      </w:r>
      <w:r w:rsidRPr="00930F91">
        <w:t>early</w:t>
      </w:r>
      <w:r w:rsidR="000159A6">
        <w:t xml:space="preserve"> </w:t>
      </w:r>
      <w:r w:rsidRPr="00930F91">
        <w:t>embryonic</w:t>
      </w:r>
      <w:r w:rsidR="000159A6">
        <w:t xml:space="preserve"> </w:t>
      </w:r>
      <w:r w:rsidRPr="00930F91">
        <w:t>development</w:t>
      </w:r>
      <w:r w:rsidR="000159A6">
        <w:t xml:space="preserve"> </w:t>
      </w:r>
      <w:r>
        <w:t>or</w:t>
      </w:r>
      <w:r w:rsidR="000159A6">
        <w:t xml:space="preserve"> </w:t>
      </w:r>
      <w:r>
        <w:t>male</w:t>
      </w:r>
      <w:r w:rsidR="000159A6">
        <w:t xml:space="preserve"> </w:t>
      </w:r>
      <w:r>
        <w:t>reproductive</w:t>
      </w:r>
      <w:r w:rsidR="000159A6">
        <w:t xml:space="preserve"> </w:t>
      </w:r>
      <w:r>
        <w:t>organs</w:t>
      </w:r>
      <w:r w:rsidR="000159A6">
        <w:t xml:space="preserve"> </w:t>
      </w:r>
      <w:r>
        <w:t>(histopathology</w:t>
      </w:r>
      <w:r w:rsidR="000159A6">
        <w:t xml:space="preserve"> </w:t>
      </w:r>
      <w:r>
        <w:t>and</w:t>
      </w:r>
      <w:r w:rsidR="000159A6">
        <w:t xml:space="preserve"> </w:t>
      </w:r>
      <w:r>
        <w:t>sperm</w:t>
      </w:r>
      <w:r w:rsidR="000159A6">
        <w:t xml:space="preserve"> </w:t>
      </w:r>
      <w:r>
        <w:t>analysis)</w:t>
      </w:r>
      <w:r w:rsidRPr="00930F91">
        <w:t>.</w:t>
      </w:r>
      <w:r w:rsidR="000159A6">
        <w:t xml:space="preserve"> </w:t>
      </w:r>
      <w:r w:rsidRPr="00B101D4">
        <w:t>Female</w:t>
      </w:r>
      <w:r w:rsidR="000159A6">
        <w:t xml:space="preserve"> </w:t>
      </w:r>
      <w:r w:rsidRPr="00B101D4">
        <w:t>rats</w:t>
      </w:r>
      <w:r w:rsidR="000159A6">
        <w:t xml:space="preserve"> </w:t>
      </w:r>
      <w:r w:rsidRPr="00B101D4">
        <w:t>treated</w:t>
      </w:r>
      <w:r w:rsidR="000159A6">
        <w:t xml:space="preserve"> </w:t>
      </w:r>
      <w:r w:rsidRPr="00B101D4">
        <w:t>with</w:t>
      </w:r>
      <w:r w:rsidR="000159A6">
        <w:t xml:space="preserve"> </w:t>
      </w:r>
      <w:r>
        <w:t>0.2</w:t>
      </w:r>
      <w:r w:rsidR="000159A6">
        <w:t xml:space="preserve"> </w:t>
      </w:r>
      <w:r>
        <w:t>ml</w:t>
      </w:r>
      <w:r w:rsidR="000159A6">
        <w:t xml:space="preserve"> </w:t>
      </w:r>
      <w:r w:rsidRPr="008D4538">
        <w:t>Shingrix</w:t>
      </w:r>
      <w:r w:rsidR="000159A6">
        <w:t xml:space="preserve"> </w:t>
      </w:r>
      <w:r>
        <w:t>(80</w:t>
      </w:r>
      <w:r w:rsidR="000159A6">
        <w:t xml:space="preserve"> </w:t>
      </w:r>
      <w:r>
        <w:t>µg</w:t>
      </w:r>
      <w:r w:rsidR="000159A6">
        <w:t xml:space="preserve"> </w:t>
      </w:r>
      <w:r w:rsidRPr="00B101D4">
        <w:t>gE</w:t>
      </w:r>
      <w:r w:rsidR="000159A6">
        <w:t xml:space="preserve"> </w:t>
      </w:r>
      <w:r>
        <w:t>in</w:t>
      </w:r>
      <w:r w:rsidR="000159A6">
        <w:t xml:space="preserve"> </w:t>
      </w:r>
      <w:r w:rsidR="00503D1B">
        <w:t>AS01</w:t>
      </w:r>
      <w:r w:rsidR="00503D1B" w:rsidRPr="00570F2D">
        <w:rPr>
          <w:vertAlign w:val="subscript"/>
        </w:rPr>
        <w:t>B</w:t>
      </w:r>
      <w:r>
        <w:t>,</w:t>
      </w:r>
      <w:r w:rsidR="000159A6">
        <w:t xml:space="preserve"> </w:t>
      </w:r>
      <w:r>
        <w:t>80</w:t>
      </w:r>
      <w:r w:rsidR="000159A6">
        <w:t xml:space="preserve"> </w:t>
      </w:r>
      <w:r>
        <w:t>times</w:t>
      </w:r>
      <w:r w:rsidR="000159A6">
        <w:t xml:space="preserve"> </w:t>
      </w:r>
      <w:r>
        <w:t>the</w:t>
      </w:r>
      <w:r w:rsidR="000159A6">
        <w:t xml:space="preserve"> </w:t>
      </w:r>
      <w:r>
        <w:t>clinical</w:t>
      </w:r>
      <w:r w:rsidR="000159A6">
        <w:t xml:space="preserve"> </w:t>
      </w:r>
      <w:r>
        <w:t>dose</w:t>
      </w:r>
      <w:r w:rsidR="000159A6">
        <w:t xml:space="preserve"> </w:t>
      </w:r>
      <w:r>
        <w:t>on</w:t>
      </w:r>
      <w:r w:rsidR="000159A6">
        <w:t xml:space="preserve"> </w:t>
      </w:r>
      <w:r>
        <w:t>a</w:t>
      </w:r>
      <w:r w:rsidR="000159A6">
        <w:t xml:space="preserve"> </w:t>
      </w:r>
      <w:r>
        <w:t>µg/kg</w:t>
      </w:r>
      <w:r w:rsidR="000159A6">
        <w:t xml:space="preserve"> </w:t>
      </w:r>
      <w:r>
        <w:t>body</w:t>
      </w:r>
      <w:r w:rsidR="000159A6">
        <w:t xml:space="preserve"> </w:t>
      </w:r>
      <w:r>
        <w:t>weight</w:t>
      </w:r>
      <w:r w:rsidR="000159A6">
        <w:t xml:space="preserve"> </w:t>
      </w:r>
      <w:r>
        <w:t>basis)</w:t>
      </w:r>
      <w:r w:rsidR="000159A6">
        <w:t xml:space="preserve"> </w:t>
      </w:r>
      <w:r w:rsidRPr="00B101D4">
        <w:t>or</w:t>
      </w:r>
      <w:r w:rsidR="000159A6">
        <w:t xml:space="preserve"> </w:t>
      </w:r>
      <w:r>
        <w:t>80</w:t>
      </w:r>
      <w:r w:rsidR="000159A6">
        <w:t xml:space="preserve"> </w:t>
      </w:r>
      <w:r>
        <w:t>µg/kg</w:t>
      </w:r>
      <w:r w:rsidR="000159A6">
        <w:t xml:space="preserve"> </w:t>
      </w:r>
      <w:r w:rsidRPr="00B101D4">
        <w:t>adjuvant</w:t>
      </w:r>
      <w:r w:rsidR="000159A6">
        <w:t xml:space="preserve"> </w:t>
      </w:r>
      <w:r w:rsidR="00503D1B">
        <w:t>AS01</w:t>
      </w:r>
      <w:r w:rsidR="00503D1B" w:rsidRPr="00570F2D">
        <w:rPr>
          <w:vertAlign w:val="subscript"/>
        </w:rPr>
        <w:t>B</w:t>
      </w:r>
      <w:r w:rsidR="000159A6">
        <w:t xml:space="preserve"> </w:t>
      </w:r>
      <w:r>
        <w:t>(</w:t>
      </w:r>
      <w:r w:rsidRPr="00B101D4">
        <w:t>15</w:t>
      </w:r>
      <w:r w:rsidR="000159A6">
        <w:t xml:space="preserve"> </w:t>
      </w:r>
      <w:r w:rsidRPr="00B101D4">
        <w:t>times</w:t>
      </w:r>
      <w:r w:rsidR="000159A6">
        <w:t xml:space="preserve"> </w:t>
      </w:r>
      <w:r w:rsidRPr="00B101D4">
        <w:t>the</w:t>
      </w:r>
      <w:r w:rsidR="000159A6">
        <w:t xml:space="preserve"> </w:t>
      </w:r>
      <w:r w:rsidRPr="00B101D4">
        <w:t>human</w:t>
      </w:r>
      <w:r w:rsidR="000159A6">
        <w:t xml:space="preserve"> </w:t>
      </w:r>
      <w:r w:rsidRPr="00B101D4">
        <w:t>dose</w:t>
      </w:r>
      <w:r w:rsidR="000159A6">
        <w:t xml:space="preserve"> </w:t>
      </w:r>
      <w:r w:rsidRPr="00B101D4">
        <w:t>on</w:t>
      </w:r>
      <w:r w:rsidR="000159A6">
        <w:t xml:space="preserve"> </w:t>
      </w:r>
      <w:r w:rsidRPr="00B101D4">
        <w:t>a</w:t>
      </w:r>
      <w:r w:rsidR="000159A6">
        <w:t xml:space="preserve"> </w:t>
      </w:r>
      <w:r>
        <w:t>µg</w:t>
      </w:r>
      <w:r w:rsidRPr="00B101D4">
        <w:t>/m</w:t>
      </w:r>
      <w:r w:rsidRPr="00B101D4">
        <w:rPr>
          <w:vertAlign w:val="superscript"/>
        </w:rPr>
        <w:t>2</w:t>
      </w:r>
      <w:r w:rsidR="000159A6">
        <w:t xml:space="preserve"> </w:t>
      </w:r>
      <w:r w:rsidRPr="00B101D4">
        <w:t>body</w:t>
      </w:r>
      <w:r w:rsidR="000159A6">
        <w:t xml:space="preserve"> </w:t>
      </w:r>
      <w:r w:rsidRPr="00B101D4">
        <w:t>surface</w:t>
      </w:r>
      <w:r w:rsidR="000159A6">
        <w:t xml:space="preserve"> </w:t>
      </w:r>
      <w:r w:rsidRPr="00B101D4">
        <w:t>area</w:t>
      </w:r>
      <w:r w:rsidR="000159A6">
        <w:t xml:space="preserve"> </w:t>
      </w:r>
      <w:r w:rsidRPr="00B101D4">
        <w:t>basis</w:t>
      </w:r>
      <w:r>
        <w:t>)</w:t>
      </w:r>
      <w:r w:rsidR="000159A6">
        <w:t xml:space="preserve"> </w:t>
      </w:r>
      <w:r>
        <w:t>twice</w:t>
      </w:r>
      <w:r w:rsidR="000159A6">
        <w:t xml:space="preserve"> </w:t>
      </w:r>
      <w:r w:rsidRPr="00B101D4">
        <w:t>before</w:t>
      </w:r>
      <w:r w:rsidR="000159A6">
        <w:t xml:space="preserve"> </w:t>
      </w:r>
      <w:r>
        <w:t>mating</w:t>
      </w:r>
      <w:r w:rsidR="000159A6">
        <w:t xml:space="preserve"> </w:t>
      </w:r>
      <w:r w:rsidRPr="00B101D4">
        <w:t>and</w:t>
      </w:r>
      <w:r w:rsidR="000159A6">
        <w:t xml:space="preserve"> </w:t>
      </w:r>
      <w:r w:rsidRPr="00B101D4">
        <w:t>then</w:t>
      </w:r>
      <w:r w:rsidR="000159A6">
        <w:t xml:space="preserve"> </w:t>
      </w:r>
      <w:r w:rsidRPr="00B101D4">
        <w:t>on</w:t>
      </w:r>
      <w:r w:rsidR="000159A6">
        <w:t xml:space="preserve"> </w:t>
      </w:r>
      <w:r w:rsidRPr="00B101D4">
        <w:t>Days</w:t>
      </w:r>
      <w:r w:rsidR="000159A6">
        <w:t xml:space="preserve"> </w:t>
      </w:r>
      <w:r w:rsidRPr="00B101D4">
        <w:t>3,</w:t>
      </w:r>
      <w:r w:rsidR="000159A6">
        <w:t xml:space="preserve"> </w:t>
      </w:r>
      <w:r w:rsidRPr="00B101D4">
        <w:t>8,</w:t>
      </w:r>
      <w:r w:rsidR="000159A6">
        <w:t xml:space="preserve"> </w:t>
      </w:r>
      <w:r w:rsidRPr="00B101D4">
        <w:t>11</w:t>
      </w:r>
      <w:r w:rsidR="000159A6">
        <w:t xml:space="preserve"> </w:t>
      </w:r>
      <w:r w:rsidRPr="00B101D4">
        <w:t>and</w:t>
      </w:r>
      <w:r w:rsidR="000159A6">
        <w:t xml:space="preserve"> </w:t>
      </w:r>
      <w:r w:rsidRPr="00B101D4">
        <w:t>15</w:t>
      </w:r>
      <w:r w:rsidR="000159A6">
        <w:t xml:space="preserve"> </w:t>
      </w:r>
      <w:r w:rsidRPr="00B101D4">
        <w:t>of</w:t>
      </w:r>
      <w:r w:rsidR="000159A6">
        <w:t xml:space="preserve"> </w:t>
      </w:r>
      <w:r w:rsidRPr="00B101D4">
        <w:t>gestation</w:t>
      </w:r>
      <w:r w:rsidR="000159A6">
        <w:t xml:space="preserve"> </w:t>
      </w:r>
      <w:r w:rsidRPr="00B101D4">
        <w:t>and</w:t>
      </w:r>
      <w:r w:rsidR="000159A6">
        <w:t xml:space="preserve"> </w:t>
      </w:r>
      <w:r w:rsidRPr="00B101D4">
        <w:t>on</w:t>
      </w:r>
      <w:r w:rsidR="000159A6">
        <w:t xml:space="preserve"> </w:t>
      </w:r>
      <w:r w:rsidRPr="00B101D4">
        <w:t>Day</w:t>
      </w:r>
      <w:r w:rsidR="000159A6">
        <w:t xml:space="preserve"> </w:t>
      </w:r>
      <w:r w:rsidRPr="00B101D4">
        <w:t>7</w:t>
      </w:r>
      <w:r w:rsidR="000159A6">
        <w:t xml:space="preserve"> </w:t>
      </w:r>
      <w:r w:rsidRPr="00B101D4">
        <w:t>of</w:t>
      </w:r>
      <w:r w:rsidR="000159A6">
        <w:t xml:space="preserve"> </w:t>
      </w:r>
      <w:r w:rsidRPr="00B101D4">
        <w:t>lactation</w:t>
      </w:r>
      <w:r w:rsidR="000159A6">
        <w:t xml:space="preserve"> </w:t>
      </w:r>
      <w:r>
        <w:t>showed</w:t>
      </w:r>
      <w:r w:rsidR="000159A6">
        <w:t xml:space="preserve"> </w:t>
      </w:r>
      <w:r w:rsidRPr="00B101D4">
        <w:t>slight,</w:t>
      </w:r>
      <w:r w:rsidR="000159A6">
        <w:t xml:space="preserve"> </w:t>
      </w:r>
      <w:r w:rsidRPr="00B101D4">
        <w:t>transient</w:t>
      </w:r>
      <w:r w:rsidR="000159A6">
        <w:t xml:space="preserve"> </w:t>
      </w:r>
      <w:r w:rsidRPr="00B101D4">
        <w:t>swelling</w:t>
      </w:r>
      <w:r w:rsidR="000159A6">
        <w:t xml:space="preserve"> </w:t>
      </w:r>
      <w:r w:rsidRPr="00B101D4">
        <w:t>at</w:t>
      </w:r>
      <w:r w:rsidR="000159A6">
        <w:t xml:space="preserve"> </w:t>
      </w:r>
      <w:r w:rsidRPr="00B101D4">
        <w:t>the</w:t>
      </w:r>
      <w:r w:rsidR="000159A6">
        <w:t xml:space="preserve"> </w:t>
      </w:r>
      <w:r w:rsidRPr="00B101D4">
        <w:t>injection</w:t>
      </w:r>
      <w:r w:rsidR="000159A6">
        <w:t xml:space="preserve"> </w:t>
      </w:r>
      <w:r w:rsidRPr="00B101D4">
        <w:t>site</w:t>
      </w:r>
      <w:r w:rsidR="000159A6">
        <w:t xml:space="preserve"> </w:t>
      </w:r>
      <w:r>
        <w:t>with</w:t>
      </w:r>
      <w:r w:rsidR="000159A6">
        <w:t xml:space="preserve"> </w:t>
      </w:r>
      <w:r>
        <w:t>no</w:t>
      </w:r>
      <w:r w:rsidR="000159A6">
        <w:t xml:space="preserve"> </w:t>
      </w:r>
      <w:r w:rsidRPr="00B101D4">
        <w:t>adverse</w:t>
      </w:r>
      <w:r w:rsidR="000159A6">
        <w:t xml:space="preserve"> </w:t>
      </w:r>
      <w:r w:rsidRPr="00B101D4">
        <w:t>effect</w:t>
      </w:r>
      <w:r w:rsidR="000159A6">
        <w:t xml:space="preserve"> </w:t>
      </w:r>
      <w:r>
        <w:t>on</w:t>
      </w:r>
      <w:r w:rsidR="000159A6">
        <w:t xml:space="preserve"> </w:t>
      </w:r>
      <w:r w:rsidRPr="00B101D4">
        <w:t>embryo-fetal</w:t>
      </w:r>
      <w:r w:rsidR="000159A6">
        <w:t xml:space="preserve"> </w:t>
      </w:r>
      <w:r w:rsidRPr="00B101D4">
        <w:t>or</w:t>
      </w:r>
      <w:r w:rsidR="000159A6">
        <w:t xml:space="preserve"> </w:t>
      </w:r>
      <w:r w:rsidRPr="00B101D4">
        <w:t>pre-</w:t>
      </w:r>
      <w:r w:rsidR="000159A6">
        <w:t xml:space="preserve"> </w:t>
      </w:r>
      <w:r w:rsidRPr="00B101D4">
        <w:t>and</w:t>
      </w:r>
      <w:r w:rsidR="000159A6">
        <w:t xml:space="preserve"> </w:t>
      </w:r>
      <w:r w:rsidRPr="00B101D4">
        <w:t>post-natal</w:t>
      </w:r>
      <w:r w:rsidR="000159A6">
        <w:t xml:space="preserve"> </w:t>
      </w:r>
      <w:r w:rsidRPr="00B101D4">
        <w:t>survival,</w:t>
      </w:r>
      <w:r w:rsidR="000159A6">
        <w:t xml:space="preserve"> </w:t>
      </w:r>
      <w:r w:rsidRPr="00B101D4">
        <w:t>growth</w:t>
      </w:r>
      <w:r w:rsidR="000159A6">
        <w:t xml:space="preserve"> </w:t>
      </w:r>
      <w:r w:rsidRPr="00B101D4">
        <w:t>or</w:t>
      </w:r>
      <w:r w:rsidR="000159A6">
        <w:t xml:space="preserve"> </w:t>
      </w:r>
      <w:r w:rsidRPr="00B101D4">
        <w:t>development</w:t>
      </w:r>
      <w:r w:rsidR="000159A6">
        <w:t xml:space="preserve"> </w:t>
      </w:r>
      <w:r w:rsidRPr="00B101D4">
        <w:t>of</w:t>
      </w:r>
      <w:r w:rsidR="000159A6">
        <w:t xml:space="preserve"> </w:t>
      </w:r>
      <w:r w:rsidRPr="00B101D4">
        <w:t>the</w:t>
      </w:r>
      <w:r w:rsidR="000159A6">
        <w:t xml:space="preserve"> </w:t>
      </w:r>
      <w:r w:rsidRPr="00B101D4">
        <w:t>offspring</w:t>
      </w:r>
      <w:r w:rsidR="000159A6">
        <w:t xml:space="preserve"> </w:t>
      </w:r>
      <w:r w:rsidRPr="00B101D4">
        <w:t>up</w:t>
      </w:r>
      <w:r w:rsidR="000159A6">
        <w:t xml:space="preserve"> </w:t>
      </w:r>
      <w:r w:rsidRPr="00B101D4">
        <w:t>to</w:t>
      </w:r>
      <w:r w:rsidR="000159A6">
        <w:t xml:space="preserve"> </w:t>
      </w:r>
      <w:r w:rsidRPr="00B101D4">
        <w:t>25</w:t>
      </w:r>
      <w:r w:rsidR="000159A6">
        <w:t xml:space="preserve"> </w:t>
      </w:r>
      <w:r>
        <w:t>days</w:t>
      </w:r>
      <w:r w:rsidR="000159A6">
        <w:t xml:space="preserve"> </w:t>
      </w:r>
      <w:r w:rsidRPr="00B101D4">
        <w:t>of</w:t>
      </w:r>
      <w:r w:rsidR="000159A6">
        <w:t xml:space="preserve"> </w:t>
      </w:r>
      <w:r w:rsidRPr="00B101D4">
        <w:t>age</w:t>
      </w:r>
      <w:r w:rsidR="00FF12AA">
        <w:t>.</w:t>
      </w:r>
    </w:p>
    <w:p w14:paraId="69944BF5" w14:textId="44AEC4D6" w:rsidR="005B220F" w:rsidRDefault="005B220F" w:rsidP="00C5388D">
      <w:r w:rsidRPr="00B7056D">
        <w:t>Two</w:t>
      </w:r>
      <w:r w:rsidR="000159A6">
        <w:t xml:space="preserve"> </w:t>
      </w:r>
      <w:r w:rsidRPr="00B7056D">
        <w:t>reproductive</w:t>
      </w:r>
      <w:r w:rsidR="000159A6">
        <w:t xml:space="preserve"> </w:t>
      </w:r>
      <w:r w:rsidRPr="00B7056D">
        <w:t>studies</w:t>
      </w:r>
      <w:r w:rsidR="000159A6">
        <w:t xml:space="preserve"> </w:t>
      </w:r>
      <w:r w:rsidRPr="00B7056D">
        <w:t>on</w:t>
      </w:r>
      <w:r w:rsidR="000159A6">
        <w:t xml:space="preserve"> </w:t>
      </w:r>
      <w:r w:rsidRPr="00B7056D">
        <w:t>QS-21</w:t>
      </w:r>
      <w:r w:rsidR="000159A6">
        <w:t xml:space="preserve"> </w:t>
      </w:r>
      <w:r w:rsidRPr="00B7056D">
        <w:t>(DQ)</w:t>
      </w:r>
      <w:r w:rsidR="000159A6">
        <w:t xml:space="preserve"> </w:t>
      </w:r>
      <w:r w:rsidRPr="00B7056D">
        <w:t>involving</w:t>
      </w:r>
      <w:r w:rsidR="000159A6">
        <w:t xml:space="preserve"> </w:t>
      </w:r>
      <w:r w:rsidRPr="00B7056D">
        <w:t>IM</w:t>
      </w:r>
      <w:r w:rsidR="000159A6">
        <w:t xml:space="preserve"> </w:t>
      </w:r>
      <w:r w:rsidRPr="00B7056D">
        <w:t>administration</w:t>
      </w:r>
      <w:r w:rsidR="000159A6">
        <w:t xml:space="preserve"> </w:t>
      </w:r>
      <w:r w:rsidRPr="00B7056D">
        <w:t>in</w:t>
      </w:r>
      <w:r w:rsidR="000159A6">
        <w:t xml:space="preserve"> </w:t>
      </w:r>
      <w:r w:rsidRPr="00B7056D">
        <w:t>rats</w:t>
      </w:r>
      <w:r w:rsidR="000159A6">
        <w:t xml:space="preserve"> </w:t>
      </w:r>
      <w:r w:rsidRPr="00B7056D">
        <w:t>and</w:t>
      </w:r>
      <w:r w:rsidR="000159A6">
        <w:t xml:space="preserve"> </w:t>
      </w:r>
      <w:r w:rsidRPr="00B7056D">
        <w:t>rabbits</w:t>
      </w:r>
      <w:r w:rsidR="000159A6">
        <w:t xml:space="preserve"> </w:t>
      </w:r>
      <w:r w:rsidRPr="00B7056D">
        <w:t>were</w:t>
      </w:r>
      <w:r w:rsidR="000159A6">
        <w:t xml:space="preserve"> </w:t>
      </w:r>
      <w:r w:rsidRPr="00B7056D">
        <w:t>conducted,</w:t>
      </w:r>
      <w:r w:rsidR="000159A6">
        <w:t xml:space="preserve"> </w:t>
      </w:r>
      <w:r w:rsidRPr="00B7056D">
        <w:t>for</w:t>
      </w:r>
      <w:r w:rsidR="000159A6">
        <w:t xml:space="preserve"> </w:t>
      </w:r>
      <w:r w:rsidRPr="00B7056D">
        <w:t>the</w:t>
      </w:r>
      <w:r w:rsidR="000159A6">
        <w:t xml:space="preserve"> </w:t>
      </w:r>
      <w:r w:rsidRPr="00B7056D">
        <w:t>rats</w:t>
      </w:r>
      <w:r w:rsidR="000159A6">
        <w:t xml:space="preserve"> </w:t>
      </w:r>
      <w:r w:rsidRPr="00B7056D">
        <w:t>with</w:t>
      </w:r>
      <w:r w:rsidR="000159A6">
        <w:t xml:space="preserve"> </w:t>
      </w:r>
      <w:r w:rsidRPr="00B7056D">
        <w:t>the</w:t>
      </w:r>
      <w:r w:rsidR="000159A6">
        <w:t xml:space="preserve"> </w:t>
      </w:r>
      <w:r w:rsidRPr="00B7056D">
        <w:t>same</w:t>
      </w:r>
      <w:r w:rsidR="000159A6">
        <w:t xml:space="preserve"> </w:t>
      </w:r>
      <w:r w:rsidRPr="00B7056D">
        <w:t>dosing</w:t>
      </w:r>
      <w:r w:rsidR="000159A6">
        <w:t xml:space="preserve"> </w:t>
      </w:r>
      <w:r w:rsidRPr="00B7056D">
        <w:t>regimen</w:t>
      </w:r>
      <w:r w:rsidR="000159A6">
        <w:t xml:space="preserve"> </w:t>
      </w:r>
      <w:r w:rsidRPr="00B7056D">
        <w:t>as</w:t>
      </w:r>
      <w:r w:rsidR="000159A6">
        <w:t xml:space="preserve"> </w:t>
      </w:r>
      <w:r w:rsidRPr="00B7056D">
        <w:t>the</w:t>
      </w:r>
      <w:r w:rsidR="000159A6">
        <w:t xml:space="preserve"> </w:t>
      </w:r>
      <w:r w:rsidRPr="00B7056D">
        <w:t>study</w:t>
      </w:r>
      <w:r w:rsidR="000159A6">
        <w:t xml:space="preserve"> </w:t>
      </w:r>
      <w:r w:rsidRPr="00B7056D">
        <w:t>with</w:t>
      </w:r>
      <w:r w:rsidR="000159A6">
        <w:t xml:space="preserve"> </w:t>
      </w:r>
      <w:r w:rsidRPr="00B7056D">
        <w:t>the</w:t>
      </w:r>
      <w:r w:rsidR="000159A6">
        <w:t xml:space="preserve"> </w:t>
      </w:r>
      <w:r w:rsidRPr="00B7056D">
        <w:t>vaccine</w:t>
      </w:r>
      <w:r w:rsidR="000159A6">
        <w:t xml:space="preserve"> </w:t>
      </w:r>
      <w:r w:rsidRPr="00B7056D">
        <w:t>in</w:t>
      </w:r>
      <w:r w:rsidR="000159A6">
        <w:t xml:space="preserve"> </w:t>
      </w:r>
      <w:r w:rsidRPr="00B7056D">
        <w:t>rats</w:t>
      </w:r>
      <w:r w:rsidR="000159A6">
        <w:t xml:space="preserve"> </w:t>
      </w:r>
      <w:r w:rsidRPr="00B7056D">
        <w:t>discussed</w:t>
      </w:r>
      <w:r w:rsidR="000159A6">
        <w:t xml:space="preserve"> </w:t>
      </w:r>
      <w:r w:rsidRPr="00B7056D">
        <w:t>above,</w:t>
      </w:r>
      <w:r w:rsidR="000159A6">
        <w:t xml:space="preserve"> </w:t>
      </w:r>
      <w:r w:rsidRPr="00B7056D">
        <w:t>for</w:t>
      </w:r>
      <w:r w:rsidR="000159A6">
        <w:t xml:space="preserve"> </w:t>
      </w:r>
      <w:r w:rsidRPr="00B7056D">
        <w:t>rabbits</w:t>
      </w:r>
      <w:r w:rsidR="000159A6">
        <w:t xml:space="preserve"> </w:t>
      </w:r>
      <w:r w:rsidRPr="00B7056D">
        <w:t>including</w:t>
      </w:r>
      <w:r w:rsidR="000159A6">
        <w:t xml:space="preserve"> </w:t>
      </w:r>
      <w:r w:rsidRPr="00B7056D">
        <w:t>an</w:t>
      </w:r>
      <w:r w:rsidR="000159A6">
        <w:t xml:space="preserve"> </w:t>
      </w:r>
      <w:r w:rsidRPr="00B7056D">
        <w:t>additional</w:t>
      </w:r>
      <w:r w:rsidR="000159A6">
        <w:t xml:space="preserve"> </w:t>
      </w:r>
      <w:r w:rsidRPr="00B7056D">
        <w:t>treatment</w:t>
      </w:r>
      <w:r w:rsidR="000159A6">
        <w:t xml:space="preserve"> </w:t>
      </w:r>
      <w:r w:rsidRPr="00B7056D">
        <w:t>time</w:t>
      </w:r>
      <w:r w:rsidR="000159A6">
        <w:t xml:space="preserve"> </w:t>
      </w:r>
      <w:r w:rsidRPr="00B7056D">
        <w:t>point</w:t>
      </w:r>
      <w:r w:rsidR="000159A6">
        <w:t xml:space="preserve"> </w:t>
      </w:r>
      <w:r w:rsidRPr="00B7056D">
        <w:t>at</w:t>
      </w:r>
      <w:r w:rsidR="000159A6">
        <w:t xml:space="preserve"> </w:t>
      </w:r>
      <w:r w:rsidRPr="00B7056D">
        <w:t>gestation</w:t>
      </w:r>
      <w:r w:rsidR="000159A6">
        <w:t xml:space="preserve"> </w:t>
      </w:r>
      <w:r w:rsidR="008D4538">
        <w:t>Day</w:t>
      </w:r>
      <w:r w:rsidR="000159A6">
        <w:t xml:space="preserve"> </w:t>
      </w:r>
      <w:r w:rsidRPr="00B7056D">
        <w:t>24.</w:t>
      </w:r>
      <w:r w:rsidR="000159A6">
        <w:t xml:space="preserve"> </w:t>
      </w:r>
      <w:r w:rsidRPr="00470836">
        <w:t>In</w:t>
      </w:r>
      <w:r w:rsidR="000159A6">
        <w:t xml:space="preserve"> </w:t>
      </w:r>
      <w:r w:rsidRPr="00470836">
        <w:t>the</w:t>
      </w:r>
      <w:r w:rsidR="000159A6">
        <w:t xml:space="preserve"> </w:t>
      </w:r>
      <w:r w:rsidRPr="00470836">
        <w:t>rat,</w:t>
      </w:r>
      <w:r w:rsidR="000159A6">
        <w:t xml:space="preserve"> </w:t>
      </w:r>
      <w:r>
        <w:t>QS-21</w:t>
      </w:r>
      <w:r w:rsidRPr="00470836">
        <w:t>,</w:t>
      </w:r>
      <w:r w:rsidR="000159A6">
        <w:t xml:space="preserve"> </w:t>
      </w:r>
      <w:r w:rsidRPr="00470836">
        <w:t>at</w:t>
      </w:r>
      <w:r w:rsidR="000159A6">
        <w:t xml:space="preserve"> </w:t>
      </w:r>
      <w:r>
        <w:t>up</w:t>
      </w:r>
      <w:r w:rsidR="000159A6">
        <w:t xml:space="preserve"> </w:t>
      </w:r>
      <w:r>
        <w:t>to</w:t>
      </w:r>
      <w:r w:rsidR="000159A6">
        <w:t xml:space="preserve"> </w:t>
      </w:r>
      <w:r>
        <w:t>160</w:t>
      </w:r>
      <w:r w:rsidR="000159A6">
        <w:t xml:space="preserve"> </w:t>
      </w:r>
      <w:r>
        <w:t>µg/kg</w:t>
      </w:r>
      <w:r w:rsidR="000159A6">
        <w:t xml:space="preserve"> </w:t>
      </w:r>
      <w:r>
        <w:t>(29</w:t>
      </w:r>
      <w:r w:rsidR="000159A6">
        <w:t xml:space="preserve"> </w:t>
      </w:r>
      <w:r>
        <w:t>times</w:t>
      </w:r>
      <w:r w:rsidR="000159A6">
        <w:t xml:space="preserve"> </w:t>
      </w:r>
      <w:r w:rsidRPr="00A91E3B">
        <w:t>the</w:t>
      </w:r>
      <w:r w:rsidR="000159A6">
        <w:t xml:space="preserve"> </w:t>
      </w:r>
      <w:r w:rsidRPr="00A91E3B">
        <w:t>human</w:t>
      </w:r>
      <w:r w:rsidR="000159A6">
        <w:t xml:space="preserve"> </w:t>
      </w:r>
      <w:r w:rsidRPr="00A91E3B">
        <w:t>dose</w:t>
      </w:r>
      <w:r w:rsidR="000159A6">
        <w:t xml:space="preserve"> </w:t>
      </w:r>
      <w:r w:rsidRPr="00A91E3B">
        <w:t>on</w:t>
      </w:r>
      <w:r w:rsidR="000159A6">
        <w:t xml:space="preserve"> </w:t>
      </w:r>
      <w:r w:rsidRPr="00A91E3B">
        <w:t>a</w:t>
      </w:r>
      <w:r w:rsidR="000159A6">
        <w:t xml:space="preserve"> </w:t>
      </w:r>
      <w:r>
        <w:t>µg</w:t>
      </w:r>
      <w:r w:rsidRPr="00A91E3B">
        <w:t>/m</w:t>
      </w:r>
      <w:r w:rsidRPr="00A91E3B">
        <w:rPr>
          <w:vertAlign w:val="superscript"/>
        </w:rPr>
        <w:t>2</w:t>
      </w:r>
      <w:r w:rsidR="000159A6">
        <w:t xml:space="preserve"> </w:t>
      </w:r>
      <w:r w:rsidRPr="00A91E3B">
        <w:t>body</w:t>
      </w:r>
      <w:r w:rsidR="000159A6">
        <w:t xml:space="preserve"> </w:t>
      </w:r>
      <w:r w:rsidRPr="00A91E3B">
        <w:t>surface</w:t>
      </w:r>
      <w:r w:rsidR="000159A6">
        <w:t xml:space="preserve"> </w:t>
      </w:r>
      <w:r w:rsidRPr="00A91E3B">
        <w:t>area</w:t>
      </w:r>
      <w:r w:rsidR="000159A6">
        <w:t xml:space="preserve"> </w:t>
      </w:r>
      <w:r w:rsidRPr="00A91E3B">
        <w:t>basis</w:t>
      </w:r>
      <w:r>
        <w:t>),</w:t>
      </w:r>
      <w:r w:rsidR="000159A6">
        <w:t xml:space="preserve"> </w:t>
      </w:r>
      <w:r w:rsidRPr="00470836">
        <w:t>did</w:t>
      </w:r>
      <w:r w:rsidR="000159A6">
        <w:t xml:space="preserve"> </w:t>
      </w:r>
      <w:r w:rsidRPr="00470836">
        <w:t>not</w:t>
      </w:r>
      <w:r w:rsidR="000159A6">
        <w:t xml:space="preserve"> </w:t>
      </w:r>
      <w:r w:rsidRPr="00470836">
        <w:t>adversely</w:t>
      </w:r>
      <w:r w:rsidR="000159A6">
        <w:t xml:space="preserve"> </w:t>
      </w:r>
      <w:r w:rsidRPr="00470836">
        <w:t>affect</w:t>
      </w:r>
      <w:r w:rsidR="000159A6">
        <w:t xml:space="preserve"> </w:t>
      </w:r>
      <w:r w:rsidRPr="00470836">
        <w:t>female</w:t>
      </w:r>
      <w:r w:rsidR="000159A6">
        <w:t xml:space="preserve"> </w:t>
      </w:r>
      <w:r w:rsidRPr="00470836">
        <w:t>fer</w:t>
      </w:r>
      <w:r w:rsidR="008D4538">
        <w:t>tility,</w:t>
      </w:r>
      <w:r w:rsidR="000159A6">
        <w:t xml:space="preserve"> </w:t>
      </w:r>
      <w:r w:rsidR="008D4538">
        <w:t>embryo-fetal</w:t>
      </w:r>
      <w:r w:rsidR="000159A6">
        <w:t xml:space="preserve"> </w:t>
      </w:r>
      <w:r w:rsidR="008D4538">
        <w:t>or</w:t>
      </w:r>
      <w:r w:rsidR="000159A6">
        <w:t xml:space="preserve"> </w:t>
      </w:r>
      <w:r w:rsidR="008D4538">
        <w:t>pre</w:t>
      </w:r>
      <w:r w:rsidR="000159A6">
        <w:t xml:space="preserve"> </w:t>
      </w:r>
      <w:r w:rsidR="008D4538">
        <w:t>and</w:t>
      </w:r>
      <w:r w:rsidR="000159A6">
        <w:t xml:space="preserve"> </w:t>
      </w:r>
      <w:r w:rsidR="008D4538">
        <w:t>post-</w:t>
      </w:r>
      <w:r w:rsidR="008D4538" w:rsidRPr="00470836">
        <w:t>natal</w:t>
      </w:r>
      <w:r w:rsidR="000159A6">
        <w:t xml:space="preserve"> </w:t>
      </w:r>
      <w:r w:rsidRPr="00470836">
        <w:t>survival,</w:t>
      </w:r>
      <w:r w:rsidR="000159A6">
        <w:t xml:space="preserve"> </w:t>
      </w:r>
      <w:r w:rsidRPr="00470836">
        <w:t>growth</w:t>
      </w:r>
      <w:r w:rsidR="000159A6">
        <w:t xml:space="preserve"> </w:t>
      </w:r>
      <w:r w:rsidRPr="00470836">
        <w:t>or</w:t>
      </w:r>
      <w:r w:rsidR="000159A6">
        <w:t xml:space="preserve"> </w:t>
      </w:r>
      <w:r w:rsidRPr="00470836">
        <w:t>development</w:t>
      </w:r>
      <w:r w:rsidR="000159A6">
        <w:t xml:space="preserve"> </w:t>
      </w:r>
      <w:r w:rsidRPr="00470836">
        <w:t>of</w:t>
      </w:r>
      <w:r w:rsidR="000159A6">
        <w:t xml:space="preserve"> </w:t>
      </w:r>
      <w:r w:rsidRPr="00470836">
        <w:t>the</w:t>
      </w:r>
      <w:r w:rsidR="000159A6">
        <w:t xml:space="preserve"> </w:t>
      </w:r>
      <w:r w:rsidRPr="00470836">
        <w:t>offspring</w:t>
      </w:r>
      <w:r w:rsidR="000159A6">
        <w:t xml:space="preserve"> </w:t>
      </w:r>
      <w:r w:rsidRPr="00470836">
        <w:t>up</w:t>
      </w:r>
      <w:r w:rsidR="000159A6">
        <w:t xml:space="preserve"> </w:t>
      </w:r>
      <w:r w:rsidRPr="00470836">
        <w:t>to</w:t>
      </w:r>
      <w:r w:rsidR="000159A6">
        <w:t xml:space="preserve"> </w:t>
      </w:r>
      <w:r w:rsidRPr="00470836">
        <w:t>25</w:t>
      </w:r>
      <w:r w:rsidR="000159A6">
        <w:t xml:space="preserve"> </w:t>
      </w:r>
      <w:r>
        <w:t>days</w:t>
      </w:r>
      <w:r w:rsidR="000159A6">
        <w:t xml:space="preserve"> </w:t>
      </w:r>
      <w:r w:rsidRPr="00470836">
        <w:t>of</w:t>
      </w:r>
      <w:r w:rsidR="000159A6">
        <w:t xml:space="preserve"> </w:t>
      </w:r>
      <w:r w:rsidRPr="00470836">
        <w:t>age</w:t>
      </w:r>
      <w:r>
        <w:t>.</w:t>
      </w:r>
      <w:r w:rsidR="000159A6">
        <w:t xml:space="preserve"> </w:t>
      </w:r>
      <w:r w:rsidRPr="00B7056D">
        <w:t>However,</w:t>
      </w:r>
      <w:r w:rsidR="000159A6">
        <w:t xml:space="preserve"> </w:t>
      </w:r>
      <w:r w:rsidRPr="00B7056D">
        <w:t>rabbits</w:t>
      </w:r>
      <w:r w:rsidR="000159A6">
        <w:t xml:space="preserve"> </w:t>
      </w:r>
      <w:r w:rsidRPr="00B7056D">
        <w:t>dosed</w:t>
      </w:r>
      <w:r w:rsidR="000159A6">
        <w:t xml:space="preserve"> </w:t>
      </w:r>
      <w:proofErr w:type="gramStart"/>
      <w:r w:rsidRPr="00B7056D">
        <w:t>with</w:t>
      </w:r>
      <w:r w:rsidR="000159A6">
        <w:t xml:space="preserve"> </w:t>
      </w:r>
      <w:r w:rsidRPr="00B7056D">
        <w:t>67</w:t>
      </w:r>
      <w:r w:rsidR="000159A6">
        <w:t xml:space="preserve"> </w:t>
      </w:r>
      <w:r w:rsidRPr="00B7056D">
        <w:t>µg/kg</w:t>
      </w:r>
      <w:r w:rsidR="000159A6">
        <w:t xml:space="preserve"> </w:t>
      </w:r>
      <w:r w:rsidRPr="00B7056D">
        <w:t>QS-21</w:t>
      </w:r>
      <w:r w:rsidR="000159A6">
        <w:t xml:space="preserve"> </w:t>
      </w:r>
      <w:r w:rsidRPr="00B7056D">
        <w:t>(24</w:t>
      </w:r>
      <w:r w:rsidR="000159A6">
        <w:t xml:space="preserve"> </w:t>
      </w:r>
      <w:r w:rsidRPr="00B7056D">
        <w:t>times</w:t>
      </w:r>
      <w:r w:rsidR="000159A6">
        <w:t xml:space="preserve"> </w:t>
      </w:r>
      <w:r w:rsidRPr="00B7056D">
        <w:t>the</w:t>
      </w:r>
      <w:r w:rsidR="000159A6">
        <w:t xml:space="preserve"> </w:t>
      </w:r>
      <w:r w:rsidRPr="00B7056D">
        <w:t>human</w:t>
      </w:r>
      <w:r w:rsidR="000159A6">
        <w:t xml:space="preserve"> </w:t>
      </w:r>
      <w:r w:rsidRPr="00B7056D">
        <w:t>dose</w:t>
      </w:r>
      <w:r w:rsidR="000159A6">
        <w:t xml:space="preserve"> </w:t>
      </w:r>
      <w:r w:rsidRPr="00B7056D">
        <w:t>on</w:t>
      </w:r>
      <w:r w:rsidR="000159A6">
        <w:t xml:space="preserve"> </w:t>
      </w:r>
      <w:r w:rsidRPr="00B7056D">
        <w:t>a</w:t>
      </w:r>
      <w:r w:rsidR="000159A6">
        <w:t xml:space="preserve"> </w:t>
      </w:r>
      <w:r w:rsidRPr="00B7056D">
        <w:t>µg/m</w:t>
      </w:r>
      <w:r w:rsidRPr="00B7056D">
        <w:rPr>
          <w:vertAlign w:val="superscript"/>
        </w:rPr>
        <w:t>2</w:t>
      </w:r>
      <w:r w:rsidR="000159A6">
        <w:t xml:space="preserve"> </w:t>
      </w:r>
      <w:r w:rsidRPr="00B7056D">
        <w:t>body</w:t>
      </w:r>
      <w:r w:rsidR="000159A6">
        <w:t xml:space="preserve"> </w:t>
      </w:r>
      <w:r w:rsidRPr="00B7056D">
        <w:t>surface</w:t>
      </w:r>
      <w:r w:rsidR="000159A6">
        <w:t xml:space="preserve"> </w:t>
      </w:r>
      <w:r w:rsidRPr="00B7056D">
        <w:t>area</w:t>
      </w:r>
      <w:r w:rsidR="000159A6">
        <w:t xml:space="preserve"> </w:t>
      </w:r>
      <w:r w:rsidRPr="00B7056D">
        <w:t>basis)</w:t>
      </w:r>
      <w:proofErr w:type="gramEnd"/>
      <w:r w:rsidR="000159A6">
        <w:t xml:space="preserve"> </w:t>
      </w:r>
      <w:r w:rsidRPr="00B7056D">
        <w:t>had</w:t>
      </w:r>
      <w:r w:rsidR="000159A6">
        <w:t xml:space="preserve"> </w:t>
      </w:r>
      <w:r w:rsidRPr="00B7056D">
        <w:t>a</w:t>
      </w:r>
      <w:r w:rsidR="000159A6">
        <w:t xml:space="preserve"> </w:t>
      </w:r>
      <w:r w:rsidRPr="00B7056D">
        <w:t>significant</w:t>
      </w:r>
      <w:r w:rsidR="000159A6">
        <w:t xml:space="preserve"> </w:t>
      </w:r>
      <w:r w:rsidRPr="00B7056D">
        <w:t>maternal</w:t>
      </w:r>
      <w:r w:rsidR="000159A6">
        <w:t xml:space="preserve"> </w:t>
      </w:r>
      <w:r w:rsidRPr="00B7056D">
        <w:t>mean</w:t>
      </w:r>
      <w:r w:rsidR="000159A6">
        <w:t xml:space="preserve"> </w:t>
      </w:r>
      <w:r w:rsidRPr="00B7056D">
        <w:t>body</w:t>
      </w:r>
      <w:r w:rsidR="000159A6">
        <w:t xml:space="preserve"> </w:t>
      </w:r>
      <w:r w:rsidRPr="00B7056D">
        <w:t>weight</w:t>
      </w:r>
      <w:r w:rsidR="000159A6">
        <w:t xml:space="preserve"> </w:t>
      </w:r>
      <w:r w:rsidRPr="00B7056D">
        <w:t>loss</w:t>
      </w:r>
      <w:r w:rsidR="000159A6">
        <w:t xml:space="preserve"> </w:t>
      </w:r>
      <w:r w:rsidRPr="00B7056D">
        <w:t>associated</w:t>
      </w:r>
      <w:r w:rsidR="000159A6">
        <w:t xml:space="preserve"> </w:t>
      </w:r>
      <w:r w:rsidRPr="00B7056D">
        <w:t>with</w:t>
      </w:r>
      <w:r w:rsidR="000159A6">
        <w:t xml:space="preserve"> </w:t>
      </w:r>
      <w:r w:rsidRPr="00B7056D">
        <w:t>reduced</w:t>
      </w:r>
      <w:r w:rsidR="000159A6">
        <w:t xml:space="preserve"> </w:t>
      </w:r>
      <w:r w:rsidRPr="00B7056D">
        <w:t>mean</w:t>
      </w:r>
      <w:r w:rsidR="000159A6">
        <w:t xml:space="preserve"> </w:t>
      </w:r>
      <w:r w:rsidRPr="00B7056D">
        <w:t>food</w:t>
      </w:r>
      <w:r w:rsidR="000159A6">
        <w:t xml:space="preserve"> </w:t>
      </w:r>
      <w:r w:rsidRPr="00B7056D">
        <w:t>consumption</w:t>
      </w:r>
      <w:r w:rsidR="000159A6">
        <w:t xml:space="preserve"> </w:t>
      </w:r>
      <w:r w:rsidRPr="00B7056D">
        <w:t>at</w:t>
      </w:r>
      <w:r w:rsidR="000159A6">
        <w:t xml:space="preserve"> </w:t>
      </w:r>
      <w:r w:rsidRPr="00B7056D">
        <w:t>the</w:t>
      </w:r>
      <w:r w:rsidR="000159A6">
        <w:t xml:space="preserve"> </w:t>
      </w:r>
      <w:r w:rsidRPr="00B7056D">
        <w:t>end</w:t>
      </w:r>
      <w:r w:rsidR="000159A6">
        <w:t xml:space="preserve"> </w:t>
      </w:r>
      <w:r w:rsidRPr="00B7056D">
        <w:t>of</w:t>
      </w:r>
      <w:r w:rsidR="000159A6">
        <w:t xml:space="preserve"> </w:t>
      </w:r>
      <w:r w:rsidRPr="00B7056D">
        <w:t>the</w:t>
      </w:r>
      <w:r w:rsidR="000159A6">
        <w:t xml:space="preserve"> </w:t>
      </w:r>
      <w:r w:rsidRPr="00B7056D">
        <w:t>gestation</w:t>
      </w:r>
      <w:r w:rsidR="000159A6">
        <w:t xml:space="preserve"> </w:t>
      </w:r>
      <w:r w:rsidRPr="00B7056D">
        <w:t>period.</w:t>
      </w:r>
      <w:r w:rsidR="000159A6">
        <w:t xml:space="preserve"> </w:t>
      </w:r>
      <w:r w:rsidRPr="00B7056D">
        <w:t>Lower</w:t>
      </w:r>
      <w:r w:rsidR="000159A6">
        <w:t xml:space="preserve"> </w:t>
      </w:r>
      <w:r w:rsidRPr="00B7056D">
        <w:t>mean</w:t>
      </w:r>
      <w:r w:rsidR="000159A6">
        <w:t xml:space="preserve"> </w:t>
      </w:r>
      <w:r w:rsidRPr="00B7056D">
        <w:t>fetal</w:t>
      </w:r>
      <w:r w:rsidR="000159A6">
        <w:t xml:space="preserve"> </w:t>
      </w:r>
      <w:r w:rsidRPr="00B7056D">
        <w:t>weight</w:t>
      </w:r>
      <w:r w:rsidR="000159A6">
        <w:t xml:space="preserve"> </w:t>
      </w:r>
      <w:r w:rsidRPr="00B7056D">
        <w:t>was</w:t>
      </w:r>
      <w:r w:rsidR="000159A6">
        <w:t xml:space="preserve"> </w:t>
      </w:r>
      <w:r w:rsidRPr="00B7056D">
        <w:lastRenderedPageBreak/>
        <w:t>also</w:t>
      </w:r>
      <w:r w:rsidR="000159A6">
        <w:t xml:space="preserve"> </w:t>
      </w:r>
      <w:r w:rsidRPr="00B7056D">
        <w:t>noted.</w:t>
      </w:r>
      <w:r w:rsidR="000159A6">
        <w:t xml:space="preserve"> </w:t>
      </w:r>
      <w:r w:rsidRPr="009D75EF">
        <w:t>There</w:t>
      </w:r>
      <w:r w:rsidR="000159A6">
        <w:rPr>
          <w:shd w:val="clear" w:color="auto" w:fill="FFFFFF" w:themeFill="background1"/>
        </w:rPr>
        <w:t xml:space="preserve"> </w:t>
      </w:r>
      <w:r w:rsidRPr="006A6E55">
        <w:rPr>
          <w:shd w:val="clear" w:color="auto" w:fill="FFFFFF" w:themeFill="background1"/>
        </w:rPr>
        <w:t>were</w:t>
      </w:r>
      <w:r w:rsidR="000159A6">
        <w:rPr>
          <w:shd w:val="clear" w:color="auto" w:fill="FFFFFF" w:themeFill="background1"/>
        </w:rPr>
        <w:t xml:space="preserve"> </w:t>
      </w:r>
      <w:r w:rsidRPr="006A6E55">
        <w:rPr>
          <w:shd w:val="clear" w:color="auto" w:fill="FFFFFF" w:themeFill="background1"/>
        </w:rPr>
        <w:t>no</w:t>
      </w:r>
      <w:r w:rsidR="000159A6">
        <w:rPr>
          <w:shd w:val="clear" w:color="auto" w:fill="FFFFFF" w:themeFill="background1"/>
        </w:rPr>
        <w:t xml:space="preserve"> </w:t>
      </w:r>
      <w:r w:rsidR="004715B4">
        <w:rPr>
          <w:shd w:val="clear" w:color="auto" w:fill="FFFFFF" w:themeFill="background1"/>
        </w:rPr>
        <w:t>treatment</w:t>
      </w:r>
      <w:r w:rsidR="000159A6">
        <w:rPr>
          <w:shd w:val="clear" w:color="auto" w:fill="FFFFFF" w:themeFill="background1"/>
        </w:rPr>
        <w:t xml:space="preserve"> </w:t>
      </w:r>
      <w:r w:rsidR="004715B4">
        <w:rPr>
          <w:shd w:val="clear" w:color="auto" w:fill="FFFFFF" w:themeFill="background1"/>
        </w:rPr>
        <w:t>related</w:t>
      </w:r>
      <w:r w:rsidR="000159A6">
        <w:t xml:space="preserve"> </w:t>
      </w:r>
      <w:r>
        <w:t>effects</w:t>
      </w:r>
      <w:r w:rsidR="000159A6">
        <w:t xml:space="preserve"> </w:t>
      </w:r>
      <w:r>
        <w:t>on</w:t>
      </w:r>
      <w:r w:rsidR="000159A6">
        <w:t xml:space="preserve"> </w:t>
      </w:r>
      <w:r>
        <w:t>embryofetal</w:t>
      </w:r>
      <w:r w:rsidR="000159A6">
        <w:t xml:space="preserve"> </w:t>
      </w:r>
      <w:r>
        <w:t>development</w:t>
      </w:r>
      <w:r w:rsidR="000159A6">
        <w:t xml:space="preserve"> </w:t>
      </w:r>
      <w:r>
        <w:t>at</w:t>
      </w:r>
      <w:r w:rsidR="000159A6">
        <w:t xml:space="preserve"> </w:t>
      </w:r>
      <w:r>
        <w:t>the</w:t>
      </w:r>
      <w:r w:rsidR="000159A6">
        <w:t xml:space="preserve"> </w:t>
      </w:r>
      <w:r>
        <w:t>mid-dose,</w:t>
      </w:r>
      <w:r w:rsidR="000159A6">
        <w:t xml:space="preserve"> </w:t>
      </w:r>
      <w:proofErr w:type="gramStart"/>
      <w:r>
        <w:t>33</w:t>
      </w:r>
      <w:r w:rsidR="000159A6">
        <w:t xml:space="preserve"> </w:t>
      </w:r>
      <w:r>
        <w:t>µg/kg</w:t>
      </w:r>
      <w:r w:rsidR="000159A6">
        <w:t xml:space="preserve"> </w:t>
      </w:r>
      <w:r>
        <w:t>(12</w:t>
      </w:r>
      <w:r w:rsidR="000159A6">
        <w:t xml:space="preserve"> </w:t>
      </w:r>
      <w:r>
        <w:t>times</w:t>
      </w:r>
      <w:r w:rsidR="000159A6">
        <w:t xml:space="preserve"> </w:t>
      </w:r>
      <w:r>
        <w:t>the</w:t>
      </w:r>
      <w:r w:rsidR="000159A6">
        <w:t xml:space="preserve"> </w:t>
      </w:r>
      <w:r>
        <w:t>clinical</w:t>
      </w:r>
      <w:r w:rsidR="000159A6">
        <w:t xml:space="preserve"> </w:t>
      </w:r>
      <w:r>
        <w:t>dose</w:t>
      </w:r>
      <w:r w:rsidR="000159A6">
        <w:t xml:space="preserve"> </w:t>
      </w:r>
      <w:r>
        <w:t>on</w:t>
      </w:r>
      <w:r w:rsidR="000159A6">
        <w:t xml:space="preserve"> </w:t>
      </w:r>
      <w:r>
        <w:t>a</w:t>
      </w:r>
      <w:r w:rsidR="000159A6">
        <w:t xml:space="preserve"> </w:t>
      </w:r>
      <w:r>
        <w:t>µg/</w:t>
      </w:r>
      <w:r w:rsidRPr="00443333">
        <w:t>m</w:t>
      </w:r>
      <w:r w:rsidRPr="00443333">
        <w:rPr>
          <w:vertAlign w:val="superscript"/>
        </w:rPr>
        <w:t>2</w:t>
      </w:r>
      <w:r w:rsidR="000159A6">
        <w:t xml:space="preserve"> </w:t>
      </w:r>
      <w:r w:rsidR="00AD5810">
        <w:t>body</w:t>
      </w:r>
      <w:r w:rsidR="000159A6">
        <w:t xml:space="preserve"> </w:t>
      </w:r>
      <w:r w:rsidR="00AD5810">
        <w:t>surface</w:t>
      </w:r>
      <w:r w:rsidR="000159A6">
        <w:t xml:space="preserve"> </w:t>
      </w:r>
      <w:r w:rsidR="00AD5810">
        <w:t>area</w:t>
      </w:r>
      <w:r w:rsidR="000159A6">
        <w:t xml:space="preserve"> </w:t>
      </w:r>
      <w:r w:rsidR="00AD5810">
        <w:t>basis)</w:t>
      </w:r>
      <w:proofErr w:type="gramEnd"/>
      <w:r w:rsidR="00AD5810">
        <w:t>.</w:t>
      </w:r>
    </w:p>
    <w:p w14:paraId="4286AC1F" w14:textId="126CFAB2" w:rsidR="005B220F" w:rsidRPr="00674F24" w:rsidRDefault="005B220F" w:rsidP="00AD5810">
      <w:r>
        <w:t>Postnatal</w:t>
      </w:r>
      <w:r w:rsidR="000159A6">
        <w:t xml:space="preserve"> </w:t>
      </w:r>
      <w:r>
        <w:t>development</w:t>
      </w:r>
      <w:r w:rsidR="000159A6">
        <w:t xml:space="preserve"> </w:t>
      </w:r>
      <w:r>
        <w:t>up</w:t>
      </w:r>
      <w:r w:rsidR="000159A6">
        <w:t xml:space="preserve"> </w:t>
      </w:r>
      <w:r>
        <w:t>to</w:t>
      </w:r>
      <w:r w:rsidR="000159A6">
        <w:t xml:space="preserve"> </w:t>
      </w:r>
      <w:r>
        <w:t>25</w:t>
      </w:r>
      <w:r w:rsidR="000159A6">
        <w:t xml:space="preserve"> </w:t>
      </w:r>
      <w:r>
        <w:t>days</w:t>
      </w:r>
      <w:r w:rsidR="000159A6">
        <w:t xml:space="preserve"> </w:t>
      </w:r>
      <w:r>
        <w:t>of</w:t>
      </w:r>
      <w:r w:rsidR="000159A6">
        <w:t xml:space="preserve"> </w:t>
      </w:r>
      <w:r>
        <w:t>age</w:t>
      </w:r>
      <w:r w:rsidR="000159A6">
        <w:t xml:space="preserve"> </w:t>
      </w:r>
      <w:r>
        <w:t>was</w:t>
      </w:r>
      <w:r w:rsidR="000159A6">
        <w:t xml:space="preserve"> </w:t>
      </w:r>
      <w:r>
        <w:t>unaffected</w:t>
      </w:r>
      <w:r w:rsidR="000159A6">
        <w:t xml:space="preserve"> </w:t>
      </w:r>
      <w:r>
        <w:t>in</w:t>
      </w:r>
      <w:r w:rsidR="000159A6">
        <w:t xml:space="preserve"> </w:t>
      </w:r>
      <w:r>
        <w:t>rats</w:t>
      </w:r>
      <w:r w:rsidR="000159A6">
        <w:t xml:space="preserve"> </w:t>
      </w:r>
      <w:r>
        <w:t>or</w:t>
      </w:r>
      <w:r w:rsidR="000159A6">
        <w:t xml:space="preserve"> </w:t>
      </w:r>
      <w:r>
        <w:t>rabbits.</w:t>
      </w:r>
      <w:r w:rsidR="000159A6">
        <w:t xml:space="preserve"> </w:t>
      </w:r>
      <w:r>
        <w:t>Potential</w:t>
      </w:r>
      <w:r w:rsidR="000159A6">
        <w:t xml:space="preserve"> </w:t>
      </w:r>
      <w:r>
        <w:t>effects</w:t>
      </w:r>
      <w:r w:rsidR="000159A6">
        <w:t xml:space="preserve"> </w:t>
      </w:r>
      <w:r>
        <w:t>by</w:t>
      </w:r>
      <w:r w:rsidR="000159A6">
        <w:t xml:space="preserve"> </w:t>
      </w:r>
      <w:r>
        <w:t>the</w:t>
      </w:r>
      <w:r w:rsidR="000159A6">
        <w:t xml:space="preserve"> </w:t>
      </w:r>
      <w:r>
        <w:t>vaccine</w:t>
      </w:r>
      <w:r w:rsidR="000159A6">
        <w:t xml:space="preserve"> </w:t>
      </w:r>
      <w:r>
        <w:t>or</w:t>
      </w:r>
      <w:r w:rsidR="000159A6">
        <w:t xml:space="preserve"> </w:t>
      </w:r>
      <w:r>
        <w:t>adjuvants</w:t>
      </w:r>
      <w:r w:rsidR="000159A6">
        <w:t xml:space="preserve"> </w:t>
      </w:r>
      <w:r>
        <w:t>on</w:t>
      </w:r>
      <w:r w:rsidR="000159A6">
        <w:t xml:space="preserve"> </w:t>
      </w:r>
      <w:r>
        <w:t>development</w:t>
      </w:r>
      <w:r w:rsidR="000159A6">
        <w:t xml:space="preserve"> </w:t>
      </w:r>
      <w:r>
        <w:t>from</w:t>
      </w:r>
      <w:r w:rsidR="000159A6">
        <w:t xml:space="preserve"> </w:t>
      </w:r>
      <w:r>
        <w:t>weaning</w:t>
      </w:r>
      <w:r w:rsidR="000159A6">
        <w:t xml:space="preserve"> </w:t>
      </w:r>
      <w:r>
        <w:t>to</w:t>
      </w:r>
      <w:r w:rsidR="000159A6">
        <w:t xml:space="preserve"> </w:t>
      </w:r>
      <w:r>
        <w:t>sexual</w:t>
      </w:r>
      <w:r w:rsidR="000159A6">
        <w:t xml:space="preserve"> </w:t>
      </w:r>
      <w:r>
        <w:t>maturity</w:t>
      </w:r>
      <w:r w:rsidR="000159A6">
        <w:t xml:space="preserve"> </w:t>
      </w:r>
      <w:r>
        <w:t>were</w:t>
      </w:r>
      <w:r w:rsidR="000159A6">
        <w:t xml:space="preserve"> </w:t>
      </w:r>
      <w:r>
        <w:t>not</w:t>
      </w:r>
      <w:r w:rsidR="000159A6">
        <w:t xml:space="preserve"> </w:t>
      </w:r>
      <w:r>
        <w:t>a</w:t>
      </w:r>
      <w:r w:rsidR="00AD5810">
        <w:t>ssessed.</w:t>
      </w:r>
    </w:p>
    <w:p w14:paraId="073F2F58" w14:textId="42580589" w:rsidR="005B220F" w:rsidRPr="00EB69F1" w:rsidRDefault="005B220F" w:rsidP="00AD5810">
      <w:pPr>
        <w:pStyle w:val="Heading5"/>
      </w:pPr>
      <w:r w:rsidRPr="00EB69F1">
        <w:t>Pregnancy</w:t>
      </w:r>
      <w:r w:rsidR="000159A6">
        <w:t xml:space="preserve"> </w:t>
      </w:r>
      <w:r w:rsidRPr="00EB69F1">
        <w:t>classification</w:t>
      </w:r>
    </w:p>
    <w:p w14:paraId="314E7765" w14:textId="06C82A3A" w:rsidR="00FF12AA" w:rsidRDefault="005B220F" w:rsidP="00C5388D">
      <w:r w:rsidRPr="0082544F">
        <w:t>The</w:t>
      </w:r>
      <w:r w:rsidR="000159A6">
        <w:t xml:space="preserve"> </w:t>
      </w:r>
      <w:r w:rsidRPr="0082544F">
        <w:t>sponsor</w:t>
      </w:r>
      <w:r w:rsidR="000159A6">
        <w:t xml:space="preserve"> </w:t>
      </w:r>
      <w:r w:rsidRPr="0082544F">
        <w:t>has</w:t>
      </w:r>
      <w:r w:rsidR="000159A6">
        <w:t xml:space="preserve"> </w:t>
      </w:r>
      <w:r w:rsidRPr="0082544F">
        <w:t>proposed</w:t>
      </w:r>
      <w:r w:rsidR="000159A6">
        <w:t xml:space="preserve"> </w:t>
      </w:r>
      <w:r w:rsidRPr="0082544F">
        <w:t>Pregnancy</w:t>
      </w:r>
      <w:r w:rsidR="000159A6">
        <w:t xml:space="preserve"> </w:t>
      </w:r>
      <w:r w:rsidRPr="0082544F">
        <w:t>Category</w:t>
      </w:r>
      <w:r w:rsidR="000159A6">
        <w:t xml:space="preserve"> </w:t>
      </w:r>
      <w:r w:rsidRPr="0082544F">
        <w:t>B2</w:t>
      </w:r>
      <w:r w:rsidR="00643548">
        <w:t>.</w:t>
      </w:r>
      <w:bookmarkStart w:id="60" w:name="_Ref532208269"/>
      <w:r w:rsidR="008D4538">
        <w:rPr>
          <w:rStyle w:val="FootnoteReference"/>
        </w:rPr>
        <w:footnoteReference w:id="6"/>
      </w:r>
      <w:bookmarkEnd w:id="60"/>
      <w:r w:rsidR="000159A6">
        <w:t xml:space="preserve"> </w:t>
      </w:r>
      <w:r w:rsidRPr="0082544F">
        <w:t>There</w:t>
      </w:r>
      <w:r w:rsidR="000159A6">
        <w:t xml:space="preserve"> </w:t>
      </w:r>
      <w:r w:rsidRPr="0082544F">
        <w:t>are</w:t>
      </w:r>
      <w:r w:rsidR="000159A6">
        <w:t xml:space="preserve"> </w:t>
      </w:r>
      <w:r w:rsidRPr="0082544F">
        <w:t>no</w:t>
      </w:r>
      <w:r w:rsidR="000159A6">
        <w:t xml:space="preserve"> </w:t>
      </w:r>
      <w:r w:rsidRPr="0082544F">
        <w:t>data</w:t>
      </w:r>
      <w:r w:rsidR="000159A6">
        <w:t xml:space="preserve"> </w:t>
      </w:r>
      <w:r w:rsidRPr="0082544F">
        <w:t>on</w:t>
      </w:r>
      <w:r w:rsidR="000159A6">
        <w:t xml:space="preserve"> </w:t>
      </w:r>
      <w:r w:rsidRPr="0082544F">
        <w:t>the</w:t>
      </w:r>
      <w:r w:rsidR="000159A6">
        <w:t xml:space="preserve"> </w:t>
      </w:r>
      <w:r w:rsidRPr="0082544F">
        <w:t>use</w:t>
      </w:r>
      <w:r w:rsidR="000159A6">
        <w:t xml:space="preserve"> </w:t>
      </w:r>
      <w:r w:rsidRPr="0082544F">
        <w:t>of</w:t>
      </w:r>
      <w:r w:rsidR="000159A6">
        <w:t xml:space="preserve"> </w:t>
      </w:r>
      <w:r w:rsidRPr="0082544F">
        <w:t>Shingrix</w:t>
      </w:r>
      <w:r w:rsidR="000159A6">
        <w:t xml:space="preserve"> </w:t>
      </w:r>
      <w:r w:rsidRPr="0082544F">
        <w:t>in</w:t>
      </w:r>
      <w:r w:rsidR="000159A6">
        <w:t xml:space="preserve"> </w:t>
      </w:r>
      <w:r w:rsidRPr="0082544F">
        <w:t>pregnant</w:t>
      </w:r>
      <w:r w:rsidR="000159A6">
        <w:t xml:space="preserve"> </w:t>
      </w:r>
      <w:r w:rsidRPr="0082544F">
        <w:t>women.</w:t>
      </w:r>
      <w:r w:rsidR="000159A6">
        <w:t xml:space="preserve"> </w:t>
      </w:r>
      <w:r w:rsidRPr="00B7056D">
        <w:t>Available</w:t>
      </w:r>
      <w:r w:rsidR="000159A6">
        <w:t xml:space="preserve"> </w:t>
      </w:r>
      <w:r w:rsidRPr="00B7056D">
        <w:t>data</w:t>
      </w:r>
      <w:r w:rsidR="000159A6">
        <w:t xml:space="preserve"> </w:t>
      </w:r>
      <w:r w:rsidRPr="00B7056D">
        <w:t>in</w:t>
      </w:r>
      <w:r w:rsidR="000159A6">
        <w:t xml:space="preserve"> </w:t>
      </w:r>
      <w:r w:rsidRPr="00B7056D">
        <w:t>rabbits</w:t>
      </w:r>
      <w:r w:rsidR="000159A6">
        <w:t xml:space="preserve"> </w:t>
      </w:r>
      <w:r w:rsidR="009C0E5D">
        <w:t>dosed</w:t>
      </w:r>
      <w:r w:rsidR="000159A6">
        <w:t xml:space="preserve"> </w:t>
      </w:r>
      <w:r w:rsidR="009C0E5D">
        <w:t>with</w:t>
      </w:r>
      <w:r w:rsidR="000159A6">
        <w:t xml:space="preserve"> </w:t>
      </w:r>
      <w:r w:rsidR="009C0E5D">
        <w:t>adjuvant</w:t>
      </w:r>
      <w:r w:rsidR="000159A6">
        <w:t xml:space="preserve"> </w:t>
      </w:r>
      <w:r w:rsidR="009C0E5D">
        <w:t>QS-21</w:t>
      </w:r>
      <w:r w:rsidR="000159A6">
        <w:t xml:space="preserve"> </w:t>
      </w:r>
      <w:proofErr w:type="gramStart"/>
      <w:r w:rsidR="009C0E5D">
        <w:t>at</w:t>
      </w:r>
      <w:r w:rsidR="000159A6">
        <w:t xml:space="preserve"> </w:t>
      </w:r>
      <w:r w:rsidR="009C0E5D">
        <w:t>67</w:t>
      </w:r>
      <w:r w:rsidR="00CD5352">
        <w:t> </w:t>
      </w:r>
      <w:r w:rsidRPr="00B7056D">
        <w:t>µg/kg</w:t>
      </w:r>
      <w:proofErr w:type="gramEnd"/>
      <w:r w:rsidR="000159A6">
        <w:t xml:space="preserve"> </w:t>
      </w:r>
      <w:r w:rsidRPr="00B7056D">
        <w:t>showed</w:t>
      </w:r>
      <w:r w:rsidR="000159A6">
        <w:t xml:space="preserve"> </w:t>
      </w:r>
      <w:r w:rsidRPr="00B7056D">
        <w:t>no</w:t>
      </w:r>
      <w:r w:rsidR="000159A6">
        <w:t xml:space="preserve"> </w:t>
      </w:r>
      <w:r w:rsidRPr="00B7056D">
        <w:t>evidence</w:t>
      </w:r>
      <w:r w:rsidR="000159A6">
        <w:t xml:space="preserve"> </w:t>
      </w:r>
      <w:r w:rsidRPr="00B7056D">
        <w:t>of</w:t>
      </w:r>
      <w:r w:rsidR="000159A6">
        <w:t xml:space="preserve"> </w:t>
      </w:r>
      <w:r w:rsidRPr="00B7056D">
        <w:t>an</w:t>
      </w:r>
      <w:r w:rsidR="000159A6">
        <w:t xml:space="preserve"> </w:t>
      </w:r>
      <w:r w:rsidRPr="00B7056D">
        <w:t>increased</w:t>
      </w:r>
      <w:r w:rsidR="000159A6">
        <w:t xml:space="preserve"> </w:t>
      </w:r>
      <w:r w:rsidRPr="00B7056D">
        <w:t>occurrence</w:t>
      </w:r>
      <w:r w:rsidR="000159A6">
        <w:t xml:space="preserve"> </w:t>
      </w:r>
      <w:r w:rsidRPr="00B7056D">
        <w:t>of</w:t>
      </w:r>
      <w:r w:rsidR="000159A6">
        <w:t xml:space="preserve"> </w:t>
      </w:r>
      <w:r w:rsidRPr="00B7056D">
        <w:t>fetal</w:t>
      </w:r>
      <w:r w:rsidR="000159A6">
        <w:t xml:space="preserve"> </w:t>
      </w:r>
      <w:r w:rsidRPr="00B7056D">
        <w:t>damage</w:t>
      </w:r>
      <w:r w:rsidR="000159A6">
        <w:t xml:space="preserve"> </w:t>
      </w:r>
      <w:r w:rsidRPr="00B7056D">
        <w:t>besides</w:t>
      </w:r>
      <w:r w:rsidR="000159A6">
        <w:t xml:space="preserve"> </w:t>
      </w:r>
      <w:r w:rsidRPr="00B7056D">
        <w:t>lower</w:t>
      </w:r>
      <w:r w:rsidR="000159A6">
        <w:t xml:space="preserve"> </w:t>
      </w:r>
      <w:r w:rsidRPr="00B7056D">
        <w:t>fetal</w:t>
      </w:r>
      <w:r w:rsidR="000159A6">
        <w:t xml:space="preserve"> </w:t>
      </w:r>
      <w:r w:rsidRPr="00B7056D">
        <w:t>weight</w:t>
      </w:r>
      <w:r w:rsidR="000159A6">
        <w:t xml:space="preserve"> </w:t>
      </w:r>
      <w:r w:rsidRPr="00B7056D">
        <w:t>associated</w:t>
      </w:r>
      <w:r w:rsidR="000159A6">
        <w:t xml:space="preserve"> </w:t>
      </w:r>
      <w:r w:rsidRPr="00B7056D">
        <w:t>with</w:t>
      </w:r>
      <w:r w:rsidR="000159A6">
        <w:t xml:space="preserve"> </w:t>
      </w:r>
      <w:r w:rsidRPr="00B7056D">
        <w:t>maternal</w:t>
      </w:r>
      <w:r w:rsidR="000159A6">
        <w:t xml:space="preserve"> </w:t>
      </w:r>
      <w:r w:rsidRPr="00B7056D">
        <w:t>toxicity</w:t>
      </w:r>
      <w:r w:rsidR="000159A6">
        <w:t xml:space="preserve"> </w:t>
      </w:r>
      <w:r w:rsidRPr="00B7056D">
        <w:t>and</w:t>
      </w:r>
      <w:r w:rsidR="000159A6">
        <w:t xml:space="preserve"> </w:t>
      </w:r>
      <w:r w:rsidRPr="00B7056D">
        <w:t>therefore</w:t>
      </w:r>
      <w:r w:rsidR="000159A6">
        <w:t xml:space="preserve"> </w:t>
      </w:r>
      <w:r w:rsidRPr="00B7056D">
        <w:t>category</w:t>
      </w:r>
      <w:r w:rsidR="000159A6">
        <w:t xml:space="preserve"> </w:t>
      </w:r>
      <w:r w:rsidRPr="00B7056D">
        <w:t>B2</w:t>
      </w:r>
      <w:r w:rsidR="000159A6">
        <w:t xml:space="preserve"> </w:t>
      </w:r>
      <w:r w:rsidRPr="00B7056D">
        <w:t>is</w:t>
      </w:r>
      <w:r w:rsidR="000159A6">
        <w:t xml:space="preserve"> </w:t>
      </w:r>
      <w:r w:rsidRPr="00B7056D">
        <w:t>appropriate</w:t>
      </w:r>
      <w:r w:rsidR="00FF12AA">
        <w:t>.</w:t>
      </w:r>
    </w:p>
    <w:p w14:paraId="2C5029B9" w14:textId="7638C92E" w:rsidR="005B220F" w:rsidRPr="008F7BC7" w:rsidRDefault="005B220F" w:rsidP="008F7BC7">
      <w:pPr>
        <w:pStyle w:val="Heading4"/>
      </w:pPr>
      <w:r w:rsidRPr="008F7BC7">
        <w:t>Local</w:t>
      </w:r>
      <w:r w:rsidR="000159A6" w:rsidRPr="008F7BC7">
        <w:t xml:space="preserve"> </w:t>
      </w:r>
      <w:r w:rsidRPr="008F7BC7">
        <w:t>toleran</w:t>
      </w:r>
      <w:r w:rsidR="00AD5810" w:rsidRPr="008F7BC7">
        <w:t>ce</w:t>
      </w:r>
    </w:p>
    <w:p w14:paraId="7B3C7CDB" w14:textId="0F90D309" w:rsidR="005B220F" w:rsidRPr="00EB69F1" w:rsidRDefault="005B220F" w:rsidP="00C5388D">
      <w:r w:rsidRPr="009C0E5D">
        <w:t>The</w:t>
      </w:r>
      <w:r w:rsidR="000159A6">
        <w:t xml:space="preserve"> </w:t>
      </w:r>
      <w:r w:rsidRPr="009C0E5D">
        <w:t>Shingrix</w:t>
      </w:r>
      <w:r w:rsidR="000159A6">
        <w:t xml:space="preserve"> </w:t>
      </w:r>
      <w:r w:rsidRPr="009C0E5D">
        <w:t>vaccine</w:t>
      </w:r>
      <w:r w:rsidR="000159A6">
        <w:t xml:space="preserve"> </w:t>
      </w:r>
      <w:r w:rsidRPr="00555F62">
        <w:t>formulation</w:t>
      </w:r>
      <w:r w:rsidR="000159A6">
        <w:t xml:space="preserve"> </w:t>
      </w:r>
      <w:r>
        <w:t>or</w:t>
      </w:r>
      <w:r w:rsidR="000159A6">
        <w:t xml:space="preserve"> </w:t>
      </w:r>
      <w:r w:rsidR="00503D1B">
        <w:t>AS01</w:t>
      </w:r>
      <w:r w:rsidR="00503D1B" w:rsidRPr="00570F2D">
        <w:rPr>
          <w:vertAlign w:val="subscript"/>
        </w:rPr>
        <w:t>B</w:t>
      </w:r>
      <w:r w:rsidR="000159A6">
        <w:t xml:space="preserve"> </w:t>
      </w:r>
      <w:r>
        <w:t>(0.5</w:t>
      </w:r>
      <w:r w:rsidR="000159A6">
        <w:t xml:space="preserve"> </w:t>
      </w:r>
      <w:r>
        <w:t>mL,</w:t>
      </w:r>
      <w:r w:rsidR="000159A6">
        <w:t xml:space="preserve"> </w:t>
      </w:r>
      <w:r>
        <w:t>17</w:t>
      </w:r>
      <w:r w:rsidR="000159A6">
        <w:t xml:space="preserve"> </w:t>
      </w:r>
      <w:r>
        <w:t>times</w:t>
      </w:r>
      <w:r w:rsidR="000159A6">
        <w:t xml:space="preserve"> </w:t>
      </w:r>
      <w:r>
        <w:t>the</w:t>
      </w:r>
      <w:r w:rsidR="000159A6">
        <w:t xml:space="preserve"> </w:t>
      </w:r>
      <w:r>
        <w:t>human</w:t>
      </w:r>
      <w:r w:rsidR="000159A6">
        <w:t xml:space="preserve"> </w:t>
      </w:r>
      <w:r>
        <w:t>dose</w:t>
      </w:r>
      <w:r w:rsidR="000159A6">
        <w:t xml:space="preserve"> </w:t>
      </w:r>
      <w:r>
        <w:t>on</w:t>
      </w:r>
      <w:r w:rsidR="000159A6">
        <w:t xml:space="preserve"> </w:t>
      </w:r>
      <w:r>
        <w:t>a</w:t>
      </w:r>
      <w:r w:rsidR="000159A6">
        <w:t xml:space="preserve"> </w:t>
      </w:r>
      <w:r>
        <w:t>µg</w:t>
      </w:r>
      <w:r w:rsidRPr="00555F62">
        <w:t>/</w:t>
      </w:r>
      <w:r>
        <w:t>kg</w:t>
      </w:r>
      <w:r w:rsidR="000159A6">
        <w:t xml:space="preserve"> </w:t>
      </w:r>
      <w:r>
        <w:t>body</w:t>
      </w:r>
      <w:r w:rsidR="000159A6">
        <w:t xml:space="preserve"> </w:t>
      </w:r>
      <w:r>
        <w:t>weight</w:t>
      </w:r>
      <w:r w:rsidR="000159A6">
        <w:t xml:space="preserve"> </w:t>
      </w:r>
      <w:r>
        <w:t>basis)</w:t>
      </w:r>
      <w:r w:rsidR="000159A6">
        <w:t xml:space="preserve"> </w:t>
      </w:r>
      <w:r>
        <w:t>administered</w:t>
      </w:r>
      <w:r w:rsidR="000159A6">
        <w:t xml:space="preserve"> </w:t>
      </w:r>
      <w:r>
        <w:t>by</w:t>
      </w:r>
      <w:r w:rsidR="000159A6">
        <w:t xml:space="preserve"> </w:t>
      </w:r>
      <w:r>
        <w:t>a</w:t>
      </w:r>
      <w:r w:rsidR="000159A6">
        <w:t xml:space="preserve"> </w:t>
      </w:r>
      <w:r>
        <w:t>single</w:t>
      </w:r>
      <w:r w:rsidR="000159A6">
        <w:t xml:space="preserve"> </w:t>
      </w:r>
      <w:r>
        <w:t>IM</w:t>
      </w:r>
      <w:r w:rsidR="000159A6">
        <w:t xml:space="preserve"> </w:t>
      </w:r>
      <w:r>
        <w:t>or</w:t>
      </w:r>
      <w:r w:rsidR="000159A6">
        <w:t xml:space="preserve"> </w:t>
      </w:r>
      <w:r>
        <w:t>SC</w:t>
      </w:r>
      <w:r w:rsidR="000159A6">
        <w:t xml:space="preserve"> </w:t>
      </w:r>
      <w:r>
        <w:t>injection</w:t>
      </w:r>
      <w:r w:rsidR="000159A6">
        <w:t xml:space="preserve"> </w:t>
      </w:r>
      <w:r>
        <w:t>was</w:t>
      </w:r>
      <w:r w:rsidR="000159A6">
        <w:t xml:space="preserve"> </w:t>
      </w:r>
      <w:r>
        <w:t>evaluated</w:t>
      </w:r>
      <w:r w:rsidR="000159A6">
        <w:t xml:space="preserve"> </w:t>
      </w:r>
      <w:r>
        <w:t>in</w:t>
      </w:r>
      <w:r w:rsidR="000159A6">
        <w:t xml:space="preserve"> </w:t>
      </w:r>
      <w:r>
        <w:t>a</w:t>
      </w:r>
      <w:r w:rsidR="000159A6">
        <w:t xml:space="preserve"> </w:t>
      </w:r>
      <w:r>
        <w:t>local</w:t>
      </w:r>
      <w:r w:rsidR="000159A6">
        <w:t xml:space="preserve"> </w:t>
      </w:r>
      <w:r>
        <w:t>tolerance</w:t>
      </w:r>
      <w:r w:rsidR="000159A6">
        <w:t xml:space="preserve"> </w:t>
      </w:r>
      <w:r>
        <w:t>study</w:t>
      </w:r>
      <w:r w:rsidR="000159A6">
        <w:t xml:space="preserve"> </w:t>
      </w:r>
      <w:r>
        <w:t>in</w:t>
      </w:r>
      <w:r w:rsidR="000159A6">
        <w:t xml:space="preserve"> </w:t>
      </w:r>
      <w:r>
        <w:t>rabbits.</w:t>
      </w:r>
      <w:r w:rsidR="000159A6">
        <w:t xml:space="preserve"> </w:t>
      </w:r>
      <w:r>
        <w:t>Extra</w:t>
      </w:r>
      <w:r w:rsidR="000159A6">
        <w:t xml:space="preserve"> </w:t>
      </w:r>
      <w:r>
        <w:t>muscular,</w:t>
      </w:r>
      <w:r w:rsidR="000159A6">
        <w:t xml:space="preserve"> </w:t>
      </w:r>
      <w:r>
        <w:t>mononuclear</w:t>
      </w:r>
      <w:r w:rsidR="000159A6">
        <w:t xml:space="preserve"> </w:t>
      </w:r>
      <w:r>
        <w:t>cell</w:t>
      </w:r>
      <w:r w:rsidR="000159A6">
        <w:t xml:space="preserve"> </w:t>
      </w:r>
      <w:r>
        <w:t>infiltration</w:t>
      </w:r>
      <w:r w:rsidR="000159A6">
        <w:t xml:space="preserve"> </w:t>
      </w:r>
      <w:r>
        <w:t>at</w:t>
      </w:r>
      <w:r w:rsidR="000159A6">
        <w:t xml:space="preserve"> </w:t>
      </w:r>
      <w:r>
        <w:t>the</w:t>
      </w:r>
      <w:r w:rsidR="000159A6">
        <w:t xml:space="preserve"> </w:t>
      </w:r>
      <w:r>
        <w:t>injection</w:t>
      </w:r>
      <w:r w:rsidR="000159A6">
        <w:t xml:space="preserve"> </w:t>
      </w:r>
      <w:r>
        <w:t>site</w:t>
      </w:r>
      <w:r w:rsidR="000159A6">
        <w:t xml:space="preserve"> </w:t>
      </w:r>
      <w:r>
        <w:t>was</w:t>
      </w:r>
      <w:r w:rsidR="000159A6">
        <w:t xml:space="preserve"> </w:t>
      </w:r>
      <w:r>
        <w:t>observed</w:t>
      </w:r>
      <w:r w:rsidR="000159A6">
        <w:t xml:space="preserve"> </w:t>
      </w:r>
      <w:r>
        <w:t>in</w:t>
      </w:r>
      <w:r w:rsidR="000159A6">
        <w:t xml:space="preserve"> </w:t>
      </w:r>
      <w:r>
        <w:t>all</w:t>
      </w:r>
      <w:r w:rsidR="000159A6">
        <w:t xml:space="preserve"> </w:t>
      </w:r>
      <w:r>
        <w:t>animals</w:t>
      </w:r>
      <w:r w:rsidR="000159A6">
        <w:t xml:space="preserve"> </w:t>
      </w:r>
      <w:r>
        <w:t>administered</w:t>
      </w:r>
      <w:r w:rsidR="000159A6">
        <w:t xml:space="preserve"> </w:t>
      </w:r>
      <w:r>
        <w:t>the</w:t>
      </w:r>
      <w:r w:rsidR="000159A6">
        <w:t xml:space="preserve"> </w:t>
      </w:r>
      <w:r>
        <w:t>vaccine</w:t>
      </w:r>
      <w:r w:rsidR="000159A6">
        <w:t xml:space="preserve"> </w:t>
      </w:r>
      <w:r>
        <w:t>by</w:t>
      </w:r>
      <w:r w:rsidR="000159A6">
        <w:t xml:space="preserve"> </w:t>
      </w:r>
      <w:r>
        <w:t>the</w:t>
      </w:r>
      <w:r w:rsidR="000159A6">
        <w:t xml:space="preserve"> </w:t>
      </w:r>
      <w:r>
        <w:t>IM</w:t>
      </w:r>
      <w:r w:rsidR="000159A6">
        <w:t xml:space="preserve"> </w:t>
      </w:r>
      <w:r>
        <w:t>route.</w:t>
      </w:r>
      <w:r w:rsidR="000159A6">
        <w:t xml:space="preserve"> </w:t>
      </w:r>
      <w:r w:rsidRPr="00FD72B9">
        <w:t>The</w:t>
      </w:r>
      <w:r w:rsidR="000159A6">
        <w:t xml:space="preserve"> </w:t>
      </w:r>
      <w:r w:rsidRPr="00FD72B9">
        <w:t>observed</w:t>
      </w:r>
      <w:r w:rsidR="000159A6">
        <w:t xml:space="preserve"> </w:t>
      </w:r>
      <w:r w:rsidRPr="00FD72B9">
        <w:t>slight</w:t>
      </w:r>
      <w:r w:rsidR="000159A6">
        <w:t xml:space="preserve"> </w:t>
      </w:r>
      <w:r w:rsidRPr="00FD72B9">
        <w:t>inflammation</w:t>
      </w:r>
      <w:r w:rsidR="000159A6">
        <w:t xml:space="preserve"> </w:t>
      </w:r>
      <w:r w:rsidRPr="00FD72B9">
        <w:t>at</w:t>
      </w:r>
      <w:r w:rsidR="000159A6">
        <w:t xml:space="preserve"> </w:t>
      </w:r>
      <w:r w:rsidRPr="00FD72B9">
        <w:t>the</w:t>
      </w:r>
      <w:r w:rsidR="000159A6">
        <w:t xml:space="preserve"> </w:t>
      </w:r>
      <w:r w:rsidRPr="00FD72B9">
        <w:t>injection</w:t>
      </w:r>
      <w:r w:rsidR="000159A6">
        <w:t xml:space="preserve"> </w:t>
      </w:r>
      <w:r w:rsidRPr="00FD72B9">
        <w:t>sites</w:t>
      </w:r>
      <w:r w:rsidR="000159A6">
        <w:t xml:space="preserve"> </w:t>
      </w:r>
      <w:r w:rsidRPr="00FD72B9">
        <w:t>is</w:t>
      </w:r>
      <w:r w:rsidR="000159A6">
        <w:t xml:space="preserve"> </w:t>
      </w:r>
      <w:r w:rsidRPr="00FD72B9">
        <w:t>considered</w:t>
      </w:r>
      <w:r w:rsidR="000159A6">
        <w:t xml:space="preserve"> </w:t>
      </w:r>
      <w:r w:rsidRPr="00FD72B9">
        <w:t>a</w:t>
      </w:r>
      <w:r w:rsidR="000159A6">
        <w:t xml:space="preserve"> </w:t>
      </w:r>
      <w:r w:rsidRPr="00FD72B9">
        <w:t>direct</w:t>
      </w:r>
      <w:r w:rsidR="000159A6">
        <w:t xml:space="preserve"> </w:t>
      </w:r>
      <w:r w:rsidRPr="00FD72B9">
        <w:t>consequence</w:t>
      </w:r>
      <w:r w:rsidR="000159A6">
        <w:t xml:space="preserve"> </w:t>
      </w:r>
      <w:r w:rsidRPr="00FD72B9">
        <w:t>of</w:t>
      </w:r>
      <w:r w:rsidR="000159A6">
        <w:t xml:space="preserve"> </w:t>
      </w:r>
      <w:r w:rsidRPr="00FD72B9">
        <w:t>an</w:t>
      </w:r>
      <w:r w:rsidR="000159A6">
        <w:t xml:space="preserve"> </w:t>
      </w:r>
      <w:r w:rsidRPr="00FD72B9">
        <w:t>anticipated</w:t>
      </w:r>
      <w:r w:rsidR="000159A6">
        <w:t xml:space="preserve"> </w:t>
      </w:r>
      <w:r w:rsidRPr="00FD72B9">
        <w:t>pharmacological</w:t>
      </w:r>
      <w:r w:rsidR="000159A6">
        <w:t xml:space="preserve"> </w:t>
      </w:r>
      <w:r w:rsidRPr="00FD72B9">
        <w:t>action</w:t>
      </w:r>
      <w:r w:rsidR="000159A6">
        <w:t xml:space="preserve"> </w:t>
      </w:r>
      <w:r w:rsidRPr="00FD72B9">
        <w:t>result</w:t>
      </w:r>
      <w:r>
        <w:t>ing</w:t>
      </w:r>
      <w:r w:rsidR="000159A6">
        <w:t xml:space="preserve"> </w:t>
      </w:r>
      <w:r w:rsidRPr="00FD72B9">
        <w:t>from</w:t>
      </w:r>
      <w:r w:rsidR="000159A6">
        <w:t xml:space="preserve"> </w:t>
      </w:r>
      <w:r w:rsidRPr="00FD72B9">
        <w:t>the</w:t>
      </w:r>
      <w:r w:rsidR="000159A6">
        <w:t xml:space="preserve"> </w:t>
      </w:r>
      <w:r w:rsidRPr="00FD72B9">
        <w:t>stimulation</w:t>
      </w:r>
      <w:r w:rsidR="000159A6">
        <w:t xml:space="preserve"> </w:t>
      </w:r>
      <w:r w:rsidRPr="00FD72B9">
        <w:t>of</w:t>
      </w:r>
      <w:r w:rsidR="000159A6">
        <w:t xml:space="preserve"> </w:t>
      </w:r>
      <w:r w:rsidRPr="00FD72B9">
        <w:t>the</w:t>
      </w:r>
      <w:r w:rsidR="000159A6">
        <w:t xml:space="preserve"> </w:t>
      </w:r>
      <w:r w:rsidRPr="00FD72B9">
        <w:t>immune</w:t>
      </w:r>
      <w:r w:rsidR="000159A6">
        <w:t xml:space="preserve"> </w:t>
      </w:r>
      <w:r w:rsidRPr="00FD72B9">
        <w:t>system.</w:t>
      </w:r>
      <w:r w:rsidR="000159A6">
        <w:t xml:space="preserve"> </w:t>
      </w:r>
      <w:r>
        <w:t>Animals</w:t>
      </w:r>
      <w:r w:rsidR="000159A6">
        <w:t xml:space="preserve"> </w:t>
      </w:r>
      <w:r>
        <w:t>administered</w:t>
      </w:r>
      <w:r w:rsidR="000159A6">
        <w:t xml:space="preserve"> </w:t>
      </w:r>
      <w:r>
        <w:t>by</w:t>
      </w:r>
      <w:r w:rsidR="000159A6">
        <w:t xml:space="preserve"> </w:t>
      </w:r>
      <w:r>
        <w:t>the</w:t>
      </w:r>
      <w:r w:rsidR="000159A6">
        <w:t xml:space="preserve"> </w:t>
      </w:r>
      <w:r>
        <w:t>SC</w:t>
      </w:r>
      <w:r w:rsidR="000159A6">
        <w:t xml:space="preserve"> </w:t>
      </w:r>
      <w:r>
        <w:t>route</w:t>
      </w:r>
      <w:r w:rsidR="000159A6">
        <w:t xml:space="preserve"> </w:t>
      </w:r>
      <w:r>
        <w:t>revealed</w:t>
      </w:r>
      <w:r w:rsidR="000159A6">
        <w:t xml:space="preserve"> </w:t>
      </w:r>
      <w:r>
        <w:t>slight</w:t>
      </w:r>
      <w:r w:rsidR="000159A6">
        <w:t xml:space="preserve"> </w:t>
      </w:r>
      <w:r>
        <w:t>to</w:t>
      </w:r>
      <w:r w:rsidR="000159A6">
        <w:t xml:space="preserve"> </w:t>
      </w:r>
      <w:r>
        <w:t>severe</w:t>
      </w:r>
      <w:r w:rsidR="000159A6">
        <w:t xml:space="preserve"> </w:t>
      </w:r>
      <w:r>
        <w:t>diffuse</w:t>
      </w:r>
      <w:r w:rsidR="000159A6">
        <w:t xml:space="preserve"> </w:t>
      </w:r>
      <w:r>
        <w:t>mixed</w:t>
      </w:r>
      <w:r w:rsidR="000159A6">
        <w:t xml:space="preserve"> </w:t>
      </w:r>
      <w:r>
        <w:t>inflammatory</w:t>
      </w:r>
      <w:r w:rsidR="000159A6">
        <w:t xml:space="preserve"> </w:t>
      </w:r>
      <w:r>
        <w:t>cell</w:t>
      </w:r>
      <w:r w:rsidR="000159A6">
        <w:t xml:space="preserve"> </w:t>
      </w:r>
      <w:r>
        <w:t>infiltration</w:t>
      </w:r>
      <w:r w:rsidR="000159A6">
        <w:t xml:space="preserve"> </w:t>
      </w:r>
      <w:r>
        <w:t>in</w:t>
      </w:r>
      <w:r w:rsidR="000159A6">
        <w:t xml:space="preserve"> </w:t>
      </w:r>
      <w:r>
        <w:t>all</w:t>
      </w:r>
      <w:r w:rsidR="000159A6">
        <w:t xml:space="preserve"> </w:t>
      </w:r>
      <w:r>
        <w:t>treated</w:t>
      </w:r>
      <w:r w:rsidR="000159A6">
        <w:t xml:space="preserve"> </w:t>
      </w:r>
      <w:r>
        <w:t>animals.</w:t>
      </w:r>
      <w:r w:rsidR="000159A6">
        <w:t xml:space="preserve"> </w:t>
      </w:r>
      <w:r>
        <w:t>Local</w:t>
      </w:r>
      <w:r w:rsidR="000159A6">
        <w:t xml:space="preserve"> </w:t>
      </w:r>
      <w:r>
        <w:t>tolerance</w:t>
      </w:r>
      <w:r w:rsidR="000159A6">
        <w:t xml:space="preserve"> </w:t>
      </w:r>
      <w:r>
        <w:t>studies</w:t>
      </w:r>
      <w:r w:rsidR="000159A6">
        <w:t xml:space="preserve"> </w:t>
      </w:r>
      <w:r>
        <w:t>in</w:t>
      </w:r>
      <w:r w:rsidR="000159A6">
        <w:t xml:space="preserve"> </w:t>
      </w:r>
      <w:r>
        <w:t>rats</w:t>
      </w:r>
      <w:r w:rsidR="000159A6">
        <w:t xml:space="preserve"> </w:t>
      </w:r>
      <w:r>
        <w:t>and</w:t>
      </w:r>
      <w:r w:rsidR="000159A6">
        <w:t xml:space="preserve"> </w:t>
      </w:r>
      <w:r>
        <w:t>rabbits</w:t>
      </w:r>
      <w:r w:rsidR="000159A6">
        <w:t xml:space="preserve"> </w:t>
      </w:r>
      <w:r>
        <w:t>demonstrated</w:t>
      </w:r>
      <w:r w:rsidR="000159A6">
        <w:t xml:space="preserve"> </w:t>
      </w:r>
      <w:r>
        <w:t>that</w:t>
      </w:r>
      <w:r w:rsidR="000159A6">
        <w:t xml:space="preserve"> </w:t>
      </w:r>
      <w:r>
        <w:t>IM</w:t>
      </w:r>
      <w:r w:rsidR="000159A6">
        <w:t xml:space="preserve"> </w:t>
      </w:r>
      <w:r>
        <w:t>injections</w:t>
      </w:r>
      <w:r w:rsidR="000159A6">
        <w:t xml:space="preserve"> </w:t>
      </w:r>
      <w:r>
        <w:t>with</w:t>
      </w:r>
      <w:r w:rsidR="000159A6">
        <w:t xml:space="preserve"> </w:t>
      </w:r>
      <w:r>
        <w:t>QS-21</w:t>
      </w:r>
      <w:r w:rsidR="000159A6">
        <w:t xml:space="preserve"> </w:t>
      </w:r>
      <w:r>
        <w:t>(DQ)</w:t>
      </w:r>
      <w:r w:rsidR="000159A6">
        <w:t xml:space="preserve"> </w:t>
      </w:r>
      <w:r w:rsidR="009C0E5D">
        <w:t>(up</w:t>
      </w:r>
      <w:r w:rsidR="000159A6">
        <w:t xml:space="preserve"> </w:t>
      </w:r>
      <w:r w:rsidR="009C0E5D">
        <w:t>to</w:t>
      </w:r>
      <w:r w:rsidR="000159A6">
        <w:t xml:space="preserve"> </w:t>
      </w:r>
      <w:r w:rsidR="009C0E5D">
        <w:t>160</w:t>
      </w:r>
      <w:r w:rsidR="000159A6">
        <w:t xml:space="preserve"> </w:t>
      </w:r>
      <w:r w:rsidR="009C0E5D">
        <w:t>µg/kg</w:t>
      </w:r>
      <w:r w:rsidR="000159A6">
        <w:t xml:space="preserve"> </w:t>
      </w:r>
      <w:r w:rsidR="009C0E5D">
        <w:t>in</w:t>
      </w:r>
      <w:r w:rsidR="000159A6">
        <w:t xml:space="preserve"> </w:t>
      </w:r>
      <w:r w:rsidR="009C0E5D">
        <w:t>rats</w:t>
      </w:r>
      <w:r w:rsidR="000159A6">
        <w:t xml:space="preserve"> </w:t>
      </w:r>
      <w:r w:rsidR="009C0E5D">
        <w:t>and</w:t>
      </w:r>
      <w:r w:rsidR="000159A6">
        <w:t xml:space="preserve"> </w:t>
      </w:r>
      <w:r w:rsidR="009C0E5D">
        <w:t>67</w:t>
      </w:r>
      <w:r w:rsidR="00CD5352">
        <w:t> </w:t>
      </w:r>
      <w:r w:rsidR="009C0E5D">
        <w:t>µg/kg</w:t>
      </w:r>
      <w:r w:rsidR="000159A6">
        <w:t xml:space="preserve"> </w:t>
      </w:r>
      <w:r w:rsidR="009C0E5D">
        <w:t>in</w:t>
      </w:r>
      <w:r w:rsidR="000159A6">
        <w:t xml:space="preserve"> </w:t>
      </w:r>
      <w:r w:rsidR="009C0E5D">
        <w:t>rabbits,</w:t>
      </w:r>
      <w:r w:rsidR="000159A6">
        <w:t xml:space="preserve"> </w:t>
      </w:r>
      <w:r w:rsidR="009C0E5D">
        <w:t>67</w:t>
      </w:r>
      <w:r w:rsidR="000159A6">
        <w:t xml:space="preserve"> </w:t>
      </w:r>
      <w:r w:rsidR="009C0E5D">
        <w:t>to</w:t>
      </w:r>
      <w:r w:rsidR="000159A6">
        <w:t xml:space="preserve"> </w:t>
      </w:r>
      <w:r>
        <w:t>160</w:t>
      </w:r>
      <w:r w:rsidR="000159A6">
        <w:t xml:space="preserve"> </w:t>
      </w:r>
      <w:r>
        <w:t>times</w:t>
      </w:r>
      <w:r w:rsidR="000159A6">
        <w:t xml:space="preserve"> </w:t>
      </w:r>
      <w:r>
        <w:t>the</w:t>
      </w:r>
      <w:r w:rsidR="000159A6">
        <w:t xml:space="preserve"> </w:t>
      </w:r>
      <w:r>
        <w:t>human</w:t>
      </w:r>
      <w:r w:rsidR="000159A6">
        <w:t xml:space="preserve"> </w:t>
      </w:r>
      <w:r>
        <w:t>dose</w:t>
      </w:r>
      <w:r w:rsidR="000159A6">
        <w:t xml:space="preserve"> </w:t>
      </w:r>
      <w:r>
        <w:t>of</w:t>
      </w:r>
      <w:r w:rsidR="000159A6">
        <w:t xml:space="preserve"> </w:t>
      </w:r>
      <w:r>
        <w:t>QS-21</w:t>
      </w:r>
      <w:r w:rsidR="000159A6">
        <w:t xml:space="preserve"> </w:t>
      </w:r>
      <w:r>
        <w:t>on</w:t>
      </w:r>
      <w:r w:rsidR="000159A6">
        <w:t xml:space="preserve"> </w:t>
      </w:r>
      <w:r>
        <w:t>a</w:t>
      </w:r>
      <w:r w:rsidR="000159A6">
        <w:t xml:space="preserve"> </w:t>
      </w:r>
      <w:r w:rsidRPr="00F8169D">
        <w:t>mg/</w:t>
      </w:r>
      <w:r>
        <w:t>kg</w:t>
      </w:r>
      <w:r w:rsidR="000159A6">
        <w:t xml:space="preserve"> </w:t>
      </w:r>
      <w:r>
        <w:t>body</w:t>
      </w:r>
      <w:r w:rsidR="000159A6">
        <w:t xml:space="preserve"> </w:t>
      </w:r>
      <w:r>
        <w:t>weight</w:t>
      </w:r>
      <w:r w:rsidR="000159A6">
        <w:t xml:space="preserve"> </w:t>
      </w:r>
      <w:r>
        <w:t>basis)</w:t>
      </w:r>
      <w:r w:rsidR="000159A6">
        <w:t xml:space="preserve"> </w:t>
      </w:r>
      <w:r>
        <w:t>showed</w:t>
      </w:r>
      <w:r w:rsidR="000159A6">
        <w:t xml:space="preserve"> </w:t>
      </w:r>
      <w:r>
        <w:t>dose</w:t>
      </w:r>
      <w:r w:rsidR="000159A6">
        <w:t xml:space="preserve"> </w:t>
      </w:r>
      <w:r>
        <w:t>dependent</w:t>
      </w:r>
      <w:r w:rsidR="000159A6">
        <w:t xml:space="preserve"> </w:t>
      </w:r>
      <w:r>
        <w:t>local</w:t>
      </w:r>
      <w:r w:rsidR="000159A6">
        <w:t xml:space="preserve"> </w:t>
      </w:r>
      <w:r>
        <w:t>inflammatory</w:t>
      </w:r>
      <w:r w:rsidR="000159A6">
        <w:t xml:space="preserve"> </w:t>
      </w:r>
      <w:r>
        <w:t>reactions</w:t>
      </w:r>
      <w:r w:rsidR="000159A6">
        <w:t xml:space="preserve"> </w:t>
      </w:r>
      <w:r>
        <w:t>at</w:t>
      </w:r>
      <w:r w:rsidR="000159A6">
        <w:t xml:space="preserve"> </w:t>
      </w:r>
      <w:r>
        <w:t>the</w:t>
      </w:r>
      <w:r w:rsidR="000159A6">
        <w:t xml:space="preserve"> </w:t>
      </w:r>
      <w:r>
        <w:t>injection</w:t>
      </w:r>
      <w:r w:rsidR="000159A6">
        <w:t xml:space="preserve"> </w:t>
      </w:r>
      <w:r>
        <w:t>site,</w:t>
      </w:r>
      <w:r w:rsidR="000159A6">
        <w:t xml:space="preserve"> </w:t>
      </w:r>
      <w:r>
        <w:t>similar</w:t>
      </w:r>
      <w:r w:rsidR="000159A6">
        <w:t xml:space="preserve"> </w:t>
      </w:r>
      <w:r>
        <w:t>to</w:t>
      </w:r>
      <w:r w:rsidR="000159A6">
        <w:t xml:space="preserve"> </w:t>
      </w:r>
      <w:r>
        <w:t>those</w:t>
      </w:r>
      <w:r w:rsidR="000159A6">
        <w:t xml:space="preserve"> </w:t>
      </w:r>
      <w:r>
        <w:t>observed</w:t>
      </w:r>
      <w:r w:rsidR="000159A6">
        <w:t xml:space="preserve"> </w:t>
      </w:r>
      <w:r>
        <w:t>with</w:t>
      </w:r>
      <w:r w:rsidR="000159A6">
        <w:t xml:space="preserve"> </w:t>
      </w:r>
      <w:r w:rsidR="00503D1B">
        <w:t>AS01</w:t>
      </w:r>
      <w:r w:rsidR="00503D1B" w:rsidRPr="00570F2D">
        <w:rPr>
          <w:vertAlign w:val="subscript"/>
        </w:rPr>
        <w:t>B</w:t>
      </w:r>
      <w:r w:rsidR="000159A6">
        <w:t xml:space="preserve"> </w:t>
      </w:r>
      <w:r>
        <w:t>or</w:t>
      </w:r>
      <w:r w:rsidR="000159A6">
        <w:t xml:space="preserve"> </w:t>
      </w:r>
      <w:r>
        <w:t>the</w:t>
      </w:r>
      <w:r w:rsidR="000159A6">
        <w:t xml:space="preserve"> </w:t>
      </w:r>
      <w:r>
        <w:t>adjuvanted</w:t>
      </w:r>
      <w:r w:rsidR="000159A6">
        <w:t xml:space="preserve"> </w:t>
      </w:r>
      <w:r>
        <w:t>vaccine.</w:t>
      </w:r>
      <w:r w:rsidR="000159A6">
        <w:t xml:space="preserve"> </w:t>
      </w:r>
      <w:r>
        <w:t>In</w:t>
      </w:r>
      <w:r w:rsidR="000159A6">
        <w:t xml:space="preserve"> </w:t>
      </w:r>
      <w:r>
        <w:t>the</w:t>
      </w:r>
      <w:r w:rsidR="000159A6">
        <w:t xml:space="preserve"> </w:t>
      </w:r>
      <w:r>
        <w:t>repeat</w:t>
      </w:r>
      <w:r w:rsidR="000159A6">
        <w:t xml:space="preserve"> </w:t>
      </w:r>
      <w:r>
        <w:t>dose</w:t>
      </w:r>
      <w:r w:rsidR="000159A6">
        <w:t xml:space="preserve"> </w:t>
      </w:r>
      <w:r>
        <w:t>toxicity</w:t>
      </w:r>
      <w:r w:rsidR="000159A6">
        <w:t xml:space="preserve"> </w:t>
      </w:r>
      <w:r>
        <w:t>studies,</w:t>
      </w:r>
      <w:r w:rsidR="000159A6">
        <w:t xml:space="preserve"> </w:t>
      </w:r>
      <w:r>
        <w:t>local</w:t>
      </w:r>
      <w:r w:rsidR="000159A6">
        <w:t xml:space="preserve"> </w:t>
      </w:r>
      <w:r>
        <w:t>inflammatory</w:t>
      </w:r>
      <w:r w:rsidR="000159A6">
        <w:t xml:space="preserve"> </w:t>
      </w:r>
      <w:r>
        <w:t>reactions</w:t>
      </w:r>
      <w:r w:rsidR="000159A6">
        <w:t xml:space="preserve"> </w:t>
      </w:r>
      <w:r>
        <w:t>were</w:t>
      </w:r>
      <w:r w:rsidR="000159A6">
        <w:t xml:space="preserve"> </w:t>
      </w:r>
      <w:r>
        <w:t>completely</w:t>
      </w:r>
      <w:r w:rsidR="000159A6">
        <w:t xml:space="preserve"> </w:t>
      </w:r>
      <w:r>
        <w:t>or</w:t>
      </w:r>
      <w:r w:rsidR="000159A6">
        <w:t xml:space="preserve"> </w:t>
      </w:r>
      <w:r>
        <w:t>partially</w:t>
      </w:r>
      <w:r w:rsidR="000159A6">
        <w:t xml:space="preserve"> </w:t>
      </w:r>
      <w:r>
        <w:t>reversible</w:t>
      </w:r>
      <w:r w:rsidR="000159A6">
        <w:t xml:space="preserve"> </w:t>
      </w:r>
      <w:r>
        <w:t>4</w:t>
      </w:r>
      <w:r w:rsidR="000159A6">
        <w:t xml:space="preserve"> </w:t>
      </w:r>
      <w:r>
        <w:t>weeks</w:t>
      </w:r>
      <w:r w:rsidR="000159A6">
        <w:t xml:space="preserve"> </w:t>
      </w:r>
      <w:r>
        <w:t>after</w:t>
      </w:r>
      <w:r w:rsidR="000159A6">
        <w:t xml:space="preserve"> </w:t>
      </w:r>
      <w:r>
        <w:t>the</w:t>
      </w:r>
      <w:r w:rsidR="000159A6">
        <w:t xml:space="preserve"> </w:t>
      </w:r>
      <w:r>
        <w:t>last</w:t>
      </w:r>
      <w:r w:rsidR="000159A6">
        <w:t xml:space="preserve"> </w:t>
      </w:r>
      <w:r>
        <w:t>dose.</w:t>
      </w:r>
    </w:p>
    <w:p w14:paraId="68264265" w14:textId="5FAC41A3" w:rsidR="005B220F" w:rsidRPr="008F7BC7" w:rsidRDefault="005B220F" w:rsidP="008F7BC7">
      <w:pPr>
        <w:pStyle w:val="Heading4"/>
      </w:pPr>
      <w:r w:rsidRPr="008F7BC7">
        <w:t>Paediatric</w:t>
      </w:r>
      <w:r w:rsidR="000159A6" w:rsidRPr="008F7BC7">
        <w:t xml:space="preserve"> </w:t>
      </w:r>
      <w:r w:rsidRPr="008F7BC7">
        <w:t>use</w:t>
      </w:r>
    </w:p>
    <w:p w14:paraId="68F04A02" w14:textId="67BC167E" w:rsidR="005B220F" w:rsidRPr="00722762" w:rsidRDefault="005B220F" w:rsidP="00AD5810">
      <w:r w:rsidRPr="009C0E5D">
        <w:t>Shingrix</w:t>
      </w:r>
      <w:r w:rsidR="000159A6">
        <w:t xml:space="preserve"> </w:t>
      </w:r>
      <w:r w:rsidRPr="009C0E5D">
        <w:t>i</w:t>
      </w:r>
      <w:r w:rsidRPr="00722762">
        <w:t>s</w:t>
      </w:r>
      <w:r w:rsidR="000159A6">
        <w:t xml:space="preserve"> </w:t>
      </w:r>
      <w:r w:rsidRPr="00722762">
        <w:t>not</w:t>
      </w:r>
      <w:r w:rsidR="000159A6">
        <w:t xml:space="preserve"> </w:t>
      </w:r>
      <w:r w:rsidRPr="00722762">
        <w:t>proposed</w:t>
      </w:r>
      <w:r w:rsidR="000159A6">
        <w:t xml:space="preserve"> </w:t>
      </w:r>
      <w:r w:rsidRPr="00722762">
        <w:t>for</w:t>
      </w:r>
      <w:r w:rsidR="000159A6">
        <w:t xml:space="preserve"> </w:t>
      </w:r>
      <w:r w:rsidRPr="00722762">
        <w:t>paediatric</w:t>
      </w:r>
      <w:r w:rsidR="000159A6">
        <w:t xml:space="preserve"> </w:t>
      </w:r>
      <w:r w:rsidRPr="00722762">
        <w:t>use</w:t>
      </w:r>
      <w:r w:rsidR="000159A6">
        <w:t xml:space="preserve"> </w:t>
      </w:r>
      <w:r w:rsidRPr="00722762">
        <w:t>and</w:t>
      </w:r>
      <w:r w:rsidR="000159A6">
        <w:t xml:space="preserve"> </w:t>
      </w:r>
      <w:r w:rsidRPr="00722762">
        <w:t>no</w:t>
      </w:r>
      <w:r w:rsidR="000159A6">
        <w:t xml:space="preserve"> </w:t>
      </w:r>
      <w:r w:rsidRPr="00722762">
        <w:t>specific</w:t>
      </w:r>
      <w:r w:rsidR="000159A6">
        <w:t xml:space="preserve"> </w:t>
      </w:r>
      <w:r w:rsidRPr="00722762">
        <w:t>studies</w:t>
      </w:r>
      <w:r w:rsidR="000159A6">
        <w:t xml:space="preserve"> </w:t>
      </w:r>
      <w:r w:rsidRPr="00722762">
        <w:t>in</w:t>
      </w:r>
      <w:r w:rsidR="000159A6">
        <w:t xml:space="preserve"> </w:t>
      </w:r>
      <w:r w:rsidRPr="00722762">
        <w:t>juvenile</w:t>
      </w:r>
      <w:r w:rsidR="000159A6">
        <w:t xml:space="preserve"> </w:t>
      </w:r>
      <w:r w:rsidRPr="00722762">
        <w:t>animals</w:t>
      </w:r>
      <w:r w:rsidR="000159A6">
        <w:t xml:space="preserve"> </w:t>
      </w:r>
      <w:r w:rsidRPr="00722762">
        <w:t>were</w:t>
      </w:r>
      <w:r w:rsidR="000159A6">
        <w:t xml:space="preserve"> </w:t>
      </w:r>
      <w:r w:rsidRPr="00722762">
        <w:t>submitted</w:t>
      </w:r>
      <w:r>
        <w:t>.</w:t>
      </w:r>
    </w:p>
    <w:p w14:paraId="26B003AD" w14:textId="42520757" w:rsidR="005B220F" w:rsidRPr="008F7BC7" w:rsidRDefault="005B220F" w:rsidP="008F7BC7">
      <w:pPr>
        <w:pStyle w:val="Heading5"/>
      </w:pPr>
      <w:bookmarkStart w:id="61" w:name="_Toc507155312"/>
      <w:r w:rsidRPr="008F7BC7">
        <w:t>Comments</w:t>
      </w:r>
      <w:r w:rsidR="000159A6" w:rsidRPr="008F7BC7">
        <w:t xml:space="preserve"> </w:t>
      </w:r>
      <w:r w:rsidRPr="008F7BC7">
        <w:t>on</w:t>
      </w:r>
      <w:r w:rsidR="000159A6" w:rsidRPr="008F7BC7">
        <w:t xml:space="preserve"> </w:t>
      </w:r>
      <w:r w:rsidRPr="008F7BC7">
        <w:t>the</w:t>
      </w:r>
      <w:r w:rsidR="000159A6" w:rsidRPr="008F7BC7">
        <w:t xml:space="preserve"> </w:t>
      </w:r>
      <w:r w:rsidRPr="008F7BC7">
        <w:t>Nonclinical</w:t>
      </w:r>
      <w:r w:rsidR="000159A6" w:rsidRPr="008F7BC7">
        <w:t xml:space="preserve"> </w:t>
      </w:r>
      <w:r w:rsidRPr="008F7BC7">
        <w:t>Safety</w:t>
      </w:r>
      <w:r w:rsidR="000159A6" w:rsidRPr="008F7BC7">
        <w:t xml:space="preserve"> </w:t>
      </w:r>
      <w:r w:rsidRPr="008F7BC7">
        <w:t>Specification</w:t>
      </w:r>
      <w:r w:rsidR="000159A6" w:rsidRPr="008F7BC7">
        <w:t xml:space="preserve"> </w:t>
      </w:r>
      <w:r w:rsidRPr="008F7BC7">
        <w:t>of</w:t>
      </w:r>
      <w:r w:rsidR="000159A6" w:rsidRPr="008F7BC7">
        <w:t xml:space="preserve"> </w:t>
      </w:r>
      <w:r w:rsidRPr="008F7BC7">
        <w:t>the</w:t>
      </w:r>
      <w:r w:rsidR="000159A6" w:rsidRPr="008F7BC7">
        <w:t xml:space="preserve"> </w:t>
      </w:r>
      <w:r w:rsidRPr="008F7BC7">
        <w:t>Risk</w:t>
      </w:r>
      <w:r w:rsidR="000159A6" w:rsidRPr="008F7BC7">
        <w:t xml:space="preserve"> </w:t>
      </w:r>
      <w:r w:rsidRPr="008F7BC7">
        <w:t>Management</w:t>
      </w:r>
      <w:r w:rsidR="000159A6" w:rsidRPr="008F7BC7">
        <w:t xml:space="preserve"> </w:t>
      </w:r>
      <w:r w:rsidRPr="008F7BC7">
        <w:t>Plan</w:t>
      </w:r>
      <w:bookmarkEnd w:id="61"/>
    </w:p>
    <w:p w14:paraId="7D6E35D4" w14:textId="5D04BA02" w:rsidR="005B220F" w:rsidRPr="005B220F" w:rsidRDefault="005B220F" w:rsidP="00C5388D">
      <w:r w:rsidRPr="00922C52">
        <w:t>Results</w:t>
      </w:r>
      <w:r w:rsidR="000159A6">
        <w:t xml:space="preserve"> </w:t>
      </w:r>
      <w:r w:rsidRPr="00922C52">
        <w:t>and</w:t>
      </w:r>
      <w:r w:rsidR="000159A6">
        <w:t xml:space="preserve"> </w:t>
      </w:r>
      <w:r w:rsidRPr="00922C52">
        <w:t>conclusions</w:t>
      </w:r>
      <w:r w:rsidR="000159A6">
        <w:t xml:space="preserve"> </w:t>
      </w:r>
      <w:r w:rsidRPr="00922C52">
        <w:t>drawn</w:t>
      </w:r>
      <w:r w:rsidR="000159A6">
        <w:t xml:space="preserve"> </w:t>
      </w:r>
      <w:r w:rsidRPr="00922C52">
        <w:t>from</w:t>
      </w:r>
      <w:r w:rsidR="000159A6">
        <w:t xml:space="preserve"> </w:t>
      </w:r>
      <w:r w:rsidRPr="00922C52">
        <w:t>the</w:t>
      </w:r>
      <w:r w:rsidR="000159A6">
        <w:t xml:space="preserve"> </w:t>
      </w:r>
      <w:r w:rsidRPr="00922C52">
        <w:t>nonclinical</w:t>
      </w:r>
      <w:r w:rsidR="000159A6">
        <w:t xml:space="preserve"> </w:t>
      </w:r>
      <w:r w:rsidRPr="00922C52">
        <w:t>program</w:t>
      </w:r>
      <w:r w:rsidR="000159A6">
        <w:t xml:space="preserve"> </w:t>
      </w:r>
      <w:r w:rsidRPr="00922C52">
        <w:t>for</w:t>
      </w:r>
      <w:r w:rsidR="000159A6">
        <w:t xml:space="preserve"> </w:t>
      </w:r>
      <w:r w:rsidR="00FF12AA">
        <w:t>Shingrix</w:t>
      </w:r>
      <w:r w:rsidR="000159A6">
        <w:t xml:space="preserve"> </w:t>
      </w:r>
      <w:r w:rsidRPr="00922C52">
        <w:t>detailed</w:t>
      </w:r>
      <w:r w:rsidR="000159A6">
        <w:t xml:space="preserve"> </w:t>
      </w:r>
      <w:r w:rsidRPr="00922C52">
        <w:t>in</w:t>
      </w:r>
      <w:r w:rsidR="000159A6">
        <w:t xml:space="preserve"> </w:t>
      </w:r>
      <w:r w:rsidRPr="00922C52">
        <w:t>the</w:t>
      </w:r>
      <w:r w:rsidR="000159A6">
        <w:t xml:space="preserve"> </w:t>
      </w:r>
      <w:r w:rsidRPr="00922C52">
        <w:t>sponsor’s</w:t>
      </w:r>
      <w:r w:rsidR="000159A6">
        <w:t xml:space="preserve"> </w:t>
      </w:r>
      <w:r w:rsidRPr="00922C52">
        <w:t>draft</w:t>
      </w:r>
      <w:r w:rsidR="000159A6">
        <w:t xml:space="preserve"> </w:t>
      </w:r>
      <w:r w:rsidRPr="00922C52">
        <w:t>Ris</w:t>
      </w:r>
      <w:r w:rsidR="009C0E5D">
        <w:t>k</w:t>
      </w:r>
      <w:r w:rsidR="000159A6">
        <w:t xml:space="preserve"> </w:t>
      </w:r>
      <w:r w:rsidR="009C0E5D">
        <w:t>Management</w:t>
      </w:r>
      <w:r w:rsidR="000159A6">
        <w:t xml:space="preserve"> </w:t>
      </w:r>
      <w:r w:rsidR="009C0E5D">
        <w:t>Plan</w:t>
      </w:r>
      <w:r w:rsidR="000159A6">
        <w:t xml:space="preserve"> </w:t>
      </w:r>
      <w:r w:rsidR="009C0E5D">
        <w:t>(RMP)</w:t>
      </w:r>
      <w:r w:rsidR="000159A6">
        <w:t xml:space="preserve"> </w:t>
      </w:r>
      <w:r w:rsidRPr="00922C52">
        <w:t>are</w:t>
      </w:r>
      <w:r w:rsidR="000159A6">
        <w:t xml:space="preserve"> </w:t>
      </w:r>
      <w:r w:rsidRPr="00922C52">
        <w:t>in</w:t>
      </w:r>
      <w:r w:rsidR="000159A6">
        <w:t xml:space="preserve"> </w:t>
      </w:r>
      <w:r w:rsidRPr="00922C52">
        <w:t>general</w:t>
      </w:r>
      <w:r w:rsidR="000159A6">
        <w:t xml:space="preserve"> </w:t>
      </w:r>
      <w:r w:rsidRPr="00922C52">
        <w:t>concordance</w:t>
      </w:r>
      <w:r w:rsidR="000159A6">
        <w:t xml:space="preserve"> </w:t>
      </w:r>
      <w:r w:rsidRPr="00922C52">
        <w:t>with</w:t>
      </w:r>
      <w:r w:rsidR="000159A6">
        <w:t xml:space="preserve"> </w:t>
      </w:r>
      <w:r w:rsidRPr="00922C52">
        <w:t>those</w:t>
      </w:r>
      <w:r w:rsidR="000159A6">
        <w:t xml:space="preserve"> </w:t>
      </w:r>
      <w:r w:rsidRPr="00922C52">
        <w:t>of</w:t>
      </w:r>
      <w:r w:rsidR="000159A6">
        <w:t xml:space="preserve"> </w:t>
      </w:r>
      <w:r w:rsidRPr="00922C52">
        <w:t>the</w:t>
      </w:r>
      <w:r w:rsidR="000159A6">
        <w:t xml:space="preserve"> </w:t>
      </w:r>
      <w:r w:rsidR="009C0E5D" w:rsidRPr="00922C52">
        <w:t>nonclinical</w:t>
      </w:r>
      <w:r w:rsidR="000159A6">
        <w:t xml:space="preserve"> </w:t>
      </w:r>
      <w:r w:rsidR="009C0E5D" w:rsidRPr="00922C52">
        <w:t>e</w:t>
      </w:r>
      <w:r w:rsidRPr="00922C52">
        <w:t>valuator.</w:t>
      </w:r>
    </w:p>
    <w:p w14:paraId="7110F504" w14:textId="7FBDF7B2" w:rsidR="008E7846" w:rsidRPr="008F7BC7" w:rsidRDefault="008E7846" w:rsidP="008F7BC7">
      <w:pPr>
        <w:pStyle w:val="Heading3"/>
      </w:pPr>
      <w:bookmarkStart w:id="62" w:name="_Toc247691515"/>
      <w:bookmarkStart w:id="63" w:name="_Toc314842499"/>
      <w:bookmarkStart w:id="64" w:name="_Toc1049810"/>
      <w:r w:rsidRPr="008F7BC7">
        <w:t>Nonclinical</w:t>
      </w:r>
      <w:r w:rsidR="000159A6" w:rsidRPr="008F7BC7">
        <w:t xml:space="preserve"> </w:t>
      </w:r>
      <w:r w:rsidRPr="008F7BC7">
        <w:t>summary</w:t>
      </w:r>
      <w:r w:rsidR="000159A6" w:rsidRPr="008F7BC7">
        <w:t xml:space="preserve"> </w:t>
      </w:r>
      <w:r w:rsidRPr="008F7BC7">
        <w:t>and</w:t>
      </w:r>
      <w:r w:rsidR="000159A6" w:rsidRPr="008F7BC7">
        <w:t xml:space="preserve"> </w:t>
      </w:r>
      <w:r w:rsidRPr="008F7BC7">
        <w:t>conclusions</w:t>
      </w:r>
      <w:bookmarkEnd w:id="62"/>
      <w:bookmarkEnd w:id="63"/>
      <w:bookmarkEnd w:id="64"/>
    </w:p>
    <w:p w14:paraId="642AADC4" w14:textId="4CAFB9CE" w:rsidR="005B220F" w:rsidRPr="00597707" w:rsidRDefault="005B220F" w:rsidP="00C5388D">
      <w:pPr>
        <w:pStyle w:val="ListBullet"/>
      </w:pPr>
      <w:bookmarkStart w:id="65" w:name="_Toc196046462"/>
      <w:bookmarkStart w:id="66" w:name="_Toc247691516"/>
      <w:bookmarkStart w:id="67" w:name="_Toc314842500"/>
      <w:bookmarkStart w:id="68" w:name="_Toc163441353"/>
      <w:bookmarkStart w:id="69" w:name="_Toc163441348"/>
      <w:r w:rsidRPr="00256F52">
        <w:t>The</w:t>
      </w:r>
      <w:r w:rsidR="000159A6">
        <w:t xml:space="preserve"> </w:t>
      </w:r>
      <w:r w:rsidRPr="00256F52">
        <w:t>sponsor</w:t>
      </w:r>
      <w:r w:rsidR="000159A6">
        <w:t xml:space="preserve"> </w:t>
      </w:r>
      <w:r w:rsidRPr="00C5388D">
        <w:t>has</w:t>
      </w:r>
      <w:r w:rsidR="000159A6">
        <w:t xml:space="preserve"> </w:t>
      </w:r>
      <w:r w:rsidRPr="0011649B">
        <w:t>generally</w:t>
      </w:r>
      <w:r w:rsidR="000159A6">
        <w:t xml:space="preserve"> </w:t>
      </w:r>
      <w:r>
        <w:t>conducted</w:t>
      </w:r>
      <w:r w:rsidR="000159A6">
        <w:t xml:space="preserve"> </w:t>
      </w:r>
      <w:r>
        <w:t>adequate</w:t>
      </w:r>
      <w:r w:rsidR="000159A6">
        <w:t xml:space="preserve"> </w:t>
      </w:r>
      <w:r>
        <w:t>studies</w:t>
      </w:r>
      <w:r w:rsidR="000159A6">
        <w:t xml:space="preserve"> </w:t>
      </w:r>
      <w:r>
        <w:t>on</w:t>
      </w:r>
      <w:r w:rsidR="000159A6">
        <w:t xml:space="preserve"> </w:t>
      </w:r>
      <w:r>
        <w:t>pharmacology</w:t>
      </w:r>
      <w:r w:rsidR="000159A6">
        <w:t xml:space="preserve"> </w:t>
      </w:r>
      <w:r>
        <w:t>and</w:t>
      </w:r>
      <w:r w:rsidR="000159A6">
        <w:t xml:space="preserve"> </w:t>
      </w:r>
      <w:r>
        <w:t>toxicity</w:t>
      </w:r>
      <w:r w:rsidR="000159A6">
        <w:t xml:space="preserve"> </w:t>
      </w:r>
      <w:r>
        <w:t>of</w:t>
      </w:r>
      <w:r w:rsidR="000159A6">
        <w:t xml:space="preserve"> </w:t>
      </w:r>
      <w:r>
        <w:t>the</w:t>
      </w:r>
      <w:r w:rsidR="000159A6">
        <w:t xml:space="preserve"> </w:t>
      </w:r>
      <w:r>
        <w:t>vaccine</w:t>
      </w:r>
      <w:r w:rsidR="000159A6">
        <w:t xml:space="preserve"> </w:t>
      </w:r>
      <w:r>
        <w:t>and</w:t>
      </w:r>
      <w:r w:rsidR="000159A6">
        <w:t xml:space="preserve"> </w:t>
      </w:r>
      <w:r>
        <w:t>its</w:t>
      </w:r>
      <w:r w:rsidR="000159A6">
        <w:t xml:space="preserve"> </w:t>
      </w:r>
      <w:r>
        <w:t>adjuvant</w:t>
      </w:r>
      <w:r w:rsidR="000159A6">
        <w:t xml:space="preserve"> </w:t>
      </w:r>
      <w:r w:rsidR="00503D1B">
        <w:t>AS01</w:t>
      </w:r>
      <w:r w:rsidR="00503D1B" w:rsidRPr="00570F2D">
        <w:rPr>
          <w:vertAlign w:val="subscript"/>
        </w:rPr>
        <w:t>B</w:t>
      </w:r>
      <w:r w:rsidR="000159A6">
        <w:t xml:space="preserve"> </w:t>
      </w:r>
      <w:r>
        <w:t>(which</w:t>
      </w:r>
      <w:r w:rsidR="000159A6">
        <w:t xml:space="preserve"> </w:t>
      </w:r>
      <w:r>
        <w:t>contains</w:t>
      </w:r>
      <w:r w:rsidR="000159A6">
        <w:t xml:space="preserve"> </w:t>
      </w:r>
      <w:r>
        <w:t>3-O-desacyl-4’-monophosphoryl</w:t>
      </w:r>
      <w:r w:rsidR="000159A6">
        <w:t xml:space="preserve"> </w:t>
      </w:r>
      <w:r>
        <w:t>lipid</w:t>
      </w:r>
      <w:r w:rsidR="000159A6">
        <w:t xml:space="preserve"> </w:t>
      </w:r>
      <w:r>
        <w:t>A</w:t>
      </w:r>
      <w:r w:rsidR="000159A6">
        <w:t xml:space="preserve"> </w:t>
      </w:r>
      <w:r w:rsidR="004715B4">
        <w:t>(</w:t>
      </w:r>
      <w:r>
        <w:t>MPL</w:t>
      </w:r>
      <w:r w:rsidR="004715B4">
        <w:t>)</w:t>
      </w:r>
      <w:r w:rsidR="000159A6">
        <w:t xml:space="preserve"> </w:t>
      </w:r>
      <w:r>
        <w:t>and</w:t>
      </w:r>
      <w:r w:rsidR="000159A6">
        <w:t xml:space="preserve"> </w:t>
      </w:r>
      <w:r>
        <w:t>a</w:t>
      </w:r>
      <w:r w:rsidR="000159A6">
        <w:t xml:space="preserve"> </w:t>
      </w:r>
      <w:r>
        <w:t>novel</w:t>
      </w:r>
      <w:r w:rsidR="000159A6">
        <w:t xml:space="preserve"> </w:t>
      </w:r>
      <w:r>
        <w:t>component,</w:t>
      </w:r>
      <w:r w:rsidR="000159A6">
        <w:t xml:space="preserve"> </w:t>
      </w:r>
      <w:proofErr w:type="spellStart"/>
      <w:r w:rsidRPr="008B4F5C">
        <w:rPr>
          <w:i/>
        </w:rPr>
        <w:t>Quillaja</w:t>
      </w:r>
      <w:proofErr w:type="spellEnd"/>
      <w:r w:rsidR="000159A6">
        <w:rPr>
          <w:i/>
        </w:rPr>
        <w:t xml:space="preserve"> </w:t>
      </w:r>
      <w:proofErr w:type="spellStart"/>
      <w:r w:rsidRPr="008B4F5C">
        <w:rPr>
          <w:i/>
        </w:rPr>
        <w:t>saponaria</w:t>
      </w:r>
      <w:proofErr w:type="spellEnd"/>
      <w:r w:rsidR="000159A6">
        <w:t xml:space="preserve"> </w:t>
      </w:r>
      <w:r>
        <w:t>Molina</w:t>
      </w:r>
      <w:r w:rsidR="000159A6">
        <w:t xml:space="preserve"> </w:t>
      </w:r>
      <w:r>
        <w:t>extract,</w:t>
      </w:r>
      <w:r w:rsidR="000159A6">
        <w:t xml:space="preserve"> </w:t>
      </w:r>
      <w:r>
        <w:t>fraction</w:t>
      </w:r>
      <w:r w:rsidR="000159A6">
        <w:t xml:space="preserve"> </w:t>
      </w:r>
      <w:r>
        <w:t>21</w:t>
      </w:r>
      <w:r w:rsidR="000159A6">
        <w:t xml:space="preserve"> </w:t>
      </w:r>
      <w:r w:rsidR="004715B4">
        <w:t>(</w:t>
      </w:r>
      <w:r>
        <w:t>QS-21</w:t>
      </w:r>
      <w:r w:rsidR="004715B4">
        <w:t>)</w:t>
      </w:r>
      <w:r w:rsidR="000159A6">
        <w:t xml:space="preserve"> </w:t>
      </w:r>
      <w:r>
        <w:t>formulated</w:t>
      </w:r>
      <w:r w:rsidR="000159A6">
        <w:t xml:space="preserve"> </w:t>
      </w:r>
      <w:r>
        <w:t>in</w:t>
      </w:r>
      <w:r w:rsidR="000159A6">
        <w:t xml:space="preserve"> </w:t>
      </w:r>
      <w:r>
        <w:t>liposomes</w:t>
      </w:r>
      <w:r w:rsidR="000159A6">
        <w:t xml:space="preserve"> </w:t>
      </w:r>
      <w:r>
        <w:t>consisting</w:t>
      </w:r>
      <w:r w:rsidR="000159A6">
        <w:t xml:space="preserve"> </w:t>
      </w:r>
      <w:r>
        <w:t>of</w:t>
      </w:r>
      <w:r w:rsidR="000159A6">
        <w:t xml:space="preserve"> </w:t>
      </w:r>
      <w:proofErr w:type="spellStart"/>
      <w:r>
        <w:t>dioleoylphosphatidylcholine</w:t>
      </w:r>
      <w:proofErr w:type="spellEnd"/>
      <w:r w:rsidR="000159A6">
        <w:t xml:space="preserve"> </w:t>
      </w:r>
      <w:r w:rsidR="004715B4">
        <w:t>(</w:t>
      </w:r>
      <w:r>
        <w:t>DOPC</w:t>
      </w:r>
      <w:r w:rsidR="004715B4">
        <w:t>)</w:t>
      </w:r>
      <w:r w:rsidR="000159A6">
        <w:t xml:space="preserve"> </w:t>
      </w:r>
      <w:r>
        <w:t>and</w:t>
      </w:r>
      <w:r w:rsidR="000159A6">
        <w:t xml:space="preserve"> </w:t>
      </w:r>
      <w:r>
        <w:t>cholesterol</w:t>
      </w:r>
      <w:r w:rsidRPr="00597707">
        <w:t>)</w:t>
      </w:r>
      <w:r>
        <w:rPr>
          <w:vertAlign w:val="subscript"/>
        </w:rPr>
        <w:t>.</w:t>
      </w:r>
      <w:r w:rsidR="000159A6">
        <w:t xml:space="preserve"> </w:t>
      </w:r>
      <w:r w:rsidRPr="00597707">
        <w:t>All</w:t>
      </w:r>
      <w:r w:rsidR="000159A6">
        <w:t xml:space="preserve"> </w:t>
      </w:r>
      <w:r>
        <w:t>safety</w:t>
      </w:r>
      <w:r w:rsidR="000159A6">
        <w:t xml:space="preserve"> </w:t>
      </w:r>
      <w:r>
        <w:t>pharmacology,</w:t>
      </w:r>
      <w:r w:rsidR="000159A6">
        <w:t xml:space="preserve"> </w:t>
      </w:r>
      <w:r>
        <w:t>repeat</w:t>
      </w:r>
      <w:r w:rsidR="000159A6">
        <w:t xml:space="preserve"> </w:t>
      </w:r>
      <w:r>
        <w:t>dose</w:t>
      </w:r>
      <w:r w:rsidR="000159A6">
        <w:t xml:space="preserve"> </w:t>
      </w:r>
      <w:r>
        <w:t>toxicity,</w:t>
      </w:r>
      <w:r w:rsidR="000159A6">
        <w:t xml:space="preserve"> </w:t>
      </w:r>
      <w:r>
        <w:t>genotoxicity</w:t>
      </w:r>
      <w:r w:rsidR="000159A6">
        <w:t xml:space="preserve"> </w:t>
      </w:r>
      <w:r>
        <w:t>and</w:t>
      </w:r>
      <w:r w:rsidR="000159A6">
        <w:t xml:space="preserve"> </w:t>
      </w:r>
      <w:r>
        <w:t>reproductive</w:t>
      </w:r>
      <w:r w:rsidR="000159A6">
        <w:t xml:space="preserve"> </w:t>
      </w:r>
      <w:r>
        <w:t>toxicity</w:t>
      </w:r>
      <w:r w:rsidR="000159A6">
        <w:t xml:space="preserve"> </w:t>
      </w:r>
      <w:r>
        <w:t>studies</w:t>
      </w:r>
      <w:r w:rsidR="000159A6">
        <w:t xml:space="preserve"> </w:t>
      </w:r>
      <w:r>
        <w:t>for</w:t>
      </w:r>
      <w:r w:rsidR="000159A6">
        <w:t xml:space="preserve"> </w:t>
      </w:r>
      <w:r>
        <w:t>the</w:t>
      </w:r>
      <w:r w:rsidR="000159A6">
        <w:t xml:space="preserve"> </w:t>
      </w:r>
      <w:r>
        <w:t>vaccine</w:t>
      </w:r>
      <w:r w:rsidR="000159A6">
        <w:t xml:space="preserve"> </w:t>
      </w:r>
      <w:r>
        <w:t>and</w:t>
      </w:r>
      <w:r w:rsidR="000159A6">
        <w:t xml:space="preserve"> </w:t>
      </w:r>
      <w:r>
        <w:t>adjuvants</w:t>
      </w:r>
      <w:r w:rsidR="000159A6">
        <w:t xml:space="preserve"> </w:t>
      </w:r>
      <w:r>
        <w:t>were</w:t>
      </w:r>
      <w:r w:rsidR="000159A6">
        <w:t xml:space="preserve"> </w:t>
      </w:r>
      <w:r>
        <w:t>performed</w:t>
      </w:r>
      <w:r w:rsidR="000159A6">
        <w:t xml:space="preserve"> </w:t>
      </w:r>
      <w:r>
        <w:t>under</w:t>
      </w:r>
      <w:r w:rsidR="000159A6">
        <w:t xml:space="preserve"> </w:t>
      </w:r>
      <w:r>
        <w:t>GLP</w:t>
      </w:r>
      <w:r w:rsidR="000159A6">
        <w:t xml:space="preserve"> </w:t>
      </w:r>
      <w:r>
        <w:lastRenderedPageBreak/>
        <w:t>conditions.</w:t>
      </w:r>
      <w:r w:rsidR="000159A6">
        <w:t xml:space="preserve"> </w:t>
      </w:r>
      <w:r>
        <w:t>The</w:t>
      </w:r>
      <w:r w:rsidR="000159A6">
        <w:t xml:space="preserve"> </w:t>
      </w:r>
      <w:r>
        <w:t>composition</w:t>
      </w:r>
      <w:r w:rsidR="000159A6">
        <w:t xml:space="preserve"> </w:t>
      </w:r>
      <w:r>
        <w:t>of</w:t>
      </w:r>
      <w:r w:rsidR="000159A6">
        <w:t xml:space="preserve"> </w:t>
      </w:r>
      <w:r>
        <w:t>the</w:t>
      </w:r>
      <w:r w:rsidR="000159A6">
        <w:t xml:space="preserve"> </w:t>
      </w:r>
      <w:r>
        <w:t>nonclinical</w:t>
      </w:r>
      <w:r w:rsidR="000159A6">
        <w:t xml:space="preserve"> </w:t>
      </w:r>
      <w:r>
        <w:t>dossier</w:t>
      </w:r>
      <w:r w:rsidR="000159A6">
        <w:t xml:space="preserve"> </w:t>
      </w:r>
      <w:r>
        <w:t>submitted</w:t>
      </w:r>
      <w:r w:rsidR="000159A6">
        <w:t xml:space="preserve"> </w:t>
      </w:r>
      <w:r>
        <w:t>met</w:t>
      </w:r>
      <w:r w:rsidR="000159A6">
        <w:t xml:space="preserve"> </w:t>
      </w:r>
      <w:r>
        <w:t>regulatory</w:t>
      </w:r>
      <w:r w:rsidR="000159A6">
        <w:t xml:space="preserve"> </w:t>
      </w:r>
      <w:r>
        <w:t>guidelines</w:t>
      </w:r>
      <w:r w:rsidR="000159A6">
        <w:t xml:space="preserve"> </w:t>
      </w:r>
      <w:r>
        <w:t>for</w:t>
      </w:r>
      <w:r w:rsidR="000159A6">
        <w:t xml:space="preserve"> </w:t>
      </w:r>
      <w:r>
        <w:t>vaccines/adjuvants.</w:t>
      </w:r>
    </w:p>
    <w:p w14:paraId="7404ADF4" w14:textId="35688C39" w:rsidR="00FF12AA" w:rsidRDefault="005B220F" w:rsidP="00C5388D">
      <w:pPr>
        <w:pStyle w:val="ListBullet"/>
      </w:pPr>
      <w:proofErr w:type="spellStart"/>
      <w:r>
        <w:t>P</w:t>
      </w:r>
      <w:r w:rsidRPr="00045137">
        <w:t>harmacodynamic</w:t>
      </w:r>
      <w:proofErr w:type="spellEnd"/>
      <w:r w:rsidR="000159A6">
        <w:t xml:space="preserve"> </w:t>
      </w:r>
      <w:r w:rsidRPr="00045137">
        <w:t>studies</w:t>
      </w:r>
      <w:r w:rsidR="000159A6">
        <w:t xml:space="preserve"> </w:t>
      </w:r>
      <w:r w:rsidRPr="00045137">
        <w:t>examined</w:t>
      </w:r>
      <w:r w:rsidR="000159A6">
        <w:t xml:space="preserve"> </w:t>
      </w:r>
      <w:r w:rsidRPr="00045137">
        <w:t>the</w:t>
      </w:r>
      <w:r w:rsidR="000159A6">
        <w:t xml:space="preserve"> </w:t>
      </w:r>
      <w:r w:rsidRPr="00045137">
        <w:t>immune</w:t>
      </w:r>
      <w:r w:rsidR="000159A6">
        <w:t xml:space="preserve"> </w:t>
      </w:r>
      <w:r w:rsidRPr="00045137">
        <w:t>response</w:t>
      </w:r>
      <w:r w:rsidR="000159A6">
        <w:t xml:space="preserve"> </w:t>
      </w:r>
      <w:r w:rsidRPr="00045137">
        <w:t>of</w:t>
      </w:r>
      <w:r w:rsidR="000159A6">
        <w:t xml:space="preserve"> </w:t>
      </w:r>
      <w:proofErr w:type="gramStart"/>
      <w:r>
        <w:t>gE</w:t>
      </w:r>
      <w:proofErr w:type="gramEnd"/>
      <w:r w:rsidR="000159A6">
        <w:t xml:space="preserve"> </w:t>
      </w:r>
      <w:r>
        <w:t>formulated</w:t>
      </w:r>
      <w:r w:rsidR="000159A6">
        <w:t xml:space="preserve"> </w:t>
      </w:r>
      <w:r>
        <w:t>with</w:t>
      </w:r>
      <w:r w:rsidR="000159A6">
        <w:t xml:space="preserve"> </w:t>
      </w:r>
      <w:r>
        <w:t>various</w:t>
      </w:r>
      <w:r w:rsidR="000159A6">
        <w:t xml:space="preserve"> </w:t>
      </w:r>
      <w:r>
        <w:t>adjuvant</w:t>
      </w:r>
      <w:r w:rsidR="000159A6">
        <w:t xml:space="preserve"> </w:t>
      </w:r>
      <w:r>
        <w:t>systems</w:t>
      </w:r>
      <w:r w:rsidR="000159A6">
        <w:t xml:space="preserve"> </w:t>
      </w:r>
      <w:r w:rsidRPr="00045137">
        <w:t>(ASO2,</w:t>
      </w:r>
      <w:r w:rsidR="000159A6">
        <w:t xml:space="preserve"> </w:t>
      </w:r>
      <w:r w:rsidRPr="00045137">
        <w:t>ASO3),</w:t>
      </w:r>
      <w:r w:rsidR="000159A6">
        <w:t xml:space="preserve"> </w:t>
      </w:r>
      <w:r w:rsidRPr="00045137">
        <w:t>MPL</w:t>
      </w:r>
      <w:r w:rsidR="000159A6">
        <w:t xml:space="preserve"> </w:t>
      </w:r>
      <w:r w:rsidR="000E6841">
        <w:t>+</w:t>
      </w:r>
      <w:r w:rsidR="000159A6">
        <w:t xml:space="preserve"> </w:t>
      </w:r>
      <w:r w:rsidRPr="00045137">
        <w:t>Alum</w:t>
      </w:r>
      <w:r w:rsidR="000159A6">
        <w:t xml:space="preserve"> </w:t>
      </w:r>
      <w:r w:rsidRPr="00045137">
        <w:t>(ASO4),</w:t>
      </w:r>
      <w:r w:rsidR="000159A6">
        <w:t xml:space="preserve"> </w:t>
      </w:r>
      <w:r w:rsidRPr="00045137">
        <w:t>and</w:t>
      </w:r>
      <w:r w:rsidR="000159A6">
        <w:t xml:space="preserve"> </w:t>
      </w:r>
      <w:r w:rsidRPr="00045137">
        <w:t>liposomes</w:t>
      </w:r>
      <w:r w:rsidR="000159A6">
        <w:t xml:space="preserve"> </w:t>
      </w:r>
      <w:r w:rsidR="000E6841">
        <w:t>+</w:t>
      </w:r>
      <w:r w:rsidR="000159A6">
        <w:t xml:space="preserve"> </w:t>
      </w:r>
      <w:r w:rsidRPr="00045137">
        <w:t>ML</w:t>
      </w:r>
      <w:r w:rsidR="000159A6">
        <w:t xml:space="preserve"> </w:t>
      </w:r>
      <w:r w:rsidR="000E6841">
        <w:t>+</w:t>
      </w:r>
      <w:r w:rsidR="000159A6">
        <w:t xml:space="preserve"> </w:t>
      </w:r>
      <w:r w:rsidRPr="00045137">
        <w:t>QS-21</w:t>
      </w:r>
      <w:r w:rsidR="000159A6">
        <w:t xml:space="preserve"> </w:t>
      </w:r>
      <w:r>
        <w:t>at</w:t>
      </w:r>
      <w:r w:rsidR="000159A6">
        <w:t xml:space="preserve"> </w:t>
      </w:r>
      <w:r>
        <w:t>different</w:t>
      </w:r>
      <w:r w:rsidR="000159A6">
        <w:t xml:space="preserve"> </w:t>
      </w:r>
      <w:r>
        <w:t>quantities</w:t>
      </w:r>
      <w:r w:rsidR="000159A6">
        <w:t xml:space="preserve"> </w:t>
      </w:r>
      <w:r>
        <w:t>(AS01).</w:t>
      </w:r>
      <w:r w:rsidR="000159A6">
        <w:t xml:space="preserve"> </w:t>
      </w:r>
      <w:r w:rsidR="00503D1B">
        <w:t>AS01</w:t>
      </w:r>
      <w:r w:rsidR="00503D1B" w:rsidRPr="00570F2D">
        <w:rPr>
          <w:vertAlign w:val="subscript"/>
        </w:rPr>
        <w:t>B</w:t>
      </w:r>
      <w:r w:rsidR="000159A6">
        <w:t xml:space="preserve"> </w:t>
      </w:r>
      <w:r w:rsidRPr="001A299F">
        <w:t>was</w:t>
      </w:r>
      <w:r w:rsidR="000159A6">
        <w:t xml:space="preserve"> </w:t>
      </w:r>
      <w:r w:rsidRPr="001A299F">
        <w:t>selected</w:t>
      </w:r>
      <w:r w:rsidR="000159A6">
        <w:t xml:space="preserve"> </w:t>
      </w:r>
      <w:r w:rsidRPr="001A299F">
        <w:t>based</w:t>
      </w:r>
      <w:r w:rsidR="000159A6">
        <w:t xml:space="preserve"> </w:t>
      </w:r>
      <w:r w:rsidRPr="001A299F">
        <w:t>on</w:t>
      </w:r>
      <w:r w:rsidR="000159A6">
        <w:t xml:space="preserve"> </w:t>
      </w:r>
      <w:r w:rsidRPr="001A299F">
        <w:t>its</w:t>
      </w:r>
      <w:r w:rsidR="000159A6">
        <w:t xml:space="preserve"> </w:t>
      </w:r>
      <w:r w:rsidRPr="001A299F">
        <w:t>superior</w:t>
      </w:r>
      <w:r w:rsidR="000159A6">
        <w:t xml:space="preserve"> </w:t>
      </w:r>
      <w:r w:rsidRPr="001A299F">
        <w:t>ability</w:t>
      </w:r>
      <w:r w:rsidR="000159A6">
        <w:t xml:space="preserve"> </w:t>
      </w:r>
      <w:r w:rsidRPr="001A299F">
        <w:t>to</w:t>
      </w:r>
      <w:r w:rsidR="000159A6">
        <w:t xml:space="preserve"> </w:t>
      </w:r>
      <w:r w:rsidRPr="001A299F">
        <w:t>induce</w:t>
      </w:r>
      <w:r w:rsidR="000159A6">
        <w:t xml:space="preserve"> </w:t>
      </w:r>
      <w:r w:rsidRPr="001A299F">
        <w:t>cellular</w:t>
      </w:r>
      <w:r w:rsidR="000159A6">
        <w:t xml:space="preserve"> </w:t>
      </w:r>
      <w:r w:rsidRPr="001A299F">
        <w:t>immune</w:t>
      </w:r>
      <w:r w:rsidR="000159A6">
        <w:t xml:space="preserve"> </w:t>
      </w:r>
      <w:r w:rsidRPr="001A299F">
        <w:t>responses,</w:t>
      </w:r>
      <w:r w:rsidR="000159A6">
        <w:t xml:space="preserve"> </w:t>
      </w:r>
      <w:r w:rsidRPr="001A299F">
        <w:t>measured</w:t>
      </w:r>
      <w:r w:rsidR="000159A6">
        <w:t xml:space="preserve"> </w:t>
      </w:r>
      <w:r w:rsidRPr="001A299F">
        <w:t>as</w:t>
      </w:r>
      <w:r w:rsidR="000159A6">
        <w:t xml:space="preserve"> </w:t>
      </w:r>
      <w:r w:rsidRPr="001A299F">
        <w:t>IFN-γ</w:t>
      </w:r>
      <w:r w:rsidR="000159A6">
        <w:t xml:space="preserve"> </w:t>
      </w:r>
      <w:r w:rsidRPr="001A299F">
        <w:t>and/or</w:t>
      </w:r>
      <w:r w:rsidR="000159A6">
        <w:t xml:space="preserve"> </w:t>
      </w:r>
      <w:r w:rsidRPr="001A299F">
        <w:t>IL-2</w:t>
      </w:r>
      <w:r w:rsidR="000159A6">
        <w:t xml:space="preserve"> </w:t>
      </w:r>
      <w:r w:rsidRPr="001A299F">
        <w:t>producing</w:t>
      </w:r>
      <w:r w:rsidR="000159A6">
        <w:t xml:space="preserve"> </w:t>
      </w:r>
      <w:r w:rsidRPr="001A299F">
        <w:t>CD4</w:t>
      </w:r>
      <w:r w:rsidR="000159A6">
        <w:t xml:space="preserve"> </w:t>
      </w:r>
      <w:r w:rsidRPr="001A299F">
        <w:t>T</w:t>
      </w:r>
      <w:r w:rsidR="000159A6">
        <w:t xml:space="preserve"> </w:t>
      </w:r>
      <w:r w:rsidRPr="001A299F">
        <w:t>cells,</w:t>
      </w:r>
      <w:r w:rsidR="000159A6">
        <w:t xml:space="preserve"> </w:t>
      </w:r>
      <w:r w:rsidRPr="001A299F">
        <w:t>compared</w:t>
      </w:r>
      <w:r w:rsidR="000159A6">
        <w:t xml:space="preserve"> </w:t>
      </w:r>
      <w:r w:rsidRPr="001A299F">
        <w:t>to</w:t>
      </w:r>
      <w:r w:rsidR="000159A6">
        <w:t xml:space="preserve"> </w:t>
      </w:r>
      <w:r w:rsidRPr="001A299F">
        <w:t>other</w:t>
      </w:r>
      <w:r w:rsidR="000159A6">
        <w:t xml:space="preserve"> </w:t>
      </w:r>
      <w:r w:rsidRPr="001A299F">
        <w:t>adjuvant</w:t>
      </w:r>
      <w:r w:rsidR="000159A6">
        <w:t xml:space="preserve"> </w:t>
      </w:r>
      <w:r w:rsidRPr="001A299F">
        <w:t>systems.</w:t>
      </w:r>
      <w:r w:rsidR="000159A6">
        <w:t xml:space="preserve"> </w:t>
      </w:r>
      <w:r>
        <w:t>The</w:t>
      </w:r>
      <w:r w:rsidR="000159A6">
        <w:t xml:space="preserve"> </w:t>
      </w:r>
      <w:r>
        <w:t>mechanism</w:t>
      </w:r>
      <w:r w:rsidR="000159A6">
        <w:t xml:space="preserve"> </w:t>
      </w:r>
      <w:r>
        <w:t>of</w:t>
      </w:r>
      <w:r w:rsidR="000159A6">
        <w:t xml:space="preserve"> </w:t>
      </w:r>
      <w:r>
        <w:t>action</w:t>
      </w:r>
      <w:r w:rsidR="000159A6">
        <w:t xml:space="preserve"> </w:t>
      </w:r>
      <w:r w:rsidR="00EF1F2D">
        <w:t>of</w:t>
      </w:r>
      <w:r w:rsidR="000159A6">
        <w:t xml:space="preserve"> </w:t>
      </w:r>
      <w:r w:rsidR="00503D1B">
        <w:t>AS01</w:t>
      </w:r>
      <w:r w:rsidR="00503D1B" w:rsidRPr="00570F2D">
        <w:rPr>
          <w:vertAlign w:val="subscript"/>
        </w:rPr>
        <w:t>B</w:t>
      </w:r>
      <w:r w:rsidR="000159A6">
        <w:t xml:space="preserve"> </w:t>
      </w:r>
      <w:r>
        <w:t>and</w:t>
      </w:r>
      <w:r w:rsidR="000159A6">
        <w:t xml:space="preserve"> </w:t>
      </w:r>
      <w:r>
        <w:t>individual</w:t>
      </w:r>
      <w:r w:rsidR="000159A6">
        <w:t xml:space="preserve"> </w:t>
      </w:r>
      <w:r>
        <w:t>components</w:t>
      </w:r>
      <w:r w:rsidR="000159A6">
        <w:t xml:space="preserve"> </w:t>
      </w:r>
      <w:r>
        <w:t>were</w:t>
      </w:r>
      <w:r w:rsidR="000159A6">
        <w:t xml:space="preserve"> </w:t>
      </w:r>
      <w:r>
        <w:t>demonstrated</w:t>
      </w:r>
      <w:r w:rsidR="000159A6">
        <w:t xml:space="preserve"> </w:t>
      </w:r>
      <w:r>
        <w:t>to</w:t>
      </w:r>
      <w:r w:rsidR="000159A6">
        <w:t xml:space="preserve"> </w:t>
      </w:r>
      <w:r>
        <w:t>be</w:t>
      </w:r>
      <w:r w:rsidR="000159A6">
        <w:t xml:space="preserve"> </w:t>
      </w:r>
      <w:r>
        <w:t>immune</w:t>
      </w:r>
      <w:r w:rsidR="000159A6">
        <w:t xml:space="preserve"> </w:t>
      </w:r>
      <w:r>
        <w:t>enhancers</w:t>
      </w:r>
      <w:r w:rsidR="000159A6">
        <w:t xml:space="preserve"> </w:t>
      </w:r>
      <w:r>
        <w:t>in</w:t>
      </w:r>
      <w:r w:rsidR="000159A6">
        <w:t xml:space="preserve"> </w:t>
      </w:r>
      <w:r>
        <w:t>the</w:t>
      </w:r>
      <w:r w:rsidR="000159A6">
        <w:t xml:space="preserve"> </w:t>
      </w:r>
      <w:r>
        <w:t>liposome</w:t>
      </w:r>
      <w:r w:rsidR="000159A6">
        <w:t xml:space="preserve"> </w:t>
      </w:r>
      <w:r>
        <w:t>formulation.</w:t>
      </w:r>
      <w:r w:rsidR="000159A6">
        <w:t xml:space="preserve"> </w:t>
      </w:r>
      <w:r>
        <w:t>However,</w:t>
      </w:r>
      <w:r w:rsidR="000159A6">
        <w:t xml:space="preserve"> </w:t>
      </w:r>
      <w:r>
        <w:t>these</w:t>
      </w:r>
      <w:r w:rsidR="000159A6">
        <w:t xml:space="preserve"> </w:t>
      </w:r>
      <w:r>
        <w:t>pharmacodynamic</w:t>
      </w:r>
      <w:r w:rsidR="000159A6">
        <w:t xml:space="preserve"> </w:t>
      </w:r>
      <w:r>
        <w:t>studies</w:t>
      </w:r>
      <w:r w:rsidR="000159A6">
        <w:t xml:space="preserve"> </w:t>
      </w:r>
      <w:r>
        <w:t>lacked</w:t>
      </w:r>
      <w:r w:rsidR="000159A6">
        <w:t xml:space="preserve"> </w:t>
      </w:r>
      <w:r>
        <w:t>efficacy</w:t>
      </w:r>
      <w:r w:rsidR="000159A6">
        <w:t xml:space="preserve"> </w:t>
      </w:r>
      <w:r>
        <w:t>data</w:t>
      </w:r>
      <w:r w:rsidR="000159A6">
        <w:t xml:space="preserve"> </w:t>
      </w:r>
      <w:r>
        <w:t>(protection</w:t>
      </w:r>
      <w:r w:rsidR="000159A6">
        <w:t xml:space="preserve"> </w:t>
      </w:r>
      <w:r>
        <w:t>against</w:t>
      </w:r>
      <w:r w:rsidR="000159A6">
        <w:t xml:space="preserve"> </w:t>
      </w:r>
      <w:r>
        <w:t>HZ</w:t>
      </w:r>
      <w:r w:rsidR="000159A6">
        <w:t xml:space="preserve"> </w:t>
      </w:r>
      <w:r>
        <w:t>via</w:t>
      </w:r>
      <w:r w:rsidR="000159A6">
        <w:t xml:space="preserve"> </w:t>
      </w:r>
      <w:r>
        <w:t>challenge</w:t>
      </w:r>
      <w:r w:rsidR="000159A6">
        <w:t xml:space="preserve"> </w:t>
      </w:r>
      <w:r>
        <w:t>studies)</w:t>
      </w:r>
      <w:r w:rsidR="000159A6">
        <w:t xml:space="preserve"> </w:t>
      </w:r>
      <w:r>
        <w:t>due</w:t>
      </w:r>
      <w:r w:rsidR="000159A6">
        <w:t xml:space="preserve"> </w:t>
      </w:r>
      <w:r>
        <w:t>to</w:t>
      </w:r>
      <w:r w:rsidR="000159A6">
        <w:t xml:space="preserve"> </w:t>
      </w:r>
      <w:r>
        <w:t>the</w:t>
      </w:r>
      <w:r w:rsidR="000159A6">
        <w:t xml:space="preserve"> </w:t>
      </w:r>
      <w:r>
        <w:t>limitation</w:t>
      </w:r>
      <w:r w:rsidR="000159A6">
        <w:t xml:space="preserve"> </w:t>
      </w:r>
      <w:r>
        <w:t>of</w:t>
      </w:r>
      <w:r w:rsidR="000159A6">
        <w:t xml:space="preserve"> </w:t>
      </w:r>
      <w:r>
        <w:t>animal</w:t>
      </w:r>
      <w:r w:rsidR="000159A6">
        <w:t xml:space="preserve"> </w:t>
      </w:r>
      <w:r>
        <w:t>models</w:t>
      </w:r>
      <w:r w:rsidR="000159A6">
        <w:t xml:space="preserve"> </w:t>
      </w:r>
      <w:r>
        <w:t>and</w:t>
      </w:r>
      <w:r w:rsidR="000159A6">
        <w:t xml:space="preserve"> </w:t>
      </w:r>
      <w:r w:rsidRPr="0011649B">
        <w:t>would</w:t>
      </w:r>
      <w:r w:rsidR="000159A6">
        <w:t xml:space="preserve"> </w:t>
      </w:r>
      <w:r w:rsidRPr="0011649B">
        <w:t>need</w:t>
      </w:r>
      <w:r w:rsidR="000159A6">
        <w:t xml:space="preserve"> </w:t>
      </w:r>
      <w:r>
        <w:t>to</w:t>
      </w:r>
      <w:r w:rsidR="000159A6">
        <w:t xml:space="preserve"> </w:t>
      </w:r>
      <w:r>
        <w:t>be</w:t>
      </w:r>
      <w:r w:rsidR="000159A6">
        <w:t xml:space="preserve"> </w:t>
      </w:r>
      <w:r>
        <w:t>addressed</w:t>
      </w:r>
      <w:r w:rsidR="000159A6">
        <w:t xml:space="preserve"> </w:t>
      </w:r>
      <w:r>
        <w:t>in</w:t>
      </w:r>
      <w:r w:rsidR="000159A6">
        <w:t xml:space="preserve"> </w:t>
      </w:r>
      <w:r>
        <w:t>the</w:t>
      </w:r>
      <w:r w:rsidR="000159A6">
        <w:t xml:space="preserve"> </w:t>
      </w:r>
      <w:r>
        <w:t>clinical</w:t>
      </w:r>
      <w:r w:rsidR="000159A6">
        <w:t xml:space="preserve"> </w:t>
      </w:r>
      <w:r>
        <w:t>studies</w:t>
      </w:r>
      <w:r w:rsidR="00FF12AA">
        <w:t>.</w:t>
      </w:r>
    </w:p>
    <w:p w14:paraId="542B1189" w14:textId="72578591" w:rsidR="00FF12AA" w:rsidRDefault="005B220F" w:rsidP="00C5388D">
      <w:pPr>
        <w:pStyle w:val="ListBullet"/>
      </w:pPr>
      <w:r w:rsidRPr="006B0BDD">
        <w:t>Safety</w:t>
      </w:r>
      <w:r w:rsidR="000159A6">
        <w:t xml:space="preserve"> </w:t>
      </w:r>
      <w:r w:rsidRPr="006B0BDD">
        <w:t>pharmacology</w:t>
      </w:r>
      <w:r w:rsidR="000159A6">
        <w:t xml:space="preserve"> </w:t>
      </w:r>
      <w:r w:rsidRPr="006B0BDD">
        <w:t>studies</w:t>
      </w:r>
      <w:r w:rsidR="000159A6">
        <w:t xml:space="preserve"> </w:t>
      </w:r>
      <w:r w:rsidRPr="006B0BDD">
        <w:t>assessed</w:t>
      </w:r>
      <w:r w:rsidR="000159A6">
        <w:t xml:space="preserve"> </w:t>
      </w:r>
      <w:r w:rsidRPr="006B0BDD">
        <w:t>effects</w:t>
      </w:r>
      <w:r w:rsidR="000159A6">
        <w:t xml:space="preserve"> </w:t>
      </w:r>
      <w:r>
        <w:t>of</w:t>
      </w:r>
      <w:r w:rsidR="000159A6">
        <w:t xml:space="preserve"> </w:t>
      </w:r>
      <w:r>
        <w:t>gE/</w:t>
      </w:r>
      <w:r w:rsidR="00503D1B">
        <w:t>AS01</w:t>
      </w:r>
      <w:r w:rsidR="00503D1B" w:rsidRPr="00570F2D">
        <w:rPr>
          <w:vertAlign w:val="subscript"/>
        </w:rPr>
        <w:t>B</w:t>
      </w:r>
      <w:r w:rsidR="000159A6">
        <w:rPr>
          <w:vertAlign w:val="subscript"/>
        </w:rPr>
        <w:t xml:space="preserve"> </w:t>
      </w:r>
      <w:r w:rsidRPr="006B0BDD">
        <w:t>(in</w:t>
      </w:r>
      <w:r w:rsidR="000159A6">
        <w:t xml:space="preserve"> </w:t>
      </w:r>
      <w:r w:rsidRPr="006B0BDD">
        <w:t>rats)</w:t>
      </w:r>
      <w:r w:rsidR="000159A6">
        <w:t xml:space="preserve"> </w:t>
      </w:r>
      <w:r>
        <w:t>and</w:t>
      </w:r>
      <w:r w:rsidR="000159A6">
        <w:t xml:space="preserve"> </w:t>
      </w:r>
      <w:r w:rsidR="00503D1B">
        <w:t>AS01</w:t>
      </w:r>
      <w:r w:rsidR="00503D1B" w:rsidRPr="00570F2D">
        <w:rPr>
          <w:vertAlign w:val="subscript"/>
        </w:rPr>
        <w:t>B</w:t>
      </w:r>
      <w:r w:rsidR="000159A6">
        <w:t xml:space="preserve"> </w:t>
      </w:r>
      <w:r>
        <w:t>(in</w:t>
      </w:r>
      <w:r w:rsidR="000159A6">
        <w:t xml:space="preserve"> </w:t>
      </w:r>
      <w:r>
        <w:t>rats</w:t>
      </w:r>
      <w:r w:rsidR="000159A6">
        <w:t xml:space="preserve"> </w:t>
      </w:r>
      <w:r>
        <w:t>and</w:t>
      </w:r>
      <w:r w:rsidR="000159A6">
        <w:t xml:space="preserve"> </w:t>
      </w:r>
      <w:r>
        <w:t>dogs)</w:t>
      </w:r>
      <w:r w:rsidR="000159A6">
        <w:t xml:space="preserve"> </w:t>
      </w:r>
      <w:r w:rsidRPr="006B0BDD">
        <w:t>on</w:t>
      </w:r>
      <w:r w:rsidR="000159A6">
        <w:t xml:space="preserve"> </w:t>
      </w:r>
      <w:r w:rsidRPr="006B0BDD">
        <w:t>the</w:t>
      </w:r>
      <w:r w:rsidR="000159A6">
        <w:t xml:space="preserve"> </w:t>
      </w:r>
      <w:r w:rsidRPr="006B0BDD">
        <w:t>cardiovascular</w:t>
      </w:r>
      <w:r w:rsidR="000159A6">
        <w:t xml:space="preserve"> </w:t>
      </w:r>
      <w:r w:rsidRPr="00C5388D">
        <w:t>and</w:t>
      </w:r>
      <w:r w:rsidR="000159A6">
        <w:t xml:space="preserve"> </w:t>
      </w:r>
      <w:r w:rsidRPr="006B0BDD">
        <w:t>respiratory</w:t>
      </w:r>
      <w:r w:rsidR="000159A6">
        <w:t xml:space="preserve"> </w:t>
      </w:r>
      <w:r w:rsidRPr="006B0BDD">
        <w:t>systems</w:t>
      </w:r>
      <w:r>
        <w:t>.</w:t>
      </w:r>
      <w:r w:rsidR="000159A6">
        <w:t xml:space="preserve"> </w:t>
      </w:r>
      <w:r w:rsidRPr="006B0BDD">
        <w:t>No</w:t>
      </w:r>
      <w:r w:rsidR="000159A6">
        <w:t xml:space="preserve"> </w:t>
      </w:r>
      <w:r w:rsidRPr="006B0BDD">
        <w:t>adverse</w:t>
      </w:r>
      <w:r w:rsidR="000159A6">
        <w:t xml:space="preserve"> </w:t>
      </w:r>
      <w:r w:rsidRPr="006B0BDD">
        <w:t>effects</w:t>
      </w:r>
      <w:r w:rsidR="000159A6">
        <w:t xml:space="preserve"> </w:t>
      </w:r>
      <w:r w:rsidRPr="006B0BDD">
        <w:t>were</w:t>
      </w:r>
      <w:r w:rsidR="000159A6">
        <w:t xml:space="preserve"> </w:t>
      </w:r>
      <w:r>
        <w:t>detected</w:t>
      </w:r>
      <w:r w:rsidR="000159A6">
        <w:t xml:space="preserve"> </w:t>
      </w:r>
      <w:r w:rsidRPr="006B0BDD">
        <w:t>on</w:t>
      </w:r>
      <w:r w:rsidR="000159A6">
        <w:t xml:space="preserve"> </w:t>
      </w:r>
      <w:r>
        <w:t>cardiovascular</w:t>
      </w:r>
      <w:r w:rsidR="000159A6">
        <w:t xml:space="preserve"> </w:t>
      </w:r>
      <w:r w:rsidRPr="006B0BDD">
        <w:t>or</w:t>
      </w:r>
      <w:r w:rsidR="000159A6">
        <w:t xml:space="preserve"> </w:t>
      </w:r>
      <w:r w:rsidRPr="006B0BDD">
        <w:t>respiratory</w:t>
      </w:r>
      <w:r w:rsidR="000159A6">
        <w:t xml:space="preserve"> </w:t>
      </w:r>
      <w:r w:rsidRPr="006B0BDD">
        <w:t>functions</w:t>
      </w:r>
      <w:r w:rsidR="000159A6">
        <w:t xml:space="preserve"> </w:t>
      </w:r>
      <w:r w:rsidRPr="006B0BDD">
        <w:t>in</w:t>
      </w:r>
      <w:r w:rsidR="000159A6">
        <w:t xml:space="preserve"> </w:t>
      </w:r>
      <w:r w:rsidRPr="006B0BDD">
        <w:t>any</w:t>
      </w:r>
      <w:r w:rsidR="000159A6">
        <w:t xml:space="preserve"> </w:t>
      </w:r>
      <w:r w:rsidRPr="006B0BDD">
        <w:t>animal.</w:t>
      </w:r>
      <w:r w:rsidR="000159A6">
        <w:t xml:space="preserve"> </w:t>
      </w:r>
      <w:r>
        <w:t>Repeat</w:t>
      </w:r>
      <w:r w:rsidR="000159A6">
        <w:t xml:space="preserve"> </w:t>
      </w:r>
      <w:r>
        <w:t>dose</w:t>
      </w:r>
      <w:r w:rsidR="000159A6">
        <w:t xml:space="preserve"> </w:t>
      </w:r>
      <w:r>
        <w:t>toxicity</w:t>
      </w:r>
      <w:r w:rsidR="000159A6">
        <w:t xml:space="preserve"> </w:t>
      </w:r>
      <w:r>
        <w:t>studies</w:t>
      </w:r>
      <w:r w:rsidR="000159A6">
        <w:t xml:space="preserve"> </w:t>
      </w:r>
      <w:r>
        <w:t>showed</w:t>
      </w:r>
      <w:r w:rsidR="000159A6">
        <w:t xml:space="preserve"> </w:t>
      </w:r>
      <w:r>
        <w:t>no</w:t>
      </w:r>
      <w:r w:rsidR="000159A6">
        <w:t xml:space="preserve"> </w:t>
      </w:r>
      <w:r>
        <w:t>signs</w:t>
      </w:r>
      <w:r w:rsidR="000159A6">
        <w:t xml:space="preserve"> </w:t>
      </w:r>
      <w:r>
        <w:t>of</w:t>
      </w:r>
      <w:r w:rsidR="000159A6">
        <w:t xml:space="preserve"> </w:t>
      </w:r>
      <w:r>
        <w:t>neurological</w:t>
      </w:r>
      <w:r w:rsidR="000159A6">
        <w:t xml:space="preserve"> </w:t>
      </w:r>
      <w:r>
        <w:t>toxicity</w:t>
      </w:r>
      <w:r w:rsidR="00FF12AA">
        <w:t>.</w:t>
      </w:r>
    </w:p>
    <w:p w14:paraId="776B1418" w14:textId="2A3299F9" w:rsidR="00FF12AA" w:rsidRDefault="005B220F" w:rsidP="00C5388D">
      <w:pPr>
        <w:pStyle w:val="ListBullet"/>
      </w:pPr>
      <w:r w:rsidRPr="00733877">
        <w:t>Repeat</w:t>
      </w:r>
      <w:r w:rsidR="000159A6">
        <w:t xml:space="preserve"> </w:t>
      </w:r>
      <w:r w:rsidRPr="00733877">
        <w:t>dose</w:t>
      </w:r>
      <w:r w:rsidR="000159A6">
        <w:t xml:space="preserve"> </w:t>
      </w:r>
      <w:r w:rsidRPr="00733877">
        <w:t>toxicity</w:t>
      </w:r>
      <w:r w:rsidR="000159A6">
        <w:t xml:space="preserve"> </w:t>
      </w:r>
      <w:r w:rsidRPr="00733877">
        <w:t>studies</w:t>
      </w:r>
      <w:r w:rsidR="000159A6">
        <w:t xml:space="preserve"> </w:t>
      </w:r>
      <w:r w:rsidRPr="00733877">
        <w:t>of</w:t>
      </w:r>
      <w:r w:rsidR="000159A6">
        <w:t xml:space="preserve"> </w:t>
      </w:r>
      <w:r w:rsidRPr="00733877">
        <w:t>gE/</w:t>
      </w:r>
      <w:r w:rsidR="00503D1B">
        <w:t>AS01</w:t>
      </w:r>
      <w:r w:rsidR="00503D1B" w:rsidRPr="00570F2D">
        <w:rPr>
          <w:vertAlign w:val="subscript"/>
        </w:rPr>
        <w:t>B</w:t>
      </w:r>
      <w:r w:rsidR="000159A6">
        <w:t xml:space="preserve"> </w:t>
      </w:r>
      <w:r w:rsidRPr="00733877">
        <w:t>by</w:t>
      </w:r>
      <w:r w:rsidR="000159A6">
        <w:t xml:space="preserve"> </w:t>
      </w:r>
      <w:r w:rsidRPr="00733877">
        <w:t>the</w:t>
      </w:r>
      <w:r w:rsidR="000159A6">
        <w:t xml:space="preserve"> </w:t>
      </w:r>
      <w:r w:rsidRPr="00733877">
        <w:t>IM</w:t>
      </w:r>
      <w:r w:rsidR="000159A6">
        <w:t xml:space="preserve"> </w:t>
      </w:r>
      <w:r w:rsidRPr="00733877">
        <w:t>and</w:t>
      </w:r>
      <w:r w:rsidR="000159A6">
        <w:t xml:space="preserve"> </w:t>
      </w:r>
      <w:r w:rsidRPr="00733877">
        <w:t>SC</w:t>
      </w:r>
      <w:r w:rsidR="000159A6">
        <w:t xml:space="preserve"> </w:t>
      </w:r>
      <w:r w:rsidRPr="00733877">
        <w:t>rou</w:t>
      </w:r>
      <w:r w:rsidR="009C0E5D">
        <w:t>te</w:t>
      </w:r>
      <w:r w:rsidR="000159A6">
        <w:t xml:space="preserve"> </w:t>
      </w:r>
      <w:r w:rsidR="009C0E5D">
        <w:t>were</w:t>
      </w:r>
      <w:r w:rsidR="000159A6">
        <w:t xml:space="preserve"> </w:t>
      </w:r>
      <w:r w:rsidR="009C0E5D">
        <w:t>conducted</w:t>
      </w:r>
      <w:r w:rsidR="000159A6">
        <w:t xml:space="preserve"> </w:t>
      </w:r>
      <w:r w:rsidR="009C0E5D">
        <w:t>in</w:t>
      </w:r>
      <w:r w:rsidR="000159A6">
        <w:t xml:space="preserve"> </w:t>
      </w:r>
      <w:r w:rsidR="009C0E5D">
        <w:t>rabbits</w:t>
      </w:r>
      <w:r w:rsidR="000159A6">
        <w:t xml:space="preserve"> </w:t>
      </w:r>
      <w:r w:rsidR="009C0E5D">
        <w:t>(3</w:t>
      </w:r>
      <w:r w:rsidR="000159A6">
        <w:t xml:space="preserve"> </w:t>
      </w:r>
      <w:r w:rsidR="009C0E5D">
        <w:t>to</w:t>
      </w:r>
      <w:r w:rsidR="000159A6">
        <w:t xml:space="preserve"> </w:t>
      </w:r>
      <w:r w:rsidRPr="00733877">
        <w:t>4</w:t>
      </w:r>
      <w:r w:rsidR="000159A6">
        <w:t xml:space="preserve"> </w:t>
      </w:r>
      <w:r>
        <w:t>doses</w:t>
      </w:r>
      <w:r w:rsidR="000159A6">
        <w:t xml:space="preserve"> </w:t>
      </w:r>
      <w:r w:rsidRPr="00733877">
        <w:t>with</w:t>
      </w:r>
      <w:r w:rsidR="000159A6">
        <w:t xml:space="preserve"> </w:t>
      </w:r>
      <w:r w:rsidRPr="00733877">
        <w:t>2</w:t>
      </w:r>
      <w:r w:rsidR="000159A6">
        <w:t xml:space="preserve"> </w:t>
      </w:r>
      <w:r w:rsidRPr="00733877">
        <w:t>week</w:t>
      </w:r>
      <w:r w:rsidR="000159A6">
        <w:t xml:space="preserve"> </w:t>
      </w:r>
      <w:r>
        <w:t>dosing</w:t>
      </w:r>
      <w:r w:rsidR="000159A6">
        <w:t xml:space="preserve"> </w:t>
      </w:r>
      <w:r w:rsidRPr="00733877">
        <w:t>intervals)</w:t>
      </w:r>
      <w:r w:rsidR="000159A6">
        <w:t xml:space="preserve"> </w:t>
      </w:r>
      <w:r>
        <w:t>and</w:t>
      </w:r>
      <w:r w:rsidR="000159A6">
        <w:t xml:space="preserve"> </w:t>
      </w:r>
      <w:r w:rsidR="00503D1B">
        <w:t>AS01</w:t>
      </w:r>
      <w:r w:rsidR="00503D1B" w:rsidRPr="00570F2D">
        <w:rPr>
          <w:vertAlign w:val="subscript"/>
        </w:rPr>
        <w:t>B</w:t>
      </w:r>
      <w:r w:rsidR="000159A6">
        <w:t xml:space="preserve"> </w:t>
      </w:r>
      <w:r>
        <w:t>and</w:t>
      </w:r>
      <w:r w:rsidR="000159A6">
        <w:t xml:space="preserve"> </w:t>
      </w:r>
      <w:r>
        <w:t>QS-21</w:t>
      </w:r>
      <w:r w:rsidR="000159A6">
        <w:t xml:space="preserve"> </w:t>
      </w:r>
      <w:r>
        <w:t>by</w:t>
      </w:r>
      <w:r w:rsidR="000159A6">
        <w:t xml:space="preserve"> </w:t>
      </w:r>
      <w:r>
        <w:t>the</w:t>
      </w:r>
      <w:r w:rsidR="000159A6">
        <w:t xml:space="preserve"> </w:t>
      </w:r>
      <w:r w:rsidR="009C0E5D">
        <w:t>IM</w:t>
      </w:r>
      <w:r w:rsidR="000159A6">
        <w:t xml:space="preserve"> </w:t>
      </w:r>
      <w:r w:rsidR="009C0E5D">
        <w:t>route</w:t>
      </w:r>
      <w:r w:rsidR="000159A6">
        <w:t xml:space="preserve"> </w:t>
      </w:r>
      <w:r w:rsidR="009C0E5D">
        <w:t>in</w:t>
      </w:r>
      <w:r w:rsidR="000159A6">
        <w:t xml:space="preserve"> </w:t>
      </w:r>
      <w:r w:rsidR="009C0E5D">
        <w:t>rats</w:t>
      </w:r>
      <w:r w:rsidR="000159A6">
        <w:t xml:space="preserve"> </w:t>
      </w:r>
      <w:r w:rsidR="009C0E5D">
        <w:t>and</w:t>
      </w:r>
      <w:r w:rsidR="000159A6">
        <w:t xml:space="preserve"> </w:t>
      </w:r>
      <w:r w:rsidR="009C0E5D">
        <w:t>rabbits</w:t>
      </w:r>
      <w:r w:rsidR="000159A6">
        <w:t xml:space="preserve"> </w:t>
      </w:r>
      <w:r w:rsidR="009C0E5D">
        <w:t>(5</w:t>
      </w:r>
      <w:r w:rsidR="000159A6">
        <w:t xml:space="preserve"> </w:t>
      </w:r>
      <w:r w:rsidR="009C0E5D">
        <w:t>to</w:t>
      </w:r>
      <w:r w:rsidR="000159A6">
        <w:t xml:space="preserve"> </w:t>
      </w:r>
      <w:r>
        <w:t>7</w:t>
      </w:r>
      <w:r w:rsidR="000159A6">
        <w:t xml:space="preserve"> </w:t>
      </w:r>
      <w:r>
        <w:t>doses).</w:t>
      </w:r>
      <w:r w:rsidR="000159A6">
        <w:t xml:space="preserve"> </w:t>
      </w:r>
      <w:r>
        <w:t>T</w:t>
      </w:r>
      <w:r w:rsidRPr="00733877">
        <w:t>he</w:t>
      </w:r>
      <w:r w:rsidR="000159A6">
        <w:t xml:space="preserve"> </w:t>
      </w:r>
      <w:r w:rsidRPr="00733877">
        <w:t>vaccine</w:t>
      </w:r>
      <w:r w:rsidR="000159A6">
        <w:t xml:space="preserve"> </w:t>
      </w:r>
      <w:r>
        <w:t>and</w:t>
      </w:r>
      <w:r w:rsidR="000159A6">
        <w:t xml:space="preserve"> </w:t>
      </w:r>
      <w:r>
        <w:t>adjuvant</w:t>
      </w:r>
      <w:r w:rsidR="000159A6">
        <w:t xml:space="preserve"> </w:t>
      </w:r>
      <w:r>
        <w:t>were</w:t>
      </w:r>
      <w:r w:rsidR="000159A6">
        <w:t xml:space="preserve"> </w:t>
      </w:r>
      <w:r w:rsidRPr="00733877">
        <w:t>well</w:t>
      </w:r>
      <w:r w:rsidR="000159A6">
        <w:t xml:space="preserve"> </w:t>
      </w:r>
      <w:r w:rsidRPr="00733877">
        <w:t>tolerated.</w:t>
      </w:r>
      <w:r w:rsidR="000159A6">
        <w:t xml:space="preserve"> </w:t>
      </w:r>
      <w:r w:rsidR="009C0E5D">
        <w:t>All</w:t>
      </w:r>
      <w:r w:rsidR="000159A6">
        <w:t xml:space="preserve"> </w:t>
      </w:r>
      <w:r w:rsidR="009C0E5D">
        <w:t>vaccine</w:t>
      </w:r>
      <w:r w:rsidR="000159A6">
        <w:t xml:space="preserve"> </w:t>
      </w:r>
      <w:r>
        <w:t>treated</w:t>
      </w:r>
      <w:r w:rsidR="000159A6">
        <w:t xml:space="preserve"> </w:t>
      </w:r>
      <w:r>
        <w:t>animals</w:t>
      </w:r>
      <w:r w:rsidR="000159A6">
        <w:t xml:space="preserve"> </w:t>
      </w:r>
      <w:r>
        <w:t>developed</w:t>
      </w:r>
      <w:r w:rsidR="000159A6">
        <w:t xml:space="preserve"> </w:t>
      </w:r>
      <w:r>
        <w:t>anti-gE</w:t>
      </w:r>
      <w:r w:rsidR="000159A6">
        <w:t xml:space="preserve"> </w:t>
      </w:r>
      <w:r>
        <w:t>antibodies.</w:t>
      </w:r>
      <w:r w:rsidR="000159A6">
        <w:t xml:space="preserve"> </w:t>
      </w:r>
      <w:r w:rsidRPr="00733877">
        <w:t>The</w:t>
      </w:r>
      <w:r w:rsidR="000159A6">
        <w:t xml:space="preserve"> </w:t>
      </w:r>
      <w:r w:rsidRPr="00733877">
        <w:t>expected</w:t>
      </w:r>
      <w:r w:rsidR="000159A6">
        <w:t xml:space="preserve"> </w:t>
      </w:r>
      <w:r w:rsidRPr="00733877">
        <w:t>local</w:t>
      </w:r>
      <w:r w:rsidR="000159A6">
        <w:t xml:space="preserve"> </w:t>
      </w:r>
      <w:r w:rsidRPr="00733877">
        <w:t>inflammatory</w:t>
      </w:r>
      <w:r w:rsidR="000159A6">
        <w:t xml:space="preserve"> </w:t>
      </w:r>
      <w:r w:rsidRPr="00733877">
        <w:t>changes</w:t>
      </w:r>
      <w:r w:rsidR="000159A6">
        <w:t xml:space="preserve"> </w:t>
      </w:r>
      <w:r w:rsidRPr="00733877">
        <w:t>at</w:t>
      </w:r>
      <w:r w:rsidR="000159A6">
        <w:t xml:space="preserve"> </w:t>
      </w:r>
      <w:r w:rsidRPr="00733877">
        <w:t>the</w:t>
      </w:r>
      <w:r w:rsidR="000159A6">
        <w:t xml:space="preserve"> </w:t>
      </w:r>
      <w:r w:rsidRPr="00733877">
        <w:t>injection</w:t>
      </w:r>
      <w:r w:rsidR="000159A6">
        <w:t xml:space="preserve"> </w:t>
      </w:r>
      <w:r w:rsidRPr="00733877">
        <w:t>site</w:t>
      </w:r>
      <w:r w:rsidR="000159A6">
        <w:t xml:space="preserve"> </w:t>
      </w:r>
      <w:r w:rsidRPr="00733877">
        <w:t>and</w:t>
      </w:r>
      <w:r w:rsidR="000159A6">
        <w:t xml:space="preserve"> </w:t>
      </w:r>
      <w:r w:rsidRPr="00733877">
        <w:t>related</w:t>
      </w:r>
      <w:r w:rsidR="000159A6">
        <w:t xml:space="preserve"> </w:t>
      </w:r>
      <w:r w:rsidRPr="00733877">
        <w:t>inflammatory</w:t>
      </w:r>
      <w:r w:rsidR="000159A6">
        <w:t xml:space="preserve"> </w:t>
      </w:r>
      <w:r w:rsidRPr="00733877">
        <w:t>response</w:t>
      </w:r>
      <w:r w:rsidR="000159A6">
        <w:t xml:space="preserve"> </w:t>
      </w:r>
      <w:r w:rsidRPr="00733877">
        <w:t>were</w:t>
      </w:r>
      <w:r w:rsidR="000159A6">
        <w:t xml:space="preserve"> </w:t>
      </w:r>
      <w:r w:rsidRPr="00733877">
        <w:t>the</w:t>
      </w:r>
      <w:r w:rsidR="000159A6">
        <w:t xml:space="preserve"> </w:t>
      </w:r>
      <w:r>
        <w:t>main</w:t>
      </w:r>
      <w:r w:rsidR="000159A6">
        <w:t xml:space="preserve"> </w:t>
      </w:r>
      <w:r w:rsidRPr="00733877">
        <w:t>finding</w:t>
      </w:r>
      <w:r>
        <w:t>s</w:t>
      </w:r>
      <w:r w:rsidR="000159A6">
        <w:t xml:space="preserve"> </w:t>
      </w:r>
      <w:r>
        <w:t>associated</w:t>
      </w:r>
      <w:r w:rsidR="000159A6">
        <w:t xml:space="preserve"> </w:t>
      </w:r>
      <w:r>
        <w:t>with</w:t>
      </w:r>
      <w:r w:rsidR="000159A6">
        <w:t xml:space="preserve"> </w:t>
      </w:r>
      <w:r>
        <w:t>the</w:t>
      </w:r>
      <w:r w:rsidR="000159A6">
        <w:t xml:space="preserve"> </w:t>
      </w:r>
      <w:r>
        <w:t>treatment</w:t>
      </w:r>
      <w:r w:rsidRPr="00733877">
        <w:t>.</w:t>
      </w:r>
      <w:r w:rsidR="000159A6">
        <w:t xml:space="preserve"> </w:t>
      </w:r>
      <w:r>
        <w:t>The</w:t>
      </w:r>
      <w:r w:rsidR="000159A6">
        <w:t xml:space="preserve"> </w:t>
      </w:r>
      <w:r>
        <w:t>doses</w:t>
      </w:r>
      <w:r w:rsidR="000159A6">
        <w:t xml:space="preserve"> </w:t>
      </w:r>
      <w:r>
        <w:t>of</w:t>
      </w:r>
      <w:r w:rsidR="000159A6">
        <w:t xml:space="preserve"> </w:t>
      </w:r>
      <w:r>
        <w:t>the</w:t>
      </w:r>
      <w:r w:rsidR="000159A6">
        <w:t xml:space="preserve"> </w:t>
      </w:r>
      <w:r>
        <w:t>gE</w:t>
      </w:r>
      <w:r w:rsidR="000159A6">
        <w:t xml:space="preserve"> </w:t>
      </w:r>
      <w:r>
        <w:t>antigen</w:t>
      </w:r>
      <w:r w:rsidR="000159A6">
        <w:t xml:space="preserve"> </w:t>
      </w:r>
      <w:r w:rsidR="009C0E5D">
        <w:t>was</w:t>
      </w:r>
      <w:r w:rsidR="000159A6">
        <w:t xml:space="preserve"> </w:t>
      </w:r>
      <w:r w:rsidR="009C0E5D">
        <w:t>33</w:t>
      </w:r>
      <w:r w:rsidR="000159A6">
        <w:t xml:space="preserve"> </w:t>
      </w:r>
      <w:r w:rsidRPr="00CD5B91">
        <w:t>times</w:t>
      </w:r>
      <w:r w:rsidR="000159A6">
        <w:t xml:space="preserve"> </w:t>
      </w:r>
      <w:r w:rsidRPr="00CD5B91">
        <w:t>the</w:t>
      </w:r>
      <w:r w:rsidR="000159A6">
        <w:t xml:space="preserve"> </w:t>
      </w:r>
      <w:r w:rsidRPr="00CD5B91">
        <w:t>clinical</w:t>
      </w:r>
      <w:r w:rsidR="000159A6">
        <w:t xml:space="preserve"> </w:t>
      </w:r>
      <w:r w:rsidRPr="00CD5B91">
        <w:t>dose</w:t>
      </w:r>
      <w:r w:rsidR="000159A6">
        <w:t xml:space="preserve"> </w:t>
      </w:r>
      <w:r w:rsidRPr="00CD5B91">
        <w:t>on</w:t>
      </w:r>
      <w:r w:rsidR="000159A6">
        <w:t xml:space="preserve"> </w:t>
      </w:r>
      <w:r w:rsidRPr="00CD5B91">
        <w:t>a</w:t>
      </w:r>
      <w:r w:rsidR="000159A6">
        <w:t xml:space="preserve"> </w:t>
      </w:r>
      <w:r w:rsidRPr="00CD5B91">
        <w:t>mg/kg</w:t>
      </w:r>
      <w:r w:rsidR="000159A6">
        <w:t xml:space="preserve"> </w:t>
      </w:r>
      <w:r w:rsidRPr="00CD5B91">
        <w:t>basis</w:t>
      </w:r>
      <w:r w:rsidR="000159A6">
        <w:t xml:space="preserve"> </w:t>
      </w:r>
      <w:r w:rsidRPr="00CD5B91">
        <w:t>and</w:t>
      </w:r>
      <w:r w:rsidR="000159A6">
        <w:t xml:space="preserve"> </w:t>
      </w:r>
      <w:r w:rsidRPr="00CD5B91">
        <w:t>of</w:t>
      </w:r>
      <w:r w:rsidR="000159A6">
        <w:t xml:space="preserve"> </w:t>
      </w:r>
      <w:r w:rsidRPr="00CD5B91">
        <w:t>the</w:t>
      </w:r>
      <w:r w:rsidR="000159A6">
        <w:t xml:space="preserve"> </w:t>
      </w:r>
      <w:r w:rsidRPr="00CD5B91">
        <w:t>adjuvant</w:t>
      </w:r>
      <w:r w:rsidR="000159A6">
        <w:t xml:space="preserve"> </w:t>
      </w:r>
      <w:r w:rsidRPr="00CD5B91">
        <w:t>up</w:t>
      </w:r>
      <w:r w:rsidR="000159A6">
        <w:t xml:space="preserve"> </w:t>
      </w:r>
      <w:r w:rsidRPr="00CD5B91">
        <w:t>to</w:t>
      </w:r>
      <w:r w:rsidR="000159A6">
        <w:t xml:space="preserve"> </w:t>
      </w:r>
      <w:r w:rsidRPr="00CD5B91">
        <w:t>29</w:t>
      </w:r>
      <w:r w:rsidR="000159A6">
        <w:t xml:space="preserve"> </w:t>
      </w:r>
      <w:r w:rsidRPr="00CD5B91">
        <w:t>times</w:t>
      </w:r>
      <w:r w:rsidR="000159A6">
        <w:t xml:space="preserve"> </w:t>
      </w:r>
      <w:r w:rsidRPr="00CD5B91">
        <w:t>the</w:t>
      </w:r>
      <w:r w:rsidR="000159A6">
        <w:t xml:space="preserve"> </w:t>
      </w:r>
      <w:r w:rsidRPr="00CD5B91">
        <w:t>clinical</w:t>
      </w:r>
      <w:r w:rsidR="000159A6">
        <w:t xml:space="preserve"> </w:t>
      </w:r>
      <w:r w:rsidRPr="00CD5B91">
        <w:t>dose</w:t>
      </w:r>
      <w:r w:rsidR="000159A6">
        <w:t xml:space="preserve"> </w:t>
      </w:r>
      <w:r w:rsidRPr="00CD5B91">
        <w:t>on</w:t>
      </w:r>
      <w:r w:rsidR="000159A6">
        <w:t xml:space="preserve"> </w:t>
      </w:r>
      <w:r w:rsidRPr="00CD5B91">
        <w:t>a</w:t>
      </w:r>
      <w:r w:rsidR="000159A6">
        <w:t xml:space="preserve"> </w:t>
      </w:r>
      <w:r w:rsidR="009C0E5D">
        <w:t>μ</w:t>
      </w:r>
      <w:r w:rsidRPr="00CD5B91">
        <w:t>g/m</w:t>
      </w:r>
      <w:r w:rsidRPr="00CD5B91">
        <w:rPr>
          <w:vertAlign w:val="superscript"/>
        </w:rPr>
        <w:t>2</w:t>
      </w:r>
      <w:r w:rsidR="000159A6">
        <w:t xml:space="preserve"> </w:t>
      </w:r>
      <w:r w:rsidRPr="00CD5B91">
        <w:t>body</w:t>
      </w:r>
      <w:r w:rsidR="000159A6">
        <w:t xml:space="preserve"> </w:t>
      </w:r>
      <w:r w:rsidRPr="00CD5B91">
        <w:t>surface</w:t>
      </w:r>
      <w:r w:rsidR="000159A6">
        <w:t xml:space="preserve"> </w:t>
      </w:r>
      <w:r w:rsidRPr="00CD5B91">
        <w:t>area</w:t>
      </w:r>
      <w:r w:rsidR="000159A6">
        <w:t xml:space="preserve"> </w:t>
      </w:r>
      <w:r w:rsidRPr="00CD5B91">
        <w:t>basis.</w:t>
      </w:r>
      <w:r w:rsidR="000159A6">
        <w:t xml:space="preserve"> </w:t>
      </w:r>
      <w:r>
        <w:t>Transient</w:t>
      </w:r>
      <w:r w:rsidR="000159A6">
        <w:t xml:space="preserve"> </w:t>
      </w:r>
      <w:r>
        <w:t>effects</w:t>
      </w:r>
      <w:r w:rsidR="000159A6">
        <w:t xml:space="preserve"> </w:t>
      </w:r>
      <w:r>
        <w:t>on</w:t>
      </w:r>
      <w:r w:rsidR="000159A6">
        <w:t xml:space="preserve"> </w:t>
      </w:r>
      <w:r>
        <w:t>haematology</w:t>
      </w:r>
      <w:r w:rsidR="000159A6">
        <w:t xml:space="preserve"> </w:t>
      </w:r>
      <w:r>
        <w:t>and</w:t>
      </w:r>
      <w:r w:rsidR="000159A6">
        <w:t xml:space="preserve"> </w:t>
      </w:r>
      <w:r>
        <w:t>clinical</w:t>
      </w:r>
      <w:r w:rsidR="000159A6">
        <w:t xml:space="preserve"> </w:t>
      </w:r>
      <w:r>
        <w:t>chemistry</w:t>
      </w:r>
      <w:r w:rsidR="000159A6">
        <w:t xml:space="preserve"> </w:t>
      </w:r>
      <w:r>
        <w:t>and</w:t>
      </w:r>
      <w:r w:rsidR="000159A6">
        <w:t xml:space="preserve"> </w:t>
      </w:r>
      <w:r>
        <w:t>a</w:t>
      </w:r>
      <w:r w:rsidR="000159A6">
        <w:t xml:space="preserve"> </w:t>
      </w:r>
      <w:r>
        <w:t>higher</w:t>
      </w:r>
      <w:r w:rsidR="000159A6">
        <w:t xml:space="preserve"> </w:t>
      </w:r>
      <w:r>
        <w:t>mean</w:t>
      </w:r>
      <w:r w:rsidR="000159A6">
        <w:t xml:space="preserve"> </w:t>
      </w:r>
      <w:r>
        <w:t>body</w:t>
      </w:r>
      <w:r w:rsidR="000159A6">
        <w:t xml:space="preserve"> </w:t>
      </w:r>
      <w:r>
        <w:t>temperature</w:t>
      </w:r>
      <w:r w:rsidR="000159A6">
        <w:t xml:space="preserve"> </w:t>
      </w:r>
      <w:r>
        <w:t>in</w:t>
      </w:r>
      <w:r w:rsidR="000159A6">
        <w:t xml:space="preserve"> </w:t>
      </w:r>
      <w:r>
        <w:t>the</w:t>
      </w:r>
      <w:r w:rsidR="000159A6">
        <w:t xml:space="preserve"> </w:t>
      </w:r>
      <w:r>
        <w:t>high</w:t>
      </w:r>
      <w:r w:rsidR="000159A6">
        <w:t xml:space="preserve"> </w:t>
      </w:r>
      <w:r>
        <w:t>dose</w:t>
      </w:r>
      <w:r w:rsidR="000159A6">
        <w:t xml:space="preserve"> </w:t>
      </w:r>
      <w:r>
        <w:t>group</w:t>
      </w:r>
      <w:r w:rsidR="000159A6">
        <w:t xml:space="preserve"> </w:t>
      </w:r>
      <w:r>
        <w:t>were</w:t>
      </w:r>
      <w:r w:rsidR="000159A6">
        <w:t xml:space="preserve"> </w:t>
      </w:r>
      <w:r>
        <w:t>related</w:t>
      </w:r>
      <w:r w:rsidR="000159A6">
        <w:t xml:space="preserve"> </w:t>
      </w:r>
      <w:r>
        <w:t>to</w:t>
      </w:r>
      <w:r w:rsidR="000159A6">
        <w:t xml:space="preserve"> </w:t>
      </w:r>
      <w:r>
        <w:t>the</w:t>
      </w:r>
      <w:r w:rsidR="000159A6">
        <w:t xml:space="preserve"> </w:t>
      </w:r>
      <w:r>
        <w:t>immunostimulatory</w:t>
      </w:r>
      <w:r w:rsidR="000159A6">
        <w:t xml:space="preserve"> </w:t>
      </w:r>
      <w:r>
        <w:t>activity</w:t>
      </w:r>
      <w:r w:rsidR="000159A6">
        <w:t xml:space="preserve"> </w:t>
      </w:r>
      <w:r>
        <w:t>or</w:t>
      </w:r>
      <w:r w:rsidR="000159A6">
        <w:t xml:space="preserve"> </w:t>
      </w:r>
      <w:r>
        <w:t>mild</w:t>
      </w:r>
      <w:r w:rsidR="000159A6">
        <w:t xml:space="preserve"> </w:t>
      </w:r>
      <w:r>
        <w:t>haemolytic</w:t>
      </w:r>
      <w:r w:rsidR="000159A6">
        <w:t xml:space="preserve"> </w:t>
      </w:r>
      <w:r>
        <w:t>effects</w:t>
      </w:r>
      <w:r w:rsidR="000159A6">
        <w:t xml:space="preserve"> </w:t>
      </w:r>
      <w:r>
        <w:t>of</w:t>
      </w:r>
      <w:r w:rsidR="000159A6">
        <w:t xml:space="preserve"> </w:t>
      </w:r>
      <w:r>
        <w:t>the</w:t>
      </w:r>
      <w:r w:rsidR="000159A6">
        <w:t xml:space="preserve"> </w:t>
      </w:r>
      <w:r>
        <w:t>adjuvant.</w:t>
      </w:r>
      <w:r w:rsidR="000159A6">
        <w:t xml:space="preserve"> </w:t>
      </w:r>
      <w:r>
        <w:t>All</w:t>
      </w:r>
      <w:r w:rsidR="000159A6">
        <w:t xml:space="preserve"> </w:t>
      </w:r>
      <w:r>
        <w:t>changes</w:t>
      </w:r>
      <w:r w:rsidR="000159A6">
        <w:t xml:space="preserve"> </w:t>
      </w:r>
      <w:r>
        <w:t>were</w:t>
      </w:r>
      <w:r w:rsidR="000159A6">
        <w:t xml:space="preserve"> </w:t>
      </w:r>
      <w:r>
        <w:t>partially</w:t>
      </w:r>
      <w:r w:rsidR="000159A6">
        <w:t xml:space="preserve"> </w:t>
      </w:r>
      <w:r>
        <w:t>or</w:t>
      </w:r>
      <w:r w:rsidR="000159A6">
        <w:t xml:space="preserve"> </w:t>
      </w:r>
      <w:r>
        <w:t>completed</w:t>
      </w:r>
      <w:r w:rsidR="000159A6">
        <w:t xml:space="preserve"> </w:t>
      </w:r>
      <w:r>
        <w:t>reversible</w:t>
      </w:r>
      <w:r w:rsidR="00FF12AA">
        <w:t>.</w:t>
      </w:r>
    </w:p>
    <w:p w14:paraId="335E5ADD" w14:textId="0EB4EFE8" w:rsidR="00FF12AA" w:rsidRDefault="00503D1B" w:rsidP="005B220F">
      <w:pPr>
        <w:pStyle w:val="ListBullet"/>
      </w:pPr>
      <w:r>
        <w:t>AS01</w:t>
      </w:r>
      <w:r w:rsidRPr="00570F2D">
        <w:rPr>
          <w:vertAlign w:val="subscript"/>
        </w:rPr>
        <w:t>B</w:t>
      </w:r>
      <w:r w:rsidR="000159A6">
        <w:t xml:space="preserve"> </w:t>
      </w:r>
      <w:r w:rsidR="005B220F">
        <w:t>and</w:t>
      </w:r>
      <w:r w:rsidR="000159A6">
        <w:t xml:space="preserve"> </w:t>
      </w:r>
      <w:r w:rsidR="005B220F">
        <w:t>QS-21</w:t>
      </w:r>
      <w:r w:rsidR="000159A6">
        <w:t xml:space="preserve"> </w:t>
      </w:r>
      <w:r w:rsidR="005B220F">
        <w:t>produced</w:t>
      </w:r>
      <w:r w:rsidR="000159A6">
        <w:t xml:space="preserve"> </w:t>
      </w:r>
      <w:r w:rsidR="005B220F">
        <w:t>no</w:t>
      </w:r>
      <w:r w:rsidR="000159A6">
        <w:t xml:space="preserve"> </w:t>
      </w:r>
      <w:r w:rsidR="005B220F">
        <w:t>genetic</w:t>
      </w:r>
      <w:r w:rsidR="000159A6">
        <w:t xml:space="preserve"> </w:t>
      </w:r>
      <w:r w:rsidR="005B220F">
        <w:t>damage</w:t>
      </w:r>
      <w:r w:rsidR="000159A6">
        <w:t xml:space="preserve"> </w:t>
      </w:r>
      <w:r w:rsidR="005B220F">
        <w:t>in</w:t>
      </w:r>
      <w:r w:rsidR="000159A6">
        <w:t xml:space="preserve"> </w:t>
      </w:r>
      <w:r w:rsidR="005B220F">
        <w:t>the</w:t>
      </w:r>
      <w:r w:rsidR="000159A6">
        <w:t xml:space="preserve"> </w:t>
      </w:r>
      <w:r w:rsidR="005B220F">
        <w:t>standard</w:t>
      </w:r>
      <w:r w:rsidR="000159A6">
        <w:t xml:space="preserve"> </w:t>
      </w:r>
      <w:r w:rsidR="005B220F">
        <w:t>battery</w:t>
      </w:r>
      <w:r w:rsidR="000159A6">
        <w:t xml:space="preserve"> </w:t>
      </w:r>
      <w:r w:rsidR="005B220F">
        <w:t>of</w:t>
      </w:r>
      <w:r w:rsidR="000159A6">
        <w:t xml:space="preserve"> </w:t>
      </w:r>
      <w:r w:rsidR="005B220F">
        <w:t>genotoxicity</w:t>
      </w:r>
      <w:r w:rsidR="000159A6">
        <w:t xml:space="preserve"> </w:t>
      </w:r>
      <w:r w:rsidR="005B220F">
        <w:t>tests</w:t>
      </w:r>
      <w:r w:rsidR="00FF12AA">
        <w:t>.</w:t>
      </w:r>
    </w:p>
    <w:p w14:paraId="773C6058" w14:textId="7022C2E0" w:rsidR="00FF12AA" w:rsidRDefault="005B220F" w:rsidP="00C5388D">
      <w:pPr>
        <w:pStyle w:val="ListBullet"/>
      </w:pPr>
      <w:r w:rsidRPr="009C0E5D">
        <w:t>Shingrix</w:t>
      </w:r>
      <w:r w:rsidR="000159A6">
        <w:t xml:space="preserve"> </w:t>
      </w:r>
      <w:r w:rsidRPr="009C0E5D">
        <w:t>by</w:t>
      </w:r>
      <w:r w:rsidR="000159A6">
        <w:t xml:space="preserve"> </w:t>
      </w:r>
      <w:r w:rsidRPr="00A91C36">
        <w:t>IM</w:t>
      </w:r>
      <w:r w:rsidR="000159A6">
        <w:t xml:space="preserve"> </w:t>
      </w:r>
      <w:r w:rsidRPr="00A91C36">
        <w:t>injection</w:t>
      </w:r>
      <w:r w:rsidR="000159A6">
        <w:t xml:space="preserve"> </w:t>
      </w:r>
      <w:r>
        <w:t>in</w:t>
      </w:r>
      <w:r w:rsidR="000159A6">
        <w:t xml:space="preserve"> </w:t>
      </w:r>
      <w:r>
        <w:t>rats</w:t>
      </w:r>
      <w:r w:rsidR="000159A6">
        <w:t xml:space="preserve"> </w:t>
      </w:r>
      <w:r w:rsidRPr="00A91C36">
        <w:t>at</w:t>
      </w:r>
      <w:r w:rsidR="000159A6">
        <w:t xml:space="preserve"> </w:t>
      </w:r>
      <w:r>
        <w:t>adequate</w:t>
      </w:r>
      <w:r w:rsidR="000159A6">
        <w:t xml:space="preserve"> </w:t>
      </w:r>
      <w:r>
        <w:t>antigen</w:t>
      </w:r>
      <w:r w:rsidR="000159A6">
        <w:t xml:space="preserve"> </w:t>
      </w:r>
      <w:r w:rsidRPr="00A91C36">
        <w:t>doses</w:t>
      </w:r>
      <w:r w:rsidR="000159A6">
        <w:t xml:space="preserve"> </w:t>
      </w:r>
      <w:r>
        <w:t>did</w:t>
      </w:r>
      <w:r w:rsidR="000159A6">
        <w:t xml:space="preserve"> </w:t>
      </w:r>
      <w:r>
        <w:t>not</w:t>
      </w:r>
      <w:r w:rsidR="000159A6">
        <w:t xml:space="preserve"> </w:t>
      </w:r>
      <w:r>
        <w:t>affect</w:t>
      </w:r>
      <w:r w:rsidR="000159A6">
        <w:t xml:space="preserve"> </w:t>
      </w:r>
      <w:r>
        <w:t>male</w:t>
      </w:r>
      <w:r w:rsidR="000159A6">
        <w:t xml:space="preserve"> </w:t>
      </w:r>
      <w:r>
        <w:t>or</w:t>
      </w:r>
      <w:r w:rsidR="000159A6">
        <w:t xml:space="preserve"> </w:t>
      </w:r>
      <w:r>
        <w:t>female</w:t>
      </w:r>
      <w:r w:rsidR="000159A6">
        <w:t xml:space="preserve"> </w:t>
      </w:r>
      <w:r>
        <w:t>fertility,</w:t>
      </w:r>
      <w:r w:rsidR="000159A6">
        <w:t xml:space="preserve"> </w:t>
      </w:r>
      <w:r>
        <w:t>embryofetal</w:t>
      </w:r>
      <w:r w:rsidR="000159A6">
        <w:t xml:space="preserve"> </w:t>
      </w:r>
      <w:r>
        <w:t>development</w:t>
      </w:r>
      <w:r w:rsidR="000159A6">
        <w:t xml:space="preserve"> </w:t>
      </w:r>
      <w:r>
        <w:t>or</w:t>
      </w:r>
      <w:r w:rsidR="000159A6">
        <w:t xml:space="preserve"> </w:t>
      </w:r>
      <w:r>
        <w:t>postnatal</w:t>
      </w:r>
      <w:r w:rsidR="000159A6">
        <w:t xml:space="preserve"> </w:t>
      </w:r>
      <w:r>
        <w:t>development</w:t>
      </w:r>
      <w:r w:rsidR="000159A6">
        <w:t xml:space="preserve"> </w:t>
      </w:r>
      <w:r>
        <w:t>of</w:t>
      </w:r>
      <w:r w:rsidR="000159A6">
        <w:t xml:space="preserve"> </w:t>
      </w:r>
      <w:r>
        <w:t>offspring</w:t>
      </w:r>
      <w:r w:rsidR="000159A6">
        <w:t xml:space="preserve"> </w:t>
      </w:r>
      <w:r>
        <w:t>up</w:t>
      </w:r>
      <w:r w:rsidR="000159A6">
        <w:t xml:space="preserve"> </w:t>
      </w:r>
      <w:r>
        <w:t>to</w:t>
      </w:r>
      <w:r w:rsidR="000159A6">
        <w:t xml:space="preserve"> </w:t>
      </w:r>
      <w:r>
        <w:t>25</w:t>
      </w:r>
      <w:r w:rsidR="000159A6">
        <w:t xml:space="preserve"> </w:t>
      </w:r>
      <w:r>
        <w:t>days</w:t>
      </w:r>
      <w:r w:rsidR="000159A6">
        <w:t xml:space="preserve"> </w:t>
      </w:r>
      <w:r>
        <w:t>age.</w:t>
      </w:r>
      <w:r w:rsidR="000159A6">
        <w:t xml:space="preserve"> </w:t>
      </w:r>
      <w:r>
        <w:t>Similarly,</w:t>
      </w:r>
      <w:r w:rsidR="000159A6">
        <w:t xml:space="preserve"> </w:t>
      </w:r>
      <w:r>
        <w:t>the</w:t>
      </w:r>
      <w:r w:rsidR="000159A6">
        <w:t xml:space="preserve"> </w:t>
      </w:r>
      <w:r>
        <w:t>adjuvant</w:t>
      </w:r>
      <w:r w:rsidR="000159A6">
        <w:t xml:space="preserve"> </w:t>
      </w:r>
      <w:r>
        <w:t>QS-21</w:t>
      </w:r>
      <w:r w:rsidR="000159A6">
        <w:t xml:space="preserve"> </w:t>
      </w:r>
      <w:r>
        <w:t>by</w:t>
      </w:r>
      <w:r w:rsidR="000159A6">
        <w:t xml:space="preserve"> </w:t>
      </w:r>
      <w:r>
        <w:t>IM</w:t>
      </w:r>
      <w:r w:rsidR="000159A6">
        <w:t xml:space="preserve"> </w:t>
      </w:r>
      <w:r>
        <w:t>administration</w:t>
      </w:r>
      <w:r w:rsidR="000159A6">
        <w:t xml:space="preserve"> </w:t>
      </w:r>
      <w:r>
        <w:t>to</w:t>
      </w:r>
      <w:r w:rsidR="000159A6">
        <w:t xml:space="preserve"> </w:t>
      </w:r>
      <w:r>
        <w:t>rats</w:t>
      </w:r>
      <w:r w:rsidR="000159A6">
        <w:t xml:space="preserve"> </w:t>
      </w:r>
      <w:r>
        <w:t>did</w:t>
      </w:r>
      <w:r w:rsidR="000159A6">
        <w:t xml:space="preserve"> </w:t>
      </w:r>
      <w:r>
        <w:t>not</w:t>
      </w:r>
      <w:r w:rsidR="000159A6">
        <w:t xml:space="preserve"> </w:t>
      </w:r>
      <w:r>
        <w:t>affect</w:t>
      </w:r>
      <w:r w:rsidR="000159A6">
        <w:t xml:space="preserve"> </w:t>
      </w:r>
      <w:r>
        <w:t>female</w:t>
      </w:r>
      <w:r w:rsidR="000159A6">
        <w:t xml:space="preserve"> </w:t>
      </w:r>
      <w:r>
        <w:t>fertility,</w:t>
      </w:r>
      <w:r w:rsidR="000159A6">
        <w:t xml:space="preserve"> </w:t>
      </w:r>
      <w:r>
        <w:t>embryofetal</w:t>
      </w:r>
      <w:r w:rsidR="000159A6">
        <w:t xml:space="preserve"> </w:t>
      </w:r>
      <w:r w:rsidRPr="00483C5E">
        <w:t>development</w:t>
      </w:r>
      <w:r w:rsidR="000159A6">
        <w:t xml:space="preserve"> </w:t>
      </w:r>
      <w:r w:rsidRPr="00483C5E">
        <w:t>or</w:t>
      </w:r>
      <w:r w:rsidR="000159A6">
        <w:t xml:space="preserve"> </w:t>
      </w:r>
      <w:r w:rsidRPr="00483C5E">
        <w:t>postnatal</w:t>
      </w:r>
      <w:r w:rsidR="000159A6">
        <w:t xml:space="preserve"> </w:t>
      </w:r>
      <w:r w:rsidRPr="00483C5E">
        <w:t>development</w:t>
      </w:r>
      <w:r w:rsidR="000159A6">
        <w:t xml:space="preserve"> </w:t>
      </w:r>
      <w:r w:rsidRPr="00483C5E">
        <w:t>of</w:t>
      </w:r>
      <w:r w:rsidR="000159A6">
        <w:t xml:space="preserve"> </w:t>
      </w:r>
      <w:r w:rsidRPr="00483C5E">
        <w:t>offspring</w:t>
      </w:r>
      <w:r w:rsidR="000159A6">
        <w:t xml:space="preserve"> </w:t>
      </w:r>
      <w:r w:rsidRPr="00483C5E">
        <w:t>up</w:t>
      </w:r>
      <w:r w:rsidR="000159A6">
        <w:t xml:space="preserve"> </w:t>
      </w:r>
      <w:r w:rsidRPr="00483C5E">
        <w:t>to</w:t>
      </w:r>
      <w:r w:rsidR="000159A6">
        <w:t xml:space="preserve"> </w:t>
      </w:r>
      <w:r w:rsidRPr="00483C5E">
        <w:t>25</w:t>
      </w:r>
      <w:r w:rsidR="000159A6">
        <w:t xml:space="preserve"> </w:t>
      </w:r>
      <w:r w:rsidRPr="00483C5E">
        <w:t>days</w:t>
      </w:r>
      <w:r w:rsidR="000159A6">
        <w:t xml:space="preserve"> </w:t>
      </w:r>
      <w:r w:rsidRPr="00483C5E">
        <w:t>age</w:t>
      </w:r>
      <w:r w:rsidR="00FF12AA">
        <w:t>.</w:t>
      </w:r>
    </w:p>
    <w:p w14:paraId="30A51CCC" w14:textId="40D2E8D3" w:rsidR="00FF12AA" w:rsidRDefault="005B220F" w:rsidP="00C5388D">
      <w:pPr>
        <w:pStyle w:val="ListBullet"/>
      </w:pPr>
      <w:r w:rsidRPr="00483C5E">
        <w:t>In</w:t>
      </w:r>
      <w:r w:rsidR="000159A6">
        <w:t xml:space="preserve"> </w:t>
      </w:r>
      <w:r w:rsidRPr="00483C5E">
        <w:t>rabbits</w:t>
      </w:r>
      <w:r w:rsidR="000159A6">
        <w:t xml:space="preserve"> </w:t>
      </w:r>
      <w:r w:rsidRPr="00483C5E">
        <w:t>dosed</w:t>
      </w:r>
      <w:r w:rsidR="000159A6">
        <w:t xml:space="preserve"> </w:t>
      </w:r>
      <w:r w:rsidRPr="00483C5E">
        <w:t>with</w:t>
      </w:r>
      <w:r w:rsidR="000159A6">
        <w:t xml:space="preserve"> </w:t>
      </w:r>
      <w:r w:rsidRPr="00483C5E">
        <w:t>QS-21</w:t>
      </w:r>
      <w:r w:rsidR="000159A6">
        <w:t xml:space="preserve"> </w:t>
      </w:r>
      <w:r w:rsidRPr="00483C5E">
        <w:t>at</w:t>
      </w:r>
      <w:r w:rsidR="000159A6">
        <w:t xml:space="preserve"> </w:t>
      </w:r>
      <w:r w:rsidRPr="00483C5E">
        <w:t>67</w:t>
      </w:r>
      <w:r w:rsidR="000159A6">
        <w:t xml:space="preserve"> </w:t>
      </w:r>
      <w:r w:rsidRPr="00483C5E">
        <w:t>µg/kg</w:t>
      </w:r>
      <w:r w:rsidR="000159A6">
        <w:t xml:space="preserve"> </w:t>
      </w:r>
      <w:r w:rsidRPr="00483C5E">
        <w:t>(24</w:t>
      </w:r>
      <w:r w:rsidR="000159A6">
        <w:t xml:space="preserve"> </w:t>
      </w:r>
      <w:r w:rsidRPr="00483C5E">
        <w:t>times</w:t>
      </w:r>
      <w:r w:rsidR="000159A6">
        <w:t xml:space="preserve"> </w:t>
      </w:r>
      <w:r w:rsidRPr="00483C5E">
        <w:t>the</w:t>
      </w:r>
      <w:r w:rsidR="000159A6">
        <w:t xml:space="preserve"> </w:t>
      </w:r>
      <w:r w:rsidRPr="00483C5E">
        <w:t>clinical</w:t>
      </w:r>
      <w:r w:rsidR="000159A6">
        <w:t xml:space="preserve"> </w:t>
      </w:r>
      <w:r w:rsidRPr="00483C5E">
        <w:t>dose</w:t>
      </w:r>
      <w:r w:rsidR="000159A6">
        <w:t xml:space="preserve"> </w:t>
      </w:r>
      <w:r w:rsidRPr="00483C5E">
        <w:t>on</w:t>
      </w:r>
      <w:r w:rsidR="000159A6">
        <w:t xml:space="preserve"> </w:t>
      </w:r>
      <w:r w:rsidRPr="00483C5E">
        <w:t>a</w:t>
      </w:r>
      <w:r w:rsidR="000159A6">
        <w:t xml:space="preserve"> </w:t>
      </w:r>
      <w:r w:rsidRPr="00483C5E">
        <w:t>µg/m</w:t>
      </w:r>
      <w:r w:rsidRPr="00483C5E">
        <w:rPr>
          <w:vertAlign w:val="superscript"/>
        </w:rPr>
        <w:t>2</w:t>
      </w:r>
      <w:r w:rsidR="000159A6">
        <w:t xml:space="preserve"> </w:t>
      </w:r>
      <w:r w:rsidRPr="00483C5E">
        <w:t>body</w:t>
      </w:r>
      <w:r w:rsidR="000159A6">
        <w:t xml:space="preserve"> </w:t>
      </w:r>
      <w:r w:rsidRPr="00483C5E">
        <w:t>surface</w:t>
      </w:r>
      <w:r w:rsidR="000159A6">
        <w:t xml:space="preserve"> </w:t>
      </w:r>
      <w:r w:rsidRPr="00483C5E">
        <w:t>area</w:t>
      </w:r>
      <w:r w:rsidR="000159A6">
        <w:t xml:space="preserve"> </w:t>
      </w:r>
      <w:r w:rsidRPr="00483C5E">
        <w:t>basis)</w:t>
      </w:r>
      <w:r w:rsidR="000159A6">
        <w:t xml:space="preserve"> </w:t>
      </w:r>
      <w:r w:rsidRPr="00483C5E">
        <w:t>by</w:t>
      </w:r>
      <w:r w:rsidR="000159A6">
        <w:t xml:space="preserve"> </w:t>
      </w:r>
      <w:r w:rsidRPr="00483C5E">
        <w:t>IM</w:t>
      </w:r>
      <w:r w:rsidR="000159A6">
        <w:t xml:space="preserve"> </w:t>
      </w:r>
      <w:r w:rsidRPr="00483C5E">
        <w:t>injection</w:t>
      </w:r>
      <w:r w:rsidR="000159A6">
        <w:t xml:space="preserve"> </w:t>
      </w:r>
      <w:r w:rsidRPr="00483C5E">
        <w:t>28</w:t>
      </w:r>
      <w:r w:rsidR="000159A6">
        <w:t xml:space="preserve"> </w:t>
      </w:r>
      <w:r w:rsidRPr="00483C5E">
        <w:t>and</w:t>
      </w:r>
      <w:r w:rsidR="000159A6">
        <w:t xml:space="preserve"> </w:t>
      </w:r>
      <w:r w:rsidRPr="00483C5E">
        <w:t>14</w:t>
      </w:r>
      <w:r w:rsidR="000159A6">
        <w:t xml:space="preserve"> </w:t>
      </w:r>
      <w:r w:rsidRPr="00483C5E">
        <w:t>days</w:t>
      </w:r>
      <w:r w:rsidR="000159A6">
        <w:t xml:space="preserve"> </w:t>
      </w:r>
      <w:r w:rsidRPr="00483C5E">
        <w:t>prior</w:t>
      </w:r>
      <w:r w:rsidR="000159A6">
        <w:t xml:space="preserve"> </w:t>
      </w:r>
      <w:r w:rsidRPr="00483C5E">
        <w:t>to</w:t>
      </w:r>
      <w:r w:rsidR="000159A6">
        <w:t xml:space="preserve"> </w:t>
      </w:r>
      <w:r w:rsidRPr="00483C5E">
        <w:t>mating,</w:t>
      </w:r>
      <w:r w:rsidR="000159A6">
        <w:t xml:space="preserve"> </w:t>
      </w:r>
      <w:r w:rsidRPr="00483C5E">
        <w:t>on</w:t>
      </w:r>
      <w:r w:rsidR="000159A6">
        <w:t xml:space="preserve"> </w:t>
      </w:r>
      <w:r w:rsidRPr="00483C5E">
        <w:t>gestation</w:t>
      </w:r>
      <w:r w:rsidR="000159A6">
        <w:t xml:space="preserve"> </w:t>
      </w:r>
      <w:r w:rsidR="008D4538">
        <w:t>Day</w:t>
      </w:r>
      <w:r w:rsidRPr="00483C5E">
        <w:t>s</w:t>
      </w:r>
      <w:r w:rsidR="000159A6">
        <w:t xml:space="preserve"> </w:t>
      </w:r>
      <w:r w:rsidRPr="00483C5E">
        <w:t>3,</w:t>
      </w:r>
      <w:r w:rsidR="000159A6">
        <w:t xml:space="preserve"> </w:t>
      </w:r>
      <w:r w:rsidRPr="00483C5E">
        <w:t>8,</w:t>
      </w:r>
      <w:r w:rsidR="000159A6">
        <w:t xml:space="preserve"> </w:t>
      </w:r>
      <w:r w:rsidRPr="00483C5E">
        <w:t>11,</w:t>
      </w:r>
      <w:r w:rsidR="000159A6">
        <w:t xml:space="preserve"> </w:t>
      </w:r>
      <w:r w:rsidRPr="00483C5E">
        <w:t>15</w:t>
      </w:r>
      <w:r w:rsidR="000159A6">
        <w:t xml:space="preserve"> </w:t>
      </w:r>
      <w:r w:rsidRPr="00483C5E">
        <w:t>and</w:t>
      </w:r>
      <w:r w:rsidR="000159A6">
        <w:t xml:space="preserve"> </w:t>
      </w:r>
      <w:r w:rsidRPr="00483C5E">
        <w:t>24</w:t>
      </w:r>
      <w:r w:rsidR="000159A6">
        <w:t xml:space="preserve"> </w:t>
      </w:r>
      <w:r w:rsidRPr="00483C5E">
        <w:t>and</w:t>
      </w:r>
      <w:r w:rsidR="000159A6">
        <w:t xml:space="preserve"> </w:t>
      </w:r>
      <w:r w:rsidRPr="00483C5E">
        <w:t>on</w:t>
      </w:r>
      <w:r w:rsidR="000159A6">
        <w:t xml:space="preserve"> </w:t>
      </w:r>
      <w:r w:rsidRPr="00483C5E">
        <w:t>lactation</w:t>
      </w:r>
      <w:r w:rsidR="000159A6">
        <w:t xml:space="preserve"> </w:t>
      </w:r>
      <w:r w:rsidR="008D4538">
        <w:t>Day</w:t>
      </w:r>
      <w:r w:rsidR="000159A6">
        <w:t xml:space="preserve"> </w:t>
      </w:r>
      <w:r w:rsidRPr="00483C5E">
        <w:t>7,</w:t>
      </w:r>
      <w:r w:rsidR="000159A6">
        <w:t xml:space="preserve"> </w:t>
      </w:r>
      <w:r w:rsidRPr="00483C5E">
        <w:t>decreased</w:t>
      </w:r>
      <w:r w:rsidR="000159A6">
        <w:t xml:space="preserve"> </w:t>
      </w:r>
      <w:r w:rsidRPr="00483C5E">
        <w:t>fetal</w:t>
      </w:r>
      <w:r w:rsidR="000159A6">
        <w:t xml:space="preserve"> </w:t>
      </w:r>
      <w:r w:rsidRPr="00483C5E">
        <w:t>weights</w:t>
      </w:r>
      <w:r w:rsidR="000159A6">
        <w:t xml:space="preserve"> </w:t>
      </w:r>
      <w:r w:rsidRPr="00483C5E">
        <w:t>were</w:t>
      </w:r>
      <w:r w:rsidR="000159A6">
        <w:t xml:space="preserve"> </w:t>
      </w:r>
      <w:r w:rsidRPr="00483C5E">
        <w:t>observed,</w:t>
      </w:r>
      <w:r w:rsidR="000159A6">
        <w:t xml:space="preserve"> </w:t>
      </w:r>
      <w:r w:rsidRPr="00483C5E">
        <w:t>and</w:t>
      </w:r>
      <w:r w:rsidR="000159A6">
        <w:t xml:space="preserve"> </w:t>
      </w:r>
      <w:r w:rsidRPr="00483C5E">
        <w:t>were</w:t>
      </w:r>
      <w:r w:rsidR="000159A6">
        <w:t xml:space="preserve"> </w:t>
      </w:r>
      <w:r w:rsidRPr="00483C5E">
        <w:t>associated</w:t>
      </w:r>
      <w:r w:rsidR="000159A6">
        <w:t xml:space="preserve"> </w:t>
      </w:r>
      <w:r w:rsidRPr="00483C5E">
        <w:t>with</w:t>
      </w:r>
      <w:r w:rsidR="000159A6">
        <w:t xml:space="preserve"> </w:t>
      </w:r>
      <w:r w:rsidRPr="00483C5E">
        <w:t>maternal</w:t>
      </w:r>
      <w:r w:rsidR="000159A6">
        <w:t xml:space="preserve"> </w:t>
      </w:r>
      <w:r w:rsidRPr="00483C5E">
        <w:t>toxicity</w:t>
      </w:r>
      <w:r w:rsidR="000159A6">
        <w:t xml:space="preserve"> </w:t>
      </w:r>
      <w:r w:rsidRPr="00483C5E">
        <w:t>(body</w:t>
      </w:r>
      <w:r w:rsidR="000159A6">
        <w:t xml:space="preserve"> </w:t>
      </w:r>
      <w:r w:rsidRPr="00483C5E">
        <w:t>weight</w:t>
      </w:r>
      <w:r w:rsidR="000159A6">
        <w:t xml:space="preserve"> </w:t>
      </w:r>
      <w:r w:rsidRPr="00C5388D">
        <w:t>loss</w:t>
      </w:r>
      <w:r w:rsidR="000159A6">
        <w:t xml:space="preserve"> </w:t>
      </w:r>
      <w:r w:rsidRPr="00483C5E">
        <w:t>during</w:t>
      </w:r>
      <w:r w:rsidR="000159A6">
        <w:t xml:space="preserve"> </w:t>
      </w:r>
      <w:r w:rsidRPr="00483C5E">
        <w:t>gestation</w:t>
      </w:r>
      <w:r w:rsidR="000159A6">
        <w:t xml:space="preserve"> </w:t>
      </w:r>
      <w:r w:rsidRPr="00483C5E">
        <w:t>and</w:t>
      </w:r>
      <w:r w:rsidR="000159A6">
        <w:t xml:space="preserve"> </w:t>
      </w:r>
      <w:r w:rsidRPr="00483C5E">
        <w:t>decreased</w:t>
      </w:r>
      <w:r w:rsidR="000159A6">
        <w:t xml:space="preserve"> </w:t>
      </w:r>
      <w:r w:rsidRPr="00483C5E">
        <w:t>food</w:t>
      </w:r>
      <w:r w:rsidR="000159A6">
        <w:t xml:space="preserve"> </w:t>
      </w:r>
      <w:r w:rsidRPr="00483C5E">
        <w:t>consumption).</w:t>
      </w:r>
      <w:r w:rsidR="000159A6">
        <w:t xml:space="preserve"> </w:t>
      </w:r>
      <w:r w:rsidRPr="00483C5E">
        <w:t>There</w:t>
      </w:r>
      <w:r w:rsidR="000159A6">
        <w:t xml:space="preserve"> </w:t>
      </w:r>
      <w:r w:rsidRPr="00483C5E">
        <w:t>were</w:t>
      </w:r>
      <w:r w:rsidR="000159A6">
        <w:t xml:space="preserve"> </w:t>
      </w:r>
      <w:r w:rsidRPr="00483C5E">
        <w:t>no</w:t>
      </w:r>
      <w:r w:rsidR="000159A6">
        <w:t xml:space="preserve"> </w:t>
      </w:r>
      <w:r w:rsidRPr="00483C5E">
        <w:t>embr</w:t>
      </w:r>
      <w:r w:rsidR="009C0E5D">
        <w:t>yofetal</w:t>
      </w:r>
      <w:r w:rsidR="000159A6">
        <w:t xml:space="preserve"> </w:t>
      </w:r>
      <w:r w:rsidR="009C0E5D">
        <w:t>effects</w:t>
      </w:r>
      <w:r w:rsidR="000159A6">
        <w:t xml:space="preserve"> </w:t>
      </w:r>
      <w:proofErr w:type="gramStart"/>
      <w:r w:rsidR="009C0E5D">
        <w:t>at</w:t>
      </w:r>
      <w:r w:rsidR="000159A6">
        <w:t xml:space="preserve"> </w:t>
      </w:r>
      <w:r w:rsidR="009C0E5D">
        <w:t>33</w:t>
      </w:r>
      <w:r w:rsidR="000159A6">
        <w:t xml:space="preserve"> </w:t>
      </w:r>
      <w:r w:rsidR="009C0E5D">
        <w:t>µg/kg</w:t>
      </w:r>
      <w:r w:rsidR="000159A6">
        <w:t xml:space="preserve"> </w:t>
      </w:r>
      <w:r w:rsidR="009C0E5D">
        <w:t>(12</w:t>
      </w:r>
      <w:r w:rsidR="000159A6">
        <w:t xml:space="preserve"> </w:t>
      </w:r>
      <w:r w:rsidRPr="00483C5E">
        <w:t>times</w:t>
      </w:r>
      <w:r w:rsidR="000159A6">
        <w:t xml:space="preserve"> </w:t>
      </w:r>
      <w:r w:rsidRPr="00483C5E">
        <w:t>the</w:t>
      </w:r>
      <w:r w:rsidR="000159A6">
        <w:t xml:space="preserve"> </w:t>
      </w:r>
      <w:r w:rsidRPr="00483C5E">
        <w:t>human</w:t>
      </w:r>
      <w:r w:rsidR="000159A6">
        <w:t xml:space="preserve"> </w:t>
      </w:r>
      <w:r w:rsidRPr="00483C5E">
        <w:t>dose</w:t>
      </w:r>
      <w:r w:rsidR="000159A6">
        <w:t xml:space="preserve"> </w:t>
      </w:r>
      <w:r w:rsidRPr="00483C5E">
        <w:t>on</w:t>
      </w:r>
      <w:r w:rsidR="000159A6">
        <w:t xml:space="preserve"> </w:t>
      </w:r>
      <w:r w:rsidRPr="00483C5E">
        <w:t>a</w:t>
      </w:r>
      <w:r w:rsidR="000159A6">
        <w:t xml:space="preserve"> </w:t>
      </w:r>
      <w:r w:rsidRPr="00483C5E">
        <w:t>µg/m</w:t>
      </w:r>
      <w:r w:rsidRPr="00483C5E">
        <w:rPr>
          <w:vertAlign w:val="superscript"/>
        </w:rPr>
        <w:t>2</w:t>
      </w:r>
      <w:r w:rsidR="000159A6">
        <w:t xml:space="preserve"> </w:t>
      </w:r>
      <w:r w:rsidRPr="00483C5E">
        <w:t>body</w:t>
      </w:r>
      <w:r w:rsidR="000159A6">
        <w:t xml:space="preserve"> </w:t>
      </w:r>
      <w:r w:rsidRPr="00483C5E">
        <w:t>surface</w:t>
      </w:r>
      <w:r w:rsidR="000159A6">
        <w:t xml:space="preserve"> </w:t>
      </w:r>
      <w:r w:rsidRPr="00483C5E">
        <w:t>area</w:t>
      </w:r>
      <w:r w:rsidR="000159A6">
        <w:t xml:space="preserve"> </w:t>
      </w:r>
      <w:r w:rsidRPr="00483C5E">
        <w:t>basis)</w:t>
      </w:r>
      <w:proofErr w:type="gramEnd"/>
      <w:r w:rsidRPr="00483C5E">
        <w:t>.</w:t>
      </w:r>
      <w:r w:rsidR="000159A6">
        <w:t xml:space="preserve"> </w:t>
      </w:r>
      <w:r w:rsidRPr="00483C5E">
        <w:t>Reproductive</w:t>
      </w:r>
      <w:r w:rsidR="000159A6">
        <w:t xml:space="preserve"> </w:t>
      </w:r>
      <w:r w:rsidRPr="00483C5E">
        <w:t>toxicity</w:t>
      </w:r>
      <w:r w:rsidR="000159A6">
        <w:t xml:space="preserve"> </w:t>
      </w:r>
      <w:r w:rsidRPr="00483C5E">
        <w:t>of</w:t>
      </w:r>
      <w:r w:rsidR="000159A6">
        <w:t xml:space="preserve"> </w:t>
      </w:r>
      <w:r w:rsidR="00FF12AA">
        <w:t>Shingrix</w:t>
      </w:r>
      <w:r w:rsidR="000159A6">
        <w:t xml:space="preserve"> </w:t>
      </w:r>
      <w:r w:rsidRPr="00483C5E">
        <w:t>was</w:t>
      </w:r>
      <w:r w:rsidR="000159A6">
        <w:t xml:space="preserve"> </w:t>
      </w:r>
      <w:r w:rsidRPr="00483C5E">
        <w:t>not</w:t>
      </w:r>
      <w:r w:rsidR="000159A6">
        <w:t xml:space="preserve"> </w:t>
      </w:r>
      <w:r w:rsidRPr="00483C5E">
        <w:t>studied</w:t>
      </w:r>
      <w:r w:rsidR="000159A6">
        <w:t xml:space="preserve"> </w:t>
      </w:r>
      <w:r w:rsidRPr="00483C5E">
        <w:t>in</w:t>
      </w:r>
      <w:r w:rsidR="000159A6">
        <w:t xml:space="preserve"> </w:t>
      </w:r>
      <w:r w:rsidRPr="00483C5E">
        <w:t>rabbits</w:t>
      </w:r>
      <w:r w:rsidR="00FF12AA">
        <w:t>.</w:t>
      </w:r>
    </w:p>
    <w:p w14:paraId="79BED0D2" w14:textId="59542C53" w:rsidR="00FF12AA" w:rsidRDefault="005B220F" w:rsidP="00C5388D">
      <w:pPr>
        <w:pStyle w:val="ListBullet"/>
      </w:pPr>
      <w:r w:rsidRPr="00623C12">
        <w:t>Local</w:t>
      </w:r>
      <w:r w:rsidR="000159A6">
        <w:t xml:space="preserve"> </w:t>
      </w:r>
      <w:r w:rsidRPr="00623C12">
        <w:t>tolerance</w:t>
      </w:r>
      <w:r w:rsidR="000159A6">
        <w:t xml:space="preserve"> </w:t>
      </w:r>
      <w:r>
        <w:t>study</w:t>
      </w:r>
      <w:r w:rsidR="000159A6">
        <w:t xml:space="preserve"> </w:t>
      </w:r>
      <w:r>
        <w:t>with</w:t>
      </w:r>
      <w:r w:rsidR="000159A6">
        <w:t xml:space="preserve"> </w:t>
      </w:r>
      <w:r>
        <w:t>the</w:t>
      </w:r>
      <w:r w:rsidR="000159A6">
        <w:t xml:space="preserve"> </w:t>
      </w:r>
      <w:r>
        <w:t>vaccine</w:t>
      </w:r>
      <w:r w:rsidR="000159A6">
        <w:t xml:space="preserve"> </w:t>
      </w:r>
      <w:r>
        <w:t>showed</w:t>
      </w:r>
      <w:r w:rsidR="000159A6">
        <w:t xml:space="preserve"> </w:t>
      </w:r>
      <w:r>
        <w:t>inflammatory</w:t>
      </w:r>
      <w:r w:rsidR="000159A6">
        <w:t xml:space="preserve"> </w:t>
      </w:r>
      <w:r>
        <w:t>reactions,</w:t>
      </w:r>
      <w:r w:rsidR="000159A6">
        <w:t xml:space="preserve"> </w:t>
      </w:r>
      <w:r>
        <w:t>expected</w:t>
      </w:r>
      <w:r w:rsidR="000159A6">
        <w:t xml:space="preserve"> </w:t>
      </w:r>
      <w:r>
        <w:t>immune</w:t>
      </w:r>
      <w:r w:rsidR="000159A6">
        <w:t xml:space="preserve"> </w:t>
      </w:r>
      <w:r>
        <w:t>response</w:t>
      </w:r>
      <w:r w:rsidR="000159A6">
        <w:t xml:space="preserve"> </w:t>
      </w:r>
      <w:r>
        <w:t>to</w:t>
      </w:r>
      <w:r w:rsidR="000159A6">
        <w:t xml:space="preserve"> </w:t>
      </w:r>
      <w:r>
        <w:t>the</w:t>
      </w:r>
      <w:r w:rsidR="000159A6">
        <w:t xml:space="preserve"> </w:t>
      </w:r>
      <w:r w:rsidRPr="00C5388D">
        <w:t>vaccine</w:t>
      </w:r>
      <w:r w:rsidR="000159A6">
        <w:t xml:space="preserve"> </w:t>
      </w:r>
      <w:r>
        <w:t>antigen</w:t>
      </w:r>
      <w:r w:rsidR="000159A6">
        <w:t xml:space="preserve"> </w:t>
      </w:r>
      <w:r>
        <w:t>and</w:t>
      </w:r>
      <w:r w:rsidR="000159A6">
        <w:t xml:space="preserve"> </w:t>
      </w:r>
      <w:r>
        <w:t>adjuvant</w:t>
      </w:r>
      <w:r w:rsidR="000159A6">
        <w:t xml:space="preserve"> </w:t>
      </w:r>
      <w:r>
        <w:t>at</w:t>
      </w:r>
      <w:r w:rsidR="000159A6">
        <w:t xml:space="preserve"> </w:t>
      </w:r>
      <w:r>
        <w:t>the</w:t>
      </w:r>
      <w:r w:rsidR="000159A6">
        <w:t xml:space="preserve"> </w:t>
      </w:r>
      <w:r>
        <w:t>injection</w:t>
      </w:r>
      <w:r w:rsidR="000159A6">
        <w:t xml:space="preserve"> </w:t>
      </w:r>
      <w:r>
        <w:t>site,</w:t>
      </w:r>
      <w:r w:rsidR="000159A6">
        <w:t xml:space="preserve"> </w:t>
      </w:r>
      <w:r>
        <w:t>as</w:t>
      </w:r>
      <w:r w:rsidR="000159A6">
        <w:t xml:space="preserve"> </w:t>
      </w:r>
      <w:r>
        <w:t>observed</w:t>
      </w:r>
      <w:r w:rsidR="000159A6">
        <w:t xml:space="preserve"> </w:t>
      </w:r>
      <w:r>
        <w:t>in</w:t>
      </w:r>
      <w:r w:rsidR="000159A6">
        <w:t xml:space="preserve"> </w:t>
      </w:r>
      <w:r>
        <w:t>the</w:t>
      </w:r>
      <w:r w:rsidR="000159A6">
        <w:t xml:space="preserve"> </w:t>
      </w:r>
      <w:r>
        <w:t>repeat</w:t>
      </w:r>
      <w:r w:rsidR="000159A6">
        <w:t xml:space="preserve"> </w:t>
      </w:r>
      <w:r>
        <w:t>dose</w:t>
      </w:r>
      <w:r w:rsidR="000159A6">
        <w:t xml:space="preserve"> </w:t>
      </w:r>
      <w:r>
        <w:t>studies</w:t>
      </w:r>
      <w:r w:rsidR="00FF12AA">
        <w:t>.</w:t>
      </w:r>
    </w:p>
    <w:p w14:paraId="2D8686C8" w14:textId="1DC75686" w:rsidR="005B220F" w:rsidRPr="00EB69F1" w:rsidRDefault="00AD5810" w:rsidP="00AD5810">
      <w:pPr>
        <w:pStyle w:val="Heading4"/>
      </w:pPr>
      <w:bookmarkStart w:id="70" w:name="_Toc294861479"/>
      <w:bookmarkStart w:id="71" w:name="_Toc295290862"/>
      <w:bookmarkStart w:id="72" w:name="_Toc507155306"/>
      <w:r w:rsidRPr="00EB69F1">
        <w:t>Conclusions</w:t>
      </w:r>
      <w:r w:rsidR="000159A6">
        <w:t xml:space="preserve"> </w:t>
      </w:r>
      <w:r w:rsidRPr="00EB69F1">
        <w:t>and</w:t>
      </w:r>
      <w:r w:rsidR="000159A6">
        <w:t xml:space="preserve"> </w:t>
      </w:r>
      <w:r w:rsidRPr="00EB69F1">
        <w:t>recommendation</w:t>
      </w:r>
      <w:bookmarkEnd w:id="70"/>
      <w:bookmarkEnd w:id="71"/>
      <w:bookmarkEnd w:id="72"/>
    </w:p>
    <w:p w14:paraId="0544AD11" w14:textId="03B892E6" w:rsidR="00FF12AA" w:rsidRDefault="005B220F" w:rsidP="00C5388D">
      <w:pPr>
        <w:pStyle w:val="ListBullet"/>
      </w:pPr>
      <w:r w:rsidRPr="00EA1DA4">
        <w:t>The</w:t>
      </w:r>
      <w:r w:rsidR="000159A6">
        <w:t xml:space="preserve"> </w:t>
      </w:r>
      <w:r w:rsidRPr="00EA1DA4">
        <w:t>nonclinical</w:t>
      </w:r>
      <w:r w:rsidR="000159A6">
        <w:t xml:space="preserve"> </w:t>
      </w:r>
      <w:r w:rsidRPr="00EA1DA4">
        <w:t>data</w:t>
      </w:r>
      <w:r w:rsidR="000159A6">
        <w:t xml:space="preserve"> </w:t>
      </w:r>
      <w:r w:rsidRPr="00EA1DA4">
        <w:t>provided</w:t>
      </w:r>
      <w:r w:rsidR="000159A6">
        <w:t xml:space="preserve"> </w:t>
      </w:r>
      <w:r w:rsidRPr="00C5388D">
        <w:t>was</w:t>
      </w:r>
      <w:r w:rsidR="000159A6">
        <w:t xml:space="preserve"> </w:t>
      </w:r>
      <w:r w:rsidRPr="00EA1DA4">
        <w:t>satisfactory</w:t>
      </w:r>
      <w:r w:rsidR="00FF12AA">
        <w:t>.</w:t>
      </w:r>
    </w:p>
    <w:p w14:paraId="3DE453DC" w14:textId="1339F66C" w:rsidR="005B220F" w:rsidRDefault="005B220F" w:rsidP="00C5388D">
      <w:pPr>
        <w:pStyle w:val="ListBullet"/>
      </w:pPr>
      <w:r w:rsidRPr="00EA1DA4">
        <w:t>The</w:t>
      </w:r>
      <w:r w:rsidR="000159A6">
        <w:t xml:space="preserve"> </w:t>
      </w:r>
      <w:r w:rsidRPr="00EA1DA4">
        <w:t>primary</w:t>
      </w:r>
      <w:r w:rsidR="000159A6">
        <w:t xml:space="preserve"> </w:t>
      </w:r>
      <w:r w:rsidRPr="00EA1DA4">
        <w:t>pharmacology</w:t>
      </w:r>
      <w:r w:rsidR="000159A6">
        <w:t xml:space="preserve"> </w:t>
      </w:r>
      <w:r w:rsidRPr="00EA1DA4">
        <w:t>studies</w:t>
      </w:r>
      <w:r w:rsidR="000159A6">
        <w:t xml:space="preserve"> </w:t>
      </w:r>
      <w:r w:rsidRPr="00EA1DA4">
        <w:t>adequately</w:t>
      </w:r>
      <w:r w:rsidR="000159A6">
        <w:t xml:space="preserve"> </w:t>
      </w:r>
      <w:r w:rsidRPr="00EA1DA4">
        <w:t>demonstrated</w:t>
      </w:r>
      <w:r w:rsidR="000159A6">
        <w:t xml:space="preserve"> </w:t>
      </w:r>
      <w:proofErr w:type="spellStart"/>
      <w:r w:rsidRPr="00EA1DA4">
        <w:t>sero</w:t>
      </w:r>
      <w:proofErr w:type="spellEnd"/>
      <w:r w:rsidRPr="00EA1DA4">
        <w:t>-conversion</w:t>
      </w:r>
      <w:r w:rsidR="000159A6">
        <w:t xml:space="preserve"> </w:t>
      </w:r>
      <w:r w:rsidRPr="00EA1DA4">
        <w:t>of</w:t>
      </w:r>
      <w:r w:rsidR="000159A6">
        <w:t xml:space="preserve"> </w:t>
      </w:r>
      <w:r w:rsidRPr="00EA1DA4">
        <w:t>animals</w:t>
      </w:r>
      <w:r w:rsidR="000159A6">
        <w:t xml:space="preserve"> </w:t>
      </w:r>
      <w:r w:rsidRPr="00EA1DA4">
        <w:t>to</w:t>
      </w:r>
      <w:r w:rsidR="000159A6">
        <w:t xml:space="preserve"> </w:t>
      </w:r>
      <w:r w:rsidRPr="00EA1DA4">
        <w:t>virus</w:t>
      </w:r>
      <w:r w:rsidR="000159A6">
        <w:t xml:space="preserve"> </w:t>
      </w:r>
      <w:r w:rsidRPr="00EA1DA4">
        <w:t>antigen</w:t>
      </w:r>
      <w:r w:rsidR="000159A6">
        <w:t xml:space="preserve"> </w:t>
      </w:r>
      <w:r w:rsidRPr="00EA1DA4">
        <w:t>present</w:t>
      </w:r>
      <w:r w:rsidR="000159A6">
        <w:t xml:space="preserve"> </w:t>
      </w:r>
      <w:r w:rsidRPr="00EA1DA4">
        <w:t>in</w:t>
      </w:r>
      <w:r w:rsidR="000159A6">
        <w:t xml:space="preserve"> </w:t>
      </w:r>
      <w:r w:rsidRPr="00EA1DA4">
        <w:t>the</w:t>
      </w:r>
      <w:r w:rsidR="000159A6">
        <w:t xml:space="preserve"> </w:t>
      </w:r>
      <w:r w:rsidRPr="00EA1DA4">
        <w:t>vaccine</w:t>
      </w:r>
      <w:r w:rsidR="000159A6">
        <w:t xml:space="preserve"> </w:t>
      </w:r>
      <w:r w:rsidRPr="00C5388D">
        <w:t>tested</w:t>
      </w:r>
      <w:r w:rsidR="000159A6">
        <w:t xml:space="preserve"> </w:t>
      </w:r>
      <w:r w:rsidRPr="00EA1DA4">
        <w:t>in</w:t>
      </w:r>
      <w:r w:rsidR="000159A6">
        <w:t xml:space="preserve"> </w:t>
      </w:r>
      <w:r w:rsidRPr="00EA1DA4">
        <w:t>presence</w:t>
      </w:r>
      <w:r w:rsidR="000159A6">
        <w:t xml:space="preserve"> </w:t>
      </w:r>
      <w:r w:rsidRPr="00EA1DA4">
        <w:t>of</w:t>
      </w:r>
      <w:r w:rsidR="000159A6">
        <w:t xml:space="preserve"> </w:t>
      </w:r>
      <w:r w:rsidRPr="00EA1DA4">
        <w:t>the</w:t>
      </w:r>
      <w:r w:rsidR="000159A6">
        <w:t xml:space="preserve"> </w:t>
      </w:r>
      <w:r w:rsidR="00503D1B">
        <w:t>AS01</w:t>
      </w:r>
      <w:r w:rsidR="00503D1B" w:rsidRPr="00570F2D">
        <w:rPr>
          <w:vertAlign w:val="subscript"/>
        </w:rPr>
        <w:t>B</w:t>
      </w:r>
      <w:r w:rsidR="000159A6">
        <w:t xml:space="preserve"> </w:t>
      </w:r>
      <w:r w:rsidRPr="00EA1DA4">
        <w:t>adjuvant.</w:t>
      </w:r>
      <w:r w:rsidR="000159A6">
        <w:t xml:space="preserve"> </w:t>
      </w:r>
      <w:r w:rsidRPr="00EA1DA4">
        <w:t>However,</w:t>
      </w:r>
      <w:r w:rsidR="000159A6">
        <w:t xml:space="preserve"> </w:t>
      </w:r>
      <w:r w:rsidRPr="00EA1DA4">
        <w:t>due</w:t>
      </w:r>
      <w:r w:rsidR="000159A6">
        <w:t xml:space="preserve"> </w:t>
      </w:r>
      <w:r w:rsidRPr="00EA1DA4">
        <w:t>to</w:t>
      </w:r>
      <w:r w:rsidR="000159A6">
        <w:t xml:space="preserve"> </w:t>
      </w:r>
      <w:r w:rsidRPr="00EA1DA4">
        <w:t>the</w:t>
      </w:r>
      <w:r w:rsidR="000159A6">
        <w:t xml:space="preserve"> </w:t>
      </w:r>
      <w:r w:rsidRPr="00EA1DA4">
        <w:t>limitation</w:t>
      </w:r>
      <w:r w:rsidR="000159A6">
        <w:t xml:space="preserve"> </w:t>
      </w:r>
      <w:r w:rsidRPr="00EA1DA4">
        <w:t>of</w:t>
      </w:r>
      <w:r w:rsidR="000159A6">
        <w:t xml:space="preserve"> </w:t>
      </w:r>
      <w:r w:rsidRPr="00EA1DA4">
        <w:t>an</w:t>
      </w:r>
      <w:r w:rsidR="000159A6">
        <w:t xml:space="preserve"> </w:t>
      </w:r>
      <w:r w:rsidRPr="00EA1DA4">
        <w:t>adequate</w:t>
      </w:r>
      <w:r w:rsidR="000159A6">
        <w:t xml:space="preserve"> </w:t>
      </w:r>
      <w:r w:rsidRPr="00EA1DA4">
        <w:t>animal</w:t>
      </w:r>
      <w:r w:rsidR="000159A6">
        <w:t xml:space="preserve"> </w:t>
      </w:r>
      <w:r w:rsidRPr="00EA1DA4">
        <w:t>model</w:t>
      </w:r>
      <w:r w:rsidR="000159A6">
        <w:t xml:space="preserve"> </w:t>
      </w:r>
      <w:r w:rsidRPr="00EA1DA4">
        <w:t>to</w:t>
      </w:r>
      <w:r w:rsidR="000159A6">
        <w:t xml:space="preserve"> </w:t>
      </w:r>
      <w:r w:rsidRPr="00EA1DA4">
        <w:t>determine</w:t>
      </w:r>
      <w:r w:rsidR="000159A6">
        <w:t xml:space="preserve"> </w:t>
      </w:r>
      <w:r w:rsidRPr="00EA1DA4">
        <w:lastRenderedPageBreak/>
        <w:t>the</w:t>
      </w:r>
      <w:r w:rsidR="000159A6">
        <w:t xml:space="preserve"> </w:t>
      </w:r>
      <w:r w:rsidRPr="00EA1DA4">
        <w:t>efficacy</w:t>
      </w:r>
      <w:r w:rsidR="000159A6">
        <w:t xml:space="preserve"> </w:t>
      </w:r>
      <w:r w:rsidRPr="00EA1DA4">
        <w:t>of</w:t>
      </w:r>
      <w:r w:rsidR="000159A6">
        <w:t xml:space="preserve"> </w:t>
      </w:r>
      <w:r w:rsidRPr="00EA1DA4">
        <w:t>the</w:t>
      </w:r>
      <w:r w:rsidR="000159A6">
        <w:t xml:space="preserve"> </w:t>
      </w:r>
      <w:r w:rsidRPr="00EA1DA4">
        <w:t>vaccine,</w:t>
      </w:r>
      <w:r w:rsidR="000159A6">
        <w:t xml:space="preserve"> </w:t>
      </w:r>
      <w:r w:rsidRPr="00EA1DA4">
        <w:t>protection</w:t>
      </w:r>
      <w:r w:rsidR="000159A6">
        <w:t xml:space="preserve"> </w:t>
      </w:r>
      <w:r w:rsidRPr="00EA1DA4">
        <w:t>against</w:t>
      </w:r>
      <w:r w:rsidR="000159A6">
        <w:t xml:space="preserve"> </w:t>
      </w:r>
      <w:r w:rsidRPr="00EA1DA4">
        <w:t>HZ</w:t>
      </w:r>
      <w:r w:rsidR="000159A6">
        <w:t xml:space="preserve"> </w:t>
      </w:r>
      <w:r w:rsidRPr="00483C5E">
        <w:t>would</w:t>
      </w:r>
      <w:r w:rsidR="000159A6">
        <w:t xml:space="preserve"> </w:t>
      </w:r>
      <w:r w:rsidRPr="00483C5E">
        <w:t>need</w:t>
      </w:r>
      <w:r w:rsidR="000159A6">
        <w:t xml:space="preserve"> </w:t>
      </w:r>
      <w:r w:rsidRPr="00483C5E">
        <w:t>to</w:t>
      </w:r>
      <w:r w:rsidR="000159A6">
        <w:t xml:space="preserve"> </w:t>
      </w:r>
      <w:r w:rsidRPr="00483C5E">
        <w:t>be</w:t>
      </w:r>
      <w:r w:rsidR="000159A6">
        <w:t xml:space="preserve"> </w:t>
      </w:r>
      <w:r w:rsidRPr="00483C5E">
        <w:t>established</w:t>
      </w:r>
      <w:r w:rsidR="000159A6">
        <w:t xml:space="preserve"> </w:t>
      </w:r>
      <w:r w:rsidRPr="00483C5E">
        <w:t>by</w:t>
      </w:r>
      <w:r w:rsidR="000159A6">
        <w:t xml:space="preserve"> </w:t>
      </w:r>
      <w:r w:rsidRPr="00483C5E">
        <w:t>clinical</w:t>
      </w:r>
      <w:r w:rsidR="000159A6">
        <w:t xml:space="preserve"> </w:t>
      </w:r>
      <w:r w:rsidRPr="00483C5E">
        <w:t>studies</w:t>
      </w:r>
      <w:r>
        <w:t>.</w:t>
      </w:r>
    </w:p>
    <w:p w14:paraId="5D9AE542" w14:textId="118BAC3B" w:rsidR="00FF12AA" w:rsidRDefault="005B220F" w:rsidP="005B220F">
      <w:pPr>
        <w:pStyle w:val="ListBullet"/>
      </w:pPr>
      <w:r w:rsidRPr="00EA1DA4">
        <w:t>Adequate</w:t>
      </w:r>
      <w:r w:rsidR="000159A6">
        <w:t xml:space="preserve"> </w:t>
      </w:r>
      <w:r w:rsidRPr="00EA1DA4">
        <w:t>repeat</w:t>
      </w:r>
      <w:r w:rsidR="000159A6">
        <w:t xml:space="preserve"> </w:t>
      </w:r>
      <w:r w:rsidRPr="00EA1DA4">
        <w:t>dose</w:t>
      </w:r>
      <w:r w:rsidR="000159A6">
        <w:t xml:space="preserve"> </w:t>
      </w:r>
      <w:r w:rsidRPr="00EA1DA4">
        <w:t>toxicity</w:t>
      </w:r>
      <w:r w:rsidR="000159A6">
        <w:t xml:space="preserve"> </w:t>
      </w:r>
      <w:r w:rsidRPr="00EA1DA4">
        <w:t>and</w:t>
      </w:r>
      <w:r w:rsidR="000159A6">
        <w:t xml:space="preserve"> </w:t>
      </w:r>
      <w:r w:rsidRPr="00EA1DA4">
        <w:t>local</w:t>
      </w:r>
      <w:r w:rsidR="000159A6">
        <w:t xml:space="preserve"> </w:t>
      </w:r>
      <w:r w:rsidRPr="00EA1DA4">
        <w:t>tolerance</w:t>
      </w:r>
      <w:r w:rsidR="000159A6">
        <w:t xml:space="preserve"> </w:t>
      </w:r>
      <w:r w:rsidRPr="00EA1DA4">
        <w:t>studies</w:t>
      </w:r>
      <w:r w:rsidR="000159A6">
        <w:t xml:space="preserve"> </w:t>
      </w:r>
      <w:r w:rsidRPr="009C0E5D">
        <w:t>with</w:t>
      </w:r>
      <w:r w:rsidR="000159A6">
        <w:t xml:space="preserve"> </w:t>
      </w:r>
      <w:r w:rsidRPr="009C0E5D">
        <w:t>Shingrix</w:t>
      </w:r>
      <w:r w:rsidR="000159A6">
        <w:t xml:space="preserve"> </w:t>
      </w:r>
      <w:r w:rsidRPr="00EA1DA4">
        <w:t>vaccine</w:t>
      </w:r>
      <w:r w:rsidR="000159A6">
        <w:t xml:space="preserve"> </w:t>
      </w:r>
      <w:r w:rsidRPr="00EA1DA4">
        <w:t>and</w:t>
      </w:r>
      <w:r w:rsidR="000159A6">
        <w:t xml:space="preserve"> </w:t>
      </w:r>
      <w:r w:rsidRPr="00EA1DA4">
        <w:t>the</w:t>
      </w:r>
      <w:r w:rsidR="000159A6">
        <w:t xml:space="preserve"> </w:t>
      </w:r>
      <w:r w:rsidRPr="00EA1DA4">
        <w:t>adjuvant</w:t>
      </w:r>
      <w:r w:rsidR="000159A6">
        <w:t xml:space="preserve"> </w:t>
      </w:r>
      <w:r w:rsidRPr="00EA1DA4">
        <w:t>did</w:t>
      </w:r>
      <w:r w:rsidR="000159A6">
        <w:t xml:space="preserve"> </w:t>
      </w:r>
      <w:r w:rsidRPr="00EA1DA4">
        <w:t>not</w:t>
      </w:r>
      <w:r w:rsidR="000159A6">
        <w:t xml:space="preserve"> </w:t>
      </w:r>
      <w:r w:rsidRPr="00EA1DA4">
        <w:t>raise</w:t>
      </w:r>
      <w:r w:rsidR="000159A6">
        <w:t xml:space="preserve"> </w:t>
      </w:r>
      <w:r w:rsidRPr="00EA1DA4">
        <w:t>safety</w:t>
      </w:r>
      <w:r w:rsidR="000159A6">
        <w:t xml:space="preserve"> </w:t>
      </w:r>
      <w:r w:rsidRPr="00EA1DA4">
        <w:t>issues</w:t>
      </w:r>
      <w:r w:rsidR="00FF12AA">
        <w:t>.</w:t>
      </w:r>
    </w:p>
    <w:p w14:paraId="0AE3514D" w14:textId="161B747F" w:rsidR="00FF12AA" w:rsidRDefault="005B220F" w:rsidP="005B220F">
      <w:pPr>
        <w:pStyle w:val="ListBullet"/>
      </w:pPr>
      <w:r w:rsidRPr="00EA1DA4">
        <w:t>Studies</w:t>
      </w:r>
      <w:r w:rsidR="000159A6">
        <w:t xml:space="preserve"> </w:t>
      </w:r>
      <w:r w:rsidRPr="00EA1DA4">
        <w:t>in</w:t>
      </w:r>
      <w:r w:rsidR="000159A6">
        <w:t xml:space="preserve"> </w:t>
      </w:r>
      <w:r w:rsidRPr="00EA1DA4">
        <w:t>rats</w:t>
      </w:r>
      <w:r w:rsidR="000159A6">
        <w:t xml:space="preserve"> </w:t>
      </w:r>
      <w:r w:rsidRPr="00EA1DA4">
        <w:t>and</w:t>
      </w:r>
      <w:r w:rsidR="000159A6">
        <w:t xml:space="preserve"> </w:t>
      </w:r>
      <w:r w:rsidRPr="00EA1DA4">
        <w:t>rabbits</w:t>
      </w:r>
      <w:r w:rsidR="000159A6">
        <w:t xml:space="preserve"> </w:t>
      </w:r>
      <w:r w:rsidRPr="00EA1DA4">
        <w:t>showed</w:t>
      </w:r>
      <w:r w:rsidR="000159A6">
        <w:t xml:space="preserve"> </w:t>
      </w:r>
      <w:r w:rsidRPr="00EA1DA4">
        <w:t>no</w:t>
      </w:r>
      <w:r w:rsidR="000159A6">
        <w:t xml:space="preserve"> </w:t>
      </w:r>
      <w:r w:rsidRPr="00EA1DA4">
        <w:t>reproductive</w:t>
      </w:r>
      <w:r w:rsidR="000159A6">
        <w:t xml:space="preserve"> </w:t>
      </w:r>
      <w:r w:rsidRPr="00EA1DA4">
        <w:t>toxicity.</w:t>
      </w:r>
      <w:r w:rsidR="000159A6">
        <w:t xml:space="preserve"> </w:t>
      </w:r>
      <w:r w:rsidRPr="00EA1DA4">
        <w:t>An</w:t>
      </w:r>
      <w:r w:rsidR="000159A6">
        <w:t xml:space="preserve"> </w:t>
      </w:r>
      <w:r w:rsidRPr="00EA1DA4">
        <w:t>Australian</w:t>
      </w:r>
      <w:r w:rsidR="000159A6">
        <w:t xml:space="preserve"> </w:t>
      </w:r>
      <w:r w:rsidRPr="00EA1DA4">
        <w:t>Pregnancy</w:t>
      </w:r>
      <w:r w:rsidR="000159A6">
        <w:t xml:space="preserve"> </w:t>
      </w:r>
      <w:r w:rsidRPr="00EA1DA4">
        <w:t>Category</w:t>
      </w:r>
      <w:r w:rsidR="000159A6">
        <w:t xml:space="preserve"> </w:t>
      </w:r>
      <w:r w:rsidRPr="00EA1DA4">
        <w:t>B2</w:t>
      </w:r>
      <w:r w:rsidR="000159A6">
        <w:t xml:space="preserve"> </w:t>
      </w:r>
      <w:r w:rsidRPr="00EA1DA4">
        <w:t>is</w:t>
      </w:r>
      <w:r w:rsidR="000159A6">
        <w:t xml:space="preserve"> </w:t>
      </w:r>
      <w:r w:rsidRPr="00EA1DA4">
        <w:t>recommended</w:t>
      </w:r>
      <w:r w:rsidR="00FF12AA">
        <w:t>.</w:t>
      </w:r>
      <w:r w:rsidR="005969F1" w:rsidRPr="007B3954">
        <w:rPr>
          <w:vertAlign w:val="superscript"/>
        </w:rPr>
        <w:fldChar w:fldCharType="begin"/>
      </w:r>
      <w:r w:rsidR="005969F1" w:rsidRPr="007B3954">
        <w:rPr>
          <w:vertAlign w:val="superscript"/>
        </w:rPr>
        <w:instrText xml:space="preserve"> NOTEREF _Ref532208269 \h </w:instrText>
      </w:r>
      <w:r w:rsidR="005969F1">
        <w:rPr>
          <w:vertAlign w:val="superscript"/>
        </w:rPr>
        <w:instrText xml:space="preserve"> \* MERGEFORMAT </w:instrText>
      </w:r>
      <w:r w:rsidR="005969F1" w:rsidRPr="007B3954">
        <w:rPr>
          <w:vertAlign w:val="superscript"/>
        </w:rPr>
      </w:r>
      <w:r w:rsidR="005969F1" w:rsidRPr="007B3954">
        <w:rPr>
          <w:vertAlign w:val="superscript"/>
        </w:rPr>
        <w:fldChar w:fldCharType="separate"/>
      </w:r>
      <w:r w:rsidR="005969F1" w:rsidRPr="007B3954">
        <w:rPr>
          <w:vertAlign w:val="superscript"/>
        </w:rPr>
        <w:t>5</w:t>
      </w:r>
      <w:r w:rsidR="005969F1" w:rsidRPr="007B3954">
        <w:rPr>
          <w:vertAlign w:val="superscript"/>
        </w:rPr>
        <w:fldChar w:fldCharType="end"/>
      </w:r>
    </w:p>
    <w:p w14:paraId="02B92F13" w14:textId="637F6816" w:rsidR="005B220F" w:rsidRPr="00A20836" w:rsidRDefault="005B220F" w:rsidP="005B220F">
      <w:pPr>
        <w:pStyle w:val="ListBullet"/>
      </w:pPr>
      <w:r w:rsidRPr="00EA1DA4">
        <w:t>There</w:t>
      </w:r>
      <w:r w:rsidR="000159A6">
        <w:t xml:space="preserve"> </w:t>
      </w:r>
      <w:r w:rsidRPr="00A20836">
        <w:t>are</w:t>
      </w:r>
      <w:r w:rsidR="000159A6">
        <w:t xml:space="preserve"> </w:t>
      </w:r>
      <w:r w:rsidRPr="00A20836">
        <w:t>no</w:t>
      </w:r>
      <w:r w:rsidR="000159A6">
        <w:t xml:space="preserve"> </w:t>
      </w:r>
      <w:r w:rsidRPr="00A20836">
        <w:t>nonclinical</w:t>
      </w:r>
      <w:r w:rsidR="000159A6">
        <w:t xml:space="preserve"> </w:t>
      </w:r>
      <w:r w:rsidRPr="00A20836">
        <w:t>objections</w:t>
      </w:r>
      <w:r w:rsidR="000159A6">
        <w:t xml:space="preserve"> </w:t>
      </w:r>
      <w:r w:rsidRPr="00A20836">
        <w:t>to</w:t>
      </w:r>
      <w:r w:rsidR="000159A6">
        <w:t xml:space="preserve"> </w:t>
      </w:r>
      <w:r w:rsidRPr="00A20836">
        <w:t>the</w:t>
      </w:r>
      <w:r w:rsidR="000159A6">
        <w:t xml:space="preserve"> </w:t>
      </w:r>
      <w:r w:rsidRPr="00A20836">
        <w:t>vaccine</w:t>
      </w:r>
      <w:r w:rsidR="000159A6">
        <w:t xml:space="preserve"> </w:t>
      </w:r>
      <w:r w:rsidRPr="00A20836">
        <w:t>registration</w:t>
      </w:r>
      <w:r w:rsidR="000159A6">
        <w:t xml:space="preserve"> </w:t>
      </w:r>
      <w:r>
        <w:t>provided</w:t>
      </w:r>
      <w:r w:rsidR="000159A6">
        <w:t xml:space="preserve"> </w:t>
      </w:r>
      <w:r>
        <w:t>protection</w:t>
      </w:r>
      <w:r w:rsidR="000159A6">
        <w:t xml:space="preserve"> </w:t>
      </w:r>
      <w:r>
        <w:t>against</w:t>
      </w:r>
      <w:r w:rsidR="000159A6">
        <w:t xml:space="preserve"> </w:t>
      </w:r>
      <w:r>
        <w:t>HZ</w:t>
      </w:r>
      <w:r w:rsidR="000159A6">
        <w:t xml:space="preserve"> </w:t>
      </w:r>
      <w:r>
        <w:t>is</w:t>
      </w:r>
      <w:r w:rsidR="000159A6">
        <w:t xml:space="preserve"> </w:t>
      </w:r>
      <w:r>
        <w:t>demonstrated</w:t>
      </w:r>
      <w:r w:rsidR="000159A6">
        <w:t xml:space="preserve"> </w:t>
      </w:r>
      <w:r>
        <w:t>by</w:t>
      </w:r>
      <w:r w:rsidR="000159A6">
        <w:t xml:space="preserve"> </w:t>
      </w:r>
      <w:r>
        <w:t>clinical</w:t>
      </w:r>
      <w:r w:rsidR="000159A6">
        <w:t xml:space="preserve"> </w:t>
      </w:r>
      <w:r>
        <w:t>data</w:t>
      </w:r>
      <w:r w:rsidRPr="00A20836">
        <w:t>.</w:t>
      </w:r>
    </w:p>
    <w:p w14:paraId="210C3690" w14:textId="043603E3" w:rsidR="005B220F" w:rsidRDefault="005B220F" w:rsidP="00C5388D">
      <w:pPr>
        <w:pStyle w:val="ListBullet"/>
      </w:pPr>
      <w:r w:rsidRPr="00A20836">
        <w:t>The</w:t>
      </w:r>
      <w:r w:rsidR="000159A6">
        <w:t xml:space="preserve"> </w:t>
      </w:r>
      <w:r w:rsidR="009C0E5D">
        <w:t>nonclinical</w:t>
      </w:r>
      <w:r w:rsidR="000159A6">
        <w:t xml:space="preserve"> </w:t>
      </w:r>
      <w:r w:rsidR="009C0E5D">
        <w:t>evaluator</w:t>
      </w:r>
      <w:r w:rsidR="000159A6">
        <w:t xml:space="preserve"> </w:t>
      </w:r>
      <w:r w:rsidR="009C0E5D">
        <w:t>also</w:t>
      </w:r>
      <w:r w:rsidR="000159A6">
        <w:t xml:space="preserve"> </w:t>
      </w:r>
      <w:r w:rsidR="009C0E5D">
        <w:t>made</w:t>
      </w:r>
      <w:r w:rsidR="000159A6">
        <w:t xml:space="preserve"> </w:t>
      </w:r>
      <w:r w:rsidR="009C0E5D">
        <w:t>comments</w:t>
      </w:r>
      <w:r w:rsidR="000159A6">
        <w:t xml:space="preserve"> </w:t>
      </w:r>
      <w:r w:rsidR="009C0E5D">
        <w:t>regarding</w:t>
      </w:r>
      <w:r w:rsidR="000159A6">
        <w:t xml:space="preserve"> </w:t>
      </w:r>
      <w:r w:rsidR="009C0E5D">
        <w:t>the</w:t>
      </w:r>
      <w:r w:rsidR="000159A6">
        <w:t xml:space="preserve"> </w:t>
      </w:r>
      <w:r w:rsidRPr="00A20836">
        <w:t>draft</w:t>
      </w:r>
      <w:r w:rsidR="000159A6">
        <w:t xml:space="preserve"> </w:t>
      </w:r>
      <w:r w:rsidR="009C0E5D">
        <w:t>PI</w:t>
      </w:r>
      <w:r w:rsidR="000159A6">
        <w:t xml:space="preserve"> </w:t>
      </w:r>
      <w:r w:rsidR="009C0E5D">
        <w:t>but</w:t>
      </w:r>
      <w:r w:rsidR="000159A6">
        <w:t xml:space="preserve"> </w:t>
      </w:r>
      <w:r w:rsidR="009C0E5D">
        <w:t>these</w:t>
      </w:r>
      <w:r w:rsidR="000159A6">
        <w:t xml:space="preserve"> </w:t>
      </w:r>
      <w:r w:rsidR="009C0E5D">
        <w:t>are</w:t>
      </w:r>
      <w:r w:rsidR="000159A6">
        <w:t xml:space="preserve"> </w:t>
      </w:r>
      <w:r w:rsidR="009C0E5D">
        <w:t>beyond</w:t>
      </w:r>
      <w:r w:rsidR="000159A6">
        <w:t xml:space="preserve"> </w:t>
      </w:r>
      <w:r w:rsidR="009C0E5D">
        <w:t>the</w:t>
      </w:r>
      <w:r w:rsidR="000159A6">
        <w:t xml:space="preserve"> </w:t>
      </w:r>
      <w:r w:rsidR="009C0E5D" w:rsidRPr="00C5388D">
        <w:t>scope</w:t>
      </w:r>
      <w:r w:rsidR="000159A6">
        <w:t xml:space="preserve"> </w:t>
      </w:r>
      <w:r w:rsidR="009C0E5D">
        <w:t>of</w:t>
      </w:r>
      <w:r w:rsidR="000159A6">
        <w:t xml:space="preserve"> </w:t>
      </w:r>
      <w:r w:rsidR="009C0E5D">
        <w:t>the</w:t>
      </w:r>
      <w:r w:rsidR="000159A6">
        <w:t xml:space="preserve"> </w:t>
      </w:r>
      <w:proofErr w:type="spellStart"/>
      <w:r w:rsidR="009C0E5D">
        <w:t>AusPAR</w:t>
      </w:r>
      <w:proofErr w:type="spellEnd"/>
      <w:r w:rsidR="009C0E5D">
        <w:t>.</w:t>
      </w:r>
    </w:p>
    <w:p w14:paraId="46E3CC7E" w14:textId="732258D0" w:rsidR="008E7846" w:rsidRPr="008F7BC7" w:rsidRDefault="008E7846" w:rsidP="00C5388D">
      <w:pPr>
        <w:pStyle w:val="Heading2"/>
      </w:pPr>
      <w:bookmarkStart w:id="73" w:name="_Toc1049811"/>
      <w:r w:rsidRPr="008F7BC7">
        <w:t>V.</w:t>
      </w:r>
      <w:r w:rsidR="000159A6" w:rsidRPr="008F7BC7">
        <w:t xml:space="preserve"> </w:t>
      </w:r>
      <w:r w:rsidRPr="008F7BC7">
        <w:t>Clinical</w:t>
      </w:r>
      <w:bookmarkEnd w:id="65"/>
      <w:r w:rsidR="000159A6" w:rsidRPr="008F7BC7">
        <w:t xml:space="preserve"> </w:t>
      </w:r>
      <w:r w:rsidR="003A7F6C" w:rsidRPr="00C5388D">
        <w:t>f</w:t>
      </w:r>
      <w:r w:rsidRPr="00C5388D">
        <w:t>indings</w:t>
      </w:r>
      <w:bookmarkEnd w:id="66"/>
      <w:bookmarkEnd w:id="67"/>
      <w:bookmarkEnd w:id="73"/>
    </w:p>
    <w:p w14:paraId="7492A170" w14:textId="151B8D6F" w:rsidR="00C80137" w:rsidRDefault="00C80137" w:rsidP="00C5388D">
      <w:bookmarkStart w:id="74" w:name="_Toc196046463"/>
      <w:r>
        <w:t>A</w:t>
      </w:r>
      <w:r w:rsidR="000159A6">
        <w:t xml:space="preserve"> </w:t>
      </w:r>
      <w:r>
        <w:t>summary</w:t>
      </w:r>
      <w:r w:rsidR="000159A6">
        <w:t xml:space="preserve"> </w:t>
      </w:r>
      <w:r>
        <w:t>of</w:t>
      </w:r>
      <w:r w:rsidR="000159A6">
        <w:t xml:space="preserve"> </w:t>
      </w:r>
      <w:r>
        <w:t>the</w:t>
      </w:r>
      <w:r w:rsidR="000159A6">
        <w:t xml:space="preserve"> </w:t>
      </w:r>
      <w:r w:rsidRPr="00FD70B8">
        <w:t>clinical</w:t>
      </w:r>
      <w:r w:rsidR="000159A6">
        <w:t xml:space="preserve"> </w:t>
      </w:r>
      <w:r w:rsidRPr="00FD70B8">
        <w:t>findings</w:t>
      </w:r>
      <w:r w:rsidR="000159A6">
        <w:t xml:space="preserve"> </w:t>
      </w:r>
      <w:r w:rsidRPr="00FD70B8">
        <w:t>is</w:t>
      </w:r>
      <w:r w:rsidR="000159A6">
        <w:t xml:space="preserve"> </w:t>
      </w:r>
      <w:r w:rsidRPr="00FD70B8">
        <w:t>presented</w:t>
      </w:r>
      <w:r w:rsidR="000159A6">
        <w:t xml:space="preserve"> </w:t>
      </w:r>
      <w:r w:rsidRPr="00FD70B8">
        <w:t>in</w:t>
      </w:r>
      <w:r w:rsidR="000159A6">
        <w:t xml:space="preserve"> </w:t>
      </w:r>
      <w:r w:rsidRPr="00FD70B8">
        <w:t>this</w:t>
      </w:r>
      <w:r w:rsidR="000159A6">
        <w:t xml:space="preserve"> </w:t>
      </w:r>
      <w:r w:rsidRPr="00FD70B8">
        <w:t>section.</w:t>
      </w:r>
      <w:r w:rsidR="000159A6">
        <w:t xml:space="preserve"> </w:t>
      </w:r>
      <w:r>
        <w:t>Further</w:t>
      </w:r>
      <w:r w:rsidR="000159A6">
        <w:t xml:space="preserve"> </w:t>
      </w:r>
      <w:r>
        <w:t>details</w:t>
      </w:r>
      <w:r w:rsidR="000159A6">
        <w:t xml:space="preserve"> </w:t>
      </w:r>
      <w:r>
        <w:t>of</w:t>
      </w:r>
      <w:r w:rsidR="000159A6">
        <w:t xml:space="preserve"> </w:t>
      </w:r>
      <w:r>
        <w:t>these</w:t>
      </w:r>
      <w:r w:rsidR="000159A6">
        <w:t xml:space="preserve"> </w:t>
      </w:r>
      <w:r w:rsidRPr="00FD70B8">
        <w:t>clinical</w:t>
      </w:r>
      <w:r w:rsidR="000159A6">
        <w:t xml:space="preserve"> </w:t>
      </w:r>
      <w:r w:rsidRPr="00FD70B8">
        <w:t>findings</w:t>
      </w:r>
      <w:r w:rsidR="000159A6">
        <w:t xml:space="preserve"> </w:t>
      </w:r>
      <w:r w:rsidRPr="00FD70B8">
        <w:t>can</w:t>
      </w:r>
      <w:r w:rsidR="000159A6">
        <w:t xml:space="preserve"> </w:t>
      </w:r>
      <w:r w:rsidRPr="00FD70B8">
        <w:t>be</w:t>
      </w:r>
      <w:r w:rsidR="000159A6">
        <w:t xml:space="preserve"> </w:t>
      </w:r>
      <w:r w:rsidRPr="00FD70B8">
        <w:t>found</w:t>
      </w:r>
      <w:r w:rsidR="000159A6">
        <w:t xml:space="preserve"> </w:t>
      </w:r>
      <w:r w:rsidRPr="00FD70B8">
        <w:t>in</w:t>
      </w:r>
      <w:r w:rsidR="000159A6">
        <w:t xml:space="preserve"> </w:t>
      </w:r>
      <w:r w:rsidRPr="00FD70B8">
        <w:t>Attachment</w:t>
      </w:r>
      <w:r w:rsidR="000159A6">
        <w:t xml:space="preserve"> </w:t>
      </w:r>
      <w:r w:rsidRPr="00FD70B8">
        <w:t>2.</w:t>
      </w:r>
    </w:p>
    <w:p w14:paraId="00C6E8AE" w14:textId="77777777" w:rsidR="008E7846" w:rsidRPr="008F7BC7" w:rsidRDefault="008E7846" w:rsidP="008F7BC7">
      <w:pPr>
        <w:pStyle w:val="Heading3"/>
      </w:pPr>
      <w:bookmarkStart w:id="75" w:name="_Toc247691517"/>
      <w:bookmarkStart w:id="76" w:name="_Toc314842501"/>
      <w:bookmarkStart w:id="77" w:name="_Toc1049812"/>
      <w:r w:rsidRPr="008F7BC7">
        <w:t>Introduction</w:t>
      </w:r>
      <w:bookmarkEnd w:id="74"/>
      <w:bookmarkEnd w:id="75"/>
      <w:bookmarkEnd w:id="76"/>
      <w:bookmarkEnd w:id="77"/>
    </w:p>
    <w:p w14:paraId="7A54CA54" w14:textId="29959350" w:rsidR="007553D3" w:rsidRDefault="007553D3" w:rsidP="00C5388D">
      <w:r>
        <w:rPr>
          <w:lang w:eastAsia="ja-JP"/>
        </w:rPr>
        <w:t>The</w:t>
      </w:r>
      <w:r w:rsidR="000159A6">
        <w:rPr>
          <w:lang w:eastAsia="ja-JP"/>
        </w:rPr>
        <w:t xml:space="preserve"> </w:t>
      </w:r>
      <w:r>
        <w:rPr>
          <w:lang w:eastAsia="ja-JP"/>
        </w:rPr>
        <w:t>varicella-zoster</w:t>
      </w:r>
      <w:r w:rsidR="000159A6">
        <w:rPr>
          <w:lang w:eastAsia="ja-JP"/>
        </w:rPr>
        <w:t xml:space="preserve"> </w:t>
      </w:r>
      <w:r>
        <w:rPr>
          <w:lang w:eastAsia="ja-JP"/>
        </w:rPr>
        <w:t>virus</w:t>
      </w:r>
      <w:r w:rsidR="000159A6">
        <w:rPr>
          <w:lang w:eastAsia="ja-JP"/>
        </w:rPr>
        <w:t xml:space="preserve"> </w:t>
      </w:r>
      <w:r>
        <w:rPr>
          <w:lang w:eastAsia="ja-JP"/>
        </w:rPr>
        <w:t>(VZV)</w:t>
      </w:r>
      <w:r w:rsidR="000159A6">
        <w:rPr>
          <w:lang w:eastAsia="ja-JP"/>
        </w:rPr>
        <w:t xml:space="preserve"> </w:t>
      </w:r>
      <w:r>
        <w:rPr>
          <w:lang w:eastAsia="ja-JP"/>
        </w:rPr>
        <w:t>is</w:t>
      </w:r>
      <w:r w:rsidR="000159A6">
        <w:rPr>
          <w:lang w:eastAsia="ja-JP"/>
        </w:rPr>
        <w:t xml:space="preserve"> </w:t>
      </w:r>
      <w:r>
        <w:rPr>
          <w:lang w:eastAsia="ja-JP"/>
        </w:rPr>
        <w:t>a</w:t>
      </w:r>
      <w:r w:rsidR="000159A6">
        <w:rPr>
          <w:lang w:eastAsia="ja-JP"/>
        </w:rPr>
        <w:t xml:space="preserve"> </w:t>
      </w:r>
      <w:r>
        <w:rPr>
          <w:lang w:eastAsia="ja-JP"/>
        </w:rPr>
        <w:t>DNA</w:t>
      </w:r>
      <w:r w:rsidR="000159A6">
        <w:rPr>
          <w:lang w:eastAsia="ja-JP"/>
        </w:rPr>
        <w:t xml:space="preserve"> </w:t>
      </w:r>
      <w:r>
        <w:rPr>
          <w:lang w:eastAsia="ja-JP"/>
        </w:rPr>
        <w:t>virus</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herpes</w:t>
      </w:r>
      <w:r w:rsidR="000159A6">
        <w:rPr>
          <w:lang w:eastAsia="ja-JP"/>
        </w:rPr>
        <w:t xml:space="preserve"> </w:t>
      </w:r>
      <w:r>
        <w:rPr>
          <w:lang w:eastAsia="ja-JP"/>
        </w:rPr>
        <w:t>virus</w:t>
      </w:r>
      <w:r w:rsidR="000159A6">
        <w:rPr>
          <w:lang w:eastAsia="ja-JP"/>
        </w:rPr>
        <w:t xml:space="preserve"> </w:t>
      </w:r>
      <w:r>
        <w:rPr>
          <w:lang w:eastAsia="ja-JP"/>
        </w:rPr>
        <w:t>family.</w:t>
      </w:r>
      <w:r w:rsidR="000159A6">
        <w:rPr>
          <w:lang w:eastAsia="ja-JP"/>
        </w:rPr>
        <w:t xml:space="preserve"> </w:t>
      </w:r>
      <w:r>
        <w:rPr>
          <w:lang w:eastAsia="ja-JP"/>
        </w:rPr>
        <w:t>The</w:t>
      </w:r>
      <w:r w:rsidR="000159A6">
        <w:rPr>
          <w:lang w:eastAsia="ja-JP"/>
        </w:rPr>
        <w:t xml:space="preserve"> </w:t>
      </w:r>
      <w:r>
        <w:rPr>
          <w:lang w:eastAsia="ja-JP"/>
        </w:rPr>
        <w:t>primary</w:t>
      </w:r>
      <w:r w:rsidR="000159A6">
        <w:rPr>
          <w:lang w:eastAsia="ja-JP"/>
        </w:rPr>
        <w:t xml:space="preserve"> </w:t>
      </w:r>
      <w:r>
        <w:rPr>
          <w:lang w:eastAsia="ja-JP"/>
        </w:rPr>
        <w:t>infection</w:t>
      </w:r>
      <w:r w:rsidR="000159A6">
        <w:rPr>
          <w:lang w:eastAsia="ja-JP"/>
        </w:rPr>
        <w:t xml:space="preserve"> </w:t>
      </w:r>
      <w:r>
        <w:rPr>
          <w:lang w:eastAsia="ja-JP"/>
        </w:rPr>
        <w:t>with</w:t>
      </w:r>
      <w:r w:rsidR="000159A6">
        <w:rPr>
          <w:lang w:eastAsia="ja-JP"/>
        </w:rPr>
        <w:t xml:space="preserve"> </w:t>
      </w:r>
      <w:r>
        <w:rPr>
          <w:lang w:eastAsia="ja-JP"/>
        </w:rPr>
        <w:t>VZV,</w:t>
      </w:r>
      <w:r w:rsidR="000159A6">
        <w:rPr>
          <w:lang w:eastAsia="ja-JP"/>
        </w:rPr>
        <w:t xml:space="preserve"> </w:t>
      </w:r>
      <w:r>
        <w:rPr>
          <w:lang w:eastAsia="ja-JP"/>
        </w:rPr>
        <w:t>varicella,</w:t>
      </w:r>
      <w:r w:rsidR="000159A6">
        <w:rPr>
          <w:lang w:eastAsia="ja-JP"/>
        </w:rPr>
        <w:t xml:space="preserve"> </w:t>
      </w:r>
      <w:r>
        <w:rPr>
          <w:lang w:eastAsia="ja-JP"/>
        </w:rPr>
        <w:t>causes</w:t>
      </w:r>
      <w:r w:rsidR="000159A6">
        <w:rPr>
          <w:lang w:eastAsia="ja-JP"/>
        </w:rPr>
        <w:t xml:space="preserve"> </w:t>
      </w:r>
      <w:r>
        <w:rPr>
          <w:lang w:eastAsia="ja-JP"/>
        </w:rPr>
        <w:t>a</w:t>
      </w:r>
      <w:r w:rsidR="000159A6">
        <w:rPr>
          <w:lang w:eastAsia="ja-JP"/>
        </w:rPr>
        <w:t xml:space="preserve"> </w:t>
      </w:r>
      <w:r>
        <w:rPr>
          <w:lang w:eastAsia="ja-JP"/>
        </w:rPr>
        <w:t>diffuse</w:t>
      </w:r>
      <w:r w:rsidR="000159A6">
        <w:rPr>
          <w:lang w:eastAsia="ja-JP"/>
        </w:rPr>
        <w:t xml:space="preserve"> </w:t>
      </w:r>
      <w:r>
        <w:rPr>
          <w:lang w:eastAsia="ja-JP"/>
        </w:rPr>
        <w:t>vesicular</w:t>
      </w:r>
      <w:r w:rsidR="000159A6">
        <w:rPr>
          <w:lang w:eastAsia="ja-JP"/>
        </w:rPr>
        <w:t xml:space="preserve"> </w:t>
      </w:r>
      <w:r>
        <w:rPr>
          <w:lang w:eastAsia="ja-JP"/>
        </w:rPr>
        <w:t>rash</w:t>
      </w:r>
      <w:r w:rsidR="000159A6">
        <w:rPr>
          <w:lang w:eastAsia="ja-JP"/>
        </w:rPr>
        <w:t xml:space="preserve"> </w:t>
      </w:r>
      <w:r>
        <w:rPr>
          <w:lang w:eastAsia="ja-JP"/>
        </w:rPr>
        <w:t>or</w:t>
      </w:r>
      <w:r w:rsidR="000159A6">
        <w:rPr>
          <w:lang w:eastAsia="ja-JP"/>
        </w:rPr>
        <w:t xml:space="preserve"> </w:t>
      </w:r>
      <w:r>
        <w:rPr>
          <w:lang w:eastAsia="ja-JP"/>
        </w:rPr>
        <w:t>chickenpox.</w:t>
      </w:r>
      <w:r w:rsidR="000159A6">
        <w:rPr>
          <w:lang w:eastAsia="ja-JP"/>
        </w:rPr>
        <w:t xml:space="preserve"> </w:t>
      </w:r>
      <w:r>
        <w:t>Clinical</w:t>
      </w:r>
      <w:r w:rsidR="000159A6">
        <w:t xml:space="preserve"> </w:t>
      </w:r>
      <w:r>
        <w:t>resolution</w:t>
      </w:r>
      <w:r w:rsidR="000159A6">
        <w:t xml:space="preserve"> </w:t>
      </w:r>
      <w:r>
        <w:t>is</w:t>
      </w:r>
      <w:r w:rsidR="000159A6">
        <w:t xml:space="preserve"> </w:t>
      </w:r>
      <w:r>
        <w:t>followed</w:t>
      </w:r>
      <w:r w:rsidR="000159A6">
        <w:t xml:space="preserve"> </w:t>
      </w:r>
      <w:r>
        <w:t>by</w:t>
      </w:r>
      <w:r w:rsidR="000159A6">
        <w:t xml:space="preserve"> </w:t>
      </w:r>
      <w:r>
        <w:t>the</w:t>
      </w:r>
      <w:r w:rsidR="000159A6">
        <w:t xml:space="preserve"> </w:t>
      </w:r>
      <w:r>
        <w:t>establishment</w:t>
      </w:r>
      <w:r w:rsidR="000159A6">
        <w:t xml:space="preserve"> </w:t>
      </w:r>
      <w:r>
        <w:t>of</w:t>
      </w:r>
      <w:r w:rsidR="000159A6">
        <w:t xml:space="preserve"> </w:t>
      </w:r>
      <w:r>
        <w:t>latent</w:t>
      </w:r>
      <w:r w:rsidR="000159A6">
        <w:t xml:space="preserve"> </w:t>
      </w:r>
      <w:r>
        <w:t>infection</w:t>
      </w:r>
      <w:r w:rsidR="000159A6">
        <w:t xml:space="preserve"> </w:t>
      </w:r>
      <w:r>
        <w:t>within</w:t>
      </w:r>
      <w:r w:rsidR="000159A6">
        <w:t xml:space="preserve"> </w:t>
      </w:r>
      <w:r>
        <w:t>the</w:t>
      </w:r>
      <w:r w:rsidR="000159A6">
        <w:t xml:space="preserve"> </w:t>
      </w:r>
      <w:r>
        <w:t>sensory</w:t>
      </w:r>
      <w:r w:rsidR="000159A6">
        <w:t xml:space="preserve"> </w:t>
      </w:r>
      <w:r>
        <w:t>dorsal</w:t>
      </w:r>
      <w:r w:rsidR="000159A6">
        <w:t xml:space="preserve"> </w:t>
      </w:r>
      <w:r>
        <w:t>root</w:t>
      </w:r>
      <w:r w:rsidR="000159A6">
        <w:t xml:space="preserve"> </w:t>
      </w:r>
      <w:r>
        <w:t>ganglia.</w:t>
      </w:r>
      <w:r w:rsidR="000159A6">
        <w:t xml:space="preserve"> </w:t>
      </w:r>
      <w:r>
        <w:t>Reactivation</w:t>
      </w:r>
      <w:r w:rsidR="000159A6">
        <w:t xml:space="preserve"> </w:t>
      </w:r>
      <w:r>
        <w:t>of</w:t>
      </w:r>
      <w:r w:rsidR="000159A6">
        <w:t xml:space="preserve"> </w:t>
      </w:r>
      <w:r>
        <w:t>this</w:t>
      </w:r>
      <w:r w:rsidR="000159A6">
        <w:t xml:space="preserve"> </w:t>
      </w:r>
      <w:r>
        <w:t>neurotropic</w:t>
      </w:r>
      <w:r w:rsidR="000159A6">
        <w:t xml:space="preserve"> </w:t>
      </w:r>
      <w:r>
        <w:t>virus,</w:t>
      </w:r>
      <w:r w:rsidR="000159A6">
        <w:t xml:space="preserve"> </w:t>
      </w:r>
      <w:r>
        <w:t>believed</w:t>
      </w:r>
      <w:r w:rsidR="000159A6">
        <w:t xml:space="preserve"> </w:t>
      </w:r>
      <w:r>
        <w:t>to</w:t>
      </w:r>
      <w:r w:rsidR="000159A6">
        <w:t xml:space="preserve"> </w:t>
      </w:r>
      <w:r>
        <w:t>be</w:t>
      </w:r>
      <w:r w:rsidR="000159A6">
        <w:t xml:space="preserve"> </w:t>
      </w:r>
      <w:r>
        <w:t>due</w:t>
      </w:r>
      <w:r w:rsidR="000159A6">
        <w:t xml:space="preserve"> </w:t>
      </w:r>
      <w:r>
        <w:t>to</w:t>
      </w:r>
      <w:r w:rsidR="000159A6">
        <w:t xml:space="preserve"> </w:t>
      </w:r>
      <w:r>
        <w:t>a</w:t>
      </w:r>
      <w:r w:rsidR="000159A6">
        <w:t xml:space="preserve"> </w:t>
      </w:r>
      <w:r>
        <w:t>decline</w:t>
      </w:r>
      <w:r w:rsidR="000159A6">
        <w:t xml:space="preserve"> </w:t>
      </w:r>
      <w:r>
        <w:t>in</w:t>
      </w:r>
      <w:r w:rsidR="000159A6">
        <w:t xml:space="preserve"> </w:t>
      </w:r>
      <w:r>
        <w:t>cellular</w:t>
      </w:r>
      <w:r w:rsidR="000159A6">
        <w:t xml:space="preserve"> </w:t>
      </w:r>
      <w:r>
        <w:t>immunity,</w:t>
      </w:r>
      <w:r w:rsidR="000159A6">
        <w:t xml:space="preserve"> </w:t>
      </w:r>
      <w:r>
        <w:t>leads</w:t>
      </w:r>
      <w:r w:rsidR="000159A6">
        <w:t xml:space="preserve"> </w:t>
      </w:r>
      <w:r>
        <w:t>to</w:t>
      </w:r>
      <w:r w:rsidR="000159A6">
        <w:t xml:space="preserve"> </w:t>
      </w:r>
      <w:r>
        <w:t>herpes</w:t>
      </w:r>
      <w:r w:rsidR="000159A6">
        <w:t xml:space="preserve"> </w:t>
      </w:r>
      <w:r>
        <w:t>zoster</w:t>
      </w:r>
      <w:r w:rsidR="000159A6">
        <w:t xml:space="preserve"> </w:t>
      </w:r>
      <w:r>
        <w:t>(HZ),</w:t>
      </w:r>
      <w:r w:rsidR="000159A6">
        <w:t xml:space="preserve"> </w:t>
      </w:r>
      <w:r>
        <w:t>or</w:t>
      </w:r>
      <w:r w:rsidR="000159A6">
        <w:t xml:space="preserve"> </w:t>
      </w:r>
      <w:r>
        <w:t>shingles,</w:t>
      </w:r>
      <w:r w:rsidR="000159A6">
        <w:t xml:space="preserve"> </w:t>
      </w:r>
      <w:r>
        <w:t>a</w:t>
      </w:r>
      <w:r w:rsidR="000159A6">
        <w:t xml:space="preserve"> </w:t>
      </w:r>
      <w:r>
        <w:t>painful,</w:t>
      </w:r>
      <w:r w:rsidR="000159A6">
        <w:t xml:space="preserve"> </w:t>
      </w:r>
      <w:r>
        <w:t>unilateral</w:t>
      </w:r>
      <w:r w:rsidR="000159A6">
        <w:t xml:space="preserve"> </w:t>
      </w:r>
      <w:r>
        <w:t>vesicular</w:t>
      </w:r>
      <w:r w:rsidR="000159A6">
        <w:t xml:space="preserve"> </w:t>
      </w:r>
      <w:r>
        <w:t>eruption</w:t>
      </w:r>
      <w:r w:rsidR="000159A6">
        <w:t xml:space="preserve"> </w:t>
      </w:r>
      <w:r>
        <w:t>in</w:t>
      </w:r>
      <w:r w:rsidR="000159A6">
        <w:t xml:space="preserve"> </w:t>
      </w:r>
      <w:r>
        <w:t>a</w:t>
      </w:r>
      <w:r w:rsidR="000159A6">
        <w:t xml:space="preserve"> </w:t>
      </w:r>
      <w:r>
        <w:t>restricted</w:t>
      </w:r>
      <w:r w:rsidR="000159A6">
        <w:t xml:space="preserve"> </w:t>
      </w:r>
      <w:r>
        <w:t>dermatomal</w:t>
      </w:r>
      <w:r w:rsidR="000159A6">
        <w:t xml:space="preserve"> </w:t>
      </w:r>
      <w:r>
        <w:t>distribution.</w:t>
      </w:r>
      <w:r w:rsidR="000159A6">
        <w:t xml:space="preserve"> </w:t>
      </w:r>
      <w:r>
        <w:t>A</w:t>
      </w:r>
      <w:r w:rsidR="000159A6">
        <w:t xml:space="preserve"> </w:t>
      </w:r>
      <w:r>
        <w:t>prodromal</w:t>
      </w:r>
      <w:r w:rsidR="000159A6">
        <w:t xml:space="preserve"> </w:t>
      </w:r>
      <w:r>
        <w:t>phase</w:t>
      </w:r>
      <w:r w:rsidR="000159A6">
        <w:t xml:space="preserve"> </w:t>
      </w:r>
      <w:r>
        <w:t>may</w:t>
      </w:r>
      <w:r w:rsidR="000159A6">
        <w:t xml:space="preserve"> </w:t>
      </w:r>
      <w:r>
        <w:t>occur</w:t>
      </w:r>
      <w:r w:rsidR="000159A6">
        <w:t xml:space="preserve"> </w:t>
      </w:r>
      <w:r>
        <w:t>2</w:t>
      </w:r>
      <w:r w:rsidR="000159A6">
        <w:t xml:space="preserve"> </w:t>
      </w:r>
      <w:r>
        <w:t>to</w:t>
      </w:r>
      <w:r w:rsidR="000159A6">
        <w:t xml:space="preserve"> </w:t>
      </w:r>
      <w:r>
        <w:t>3</w:t>
      </w:r>
      <w:r w:rsidR="000159A6">
        <w:t xml:space="preserve"> </w:t>
      </w:r>
      <w:r>
        <w:t>days</w:t>
      </w:r>
      <w:r w:rsidR="000159A6">
        <w:t xml:space="preserve"> </w:t>
      </w:r>
      <w:r>
        <w:t>prior</w:t>
      </w:r>
      <w:r w:rsidR="000159A6">
        <w:t xml:space="preserve"> </w:t>
      </w:r>
      <w:r>
        <w:t>to</w:t>
      </w:r>
      <w:r w:rsidR="000159A6">
        <w:t xml:space="preserve"> </w:t>
      </w:r>
      <w:r>
        <w:t>the</w:t>
      </w:r>
      <w:r w:rsidR="000159A6">
        <w:t xml:space="preserve"> </w:t>
      </w:r>
      <w:r>
        <w:t>appearance</w:t>
      </w:r>
      <w:r w:rsidR="000159A6">
        <w:t xml:space="preserve"> </w:t>
      </w:r>
      <w:r>
        <w:t>of</w:t>
      </w:r>
      <w:r w:rsidR="000159A6">
        <w:t xml:space="preserve"> </w:t>
      </w:r>
      <w:r>
        <w:t>the</w:t>
      </w:r>
      <w:r w:rsidR="000159A6">
        <w:t xml:space="preserve"> </w:t>
      </w:r>
      <w:r>
        <w:t>rash.</w:t>
      </w:r>
      <w:r w:rsidR="000159A6">
        <w:t xml:space="preserve"> </w:t>
      </w:r>
      <w:r>
        <w:t>This</w:t>
      </w:r>
      <w:r w:rsidR="000159A6">
        <w:t xml:space="preserve"> </w:t>
      </w:r>
      <w:r>
        <w:t>may</w:t>
      </w:r>
      <w:r w:rsidR="000159A6">
        <w:t xml:space="preserve"> </w:t>
      </w:r>
      <w:r>
        <w:t>include</w:t>
      </w:r>
      <w:r w:rsidR="000159A6">
        <w:t xml:space="preserve"> </w:t>
      </w:r>
      <w:r>
        <w:t>headache,</w:t>
      </w:r>
      <w:r w:rsidR="000159A6">
        <w:t xml:space="preserve"> </w:t>
      </w:r>
      <w:r>
        <w:t>photophobia,</w:t>
      </w:r>
      <w:r w:rsidR="000159A6">
        <w:t xml:space="preserve"> </w:t>
      </w:r>
      <w:r>
        <w:t>malaise</w:t>
      </w:r>
      <w:r w:rsidR="000159A6">
        <w:t xml:space="preserve"> </w:t>
      </w:r>
      <w:r>
        <w:t>and</w:t>
      </w:r>
      <w:r w:rsidR="000159A6">
        <w:t xml:space="preserve"> </w:t>
      </w:r>
      <w:r>
        <w:t>itching,</w:t>
      </w:r>
      <w:r w:rsidR="000159A6">
        <w:t xml:space="preserve"> </w:t>
      </w:r>
      <w:r>
        <w:t>tingling</w:t>
      </w:r>
      <w:r w:rsidR="000159A6">
        <w:t xml:space="preserve"> </w:t>
      </w:r>
      <w:r>
        <w:t>or</w:t>
      </w:r>
      <w:r w:rsidR="000159A6">
        <w:t xml:space="preserve"> </w:t>
      </w:r>
      <w:r>
        <w:t>pain</w:t>
      </w:r>
      <w:r w:rsidR="000159A6">
        <w:t xml:space="preserve"> </w:t>
      </w:r>
      <w:r>
        <w:t>in</w:t>
      </w:r>
      <w:r w:rsidR="000159A6">
        <w:t xml:space="preserve"> </w:t>
      </w:r>
      <w:r>
        <w:t>the</w:t>
      </w:r>
      <w:r w:rsidR="000159A6">
        <w:t xml:space="preserve"> </w:t>
      </w:r>
      <w:r>
        <w:t>affected</w:t>
      </w:r>
      <w:r w:rsidR="000159A6">
        <w:t xml:space="preserve"> </w:t>
      </w:r>
      <w:r>
        <w:t>dermatome.</w:t>
      </w:r>
      <w:r w:rsidR="000159A6">
        <w:t xml:space="preserve"> </w:t>
      </w:r>
      <w:r>
        <w:t>The</w:t>
      </w:r>
      <w:r w:rsidR="000159A6">
        <w:t xml:space="preserve"> </w:t>
      </w:r>
      <w:r>
        <w:t>rash</w:t>
      </w:r>
      <w:r w:rsidR="000159A6">
        <w:t xml:space="preserve"> </w:t>
      </w:r>
      <w:r>
        <w:t>is</w:t>
      </w:r>
      <w:r w:rsidR="000159A6">
        <w:t xml:space="preserve"> </w:t>
      </w:r>
      <w:r>
        <w:t>typically</w:t>
      </w:r>
      <w:r w:rsidR="000159A6">
        <w:t xml:space="preserve"> </w:t>
      </w:r>
      <w:r>
        <w:t>self-limiting</w:t>
      </w:r>
      <w:r w:rsidR="000159A6">
        <w:t xml:space="preserve"> </w:t>
      </w:r>
      <w:r>
        <w:t>lasting</w:t>
      </w:r>
      <w:r w:rsidR="000159A6">
        <w:t xml:space="preserve"> </w:t>
      </w:r>
      <w:r>
        <w:t>10</w:t>
      </w:r>
      <w:r w:rsidR="000159A6">
        <w:t xml:space="preserve"> </w:t>
      </w:r>
      <w:r>
        <w:t>to</w:t>
      </w:r>
      <w:r w:rsidR="000159A6">
        <w:t xml:space="preserve"> </w:t>
      </w:r>
      <w:r>
        <w:t>15</w:t>
      </w:r>
      <w:r w:rsidR="000159A6">
        <w:t xml:space="preserve"> </w:t>
      </w:r>
      <w:r>
        <w:t>days.</w:t>
      </w:r>
    </w:p>
    <w:p w14:paraId="088B3854" w14:textId="15240819" w:rsidR="007553D3" w:rsidRDefault="007553D3" w:rsidP="00C5388D">
      <w:pPr>
        <w:rPr>
          <w:lang w:eastAsia="en-AU"/>
        </w:rPr>
      </w:pPr>
      <w:r w:rsidRPr="006023D0">
        <w:rPr>
          <w:lang w:eastAsia="en-AU"/>
        </w:rPr>
        <w:t>The</w:t>
      </w:r>
      <w:r w:rsidR="000159A6">
        <w:rPr>
          <w:lang w:eastAsia="en-AU"/>
        </w:rPr>
        <w:t xml:space="preserve"> </w:t>
      </w:r>
      <w:r w:rsidRPr="006023D0">
        <w:rPr>
          <w:lang w:eastAsia="en-AU"/>
        </w:rPr>
        <w:t>Australian</w:t>
      </w:r>
      <w:r w:rsidR="000159A6">
        <w:rPr>
          <w:lang w:eastAsia="en-AU"/>
        </w:rPr>
        <w:t xml:space="preserve"> </w:t>
      </w:r>
      <w:r w:rsidRPr="006023D0">
        <w:rPr>
          <w:lang w:eastAsia="en-AU"/>
        </w:rPr>
        <w:t>Immunisation</w:t>
      </w:r>
      <w:r w:rsidR="000159A6">
        <w:rPr>
          <w:lang w:eastAsia="en-AU"/>
        </w:rPr>
        <w:t xml:space="preserve"> </w:t>
      </w:r>
      <w:r w:rsidRPr="006023D0">
        <w:rPr>
          <w:lang w:eastAsia="en-AU"/>
        </w:rPr>
        <w:t>Handbook</w:t>
      </w:r>
      <w:r w:rsidR="000159A6">
        <w:rPr>
          <w:lang w:eastAsia="en-AU"/>
        </w:rPr>
        <w:t xml:space="preserve"> </w:t>
      </w:r>
      <w:r w:rsidRPr="006023D0">
        <w:rPr>
          <w:lang w:eastAsia="en-AU"/>
        </w:rPr>
        <w:t>states</w:t>
      </w:r>
      <w:r w:rsidR="000159A6">
        <w:rPr>
          <w:lang w:eastAsia="en-AU"/>
        </w:rPr>
        <w:t xml:space="preserve"> </w:t>
      </w:r>
      <w:r w:rsidRPr="006023D0">
        <w:rPr>
          <w:lang w:eastAsia="en-AU"/>
        </w:rPr>
        <w:t>that</w:t>
      </w:r>
      <w:r w:rsidR="000159A6">
        <w:rPr>
          <w:lang w:eastAsia="en-AU"/>
        </w:rPr>
        <w:t xml:space="preserve"> </w:t>
      </w:r>
      <w:r w:rsidRPr="006023D0">
        <w:rPr>
          <w:lang w:eastAsia="en-AU"/>
        </w:rPr>
        <w:t>a</w:t>
      </w:r>
      <w:r>
        <w:rPr>
          <w:lang w:eastAsia="en-AU"/>
        </w:rPr>
        <w:t>pproximately</w:t>
      </w:r>
      <w:r w:rsidR="000159A6">
        <w:rPr>
          <w:lang w:eastAsia="en-AU"/>
        </w:rPr>
        <w:t xml:space="preserve"> </w:t>
      </w:r>
      <w:r>
        <w:rPr>
          <w:lang w:eastAsia="en-AU"/>
        </w:rPr>
        <w:t>490</w:t>
      </w:r>
      <w:r w:rsidR="000159A6">
        <w:rPr>
          <w:lang w:eastAsia="en-AU"/>
        </w:rPr>
        <w:t xml:space="preserve"> </w:t>
      </w:r>
      <w:r>
        <w:rPr>
          <w:lang w:eastAsia="en-AU"/>
        </w:rPr>
        <w:t>cases</w:t>
      </w:r>
      <w:r w:rsidR="000159A6">
        <w:rPr>
          <w:lang w:eastAsia="en-AU"/>
        </w:rPr>
        <w:t xml:space="preserve"> </w:t>
      </w:r>
      <w:r>
        <w:rPr>
          <w:lang w:eastAsia="en-AU"/>
        </w:rPr>
        <w:t>per</w:t>
      </w:r>
      <w:r w:rsidR="000159A6">
        <w:rPr>
          <w:lang w:eastAsia="en-AU"/>
        </w:rPr>
        <w:t xml:space="preserve"> </w:t>
      </w:r>
      <w:r>
        <w:rPr>
          <w:lang w:eastAsia="en-AU"/>
        </w:rPr>
        <w:t>100,</w:t>
      </w:r>
      <w:r w:rsidRPr="00CF42B0">
        <w:rPr>
          <w:lang w:eastAsia="en-AU"/>
        </w:rPr>
        <w:t>000</w:t>
      </w:r>
      <w:r w:rsidR="000159A6">
        <w:rPr>
          <w:lang w:eastAsia="en-AU"/>
        </w:rPr>
        <w:t xml:space="preserve"> </w:t>
      </w:r>
      <w:r w:rsidRPr="00CF42B0">
        <w:rPr>
          <w:lang w:eastAsia="en-AU"/>
        </w:rPr>
        <w:t>population</w:t>
      </w:r>
      <w:r w:rsidR="000159A6">
        <w:rPr>
          <w:lang w:eastAsia="en-AU"/>
        </w:rPr>
        <w:t xml:space="preserve"> </w:t>
      </w:r>
      <w:r w:rsidRPr="006023D0">
        <w:rPr>
          <w:lang w:eastAsia="en-AU"/>
        </w:rPr>
        <w:t>of</w:t>
      </w:r>
      <w:r w:rsidR="000159A6">
        <w:rPr>
          <w:lang w:eastAsia="en-AU"/>
        </w:rPr>
        <w:t xml:space="preserve"> </w:t>
      </w:r>
      <w:r w:rsidRPr="006023D0">
        <w:rPr>
          <w:lang w:eastAsia="en-AU"/>
        </w:rPr>
        <w:t>HZ</w:t>
      </w:r>
      <w:r w:rsidR="000159A6">
        <w:rPr>
          <w:lang w:eastAsia="en-AU"/>
        </w:rPr>
        <w:t xml:space="preserve"> </w:t>
      </w:r>
      <w:r w:rsidRPr="006023D0">
        <w:rPr>
          <w:lang w:eastAsia="en-AU"/>
        </w:rPr>
        <w:t>are</w:t>
      </w:r>
      <w:r w:rsidR="000159A6">
        <w:rPr>
          <w:lang w:eastAsia="en-AU"/>
        </w:rPr>
        <w:t xml:space="preserve"> </w:t>
      </w:r>
      <w:r w:rsidRPr="006023D0">
        <w:rPr>
          <w:lang w:eastAsia="en-AU"/>
        </w:rPr>
        <w:t>reported</w:t>
      </w:r>
      <w:r w:rsidR="000159A6">
        <w:rPr>
          <w:lang w:eastAsia="en-AU"/>
        </w:rPr>
        <w:t xml:space="preserve"> </w:t>
      </w:r>
      <w:r w:rsidRPr="006023D0">
        <w:rPr>
          <w:lang w:eastAsia="en-AU"/>
        </w:rPr>
        <w:t>annually</w:t>
      </w:r>
      <w:r w:rsidR="000159A6">
        <w:rPr>
          <w:lang w:eastAsia="en-AU"/>
        </w:rPr>
        <w:t xml:space="preserve"> </w:t>
      </w:r>
      <w:r w:rsidRPr="006023D0">
        <w:rPr>
          <w:lang w:eastAsia="en-AU"/>
        </w:rPr>
        <w:t>in</w:t>
      </w:r>
      <w:r w:rsidR="000159A6">
        <w:rPr>
          <w:lang w:eastAsia="en-AU"/>
        </w:rPr>
        <w:t xml:space="preserve"> </w:t>
      </w:r>
      <w:r w:rsidRPr="006023D0">
        <w:rPr>
          <w:lang w:eastAsia="en-AU"/>
        </w:rPr>
        <w:t>Australia</w:t>
      </w:r>
      <w:r w:rsidR="000159A6">
        <w:rPr>
          <w:lang w:eastAsia="en-AU"/>
        </w:rPr>
        <w:t xml:space="preserve"> </w:t>
      </w:r>
      <w:r w:rsidRPr="006023D0">
        <w:rPr>
          <w:lang w:eastAsia="en-AU"/>
        </w:rPr>
        <w:t>for</w:t>
      </w:r>
      <w:r w:rsidR="000159A6">
        <w:rPr>
          <w:lang w:eastAsia="en-AU"/>
        </w:rPr>
        <w:t xml:space="preserve"> </w:t>
      </w:r>
      <w:r w:rsidRPr="006023D0">
        <w:rPr>
          <w:lang w:eastAsia="en-AU"/>
        </w:rPr>
        <w:t>a</w:t>
      </w:r>
      <w:r w:rsidR="009C0E5D">
        <w:rPr>
          <w:lang w:eastAsia="en-AU"/>
        </w:rPr>
        <w:t>ll</w:t>
      </w:r>
      <w:r w:rsidR="000159A6">
        <w:rPr>
          <w:lang w:eastAsia="en-AU"/>
        </w:rPr>
        <w:t xml:space="preserve"> </w:t>
      </w:r>
      <w:r w:rsidR="009C0E5D">
        <w:rPr>
          <w:lang w:eastAsia="en-AU"/>
        </w:rPr>
        <w:t>ages,</w:t>
      </w:r>
      <w:r w:rsidR="000159A6">
        <w:rPr>
          <w:lang w:eastAsia="en-AU"/>
        </w:rPr>
        <w:t xml:space="preserve"> </w:t>
      </w:r>
      <w:r w:rsidR="009C0E5D">
        <w:rPr>
          <w:lang w:eastAsia="en-AU"/>
        </w:rPr>
        <w:t>while</w:t>
      </w:r>
      <w:r w:rsidR="000159A6">
        <w:rPr>
          <w:lang w:eastAsia="en-AU"/>
        </w:rPr>
        <w:t xml:space="preserve"> </w:t>
      </w:r>
      <w:r w:rsidR="009C0E5D">
        <w:rPr>
          <w:lang w:eastAsia="en-AU"/>
        </w:rPr>
        <w:t>in</w:t>
      </w:r>
      <w:r w:rsidR="000159A6">
        <w:rPr>
          <w:lang w:eastAsia="en-AU"/>
        </w:rPr>
        <w:t xml:space="preserve"> </w:t>
      </w:r>
      <w:r w:rsidR="009C0E5D">
        <w:rPr>
          <w:lang w:eastAsia="en-AU"/>
        </w:rPr>
        <w:t>those</w:t>
      </w:r>
      <w:r w:rsidR="000159A6">
        <w:rPr>
          <w:lang w:eastAsia="en-AU"/>
        </w:rPr>
        <w:t xml:space="preserve"> </w:t>
      </w:r>
      <w:r w:rsidR="009C0E5D">
        <w:rPr>
          <w:lang w:eastAsia="en-AU"/>
        </w:rPr>
        <w:t>aged</w:t>
      </w:r>
      <w:r w:rsidR="000159A6">
        <w:rPr>
          <w:lang w:eastAsia="en-AU"/>
        </w:rPr>
        <w:t xml:space="preserve"> </w:t>
      </w:r>
      <w:r w:rsidR="009C0E5D">
        <w:rPr>
          <w:lang w:eastAsia="en-AU"/>
        </w:rPr>
        <w:t>50</w:t>
      </w:r>
      <w:r w:rsidR="000159A6">
        <w:rPr>
          <w:lang w:eastAsia="en-AU"/>
        </w:rPr>
        <w:t xml:space="preserve"> </w:t>
      </w:r>
      <w:r w:rsidRPr="006023D0">
        <w:rPr>
          <w:lang w:eastAsia="en-AU"/>
        </w:rPr>
        <w:t>years</w:t>
      </w:r>
      <w:r w:rsidR="000159A6">
        <w:rPr>
          <w:lang w:eastAsia="en-AU"/>
        </w:rPr>
        <w:t xml:space="preserve"> </w:t>
      </w:r>
      <w:r w:rsidRPr="006023D0">
        <w:rPr>
          <w:lang w:eastAsia="en-AU"/>
        </w:rPr>
        <w:t>and</w:t>
      </w:r>
      <w:r w:rsidR="000159A6">
        <w:rPr>
          <w:lang w:eastAsia="en-AU"/>
        </w:rPr>
        <w:t xml:space="preserve"> </w:t>
      </w:r>
      <w:r w:rsidRPr="006023D0">
        <w:rPr>
          <w:lang w:eastAsia="en-AU"/>
        </w:rPr>
        <w:t>over</w:t>
      </w:r>
      <w:r w:rsidR="000159A6">
        <w:rPr>
          <w:lang w:eastAsia="en-AU"/>
        </w:rPr>
        <w:t xml:space="preserve"> </w:t>
      </w:r>
      <w:r w:rsidRPr="006023D0">
        <w:rPr>
          <w:lang w:eastAsia="en-AU"/>
        </w:rPr>
        <w:t>the</w:t>
      </w:r>
      <w:r w:rsidR="000159A6">
        <w:rPr>
          <w:lang w:eastAsia="en-AU"/>
        </w:rPr>
        <w:t xml:space="preserve"> </w:t>
      </w:r>
      <w:r w:rsidRPr="006023D0">
        <w:rPr>
          <w:lang w:eastAsia="en-AU"/>
        </w:rPr>
        <w:t>rate</w:t>
      </w:r>
      <w:r w:rsidR="000159A6">
        <w:rPr>
          <w:lang w:eastAsia="en-AU"/>
        </w:rPr>
        <w:t xml:space="preserve"> </w:t>
      </w:r>
      <w:proofErr w:type="gramStart"/>
      <w:r w:rsidRPr="006023D0">
        <w:rPr>
          <w:lang w:eastAsia="en-AU"/>
        </w:rPr>
        <w:t>is</w:t>
      </w:r>
      <w:proofErr w:type="gramEnd"/>
      <w:r w:rsidR="000159A6">
        <w:rPr>
          <w:lang w:eastAsia="en-AU"/>
        </w:rPr>
        <w:t xml:space="preserve"> </w:t>
      </w:r>
      <w:r w:rsidRPr="00CF42B0">
        <w:rPr>
          <w:lang w:eastAsia="en-AU"/>
        </w:rPr>
        <w:t>a</w:t>
      </w:r>
      <w:r>
        <w:rPr>
          <w:lang w:eastAsia="en-AU"/>
        </w:rPr>
        <w:t>pproximately</w:t>
      </w:r>
      <w:r w:rsidR="000159A6">
        <w:rPr>
          <w:lang w:eastAsia="en-AU"/>
        </w:rPr>
        <w:t xml:space="preserve"> </w:t>
      </w:r>
      <w:r>
        <w:rPr>
          <w:lang w:eastAsia="en-AU"/>
        </w:rPr>
        <w:t>1000</w:t>
      </w:r>
      <w:r w:rsidR="000159A6">
        <w:rPr>
          <w:lang w:eastAsia="en-AU"/>
        </w:rPr>
        <w:t xml:space="preserve"> </w:t>
      </w:r>
      <w:r>
        <w:rPr>
          <w:lang w:eastAsia="en-AU"/>
        </w:rPr>
        <w:t>cases</w:t>
      </w:r>
      <w:r w:rsidR="000159A6">
        <w:rPr>
          <w:lang w:eastAsia="en-AU"/>
        </w:rPr>
        <w:t xml:space="preserve"> </w:t>
      </w:r>
      <w:r>
        <w:rPr>
          <w:lang w:eastAsia="en-AU"/>
        </w:rPr>
        <w:t>per</w:t>
      </w:r>
      <w:r w:rsidR="000159A6">
        <w:rPr>
          <w:lang w:eastAsia="en-AU"/>
        </w:rPr>
        <w:t xml:space="preserve"> </w:t>
      </w:r>
      <w:r>
        <w:rPr>
          <w:lang w:eastAsia="en-AU"/>
        </w:rPr>
        <w:t>100,</w:t>
      </w:r>
      <w:r w:rsidRPr="00CF42B0">
        <w:rPr>
          <w:lang w:eastAsia="en-AU"/>
        </w:rPr>
        <w:t>000</w:t>
      </w:r>
      <w:r w:rsidR="000159A6">
        <w:rPr>
          <w:lang w:eastAsia="en-AU"/>
        </w:rPr>
        <w:t xml:space="preserve"> </w:t>
      </w:r>
      <w:r w:rsidRPr="00CF42B0">
        <w:rPr>
          <w:lang w:eastAsia="en-AU"/>
        </w:rPr>
        <w:t>population</w:t>
      </w:r>
      <w:r>
        <w:rPr>
          <w:lang w:eastAsia="en-AU"/>
        </w:rPr>
        <w:t>.</w:t>
      </w:r>
      <w:r w:rsidR="000159A6">
        <w:rPr>
          <w:lang w:eastAsia="en-AU"/>
        </w:rPr>
        <w:t xml:space="preserve"> </w:t>
      </w:r>
      <w:r w:rsidRPr="006023D0">
        <w:rPr>
          <w:lang w:eastAsia="en-AU"/>
        </w:rPr>
        <w:t>The</w:t>
      </w:r>
      <w:r w:rsidR="000159A6">
        <w:rPr>
          <w:lang w:eastAsia="en-AU"/>
        </w:rPr>
        <w:t xml:space="preserve"> </w:t>
      </w:r>
      <w:r w:rsidRPr="006023D0">
        <w:rPr>
          <w:lang w:eastAsia="en-AU"/>
        </w:rPr>
        <w:t>incidence</w:t>
      </w:r>
      <w:r w:rsidR="000159A6">
        <w:rPr>
          <w:lang w:eastAsia="en-AU"/>
        </w:rPr>
        <w:t xml:space="preserve"> </w:t>
      </w:r>
      <w:r w:rsidRPr="006023D0">
        <w:rPr>
          <w:lang w:eastAsia="en-AU"/>
        </w:rPr>
        <w:t>rises</w:t>
      </w:r>
      <w:r w:rsidR="000159A6">
        <w:rPr>
          <w:lang w:eastAsia="en-AU"/>
        </w:rPr>
        <w:t xml:space="preserve"> </w:t>
      </w:r>
      <w:r w:rsidRPr="006023D0">
        <w:rPr>
          <w:lang w:eastAsia="en-AU"/>
        </w:rPr>
        <w:t>with</w:t>
      </w:r>
      <w:r w:rsidR="000159A6">
        <w:rPr>
          <w:lang w:eastAsia="en-AU"/>
        </w:rPr>
        <w:t xml:space="preserve"> </w:t>
      </w:r>
      <w:r w:rsidRPr="006023D0">
        <w:rPr>
          <w:lang w:eastAsia="en-AU"/>
        </w:rPr>
        <w:t>age</w:t>
      </w:r>
      <w:r w:rsidR="000159A6">
        <w:rPr>
          <w:lang w:eastAsia="en-AU"/>
        </w:rPr>
        <w:t xml:space="preserve"> </w:t>
      </w:r>
      <w:r w:rsidRPr="006023D0">
        <w:rPr>
          <w:lang w:eastAsia="en-AU"/>
        </w:rPr>
        <w:t>from</w:t>
      </w:r>
      <w:r w:rsidR="000159A6">
        <w:rPr>
          <w:lang w:eastAsia="en-AU"/>
        </w:rPr>
        <w:t xml:space="preserve"> </w:t>
      </w:r>
      <w:r w:rsidRPr="006023D0">
        <w:rPr>
          <w:lang w:eastAsia="en-AU"/>
        </w:rPr>
        <w:t>a</w:t>
      </w:r>
      <w:r w:rsidRPr="00CF42B0">
        <w:rPr>
          <w:lang w:eastAsia="en-AU"/>
        </w:rPr>
        <w:t>n</w:t>
      </w:r>
      <w:r w:rsidR="000159A6">
        <w:rPr>
          <w:lang w:eastAsia="en-AU"/>
        </w:rPr>
        <w:t xml:space="preserve"> </w:t>
      </w:r>
      <w:r w:rsidRPr="00CF42B0">
        <w:rPr>
          <w:lang w:eastAsia="en-AU"/>
        </w:rPr>
        <w:t>estimated</w:t>
      </w:r>
      <w:r w:rsidR="000159A6">
        <w:rPr>
          <w:lang w:eastAsia="en-AU"/>
        </w:rPr>
        <w:t xml:space="preserve"> </w:t>
      </w:r>
      <w:r w:rsidRPr="00CF42B0">
        <w:rPr>
          <w:lang w:eastAsia="en-AU"/>
        </w:rPr>
        <w:t>rate</w:t>
      </w:r>
      <w:r w:rsidR="000159A6">
        <w:rPr>
          <w:lang w:eastAsia="en-AU"/>
        </w:rPr>
        <w:t xml:space="preserve"> </w:t>
      </w:r>
      <w:r w:rsidRPr="00CF42B0">
        <w:rPr>
          <w:lang w:eastAsia="en-AU"/>
        </w:rPr>
        <w:t>of</w:t>
      </w:r>
      <w:r w:rsidR="000159A6">
        <w:rPr>
          <w:lang w:eastAsia="en-AU"/>
        </w:rPr>
        <w:t xml:space="preserve"> </w:t>
      </w:r>
      <w:r w:rsidRPr="00CF42B0">
        <w:rPr>
          <w:lang w:eastAsia="en-AU"/>
        </w:rPr>
        <w:t>652</w:t>
      </w:r>
      <w:r w:rsidR="000159A6">
        <w:rPr>
          <w:lang w:eastAsia="en-AU"/>
        </w:rPr>
        <w:t xml:space="preserve"> </w:t>
      </w:r>
      <w:r w:rsidRPr="00CF42B0">
        <w:rPr>
          <w:lang w:eastAsia="en-AU"/>
        </w:rPr>
        <w:t>per</w:t>
      </w:r>
      <w:r w:rsidR="000159A6">
        <w:rPr>
          <w:lang w:eastAsia="en-AU"/>
        </w:rPr>
        <w:t xml:space="preserve"> </w:t>
      </w:r>
      <w:r>
        <w:rPr>
          <w:lang w:eastAsia="en-AU"/>
        </w:rPr>
        <w:t>100,000</w:t>
      </w:r>
      <w:r w:rsidR="000159A6">
        <w:rPr>
          <w:lang w:eastAsia="en-AU"/>
        </w:rPr>
        <w:t xml:space="preserve"> </w:t>
      </w:r>
      <w:r w:rsidRPr="00CF42B0">
        <w:rPr>
          <w:lang w:eastAsia="en-AU"/>
        </w:rPr>
        <w:t>person</w:t>
      </w:r>
      <w:r w:rsidR="000159A6">
        <w:rPr>
          <w:lang w:eastAsia="en-AU"/>
        </w:rPr>
        <w:t xml:space="preserve"> </w:t>
      </w:r>
      <w:r w:rsidRPr="00CF42B0">
        <w:rPr>
          <w:lang w:eastAsia="en-AU"/>
        </w:rPr>
        <w:t>years</w:t>
      </w:r>
      <w:r w:rsidR="000159A6">
        <w:rPr>
          <w:lang w:eastAsia="en-AU"/>
        </w:rPr>
        <w:t xml:space="preserve"> </w:t>
      </w:r>
      <w:r w:rsidRPr="00CF42B0">
        <w:rPr>
          <w:lang w:eastAsia="en-AU"/>
        </w:rPr>
        <w:t>in</w:t>
      </w:r>
      <w:r w:rsidR="000159A6">
        <w:rPr>
          <w:lang w:eastAsia="en-AU"/>
        </w:rPr>
        <w:t xml:space="preserve"> </w:t>
      </w:r>
      <w:r w:rsidRPr="00CF42B0">
        <w:rPr>
          <w:lang w:eastAsia="en-AU"/>
        </w:rPr>
        <w:t>persons</w:t>
      </w:r>
      <w:r w:rsidR="000159A6">
        <w:rPr>
          <w:lang w:eastAsia="en-AU"/>
        </w:rPr>
        <w:t xml:space="preserve"> </w:t>
      </w:r>
      <w:r w:rsidRPr="00CF42B0">
        <w:rPr>
          <w:lang w:eastAsia="en-AU"/>
        </w:rPr>
        <w:t>aged</w:t>
      </w:r>
      <w:r w:rsidR="000159A6">
        <w:rPr>
          <w:lang w:eastAsia="en-AU"/>
        </w:rPr>
        <w:t xml:space="preserve"> </w:t>
      </w:r>
      <w:r>
        <w:rPr>
          <w:lang w:eastAsia="en-AU"/>
        </w:rPr>
        <w:t>50</w:t>
      </w:r>
      <w:r w:rsidR="000159A6">
        <w:rPr>
          <w:lang w:eastAsia="en-AU"/>
        </w:rPr>
        <w:t xml:space="preserve"> </w:t>
      </w:r>
      <w:r>
        <w:rPr>
          <w:lang w:eastAsia="en-AU"/>
        </w:rPr>
        <w:t>to</w:t>
      </w:r>
      <w:r w:rsidR="000159A6">
        <w:rPr>
          <w:lang w:eastAsia="en-AU"/>
        </w:rPr>
        <w:t xml:space="preserve"> </w:t>
      </w:r>
      <w:r>
        <w:rPr>
          <w:lang w:eastAsia="en-AU"/>
        </w:rPr>
        <w:t>59</w:t>
      </w:r>
      <w:r w:rsidR="000159A6">
        <w:rPr>
          <w:lang w:eastAsia="en-AU"/>
        </w:rPr>
        <w:t xml:space="preserve"> </w:t>
      </w:r>
      <w:r w:rsidRPr="00CF42B0">
        <w:rPr>
          <w:lang w:eastAsia="en-AU"/>
        </w:rPr>
        <w:t>years</w:t>
      </w:r>
      <w:r w:rsidR="000159A6">
        <w:rPr>
          <w:lang w:eastAsia="en-AU"/>
        </w:rPr>
        <w:t xml:space="preserve"> </w:t>
      </w:r>
      <w:r w:rsidRPr="00CF42B0">
        <w:rPr>
          <w:lang w:eastAsia="en-AU"/>
        </w:rPr>
        <w:t>to</w:t>
      </w:r>
      <w:r w:rsidR="000159A6">
        <w:rPr>
          <w:lang w:eastAsia="en-AU"/>
        </w:rPr>
        <w:t xml:space="preserve"> </w:t>
      </w:r>
      <w:r w:rsidRPr="00CF42B0">
        <w:rPr>
          <w:lang w:eastAsia="en-AU"/>
        </w:rPr>
        <w:t>1</w:t>
      </w:r>
      <w:r>
        <w:rPr>
          <w:lang w:eastAsia="en-AU"/>
        </w:rPr>
        <w:t>,</w:t>
      </w:r>
      <w:r w:rsidRPr="00CF42B0">
        <w:rPr>
          <w:lang w:eastAsia="en-AU"/>
        </w:rPr>
        <w:t>450</w:t>
      </w:r>
      <w:r w:rsidR="000159A6">
        <w:rPr>
          <w:lang w:eastAsia="en-AU"/>
        </w:rPr>
        <w:t xml:space="preserve"> </w:t>
      </w:r>
      <w:r w:rsidRPr="00CF42B0">
        <w:rPr>
          <w:lang w:eastAsia="en-AU"/>
        </w:rPr>
        <w:t>per</w:t>
      </w:r>
      <w:r w:rsidR="000159A6">
        <w:rPr>
          <w:lang w:eastAsia="en-AU"/>
        </w:rPr>
        <w:t xml:space="preserve"> </w:t>
      </w:r>
      <w:r>
        <w:rPr>
          <w:lang w:eastAsia="en-AU"/>
        </w:rPr>
        <w:t>100,000</w:t>
      </w:r>
      <w:r w:rsidR="000159A6">
        <w:rPr>
          <w:lang w:eastAsia="en-AU"/>
        </w:rPr>
        <w:t xml:space="preserve"> </w:t>
      </w:r>
      <w:r w:rsidRPr="00CF42B0">
        <w:rPr>
          <w:lang w:eastAsia="en-AU"/>
        </w:rPr>
        <w:t>person</w:t>
      </w:r>
      <w:r w:rsidR="000159A6">
        <w:rPr>
          <w:lang w:eastAsia="en-AU"/>
        </w:rPr>
        <w:t xml:space="preserve"> </w:t>
      </w:r>
      <w:r w:rsidRPr="00CF42B0">
        <w:rPr>
          <w:lang w:eastAsia="en-AU"/>
        </w:rPr>
        <w:t>ye</w:t>
      </w:r>
      <w:r>
        <w:rPr>
          <w:lang w:eastAsia="en-AU"/>
        </w:rPr>
        <w:t>ars</w:t>
      </w:r>
      <w:r w:rsidR="000159A6">
        <w:rPr>
          <w:lang w:eastAsia="en-AU"/>
        </w:rPr>
        <w:t xml:space="preserve"> </w:t>
      </w:r>
      <w:r>
        <w:rPr>
          <w:lang w:eastAsia="en-AU"/>
        </w:rPr>
        <w:t>in</w:t>
      </w:r>
      <w:r w:rsidR="000159A6">
        <w:rPr>
          <w:lang w:eastAsia="en-AU"/>
        </w:rPr>
        <w:t xml:space="preserve"> </w:t>
      </w:r>
      <w:r>
        <w:rPr>
          <w:lang w:eastAsia="en-AU"/>
        </w:rPr>
        <w:t>persons</w:t>
      </w:r>
      <w:r w:rsidR="000159A6">
        <w:rPr>
          <w:lang w:eastAsia="en-AU"/>
        </w:rPr>
        <w:t xml:space="preserve"> </w:t>
      </w:r>
      <w:r>
        <w:rPr>
          <w:lang w:eastAsia="en-AU"/>
        </w:rPr>
        <w:t>aged</w:t>
      </w:r>
      <w:r w:rsidR="000159A6">
        <w:rPr>
          <w:lang w:eastAsia="en-AU"/>
        </w:rPr>
        <w:t xml:space="preserve"> </w:t>
      </w:r>
      <w:r>
        <w:rPr>
          <w:lang w:eastAsia="en-AU"/>
        </w:rPr>
        <w:t>70</w:t>
      </w:r>
      <w:r w:rsidR="000159A6">
        <w:rPr>
          <w:lang w:eastAsia="en-AU"/>
        </w:rPr>
        <w:t xml:space="preserve"> </w:t>
      </w:r>
      <w:r>
        <w:rPr>
          <w:lang w:eastAsia="en-AU"/>
        </w:rPr>
        <w:t>to</w:t>
      </w:r>
      <w:r w:rsidR="000159A6">
        <w:rPr>
          <w:lang w:eastAsia="en-AU"/>
        </w:rPr>
        <w:t xml:space="preserve"> </w:t>
      </w:r>
      <w:r w:rsidRPr="006023D0">
        <w:rPr>
          <w:lang w:eastAsia="en-AU"/>
        </w:rPr>
        <w:t>79</w:t>
      </w:r>
      <w:r w:rsidR="000159A6">
        <w:rPr>
          <w:lang w:eastAsia="en-AU"/>
        </w:rPr>
        <w:t xml:space="preserve"> </w:t>
      </w:r>
      <w:r w:rsidRPr="006023D0">
        <w:rPr>
          <w:lang w:eastAsia="en-AU"/>
        </w:rPr>
        <w:t>years</w:t>
      </w:r>
      <w:r w:rsidR="000159A6">
        <w:rPr>
          <w:lang w:eastAsia="en-AU"/>
        </w:rPr>
        <w:t xml:space="preserve"> </w:t>
      </w:r>
      <w:r w:rsidRPr="009C0E5D">
        <w:rPr>
          <w:lang w:eastAsia="en-AU"/>
        </w:rPr>
        <w:t>(ATAGI</w:t>
      </w:r>
      <w:r w:rsidR="000159A6">
        <w:rPr>
          <w:lang w:eastAsia="en-AU"/>
        </w:rPr>
        <w:t xml:space="preserve"> </w:t>
      </w:r>
      <w:r w:rsidRPr="009C0E5D">
        <w:rPr>
          <w:lang w:eastAsia="en-AU"/>
        </w:rPr>
        <w:t>2017)</w:t>
      </w:r>
      <w:bookmarkStart w:id="78" w:name="_Ref523925361"/>
      <w:r w:rsidR="005969F1">
        <w:rPr>
          <w:lang w:eastAsia="en-AU"/>
        </w:rPr>
        <w:t>.</w:t>
      </w:r>
      <w:r w:rsidR="009C0E5D" w:rsidRPr="009C0E5D">
        <w:rPr>
          <w:rStyle w:val="FootnoteReference"/>
          <w:rFonts w:eastAsia="Times New Roman"/>
          <w:color w:val="222222"/>
          <w:lang w:eastAsia="en-AU"/>
        </w:rPr>
        <w:footnoteReference w:id="7"/>
      </w:r>
      <w:bookmarkEnd w:id="78"/>
      <w:r w:rsidR="000159A6">
        <w:rPr>
          <w:lang w:eastAsia="en-AU"/>
        </w:rPr>
        <w:t xml:space="preserve"> </w:t>
      </w:r>
      <w:r>
        <w:rPr>
          <w:lang w:eastAsia="en-AU"/>
        </w:rPr>
        <w:t>Using</w:t>
      </w:r>
      <w:r w:rsidR="000159A6">
        <w:rPr>
          <w:lang w:eastAsia="en-AU"/>
        </w:rPr>
        <w:t xml:space="preserve"> </w:t>
      </w:r>
      <w:r>
        <w:rPr>
          <w:lang w:eastAsia="en-AU"/>
        </w:rPr>
        <w:t>general</w:t>
      </w:r>
      <w:r w:rsidR="000159A6">
        <w:rPr>
          <w:lang w:eastAsia="en-AU"/>
        </w:rPr>
        <w:t xml:space="preserve"> </w:t>
      </w:r>
      <w:r>
        <w:rPr>
          <w:lang w:eastAsia="en-AU"/>
        </w:rPr>
        <w:t>practice</w:t>
      </w:r>
      <w:r w:rsidR="000159A6">
        <w:rPr>
          <w:lang w:eastAsia="en-AU"/>
        </w:rPr>
        <w:t xml:space="preserve"> </w:t>
      </w:r>
      <w:r>
        <w:rPr>
          <w:lang w:eastAsia="en-AU"/>
        </w:rPr>
        <w:t>data,</w:t>
      </w:r>
      <w:r w:rsidR="000159A6">
        <w:rPr>
          <w:lang w:eastAsia="en-AU"/>
        </w:rPr>
        <w:t xml:space="preserve"> </w:t>
      </w:r>
      <w:r>
        <w:rPr>
          <w:lang w:eastAsia="en-AU"/>
        </w:rPr>
        <w:t>the</w:t>
      </w:r>
      <w:r w:rsidR="000159A6">
        <w:rPr>
          <w:lang w:eastAsia="en-AU"/>
        </w:rPr>
        <w:t xml:space="preserve"> </w:t>
      </w:r>
      <w:r>
        <w:rPr>
          <w:lang w:eastAsia="en-AU"/>
        </w:rPr>
        <w:t>annual</w:t>
      </w:r>
      <w:r w:rsidR="000159A6">
        <w:rPr>
          <w:lang w:eastAsia="en-AU"/>
        </w:rPr>
        <w:t xml:space="preserve"> </w:t>
      </w:r>
      <w:r>
        <w:rPr>
          <w:lang w:eastAsia="en-AU"/>
        </w:rPr>
        <w:t>incidence</w:t>
      </w:r>
      <w:r w:rsidR="000159A6">
        <w:rPr>
          <w:lang w:eastAsia="en-AU"/>
        </w:rPr>
        <w:t xml:space="preserve"> </w:t>
      </w:r>
      <w:r>
        <w:rPr>
          <w:lang w:eastAsia="en-AU"/>
        </w:rPr>
        <w:t>of</w:t>
      </w:r>
      <w:r w:rsidR="000159A6">
        <w:rPr>
          <w:lang w:eastAsia="en-AU"/>
        </w:rPr>
        <w:t xml:space="preserve"> </w:t>
      </w:r>
      <w:r>
        <w:rPr>
          <w:lang w:eastAsia="en-AU"/>
        </w:rPr>
        <w:t>HZ</w:t>
      </w:r>
      <w:r w:rsidR="000159A6">
        <w:rPr>
          <w:lang w:eastAsia="en-AU"/>
        </w:rPr>
        <w:t xml:space="preserve"> </w:t>
      </w:r>
      <w:r>
        <w:rPr>
          <w:lang w:eastAsia="en-AU"/>
        </w:rPr>
        <w:t>in</w:t>
      </w:r>
      <w:r w:rsidR="000159A6">
        <w:rPr>
          <w:lang w:eastAsia="en-AU"/>
        </w:rPr>
        <w:t xml:space="preserve"> </w:t>
      </w:r>
      <w:r>
        <w:rPr>
          <w:lang w:eastAsia="en-AU"/>
        </w:rPr>
        <w:t>the</w:t>
      </w:r>
      <w:r w:rsidR="000159A6">
        <w:rPr>
          <w:lang w:eastAsia="en-AU"/>
        </w:rPr>
        <w:t xml:space="preserve"> </w:t>
      </w:r>
      <w:r>
        <w:rPr>
          <w:lang w:eastAsia="en-AU"/>
        </w:rPr>
        <w:t>60</w:t>
      </w:r>
      <w:r w:rsidR="000E6841">
        <w:t>+</w:t>
      </w:r>
      <w:r w:rsidR="00CD5352">
        <w:rPr>
          <w:lang w:eastAsia="en-AU"/>
        </w:rPr>
        <w:t> </w:t>
      </w:r>
      <w:r>
        <w:rPr>
          <w:lang w:eastAsia="en-AU"/>
        </w:rPr>
        <w:t>age</w:t>
      </w:r>
      <w:r w:rsidR="000159A6">
        <w:rPr>
          <w:lang w:eastAsia="en-AU"/>
        </w:rPr>
        <w:t xml:space="preserve"> </w:t>
      </w:r>
      <w:r>
        <w:rPr>
          <w:lang w:eastAsia="en-AU"/>
        </w:rPr>
        <w:t>group</w:t>
      </w:r>
      <w:r w:rsidR="000159A6">
        <w:rPr>
          <w:lang w:eastAsia="en-AU"/>
        </w:rPr>
        <w:t xml:space="preserve"> </w:t>
      </w:r>
      <w:r>
        <w:rPr>
          <w:lang w:eastAsia="en-AU"/>
        </w:rPr>
        <w:t>was</w:t>
      </w:r>
      <w:r w:rsidR="000159A6">
        <w:rPr>
          <w:lang w:eastAsia="en-AU"/>
        </w:rPr>
        <w:t xml:space="preserve"> </w:t>
      </w:r>
      <w:r>
        <w:rPr>
          <w:lang w:eastAsia="en-AU"/>
        </w:rPr>
        <w:t>estimated</w:t>
      </w:r>
      <w:r w:rsidR="000159A6">
        <w:rPr>
          <w:lang w:eastAsia="en-AU"/>
        </w:rPr>
        <w:t xml:space="preserve"> </w:t>
      </w:r>
      <w:r>
        <w:rPr>
          <w:lang w:eastAsia="en-AU"/>
        </w:rPr>
        <w:t>at</w:t>
      </w:r>
      <w:r w:rsidR="000159A6">
        <w:rPr>
          <w:lang w:eastAsia="en-AU"/>
        </w:rPr>
        <w:t xml:space="preserve"> </w:t>
      </w:r>
      <w:r>
        <w:rPr>
          <w:lang w:eastAsia="en-AU"/>
        </w:rPr>
        <w:t>15.4</w:t>
      </w:r>
      <w:r w:rsidR="000159A6">
        <w:rPr>
          <w:lang w:eastAsia="en-AU"/>
        </w:rPr>
        <w:t xml:space="preserve"> </w:t>
      </w:r>
      <w:r>
        <w:rPr>
          <w:lang w:eastAsia="en-AU"/>
        </w:rPr>
        <w:t>per</w:t>
      </w:r>
      <w:r w:rsidR="000159A6">
        <w:rPr>
          <w:lang w:eastAsia="en-AU"/>
        </w:rPr>
        <w:t xml:space="preserve"> </w:t>
      </w:r>
      <w:r>
        <w:rPr>
          <w:lang w:eastAsia="en-AU"/>
        </w:rPr>
        <w:t>1,000</w:t>
      </w:r>
      <w:r w:rsidR="000159A6">
        <w:rPr>
          <w:lang w:eastAsia="en-AU"/>
        </w:rPr>
        <w:t xml:space="preserve"> </w:t>
      </w:r>
      <w:r>
        <w:rPr>
          <w:lang w:eastAsia="en-AU"/>
        </w:rPr>
        <w:t>persons</w:t>
      </w:r>
      <w:r w:rsidR="009C0E5D">
        <w:rPr>
          <w:lang w:eastAsia="en-AU"/>
        </w:rPr>
        <w:t>.</w:t>
      </w:r>
      <w:r w:rsidR="009C0E5D">
        <w:rPr>
          <w:rStyle w:val="FootnoteReference"/>
          <w:rFonts w:eastAsia="Times New Roman"/>
          <w:color w:val="222222"/>
          <w:lang w:eastAsia="en-AU"/>
        </w:rPr>
        <w:footnoteReference w:id="8"/>
      </w:r>
      <w:r w:rsidR="000159A6">
        <w:rPr>
          <w:lang w:eastAsia="en-AU"/>
        </w:rPr>
        <w:t xml:space="preserve"> </w:t>
      </w:r>
      <w:r>
        <w:rPr>
          <w:lang w:eastAsia="en-AU"/>
        </w:rPr>
        <w:t>The</w:t>
      </w:r>
      <w:r w:rsidR="000159A6">
        <w:rPr>
          <w:lang w:eastAsia="en-AU"/>
        </w:rPr>
        <w:t xml:space="preserve"> </w:t>
      </w:r>
      <w:r>
        <w:rPr>
          <w:lang w:eastAsia="en-AU"/>
        </w:rPr>
        <w:t>increased</w:t>
      </w:r>
      <w:r w:rsidR="000159A6">
        <w:rPr>
          <w:lang w:eastAsia="en-AU"/>
        </w:rPr>
        <w:t xml:space="preserve"> </w:t>
      </w:r>
      <w:r>
        <w:rPr>
          <w:lang w:eastAsia="en-AU"/>
        </w:rPr>
        <w:t>risk</w:t>
      </w:r>
      <w:r w:rsidR="000159A6">
        <w:rPr>
          <w:lang w:eastAsia="en-AU"/>
        </w:rPr>
        <w:t xml:space="preserve"> </w:t>
      </w:r>
      <w:r>
        <w:rPr>
          <w:lang w:eastAsia="en-AU"/>
        </w:rPr>
        <w:t>with</w:t>
      </w:r>
      <w:r w:rsidR="000159A6">
        <w:rPr>
          <w:lang w:eastAsia="en-AU"/>
        </w:rPr>
        <w:t xml:space="preserve"> </w:t>
      </w:r>
      <w:r>
        <w:rPr>
          <w:lang w:eastAsia="en-AU"/>
        </w:rPr>
        <w:t>advancing</w:t>
      </w:r>
      <w:r w:rsidR="000159A6">
        <w:rPr>
          <w:lang w:eastAsia="en-AU"/>
        </w:rPr>
        <w:t xml:space="preserve"> </w:t>
      </w:r>
      <w:r>
        <w:rPr>
          <w:lang w:eastAsia="en-AU"/>
        </w:rPr>
        <w:t>age</w:t>
      </w:r>
      <w:r w:rsidR="000159A6">
        <w:rPr>
          <w:lang w:eastAsia="en-AU"/>
        </w:rPr>
        <w:t xml:space="preserve"> </w:t>
      </w:r>
      <w:r>
        <w:rPr>
          <w:lang w:eastAsia="en-AU"/>
        </w:rPr>
        <w:t>is</w:t>
      </w:r>
      <w:r w:rsidR="000159A6">
        <w:rPr>
          <w:lang w:eastAsia="en-AU"/>
        </w:rPr>
        <w:t xml:space="preserve"> </w:t>
      </w:r>
      <w:r>
        <w:rPr>
          <w:lang w:eastAsia="en-AU"/>
        </w:rPr>
        <w:t>believed</w:t>
      </w:r>
      <w:r w:rsidR="000159A6">
        <w:rPr>
          <w:lang w:eastAsia="en-AU"/>
        </w:rPr>
        <w:t xml:space="preserve"> </w:t>
      </w:r>
      <w:r>
        <w:rPr>
          <w:lang w:eastAsia="en-AU"/>
        </w:rPr>
        <w:t>due</w:t>
      </w:r>
      <w:r w:rsidR="000159A6">
        <w:rPr>
          <w:lang w:eastAsia="en-AU"/>
        </w:rPr>
        <w:t xml:space="preserve"> </w:t>
      </w:r>
      <w:r>
        <w:rPr>
          <w:lang w:eastAsia="en-AU"/>
        </w:rPr>
        <w:t>to</w:t>
      </w:r>
      <w:r w:rsidR="000159A6">
        <w:rPr>
          <w:lang w:eastAsia="en-AU"/>
        </w:rPr>
        <w:t xml:space="preserve"> </w:t>
      </w:r>
      <w:r>
        <w:rPr>
          <w:lang w:eastAsia="en-AU"/>
        </w:rPr>
        <w:t>declining</w:t>
      </w:r>
      <w:r w:rsidR="000159A6">
        <w:rPr>
          <w:lang w:eastAsia="en-AU"/>
        </w:rPr>
        <w:t xml:space="preserve"> </w:t>
      </w:r>
      <w:r>
        <w:rPr>
          <w:lang w:eastAsia="en-AU"/>
        </w:rPr>
        <w:t>cell</w:t>
      </w:r>
      <w:r w:rsidR="000159A6">
        <w:rPr>
          <w:lang w:eastAsia="en-AU"/>
        </w:rPr>
        <w:t xml:space="preserve"> </w:t>
      </w:r>
      <w:r>
        <w:rPr>
          <w:lang w:eastAsia="en-AU"/>
        </w:rPr>
        <w:t>mediated</w:t>
      </w:r>
      <w:r w:rsidR="000159A6">
        <w:rPr>
          <w:lang w:eastAsia="en-AU"/>
        </w:rPr>
        <w:t xml:space="preserve"> </w:t>
      </w:r>
      <w:r>
        <w:rPr>
          <w:lang w:eastAsia="en-AU"/>
        </w:rPr>
        <w:t>immunity.</w:t>
      </w:r>
    </w:p>
    <w:p w14:paraId="58D0A45B" w14:textId="22576666" w:rsidR="007553D3" w:rsidRPr="00AD5509" w:rsidRDefault="007553D3" w:rsidP="00C5388D">
      <w:pPr>
        <w:rPr>
          <w:rFonts w:eastAsia="Times New Roman"/>
          <w:color w:val="222222"/>
          <w:lang w:eastAsia="en-AU"/>
        </w:rPr>
      </w:pPr>
      <w:r>
        <w:t>Apart</w:t>
      </w:r>
      <w:r w:rsidR="000159A6">
        <w:t xml:space="preserve"> </w:t>
      </w:r>
      <w:r>
        <w:t>from</w:t>
      </w:r>
      <w:r w:rsidR="000159A6">
        <w:t xml:space="preserve"> </w:t>
      </w:r>
      <w:r>
        <w:t>age,</w:t>
      </w:r>
      <w:r w:rsidR="000159A6">
        <w:t xml:space="preserve"> </w:t>
      </w:r>
      <w:r>
        <w:t>other</w:t>
      </w:r>
      <w:r w:rsidR="000159A6">
        <w:t xml:space="preserve"> </w:t>
      </w:r>
      <w:r>
        <w:t>risk</w:t>
      </w:r>
      <w:r w:rsidR="000159A6">
        <w:t xml:space="preserve"> </w:t>
      </w:r>
      <w:r>
        <w:t>factors</w:t>
      </w:r>
      <w:r w:rsidR="000159A6">
        <w:t xml:space="preserve"> </w:t>
      </w:r>
      <w:r>
        <w:t>for</w:t>
      </w:r>
      <w:r w:rsidR="000159A6">
        <w:t xml:space="preserve"> </w:t>
      </w:r>
      <w:r>
        <w:t>HZ</w:t>
      </w:r>
      <w:r w:rsidR="000159A6">
        <w:t xml:space="preserve"> </w:t>
      </w:r>
      <w:r>
        <w:t>are</w:t>
      </w:r>
      <w:r w:rsidR="000159A6">
        <w:t xml:space="preserve"> </w:t>
      </w:r>
      <w:r>
        <w:t>disorders</w:t>
      </w:r>
      <w:r w:rsidR="000159A6">
        <w:t xml:space="preserve"> </w:t>
      </w:r>
      <w:r>
        <w:t>of</w:t>
      </w:r>
      <w:r w:rsidR="000159A6">
        <w:t xml:space="preserve"> </w:t>
      </w:r>
      <w:r>
        <w:t>cell</w:t>
      </w:r>
      <w:r w:rsidR="000159A6">
        <w:t xml:space="preserve"> </w:t>
      </w:r>
      <w:r>
        <w:t>mediated</w:t>
      </w:r>
      <w:r w:rsidR="000159A6">
        <w:t xml:space="preserve"> </w:t>
      </w:r>
      <w:r>
        <w:t>immunity</w:t>
      </w:r>
      <w:r w:rsidR="000159A6">
        <w:t xml:space="preserve"> </w:t>
      </w:r>
      <w:r>
        <w:t>and</w:t>
      </w:r>
      <w:r w:rsidR="000159A6">
        <w:t xml:space="preserve"> </w:t>
      </w:r>
      <w:r>
        <w:t>immunosuppression</w:t>
      </w:r>
      <w:r w:rsidR="000159A6">
        <w:t xml:space="preserve"> </w:t>
      </w:r>
      <w:r>
        <w:t>from</w:t>
      </w:r>
      <w:r w:rsidR="000159A6">
        <w:t xml:space="preserve"> </w:t>
      </w:r>
      <w:r>
        <w:t>any</w:t>
      </w:r>
      <w:r w:rsidR="000159A6">
        <w:t xml:space="preserve"> </w:t>
      </w:r>
      <w:r>
        <w:t>cause</w:t>
      </w:r>
      <w:r w:rsidR="000159A6">
        <w:t xml:space="preserve"> </w:t>
      </w:r>
      <w:r>
        <w:t>including</w:t>
      </w:r>
      <w:r w:rsidR="000159A6">
        <w:t xml:space="preserve"> </w:t>
      </w:r>
      <w:r w:rsidR="00331AB9">
        <w:t>human</w:t>
      </w:r>
      <w:r w:rsidR="000159A6">
        <w:t xml:space="preserve"> </w:t>
      </w:r>
      <w:r w:rsidR="00331AB9">
        <w:t>immunodeficiency</w:t>
      </w:r>
      <w:r w:rsidR="000159A6">
        <w:t xml:space="preserve"> </w:t>
      </w:r>
      <w:r w:rsidR="00331AB9">
        <w:t>virus</w:t>
      </w:r>
      <w:r w:rsidR="000159A6">
        <w:t xml:space="preserve"> </w:t>
      </w:r>
      <w:r w:rsidR="00331AB9">
        <w:t>(</w:t>
      </w:r>
      <w:r>
        <w:t>HIV</w:t>
      </w:r>
      <w:r w:rsidR="00331AB9">
        <w:t>)</w:t>
      </w:r>
      <w:r w:rsidR="000159A6">
        <w:t xml:space="preserve"> </w:t>
      </w:r>
      <w:r>
        <w:t>and</w:t>
      </w:r>
      <w:r w:rsidR="000159A6">
        <w:t xml:space="preserve"> </w:t>
      </w:r>
      <w:r>
        <w:t>immunosuppressive</w:t>
      </w:r>
      <w:r w:rsidR="000159A6">
        <w:t xml:space="preserve"> </w:t>
      </w:r>
      <w:r>
        <w:t>medications,</w:t>
      </w:r>
      <w:r w:rsidR="000159A6">
        <w:t xml:space="preserve"> </w:t>
      </w:r>
      <w:r>
        <w:t>as</w:t>
      </w:r>
      <w:r w:rsidR="000159A6">
        <w:t xml:space="preserve"> </w:t>
      </w:r>
      <w:r>
        <w:t>well</w:t>
      </w:r>
      <w:r w:rsidR="000159A6">
        <w:t xml:space="preserve"> </w:t>
      </w:r>
      <w:r>
        <w:t>as</w:t>
      </w:r>
      <w:r w:rsidR="000159A6">
        <w:t xml:space="preserve"> </w:t>
      </w:r>
      <w:r>
        <w:t>physical</w:t>
      </w:r>
      <w:r w:rsidR="000159A6">
        <w:t xml:space="preserve"> </w:t>
      </w:r>
      <w:r>
        <w:t>trauma,</w:t>
      </w:r>
      <w:r w:rsidR="000159A6">
        <w:t xml:space="preserve"> </w:t>
      </w:r>
      <w:r>
        <w:t>underlying</w:t>
      </w:r>
      <w:r w:rsidR="000159A6">
        <w:t xml:space="preserve"> </w:t>
      </w:r>
      <w:r>
        <w:t>malignancy,</w:t>
      </w:r>
      <w:r w:rsidR="000159A6">
        <w:t xml:space="preserve"> </w:t>
      </w:r>
      <w:r>
        <w:t>and</w:t>
      </w:r>
      <w:r w:rsidR="000159A6">
        <w:t xml:space="preserve"> </w:t>
      </w:r>
      <w:r>
        <w:t>chronic</w:t>
      </w:r>
      <w:r w:rsidR="000159A6">
        <w:t xml:space="preserve"> </w:t>
      </w:r>
      <w:r>
        <w:t>lung</w:t>
      </w:r>
      <w:r w:rsidR="000159A6">
        <w:t xml:space="preserve"> </w:t>
      </w:r>
      <w:r>
        <w:t>or</w:t>
      </w:r>
      <w:r w:rsidR="000159A6">
        <w:t xml:space="preserve"> </w:t>
      </w:r>
      <w:r>
        <w:t>renal</w:t>
      </w:r>
      <w:r w:rsidR="000159A6">
        <w:t xml:space="preserve"> </w:t>
      </w:r>
      <w:r>
        <w:t>disease.</w:t>
      </w:r>
      <w:r w:rsidR="000159A6">
        <w:t xml:space="preserve"> </w:t>
      </w:r>
      <w:r w:rsidRPr="00AD5509">
        <w:t>The</w:t>
      </w:r>
      <w:r w:rsidR="000159A6">
        <w:t xml:space="preserve"> </w:t>
      </w:r>
      <w:r w:rsidRPr="00AD5509">
        <w:t>r</w:t>
      </w:r>
      <w:r w:rsidRPr="00AD5509">
        <w:rPr>
          <w:rFonts w:eastAsia="Times New Roman"/>
          <w:color w:val="222222"/>
          <w:lang w:eastAsia="en-AU"/>
        </w:rPr>
        <w:t>ates</w:t>
      </w:r>
      <w:r w:rsidR="000159A6">
        <w:rPr>
          <w:rFonts w:eastAsia="Times New Roman"/>
          <w:color w:val="222222"/>
          <w:lang w:eastAsia="en-AU"/>
        </w:rPr>
        <w:t xml:space="preserve"> </w:t>
      </w:r>
      <w:r w:rsidRPr="00AD5509">
        <w:rPr>
          <w:rFonts w:eastAsia="Times New Roman"/>
          <w:color w:val="222222"/>
          <w:lang w:eastAsia="en-AU"/>
        </w:rPr>
        <w:t>of</w:t>
      </w:r>
      <w:r w:rsidR="000159A6">
        <w:rPr>
          <w:rFonts w:eastAsia="Times New Roman"/>
          <w:color w:val="222222"/>
          <w:lang w:eastAsia="en-AU"/>
        </w:rPr>
        <w:t xml:space="preserve"> </w:t>
      </w:r>
      <w:r w:rsidRPr="00AD5509">
        <w:rPr>
          <w:rFonts w:eastAsia="Times New Roman"/>
          <w:color w:val="222222"/>
          <w:lang w:eastAsia="en-AU"/>
        </w:rPr>
        <w:t>HZ</w:t>
      </w:r>
      <w:r w:rsidR="000159A6">
        <w:rPr>
          <w:rFonts w:eastAsia="Times New Roman"/>
          <w:color w:val="222222"/>
          <w:lang w:eastAsia="en-AU"/>
        </w:rPr>
        <w:t xml:space="preserve"> </w:t>
      </w:r>
      <w:r w:rsidRPr="00AD5509">
        <w:rPr>
          <w:rFonts w:eastAsia="Times New Roman"/>
          <w:color w:val="222222"/>
          <w:lang w:eastAsia="en-AU"/>
        </w:rPr>
        <w:t>are</w:t>
      </w:r>
      <w:r w:rsidR="000159A6">
        <w:rPr>
          <w:rFonts w:eastAsia="Times New Roman"/>
          <w:color w:val="222222"/>
          <w:lang w:eastAsia="en-AU"/>
        </w:rPr>
        <w:t xml:space="preserve"> </w:t>
      </w:r>
      <w:r w:rsidRPr="00AD5509">
        <w:rPr>
          <w:rFonts w:eastAsia="Times New Roman"/>
          <w:color w:val="222222"/>
          <w:lang w:eastAsia="en-AU"/>
        </w:rPr>
        <w:t>up</w:t>
      </w:r>
      <w:r w:rsidR="000159A6">
        <w:rPr>
          <w:rFonts w:eastAsia="Times New Roman"/>
          <w:color w:val="222222"/>
          <w:lang w:eastAsia="en-AU"/>
        </w:rPr>
        <w:t xml:space="preserve"> </w:t>
      </w:r>
      <w:r w:rsidRPr="00AD5509">
        <w:rPr>
          <w:rFonts w:eastAsia="Times New Roman"/>
          <w:color w:val="222222"/>
          <w:lang w:eastAsia="en-AU"/>
        </w:rPr>
        <w:t>to</w:t>
      </w:r>
      <w:r w:rsidR="000159A6">
        <w:rPr>
          <w:rFonts w:eastAsia="Times New Roman"/>
          <w:color w:val="222222"/>
          <w:lang w:eastAsia="en-AU"/>
        </w:rPr>
        <w:t xml:space="preserve"> </w:t>
      </w:r>
      <w:r w:rsidRPr="00AD5509">
        <w:rPr>
          <w:rFonts w:eastAsia="Times New Roman"/>
          <w:color w:val="222222"/>
          <w:lang w:eastAsia="en-AU"/>
        </w:rPr>
        <w:t>15</w:t>
      </w:r>
      <w:r w:rsidR="000159A6">
        <w:rPr>
          <w:rFonts w:eastAsia="Times New Roman"/>
          <w:color w:val="222222"/>
          <w:lang w:eastAsia="en-AU"/>
        </w:rPr>
        <w:t xml:space="preserve"> </w:t>
      </w:r>
      <w:r w:rsidRPr="00AD5509">
        <w:rPr>
          <w:rFonts w:eastAsia="Times New Roman"/>
          <w:color w:val="222222"/>
          <w:lang w:eastAsia="en-AU"/>
        </w:rPr>
        <w:t>times</w:t>
      </w:r>
      <w:r w:rsidR="000159A6">
        <w:rPr>
          <w:rFonts w:eastAsia="Times New Roman"/>
          <w:color w:val="222222"/>
          <w:lang w:eastAsia="en-AU"/>
        </w:rPr>
        <w:t xml:space="preserve"> </w:t>
      </w:r>
      <w:r w:rsidRPr="00AD5509">
        <w:rPr>
          <w:rFonts w:eastAsia="Times New Roman"/>
          <w:color w:val="222222"/>
          <w:lang w:eastAsia="en-AU"/>
        </w:rPr>
        <w:t>higher</w:t>
      </w:r>
      <w:r w:rsidR="000159A6">
        <w:rPr>
          <w:rFonts w:eastAsia="Times New Roman"/>
          <w:color w:val="222222"/>
          <w:lang w:eastAsia="en-AU"/>
        </w:rPr>
        <w:t xml:space="preserve"> </w:t>
      </w:r>
      <w:r w:rsidRPr="00AD5509">
        <w:rPr>
          <w:rFonts w:eastAsia="Times New Roman"/>
          <w:color w:val="222222"/>
          <w:lang w:eastAsia="en-AU"/>
        </w:rPr>
        <w:t>in</w:t>
      </w:r>
      <w:r w:rsidR="000159A6">
        <w:rPr>
          <w:rFonts w:eastAsia="Times New Roman"/>
          <w:color w:val="222222"/>
          <w:lang w:eastAsia="en-AU"/>
        </w:rPr>
        <w:t xml:space="preserve"> </w:t>
      </w:r>
      <w:r w:rsidRPr="00AD5509">
        <w:rPr>
          <w:rFonts w:eastAsia="Times New Roman"/>
          <w:color w:val="222222"/>
          <w:lang w:eastAsia="en-AU"/>
        </w:rPr>
        <w:t>those</w:t>
      </w:r>
      <w:r w:rsidR="000159A6">
        <w:rPr>
          <w:rFonts w:eastAsia="Times New Roman"/>
          <w:color w:val="222222"/>
          <w:lang w:eastAsia="en-AU"/>
        </w:rPr>
        <w:t xml:space="preserve"> </w:t>
      </w:r>
      <w:r w:rsidRPr="00AD5509">
        <w:rPr>
          <w:rFonts w:eastAsia="Times New Roman"/>
          <w:color w:val="222222"/>
          <w:lang w:eastAsia="en-AU"/>
        </w:rPr>
        <w:t>who</w:t>
      </w:r>
      <w:r w:rsidR="000159A6">
        <w:rPr>
          <w:rFonts w:eastAsia="Times New Roman"/>
          <w:color w:val="222222"/>
          <w:lang w:eastAsia="en-AU"/>
        </w:rPr>
        <w:t xml:space="preserve"> </w:t>
      </w:r>
      <w:r w:rsidRPr="00AD5509">
        <w:rPr>
          <w:rFonts w:eastAsia="Times New Roman"/>
          <w:color w:val="222222"/>
          <w:lang w:eastAsia="en-AU"/>
        </w:rPr>
        <w:t>are</w:t>
      </w:r>
      <w:r w:rsidR="000159A6">
        <w:rPr>
          <w:rFonts w:eastAsia="Times New Roman"/>
          <w:color w:val="222222"/>
          <w:lang w:eastAsia="en-AU"/>
        </w:rPr>
        <w:t xml:space="preserve"> </w:t>
      </w:r>
      <w:r w:rsidRPr="00AD5509">
        <w:rPr>
          <w:rFonts w:eastAsia="Times New Roman"/>
          <w:color w:val="222222"/>
          <w:lang w:eastAsia="en-AU"/>
        </w:rPr>
        <w:t>immunocompromised</w:t>
      </w:r>
      <w:r w:rsidR="000159A6">
        <w:rPr>
          <w:rFonts w:eastAsia="Times New Roman"/>
          <w:color w:val="222222"/>
          <w:lang w:eastAsia="en-AU"/>
        </w:rPr>
        <w:t xml:space="preserve"> </w:t>
      </w:r>
      <w:r w:rsidRPr="00AD5509">
        <w:rPr>
          <w:rFonts w:eastAsia="Times New Roman"/>
          <w:color w:val="222222"/>
          <w:lang w:eastAsia="en-AU"/>
        </w:rPr>
        <w:t>due</w:t>
      </w:r>
      <w:r w:rsidR="000159A6">
        <w:rPr>
          <w:rFonts w:eastAsia="Times New Roman"/>
          <w:color w:val="222222"/>
          <w:lang w:eastAsia="en-AU"/>
        </w:rPr>
        <w:t xml:space="preserve"> </w:t>
      </w:r>
      <w:r w:rsidRPr="00AD5509">
        <w:rPr>
          <w:rFonts w:eastAsia="Times New Roman"/>
          <w:color w:val="222222"/>
          <w:lang w:eastAsia="en-AU"/>
        </w:rPr>
        <w:t>to</w:t>
      </w:r>
      <w:r w:rsidR="000159A6">
        <w:rPr>
          <w:rFonts w:eastAsia="Times New Roman"/>
          <w:color w:val="222222"/>
          <w:lang w:eastAsia="en-AU"/>
        </w:rPr>
        <w:t xml:space="preserve"> </w:t>
      </w:r>
      <w:r w:rsidRPr="00AD5509">
        <w:rPr>
          <w:rFonts w:eastAsia="Times New Roman"/>
          <w:color w:val="222222"/>
          <w:lang w:eastAsia="en-AU"/>
        </w:rPr>
        <w:t>HIV</w:t>
      </w:r>
      <w:r w:rsidR="000159A6">
        <w:rPr>
          <w:rFonts w:eastAsia="Times New Roman"/>
          <w:color w:val="222222"/>
          <w:lang w:eastAsia="en-AU"/>
        </w:rPr>
        <w:t xml:space="preserve"> </w:t>
      </w:r>
      <w:r w:rsidRPr="00AD5509">
        <w:rPr>
          <w:rFonts w:eastAsia="Times New Roman"/>
          <w:color w:val="222222"/>
          <w:lang w:eastAsia="en-AU"/>
        </w:rPr>
        <w:t>infection,</w:t>
      </w:r>
      <w:r w:rsidR="000159A6">
        <w:rPr>
          <w:rFonts w:eastAsia="Times New Roman"/>
          <w:color w:val="222222"/>
          <w:lang w:eastAsia="en-AU"/>
        </w:rPr>
        <w:t xml:space="preserve"> </w:t>
      </w:r>
      <w:r w:rsidRPr="00AD5509">
        <w:rPr>
          <w:rFonts w:eastAsia="Times New Roman"/>
          <w:color w:val="222222"/>
          <w:lang w:eastAsia="en-AU"/>
        </w:rPr>
        <w:t>and</w:t>
      </w:r>
      <w:r w:rsidR="000159A6">
        <w:rPr>
          <w:rFonts w:eastAsia="Times New Roman"/>
          <w:color w:val="222222"/>
          <w:lang w:eastAsia="en-AU"/>
        </w:rPr>
        <w:t xml:space="preserve"> </w:t>
      </w:r>
      <w:r w:rsidRPr="00AD5509">
        <w:rPr>
          <w:rFonts w:eastAsia="Times New Roman"/>
          <w:color w:val="222222"/>
          <w:lang w:eastAsia="en-AU"/>
        </w:rPr>
        <w:t>in</w:t>
      </w:r>
      <w:r w:rsidR="000159A6">
        <w:rPr>
          <w:rFonts w:eastAsia="Times New Roman"/>
          <w:color w:val="222222"/>
          <w:lang w:eastAsia="en-AU"/>
        </w:rPr>
        <w:t xml:space="preserve"> </w:t>
      </w:r>
      <w:r w:rsidRPr="00AD5509">
        <w:rPr>
          <w:rFonts w:eastAsia="Times New Roman"/>
          <w:color w:val="222222"/>
          <w:lang w:eastAsia="en-AU"/>
        </w:rPr>
        <w:t>the</w:t>
      </w:r>
      <w:r w:rsidR="000159A6">
        <w:rPr>
          <w:rFonts w:eastAsia="Times New Roman"/>
          <w:color w:val="222222"/>
          <w:lang w:eastAsia="en-AU"/>
        </w:rPr>
        <w:t xml:space="preserve"> </w:t>
      </w:r>
      <w:r w:rsidRPr="00AD5509">
        <w:rPr>
          <w:rFonts w:eastAsia="Times New Roman"/>
          <w:color w:val="222222"/>
          <w:lang w:eastAsia="en-AU"/>
        </w:rPr>
        <w:t>first</w:t>
      </w:r>
      <w:r w:rsidR="000159A6">
        <w:rPr>
          <w:rFonts w:eastAsia="Times New Roman"/>
          <w:color w:val="222222"/>
          <w:lang w:eastAsia="en-AU"/>
        </w:rPr>
        <w:t xml:space="preserve"> </w:t>
      </w:r>
      <w:r w:rsidRPr="00AD5509">
        <w:rPr>
          <w:rFonts w:eastAsia="Times New Roman"/>
          <w:color w:val="222222"/>
          <w:lang w:eastAsia="en-AU"/>
        </w:rPr>
        <w:t>year</w:t>
      </w:r>
      <w:r w:rsidR="000159A6">
        <w:rPr>
          <w:rFonts w:eastAsia="Times New Roman"/>
          <w:color w:val="222222"/>
          <w:lang w:eastAsia="en-AU"/>
        </w:rPr>
        <w:t xml:space="preserve"> </w:t>
      </w:r>
      <w:r w:rsidRPr="00AD5509">
        <w:rPr>
          <w:rFonts w:eastAsia="Times New Roman"/>
          <w:color w:val="222222"/>
          <w:lang w:eastAsia="en-AU"/>
        </w:rPr>
        <w:t>following</w:t>
      </w:r>
      <w:r w:rsidR="000159A6">
        <w:rPr>
          <w:rFonts w:eastAsia="Times New Roman"/>
          <w:color w:val="222222"/>
          <w:lang w:eastAsia="en-AU"/>
        </w:rPr>
        <w:t xml:space="preserve"> </w:t>
      </w:r>
      <w:r w:rsidRPr="00AD5509">
        <w:rPr>
          <w:rFonts w:eastAsia="Times New Roman"/>
          <w:color w:val="222222"/>
          <w:lang w:eastAsia="en-AU"/>
        </w:rPr>
        <w:t>haematopoietic</w:t>
      </w:r>
      <w:r w:rsidR="000159A6">
        <w:rPr>
          <w:rFonts w:eastAsia="Times New Roman"/>
          <w:color w:val="222222"/>
          <w:lang w:eastAsia="en-AU"/>
        </w:rPr>
        <w:t xml:space="preserve"> </w:t>
      </w:r>
      <w:r w:rsidRPr="00AD5509">
        <w:rPr>
          <w:rFonts w:eastAsia="Times New Roman"/>
          <w:color w:val="222222"/>
          <w:lang w:eastAsia="en-AU"/>
        </w:rPr>
        <w:t>stem</w:t>
      </w:r>
      <w:r w:rsidR="000159A6">
        <w:rPr>
          <w:rFonts w:eastAsia="Times New Roman"/>
          <w:color w:val="222222"/>
          <w:lang w:eastAsia="en-AU"/>
        </w:rPr>
        <w:t xml:space="preserve"> </w:t>
      </w:r>
      <w:r w:rsidRPr="00AD5509">
        <w:rPr>
          <w:rFonts w:eastAsia="Times New Roman"/>
          <w:color w:val="222222"/>
          <w:lang w:eastAsia="en-AU"/>
        </w:rPr>
        <w:t>cell</w:t>
      </w:r>
      <w:r w:rsidR="000159A6">
        <w:rPr>
          <w:rFonts w:eastAsia="Times New Roman"/>
          <w:color w:val="222222"/>
          <w:lang w:eastAsia="en-AU"/>
        </w:rPr>
        <w:t xml:space="preserve"> </w:t>
      </w:r>
      <w:r w:rsidRPr="00AD5509">
        <w:rPr>
          <w:rFonts w:eastAsia="Times New Roman"/>
          <w:color w:val="222222"/>
          <w:lang w:eastAsia="en-AU"/>
        </w:rPr>
        <w:t>transplantation</w:t>
      </w:r>
      <w:r w:rsidR="000159A6">
        <w:rPr>
          <w:rFonts w:eastAsia="Times New Roman"/>
          <w:color w:val="222222"/>
          <w:lang w:eastAsia="en-AU"/>
        </w:rPr>
        <w:t xml:space="preserve"> </w:t>
      </w:r>
      <w:r w:rsidRPr="00AD5509">
        <w:rPr>
          <w:rFonts w:eastAsia="Times New Roman"/>
          <w:color w:val="222222"/>
          <w:lang w:eastAsia="en-AU"/>
        </w:rPr>
        <w:t>up</w:t>
      </w:r>
      <w:r w:rsidR="000159A6">
        <w:rPr>
          <w:rFonts w:eastAsia="Times New Roman"/>
          <w:color w:val="222222"/>
          <w:lang w:eastAsia="en-AU"/>
        </w:rPr>
        <w:t xml:space="preserve"> </w:t>
      </w:r>
      <w:r w:rsidRPr="00AD5509">
        <w:rPr>
          <w:rFonts w:eastAsia="Times New Roman"/>
          <w:color w:val="222222"/>
          <w:lang w:eastAsia="en-AU"/>
        </w:rPr>
        <w:t>to</w:t>
      </w:r>
      <w:r w:rsidR="000159A6">
        <w:rPr>
          <w:rFonts w:eastAsia="Times New Roman"/>
          <w:color w:val="222222"/>
          <w:lang w:eastAsia="en-AU"/>
        </w:rPr>
        <w:t xml:space="preserve"> </w:t>
      </w:r>
      <w:r w:rsidRPr="00AD5509">
        <w:rPr>
          <w:rFonts w:eastAsia="Times New Roman"/>
          <w:color w:val="222222"/>
          <w:lang w:eastAsia="en-AU"/>
        </w:rPr>
        <w:t>30%</w:t>
      </w:r>
      <w:r w:rsidR="000159A6">
        <w:rPr>
          <w:rFonts w:eastAsia="Times New Roman"/>
          <w:color w:val="222222"/>
          <w:lang w:eastAsia="en-AU"/>
        </w:rPr>
        <w:t xml:space="preserve"> </w:t>
      </w:r>
      <w:r w:rsidRPr="00AD5509">
        <w:rPr>
          <w:rFonts w:eastAsia="Times New Roman"/>
          <w:color w:val="222222"/>
          <w:lang w:eastAsia="en-AU"/>
        </w:rPr>
        <w:t>of</w:t>
      </w:r>
      <w:r w:rsidR="000159A6">
        <w:rPr>
          <w:rFonts w:eastAsia="Times New Roman"/>
          <w:color w:val="222222"/>
          <w:lang w:eastAsia="en-AU"/>
        </w:rPr>
        <w:t xml:space="preserve"> </w:t>
      </w:r>
      <w:r w:rsidRPr="00AD5509">
        <w:rPr>
          <w:rFonts w:eastAsia="Times New Roman"/>
          <w:color w:val="222222"/>
          <w:lang w:eastAsia="en-AU"/>
        </w:rPr>
        <w:t>patients</w:t>
      </w:r>
      <w:r w:rsidR="000159A6">
        <w:rPr>
          <w:rFonts w:eastAsia="Times New Roman"/>
          <w:color w:val="222222"/>
          <w:lang w:eastAsia="en-AU"/>
        </w:rPr>
        <w:t xml:space="preserve"> </w:t>
      </w:r>
      <w:r w:rsidRPr="00AD5509">
        <w:rPr>
          <w:rFonts w:eastAsia="Times New Roman"/>
          <w:color w:val="222222"/>
          <w:lang w:eastAsia="en-AU"/>
        </w:rPr>
        <w:t>may</w:t>
      </w:r>
      <w:r w:rsidR="000159A6">
        <w:rPr>
          <w:rFonts w:eastAsia="Times New Roman"/>
          <w:color w:val="222222"/>
          <w:lang w:eastAsia="en-AU"/>
        </w:rPr>
        <w:t xml:space="preserve"> </w:t>
      </w:r>
      <w:r w:rsidRPr="00AD5509">
        <w:rPr>
          <w:rFonts w:eastAsia="Times New Roman"/>
          <w:color w:val="222222"/>
          <w:lang w:eastAsia="en-AU"/>
        </w:rPr>
        <w:t>develop</w:t>
      </w:r>
      <w:r w:rsidR="000159A6">
        <w:rPr>
          <w:rFonts w:eastAsia="Times New Roman"/>
          <w:color w:val="222222"/>
          <w:lang w:eastAsia="en-AU"/>
        </w:rPr>
        <w:t xml:space="preserve"> </w:t>
      </w:r>
      <w:r w:rsidRPr="00AD5509">
        <w:rPr>
          <w:rFonts w:eastAsia="Times New Roman"/>
          <w:color w:val="222222"/>
          <w:lang w:eastAsia="en-AU"/>
        </w:rPr>
        <w:t>HZ</w:t>
      </w:r>
      <w:r w:rsidR="009C0E5D">
        <w:rPr>
          <w:rFonts w:eastAsia="Times New Roman"/>
          <w:color w:val="222222"/>
          <w:lang w:eastAsia="en-AU"/>
        </w:rPr>
        <w:t>.</w:t>
      </w:r>
    </w:p>
    <w:p w14:paraId="0778FD89" w14:textId="272CB13A" w:rsidR="00326B73" w:rsidRPr="00524314" w:rsidRDefault="007553D3" w:rsidP="00C5388D">
      <w:pPr>
        <w:rPr>
          <w:lang w:eastAsia="en-AU"/>
        </w:rPr>
      </w:pPr>
      <w:r w:rsidRPr="00524314">
        <w:rPr>
          <w:lang w:eastAsia="en-AU"/>
        </w:rPr>
        <w:lastRenderedPageBreak/>
        <w:t>Complications</w:t>
      </w:r>
      <w:r w:rsidR="000159A6">
        <w:rPr>
          <w:lang w:eastAsia="en-AU"/>
        </w:rPr>
        <w:t xml:space="preserve"> </w:t>
      </w:r>
      <w:r w:rsidRPr="00524314">
        <w:rPr>
          <w:lang w:eastAsia="en-AU"/>
        </w:rPr>
        <w:t>are</w:t>
      </w:r>
      <w:r w:rsidR="000159A6">
        <w:rPr>
          <w:lang w:eastAsia="en-AU"/>
        </w:rPr>
        <w:t xml:space="preserve"> </w:t>
      </w:r>
      <w:r w:rsidRPr="00524314">
        <w:rPr>
          <w:lang w:eastAsia="en-AU"/>
        </w:rPr>
        <w:t>estimated</w:t>
      </w:r>
      <w:r w:rsidR="000159A6">
        <w:rPr>
          <w:lang w:eastAsia="en-AU"/>
        </w:rPr>
        <w:t xml:space="preserve"> </w:t>
      </w:r>
      <w:r w:rsidRPr="00524314">
        <w:rPr>
          <w:lang w:eastAsia="en-AU"/>
        </w:rPr>
        <w:t>to</w:t>
      </w:r>
      <w:r w:rsidR="000159A6">
        <w:rPr>
          <w:lang w:eastAsia="en-AU"/>
        </w:rPr>
        <w:t xml:space="preserve"> </w:t>
      </w:r>
      <w:r w:rsidRPr="00524314">
        <w:rPr>
          <w:lang w:eastAsia="en-AU"/>
        </w:rPr>
        <w:t>occur</w:t>
      </w:r>
      <w:r w:rsidR="000159A6">
        <w:rPr>
          <w:lang w:eastAsia="en-AU"/>
        </w:rPr>
        <w:t xml:space="preserve"> </w:t>
      </w:r>
      <w:r w:rsidRPr="00524314">
        <w:rPr>
          <w:lang w:eastAsia="en-AU"/>
        </w:rPr>
        <w:t>in</w:t>
      </w:r>
      <w:r w:rsidR="000159A6">
        <w:rPr>
          <w:lang w:eastAsia="en-AU"/>
        </w:rPr>
        <w:t xml:space="preserve"> </w:t>
      </w:r>
      <w:r w:rsidRPr="00524314">
        <w:rPr>
          <w:lang w:eastAsia="en-AU"/>
        </w:rPr>
        <w:t>13</w:t>
      </w:r>
      <w:r w:rsidR="000159A6">
        <w:rPr>
          <w:lang w:eastAsia="en-AU"/>
        </w:rPr>
        <w:t xml:space="preserve"> </w:t>
      </w:r>
      <w:r w:rsidRPr="00524314">
        <w:rPr>
          <w:lang w:eastAsia="en-AU"/>
        </w:rPr>
        <w:t>to</w:t>
      </w:r>
      <w:r w:rsidR="000159A6">
        <w:rPr>
          <w:lang w:eastAsia="en-AU"/>
        </w:rPr>
        <w:t xml:space="preserve"> </w:t>
      </w:r>
      <w:r w:rsidRPr="00524314">
        <w:rPr>
          <w:lang w:eastAsia="en-AU"/>
        </w:rPr>
        <w:t>26%</w:t>
      </w:r>
      <w:r w:rsidR="000159A6">
        <w:rPr>
          <w:lang w:eastAsia="en-AU"/>
        </w:rPr>
        <w:t xml:space="preserve"> </w:t>
      </w:r>
      <w:r w:rsidRPr="00524314">
        <w:rPr>
          <w:lang w:eastAsia="en-AU"/>
        </w:rPr>
        <w:t>of</w:t>
      </w:r>
      <w:r w:rsidR="000159A6">
        <w:rPr>
          <w:lang w:eastAsia="en-AU"/>
        </w:rPr>
        <w:t xml:space="preserve"> </w:t>
      </w:r>
      <w:r w:rsidRPr="00524314">
        <w:rPr>
          <w:lang w:eastAsia="en-AU"/>
        </w:rPr>
        <w:t>patients</w:t>
      </w:r>
      <w:r w:rsidR="000159A6">
        <w:rPr>
          <w:lang w:eastAsia="en-AU"/>
        </w:rPr>
        <w:t xml:space="preserve"> </w:t>
      </w:r>
      <w:r w:rsidRPr="00524314">
        <w:rPr>
          <w:lang w:eastAsia="en-AU"/>
        </w:rPr>
        <w:t>with</w:t>
      </w:r>
      <w:r w:rsidR="000159A6">
        <w:rPr>
          <w:lang w:eastAsia="en-AU"/>
        </w:rPr>
        <w:t xml:space="preserve"> </w:t>
      </w:r>
      <w:r w:rsidRPr="00524314">
        <w:rPr>
          <w:lang w:eastAsia="en-AU"/>
        </w:rPr>
        <w:t>HZ</w:t>
      </w:r>
      <w:r w:rsidR="009C0E5D" w:rsidRPr="00524314">
        <w:rPr>
          <w:lang w:eastAsia="en-AU"/>
        </w:rPr>
        <w:t>.</w:t>
      </w:r>
      <w:r w:rsidR="000159A6">
        <w:rPr>
          <w:lang w:eastAsia="en-AU"/>
        </w:rPr>
        <w:t xml:space="preserve"> </w:t>
      </w:r>
      <w:r w:rsidRPr="00524314">
        <w:rPr>
          <w:lang w:eastAsia="en-AU"/>
        </w:rPr>
        <w:t>The</w:t>
      </w:r>
      <w:r w:rsidR="000159A6">
        <w:rPr>
          <w:lang w:eastAsia="en-AU"/>
        </w:rPr>
        <w:t xml:space="preserve"> </w:t>
      </w:r>
      <w:r w:rsidRPr="00524314">
        <w:rPr>
          <w:lang w:eastAsia="en-AU"/>
        </w:rPr>
        <w:t>most</w:t>
      </w:r>
      <w:r w:rsidR="000159A6">
        <w:rPr>
          <w:lang w:eastAsia="en-AU"/>
        </w:rPr>
        <w:t xml:space="preserve"> </w:t>
      </w:r>
      <w:r w:rsidRPr="00524314">
        <w:rPr>
          <w:lang w:eastAsia="en-AU"/>
        </w:rPr>
        <w:t>frequent</w:t>
      </w:r>
      <w:r w:rsidR="000159A6">
        <w:rPr>
          <w:lang w:eastAsia="en-AU"/>
        </w:rPr>
        <w:t xml:space="preserve"> </w:t>
      </w:r>
      <w:r w:rsidRPr="00524314">
        <w:rPr>
          <w:lang w:eastAsia="en-AU"/>
        </w:rPr>
        <w:t>is</w:t>
      </w:r>
      <w:r w:rsidR="000159A6">
        <w:rPr>
          <w:lang w:eastAsia="en-AU"/>
        </w:rPr>
        <w:t xml:space="preserve"> </w:t>
      </w:r>
      <w:r w:rsidRPr="00524314">
        <w:rPr>
          <w:lang w:eastAsia="en-AU"/>
        </w:rPr>
        <w:t>post</w:t>
      </w:r>
      <w:r w:rsidR="000159A6">
        <w:rPr>
          <w:lang w:eastAsia="en-AU"/>
        </w:rPr>
        <w:t xml:space="preserve"> </w:t>
      </w:r>
      <w:r w:rsidRPr="00524314">
        <w:rPr>
          <w:lang w:eastAsia="en-AU"/>
        </w:rPr>
        <w:t>herpetic</w:t>
      </w:r>
      <w:r w:rsidR="000159A6">
        <w:rPr>
          <w:lang w:eastAsia="en-AU"/>
        </w:rPr>
        <w:t xml:space="preserve"> </w:t>
      </w:r>
      <w:r w:rsidRPr="00524314">
        <w:rPr>
          <w:lang w:eastAsia="en-AU"/>
        </w:rPr>
        <w:t>neuralgia</w:t>
      </w:r>
      <w:r w:rsidR="000159A6">
        <w:rPr>
          <w:lang w:eastAsia="en-AU"/>
        </w:rPr>
        <w:t xml:space="preserve"> </w:t>
      </w:r>
      <w:r w:rsidRPr="00524314">
        <w:rPr>
          <w:lang w:eastAsia="en-AU"/>
        </w:rPr>
        <w:t>(PHN)</w:t>
      </w:r>
      <w:r w:rsidR="005969F1">
        <w:rPr>
          <w:lang w:eastAsia="en-AU"/>
        </w:rPr>
        <w:t>.</w:t>
      </w:r>
      <w:r w:rsidR="0021610E" w:rsidRPr="007B3954">
        <w:t>which</w:t>
      </w:r>
      <w:r w:rsidR="000159A6">
        <w:t xml:space="preserve"> </w:t>
      </w:r>
      <w:r w:rsidR="0021610E" w:rsidRPr="007B3954">
        <w:t>is</w:t>
      </w:r>
      <w:r w:rsidR="000159A6">
        <w:t xml:space="preserve"> </w:t>
      </w:r>
      <w:r w:rsidR="0021610E" w:rsidRPr="007B3954">
        <w:t>neuropathic</w:t>
      </w:r>
      <w:r w:rsidR="000159A6">
        <w:t xml:space="preserve"> </w:t>
      </w:r>
      <w:r w:rsidR="0021610E" w:rsidRPr="007B3954">
        <w:t>pain</w:t>
      </w:r>
      <w:r w:rsidR="000159A6">
        <w:t xml:space="preserve"> </w:t>
      </w:r>
      <w:r w:rsidR="0021610E" w:rsidRPr="007B3954">
        <w:t>persisting</w:t>
      </w:r>
      <w:r w:rsidR="000159A6">
        <w:t xml:space="preserve"> </w:t>
      </w:r>
      <w:r w:rsidR="0021610E" w:rsidRPr="007B3954">
        <w:t>after</w:t>
      </w:r>
      <w:r w:rsidR="000159A6">
        <w:t xml:space="preserve"> </w:t>
      </w:r>
      <w:r w:rsidR="0021610E" w:rsidRPr="007B3954">
        <w:t>the</w:t>
      </w:r>
      <w:r w:rsidR="000159A6">
        <w:t xml:space="preserve"> </w:t>
      </w:r>
      <w:r w:rsidR="0021610E" w:rsidRPr="007B3954">
        <w:t>rash</w:t>
      </w:r>
      <w:r w:rsidR="000159A6">
        <w:t xml:space="preserve"> </w:t>
      </w:r>
      <w:r w:rsidR="0021610E" w:rsidRPr="007B3954">
        <w:t>has</w:t>
      </w:r>
      <w:r w:rsidR="000159A6">
        <w:t xml:space="preserve"> </w:t>
      </w:r>
      <w:r w:rsidR="0021610E" w:rsidRPr="007B3954">
        <w:t>healed</w:t>
      </w:r>
      <w:r w:rsidR="00991939">
        <w:t>.</w:t>
      </w:r>
      <w:r w:rsidR="0021610E">
        <w:rPr>
          <w:rStyle w:val="FootnoteReference"/>
        </w:rPr>
        <w:footnoteReference w:id="9"/>
      </w:r>
    </w:p>
    <w:p w14:paraId="3DA1D1E1" w14:textId="3C152EBB" w:rsidR="007553D3" w:rsidRDefault="007553D3" w:rsidP="00C5388D">
      <w:pPr>
        <w:rPr>
          <w:color w:val="222222"/>
        </w:rPr>
      </w:pPr>
      <w:r>
        <w:t>The</w:t>
      </w:r>
      <w:r w:rsidR="000159A6">
        <w:t xml:space="preserve"> </w:t>
      </w:r>
      <w:r>
        <w:t>risk</w:t>
      </w:r>
      <w:r w:rsidR="000159A6">
        <w:t xml:space="preserve"> </w:t>
      </w:r>
      <w:r>
        <w:t>of</w:t>
      </w:r>
      <w:r w:rsidR="000159A6">
        <w:t xml:space="preserve"> </w:t>
      </w:r>
      <w:r>
        <w:t>PHN</w:t>
      </w:r>
      <w:r w:rsidR="000159A6">
        <w:t xml:space="preserve"> </w:t>
      </w:r>
      <w:r>
        <w:t>increases</w:t>
      </w:r>
      <w:r w:rsidR="000159A6">
        <w:t xml:space="preserve"> </w:t>
      </w:r>
      <w:r>
        <w:t>with</w:t>
      </w:r>
      <w:r w:rsidR="000159A6">
        <w:t xml:space="preserve"> </w:t>
      </w:r>
      <w:r>
        <w:t>age</w:t>
      </w:r>
      <w:r w:rsidR="000159A6">
        <w:t xml:space="preserve"> </w:t>
      </w:r>
      <w:r>
        <w:t>up</w:t>
      </w:r>
      <w:r w:rsidR="000159A6">
        <w:t xml:space="preserve"> </w:t>
      </w:r>
      <w:r>
        <w:t>to</w:t>
      </w:r>
      <w:r w:rsidR="000159A6">
        <w:t xml:space="preserve"> </w:t>
      </w:r>
      <w:r>
        <w:t>about</w:t>
      </w:r>
      <w:r w:rsidR="000159A6">
        <w:t xml:space="preserve"> </w:t>
      </w:r>
      <w:r>
        <w:t>1</w:t>
      </w:r>
      <w:r w:rsidR="000159A6">
        <w:t xml:space="preserve"> </w:t>
      </w:r>
      <w:r>
        <w:t>in</w:t>
      </w:r>
      <w:r w:rsidR="000159A6">
        <w:t xml:space="preserve"> </w:t>
      </w:r>
      <w:r>
        <w:t>5</w:t>
      </w:r>
      <w:r w:rsidR="000159A6">
        <w:t xml:space="preserve"> </w:t>
      </w:r>
      <w:r>
        <w:t>of</w:t>
      </w:r>
      <w:r w:rsidR="000159A6">
        <w:t xml:space="preserve"> </w:t>
      </w:r>
      <w:r>
        <w:t>those</w:t>
      </w:r>
      <w:r w:rsidR="000159A6">
        <w:t xml:space="preserve"> </w:t>
      </w:r>
      <w:r>
        <w:t>aged</w:t>
      </w:r>
      <w:r w:rsidR="000159A6">
        <w:t xml:space="preserve"> </w:t>
      </w:r>
      <w:r>
        <w:t>over</w:t>
      </w:r>
      <w:r w:rsidR="000159A6">
        <w:t xml:space="preserve"> </w:t>
      </w:r>
      <w:r>
        <w:t>80</w:t>
      </w:r>
      <w:r w:rsidR="000159A6">
        <w:t xml:space="preserve"> </w:t>
      </w:r>
      <w:r>
        <w:t>years</w:t>
      </w:r>
      <w:r w:rsidR="000159A6">
        <w:t xml:space="preserve"> </w:t>
      </w:r>
      <w:r>
        <w:t>compared</w:t>
      </w:r>
      <w:r w:rsidR="000159A6">
        <w:t xml:space="preserve"> </w:t>
      </w:r>
      <w:r>
        <w:t>to</w:t>
      </w:r>
      <w:r w:rsidR="000159A6">
        <w:t xml:space="preserve"> </w:t>
      </w:r>
      <w:r>
        <w:t>1</w:t>
      </w:r>
      <w:r w:rsidR="000159A6">
        <w:t xml:space="preserve"> </w:t>
      </w:r>
      <w:r>
        <w:t>in</w:t>
      </w:r>
      <w:r w:rsidR="000159A6">
        <w:t xml:space="preserve"> </w:t>
      </w:r>
      <w:r>
        <w:t>10</w:t>
      </w:r>
      <w:r w:rsidR="000159A6">
        <w:t xml:space="preserve"> </w:t>
      </w:r>
      <w:r>
        <w:t>of</w:t>
      </w:r>
      <w:r w:rsidR="000159A6">
        <w:t xml:space="preserve"> </w:t>
      </w:r>
      <w:r>
        <w:t>those</w:t>
      </w:r>
      <w:r w:rsidR="000159A6">
        <w:t xml:space="preserve"> </w:t>
      </w:r>
      <w:r>
        <w:t>aged</w:t>
      </w:r>
      <w:r w:rsidR="000159A6">
        <w:t xml:space="preserve"> </w:t>
      </w:r>
      <w:r>
        <w:t>50</w:t>
      </w:r>
      <w:r w:rsidR="000159A6">
        <w:t xml:space="preserve"> </w:t>
      </w:r>
      <w:r>
        <w:t>to</w:t>
      </w:r>
      <w:r w:rsidR="000159A6">
        <w:t xml:space="preserve"> </w:t>
      </w:r>
      <w:r>
        <w:t>59</w:t>
      </w:r>
      <w:r w:rsidR="000159A6">
        <w:t xml:space="preserve"> </w:t>
      </w:r>
      <w:r>
        <w:t>years.</w:t>
      </w:r>
      <w:r w:rsidR="000159A6">
        <w:t xml:space="preserve"> </w:t>
      </w:r>
      <w:r w:rsidRPr="00901EDB">
        <w:t>Other</w:t>
      </w:r>
      <w:r w:rsidR="000159A6">
        <w:t xml:space="preserve"> </w:t>
      </w:r>
      <w:r w:rsidRPr="00901EDB">
        <w:t>complications</w:t>
      </w:r>
      <w:r w:rsidR="000159A6">
        <w:t xml:space="preserve"> </w:t>
      </w:r>
      <w:r w:rsidRPr="00901EDB">
        <w:t>included</w:t>
      </w:r>
      <w:r w:rsidR="000159A6">
        <w:t xml:space="preserve"> </w:t>
      </w:r>
      <w:r w:rsidRPr="00901EDB">
        <w:t>ophthalmic</w:t>
      </w:r>
      <w:r w:rsidR="000159A6">
        <w:t xml:space="preserve"> </w:t>
      </w:r>
      <w:r w:rsidRPr="00901EDB">
        <w:t>disease,</w:t>
      </w:r>
      <w:r w:rsidR="000159A6">
        <w:t xml:space="preserve"> </w:t>
      </w:r>
      <w:r w:rsidRPr="00901EDB">
        <w:rPr>
          <w:color w:val="222222"/>
        </w:rPr>
        <w:t>neurological</w:t>
      </w:r>
      <w:r w:rsidR="000159A6">
        <w:rPr>
          <w:color w:val="222222"/>
        </w:rPr>
        <w:t xml:space="preserve"> </w:t>
      </w:r>
      <w:r w:rsidRPr="00901EDB">
        <w:rPr>
          <w:color w:val="222222"/>
        </w:rPr>
        <w:t>complications</w:t>
      </w:r>
      <w:r w:rsidR="000159A6">
        <w:rPr>
          <w:color w:val="222222"/>
        </w:rPr>
        <w:t xml:space="preserve"> </w:t>
      </w:r>
      <w:r w:rsidRPr="00901EDB">
        <w:rPr>
          <w:color w:val="222222"/>
        </w:rPr>
        <w:t>(</w:t>
      </w:r>
      <w:r>
        <w:rPr>
          <w:color w:val="222222"/>
        </w:rPr>
        <w:t>for</w:t>
      </w:r>
      <w:r w:rsidR="000159A6">
        <w:rPr>
          <w:color w:val="222222"/>
        </w:rPr>
        <w:t xml:space="preserve"> </w:t>
      </w:r>
      <w:r>
        <w:rPr>
          <w:color w:val="222222"/>
        </w:rPr>
        <w:t>example</w:t>
      </w:r>
      <w:r w:rsidR="000159A6">
        <w:rPr>
          <w:color w:val="222222"/>
        </w:rPr>
        <w:t xml:space="preserve"> </w:t>
      </w:r>
      <w:r w:rsidRPr="00901EDB">
        <w:rPr>
          <w:color w:val="222222"/>
        </w:rPr>
        <w:t>meningoencephalitis</w:t>
      </w:r>
      <w:r w:rsidR="000159A6">
        <w:rPr>
          <w:color w:val="222222"/>
        </w:rPr>
        <w:t xml:space="preserve"> </w:t>
      </w:r>
      <w:r w:rsidRPr="00901EDB">
        <w:rPr>
          <w:color w:val="222222"/>
        </w:rPr>
        <w:t>and</w:t>
      </w:r>
      <w:r w:rsidR="000159A6">
        <w:rPr>
          <w:color w:val="222222"/>
        </w:rPr>
        <w:t xml:space="preserve"> </w:t>
      </w:r>
      <w:r w:rsidRPr="00901EDB">
        <w:rPr>
          <w:color w:val="222222"/>
        </w:rPr>
        <w:t>myelitis),</w:t>
      </w:r>
      <w:r w:rsidR="000159A6">
        <w:rPr>
          <w:color w:val="222222"/>
        </w:rPr>
        <w:t xml:space="preserve"> </w:t>
      </w:r>
      <w:r w:rsidRPr="00901EDB">
        <w:rPr>
          <w:color w:val="222222"/>
        </w:rPr>
        <w:t>secondary</w:t>
      </w:r>
      <w:r w:rsidR="000159A6">
        <w:rPr>
          <w:color w:val="222222"/>
        </w:rPr>
        <w:t xml:space="preserve"> </w:t>
      </w:r>
      <w:r w:rsidRPr="00901EDB">
        <w:rPr>
          <w:color w:val="222222"/>
        </w:rPr>
        <w:t>bacterial</w:t>
      </w:r>
      <w:r w:rsidR="000159A6">
        <w:rPr>
          <w:color w:val="222222"/>
        </w:rPr>
        <w:t xml:space="preserve"> </w:t>
      </w:r>
      <w:r w:rsidRPr="00901EDB">
        <w:rPr>
          <w:color w:val="222222"/>
        </w:rPr>
        <w:t>skin</w:t>
      </w:r>
      <w:r w:rsidR="000159A6">
        <w:rPr>
          <w:color w:val="222222"/>
        </w:rPr>
        <w:t xml:space="preserve"> </w:t>
      </w:r>
      <w:r w:rsidRPr="00901EDB">
        <w:rPr>
          <w:color w:val="222222"/>
        </w:rPr>
        <w:t>infection,</w:t>
      </w:r>
      <w:r w:rsidR="000159A6">
        <w:rPr>
          <w:color w:val="222222"/>
        </w:rPr>
        <w:t xml:space="preserve"> </w:t>
      </w:r>
      <w:r w:rsidRPr="00901EDB">
        <w:rPr>
          <w:color w:val="222222"/>
        </w:rPr>
        <w:t>scarring</w:t>
      </w:r>
      <w:r w:rsidR="000159A6">
        <w:rPr>
          <w:color w:val="222222"/>
        </w:rPr>
        <w:t xml:space="preserve"> </w:t>
      </w:r>
      <w:r w:rsidRPr="00901EDB">
        <w:rPr>
          <w:color w:val="222222"/>
        </w:rPr>
        <w:t>and</w:t>
      </w:r>
      <w:r w:rsidR="000159A6">
        <w:rPr>
          <w:color w:val="222222"/>
        </w:rPr>
        <w:t xml:space="preserve"> </w:t>
      </w:r>
      <w:r w:rsidRPr="00901EDB">
        <w:rPr>
          <w:color w:val="222222"/>
        </w:rPr>
        <w:t>pneumonia.</w:t>
      </w:r>
      <w:r w:rsidR="000159A6">
        <w:rPr>
          <w:color w:val="222222"/>
        </w:rPr>
        <w:t xml:space="preserve"> </w:t>
      </w:r>
      <w:r>
        <w:rPr>
          <w:color w:val="222222"/>
        </w:rPr>
        <w:t>D</w:t>
      </w:r>
      <w:r w:rsidRPr="00901EDB">
        <w:rPr>
          <w:color w:val="222222"/>
        </w:rPr>
        <w:t>isseminated</w:t>
      </w:r>
      <w:r w:rsidR="000159A6">
        <w:rPr>
          <w:color w:val="222222"/>
        </w:rPr>
        <w:t xml:space="preserve"> </w:t>
      </w:r>
      <w:r w:rsidRPr="00901EDB">
        <w:rPr>
          <w:color w:val="222222"/>
        </w:rPr>
        <w:t>HZ</w:t>
      </w:r>
      <w:r w:rsidR="000159A6">
        <w:rPr>
          <w:color w:val="222222"/>
        </w:rPr>
        <w:t xml:space="preserve"> </w:t>
      </w:r>
      <w:r w:rsidRPr="00901EDB">
        <w:rPr>
          <w:color w:val="222222"/>
        </w:rPr>
        <w:t>may</w:t>
      </w:r>
      <w:r w:rsidR="000159A6">
        <w:rPr>
          <w:color w:val="222222"/>
        </w:rPr>
        <w:t xml:space="preserve"> </w:t>
      </w:r>
      <w:r w:rsidRPr="00901EDB">
        <w:rPr>
          <w:color w:val="222222"/>
        </w:rPr>
        <w:t>develop</w:t>
      </w:r>
      <w:r w:rsidR="000159A6">
        <w:rPr>
          <w:color w:val="222222"/>
        </w:rPr>
        <w:t xml:space="preserve"> </w:t>
      </w:r>
      <w:r>
        <w:rPr>
          <w:color w:val="222222"/>
        </w:rPr>
        <w:t>rarely</w:t>
      </w:r>
      <w:r w:rsidR="000159A6">
        <w:rPr>
          <w:color w:val="222222"/>
        </w:rPr>
        <w:t xml:space="preserve"> </w:t>
      </w:r>
      <w:r>
        <w:rPr>
          <w:color w:val="222222"/>
        </w:rPr>
        <w:t>and</w:t>
      </w:r>
      <w:r w:rsidR="000159A6">
        <w:rPr>
          <w:color w:val="222222"/>
        </w:rPr>
        <w:t xml:space="preserve"> </w:t>
      </w:r>
      <w:r>
        <w:rPr>
          <w:color w:val="222222"/>
        </w:rPr>
        <w:t>is</w:t>
      </w:r>
      <w:r w:rsidR="000159A6">
        <w:rPr>
          <w:color w:val="222222"/>
        </w:rPr>
        <w:t xml:space="preserve"> </w:t>
      </w:r>
      <w:r w:rsidRPr="00901EDB">
        <w:rPr>
          <w:color w:val="222222"/>
        </w:rPr>
        <w:t>more</w:t>
      </w:r>
      <w:r w:rsidR="000159A6">
        <w:rPr>
          <w:color w:val="222222"/>
        </w:rPr>
        <w:t xml:space="preserve"> </w:t>
      </w:r>
      <w:r w:rsidRPr="00901EDB">
        <w:rPr>
          <w:color w:val="222222"/>
        </w:rPr>
        <w:t>common</w:t>
      </w:r>
      <w:r w:rsidR="000159A6">
        <w:rPr>
          <w:color w:val="222222"/>
        </w:rPr>
        <w:t xml:space="preserve"> </w:t>
      </w:r>
      <w:r w:rsidRPr="00901EDB">
        <w:rPr>
          <w:color w:val="222222"/>
        </w:rPr>
        <w:t>in</w:t>
      </w:r>
      <w:r w:rsidR="000159A6">
        <w:rPr>
          <w:color w:val="222222"/>
        </w:rPr>
        <w:t xml:space="preserve"> </w:t>
      </w:r>
      <w:r>
        <w:rPr>
          <w:color w:val="222222"/>
        </w:rPr>
        <w:t>the</w:t>
      </w:r>
      <w:r w:rsidR="000159A6">
        <w:rPr>
          <w:color w:val="222222"/>
        </w:rPr>
        <w:t xml:space="preserve"> </w:t>
      </w:r>
      <w:r w:rsidRPr="00901EDB">
        <w:rPr>
          <w:color w:val="222222"/>
        </w:rPr>
        <w:t>immunocompromised</w:t>
      </w:r>
      <w:r>
        <w:rPr>
          <w:color w:val="222222"/>
        </w:rPr>
        <w:t>.</w:t>
      </w:r>
    </w:p>
    <w:p w14:paraId="1729335A" w14:textId="7F770FE6" w:rsidR="007553D3" w:rsidRPr="008F7BC7" w:rsidRDefault="007553D3" w:rsidP="00C5388D">
      <w:pPr>
        <w:pStyle w:val="Heading4"/>
      </w:pPr>
      <w:bookmarkStart w:id="79" w:name="_Toc523409028"/>
      <w:r w:rsidRPr="008F7BC7">
        <w:t>Current</w:t>
      </w:r>
      <w:r w:rsidR="000159A6" w:rsidRPr="008F7BC7">
        <w:t xml:space="preserve"> </w:t>
      </w:r>
      <w:r w:rsidRPr="008F7BC7">
        <w:t>treatment</w:t>
      </w:r>
      <w:r w:rsidR="000159A6" w:rsidRPr="008F7BC7">
        <w:t xml:space="preserve"> </w:t>
      </w:r>
      <w:r w:rsidRPr="00C5388D">
        <w:t>options</w:t>
      </w:r>
      <w:bookmarkEnd w:id="79"/>
    </w:p>
    <w:p w14:paraId="7BEC9CD2" w14:textId="443C4405" w:rsidR="007553D3" w:rsidRDefault="007553D3" w:rsidP="00C5388D">
      <w:r w:rsidRPr="00BB5781">
        <w:t>Treatment</w:t>
      </w:r>
      <w:r w:rsidR="000159A6">
        <w:t xml:space="preserve"> </w:t>
      </w:r>
      <w:r w:rsidR="00302976">
        <w:t>during</w:t>
      </w:r>
      <w:r w:rsidR="000159A6">
        <w:t xml:space="preserve"> </w:t>
      </w:r>
      <w:r w:rsidR="00302976">
        <w:t>the</w:t>
      </w:r>
      <w:r w:rsidR="000159A6">
        <w:t xml:space="preserve"> </w:t>
      </w:r>
      <w:r w:rsidR="00302976">
        <w:t>acute</w:t>
      </w:r>
      <w:r w:rsidR="000159A6">
        <w:t xml:space="preserve"> </w:t>
      </w:r>
      <w:r w:rsidR="00302976">
        <w:t>phase</w:t>
      </w:r>
      <w:r w:rsidR="000159A6">
        <w:t xml:space="preserve"> </w:t>
      </w:r>
      <w:r w:rsidRPr="00BB5781">
        <w:t>of</w:t>
      </w:r>
      <w:r w:rsidR="000159A6">
        <w:t xml:space="preserve"> </w:t>
      </w:r>
      <w:r w:rsidRPr="00BB5781">
        <w:t>herpes</w:t>
      </w:r>
      <w:r w:rsidR="000159A6">
        <w:t xml:space="preserve"> </w:t>
      </w:r>
      <w:r w:rsidRPr="00BB5781">
        <w:t>zoster</w:t>
      </w:r>
      <w:r w:rsidR="000159A6">
        <w:t xml:space="preserve"> </w:t>
      </w:r>
      <w:r w:rsidRPr="00BB5781">
        <w:t>is</w:t>
      </w:r>
      <w:r w:rsidR="000159A6">
        <w:t xml:space="preserve"> </w:t>
      </w:r>
      <w:r w:rsidRPr="00BB5781">
        <w:t>with</w:t>
      </w:r>
      <w:r w:rsidR="000159A6">
        <w:t xml:space="preserve"> </w:t>
      </w:r>
      <w:r>
        <w:t>oral</w:t>
      </w:r>
      <w:r w:rsidR="000159A6">
        <w:t xml:space="preserve"> </w:t>
      </w:r>
      <w:r w:rsidRPr="00BB5781">
        <w:t>antiviral</w:t>
      </w:r>
      <w:r w:rsidR="000159A6">
        <w:t xml:space="preserve"> </w:t>
      </w:r>
      <w:r w:rsidRPr="00BB5781">
        <w:t>therapy</w:t>
      </w:r>
      <w:r w:rsidR="000159A6">
        <w:t xml:space="preserve"> </w:t>
      </w:r>
      <w:r w:rsidRPr="00BB5781">
        <w:t>which</w:t>
      </w:r>
      <w:r w:rsidR="000159A6">
        <w:t xml:space="preserve"> </w:t>
      </w:r>
      <w:r w:rsidRPr="00BB5781">
        <w:t>can</w:t>
      </w:r>
      <w:r w:rsidR="000159A6">
        <w:t xml:space="preserve"> </w:t>
      </w:r>
      <w:r w:rsidRPr="00BB5781">
        <w:t>hasten</w:t>
      </w:r>
      <w:r w:rsidR="000159A6">
        <w:t xml:space="preserve"> </w:t>
      </w:r>
      <w:r w:rsidRPr="00BB5781">
        <w:t>healing</w:t>
      </w:r>
      <w:r w:rsidR="000159A6">
        <w:t xml:space="preserve"> </w:t>
      </w:r>
      <w:r w:rsidRPr="00BB5781">
        <w:t>of</w:t>
      </w:r>
      <w:r w:rsidR="000159A6">
        <w:t xml:space="preserve"> </w:t>
      </w:r>
      <w:r w:rsidRPr="00BB5781">
        <w:t>lesions</w:t>
      </w:r>
      <w:r w:rsidR="000159A6">
        <w:t xml:space="preserve"> </w:t>
      </w:r>
      <w:r w:rsidRPr="00BB5781">
        <w:t>and</w:t>
      </w:r>
      <w:r w:rsidR="000159A6">
        <w:t xml:space="preserve"> </w:t>
      </w:r>
      <w:r w:rsidRPr="00BB5781">
        <w:t>decrease</w:t>
      </w:r>
      <w:r w:rsidR="000159A6">
        <w:t xml:space="preserve"> </w:t>
      </w:r>
      <w:r w:rsidRPr="00BB5781">
        <w:t>the</w:t>
      </w:r>
      <w:r w:rsidR="000159A6">
        <w:t xml:space="preserve"> </w:t>
      </w:r>
      <w:r w:rsidRPr="00BB5781">
        <w:t>duration</w:t>
      </w:r>
      <w:r w:rsidR="000159A6">
        <w:t xml:space="preserve"> </w:t>
      </w:r>
      <w:r w:rsidRPr="00BB5781">
        <w:t>and</w:t>
      </w:r>
      <w:r w:rsidR="000159A6">
        <w:t xml:space="preserve"> </w:t>
      </w:r>
      <w:r w:rsidRPr="00BB5781">
        <w:t>severity</w:t>
      </w:r>
      <w:r w:rsidR="000159A6">
        <w:t xml:space="preserve"> </w:t>
      </w:r>
      <w:r w:rsidRPr="00BB5781">
        <w:t>of</w:t>
      </w:r>
      <w:r w:rsidR="000159A6">
        <w:t xml:space="preserve"> </w:t>
      </w:r>
      <w:r w:rsidRPr="00BB5781">
        <w:t>neuritis.</w:t>
      </w:r>
      <w:r w:rsidR="000159A6">
        <w:t xml:space="preserve"> </w:t>
      </w:r>
      <w:r>
        <w:t>Treatment</w:t>
      </w:r>
      <w:r w:rsidR="000159A6">
        <w:t xml:space="preserve"> </w:t>
      </w:r>
      <w:r>
        <w:t>needs</w:t>
      </w:r>
      <w:r w:rsidR="000159A6">
        <w:t xml:space="preserve"> </w:t>
      </w:r>
      <w:r>
        <w:t>to</w:t>
      </w:r>
      <w:r w:rsidR="000159A6">
        <w:t xml:space="preserve"> </w:t>
      </w:r>
      <w:r>
        <w:t>be</w:t>
      </w:r>
      <w:r w:rsidR="000159A6">
        <w:t xml:space="preserve"> </w:t>
      </w:r>
      <w:r>
        <w:t>given</w:t>
      </w:r>
      <w:r w:rsidR="000159A6">
        <w:t xml:space="preserve"> </w:t>
      </w:r>
      <w:r>
        <w:t>within</w:t>
      </w:r>
      <w:r w:rsidR="000159A6">
        <w:t xml:space="preserve"> </w:t>
      </w:r>
      <w:r>
        <w:t>72</w:t>
      </w:r>
      <w:r w:rsidR="000159A6">
        <w:t xml:space="preserve"> </w:t>
      </w:r>
      <w:r>
        <w:t>hours</w:t>
      </w:r>
      <w:r w:rsidR="000159A6">
        <w:t xml:space="preserve"> </w:t>
      </w:r>
      <w:r>
        <w:t>of</w:t>
      </w:r>
      <w:r w:rsidR="000159A6">
        <w:t xml:space="preserve"> </w:t>
      </w:r>
      <w:r>
        <w:t>rash</w:t>
      </w:r>
      <w:r w:rsidR="000159A6">
        <w:t xml:space="preserve"> </w:t>
      </w:r>
      <w:r>
        <w:t>onset.</w:t>
      </w:r>
      <w:r w:rsidR="000159A6">
        <w:t xml:space="preserve"> </w:t>
      </w:r>
      <w:r w:rsidRPr="00BB5781">
        <w:t>The</w:t>
      </w:r>
      <w:r w:rsidR="000159A6">
        <w:t xml:space="preserve"> </w:t>
      </w:r>
      <w:r w:rsidRPr="00BB5781">
        <w:t>Australian</w:t>
      </w:r>
      <w:r w:rsidR="000159A6">
        <w:t xml:space="preserve"> </w:t>
      </w:r>
      <w:r w:rsidRPr="00BB5781">
        <w:t>Immunisation</w:t>
      </w:r>
      <w:r w:rsidR="000159A6">
        <w:t xml:space="preserve"> </w:t>
      </w:r>
      <w:r w:rsidRPr="00BB5781">
        <w:t>Handbook</w:t>
      </w:r>
      <w:r w:rsidR="009C0E5D" w:rsidRPr="009C0E5D">
        <w:rPr>
          <w:vertAlign w:val="superscript"/>
        </w:rPr>
        <w:fldChar w:fldCharType="begin"/>
      </w:r>
      <w:r w:rsidR="009C0E5D" w:rsidRPr="009C0E5D">
        <w:rPr>
          <w:vertAlign w:val="superscript"/>
        </w:rPr>
        <w:instrText xml:space="preserve"> NOTEREF _Ref523925361 \h </w:instrText>
      </w:r>
      <w:r w:rsidR="009C0E5D">
        <w:rPr>
          <w:vertAlign w:val="superscript"/>
        </w:rPr>
        <w:instrText xml:space="preserve"> \* MERGEFORMAT </w:instrText>
      </w:r>
      <w:r w:rsidR="009C0E5D" w:rsidRPr="009C0E5D">
        <w:rPr>
          <w:vertAlign w:val="superscript"/>
        </w:rPr>
      </w:r>
      <w:r w:rsidR="009C0E5D" w:rsidRPr="009C0E5D">
        <w:rPr>
          <w:vertAlign w:val="superscript"/>
        </w:rPr>
        <w:fldChar w:fldCharType="separate"/>
      </w:r>
      <w:r w:rsidR="009C0E5D" w:rsidRPr="009C0E5D">
        <w:rPr>
          <w:vertAlign w:val="superscript"/>
        </w:rPr>
        <w:t>4</w:t>
      </w:r>
      <w:r w:rsidR="009C0E5D" w:rsidRPr="009C0E5D">
        <w:rPr>
          <w:vertAlign w:val="superscript"/>
        </w:rPr>
        <w:fldChar w:fldCharType="end"/>
      </w:r>
      <w:r w:rsidR="000159A6">
        <w:t xml:space="preserve"> </w:t>
      </w:r>
      <w:r w:rsidRPr="00BB5781">
        <w:t>notes</w:t>
      </w:r>
      <w:r>
        <w:t>:</w:t>
      </w:r>
    </w:p>
    <w:p w14:paraId="5434783A" w14:textId="4CAD2AF4" w:rsidR="007553D3" w:rsidRPr="00796166" w:rsidRDefault="007553D3" w:rsidP="007553D3">
      <w:pPr>
        <w:ind w:left="720"/>
      </w:pPr>
      <w:r>
        <w:t>‘</w:t>
      </w:r>
      <w:proofErr w:type="gramStart"/>
      <w:r w:rsidRPr="00796166">
        <w:t>that</w:t>
      </w:r>
      <w:proofErr w:type="gramEnd"/>
      <w:r w:rsidR="000159A6">
        <w:t xml:space="preserve"> </w:t>
      </w:r>
      <w:r w:rsidRPr="00796166">
        <w:t>antiviral</w:t>
      </w:r>
      <w:r w:rsidR="000159A6">
        <w:t xml:space="preserve"> </w:t>
      </w:r>
      <w:r w:rsidRPr="00796166">
        <w:t>therapy,</w:t>
      </w:r>
      <w:r w:rsidR="000159A6">
        <w:t xml:space="preserve"> </w:t>
      </w:r>
      <w:r w:rsidRPr="00796166">
        <w:t>if</w:t>
      </w:r>
      <w:r w:rsidR="000159A6">
        <w:t xml:space="preserve"> </w:t>
      </w:r>
      <w:r w:rsidRPr="00796166">
        <w:t>initiated</w:t>
      </w:r>
      <w:r w:rsidR="000159A6">
        <w:t xml:space="preserve"> </w:t>
      </w:r>
      <w:r w:rsidRPr="00796166">
        <w:t>within</w:t>
      </w:r>
      <w:r w:rsidR="000159A6">
        <w:t xml:space="preserve"> </w:t>
      </w:r>
      <w:r w:rsidRPr="00796166">
        <w:t>3</w:t>
      </w:r>
      <w:r w:rsidR="000159A6">
        <w:t xml:space="preserve"> </w:t>
      </w:r>
      <w:r w:rsidRPr="00796166">
        <w:t>days</w:t>
      </w:r>
      <w:r w:rsidR="000159A6">
        <w:t xml:space="preserve"> </w:t>
      </w:r>
      <w:r w:rsidRPr="00796166">
        <w:t>of</w:t>
      </w:r>
      <w:r w:rsidR="000159A6">
        <w:t xml:space="preserve"> </w:t>
      </w:r>
      <w:r w:rsidRPr="00796166">
        <w:t>the</w:t>
      </w:r>
      <w:r w:rsidR="000159A6">
        <w:t xml:space="preserve"> </w:t>
      </w:r>
      <w:r w:rsidRPr="00796166">
        <w:t>onset</w:t>
      </w:r>
      <w:r w:rsidR="000159A6">
        <w:t xml:space="preserve"> </w:t>
      </w:r>
      <w:r w:rsidRPr="00796166">
        <w:t>of</w:t>
      </w:r>
      <w:r w:rsidR="000159A6">
        <w:t xml:space="preserve"> </w:t>
      </w:r>
      <w:r w:rsidRPr="00796166">
        <w:t>HZ,</w:t>
      </w:r>
      <w:r w:rsidR="000159A6">
        <w:t xml:space="preserve"> </w:t>
      </w:r>
      <w:r w:rsidRPr="00796166">
        <w:t>has</w:t>
      </w:r>
      <w:r w:rsidR="000159A6">
        <w:t xml:space="preserve"> </w:t>
      </w:r>
      <w:r w:rsidRPr="00796166">
        <w:t>been</w:t>
      </w:r>
      <w:r w:rsidR="000159A6">
        <w:t xml:space="preserve"> </w:t>
      </w:r>
      <w:r w:rsidRPr="00796166">
        <w:t>shown</w:t>
      </w:r>
      <w:r w:rsidR="000159A6">
        <w:t xml:space="preserve"> </w:t>
      </w:r>
      <w:r w:rsidRPr="00796166">
        <w:t>to</w:t>
      </w:r>
      <w:r w:rsidR="000159A6">
        <w:t xml:space="preserve"> </w:t>
      </w:r>
      <w:r w:rsidRPr="00796166">
        <w:t>reduce</w:t>
      </w:r>
      <w:r w:rsidR="000159A6">
        <w:t xml:space="preserve"> </w:t>
      </w:r>
      <w:r w:rsidRPr="00796166">
        <w:t>the</w:t>
      </w:r>
      <w:r w:rsidR="000159A6">
        <w:t xml:space="preserve"> </w:t>
      </w:r>
      <w:r w:rsidRPr="00796166">
        <w:t>severity</w:t>
      </w:r>
      <w:r w:rsidR="000159A6">
        <w:t xml:space="preserve"> </w:t>
      </w:r>
      <w:r w:rsidRPr="00796166">
        <w:t>and</w:t>
      </w:r>
      <w:r w:rsidR="000159A6">
        <w:t xml:space="preserve"> </w:t>
      </w:r>
      <w:r w:rsidRPr="00796166">
        <w:t>duration</w:t>
      </w:r>
      <w:r w:rsidR="000159A6">
        <w:t xml:space="preserve"> </w:t>
      </w:r>
      <w:r w:rsidRPr="00796166">
        <w:t>of</w:t>
      </w:r>
      <w:r w:rsidR="000159A6">
        <w:t xml:space="preserve"> </w:t>
      </w:r>
      <w:r w:rsidRPr="00796166">
        <w:t>HZ</w:t>
      </w:r>
      <w:r w:rsidR="000159A6">
        <w:t xml:space="preserve"> </w:t>
      </w:r>
      <w:r w:rsidRPr="00796166">
        <w:t>and</w:t>
      </w:r>
      <w:r w:rsidR="000159A6">
        <w:t xml:space="preserve"> </w:t>
      </w:r>
      <w:r w:rsidRPr="00796166">
        <w:t>may</w:t>
      </w:r>
      <w:r w:rsidR="000159A6">
        <w:t xml:space="preserve"> </w:t>
      </w:r>
      <w:r w:rsidRPr="00796166">
        <w:t>reduce</w:t>
      </w:r>
      <w:r w:rsidR="000159A6">
        <w:t xml:space="preserve"> </w:t>
      </w:r>
      <w:r w:rsidRPr="00796166">
        <w:t>the</w:t>
      </w:r>
      <w:r w:rsidR="000159A6">
        <w:t xml:space="preserve"> </w:t>
      </w:r>
      <w:r w:rsidRPr="00796166">
        <w:t>risk</w:t>
      </w:r>
      <w:r w:rsidR="000159A6">
        <w:t xml:space="preserve"> </w:t>
      </w:r>
      <w:r w:rsidRPr="00796166">
        <w:t>of</w:t>
      </w:r>
      <w:r w:rsidR="000159A6">
        <w:t xml:space="preserve"> </w:t>
      </w:r>
      <w:r w:rsidRPr="00796166">
        <w:t>developing</w:t>
      </w:r>
      <w:r w:rsidR="000159A6">
        <w:t xml:space="preserve"> </w:t>
      </w:r>
      <w:r w:rsidRPr="00796166">
        <w:t>PHN.</w:t>
      </w:r>
      <w:r w:rsidR="000159A6">
        <w:t xml:space="preserve"> </w:t>
      </w:r>
      <w:r w:rsidRPr="00796166">
        <w:t>However,</w:t>
      </w:r>
      <w:r w:rsidR="000159A6">
        <w:t xml:space="preserve"> </w:t>
      </w:r>
      <w:r w:rsidRPr="00796166">
        <w:t>despite</w:t>
      </w:r>
      <w:r w:rsidR="000159A6">
        <w:t xml:space="preserve"> </w:t>
      </w:r>
      <w:r w:rsidRPr="00796166">
        <w:t>medical</w:t>
      </w:r>
      <w:r w:rsidR="000159A6">
        <w:t xml:space="preserve"> </w:t>
      </w:r>
      <w:r w:rsidRPr="00796166">
        <w:t>therapy,</w:t>
      </w:r>
      <w:r w:rsidR="000159A6">
        <w:t xml:space="preserve"> </w:t>
      </w:r>
      <w:r w:rsidRPr="00796166">
        <w:t>PHN</w:t>
      </w:r>
      <w:r w:rsidR="000159A6">
        <w:t xml:space="preserve"> </w:t>
      </w:r>
      <w:r w:rsidRPr="00796166">
        <w:t>may</w:t>
      </w:r>
      <w:r w:rsidR="000159A6">
        <w:t xml:space="preserve"> </w:t>
      </w:r>
      <w:r w:rsidRPr="00796166">
        <w:t>persist</w:t>
      </w:r>
      <w:r w:rsidR="000159A6">
        <w:t xml:space="preserve"> </w:t>
      </w:r>
      <w:r w:rsidRPr="00796166">
        <w:t>for</w:t>
      </w:r>
      <w:r w:rsidR="000159A6">
        <w:t xml:space="preserve"> </w:t>
      </w:r>
      <w:r w:rsidRPr="00796166">
        <w:t>years</w:t>
      </w:r>
      <w:r w:rsidR="000159A6">
        <w:t xml:space="preserve"> </w:t>
      </w:r>
      <w:r w:rsidRPr="00796166">
        <w:t>and</w:t>
      </w:r>
      <w:r w:rsidR="000159A6">
        <w:t xml:space="preserve"> </w:t>
      </w:r>
      <w:r w:rsidRPr="00796166">
        <w:t>can</w:t>
      </w:r>
      <w:r w:rsidR="000159A6">
        <w:t xml:space="preserve"> </w:t>
      </w:r>
      <w:r w:rsidRPr="00796166">
        <w:t>be</w:t>
      </w:r>
      <w:r w:rsidR="000159A6">
        <w:t xml:space="preserve"> </w:t>
      </w:r>
      <w:r w:rsidRPr="00796166">
        <w:t>refractory</w:t>
      </w:r>
      <w:r w:rsidR="000159A6">
        <w:t xml:space="preserve"> </w:t>
      </w:r>
      <w:r w:rsidRPr="00796166">
        <w:t>to</w:t>
      </w:r>
      <w:r w:rsidR="000159A6">
        <w:t xml:space="preserve"> </w:t>
      </w:r>
      <w:r w:rsidRPr="00796166">
        <w:t>treatment.</w:t>
      </w:r>
      <w:r>
        <w:t>’</w:t>
      </w:r>
    </w:p>
    <w:p w14:paraId="1849C8D1" w14:textId="17DA3C85" w:rsidR="007553D3" w:rsidRDefault="007553D3" w:rsidP="00C5388D">
      <w:pPr>
        <w:rPr>
          <w:lang w:eastAsia="ja-JP"/>
        </w:rPr>
      </w:pPr>
      <w:r w:rsidRPr="00BB5781">
        <w:rPr>
          <w:lang w:eastAsia="ja-JP"/>
        </w:rPr>
        <w:t>Those</w:t>
      </w:r>
      <w:r w:rsidR="000159A6">
        <w:rPr>
          <w:lang w:eastAsia="ja-JP"/>
        </w:rPr>
        <w:t xml:space="preserve"> </w:t>
      </w:r>
      <w:r w:rsidRPr="00BB5781">
        <w:rPr>
          <w:lang w:eastAsia="ja-JP"/>
        </w:rPr>
        <w:t>with</w:t>
      </w:r>
      <w:r w:rsidR="000159A6">
        <w:rPr>
          <w:lang w:eastAsia="ja-JP"/>
        </w:rPr>
        <w:t xml:space="preserve"> </w:t>
      </w:r>
      <w:r w:rsidRPr="00BB5781">
        <w:rPr>
          <w:lang w:eastAsia="ja-JP"/>
        </w:rPr>
        <w:t>complicated</w:t>
      </w:r>
      <w:r w:rsidR="000159A6">
        <w:rPr>
          <w:lang w:eastAsia="ja-JP"/>
        </w:rPr>
        <w:t xml:space="preserve"> </w:t>
      </w:r>
      <w:r w:rsidRPr="00BB5781">
        <w:rPr>
          <w:lang w:eastAsia="ja-JP"/>
        </w:rPr>
        <w:t>herpes</w:t>
      </w:r>
      <w:r w:rsidR="000159A6">
        <w:rPr>
          <w:lang w:eastAsia="ja-JP"/>
        </w:rPr>
        <w:t xml:space="preserve"> </w:t>
      </w:r>
      <w:r w:rsidRPr="00BB5781">
        <w:rPr>
          <w:lang w:eastAsia="ja-JP"/>
        </w:rPr>
        <w:t>zoster</w:t>
      </w:r>
      <w:r w:rsidR="000159A6">
        <w:rPr>
          <w:lang w:eastAsia="ja-JP"/>
        </w:rPr>
        <w:t xml:space="preserve"> </w:t>
      </w:r>
      <w:r w:rsidRPr="00BB5781">
        <w:rPr>
          <w:lang w:eastAsia="ja-JP"/>
        </w:rPr>
        <w:t>may</w:t>
      </w:r>
      <w:r w:rsidR="000159A6">
        <w:rPr>
          <w:lang w:eastAsia="ja-JP"/>
        </w:rPr>
        <w:t xml:space="preserve"> </w:t>
      </w:r>
      <w:r w:rsidRPr="00BB5781">
        <w:rPr>
          <w:lang w:eastAsia="ja-JP"/>
        </w:rPr>
        <w:t>require</w:t>
      </w:r>
      <w:r w:rsidR="000159A6">
        <w:rPr>
          <w:lang w:eastAsia="ja-JP"/>
        </w:rPr>
        <w:t xml:space="preserve"> </w:t>
      </w:r>
      <w:r w:rsidRPr="00BB5781">
        <w:rPr>
          <w:lang w:eastAsia="ja-JP"/>
        </w:rPr>
        <w:t>intravenous</w:t>
      </w:r>
      <w:r w:rsidR="000159A6">
        <w:rPr>
          <w:lang w:eastAsia="ja-JP"/>
        </w:rPr>
        <w:t xml:space="preserve"> </w:t>
      </w:r>
      <w:r w:rsidRPr="00BB5781">
        <w:rPr>
          <w:lang w:eastAsia="ja-JP"/>
        </w:rPr>
        <w:t>and</w:t>
      </w:r>
      <w:r w:rsidR="000159A6">
        <w:rPr>
          <w:lang w:eastAsia="ja-JP"/>
        </w:rPr>
        <w:t xml:space="preserve"> </w:t>
      </w:r>
      <w:r w:rsidRPr="00BB5781">
        <w:rPr>
          <w:lang w:eastAsia="ja-JP"/>
        </w:rPr>
        <w:t>or</w:t>
      </w:r>
      <w:r w:rsidR="000159A6">
        <w:rPr>
          <w:lang w:eastAsia="ja-JP"/>
        </w:rPr>
        <w:t xml:space="preserve"> </w:t>
      </w:r>
      <w:r w:rsidRPr="00BB5781">
        <w:rPr>
          <w:lang w:eastAsia="ja-JP"/>
        </w:rPr>
        <w:t>prolonged</w:t>
      </w:r>
      <w:r w:rsidR="000159A6">
        <w:rPr>
          <w:lang w:eastAsia="ja-JP"/>
        </w:rPr>
        <w:t xml:space="preserve"> </w:t>
      </w:r>
      <w:r w:rsidRPr="00BB5781">
        <w:rPr>
          <w:lang w:eastAsia="ja-JP"/>
        </w:rPr>
        <w:t>therapy.</w:t>
      </w:r>
    </w:p>
    <w:p w14:paraId="6285973B" w14:textId="457CD031" w:rsidR="007553D3" w:rsidRDefault="007553D3" w:rsidP="00C5388D">
      <w:r>
        <w:rPr>
          <w:lang w:eastAsia="ja-JP"/>
        </w:rPr>
        <w:t>In</w:t>
      </w:r>
      <w:r w:rsidR="000159A6">
        <w:rPr>
          <w:lang w:eastAsia="ja-JP"/>
        </w:rPr>
        <w:t xml:space="preserve"> </w:t>
      </w:r>
      <w:r>
        <w:rPr>
          <w:lang w:eastAsia="ja-JP"/>
        </w:rPr>
        <w:t>terms</w:t>
      </w:r>
      <w:r w:rsidR="000159A6">
        <w:rPr>
          <w:lang w:eastAsia="ja-JP"/>
        </w:rPr>
        <w:t xml:space="preserve"> </w:t>
      </w:r>
      <w:r>
        <w:rPr>
          <w:lang w:eastAsia="ja-JP"/>
        </w:rPr>
        <w:t>of</w:t>
      </w:r>
      <w:r w:rsidR="000159A6">
        <w:rPr>
          <w:lang w:eastAsia="ja-JP"/>
        </w:rPr>
        <w:t xml:space="preserve"> </w:t>
      </w:r>
      <w:r>
        <w:rPr>
          <w:lang w:eastAsia="ja-JP"/>
        </w:rPr>
        <w:t>prophylaxis</w:t>
      </w:r>
      <w:r w:rsidR="000159A6">
        <w:rPr>
          <w:lang w:eastAsia="ja-JP"/>
        </w:rPr>
        <w:t xml:space="preserve"> </w:t>
      </w:r>
      <w:r>
        <w:rPr>
          <w:lang w:eastAsia="ja-JP"/>
        </w:rPr>
        <w:t>th</w:t>
      </w:r>
      <w:r w:rsidRPr="00BB5781">
        <w:rPr>
          <w:lang w:eastAsia="ja-JP"/>
        </w:rPr>
        <w:t>ere</w:t>
      </w:r>
      <w:r w:rsidR="000159A6">
        <w:rPr>
          <w:lang w:eastAsia="ja-JP"/>
        </w:rPr>
        <w:t xml:space="preserve"> </w:t>
      </w:r>
      <w:r w:rsidRPr="00BB5781">
        <w:rPr>
          <w:lang w:eastAsia="ja-JP"/>
        </w:rPr>
        <w:t>is</w:t>
      </w:r>
      <w:r w:rsidR="000159A6">
        <w:rPr>
          <w:lang w:eastAsia="ja-JP"/>
        </w:rPr>
        <w:t xml:space="preserve"> </w:t>
      </w:r>
      <w:r w:rsidRPr="00BB5781">
        <w:rPr>
          <w:lang w:eastAsia="ja-JP"/>
        </w:rPr>
        <w:t>currently</w:t>
      </w:r>
      <w:r w:rsidR="000159A6">
        <w:rPr>
          <w:lang w:eastAsia="ja-JP"/>
        </w:rPr>
        <w:t xml:space="preserve"> </w:t>
      </w:r>
      <w:r w:rsidRPr="00BB5781">
        <w:rPr>
          <w:lang w:eastAsia="ja-JP"/>
        </w:rPr>
        <w:t>one</w:t>
      </w:r>
      <w:r w:rsidR="000159A6">
        <w:rPr>
          <w:lang w:eastAsia="ja-JP"/>
        </w:rPr>
        <w:t xml:space="preserve"> </w:t>
      </w:r>
      <w:r w:rsidRPr="00BB5781">
        <w:rPr>
          <w:lang w:eastAsia="ja-JP"/>
        </w:rPr>
        <w:t>h</w:t>
      </w:r>
      <w:r w:rsidRPr="00BB5781">
        <w:t>erpes</w:t>
      </w:r>
      <w:r w:rsidR="000159A6">
        <w:t xml:space="preserve"> </w:t>
      </w:r>
      <w:r w:rsidRPr="00BB5781">
        <w:t>zoster</w:t>
      </w:r>
      <w:r w:rsidR="000159A6">
        <w:t xml:space="preserve"> </w:t>
      </w:r>
      <w:r>
        <w:t>vaccine</w:t>
      </w:r>
      <w:r w:rsidR="000159A6">
        <w:t xml:space="preserve"> </w:t>
      </w:r>
      <w:r>
        <w:t>available</w:t>
      </w:r>
      <w:r w:rsidR="000159A6">
        <w:t xml:space="preserve"> </w:t>
      </w:r>
      <w:r>
        <w:t>in</w:t>
      </w:r>
      <w:r w:rsidR="000159A6">
        <w:t xml:space="preserve"> </w:t>
      </w:r>
      <w:r>
        <w:t>Australia;</w:t>
      </w:r>
      <w:r w:rsidR="000159A6">
        <w:t xml:space="preserve"> </w:t>
      </w:r>
      <w:r w:rsidRPr="00BB5781">
        <w:t>Zostavax.</w:t>
      </w:r>
      <w:r w:rsidR="000159A6">
        <w:t xml:space="preserve"> </w:t>
      </w:r>
      <w:r w:rsidRPr="00BB5781">
        <w:t>This</w:t>
      </w:r>
      <w:r w:rsidR="000159A6">
        <w:t xml:space="preserve"> </w:t>
      </w:r>
      <w:r w:rsidRPr="00BB5781">
        <w:t>is</w:t>
      </w:r>
      <w:r w:rsidR="000159A6">
        <w:t xml:space="preserve"> </w:t>
      </w:r>
      <w:r w:rsidRPr="00BB5781">
        <w:t>a</w:t>
      </w:r>
      <w:r w:rsidR="000159A6">
        <w:t xml:space="preserve"> </w:t>
      </w:r>
      <w:r w:rsidRPr="00BB5781">
        <w:t>lyophili</w:t>
      </w:r>
      <w:r w:rsidR="005969F1">
        <w:t>s</w:t>
      </w:r>
      <w:r w:rsidRPr="00BB5781">
        <w:t>ed</w:t>
      </w:r>
      <w:r w:rsidR="000159A6">
        <w:t xml:space="preserve"> </w:t>
      </w:r>
      <w:r w:rsidRPr="00BB5781">
        <w:t>preparation</w:t>
      </w:r>
      <w:r w:rsidR="000159A6">
        <w:t xml:space="preserve"> </w:t>
      </w:r>
      <w:r w:rsidRPr="00BB5781">
        <w:t>of</w:t>
      </w:r>
      <w:r w:rsidR="000159A6">
        <w:t xml:space="preserve"> </w:t>
      </w:r>
      <w:r w:rsidRPr="00BB5781">
        <w:t>the</w:t>
      </w:r>
      <w:r w:rsidR="000159A6">
        <w:t xml:space="preserve"> </w:t>
      </w:r>
      <w:r w:rsidRPr="00BB5781">
        <w:t>Oka/Merck</w:t>
      </w:r>
      <w:r w:rsidR="000159A6">
        <w:t xml:space="preserve"> </w:t>
      </w:r>
      <w:r w:rsidRPr="00BB5781">
        <w:t>strain</w:t>
      </w:r>
      <w:r w:rsidR="000159A6">
        <w:t xml:space="preserve"> </w:t>
      </w:r>
      <w:r w:rsidRPr="00BB5781">
        <w:t>of</w:t>
      </w:r>
      <w:r w:rsidR="000159A6">
        <w:t xml:space="preserve"> </w:t>
      </w:r>
      <w:r w:rsidRPr="00BB5781">
        <w:t>live,</w:t>
      </w:r>
      <w:r w:rsidR="000159A6">
        <w:t xml:space="preserve"> </w:t>
      </w:r>
      <w:r w:rsidRPr="00BB5781">
        <w:t>attenuated</w:t>
      </w:r>
      <w:r w:rsidR="000159A6">
        <w:t xml:space="preserve"> </w:t>
      </w:r>
      <w:r>
        <w:t>VZV</w:t>
      </w:r>
      <w:r w:rsidR="000159A6">
        <w:t xml:space="preserve"> </w:t>
      </w:r>
      <w:r>
        <w:t>given</w:t>
      </w:r>
      <w:r w:rsidR="000159A6">
        <w:t xml:space="preserve"> </w:t>
      </w:r>
      <w:r>
        <w:t>as</w:t>
      </w:r>
      <w:r w:rsidR="000159A6">
        <w:t xml:space="preserve"> </w:t>
      </w:r>
      <w:r>
        <w:t>a</w:t>
      </w:r>
      <w:r w:rsidR="000159A6">
        <w:t xml:space="preserve"> </w:t>
      </w:r>
      <w:r>
        <w:t>single</w:t>
      </w:r>
      <w:r w:rsidR="000159A6">
        <w:t xml:space="preserve"> </w:t>
      </w:r>
      <w:r>
        <w:t>dose</w:t>
      </w:r>
      <w:r w:rsidR="000159A6">
        <w:t xml:space="preserve"> </w:t>
      </w:r>
      <w:r>
        <w:t>regimen.</w:t>
      </w:r>
      <w:r w:rsidR="000159A6">
        <w:t xml:space="preserve"> </w:t>
      </w:r>
      <w:r>
        <w:t>The</w:t>
      </w:r>
      <w:r w:rsidR="000159A6">
        <w:t xml:space="preserve"> </w:t>
      </w:r>
      <w:r>
        <w:t>approved</w:t>
      </w:r>
      <w:r w:rsidR="000159A6">
        <w:t xml:space="preserve"> </w:t>
      </w:r>
      <w:r>
        <w:t>indication</w:t>
      </w:r>
      <w:r w:rsidR="000159A6">
        <w:t xml:space="preserve"> </w:t>
      </w:r>
      <w:r>
        <w:t>is:</w:t>
      </w:r>
    </w:p>
    <w:p w14:paraId="0A41E01C" w14:textId="33A49AC7" w:rsidR="00FF12AA" w:rsidRDefault="007553D3" w:rsidP="007553D3">
      <w:pPr>
        <w:ind w:left="720"/>
        <w:rPr>
          <w:i/>
        </w:rPr>
      </w:pPr>
      <w:r w:rsidRPr="00BB5781">
        <w:rPr>
          <w:i/>
        </w:rPr>
        <w:t>Zostavax</w:t>
      </w:r>
      <w:r w:rsidR="000159A6">
        <w:rPr>
          <w:i/>
        </w:rPr>
        <w:t xml:space="preserve"> </w:t>
      </w:r>
      <w:r w:rsidRPr="00BB5781">
        <w:rPr>
          <w:i/>
        </w:rPr>
        <w:t>is</w:t>
      </w:r>
      <w:r w:rsidR="000159A6">
        <w:rPr>
          <w:i/>
        </w:rPr>
        <w:t xml:space="preserve"> </w:t>
      </w:r>
      <w:r w:rsidRPr="00BB5781">
        <w:rPr>
          <w:i/>
        </w:rPr>
        <w:t>indicated</w:t>
      </w:r>
      <w:r w:rsidR="000159A6">
        <w:rPr>
          <w:i/>
        </w:rPr>
        <w:t xml:space="preserve"> </w:t>
      </w:r>
      <w:r w:rsidRPr="00BB5781">
        <w:rPr>
          <w:i/>
        </w:rPr>
        <w:t>for</w:t>
      </w:r>
      <w:r w:rsidR="000159A6">
        <w:rPr>
          <w:i/>
        </w:rPr>
        <w:t xml:space="preserve"> </w:t>
      </w:r>
      <w:r w:rsidRPr="00BB5781">
        <w:rPr>
          <w:i/>
        </w:rPr>
        <w:t>the</w:t>
      </w:r>
      <w:r w:rsidR="000159A6">
        <w:rPr>
          <w:i/>
        </w:rPr>
        <w:t xml:space="preserve"> </w:t>
      </w:r>
      <w:r w:rsidRPr="00BB5781">
        <w:rPr>
          <w:i/>
        </w:rPr>
        <w:t>prevention</w:t>
      </w:r>
      <w:r w:rsidR="000159A6">
        <w:rPr>
          <w:i/>
        </w:rPr>
        <w:t xml:space="preserve"> </w:t>
      </w:r>
      <w:r w:rsidRPr="00BB5781">
        <w:rPr>
          <w:i/>
        </w:rPr>
        <w:t>of</w:t>
      </w:r>
      <w:r w:rsidR="000159A6">
        <w:rPr>
          <w:i/>
        </w:rPr>
        <w:t xml:space="preserve"> </w:t>
      </w:r>
      <w:r w:rsidRPr="00BB5781">
        <w:rPr>
          <w:i/>
        </w:rPr>
        <w:t>herpes</w:t>
      </w:r>
      <w:r w:rsidR="000159A6">
        <w:rPr>
          <w:i/>
        </w:rPr>
        <w:t xml:space="preserve"> </w:t>
      </w:r>
      <w:r w:rsidRPr="00BB5781">
        <w:rPr>
          <w:i/>
        </w:rPr>
        <w:t>zoster</w:t>
      </w:r>
      <w:r w:rsidR="000159A6">
        <w:rPr>
          <w:i/>
        </w:rPr>
        <w:t xml:space="preserve"> </w:t>
      </w:r>
      <w:r w:rsidRPr="00BB5781">
        <w:rPr>
          <w:i/>
        </w:rPr>
        <w:t>(shingles)</w:t>
      </w:r>
      <w:r w:rsidR="000159A6">
        <w:rPr>
          <w:i/>
        </w:rPr>
        <w:t xml:space="preserve"> </w:t>
      </w:r>
      <w:r w:rsidRPr="00BB5781">
        <w:rPr>
          <w:i/>
        </w:rPr>
        <w:t>in</w:t>
      </w:r>
      <w:r w:rsidR="000159A6">
        <w:rPr>
          <w:i/>
        </w:rPr>
        <w:t xml:space="preserve"> </w:t>
      </w:r>
      <w:r w:rsidRPr="00BB5781">
        <w:rPr>
          <w:i/>
        </w:rPr>
        <w:t>individuals</w:t>
      </w:r>
      <w:r w:rsidR="000159A6">
        <w:rPr>
          <w:i/>
        </w:rPr>
        <w:t xml:space="preserve"> </w:t>
      </w:r>
      <w:r w:rsidRPr="00BB5781">
        <w:rPr>
          <w:i/>
        </w:rPr>
        <w:t>50</w:t>
      </w:r>
      <w:r w:rsidR="000159A6">
        <w:rPr>
          <w:i/>
        </w:rPr>
        <w:t xml:space="preserve"> </w:t>
      </w:r>
      <w:r w:rsidRPr="00BB5781">
        <w:rPr>
          <w:i/>
        </w:rPr>
        <w:t>years</w:t>
      </w:r>
      <w:r w:rsidR="000159A6">
        <w:rPr>
          <w:i/>
        </w:rPr>
        <w:t xml:space="preserve"> </w:t>
      </w:r>
      <w:r w:rsidRPr="00BB5781">
        <w:rPr>
          <w:i/>
        </w:rPr>
        <w:t>of</w:t>
      </w:r>
      <w:r w:rsidR="000159A6">
        <w:rPr>
          <w:i/>
        </w:rPr>
        <w:t xml:space="preserve"> </w:t>
      </w:r>
      <w:r w:rsidRPr="00BB5781">
        <w:rPr>
          <w:i/>
        </w:rPr>
        <w:t>age</w:t>
      </w:r>
      <w:r w:rsidR="000159A6">
        <w:rPr>
          <w:i/>
        </w:rPr>
        <w:t xml:space="preserve"> </w:t>
      </w:r>
      <w:r w:rsidRPr="00BB5781">
        <w:rPr>
          <w:i/>
        </w:rPr>
        <w:t>and</w:t>
      </w:r>
      <w:r w:rsidR="000159A6">
        <w:rPr>
          <w:i/>
        </w:rPr>
        <w:t xml:space="preserve"> </w:t>
      </w:r>
      <w:r w:rsidRPr="00BB5781">
        <w:rPr>
          <w:i/>
        </w:rPr>
        <w:t>older</w:t>
      </w:r>
      <w:r w:rsidR="00FF12AA">
        <w:rPr>
          <w:i/>
        </w:rPr>
        <w:t>.</w:t>
      </w:r>
    </w:p>
    <w:p w14:paraId="20C564FE" w14:textId="1B2A615C" w:rsidR="007553D3" w:rsidRPr="00BB5781" w:rsidRDefault="007553D3" w:rsidP="007553D3">
      <w:pPr>
        <w:ind w:left="720"/>
        <w:rPr>
          <w:i/>
        </w:rPr>
      </w:pPr>
      <w:r w:rsidRPr="00BB5781">
        <w:rPr>
          <w:i/>
        </w:rPr>
        <w:t>Zostavax</w:t>
      </w:r>
      <w:r w:rsidR="000159A6">
        <w:rPr>
          <w:i/>
        </w:rPr>
        <w:t xml:space="preserve"> </w:t>
      </w:r>
      <w:r w:rsidRPr="00BB5781">
        <w:rPr>
          <w:i/>
        </w:rPr>
        <w:t>is</w:t>
      </w:r>
      <w:r w:rsidR="000159A6">
        <w:rPr>
          <w:i/>
        </w:rPr>
        <w:t xml:space="preserve"> </w:t>
      </w:r>
      <w:r w:rsidRPr="00BB5781">
        <w:rPr>
          <w:i/>
        </w:rPr>
        <w:t>indicated</w:t>
      </w:r>
      <w:r w:rsidR="000159A6">
        <w:rPr>
          <w:i/>
        </w:rPr>
        <w:t xml:space="preserve"> </w:t>
      </w:r>
      <w:r w:rsidRPr="00BB5781">
        <w:rPr>
          <w:i/>
        </w:rPr>
        <w:t>for</w:t>
      </w:r>
      <w:r w:rsidR="000159A6">
        <w:rPr>
          <w:i/>
        </w:rPr>
        <w:t xml:space="preserve"> </w:t>
      </w:r>
      <w:r w:rsidRPr="00BB5781">
        <w:rPr>
          <w:i/>
        </w:rPr>
        <w:t>the</w:t>
      </w:r>
      <w:r w:rsidR="000159A6">
        <w:rPr>
          <w:i/>
        </w:rPr>
        <w:t xml:space="preserve"> </w:t>
      </w:r>
      <w:r w:rsidRPr="00BB5781">
        <w:rPr>
          <w:i/>
        </w:rPr>
        <w:t>prevention</w:t>
      </w:r>
      <w:r w:rsidR="000159A6">
        <w:rPr>
          <w:i/>
        </w:rPr>
        <w:t xml:space="preserve"> </w:t>
      </w:r>
      <w:r w:rsidRPr="00BB5781">
        <w:rPr>
          <w:i/>
        </w:rPr>
        <w:t>of</w:t>
      </w:r>
      <w:r w:rsidR="000159A6">
        <w:rPr>
          <w:i/>
        </w:rPr>
        <w:t xml:space="preserve"> </w:t>
      </w:r>
      <w:r w:rsidRPr="00BB5781">
        <w:rPr>
          <w:i/>
        </w:rPr>
        <w:t>postherpetic</w:t>
      </w:r>
      <w:r w:rsidR="000159A6">
        <w:rPr>
          <w:i/>
        </w:rPr>
        <w:t xml:space="preserve"> </w:t>
      </w:r>
      <w:r w:rsidRPr="00BB5781">
        <w:rPr>
          <w:i/>
        </w:rPr>
        <w:t>neuralgia</w:t>
      </w:r>
      <w:r w:rsidR="000159A6">
        <w:rPr>
          <w:i/>
        </w:rPr>
        <w:t xml:space="preserve"> </w:t>
      </w:r>
      <w:r w:rsidRPr="00BB5781">
        <w:rPr>
          <w:i/>
        </w:rPr>
        <w:t>(PHN)</w:t>
      </w:r>
      <w:r w:rsidR="000159A6">
        <w:rPr>
          <w:i/>
        </w:rPr>
        <w:t xml:space="preserve"> </w:t>
      </w:r>
      <w:r w:rsidRPr="00BB5781">
        <w:rPr>
          <w:i/>
        </w:rPr>
        <w:t>and</w:t>
      </w:r>
      <w:r w:rsidR="000159A6">
        <w:rPr>
          <w:i/>
        </w:rPr>
        <w:t xml:space="preserve"> </w:t>
      </w:r>
      <w:r w:rsidRPr="00BB5781">
        <w:rPr>
          <w:i/>
        </w:rPr>
        <w:t>for</w:t>
      </w:r>
      <w:r w:rsidR="000159A6">
        <w:rPr>
          <w:i/>
        </w:rPr>
        <w:t xml:space="preserve"> </w:t>
      </w:r>
      <w:r w:rsidRPr="00BB5781">
        <w:rPr>
          <w:i/>
        </w:rPr>
        <w:t>reduction</w:t>
      </w:r>
      <w:r w:rsidR="000159A6">
        <w:rPr>
          <w:i/>
        </w:rPr>
        <w:t xml:space="preserve"> </w:t>
      </w:r>
      <w:r w:rsidRPr="00BB5781">
        <w:rPr>
          <w:i/>
        </w:rPr>
        <w:t>of</w:t>
      </w:r>
      <w:r w:rsidR="000159A6">
        <w:rPr>
          <w:i/>
        </w:rPr>
        <w:t xml:space="preserve"> </w:t>
      </w:r>
      <w:r w:rsidRPr="00BB5781">
        <w:rPr>
          <w:i/>
        </w:rPr>
        <w:t>acute</w:t>
      </w:r>
      <w:r w:rsidR="000159A6">
        <w:rPr>
          <w:i/>
        </w:rPr>
        <w:t xml:space="preserve"> </w:t>
      </w:r>
      <w:r w:rsidRPr="00BB5781">
        <w:rPr>
          <w:i/>
        </w:rPr>
        <w:t>and</w:t>
      </w:r>
      <w:r w:rsidR="000159A6">
        <w:rPr>
          <w:i/>
        </w:rPr>
        <w:t xml:space="preserve"> </w:t>
      </w:r>
      <w:r w:rsidRPr="00BB5781">
        <w:rPr>
          <w:i/>
        </w:rPr>
        <w:t>chronic</w:t>
      </w:r>
      <w:r w:rsidR="000159A6">
        <w:rPr>
          <w:i/>
        </w:rPr>
        <w:t xml:space="preserve"> </w:t>
      </w:r>
      <w:r w:rsidRPr="00BB5781">
        <w:rPr>
          <w:i/>
        </w:rPr>
        <w:t>zoster-associated</w:t>
      </w:r>
      <w:r w:rsidR="000159A6">
        <w:rPr>
          <w:i/>
        </w:rPr>
        <w:t xml:space="preserve"> </w:t>
      </w:r>
      <w:r w:rsidRPr="00BB5781">
        <w:rPr>
          <w:i/>
        </w:rPr>
        <w:t>pain</w:t>
      </w:r>
      <w:r w:rsidR="000159A6">
        <w:rPr>
          <w:i/>
        </w:rPr>
        <w:t xml:space="preserve"> </w:t>
      </w:r>
      <w:r w:rsidRPr="00BB5781">
        <w:rPr>
          <w:i/>
        </w:rPr>
        <w:t>in</w:t>
      </w:r>
      <w:r w:rsidR="000159A6">
        <w:rPr>
          <w:i/>
        </w:rPr>
        <w:t xml:space="preserve"> </w:t>
      </w:r>
      <w:r w:rsidRPr="00BB5781">
        <w:rPr>
          <w:i/>
        </w:rPr>
        <w:t>individuals</w:t>
      </w:r>
      <w:r w:rsidR="000159A6">
        <w:rPr>
          <w:i/>
        </w:rPr>
        <w:t xml:space="preserve"> </w:t>
      </w:r>
      <w:r w:rsidRPr="00BB5781">
        <w:rPr>
          <w:i/>
        </w:rPr>
        <w:t>60</w:t>
      </w:r>
      <w:r w:rsidR="000159A6">
        <w:rPr>
          <w:i/>
        </w:rPr>
        <w:t xml:space="preserve"> </w:t>
      </w:r>
      <w:r w:rsidRPr="00BB5781">
        <w:rPr>
          <w:i/>
        </w:rPr>
        <w:t>years</w:t>
      </w:r>
      <w:r w:rsidR="000159A6">
        <w:rPr>
          <w:i/>
        </w:rPr>
        <w:t xml:space="preserve"> </w:t>
      </w:r>
      <w:r w:rsidRPr="00BB5781">
        <w:rPr>
          <w:i/>
        </w:rPr>
        <w:t>of</w:t>
      </w:r>
      <w:r w:rsidR="000159A6">
        <w:rPr>
          <w:i/>
        </w:rPr>
        <w:t xml:space="preserve"> </w:t>
      </w:r>
      <w:r w:rsidRPr="00BB5781">
        <w:rPr>
          <w:i/>
        </w:rPr>
        <w:t>age</w:t>
      </w:r>
      <w:r w:rsidR="000159A6">
        <w:rPr>
          <w:i/>
        </w:rPr>
        <w:t xml:space="preserve"> </w:t>
      </w:r>
      <w:r w:rsidRPr="00BB5781">
        <w:rPr>
          <w:i/>
        </w:rPr>
        <w:t>and</w:t>
      </w:r>
      <w:r w:rsidR="000159A6">
        <w:rPr>
          <w:i/>
        </w:rPr>
        <w:t xml:space="preserve"> </w:t>
      </w:r>
      <w:r w:rsidRPr="00BB5781">
        <w:rPr>
          <w:i/>
        </w:rPr>
        <w:t>older.</w:t>
      </w:r>
    </w:p>
    <w:p w14:paraId="51F946CE" w14:textId="3598F041" w:rsidR="007553D3" w:rsidRDefault="007553D3" w:rsidP="007553D3">
      <w:r w:rsidRPr="00BB5781">
        <w:t>Vaccination</w:t>
      </w:r>
      <w:r w:rsidR="000159A6">
        <w:t xml:space="preserve"> </w:t>
      </w:r>
      <w:r>
        <w:t>with</w:t>
      </w:r>
      <w:r w:rsidR="000159A6">
        <w:t xml:space="preserve"> </w:t>
      </w:r>
      <w:proofErr w:type="spellStart"/>
      <w:r>
        <w:t>Zostavax</w:t>
      </w:r>
      <w:proofErr w:type="spellEnd"/>
      <w:r w:rsidR="000159A6">
        <w:t xml:space="preserve"> </w:t>
      </w:r>
      <w:r w:rsidRPr="00BB5781">
        <w:t>is</w:t>
      </w:r>
      <w:r w:rsidR="000159A6">
        <w:t xml:space="preserve"> </w:t>
      </w:r>
      <w:r w:rsidRPr="007312FC">
        <w:t>not</w:t>
      </w:r>
      <w:r w:rsidR="000159A6">
        <w:t xml:space="preserve"> </w:t>
      </w:r>
      <w:r w:rsidRPr="00BB5781">
        <w:t>indicated</w:t>
      </w:r>
      <w:r w:rsidR="000159A6">
        <w:t xml:space="preserve"> </w:t>
      </w:r>
      <w:r w:rsidRPr="00BB5781">
        <w:t>for</w:t>
      </w:r>
      <w:r w:rsidR="000159A6">
        <w:t xml:space="preserve"> </w:t>
      </w:r>
      <w:r w:rsidRPr="00BB5781">
        <w:t>the</w:t>
      </w:r>
      <w:r w:rsidR="000159A6">
        <w:t xml:space="preserve"> </w:t>
      </w:r>
      <w:r w:rsidRPr="00BB5781">
        <w:t>treatment</w:t>
      </w:r>
      <w:r w:rsidR="000159A6">
        <w:t xml:space="preserve"> </w:t>
      </w:r>
      <w:r w:rsidRPr="00BB5781">
        <w:t>of</w:t>
      </w:r>
      <w:r w:rsidR="000159A6">
        <w:t xml:space="preserve"> </w:t>
      </w:r>
      <w:r w:rsidRPr="00BB5781">
        <w:t>herpes</w:t>
      </w:r>
      <w:r w:rsidR="000159A6">
        <w:t xml:space="preserve"> </w:t>
      </w:r>
      <w:r w:rsidRPr="00BB5781">
        <w:t>zoster</w:t>
      </w:r>
      <w:r w:rsidR="000159A6">
        <w:t xml:space="preserve"> </w:t>
      </w:r>
      <w:r w:rsidRPr="00BB5781">
        <w:t>or</w:t>
      </w:r>
      <w:r w:rsidR="000159A6">
        <w:t xml:space="preserve"> </w:t>
      </w:r>
      <w:r w:rsidR="002B2F1E">
        <w:t>PHN</w:t>
      </w:r>
      <w:r w:rsidRPr="00BB5781">
        <w:t>.</w:t>
      </w:r>
    </w:p>
    <w:p w14:paraId="209C9F71" w14:textId="46707191" w:rsidR="007553D3" w:rsidRPr="007553D3" w:rsidRDefault="007553D3" w:rsidP="00A97634">
      <w:r w:rsidRPr="00A33541">
        <w:t>The</w:t>
      </w:r>
      <w:r w:rsidR="000159A6">
        <w:t xml:space="preserve"> </w:t>
      </w:r>
      <w:r w:rsidRPr="00A33541">
        <w:t>Shingles</w:t>
      </w:r>
      <w:r w:rsidR="000159A6">
        <w:t xml:space="preserve"> </w:t>
      </w:r>
      <w:r w:rsidRPr="00A33541">
        <w:t>Prevention</w:t>
      </w:r>
      <w:r w:rsidR="000159A6">
        <w:t xml:space="preserve"> </w:t>
      </w:r>
      <w:r w:rsidRPr="00A33541">
        <w:t>Study</w:t>
      </w:r>
      <w:r w:rsidR="000159A6">
        <w:t xml:space="preserve"> </w:t>
      </w:r>
      <w:r w:rsidRPr="00A33541">
        <w:t>was</w:t>
      </w:r>
      <w:r w:rsidR="000159A6">
        <w:t xml:space="preserve"> </w:t>
      </w:r>
      <w:r w:rsidRPr="00A33541">
        <w:t>a</w:t>
      </w:r>
      <w:r w:rsidR="000159A6">
        <w:t xml:space="preserve"> </w:t>
      </w:r>
      <w:r w:rsidRPr="00A33541">
        <w:t>randomised,</w:t>
      </w:r>
      <w:r w:rsidR="000159A6">
        <w:t xml:space="preserve"> </w:t>
      </w:r>
      <w:r>
        <w:t>double</w:t>
      </w:r>
      <w:r w:rsidR="000159A6">
        <w:t xml:space="preserve"> </w:t>
      </w:r>
      <w:r>
        <w:t>blind</w:t>
      </w:r>
      <w:r w:rsidRPr="00A33541">
        <w:t>,</w:t>
      </w:r>
      <w:r w:rsidR="000159A6">
        <w:t xml:space="preserve"> </w:t>
      </w:r>
      <w:r>
        <w:t>placebo</w:t>
      </w:r>
      <w:r w:rsidR="000159A6">
        <w:t xml:space="preserve"> </w:t>
      </w:r>
      <w:r>
        <w:t>controlled</w:t>
      </w:r>
      <w:r w:rsidR="000159A6">
        <w:t xml:space="preserve"> </w:t>
      </w:r>
      <w:r w:rsidRPr="00A33541">
        <w:t>efficacy</w:t>
      </w:r>
      <w:r w:rsidR="000159A6">
        <w:t xml:space="preserve"> </w:t>
      </w:r>
      <w:r w:rsidRPr="00A33541">
        <w:t>study</w:t>
      </w:r>
      <w:r w:rsidR="000159A6">
        <w:t xml:space="preserve"> </w:t>
      </w:r>
      <w:r w:rsidRPr="00A33541">
        <w:t>of</w:t>
      </w:r>
      <w:r w:rsidR="000159A6">
        <w:t xml:space="preserve"> </w:t>
      </w:r>
      <w:r w:rsidRPr="00A33541">
        <w:t>the</w:t>
      </w:r>
      <w:r w:rsidR="000159A6">
        <w:t xml:space="preserve"> </w:t>
      </w:r>
      <w:r w:rsidRPr="00A33541">
        <w:t>frozen</w:t>
      </w:r>
      <w:r w:rsidR="000159A6">
        <w:t xml:space="preserve"> </w:t>
      </w:r>
      <w:r w:rsidRPr="00A33541">
        <w:t>formulation</w:t>
      </w:r>
      <w:r w:rsidR="000159A6">
        <w:t xml:space="preserve"> </w:t>
      </w:r>
      <w:r w:rsidRPr="00A33541">
        <w:t>of</w:t>
      </w:r>
      <w:r w:rsidR="000159A6">
        <w:t xml:space="preserve"> </w:t>
      </w:r>
      <w:r w:rsidRPr="00A33541">
        <w:t>Zostavax</w:t>
      </w:r>
      <w:r w:rsidR="000159A6">
        <w:t xml:space="preserve"> </w:t>
      </w:r>
      <w:r w:rsidRPr="00A33541">
        <w:t>conducted</w:t>
      </w:r>
      <w:r w:rsidR="000159A6">
        <w:t xml:space="preserve"> </w:t>
      </w:r>
      <w:r w:rsidRPr="00A33541">
        <w:t>in</w:t>
      </w:r>
      <w:r w:rsidR="000159A6">
        <w:t xml:space="preserve"> </w:t>
      </w:r>
      <w:r w:rsidRPr="00A33541">
        <w:t>38,546</w:t>
      </w:r>
      <w:r w:rsidR="000159A6">
        <w:t xml:space="preserve"> </w:t>
      </w:r>
      <w:r w:rsidRPr="00A33541">
        <w:t>adults</w:t>
      </w:r>
      <w:r w:rsidR="000159A6">
        <w:t xml:space="preserve"> </w:t>
      </w:r>
      <w:r w:rsidRPr="00A33541">
        <w:t>aged</w:t>
      </w:r>
      <w:r w:rsidR="000159A6">
        <w:t xml:space="preserve"> </w:t>
      </w:r>
      <w:r w:rsidR="0037169B">
        <w:t>≥</w:t>
      </w:r>
      <w:r w:rsidR="000159A6">
        <w:t xml:space="preserve"> </w:t>
      </w:r>
      <w:r w:rsidRPr="00A33541">
        <w:t>60</w:t>
      </w:r>
      <w:r w:rsidR="000159A6">
        <w:t xml:space="preserve"> </w:t>
      </w:r>
      <w:r w:rsidRPr="00A33541">
        <w:t>years</w:t>
      </w:r>
      <w:r>
        <w:t>.</w:t>
      </w:r>
      <w:r w:rsidR="000159A6">
        <w:t xml:space="preserve"> </w:t>
      </w:r>
      <w:r w:rsidRPr="00A33541">
        <w:t>The</w:t>
      </w:r>
      <w:r w:rsidR="000159A6">
        <w:t xml:space="preserve"> </w:t>
      </w:r>
      <w:r w:rsidRPr="00A33541">
        <w:t>protective</w:t>
      </w:r>
      <w:r w:rsidR="000159A6">
        <w:t xml:space="preserve"> </w:t>
      </w:r>
      <w:r w:rsidRPr="00A33541">
        <w:t>efficacy</w:t>
      </w:r>
      <w:r w:rsidR="000159A6">
        <w:t xml:space="preserve"> </w:t>
      </w:r>
      <w:r w:rsidRPr="00A33541">
        <w:t>of</w:t>
      </w:r>
      <w:r w:rsidR="000159A6">
        <w:t xml:space="preserve"> </w:t>
      </w:r>
      <w:r w:rsidRPr="00A33541">
        <w:t>Zostavax</w:t>
      </w:r>
      <w:r w:rsidR="000159A6">
        <w:t xml:space="preserve"> </w:t>
      </w:r>
      <w:r w:rsidRPr="00A33541">
        <w:t>against</w:t>
      </w:r>
      <w:r w:rsidR="000159A6">
        <w:t xml:space="preserve"> </w:t>
      </w:r>
      <w:r w:rsidR="00302976">
        <w:t>herpes</w:t>
      </w:r>
      <w:r w:rsidR="000159A6">
        <w:t xml:space="preserve"> </w:t>
      </w:r>
      <w:r w:rsidRPr="00A33541">
        <w:t>zoster</w:t>
      </w:r>
      <w:r w:rsidR="000159A6">
        <w:t xml:space="preserve"> </w:t>
      </w:r>
      <w:r w:rsidRPr="00A33541">
        <w:t>was</w:t>
      </w:r>
      <w:r w:rsidR="000159A6">
        <w:t xml:space="preserve"> </w:t>
      </w:r>
      <w:r w:rsidRPr="00A33541">
        <w:t>51%</w:t>
      </w:r>
      <w:r w:rsidR="000159A6">
        <w:t xml:space="preserve"> </w:t>
      </w:r>
      <w:r w:rsidRPr="00A33541">
        <w:t>(95%</w:t>
      </w:r>
      <w:r w:rsidR="000159A6">
        <w:t xml:space="preserve"> </w:t>
      </w:r>
      <w:r w:rsidRPr="00A33541">
        <w:t>CI:</w:t>
      </w:r>
      <w:r w:rsidR="000159A6">
        <w:t xml:space="preserve"> </w:t>
      </w:r>
      <w:r w:rsidRPr="00A33541">
        <w:t>44</w:t>
      </w:r>
      <w:r w:rsidR="000159A6">
        <w:t xml:space="preserve"> </w:t>
      </w:r>
      <w:r w:rsidRPr="00A33541">
        <w:t>to</w:t>
      </w:r>
      <w:r w:rsidR="000159A6">
        <w:t xml:space="preserve"> </w:t>
      </w:r>
      <w:r w:rsidRPr="00A33541">
        <w:t>58%).</w:t>
      </w:r>
      <w:r w:rsidR="000159A6">
        <w:t xml:space="preserve"> </w:t>
      </w:r>
      <w:r w:rsidRPr="00A33541">
        <w:t>Efficacy</w:t>
      </w:r>
      <w:r w:rsidR="000159A6">
        <w:t xml:space="preserve"> </w:t>
      </w:r>
      <w:r w:rsidRPr="00A33541">
        <w:t>was</w:t>
      </w:r>
      <w:r w:rsidR="000159A6">
        <w:t xml:space="preserve"> </w:t>
      </w:r>
      <w:r w:rsidRPr="00A33541">
        <w:t>greater</w:t>
      </w:r>
      <w:r w:rsidR="000159A6">
        <w:t xml:space="preserve"> </w:t>
      </w:r>
      <w:r w:rsidRPr="00A33541">
        <w:t>in</w:t>
      </w:r>
      <w:r w:rsidR="000159A6">
        <w:t xml:space="preserve"> </w:t>
      </w:r>
      <w:r w:rsidRPr="00A33541">
        <w:t>those</w:t>
      </w:r>
      <w:r w:rsidR="000159A6">
        <w:t xml:space="preserve"> </w:t>
      </w:r>
      <w:r w:rsidRPr="00A33541">
        <w:t>aged</w:t>
      </w:r>
      <w:r w:rsidR="000159A6">
        <w:t xml:space="preserve"> </w:t>
      </w:r>
      <w:r>
        <w:t>60</w:t>
      </w:r>
      <w:r w:rsidR="000159A6">
        <w:t xml:space="preserve"> </w:t>
      </w:r>
      <w:r>
        <w:t>to</w:t>
      </w:r>
      <w:r w:rsidR="000159A6">
        <w:t xml:space="preserve"> </w:t>
      </w:r>
      <w:r>
        <w:t>69</w:t>
      </w:r>
      <w:r w:rsidR="000159A6">
        <w:t xml:space="preserve"> </w:t>
      </w:r>
      <w:r w:rsidRPr="00A33541">
        <w:t>years</w:t>
      </w:r>
      <w:r w:rsidR="000159A6">
        <w:t xml:space="preserve"> </w:t>
      </w:r>
      <w:r w:rsidRPr="00A33541">
        <w:t>than</w:t>
      </w:r>
      <w:r w:rsidR="000159A6">
        <w:t xml:space="preserve"> </w:t>
      </w:r>
      <w:r w:rsidRPr="00A33541">
        <w:t>those</w:t>
      </w:r>
      <w:r w:rsidR="000159A6">
        <w:t xml:space="preserve"> </w:t>
      </w:r>
      <w:r w:rsidRPr="00A33541">
        <w:t>aged</w:t>
      </w:r>
      <w:r w:rsidR="000159A6">
        <w:t xml:space="preserve"> </w:t>
      </w:r>
      <w:r w:rsidRPr="00A33541">
        <w:t>70</w:t>
      </w:r>
      <w:r w:rsidR="000159A6">
        <w:t xml:space="preserve"> </w:t>
      </w:r>
      <w:r w:rsidRPr="00A33541">
        <w:t>years</w:t>
      </w:r>
      <w:r w:rsidR="000159A6">
        <w:t xml:space="preserve"> </w:t>
      </w:r>
      <w:r w:rsidRPr="00A33541">
        <w:t>and</w:t>
      </w:r>
      <w:r w:rsidR="000159A6">
        <w:t xml:space="preserve"> </w:t>
      </w:r>
      <w:r w:rsidRPr="00A33541">
        <w:t>over</w:t>
      </w:r>
      <w:r w:rsidR="000159A6">
        <w:t xml:space="preserve"> </w:t>
      </w:r>
      <w:r w:rsidRPr="00A33541">
        <w:t>(64%</w:t>
      </w:r>
      <w:r w:rsidR="000159A6">
        <w:t xml:space="preserve"> </w:t>
      </w:r>
      <w:r>
        <w:t>versus</w:t>
      </w:r>
      <w:r w:rsidR="000159A6">
        <w:t xml:space="preserve"> </w:t>
      </w:r>
      <w:r w:rsidRPr="00A33541">
        <w:t>38%).</w:t>
      </w:r>
      <w:r w:rsidR="000159A6">
        <w:t xml:space="preserve"> </w:t>
      </w:r>
      <w:r w:rsidRPr="00A33541">
        <w:t>Efficacy</w:t>
      </w:r>
      <w:r w:rsidR="000159A6">
        <w:t xml:space="preserve"> </w:t>
      </w:r>
      <w:r w:rsidRPr="00A33541">
        <w:t>against</w:t>
      </w:r>
      <w:r w:rsidR="000159A6">
        <w:t xml:space="preserve"> </w:t>
      </w:r>
      <w:r w:rsidRPr="00A33541">
        <w:t>PHN</w:t>
      </w:r>
      <w:r w:rsidR="000159A6">
        <w:t xml:space="preserve"> </w:t>
      </w:r>
      <w:r w:rsidRPr="00A33541">
        <w:t>was</w:t>
      </w:r>
      <w:r w:rsidR="000159A6">
        <w:t xml:space="preserve"> </w:t>
      </w:r>
      <w:r w:rsidRPr="00A33541">
        <w:t>similar</w:t>
      </w:r>
      <w:r w:rsidR="000159A6">
        <w:t xml:space="preserve"> </w:t>
      </w:r>
      <w:r w:rsidRPr="00A33541">
        <w:t>in</w:t>
      </w:r>
      <w:r w:rsidR="000159A6">
        <w:t xml:space="preserve"> </w:t>
      </w:r>
      <w:r w:rsidRPr="00A33541">
        <w:t>both</w:t>
      </w:r>
      <w:r w:rsidR="000159A6">
        <w:t xml:space="preserve"> </w:t>
      </w:r>
      <w:r w:rsidRPr="00A33541">
        <w:t>age</w:t>
      </w:r>
      <w:r w:rsidR="000159A6">
        <w:t xml:space="preserve"> </w:t>
      </w:r>
      <w:r w:rsidRPr="00A33541">
        <w:t>group</w:t>
      </w:r>
      <w:r>
        <w:t>s</w:t>
      </w:r>
      <w:r w:rsidR="000159A6">
        <w:t xml:space="preserve"> </w:t>
      </w:r>
      <w:r>
        <w:t>at</w:t>
      </w:r>
      <w:r w:rsidR="000159A6">
        <w:t xml:space="preserve"> </w:t>
      </w:r>
      <w:r>
        <w:t>66</w:t>
      </w:r>
      <w:r w:rsidR="000159A6">
        <w:t xml:space="preserve"> </w:t>
      </w:r>
      <w:r>
        <w:t>to</w:t>
      </w:r>
      <w:r w:rsidR="000159A6">
        <w:t xml:space="preserve"> </w:t>
      </w:r>
      <w:r w:rsidRPr="00A33541">
        <w:t>67%</w:t>
      </w:r>
      <w:r w:rsidR="000159A6">
        <w:t xml:space="preserve"> </w:t>
      </w:r>
      <w:r w:rsidRPr="00A33541">
        <w:t>(Zostavax</w:t>
      </w:r>
      <w:r w:rsidR="000159A6">
        <w:t xml:space="preserve"> </w:t>
      </w:r>
      <w:r w:rsidRPr="00A33541">
        <w:t>PI).</w:t>
      </w:r>
      <w:r w:rsidR="000159A6">
        <w:t xml:space="preserve"> </w:t>
      </w:r>
      <w:r w:rsidRPr="00A33541">
        <w:t>In</w:t>
      </w:r>
      <w:r w:rsidR="000159A6">
        <w:t xml:space="preserve"> </w:t>
      </w:r>
      <w:r w:rsidRPr="00A33541">
        <w:t>a</w:t>
      </w:r>
      <w:r w:rsidR="000159A6">
        <w:t xml:space="preserve"> </w:t>
      </w:r>
      <w:r w:rsidRPr="00A33541">
        <w:t>further</w:t>
      </w:r>
      <w:r w:rsidR="000159A6">
        <w:t xml:space="preserve"> </w:t>
      </w:r>
      <w:r>
        <w:t>large</w:t>
      </w:r>
      <w:r w:rsidR="000159A6">
        <w:t xml:space="preserve"> </w:t>
      </w:r>
      <w:r w:rsidRPr="00A33541">
        <w:t>study</w:t>
      </w:r>
      <w:r w:rsidR="000159A6">
        <w:t xml:space="preserve"> </w:t>
      </w:r>
      <w:r w:rsidRPr="00A33541">
        <w:t>in</w:t>
      </w:r>
      <w:r w:rsidR="000159A6">
        <w:t xml:space="preserve"> </w:t>
      </w:r>
      <w:r w:rsidRPr="00A33541">
        <w:t>adults</w:t>
      </w:r>
      <w:r w:rsidR="000159A6">
        <w:t xml:space="preserve"> </w:t>
      </w:r>
      <w:r w:rsidRPr="00A33541">
        <w:t>50</w:t>
      </w:r>
      <w:r w:rsidR="000159A6">
        <w:t xml:space="preserve"> </w:t>
      </w:r>
      <w:r w:rsidRPr="00A33541">
        <w:t>to</w:t>
      </w:r>
      <w:r w:rsidR="000159A6">
        <w:t xml:space="preserve"> </w:t>
      </w:r>
      <w:r w:rsidRPr="00A33541">
        <w:t>59</w:t>
      </w:r>
      <w:r w:rsidR="000159A6">
        <w:t xml:space="preserve"> </w:t>
      </w:r>
      <w:r w:rsidRPr="00A33541">
        <w:t>years,</w:t>
      </w:r>
      <w:r w:rsidR="000159A6">
        <w:t xml:space="preserve"> </w:t>
      </w:r>
      <w:r w:rsidRPr="00A33541">
        <w:t>the</w:t>
      </w:r>
      <w:r w:rsidR="000159A6">
        <w:t xml:space="preserve"> </w:t>
      </w:r>
      <w:r w:rsidRPr="00A33541">
        <w:t>protective</w:t>
      </w:r>
      <w:r w:rsidR="000159A6">
        <w:t xml:space="preserve"> </w:t>
      </w:r>
      <w:r w:rsidRPr="00A33541">
        <w:t>efficacy</w:t>
      </w:r>
      <w:r w:rsidR="000159A6">
        <w:t xml:space="preserve"> </w:t>
      </w:r>
      <w:r w:rsidRPr="00A33541">
        <w:t>of</w:t>
      </w:r>
      <w:r w:rsidR="000159A6">
        <w:t xml:space="preserve"> </w:t>
      </w:r>
      <w:r w:rsidRPr="00A33541">
        <w:t>Zostavax</w:t>
      </w:r>
      <w:r w:rsidR="000159A6">
        <w:t xml:space="preserve"> </w:t>
      </w:r>
      <w:r w:rsidRPr="00A33541">
        <w:t>was</w:t>
      </w:r>
      <w:r w:rsidR="000159A6">
        <w:t xml:space="preserve"> </w:t>
      </w:r>
      <w:r w:rsidRPr="00A33541">
        <w:t>69.8%</w:t>
      </w:r>
      <w:r w:rsidR="000159A6">
        <w:t xml:space="preserve"> </w:t>
      </w:r>
      <w:r w:rsidRPr="00A33541">
        <w:t>(95%</w:t>
      </w:r>
      <w:r w:rsidR="000159A6">
        <w:t xml:space="preserve"> </w:t>
      </w:r>
      <w:r w:rsidRPr="00A33541">
        <w:t>CI:</w:t>
      </w:r>
      <w:r w:rsidR="000159A6">
        <w:t xml:space="preserve"> </w:t>
      </w:r>
      <w:r w:rsidRPr="00A33541">
        <w:t>54.1</w:t>
      </w:r>
      <w:r w:rsidR="000159A6">
        <w:t xml:space="preserve"> </w:t>
      </w:r>
      <w:r w:rsidRPr="00A33541">
        <w:t>to</w:t>
      </w:r>
      <w:r w:rsidR="000159A6">
        <w:t xml:space="preserve"> </w:t>
      </w:r>
      <w:r w:rsidRPr="00A33541">
        <w:t>80.6%).</w:t>
      </w:r>
      <w:r w:rsidR="000159A6">
        <w:t xml:space="preserve"> </w:t>
      </w:r>
      <w:r w:rsidRPr="00A33541">
        <w:t>The</w:t>
      </w:r>
      <w:r w:rsidR="000159A6">
        <w:t xml:space="preserve"> </w:t>
      </w:r>
      <w:r w:rsidRPr="00A33541">
        <w:t>effect</w:t>
      </w:r>
      <w:r w:rsidR="000159A6">
        <w:t xml:space="preserve"> </w:t>
      </w:r>
      <w:r w:rsidRPr="00A33541">
        <w:t>of</w:t>
      </w:r>
      <w:r w:rsidR="000159A6">
        <w:t xml:space="preserve"> </w:t>
      </w:r>
      <w:r>
        <w:t>Zostavax</w:t>
      </w:r>
      <w:r w:rsidR="000159A6">
        <w:t xml:space="preserve"> </w:t>
      </w:r>
      <w:r w:rsidRPr="00A33541">
        <w:t>on</w:t>
      </w:r>
      <w:r w:rsidR="000159A6">
        <w:t xml:space="preserve"> </w:t>
      </w:r>
      <w:r>
        <w:t>PHN</w:t>
      </w:r>
      <w:r w:rsidR="000159A6">
        <w:t xml:space="preserve"> </w:t>
      </w:r>
      <w:r w:rsidRPr="00A33541">
        <w:t>was</w:t>
      </w:r>
      <w:r w:rsidR="000159A6">
        <w:t xml:space="preserve"> </w:t>
      </w:r>
      <w:r w:rsidRPr="00A33541">
        <w:t>not</w:t>
      </w:r>
      <w:r w:rsidR="000159A6">
        <w:t xml:space="preserve"> </w:t>
      </w:r>
      <w:r w:rsidRPr="00A33541">
        <w:t>evaluated</w:t>
      </w:r>
      <w:r w:rsidR="000159A6">
        <w:t xml:space="preserve"> </w:t>
      </w:r>
      <w:r w:rsidRPr="00A33541">
        <w:t>in</w:t>
      </w:r>
      <w:r w:rsidR="000159A6">
        <w:t xml:space="preserve"> </w:t>
      </w:r>
      <w:r w:rsidRPr="00A33541">
        <w:t>the</w:t>
      </w:r>
      <w:r w:rsidR="000159A6">
        <w:t xml:space="preserve"> </w:t>
      </w:r>
      <w:r>
        <w:t>latter</w:t>
      </w:r>
      <w:r w:rsidR="000159A6">
        <w:t xml:space="preserve"> </w:t>
      </w:r>
      <w:r w:rsidRPr="00A33541">
        <w:t>trial</w:t>
      </w:r>
      <w:r w:rsidR="000159A6">
        <w:t xml:space="preserve"> </w:t>
      </w:r>
      <w:r w:rsidRPr="00A33541">
        <w:t>(Zostavax</w:t>
      </w:r>
      <w:r w:rsidR="000159A6">
        <w:t xml:space="preserve"> </w:t>
      </w:r>
      <w:r w:rsidRPr="00A33541">
        <w:t>PI).</w:t>
      </w:r>
    </w:p>
    <w:p w14:paraId="61789FA6" w14:textId="3AF64443" w:rsidR="005C0A6F" w:rsidRPr="008F7BC7" w:rsidRDefault="00605AD4" w:rsidP="008F7BC7">
      <w:pPr>
        <w:pStyle w:val="Heading4"/>
      </w:pPr>
      <w:bookmarkStart w:id="80" w:name="_Toc196046464"/>
      <w:bookmarkStart w:id="81" w:name="_Toc247691518"/>
      <w:bookmarkStart w:id="82" w:name="_Toc314842502"/>
      <w:r w:rsidRPr="008F7BC7">
        <w:t>Clinical</w:t>
      </w:r>
      <w:r w:rsidR="000159A6" w:rsidRPr="008F7BC7">
        <w:t xml:space="preserve"> </w:t>
      </w:r>
      <w:r w:rsidR="00EF59DC" w:rsidRPr="008F7BC7">
        <w:t>r</w:t>
      </w:r>
      <w:r w:rsidRPr="008F7BC7">
        <w:t>ationale</w:t>
      </w:r>
    </w:p>
    <w:p w14:paraId="49006F44" w14:textId="6B0FB108" w:rsidR="007553D3" w:rsidRDefault="007553D3" w:rsidP="00A97634">
      <w:pPr>
        <w:rPr>
          <w:lang w:eastAsia="ja-JP"/>
        </w:rPr>
      </w:pPr>
      <w:r>
        <w:rPr>
          <w:lang w:eastAsia="ja-JP"/>
        </w:rPr>
        <w:t>Herpes</w:t>
      </w:r>
      <w:r w:rsidR="000159A6">
        <w:rPr>
          <w:lang w:eastAsia="ja-JP"/>
        </w:rPr>
        <w:t xml:space="preserve"> </w:t>
      </w:r>
      <w:r>
        <w:rPr>
          <w:lang w:eastAsia="ja-JP"/>
        </w:rPr>
        <w:t>zoster</w:t>
      </w:r>
      <w:r w:rsidR="000159A6">
        <w:rPr>
          <w:lang w:eastAsia="ja-JP"/>
        </w:rPr>
        <w:t xml:space="preserve"> </w:t>
      </w:r>
      <w:r>
        <w:rPr>
          <w:lang w:eastAsia="ja-JP"/>
        </w:rPr>
        <w:t>can</w:t>
      </w:r>
      <w:r w:rsidR="000159A6">
        <w:rPr>
          <w:lang w:eastAsia="ja-JP"/>
        </w:rPr>
        <w:t xml:space="preserve"> </w:t>
      </w:r>
      <w:r>
        <w:rPr>
          <w:lang w:eastAsia="ja-JP"/>
        </w:rPr>
        <w:t>be</w:t>
      </w:r>
      <w:r w:rsidR="000159A6">
        <w:rPr>
          <w:lang w:eastAsia="ja-JP"/>
        </w:rPr>
        <w:t xml:space="preserve"> </w:t>
      </w:r>
      <w:r>
        <w:rPr>
          <w:lang w:eastAsia="ja-JP"/>
        </w:rPr>
        <w:t>a</w:t>
      </w:r>
      <w:r w:rsidR="000159A6">
        <w:rPr>
          <w:lang w:eastAsia="ja-JP"/>
        </w:rPr>
        <w:t xml:space="preserve"> </w:t>
      </w:r>
      <w:r>
        <w:rPr>
          <w:lang w:eastAsia="ja-JP"/>
        </w:rPr>
        <w:t>debilitating</w:t>
      </w:r>
      <w:r w:rsidR="000159A6">
        <w:rPr>
          <w:lang w:eastAsia="ja-JP"/>
        </w:rPr>
        <w:t xml:space="preserve"> </w:t>
      </w:r>
      <w:r>
        <w:rPr>
          <w:lang w:eastAsia="ja-JP"/>
        </w:rPr>
        <w:t>illness</w:t>
      </w:r>
      <w:r w:rsidR="000159A6">
        <w:rPr>
          <w:lang w:eastAsia="ja-JP"/>
        </w:rPr>
        <w:t xml:space="preserve"> </w:t>
      </w:r>
      <w:r>
        <w:rPr>
          <w:lang w:eastAsia="ja-JP"/>
        </w:rPr>
        <w:t>with</w:t>
      </w:r>
      <w:r w:rsidR="000159A6">
        <w:rPr>
          <w:lang w:eastAsia="ja-JP"/>
        </w:rPr>
        <w:t xml:space="preserve"> </w:t>
      </w:r>
      <w:r>
        <w:rPr>
          <w:lang w:eastAsia="ja-JP"/>
        </w:rPr>
        <w:t>a</w:t>
      </w:r>
      <w:r w:rsidR="000159A6">
        <w:rPr>
          <w:lang w:eastAsia="ja-JP"/>
        </w:rPr>
        <w:t xml:space="preserve"> </w:t>
      </w:r>
      <w:r>
        <w:rPr>
          <w:lang w:eastAsia="ja-JP"/>
        </w:rPr>
        <w:t>significant</w:t>
      </w:r>
      <w:r w:rsidR="000159A6">
        <w:rPr>
          <w:lang w:eastAsia="ja-JP"/>
        </w:rPr>
        <w:t xml:space="preserve"> </w:t>
      </w:r>
      <w:r>
        <w:rPr>
          <w:lang w:eastAsia="ja-JP"/>
        </w:rPr>
        <w:t>risk</w:t>
      </w:r>
      <w:r w:rsidR="000159A6">
        <w:rPr>
          <w:lang w:eastAsia="ja-JP"/>
        </w:rPr>
        <w:t xml:space="preserve"> </w:t>
      </w:r>
      <w:r>
        <w:rPr>
          <w:lang w:eastAsia="ja-JP"/>
        </w:rPr>
        <w:t>of</w:t>
      </w:r>
      <w:r w:rsidR="000159A6">
        <w:rPr>
          <w:lang w:eastAsia="ja-JP"/>
        </w:rPr>
        <w:t xml:space="preserve"> </w:t>
      </w:r>
      <w:r>
        <w:rPr>
          <w:lang w:eastAsia="ja-JP"/>
        </w:rPr>
        <w:t>complications,</w:t>
      </w:r>
      <w:r w:rsidR="000159A6">
        <w:rPr>
          <w:lang w:eastAsia="ja-JP"/>
        </w:rPr>
        <w:t xml:space="preserve"> </w:t>
      </w:r>
      <w:r>
        <w:rPr>
          <w:lang w:eastAsia="ja-JP"/>
        </w:rPr>
        <w:t>particularly</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immunocompromised,</w:t>
      </w:r>
      <w:r w:rsidR="000159A6">
        <w:rPr>
          <w:lang w:eastAsia="ja-JP"/>
        </w:rPr>
        <w:t xml:space="preserve"> </w:t>
      </w:r>
      <w:r>
        <w:rPr>
          <w:lang w:eastAsia="ja-JP"/>
        </w:rPr>
        <w:t>and</w:t>
      </w:r>
      <w:r w:rsidR="000159A6">
        <w:rPr>
          <w:lang w:eastAsia="ja-JP"/>
        </w:rPr>
        <w:t xml:space="preserve"> </w:t>
      </w:r>
      <w:r>
        <w:rPr>
          <w:lang w:eastAsia="ja-JP"/>
        </w:rPr>
        <w:t>there</w:t>
      </w:r>
      <w:r w:rsidR="000159A6">
        <w:rPr>
          <w:lang w:eastAsia="ja-JP"/>
        </w:rPr>
        <w:t xml:space="preserve"> </w:t>
      </w:r>
      <w:r>
        <w:rPr>
          <w:lang w:eastAsia="ja-JP"/>
        </w:rPr>
        <w:t>are</w:t>
      </w:r>
      <w:r w:rsidR="000159A6">
        <w:rPr>
          <w:lang w:eastAsia="ja-JP"/>
        </w:rPr>
        <w:t xml:space="preserve"> </w:t>
      </w:r>
      <w:r>
        <w:rPr>
          <w:lang w:eastAsia="ja-JP"/>
        </w:rPr>
        <w:t>limited</w:t>
      </w:r>
      <w:r w:rsidR="000159A6">
        <w:rPr>
          <w:lang w:eastAsia="ja-JP"/>
        </w:rPr>
        <w:t xml:space="preserve"> </w:t>
      </w:r>
      <w:r>
        <w:rPr>
          <w:lang w:eastAsia="ja-JP"/>
        </w:rPr>
        <w:t>treatment</w:t>
      </w:r>
      <w:r w:rsidR="000159A6">
        <w:rPr>
          <w:lang w:eastAsia="ja-JP"/>
        </w:rPr>
        <w:t xml:space="preserve"> </w:t>
      </w:r>
      <w:r>
        <w:rPr>
          <w:lang w:eastAsia="ja-JP"/>
        </w:rPr>
        <w:t>options.</w:t>
      </w:r>
      <w:r w:rsidR="000159A6">
        <w:rPr>
          <w:lang w:eastAsia="ja-JP"/>
        </w:rPr>
        <w:t xml:space="preserve"> </w:t>
      </w:r>
      <w:r>
        <w:rPr>
          <w:lang w:eastAsia="ja-JP"/>
        </w:rPr>
        <w:t>The</w:t>
      </w:r>
      <w:r w:rsidR="000159A6">
        <w:rPr>
          <w:lang w:eastAsia="ja-JP"/>
        </w:rPr>
        <w:t xml:space="preserve"> </w:t>
      </w:r>
      <w:r>
        <w:rPr>
          <w:lang w:eastAsia="ja-JP"/>
        </w:rPr>
        <w:t>currently</w:t>
      </w:r>
      <w:r w:rsidR="000159A6">
        <w:rPr>
          <w:lang w:eastAsia="ja-JP"/>
        </w:rPr>
        <w:t xml:space="preserve"> </w:t>
      </w:r>
      <w:r>
        <w:rPr>
          <w:lang w:eastAsia="ja-JP"/>
        </w:rPr>
        <w:t>available</w:t>
      </w:r>
      <w:r w:rsidR="000159A6">
        <w:rPr>
          <w:lang w:eastAsia="ja-JP"/>
        </w:rPr>
        <w:t xml:space="preserve"> </w:t>
      </w:r>
      <w:r>
        <w:rPr>
          <w:lang w:eastAsia="ja-JP"/>
        </w:rPr>
        <w:t>vaccine,</w:t>
      </w:r>
      <w:r w:rsidR="000159A6">
        <w:rPr>
          <w:lang w:eastAsia="ja-JP"/>
        </w:rPr>
        <w:t xml:space="preserve"> </w:t>
      </w:r>
      <w:r>
        <w:rPr>
          <w:lang w:eastAsia="ja-JP"/>
        </w:rPr>
        <w:t>Zostavax,</w:t>
      </w:r>
      <w:r w:rsidR="000159A6">
        <w:rPr>
          <w:lang w:eastAsia="ja-JP"/>
        </w:rPr>
        <w:t xml:space="preserve"> </w:t>
      </w:r>
      <w:r>
        <w:rPr>
          <w:lang w:eastAsia="ja-JP"/>
        </w:rPr>
        <w:t>has</w:t>
      </w:r>
      <w:r w:rsidR="000159A6">
        <w:rPr>
          <w:lang w:eastAsia="ja-JP"/>
        </w:rPr>
        <w:t xml:space="preserve"> </w:t>
      </w:r>
      <w:r>
        <w:rPr>
          <w:lang w:eastAsia="ja-JP"/>
        </w:rPr>
        <w:t>a</w:t>
      </w:r>
      <w:r w:rsidR="000159A6">
        <w:rPr>
          <w:lang w:eastAsia="ja-JP"/>
        </w:rPr>
        <w:t xml:space="preserve"> </w:t>
      </w:r>
      <w:r>
        <w:rPr>
          <w:lang w:eastAsia="ja-JP"/>
        </w:rPr>
        <w:t>moderate</w:t>
      </w:r>
      <w:r w:rsidR="000159A6">
        <w:rPr>
          <w:lang w:eastAsia="ja-JP"/>
        </w:rPr>
        <w:t xml:space="preserve"> </w:t>
      </w:r>
      <w:r>
        <w:rPr>
          <w:lang w:eastAsia="ja-JP"/>
        </w:rPr>
        <w:t>protective</w:t>
      </w:r>
      <w:r w:rsidR="000159A6">
        <w:rPr>
          <w:lang w:eastAsia="ja-JP"/>
        </w:rPr>
        <w:t xml:space="preserve"> </w:t>
      </w:r>
      <w:r>
        <w:rPr>
          <w:lang w:eastAsia="ja-JP"/>
        </w:rPr>
        <w:t>efficacy</w:t>
      </w:r>
      <w:r w:rsidR="000159A6">
        <w:rPr>
          <w:lang w:eastAsia="ja-JP"/>
        </w:rPr>
        <w:t xml:space="preserve"> </w:t>
      </w:r>
      <w:r>
        <w:rPr>
          <w:lang w:eastAsia="ja-JP"/>
        </w:rPr>
        <w:t>of</w:t>
      </w:r>
      <w:r w:rsidR="000159A6">
        <w:rPr>
          <w:lang w:eastAsia="ja-JP"/>
        </w:rPr>
        <w:t xml:space="preserve"> </w:t>
      </w:r>
      <w:r>
        <w:rPr>
          <w:lang w:eastAsia="ja-JP"/>
        </w:rPr>
        <w:t>51%</w:t>
      </w:r>
      <w:r w:rsidR="000159A6">
        <w:rPr>
          <w:lang w:eastAsia="ja-JP"/>
        </w:rPr>
        <w:t xml:space="preserve"> </w:t>
      </w:r>
      <w:r>
        <w:rPr>
          <w:lang w:eastAsia="ja-JP"/>
        </w:rPr>
        <w:t>in</w:t>
      </w:r>
      <w:r w:rsidR="000159A6">
        <w:rPr>
          <w:lang w:eastAsia="ja-JP"/>
        </w:rPr>
        <w:t xml:space="preserve"> </w:t>
      </w:r>
      <w:r>
        <w:rPr>
          <w:lang w:eastAsia="ja-JP"/>
        </w:rPr>
        <w:t>adults</w:t>
      </w:r>
      <w:r w:rsidR="000159A6">
        <w:rPr>
          <w:lang w:eastAsia="ja-JP"/>
        </w:rPr>
        <w:t xml:space="preserve"> </w:t>
      </w:r>
      <w:r>
        <w:rPr>
          <w:lang w:eastAsia="ja-JP"/>
        </w:rPr>
        <w:t>60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or</w:t>
      </w:r>
      <w:r w:rsidR="000159A6">
        <w:rPr>
          <w:lang w:eastAsia="ja-JP"/>
        </w:rPr>
        <w:t xml:space="preserve"> </w:t>
      </w:r>
      <w:r>
        <w:rPr>
          <w:lang w:eastAsia="ja-JP"/>
        </w:rPr>
        <w:t>older.</w:t>
      </w:r>
      <w:r w:rsidR="000159A6">
        <w:rPr>
          <w:lang w:eastAsia="ja-JP"/>
        </w:rPr>
        <w:t xml:space="preserve"> </w:t>
      </w:r>
      <w:r>
        <w:rPr>
          <w:lang w:eastAsia="ja-JP"/>
        </w:rPr>
        <w:t>This</w:t>
      </w:r>
      <w:r w:rsidR="000159A6">
        <w:rPr>
          <w:lang w:eastAsia="ja-JP"/>
        </w:rPr>
        <w:t xml:space="preserve"> </w:t>
      </w:r>
      <w:r>
        <w:rPr>
          <w:lang w:eastAsia="ja-JP"/>
        </w:rPr>
        <w:t>vaccine</w:t>
      </w:r>
      <w:r w:rsidR="000159A6">
        <w:rPr>
          <w:lang w:eastAsia="ja-JP"/>
        </w:rPr>
        <w:t xml:space="preserve"> </w:t>
      </w:r>
      <w:r>
        <w:rPr>
          <w:lang w:eastAsia="ja-JP"/>
        </w:rPr>
        <w:t>is</w:t>
      </w:r>
      <w:r w:rsidR="000159A6">
        <w:rPr>
          <w:lang w:eastAsia="ja-JP"/>
        </w:rPr>
        <w:t xml:space="preserve"> </w:t>
      </w:r>
      <w:r>
        <w:rPr>
          <w:lang w:eastAsia="ja-JP"/>
        </w:rPr>
        <w:t>a</w:t>
      </w:r>
      <w:r w:rsidR="000159A6">
        <w:rPr>
          <w:lang w:eastAsia="ja-JP"/>
        </w:rPr>
        <w:t xml:space="preserve"> </w:t>
      </w:r>
      <w:r>
        <w:rPr>
          <w:lang w:eastAsia="ja-JP"/>
        </w:rPr>
        <w:t>live</w:t>
      </w:r>
      <w:r w:rsidR="000159A6">
        <w:rPr>
          <w:lang w:eastAsia="ja-JP"/>
        </w:rPr>
        <w:t xml:space="preserve"> </w:t>
      </w:r>
      <w:r>
        <w:rPr>
          <w:lang w:eastAsia="ja-JP"/>
        </w:rPr>
        <w:t>attenuated</w:t>
      </w:r>
      <w:r w:rsidR="000159A6">
        <w:rPr>
          <w:lang w:eastAsia="ja-JP"/>
        </w:rPr>
        <w:t xml:space="preserve"> </w:t>
      </w:r>
      <w:r>
        <w:rPr>
          <w:lang w:eastAsia="ja-JP"/>
        </w:rPr>
        <w:t>vaccine</w:t>
      </w:r>
      <w:r w:rsidR="000159A6">
        <w:rPr>
          <w:lang w:eastAsia="ja-JP"/>
        </w:rPr>
        <w:t xml:space="preserve"> </w:t>
      </w:r>
      <w:r>
        <w:rPr>
          <w:lang w:eastAsia="ja-JP"/>
        </w:rPr>
        <w:t>and</w:t>
      </w:r>
      <w:r w:rsidR="000159A6">
        <w:rPr>
          <w:lang w:eastAsia="ja-JP"/>
        </w:rPr>
        <w:t xml:space="preserve"> </w:t>
      </w:r>
      <w:r>
        <w:rPr>
          <w:lang w:eastAsia="ja-JP"/>
        </w:rPr>
        <w:t>so</w:t>
      </w:r>
      <w:r w:rsidR="000159A6">
        <w:rPr>
          <w:lang w:eastAsia="ja-JP"/>
        </w:rPr>
        <w:t xml:space="preserve"> </w:t>
      </w:r>
      <w:r>
        <w:rPr>
          <w:lang w:eastAsia="ja-JP"/>
        </w:rPr>
        <w:t>is</w:t>
      </w:r>
      <w:r w:rsidR="000159A6">
        <w:rPr>
          <w:lang w:eastAsia="ja-JP"/>
        </w:rPr>
        <w:t xml:space="preserve"> </w:t>
      </w:r>
      <w:r>
        <w:rPr>
          <w:lang w:eastAsia="ja-JP"/>
        </w:rPr>
        <w:t>contraindicated</w:t>
      </w:r>
      <w:r w:rsidR="000159A6">
        <w:rPr>
          <w:lang w:eastAsia="ja-JP"/>
        </w:rPr>
        <w:t xml:space="preserve"> </w:t>
      </w:r>
      <w:r>
        <w:rPr>
          <w:lang w:eastAsia="ja-JP"/>
        </w:rPr>
        <w:t>in</w:t>
      </w:r>
      <w:r w:rsidR="000159A6">
        <w:rPr>
          <w:lang w:eastAsia="ja-JP"/>
        </w:rPr>
        <w:t xml:space="preserve"> </w:t>
      </w:r>
      <w:r>
        <w:rPr>
          <w:lang w:eastAsia="ja-JP"/>
        </w:rPr>
        <w:t>immunocompromised</w:t>
      </w:r>
      <w:r w:rsidR="000159A6">
        <w:rPr>
          <w:lang w:eastAsia="ja-JP"/>
        </w:rPr>
        <w:t xml:space="preserve"> </w:t>
      </w:r>
      <w:r>
        <w:rPr>
          <w:lang w:eastAsia="ja-JP"/>
        </w:rPr>
        <w:t>patients</w:t>
      </w:r>
      <w:r w:rsidR="000159A6">
        <w:rPr>
          <w:lang w:eastAsia="ja-JP"/>
        </w:rPr>
        <w:t xml:space="preserve"> </w:t>
      </w:r>
      <w:r>
        <w:rPr>
          <w:lang w:eastAsia="ja-JP"/>
        </w:rPr>
        <w:t>who</w:t>
      </w:r>
      <w:r w:rsidR="000159A6">
        <w:rPr>
          <w:lang w:eastAsia="ja-JP"/>
        </w:rPr>
        <w:t xml:space="preserve"> </w:t>
      </w:r>
      <w:r>
        <w:rPr>
          <w:lang w:eastAsia="ja-JP"/>
        </w:rPr>
        <w:t>are</w:t>
      </w:r>
      <w:r w:rsidR="000159A6">
        <w:rPr>
          <w:lang w:eastAsia="ja-JP"/>
        </w:rPr>
        <w:t xml:space="preserve"> </w:t>
      </w:r>
      <w:r>
        <w:rPr>
          <w:lang w:eastAsia="ja-JP"/>
        </w:rPr>
        <w:t>at</w:t>
      </w:r>
      <w:r w:rsidR="000159A6">
        <w:rPr>
          <w:lang w:eastAsia="ja-JP"/>
        </w:rPr>
        <w:t xml:space="preserve"> </w:t>
      </w:r>
      <w:r>
        <w:rPr>
          <w:lang w:eastAsia="ja-JP"/>
        </w:rPr>
        <w:t>particular</w:t>
      </w:r>
      <w:r w:rsidR="000159A6">
        <w:rPr>
          <w:lang w:eastAsia="ja-JP"/>
        </w:rPr>
        <w:t xml:space="preserve"> </w:t>
      </w:r>
      <w:r>
        <w:rPr>
          <w:lang w:eastAsia="ja-JP"/>
        </w:rPr>
        <w:t>risk</w:t>
      </w:r>
      <w:r w:rsidR="000159A6">
        <w:rPr>
          <w:lang w:eastAsia="ja-JP"/>
        </w:rPr>
        <w:t xml:space="preserve"> </w:t>
      </w:r>
      <w:r>
        <w:rPr>
          <w:lang w:eastAsia="ja-JP"/>
        </w:rPr>
        <w:t>of</w:t>
      </w:r>
      <w:r w:rsidR="000159A6">
        <w:rPr>
          <w:lang w:eastAsia="ja-JP"/>
        </w:rPr>
        <w:t xml:space="preserve"> </w:t>
      </w:r>
      <w:r>
        <w:rPr>
          <w:lang w:eastAsia="ja-JP"/>
        </w:rPr>
        <w:t>herpes</w:t>
      </w:r>
      <w:r w:rsidR="000159A6">
        <w:rPr>
          <w:lang w:eastAsia="ja-JP"/>
        </w:rPr>
        <w:t xml:space="preserve"> </w:t>
      </w:r>
      <w:r>
        <w:rPr>
          <w:lang w:eastAsia="ja-JP"/>
        </w:rPr>
        <w:t>zoster.</w:t>
      </w:r>
      <w:r w:rsidR="000159A6">
        <w:rPr>
          <w:lang w:eastAsia="ja-JP"/>
        </w:rPr>
        <w:t xml:space="preserve"> </w:t>
      </w:r>
      <w:r>
        <w:rPr>
          <w:lang w:eastAsia="ja-JP"/>
        </w:rPr>
        <w:t>Therefore,</w:t>
      </w:r>
      <w:r w:rsidR="000159A6">
        <w:rPr>
          <w:lang w:eastAsia="ja-JP"/>
        </w:rPr>
        <w:t xml:space="preserve"> </w:t>
      </w:r>
      <w:r>
        <w:rPr>
          <w:lang w:eastAsia="ja-JP"/>
        </w:rPr>
        <w:lastRenderedPageBreak/>
        <w:t>there</w:t>
      </w:r>
      <w:r w:rsidR="000159A6">
        <w:rPr>
          <w:lang w:eastAsia="ja-JP"/>
        </w:rPr>
        <w:t xml:space="preserve"> </w:t>
      </w:r>
      <w:r>
        <w:rPr>
          <w:lang w:eastAsia="ja-JP"/>
        </w:rPr>
        <w:t>is</w:t>
      </w:r>
      <w:r w:rsidR="000159A6">
        <w:rPr>
          <w:lang w:eastAsia="ja-JP"/>
        </w:rPr>
        <w:t xml:space="preserve"> </w:t>
      </w:r>
      <w:r>
        <w:rPr>
          <w:lang w:eastAsia="ja-JP"/>
        </w:rPr>
        <w:t>an</w:t>
      </w:r>
      <w:r w:rsidR="000159A6">
        <w:rPr>
          <w:lang w:eastAsia="ja-JP"/>
        </w:rPr>
        <w:t xml:space="preserve"> </w:t>
      </w:r>
      <w:r>
        <w:rPr>
          <w:lang w:eastAsia="ja-JP"/>
        </w:rPr>
        <w:t>evident</w:t>
      </w:r>
      <w:r w:rsidR="000159A6">
        <w:rPr>
          <w:lang w:eastAsia="ja-JP"/>
        </w:rPr>
        <w:t xml:space="preserve"> </w:t>
      </w:r>
      <w:r>
        <w:rPr>
          <w:lang w:eastAsia="ja-JP"/>
        </w:rPr>
        <w:t>clinical</w:t>
      </w:r>
      <w:r w:rsidR="000159A6">
        <w:rPr>
          <w:lang w:eastAsia="ja-JP"/>
        </w:rPr>
        <w:t xml:space="preserve"> </w:t>
      </w:r>
      <w:r>
        <w:rPr>
          <w:lang w:eastAsia="ja-JP"/>
        </w:rPr>
        <w:t>place</w:t>
      </w:r>
      <w:r w:rsidR="000159A6">
        <w:rPr>
          <w:lang w:eastAsia="ja-JP"/>
        </w:rPr>
        <w:t xml:space="preserve"> </w:t>
      </w:r>
      <w:r>
        <w:rPr>
          <w:lang w:eastAsia="ja-JP"/>
        </w:rPr>
        <w:t>for</w:t>
      </w:r>
      <w:r w:rsidR="000159A6">
        <w:rPr>
          <w:lang w:eastAsia="ja-JP"/>
        </w:rPr>
        <w:t xml:space="preserve"> </w:t>
      </w:r>
      <w:r>
        <w:rPr>
          <w:lang w:eastAsia="ja-JP"/>
        </w:rPr>
        <w:t>a</w:t>
      </w:r>
      <w:r w:rsidR="000159A6">
        <w:rPr>
          <w:lang w:eastAsia="ja-JP"/>
        </w:rPr>
        <w:t xml:space="preserve"> </w:t>
      </w:r>
      <w:r>
        <w:rPr>
          <w:lang w:eastAsia="ja-JP"/>
        </w:rPr>
        <w:t>vaccine</w:t>
      </w:r>
      <w:r w:rsidR="000159A6">
        <w:rPr>
          <w:lang w:eastAsia="ja-JP"/>
        </w:rPr>
        <w:t xml:space="preserve"> </w:t>
      </w:r>
      <w:r>
        <w:rPr>
          <w:lang w:eastAsia="ja-JP"/>
        </w:rPr>
        <w:t>which</w:t>
      </w:r>
      <w:r w:rsidR="000159A6">
        <w:rPr>
          <w:lang w:eastAsia="ja-JP"/>
        </w:rPr>
        <w:t xml:space="preserve"> </w:t>
      </w:r>
      <w:r>
        <w:rPr>
          <w:lang w:eastAsia="ja-JP"/>
        </w:rPr>
        <w:t>can</w:t>
      </w:r>
      <w:r w:rsidR="000159A6">
        <w:rPr>
          <w:lang w:eastAsia="ja-JP"/>
        </w:rPr>
        <w:t xml:space="preserve"> </w:t>
      </w:r>
      <w:r>
        <w:rPr>
          <w:lang w:eastAsia="ja-JP"/>
        </w:rPr>
        <w:t>be</w:t>
      </w:r>
      <w:r w:rsidR="000159A6">
        <w:rPr>
          <w:lang w:eastAsia="ja-JP"/>
        </w:rPr>
        <w:t xml:space="preserve"> </w:t>
      </w:r>
      <w:r>
        <w:rPr>
          <w:lang w:eastAsia="ja-JP"/>
        </w:rPr>
        <w:t>used</w:t>
      </w:r>
      <w:r w:rsidR="000159A6">
        <w:rPr>
          <w:lang w:eastAsia="ja-JP"/>
        </w:rPr>
        <w:t xml:space="preserve"> </w:t>
      </w:r>
      <w:r>
        <w:rPr>
          <w:lang w:eastAsia="ja-JP"/>
        </w:rPr>
        <w:t>in</w:t>
      </w:r>
      <w:r w:rsidR="000159A6">
        <w:rPr>
          <w:lang w:eastAsia="ja-JP"/>
        </w:rPr>
        <w:t xml:space="preserve"> </w:t>
      </w:r>
      <w:r>
        <w:rPr>
          <w:lang w:eastAsia="ja-JP"/>
        </w:rPr>
        <w:t>this</w:t>
      </w:r>
      <w:r w:rsidR="000159A6">
        <w:rPr>
          <w:lang w:eastAsia="ja-JP"/>
        </w:rPr>
        <w:t xml:space="preserve"> </w:t>
      </w:r>
      <w:r>
        <w:rPr>
          <w:lang w:eastAsia="ja-JP"/>
        </w:rPr>
        <w:t>patient</w:t>
      </w:r>
      <w:r w:rsidR="000159A6">
        <w:rPr>
          <w:lang w:eastAsia="ja-JP"/>
        </w:rPr>
        <w:t xml:space="preserve"> </w:t>
      </w:r>
      <w:r>
        <w:rPr>
          <w:lang w:eastAsia="ja-JP"/>
        </w:rPr>
        <w:t>group,</w:t>
      </w:r>
      <w:r w:rsidR="000159A6">
        <w:rPr>
          <w:lang w:eastAsia="ja-JP"/>
        </w:rPr>
        <w:t xml:space="preserve"> </w:t>
      </w:r>
      <w:r>
        <w:rPr>
          <w:lang w:eastAsia="ja-JP"/>
        </w:rPr>
        <w:t>as</w:t>
      </w:r>
      <w:r w:rsidR="000159A6">
        <w:rPr>
          <w:lang w:eastAsia="ja-JP"/>
        </w:rPr>
        <w:t xml:space="preserve"> </w:t>
      </w:r>
      <w:r>
        <w:rPr>
          <w:lang w:eastAsia="ja-JP"/>
        </w:rPr>
        <w:t>well</w:t>
      </w:r>
      <w:r w:rsidR="000159A6">
        <w:rPr>
          <w:lang w:eastAsia="ja-JP"/>
        </w:rPr>
        <w:t xml:space="preserve"> </w:t>
      </w:r>
      <w:r>
        <w:rPr>
          <w:lang w:eastAsia="ja-JP"/>
        </w:rPr>
        <w:t>as</w:t>
      </w:r>
      <w:r w:rsidR="000159A6">
        <w:rPr>
          <w:lang w:eastAsia="ja-JP"/>
        </w:rPr>
        <w:t xml:space="preserve"> </w:t>
      </w:r>
      <w:r>
        <w:rPr>
          <w:lang w:eastAsia="ja-JP"/>
        </w:rPr>
        <w:t>for</w:t>
      </w:r>
      <w:r w:rsidR="000159A6">
        <w:rPr>
          <w:lang w:eastAsia="ja-JP"/>
        </w:rPr>
        <w:t xml:space="preserve"> </w:t>
      </w:r>
      <w:r>
        <w:rPr>
          <w:lang w:eastAsia="ja-JP"/>
        </w:rPr>
        <w:t>a</w:t>
      </w:r>
      <w:r w:rsidR="000159A6">
        <w:rPr>
          <w:lang w:eastAsia="ja-JP"/>
        </w:rPr>
        <w:t xml:space="preserve"> </w:t>
      </w:r>
      <w:r>
        <w:rPr>
          <w:lang w:eastAsia="ja-JP"/>
        </w:rPr>
        <w:t>vaccine</w:t>
      </w:r>
      <w:r w:rsidR="000159A6">
        <w:rPr>
          <w:lang w:eastAsia="ja-JP"/>
        </w:rPr>
        <w:t xml:space="preserve"> </w:t>
      </w:r>
      <w:r>
        <w:rPr>
          <w:lang w:eastAsia="ja-JP"/>
        </w:rPr>
        <w:t>with</w:t>
      </w:r>
      <w:r w:rsidR="000159A6">
        <w:rPr>
          <w:lang w:eastAsia="ja-JP"/>
        </w:rPr>
        <w:t xml:space="preserve"> </w:t>
      </w:r>
      <w:r>
        <w:rPr>
          <w:lang w:eastAsia="ja-JP"/>
        </w:rPr>
        <w:t>higher</w:t>
      </w:r>
      <w:r w:rsidR="000159A6">
        <w:rPr>
          <w:lang w:eastAsia="ja-JP"/>
        </w:rPr>
        <w:t xml:space="preserve"> </w:t>
      </w:r>
      <w:r>
        <w:rPr>
          <w:lang w:eastAsia="ja-JP"/>
        </w:rPr>
        <w:t>clinical</w:t>
      </w:r>
      <w:r w:rsidR="000159A6">
        <w:rPr>
          <w:lang w:eastAsia="ja-JP"/>
        </w:rPr>
        <w:t xml:space="preserve"> </w:t>
      </w:r>
      <w:r>
        <w:rPr>
          <w:lang w:eastAsia="ja-JP"/>
        </w:rPr>
        <w:t>efficacy.</w:t>
      </w:r>
    </w:p>
    <w:p w14:paraId="0F1FB966" w14:textId="145F3539" w:rsidR="007553D3" w:rsidRPr="00730DB6" w:rsidRDefault="007553D3" w:rsidP="00A97634">
      <w:r w:rsidRPr="00730DB6">
        <w:rPr>
          <w:lang w:eastAsia="ja-JP"/>
        </w:rPr>
        <w:t>The</w:t>
      </w:r>
      <w:r w:rsidR="000159A6">
        <w:rPr>
          <w:lang w:eastAsia="ja-JP"/>
        </w:rPr>
        <w:t xml:space="preserve"> </w:t>
      </w:r>
      <w:r w:rsidRPr="00730DB6">
        <w:rPr>
          <w:lang w:eastAsia="ja-JP"/>
        </w:rPr>
        <w:t>sponsor</w:t>
      </w:r>
      <w:r w:rsidR="000159A6">
        <w:rPr>
          <w:lang w:eastAsia="ja-JP"/>
        </w:rPr>
        <w:t xml:space="preserve"> </w:t>
      </w:r>
      <w:r w:rsidRPr="00730DB6">
        <w:rPr>
          <w:lang w:eastAsia="ja-JP"/>
        </w:rPr>
        <w:t>stated</w:t>
      </w:r>
      <w:r w:rsidR="000159A6">
        <w:rPr>
          <w:lang w:eastAsia="ja-JP"/>
        </w:rPr>
        <w:t xml:space="preserve"> </w:t>
      </w:r>
      <w:r w:rsidRPr="00730DB6">
        <w:rPr>
          <w:lang w:eastAsia="ja-JP"/>
        </w:rPr>
        <w:t>that</w:t>
      </w:r>
      <w:r w:rsidR="000159A6">
        <w:rPr>
          <w:lang w:eastAsia="ja-JP"/>
        </w:rPr>
        <w:t xml:space="preserve"> </w:t>
      </w:r>
      <w:r w:rsidRPr="00730DB6">
        <w:rPr>
          <w:lang w:eastAsia="ja-JP"/>
        </w:rPr>
        <w:t>the</w:t>
      </w:r>
      <w:r w:rsidR="000159A6">
        <w:rPr>
          <w:lang w:eastAsia="ja-JP"/>
        </w:rPr>
        <w:t xml:space="preserve"> </w:t>
      </w:r>
      <w:r w:rsidRPr="00730DB6">
        <w:rPr>
          <w:lang w:eastAsia="ja-JP"/>
        </w:rPr>
        <w:t>VZV</w:t>
      </w:r>
      <w:r w:rsidR="000159A6">
        <w:rPr>
          <w:lang w:eastAsia="ja-JP"/>
        </w:rPr>
        <w:t xml:space="preserve"> </w:t>
      </w:r>
      <w:r w:rsidRPr="00730DB6">
        <w:rPr>
          <w:lang w:eastAsia="ja-JP"/>
        </w:rPr>
        <w:t>antigen</w:t>
      </w:r>
      <w:r w:rsidR="000159A6">
        <w:rPr>
          <w:lang w:eastAsia="ja-JP"/>
        </w:rPr>
        <w:t xml:space="preserve"> </w:t>
      </w:r>
      <w:r w:rsidRPr="00730DB6">
        <w:rPr>
          <w:lang w:eastAsia="ja-JP"/>
        </w:rPr>
        <w:t>glycoprotein</w:t>
      </w:r>
      <w:r w:rsidR="000159A6">
        <w:rPr>
          <w:lang w:eastAsia="ja-JP"/>
        </w:rPr>
        <w:t xml:space="preserve"> </w:t>
      </w:r>
      <w:r w:rsidRPr="00730DB6">
        <w:rPr>
          <w:lang w:eastAsia="ja-JP"/>
        </w:rPr>
        <w:t>E</w:t>
      </w:r>
      <w:r w:rsidR="000159A6">
        <w:rPr>
          <w:lang w:eastAsia="ja-JP"/>
        </w:rPr>
        <w:t xml:space="preserve"> </w:t>
      </w:r>
      <w:r w:rsidRPr="00730DB6">
        <w:rPr>
          <w:lang w:eastAsia="ja-JP"/>
        </w:rPr>
        <w:t>(gE)</w:t>
      </w:r>
      <w:r w:rsidR="000159A6">
        <w:rPr>
          <w:lang w:eastAsia="ja-JP"/>
        </w:rPr>
        <w:t xml:space="preserve"> </w:t>
      </w:r>
      <w:r w:rsidRPr="00730DB6">
        <w:rPr>
          <w:lang w:eastAsia="ja-JP"/>
        </w:rPr>
        <w:t>was</w:t>
      </w:r>
      <w:r w:rsidR="000159A6">
        <w:rPr>
          <w:lang w:eastAsia="ja-JP"/>
        </w:rPr>
        <w:t xml:space="preserve"> </w:t>
      </w:r>
      <w:r w:rsidRPr="00730DB6">
        <w:rPr>
          <w:lang w:eastAsia="ja-JP"/>
        </w:rPr>
        <w:t>selected</w:t>
      </w:r>
      <w:r w:rsidR="000159A6">
        <w:rPr>
          <w:lang w:eastAsia="ja-JP"/>
        </w:rPr>
        <w:t xml:space="preserve"> </w:t>
      </w:r>
      <w:r w:rsidRPr="00730DB6">
        <w:rPr>
          <w:lang w:eastAsia="ja-JP"/>
        </w:rPr>
        <w:t>for</w:t>
      </w:r>
      <w:r w:rsidR="000159A6">
        <w:rPr>
          <w:lang w:eastAsia="ja-JP"/>
        </w:rPr>
        <w:t xml:space="preserve"> </w:t>
      </w:r>
      <w:r w:rsidRPr="00730DB6">
        <w:rPr>
          <w:lang w:eastAsia="ja-JP"/>
        </w:rPr>
        <w:t>the</w:t>
      </w:r>
      <w:r w:rsidR="000159A6">
        <w:rPr>
          <w:lang w:eastAsia="ja-JP"/>
        </w:rPr>
        <w:t xml:space="preserve"> </w:t>
      </w:r>
      <w:r w:rsidRPr="00730DB6">
        <w:rPr>
          <w:lang w:eastAsia="ja-JP"/>
        </w:rPr>
        <w:t>vaccine</w:t>
      </w:r>
      <w:r w:rsidR="000159A6">
        <w:rPr>
          <w:lang w:eastAsia="ja-JP"/>
        </w:rPr>
        <w:t xml:space="preserve"> </w:t>
      </w:r>
      <w:r>
        <w:rPr>
          <w:lang w:eastAsia="ja-JP"/>
        </w:rPr>
        <w:t>antigen</w:t>
      </w:r>
      <w:r w:rsidR="000159A6">
        <w:rPr>
          <w:lang w:eastAsia="ja-JP"/>
        </w:rPr>
        <w:t xml:space="preserve"> </w:t>
      </w:r>
      <w:r w:rsidRPr="00796166">
        <w:rPr>
          <w:lang w:eastAsia="ja-JP"/>
        </w:rPr>
        <w:t>as</w:t>
      </w:r>
      <w:r w:rsidR="000159A6">
        <w:rPr>
          <w:lang w:eastAsia="ja-JP"/>
        </w:rPr>
        <w:t xml:space="preserve"> </w:t>
      </w:r>
      <w:r w:rsidRPr="00796166">
        <w:rPr>
          <w:lang w:eastAsia="ja-JP"/>
        </w:rPr>
        <w:t>‘</w:t>
      </w:r>
      <w:r w:rsidRPr="00796166">
        <w:t>it</w:t>
      </w:r>
      <w:r w:rsidR="000159A6">
        <w:t xml:space="preserve"> </w:t>
      </w:r>
      <w:r w:rsidRPr="00796166">
        <w:t>is</w:t>
      </w:r>
      <w:r w:rsidR="000159A6">
        <w:t xml:space="preserve"> </w:t>
      </w:r>
      <w:r w:rsidRPr="00796166">
        <w:t>the</w:t>
      </w:r>
      <w:r w:rsidR="000159A6">
        <w:t xml:space="preserve"> </w:t>
      </w:r>
      <w:r w:rsidRPr="00796166">
        <w:t>most</w:t>
      </w:r>
      <w:r w:rsidR="000159A6">
        <w:t xml:space="preserve"> </w:t>
      </w:r>
      <w:r w:rsidRPr="00796166">
        <w:t>abundant</w:t>
      </w:r>
      <w:r w:rsidR="000159A6">
        <w:t xml:space="preserve"> </w:t>
      </w:r>
      <w:r w:rsidRPr="00796166">
        <w:t>viral</w:t>
      </w:r>
      <w:r w:rsidR="000159A6">
        <w:t xml:space="preserve"> </w:t>
      </w:r>
      <w:r w:rsidRPr="00796166">
        <w:t>surface</w:t>
      </w:r>
      <w:r w:rsidR="000159A6">
        <w:t xml:space="preserve"> </w:t>
      </w:r>
      <w:r w:rsidRPr="00796166">
        <w:t>glycoprotein</w:t>
      </w:r>
      <w:r w:rsidR="000159A6">
        <w:t xml:space="preserve"> </w:t>
      </w:r>
      <w:r w:rsidRPr="00796166">
        <w:t>in</w:t>
      </w:r>
      <w:r w:rsidR="000159A6">
        <w:t xml:space="preserve"> </w:t>
      </w:r>
      <w:r w:rsidRPr="00796166">
        <w:t>VZV</w:t>
      </w:r>
      <w:r w:rsidR="000159A6">
        <w:t xml:space="preserve"> </w:t>
      </w:r>
      <w:r w:rsidRPr="00796166">
        <w:t>virions</w:t>
      </w:r>
      <w:r w:rsidR="000159A6">
        <w:t xml:space="preserve"> </w:t>
      </w:r>
      <w:r w:rsidRPr="00796166">
        <w:t>and</w:t>
      </w:r>
      <w:r w:rsidR="000159A6">
        <w:t xml:space="preserve"> </w:t>
      </w:r>
      <w:r>
        <w:t>VZV</w:t>
      </w:r>
      <w:r w:rsidR="00CD5352">
        <w:t> </w:t>
      </w:r>
      <w:r>
        <w:t>infected</w:t>
      </w:r>
      <w:r w:rsidR="000159A6">
        <w:t xml:space="preserve"> </w:t>
      </w:r>
      <w:r w:rsidRPr="00796166">
        <w:t>cells,</w:t>
      </w:r>
      <w:r w:rsidR="000159A6">
        <w:t xml:space="preserve"> </w:t>
      </w:r>
      <w:r w:rsidRPr="00796166">
        <w:t>plays</w:t>
      </w:r>
      <w:r w:rsidR="000159A6">
        <w:t xml:space="preserve"> </w:t>
      </w:r>
      <w:r w:rsidRPr="00796166">
        <w:t>a</w:t>
      </w:r>
      <w:r w:rsidR="000159A6">
        <w:t xml:space="preserve"> </w:t>
      </w:r>
      <w:r w:rsidRPr="00796166">
        <w:t>central</w:t>
      </w:r>
      <w:r w:rsidR="000159A6">
        <w:t xml:space="preserve"> </w:t>
      </w:r>
      <w:r w:rsidRPr="00796166">
        <w:t>role</w:t>
      </w:r>
      <w:r w:rsidR="000159A6">
        <w:t xml:space="preserve"> </w:t>
      </w:r>
      <w:r w:rsidRPr="00796166">
        <w:t>in</w:t>
      </w:r>
      <w:r w:rsidR="000159A6">
        <w:t xml:space="preserve"> </w:t>
      </w:r>
      <w:r w:rsidRPr="00796166">
        <w:t>VZV</w:t>
      </w:r>
      <w:r w:rsidR="000159A6">
        <w:t xml:space="preserve"> </w:t>
      </w:r>
      <w:r w:rsidRPr="00796166">
        <w:t>infection</w:t>
      </w:r>
      <w:r w:rsidR="000159A6">
        <w:t xml:space="preserve"> </w:t>
      </w:r>
      <w:r w:rsidRPr="00796166">
        <w:t>and</w:t>
      </w:r>
      <w:r w:rsidR="000159A6">
        <w:t xml:space="preserve"> </w:t>
      </w:r>
      <w:r w:rsidRPr="00796166">
        <w:t>is</w:t>
      </w:r>
      <w:r w:rsidR="000159A6">
        <w:t xml:space="preserve"> </w:t>
      </w:r>
      <w:r w:rsidRPr="00796166">
        <w:t>an</w:t>
      </w:r>
      <w:r w:rsidR="000159A6">
        <w:t xml:space="preserve"> </w:t>
      </w:r>
      <w:r w:rsidRPr="00796166">
        <w:t>important</w:t>
      </w:r>
      <w:r w:rsidR="000159A6">
        <w:t xml:space="preserve"> </w:t>
      </w:r>
      <w:r w:rsidRPr="00796166">
        <w:t>target</w:t>
      </w:r>
      <w:r w:rsidR="000159A6">
        <w:t xml:space="preserve"> </w:t>
      </w:r>
      <w:r w:rsidRPr="00796166">
        <w:t>of</w:t>
      </w:r>
      <w:r w:rsidR="000159A6">
        <w:t xml:space="preserve"> </w:t>
      </w:r>
      <w:r>
        <w:t>VZV</w:t>
      </w:r>
      <w:r w:rsidR="000159A6">
        <w:t xml:space="preserve"> </w:t>
      </w:r>
      <w:r>
        <w:t>specific</w:t>
      </w:r>
      <w:r w:rsidR="000159A6">
        <w:t xml:space="preserve"> </w:t>
      </w:r>
      <w:r w:rsidRPr="00796166">
        <w:t>cellular</w:t>
      </w:r>
      <w:r w:rsidR="000159A6">
        <w:t xml:space="preserve"> </w:t>
      </w:r>
      <w:r w:rsidRPr="00796166">
        <w:t>and</w:t>
      </w:r>
      <w:r w:rsidR="000159A6">
        <w:t xml:space="preserve"> </w:t>
      </w:r>
      <w:r w:rsidRPr="00796166">
        <w:t>humoral</w:t>
      </w:r>
      <w:r w:rsidR="000159A6">
        <w:t xml:space="preserve"> </w:t>
      </w:r>
      <w:r w:rsidRPr="00796166">
        <w:t>immune</w:t>
      </w:r>
      <w:r w:rsidR="000159A6">
        <w:t xml:space="preserve"> </w:t>
      </w:r>
      <w:r w:rsidRPr="00796166">
        <w:t>responses’</w:t>
      </w:r>
      <w:r w:rsidRPr="00730DB6">
        <w:t>.</w:t>
      </w:r>
    </w:p>
    <w:p w14:paraId="60897178" w14:textId="17054DA9" w:rsidR="007553D3" w:rsidRPr="007553D3" w:rsidRDefault="007553D3" w:rsidP="00A97634">
      <w:r>
        <w:t>The</w:t>
      </w:r>
      <w:r w:rsidR="000159A6">
        <w:t xml:space="preserve"> </w:t>
      </w:r>
      <w:r>
        <w:t>adjuvant</w:t>
      </w:r>
      <w:r w:rsidR="000159A6">
        <w:t xml:space="preserve"> </w:t>
      </w:r>
      <w:r>
        <w:t>AS01</w:t>
      </w:r>
      <w:r w:rsidR="000159A6">
        <w:t xml:space="preserve"> </w:t>
      </w:r>
      <w:r>
        <w:t>contains</w:t>
      </w:r>
      <w:r w:rsidR="000159A6">
        <w:t xml:space="preserve"> </w:t>
      </w:r>
      <w:r>
        <w:t>the</w:t>
      </w:r>
      <w:r w:rsidR="000159A6">
        <w:t xml:space="preserve"> </w:t>
      </w:r>
      <w:r w:rsidRPr="005E3E65">
        <w:t>immunostimulants</w:t>
      </w:r>
      <w:r w:rsidR="000159A6">
        <w:t xml:space="preserve"> </w:t>
      </w:r>
      <w:r w:rsidR="002B2F1E">
        <w:t>QS-21</w:t>
      </w:r>
      <w:r w:rsidR="000159A6">
        <w:t xml:space="preserve"> </w:t>
      </w:r>
      <w:r w:rsidRPr="005E3E65">
        <w:t>(</w:t>
      </w:r>
      <w:r w:rsidRPr="002B2F1E">
        <w:rPr>
          <w:i/>
        </w:rPr>
        <w:t>Quillaria</w:t>
      </w:r>
      <w:r w:rsidR="000159A6">
        <w:rPr>
          <w:i/>
        </w:rPr>
        <w:t xml:space="preserve"> </w:t>
      </w:r>
      <w:r w:rsidRPr="002B2F1E">
        <w:rPr>
          <w:i/>
        </w:rPr>
        <w:t>saponaria</w:t>
      </w:r>
      <w:r w:rsidR="000159A6">
        <w:t xml:space="preserve"> </w:t>
      </w:r>
      <w:r w:rsidRPr="005E3E65">
        <w:t>21)</w:t>
      </w:r>
      <w:r w:rsidR="000159A6">
        <w:t xml:space="preserve"> </w:t>
      </w:r>
      <w:r w:rsidRPr="005E3E65">
        <w:t>and</w:t>
      </w:r>
      <w:r w:rsidR="000159A6">
        <w:t xml:space="preserve"> </w:t>
      </w:r>
      <w:r w:rsidRPr="005E3E65">
        <w:t>monophosphoryl</w:t>
      </w:r>
      <w:r w:rsidR="000159A6">
        <w:t xml:space="preserve"> </w:t>
      </w:r>
      <w:r w:rsidRPr="005E3E65">
        <w:t>lipid</w:t>
      </w:r>
      <w:r w:rsidR="000159A6">
        <w:t xml:space="preserve"> </w:t>
      </w:r>
      <w:r w:rsidRPr="005E3E65">
        <w:t>A</w:t>
      </w:r>
      <w:r w:rsidR="000159A6">
        <w:t xml:space="preserve"> </w:t>
      </w:r>
      <w:r w:rsidRPr="005E3E65">
        <w:t>(MPL</w:t>
      </w:r>
      <w:r w:rsidR="000159A6">
        <w:t xml:space="preserve"> </w:t>
      </w:r>
      <w:r w:rsidRPr="005E3E65">
        <w:t>A)</w:t>
      </w:r>
      <w:r w:rsidR="000159A6">
        <w:t xml:space="preserve"> </w:t>
      </w:r>
      <w:r w:rsidRPr="005E3E65">
        <w:t>combined</w:t>
      </w:r>
      <w:r w:rsidR="000159A6">
        <w:t xml:space="preserve"> </w:t>
      </w:r>
      <w:r w:rsidRPr="005E3E65">
        <w:t>with</w:t>
      </w:r>
      <w:r w:rsidR="000159A6">
        <w:t xml:space="preserve"> </w:t>
      </w:r>
      <w:r w:rsidRPr="005E3E65">
        <w:t>liposomes</w:t>
      </w:r>
      <w:r>
        <w:t>.</w:t>
      </w:r>
      <w:r w:rsidR="000159A6">
        <w:t xml:space="preserve"> </w:t>
      </w:r>
      <w:r>
        <w:t>It</w:t>
      </w:r>
      <w:r w:rsidR="000159A6">
        <w:t xml:space="preserve"> </w:t>
      </w:r>
      <w:r>
        <w:t>was</w:t>
      </w:r>
      <w:r w:rsidR="000159A6">
        <w:t xml:space="preserve"> </w:t>
      </w:r>
      <w:r>
        <w:t>stated</w:t>
      </w:r>
      <w:r w:rsidR="000159A6">
        <w:t xml:space="preserve"> </w:t>
      </w:r>
      <w:r>
        <w:t>that</w:t>
      </w:r>
      <w:r w:rsidR="000159A6">
        <w:t xml:space="preserve"> </w:t>
      </w:r>
      <w:r>
        <w:t>this</w:t>
      </w:r>
      <w:r w:rsidR="000159A6">
        <w:t xml:space="preserve"> </w:t>
      </w:r>
      <w:r>
        <w:t>adjuvant</w:t>
      </w:r>
      <w:r w:rsidR="000159A6">
        <w:t xml:space="preserve"> </w:t>
      </w:r>
      <w:r>
        <w:t>is</w:t>
      </w:r>
      <w:r w:rsidR="000159A6">
        <w:t xml:space="preserve"> </w:t>
      </w:r>
      <w:r>
        <w:t>being</w:t>
      </w:r>
      <w:r w:rsidR="000159A6">
        <w:t xml:space="preserve"> </w:t>
      </w:r>
      <w:r>
        <w:t>tested</w:t>
      </w:r>
      <w:r w:rsidR="000159A6">
        <w:t xml:space="preserve"> </w:t>
      </w:r>
      <w:r>
        <w:t>in</w:t>
      </w:r>
      <w:r w:rsidR="000159A6">
        <w:t xml:space="preserve"> </w:t>
      </w:r>
      <w:r>
        <w:t>other</w:t>
      </w:r>
      <w:r w:rsidR="000159A6">
        <w:t xml:space="preserve"> </w:t>
      </w:r>
      <w:r>
        <w:t>investigational</w:t>
      </w:r>
      <w:r w:rsidR="000159A6">
        <w:t xml:space="preserve"> </w:t>
      </w:r>
      <w:r>
        <w:t>vaccines.</w:t>
      </w:r>
    </w:p>
    <w:p w14:paraId="6D679A0F" w14:textId="77777777" w:rsidR="005C0A6F" w:rsidRPr="008F7BC7" w:rsidRDefault="00605AD4" w:rsidP="008F7BC7">
      <w:pPr>
        <w:pStyle w:val="Heading4"/>
      </w:pPr>
      <w:r w:rsidRPr="008F7BC7">
        <w:t>Guidance</w:t>
      </w:r>
    </w:p>
    <w:p w14:paraId="632877B3" w14:textId="32B21AC6" w:rsidR="007553D3" w:rsidRPr="004C64CE" w:rsidRDefault="007553D3" w:rsidP="00A97634">
      <w:r>
        <w:t>In</w:t>
      </w:r>
      <w:r w:rsidR="000159A6">
        <w:t xml:space="preserve"> </w:t>
      </w:r>
      <w:r>
        <w:t>the</w:t>
      </w:r>
      <w:r w:rsidR="000159A6">
        <w:t xml:space="preserve"> </w:t>
      </w:r>
      <w:r>
        <w:t>Clinical</w:t>
      </w:r>
      <w:r w:rsidR="000159A6">
        <w:t xml:space="preserve"> </w:t>
      </w:r>
      <w:r>
        <w:t>Overview,</w:t>
      </w:r>
      <w:r w:rsidR="000159A6">
        <w:t xml:space="preserve"> </w:t>
      </w:r>
      <w:r>
        <w:t>the</w:t>
      </w:r>
      <w:r w:rsidR="000159A6">
        <w:t xml:space="preserve"> </w:t>
      </w:r>
      <w:r>
        <w:t>sponsor</w:t>
      </w:r>
      <w:r w:rsidR="000159A6">
        <w:t xml:space="preserve"> </w:t>
      </w:r>
      <w:r>
        <w:t>stated</w:t>
      </w:r>
      <w:r w:rsidR="000159A6">
        <w:t xml:space="preserve"> </w:t>
      </w:r>
      <w:r>
        <w:t>that</w:t>
      </w:r>
      <w:r w:rsidR="000159A6">
        <w:t xml:space="preserve"> </w:t>
      </w:r>
      <w:r>
        <w:t>during</w:t>
      </w:r>
      <w:r w:rsidR="000159A6">
        <w:t xml:space="preserve"> </w:t>
      </w:r>
      <w:r>
        <w:t>the</w:t>
      </w:r>
      <w:r w:rsidR="000159A6">
        <w:t xml:space="preserve"> </w:t>
      </w:r>
      <w:r>
        <w:t>clinical</w:t>
      </w:r>
      <w:r w:rsidR="000159A6">
        <w:t xml:space="preserve"> </w:t>
      </w:r>
      <w:r>
        <w:t>development</w:t>
      </w:r>
      <w:r w:rsidR="000159A6">
        <w:t xml:space="preserve"> </w:t>
      </w:r>
      <w:r>
        <w:t>of</w:t>
      </w:r>
      <w:r w:rsidR="000159A6">
        <w:t xml:space="preserve"> </w:t>
      </w:r>
      <w:r>
        <w:t>the</w:t>
      </w:r>
      <w:r w:rsidR="000159A6">
        <w:t xml:space="preserve"> </w:t>
      </w:r>
      <w:r>
        <w:t>vaccine</w:t>
      </w:r>
      <w:r w:rsidR="000159A6">
        <w:t xml:space="preserve"> </w:t>
      </w:r>
      <w:r w:rsidRPr="004C64CE">
        <w:t>several</w:t>
      </w:r>
      <w:r w:rsidR="000159A6">
        <w:t xml:space="preserve"> </w:t>
      </w:r>
      <w:r w:rsidRPr="004C64CE">
        <w:t>regulatory</w:t>
      </w:r>
      <w:r w:rsidR="000159A6">
        <w:t xml:space="preserve"> </w:t>
      </w:r>
      <w:r w:rsidRPr="004C64CE">
        <w:t>consultations</w:t>
      </w:r>
      <w:r w:rsidR="000159A6">
        <w:t xml:space="preserve"> </w:t>
      </w:r>
      <w:r w:rsidRPr="004C64CE">
        <w:t>took</w:t>
      </w:r>
      <w:r w:rsidR="000159A6">
        <w:t xml:space="preserve"> </w:t>
      </w:r>
      <w:r w:rsidRPr="004C64CE">
        <w:t>place</w:t>
      </w:r>
      <w:r w:rsidR="000159A6">
        <w:t xml:space="preserve"> </w:t>
      </w:r>
      <w:r w:rsidRPr="004C64CE">
        <w:t>on</w:t>
      </w:r>
      <w:r w:rsidR="000159A6">
        <w:t xml:space="preserve"> </w:t>
      </w:r>
      <w:r w:rsidRPr="004C64CE">
        <w:t>a</w:t>
      </w:r>
      <w:r w:rsidR="000159A6">
        <w:t xml:space="preserve"> </w:t>
      </w:r>
      <w:r w:rsidRPr="004C64CE">
        <w:t>number</w:t>
      </w:r>
      <w:r w:rsidR="000159A6">
        <w:t xml:space="preserve"> </w:t>
      </w:r>
      <w:r w:rsidRPr="004C64CE">
        <w:t>of</w:t>
      </w:r>
      <w:r w:rsidR="000159A6">
        <w:t xml:space="preserve"> </w:t>
      </w:r>
      <w:r w:rsidRPr="004C64CE">
        <w:t>topics</w:t>
      </w:r>
      <w:r w:rsidR="000159A6">
        <w:t xml:space="preserve"> </w:t>
      </w:r>
      <w:r w:rsidRPr="004C64CE">
        <w:t>with</w:t>
      </w:r>
      <w:r w:rsidR="000159A6">
        <w:t xml:space="preserve"> </w:t>
      </w:r>
      <w:r w:rsidRPr="004C64CE">
        <w:t>the</w:t>
      </w:r>
      <w:r w:rsidR="000159A6">
        <w:t xml:space="preserve"> </w:t>
      </w:r>
      <w:r w:rsidRPr="004C64CE">
        <w:t>European</w:t>
      </w:r>
      <w:r w:rsidR="000159A6">
        <w:t xml:space="preserve"> </w:t>
      </w:r>
      <w:r w:rsidRPr="004C64CE">
        <w:t>Medicines</w:t>
      </w:r>
      <w:r w:rsidR="000159A6">
        <w:t xml:space="preserve"> </w:t>
      </w:r>
      <w:r w:rsidRPr="004C64CE">
        <w:t>Agency</w:t>
      </w:r>
      <w:r w:rsidR="002B2F1E">
        <w:t>(EMA)</w:t>
      </w:r>
      <w:r w:rsidRPr="004C64CE">
        <w:t>,</w:t>
      </w:r>
      <w:r w:rsidR="000159A6">
        <w:t xml:space="preserve"> </w:t>
      </w:r>
      <w:r w:rsidRPr="004C64CE">
        <w:t>the</w:t>
      </w:r>
      <w:r w:rsidR="000159A6">
        <w:t xml:space="preserve"> </w:t>
      </w:r>
      <w:r w:rsidRPr="004C64CE">
        <w:t>Food</w:t>
      </w:r>
      <w:r w:rsidR="000159A6">
        <w:t xml:space="preserve"> </w:t>
      </w:r>
      <w:r w:rsidRPr="004C64CE">
        <w:t>and</w:t>
      </w:r>
      <w:r w:rsidR="000159A6">
        <w:t xml:space="preserve"> </w:t>
      </w:r>
      <w:r w:rsidRPr="004C64CE">
        <w:t>Drug</w:t>
      </w:r>
      <w:r w:rsidR="000159A6">
        <w:t xml:space="preserve"> </w:t>
      </w:r>
      <w:r w:rsidRPr="004C64CE">
        <w:t>Administration</w:t>
      </w:r>
      <w:r w:rsidR="000159A6">
        <w:t xml:space="preserve"> </w:t>
      </w:r>
      <w:r w:rsidR="002B2F1E">
        <w:t>(FDA)</w:t>
      </w:r>
      <w:r w:rsidR="000159A6">
        <w:t xml:space="preserve"> </w:t>
      </w:r>
      <w:r>
        <w:t>(US)</w:t>
      </w:r>
      <w:r w:rsidRPr="004C64CE">
        <w:t>,</w:t>
      </w:r>
      <w:r w:rsidR="000159A6">
        <w:t xml:space="preserve"> </w:t>
      </w:r>
      <w:r w:rsidRPr="004C64CE">
        <w:t>the</w:t>
      </w:r>
      <w:r w:rsidR="000159A6">
        <w:t xml:space="preserve"> </w:t>
      </w:r>
      <w:r w:rsidRPr="004C64CE">
        <w:t>Pharmaceuticals</w:t>
      </w:r>
      <w:r w:rsidR="000159A6">
        <w:t xml:space="preserve"> </w:t>
      </w:r>
      <w:r w:rsidRPr="004C64CE">
        <w:t>and</w:t>
      </w:r>
      <w:r w:rsidR="000159A6">
        <w:t xml:space="preserve"> </w:t>
      </w:r>
      <w:r w:rsidRPr="004C64CE">
        <w:t>Medical</w:t>
      </w:r>
      <w:r w:rsidR="000159A6">
        <w:t xml:space="preserve"> </w:t>
      </w:r>
      <w:r w:rsidRPr="004C64CE">
        <w:t>Device</w:t>
      </w:r>
      <w:r w:rsidR="000159A6">
        <w:t xml:space="preserve"> </w:t>
      </w:r>
      <w:r w:rsidRPr="004C64CE">
        <w:t>Agency</w:t>
      </w:r>
      <w:r w:rsidR="000159A6">
        <w:t xml:space="preserve"> </w:t>
      </w:r>
      <w:r w:rsidRPr="004C64CE">
        <w:t>(Japan),</w:t>
      </w:r>
      <w:r w:rsidR="000159A6">
        <w:t xml:space="preserve"> </w:t>
      </w:r>
      <w:r w:rsidRPr="004C64CE">
        <w:t>and</w:t>
      </w:r>
      <w:r w:rsidR="000159A6">
        <w:t xml:space="preserve"> </w:t>
      </w:r>
      <w:r w:rsidRPr="004C64CE">
        <w:t>with</w:t>
      </w:r>
      <w:r w:rsidR="000159A6">
        <w:t xml:space="preserve"> </w:t>
      </w:r>
      <w:r w:rsidRPr="004C64CE">
        <w:t>national</w:t>
      </w:r>
      <w:r w:rsidR="000159A6">
        <w:t xml:space="preserve"> </w:t>
      </w:r>
      <w:r w:rsidRPr="004C64CE">
        <w:t>competent</w:t>
      </w:r>
      <w:r w:rsidR="000159A6">
        <w:t xml:space="preserve"> </w:t>
      </w:r>
      <w:r w:rsidRPr="004C64CE">
        <w:t>authorities</w:t>
      </w:r>
      <w:r w:rsidR="000159A6">
        <w:t xml:space="preserve"> </w:t>
      </w:r>
      <w:r w:rsidRPr="004C64CE">
        <w:t>in</w:t>
      </w:r>
      <w:r w:rsidR="000159A6">
        <w:t xml:space="preserve"> </w:t>
      </w:r>
      <w:r w:rsidRPr="004C64CE">
        <w:t>selected</w:t>
      </w:r>
      <w:r w:rsidR="000159A6">
        <w:t xml:space="preserve"> </w:t>
      </w:r>
      <w:r w:rsidRPr="004C64CE">
        <w:t>EU</w:t>
      </w:r>
      <w:r w:rsidR="000159A6">
        <w:t xml:space="preserve"> </w:t>
      </w:r>
      <w:r w:rsidRPr="004C64CE">
        <w:t>countries</w:t>
      </w:r>
      <w:r w:rsidR="000159A6">
        <w:t xml:space="preserve"> </w:t>
      </w:r>
      <w:r w:rsidRPr="004C64CE">
        <w:t>and</w:t>
      </w:r>
      <w:r w:rsidR="000159A6">
        <w:t xml:space="preserve"> </w:t>
      </w:r>
      <w:r>
        <w:t>in</w:t>
      </w:r>
      <w:r w:rsidR="000159A6">
        <w:t xml:space="preserve"> </w:t>
      </w:r>
      <w:r w:rsidRPr="004C64CE">
        <w:t>Canada</w:t>
      </w:r>
      <w:r>
        <w:t>.</w:t>
      </w:r>
    </w:p>
    <w:p w14:paraId="44DABFB2" w14:textId="7F539C62" w:rsidR="002B2F1E" w:rsidRDefault="007553D3" w:rsidP="00A97634">
      <w:pPr>
        <w:rPr>
          <w:lang w:eastAsia="ja-JP"/>
        </w:rPr>
      </w:pPr>
      <w:r>
        <w:rPr>
          <w:lang w:eastAsia="ja-JP"/>
        </w:rPr>
        <w:t>Relevant</w:t>
      </w:r>
      <w:r w:rsidR="000159A6">
        <w:rPr>
          <w:lang w:eastAsia="ja-JP"/>
        </w:rPr>
        <w:t xml:space="preserve"> </w:t>
      </w:r>
      <w:r>
        <w:rPr>
          <w:lang w:eastAsia="ja-JP"/>
        </w:rPr>
        <w:t>guid</w:t>
      </w:r>
      <w:r w:rsidR="002B2F1E">
        <w:rPr>
          <w:lang w:eastAsia="ja-JP"/>
        </w:rPr>
        <w:t>elines</w:t>
      </w:r>
      <w:r w:rsidR="000159A6">
        <w:rPr>
          <w:lang w:eastAsia="ja-JP"/>
        </w:rPr>
        <w:t xml:space="preserve"> </w:t>
      </w:r>
      <w:r w:rsidR="002B2F1E">
        <w:rPr>
          <w:lang w:eastAsia="ja-JP"/>
        </w:rPr>
        <w:t>for</w:t>
      </w:r>
      <w:r w:rsidR="000159A6">
        <w:rPr>
          <w:lang w:eastAsia="ja-JP"/>
        </w:rPr>
        <w:t xml:space="preserve"> </w:t>
      </w:r>
      <w:r w:rsidR="002B2F1E">
        <w:rPr>
          <w:lang w:eastAsia="ja-JP"/>
        </w:rPr>
        <w:t>this</w:t>
      </w:r>
      <w:r w:rsidR="000159A6">
        <w:rPr>
          <w:lang w:eastAsia="ja-JP"/>
        </w:rPr>
        <w:t xml:space="preserve"> </w:t>
      </w:r>
      <w:r w:rsidR="002B2F1E">
        <w:rPr>
          <w:lang w:eastAsia="ja-JP"/>
        </w:rPr>
        <w:t>dossier</w:t>
      </w:r>
      <w:r w:rsidR="000159A6">
        <w:rPr>
          <w:lang w:eastAsia="ja-JP"/>
        </w:rPr>
        <w:t xml:space="preserve"> </w:t>
      </w:r>
      <w:r w:rsidR="002B2F1E">
        <w:rPr>
          <w:lang w:eastAsia="ja-JP"/>
        </w:rPr>
        <w:t>include:</w:t>
      </w:r>
    </w:p>
    <w:p w14:paraId="12079C7A" w14:textId="04E6F553" w:rsidR="002B2F1E" w:rsidRPr="008F7BC7" w:rsidRDefault="002B2F1E" w:rsidP="00A97634">
      <w:pPr>
        <w:pStyle w:val="ListBullet"/>
      </w:pPr>
      <w:r w:rsidRPr="008F7BC7">
        <w:t>EMEA/CHMP/VEG/134716/2004;</w:t>
      </w:r>
      <w:r w:rsidR="000159A6" w:rsidRPr="008F7BC7">
        <w:t xml:space="preserve"> </w:t>
      </w:r>
      <w:r w:rsidR="007553D3" w:rsidRPr="008F7BC7">
        <w:t>Guideline</w:t>
      </w:r>
      <w:r w:rsidR="000159A6" w:rsidRPr="008F7BC7">
        <w:t xml:space="preserve"> </w:t>
      </w:r>
      <w:r w:rsidR="007553D3" w:rsidRPr="008F7BC7">
        <w:t>on</w:t>
      </w:r>
      <w:r w:rsidR="000159A6" w:rsidRPr="008F7BC7">
        <w:t xml:space="preserve"> </w:t>
      </w:r>
      <w:r w:rsidR="007553D3" w:rsidRPr="00A97634">
        <w:t>adjuvants</w:t>
      </w:r>
      <w:r w:rsidR="000159A6" w:rsidRPr="008F7BC7">
        <w:t xml:space="preserve"> </w:t>
      </w:r>
      <w:r w:rsidR="007553D3" w:rsidRPr="008F7BC7">
        <w:t>in</w:t>
      </w:r>
      <w:r w:rsidR="000159A6" w:rsidRPr="008F7BC7">
        <w:t xml:space="preserve"> </w:t>
      </w:r>
      <w:r w:rsidR="007553D3" w:rsidRPr="008F7BC7">
        <w:t>vaccines</w:t>
      </w:r>
      <w:r w:rsidR="000159A6" w:rsidRPr="008F7BC7">
        <w:t xml:space="preserve"> </w:t>
      </w:r>
      <w:r w:rsidR="007553D3" w:rsidRPr="008F7BC7">
        <w:t>for</w:t>
      </w:r>
      <w:r w:rsidR="000159A6" w:rsidRPr="008F7BC7">
        <w:t xml:space="preserve"> </w:t>
      </w:r>
      <w:r w:rsidR="007553D3" w:rsidRPr="008F7BC7">
        <w:t>human</w:t>
      </w:r>
      <w:r w:rsidR="000159A6" w:rsidRPr="008F7BC7">
        <w:t xml:space="preserve"> </w:t>
      </w:r>
      <w:r w:rsidR="007553D3" w:rsidRPr="008F7BC7">
        <w:t>u</w:t>
      </w:r>
      <w:r w:rsidRPr="008F7BC7">
        <w:t>se.</w:t>
      </w:r>
    </w:p>
    <w:p w14:paraId="70D623BB" w14:textId="2D3D5CE2" w:rsidR="002B2F1E" w:rsidRDefault="002B2F1E" w:rsidP="008F7BC7">
      <w:pPr>
        <w:pStyle w:val="ListBullet"/>
      </w:pPr>
      <w:r w:rsidRPr="008F7BC7">
        <w:t>EMEA/C</w:t>
      </w:r>
      <w:r>
        <w:t>HMP/VMP/164653/2005</w:t>
      </w:r>
      <w:r w:rsidR="00E849D1">
        <w:t>;</w:t>
      </w:r>
      <w:r w:rsidR="000159A6">
        <w:t xml:space="preserve"> </w:t>
      </w:r>
      <w:r w:rsidR="007553D3">
        <w:t>Guideline</w:t>
      </w:r>
      <w:r w:rsidR="000159A6">
        <w:t xml:space="preserve"> </w:t>
      </w:r>
      <w:r w:rsidR="007553D3">
        <w:t>on</w:t>
      </w:r>
      <w:r w:rsidR="000159A6">
        <w:t xml:space="preserve"> </w:t>
      </w:r>
      <w:r w:rsidR="007553D3">
        <w:t>clini</w:t>
      </w:r>
      <w:r>
        <w:t>cal</w:t>
      </w:r>
      <w:r w:rsidR="000159A6">
        <w:t xml:space="preserve"> </w:t>
      </w:r>
      <w:r>
        <w:t>evaluation</w:t>
      </w:r>
      <w:r w:rsidR="000159A6">
        <w:t xml:space="preserve"> </w:t>
      </w:r>
      <w:r>
        <w:t>of</w:t>
      </w:r>
      <w:r w:rsidR="000159A6">
        <w:t xml:space="preserve"> </w:t>
      </w:r>
      <w:r>
        <w:t>new</w:t>
      </w:r>
      <w:r w:rsidR="000159A6">
        <w:t xml:space="preserve"> </w:t>
      </w:r>
      <w:r>
        <w:t>vaccines.</w:t>
      </w:r>
    </w:p>
    <w:p w14:paraId="1A41DF95" w14:textId="70C904BC" w:rsidR="007553D3" w:rsidRPr="007553D3" w:rsidRDefault="007553D3" w:rsidP="00A97634">
      <w:r>
        <w:t>The</w:t>
      </w:r>
      <w:r w:rsidR="000159A6">
        <w:t xml:space="preserve"> </w:t>
      </w:r>
      <w:r>
        <w:t>clinical</w:t>
      </w:r>
      <w:r w:rsidR="000159A6">
        <w:t xml:space="preserve"> </w:t>
      </w:r>
      <w:r>
        <w:t>development</w:t>
      </w:r>
      <w:r w:rsidR="000159A6">
        <w:t xml:space="preserve"> </w:t>
      </w:r>
      <w:r>
        <w:t>program</w:t>
      </w:r>
      <w:r w:rsidR="000159A6">
        <w:t xml:space="preserve"> </w:t>
      </w:r>
      <w:r>
        <w:t>was</w:t>
      </w:r>
      <w:r w:rsidR="000159A6">
        <w:t xml:space="preserve"> </w:t>
      </w:r>
      <w:r>
        <w:t>compliant</w:t>
      </w:r>
      <w:r w:rsidR="000159A6">
        <w:t xml:space="preserve"> </w:t>
      </w:r>
      <w:r>
        <w:t>with</w:t>
      </w:r>
      <w:r w:rsidR="000159A6">
        <w:t xml:space="preserve"> </w:t>
      </w:r>
      <w:r>
        <w:t>these</w:t>
      </w:r>
      <w:r w:rsidR="000159A6">
        <w:t xml:space="preserve"> </w:t>
      </w:r>
      <w:r>
        <w:t>guidelines.</w:t>
      </w:r>
    </w:p>
    <w:p w14:paraId="4DA6730E" w14:textId="304332D0" w:rsidR="005C0A6F" w:rsidRPr="008F7BC7" w:rsidRDefault="00605AD4" w:rsidP="008F7BC7">
      <w:pPr>
        <w:pStyle w:val="Heading4"/>
      </w:pPr>
      <w:r w:rsidRPr="008F7BC7">
        <w:t>Contents</w:t>
      </w:r>
      <w:r w:rsidR="000159A6" w:rsidRPr="008F7BC7">
        <w:t xml:space="preserve"> </w:t>
      </w:r>
      <w:r w:rsidRPr="008F7BC7">
        <w:t>of</w:t>
      </w:r>
      <w:r w:rsidR="000159A6" w:rsidRPr="008F7BC7">
        <w:t xml:space="preserve"> </w:t>
      </w:r>
      <w:r w:rsidRPr="008F7BC7">
        <w:t>the</w:t>
      </w:r>
      <w:r w:rsidR="000159A6" w:rsidRPr="008F7BC7">
        <w:t xml:space="preserve"> </w:t>
      </w:r>
      <w:r w:rsidRPr="008F7BC7">
        <w:t>clinical</w:t>
      </w:r>
      <w:r w:rsidR="000159A6" w:rsidRPr="008F7BC7">
        <w:t xml:space="preserve"> </w:t>
      </w:r>
      <w:r w:rsidRPr="008F7BC7">
        <w:t>dossier</w:t>
      </w:r>
    </w:p>
    <w:p w14:paraId="0BF4175C" w14:textId="7F3286E4" w:rsidR="007553D3" w:rsidRPr="007C24FC" w:rsidRDefault="007553D3" w:rsidP="007553D3">
      <w:r w:rsidRPr="007C24FC">
        <w:t>The</w:t>
      </w:r>
      <w:r w:rsidR="000159A6">
        <w:t xml:space="preserve"> </w:t>
      </w:r>
      <w:r w:rsidRPr="007C24FC">
        <w:t>dossier</w:t>
      </w:r>
      <w:r w:rsidR="000159A6">
        <w:t xml:space="preserve"> </w:t>
      </w:r>
      <w:r w:rsidRPr="007C24FC">
        <w:t>documented</w:t>
      </w:r>
      <w:r w:rsidR="000159A6">
        <w:t xml:space="preserve"> </w:t>
      </w:r>
      <w:r w:rsidRPr="007C24FC">
        <w:t>a</w:t>
      </w:r>
      <w:r w:rsidR="000159A6">
        <w:t xml:space="preserve"> </w:t>
      </w:r>
      <w:r w:rsidRPr="007C24FC">
        <w:t>full</w:t>
      </w:r>
      <w:r w:rsidR="000159A6">
        <w:t xml:space="preserve"> </w:t>
      </w:r>
      <w:r w:rsidRPr="007C24FC">
        <w:t>clinical</w:t>
      </w:r>
      <w:r w:rsidR="000159A6">
        <w:t xml:space="preserve"> </w:t>
      </w:r>
      <w:r w:rsidRPr="007C24FC">
        <w:t>de</w:t>
      </w:r>
      <w:r>
        <w:t>velopment</w:t>
      </w:r>
      <w:r w:rsidR="000159A6">
        <w:t xml:space="preserve"> </w:t>
      </w:r>
      <w:r>
        <w:t>program</w:t>
      </w:r>
      <w:r w:rsidR="000159A6">
        <w:t xml:space="preserve"> </w:t>
      </w:r>
      <w:r>
        <w:t>for</w:t>
      </w:r>
      <w:r w:rsidR="000159A6">
        <w:t xml:space="preserve"> </w:t>
      </w:r>
      <w:r>
        <w:t>a</w:t>
      </w:r>
      <w:r w:rsidR="000159A6">
        <w:t xml:space="preserve"> </w:t>
      </w:r>
      <w:r>
        <w:t>vaccine.</w:t>
      </w:r>
    </w:p>
    <w:p w14:paraId="3CDEA661" w14:textId="2B5E3259" w:rsidR="007553D3" w:rsidRPr="007C24FC" w:rsidRDefault="007553D3" w:rsidP="00A97634">
      <w:r>
        <w:t>The</w:t>
      </w:r>
      <w:r w:rsidR="000159A6">
        <w:t xml:space="preserve"> </w:t>
      </w:r>
      <w:r>
        <w:t>clinical</w:t>
      </w:r>
      <w:r w:rsidR="000159A6">
        <w:t xml:space="preserve"> </w:t>
      </w:r>
      <w:r>
        <w:t>dossier</w:t>
      </w:r>
      <w:r w:rsidR="000159A6">
        <w:t xml:space="preserve"> </w:t>
      </w:r>
      <w:r w:rsidRPr="007C24FC">
        <w:t>contained</w:t>
      </w:r>
      <w:r w:rsidR="000159A6">
        <w:t xml:space="preserve"> </w:t>
      </w:r>
      <w:r w:rsidRPr="007C24FC">
        <w:t>a</w:t>
      </w:r>
      <w:r w:rsidR="000159A6">
        <w:t xml:space="preserve"> </w:t>
      </w:r>
      <w:r w:rsidRPr="007C24FC">
        <w:t>tabular</w:t>
      </w:r>
      <w:r w:rsidR="000159A6">
        <w:t xml:space="preserve"> </w:t>
      </w:r>
      <w:r w:rsidRPr="007C24FC">
        <w:t>list</w:t>
      </w:r>
      <w:r w:rsidR="000159A6">
        <w:t xml:space="preserve"> </w:t>
      </w:r>
      <w:r w:rsidRPr="007C24FC">
        <w:t>of</w:t>
      </w:r>
      <w:r w:rsidR="000159A6">
        <w:t xml:space="preserve"> </w:t>
      </w:r>
      <w:r w:rsidRPr="007C24FC">
        <w:t>clinical</w:t>
      </w:r>
      <w:r w:rsidR="000159A6">
        <w:t xml:space="preserve"> </w:t>
      </w:r>
      <w:r w:rsidRPr="007C24FC">
        <w:t>studies,</w:t>
      </w:r>
      <w:r w:rsidR="000159A6">
        <w:t xml:space="preserve"> </w:t>
      </w:r>
      <w:r w:rsidRPr="007C24FC">
        <w:t>literature</w:t>
      </w:r>
      <w:r w:rsidR="000159A6">
        <w:t xml:space="preserve"> </w:t>
      </w:r>
      <w:r w:rsidRPr="007C24FC">
        <w:t>references,</w:t>
      </w:r>
      <w:r w:rsidR="000159A6">
        <w:t xml:space="preserve"> </w:t>
      </w:r>
      <w:r w:rsidRPr="007C24FC">
        <w:t>documents</w:t>
      </w:r>
      <w:r w:rsidR="000159A6">
        <w:t xml:space="preserve"> </w:t>
      </w:r>
      <w:r w:rsidRPr="007C24FC">
        <w:t>relating</w:t>
      </w:r>
      <w:r w:rsidR="000159A6">
        <w:t xml:space="preserve"> </w:t>
      </w:r>
      <w:r w:rsidRPr="007C24FC">
        <w:t>to</w:t>
      </w:r>
      <w:r w:rsidR="000159A6">
        <w:t xml:space="preserve"> </w:t>
      </w:r>
      <w:r w:rsidRPr="007C24FC">
        <w:t>clinical</w:t>
      </w:r>
      <w:r w:rsidR="000159A6">
        <w:t xml:space="preserve"> </w:t>
      </w:r>
      <w:r w:rsidRPr="007C24FC">
        <w:t>assay</w:t>
      </w:r>
      <w:r w:rsidR="000159A6">
        <w:t xml:space="preserve"> </w:t>
      </w:r>
      <w:r w:rsidRPr="007C24FC">
        <w:t>validation,</w:t>
      </w:r>
      <w:r w:rsidR="000159A6">
        <w:t xml:space="preserve"> </w:t>
      </w:r>
      <w:r w:rsidRPr="007C24FC">
        <w:t>Integrated</w:t>
      </w:r>
      <w:r w:rsidR="000159A6">
        <w:t xml:space="preserve"> </w:t>
      </w:r>
      <w:r w:rsidRPr="007C24FC">
        <w:t>Summary</w:t>
      </w:r>
      <w:r w:rsidR="000159A6">
        <w:t xml:space="preserve"> </w:t>
      </w:r>
      <w:r w:rsidRPr="007C24FC">
        <w:t>of</w:t>
      </w:r>
      <w:r w:rsidR="000159A6">
        <w:t xml:space="preserve"> </w:t>
      </w:r>
      <w:r w:rsidRPr="007C24FC">
        <w:t>Safety,</w:t>
      </w:r>
      <w:r w:rsidR="000159A6">
        <w:t xml:space="preserve"> </w:t>
      </w:r>
      <w:r w:rsidRPr="007C24FC">
        <w:t>patient</w:t>
      </w:r>
      <w:r w:rsidR="000159A6">
        <w:t xml:space="preserve"> </w:t>
      </w:r>
      <w:r w:rsidRPr="007C24FC">
        <w:t>narratives</w:t>
      </w:r>
      <w:r w:rsidR="000159A6">
        <w:t xml:space="preserve"> </w:t>
      </w:r>
      <w:r w:rsidRPr="007C24FC">
        <w:t>and</w:t>
      </w:r>
      <w:r w:rsidR="000159A6">
        <w:t xml:space="preserve"> </w:t>
      </w:r>
      <w:r w:rsidRPr="007C24FC">
        <w:t>the</w:t>
      </w:r>
      <w:r w:rsidR="000159A6">
        <w:t xml:space="preserve"> </w:t>
      </w:r>
      <w:r w:rsidRPr="007C24FC">
        <w:t>clinical</w:t>
      </w:r>
      <w:r w:rsidR="000159A6">
        <w:t xml:space="preserve"> </w:t>
      </w:r>
      <w:r w:rsidRPr="007C24FC">
        <w:t>study</w:t>
      </w:r>
      <w:r w:rsidR="000159A6">
        <w:t xml:space="preserve"> </w:t>
      </w:r>
      <w:r w:rsidRPr="007C24FC">
        <w:t>reports</w:t>
      </w:r>
      <w:r w:rsidR="000159A6">
        <w:t xml:space="preserve"> </w:t>
      </w:r>
      <w:r w:rsidRPr="007C24FC">
        <w:t>(including</w:t>
      </w:r>
      <w:r w:rsidR="000159A6">
        <w:t xml:space="preserve"> </w:t>
      </w:r>
      <w:r w:rsidRPr="007C24FC">
        <w:t>the</w:t>
      </w:r>
      <w:r w:rsidR="000159A6">
        <w:t xml:space="preserve"> </w:t>
      </w:r>
      <w:r w:rsidRPr="007C24FC">
        <w:t>main</w:t>
      </w:r>
      <w:r w:rsidR="000159A6">
        <w:t xml:space="preserve"> </w:t>
      </w:r>
      <w:r w:rsidRPr="007C24FC">
        <w:t>report,</w:t>
      </w:r>
      <w:r w:rsidR="000159A6">
        <w:t xml:space="preserve"> </w:t>
      </w:r>
      <w:r w:rsidRPr="007C24FC">
        <w:t>amendments</w:t>
      </w:r>
      <w:r w:rsidR="000159A6">
        <w:t xml:space="preserve"> </w:t>
      </w:r>
      <w:r w:rsidRPr="007C24FC">
        <w:t>and</w:t>
      </w:r>
      <w:r w:rsidR="000159A6">
        <w:t xml:space="preserve"> </w:t>
      </w:r>
      <w:r w:rsidRPr="007C24FC">
        <w:t>annexes)</w:t>
      </w:r>
      <w:r w:rsidR="000159A6">
        <w:t xml:space="preserve"> </w:t>
      </w:r>
      <w:r w:rsidRPr="007C24FC">
        <w:t>for</w:t>
      </w:r>
      <w:r w:rsidR="000159A6">
        <w:t xml:space="preserve"> </w:t>
      </w:r>
      <w:r w:rsidRPr="007C24FC">
        <w:t>the</w:t>
      </w:r>
      <w:r w:rsidR="000159A6">
        <w:t xml:space="preserve"> </w:t>
      </w:r>
      <w:r w:rsidRPr="007C24FC">
        <w:t>following</w:t>
      </w:r>
      <w:r w:rsidR="000159A6">
        <w:t xml:space="preserve"> </w:t>
      </w:r>
      <w:r w:rsidRPr="007C24FC">
        <w:t>19</w:t>
      </w:r>
      <w:r w:rsidR="000159A6">
        <w:t xml:space="preserve"> </w:t>
      </w:r>
      <w:r w:rsidRPr="007C24FC">
        <w:t>studies:</w:t>
      </w:r>
    </w:p>
    <w:p w14:paraId="2BAFF819" w14:textId="3C066220" w:rsidR="007553D3" w:rsidRPr="008F7BC7" w:rsidRDefault="007553D3" w:rsidP="008F7BC7">
      <w:pPr>
        <w:pStyle w:val="ListBullet"/>
      </w:pPr>
      <w:r w:rsidRPr="008F7BC7">
        <w:t>Phase</w:t>
      </w:r>
      <w:r w:rsidR="000159A6" w:rsidRPr="008F7BC7">
        <w:t xml:space="preserve"> </w:t>
      </w:r>
      <w:r w:rsidRPr="008F7BC7">
        <w:t>I</w:t>
      </w:r>
      <w:r w:rsidR="00E849D1" w:rsidRPr="008F7BC7">
        <w:t>:</w:t>
      </w:r>
    </w:p>
    <w:p w14:paraId="64EBC6DC" w14:textId="2F04105E" w:rsidR="007553D3" w:rsidRPr="008F7BC7" w:rsidRDefault="00E849D1" w:rsidP="008F7BC7">
      <w:pPr>
        <w:pStyle w:val="ListBullet2"/>
      </w:pPr>
      <w:r w:rsidRPr="008F7BC7">
        <w:t>Study</w:t>
      </w:r>
      <w:r w:rsidR="000159A6" w:rsidRPr="008F7BC7">
        <w:t xml:space="preserve"> </w:t>
      </w:r>
      <w:r w:rsidR="007553D3" w:rsidRPr="008F7BC7">
        <w:t>EXPLO-CRD-004;</w:t>
      </w:r>
      <w:r w:rsidR="000159A6" w:rsidRPr="008F7BC7">
        <w:t xml:space="preserve"> </w:t>
      </w:r>
      <w:r w:rsidR="007553D3" w:rsidRPr="008F7BC7">
        <w:t>Phase</w:t>
      </w:r>
      <w:r w:rsidR="000159A6" w:rsidRPr="008F7BC7">
        <w:t xml:space="preserve"> </w:t>
      </w:r>
      <w:r w:rsidR="007553D3" w:rsidRPr="008F7BC7">
        <w:t>I/II</w:t>
      </w:r>
      <w:r w:rsidR="000159A6" w:rsidRPr="008F7BC7">
        <w:t xml:space="preserve"> </w:t>
      </w:r>
      <w:r w:rsidR="007553D3" w:rsidRPr="008F7BC7">
        <w:t>exploratory</w:t>
      </w:r>
      <w:r w:rsidR="000159A6" w:rsidRPr="008F7BC7">
        <w:t xml:space="preserve"> </w:t>
      </w:r>
      <w:r w:rsidR="007553D3" w:rsidRPr="008F7BC7">
        <w:t>study</w:t>
      </w:r>
      <w:r w:rsidR="000159A6" w:rsidRPr="008F7BC7">
        <w:t xml:space="preserve"> </w:t>
      </w:r>
      <w:r w:rsidR="007553D3" w:rsidRPr="008F7BC7">
        <w:t>with</w:t>
      </w:r>
      <w:r w:rsidR="000159A6" w:rsidRPr="008F7BC7">
        <w:t xml:space="preserve"> </w:t>
      </w:r>
      <w:r w:rsidR="007553D3" w:rsidRPr="008F7BC7">
        <w:t>varicella</w:t>
      </w:r>
      <w:r w:rsidR="000159A6" w:rsidRPr="008F7BC7">
        <w:t xml:space="preserve"> </w:t>
      </w:r>
      <w:r w:rsidR="007553D3" w:rsidRPr="008F7BC7">
        <w:t>vaccine</w:t>
      </w:r>
    </w:p>
    <w:p w14:paraId="7C5BDE0A" w14:textId="20A9213C" w:rsidR="007553D3" w:rsidRPr="008F7BC7" w:rsidRDefault="00525235" w:rsidP="008F7BC7">
      <w:pPr>
        <w:pStyle w:val="ListBullet2"/>
      </w:pPr>
      <w:r w:rsidRPr="008F7BC7">
        <w:t>Study</w:t>
      </w:r>
      <w:r w:rsidR="000159A6" w:rsidRPr="008F7BC7">
        <w:t xml:space="preserve"> </w:t>
      </w:r>
      <w:r w:rsidRPr="008F7BC7">
        <w:t>ZOSTER</w:t>
      </w:r>
      <w:r w:rsidR="007553D3" w:rsidRPr="008F7BC7">
        <w:t>-018,</w:t>
      </w:r>
      <w:r w:rsidR="000159A6" w:rsidRPr="008F7BC7">
        <w:t xml:space="preserve"> </w:t>
      </w:r>
      <w:r w:rsidR="007553D3" w:rsidRPr="008F7BC7">
        <w:t>-019;</w:t>
      </w:r>
      <w:r w:rsidR="000159A6" w:rsidRPr="008F7BC7">
        <w:t xml:space="preserve"> </w:t>
      </w:r>
      <w:r w:rsidR="007553D3" w:rsidRPr="008F7BC7">
        <w:t>Phase</w:t>
      </w:r>
      <w:r w:rsidR="000159A6" w:rsidRPr="008F7BC7">
        <w:t xml:space="preserve"> </w:t>
      </w:r>
      <w:r w:rsidR="007553D3" w:rsidRPr="008F7BC7">
        <w:t>I/II</w:t>
      </w:r>
      <w:r w:rsidR="000159A6" w:rsidRPr="008F7BC7">
        <w:t xml:space="preserve"> </w:t>
      </w:r>
      <w:r w:rsidR="007553D3" w:rsidRPr="008F7BC7">
        <w:t>extension</w:t>
      </w:r>
      <w:r w:rsidR="000159A6" w:rsidRPr="008F7BC7">
        <w:t xml:space="preserve"> </w:t>
      </w:r>
      <w:r w:rsidR="007553D3" w:rsidRPr="008F7BC7">
        <w:t>studies</w:t>
      </w:r>
      <w:r w:rsidR="000159A6" w:rsidRPr="008F7BC7">
        <w:t xml:space="preserve"> </w:t>
      </w:r>
      <w:r w:rsidR="007553D3" w:rsidRPr="008F7BC7">
        <w:t>of</w:t>
      </w:r>
      <w:r w:rsidR="000159A6" w:rsidRPr="008F7BC7">
        <w:t xml:space="preserve"> </w:t>
      </w:r>
      <w:r w:rsidR="007553D3" w:rsidRPr="008F7BC7">
        <w:t>EXPLO-CRD-004</w:t>
      </w:r>
    </w:p>
    <w:p w14:paraId="2E954852" w14:textId="0E001D31" w:rsidR="007553D3" w:rsidRPr="007C24FC" w:rsidRDefault="00525235" w:rsidP="008F7BC7">
      <w:pPr>
        <w:pStyle w:val="ListBullet2"/>
      </w:pPr>
      <w:r w:rsidRPr="008F7BC7">
        <w:t>Study</w:t>
      </w:r>
      <w:r w:rsidR="000159A6">
        <w:t xml:space="preserve"> </w:t>
      </w:r>
      <w:r>
        <w:t>ZOSTER</w:t>
      </w:r>
      <w:r w:rsidR="007553D3">
        <w:t>-023;</w:t>
      </w:r>
      <w:r w:rsidR="000159A6">
        <w:t xml:space="preserve"> </w:t>
      </w:r>
      <w:r w:rsidR="007553D3">
        <w:t>Phase</w:t>
      </w:r>
      <w:r w:rsidR="000159A6">
        <w:t xml:space="preserve"> </w:t>
      </w:r>
      <w:r w:rsidR="007553D3" w:rsidRPr="007C24FC">
        <w:t>I</w:t>
      </w:r>
      <w:r w:rsidR="000159A6">
        <w:t xml:space="preserve"> </w:t>
      </w:r>
      <w:r w:rsidR="007553D3" w:rsidRPr="007C24FC">
        <w:t>study</w:t>
      </w:r>
      <w:r w:rsidR="000159A6">
        <w:t xml:space="preserve"> </w:t>
      </w:r>
      <w:r w:rsidR="007553D3" w:rsidRPr="007C24FC">
        <w:t>in</w:t>
      </w:r>
      <w:r w:rsidR="000159A6">
        <w:t xml:space="preserve"> </w:t>
      </w:r>
      <w:r w:rsidR="007553D3" w:rsidRPr="007C24FC">
        <w:t>adults</w:t>
      </w:r>
      <w:r w:rsidR="000159A6">
        <w:t xml:space="preserve"> </w:t>
      </w:r>
      <w:r w:rsidR="007553D3" w:rsidRPr="007C24FC">
        <w:t>of</w:t>
      </w:r>
      <w:r w:rsidR="000159A6">
        <w:t xml:space="preserve"> </w:t>
      </w:r>
      <w:r w:rsidR="007553D3" w:rsidRPr="007C24FC">
        <w:t>Japanese</w:t>
      </w:r>
      <w:r w:rsidR="000159A6">
        <w:t xml:space="preserve"> </w:t>
      </w:r>
      <w:r w:rsidR="007553D3" w:rsidRPr="007C24FC">
        <w:t>ethnic</w:t>
      </w:r>
      <w:r w:rsidR="000159A6">
        <w:t xml:space="preserve"> </w:t>
      </w:r>
      <w:r w:rsidR="007553D3" w:rsidRPr="007C24FC">
        <w:t>origin</w:t>
      </w:r>
      <w:r w:rsidR="00CD5352">
        <w:t>.</w:t>
      </w:r>
    </w:p>
    <w:p w14:paraId="0B43F329" w14:textId="017DEDC5" w:rsidR="007553D3" w:rsidRPr="007C24FC" w:rsidRDefault="007553D3" w:rsidP="007553D3">
      <w:pPr>
        <w:pStyle w:val="ListBullet"/>
      </w:pPr>
      <w:r w:rsidRPr="007C24FC">
        <w:t>Phase</w:t>
      </w:r>
      <w:r w:rsidR="000159A6">
        <w:t xml:space="preserve"> </w:t>
      </w:r>
      <w:r w:rsidRPr="007C24FC">
        <w:t>II</w:t>
      </w:r>
    </w:p>
    <w:p w14:paraId="3458B05D" w14:textId="20020B30" w:rsidR="007553D3" w:rsidRDefault="00525235" w:rsidP="007553D3">
      <w:pPr>
        <w:pStyle w:val="ListBullet2"/>
      </w:pPr>
      <w:r>
        <w:t>Study</w:t>
      </w:r>
      <w:r w:rsidR="000159A6">
        <w:t xml:space="preserve"> </w:t>
      </w:r>
      <w:r>
        <w:t>ZOSTER</w:t>
      </w:r>
      <w:r w:rsidR="007553D3" w:rsidRPr="007C24FC">
        <w:t>-003</w:t>
      </w:r>
      <w:r w:rsidR="007553D3">
        <w:t>;</w:t>
      </w:r>
      <w:r w:rsidR="000159A6">
        <w:t xml:space="preserve"> </w:t>
      </w:r>
      <w:r w:rsidR="007553D3">
        <w:t>antigen</w:t>
      </w:r>
      <w:r w:rsidR="000159A6">
        <w:t xml:space="preserve"> </w:t>
      </w:r>
      <w:r w:rsidR="007553D3">
        <w:t>dose</w:t>
      </w:r>
      <w:r w:rsidR="000159A6">
        <w:t xml:space="preserve"> </w:t>
      </w:r>
      <w:r w:rsidR="007553D3">
        <w:t>selection</w:t>
      </w:r>
      <w:r w:rsidR="000159A6">
        <w:t xml:space="preserve"> </w:t>
      </w:r>
      <w:r w:rsidR="007553D3">
        <w:t>study</w:t>
      </w:r>
    </w:p>
    <w:p w14:paraId="7393A0F4" w14:textId="459503D7" w:rsidR="007553D3" w:rsidRDefault="00525235" w:rsidP="007553D3">
      <w:pPr>
        <w:pStyle w:val="ListBullet2"/>
      </w:pPr>
      <w:r>
        <w:t>Study</w:t>
      </w:r>
      <w:r w:rsidR="000159A6">
        <w:t xml:space="preserve"> </w:t>
      </w:r>
      <w:r>
        <w:t>ZOSTER</w:t>
      </w:r>
      <w:r w:rsidR="007553D3">
        <w:t>-011,</w:t>
      </w:r>
      <w:r w:rsidR="000159A6">
        <w:t xml:space="preserve"> </w:t>
      </w:r>
      <w:r w:rsidR="007553D3">
        <w:t>-012,</w:t>
      </w:r>
      <w:r w:rsidR="000159A6">
        <w:t xml:space="preserve"> </w:t>
      </w:r>
      <w:r w:rsidR="007553D3">
        <w:t>-013;</w:t>
      </w:r>
      <w:r w:rsidR="000159A6">
        <w:t xml:space="preserve"> </w:t>
      </w:r>
      <w:r w:rsidR="007553D3" w:rsidRPr="007C24FC">
        <w:t>extension</w:t>
      </w:r>
      <w:r w:rsidR="000159A6">
        <w:t xml:space="preserve"> </w:t>
      </w:r>
      <w:r w:rsidR="007553D3" w:rsidRPr="007C24FC">
        <w:t>studies</w:t>
      </w:r>
      <w:r w:rsidR="000159A6">
        <w:t xml:space="preserve"> </w:t>
      </w:r>
      <w:r w:rsidR="007553D3" w:rsidRPr="007C24FC">
        <w:t>of</w:t>
      </w:r>
      <w:r w:rsidR="000159A6">
        <w:t xml:space="preserve"> </w:t>
      </w:r>
      <w:r>
        <w:t>Study</w:t>
      </w:r>
      <w:r w:rsidR="000159A6">
        <w:t xml:space="preserve"> </w:t>
      </w:r>
      <w:r>
        <w:t>ZOSTER</w:t>
      </w:r>
      <w:r w:rsidR="007553D3">
        <w:t>-003</w:t>
      </w:r>
      <w:r w:rsidR="000159A6">
        <w:t xml:space="preserve"> </w:t>
      </w:r>
      <w:r w:rsidR="007553D3">
        <w:t>for</w:t>
      </w:r>
      <w:r w:rsidR="000159A6">
        <w:t xml:space="preserve"> </w:t>
      </w:r>
      <w:r w:rsidR="00E849D1">
        <w:t>Years</w:t>
      </w:r>
      <w:r w:rsidR="000159A6">
        <w:t xml:space="preserve"> </w:t>
      </w:r>
      <w:r w:rsidR="007553D3">
        <w:t>1,</w:t>
      </w:r>
      <w:r w:rsidR="000159A6">
        <w:t xml:space="preserve"> </w:t>
      </w:r>
      <w:r w:rsidR="007553D3">
        <w:t>2</w:t>
      </w:r>
      <w:r w:rsidR="000159A6">
        <w:t xml:space="preserve"> </w:t>
      </w:r>
      <w:r w:rsidR="007553D3">
        <w:t>and</w:t>
      </w:r>
      <w:r w:rsidR="000159A6">
        <w:t xml:space="preserve"> </w:t>
      </w:r>
      <w:r w:rsidR="007553D3">
        <w:t>3</w:t>
      </w:r>
    </w:p>
    <w:p w14:paraId="68296154" w14:textId="3296058A" w:rsidR="007553D3" w:rsidRDefault="00525235" w:rsidP="007553D3">
      <w:pPr>
        <w:pStyle w:val="ListBullet2"/>
      </w:pPr>
      <w:r>
        <w:t>Study</w:t>
      </w:r>
      <w:r w:rsidR="000159A6">
        <w:t xml:space="preserve"> </w:t>
      </w:r>
      <w:r>
        <w:t>ZOSTER</w:t>
      </w:r>
      <w:r w:rsidR="007553D3">
        <w:t>-024;</w:t>
      </w:r>
      <w:r w:rsidR="000159A6">
        <w:t xml:space="preserve"> </w:t>
      </w:r>
      <w:r w:rsidR="007553D3" w:rsidRPr="007C24FC">
        <w:t>extensio</w:t>
      </w:r>
      <w:r w:rsidR="007553D3">
        <w:t>n</w:t>
      </w:r>
      <w:r w:rsidR="000159A6">
        <w:t xml:space="preserve"> </w:t>
      </w:r>
      <w:r w:rsidR="007553D3">
        <w:t>study</w:t>
      </w:r>
      <w:r w:rsidR="000159A6">
        <w:t xml:space="preserve"> </w:t>
      </w:r>
      <w:r w:rsidR="007553D3">
        <w:t>of</w:t>
      </w:r>
      <w:r w:rsidR="000159A6">
        <w:t xml:space="preserve"> </w:t>
      </w:r>
      <w:r>
        <w:t>Study</w:t>
      </w:r>
      <w:r w:rsidR="000159A6">
        <w:t xml:space="preserve"> </w:t>
      </w:r>
      <w:r>
        <w:t>ZOSTER</w:t>
      </w:r>
      <w:r w:rsidR="007553D3">
        <w:t>-003</w:t>
      </w:r>
      <w:r w:rsidR="000159A6">
        <w:t xml:space="preserve"> </w:t>
      </w:r>
      <w:r w:rsidR="007553D3">
        <w:t>to</w:t>
      </w:r>
      <w:r w:rsidR="000159A6">
        <w:t xml:space="preserve"> </w:t>
      </w:r>
      <w:r w:rsidR="00E849D1">
        <w:t>Year</w:t>
      </w:r>
      <w:r w:rsidR="000159A6">
        <w:t xml:space="preserve"> </w:t>
      </w:r>
      <w:r w:rsidR="007553D3">
        <w:t>6</w:t>
      </w:r>
    </w:p>
    <w:p w14:paraId="2C5B3958" w14:textId="356C94E0" w:rsidR="007553D3" w:rsidRPr="007C24FC" w:rsidRDefault="00525235" w:rsidP="007553D3">
      <w:pPr>
        <w:pStyle w:val="ListBullet2"/>
      </w:pPr>
      <w:r>
        <w:t>Study</w:t>
      </w:r>
      <w:r w:rsidR="000159A6">
        <w:t xml:space="preserve"> </w:t>
      </w:r>
      <w:r>
        <w:t>ZOSTER</w:t>
      </w:r>
      <w:r w:rsidR="007553D3">
        <w:t>-010;</w:t>
      </w:r>
      <w:r w:rsidR="000159A6">
        <w:t xml:space="preserve"> </w:t>
      </w:r>
      <w:r w:rsidR="007553D3" w:rsidRPr="007C24FC">
        <w:t>adjuvant</w:t>
      </w:r>
      <w:r w:rsidR="000159A6">
        <w:t xml:space="preserve"> </w:t>
      </w:r>
      <w:r w:rsidR="007553D3" w:rsidRPr="007C24FC">
        <w:t>dose</w:t>
      </w:r>
      <w:r w:rsidR="000159A6">
        <w:t xml:space="preserve"> </w:t>
      </w:r>
      <w:r w:rsidR="007553D3" w:rsidRPr="007C24FC">
        <w:t>selection</w:t>
      </w:r>
      <w:r w:rsidR="000159A6">
        <w:t xml:space="preserve"> </w:t>
      </w:r>
      <w:r w:rsidR="007553D3" w:rsidRPr="007C24FC">
        <w:t>study</w:t>
      </w:r>
      <w:r w:rsidR="00CD5352">
        <w:t>.</w:t>
      </w:r>
    </w:p>
    <w:p w14:paraId="74E2FD80" w14:textId="06CBCAEC" w:rsidR="007553D3" w:rsidRPr="007C24FC" w:rsidRDefault="007553D3" w:rsidP="00A97634">
      <w:pPr>
        <w:pStyle w:val="ListBullet"/>
      </w:pPr>
      <w:r w:rsidRPr="007C24FC">
        <w:t>Phase</w:t>
      </w:r>
      <w:r w:rsidR="000159A6">
        <w:t xml:space="preserve"> </w:t>
      </w:r>
      <w:r w:rsidRPr="007C24FC">
        <w:t>III</w:t>
      </w:r>
      <w:r w:rsidR="000159A6">
        <w:t xml:space="preserve"> </w:t>
      </w:r>
      <w:r w:rsidRPr="007C24FC">
        <w:t>in</w:t>
      </w:r>
      <w:r w:rsidR="000159A6">
        <w:t xml:space="preserve"> </w:t>
      </w:r>
      <w:r w:rsidRPr="007C24FC">
        <w:t>healthy</w:t>
      </w:r>
      <w:r w:rsidR="000159A6">
        <w:t xml:space="preserve"> </w:t>
      </w:r>
      <w:r w:rsidRPr="007C24FC">
        <w:t>adults</w:t>
      </w:r>
    </w:p>
    <w:p w14:paraId="184050A9" w14:textId="5CD5A3C6" w:rsidR="007553D3" w:rsidRDefault="00525235" w:rsidP="007553D3">
      <w:pPr>
        <w:pStyle w:val="ListBullet2"/>
      </w:pPr>
      <w:r>
        <w:t>Study</w:t>
      </w:r>
      <w:r w:rsidR="000159A6">
        <w:t xml:space="preserve"> </w:t>
      </w:r>
      <w:r>
        <w:t>ZOSTER</w:t>
      </w:r>
      <w:r w:rsidR="007553D3">
        <w:t>-006;</w:t>
      </w:r>
      <w:r w:rsidR="000159A6">
        <w:t xml:space="preserve"> </w:t>
      </w:r>
      <w:r w:rsidR="007553D3" w:rsidRPr="007C24FC">
        <w:t>pivotal</w:t>
      </w:r>
      <w:r w:rsidR="000159A6">
        <w:t xml:space="preserve"> </w:t>
      </w:r>
      <w:r w:rsidR="007553D3" w:rsidRPr="007C24FC">
        <w:t>effic</w:t>
      </w:r>
      <w:r w:rsidR="007553D3">
        <w:t>acy</w:t>
      </w:r>
      <w:r w:rsidR="000159A6">
        <w:t xml:space="preserve"> </w:t>
      </w:r>
      <w:r w:rsidR="007553D3">
        <w:t>and</w:t>
      </w:r>
      <w:r w:rsidR="000159A6">
        <w:t xml:space="preserve"> </w:t>
      </w:r>
      <w:r w:rsidR="007553D3">
        <w:t>safety</w:t>
      </w:r>
      <w:r w:rsidR="000159A6">
        <w:t xml:space="preserve"> </w:t>
      </w:r>
      <w:r w:rsidR="007553D3">
        <w:t>in</w:t>
      </w:r>
      <w:r w:rsidR="000159A6">
        <w:t xml:space="preserve"> </w:t>
      </w:r>
      <w:r w:rsidR="0037169B">
        <w:t>≥</w:t>
      </w:r>
      <w:r w:rsidR="000159A6">
        <w:t xml:space="preserve"> </w:t>
      </w:r>
      <w:r w:rsidR="007553D3">
        <w:t>50</w:t>
      </w:r>
      <w:r w:rsidR="000159A6">
        <w:t xml:space="preserve"> </w:t>
      </w:r>
      <w:r w:rsidR="007553D3">
        <w:t>year</w:t>
      </w:r>
      <w:r w:rsidR="000159A6">
        <w:t xml:space="preserve"> </w:t>
      </w:r>
      <w:r w:rsidR="007553D3">
        <w:t>olds</w:t>
      </w:r>
    </w:p>
    <w:p w14:paraId="2688DBE3" w14:textId="57A43710" w:rsidR="007553D3" w:rsidRDefault="00525235" w:rsidP="00A97634">
      <w:pPr>
        <w:pStyle w:val="ListBullet2"/>
      </w:pPr>
      <w:r>
        <w:t>Study</w:t>
      </w:r>
      <w:r w:rsidR="000159A6">
        <w:t xml:space="preserve"> </w:t>
      </w:r>
      <w:r>
        <w:t>ZOSTER</w:t>
      </w:r>
      <w:r w:rsidR="007553D3">
        <w:t>-022;</w:t>
      </w:r>
      <w:r w:rsidR="000159A6">
        <w:t xml:space="preserve"> </w:t>
      </w:r>
      <w:r w:rsidR="007553D3" w:rsidRPr="00A97634">
        <w:t>pivotal</w:t>
      </w:r>
      <w:r w:rsidR="000159A6">
        <w:t xml:space="preserve"> </w:t>
      </w:r>
      <w:r w:rsidR="007553D3" w:rsidRPr="007C24FC">
        <w:t>effic</w:t>
      </w:r>
      <w:r w:rsidR="007553D3">
        <w:t>acy</w:t>
      </w:r>
      <w:r w:rsidR="000159A6">
        <w:t xml:space="preserve"> </w:t>
      </w:r>
      <w:r w:rsidR="007553D3">
        <w:t>and</w:t>
      </w:r>
      <w:r w:rsidR="000159A6">
        <w:t xml:space="preserve"> </w:t>
      </w:r>
      <w:r w:rsidR="007553D3">
        <w:t>safety</w:t>
      </w:r>
      <w:r w:rsidR="000159A6">
        <w:t xml:space="preserve"> </w:t>
      </w:r>
      <w:r w:rsidR="007553D3">
        <w:t>in</w:t>
      </w:r>
      <w:r w:rsidR="000159A6">
        <w:t xml:space="preserve"> </w:t>
      </w:r>
      <w:r w:rsidR="0037169B">
        <w:t>≥</w:t>
      </w:r>
      <w:r w:rsidR="000159A6">
        <w:t xml:space="preserve"> </w:t>
      </w:r>
      <w:r w:rsidR="007553D3">
        <w:t>70</w:t>
      </w:r>
      <w:r w:rsidR="000159A6">
        <w:t xml:space="preserve"> </w:t>
      </w:r>
      <w:r w:rsidR="007553D3">
        <w:t>year</w:t>
      </w:r>
      <w:r w:rsidR="000159A6">
        <w:t xml:space="preserve"> </w:t>
      </w:r>
      <w:r w:rsidR="007553D3">
        <w:t>olds</w:t>
      </w:r>
    </w:p>
    <w:p w14:paraId="5CDB7A9A" w14:textId="482C26B6" w:rsidR="007553D3" w:rsidRDefault="00525235" w:rsidP="007553D3">
      <w:pPr>
        <w:pStyle w:val="ListBullet2"/>
      </w:pPr>
      <w:r>
        <w:t>Study</w:t>
      </w:r>
      <w:r w:rsidR="000159A6">
        <w:t xml:space="preserve"> </w:t>
      </w:r>
      <w:r>
        <w:t>ZOSTER</w:t>
      </w:r>
      <w:r w:rsidR="007553D3">
        <w:t>-004;</w:t>
      </w:r>
      <w:r w:rsidR="000159A6">
        <w:t xml:space="preserve"> </w:t>
      </w:r>
      <w:r w:rsidR="007553D3" w:rsidRPr="007C24FC">
        <w:t>co-administration</w:t>
      </w:r>
      <w:r w:rsidR="000159A6">
        <w:t xml:space="preserve"> </w:t>
      </w:r>
      <w:r w:rsidR="007553D3" w:rsidRPr="007C24FC">
        <w:t>with</w:t>
      </w:r>
      <w:r w:rsidR="000159A6">
        <w:t xml:space="preserve"> </w:t>
      </w:r>
      <w:r w:rsidR="007553D3" w:rsidRPr="007C24FC">
        <w:t>influenza</w:t>
      </w:r>
      <w:r w:rsidR="000159A6">
        <w:t xml:space="preserve"> </w:t>
      </w:r>
      <w:r w:rsidR="007553D3" w:rsidRPr="007C24FC">
        <w:t>vaccine</w:t>
      </w:r>
    </w:p>
    <w:p w14:paraId="583E74B6" w14:textId="5E5B876C" w:rsidR="007553D3" w:rsidRDefault="00525235" w:rsidP="007553D3">
      <w:pPr>
        <w:pStyle w:val="ListBullet2"/>
      </w:pPr>
      <w:r>
        <w:t>Study</w:t>
      </w:r>
      <w:r w:rsidR="000159A6">
        <w:t xml:space="preserve"> </w:t>
      </w:r>
      <w:r>
        <w:t>ZOSTER</w:t>
      </w:r>
      <w:r w:rsidR="007553D3">
        <w:t>-007;</w:t>
      </w:r>
      <w:r w:rsidR="000159A6">
        <w:t xml:space="preserve"> </w:t>
      </w:r>
      <w:r w:rsidR="007553D3" w:rsidRPr="007C24FC">
        <w:t>lot-to-lot</w:t>
      </w:r>
      <w:r w:rsidR="000159A6">
        <w:t xml:space="preserve"> </w:t>
      </w:r>
      <w:r w:rsidR="007553D3" w:rsidRPr="007C24FC">
        <w:t>consistency</w:t>
      </w:r>
      <w:r w:rsidR="000159A6">
        <w:t xml:space="preserve"> </w:t>
      </w:r>
      <w:r w:rsidR="007553D3" w:rsidRPr="007C24FC">
        <w:t>study</w:t>
      </w:r>
    </w:p>
    <w:p w14:paraId="23369BDE" w14:textId="50B945FF" w:rsidR="007553D3" w:rsidRDefault="00525235" w:rsidP="007553D3">
      <w:pPr>
        <w:pStyle w:val="ListBullet2"/>
      </w:pPr>
      <w:r>
        <w:lastRenderedPageBreak/>
        <w:t>Study</w:t>
      </w:r>
      <w:r w:rsidR="000159A6">
        <w:t xml:space="preserve"> </w:t>
      </w:r>
      <w:r>
        <w:t>ZOSTER</w:t>
      </w:r>
      <w:r w:rsidR="007553D3">
        <w:t>-026;</w:t>
      </w:r>
      <w:r w:rsidR="000159A6">
        <w:t xml:space="preserve"> </w:t>
      </w:r>
      <w:r w:rsidR="007553D3" w:rsidRPr="007C24FC">
        <w:t>schedule</w:t>
      </w:r>
      <w:r w:rsidR="000159A6">
        <w:t xml:space="preserve"> </w:t>
      </w:r>
      <w:r w:rsidR="007553D3" w:rsidRPr="007C24FC">
        <w:t>comparison</w:t>
      </w:r>
      <w:r w:rsidR="000159A6">
        <w:t xml:space="preserve"> </w:t>
      </w:r>
      <w:r w:rsidR="007553D3" w:rsidRPr="007C24FC">
        <w:t>study</w:t>
      </w:r>
    </w:p>
    <w:p w14:paraId="1B14920C" w14:textId="4635FB60" w:rsidR="007553D3" w:rsidRDefault="00525235" w:rsidP="007553D3">
      <w:pPr>
        <w:pStyle w:val="ListBullet2"/>
      </w:pPr>
      <w:r>
        <w:t>Study</w:t>
      </w:r>
      <w:r w:rsidR="000159A6">
        <w:t xml:space="preserve"> </w:t>
      </w:r>
      <w:r>
        <w:t>ZOSTER</w:t>
      </w:r>
      <w:r w:rsidR="007553D3">
        <w:t>-032;</w:t>
      </w:r>
      <w:r w:rsidR="000159A6">
        <w:t xml:space="preserve"> </w:t>
      </w:r>
      <w:r w:rsidR="007553D3" w:rsidRPr="007C24FC">
        <w:t>route</w:t>
      </w:r>
      <w:r w:rsidR="000159A6">
        <w:t xml:space="preserve"> </w:t>
      </w:r>
      <w:r w:rsidR="007553D3" w:rsidRPr="007C24FC">
        <w:t>of</w:t>
      </w:r>
      <w:r w:rsidR="000159A6">
        <w:t xml:space="preserve"> </w:t>
      </w:r>
      <w:r w:rsidR="007553D3" w:rsidRPr="007C24FC">
        <w:t>administration</w:t>
      </w:r>
      <w:r w:rsidR="000159A6">
        <w:t xml:space="preserve"> </w:t>
      </w:r>
      <w:r w:rsidR="007553D3" w:rsidRPr="007C24FC">
        <w:t>study</w:t>
      </w:r>
      <w:r w:rsidR="000159A6">
        <w:t xml:space="preserve"> </w:t>
      </w:r>
      <w:r w:rsidR="007553D3" w:rsidRPr="007C24FC">
        <w:t>(SC</w:t>
      </w:r>
      <w:r w:rsidR="000159A6">
        <w:t xml:space="preserve"> </w:t>
      </w:r>
      <w:r w:rsidR="007553D3">
        <w:t>versus</w:t>
      </w:r>
      <w:r w:rsidR="000159A6">
        <w:t xml:space="preserve"> </w:t>
      </w:r>
      <w:r w:rsidR="007553D3" w:rsidRPr="007C24FC">
        <w:t>IM)</w:t>
      </w:r>
    </w:p>
    <w:p w14:paraId="14B6C91D" w14:textId="2198386F" w:rsidR="007553D3" w:rsidRPr="007C24FC" w:rsidRDefault="00525235" w:rsidP="007553D3">
      <w:pPr>
        <w:pStyle w:val="ListBullet2"/>
      </w:pPr>
      <w:r>
        <w:t>Study</w:t>
      </w:r>
      <w:r w:rsidR="000159A6">
        <w:t xml:space="preserve"> </w:t>
      </w:r>
      <w:r>
        <w:t>ZOSTER</w:t>
      </w:r>
      <w:r w:rsidR="000159A6">
        <w:t xml:space="preserve"> </w:t>
      </w:r>
      <w:r w:rsidR="007553D3">
        <w:t>033;</w:t>
      </w:r>
      <w:r w:rsidR="000159A6">
        <w:t xml:space="preserve"> </w:t>
      </w:r>
      <w:r w:rsidR="007553D3" w:rsidRPr="007C24FC">
        <w:t>adults</w:t>
      </w:r>
      <w:r w:rsidR="000159A6">
        <w:t xml:space="preserve"> </w:t>
      </w:r>
      <w:r w:rsidR="007553D3" w:rsidRPr="007C24FC">
        <w:t>with</w:t>
      </w:r>
      <w:r w:rsidR="000159A6">
        <w:t xml:space="preserve"> </w:t>
      </w:r>
      <w:r w:rsidR="007553D3" w:rsidRPr="007C24FC">
        <w:t>previous</w:t>
      </w:r>
      <w:r w:rsidR="000159A6">
        <w:t xml:space="preserve"> </w:t>
      </w:r>
      <w:r w:rsidR="007553D3" w:rsidRPr="007C24FC">
        <w:t>HZ</w:t>
      </w:r>
      <w:r w:rsidR="00CD5352">
        <w:t>.</w:t>
      </w:r>
    </w:p>
    <w:p w14:paraId="26633CB0" w14:textId="39185889" w:rsidR="007553D3" w:rsidRPr="007C24FC" w:rsidRDefault="007553D3" w:rsidP="007553D3">
      <w:pPr>
        <w:pStyle w:val="ListBullet"/>
      </w:pPr>
      <w:r w:rsidRPr="007C24FC">
        <w:t>Phase</w:t>
      </w:r>
      <w:r w:rsidR="000159A6">
        <w:t xml:space="preserve"> </w:t>
      </w:r>
      <w:r w:rsidRPr="007C24FC">
        <w:t>I/II</w:t>
      </w:r>
      <w:r w:rsidR="000159A6">
        <w:t xml:space="preserve"> </w:t>
      </w:r>
      <w:r w:rsidRPr="007C24FC">
        <w:t>Immunocompromised</w:t>
      </w:r>
      <w:r w:rsidR="000159A6">
        <w:t xml:space="preserve"> </w:t>
      </w:r>
      <w:r w:rsidRPr="007C24FC">
        <w:t>adults</w:t>
      </w:r>
    </w:p>
    <w:p w14:paraId="58F96BD4" w14:textId="40C928F5" w:rsidR="007553D3" w:rsidRDefault="00525235" w:rsidP="00A97634">
      <w:pPr>
        <w:pStyle w:val="ListBullet2"/>
      </w:pPr>
      <w:r>
        <w:t>Study</w:t>
      </w:r>
      <w:r w:rsidR="000159A6">
        <w:t xml:space="preserve"> </w:t>
      </w:r>
      <w:r>
        <w:t>ZOSTER</w:t>
      </w:r>
      <w:r w:rsidR="007553D3" w:rsidRPr="007C24FC">
        <w:t>-001</w:t>
      </w:r>
      <w:r w:rsidR="007553D3">
        <w:t>;</w:t>
      </w:r>
      <w:r w:rsidR="000159A6">
        <w:t xml:space="preserve"> </w:t>
      </w:r>
      <w:r w:rsidR="007553D3" w:rsidRPr="007C24FC">
        <w:t>autologous</w:t>
      </w:r>
      <w:r w:rsidR="000159A6">
        <w:t xml:space="preserve"> </w:t>
      </w:r>
      <w:r w:rsidR="007553D3" w:rsidRPr="00A97634">
        <w:t>haematopoietic</w:t>
      </w:r>
      <w:r w:rsidR="000159A6">
        <w:t xml:space="preserve"> </w:t>
      </w:r>
      <w:r w:rsidR="007553D3">
        <w:t>stem</w:t>
      </w:r>
      <w:r w:rsidR="000159A6">
        <w:t xml:space="preserve"> </w:t>
      </w:r>
      <w:r w:rsidR="007553D3">
        <w:t>cell</w:t>
      </w:r>
      <w:r w:rsidR="000159A6">
        <w:t xml:space="preserve"> </w:t>
      </w:r>
      <w:r w:rsidR="007553D3">
        <w:t>transplant</w:t>
      </w:r>
      <w:r w:rsidR="000159A6">
        <w:t xml:space="preserve"> </w:t>
      </w:r>
      <w:r w:rsidR="007553D3">
        <w:t>recipients</w:t>
      </w:r>
    </w:p>
    <w:p w14:paraId="5B8D3FF9" w14:textId="67B9B2BE" w:rsidR="007553D3" w:rsidRDefault="00525235" w:rsidP="007553D3">
      <w:pPr>
        <w:pStyle w:val="ListBullet2"/>
      </w:pPr>
      <w:r>
        <w:t>Study</w:t>
      </w:r>
      <w:r w:rsidR="000159A6">
        <w:t xml:space="preserve"> </w:t>
      </w:r>
      <w:r>
        <w:t>ZOSTER</w:t>
      </w:r>
      <w:r w:rsidR="007553D3">
        <w:t>-015;</w:t>
      </w:r>
      <w:r w:rsidR="000159A6">
        <w:t xml:space="preserve"> </w:t>
      </w:r>
      <w:r w:rsidR="007553D3">
        <w:t>HIV</w:t>
      </w:r>
      <w:r w:rsidR="000159A6">
        <w:t xml:space="preserve"> </w:t>
      </w:r>
      <w:r w:rsidR="007553D3">
        <w:t>infected</w:t>
      </w:r>
      <w:r w:rsidR="000159A6">
        <w:t xml:space="preserve"> </w:t>
      </w:r>
      <w:r w:rsidR="007553D3">
        <w:t>adults</w:t>
      </w:r>
      <w:r w:rsidR="00CD5352">
        <w:t>.</w:t>
      </w:r>
    </w:p>
    <w:p w14:paraId="64A80D9F" w14:textId="27F39F9D" w:rsidR="007553D3" w:rsidRPr="007553D3" w:rsidRDefault="007553D3" w:rsidP="00A97634">
      <w:pPr>
        <w:rPr>
          <w:lang w:eastAsia="ja-JP"/>
        </w:rPr>
      </w:pPr>
      <w:r>
        <w:t>The</w:t>
      </w:r>
      <w:r w:rsidR="000159A6">
        <w:t xml:space="preserve"> </w:t>
      </w:r>
      <w:r>
        <w:t>submission</w:t>
      </w:r>
      <w:r w:rsidR="000159A6">
        <w:t xml:space="preserve"> </w:t>
      </w:r>
      <w:r>
        <w:t>also</w:t>
      </w:r>
      <w:r w:rsidR="000159A6">
        <w:t xml:space="preserve"> </w:t>
      </w:r>
      <w:r>
        <w:t>contained</w:t>
      </w:r>
      <w:r w:rsidR="000159A6">
        <w:t xml:space="preserve"> </w:t>
      </w:r>
      <w:r w:rsidRPr="007C24FC">
        <w:t>Clinical</w:t>
      </w:r>
      <w:r w:rsidR="000159A6">
        <w:t xml:space="preserve"> </w:t>
      </w:r>
      <w:r w:rsidRPr="007C24FC">
        <w:t>Overview,</w:t>
      </w:r>
      <w:r w:rsidR="000159A6">
        <w:t xml:space="preserve"> </w:t>
      </w:r>
      <w:r w:rsidRPr="007C24FC">
        <w:t>Summaries</w:t>
      </w:r>
      <w:r w:rsidR="000159A6">
        <w:t xml:space="preserve"> </w:t>
      </w:r>
      <w:r w:rsidRPr="007C24FC">
        <w:t>of</w:t>
      </w:r>
      <w:r w:rsidR="000159A6">
        <w:t xml:space="preserve"> </w:t>
      </w:r>
      <w:r w:rsidRPr="007C24FC">
        <w:t>Clinical</w:t>
      </w:r>
      <w:r w:rsidR="000159A6">
        <w:t xml:space="preserve"> </w:t>
      </w:r>
      <w:r w:rsidRPr="007C24FC">
        <w:t>Efficacy</w:t>
      </w:r>
      <w:r w:rsidR="000159A6">
        <w:t xml:space="preserve"> </w:t>
      </w:r>
      <w:r w:rsidRPr="007C24FC">
        <w:t>and</w:t>
      </w:r>
      <w:r w:rsidR="000159A6">
        <w:t xml:space="preserve"> </w:t>
      </w:r>
      <w:r w:rsidRPr="007C24FC">
        <w:t>Clinical</w:t>
      </w:r>
      <w:r w:rsidR="000159A6">
        <w:t xml:space="preserve"> </w:t>
      </w:r>
      <w:r w:rsidRPr="007C24FC">
        <w:t>Safety,</w:t>
      </w:r>
      <w:r w:rsidR="000159A6">
        <w:t xml:space="preserve"> </w:t>
      </w:r>
      <w:r w:rsidRPr="007C24FC">
        <w:t>list</w:t>
      </w:r>
      <w:r w:rsidR="000159A6">
        <w:t xml:space="preserve"> </w:t>
      </w:r>
      <w:r w:rsidRPr="007C24FC">
        <w:t>of</w:t>
      </w:r>
      <w:r w:rsidR="000159A6">
        <w:t xml:space="preserve"> </w:t>
      </w:r>
      <w:r w:rsidRPr="007C24FC">
        <w:t>literature</w:t>
      </w:r>
      <w:r w:rsidR="000159A6">
        <w:t xml:space="preserve"> </w:t>
      </w:r>
      <w:r w:rsidRPr="007C24FC">
        <w:t>references</w:t>
      </w:r>
      <w:r w:rsidR="000159A6">
        <w:t xml:space="preserve"> </w:t>
      </w:r>
      <w:r w:rsidRPr="007C24FC">
        <w:t>and</w:t>
      </w:r>
      <w:r w:rsidR="000159A6">
        <w:t xml:space="preserve"> </w:t>
      </w:r>
      <w:r w:rsidRPr="007C24FC">
        <w:t>synopses</w:t>
      </w:r>
      <w:r w:rsidR="000159A6">
        <w:t xml:space="preserve"> </w:t>
      </w:r>
      <w:r w:rsidRPr="007C24FC">
        <w:t>of</w:t>
      </w:r>
      <w:r w:rsidR="000159A6">
        <w:t xml:space="preserve"> </w:t>
      </w:r>
      <w:r w:rsidRPr="007C24FC">
        <w:t>individual</w:t>
      </w:r>
      <w:r w:rsidR="000159A6">
        <w:t xml:space="preserve"> </w:t>
      </w:r>
      <w:r w:rsidRPr="007C24FC">
        <w:t>studies.</w:t>
      </w:r>
    </w:p>
    <w:p w14:paraId="5C6BB435" w14:textId="3761B04B" w:rsidR="005C0A6F" w:rsidRDefault="00605AD4" w:rsidP="00605AD4">
      <w:pPr>
        <w:pStyle w:val="Heading4"/>
      </w:pPr>
      <w:r w:rsidRPr="00605AD4">
        <w:t>Paediatric</w:t>
      </w:r>
      <w:r w:rsidR="000159A6">
        <w:t xml:space="preserve"> </w:t>
      </w:r>
      <w:r w:rsidRPr="00605AD4">
        <w:t>data</w:t>
      </w:r>
    </w:p>
    <w:p w14:paraId="149A75FE" w14:textId="44A0B87D" w:rsidR="007553D3" w:rsidRPr="007553D3" w:rsidRDefault="007553D3" w:rsidP="00A97634">
      <w:pPr>
        <w:rPr>
          <w:lang w:eastAsia="ja-JP"/>
        </w:rPr>
      </w:pPr>
      <w:r w:rsidRPr="000D1F34">
        <w:t>The</w:t>
      </w:r>
      <w:r w:rsidR="000159A6">
        <w:t xml:space="preserve"> </w:t>
      </w:r>
      <w:r w:rsidRPr="000D1F34">
        <w:t>dossier</w:t>
      </w:r>
      <w:r w:rsidR="000159A6">
        <w:t xml:space="preserve"> </w:t>
      </w:r>
      <w:r w:rsidRPr="000D1F34">
        <w:t>did</w:t>
      </w:r>
      <w:r w:rsidR="000159A6">
        <w:t xml:space="preserve"> </w:t>
      </w:r>
      <w:r w:rsidRPr="000D1F34">
        <w:t>not</w:t>
      </w:r>
      <w:r w:rsidR="000159A6">
        <w:t xml:space="preserve"> </w:t>
      </w:r>
      <w:r w:rsidRPr="000D1F34">
        <w:t>include</w:t>
      </w:r>
      <w:r w:rsidR="000159A6">
        <w:t xml:space="preserve"> </w:t>
      </w:r>
      <w:r w:rsidRPr="000D1F34">
        <w:t>paediatric</w:t>
      </w:r>
      <w:r w:rsidR="000159A6">
        <w:t xml:space="preserve"> </w:t>
      </w:r>
      <w:r w:rsidRPr="000D1F34">
        <w:t>data.</w:t>
      </w:r>
      <w:r w:rsidR="000159A6">
        <w:t xml:space="preserve"> </w:t>
      </w:r>
      <w:r w:rsidRPr="000D1F34">
        <w:t>The</w:t>
      </w:r>
      <w:r w:rsidR="000159A6">
        <w:t xml:space="preserve"> </w:t>
      </w:r>
      <w:r w:rsidRPr="000D1F34">
        <w:t>sponsor</w:t>
      </w:r>
      <w:r w:rsidR="000159A6">
        <w:t xml:space="preserve"> </w:t>
      </w:r>
      <w:r w:rsidRPr="000D1F34">
        <w:t>stated</w:t>
      </w:r>
      <w:r w:rsidR="000159A6">
        <w:t xml:space="preserve"> </w:t>
      </w:r>
      <w:r w:rsidRPr="000D1F34">
        <w:t>that</w:t>
      </w:r>
      <w:r w:rsidR="000159A6">
        <w:t xml:space="preserve"> </w:t>
      </w:r>
      <w:r w:rsidRPr="000D1F34">
        <w:t>a</w:t>
      </w:r>
      <w:r w:rsidR="000159A6">
        <w:t xml:space="preserve"> </w:t>
      </w:r>
      <w:r w:rsidR="00D0523C">
        <w:t>Paediatric</w:t>
      </w:r>
      <w:r w:rsidR="000159A6">
        <w:t xml:space="preserve"> </w:t>
      </w:r>
      <w:r w:rsidR="00D0523C">
        <w:t>Investigation</w:t>
      </w:r>
      <w:r w:rsidR="000159A6">
        <w:t xml:space="preserve"> </w:t>
      </w:r>
      <w:r w:rsidR="00D0523C">
        <w:t>Plan</w:t>
      </w:r>
      <w:r w:rsidR="000159A6">
        <w:t xml:space="preserve"> </w:t>
      </w:r>
      <w:r w:rsidR="00D0523C">
        <w:t>(</w:t>
      </w:r>
      <w:r w:rsidRPr="000D1F34">
        <w:t>PIP</w:t>
      </w:r>
      <w:r w:rsidR="00D0523C">
        <w:t>)</w:t>
      </w:r>
      <w:r w:rsidR="000159A6">
        <w:t xml:space="preserve"> </w:t>
      </w:r>
      <w:r w:rsidRPr="000D1F34">
        <w:t>for</w:t>
      </w:r>
      <w:r w:rsidR="000159A6">
        <w:t xml:space="preserve"> </w:t>
      </w:r>
      <w:r w:rsidRPr="000D1F34">
        <w:t>the</w:t>
      </w:r>
      <w:r w:rsidR="000159A6">
        <w:t xml:space="preserve"> </w:t>
      </w:r>
      <w:r w:rsidRPr="000D1F34">
        <w:t>vaccine</w:t>
      </w:r>
      <w:r w:rsidR="000159A6">
        <w:t xml:space="preserve"> </w:t>
      </w:r>
      <w:r w:rsidRPr="000D1F34">
        <w:t>has</w:t>
      </w:r>
      <w:r w:rsidR="000159A6">
        <w:t xml:space="preserve"> </w:t>
      </w:r>
      <w:r w:rsidRPr="000D1F34">
        <w:t>been</w:t>
      </w:r>
      <w:r w:rsidR="000159A6">
        <w:t xml:space="preserve"> </w:t>
      </w:r>
      <w:r w:rsidRPr="000D1F34">
        <w:t>approved</w:t>
      </w:r>
      <w:r w:rsidR="000159A6">
        <w:t xml:space="preserve"> </w:t>
      </w:r>
      <w:r w:rsidRPr="000D1F34">
        <w:t>in</w:t>
      </w:r>
      <w:r w:rsidR="000159A6">
        <w:t xml:space="preserve"> </w:t>
      </w:r>
      <w:r w:rsidRPr="000D1F34">
        <w:t>July</w:t>
      </w:r>
      <w:r w:rsidR="000159A6">
        <w:t xml:space="preserve"> </w:t>
      </w:r>
      <w:r w:rsidRPr="000D1F34">
        <w:t>2013</w:t>
      </w:r>
      <w:r w:rsidR="000159A6">
        <w:t xml:space="preserve"> </w:t>
      </w:r>
      <w:r w:rsidRPr="000D1F34">
        <w:t>by</w:t>
      </w:r>
      <w:r w:rsidR="000159A6">
        <w:t xml:space="preserve"> </w:t>
      </w:r>
      <w:r w:rsidRPr="000D1F34">
        <w:t>the</w:t>
      </w:r>
      <w:r w:rsidR="000159A6">
        <w:t xml:space="preserve"> </w:t>
      </w:r>
      <w:r w:rsidRPr="000D1F34">
        <w:t>EU</w:t>
      </w:r>
      <w:r w:rsidR="000159A6">
        <w:t xml:space="preserve"> </w:t>
      </w:r>
      <w:r w:rsidRPr="000D1F34">
        <w:t>Paediatric</w:t>
      </w:r>
      <w:r w:rsidR="000159A6">
        <w:t xml:space="preserve"> </w:t>
      </w:r>
      <w:r w:rsidRPr="000D1F34">
        <w:t>Committee</w:t>
      </w:r>
      <w:r w:rsidR="000159A6">
        <w:t xml:space="preserve"> </w:t>
      </w:r>
      <w:r w:rsidRPr="000D1F34">
        <w:t>for</w:t>
      </w:r>
      <w:r w:rsidR="000159A6">
        <w:t xml:space="preserve"> </w:t>
      </w:r>
      <w:r>
        <w:rPr>
          <w:rFonts w:cs="TimesNewRoman,Italic"/>
          <w:i/>
          <w:iCs/>
        </w:rPr>
        <w:t>‘</w:t>
      </w:r>
      <w:r w:rsidRPr="000D1F34">
        <w:rPr>
          <w:rFonts w:cs="TimesNewRoman,Italic"/>
          <w:i/>
          <w:iCs/>
        </w:rPr>
        <w:t>prevention</w:t>
      </w:r>
      <w:r w:rsidR="000159A6">
        <w:rPr>
          <w:rFonts w:cs="TimesNewRoman,Italic"/>
          <w:i/>
          <w:iCs/>
        </w:rPr>
        <w:t xml:space="preserve"> </w:t>
      </w:r>
      <w:r w:rsidRPr="000D1F34">
        <w:rPr>
          <w:rFonts w:cs="TimesNewRoman,Italic"/>
          <w:i/>
          <w:iCs/>
        </w:rPr>
        <w:t>of</w:t>
      </w:r>
      <w:r w:rsidR="000159A6">
        <w:rPr>
          <w:rFonts w:cs="TimesNewRoman,Italic"/>
          <w:i/>
          <w:iCs/>
        </w:rPr>
        <w:t xml:space="preserve"> </w:t>
      </w:r>
      <w:r w:rsidRPr="000D1F34">
        <w:rPr>
          <w:rFonts w:cs="TimesNewRoman,Italic"/>
          <w:i/>
          <w:iCs/>
        </w:rPr>
        <w:t>Varicella</w:t>
      </w:r>
      <w:r w:rsidR="000159A6">
        <w:rPr>
          <w:rFonts w:cs="TimesNewRoman,Italic"/>
          <w:i/>
          <w:iCs/>
        </w:rPr>
        <w:t xml:space="preserve"> </w:t>
      </w:r>
      <w:r w:rsidRPr="000D1F34">
        <w:rPr>
          <w:rFonts w:cs="TimesNewRoman,Italic"/>
          <w:i/>
          <w:iCs/>
        </w:rPr>
        <w:t>Zoster</w:t>
      </w:r>
      <w:r w:rsidR="000159A6">
        <w:rPr>
          <w:rFonts w:cs="TimesNewRoman,Italic"/>
          <w:i/>
          <w:iCs/>
        </w:rPr>
        <w:t xml:space="preserve"> </w:t>
      </w:r>
      <w:r w:rsidRPr="000D1F34">
        <w:rPr>
          <w:rFonts w:cs="TimesNewRoman,Italic"/>
          <w:i/>
          <w:iCs/>
        </w:rPr>
        <w:t>Virus</w:t>
      </w:r>
      <w:r w:rsidR="000159A6">
        <w:rPr>
          <w:rFonts w:cs="TimesNewRoman,Italic"/>
          <w:i/>
          <w:iCs/>
        </w:rPr>
        <w:t xml:space="preserve"> </w:t>
      </w:r>
      <w:r w:rsidRPr="000D1F34">
        <w:rPr>
          <w:rFonts w:cs="TimesNewRoman,Italic"/>
          <w:i/>
          <w:iCs/>
        </w:rPr>
        <w:t>reactivation</w:t>
      </w:r>
      <w:r>
        <w:rPr>
          <w:rFonts w:cs="TimesNewRoman,Italic"/>
          <w:i/>
          <w:iCs/>
        </w:rPr>
        <w:t>’</w:t>
      </w:r>
      <w:r w:rsidR="000159A6">
        <w:rPr>
          <w:rFonts w:cs="TimesNewRoman,Italic"/>
          <w:i/>
          <w:iCs/>
        </w:rPr>
        <w:t xml:space="preserve"> </w:t>
      </w:r>
      <w:r w:rsidRPr="000D1F34">
        <w:rPr>
          <w:rFonts w:cs="TimesNewRoman,Italic"/>
          <w:iCs/>
        </w:rPr>
        <w:t>and</w:t>
      </w:r>
      <w:r w:rsidR="000159A6">
        <w:rPr>
          <w:rFonts w:cs="TimesNewRoman,Italic"/>
          <w:iCs/>
        </w:rPr>
        <w:t xml:space="preserve"> </w:t>
      </w:r>
      <w:r w:rsidRPr="000D1F34">
        <w:rPr>
          <w:rFonts w:cs="TimesNewRoman,Italic"/>
          <w:iCs/>
        </w:rPr>
        <w:t>the</w:t>
      </w:r>
      <w:r w:rsidR="000159A6">
        <w:rPr>
          <w:rFonts w:cs="TimesNewRoman,Italic"/>
          <w:iCs/>
        </w:rPr>
        <w:t xml:space="preserve"> </w:t>
      </w:r>
      <w:r w:rsidRPr="000D1F34">
        <w:rPr>
          <w:rFonts w:cs="TimesNewRoman,Italic"/>
          <w:iCs/>
        </w:rPr>
        <w:t>target</w:t>
      </w:r>
      <w:r w:rsidR="000159A6">
        <w:rPr>
          <w:rFonts w:cs="TimesNewRoman,Italic"/>
          <w:iCs/>
        </w:rPr>
        <w:t xml:space="preserve"> </w:t>
      </w:r>
      <w:r w:rsidRPr="000D1F34">
        <w:rPr>
          <w:rFonts w:cs="TimesNewRoman,Italic"/>
          <w:iCs/>
        </w:rPr>
        <w:t>indication</w:t>
      </w:r>
      <w:r w:rsidR="000159A6">
        <w:rPr>
          <w:rFonts w:cs="TimesNewRoman,Italic"/>
          <w:iCs/>
        </w:rPr>
        <w:t xml:space="preserve"> </w:t>
      </w:r>
      <w:r w:rsidRPr="000D1F34">
        <w:rPr>
          <w:rFonts w:cs="TimesNewRoman,Italic"/>
          <w:iCs/>
        </w:rPr>
        <w:t>is</w:t>
      </w:r>
      <w:r w:rsidR="000159A6">
        <w:t xml:space="preserve"> </w:t>
      </w:r>
      <w:r>
        <w:t>‘</w:t>
      </w:r>
      <w:r w:rsidRPr="000D1F34">
        <w:rPr>
          <w:rFonts w:cs="TimesNewRoman,Italic"/>
          <w:i/>
          <w:iCs/>
        </w:rPr>
        <w:t>prevention</w:t>
      </w:r>
      <w:r w:rsidR="000159A6">
        <w:rPr>
          <w:rFonts w:cs="TimesNewRoman,Italic"/>
          <w:i/>
          <w:iCs/>
        </w:rPr>
        <w:t xml:space="preserve"> </w:t>
      </w:r>
      <w:r w:rsidRPr="000D1F34">
        <w:rPr>
          <w:rFonts w:cs="TimesNewRoman,Italic"/>
          <w:i/>
          <w:iCs/>
        </w:rPr>
        <w:t>of</w:t>
      </w:r>
      <w:r w:rsidR="000159A6">
        <w:rPr>
          <w:rFonts w:cs="TimesNewRoman,Italic"/>
          <w:i/>
          <w:iCs/>
        </w:rPr>
        <w:t xml:space="preserve"> </w:t>
      </w:r>
      <w:r w:rsidRPr="000D1F34">
        <w:rPr>
          <w:rFonts w:cs="TimesNewRoman,Italic"/>
          <w:i/>
          <w:iCs/>
        </w:rPr>
        <w:t>herpes</w:t>
      </w:r>
      <w:r w:rsidR="000159A6">
        <w:rPr>
          <w:rFonts w:cs="TimesNewRoman,Italic"/>
          <w:i/>
          <w:iCs/>
        </w:rPr>
        <w:t xml:space="preserve"> </w:t>
      </w:r>
      <w:r w:rsidRPr="000D1F34">
        <w:rPr>
          <w:rFonts w:cs="TimesNewRoman,Italic"/>
          <w:i/>
          <w:iCs/>
        </w:rPr>
        <w:t>zoster</w:t>
      </w:r>
      <w:r w:rsidR="000159A6">
        <w:rPr>
          <w:rFonts w:cs="TimesNewRoman,Italic"/>
          <w:i/>
          <w:iCs/>
        </w:rPr>
        <w:t xml:space="preserve"> </w:t>
      </w:r>
      <w:r w:rsidRPr="000D1F34">
        <w:rPr>
          <w:rFonts w:cs="TimesNewRoman,Italic"/>
          <w:i/>
          <w:iCs/>
        </w:rPr>
        <w:t>in</w:t>
      </w:r>
      <w:r w:rsidR="000159A6">
        <w:rPr>
          <w:rFonts w:cs="TimesNewRoman,Italic"/>
          <w:i/>
          <w:iCs/>
        </w:rPr>
        <w:t xml:space="preserve"> </w:t>
      </w:r>
      <w:r w:rsidRPr="000D1F34">
        <w:rPr>
          <w:rFonts w:cs="TimesNewRoman,Italic"/>
          <w:i/>
          <w:iCs/>
        </w:rPr>
        <w:t>immunocompromised</w:t>
      </w:r>
      <w:r w:rsidR="000159A6">
        <w:rPr>
          <w:rFonts w:cs="TimesNewRoman,Italic"/>
          <w:i/>
          <w:iCs/>
        </w:rPr>
        <w:t xml:space="preserve"> </w:t>
      </w:r>
      <w:r w:rsidRPr="000D1F34">
        <w:rPr>
          <w:rFonts w:cs="TimesNewRoman,Italic"/>
          <w:i/>
          <w:iCs/>
        </w:rPr>
        <w:t>subjects</w:t>
      </w:r>
      <w:r>
        <w:rPr>
          <w:rFonts w:cs="TimesNewRoman,Italic"/>
          <w:i/>
          <w:iCs/>
        </w:rPr>
        <w:t>’</w:t>
      </w:r>
      <w:r w:rsidRPr="00930948">
        <w:rPr>
          <w:rFonts w:cs="TimesNewRoman,Italic"/>
          <w:i/>
          <w:iCs/>
        </w:rPr>
        <w:t>.</w:t>
      </w:r>
      <w:r w:rsidR="000159A6">
        <w:rPr>
          <w:rFonts w:cs="TimesNewRoman,Italic"/>
          <w:i/>
          <w:iCs/>
        </w:rPr>
        <w:t xml:space="preserve"> </w:t>
      </w:r>
      <w:r w:rsidRPr="00930948">
        <w:rPr>
          <w:rFonts w:eastAsiaTheme="minorHAnsi" w:cs="Verdana"/>
        </w:rPr>
        <w:t>A</w:t>
      </w:r>
      <w:r w:rsidR="000159A6">
        <w:rPr>
          <w:rFonts w:eastAsiaTheme="minorHAnsi" w:cs="Verdana"/>
        </w:rPr>
        <w:t xml:space="preserve"> </w:t>
      </w:r>
      <w:r w:rsidRPr="00930948">
        <w:rPr>
          <w:rFonts w:eastAsiaTheme="minorHAnsi" w:cs="Verdana"/>
        </w:rPr>
        <w:t>waiver</w:t>
      </w:r>
      <w:r w:rsidR="000159A6">
        <w:rPr>
          <w:rFonts w:eastAsiaTheme="minorHAnsi" w:cs="Verdana"/>
        </w:rPr>
        <w:t xml:space="preserve"> </w:t>
      </w:r>
      <w:r w:rsidRPr="00930948">
        <w:rPr>
          <w:rFonts w:eastAsiaTheme="minorHAnsi" w:cs="Verdana"/>
        </w:rPr>
        <w:t>for</w:t>
      </w:r>
      <w:r w:rsidR="000159A6">
        <w:rPr>
          <w:rFonts w:eastAsiaTheme="minorHAnsi" w:cs="Verdana"/>
        </w:rPr>
        <w:t xml:space="preserve"> </w:t>
      </w:r>
      <w:r w:rsidRPr="00930948">
        <w:rPr>
          <w:rFonts w:eastAsiaTheme="minorHAnsi" w:cs="Verdana"/>
        </w:rPr>
        <w:t>infants</w:t>
      </w:r>
      <w:r w:rsidR="000159A6">
        <w:rPr>
          <w:rFonts w:eastAsiaTheme="minorHAnsi" w:cs="Verdana"/>
        </w:rPr>
        <w:t xml:space="preserve"> </w:t>
      </w:r>
      <w:r w:rsidRPr="00930948">
        <w:rPr>
          <w:rFonts w:eastAsiaTheme="minorHAnsi" w:cs="Verdana"/>
        </w:rPr>
        <w:t>from</w:t>
      </w:r>
      <w:r w:rsidR="000159A6">
        <w:rPr>
          <w:rFonts w:eastAsiaTheme="minorHAnsi" w:cs="Verdana"/>
        </w:rPr>
        <w:t xml:space="preserve"> </w:t>
      </w:r>
      <w:r w:rsidRPr="00930948">
        <w:rPr>
          <w:rFonts w:eastAsiaTheme="minorHAnsi" w:cs="Verdana"/>
        </w:rPr>
        <w:t>birth</w:t>
      </w:r>
      <w:r w:rsidR="000159A6">
        <w:rPr>
          <w:rFonts w:eastAsiaTheme="minorHAnsi" w:cs="Verdana"/>
        </w:rPr>
        <w:t xml:space="preserve"> </w:t>
      </w:r>
      <w:r w:rsidRPr="00930948">
        <w:rPr>
          <w:rFonts w:eastAsiaTheme="minorHAnsi" w:cs="Verdana"/>
        </w:rPr>
        <w:t>to</w:t>
      </w:r>
      <w:r w:rsidR="000159A6">
        <w:rPr>
          <w:rFonts w:eastAsiaTheme="minorHAnsi" w:cs="Verdana"/>
        </w:rPr>
        <w:t xml:space="preserve"> </w:t>
      </w:r>
      <w:r w:rsidRPr="00930948">
        <w:rPr>
          <w:rFonts w:eastAsiaTheme="minorHAnsi" w:cs="Verdana"/>
        </w:rPr>
        <w:t>less</w:t>
      </w:r>
      <w:r w:rsidR="000159A6">
        <w:rPr>
          <w:rFonts w:eastAsiaTheme="minorHAnsi" w:cs="Verdana"/>
        </w:rPr>
        <w:t xml:space="preserve"> </w:t>
      </w:r>
      <w:r w:rsidRPr="00930948">
        <w:rPr>
          <w:rFonts w:eastAsiaTheme="minorHAnsi" w:cs="Verdana"/>
        </w:rPr>
        <w:t>than</w:t>
      </w:r>
      <w:r w:rsidR="000159A6">
        <w:rPr>
          <w:rFonts w:eastAsiaTheme="minorHAnsi" w:cs="Verdana"/>
        </w:rPr>
        <w:t xml:space="preserve"> </w:t>
      </w:r>
      <w:r w:rsidRPr="00930948">
        <w:rPr>
          <w:rFonts w:eastAsiaTheme="minorHAnsi" w:cs="Verdana"/>
        </w:rPr>
        <w:t>one</w:t>
      </w:r>
      <w:r w:rsidR="000159A6">
        <w:rPr>
          <w:rFonts w:eastAsiaTheme="minorHAnsi" w:cs="Verdana"/>
        </w:rPr>
        <w:t xml:space="preserve"> </w:t>
      </w:r>
      <w:r w:rsidRPr="00930948">
        <w:rPr>
          <w:rFonts w:eastAsiaTheme="minorHAnsi" w:cs="Verdana"/>
        </w:rPr>
        <w:t>year</w:t>
      </w:r>
      <w:r w:rsidR="000159A6">
        <w:rPr>
          <w:rFonts w:eastAsiaTheme="minorHAnsi" w:cs="Verdana"/>
        </w:rPr>
        <w:t xml:space="preserve"> </w:t>
      </w:r>
      <w:r w:rsidRPr="00930948">
        <w:rPr>
          <w:rFonts w:eastAsiaTheme="minorHAnsi" w:cs="Verdana"/>
        </w:rPr>
        <w:t>of</w:t>
      </w:r>
      <w:r w:rsidR="000159A6">
        <w:rPr>
          <w:rFonts w:eastAsiaTheme="minorHAnsi" w:cs="Verdana"/>
        </w:rPr>
        <w:t xml:space="preserve"> </w:t>
      </w:r>
      <w:r w:rsidRPr="00930948">
        <w:rPr>
          <w:rFonts w:eastAsiaTheme="minorHAnsi" w:cs="Verdana"/>
        </w:rPr>
        <w:t>age</w:t>
      </w:r>
      <w:r w:rsidR="000159A6">
        <w:rPr>
          <w:rFonts w:eastAsiaTheme="minorHAnsi" w:cs="Verdana"/>
        </w:rPr>
        <w:t xml:space="preserve"> </w:t>
      </w:r>
      <w:r w:rsidRPr="00930948">
        <w:rPr>
          <w:rFonts w:eastAsiaTheme="minorHAnsi" w:cs="Verdana"/>
        </w:rPr>
        <w:t>has</w:t>
      </w:r>
      <w:r w:rsidR="000159A6">
        <w:rPr>
          <w:rFonts w:eastAsiaTheme="minorHAnsi" w:cs="Verdana"/>
        </w:rPr>
        <w:t xml:space="preserve"> </w:t>
      </w:r>
      <w:r w:rsidRPr="00930948">
        <w:rPr>
          <w:rFonts w:eastAsiaTheme="minorHAnsi" w:cs="Verdana"/>
        </w:rPr>
        <w:t>been</w:t>
      </w:r>
      <w:r w:rsidR="000159A6">
        <w:rPr>
          <w:rFonts w:eastAsiaTheme="minorHAnsi" w:cs="Verdana"/>
        </w:rPr>
        <w:t xml:space="preserve"> </w:t>
      </w:r>
      <w:r w:rsidRPr="00930948">
        <w:rPr>
          <w:rFonts w:eastAsiaTheme="minorHAnsi" w:cs="Verdana"/>
        </w:rPr>
        <w:t>granted</w:t>
      </w:r>
      <w:r w:rsidR="000159A6">
        <w:rPr>
          <w:rFonts w:eastAsiaTheme="minorHAnsi" w:cs="Verdana"/>
        </w:rPr>
        <w:t xml:space="preserve"> </w:t>
      </w:r>
      <w:r w:rsidRPr="00930948">
        <w:rPr>
          <w:rFonts w:eastAsiaTheme="minorHAnsi" w:cs="Verdana"/>
        </w:rPr>
        <w:t>on</w:t>
      </w:r>
      <w:r w:rsidR="000159A6">
        <w:rPr>
          <w:rFonts w:eastAsiaTheme="minorHAnsi" w:cs="Verdana"/>
        </w:rPr>
        <w:t xml:space="preserve"> </w:t>
      </w:r>
      <w:r w:rsidRPr="00930948">
        <w:rPr>
          <w:rFonts w:eastAsiaTheme="minorHAnsi" w:cs="Verdana"/>
        </w:rPr>
        <w:t>the</w:t>
      </w:r>
      <w:r w:rsidR="000159A6">
        <w:rPr>
          <w:rFonts w:eastAsiaTheme="minorHAnsi" w:cs="Verdana"/>
        </w:rPr>
        <w:t xml:space="preserve"> </w:t>
      </w:r>
      <w:r w:rsidRPr="00930948">
        <w:rPr>
          <w:rFonts w:eastAsiaTheme="minorHAnsi" w:cs="Verdana"/>
        </w:rPr>
        <w:t>grounds</w:t>
      </w:r>
      <w:r w:rsidR="000159A6">
        <w:rPr>
          <w:rFonts w:eastAsiaTheme="minorHAnsi" w:cs="Verdana"/>
        </w:rPr>
        <w:t xml:space="preserve"> </w:t>
      </w:r>
      <w:r w:rsidRPr="00930948">
        <w:rPr>
          <w:rFonts w:eastAsiaTheme="minorHAnsi" w:cs="Verdana"/>
        </w:rPr>
        <w:t>that</w:t>
      </w:r>
      <w:r w:rsidR="000159A6">
        <w:rPr>
          <w:rFonts w:eastAsiaTheme="minorHAnsi" w:cs="Verdana"/>
        </w:rPr>
        <w:t xml:space="preserve"> </w:t>
      </w:r>
      <w:r w:rsidRPr="00930948">
        <w:rPr>
          <w:rFonts w:eastAsiaTheme="minorHAnsi" w:cs="Verdana"/>
        </w:rPr>
        <w:t>the</w:t>
      </w:r>
      <w:r w:rsidR="000159A6">
        <w:rPr>
          <w:rFonts w:eastAsiaTheme="minorHAnsi" w:cs="Verdana"/>
        </w:rPr>
        <w:t xml:space="preserve"> </w:t>
      </w:r>
      <w:r w:rsidRPr="00930948">
        <w:rPr>
          <w:rFonts w:eastAsiaTheme="minorHAnsi" w:cs="Verdana"/>
        </w:rPr>
        <w:t>reactivation</w:t>
      </w:r>
      <w:r w:rsidR="000159A6">
        <w:rPr>
          <w:rFonts w:eastAsiaTheme="minorHAnsi" w:cs="Verdana"/>
        </w:rPr>
        <w:t xml:space="preserve"> </w:t>
      </w:r>
      <w:r w:rsidRPr="00930948">
        <w:rPr>
          <w:rFonts w:eastAsiaTheme="minorHAnsi" w:cs="Verdana"/>
        </w:rPr>
        <w:t>of</w:t>
      </w:r>
      <w:r w:rsidR="000159A6">
        <w:rPr>
          <w:rFonts w:eastAsiaTheme="minorHAnsi" w:cs="Verdana"/>
        </w:rPr>
        <w:t xml:space="preserve"> </w:t>
      </w:r>
      <w:r w:rsidR="00E849D1">
        <w:rPr>
          <w:rFonts w:eastAsiaTheme="minorHAnsi" w:cs="Verdana"/>
        </w:rPr>
        <w:t>v</w:t>
      </w:r>
      <w:r w:rsidR="00E849D1" w:rsidRPr="00930948">
        <w:rPr>
          <w:rFonts w:eastAsiaTheme="minorHAnsi" w:cs="Verdana"/>
        </w:rPr>
        <w:t>aricella</w:t>
      </w:r>
      <w:r w:rsidR="000159A6">
        <w:rPr>
          <w:rFonts w:eastAsiaTheme="minorHAnsi" w:cs="Verdana"/>
        </w:rPr>
        <w:t xml:space="preserve"> </w:t>
      </w:r>
      <w:r w:rsidR="00E849D1">
        <w:rPr>
          <w:rFonts w:eastAsiaTheme="minorHAnsi" w:cs="Verdana"/>
        </w:rPr>
        <w:t>z</w:t>
      </w:r>
      <w:r w:rsidR="00E849D1" w:rsidRPr="00930948">
        <w:rPr>
          <w:rFonts w:eastAsiaTheme="minorHAnsi" w:cs="Verdana"/>
        </w:rPr>
        <w:t>oster</w:t>
      </w:r>
      <w:r w:rsidR="000159A6">
        <w:rPr>
          <w:rFonts w:eastAsiaTheme="minorHAnsi" w:cs="Verdana"/>
        </w:rPr>
        <w:t xml:space="preserve"> </w:t>
      </w:r>
      <w:r w:rsidR="00E849D1">
        <w:rPr>
          <w:rFonts w:eastAsiaTheme="minorHAnsi" w:cs="Verdana"/>
        </w:rPr>
        <w:t>v</w:t>
      </w:r>
      <w:r w:rsidR="00E849D1" w:rsidRPr="00930948">
        <w:rPr>
          <w:rFonts w:eastAsiaTheme="minorHAnsi" w:cs="Verdana"/>
        </w:rPr>
        <w:t>irus</w:t>
      </w:r>
      <w:r w:rsidR="000159A6">
        <w:rPr>
          <w:rFonts w:eastAsiaTheme="minorHAnsi" w:cs="Verdana"/>
        </w:rPr>
        <w:t xml:space="preserve"> </w:t>
      </w:r>
      <w:r w:rsidRPr="00930948">
        <w:rPr>
          <w:rFonts w:eastAsiaTheme="minorHAnsi" w:cs="Verdana"/>
        </w:rPr>
        <w:t>does</w:t>
      </w:r>
      <w:r w:rsidR="000159A6">
        <w:rPr>
          <w:rFonts w:eastAsiaTheme="minorHAnsi" w:cs="Verdana"/>
        </w:rPr>
        <w:t xml:space="preserve"> </w:t>
      </w:r>
      <w:r w:rsidRPr="00930948">
        <w:rPr>
          <w:rFonts w:eastAsiaTheme="minorHAnsi" w:cs="Verdana"/>
        </w:rPr>
        <w:t>not</w:t>
      </w:r>
      <w:r w:rsidR="000159A6">
        <w:rPr>
          <w:rFonts w:eastAsiaTheme="minorHAnsi" w:cs="Verdana"/>
        </w:rPr>
        <w:t xml:space="preserve"> </w:t>
      </w:r>
      <w:r w:rsidRPr="00930948">
        <w:rPr>
          <w:rFonts w:eastAsiaTheme="minorHAnsi" w:cs="Verdana"/>
        </w:rPr>
        <w:t>occur</w:t>
      </w:r>
      <w:r w:rsidR="000159A6">
        <w:rPr>
          <w:rFonts w:eastAsiaTheme="minorHAnsi" w:cs="Verdana"/>
        </w:rPr>
        <w:t xml:space="preserve"> </w:t>
      </w:r>
      <w:r w:rsidRPr="00930948">
        <w:rPr>
          <w:rFonts w:eastAsiaTheme="minorHAnsi" w:cs="Verdana"/>
        </w:rPr>
        <w:t>in</w:t>
      </w:r>
      <w:r w:rsidR="000159A6">
        <w:rPr>
          <w:rFonts w:eastAsiaTheme="minorHAnsi" w:cs="Verdana"/>
        </w:rPr>
        <w:t xml:space="preserve"> </w:t>
      </w:r>
      <w:r w:rsidRPr="00930948">
        <w:rPr>
          <w:rFonts w:eastAsiaTheme="minorHAnsi" w:cs="Verdana"/>
        </w:rPr>
        <w:t>the</w:t>
      </w:r>
      <w:r w:rsidR="000159A6">
        <w:rPr>
          <w:rFonts w:eastAsiaTheme="minorHAnsi" w:cs="Verdana"/>
        </w:rPr>
        <w:t xml:space="preserve"> </w:t>
      </w:r>
      <w:r w:rsidRPr="00930948">
        <w:rPr>
          <w:rFonts w:eastAsiaTheme="minorHAnsi" w:cs="Verdana"/>
        </w:rPr>
        <w:t>youngest</w:t>
      </w:r>
      <w:r w:rsidR="000159A6">
        <w:rPr>
          <w:rFonts w:eastAsiaTheme="minorHAnsi" w:cs="Verdana"/>
        </w:rPr>
        <w:t xml:space="preserve"> </w:t>
      </w:r>
      <w:r w:rsidRPr="00930948">
        <w:rPr>
          <w:rFonts w:eastAsiaTheme="minorHAnsi" w:cs="Verdana"/>
        </w:rPr>
        <w:t>paediatric</w:t>
      </w:r>
      <w:r w:rsidR="000159A6">
        <w:rPr>
          <w:rFonts w:eastAsiaTheme="minorHAnsi" w:cs="Verdana"/>
        </w:rPr>
        <w:t xml:space="preserve"> </w:t>
      </w:r>
      <w:r w:rsidRPr="00930948">
        <w:rPr>
          <w:rFonts w:eastAsiaTheme="minorHAnsi" w:cs="Verdana"/>
        </w:rPr>
        <w:t>population.</w:t>
      </w:r>
      <w:r w:rsidR="000159A6">
        <w:rPr>
          <w:rFonts w:eastAsiaTheme="minorHAnsi" w:cs="Verdana"/>
        </w:rPr>
        <w:t xml:space="preserve"> </w:t>
      </w:r>
      <w:r w:rsidRPr="000D1F34">
        <w:t>The</w:t>
      </w:r>
      <w:r w:rsidR="000159A6">
        <w:t xml:space="preserve"> </w:t>
      </w:r>
      <w:r w:rsidRPr="000D1F34">
        <w:t>two</w:t>
      </w:r>
      <w:r w:rsidR="000159A6">
        <w:t xml:space="preserve"> </w:t>
      </w:r>
      <w:r w:rsidRPr="000D1F34">
        <w:t>agreed</w:t>
      </w:r>
      <w:r w:rsidR="000159A6">
        <w:t xml:space="preserve"> </w:t>
      </w:r>
      <w:r w:rsidRPr="000D1F34">
        <w:t>studies</w:t>
      </w:r>
      <w:r w:rsidR="000159A6">
        <w:t xml:space="preserve"> </w:t>
      </w:r>
      <w:r w:rsidRPr="000D1F34">
        <w:t>will</w:t>
      </w:r>
      <w:r w:rsidR="000159A6">
        <w:t xml:space="preserve"> </w:t>
      </w:r>
      <w:r w:rsidRPr="000D1F34">
        <w:t>be</w:t>
      </w:r>
      <w:r w:rsidR="000159A6">
        <w:t xml:space="preserve"> </w:t>
      </w:r>
      <w:r w:rsidRPr="000D1F34">
        <w:t>initiated</w:t>
      </w:r>
      <w:r w:rsidR="000159A6">
        <w:t xml:space="preserve"> </w:t>
      </w:r>
      <w:r w:rsidRPr="000D1F34">
        <w:t>if</w:t>
      </w:r>
      <w:r w:rsidR="000159A6">
        <w:t xml:space="preserve"> </w:t>
      </w:r>
      <w:r w:rsidRPr="000D1F34">
        <w:t>a</w:t>
      </w:r>
      <w:r w:rsidR="000159A6">
        <w:t xml:space="preserve"> </w:t>
      </w:r>
      <w:r w:rsidRPr="000D1F34">
        <w:t>positive</w:t>
      </w:r>
      <w:r w:rsidR="000159A6">
        <w:t xml:space="preserve"> </w:t>
      </w:r>
      <w:r w:rsidRPr="000D1F34">
        <w:t>benefit</w:t>
      </w:r>
      <w:r>
        <w:t>-</w:t>
      </w:r>
      <w:r w:rsidRPr="000D1F34">
        <w:t>risk</w:t>
      </w:r>
      <w:r w:rsidR="000159A6">
        <w:t xml:space="preserve"> </w:t>
      </w:r>
      <w:r>
        <w:t>balance</w:t>
      </w:r>
      <w:r w:rsidR="000159A6">
        <w:t xml:space="preserve"> </w:t>
      </w:r>
      <w:r w:rsidRPr="000D1F34">
        <w:t>in</w:t>
      </w:r>
      <w:r w:rsidR="000159A6">
        <w:t xml:space="preserve"> </w:t>
      </w:r>
      <w:r w:rsidRPr="000D1F34">
        <w:t>immunocompromised</w:t>
      </w:r>
      <w:r w:rsidR="000159A6">
        <w:t xml:space="preserve"> </w:t>
      </w:r>
      <w:r w:rsidRPr="000D1F34">
        <w:t>adults</w:t>
      </w:r>
      <w:r w:rsidR="000159A6">
        <w:t xml:space="preserve"> </w:t>
      </w:r>
      <w:r w:rsidRPr="000D1F34">
        <w:t>is</w:t>
      </w:r>
      <w:r w:rsidR="000159A6">
        <w:t xml:space="preserve"> </w:t>
      </w:r>
      <w:r w:rsidRPr="000D1F34">
        <w:t>achieved.</w:t>
      </w:r>
    </w:p>
    <w:p w14:paraId="7BC397E6" w14:textId="2B247D64" w:rsidR="005C0A6F" w:rsidRPr="008F7BC7" w:rsidRDefault="00605AD4" w:rsidP="008F7BC7">
      <w:pPr>
        <w:pStyle w:val="Heading4"/>
      </w:pPr>
      <w:r w:rsidRPr="008F7BC7">
        <w:t>Good</w:t>
      </w:r>
      <w:r w:rsidR="000159A6" w:rsidRPr="008F7BC7">
        <w:t xml:space="preserve"> </w:t>
      </w:r>
      <w:r w:rsidRPr="008F7BC7">
        <w:t>clinical</w:t>
      </w:r>
      <w:r w:rsidR="000159A6" w:rsidRPr="008F7BC7">
        <w:t xml:space="preserve"> </w:t>
      </w:r>
      <w:r w:rsidRPr="008F7BC7">
        <w:t>practice</w:t>
      </w:r>
    </w:p>
    <w:p w14:paraId="222FBD9A" w14:textId="38D16A10" w:rsidR="007553D3" w:rsidRDefault="007553D3" w:rsidP="00A97634">
      <w:pPr>
        <w:rPr>
          <w:lang w:eastAsia="ja-JP"/>
        </w:rPr>
      </w:pPr>
      <w:r>
        <w:rPr>
          <w:lang w:eastAsia="ja-JP"/>
        </w:rPr>
        <w:t>The</w:t>
      </w:r>
      <w:r w:rsidR="000159A6">
        <w:rPr>
          <w:lang w:eastAsia="ja-JP"/>
        </w:rPr>
        <w:t xml:space="preserve"> </w:t>
      </w:r>
      <w:r>
        <w:rPr>
          <w:lang w:eastAsia="ja-JP"/>
        </w:rPr>
        <w:t>Clinical</w:t>
      </w:r>
      <w:r w:rsidR="000159A6">
        <w:rPr>
          <w:lang w:eastAsia="ja-JP"/>
        </w:rPr>
        <w:t xml:space="preserve"> </w:t>
      </w:r>
      <w:r>
        <w:rPr>
          <w:lang w:eastAsia="ja-JP"/>
        </w:rPr>
        <w:t>Overview</w:t>
      </w:r>
      <w:r w:rsidR="000159A6">
        <w:rPr>
          <w:lang w:eastAsia="ja-JP"/>
        </w:rPr>
        <w:t xml:space="preserve"> </w:t>
      </w:r>
      <w:r>
        <w:rPr>
          <w:lang w:eastAsia="ja-JP"/>
        </w:rPr>
        <w:t>states</w:t>
      </w:r>
      <w:r w:rsidR="000159A6">
        <w:rPr>
          <w:lang w:eastAsia="ja-JP"/>
        </w:rPr>
        <w:t xml:space="preserve"> </w:t>
      </w:r>
      <w:r>
        <w:rPr>
          <w:lang w:eastAsia="ja-JP"/>
        </w:rPr>
        <w:t>that</w:t>
      </w:r>
      <w:r w:rsidR="000159A6">
        <w:rPr>
          <w:lang w:eastAsia="ja-JP"/>
        </w:rPr>
        <w:t xml:space="preserve"> </w:t>
      </w:r>
      <w:r>
        <w:rPr>
          <w:lang w:eastAsia="ja-JP"/>
        </w:rPr>
        <w:t>all</w:t>
      </w:r>
      <w:r w:rsidR="000159A6">
        <w:rPr>
          <w:lang w:eastAsia="ja-JP"/>
        </w:rPr>
        <w:t xml:space="preserve"> </w:t>
      </w:r>
      <w:r>
        <w:rPr>
          <w:lang w:eastAsia="ja-JP"/>
        </w:rPr>
        <w:t>trials</w:t>
      </w:r>
      <w:r w:rsidR="000159A6">
        <w:rPr>
          <w:lang w:eastAsia="ja-JP"/>
        </w:rPr>
        <w:t xml:space="preserve"> </w:t>
      </w:r>
      <w:r>
        <w:rPr>
          <w:lang w:eastAsia="ja-JP"/>
        </w:rPr>
        <w:t>were</w:t>
      </w:r>
      <w:r w:rsidR="000159A6">
        <w:rPr>
          <w:lang w:eastAsia="ja-JP"/>
        </w:rPr>
        <w:t xml:space="preserve"> </w:t>
      </w:r>
      <w:r>
        <w:rPr>
          <w:lang w:eastAsia="ja-JP"/>
        </w:rPr>
        <w:t>conducted</w:t>
      </w:r>
      <w:r w:rsidR="000159A6">
        <w:rPr>
          <w:lang w:eastAsia="ja-JP"/>
        </w:rPr>
        <w:t xml:space="preserve"> </w:t>
      </w:r>
      <w:r>
        <w:rPr>
          <w:lang w:eastAsia="ja-JP"/>
        </w:rPr>
        <w:t>in</w:t>
      </w:r>
      <w:r w:rsidR="000159A6">
        <w:rPr>
          <w:lang w:eastAsia="ja-JP"/>
        </w:rPr>
        <w:t xml:space="preserve"> </w:t>
      </w:r>
      <w:r>
        <w:rPr>
          <w:lang w:eastAsia="ja-JP"/>
        </w:rPr>
        <w:t>accordance</w:t>
      </w:r>
      <w:r w:rsidR="000159A6">
        <w:rPr>
          <w:lang w:eastAsia="ja-JP"/>
        </w:rPr>
        <w:t xml:space="preserve"> </w:t>
      </w:r>
      <w:r>
        <w:rPr>
          <w:lang w:eastAsia="ja-JP"/>
        </w:rPr>
        <w:t>with</w:t>
      </w:r>
      <w:r w:rsidR="000159A6">
        <w:rPr>
          <w:lang w:eastAsia="ja-JP"/>
        </w:rPr>
        <w:t xml:space="preserve"> </w:t>
      </w:r>
      <w:r>
        <w:rPr>
          <w:lang w:eastAsia="ja-JP"/>
        </w:rPr>
        <w:t>the</w:t>
      </w:r>
      <w:r w:rsidR="000159A6">
        <w:rPr>
          <w:lang w:eastAsia="ja-JP"/>
        </w:rPr>
        <w:t xml:space="preserve"> </w:t>
      </w:r>
      <w:r>
        <w:rPr>
          <w:lang w:eastAsia="ja-JP"/>
        </w:rPr>
        <w:t>principles</w:t>
      </w:r>
      <w:r w:rsidR="000159A6">
        <w:rPr>
          <w:lang w:eastAsia="ja-JP"/>
        </w:rPr>
        <w:t xml:space="preserve"> </w:t>
      </w:r>
      <w:r>
        <w:rPr>
          <w:lang w:eastAsia="ja-JP"/>
        </w:rPr>
        <w:t>of</w:t>
      </w:r>
      <w:r w:rsidR="000159A6">
        <w:rPr>
          <w:lang w:eastAsia="ja-JP"/>
        </w:rPr>
        <w:t xml:space="preserve"> </w:t>
      </w:r>
      <w:r w:rsidR="00E849D1">
        <w:rPr>
          <w:lang w:eastAsia="ja-JP"/>
        </w:rPr>
        <w:t>Good</w:t>
      </w:r>
      <w:r w:rsidR="000159A6">
        <w:rPr>
          <w:lang w:eastAsia="ja-JP"/>
        </w:rPr>
        <w:t xml:space="preserve"> </w:t>
      </w:r>
      <w:r w:rsidR="00E849D1">
        <w:rPr>
          <w:lang w:eastAsia="ja-JP"/>
        </w:rPr>
        <w:t>Clinical</w:t>
      </w:r>
      <w:r w:rsidR="000159A6">
        <w:rPr>
          <w:lang w:eastAsia="ja-JP"/>
        </w:rPr>
        <w:t xml:space="preserve"> </w:t>
      </w:r>
      <w:r w:rsidR="00E849D1">
        <w:rPr>
          <w:lang w:eastAsia="ja-JP"/>
        </w:rPr>
        <w:t>Practice</w:t>
      </w:r>
      <w:r w:rsidR="000159A6">
        <w:rPr>
          <w:lang w:eastAsia="ja-JP"/>
        </w:rPr>
        <w:t xml:space="preserve"> </w:t>
      </w:r>
      <w:r w:rsidR="002B2F1E">
        <w:rPr>
          <w:lang w:eastAsia="ja-JP"/>
        </w:rPr>
        <w:t>(</w:t>
      </w:r>
      <w:r>
        <w:rPr>
          <w:lang w:eastAsia="ja-JP"/>
        </w:rPr>
        <w:t>GCP</w:t>
      </w:r>
      <w:r w:rsidR="002B2F1E">
        <w:rPr>
          <w:lang w:eastAsia="ja-JP"/>
        </w:rPr>
        <w:t>)</w:t>
      </w:r>
      <w:r w:rsidR="000159A6">
        <w:rPr>
          <w:lang w:eastAsia="ja-JP"/>
        </w:rPr>
        <w:t xml:space="preserve"> </w:t>
      </w:r>
      <w:r>
        <w:rPr>
          <w:lang w:eastAsia="ja-JP"/>
        </w:rPr>
        <w:t>as</w:t>
      </w:r>
      <w:r w:rsidR="000159A6">
        <w:rPr>
          <w:lang w:eastAsia="ja-JP"/>
        </w:rPr>
        <w:t xml:space="preserve"> </w:t>
      </w:r>
      <w:r>
        <w:rPr>
          <w:lang w:eastAsia="ja-JP"/>
        </w:rPr>
        <w:t>well</w:t>
      </w:r>
      <w:r w:rsidR="000159A6">
        <w:rPr>
          <w:lang w:eastAsia="ja-JP"/>
        </w:rPr>
        <w:t xml:space="preserve"> </w:t>
      </w:r>
      <w:r>
        <w:rPr>
          <w:lang w:eastAsia="ja-JP"/>
        </w:rPr>
        <w:t>as</w:t>
      </w:r>
      <w:r w:rsidR="000159A6">
        <w:rPr>
          <w:lang w:eastAsia="ja-JP"/>
        </w:rPr>
        <w:t xml:space="preserve"> </w:t>
      </w:r>
      <w:r>
        <w:rPr>
          <w:lang w:eastAsia="ja-JP"/>
        </w:rPr>
        <w:t>local</w:t>
      </w:r>
      <w:r w:rsidR="000159A6">
        <w:rPr>
          <w:lang w:eastAsia="ja-JP"/>
        </w:rPr>
        <w:t xml:space="preserve"> </w:t>
      </w:r>
      <w:r>
        <w:rPr>
          <w:lang w:eastAsia="ja-JP"/>
        </w:rPr>
        <w:t>regulatory</w:t>
      </w:r>
      <w:r w:rsidR="000159A6">
        <w:rPr>
          <w:lang w:eastAsia="ja-JP"/>
        </w:rPr>
        <w:t xml:space="preserve"> </w:t>
      </w:r>
      <w:r>
        <w:rPr>
          <w:lang w:eastAsia="ja-JP"/>
        </w:rPr>
        <w:t>and</w:t>
      </w:r>
      <w:r w:rsidR="000159A6">
        <w:rPr>
          <w:lang w:eastAsia="ja-JP"/>
        </w:rPr>
        <w:t xml:space="preserve"> </w:t>
      </w:r>
      <w:r>
        <w:rPr>
          <w:lang w:eastAsia="ja-JP"/>
        </w:rPr>
        <w:t>ethical</w:t>
      </w:r>
      <w:r w:rsidR="000159A6">
        <w:rPr>
          <w:lang w:eastAsia="ja-JP"/>
        </w:rPr>
        <w:t xml:space="preserve"> </w:t>
      </w:r>
      <w:r>
        <w:rPr>
          <w:lang w:eastAsia="ja-JP"/>
        </w:rPr>
        <w:t>requirements.</w:t>
      </w:r>
    </w:p>
    <w:p w14:paraId="33A49C80" w14:textId="2FB26147" w:rsidR="007553D3" w:rsidRPr="007553D3" w:rsidRDefault="007553D3" w:rsidP="00A97634">
      <w:r w:rsidRPr="007553D3">
        <w:t>One</w:t>
      </w:r>
      <w:r w:rsidR="000159A6">
        <w:t xml:space="preserve"> </w:t>
      </w:r>
      <w:r w:rsidRPr="007553D3">
        <w:t>site</w:t>
      </w:r>
      <w:r w:rsidR="000159A6">
        <w:t xml:space="preserve"> </w:t>
      </w:r>
      <w:r w:rsidRPr="007553D3">
        <w:t>in</w:t>
      </w:r>
      <w:r w:rsidR="000159A6">
        <w:t xml:space="preserve"> </w:t>
      </w:r>
      <w:r w:rsidRPr="007553D3">
        <w:t>Mexico</w:t>
      </w:r>
      <w:r w:rsidR="000159A6">
        <w:t xml:space="preserve"> </w:t>
      </w:r>
      <w:r w:rsidRPr="007553D3">
        <w:t>which</w:t>
      </w:r>
      <w:r w:rsidR="000159A6">
        <w:t xml:space="preserve"> </w:t>
      </w:r>
      <w:r w:rsidRPr="007553D3">
        <w:t>enrolled</w:t>
      </w:r>
      <w:r w:rsidR="000159A6">
        <w:t xml:space="preserve"> </w:t>
      </w:r>
      <w:r w:rsidRPr="007553D3">
        <w:t>subjects</w:t>
      </w:r>
      <w:r w:rsidR="000159A6">
        <w:t xml:space="preserve"> </w:t>
      </w:r>
      <w:r w:rsidRPr="007553D3">
        <w:t>in</w:t>
      </w:r>
      <w:r w:rsidR="000159A6">
        <w:t xml:space="preserve"> </w:t>
      </w:r>
      <w:r w:rsidR="002B2F1E">
        <w:t>S</w:t>
      </w:r>
      <w:r w:rsidRPr="007553D3">
        <w:t>tudies</w:t>
      </w:r>
      <w:r w:rsidR="000159A6">
        <w:t xml:space="preserve"> </w:t>
      </w:r>
      <w:r w:rsidRPr="007553D3">
        <w:t>ZOSTER-006</w:t>
      </w:r>
      <w:r w:rsidR="000159A6">
        <w:t xml:space="preserve"> </w:t>
      </w:r>
      <w:r w:rsidRPr="007553D3">
        <w:t>and</w:t>
      </w:r>
      <w:r w:rsidR="000159A6">
        <w:t xml:space="preserve"> </w:t>
      </w:r>
      <w:r w:rsidRPr="007553D3">
        <w:t>ZOSTER-022</w:t>
      </w:r>
      <w:r w:rsidR="000159A6">
        <w:t xml:space="preserve"> </w:t>
      </w:r>
      <w:r w:rsidRPr="007553D3">
        <w:t>was</w:t>
      </w:r>
      <w:r w:rsidR="000159A6">
        <w:t xml:space="preserve"> </w:t>
      </w:r>
      <w:r w:rsidRPr="007553D3">
        <w:t>found</w:t>
      </w:r>
      <w:r w:rsidR="000159A6">
        <w:t xml:space="preserve"> </w:t>
      </w:r>
      <w:r w:rsidRPr="007553D3">
        <w:t>to</w:t>
      </w:r>
      <w:r w:rsidR="000159A6">
        <w:t xml:space="preserve"> </w:t>
      </w:r>
      <w:r w:rsidRPr="007553D3">
        <w:t>have</w:t>
      </w:r>
      <w:r w:rsidR="000159A6">
        <w:t xml:space="preserve"> </w:t>
      </w:r>
      <w:r w:rsidRPr="007553D3">
        <w:t>significant</w:t>
      </w:r>
      <w:r w:rsidR="000159A6">
        <w:t xml:space="preserve"> </w:t>
      </w:r>
      <w:r w:rsidRPr="007553D3">
        <w:t>and</w:t>
      </w:r>
      <w:r w:rsidR="000159A6">
        <w:t xml:space="preserve"> </w:t>
      </w:r>
      <w:r w:rsidRPr="007553D3">
        <w:t>widespread</w:t>
      </w:r>
      <w:r w:rsidR="000159A6">
        <w:t xml:space="preserve"> </w:t>
      </w:r>
      <w:r w:rsidRPr="007553D3">
        <w:t>deviations</w:t>
      </w:r>
      <w:r w:rsidR="000159A6">
        <w:t xml:space="preserve"> </w:t>
      </w:r>
      <w:r w:rsidRPr="007553D3">
        <w:t>from</w:t>
      </w:r>
      <w:r w:rsidR="000159A6">
        <w:t xml:space="preserve"> </w:t>
      </w:r>
      <w:r w:rsidRPr="007553D3">
        <w:t>GCP</w:t>
      </w:r>
      <w:r w:rsidR="000159A6">
        <w:t xml:space="preserve"> </w:t>
      </w:r>
      <w:r w:rsidRPr="007553D3">
        <w:t>and</w:t>
      </w:r>
      <w:r w:rsidR="000159A6">
        <w:t xml:space="preserve"> </w:t>
      </w:r>
      <w:r w:rsidRPr="007553D3">
        <w:t>subjects</w:t>
      </w:r>
      <w:r w:rsidR="000159A6">
        <w:t xml:space="preserve"> </w:t>
      </w:r>
      <w:r w:rsidRPr="007553D3">
        <w:t>from</w:t>
      </w:r>
      <w:r w:rsidR="000159A6">
        <w:t xml:space="preserve"> </w:t>
      </w:r>
      <w:r w:rsidRPr="007553D3">
        <w:t>this</w:t>
      </w:r>
      <w:r w:rsidR="000159A6">
        <w:t xml:space="preserve"> </w:t>
      </w:r>
      <w:r w:rsidRPr="007553D3">
        <w:t>site</w:t>
      </w:r>
      <w:r w:rsidR="000159A6">
        <w:t xml:space="preserve"> </w:t>
      </w:r>
      <w:r w:rsidRPr="007553D3">
        <w:t>were</w:t>
      </w:r>
      <w:r w:rsidR="000159A6">
        <w:t xml:space="preserve"> </w:t>
      </w:r>
      <w:r w:rsidRPr="007553D3">
        <w:t>excluded</w:t>
      </w:r>
      <w:r w:rsidR="000159A6">
        <w:t xml:space="preserve"> </w:t>
      </w:r>
      <w:r w:rsidRPr="007553D3">
        <w:t>from</w:t>
      </w:r>
      <w:r w:rsidR="000159A6">
        <w:t xml:space="preserve"> </w:t>
      </w:r>
      <w:r w:rsidRPr="007553D3">
        <w:t>analyses.</w:t>
      </w:r>
      <w:r w:rsidR="000159A6">
        <w:t xml:space="preserve"> </w:t>
      </w:r>
      <w:r w:rsidRPr="007553D3">
        <w:t>The</w:t>
      </w:r>
      <w:r w:rsidR="000159A6">
        <w:t xml:space="preserve"> </w:t>
      </w:r>
      <w:r w:rsidRPr="007553D3">
        <w:t>numbers</w:t>
      </w:r>
      <w:r w:rsidR="000159A6">
        <w:t xml:space="preserve"> </w:t>
      </w:r>
      <w:r w:rsidRPr="007553D3">
        <w:t>involved</w:t>
      </w:r>
      <w:r w:rsidR="000159A6">
        <w:t xml:space="preserve"> </w:t>
      </w:r>
      <w:r w:rsidRPr="007553D3">
        <w:t>were</w:t>
      </w:r>
      <w:r w:rsidR="000159A6">
        <w:t xml:space="preserve"> </w:t>
      </w:r>
      <w:r w:rsidRPr="007553D3">
        <w:t>671/16,160</w:t>
      </w:r>
      <w:r w:rsidR="000159A6">
        <w:t xml:space="preserve"> </w:t>
      </w:r>
      <w:r w:rsidRPr="007553D3">
        <w:t>(4.15%)</w:t>
      </w:r>
      <w:r w:rsidR="000159A6">
        <w:t xml:space="preserve"> </w:t>
      </w:r>
      <w:r w:rsidRPr="007553D3">
        <w:t>and</w:t>
      </w:r>
      <w:r w:rsidR="000159A6">
        <w:t xml:space="preserve"> </w:t>
      </w:r>
      <w:r w:rsidRPr="007553D3">
        <w:t>865/14,816</w:t>
      </w:r>
      <w:r w:rsidR="000159A6">
        <w:t xml:space="preserve"> </w:t>
      </w:r>
      <w:r w:rsidRPr="007553D3">
        <w:t>(5.84%)</w:t>
      </w:r>
      <w:r w:rsidR="000159A6">
        <w:t xml:space="preserve"> </w:t>
      </w:r>
      <w:r w:rsidRPr="007553D3">
        <w:t>in</w:t>
      </w:r>
      <w:r w:rsidR="000159A6">
        <w:t xml:space="preserve"> </w:t>
      </w:r>
      <w:r w:rsidRPr="007553D3">
        <w:t>the</w:t>
      </w:r>
      <w:r w:rsidR="000159A6">
        <w:t xml:space="preserve"> </w:t>
      </w:r>
      <w:r w:rsidRPr="007553D3">
        <w:t>respective</w:t>
      </w:r>
      <w:r w:rsidR="000159A6">
        <w:t xml:space="preserve"> </w:t>
      </w:r>
      <w:r w:rsidRPr="007553D3">
        <w:t>studies.</w:t>
      </w:r>
    </w:p>
    <w:p w14:paraId="63BB54CA" w14:textId="77777777" w:rsidR="008E7846" w:rsidRPr="008F7BC7" w:rsidRDefault="008E7846" w:rsidP="008F7BC7">
      <w:pPr>
        <w:pStyle w:val="Heading3"/>
      </w:pPr>
      <w:bookmarkStart w:id="83" w:name="_Toc1049813"/>
      <w:r w:rsidRPr="008F7BC7">
        <w:t>Pharmacokinetics</w:t>
      </w:r>
      <w:bookmarkEnd w:id="68"/>
      <w:bookmarkEnd w:id="80"/>
      <w:bookmarkEnd w:id="81"/>
      <w:bookmarkEnd w:id="82"/>
      <w:bookmarkEnd w:id="83"/>
    </w:p>
    <w:p w14:paraId="2FB7E1BE" w14:textId="33D5ED99" w:rsidR="0096604F" w:rsidRDefault="0096604F" w:rsidP="00A97634">
      <w:pPr>
        <w:rPr>
          <w:lang w:eastAsia="ja-JP"/>
        </w:rPr>
      </w:pPr>
      <w:r>
        <w:rPr>
          <w:lang w:eastAsia="ja-JP"/>
        </w:rPr>
        <w:t>Pharmacokinetic</w:t>
      </w:r>
      <w:r w:rsidR="000159A6">
        <w:rPr>
          <w:lang w:eastAsia="ja-JP"/>
        </w:rPr>
        <w:t xml:space="preserve"> </w:t>
      </w:r>
      <w:r>
        <w:rPr>
          <w:lang w:eastAsia="ja-JP"/>
        </w:rPr>
        <w:t>studies</w:t>
      </w:r>
      <w:r w:rsidR="000159A6">
        <w:rPr>
          <w:lang w:eastAsia="ja-JP"/>
        </w:rPr>
        <w:t xml:space="preserve"> </w:t>
      </w:r>
      <w:r>
        <w:rPr>
          <w:lang w:eastAsia="ja-JP"/>
        </w:rPr>
        <w:t>are</w:t>
      </w:r>
      <w:r w:rsidR="000159A6">
        <w:rPr>
          <w:lang w:eastAsia="ja-JP"/>
        </w:rPr>
        <w:t xml:space="preserve"> </w:t>
      </w:r>
      <w:r>
        <w:rPr>
          <w:lang w:eastAsia="ja-JP"/>
        </w:rPr>
        <w:t>not</w:t>
      </w:r>
      <w:r w:rsidR="000159A6">
        <w:rPr>
          <w:lang w:eastAsia="ja-JP"/>
        </w:rPr>
        <w:t xml:space="preserve"> </w:t>
      </w:r>
      <w:r>
        <w:rPr>
          <w:lang w:eastAsia="ja-JP"/>
        </w:rPr>
        <w:t>relevant</w:t>
      </w:r>
      <w:r w:rsidR="000159A6">
        <w:rPr>
          <w:lang w:eastAsia="ja-JP"/>
        </w:rPr>
        <w:t xml:space="preserve"> </w:t>
      </w:r>
      <w:r>
        <w:rPr>
          <w:lang w:eastAsia="ja-JP"/>
        </w:rPr>
        <w:t>for</w:t>
      </w:r>
      <w:r w:rsidR="000159A6">
        <w:rPr>
          <w:lang w:eastAsia="ja-JP"/>
        </w:rPr>
        <w:t xml:space="preserve"> </w:t>
      </w:r>
      <w:r>
        <w:rPr>
          <w:lang w:eastAsia="ja-JP"/>
        </w:rPr>
        <w:t>vaccines</w:t>
      </w:r>
      <w:r w:rsidR="000159A6">
        <w:rPr>
          <w:lang w:eastAsia="ja-JP"/>
        </w:rPr>
        <w:t xml:space="preserve"> </w:t>
      </w:r>
      <w:r>
        <w:rPr>
          <w:lang w:eastAsia="ja-JP"/>
        </w:rPr>
        <w:t>(EMEA</w:t>
      </w:r>
      <w:r w:rsidR="000159A6">
        <w:rPr>
          <w:lang w:eastAsia="ja-JP"/>
        </w:rPr>
        <w:t xml:space="preserve"> </w:t>
      </w:r>
      <w:r>
        <w:rPr>
          <w:lang w:eastAsia="ja-JP"/>
        </w:rPr>
        <w:t>guidelines)</w:t>
      </w:r>
      <w:r w:rsidR="000159A6">
        <w:rPr>
          <w:lang w:eastAsia="ja-JP"/>
        </w:rPr>
        <w:t xml:space="preserve"> </w:t>
      </w:r>
      <w:r>
        <w:rPr>
          <w:lang w:eastAsia="ja-JP"/>
        </w:rPr>
        <w:t>therefore</w:t>
      </w:r>
      <w:r w:rsidR="000159A6">
        <w:rPr>
          <w:lang w:eastAsia="ja-JP"/>
        </w:rPr>
        <w:t xml:space="preserve"> </w:t>
      </w:r>
      <w:r>
        <w:rPr>
          <w:lang w:eastAsia="ja-JP"/>
        </w:rPr>
        <w:t>no</w:t>
      </w:r>
      <w:r w:rsidR="000159A6">
        <w:rPr>
          <w:lang w:eastAsia="ja-JP"/>
        </w:rPr>
        <w:t xml:space="preserve"> </w:t>
      </w:r>
      <w:r>
        <w:rPr>
          <w:lang w:eastAsia="ja-JP"/>
        </w:rPr>
        <w:t>studies</w:t>
      </w:r>
      <w:r w:rsidR="000159A6">
        <w:rPr>
          <w:lang w:eastAsia="ja-JP"/>
        </w:rPr>
        <w:t xml:space="preserve"> </w:t>
      </w:r>
      <w:r>
        <w:rPr>
          <w:lang w:eastAsia="ja-JP"/>
        </w:rPr>
        <w:t>were</w:t>
      </w:r>
      <w:r w:rsidR="000159A6">
        <w:rPr>
          <w:lang w:eastAsia="ja-JP"/>
        </w:rPr>
        <w:t xml:space="preserve"> </w:t>
      </w:r>
      <w:r>
        <w:rPr>
          <w:lang w:eastAsia="ja-JP"/>
        </w:rPr>
        <w:t>performed</w:t>
      </w:r>
      <w:r w:rsidR="000159A6">
        <w:rPr>
          <w:lang w:eastAsia="ja-JP"/>
        </w:rPr>
        <w:t xml:space="preserve"> </w:t>
      </w:r>
      <w:r>
        <w:rPr>
          <w:lang w:eastAsia="ja-JP"/>
        </w:rPr>
        <w:t>with</w:t>
      </w:r>
      <w:r w:rsidR="000159A6">
        <w:rPr>
          <w:lang w:eastAsia="ja-JP"/>
        </w:rPr>
        <w:t xml:space="preserve"> </w:t>
      </w:r>
      <w:r>
        <w:rPr>
          <w:lang w:eastAsia="ja-JP"/>
        </w:rPr>
        <w:t>the</w:t>
      </w:r>
      <w:r w:rsidR="000159A6">
        <w:rPr>
          <w:lang w:eastAsia="ja-JP"/>
        </w:rPr>
        <w:t xml:space="preserve"> </w:t>
      </w:r>
      <w:r>
        <w:rPr>
          <w:lang w:eastAsia="ja-JP"/>
        </w:rPr>
        <w:t>herpes</w:t>
      </w:r>
      <w:r w:rsidR="000159A6">
        <w:rPr>
          <w:lang w:eastAsia="ja-JP"/>
        </w:rPr>
        <w:t xml:space="preserve"> </w:t>
      </w:r>
      <w:r>
        <w:rPr>
          <w:lang w:eastAsia="ja-JP"/>
        </w:rPr>
        <w:t>zoster</w:t>
      </w:r>
      <w:r w:rsidR="000159A6">
        <w:rPr>
          <w:lang w:eastAsia="ja-JP"/>
        </w:rPr>
        <w:t xml:space="preserve"> </w:t>
      </w:r>
      <w:r>
        <w:rPr>
          <w:lang w:eastAsia="ja-JP"/>
        </w:rPr>
        <w:t>vaccine</w:t>
      </w:r>
      <w:r w:rsidR="000159A6">
        <w:rPr>
          <w:lang w:eastAsia="ja-JP"/>
        </w:rPr>
        <w:t xml:space="preserve"> </w:t>
      </w:r>
      <w:r>
        <w:rPr>
          <w:lang w:eastAsia="ja-JP"/>
        </w:rPr>
        <w:t>(HZ/</w:t>
      </w:r>
      <w:proofErr w:type="spellStart"/>
      <w:r>
        <w:rPr>
          <w:lang w:eastAsia="ja-JP"/>
        </w:rPr>
        <w:t>su</w:t>
      </w:r>
      <w:proofErr w:type="spellEnd"/>
      <w:r w:rsidRPr="00B1037C">
        <w:rPr>
          <w:lang w:eastAsia="ja-JP"/>
        </w:rPr>
        <w:t>)</w:t>
      </w:r>
      <w:r>
        <w:rPr>
          <w:lang w:eastAsia="ja-JP"/>
        </w:rPr>
        <w:t>.</w:t>
      </w:r>
      <w:bookmarkStart w:id="84" w:name="_Toc241374289"/>
      <w:bookmarkStart w:id="85" w:name="_Toc272414623"/>
      <w:bookmarkStart w:id="86" w:name="_Toc290888472"/>
      <w:bookmarkStart w:id="87" w:name="_Toc416353668"/>
    </w:p>
    <w:p w14:paraId="6EBF4C33" w14:textId="77777777" w:rsidR="008E7846" w:rsidRPr="008F7BC7" w:rsidRDefault="008E7846" w:rsidP="008F7BC7">
      <w:pPr>
        <w:pStyle w:val="Heading3"/>
      </w:pPr>
      <w:bookmarkStart w:id="88" w:name="_Toc196046481"/>
      <w:bookmarkStart w:id="89" w:name="_Toc247691520"/>
      <w:bookmarkStart w:id="90" w:name="_Toc314842503"/>
      <w:bookmarkStart w:id="91" w:name="_Toc1049814"/>
      <w:bookmarkEnd w:id="84"/>
      <w:bookmarkEnd w:id="85"/>
      <w:bookmarkEnd w:id="86"/>
      <w:bookmarkEnd w:id="87"/>
      <w:r w:rsidRPr="008F7BC7">
        <w:t>Pharmacodynamics</w:t>
      </w:r>
      <w:bookmarkEnd w:id="69"/>
      <w:bookmarkEnd w:id="88"/>
      <w:bookmarkEnd w:id="89"/>
      <w:bookmarkEnd w:id="90"/>
      <w:bookmarkEnd w:id="91"/>
    </w:p>
    <w:p w14:paraId="097EA699" w14:textId="61CB1E62" w:rsidR="005C0A6F" w:rsidRPr="008F7BC7" w:rsidRDefault="00605AD4" w:rsidP="00A97634">
      <w:pPr>
        <w:pStyle w:val="Heading4"/>
      </w:pPr>
      <w:r w:rsidRPr="008F7BC7">
        <w:t>Studies</w:t>
      </w:r>
      <w:r w:rsidR="000159A6" w:rsidRPr="008F7BC7">
        <w:t xml:space="preserve"> </w:t>
      </w:r>
      <w:r w:rsidRPr="00A97634">
        <w:t>providing</w:t>
      </w:r>
      <w:r w:rsidR="000159A6" w:rsidRPr="008F7BC7">
        <w:t xml:space="preserve"> </w:t>
      </w:r>
      <w:proofErr w:type="spellStart"/>
      <w:r w:rsidRPr="008F7BC7">
        <w:t>pharmacodynamic</w:t>
      </w:r>
      <w:proofErr w:type="spellEnd"/>
      <w:r w:rsidR="000159A6" w:rsidRPr="008F7BC7">
        <w:t xml:space="preserve"> </w:t>
      </w:r>
      <w:r w:rsidRPr="008F7BC7">
        <w:t>data</w:t>
      </w:r>
    </w:p>
    <w:p w14:paraId="6E4958BE" w14:textId="2D529618" w:rsidR="00D30F03" w:rsidRDefault="00D30F03" w:rsidP="00A97634">
      <w:pPr>
        <w:rPr>
          <w:lang w:eastAsia="ja-JP"/>
        </w:rPr>
      </w:pPr>
      <w:r>
        <w:rPr>
          <w:lang w:eastAsia="ja-JP"/>
        </w:rPr>
        <w:t>Pharmacodynamic</w:t>
      </w:r>
      <w:r w:rsidR="000159A6">
        <w:rPr>
          <w:lang w:eastAsia="ja-JP"/>
        </w:rPr>
        <w:t xml:space="preserve"> </w:t>
      </w:r>
      <w:r>
        <w:rPr>
          <w:lang w:eastAsia="ja-JP"/>
        </w:rPr>
        <w:t>data</w:t>
      </w:r>
      <w:r w:rsidR="000159A6">
        <w:rPr>
          <w:lang w:eastAsia="ja-JP"/>
        </w:rPr>
        <w:t xml:space="preserve"> </w:t>
      </w:r>
      <w:r>
        <w:rPr>
          <w:lang w:eastAsia="ja-JP"/>
        </w:rPr>
        <w:t>for</w:t>
      </w:r>
      <w:r w:rsidR="000159A6">
        <w:rPr>
          <w:lang w:eastAsia="ja-JP"/>
        </w:rPr>
        <w:t xml:space="preserve"> </w:t>
      </w:r>
      <w:r>
        <w:rPr>
          <w:lang w:eastAsia="ja-JP"/>
        </w:rPr>
        <w:t>the</w:t>
      </w:r>
      <w:r w:rsidR="000159A6">
        <w:rPr>
          <w:lang w:eastAsia="ja-JP"/>
        </w:rPr>
        <w:t xml:space="preserve"> </w:t>
      </w:r>
      <w:r>
        <w:rPr>
          <w:lang w:eastAsia="ja-JP"/>
        </w:rPr>
        <w:t>vaccine</w:t>
      </w:r>
      <w:r w:rsidR="000159A6">
        <w:rPr>
          <w:lang w:eastAsia="ja-JP"/>
        </w:rPr>
        <w:t xml:space="preserve"> </w:t>
      </w:r>
      <w:r>
        <w:rPr>
          <w:lang w:eastAsia="ja-JP"/>
        </w:rPr>
        <w:t>comprises</w:t>
      </w:r>
      <w:r w:rsidR="000159A6">
        <w:rPr>
          <w:lang w:eastAsia="ja-JP"/>
        </w:rPr>
        <w:t xml:space="preserve"> </w:t>
      </w:r>
      <w:r>
        <w:rPr>
          <w:lang w:eastAsia="ja-JP"/>
        </w:rPr>
        <w:t>of</w:t>
      </w:r>
      <w:r w:rsidR="000159A6">
        <w:rPr>
          <w:lang w:eastAsia="ja-JP"/>
        </w:rPr>
        <w:t xml:space="preserve"> </w:t>
      </w:r>
      <w:r>
        <w:rPr>
          <w:lang w:eastAsia="ja-JP"/>
        </w:rPr>
        <w:t>its</w:t>
      </w:r>
      <w:r w:rsidR="000159A6">
        <w:rPr>
          <w:lang w:eastAsia="ja-JP"/>
        </w:rPr>
        <w:t xml:space="preserve"> </w:t>
      </w:r>
      <w:r>
        <w:rPr>
          <w:lang w:eastAsia="ja-JP"/>
        </w:rPr>
        <w:t>immunogenicity</w:t>
      </w:r>
      <w:r w:rsidR="000159A6">
        <w:rPr>
          <w:lang w:eastAsia="ja-JP"/>
        </w:rPr>
        <w:t xml:space="preserve"> </w:t>
      </w:r>
      <w:r>
        <w:rPr>
          <w:lang w:eastAsia="ja-JP"/>
        </w:rPr>
        <w:t>in</w:t>
      </w:r>
      <w:r w:rsidR="000159A6">
        <w:rPr>
          <w:lang w:eastAsia="ja-JP"/>
        </w:rPr>
        <w:t xml:space="preserve"> </w:t>
      </w:r>
      <w:r>
        <w:rPr>
          <w:lang w:eastAsia="ja-JP"/>
        </w:rPr>
        <w:t>terms</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vaccine</w:t>
      </w:r>
      <w:r w:rsidR="000159A6">
        <w:rPr>
          <w:lang w:eastAsia="ja-JP"/>
        </w:rPr>
        <w:t xml:space="preserve"> </w:t>
      </w:r>
      <w:r>
        <w:rPr>
          <w:lang w:eastAsia="ja-JP"/>
        </w:rPr>
        <w:t>induced</w:t>
      </w:r>
      <w:r w:rsidR="000159A6">
        <w:rPr>
          <w:lang w:eastAsia="ja-JP"/>
        </w:rPr>
        <w:t xml:space="preserve"> </w:t>
      </w:r>
      <w:r>
        <w:rPr>
          <w:lang w:eastAsia="ja-JP"/>
        </w:rPr>
        <w:t>humoral</w:t>
      </w:r>
      <w:r w:rsidR="000159A6">
        <w:rPr>
          <w:lang w:eastAsia="ja-JP"/>
        </w:rPr>
        <w:t xml:space="preserve"> </w:t>
      </w:r>
      <w:r>
        <w:rPr>
          <w:lang w:eastAsia="ja-JP"/>
        </w:rPr>
        <w:t>immune</w:t>
      </w:r>
      <w:r w:rsidR="000159A6">
        <w:rPr>
          <w:lang w:eastAsia="ja-JP"/>
        </w:rPr>
        <w:t xml:space="preserve"> </w:t>
      </w:r>
      <w:r>
        <w:rPr>
          <w:lang w:eastAsia="ja-JP"/>
        </w:rPr>
        <w:t>response</w:t>
      </w:r>
      <w:r w:rsidR="000159A6">
        <w:rPr>
          <w:lang w:eastAsia="ja-JP"/>
        </w:rPr>
        <w:t xml:space="preserve"> </w:t>
      </w:r>
      <w:r>
        <w:rPr>
          <w:lang w:eastAsia="ja-JP"/>
        </w:rPr>
        <w:t>and</w:t>
      </w:r>
      <w:r w:rsidR="000159A6">
        <w:rPr>
          <w:lang w:eastAsia="ja-JP"/>
        </w:rPr>
        <w:t xml:space="preserve"> </w:t>
      </w:r>
      <w:r>
        <w:rPr>
          <w:lang w:eastAsia="ja-JP"/>
        </w:rPr>
        <w:t>the</w:t>
      </w:r>
      <w:r w:rsidR="000159A6">
        <w:rPr>
          <w:lang w:eastAsia="ja-JP"/>
        </w:rPr>
        <w:t xml:space="preserve"> </w:t>
      </w:r>
      <w:r>
        <w:rPr>
          <w:lang w:eastAsia="ja-JP"/>
        </w:rPr>
        <w:t>cell</w:t>
      </w:r>
      <w:r w:rsidR="000159A6">
        <w:rPr>
          <w:lang w:eastAsia="ja-JP"/>
        </w:rPr>
        <w:t xml:space="preserve"> </w:t>
      </w:r>
      <w:r>
        <w:rPr>
          <w:lang w:eastAsia="ja-JP"/>
        </w:rPr>
        <w:t>mediated</w:t>
      </w:r>
      <w:r w:rsidR="000159A6">
        <w:rPr>
          <w:lang w:eastAsia="ja-JP"/>
        </w:rPr>
        <w:t xml:space="preserve"> </w:t>
      </w:r>
      <w:r>
        <w:rPr>
          <w:lang w:eastAsia="ja-JP"/>
        </w:rPr>
        <w:t>immune</w:t>
      </w:r>
      <w:r w:rsidR="000159A6">
        <w:rPr>
          <w:lang w:eastAsia="ja-JP"/>
        </w:rPr>
        <w:t xml:space="preserve"> </w:t>
      </w:r>
      <w:r>
        <w:rPr>
          <w:lang w:eastAsia="ja-JP"/>
        </w:rPr>
        <w:t>(CMI)</w:t>
      </w:r>
      <w:r w:rsidR="000159A6">
        <w:rPr>
          <w:lang w:eastAsia="ja-JP"/>
        </w:rPr>
        <w:t xml:space="preserve"> </w:t>
      </w:r>
      <w:r>
        <w:rPr>
          <w:lang w:eastAsia="ja-JP"/>
        </w:rPr>
        <w:t>response.</w:t>
      </w:r>
    </w:p>
    <w:p w14:paraId="0B2A314D" w14:textId="6FB18203" w:rsidR="00D30F03" w:rsidRDefault="00D30F03" w:rsidP="00D30F03">
      <w:pPr>
        <w:rPr>
          <w:lang w:eastAsia="ja-JP"/>
        </w:rPr>
      </w:pPr>
      <w:r>
        <w:rPr>
          <w:lang w:eastAsia="ja-JP"/>
        </w:rPr>
        <w:t>CMI</w:t>
      </w:r>
      <w:r w:rsidR="000159A6">
        <w:rPr>
          <w:lang w:eastAsia="ja-JP"/>
        </w:rPr>
        <w:t xml:space="preserve"> </w:t>
      </w:r>
      <w:r>
        <w:rPr>
          <w:lang w:eastAsia="ja-JP"/>
        </w:rPr>
        <w:t>response</w:t>
      </w:r>
      <w:r w:rsidR="000159A6">
        <w:rPr>
          <w:lang w:eastAsia="ja-JP"/>
        </w:rPr>
        <w:t xml:space="preserve"> </w:t>
      </w:r>
      <w:r>
        <w:rPr>
          <w:lang w:eastAsia="ja-JP"/>
        </w:rPr>
        <w:t>was</w:t>
      </w:r>
      <w:r w:rsidR="000159A6">
        <w:rPr>
          <w:lang w:eastAsia="ja-JP"/>
        </w:rPr>
        <w:t xml:space="preserve"> </w:t>
      </w:r>
      <w:r>
        <w:rPr>
          <w:lang w:eastAsia="ja-JP"/>
        </w:rPr>
        <w:t>only</w:t>
      </w:r>
      <w:r w:rsidR="000159A6">
        <w:rPr>
          <w:lang w:eastAsia="ja-JP"/>
        </w:rPr>
        <w:t xml:space="preserve"> </w:t>
      </w:r>
      <w:r>
        <w:rPr>
          <w:lang w:eastAsia="ja-JP"/>
        </w:rPr>
        <w:t>assessed</w:t>
      </w:r>
      <w:r w:rsidR="000159A6">
        <w:rPr>
          <w:lang w:eastAsia="ja-JP"/>
        </w:rPr>
        <w:t xml:space="preserve"> </w:t>
      </w:r>
      <w:r>
        <w:rPr>
          <w:lang w:eastAsia="ja-JP"/>
        </w:rPr>
        <w:t>during</w:t>
      </w:r>
      <w:r w:rsidR="000159A6">
        <w:rPr>
          <w:lang w:eastAsia="ja-JP"/>
        </w:rPr>
        <w:t xml:space="preserve"> </w:t>
      </w:r>
      <w:r>
        <w:rPr>
          <w:lang w:eastAsia="ja-JP"/>
        </w:rPr>
        <w:t>early</w:t>
      </w:r>
      <w:r w:rsidR="000159A6">
        <w:rPr>
          <w:lang w:eastAsia="ja-JP"/>
        </w:rPr>
        <w:t xml:space="preserve"> </w:t>
      </w:r>
      <w:r>
        <w:rPr>
          <w:lang w:eastAsia="ja-JP"/>
        </w:rPr>
        <w:t>phase</w:t>
      </w:r>
      <w:r w:rsidR="000159A6">
        <w:rPr>
          <w:lang w:eastAsia="ja-JP"/>
        </w:rPr>
        <w:t xml:space="preserve"> </w:t>
      </w:r>
      <w:r>
        <w:rPr>
          <w:lang w:eastAsia="ja-JP"/>
        </w:rPr>
        <w:t>development</w:t>
      </w:r>
      <w:r w:rsidR="000159A6">
        <w:rPr>
          <w:lang w:eastAsia="ja-JP"/>
        </w:rPr>
        <w:t xml:space="preserve"> </w:t>
      </w:r>
      <w:r>
        <w:rPr>
          <w:lang w:eastAsia="ja-JP"/>
        </w:rPr>
        <w:t>to</w:t>
      </w:r>
      <w:r w:rsidR="000159A6">
        <w:rPr>
          <w:lang w:eastAsia="ja-JP"/>
        </w:rPr>
        <w:t xml:space="preserve"> </w:t>
      </w:r>
      <w:r>
        <w:rPr>
          <w:lang w:eastAsia="ja-JP"/>
        </w:rPr>
        <w:t>select</w:t>
      </w:r>
      <w:r w:rsidR="000159A6">
        <w:rPr>
          <w:lang w:eastAsia="ja-JP"/>
        </w:rPr>
        <w:t xml:space="preserve"> </w:t>
      </w:r>
      <w:r>
        <w:rPr>
          <w:lang w:eastAsia="ja-JP"/>
        </w:rPr>
        <w:t>vaccine</w:t>
      </w:r>
      <w:r w:rsidR="000159A6">
        <w:rPr>
          <w:lang w:eastAsia="ja-JP"/>
        </w:rPr>
        <w:t xml:space="preserve"> </w:t>
      </w:r>
      <w:r>
        <w:rPr>
          <w:lang w:eastAsia="ja-JP"/>
        </w:rPr>
        <w:t>formulation.</w:t>
      </w:r>
      <w:r w:rsidR="000159A6">
        <w:rPr>
          <w:lang w:eastAsia="ja-JP"/>
        </w:rPr>
        <w:t xml:space="preserve"> </w:t>
      </w:r>
      <w:r>
        <w:rPr>
          <w:lang w:eastAsia="ja-JP"/>
        </w:rPr>
        <w:t>This</w:t>
      </w:r>
      <w:r w:rsidR="000159A6">
        <w:rPr>
          <w:lang w:eastAsia="ja-JP"/>
        </w:rPr>
        <w:t xml:space="preserve"> </w:t>
      </w:r>
      <w:r>
        <w:rPr>
          <w:lang w:eastAsia="ja-JP"/>
        </w:rPr>
        <w:t>was</w:t>
      </w:r>
      <w:r w:rsidR="000159A6">
        <w:rPr>
          <w:lang w:eastAsia="ja-JP"/>
        </w:rPr>
        <w:t xml:space="preserve"> </w:t>
      </w:r>
      <w:r>
        <w:rPr>
          <w:lang w:eastAsia="ja-JP"/>
        </w:rPr>
        <w:t>due</w:t>
      </w:r>
      <w:r w:rsidR="000159A6">
        <w:rPr>
          <w:lang w:eastAsia="ja-JP"/>
        </w:rPr>
        <w:t xml:space="preserve"> </w:t>
      </w:r>
      <w:r>
        <w:rPr>
          <w:lang w:eastAsia="ja-JP"/>
        </w:rPr>
        <w:t>to</w:t>
      </w:r>
      <w:r w:rsidR="000159A6">
        <w:rPr>
          <w:lang w:eastAsia="ja-JP"/>
        </w:rPr>
        <w:t xml:space="preserve"> </w:t>
      </w:r>
      <w:r>
        <w:rPr>
          <w:lang w:eastAsia="ja-JP"/>
        </w:rPr>
        <w:t>specialised</w:t>
      </w:r>
      <w:r w:rsidR="000159A6">
        <w:rPr>
          <w:lang w:eastAsia="ja-JP"/>
        </w:rPr>
        <w:t xml:space="preserve"> </w:t>
      </w:r>
      <w:r>
        <w:rPr>
          <w:lang w:eastAsia="ja-JP"/>
        </w:rPr>
        <w:t>procedures</w:t>
      </w:r>
      <w:r w:rsidR="000159A6">
        <w:rPr>
          <w:lang w:eastAsia="ja-JP"/>
        </w:rPr>
        <w:t xml:space="preserve"> </w:t>
      </w:r>
      <w:r>
        <w:rPr>
          <w:lang w:eastAsia="ja-JP"/>
        </w:rPr>
        <w:t>and</w:t>
      </w:r>
      <w:r w:rsidR="000159A6">
        <w:rPr>
          <w:lang w:eastAsia="ja-JP"/>
        </w:rPr>
        <w:t xml:space="preserve"> </w:t>
      </w:r>
      <w:r>
        <w:rPr>
          <w:lang w:eastAsia="ja-JP"/>
        </w:rPr>
        <w:t>blood</w:t>
      </w:r>
      <w:r w:rsidR="000159A6">
        <w:rPr>
          <w:lang w:eastAsia="ja-JP"/>
        </w:rPr>
        <w:t xml:space="preserve"> </w:t>
      </w:r>
      <w:r>
        <w:rPr>
          <w:lang w:eastAsia="ja-JP"/>
        </w:rPr>
        <w:t>volume</w:t>
      </w:r>
      <w:r w:rsidR="000159A6">
        <w:rPr>
          <w:lang w:eastAsia="ja-JP"/>
        </w:rPr>
        <w:t xml:space="preserve"> </w:t>
      </w:r>
      <w:r>
        <w:rPr>
          <w:lang w:eastAsia="ja-JP"/>
        </w:rPr>
        <w:t>required.</w:t>
      </w:r>
      <w:r w:rsidR="000159A6">
        <w:rPr>
          <w:lang w:eastAsia="ja-JP"/>
        </w:rPr>
        <w:t xml:space="preserve"> </w:t>
      </w:r>
      <w:r>
        <w:rPr>
          <w:lang w:eastAsia="ja-JP"/>
        </w:rPr>
        <w:t>Humoral</w:t>
      </w:r>
      <w:r w:rsidR="000159A6">
        <w:rPr>
          <w:lang w:eastAsia="ja-JP"/>
        </w:rPr>
        <w:t xml:space="preserve"> </w:t>
      </w:r>
      <w:r>
        <w:rPr>
          <w:lang w:eastAsia="ja-JP"/>
        </w:rPr>
        <w:t>immune</w:t>
      </w:r>
      <w:r w:rsidR="000159A6">
        <w:rPr>
          <w:lang w:eastAsia="ja-JP"/>
        </w:rPr>
        <w:t xml:space="preserve"> </w:t>
      </w:r>
      <w:r>
        <w:rPr>
          <w:lang w:eastAsia="ja-JP"/>
        </w:rPr>
        <w:t>response</w:t>
      </w:r>
      <w:r w:rsidR="000159A6">
        <w:rPr>
          <w:lang w:eastAsia="ja-JP"/>
        </w:rPr>
        <w:t xml:space="preserve"> </w:t>
      </w:r>
      <w:r>
        <w:rPr>
          <w:lang w:eastAsia="ja-JP"/>
        </w:rPr>
        <w:t>was</w:t>
      </w:r>
      <w:r w:rsidR="000159A6">
        <w:rPr>
          <w:lang w:eastAsia="ja-JP"/>
        </w:rPr>
        <w:t xml:space="preserve"> </w:t>
      </w:r>
      <w:r>
        <w:rPr>
          <w:lang w:eastAsia="ja-JP"/>
        </w:rPr>
        <w:t>then</w:t>
      </w:r>
      <w:r w:rsidR="000159A6">
        <w:rPr>
          <w:lang w:eastAsia="ja-JP"/>
        </w:rPr>
        <w:t xml:space="preserve"> </w:t>
      </w:r>
      <w:r>
        <w:rPr>
          <w:lang w:eastAsia="ja-JP"/>
        </w:rPr>
        <w:t>assessed</w:t>
      </w:r>
      <w:r w:rsidR="000159A6">
        <w:rPr>
          <w:lang w:eastAsia="ja-JP"/>
        </w:rPr>
        <w:t xml:space="preserve"> </w:t>
      </w:r>
      <w:r>
        <w:rPr>
          <w:lang w:eastAsia="ja-JP"/>
        </w:rPr>
        <w:t>as</w:t>
      </w:r>
      <w:r w:rsidR="000159A6">
        <w:rPr>
          <w:lang w:eastAsia="ja-JP"/>
        </w:rPr>
        <w:t xml:space="preserve"> </w:t>
      </w:r>
      <w:r>
        <w:rPr>
          <w:lang w:eastAsia="ja-JP"/>
        </w:rPr>
        <w:t>measured</w:t>
      </w:r>
      <w:r w:rsidR="000159A6">
        <w:rPr>
          <w:lang w:eastAsia="ja-JP"/>
        </w:rPr>
        <w:t xml:space="preserve"> </w:t>
      </w:r>
      <w:r>
        <w:rPr>
          <w:lang w:eastAsia="ja-JP"/>
        </w:rPr>
        <w:t>by</w:t>
      </w:r>
      <w:r w:rsidR="000159A6">
        <w:rPr>
          <w:lang w:eastAsia="ja-JP"/>
        </w:rPr>
        <w:t xml:space="preserve"> </w:t>
      </w:r>
      <w:r>
        <w:rPr>
          <w:lang w:eastAsia="ja-JP"/>
        </w:rPr>
        <w:t>anti-gE</w:t>
      </w:r>
      <w:r w:rsidR="000159A6">
        <w:rPr>
          <w:lang w:eastAsia="ja-JP"/>
        </w:rPr>
        <w:t xml:space="preserve"> </w:t>
      </w:r>
      <w:r>
        <w:rPr>
          <w:lang w:eastAsia="ja-JP"/>
        </w:rPr>
        <w:t>enzyme</w:t>
      </w:r>
      <w:r w:rsidR="000159A6">
        <w:rPr>
          <w:lang w:eastAsia="ja-JP"/>
        </w:rPr>
        <w:t xml:space="preserve"> </w:t>
      </w:r>
      <w:r>
        <w:rPr>
          <w:lang w:eastAsia="ja-JP"/>
        </w:rPr>
        <w:t>linked</w:t>
      </w:r>
      <w:r w:rsidR="000159A6">
        <w:rPr>
          <w:lang w:eastAsia="ja-JP"/>
        </w:rPr>
        <w:t xml:space="preserve"> </w:t>
      </w:r>
      <w:r>
        <w:rPr>
          <w:lang w:eastAsia="ja-JP"/>
        </w:rPr>
        <w:t>immunosorbent</w:t>
      </w:r>
      <w:r w:rsidR="000159A6">
        <w:rPr>
          <w:lang w:eastAsia="ja-JP"/>
        </w:rPr>
        <w:t xml:space="preserve"> </w:t>
      </w:r>
      <w:r>
        <w:rPr>
          <w:lang w:eastAsia="ja-JP"/>
        </w:rPr>
        <w:t>assay</w:t>
      </w:r>
      <w:r w:rsidR="000159A6">
        <w:rPr>
          <w:lang w:eastAsia="ja-JP"/>
        </w:rPr>
        <w:t xml:space="preserve"> </w:t>
      </w:r>
      <w:r>
        <w:rPr>
          <w:lang w:eastAsia="ja-JP"/>
        </w:rPr>
        <w:t>(ELISA).</w:t>
      </w:r>
    </w:p>
    <w:p w14:paraId="31ADBA85" w14:textId="24529D41" w:rsidR="00D30F03" w:rsidRPr="00796166" w:rsidRDefault="00D30F03" w:rsidP="00A97634">
      <w:r>
        <w:rPr>
          <w:lang w:eastAsia="ja-JP"/>
        </w:rPr>
        <w:t>The</w:t>
      </w:r>
      <w:r w:rsidR="000159A6">
        <w:rPr>
          <w:lang w:eastAsia="ja-JP"/>
        </w:rPr>
        <w:t xml:space="preserve"> </w:t>
      </w:r>
      <w:r>
        <w:rPr>
          <w:lang w:eastAsia="ja-JP"/>
        </w:rPr>
        <w:t>sponsor</w:t>
      </w:r>
      <w:r w:rsidR="000159A6">
        <w:rPr>
          <w:lang w:eastAsia="ja-JP"/>
        </w:rPr>
        <w:t xml:space="preserve"> </w:t>
      </w:r>
      <w:r>
        <w:rPr>
          <w:lang w:eastAsia="ja-JP"/>
        </w:rPr>
        <w:t>stated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Clinical</w:t>
      </w:r>
      <w:r w:rsidR="000159A6">
        <w:rPr>
          <w:lang w:eastAsia="ja-JP"/>
        </w:rPr>
        <w:t xml:space="preserve"> </w:t>
      </w:r>
      <w:r>
        <w:rPr>
          <w:lang w:eastAsia="ja-JP"/>
        </w:rPr>
        <w:t>Overview</w:t>
      </w:r>
      <w:r w:rsidR="000159A6">
        <w:rPr>
          <w:lang w:eastAsia="ja-JP"/>
        </w:rPr>
        <w:t xml:space="preserve"> </w:t>
      </w:r>
      <w:r>
        <w:rPr>
          <w:lang w:eastAsia="ja-JP"/>
        </w:rPr>
        <w:t>that</w:t>
      </w:r>
      <w:r w:rsidR="000159A6">
        <w:rPr>
          <w:lang w:eastAsia="ja-JP"/>
        </w:rPr>
        <w:t xml:space="preserve"> </w:t>
      </w:r>
      <w:r w:rsidRPr="00796166">
        <w:rPr>
          <w:lang w:eastAsia="ja-JP"/>
        </w:rPr>
        <w:t>‘</w:t>
      </w:r>
      <w:r w:rsidRPr="00796166">
        <w:t>a</w:t>
      </w:r>
      <w:r w:rsidR="000159A6">
        <w:t xml:space="preserve"> </w:t>
      </w:r>
      <w:r w:rsidRPr="00796166">
        <w:t>moderately</w:t>
      </w:r>
      <w:r w:rsidR="000159A6">
        <w:t xml:space="preserve"> </w:t>
      </w:r>
      <w:r w:rsidRPr="00796166">
        <w:t>positive</w:t>
      </w:r>
      <w:r w:rsidR="000159A6">
        <w:t xml:space="preserve"> </w:t>
      </w:r>
      <w:r w:rsidRPr="00796166">
        <w:t>correlation</w:t>
      </w:r>
      <w:r w:rsidR="000159A6">
        <w:t xml:space="preserve"> </w:t>
      </w:r>
      <w:r w:rsidRPr="00796166">
        <w:t>has</w:t>
      </w:r>
      <w:r w:rsidR="000159A6">
        <w:t xml:space="preserve"> </w:t>
      </w:r>
      <w:r w:rsidRPr="00796166">
        <w:t>been</w:t>
      </w:r>
      <w:r w:rsidR="000159A6">
        <w:t xml:space="preserve"> </w:t>
      </w:r>
      <w:r w:rsidRPr="00796166">
        <w:t>observed</w:t>
      </w:r>
      <w:r w:rsidR="000159A6">
        <w:t xml:space="preserve"> </w:t>
      </w:r>
      <w:r w:rsidRPr="00796166">
        <w:t>between</w:t>
      </w:r>
      <w:r w:rsidR="000159A6">
        <w:t xml:space="preserve"> </w:t>
      </w:r>
      <w:r w:rsidRPr="00796166">
        <w:t>humoral</w:t>
      </w:r>
      <w:r w:rsidR="000159A6">
        <w:t xml:space="preserve"> </w:t>
      </w:r>
      <w:r w:rsidRPr="00796166">
        <w:t>immune</w:t>
      </w:r>
      <w:r w:rsidR="000159A6">
        <w:t xml:space="preserve"> </w:t>
      </w:r>
      <w:r w:rsidRPr="00796166">
        <w:t>responses</w:t>
      </w:r>
      <w:r w:rsidR="000159A6">
        <w:t xml:space="preserve"> </w:t>
      </w:r>
      <w:r w:rsidRPr="00796166">
        <w:t>as</w:t>
      </w:r>
      <w:r w:rsidR="000159A6">
        <w:t xml:space="preserve"> </w:t>
      </w:r>
      <w:r w:rsidRPr="00796166">
        <w:t>measured</w:t>
      </w:r>
      <w:r w:rsidR="000159A6">
        <w:t xml:space="preserve"> </w:t>
      </w:r>
      <w:r w:rsidRPr="00796166">
        <w:t>by</w:t>
      </w:r>
      <w:r w:rsidR="000159A6">
        <w:t xml:space="preserve"> </w:t>
      </w:r>
      <w:r w:rsidRPr="00796166">
        <w:t>anti-gE</w:t>
      </w:r>
      <w:r w:rsidR="000159A6">
        <w:t xml:space="preserve"> </w:t>
      </w:r>
      <w:r w:rsidRPr="00796166">
        <w:t>ELISA</w:t>
      </w:r>
      <w:r w:rsidR="000159A6">
        <w:t xml:space="preserve"> </w:t>
      </w:r>
      <w:r w:rsidRPr="00796166">
        <w:t>and</w:t>
      </w:r>
      <w:r w:rsidR="000159A6">
        <w:t xml:space="preserve"> </w:t>
      </w:r>
      <w:r w:rsidRPr="00796166">
        <w:t>CMI</w:t>
      </w:r>
      <w:r w:rsidR="000159A6">
        <w:t xml:space="preserve"> </w:t>
      </w:r>
      <w:r w:rsidRPr="00796166">
        <w:t>respons</w:t>
      </w:r>
      <w:r w:rsidR="002B2F1E">
        <w:t>es</w:t>
      </w:r>
      <w:r w:rsidR="000159A6">
        <w:t xml:space="preserve"> </w:t>
      </w:r>
      <w:r w:rsidR="002B2F1E">
        <w:t>as</w:t>
      </w:r>
      <w:r w:rsidR="000159A6">
        <w:t xml:space="preserve"> </w:t>
      </w:r>
      <w:r w:rsidR="002B2F1E">
        <w:t>measured</w:t>
      </w:r>
      <w:r w:rsidR="000159A6">
        <w:t xml:space="preserve"> </w:t>
      </w:r>
      <w:r w:rsidR="002B2F1E">
        <w:t>by</w:t>
      </w:r>
      <w:r w:rsidR="000159A6">
        <w:t xml:space="preserve"> </w:t>
      </w:r>
      <w:r w:rsidR="00E849D1">
        <w:t>the</w:t>
      </w:r>
      <w:r w:rsidR="000159A6">
        <w:t xml:space="preserve"> </w:t>
      </w:r>
      <w:r w:rsidR="00E849D1">
        <w:t>sponsor’s</w:t>
      </w:r>
      <w:r w:rsidR="000159A6">
        <w:t xml:space="preserve"> </w:t>
      </w:r>
      <w:r w:rsidR="002B2F1E">
        <w:t>antigen</w:t>
      </w:r>
      <w:r w:rsidR="000159A6">
        <w:t xml:space="preserve"> </w:t>
      </w:r>
      <w:r w:rsidRPr="00796166">
        <w:t>specific</w:t>
      </w:r>
      <w:r w:rsidR="000159A6">
        <w:t xml:space="preserve"> </w:t>
      </w:r>
      <w:r w:rsidRPr="00796166">
        <w:t>CMI</w:t>
      </w:r>
      <w:r w:rsidR="000159A6">
        <w:t xml:space="preserve"> </w:t>
      </w:r>
      <w:r w:rsidRPr="00796166">
        <w:t>assay.’</w:t>
      </w:r>
    </w:p>
    <w:p w14:paraId="5A4A8CF8" w14:textId="2E11655B" w:rsidR="00D30F03" w:rsidRPr="00D30F03" w:rsidRDefault="0012170B" w:rsidP="00A97634">
      <w:pPr>
        <w:pStyle w:val="Tabletitle0"/>
      </w:pPr>
      <w:bookmarkStart w:id="92" w:name="_Toc453839421"/>
      <w:bookmarkStart w:id="93" w:name="_Toc493248810"/>
      <w:bookmarkStart w:id="94" w:name="_Toc507578111"/>
      <w:r>
        <w:lastRenderedPageBreak/>
        <w:t>Table</w:t>
      </w:r>
      <w:r w:rsidR="000159A6">
        <w:t xml:space="preserve"> </w:t>
      </w:r>
      <w:r>
        <w:t>5</w:t>
      </w:r>
      <w:r w:rsidR="00D30F03" w:rsidRPr="00D30F03">
        <w:t>:</w:t>
      </w:r>
      <w:r w:rsidR="000159A6">
        <w:t xml:space="preserve"> </w:t>
      </w:r>
      <w:r w:rsidR="00D30F03" w:rsidRPr="00D30F03">
        <w:t>Submitted</w:t>
      </w:r>
      <w:r w:rsidR="000159A6">
        <w:t xml:space="preserve"> </w:t>
      </w:r>
      <w:proofErr w:type="spellStart"/>
      <w:r w:rsidR="00D30F03" w:rsidRPr="00A97634">
        <w:t>pharmacodynamic</w:t>
      </w:r>
      <w:proofErr w:type="spellEnd"/>
      <w:r w:rsidR="000159A6">
        <w:t xml:space="preserve"> </w:t>
      </w:r>
      <w:r w:rsidR="00D30F03" w:rsidRPr="00D30F03">
        <w:t>studies</w:t>
      </w:r>
      <w:bookmarkEnd w:id="92"/>
      <w:bookmarkEnd w:id="93"/>
      <w:bookmarkEnd w:id="94"/>
    </w:p>
    <w:tbl>
      <w:tblPr>
        <w:tblStyle w:val="TableTGAblue"/>
        <w:tblW w:w="8875" w:type="dxa"/>
        <w:tblLayout w:type="fixed"/>
        <w:tblLook w:val="04A0" w:firstRow="1" w:lastRow="0" w:firstColumn="1" w:lastColumn="0" w:noHBand="0" w:noVBand="1"/>
        <w:tblDescription w:val="Table 5: Submitted pharmacodynamic studies"/>
      </w:tblPr>
      <w:tblGrid>
        <w:gridCol w:w="3085"/>
        <w:gridCol w:w="3402"/>
        <w:gridCol w:w="2388"/>
      </w:tblGrid>
      <w:tr w:rsidR="00D30F03" w:rsidRPr="00CD5352" w14:paraId="503CA4B9" w14:textId="77777777" w:rsidTr="003421E8">
        <w:trPr>
          <w:cnfStyle w:val="100000000000" w:firstRow="1" w:lastRow="0" w:firstColumn="0" w:lastColumn="0" w:oddVBand="0" w:evenVBand="0" w:oddHBand="0" w:evenHBand="0" w:firstRowFirstColumn="0" w:firstRowLastColumn="0" w:lastRowFirstColumn="0" w:lastRowLastColumn="0"/>
          <w:trHeight w:val="257"/>
        </w:trPr>
        <w:tc>
          <w:tcPr>
            <w:tcW w:w="3085" w:type="dxa"/>
          </w:tcPr>
          <w:p w14:paraId="6F48B15D" w14:textId="3F365053" w:rsidR="00D30F03" w:rsidRPr="00CD5352" w:rsidRDefault="00D30F03" w:rsidP="003421E8">
            <w:pPr>
              <w:rPr>
                <w:sz w:val="20"/>
                <w:szCs w:val="20"/>
              </w:rPr>
            </w:pPr>
            <w:r w:rsidRPr="00CD5352">
              <w:rPr>
                <w:sz w:val="20"/>
                <w:szCs w:val="20"/>
              </w:rPr>
              <w:t>PD</w:t>
            </w:r>
            <w:r w:rsidR="000159A6" w:rsidRPr="00CD5352">
              <w:rPr>
                <w:sz w:val="20"/>
                <w:szCs w:val="20"/>
              </w:rPr>
              <w:t xml:space="preserve"> </w:t>
            </w:r>
            <w:r w:rsidRPr="00CD5352">
              <w:rPr>
                <w:sz w:val="20"/>
                <w:szCs w:val="20"/>
              </w:rPr>
              <w:t>Topic</w:t>
            </w:r>
          </w:p>
        </w:tc>
        <w:tc>
          <w:tcPr>
            <w:tcW w:w="3402" w:type="dxa"/>
          </w:tcPr>
          <w:p w14:paraId="1BEDEAC6" w14:textId="77777777" w:rsidR="00D30F03" w:rsidRPr="00CD5352" w:rsidRDefault="00D30F03" w:rsidP="003421E8">
            <w:pPr>
              <w:rPr>
                <w:sz w:val="20"/>
                <w:szCs w:val="20"/>
              </w:rPr>
            </w:pPr>
            <w:r w:rsidRPr="00CD5352">
              <w:rPr>
                <w:sz w:val="20"/>
                <w:szCs w:val="20"/>
              </w:rPr>
              <w:t>Subtopic</w:t>
            </w:r>
          </w:p>
        </w:tc>
        <w:tc>
          <w:tcPr>
            <w:tcW w:w="2388" w:type="dxa"/>
          </w:tcPr>
          <w:p w14:paraId="33F04EE9" w14:textId="1D328ADD" w:rsidR="00D30F03" w:rsidRPr="00CD5352" w:rsidRDefault="00D30F03" w:rsidP="003421E8">
            <w:pPr>
              <w:rPr>
                <w:sz w:val="20"/>
                <w:szCs w:val="20"/>
              </w:rPr>
            </w:pPr>
            <w:r w:rsidRPr="00CD5352">
              <w:rPr>
                <w:sz w:val="20"/>
                <w:szCs w:val="20"/>
              </w:rPr>
              <w:t>Study</w:t>
            </w:r>
            <w:r w:rsidR="000159A6" w:rsidRPr="00CD5352">
              <w:rPr>
                <w:sz w:val="20"/>
                <w:szCs w:val="20"/>
              </w:rPr>
              <w:t xml:space="preserve"> </w:t>
            </w:r>
            <w:r w:rsidRPr="00CD5352">
              <w:rPr>
                <w:sz w:val="20"/>
                <w:szCs w:val="20"/>
              </w:rPr>
              <w:t>ID</w:t>
            </w:r>
          </w:p>
        </w:tc>
      </w:tr>
      <w:tr w:rsidR="00D30F03" w:rsidRPr="00CD5352" w14:paraId="7EFDECF2" w14:textId="77777777" w:rsidTr="003421E8">
        <w:trPr>
          <w:trHeight w:val="257"/>
        </w:trPr>
        <w:tc>
          <w:tcPr>
            <w:tcW w:w="3085" w:type="dxa"/>
            <w:vMerge w:val="restart"/>
          </w:tcPr>
          <w:p w14:paraId="6C6CB4A0" w14:textId="7D732E55" w:rsidR="00D30F03" w:rsidRPr="00CD5352" w:rsidRDefault="00D30F03" w:rsidP="003421E8">
            <w:pPr>
              <w:rPr>
                <w:sz w:val="20"/>
                <w:szCs w:val="20"/>
              </w:rPr>
            </w:pPr>
            <w:r w:rsidRPr="00CD5352">
              <w:rPr>
                <w:sz w:val="20"/>
                <w:szCs w:val="20"/>
              </w:rPr>
              <w:t>Primary</w:t>
            </w:r>
            <w:r w:rsidR="000159A6" w:rsidRPr="00CD5352">
              <w:rPr>
                <w:sz w:val="20"/>
                <w:szCs w:val="20"/>
              </w:rPr>
              <w:t xml:space="preserve"> </w:t>
            </w:r>
            <w:r w:rsidRPr="00CD5352">
              <w:rPr>
                <w:sz w:val="20"/>
                <w:szCs w:val="20"/>
              </w:rPr>
              <w:t>Pharmacology</w:t>
            </w:r>
          </w:p>
        </w:tc>
        <w:tc>
          <w:tcPr>
            <w:tcW w:w="3402" w:type="dxa"/>
          </w:tcPr>
          <w:p w14:paraId="5E65A5D9" w14:textId="395954FA" w:rsidR="00D30F03" w:rsidRPr="00CD5352" w:rsidRDefault="00D30F03" w:rsidP="003421E8">
            <w:pPr>
              <w:rPr>
                <w:sz w:val="20"/>
                <w:szCs w:val="20"/>
              </w:rPr>
            </w:pPr>
            <w:r w:rsidRPr="00CD5352">
              <w:rPr>
                <w:sz w:val="20"/>
                <w:szCs w:val="20"/>
              </w:rPr>
              <w:t>Cell</w:t>
            </w:r>
            <w:r w:rsidR="000159A6" w:rsidRPr="00CD5352">
              <w:rPr>
                <w:sz w:val="20"/>
                <w:szCs w:val="20"/>
              </w:rPr>
              <w:t xml:space="preserve"> </w:t>
            </w:r>
            <w:r w:rsidRPr="00CD5352">
              <w:rPr>
                <w:sz w:val="20"/>
                <w:szCs w:val="20"/>
              </w:rPr>
              <w:t>Mediated</w:t>
            </w:r>
            <w:r w:rsidR="000159A6" w:rsidRPr="00CD5352">
              <w:rPr>
                <w:sz w:val="20"/>
                <w:szCs w:val="20"/>
              </w:rPr>
              <w:t xml:space="preserve"> </w:t>
            </w:r>
            <w:r w:rsidRPr="00CD5352">
              <w:rPr>
                <w:sz w:val="20"/>
                <w:szCs w:val="20"/>
              </w:rPr>
              <w:t>Immunity</w:t>
            </w:r>
          </w:p>
        </w:tc>
        <w:tc>
          <w:tcPr>
            <w:tcW w:w="2388" w:type="dxa"/>
          </w:tcPr>
          <w:p w14:paraId="38733E1C" w14:textId="77777777" w:rsidR="00D30F03" w:rsidRPr="00CD5352" w:rsidRDefault="00D30F03" w:rsidP="003421E8">
            <w:pPr>
              <w:rPr>
                <w:sz w:val="20"/>
                <w:szCs w:val="20"/>
              </w:rPr>
            </w:pPr>
            <w:r w:rsidRPr="00CD5352">
              <w:rPr>
                <w:sz w:val="20"/>
                <w:szCs w:val="20"/>
              </w:rPr>
              <w:t>EXPLO-CRD-004</w:t>
            </w:r>
          </w:p>
        </w:tc>
      </w:tr>
      <w:tr w:rsidR="00D30F03" w:rsidRPr="00CD5352" w14:paraId="351D664E" w14:textId="77777777" w:rsidTr="003421E8">
        <w:trPr>
          <w:trHeight w:val="153"/>
        </w:trPr>
        <w:tc>
          <w:tcPr>
            <w:tcW w:w="3085" w:type="dxa"/>
            <w:vMerge/>
          </w:tcPr>
          <w:p w14:paraId="541D71C3" w14:textId="77777777" w:rsidR="00D30F03" w:rsidRPr="00CD5352" w:rsidRDefault="00D30F03" w:rsidP="003421E8">
            <w:pPr>
              <w:rPr>
                <w:sz w:val="20"/>
                <w:szCs w:val="20"/>
              </w:rPr>
            </w:pPr>
          </w:p>
        </w:tc>
        <w:tc>
          <w:tcPr>
            <w:tcW w:w="3402" w:type="dxa"/>
          </w:tcPr>
          <w:p w14:paraId="76DF68BC" w14:textId="6001245B" w:rsidR="00D30F03" w:rsidRPr="00CD5352" w:rsidRDefault="00D30F03" w:rsidP="003421E8">
            <w:pPr>
              <w:rPr>
                <w:sz w:val="20"/>
                <w:szCs w:val="20"/>
              </w:rPr>
            </w:pPr>
            <w:r w:rsidRPr="00CD5352">
              <w:rPr>
                <w:sz w:val="20"/>
                <w:szCs w:val="20"/>
              </w:rPr>
              <w:t>Cell</w:t>
            </w:r>
            <w:r w:rsidR="000159A6" w:rsidRPr="00CD5352">
              <w:rPr>
                <w:sz w:val="20"/>
                <w:szCs w:val="20"/>
              </w:rPr>
              <w:t xml:space="preserve"> </w:t>
            </w:r>
            <w:r w:rsidRPr="00CD5352">
              <w:rPr>
                <w:sz w:val="20"/>
                <w:szCs w:val="20"/>
              </w:rPr>
              <w:t>Mediated</w:t>
            </w:r>
            <w:r w:rsidR="000159A6" w:rsidRPr="00CD5352">
              <w:rPr>
                <w:sz w:val="20"/>
                <w:szCs w:val="20"/>
              </w:rPr>
              <w:t xml:space="preserve"> </w:t>
            </w:r>
            <w:r w:rsidRPr="00CD5352">
              <w:rPr>
                <w:sz w:val="20"/>
                <w:szCs w:val="20"/>
              </w:rPr>
              <w:t>Immunity</w:t>
            </w:r>
          </w:p>
        </w:tc>
        <w:tc>
          <w:tcPr>
            <w:tcW w:w="2388" w:type="dxa"/>
          </w:tcPr>
          <w:p w14:paraId="3A009595" w14:textId="77777777" w:rsidR="00D30F03" w:rsidRPr="00CD5352" w:rsidRDefault="00D30F03" w:rsidP="003421E8">
            <w:pPr>
              <w:rPr>
                <w:sz w:val="20"/>
                <w:szCs w:val="20"/>
              </w:rPr>
            </w:pPr>
            <w:r w:rsidRPr="00CD5352">
              <w:rPr>
                <w:sz w:val="20"/>
                <w:szCs w:val="20"/>
              </w:rPr>
              <w:t>ZOSTER-OO3</w:t>
            </w:r>
          </w:p>
        </w:tc>
      </w:tr>
      <w:tr w:rsidR="00D30F03" w:rsidRPr="00CD5352" w14:paraId="108C1F75" w14:textId="77777777" w:rsidTr="003421E8">
        <w:trPr>
          <w:trHeight w:val="153"/>
        </w:trPr>
        <w:tc>
          <w:tcPr>
            <w:tcW w:w="3085" w:type="dxa"/>
            <w:vMerge/>
          </w:tcPr>
          <w:p w14:paraId="0AEA02FD" w14:textId="77777777" w:rsidR="00D30F03" w:rsidRPr="00CD5352" w:rsidRDefault="00D30F03" w:rsidP="003421E8">
            <w:pPr>
              <w:rPr>
                <w:sz w:val="20"/>
                <w:szCs w:val="20"/>
              </w:rPr>
            </w:pPr>
          </w:p>
        </w:tc>
        <w:tc>
          <w:tcPr>
            <w:tcW w:w="3402" w:type="dxa"/>
          </w:tcPr>
          <w:p w14:paraId="21A423D4" w14:textId="788FA3A0" w:rsidR="00D30F03" w:rsidRPr="00CD5352" w:rsidRDefault="00D30F03" w:rsidP="003421E8">
            <w:pPr>
              <w:rPr>
                <w:sz w:val="20"/>
                <w:szCs w:val="20"/>
              </w:rPr>
            </w:pPr>
            <w:r w:rsidRPr="00CD5352">
              <w:rPr>
                <w:sz w:val="20"/>
                <w:szCs w:val="20"/>
              </w:rPr>
              <w:t>Humoral</w:t>
            </w:r>
            <w:r w:rsidR="000159A6" w:rsidRPr="00CD5352">
              <w:rPr>
                <w:sz w:val="20"/>
                <w:szCs w:val="20"/>
              </w:rPr>
              <w:t xml:space="preserve"> </w:t>
            </w:r>
            <w:r w:rsidRPr="00CD5352">
              <w:rPr>
                <w:sz w:val="20"/>
                <w:szCs w:val="20"/>
              </w:rPr>
              <w:t>Immunity</w:t>
            </w:r>
          </w:p>
        </w:tc>
        <w:tc>
          <w:tcPr>
            <w:tcW w:w="2388" w:type="dxa"/>
          </w:tcPr>
          <w:p w14:paraId="76F30A6D" w14:textId="77777777" w:rsidR="00D30F03" w:rsidRPr="00CD5352" w:rsidRDefault="00D30F03" w:rsidP="003421E8">
            <w:pPr>
              <w:rPr>
                <w:sz w:val="20"/>
                <w:szCs w:val="20"/>
              </w:rPr>
            </w:pPr>
            <w:r w:rsidRPr="00CD5352">
              <w:rPr>
                <w:sz w:val="20"/>
                <w:szCs w:val="20"/>
              </w:rPr>
              <w:t>ZOSTER-003</w:t>
            </w:r>
          </w:p>
        </w:tc>
      </w:tr>
      <w:tr w:rsidR="00D30F03" w:rsidRPr="00CD5352" w14:paraId="5C1F5A9E" w14:textId="77777777" w:rsidTr="003421E8">
        <w:trPr>
          <w:trHeight w:val="245"/>
        </w:trPr>
        <w:tc>
          <w:tcPr>
            <w:tcW w:w="3085" w:type="dxa"/>
            <w:vMerge/>
          </w:tcPr>
          <w:p w14:paraId="73DEA2E4" w14:textId="77777777" w:rsidR="00D30F03" w:rsidRPr="00CD5352" w:rsidRDefault="00D30F03" w:rsidP="003421E8">
            <w:pPr>
              <w:rPr>
                <w:sz w:val="20"/>
                <w:szCs w:val="20"/>
              </w:rPr>
            </w:pPr>
          </w:p>
        </w:tc>
        <w:tc>
          <w:tcPr>
            <w:tcW w:w="3402" w:type="dxa"/>
          </w:tcPr>
          <w:p w14:paraId="74AD0739" w14:textId="460A11F4" w:rsidR="00D30F03" w:rsidRPr="00CD5352" w:rsidRDefault="00D30F03" w:rsidP="003421E8">
            <w:pPr>
              <w:rPr>
                <w:sz w:val="20"/>
                <w:szCs w:val="20"/>
              </w:rPr>
            </w:pPr>
            <w:r w:rsidRPr="00CD5352">
              <w:rPr>
                <w:sz w:val="20"/>
                <w:szCs w:val="20"/>
              </w:rPr>
              <w:t>Humoral</w:t>
            </w:r>
            <w:r w:rsidR="000159A6" w:rsidRPr="00CD5352">
              <w:rPr>
                <w:sz w:val="20"/>
                <w:szCs w:val="20"/>
              </w:rPr>
              <w:t xml:space="preserve"> </w:t>
            </w:r>
            <w:r w:rsidRPr="00CD5352">
              <w:rPr>
                <w:sz w:val="20"/>
                <w:szCs w:val="20"/>
              </w:rPr>
              <w:t>Immunity</w:t>
            </w:r>
          </w:p>
        </w:tc>
        <w:tc>
          <w:tcPr>
            <w:tcW w:w="2388" w:type="dxa"/>
          </w:tcPr>
          <w:p w14:paraId="3066D762" w14:textId="77777777" w:rsidR="00D30F03" w:rsidRPr="00CD5352" w:rsidRDefault="00D30F03" w:rsidP="003421E8">
            <w:pPr>
              <w:rPr>
                <w:sz w:val="20"/>
                <w:szCs w:val="20"/>
              </w:rPr>
            </w:pPr>
            <w:r w:rsidRPr="00CD5352">
              <w:rPr>
                <w:sz w:val="20"/>
                <w:szCs w:val="20"/>
              </w:rPr>
              <w:t>ZOSTER-023</w:t>
            </w:r>
          </w:p>
        </w:tc>
      </w:tr>
      <w:tr w:rsidR="00D30F03" w:rsidRPr="00CD5352" w14:paraId="583698C1" w14:textId="77777777" w:rsidTr="003421E8">
        <w:trPr>
          <w:trHeight w:val="257"/>
        </w:trPr>
        <w:tc>
          <w:tcPr>
            <w:tcW w:w="3085" w:type="dxa"/>
            <w:vMerge/>
          </w:tcPr>
          <w:p w14:paraId="4F4443E3" w14:textId="77777777" w:rsidR="00D30F03" w:rsidRPr="00CD5352" w:rsidRDefault="00D30F03" w:rsidP="003421E8">
            <w:pPr>
              <w:rPr>
                <w:sz w:val="20"/>
                <w:szCs w:val="20"/>
              </w:rPr>
            </w:pPr>
          </w:p>
        </w:tc>
        <w:tc>
          <w:tcPr>
            <w:tcW w:w="3402" w:type="dxa"/>
          </w:tcPr>
          <w:p w14:paraId="505150DE" w14:textId="6F00A74F" w:rsidR="00D30F03" w:rsidRPr="00CD5352" w:rsidRDefault="00D30F03" w:rsidP="003421E8">
            <w:pPr>
              <w:rPr>
                <w:sz w:val="20"/>
                <w:szCs w:val="20"/>
              </w:rPr>
            </w:pPr>
            <w:r w:rsidRPr="00CD5352">
              <w:rPr>
                <w:sz w:val="20"/>
                <w:szCs w:val="20"/>
              </w:rPr>
              <w:t>Humoral</w:t>
            </w:r>
            <w:r w:rsidR="000159A6" w:rsidRPr="00CD5352">
              <w:rPr>
                <w:sz w:val="20"/>
                <w:szCs w:val="20"/>
              </w:rPr>
              <w:t xml:space="preserve"> </w:t>
            </w:r>
            <w:r w:rsidRPr="00CD5352">
              <w:rPr>
                <w:sz w:val="20"/>
                <w:szCs w:val="20"/>
              </w:rPr>
              <w:t>Immunity</w:t>
            </w:r>
          </w:p>
        </w:tc>
        <w:tc>
          <w:tcPr>
            <w:tcW w:w="2388" w:type="dxa"/>
          </w:tcPr>
          <w:p w14:paraId="00984624" w14:textId="77777777" w:rsidR="00D30F03" w:rsidRPr="00CD5352" w:rsidRDefault="00D30F03" w:rsidP="003421E8">
            <w:pPr>
              <w:rPr>
                <w:sz w:val="20"/>
                <w:szCs w:val="20"/>
              </w:rPr>
            </w:pPr>
            <w:r w:rsidRPr="00CD5352">
              <w:rPr>
                <w:sz w:val="20"/>
                <w:szCs w:val="20"/>
              </w:rPr>
              <w:t>ZOSTER-007</w:t>
            </w:r>
          </w:p>
        </w:tc>
      </w:tr>
      <w:tr w:rsidR="00D30F03" w:rsidRPr="00CD5352" w14:paraId="0C658AB8" w14:textId="77777777" w:rsidTr="003421E8">
        <w:trPr>
          <w:trHeight w:val="257"/>
        </w:trPr>
        <w:tc>
          <w:tcPr>
            <w:tcW w:w="3085" w:type="dxa"/>
            <w:vMerge/>
          </w:tcPr>
          <w:p w14:paraId="579F56A8" w14:textId="77777777" w:rsidR="00D30F03" w:rsidRPr="00CD5352" w:rsidRDefault="00D30F03" w:rsidP="003421E8">
            <w:pPr>
              <w:rPr>
                <w:sz w:val="20"/>
                <w:szCs w:val="20"/>
              </w:rPr>
            </w:pPr>
          </w:p>
        </w:tc>
        <w:tc>
          <w:tcPr>
            <w:tcW w:w="3402" w:type="dxa"/>
          </w:tcPr>
          <w:p w14:paraId="509D5B92" w14:textId="5AF8D86E" w:rsidR="00D30F03" w:rsidRPr="00CD5352" w:rsidRDefault="00D30F03" w:rsidP="003421E8">
            <w:pPr>
              <w:rPr>
                <w:sz w:val="20"/>
                <w:szCs w:val="20"/>
              </w:rPr>
            </w:pPr>
            <w:r w:rsidRPr="00CD5352">
              <w:rPr>
                <w:sz w:val="20"/>
                <w:szCs w:val="20"/>
              </w:rPr>
              <w:t>Humoral</w:t>
            </w:r>
            <w:r w:rsidR="000159A6" w:rsidRPr="00CD5352">
              <w:rPr>
                <w:sz w:val="20"/>
                <w:szCs w:val="20"/>
              </w:rPr>
              <w:t xml:space="preserve"> </w:t>
            </w:r>
            <w:r w:rsidRPr="00CD5352">
              <w:rPr>
                <w:sz w:val="20"/>
                <w:szCs w:val="20"/>
              </w:rPr>
              <w:t>Immunity</w:t>
            </w:r>
          </w:p>
        </w:tc>
        <w:tc>
          <w:tcPr>
            <w:tcW w:w="2388" w:type="dxa"/>
          </w:tcPr>
          <w:p w14:paraId="43DBBF36" w14:textId="77777777" w:rsidR="00D30F03" w:rsidRPr="00CD5352" w:rsidRDefault="00D30F03" w:rsidP="003421E8">
            <w:pPr>
              <w:rPr>
                <w:sz w:val="20"/>
                <w:szCs w:val="20"/>
              </w:rPr>
            </w:pPr>
            <w:r w:rsidRPr="00CD5352">
              <w:rPr>
                <w:sz w:val="20"/>
                <w:szCs w:val="20"/>
              </w:rPr>
              <w:t>ZOSTER-032</w:t>
            </w:r>
          </w:p>
        </w:tc>
      </w:tr>
      <w:tr w:rsidR="00D30F03" w:rsidRPr="00CD5352" w14:paraId="796A1520" w14:textId="77777777" w:rsidTr="003421E8">
        <w:trPr>
          <w:trHeight w:val="515"/>
        </w:trPr>
        <w:tc>
          <w:tcPr>
            <w:tcW w:w="3085" w:type="dxa"/>
            <w:vMerge w:val="restart"/>
          </w:tcPr>
          <w:p w14:paraId="22DC92BF" w14:textId="1E9E0860" w:rsidR="00D30F03" w:rsidRPr="00CD5352" w:rsidRDefault="00D30F03" w:rsidP="003421E8">
            <w:pPr>
              <w:rPr>
                <w:sz w:val="20"/>
                <w:szCs w:val="20"/>
              </w:rPr>
            </w:pPr>
            <w:r w:rsidRPr="00CD5352">
              <w:rPr>
                <w:sz w:val="20"/>
                <w:szCs w:val="20"/>
              </w:rPr>
              <w:t>Secondary</w:t>
            </w:r>
            <w:r w:rsidR="000159A6" w:rsidRPr="00CD5352">
              <w:rPr>
                <w:sz w:val="20"/>
                <w:szCs w:val="20"/>
              </w:rPr>
              <w:t xml:space="preserve"> </w:t>
            </w:r>
            <w:r w:rsidRPr="00CD5352">
              <w:rPr>
                <w:sz w:val="20"/>
                <w:szCs w:val="20"/>
              </w:rPr>
              <w:t>Pharmacology</w:t>
            </w:r>
          </w:p>
        </w:tc>
        <w:tc>
          <w:tcPr>
            <w:tcW w:w="3402" w:type="dxa"/>
          </w:tcPr>
          <w:p w14:paraId="0699A4C2" w14:textId="355A216D" w:rsidR="00D30F03" w:rsidRPr="00CD5352" w:rsidRDefault="00D30F03" w:rsidP="003421E8">
            <w:pPr>
              <w:rPr>
                <w:sz w:val="20"/>
                <w:szCs w:val="20"/>
              </w:rPr>
            </w:pPr>
            <w:r w:rsidRPr="00CD5352">
              <w:rPr>
                <w:sz w:val="20"/>
                <w:szCs w:val="20"/>
              </w:rPr>
              <w:t>Effect</w:t>
            </w:r>
            <w:r w:rsidR="000159A6" w:rsidRPr="00CD5352">
              <w:rPr>
                <w:sz w:val="20"/>
                <w:szCs w:val="20"/>
              </w:rPr>
              <w:t xml:space="preserve"> </w:t>
            </w:r>
            <w:r w:rsidRPr="00CD5352">
              <w:rPr>
                <w:sz w:val="20"/>
                <w:szCs w:val="20"/>
              </w:rPr>
              <w:t>on</w:t>
            </w:r>
            <w:r w:rsidR="000159A6" w:rsidRPr="00CD5352">
              <w:rPr>
                <w:sz w:val="20"/>
                <w:szCs w:val="20"/>
              </w:rPr>
              <w:t xml:space="preserve"> </w:t>
            </w:r>
            <w:proofErr w:type="spellStart"/>
            <w:r w:rsidRPr="00CD5352">
              <w:rPr>
                <w:sz w:val="20"/>
                <w:szCs w:val="20"/>
              </w:rPr>
              <w:t>Lymphoproliferation</w:t>
            </w:r>
            <w:proofErr w:type="spellEnd"/>
          </w:p>
        </w:tc>
        <w:tc>
          <w:tcPr>
            <w:tcW w:w="2388" w:type="dxa"/>
          </w:tcPr>
          <w:p w14:paraId="0D161F5C" w14:textId="77777777" w:rsidR="00D30F03" w:rsidRPr="00CD5352" w:rsidRDefault="00D30F03" w:rsidP="003421E8">
            <w:pPr>
              <w:rPr>
                <w:sz w:val="20"/>
                <w:szCs w:val="20"/>
              </w:rPr>
            </w:pPr>
            <w:r w:rsidRPr="00CD5352">
              <w:rPr>
                <w:sz w:val="20"/>
                <w:szCs w:val="20"/>
              </w:rPr>
              <w:t>EXPLO-CRD-004</w:t>
            </w:r>
          </w:p>
        </w:tc>
      </w:tr>
      <w:tr w:rsidR="00D30F03" w:rsidRPr="00CD5352" w14:paraId="74DB215D" w14:textId="77777777" w:rsidTr="003421E8">
        <w:trPr>
          <w:trHeight w:val="153"/>
        </w:trPr>
        <w:tc>
          <w:tcPr>
            <w:tcW w:w="3085" w:type="dxa"/>
            <w:vMerge/>
          </w:tcPr>
          <w:p w14:paraId="0290EDA2" w14:textId="77777777" w:rsidR="00D30F03" w:rsidRPr="00CD5352" w:rsidRDefault="00D30F03" w:rsidP="003421E8">
            <w:pPr>
              <w:rPr>
                <w:sz w:val="20"/>
                <w:szCs w:val="20"/>
              </w:rPr>
            </w:pPr>
          </w:p>
        </w:tc>
        <w:tc>
          <w:tcPr>
            <w:tcW w:w="3402" w:type="dxa"/>
          </w:tcPr>
          <w:p w14:paraId="0801CFFD" w14:textId="60452F82" w:rsidR="00D30F03" w:rsidRPr="00CD5352" w:rsidRDefault="00D30F03" w:rsidP="003421E8">
            <w:pPr>
              <w:rPr>
                <w:sz w:val="20"/>
                <w:szCs w:val="20"/>
              </w:rPr>
            </w:pPr>
            <w:r w:rsidRPr="00CD5352">
              <w:rPr>
                <w:sz w:val="20"/>
                <w:szCs w:val="20"/>
              </w:rPr>
              <w:t>Effect</w:t>
            </w:r>
            <w:r w:rsidR="000159A6" w:rsidRPr="00CD5352">
              <w:rPr>
                <w:sz w:val="20"/>
                <w:szCs w:val="20"/>
              </w:rPr>
              <w:t xml:space="preserve"> </w:t>
            </w:r>
            <w:r w:rsidRPr="00CD5352">
              <w:rPr>
                <w:sz w:val="20"/>
                <w:szCs w:val="20"/>
              </w:rPr>
              <w:t>on</w:t>
            </w:r>
            <w:r w:rsidR="000159A6" w:rsidRPr="00CD5352">
              <w:rPr>
                <w:sz w:val="20"/>
                <w:szCs w:val="20"/>
              </w:rPr>
              <w:t xml:space="preserve"> </w:t>
            </w:r>
            <w:r w:rsidRPr="00CD5352">
              <w:rPr>
                <w:sz w:val="20"/>
                <w:szCs w:val="20"/>
              </w:rPr>
              <w:t>Memory</w:t>
            </w:r>
            <w:r w:rsidR="000159A6" w:rsidRPr="00CD5352">
              <w:rPr>
                <w:sz w:val="20"/>
                <w:szCs w:val="20"/>
              </w:rPr>
              <w:t xml:space="preserve"> </w:t>
            </w:r>
            <w:r w:rsidRPr="00CD5352">
              <w:rPr>
                <w:sz w:val="20"/>
                <w:szCs w:val="20"/>
              </w:rPr>
              <w:t>B</w:t>
            </w:r>
            <w:r w:rsidR="000159A6" w:rsidRPr="00CD5352">
              <w:rPr>
                <w:sz w:val="20"/>
                <w:szCs w:val="20"/>
              </w:rPr>
              <w:t xml:space="preserve"> </w:t>
            </w:r>
            <w:r w:rsidRPr="00CD5352">
              <w:rPr>
                <w:sz w:val="20"/>
                <w:szCs w:val="20"/>
              </w:rPr>
              <w:t>cells</w:t>
            </w:r>
          </w:p>
        </w:tc>
        <w:tc>
          <w:tcPr>
            <w:tcW w:w="2388" w:type="dxa"/>
          </w:tcPr>
          <w:p w14:paraId="33EDEA80" w14:textId="77777777" w:rsidR="00D30F03" w:rsidRPr="00CD5352" w:rsidRDefault="00D30F03" w:rsidP="003421E8">
            <w:pPr>
              <w:rPr>
                <w:sz w:val="20"/>
                <w:szCs w:val="20"/>
              </w:rPr>
            </w:pPr>
            <w:r w:rsidRPr="00CD5352">
              <w:rPr>
                <w:sz w:val="20"/>
                <w:szCs w:val="20"/>
              </w:rPr>
              <w:t>EXPLO-CRD-004</w:t>
            </w:r>
          </w:p>
        </w:tc>
      </w:tr>
      <w:tr w:rsidR="00D30F03" w:rsidRPr="00CD5352" w14:paraId="7F26A745" w14:textId="77777777" w:rsidTr="003421E8">
        <w:trPr>
          <w:trHeight w:val="257"/>
        </w:trPr>
        <w:tc>
          <w:tcPr>
            <w:tcW w:w="3085" w:type="dxa"/>
            <w:vMerge/>
          </w:tcPr>
          <w:p w14:paraId="60C67A33" w14:textId="77777777" w:rsidR="00D30F03" w:rsidRPr="00CD5352" w:rsidRDefault="00D30F03" w:rsidP="003421E8">
            <w:pPr>
              <w:rPr>
                <w:sz w:val="20"/>
                <w:szCs w:val="20"/>
              </w:rPr>
            </w:pPr>
          </w:p>
        </w:tc>
        <w:tc>
          <w:tcPr>
            <w:tcW w:w="3402" w:type="dxa"/>
          </w:tcPr>
          <w:p w14:paraId="27654FBD" w14:textId="27ED08A6" w:rsidR="00D30F03" w:rsidRPr="00CD5352" w:rsidRDefault="00D30F03" w:rsidP="003421E8">
            <w:pPr>
              <w:rPr>
                <w:sz w:val="20"/>
                <w:szCs w:val="20"/>
              </w:rPr>
            </w:pPr>
            <w:r w:rsidRPr="00CD5352">
              <w:rPr>
                <w:sz w:val="20"/>
                <w:szCs w:val="20"/>
              </w:rPr>
              <w:t>Effect</w:t>
            </w:r>
            <w:r w:rsidR="000159A6" w:rsidRPr="00CD5352">
              <w:rPr>
                <w:sz w:val="20"/>
                <w:szCs w:val="20"/>
              </w:rPr>
              <w:t xml:space="preserve"> </w:t>
            </w:r>
            <w:r w:rsidRPr="00CD5352">
              <w:rPr>
                <w:sz w:val="20"/>
                <w:szCs w:val="20"/>
              </w:rPr>
              <w:t>on</w:t>
            </w:r>
            <w:r w:rsidR="000159A6" w:rsidRPr="00CD5352">
              <w:rPr>
                <w:sz w:val="20"/>
                <w:szCs w:val="20"/>
              </w:rPr>
              <w:t xml:space="preserve"> </w:t>
            </w:r>
            <w:r w:rsidRPr="00CD5352">
              <w:rPr>
                <w:sz w:val="20"/>
                <w:szCs w:val="20"/>
              </w:rPr>
              <w:t>Memory</w:t>
            </w:r>
            <w:r w:rsidR="000159A6" w:rsidRPr="00CD5352">
              <w:rPr>
                <w:sz w:val="20"/>
                <w:szCs w:val="20"/>
              </w:rPr>
              <w:t xml:space="preserve"> </w:t>
            </w:r>
            <w:r w:rsidRPr="00CD5352">
              <w:rPr>
                <w:sz w:val="20"/>
                <w:szCs w:val="20"/>
              </w:rPr>
              <w:t>B</w:t>
            </w:r>
            <w:r w:rsidR="000159A6" w:rsidRPr="00CD5352">
              <w:rPr>
                <w:sz w:val="20"/>
                <w:szCs w:val="20"/>
              </w:rPr>
              <w:t xml:space="preserve"> </w:t>
            </w:r>
            <w:r w:rsidRPr="00CD5352">
              <w:rPr>
                <w:sz w:val="20"/>
                <w:szCs w:val="20"/>
              </w:rPr>
              <w:t>cells</w:t>
            </w:r>
          </w:p>
        </w:tc>
        <w:tc>
          <w:tcPr>
            <w:tcW w:w="2388" w:type="dxa"/>
          </w:tcPr>
          <w:p w14:paraId="6C8CB733" w14:textId="77777777" w:rsidR="00D30F03" w:rsidRPr="00CD5352" w:rsidRDefault="00D30F03" w:rsidP="003421E8">
            <w:pPr>
              <w:rPr>
                <w:sz w:val="20"/>
                <w:szCs w:val="20"/>
              </w:rPr>
            </w:pPr>
            <w:r w:rsidRPr="00CD5352">
              <w:rPr>
                <w:sz w:val="20"/>
                <w:szCs w:val="20"/>
              </w:rPr>
              <w:t>ZOSTER-018</w:t>
            </w:r>
          </w:p>
        </w:tc>
      </w:tr>
      <w:tr w:rsidR="00D30F03" w:rsidRPr="00CD5352" w14:paraId="7D279A1F" w14:textId="77777777" w:rsidTr="003421E8">
        <w:trPr>
          <w:trHeight w:val="257"/>
        </w:trPr>
        <w:tc>
          <w:tcPr>
            <w:tcW w:w="3085" w:type="dxa"/>
            <w:vMerge/>
          </w:tcPr>
          <w:p w14:paraId="2C34CF83" w14:textId="77777777" w:rsidR="00D30F03" w:rsidRPr="00CD5352" w:rsidRDefault="00D30F03" w:rsidP="003421E8">
            <w:pPr>
              <w:rPr>
                <w:sz w:val="20"/>
                <w:szCs w:val="20"/>
              </w:rPr>
            </w:pPr>
          </w:p>
        </w:tc>
        <w:tc>
          <w:tcPr>
            <w:tcW w:w="3402" w:type="dxa"/>
          </w:tcPr>
          <w:p w14:paraId="274E4DE7" w14:textId="43F8B141" w:rsidR="00D30F03" w:rsidRPr="00CD5352" w:rsidRDefault="00D30F03" w:rsidP="003421E8">
            <w:pPr>
              <w:rPr>
                <w:sz w:val="20"/>
                <w:szCs w:val="20"/>
              </w:rPr>
            </w:pPr>
            <w:r w:rsidRPr="00CD5352">
              <w:rPr>
                <w:sz w:val="20"/>
                <w:szCs w:val="20"/>
              </w:rPr>
              <w:t>Effect</w:t>
            </w:r>
            <w:r w:rsidR="000159A6" w:rsidRPr="00CD5352">
              <w:rPr>
                <w:sz w:val="20"/>
                <w:szCs w:val="20"/>
              </w:rPr>
              <w:t xml:space="preserve"> </w:t>
            </w:r>
            <w:r w:rsidRPr="00CD5352">
              <w:rPr>
                <w:sz w:val="20"/>
                <w:szCs w:val="20"/>
              </w:rPr>
              <w:t>on</w:t>
            </w:r>
            <w:r w:rsidR="000159A6" w:rsidRPr="00CD5352">
              <w:rPr>
                <w:sz w:val="20"/>
                <w:szCs w:val="20"/>
              </w:rPr>
              <w:t xml:space="preserve"> </w:t>
            </w:r>
            <w:r w:rsidRPr="00CD5352">
              <w:rPr>
                <w:sz w:val="20"/>
                <w:szCs w:val="20"/>
              </w:rPr>
              <w:t>Memory</w:t>
            </w:r>
            <w:r w:rsidR="000159A6" w:rsidRPr="00CD5352">
              <w:rPr>
                <w:sz w:val="20"/>
                <w:szCs w:val="20"/>
              </w:rPr>
              <w:t xml:space="preserve"> </w:t>
            </w:r>
            <w:r w:rsidRPr="00CD5352">
              <w:rPr>
                <w:sz w:val="20"/>
                <w:szCs w:val="20"/>
              </w:rPr>
              <w:t>B</w:t>
            </w:r>
            <w:r w:rsidR="000159A6" w:rsidRPr="00CD5352">
              <w:rPr>
                <w:sz w:val="20"/>
                <w:szCs w:val="20"/>
              </w:rPr>
              <w:t xml:space="preserve"> </w:t>
            </w:r>
            <w:r w:rsidRPr="00CD5352">
              <w:rPr>
                <w:sz w:val="20"/>
                <w:szCs w:val="20"/>
              </w:rPr>
              <w:t>cells</w:t>
            </w:r>
          </w:p>
        </w:tc>
        <w:tc>
          <w:tcPr>
            <w:tcW w:w="2388" w:type="dxa"/>
          </w:tcPr>
          <w:p w14:paraId="407D043A" w14:textId="77777777" w:rsidR="00D30F03" w:rsidRPr="00CD5352" w:rsidRDefault="00D30F03" w:rsidP="003421E8">
            <w:pPr>
              <w:rPr>
                <w:sz w:val="20"/>
                <w:szCs w:val="20"/>
              </w:rPr>
            </w:pPr>
            <w:r w:rsidRPr="00CD5352">
              <w:rPr>
                <w:sz w:val="20"/>
                <w:szCs w:val="20"/>
              </w:rPr>
              <w:t>ZOSTER-019</w:t>
            </w:r>
          </w:p>
        </w:tc>
      </w:tr>
      <w:tr w:rsidR="00D30F03" w:rsidRPr="00CD5352" w14:paraId="04E42F2A" w14:textId="77777777" w:rsidTr="003421E8">
        <w:trPr>
          <w:trHeight w:val="257"/>
        </w:trPr>
        <w:tc>
          <w:tcPr>
            <w:tcW w:w="3085" w:type="dxa"/>
            <w:vMerge w:val="restart"/>
          </w:tcPr>
          <w:p w14:paraId="682F2804" w14:textId="3BF32F8A" w:rsidR="00D30F03" w:rsidRPr="00CD5352" w:rsidRDefault="00D30F03" w:rsidP="003421E8">
            <w:pPr>
              <w:rPr>
                <w:sz w:val="20"/>
                <w:szCs w:val="20"/>
              </w:rPr>
            </w:pPr>
            <w:r w:rsidRPr="00CD5352">
              <w:rPr>
                <w:sz w:val="20"/>
                <w:szCs w:val="20"/>
              </w:rPr>
              <w:t>Gender</w:t>
            </w:r>
            <w:r w:rsidR="000159A6" w:rsidRPr="00CD5352">
              <w:rPr>
                <w:sz w:val="20"/>
                <w:szCs w:val="20"/>
              </w:rPr>
              <w:t xml:space="preserve"> </w:t>
            </w:r>
            <w:r w:rsidRPr="00CD5352">
              <w:rPr>
                <w:sz w:val="20"/>
                <w:szCs w:val="20"/>
              </w:rPr>
              <w:t>other</w:t>
            </w:r>
            <w:r w:rsidR="000159A6" w:rsidRPr="00CD5352">
              <w:rPr>
                <w:sz w:val="20"/>
                <w:szCs w:val="20"/>
              </w:rPr>
              <w:t xml:space="preserve"> </w:t>
            </w:r>
            <w:r w:rsidRPr="00CD5352">
              <w:rPr>
                <w:sz w:val="20"/>
                <w:szCs w:val="20"/>
              </w:rPr>
              <w:t>genetic</w:t>
            </w:r>
            <w:r w:rsidR="000159A6" w:rsidRPr="00CD5352">
              <w:rPr>
                <w:sz w:val="20"/>
                <w:szCs w:val="20"/>
              </w:rPr>
              <w:t xml:space="preserve"> </w:t>
            </w:r>
            <w:r w:rsidRPr="00CD5352">
              <w:rPr>
                <w:sz w:val="20"/>
                <w:szCs w:val="20"/>
              </w:rPr>
              <w:t>and</w:t>
            </w:r>
            <w:r w:rsidR="000159A6" w:rsidRPr="00CD5352">
              <w:rPr>
                <w:sz w:val="20"/>
                <w:szCs w:val="20"/>
              </w:rPr>
              <w:t xml:space="preserve"> </w:t>
            </w:r>
            <w:r w:rsidRPr="00CD5352">
              <w:rPr>
                <w:sz w:val="20"/>
                <w:szCs w:val="20"/>
              </w:rPr>
              <w:t>Age</w:t>
            </w:r>
            <w:r w:rsidR="000159A6" w:rsidRPr="00CD5352">
              <w:rPr>
                <w:sz w:val="20"/>
                <w:szCs w:val="20"/>
              </w:rPr>
              <w:t xml:space="preserve"> </w:t>
            </w:r>
            <w:r w:rsidRPr="00CD5352">
              <w:rPr>
                <w:sz w:val="20"/>
                <w:szCs w:val="20"/>
              </w:rPr>
              <w:t>Related</w:t>
            </w:r>
            <w:r w:rsidR="000159A6" w:rsidRPr="00CD5352">
              <w:rPr>
                <w:sz w:val="20"/>
                <w:szCs w:val="20"/>
              </w:rPr>
              <w:t xml:space="preserve"> </w:t>
            </w:r>
            <w:r w:rsidRPr="00CD5352">
              <w:rPr>
                <w:sz w:val="20"/>
                <w:szCs w:val="20"/>
              </w:rPr>
              <w:t>Differences</w:t>
            </w:r>
            <w:r w:rsidR="000159A6" w:rsidRPr="00CD5352">
              <w:rPr>
                <w:sz w:val="20"/>
                <w:szCs w:val="20"/>
              </w:rPr>
              <w:t xml:space="preserve"> </w:t>
            </w:r>
            <w:r w:rsidRPr="00CD5352">
              <w:rPr>
                <w:sz w:val="20"/>
                <w:szCs w:val="20"/>
              </w:rPr>
              <w:t>in</w:t>
            </w:r>
            <w:r w:rsidR="000159A6" w:rsidRPr="00CD5352">
              <w:rPr>
                <w:sz w:val="20"/>
                <w:szCs w:val="20"/>
              </w:rPr>
              <w:t xml:space="preserve"> </w:t>
            </w:r>
            <w:r w:rsidRPr="00CD5352">
              <w:rPr>
                <w:sz w:val="20"/>
                <w:szCs w:val="20"/>
              </w:rPr>
              <w:t>PD</w:t>
            </w:r>
            <w:r w:rsidR="000159A6" w:rsidRPr="00CD5352">
              <w:rPr>
                <w:sz w:val="20"/>
                <w:szCs w:val="20"/>
              </w:rPr>
              <w:t xml:space="preserve"> </w:t>
            </w:r>
            <w:r w:rsidRPr="00CD5352">
              <w:rPr>
                <w:sz w:val="20"/>
                <w:szCs w:val="20"/>
              </w:rPr>
              <w:t>Response</w:t>
            </w:r>
          </w:p>
        </w:tc>
        <w:tc>
          <w:tcPr>
            <w:tcW w:w="3402" w:type="dxa"/>
          </w:tcPr>
          <w:p w14:paraId="23187D0B" w14:textId="29385D61" w:rsidR="00D30F03" w:rsidRPr="00CD5352" w:rsidRDefault="00D30F03" w:rsidP="003421E8">
            <w:pPr>
              <w:rPr>
                <w:sz w:val="20"/>
                <w:szCs w:val="20"/>
              </w:rPr>
            </w:pPr>
            <w:r w:rsidRPr="00CD5352">
              <w:rPr>
                <w:sz w:val="20"/>
                <w:szCs w:val="20"/>
              </w:rPr>
              <w:t>Effect</w:t>
            </w:r>
            <w:r w:rsidR="000159A6" w:rsidRPr="00CD5352">
              <w:rPr>
                <w:sz w:val="20"/>
                <w:szCs w:val="20"/>
              </w:rPr>
              <w:t xml:space="preserve"> </w:t>
            </w:r>
            <w:r w:rsidRPr="00CD5352">
              <w:rPr>
                <w:sz w:val="20"/>
                <w:szCs w:val="20"/>
              </w:rPr>
              <w:t>of</w:t>
            </w:r>
            <w:r w:rsidR="000159A6" w:rsidRPr="00CD5352">
              <w:rPr>
                <w:sz w:val="20"/>
                <w:szCs w:val="20"/>
              </w:rPr>
              <w:t xml:space="preserve"> </w:t>
            </w:r>
            <w:r w:rsidRPr="00CD5352">
              <w:rPr>
                <w:sz w:val="20"/>
                <w:szCs w:val="20"/>
              </w:rPr>
              <w:t>gender</w:t>
            </w:r>
          </w:p>
        </w:tc>
        <w:tc>
          <w:tcPr>
            <w:tcW w:w="2388" w:type="dxa"/>
          </w:tcPr>
          <w:p w14:paraId="58D151CD" w14:textId="5CB98552" w:rsidR="00D30F03" w:rsidRPr="00CD5352" w:rsidRDefault="00D30F03" w:rsidP="003421E8">
            <w:pPr>
              <w:rPr>
                <w:sz w:val="20"/>
                <w:szCs w:val="20"/>
              </w:rPr>
            </w:pPr>
            <w:r w:rsidRPr="00CD5352">
              <w:rPr>
                <w:sz w:val="20"/>
                <w:szCs w:val="20"/>
              </w:rPr>
              <w:t>No</w:t>
            </w:r>
            <w:r w:rsidR="000159A6" w:rsidRPr="00CD5352">
              <w:rPr>
                <w:sz w:val="20"/>
                <w:szCs w:val="20"/>
              </w:rPr>
              <w:t xml:space="preserve"> </w:t>
            </w:r>
            <w:r w:rsidRPr="00CD5352">
              <w:rPr>
                <w:sz w:val="20"/>
                <w:szCs w:val="20"/>
              </w:rPr>
              <w:t>studies</w:t>
            </w:r>
          </w:p>
        </w:tc>
      </w:tr>
      <w:tr w:rsidR="00D30F03" w:rsidRPr="00CD5352" w14:paraId="0E13BDEA" w14:textId="77777777" w:rsidTr="003421E8">
        <w:trPr>
          <w:trHeight w:val="153"/>
        </w:trPr>
        <w:tc>
          <w:tcPr>
            <w:tcW w:w="3085" w:type="dxa"/>
            <w:vMerge/>
          </w:tcPr>
          <w:p w14:paraId="77CC41C5" w14:textId="77777777" w:rsidR="00D30F03" w:rsidRPr="00CD5352" w:rsidRDefault="00D30F03" w:rsidP="003421E8">
            <w:pPr>
              <w:rPr>
                <w:sz w:val="20"/>
                <w:szCs w:val="20"/>
              </w:rPr>
            </w:pPr>
          </w:p>
        </w:tc>
        <w:tc>
          <w:tcPr>
            <w:tcW w:w="3402" w:type="dxa"/>
          </w:tcPr>
          <w:p w14:paraId="2D5F4BFA" w14:textId="52F88050" w:rsidR="00D30F03" w:rsidRPr="00CD5352" w:rsidRDefault="00D30F03" w:rsidP="003421E8">
            <w:pPr>
              <w:rPr>
                <w:sz w:val="20"/>
                <w:szCs w:val="20"/>
              </w:rPr>
            </w:pPr>
            <w:r w:rsidRPr="00CD5352">
              <w:rPr>
                <w:sz w:val="20"/>
                <w:szCs w:val="20"/>
              </w:rPr>
              <w:t>Effect</w:t>
            </w:r>
            <w:r w:rsidR="000159A6" w:rsidRPr="00CD5352">
              <w:rPr>
                <w:sz w:val="20"/>
                <w:szCs w:val="20"/>
              </w:rPr>
              <w:t xml:space="preserve"> </w:t>
            </w:r>
            <w:r w:rsidRPr="00CD5352">
              <w:rPr>
                <w:sz w:val="20"/>
                <w:szCs w:val="20"/>
              </w:rPr>
              <w:t>of</w:t>
            </w:r>
            <w:r w:rsidR="000159A6" w:rsidRPr="00CD5352">
              <w:rPr>
                <w:sz w:val="20"/>
                <w:szCs w:val="20"/>
              </w:rPr>
              <w:t xml:space="preserve"> </w:t>
            </w:r>
            <w:r w:rsidRPr="00CD5352">
              <w:rPr>
                <w:sz w:val="20"/>
                <w:szCs w:val="20"/>
              </w:rPr>
              <w:t>age</w:t>
            </w:r>
          </w:p>
        </w:tc>
        <w:tc>
          <w:tcPr>
            <w:tcW w:w="2388" w:type="dxa"/>
          </w:tcPr>
          <w:p w14:paraId="7A6AB5D9" w14:textId="77777777" w:rsidR="00D30F03" w:rsidRPr="00CD5352" w:rsidRDefault="00D30F03" w:rsidP="003421E8">
            <w:pPr>
              <w:rPr>
                <w:sz w:val="20"/>
                <w:szCs w:val="20"/>
              </w:rPr>
            </w:pPr>
            <w:r w:rsidRPr="00CD5352">
              <w:rPr>
                <w:sz w:val="20"/>
                <w:szCs w:val="20"/>
              </w:rPr>
              <w:t>ZOSTER-003</w:t>
            </w:r>
          </w:p>
        </w:tc>
      </w:tr>
      <w:tr w:rsidR="00D30F03" w:rsidRPr="00CD5352" w14:paraId="167D2A13" w14:textId="77777777" w:rsidTr="00CD5352">
        <w:trPr>
          <w:trHeight w:val="520"/>
        </w:trPr>
        <w:tc>
          <w:tcPr>
            <w:tcW w:w="3085" w:type="dxa"/>
            <w:vMerge/>
          </w:tcPr>
          <w:p w14:paraId="0146E323" w14:textId="77777777" w:rsidR="00D30F03" w:rsidRPr="00CD5352" w:rsidRDefault="00D30F03" w:rsidP="003421E8">
            <w:pPr>
              <w:rPr>
                <w:sz w:val="20"/>
                <w:szCs w:val="20"/>
              </w:rPr>
            </w:pPr>
          </w:p>
        </w:tc>
        <w:tc>
          <w:tcPr>
            <w:tcW w:w="3402" w:type="dxa"/>
          </w:tcPr>
          <w:p w14:paraId="0213F437" w14:textId="3DFA7493" w:rsidR="00D30F03" w:rsidRPr="00CD5352" w:rsidRDefault="00D30F03" w:rsidP="003421E8">
            <w:pPr>
              <w:rPr>
                <w:sz w:val="20"/>
                <w:szCs w:val="20"/>
              </w:rPr>
            </w:pPr>
            <w:r w:rsidRPr="00CD5352">
              <w:rPr>
                <w:sz w:val="20"/>
                <w:szCs w:val="20"/>
              </w:rPr>
              <w:t>Japanese</w:t>
            </w:r>
            <w:r w:rsidR="000159A6" w:rsidRPr="00CD5352">
              <w:rPr>
                <w:sz w:val="20"/>
                <w:szCs w:val="20"/>
              </w:rPr>
              <w:t xml:space="preserve"> </w:t>
            </w:r>
            <w:r w:rsidRPr="00CD5352">
              <w:rPr>
                <w:sz w:val="20"/>
                <w:szCs w:val="20"/>
              </w:rPr>
              <w:t>subjects</w:t>
            </w:r>
          </w:p>
        </w:tc>
        <w:tc>
          <w:tcPr>
            <w:tcW w:w="2388" w:type="dxa"/>
          </w:tcPr>
          <w:p w14:paraId="00F860D6" w14:textId="77777777" w:rsidR="00D30F03" w:rsidRPr="00CD5352" w:rsidRDefault="00D30F03" w:rsidP="003421E8">
            <w:pPr>
              <w:rPr>
                <w:sz w:val="20"/>
                <w:szCs w:val="20"/>
              </w:rPr>
            </w:pPr>
            <w:r w:rsidRPr="00CD5352">
              <w:rPr>
                <w:sz w:val="20"/>
                <w:szCs w:val="20"/>
              </w:rPr>
              <w:t>ZOSTER-023</w:t>
            </w:r>
          </w:p>
        </w:tc>
      </w:tr>
      <w:tr w:rsidR="00D30F03" w:rsidRPr="00CD5352" w14:paraId="1EF7607F" w14:textId="77777777" w:rsidTr="003421E8">
        <w:trPr>
          <w:trHeight w:val="257"/>
        </w:trPr>
        <w:tc>
          <w:tcPr>
            <w:tcW w:w="3085" w:type="dxa"/>
            <w:vMerge w:val="restart"/>
          </w:tcPr>
          <w:p w14:paraId="1B55A4A2" w14:textId="403A7B2A" w:rsidR="00D30F03" w:rsidRPr="00CD5352" w:rsidRDefault="00D30F03" w:rsidP="003421E8">
            <w:pPr>
              <w:rPr>
                <w:sz w:val="20"/>
                <w:szCs w:val="20"/>
              </w:rPr>
            </w:pPr>
            <w:r w:rsidRPr="00CD5352">
              <w:rPr>
                <w:sz w:val="20"/>
                <w:szCs w:val="20"/>
              </w:rPr>
              <w:t>PD</w:t>
            </w:r>
            <w:r w:rsidR="000159A6" w:rsidRPr="00CD5352">
              <w:rPr>
                <w:sz w:val="20"/>
                <w:szCs w:val="20"/>
              </w:rPr>
              <w:t xml:space="preserve"> </w:t>
            </w:r>
            <w:r w:rsidRPr="00CD5352">
              <w:rPr>
                <w:sz w:val="20"/>
                <w:szCs w:val="20"/>
              </w:rPr>
              <w:t>Interactions</w:t>
            </w:r>
          </w:p>
        </w:tc>
        <w:tc>
          <w:tcPr>
            <w:tcW w:w="3402" w:type="dxa"/>
          </w:tcPr>
          <w:p w14:paraId="278AC431" w14:textId="7528709A" w:rsidR="00D30F03" w:rsidRPr="00CD5352" w:rsidRDefault="00331AB9" w:rsidP="003421E8">
            <w:pPr>
              <w:rPr>
                <w:sz w:val="20"/>
                <w:szCs w:val="20"/>
              </w:rPr>
            </w:pPr>
            <w:r w:rsidRPr="00CD5352">
              <w:rPr>
                <w:sz w:val="20"/>
                <w:szCs w:val="20"/>
              </w:rPr>
              <w:t>Haematopoietic</w:t>
            </w:r>
            <w:r w:rsidR="000159A6" w:rsidRPr="00CD5352">
              <w:rPr>
                <w:sz w:val="20"/>
                <w:szCs w:val="20"/>
              </w:rPr>
              <w:t xml:space="preserve"> </w:t>
            </w:r>
            <w:r w:rsidRPr="00CD5352">
              <w:rPr>
                <w:sz w:val="20"/>
                <w:szCs w:val="20"/>
              </w:rPr>
              <w:t>stem</w:t>
            </w:r>
            <w:r w:rsidR="000159A6" w:rsidRPr="00CD5352">
              <w:rPr>
                <w:sz w:val="20"/>
                <w:szCs w:val="20"/>
              </w:rPr>
              <w:t xml:space="preserve"> </w:t>
            </w:r>
            <w:r w:rsidRPr="00CD5352">
              <w:rPr>
                <w:sz w:val="20"/>
                <w:szCs w:val="20"/>
              </w:rPr>
              <w:t>Cell</w:t>
            </w:r>
            <w:r w:rsidR="000159A6" w:rsidRPr="00CD5352">
              <w:rPr>
                <w:sz w:val="20"/>
                <w:szCs w:val="20"/>
              </w:rPr>
              <w:t xml:space="preserve"> </w:t>
            </w:r>
            <w:r w:rsidRPr="00CD5352">
              <w:rPr>
                <w:sz w:val="20"/>
                <w:szCs w:val="20"/>
              </w:rPr>
              <w:t>Transplant</w:t>
            </w:r>
            <w:r w:rsidR="000159A6" w:rsidRPr="00CD5352">
              <w:rPr>
                <w:sz w:val="20"/>
                <w:szCs w:val="20"/>
              </w:rPr>
              <w:t xml:space="preserve"> </w:t>
            </w:r>
            <w:r w:rsidRPr="00CD5352">
              <w:rPr>
                <w:sz w:val="20"/>
                <w:szCs w:val="20"/>
              </w:rPr>
              <w:t>(</w:t>
            </w:r>
            <w:r w:rsidR="00D30F03" w:rsidRPr="00CD5352">
              <w:rPr>
                <w:sz w:val="20"/>
                <w:szCs w:val="20"/>
              </w:rPr>
              <w:t>HCT</w:t>
            </w:r>
            <w:r w:rsidRPr="00CD5352">
              <w:rPr>
                <w:sz w:val="20"/>
                <w:szCs w:val="20"/>
              </w:rPr>
              <w:t>)</w:t>
            </w:r>
          </w:p>
        </w:tc>
        <w:tc>
          <w:tcPr>
            <w:tcW w:w="2388" w:type="dxa"/>
          </w:tcPr>
          <w:p w14:paraId="275E964A" w14:textId="77777777" w:rsidR="00D30F03" w:rsidRPr="00CD5352" w:rsidRDefault="00D30F03" w:rsidP="003421E8">
            <w:pPr>
              <w:rPr>
                <w:sz w:val="20"/>
                <w:szCs w:val="20"/>
              </w:rPr>
            </w:pPr>
            <w:r w:rsidRPr="00CD5352">
              <w:rPr>
                <w:sz w:val="20"/>
                <w:szCs w:val="20"/>
              </w:rPr>
              <w:t>ZOSTER-001</w:t>
            </w:r>
          </w:p>
        </w:tc>
      </w:tr>
      <w:tr w:rsidR="00D30F03" w:rsidRPr="00CD5352" w14:paraId="1BCF590E" w14:textId="77777777" w:rsidTr="00CD5352">
        <w:trPr>
          <w:trHeight w:val="588"/>
        </w:trPr>
        <w:tc>
          <w:tcPr>
            <w:tcW w:w="3085" w:type="dxa"/>
            <w:vMerge/>
          </w:tcPr>
          <w:p w14:paraId="1A89E6A3" w14:textId="77777777" w:rsidR="00D30F03" w:rsidRPr="00CD5352" w:rsidRDefault="00D30F03" w:rsidP="003421E8">
            <w:pPr>
              <w:rPr>
                <w:sz w:val="20"/>
                <w:szCs w:val="20"/>
              </w:rPr>
            </w:pPr>
          </w:p>
        </w:tc>
        <w:tc>
          <w:tcPr>
            <w:tcW w:w="3402" w:type="dxa"/>
          </w:tcPr>
          <w:p w14:paraId="3F0928FB" w14:textId="563BFB3A" w:rsidR="00D30F03" w:rsidRPr="00CD5352" w:rsidRDefault="00D30F03" w:rsidP="003421E8">
            <w:pPr>
              <w:rPr>
                <w:sz w:val="20"/>
                <w:szCs w:val="20"/>
              </w:rPr>
            </w:pPr>
            <w:r w:rsidRPr="00CD5352">
              <w:rPr>
                <w:sz w:val="20"/>
                <w:szCs w:val="20"/>
              </w:rPr>
              <w:t>HIV</w:t>
            </w:r>
            <w:r w:rsidR="000159A6" w:rsidRPr="00CD5352">
              <w:rPr>
                <w:sz w:val="20"/>
                <w:szCs w:val="20"/>
              </w:rPr>
              <w:t xml:space="preserve"> </w:t>
            </w:r>
            <w:r w:rsidRPr="00CD5352">
              <w:rPr>
                <w:sz w:val="20"/>
                <w:szCs w:val="20"/>
              </w:rPr>
              <w:t>/</w:t>
            </w:r>
            <w:r w:rsidR="000159A6" w:rsidRPr="00CD5352">
              <w:rPr>
                <w:sz w:val="20"/>
                <w:szCs w:val="20"/>
              </w:rPr>
              <w:t xml:space="preserve"> </w:t>
            </w:r>
            <w:r w:rsidRPr="00CD5352">
              <w:rPr>
                <w:sz w:val="20"/>
                <w:szCs w:val="20"/>
              </w:rPr>
              <w:t>antiretrovirals</w:t>
            </w:r>
          </w:p>
        </w:tc>
        <w:tc>
          <w:tcPr>
            <w:tcW w:w="2388" w:type="dxa"/>
          </w:tcPr>
          <w:p w14:paraId="1240D38F" w14:textId="77777777" w:rsidR="00D30F03" w:rsidRPr="00CD5352" w:rsidRDefault="00D30F03" w:rsidP="003421E8">
            <w:pPr>
              <w:rPr>
                <w:sz w:val="20"/>
                <w:szCs w:val="20"/>
              </w:rPr>
            </w:pPr>
            <w:r w:rsidRPr="00CD5352">
              <w:rPr>
                <w:sz w:val="20"/>
                <w:szCs w:val="20"/>
              </w:rPr>
              <w:t>ZOSTER-015</w:t>
            </w:r>
          </w:p>
        </w:tc>
      </w:tr>
      <w:tr w:rsidR="00D30F03" w:rsidRPr="00CD5352" w14:paraId="4D83CD01" w14:textId="77777777" w:rsidTr="003421E8">
        <w:trPr>
          <w:trHeight w:val="257"/>
        </w:trPr>
        <w:tc>
          <w:tcPr>
            <w:tcW w:w="3085" w:type="dxa"/>
            <w:vMerge w:val="restart"/>
          </w:tcPr>
          <w:p w14:paraId="69C94960" w14:textId="7B3AF65E" w:rsidR="00D30F03" w:rsidRPr="00CD5352" w:rsidRDefault="00D30F03" w:rsidP="003421E8">
            <w:pPr>
              <w:rPr>
                <w:sz w:val="20"/>
                <w:szCs w:val="20"/>
              </w:rPr>
            </w:pPr>
            <w:r w:rsidRPr="00CD5352">
              <w:rPr>
                <w:sz w:val="20"/>
                <w:szCs w:val="20"/>
              </w:rPr>
              <w:t>Population</w:t>
            </w:r>
            <w:r w:rsidR="000159A6" w:rsidRPr="00CD5352">
              <w:rPr>
                <w:sz w:val="20"/>
                <w:szCs w:val="20"/>
              </w:rPr>
              <w:t xml:space="preserve"> </w:t>
            </w:r>
            <w:r w:rsidRPr="00CD5352">
              <w:rPr>
                <w:sz w:val="20"/>
                <w:szCs w:val="20"/>
              </w:rPr>
              <w:t>PD</w:t>
            </w:r>
            <w:r w:rsidR="000159A6" w:rsidRPr="00CD5352">
              <w:rPr>
                <w:sz w:val="20"/>
                <w:szCs w:val="20"/>
              </w:rPr>
              <w:t xml:space="preserve"> </w:t>
            </w:r>
            <w:r w:rsidRPr="00CD5352">
              <w:rPr>
                <w:sz w:val="20"/>
                <w:szCs w:val="20"/>
              </w:rPr>
              <w:t>and</w:t>
            </w:r>
            <w:r w:rsidR="000159A6" w:rsidRPr="00CD5352">
              <w:rPr>
                <w:sz w:val="20"/>
                <w:szCs w:val="20"/>
              </w:rPr>
              <w:t xml:space="preserve"> </w:t>
            </w:r>
            <w:r w:rsidRPr="00CD5352">
              <w:rPr>
                <w:sz w:val="20"/>
                <w:szCs w:val="20"/>
              </w:rPr>
              <w:t>PK-PD</w:t>
            </w:r>
            <w:r w:rsidR="000159A6" w:rsidRPr="00CD5352">
              <w:rPr>
                <w:sz w:val="20"/>
                <w:szCs w:val="20"/>
              </w:rPr>
              <w:t xml:space="preserve"> </w:t>
            </w:r>
            <w:r w:rsidRPr="00CD5352">
              <w:rPr>
                <w:sz w:val="20"/>
                <w:szCs w:val="20"/>
              </w:rPr>
              <w:t>analyses</w:t>
            </w:r>
          </w:p>
        </w:tc>
        <w:tc>
          <w:tcPr>
            <w:tcW w:w="3402" w:type="dxa"/>
          </w:tcPr>
          <w:p w14:paraId="45257437" w14:textId="4C357168" w:rsidR="00D30F03" w:rsidRPr="00CD5352" w:rsidRDefault="00D30F03" w:rsidP="003421E8">
            <w:pPr>
              <w:rPr>
                <w:sz w:val="20"/>
                <w:szCs w:val="20"/>
              </w:rPr>
            </w:pPr>
            <w:r w:rsidRPr="00CD5352">
              <w:rPr>
                <w:sz w:val="20"/>
                <w:szCs w:val="20"/>
              </w:rPr>
              <w:t>No</w:t>
            </w:r>
            <w:r w:rsidR="000159A6" w:rsidRPr="00CD5352">
              <w:rPr>
                <w:sz w:val="20"/>
                <w:szCs w:val="20"/>
              </w:rPr>
              <w:t xml:space="preserve"> </w:t>
            </w:r>
            <w:r w:rsidRPr="00CD5352">
              <w:rPr>
                <w:sz w:val="20"/>
                <w:szCs w:val="20"/>
              </w:rPr>
              <w:t>studies</w:t>
            </w:r>
          </w:p>
        </w:tc>
        <w:tc>
          <w:tcPr>
            <w:tcW w:w="2388" w:type="dxa"/>
            <w:vMerge w:val="restart"/>
          </w:tcPr>
          <w:p w14:paraId="0DFB31D3" w14:textId="77777777" w:rsidR="00D30F03" w:rsidRPr="00CD5352" w:rsidRDefault="00D30F03" w:rsidP="003421E8">
            <w:pPr>
              <w:rPr>
                <w:sz w:val="20"/>
                <w:szCs w:val="20"/>
              </w:rPr>
            </w:pPr>
          </w:p>
        </w:tc>
      </w:tr>
      <w:tr w:rsidR="00D30F03" w:rsidRPr="00CD5352" w14:paraId="02E83300" w14:textId="77777777" w:rsidTr="003421E8">
        <w:trPr>
          <w:trHeight w:val="153"/>
        </w:trPr>
        <w:tc>
          <w:tcPr>
            <w:tcW w:w="3085" w:type="dxa"/>
            <w:vMerge/>
          </w:tcPr>
          <w:p w14:paraId="6DB63953" w14:textId="77777777" w:rsidR="00D30F03" w:rsidRPr="00CD5352" w:rsidRDefault="00D30F03" w:rsidP="003421E8">
            <w:pPr>
              <w:rPr>
                <w:sz w:val="20"/>
                <w:szCs w:val="20"/>
              </w:rPr>
            </w:pPr>
          </w:p>
        </w:tc>
        <w:tc>
          <w:tcPr>
            <w:tcW w:w="3402" w:type="dxa"/>
          </w:tcPr>
          <w:p w14:paraId="77CC6327" w14:textId="481EBCDF" w:rsidR="00D30F03" w:rsidRPr="00CD5352" w:rsidRDefault="00D30F03" w:rsidP="003421E8">
            <w:pPr>
              <w:rPr>
                <w:sz w:val="20"/>
                <w:szCs w:val="20"/>
              </w:rPr>
            </w:pPr>
            <w:r w:rsidRPr="00CD5352">
              <w:rPr>
                <w:sz w:val="20"/>
                <w:szCs w:val="20"/>
              </w:rPr>
              <w:t>No</w:t>
            </w:r>
            <w:r w:rsidR="000159A6" w:rsidRPr="00CD5352">
              <w:rPr>
                <w:sz w:val="20"/>
                <w:szCs w:val="20"/>
              </w:rPr>
              <w:t xml:space="preserve"> </w:t>
            </w:r>
            <w:r w:rsidRPr="00CD5352">
              <w:rPr>
                <w:sz w:val="20"/>
                <w:szCs w:val="20"/>
              </w:rPr>
              <w:t>studies</w:t>
            </w:r>
          </w:p>
        </w:tc>
        <w:tc>
          <w:tcPr>
            <w:tcW w:w="2388" w:type="dxa"/>
            <w:vMerge/>
          </w:tcPr>
          <w:p w14:paraId="7B58E06A" w14:textId="77777777" w:rsidR="00D30F03" w:rsidRPr="00CD5352" w:rsidRDefault="00D30F03" w:rsidP="003421E8">
            <w:pPr>
              <w:rPr>
                <w:sz w:val="20"/>
                <w:szCs w:val="20"/>
              </w:rPr>
            </w:pPr>
          </w:p>
        </w:tc>
      </w:tr>
    </w:tbl>
    <w:p w14:paraId="08205006" w14:textId="0CE7DE3A" w:rsidR="005C0A6F" w:rsidRPr="008F7BC7" w:rsidRDefault="00605AD4" w:rsidP="00A97634">
      <w:pPr>
        <w:pStyle w:val="Heading4"/>
      </w:pPr>
      <w:r w:rsidRPr="008F7BC7">
        <w:t>Evaluator’s</w:t>
      </w:r>
      <w:r w:rsidR="000159A6" w:rsidRPr="008F7BC7">
        <w:t xml:space="preserve"> </w:t>
      </w:r>
      <w:r w:rsidRPr="008F7BC7">
        <w:t>conclusions</w:t>
      </w:r>
      <w:r w:rsidR="000159A6" w:rsidRPr="008F7BC7">
        <w:t xml:space="preserve"> </w:t>
      </w:r>
      <w:r w:rsidRPr="008F7BC7">
        <w:t>on</w:t>
      </w:r>
      <w:r w:rsidR="000159A6" w:rsidRPr="008F7BC7">
        <w:t xml:space="preserve"> </w:t>
      </w:r>
      <w:r w:rsidRPr="00A97634">
        <w:t>pharmacodynamics</w:t>
      </w:r>
    </w:p>
    <w:p w14:paraId="333F3D42" w14:textId="0F04A678" w:rsidR="00D30F03" w:rsidRDefault="00D30F03" w:rsidP="00A97634">
      <w:pPr>
        <w:rPr>
          <w:lang w:eastAsia="ja-JP"/>
        </w:rPr>
      </w:pPr>
      <w:r>
        <w:rPr>
          <w:lang w:eastAsia="ja-JP"/>
        </w:rPr>
        <w:t>HZ/</w:t>
      </w:r>
      <w:proofErr w:type="spellStart"/>
      <w:r>
        <w:rPr>
          <w:lang w:eastAsia="ja-JP"/>
        </w:rPr>
        <w:t>su</w:t>
      </w:r>
      <w:proofErr w:type="spellEnd"/>
      <w:r>
        <w:rPr>
          <w:lang w:eastAsia="ja-JP"/>
        </w:rPr>
        <w:t>,</w:t>
      </w:r>
      <w:r w:rsidR="000159A6">
        <w:rPr>
          <w:lang w:eastAsia="ja-JP"/>
        </w:rPr>
        <w:t xml:space="preserve"> </w:t>
      </w:r>
      <w:r>
        <w:rPr>
          <w:lang w:eastAsia="ja-JP"/>
        </w:rPr>
        <w:t>given</w:t>
      </w:r>
      <w:r w:rsidR="000159A6">
        <w:rPr>
          <w:lang w:eastAsia="ja-JP"/>
        </w:rPr>
        <w:t xml:space="preserve"> </w:t>
      </w:r>
      <w:r>
        <w:rPr>
          <w:lang w:eastAsia="ja-JP"/>
        </w:rPr>
        <w:t>by</w:t>
      </w:r>
      <w:r w:rsidR="000159A6">
        <w:rPr>
          <w:lang w:eastAsia="ja-JP"/>
        </w:rPr>
        <w:t xml:space="preserve"> </w:t>
      </w:r>
      <w:r>
        <w:rPr>
          <w:lang w:eastAsia="ja-JP"/>
        </w:rPr>
        <w:t>IM</w:t>
      </w:r>
      <w:r w:rsidR="000159A6">
        <w:rPr>
          <w:lang w:eastAsia="ja-JP"/>
        </w:rPr>
        <w:t xml:space="preserve"> </w:t>
      </w:r>
      <w:r>
        <w:rPr>
          <w:lang w:eastAsia="ja-JP"/>
        </w:rPr>
        <w:t>route</w:t>
      </w:r>
      <w:r w:rsidR="000159A6">
        <w:rPr>
          <w:lang w:eastAsia="ja-JP"/>
        </w:rPr>
        <w:t xml:space="preserve"> </w:t>
      </w:r>
      <w:r>
        <w:rPr>
          <w:lang w:eastAsia="ja-JP"/>
        </w:rPr>
        <w:t>according</w:t>
      </w:r>
      <w:r w:rsidR="000159A6">
        <w:rPr>
          <w:lang w:eastAsia="ja-JP"/>
        </w:rPr>
        <w:t xml:space="preserve"> </w:t>
      </w:r>
      <w:r>
        <w:rPr>
          <w:lang w:eastAsia="ja-JP"/>
        </w:rPr>
        <w:t>to</w:t>
      </w:r>
      <w:r w:rsidR="000159A6">
        <w:rPr>
          <w:lang w:eastAsia="ja-JP"/>
        </w:rPr>
        <w:t xml:space="preserve"> </w:t>
      </w:r>
      <w:r>
        <w:rPr>
          <w:lang w:eastAsia="ja-JP"/>
        </w:rPr>
        <w:t>a</w:t>
      </w:r>
      <w:r w:rsidR="000159A6">
        <w:rPr>
          <w:lang w:eastAsia="ja-JP"/>
        </w:rPr>
        <w:t xml:space="preserve"> </w:t>
      </w:r>
      <w:r>
        <w:rPr>
          <w:lang w:eastAsia="ja-JP"/>
        </w:rPr>
        <w:t>2</w:t>
      </w:r>
      <w:r w:rsidR="000159A6">
        <w:rPr>
          <w:lang w:eastAsia="ja-JP"/>
        </w:rPr>
        <w:t xml:space="preserve"> </w:t>
      </w:r>
      <w:r>
        <w:rPr>
          <w:lang w:eastAsia="ja-JP"/>
        </w:rPr>
        <w:t>dose</w:t>
      </w:r>
      <w:r w:rsidR="000159A6">
        <w:rPr>
          <w:lang w:eastAsia="ja-JP"/>
        </w:rPr>
        <w:t xml:space="preserve"> </w:t>
      </w:r>
      <w:r>
        <w:rPr>
          <w:lang w:eastAsia="ja-JP"/>
        </w:rPr>
        <w:t>schedule,</w:t>
      </w:r>
      <w:r w:rsidR="000159A6">
        <w:rPr>
          <w:lang w:eastAsia="ja-JP"/>
        </w:rPr>
        <w:t xml:space="preserve"> </w:t>
      </w:r>
      <w:r>
        <w:rPr>
          <w:lang w:eastAsia="ja-JP"/>
        </w:rPr>
        <w:t>induced</w:t>
      </w:r>
      <w:r w:rsidR="000159A6">
        <w:rPr>
          <w:lang w:eastAsia="ja-JP"/>
        </w:rPr>
        <w:t xml:space="preserve"> </w:t>
      </w:r>
      <w:r>
        <w:rPr>
          <w:lang w:eastAsia="ja-JP"/>
        </w:rPr>
        <w:t>robust</w:t>
      </w:r>
      <w:r w:rsidR="000159A6">
        <w:rPr>
          <w:lang w:eastAsia="ja-JP"/>
        </w:rPr>
        <w:t xml:space="preserve"> </w:t>
      </w:r>
      <w:r>
        <w:rPr>
          <w:lang w:eastAsia="ja-JP"/>
        </w:rPr>
        <w:t>antigen</w:t>
      </w:r>
      <w:r w:rsidR="000159A6">
        <w:rPr>
          <w:lang w:eastAsia="ja-JP"/>
        </w:rPr>
        <w:t xml:space="preserve"> </w:t>
      </w:r>
      <w:r>
        <w:rPr>
          <w:lang w:eastAsia="ja-JP"/>
        </w:rPr>
        <w:t>specific</w:t>
      </w:r>
      <w:r w:rsidR="000159A6">
        <w:rPr>
          <w:lang w:eastAsia="ja-JP"/>
        </w:rPr>
        <w:t xml:space="preserve"> </w:t>
      </w:r>
      <w:r>
        <w:rPr>
          <w:lang w:eastAsia="ja-JP"/>
        </w:rPr>
        <w:t>immune</w:t>
      </w:r>
      <w:r w:rsidR="000159A6">
        <w:rPr>
          <w:lang w:eastAsia="ja-JP"/>
        </w:rPr>
        <w:t xml:space="preserve"> </w:t>
      </w:r>
      <w:r>
        <w:rPr>
          <w:lang w:eastAsia="ja-JP"/>
        </w:rPr>
        <w:t>responses</w:t>
      </w:r>
      <w:r w:rsidR="000159A6">
        <w:rPr>
          <w:lang w:eastAsia="ja-JP"/>
        </w:rPr>
        <w:t xml:space="preserve"> </w:t>
      </w:r>
      <w:r>
        <w:rPr>
          <w:lang w:eastAsia="ja-JP"/>
        </w:rPr>
        <w:t>in</w:t>
      </w:r>
      <w:r w:rsidR="000159A6">
        <w:rPr>
          <w:lang w:eastAsia="ja-JP"/>
        </w:rPr>
        <w:t xml:space="preserve"> </w:t>
      </w:r>
      <w:r>
        <w:rPr>
          <w:lang w:eastAsia="ja-JP"/>
        </w:rPr>
        <w:t>adults</w:t>
      </w:r>
      <w:r w:rsidR="000159A6">
        <w:rPr>
          <w:lang w:eastAsia="ja-JP"/>
        </w:rPr>
        <w:t xml:space="preserve"> </w:t>
      </w:r>
      <w:r w:rsidR="0037169B">
        <w:rPr>
          <w:lang w:eastAsia="ja-JP"/>
        </w:rPr>
        <w:t>≥</w:t>
      </w:r>
      <w:r w:rsidR="000159A6">
        <w:rPr>
          <w:lang w:eastAsia="ja-JP"/>
        </w:rPr>
        <w:t xml:space="preserve"> </w:t>
      </w:r>
      <w:r>
        <w:rPr>
          <w:lang w:eastAsia="ja-JP"/>
        </w:rPr>
        <w:t>50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that</w:t>
      </w:r>
      <w:r w:rsidR="000159A6">
        <w:rPr>
          <w:lang w:eastAsia="ja-JP"/>
        </w:rPr>
        <w:t xml:space="preserve"> </w:t>
      </w:r>
      <w:r>
        <w:rPr>
          <w:lang w:eastAsia="ja-JP"/>
        </w:rPr>
        <w:t>were</w:t>
      </w:r>
      <w:r w:rsidR="000159A6">
        <w:rPr>
          <w:lang w:eastAsia="ja-JP"/>
        </w:rPr>
        <w:t xml:space="preserve"> </w:t>
      </w:r>
      <w:r>
        <w:rPr>
          <w:lang w:eastAsia="ja-JP"/>
        </w:rPr>
        <w:t>consistently</w:t>
      </w:r>
      <w:r w:rsidR="000159A6">
        <w:rPr>
          <w:lang w:eastAsia="ja-JP"/>
        </w:rPr>
        <w:t xml:space="preserve"> </w:t>
      </w:r>
      <w:r>
        <w:rPr>
          <w:lang w:eastAsia="ja-JP"/>
        </w:rPr>
        <w:t>high</w:t>
      </w:r>
      <w:r w:rsidR="000159A6">
        <w:rPr>
          <w:lang w:eastAsia="ja-JP"/>
        </w:rPr>
        <w:t xml:space="preserve"> </w:t>
      </w:r>
      <w:r>
        <w:rPr>
          <w:lang w:eastAsia="ja-JP"/>
        </w:rPr>
        <w:t>1</w:t>
      </w:r>
      <w:r w:rsidR="000159A6">
        <w:rPr>
          <w:lang w:eastAsia="ja-JP"/>
        </w:rPr>
        <w:t xml:space="preserve"> </w:t>
      </w:r>
      <w:r>
        <w:rPr>
          <w:lang w:eastAsia="ja-JP"/>
        </w:rPr>
        <w:t>month</w:t>
      </w:r>
      <w:r w:rsidR="000159A6">
        <w:rPr>
          <w:lang w:eastAsia="ja-JP"/>
        </w:rPr>
        <w:t xml:space="preserve"> </w:t>
      </w:r>
      <w:r>
        <w:rPr>
          <w:lang w:eastAsia="ja-JP"/>
        </w:rPr>
        <w:t>post</w:t>
      </w:r>
      <w:r w:rsidR="000159A6">
        <w:rPr>
          <w:lang w:eastAsia="ja-JP"/>
        </w:rPr>
        <w:t xml:space="preserve"> </w:t>
      </w:r>
      <w:r>
        <w:rPr>
          <w:lang w:eastAsia="ja-JP"/>
        </w:rPr>
        <w:t>Dose</w:t>
      </w:r>
      <w:r w:rsidR="000159A6">
        <w:rPr>
          <w:lang w:eastAsia="ja-JP"/>
        </w:rPr>
        <w:t xml:space="preserve"> </w:t>
      </w:r>
      <w:r>
        <w:rPr>
          <w:lang w:eastAsia="ja-JP"/>
        </w:rPr>
        <w:t>2</w:t>
      </w:r>
      <w:r w:rsidR="000159A6">
        <w:rPr>
          <w:lang w:eastAsia="ja-JP"/>
        </w:rPr>
        <w:t xml:space="preserve"> </w:t>
      </w:r>
      <w:r>
        <w:rPr>
          <w:lang w:eastAsia="ja-JP"/>
        </w:rPr>
        <w:t>in</w:t>
      </w:r>
      <w:r w:rsidR="000159A6">
        <w:rPr>
          <w:lang w:eastAsia="ja-JP"/>
        </w:rPr>
        <w:t xml:space="preserve"> </w:t>
      </w:r>
      <w:r>
        <w:rPr>
          <w:lang w:eastAsia="ja-JP"/>
        </w:rPr>
        <w:t>all</w:t>
      </w:r>
      <w:r w:rsidR="000159A6">
        <w:rPr>
          <w:lang w:eastAsia="ja-JP"/>
        </w:rPr>
        <w:t xml:space="preserve"> </w:t>
      </w:r>
      <w:r>
        <w:rPr>
          <w:lang w:eastAsia="ja-JP"/>
        </w:rPr>
        <w:t>age</w:t>
      </w:r>
      <w:r w:rsidR="000159A6">
        <w:rPr>
          <w:lang w:eastAsia="ja-JP"/>
        </w:rPr>
        <w:t xml:space="preserve"> </w:t>
      </w:r>
      <w:r>
        <w:rPr>
          <w:lang w:eastAsia="ja-JP"/>
        </w:rPr>
        <w:t>strata.</w:t>
      </w:r>
      <w:r w:rsidR="000159A6">
        <w:rPr>
          <w:lang w:eastAsia="ja-JP"/>
        </w:rPr>
        <w:t xml:space="preserve"> </w:t>
      </w:r>
      <w:r>
        <w:rPr>
          <w:lang w:eastAsia="ja-JP"/>
        </w:rPr>
        <w:t>Immune</w:t>
      </w:r>
      <w:r w:rsidR="000159A6">
        <w:rPr>
          <w:lang w:eastAsia="ja-JP"/>
        </w:rPr>
        <w:t xml:space="preserve"> </w:t>
      </w:r>
      <w:r>
        <w:rPr>
          <w:lang w:eastAsia="ja-JP"/>
        </w:rPr>
        <w:t>response</w:t>
      </w:r>
      <w:r w:rsidR="00302976">
        <w:rPr>
          <w:lang w:eastAsia="ja-JP"/>
        </w:rPr>
        <w:t>s</w:t>
      </w:r>
      <w:r w:rsidR="000159A6">
        <w:rPr>
          <w:lang w:eastAsia="ja-JP"/>
        </w:rPr>
        <w:t xml:space="preserve"> </w:t>
      </w:r>
      <w:r w:rsidR="00302976">
        <w:rPr>
          <w:lang w:eastAsia="ja-JP"/>
        </w:rPr>
        <w:t>were</w:t>
      </w:r>
      <w:r w:rsidR="000159A6">
        <w:rPr>
          <w:lang w:eastAsia="ja-JP"/>
        </w:rPr>
        <w:t xml:space="preserve"> </w:t>
      </w:r>
      <w:r>
        <w:rPr>
          <w:lang w:eastAsia="ja-JP"/>
        </w:rPr>
        <w:t>also</w:t>
      </w:r>
      <w:r w:rsidR="000159A6">
        <w:rPr>
          <w:lang w:eastAsia="ja-JP"/>
        </w:rPr>
        <w:t xml:space="preserve"> </w:t>
      </w:r>
      <w:r>
        <w:rPr>
          <w:lang w:eastAsia="ja-JP"/>
        </w:rPr>
        <w:t>robust</w:t>
      </w:r>
      <w:r w:rsidR="000159A6">
        <w:rPr>
          <w:lang w:eastAsia="ja-JP"/>
        </w:rPr>
        <w:t xml:space="preserve"> </w:t>
      </w:r>
      <w:r>
        <w:rPr>
          <w:lang w:eastAsia="ja-JP"/>
        </w:rPr>
        <w:t>in</w:t>
      </w:r>
      <w:r w:rsidR="000159A6">
        <w:rPr>
          <w:lang w:eastAsia="ja-JP"/>
        </w:rPr>
        <w:t xml:space="preserve"> </w:t>
      </w:r>
      <w:proofErr w:type="gramStart"/>
      <w:r>
        <w:rPr>
          <w:lang w:eastAsia="ja-JP"/>
        </w:rPr>
        <w:t>adults</w:t>
      </w:r>
      <w:proofErr w:type="gramEnd"/>
      <w:r w:rsidR="000159A6">
        <w:rPr>
          <w:lang w:eastAsia="ja-JP"/>
        </w:rPr>
        <w:t xml:space="preserve"> </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although</w:t>
      </w:r>
      <w:r w:rsidR="000159A6">
        <w:rPr>
          <w:lang w:eastAsia="ja-JP"/>
        </w:rPr>
        <w:t xml:space="preserve"> </w:t>
      </w:r>
      <w:r>
        <w:rPr>
          <w:lang w:eastAsia="ja-JP"/>
        </w:rPr>
        <w:t>with</w:t>
      </w:r>
      <w:r w:rsidR="000159A6">
        <w:rPr>
          <w:lang w:eastAsia="ja-JP"/>
        </w:rPr>
        <w:t xml:space="preserve"> </w:t>
      </w:r>
      <w:r>
        <w:rPr>
          <w:lang w:eastAsia="ja-JP"/>
        </w:rPr>
        <w:t>increasing</w:t>
      </w:r>
      <w:r w:rsidR="000159A6">
        <w:rPr>
          <w:lang w:eastAsia="ja-JP"/>
        </w:rPr>
        <w:t xml:space="preserve"> </w:t>
      </w:r>
      <w:r>
        <w:rPr>
          <w:lang w:eastAsia="ja-JP"/>
        </w:rPr>
        <w:t>age,</w:t>
      </w:r>
      <w:r w:rsidR="000159A6">
        <w:rPr>
          <w:lang w:eastAsia="ja-JP"/>
        </w:rPr>
        <w:t xml:space="preserve"> </w:t>
      </w:r>
      <w:r>
        <w:rPr>
          <w:lang w:eastAsia="ja-JP"/>
        </w:rPr>
        <w:t>there</w:t>
      </w:r>
      <w:r w:rsidR="000159A6">
        <w:rPr>
          <w:lang w:eastAsia="ja-JP"/>
        </w:rPr>
        <w:t xml:space="preserve"> </w:t>
      </w:r>
      <w:r>
        <w:rPr>
          <w:lang w:eastAsia="ja-JP"/>
        </w:rPr>
        <w:t>appears</w:t>
      </w:r>
      <w:r w:rsidR="000159A6">
        <w:rPr>
          <w:lang w:eastAsia="ja-JP"/>
        </w:rPr>
        <w:t xml:space="preserve"> </w:t>
      </w:r>
      <w:r>
        <w:rPr>
          <w:lang w:eastAsia="ja-JP"/>
        </w:rPr>
        <w:t>to</w:t>
      </w:r>
      <w:r w:rsidR="000159A6">
        <w:rPr>
          <w:lang w:eastAsia="ja-JP"/>
        </w:rPr>
        <w:t xml:space="preserve"> </w:t>
      </w:r>
      <w:r>
        <w:rPr>
          <w:lang w:eastAsia="ja-JP"/>
        </w:rPr>
        <w:t>be</w:t>
      </w:r>
      <w:r w:rsidR="000159A6">
        <w:rPr>
          <w:lang w:eastAsia="ja-JP"/>
        </w:rPr>
        <w:t xml:space="preserve"> </w:t>
      </w:r>
      <w:r>
        <w:rPr>
          <w:lang w:eastAsia="ja-JP"/>
        </w:rPr>
        <w:t>a</w:t>
      </w:r>
      <w:r w:rsidR="000159A6">
        <w:rPr>
          <w:lang w:eastAsia="ja-JP"/>
        </w:rPr>
        <w:t xml:space="preserve"> </w:t>
      </w:r>
      <w:r>
        <w:rPr>
          <w:lang w:eastAsia="ja-JP"/>
        </w:rPr>
        <w:t>trend</w:t>
      </w:r>
      <w:r w:rsidR="000159A6">
        <w:rPr>
          <w:lang w:eastAsia="ja-JP"/>
        </w:rPr>
        <w:t xml:space="preserve"> </w:t>
      </w:r>
      <w:r>
        <w:rPr>
          <w:lang w:eastAsia="ja-JP"/>
        </w:rPr>
        <w:t>to</w:t>
      </w:r>
      <w:r w:rsidR="000159A6">
        <w:rPr>
          <w:lang w:eastAsia="ja-JP"/>
        </w:rPr>
        <w:t xml:space="preserve"> </w:t>
      </w:r>
      <w:r>
        <w:rPr>
          <w:lang w:eastAsia="ja-JP"/>
        </w:rPr>
        <w:t>slightly</w:t>
      </w:r>
      <w:r w:rsidR="000159A6">
        <w:rPr>
          <w:lang w:eastAsia="ja-JP"/>
        </w:rPr>
        <w:t xml:space="preserve"> </w:t>
      </w:r>
      <w:r>
        <w:rPr>
          <w:lang w:eastAsia="ja-JP"/>
        </w:rPr>
        <w:t>lower</w:t>
      </w:r>
      <w:r w:rsidR="000159A6">
        <w:rPr>
          <w:lang w:eastAsia="ja-JP"/>
        </w:rPr>
        <w:t xml:space="preserve"> </w:t>
      </w:r>
      <w:r>
        <w:rPr>
          <w:lang w:eastAsia="ja-JP"/>
        </w:rPr>
        <w:t>anti-gE</w:t>
      </w:r>
      <w:r w:rsidR="000159A6">
        <w:rPr>
          <w:lang w:eastAsia="ja-JP"/>
        </w:rPr>
        <w:t xml:space="preserve"> </w:t>
      </w:r>
      <w:r w:rsidR="00331AB9">
        <w:t>Antibody</w:t>
      </w:r>
      <w:r w:rsidR="000159A6">
        <w:rPr>
          <w:lang w:eastAsia="ja-JP"/>
        </w:rPr>
        <w:t xml:space="preserve"> </w:t>
      </w:r>
      <w:r w:rsidR="00331AB9">
        <w:rPr>
          <w:lang w:eastAsia="ja-JP"/>
        </w:rPr>
        <w:t>(</w:t>
      </w:r>
      <w:r>
        <w:rPr>
          <w:lang w:eastAsia="ja-JP"/>
        </w:rPr>
        <w:t>Ab</w:t>
      </w:r>
      <w:r w:rsidR="00331AB9">
        <w:rPr>
          <w:lang w:eastAsia="ja-JP"/>
        </w:rPr>
        <w:t>)</w:t>
      </w:r>
      <w:r w:rsidR="000159A6">
        <w:rPr>
          <w:lang w:eastAsia="ja-JP"/>
        </w:rPr>
        <w:t xml:space="preserve"> </w:t>
      </w:r>
      <w:r>
        <w:rPr>
          <w:lang w:eastAsia="ja-JP"/>
        </w:rPr>
        <w:t>and</w:t>
      </w:r>
      <w:r w:rsidR="000159A6">
        <w:rPr>
          <w:lang w:eastAsia="ja-JP"/>
        </w:rPr>
        <w:t xml:space="preserve"> </w:t>
      </w:r>
      <w:r>
        <w:rPr>
          <w:lang w:eastAsia="ja-JP"/>
        </w:rPr>
        <w:t>CMI</w:t>
      </w:r>
      <w:r w:rsidR="000159A6">
        <w:rPr>
          <w:lang w:eastAsia="ja-JP"/>
        </w:rPr>
        <w:t xml:space="preserve"> </w:t>
      </w:r>
      <w:r>
        <w:rPr>
          <w:lang w:eastAsia="ja-JP"/>
        </w:rPr>
        <w:t>responses</w:t>
      </w:r>
      <w:r w:rsidR="000159A6">
        <w:rPr>
          <w:lang w:eastAsia="ja-JP"/>
        </w:rPr>
        <w:t xml:space="preserve"> </w:t>
      </w:r>
      <w:r>
        <w:rPr>
          <w:lang w:eastAsia="ja-JP"/>
        </w:rPr>
        <w:t>and</w:t>
      </w:r>
      <w:r w:rsidR="000159A6">
        <w:rPr>
          <w:lang w:eastAsia="ja-JP"/>
        </w:rPr>
        <w:t xml:space="preserve"> </w:t>
      </w:r>
      <w:r>
        <w:rPr>
          <w:lang w:eastAsia="ja-JP"/>
        </w:rPr>
        <w:t>more</w:t>
      </w:r>
      <w:r w:rsidR="000159A6">
        <w:rPr>
          <w:lang w:eastAsia="ja-JP"/>
        </w:rPr>
        <w:t xml:space="preserve"> </w:t>
      </w:r>
      <w:r>
        <w:rPr>
          <w:lang w:eastAsia="ja-JP"/>
        </w:rPr>
        <w:t>rapid</w:t>
      </w:r>
      <w:r w:rsidR="000159A6">
        <w:rPr>
          <w:lang w:eastAsia="ja-JP"/>
        </w:rPr>
        <w:t xml:space="preserve"> </w:t>
      </w:r>
      <w:r>
        <w:rPr>
          <w:lang w:eastAsia="ja-JP"/>
        </w:rPr>
        <w:t>waning</w:t>
      </w:r>
      <w:r w:rsidR="000159A6">
        <w:rPr>
          <w:lang w:eastAsia="ja-JP"/>
        </w:rPr>
        <w:t xml:space="preserve"> </w:t>
      </w:r>
      <w:r>
        <w:rPr>
          <w:lang w:eastAsia="ja-JP"/>
        </w:rPr>
        <w:t>of</w:t>
      </w:r>
      <w:r w:rsidR="000159A6">
        <w:rPr>
          <w:lang w:eastAsia="ja-JP"/>
        </w:rPr>
        <w:t xml:space="preserve"> </w:t>
      </w:r>
      <w:r>
        <w:rPr>
          <w:lang w:eastAsia="ja-JP"/>
        </w:rPr>
        <w:t>immune</w:t>
      </w:r>
      <w:r w:rsidR="000159A6">
        <w:rPr>
          <w:lang w:eastAsia="ja-JP"/>
        </w:rPr>
        <w:t xml:space="preserve"> </w:t>
      </w:r>
      <w:r>
        <w:rPr>
          <w:lang w:eastAsia="ja-JP"/>
        </w:rPr>
        <w:t>responses.</w:t>
      </w:r>
      <w:r w:rsidR="000159A6">
        <w:rPr>
          <w:lang w:eastAsia="ja-JP"/>
        </w:rPr>
        <w:t xml:space="preserve"> </w:t>
      </w:r>
      <w:r w:rsidRPr="00275AA7">
        <w:rPr>
          <w:lang w:eastAsia="ja-JP"/>
        </w:rPr>
        <w:t>The</w:t>
      </w:r>
      <w:r w:rsidR="000159A6">
        <w:rPr>
          <w:lang w:eastAsia="ja-JP"/>
        </w:rPr>
        <w:t xml:space="preserve"> </w:t>
      </w:r>
      <w:r w:rsidRPr="00275AA7">
        <w:rPr>
          <w:lang w:eastAsia="ja-JP"/>
        </w:rPr>
        <w:t>strong</w:t>
      </w:r>
      <w:r w:rsidR="000159A6">
        <w:rPr>
          <w:lang w:eastAsia="ja-JP"/>
        </w:rPr>
        <w:t xml:space="preserve"> </w:t>
      </w:r>
      <w:r w:rsidRPr="00275AA7">
        <w:rPr>
          <w:lang w:eastAsia="ja-JP"/>
        </w:rPr>
        <w:t>immune</w:t>
      </w:r>
      <w:r w:rsidR="000159A6">
        <w:rPr>
          <w:lang w:eastAsia="ja-JP"/>
        </w:rPr>
        <w:t xml:space="preserve"> </w:t>
      </w:r>
      <w:r w:rsidRPr="00275AA7">
        <w:rPr>
          <w:lang w:eastAsia="ja-JP"/>
        </w:rPr>
        <w:t>response,</w:t>
      </w:r>
      <w:r w:rsidR="000159A6">
        <w:rPr>
          <w:lang w:eastAsia="ja-JP"/>
        </w:rPr>
        <w:t xml:space="preserve"> </w:t>
      </w:r>
      <w:r w:rsidRPr="00275AA7">
        <w:rPr>
          <w:lang w:eastAsia="ja-JP"/>
        </w:rPr>
        <w:t>both</w:t>
      </w:r>
      <w:r w:rsidR="000159A6">
        <w:rPr>
          <w:lang w:eastAsia="ja-JP"/>
        </w:rPr>
        <w:t xml:space="preserve"> </w:t>
      </w:r>
      <w:r w:rsidRPr="00275AA7">
        <w:rPr>
          <w:lang w:eastAsia="ja-JP"/>
        </w:rPr>
        <w:t>cell</w:t>
      </w:r>
      <w:r w:rsidR="000159A6">
        <w:rPr>
          <w:lang w:eastAsia="ja-JP"/>
        </w:rPr>
        <w:t xml:space="preserve"> </w:t>
      </w:r>
      <w:r w:rsidRPr="00275AA7">
        <w:rPr>
          <w:lang w:eastAsia="ja-JP"/>
        </w:rPr>
        <w:t>mediated</w:t>
      </w:r>
      <w:r w:rsidR="000159A6">
        <w:rPr>
          <w:lang w:eastAsia="ja-JP"/>
        </w:rPr>
        <w:t xml:space="preserve"> </w:t>
      </w:r>
      <w:r w:rsidRPr="00275AA7">
        <w:rPr>
          <w:lang w:eastAsia="ja-JP"/>
        </w:rPr>
        <w:t>and</w:t>
      </w:r>
      <w:r w:rsidR="000159A6">
        <w:rPr>
          <w:lang w:eastAsia="ja-JP"/>
        </w:rPr>
        <w:t xml:space="preserve"> </w:t>
      </w:r>
      <w:r w:rsidRPr="00275AA7">
        <w:rPr>
          <w:lang w:eastAsia="ja-JP"/>
        </w:rPr>
        <w:t>humoral,</w:t>
      </w:r>
      <w:r w:rsidR="000159A6">
        <w:rPr>
          <w:lang w:eastAsia="ja-JP"/>
        </w:rPr>
        <w:t xml:space="preserve"> </w:t>
      </w:r>
      <w:r w:rsidRPr="00275AA7">
        <w:rPr>
          <w:lang w:eastAsia="ja-JP"/>
        </w:rPr>
        <w:t>is</w:t>
      </w:r>
      <w:r w:rsidR="000159A6">
        <w:rPr>
          <w:lang w:eastAsia="ja-JP"/>
        </w:rPr>
        <w:t xml:space="preserve"> </w:t>
      </w:r>
      <w:r w:rsidRPr="00275AA7">
        <w:rPr>
          <w:lang w:eastAsia="ja-JP"/>
        </w:rPr>
        <w:t>important</w:t>
      </w:r>
      <w:r w:rsidR="000159A6">
        <w:rPr>
          <w:lang w:eastAsia="ja-JP"/>
        </w:rPr>
        <w:t xml:space="preserve"> </w:t>
      </w:r>
      <w:r w:rsidRPr="00275AA7">
        <w:rPr>
          <w:lang w:eastAsia="ja-JP"/>
        </w:rPr>
        <w:t>due</w:t>
      </w:r>
      <w:r w:rsidR="000159A6">
        <w:rPr>
          <w:lang w:eastAsia="ja-JP"/>
        </w:rPr>
        <w:t xml:space="preserve"> </w:t>
      </w:r>
      <w:r w:rsidRPr="00275AA7">
        <w:rPr>
          <w:lang w:eastAsia="ja-JP"/>
        </w:rPr>
        <w:t>to</w:t>
      </w:r>
      <w:r w:rsidR="000159A6">
        <w:rPr>
          <w:lang w:eastAsia="ja-JP"/>
        </w:rPr>
        <w:t xml:space="preserve"> </w:t>
      </w:r>
      <w:r w:rsidRPr="00275AA7">
        <w:rPr>
          <w:lang w:eastAsia="ja-JP"/>
        </w:rPr>
        <w:t>the</w:t>
      </w:r>
      <w:r w:rsidR="000159A6">
        <w:rPr>
          <w:lang w:eastAsia="ja-JP"/>
        </w:rPr>
        <w:t xml:space="preserve"> </w:t>
      </w:r>
      <w:r w:rsidRPr="00275AA7">
        <w:rPr>
          <w:lang w:eastAsia="ja-JP"/>
        </w:rPr>
        <w:t>declining</w:t>
      </w:r>
      <w:r w:rsidR="000159A6">
        <w:rPr>
          <w:lang w:eastAsia="ja-JP"/>
        </w:rPr>
        <w:t xml:space="preserve"> </w:t>
      </w:r>
      <w:r w:rsidRPr="00275AA7">
        <w:rPr>
          <w:lang w:eastAsia="ja-JP"/>
        </w:rPr>
        <w:t>immunity</w:t>
      </w:r>
      <w:r w:rsidR="000159A6">
        <w:rPr>
          <w:lang w:eastAsia="ja-JP"/>
        </w:rPr>
        <w:t xml:space="preserve"> </w:t>
      </w:r>
      <w:r w:rsidRPr="00275AA7">
        <w:rPr>
          <w:lang w:eastAsia="ja-JP"/>
        </w:rPr>
        <w:t>in</w:t>
      </w:r>
      <w:r w:rsidR="000159A6">
        <w:rPr>
          <w:lang w:eastAsia="ja-JP"/>
        </w:rPr>
        <w:t xml:space="preserve"> </w:t>
      </w:r>
      <w:r w:rsidRPr="00275AA7">
        <w:rPr>
          <w:lang w:eastAsia="ja-JP"/>
        </w:rPr>
        <w:t>the</w:t>
      </w:r>
      <w:r w:rsidR="000159A6">
        <w:rPr>
          <w:lang w:eastAsia="ja-JP"/>
        </w:rPr>
        <w:t xml:space="preserve"> </w:t>
      </w:r>
      <w:r w:rsidRPr="00275AA7">
        <w:rPr>
          <w:lang w:eastAsia="ja-JP"/>
        </w:rPr>
        <w:t>elderly</w:t>
      </w:r>
      <w:r w:rsidR="000159A6">
        <w:rPr>
          <w:lang w:eastAsia="ja-JP"/>
        </w:rPr>
        <w:t xml:space="preserve"> </w:t>
      </w:r>
      <w:r w:rsidRPr="00275AA7">
        <w:rPr>
          <w:lang w:eastAsia="ja-JP"/>
        </w:rPr>
        <w:t>population.</w:t>
      </w:r>
      <w:r w:rsidR="000159A6">
        <w:rPr>
          <w:lang w:eastAsia="ja-JP"/>
        </w:rPr>
        <w:t xml:space="preserve"> </w:t>
      </w:r>
      <w:r>
        <w:rPr>
          <w:lang w:eastAsia="ja-JP"/>
        </w:rPr>
        <w:t>While</w:t>
      </w:r>
      <w:r w:rsidR="000159A6">
        <w:rPr>
          <w:lang w:eastAsia="ja-JP"/>
        </w:rPr>
        <w:t xml:space="preserve"> </w:t>
      </w:r>
      <w:r>
        <w:rPr>
          <w:lang w:eastAsia="ja-JP"/>
        </w:rPr>
        <w:t>the</w:t>
      </w:r>
      <w:r w:rsidR="000159A6">
        <w:rPr>
          <w:lang w:eastAsia="ja-JP"/>
        </w:rPr>
        <w:t xml:space="preserve"> </w:t>
      </w:r>
      <w:r w:rsidR="000D0435">
        <w:rPr>
          <w:lang w:eastAsia="ja-JP"/>
        </w:rPr>
        <w:t>antigen</w:t>
      </w:r>
      <w:r w:rsidR="000159A6">
        <w:rPr>
          <w:lang w:eastAsia="ja-JP"/>
        </w:rPr>
        <w:t xml:space="preserve"> </w:t>
      </w:r>
      <w:r w:rsidR="000D0435">
        <w:rPr>
          <w:lang w:eastAsia="ja-JP"/>
        </w:rPr>
        <w:t>specific</w:t>
      </w:r>
      <w:r w:rsidR="000159A6">
        <w:rPr>
          <w:lang w:eastAsia="ja-JP"/>
        </w:rPr>
        <w:t xml:space="preserve"> </w:t>
      </w:r>
      <w:r>
        <w:rPr>
          <w:lang w:eastAsia="ja-JP"/>
        </w:rPr>
        <w:t>immunogenicity</w:t>
      </w:r>
      <w:r w:rsidR="000159A6">
        <w:rPr>
          <w:lang w:eastAsia="ja-JP"/>
        </w:rPr>
        <w:t xml:space="preserve"> </w:t>
      </w:r>
      <w:r>
        <w:rPr>
          <w:lang w:eastAsia="ja-JP"/>
        </w:rPr>
        <w:t>decreased</w:t>
      </w:r>
      <w:r w:rsidR="000159A6">
        <w:rPr>
          <w:lang w:eastAsia="ja-JP"/>
        </w:rPr>
        <w:t xml:space="preserve"> </w:t>
      </w:r>
      <w:r>
        <w:rPr>
          <w:lang w:eastAsia="ja-JP"/>
        </w:rPr>
        <w:t>shortly</w:t>
      </w:r>
      <w:r w:rsidR="000159A6">
        <w:rPr>
          <w:lang w:eastAsia="ja-JP"/>
        </w:rPr>
        <w:t xml:space="preserve"> </w:t>
      </w:r>
      <w:r>
        <w:rPr>
          <w:lang w:eastAsia="ja-JP"/>
        </w:rPr>
        <w:t>after</w:t>
      </w:r>
      <w:r w:rsidR="000159A6">
        <w:rPr>
          <w:lang w:eastAsia="ja-JP"/>
        </w:rPr>
        <w:t xml:space="preserve"> </w:t>
      </w:r>
      <w:r>
        <w:rPr>
          <w:lang w:eastAsia="ja-JP"/>
        </w:rPr>
        <w:t>vaccination,</w:t>
      </w:r>
      <w:r w:rsidR="000159A6">
        <w:rPr>
          <w:lang w:eastAsia="ja-JP"/>
        </w:rPr>
        <w:t xml:space="preserve"> </w:t>
      </w:r>
      <w:r>
        <w:rPr>
          <w:lang w:eastAsia="ja-JP"/>
        </w:rPr>
        <w:t>it</w:t>
      </w:r>
      <w:r w:rsidR="000159A6">
        <w:rPr>
          <w:lang w:eastAsia="ja-JP"/>
        </w:rPr>
        <w:t xml:space="preserve"> </w:t>
      </w:r>
      <w:r>
        <w:rPr>
          <w:lang w:eastAsia="ja-JP"/>
        </w:rPr>
        <w:t>remained</w:t>
      </w:r>
      <w:r w:rsidR="000159A6">
        <w:rPr>
          <w:lang w:eastAsia="ja-JP"/>
        </w:rPr>
        <w:t xml:space="preserve"> </w:t>
      </w:r>
      <w:r>
        <w:rPr>
          <w:lang w:eastAsia="ja-JP"/>
        </w:rPr>
        <w:t>above</w:t>
      </w:r>
      <w:r w:rsidR="000159A6">
        <w:rPr>
          <w:lang w:eastAsia="ja-JP"/>
        </w:rPr>
        <w:t xml:space="preserve"> </w:t>
      </w:r>
      <w:r>
        <w:rPr>
          <w:lang w:eastAsia="ja-JP"/>
        </w:rPr>
        <w:t>pre-vaccination</w:t>
      </w:r>
      <w:r w:rsidR="000159A6">
        <w:rPr>
          <w:lang w:eastAsia="ja-JP"/>
        </w:rPr>
        <w:t xml:space="preserve"> </w:t>
      </w:r>
      <w:r>
        <w:rPr>
          <w:lang w:eastAsia="ja-JP"/>
        </w:rPr>
        <w:t>levels</w:t>
      </w:r>
      <w:r w:rsidR="000159A6">
        <w:rPr>
          <w:lang w:eastAsia="ja-JP"/>
        </w:rPr>
        <w:t xml:space="preserve"> </w:t>
      </w:r>
      <w:r>
        <w:rPr>
          <w:lang w:eastAsia="ja-JP"/>
        </w:rPr>
        <w:t>over</w:t>
      </w:r>
      <w:r w:rsidR="000159A6">
        <w:rPr>
          <w:lang w:eastAsia="ja-JP"/>
        </w:rPr>
        <w:t xml:space="preserve"> </w:t>
      </w:r>
      <w:r>
        <w:rPr>
          <w:lang w:eastAsia="ja-JP"/>
        </w:rPr>
        <w:t>at</w:t>
      </w:r>
      <w:r w:rsidR="000159A6">
        <w:rPr>
          <w:lang w:eastAsia="ja-JP"/>
        </w:rPr>
        <w:t xml:space="preserve"> </w:t>
      </w:r>
      <w:r>
        <w:rPr>
          <w:lang w:eastAsia="ja-JP"/>
        </w:rPr>
        <w:t>least</w:t>
      </w:r>
      <w:r w:rsidR="000159A6">
        <w:rPr>
          <w:lang w:eastAsia="ja-JP"/>
        </w:rPr>
        <w:t xml:space="preserve"> </w:t>
      </w:r>
      <w:r>
        <w:rPr>
          <w:lang w:eastAsia="ja-JP"/>
        </w:rPr>
        <w:t>6</w:t>
      </w:r>
      <w:r w:rsidR="000159A6">
        <w:rPr>
          <w:lang w:eastAsia="ja-JP"/>
        </w:rPr>
        <w:t xml:space="preserve"> </w:t>
      </w:r>
      <w:r>
        <w:rPr>
          <w:lang w:eastAsia="ja-JP"/>
        </w:rPr>
        <w:t>years.</w:t>
      </w:r>
      <w:r w:rsidR="000159A6">
        <w:rPr>
          <w:lang w:eastAsia="ja-JP"/>
        </w:rPr>
        <w:t xml:space="preserve"> </w:t>
      </w:r>
      <w:r>
        <w:rPr>
          <w:lang w:eastAsia="ja-JP"/>
        </w:rPr>
        <w:t>It</w:t>
      </w:r>
      <w:r w:rsidR="000159A6">
        <w:rPr>
          <w:lang w:eastAsia="ja-JP"/>
        </w:rPr>
        <w:t xml:space="preserve"> </w:t>
      </w:r>
      <w:r>
        <w:rPr>
          <w:lang w:eastAsia="ja-JP"/>
        </w:rPr>
        <w:t>is</w:t>
      </w:r>
      <w:r w:rsidR="000159A6">
        <w:rPr>
          <w:lang w:eastAsia="ja-JP"/>
        </w:rPr>
        <w:t xml:space="preserve"> </w:t>
      </w:r>
      <w:r>
        <w:rPr>
          <w:lang w:eastAsia="ja-JP"/>
        </w:rPr>
        <w:t>currently</w:t>
      </w:r>
      <w:r w:rsidR="000159A6">
        <w:rPr>
          <w:lang w:eastAsia="ja-JP"/>
        </w:rPr>
        <w:t xml:space="preserve"> </w:t>
      </w:r>
      <w:r>
        <w:rPr>
          <w:lang w:eastAsia="ja-JP"/>
        </w:rPr>
        <w:t>not</w:t>
      </w:r>
      <w:r w:rsidR="000159A6">
        <w:rPr>
          <w:lang w:eastAsia="ja-JP"/>
        </w:rPr>
        <w:t xml:space="preserve"> </w:t>
      </w:r>
      <w:r>
        <w:rPr>
          <w:lang w:eastAsia="ja-JP"/>
        </w:rPr>
        <w:t>known</w:t>
      </w:r>
      <w:r w:rsidR="000159A6">
        <w:rPr>
          <w:lang w:eastAsia="ja-JP"/>
        </w:rPr>
        <w:t xml:space="preserve"> </w:t>
      </w:r>
      <w:r>
        <w:rPr>
          <w:lang w:eastAsia="ja-JP"/>
        </w:rPr>
        <w:t>whether</w:t>
      </w:r>
      <w:r w:rsidR="000159A6">
        <w:rPr>
          <w:lang w:eastAsia="ja-JP"/>
        </w:rPr>
        <w:t xml:space="preserve"> </w:t>
      </w:r>
      <w:r>
        <w:rPr>
          <w:lang w:eastAsia="ja-JP"/>
        </w:rPr>
        <w:t>efficacy</w:t>
      </w:r>
      <w:r w:rsidR="000159A6">
        <w:rPr>
          <w:lang w:eastAsia="ja-JP"/>
        </w:rPr>
        <w:t xml:space="preserve"> </w:t>
      </w:r>
      <w:r>
        <w:rPr>
          <w:lang w:eastAsia="ja-JP"/>
        </w:rPr>
        <w:t>will</w:t>
      </w:r>
      <w:r w:rsidR="000159A6">
        <w:rPr>
          <w:lang w:eastAsia="ja-JP"/>
        </w:rPr>
        <w:t xml:space="preserve"> </w:t>
      </w:r>
      <w:r>
        <w:rPr>
          <w:lang w:eastAsia="ja-JP"/>
        </w:rPr>
        <w:t>persist</w:t>
      </w:r>
      <w:r w:rsidR="000159A6">
        <w:rPr>
          <w:lang w:eastAsia="ja-JP"/>
        </w:rPr>
        <w:t xml:space="preserve"> </w:t>
      </w:r>
      <w:r>
        <w:rPr>
          <w:lang w:eastAsia="ja-JP"/>
        </w:rPr>
        <w:t>over</w:t>
      </w:r>
      <w:r w:rsidR="000159A6">
        <w:rPr>
          <w:lang w:eastAsia="ja-JP"/>
        </w:rPr>
        <w:t xml:space="preserve"> </w:t>
      </w:r>
      <w:r>
        <w:rPr>
          <w:lang w:eastAsia="ja-JP"/>
        </w:rPr>
        <w:t>a</w:t>
      </w:r>
      <w:r w:rsidR="000159A6">
        <w:rPr>
          <w:lang w:eastAsia="ja-JP"/>
        </w:rPr>
        <w:t xml:space="preserve"> </w:t>
      </w:r>
      <w:r>
        <w:rPr>
          <w:lang w:eastAsia="ja-JP"/>
        </w:rPr>
        <w:t>longer</w:t>
      </w:r>
      <w:r w:rsidR="000159A6">
        <w:rPr>
          <w:lang w:eastAsia="ja-JP"/>
        </w:rPr>
        <w:t xml:space="preserve"> </w:t>
      </w:r>
      <w:r>
        <w:rPr>
          <w:lang w:eastAsia="ja-JP"/>
        </w:rPr>
        <w:t>period</w:t>
      </w:r>
      <w:r w:rsidR="000159A6">
        <w:rPr>
          <w:lang w:eastAsia="ja-JP"/>
        </w:rPr>
        <w:t xml:space="preserve"> </w:t>
      </w:r>
      <w:r>
        <w:rPr>
          <w:lang w:eastAsia="ja-JP"/>
        </w:rPr>
        <w:t>of</w:t>
      </w:r>
      <w:r w:rsidR="000159A6">
        <w:rPr>
          <w:lang w:eastAsia="ja-JP"/>
        </w:rPr>
        <w:t xml:space="preserve"> </w:t>
      </w:r>
      <w:r>
        <w:rPr>
          <w:lang w:eastAsia="ja-JP"/>
        </w:rPr>
        <w:t>time</w:t>
      </w:r>
      <w:r w:rsidR="000159A6">
        <w:rPr>
          <w:lang w:eastAsia="ja-JP"/>
        </w:rPr>
        <w:t xml:space="preserve"> </w:t>
      </w:r>
      <w:r>
        <w:rPr>
          <w:lang w:eastAsia="ja-JP"/>
        </w:rPr>
        <w:t>and</w:t>
      </w:r>
      <w:r w:rsidR="000159A6">
        <w:rPr>
          <w:lang w:eastAsia="ja-JP"/>
        </w:rPr>
        <w:t xml:space="preserve"> </w:t>
      </w:r>
      <w:r>
        <w:rPr>
          <w:lang w:eastAsia="ja-JP"/>
        </w:rPr>
        <w:t>if,</w:t>
      </w:r>
      <w:r w:rsidR="000159A6">
        <w:rPr>
          <w:lang w:eastAsia="ja-JP"/>
        </w:rPr>
        <w:t xml:space="preserve"> </w:t>
      </w:r>
      <w:r>
        <w:rPr>
          <w:lang w:eastAsia="ja-JP"/>
        </w:rPr>
        <w:t>in</w:t>
      </w:r>
      <w:r w:rsidR="000159A6">
        <w:rPr>
          <w:lang w:eastAsia="ja-JP"/>
        </w:rPr>
        <w:t xml:space="preserve"> </w:t>
      </w:r>
      <w:r>
        <w:rPr>
          <w:lang w:eastAsia="ja-JP"/>
        </w:rPr>
        <w:t>case</w:t>
      </w:r>
      <w:r w:rsidR="000159A6">
        <w:rPr>
          <w:lang w:eastAsia="ja-JP"/>
        </w:rPr>
        <w:t xml:space="preserve"> </w:t>
      </w:r>
      <w:r>
        <w:rPr>
          <w:lang w:eastAsia="ja-JP"/>
        </w:rPr>
        <w:t>of</w:t>
      </w:r>
      <w:r w:rsidR="000159A6">
        <w:rPr>
          <w:lang w:eastAsia="ja-JP"/>
        </w:rPr>
        <w:t xml:space="preserve"> </w:t>
      </w:r>
      <w:r>
        <w:rPr>
          <w:lang w:eastAsia="ja-JP"/>
        </w:rPr>
        <w:t>diminishing</w:t>
      </w:r>
      <w:r w:rsidR="000159A6">
        <w:rPr>
          <w:lang w:eastAsia="ja-JP"/>
        </w:rPr>
        <w:t xml:space="preserve"> </w:t>
      </w:r>
      <w:r>
        <w:rPr>
          <w:lang w:eastAsia="ja-JP"/>
        </w:rPr>
        <w:t>efficacy,</w:t>
      </w:r>
      <w:r w:rsidR="000159A6">
        <w:rPr>
          <w:lang w:eastAsia="ja-JP"/>
        </w:rPr>
        <w:t xml:space="preserve"> </w:t>
      </w:r>
      <w:r>
        <w:rPr>
          <w:lang w:eastAsia="ja-JP"/>
        </w:rPr>
        <w:t>additional</w:t>
      </w:r>
      <w:r w:rsidR="000159A6">
        <w:rPr>
          <w:lang w:eastAsia="ja-JP"/>
        </w:rPr>
        <w:t xml:space="preserve"> </w:t>
      </w:r>
      <w:r>
        <w:rPr>
          <w:lang w:eastAsia="ja-JP"/>
        </w:rPr>
        <w:t>doses</w:t>
      </w:r>
      <w:r w:rsidR="000159A6">
        <w:rPr>
          <w:lang w:eastAsia="ja-JP"/>
        </w:rPr>
        <w:t xml:space="preserve"> </w:t>
      </w:r>
      <w:r>
        <w:rPr>
          <w:lang w:eastAsia="ja-JP"/>
        </w:rPr>
        <w:t>will</w:t>
      </w:r>
      <w:r w:rsidR="000159A6">
        <w:rPr>
          <w:lang w:eastAsia="ja-JP"/>
        </w:rPr>
        <w:t xml:space="preserve"> </w:t>
      </w:r>
      <w:r>
        <w:rPr>
          <w:lang w:eastAsia="ja-JP"/>
        </w:rPr>
        <w:t>be</w:t>
      </w:r>
      <w:r w:rsidR="000159A6">
        <w:rPr>
          <w:lang w:eastAsia="ja-JP"/>
        </w:rPr>
        <w:t xml:space="preserve"> </w:t>
      </w:r>
      <w:r>
        <w:rPr>
          <w:lang w:eastAsia="ja-JP"/>
        </w:rPr>
        <w:t>required</w:t>
      </w:r>
      <w:r w:rsidR="000159A6">
        <w:rPr>
          <w:lang w:eastAsia="ja-JP"/>
        </w:rPr>
        <w:t xml:space="preserve"> </w:t>
      </w:r>
      <w:r>
        <w:rPr>
          <w:lang w:eastAsia="ja-JP"/>
        </w:rPr>
        <w:t>to</w:t>
      </w:r>
      <w:r w:rsidR="000159A6">
        <w:rPr>
          <w:lang w:eastAsia="ja-JP"/>
        </w:rPr>
        <w:t xml:space="preserve"> </w:t>
      </w:r>
      <w:r>
        <w:rPr>
          <w:lang w:eastAsia="ja-JP"/>
        </w:rPr>
        <w:t>maintain</w:t>
      </w:r>
      <w:r w:rsidR="000159A6">
        <w:rPr>
          <w:lang w:eastAsia="ja-JP"/>
        </w:rPr>
        <w:t xml:space="preserve"> </w:t>
      </w:r>
      <w:r>
        <w:rPr>
          <w:lang w:eastAsia="ja-JP"/>
        </w:rPr>
        <w:t>protection</w:t>
      </w:r>
      <w:r w:rsidR="000159A6">
        <w:rPr>
          <w:lang w:eastAsia="ja-JP"/>
        </w:rPr>
        <w:t xml:space="preserve"> </w:t>
      </w:r>
      <w:r>
        <w:rPr>
          <w:lang w:eastAsia="ja-JP"/>
        </w:rPr>
        <w:t>by</w:t>
      </w:r>
      <w:r w:rsidR="000159A6">
        <w:rPr>
          <w:lang w:eastAsia="ja-JP"/>
        </w:rPr>
        <w:t xml:space="preserve"> </w:t>
      </w:r>
      <w:r>
        <w:rPr>
          <w:lang w:eastAsia="ja-JP"/>
        </w:rPr>
        <w:t>boosting</w:t>
      </w:r>
      <w:r w:rsidR="000159A6">
        <w:rPr>
          <w:lang w:eastAsia="ja-JP"/>
        </w:rPr>
        <w:t xml:space="preserve"> </w:t>
      </w:r>
      <w:r>
        <w:rPr>
          <w:lang w:eastAsia="ja-JP"/>
        </w:rPr>
        <w:t>the</w:t>
      </w:r>
      <w:r w:rsidR="000159A6">
        <w:rPr>
          <w:lang w:eastAsia="ja-JP"/>
        </w:rPr>
        <w:t xml:space="preserve"> </w:t>
      </w:r>
      <w:r>
        <w:rPr>
          <w:lang w:eastAsia="ja-JP"/>
        </w:rPr>
        <w:t>immune</w:t>
      </w:r>
      <w:r w:rsidR="000159A6">
        <w:rPr>
          <w:lang w:eastAsia="ja-JP"/>
        </w:rPr>
        <w:t xml:space="preserve"> </w:t>
      </w:r>
      <w:r>
        <w:rPr>
          <w:lang w:eastAsia="ja-JP"/>
        </w:rPr>
        <w:t>response</w:t>
      </w:r>
      <w:r w:rsidR="000159A6">
        <w:rPr>
          <w:lang w:eastAsia="ja-JP"/>
        </w:rPr>
        <w:t xml:space="preserve"> </w:t>
      </w:r>
      <w:r>
        <w:rPr>
          <w:lang w:eastAsia="ja-JP"/>
        </w:rPr>
        <w:t>of</w:t>
      </w:r>
      <w:r w:rsidR="000159A6">
        <w:rPr>
          <w:lang w:eastAsia="ja-JP"/>
        </w:rPr>
        <w:t xml:space="preserve"> </w:t>
      </w:r>
      <w:r>
        <w:rPr>
          <w:lang w:eastAsia="ja-JP"/>
        </w:rPr>
        <w:t>previously</w:t>
      </w:r>
      <w:r w:rsidR="000159A6">
        <w:rPr>
          <w:lang w:eastAsia="ja-JP"/>
        </w:rPr>
        <w:t xml:space="preserve"> </w:t>
      </w:r>
      <w:r>
        <w:rPr>
          <w:lang w:eastAsia="ja-JP"/>
        </w:rPr>
        <w:t>vaccinated</w:t>
      </w:r>
      <w:r w:rsidR="000159A6">
        <w:rPr>
          <w:lang w:eastAsia="ja-JP"/>
        </w:rPr>
        <w:t xml:space="preserve"> </w:t>
      </w:r>
      <w:r>
        <w:rPr>
          <w:lang w:eastAsia="ja-JP"/>
        </w:rPr>
        <w:t>individuals.</w:t>
      </w:r>
    </w:p>
    <w:p w14:paraId="2C01C93E" w14:textId="3678381D" w:rsidR="00D30F03" w:rsidRDefault="00D30F03" w:rsidP="00D30F03">
      <w:pPr>
        <w:rPr>
          <w:lang w:eastAsia="ja-JP"/>
        </w:rPr>
      </w:pPr>
      <w:r>
        <w:rPr>
          <w:lang w:eastAsia="ja-JP"/>
        </w:rPr>
        <w:t>Based</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rPr>
          <w:lang w:eastAsia="ja-JP"/>
        </w:rPr>
        <w:t>immunogenicity</w:t>
      </w:r>
      <w:r w:rsidR="000159A6">
        <w:rPr>
          <w:lang w:eastAsia="ja-JP"/>
        </w:rPr>
        <w:t xml:space="preserve"> </w:t>
      </w:r>
      <w:r>
        <w:rPr>
          <w:lang w:eastAsia="ja-JP"/>
        </w:rPr>
        <w:t>data</w:t>
      </w:r>
      <w:r w:rsidR="000159A6">
        <w:rPr>
          <w:lang w:eastAsia="ja-JP"/>
        </w:rPr>
        <w:t xml:space="preserve"> </w:t>
      </w:r>
      <w:r>
        <w:rPr>
          <w:lang w:eastAsia="ja-JP"/>
        </w:rPr>
        <w:t>in</w:t>
      </w:r>
      <w:r w:rsidR="000159A6">
        <w:rPr>
          <w:lang w:eastAsia="ja-JP"/>
        </w:rPr>
        <w:t xml:space="preserve"> </w:t>
      </w:r>
      <w:r>
        <w:rPr>
          <w:lang w:eastAsia="ja-JP"/>
        </w:rPr>
        <w:t>a</w:t>
      </w:r>
      <w:r w:rsidR="000159A6">
        <w:rPr>
          <w:lang w:eastAsia="ja-JP"/>
        </w:rPr>
        <w:t xml:space="preserve"> </w:t>
      </w:r>
      <w:r>
        <w:rPr>
          <w:lang w:eastAsia="ja-JP"/>
        </w:rPr>
        <w:t>limited</w:t>
      </w:r>
      <w:r w:rsidR="000159A6">
        <w:rPr>
          <w:lang w:eastAsia="ja-JP"/>
        </w:rPr>
        <w:t xml:space="preserve"> </w:t>
      </w:r>
      <w:r>
        <w:rPr>
          <w:lang w:eastAsia="ja-JP"/>
        </w:rPr>
        <w:t>number</w:t>
      </w:r>
      <w:r w:rsidR="000159A6">
        <w:rPr>
          <w:lang w:eastAsia="ja-JP"/>
        </w:rPr>
        <w:t xml:space="preserve"> </w:t>
      </w:r>
      <w:r>
        <w:rPr>
          <w:lang w:eastAsia="ja-JP"/>
        </w:rPr>
        <w:t>of</w:t>
      </w:r>
      <w:r w:rsidR="000159A6">
        <w:rPr>
          <w:lang w:eastAsia="ja-JP"/>
        </w:rPr>
        <w:t xml:space="preserve"> </w:t>
      </w:r>
      <w:r>
        <w:rPr>
          <w:lang w:eastAsia="ja-JP"/>
        </w:rPr>
        <w:t>immune</w:t>
      </w:r>
      <w:r w:rsidR="000159A6">
        <w:rPr>
          <w:lang w:eastAsia="ja-JP"/>
        </w:rPr>
        <w:t xml:space="preserve"> </w:t>
      </w:r>
      <w:r>
        <w:rPr>
          <w:lang w:eastAsia="ja-JP"/>
        </w:rPr>
        <w:t>compromised</w:t>
      </w:r>
      <w:r w:rsidR="000159A6">
        <w:rPr>
          <w:lang w:eastAsia="ja-JP"/>
        </w:rPr>
        <w:t xml:space="preserve"> </w:t>
      </w:r>
      <w:r>
        <w:rPr>
          <w:lang w:eastAsia="ja-JP"/>
        </w:rPr>
        <w:t>adults</w:t>
      </w:r>
      <w:r w:rsidR="000159A6">
        <w:rPr>
          <w:lang w:eastAsia="ja-JP"/>
        </w:rPr>
        <w:t xml:space="preserve"> </w:t>
      </w:r>
      <w:r>
        <w:rPr>
          <w:lang w:eastAsia="ja-JP"/>
        </w:rPr>
        <w:t>(autologous</w:t>
      </w:r>
      <w:r w:rsidR="000159A6">
        <w:rPr>
          <w:lang w:eastAsia="ja-JP"/>
        </w:rPr>
        <w:t xml:space="preserve"> </w:t>
      </w:r>
      <w:r w:rsidR="00331AB9">
        <w:t>haematopoietic</w:t>
      </w:r>
      <w:r w:rsidR="000159A6">
        <w:t xml:space="preserve"> </w:t>
      </w:r>
      <w:r w:rsidR="00331AB9">
        <w:t>stem</w:t>
      </w:r>
      <w:r w:rsidR="000159A6">
        <w:t xml:space="preserve"> </w:t>
      </w:r>
      <w:r w:rsidR="00331AB9">
        <w:t>cell</w:t>
      </w:r>
      <w:r w:rsidR="000159A6">
        <w:t xml:space="preserve"> </w:t>
      </w:r>
      <w:r w:rsidR="00331AB9">
        <w:t>transplant</w:t>
      </w:r>
      <w:r w:rsidR="000159A6">
        <w:rPr>
          <w:lang w:eastAsia="ja-JP"/>
        </w:rPr>
        <w:t xml:space="preserve"> </w:t>
      </w:r>
      <w:r w:rsidR="00331AB9">
        <w:rPr>
          <w:lang w:eastAsia="ja-JP"/>
        </w:rPr>
        <w:t>(</w:t>
      </w:r>
      <w:r>
        <w:rPr>
          <w:lang w:eastAsia="ja-JP"/>
        </w:rPr>
        <w:t>HCT</w:t>
      </w:r>
      <w:r w:rsidR="00331AB9">
        <w:rPr>
          <w:lang w:eastAsia="ja-JP"/>
        </w:rPr>
        <w:t>)</w:t>
      </w:r>
      <w:r w:rsidR="000159A6">
        <w:rPr>
          <w:lang w:eastAsia="ja-JP"/>
        </w:rPr>
        <w:t xml:space="preserve"> </w:t>
      </w:r>
      <w:r>
        <w:rPr>
          <w:lang w:eastAsia="ja-JP"/>
        </w:rPr>
        <w:t>or</w:t>
      </w:r>
      <w:r w:rsidR="000159A6">
        <w:rPr>
          <w:lang w:eastAsia="ja-JP"/>
        </w:rPr>
        <w:t xml:space="preserve"> </w:t>
      </w:r>
      <w:r>
        <w:rPr>
          <w:lang w:eastAsia="ja-JP"/>
        </w:rPr>
        <w:t>with</w:t>
      </w:r>
      <w:r w:rsidR="000159A6">
        <w:rPr>
          <w:lang w:eastAsia="ja-JP"/>
        </w:rPr>
        <w:t xml:space="preserve"> </w:t>
      </w:r>
      <w:r>
        <w:rPr>
          <w:lang w:eastAsia="ja-JP"/>
        </w:rPr>
        <w:t>HIV</w:t>
      </w:r>
      <w:r w:rsidR="000159A6">
        <w:rPr>
          <w:lang w:eastAsia="ja-JP"/>
        </w:rPr>
        <w:t xml:space="preserve"> </w:t>
      </w:r>
      <w:r>
        <w:rPr>
          <w:lang w:eastAsia="ja-JP"/>
        </w:rPr>
        <w:t>infection),</w:t>
      </w:r>
      <w:r w:rsidR="000159A6">
        <w:rPr>
          <w:lang w:eastAsia="ja-JP"/>
        </w:rPr>
        <w:t xml:space="preserve"> </w:t>
      </w:r>
      <w:r>
        <w:rPr>
          <w:lang w:eastAsia="ja-JP"/>
        </w:rPr>
        <w:t>the</w:t>
      </w:r>
      <w:r w:rsidR="000159A6">
        <w:rPr>
          <w:lang w:eastAsia="ja-JP"/>
        </w:rPr>
        <w:t xml:space="preserve"> </w:t>
      </w:r>
      <w:r>
        <w:rPr>
          <w:lang w:eastAsia="ja-JP"/>
        </w:rPr>
        <w:t>vaccine</w:t>
      </w:r>
      <w:r w:rsidR="000159A6">
        <w:rPr>
          <w:lang w:eastAsia="ja-JP"/>
        </w:rPr>
        <w:t xml:space="preserve"> </w:t>
      </w:r>
      <w:r>
        <w:rPr>
          <w:lang w:eastAsia="ja-JP"/>
        </w:rPr>
        <w:lastRenderedPageBreak/>
        <w:t>was</w:t>
      </w:r>
      <w:r w:rsidR="000159A6">
        <w:rPr>
          <w:lang w:eastAsia="ja-JP"/>
        </w:rPr>
        <w:t xml:space="preserve"> </w:t>
      </w:r>
      <w:r>
        <w:rPr>
          <w:lang w:eastAsia="ja-JP"/>
        </w:rPr>
        <w:t>shown</w:t>
      </w:r>
      <w:r w:rsidR="000159A6">
        <w:rPr>
          <w:lang w:eastAsia="ja-JP"/>
        </w:rPr>
        <w:t xml:space="preserve"> </w:t>
      </w:r>
      <w:r>
        <w:rPr>
          <w:lang w:eastAsia="ja-JP"/>
        </w:rPr>
        <w:t>to</w:t>
      </w:r>
      <w:r w:rsidR="000159A6">
        <w:rPr>
          <w:lang w:eastAsia="ja-JP"/>
        </w:rPr>
        <w:t xml:space="preserve"> </w:t>
      </w:r>
      <w:r>
        <w:rPr>
          <w:lang w:eastAsia="ja-JP"/>
        </w:rPr>
        <w:t>be</w:t>
      </w:r>
      <w:r w:rsidR="000159A6">
        <w:rPr>
          <w:lang w:eastAsia="ja-JP"/>
        </w:rPr>
        <w:t xml:space="preserve"> </w:t>
      </w:r>
      <w:r>
        <w:rPr>
          <w:lang w:eastAsia="ja-JP"/>
        </w:rPr>
        <w:t>immunogenic</w:t>
      </w:r>
      <w:r w:rsidR="000159A6">
        <w:rPr>
          <w:lang w:eastAsia="ja-JP"/>
        </w:rPr>
        <w:t xml:space="preserve"> </w:t>
      </w:r>
      <w:r>
        <w:rPr>
          <w:lang w:eastAsia="ja-JP"/>
        </w:rPr>
        <w:t>in</w:t>
      </w:r>
      <w:r w:rsidR="000159A6">
        <w:rPr>
          <w:lang w:eastAsia="ja-JP"/>
        </w:rPr>
        <w:t xml:space="preserve"> </w:t>
      </w:r>
      <w:r>
        <w:rPr>
          <w:lang w:eastAsia="ja-JP"/>
        </w:rPr>
        <w:t>this</w:t>
      </w:r>
      <w:r w:rsidR="000159A6">
        <w:rPr>
          <w:lang w:eastAsia="ja-JP"/>
        </w:rPr>
        <w:t xml:space="preserve"> </w:t>
      </w:r>
      <w:r>
        <w:rPr>
          <w:lang w:eastAsia="ja-JP"/>
        </w:rPr>
        <w:t>population.</w:t>
      </w:r>
      <w:r w:rsidR="000159A6">
        <w:rPr>
          <w:lang w:eastAsia="ja-JP"/>
        </w:rPr>
        <w:t xml:space="preserve"> </w:t>
      </w:r>
      <w:r>
        <w:rPr>
          <w:lang w:eastAsia="ja-JP"/>
        </w:rPr>
        <w:t>Further</w:t>
      </w:r>
      <w:r w:rsidR="000159A6">
        <w:rPr>
          <w:lang w:eastAsia="ja-JP"/>
        </w:rPr>
        <w:t xml:space="preserve"> </w:t>
      </w:r>
      <w:r>
        <w:rPr>
          <w:lang w:eastAsia="ja-JP"/>
        </w:rPr>
        <w:t>studies</w:t>
      </w:r>
      <w:r w:rsidR="000159A6">
        <w:rPr>
          <w:lang w:eastAsia="ja-JP"/>
        </w:rPr>
        <w:t xml:space="preserve"> </w:t>
      </w:r>
      <w:r>
        <w:rPr>
          <w:lang w:eastAsia="ja-JP"/>
        </w:rPr>
        <w:t>in</w:t>
      </w:r>
      <w:r w:rsidR="000159A6">
        <w:rPr>
          <w:lang w:eastAsia="ja-JP"/>
        </w:rPr>
        <w:t xml:space="preserve"> </w:t>
      </w:r>
      <w:r>
        <w:rPr>
          <w:lang w:eastAsia="ja-JP"/>
        </w:rPr>
        <w:t>a</w:t>
      </w:r>
      <w:r w:rsidR="000159A6">
        <w:rPr>
          <w:lang w:eastAsia="ja-JP"/>
        </w:rPr>
        <w:t xml:space="preserve"> </w:t>
      </w:r>
      <w:r>
        <w:rPr>
          <w:lang w:eastAsia="ja-JP"/>
        </w:rPr>
        <w:t>larger</w:t>
      </w:r>
      <w:r w:rsidR="000159A6">
        <w:rPr>
          <w:lang w:eastAsia="ja-JP"/>
        </w:rPr>
        <w:t xml:space="preserve"> </w:t>
      </w:r>
      <w:r>
        <w:rPr>
          <w:lang w:eastAsia="ja-JP"/>
        </w:rPr>
        <w:t>population</w:t>
      </w:r>
      <w:r w:rsidR="000159A6">
        <w:rPr>
          <w:lang w:eastAsia="ja-JP"/>
        </w:rPr>
        <w:t xml:space="preserve"> </w:t>
      </w:r>
      <w:r>
        <w:rPr>
          <w:lang w:eastAsia="ja-JP"/>
        </w:rPr>
        <w:t>are</w:t>
      </w:r>
      <w:r w:rsidR="000159A6">
        <w:rPr>
          <w:lang w:eastAsia="ja-JP"/>
        </w:rPr>
        <w:t xml:space="preserve"> </w:t>
      </w:r>
      <w:r>
        <w:rPr>
          <w:lang w:eastAsia="ja-JP"/>
        </w:rPr>
        <w:t>necessary</w:t>
      </w:r>
      <w:r w:rsidR="000159A6">
        <w:rPr>
          <w:lang w:eastAsia="ja-JP"/>
        </w:rPr>
        <w:t xml:space="preserve"> </w:t>
      </w:r>
      <w:r>
        <w:rPr>
          <w:lang w:eastAsia="ja-JP"/>
        </w:rPr>
        <w:t>before</w:t>
      </w:r>
      <w:r w:rsidR="000159A6">
        <w:rPr>
          <w:lang w:eastAsia="ja-JP"/>
        </w:rPr>
        <w:t xml:space="preserve"> </w:t>
      </w:r>
      <w:r>
        <w:rPr>
          <w:lang w:eastAsia="ja-JP"/>
        </w:rPr>
        <w:t>more</w:t>
      </w:r>
      <w:r w:rsidR="000159A6">
        <w:rPr>
          <w:lang w:eastAsia="ja-JP"/>
        </w:rPr>
        <w:t xml:space="preserve"> </w:t>
      </w:r>
      <w:r>
        <w:rPr>
          <w:lang w:eastAsia="ja-JP"/>
        </w:rPr>
        <w:t>definite</w:t>
      </w:r>
      <w:r w:rsidR="000159A6">
        <w:rPr>
          <w:lang w:eastAsia="ja-JP"/>
        </w:rPr>
        <w:t xml:space="preserve"> </w:t>
      </w:r>
      <w:r>
        <w:rPr>
          <w:lang w:eastAsia="ja-JP"/>
        </w:rPr>
        <w:t>conclusions</w:t>
      </w:r>
      <w:r w:rsidR="000159A6">
        <w:rPr>
          <w:lang w:eastAsia="ja-JP"/>
        </w:rPr>
        <w:t xml:space="preserve"> </w:t>
      </w:r>
      <w:r>
        <w:rPr>
          <w:lang w:eastAsia="ja-JP"/>
        </w:rPr>
        <w:t>can</w:t>
      </w:r>
      <w:r w:rsidR="000159A6">
        <w:rPr>
          <w:lang w:eastAsia="ja-JP"/>
        </w:rPr>
        <w:t xml:space="preserve"> </w:t>
      </w:r>
      <w:r>
        <w:rPr>
          <w:lang w:eastAsia="ja-JP"/>
        </w:rPr>
        <w:t>be</w:t>
      </w:r>
      <w:r w:rsidR="000159A6">
        <w:rPr>
          <w:lang w:eastAsia="ja-JP"/>
        </w:rPr>
        <w:t xml:space="preserve"> </w:t>
      </w:r>
      <w:r>
        <w:rPr>
          <w:lang w:eastAsia="ja-JP"/>
        </w:rPr>
        <w:t>drawn.</w:t>
      </w:r>
      <w:r w:rsidR="000159A6">
        <w:rPr>
          <w:lang w:eastAsia="ja-JP"/>
        </w:rPr>
        <w:t xml:space="preserve"> </w:t>
      </w:r>
      <w:r>
        <w:rPr>
          <w:lang w:eastAsia="ja-JP"/>
        </w:rPr>
        <w:t>An</w:t>
      </w:r>
      <w:r w:rsidR="000159A6">
        <w:rPr>
          <w:lang w:eastAsia="ja-JP"/>
        </w:rPr>
        <w:t xml:space="preserve"> </w:t>
      </w:r>
      <w:r>
        <w:rPr>
          <w:lang w:eastAsia="ja-JP"/>
        </w:rPr>
        <w:t>indication</w:t>
      </w:r>
      <w:r w:rsidR="000159A6">
        <w:rPr>
          <w:lang w:eastAsia="ja-JP"/>
        </w:rPr>
        <w:t xml:space="preserve"> </w:t>
      </w:r>
      <w:r>
        <w:rPr>
          <w:lang w:eastAsia="ja-JP"/>
        </w:rPr>
        <w:t>in</w:t>
      </w:r>
      <w:r w:rsidR="000159A6">
        <w:rPr>
          <w:lang w:eastAsia="ja-JP"/>
        </w:rPr>
        <w:t xml:space="preserve"> </w:t>
      </w:r>
      <w:r>
        <w:rPr>
          <w:lang w:eastAsia="ja-JP"/>
        </w:rPr>
        <w:t>immunocompromised</w:t>
      </w:r>
      <w:r w:rsidR="000159A6">
        <w:rPr>
          <w:lang w:eastAsia="ja-JP"/>
        </w:rPr>
        <w:t xml:space="preserve"> </w:t>
      </w:r>
      <w:r>
        <w:rPr>
          <w:lang w:eastAsia="ja-JP"/>
        </w:rPr>
        <w:t>subjects</w:t>
      </w:r>
      <w:r w:rsidR="000159A6">
        <w:rPr>
          <w:lang w:eastAsia="ja-JP"/>
        </w:rPr>
        <w:t xml:space="preserve"> </w:t>
      </w:r>
      <w:r>
        <w:rPr>
          <w:lang w:eastAsia="ja-JP"/>
        </w:rPr>
        <w:t>is</w:t>
      </w:r>
      <w:r w:rsidR="000159A6">
        <w:rPr>
          <w:lang w:eastAsia="ja-JP"/>
        </w:rPr>
        <w:t xml:space="preserve"> </w:t>
      </w:r>
      <w:r>
        <w:rPr>
          <w:lang w:eastAsia="ja-JP"/>
        </w:rPr>
        <w:t>not</w:t>
      </w:r>
      <w:r w:rsidR="000159A6">
        <w:rPr>
          <w:lang w:eastAsia="ja-JP"/>
        </w:rPr>
        <w:t xml:space="preserve"> </w:t>
      </w:r>
      <w:r>
        <w:rPr>
          <w:lang w:eastAsia="ja-JP"/>
        </w:rPr>
        <w:t>being</w:t>
      </w:r>
      <w:r w:rsidR="000159A6">
        <w:rPr>
          <w:lang w:eastAsia="ja-JP"/>
        </w:rPr>
        <w:t xml:space="preserve"> </w:t>
      </w:r>
      <w:r>
        <w:rPr>
          <w:lang w:eastAsia="ja-JP"/>
        </w:rPr>
        <w:t>sought</w:t>
      </w:r>
      <w:r w:rsidR="000159A6">
        <w:rPr>
          <w:lang w:eastAsia="ja-JP"/>
        </w:rPr>
        <w:t xml:space="preserve"> </w:t>
      </w:r>
      <w:r>
        <w:rPr>
          <w:lang w:eastAsia="ja-JP"/>
        </w:rPr>
        <w:t>in</w:t>
      </w:r>
      <w:r w:rsidR="000159A6">
        <w:rPr>
          <w:lang w:eastAsia="ja-JP"/>
        </w:rPr>
        <w:t xml:space="preserve"> </w:t>
      </w:r>
      <w:r>
        <w:rPr>
          <w:lang w:eastAsia="ja-JP"/>
        </w:rPr>
        <w:t>this</w:t>
      </w:r>
      <w:r w:rsidR="000159A6">
        <w:rPr>
          <w:lang w:eastAsia="ja-JP"/>
        </w:rPr>
        <w:t xml:space="preserve"> </w:t>
      </w:r>
      <w:r>
        <w:rPr>
          <w:lang w:eastAsia="ja-JP"/>
        </w:rPr>
        <w:t>application.</w:t>
      </w:r>
    </w:p>
    <w:p w14:paraId="27F5F5FC" w14:textId="178AD3BA" w:rsidR="00D30F03" w:rsidRDefault="00D30F03" w:rsidP="00D30F03">
      <w:pPr>
        <w:rPr>
          <w:lang w:eastAsia="ja-JP"/>
        </w:rPr>
      </w:pPr>
      <w:r w:rsidRPr="00275AA7">
        <w:rPr>
          <w:lang w:eastAsia="ja-JP"/>
        </w:rPr>
        <w:t>There</w:t>
      </w:r>
      <w:r w:rsidR="000159A6">
        <w:rPr>
          <w:lang w:eastAsia="ja-JP"/>
        </w:rPr>
        <w:t xml:space="preserve"> </w:t>
      </w:r>
      <w:r w:rsidRPr="00275AA7">
        <w:rPr>
          <w:lang w:eastAsia="ja-JP"/>
        </w:rPr>
        <w:t>are</w:t>
      </w:r>
      <w:r w:rsidR="000159A6">
        <w:rPr>
          <w:lang w:eastAsia="ja-JP"/>
        </w:rPr>
        <w:t xml:space="preserve"> </w:t>
      </w:r>
      <w:r w:rsidRPr="00275AA7">
        <w:rPr>
          <w:lang w:eastAsia="ja-JP"/>
        </w:rPr>
        <w:t>currently</w:t>
      </w:r>
      <w:r w:rsidR="000159A6">
        <w:rPr>
          <w:lang w:eastAsia="ja-JP"/>
        </w:rPr>
        <w:t xml:space="preserve"> </w:t>
      </w:r>
      <w:r w:rsidRPr="00275AA7">
        <w:rPr>
          <w:lang w:eastAsia="ja-JP"/>
        </w:rPr>
        <w:t>no</w:t>
      </w:r>
      <w:r w:rsidR="000159A6">
        <w:rPr>
          <w:lang w:eastAsia="ja-JP"/>
        </w:rPr>
        <w:t xml:space="preserve"> </w:t>
      </w:r>
      <w:r w:rsidRPr="00275AA7">
        <w:rPr>
          <w:lang w:eastAsia="ja-JP"/>
        </w:rPr>
        <w:t>immunological</w:t>
      </w:r>
      <w:r w:rsidR="000159A6">
        <w:rPr>
          <w:lang w:eastAsia="ja-JP"/>
        </w:rPr>
        <w:t xml:space="preserve"> </w:t>
      </w:r>
      <w:r w:rsidRPr="00275AA7">
        <w:rPr>
          <w:lang w:eastAsia="ja-JP"/>
        </w:rPr>
        <w:t>correlates</w:t>
      </w:r>
      <w:r w:rsidR="000159A6">
        <w:rPr>
          <w:lang w:eastAsia="ja-JP"/>
        </w:rPr>
        <w:t xml:space="preserve"> </w:t>
      </w:r>
      <w:r w:rsidRPr="00275AA7">
        <w:rPr>
          <w:lang w:eastAsia="ja-JP"/>
        </w:rPr>
        <w:t>of</w:t>
      </w:r>
      <w:r w:rsidR="000159A6">
        <w:rPr>
          <w:lang w:eastAsia="ja-JP"/>
        </w:rPr>
        <w:t xml:space="preserve"> </w:t>
      </w:r>
      <w:r w:rsidRPr="00275AA7">
        <w:rPr>
          <w:lang w:eastAsia="ja-JP"/>
        </w:rPr>
        <w:t>protection</w:t>
      </w:r>
      <w:r w:rsidR="000159A6">
        <w:rPr>
          <w:lang w:eastAsia="ja-JP"/>
        </w:rPr>
        <w:t xml:space="preserve"> </w:t>
      </w:r>
      <w:r w:rsidRPr="00275AA7">
        <w:rPr>
          <w:lang w:eastAsia="ja-JP"/>
        </w:rPr>
        <w:t>for</w:t>
      </w:r>
      <w:r w:rsidR="000159A6">
        <w:rPr>
          <w:lang w:eastAsia="ja-JP"/>
        </w:rPr>
        <w:t xml:space="preserve"> </w:t>
      </w:r>
      <w:r>
        <w:rPr>
          <w:lang w:eastAsia="ja-JP"/>
        </w:rPr>
        <w:t>the</w:t>
      </w:r>
      <w:r w:rsidR="000159A6">
        <w:rPr>
          <w:lang w:eastAsia="ja-JP"/>
        </w:rPr>
        <w:t xml:space="preserve"> </w:t>
      </w:r>
      <w:r w:rsidRPr="00275AA7">
        <w:rPr>
          <w:lang w:eastAsia="ja-JP"/>
        </w:rPr>
        <w:t>HZ/</w:t>
      </w:r>
      <w:proofErr w:type="spellStart"/>
      <w:r w:rsidRPr="00275AA7">
        <w:rPr>
          <w:lang w:eastAsia="ja-JP"/>
        </w:rPr>
        <w:t>su</w:t>
      </w:r>
      <w:proofErr w:type="spellEnd"/>
      <w:r w:rsidR="000159A6">
        <w:rPr>
          <w:lang w:eastAsia="ja-JP"/>
        </w:rPr>
        <w:t xml:space="preserve"> </w:t>
      </w:r>
      <w:r>
        <w:rPr>
          <w:lang w:eastAsia="ja-JP"/>
        </w:rPr>
        <w:t>vaccine</w:t>
      </w:r>
      <w:r w:rsidRPr="001F6FA5">
        <w:rPr>
          <w:lang w:eastAsia="ja-JP"/>
        </w:rPr>
        <w:t>.</w:t>
      </w:r>
    </w:p>
    <w:p w14:paraId="0FD44CA4" w14:textId="7B69EFD3" w:rsidR="00D30F03" w:rsidRDefault="00D30F03" w:rsidP="00D30F03">
      <w:pPr>
        <w:rPr>
          <w:lang w:eastAsia="ja-JP"/>
        </w:rPr>
      </w:pPr>
      <w:r>
        <w:rPr>
          <w:lang w:eastAsia="ja-JP"/>
        </w:rPr>
        <w:t>Consistency</w:t>
      </w:r>
      <w:r w:rsidR="000159A6">
        <w:rPr>
          <w:lang w:eastAsia="ja-JP"/>
        </w:rPr>
        <w:t xml:space="preserve"> </w:t>
      </w:r>
      <w:r>
        <w:rPr>
          <w:lang w:eastAsia="ja-JP"/>
        </w:rPr>
        <w:t>in</w:t>
      </w:r>
      <w:r w:rsidR="000159A6">
        <w:rPr>
          <w:lang w:eastAsia="ja-JP"/>
        </w:rPr>
        <w:t xml:space="preserve"> </w:t>
      </w:r>
      <w:r>
        <w:rPr>
          <w:lang w:eastAsia="ja-JP"/>
        </w:rPr>
        <w:t>terms</w:t>
      </w:r>
      <w:r w:rsidR="000159A6">
        <w:rPr>
          <w:lang w:eastAsia="ja-JP"/>
        </w:rPr>
        <w:t xml:space="preserve"> </w:t>
      </w:r>
      <w:r>
        <w:rPr>
          <w:lang w:eastAsia="ja-JP"/>
        </w:rPr>
        <w:t>of</w:t>
      </w:r>
      <w:r w:rsidR="000159A6">
        <w:rPr>
          <w:lang w:eastAsia="ja-JP"/>
        </w:rPr>
        <w:t xml:space="preserve"> </w:t>
      </w:r>
      <w:r>
        <w:rPr>
          <w:lang w:eastAsia="ja-JP"/>
        </w:rPr>
        <w:t>anti-gE</w:t>
      </w:r>
      <w:r w:rsidR="000159A6">
        <w:rPr>
          <w:lang w:eastAsia="ja-JP"/>
        </w:rPr>
        <w:t xml:space="preserve"> </w:t>
      </w:r>
      <w:r>
        <w:rPr>
          <w:lang w:eastAsia="ja-JP"/>
        </w:rPr>
        <w:t>Ab</w:t>
      </w:r>
      <w:r w:rsidR="000159A6">
        <w:rPr>
          <w:lang w:eastAsia="ja-JP"/>
        </w:rPr>
        <w:t xml:space="preserve"> </w:t>
      </w:r>
      <w:r>
        <w:rPr>
          <w:lang w:eastAsia="ja-JP"/>
        </w:rPr>
        <w:t>response</w:t>
      </w:r>
      <w:r w:rsidR="000159A6">
        <w:rPr>
          <w:lang w:eastAsia="ja-JP"/>
        </w:rPr>
        <w:t xml:space="preserve"> </w:t>
      </w:r>
      <w:r>
        <w:rPr>
          <w:lang w:eastAsia="ja-JP"/>
        </w:rPr>
        <w:t>was</w:t>
      </w:r>
      <w:r w:rsidR="000159A6">
        <w:rPr>
          <w:lang w:eastAsia="ja-JP"/>
        </w:rPr>
        <w:t xml:space="preserve"> </w:t>
      </w:r>
      <w:r>
        <w:rPr>
          <w:lang w:eastAsia="ja-JP"/>
        </w:rPr>
        <w:t>demonstrated</w:t>
      </w:r>
      <w:r w:rsidR="000159A6">
        <w:rPr>
          <w:lang w:eastAsia="ja-JP"/>
        </w:rPr>
        <w:t xml:space="preserve"> </w:t>
      </w:r>
      <w:r>
        <w:rPr>
          <w:lang w:eastAsia="ja-JP"/>
        </w:rPr>
        <w:t>between</w:t>
      </w:r>
      <w:r w:rsidR="000159A6">
        <w:rPr>
          <w:lang w:eastAsia="ja-JP"/>
        </w:rPr>
        <w:t xml:space="preserve"> </w:t>
      </w:r>
      <w:r>
        <w:rPr>
          <w:lang w:eastAsia="ja-JP"/>
        </w:rPr>
        <w:t>three</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lots</w:t>
      </w:r>
      <w:r w:rsidR="000159A6">
        <w:rPr>
          <w:lang w:eastAsia="ja-JP"/>
        </w:rPr>
        <w:t xml:space="preserve"> </w:t>
      </w:r>
      <w:r>
        <w:rPr>
          <w:lang w:eastAsia="ja-JP"/>
        </w:rPr>
        <w:t>formulated</w:t>
      </w:r>
      <w:r w:rsidR="000159A6">
        <w:rPr>
          <w:lang w:eastAsia="ja-JP"/>
        </w:rPr>
        <w:t xml:space="preserve"> </w:t>
      </w:r>
      <w:r>
        <w:rPr>
          <w:lang w:eastAsia="ja-JP"/>
        </w:rPr>
        <w:t>from</w:t>
      </w:r>
      <w:r w:rsidR="000159A6">
        <w:rPr>
          <w:lang w:eastAsia="ja-JP"/>
        </w:rPr>
        <w:t xml:space="preserve"> </w:t>
      </w:r>
      <w:r>
        <w:rPr>
          <w:lang w:eastAsia="ja-JP"/>
        </w:rPr>
        <w:t>commercial-scale</w:t>
      </w:r>
      <w:r w:rsidR="000159A6">
        <w:rPr>
          <w:lang w:eastAsia="ja-JP"/>
        </w:rPr>
        <w:t xml:space="preserve"> </w:t>
      </w:r>
      <w:proofErr w:type="spellStart"/>
      <w:proofErr w:type="gramStart"/>
      <w:r>
        <w:rPr>
          <w:lang w:eastAsia="ja-JP"/>
        </w:rPr>
        <w:t>gE</w:t>
      </w:r>
      <w:proofErr w:type="spellEnd"/>
      <w:proofErr w:type="gramEnd"/>
      <w:r w:rsidR="000159A6">
        <w:rPr>
          <w:lang w:eastAsia="ja-JP"/>
        </w:rPr>
        <w:t xml:space="preserve"> </w:t>
      </w:r>
      <w:r>
        <w:rPr>
          <w:lang w:eastAsia="ja-JP"/>
        </w:rPr>
        <w:t>and</w:t>
      </w:r>
      <w:r w:rsidR="000159A6">
        <w:rPr>
          <w:lang w:eastAsia="ja-JP"/>
        </w:rPr>
        <w:t xml:space="preserve"> </w:t>
      </w:r>
      <w:r w:rsidR="00503D1B">
        <w:t>AS01</w:t>
      </w:r>
      <w:r w:rsidR="00503D1B" w:rsidRPr="00570F2D">
        <w:rPr>
          <w:vertAlign w:val="subscript"/>
        </w:rPr>
        <w:t>B</w:t>
      </w:r>
    </w:p>
    <w:p w14:paraId="7BB416F9" w14:textId="5EB34322" w:rsidR="00D30F03" w:rsidRPr="00D30F03" w:rsidRDefault="00D30F03" w:rsidP="00A97634">
      <w:pPr>
        <w:rPr>
          <w:lang w:eastAsia="ja-JP"/>
        </w:rPr>
      </w:pPr>
      <w:r>
        <w:rPr>
          <w:lang w:eastAsia="ja-JP"/>
        </w:rPr>
        <w:t>The</w:t>
      </w:r>
      <w:r w:rsidR="000159A6">
        <w:rPr>
          <w:lang w:eastAsia="ja-JP"/>
        </w:rPr>
        <w:t xml:space="preserve"> </w:t>
      </w:r>
      <w:r>
        <w:rPr>
          <w:lang w:eastAsia="ja-JP"/>
        </w:rPr>
        <w:t>proposed</w:t>
      </w:r>
      <w:r w:rsidR="000159A6">
        <w:rPr>
          <w:lang w:eastAsia="ja-JP"/>
        </w:rPr>
        <w:t xml:space="preserve"> </w:t>
      </w:r>
      <w:r w:rsidR="000D0435">
        <w:rPr>
          <w:lang w:eastAsia="ja-JP"/>
        </w:rPr>
        <w:t>PI</w:t>
      </w:r>
      <w:r w:rsidR="000159A6">
        <w:rPr>
          <w:lang w:eastAsia="ja-JP"/>
        </w:rPr>
        <w:t xml:space="preserve"> </w:t>
      </w:r>
      <w:r>
        <w:rPr>
          <w:lang w:eastAsia="ja-JP"/>
        </w:rPr>
        <w:t>reflects</w:t>
      </w:r>
      <w:r w:rsidR="000159A6">
        <w:rPr>
          <w:lang w:eastAsia="ja-JP"/>
        </w:rPr>
        <w:t xml:space="preserve"> </w:t>
      </w:r>
      <w:r>
        <w:rPr>
          <w:lang w:eastAsia="ja-JP"/>
        </w:rPr>
        <w:t>the</w:t>
      </w:r>
      <w:r w:rsidR="000159A6">
        <w:rPr>
          <w:lang w:eastAsia="ja-JP"/>
        </w:rPr>
        <w:t xml:space="preserve"> </w:t>
      </w:r>
      <w:r>
        <w:rPr>
          <w:lang w:eastAsia="ja-JP"/>
        </w:rPr>
        <w:t>information</w:t>
      </w:r>
      <w:r w:rsidR="000159A6">
        <w:rPr>
          <w:lang w:eastAsia="ja-JP"/>
        </w:rPr>
        <w:t xml:space="preserve"> </w:t>
      </w:r>
      <w:r>
        <w:rPr>
          <w:lang w:eastAsia="ja-JP"/>
        </w:rPr>
        <w:t>from</w:t>
      </w:r>
      <w:r w:rsidR="000159A6">
        <w:rPr>
          <w:lang w:eastAsia="ja-JP"/>
        </w:rPr>
        <w:t xml:space="preserve"> </w:t>
      </w:r>
      <w:r>
        <w:rPr>
          <w:lang w:eastAsia="ja-JP"/>
        </w:rPr>
        <w:t>the</w:t>
      </w:r>
      <w:r w:rsidR="000159A6">
        <w:rPr>
          <w:lang w:eastAsia="ja-JP"/>
        </w:rPr>
        <w:t xml:space="preserve"> </w:t>
      </w:r>
      <w:r>
        <w:rPr>
          <w:lang w:eastAsia="ja-JP"/>
        </w:rPr>
        <w:t>pharmacodynamics</w:t>
      </w:r>
      <w:r w:rsidR="000159A6">
        <w:rPr>
          <w:lang w:eastAsia="ja-JP"/>
        </w:rPr>
        <w:t xml:space="preserve"> </w:t>
      </w:r>
      <w:r>
        <w:rPr>
          <w:lang w:eastAsia="ja-JP"/>
        </w:rPr>
        <w:t>studies</w:t>
      </w:r>
      <w:r w:rsidR="000159A6">
        <w:rPr>
          <w:lang w:eastAsia="ja-JP"/>
        </w:rPr>
        <w:t xml:space="preserve"> </w:t>
      </w:r>
      <w:r>
        <w:rPr>
          <w:lang w:eastAsia="ja-JP"/>
        </w:rPr>
        <w:t>conducted.</w:t>
      </w:r>
    </w:p>
    <w:p w14:paraId="243662B3" w14:textId="7C4996BB" w:rsidR="008E7846" w:rsidRPr="008F7BC7" w:rsidRDefault="00605AD4" w:rsidP="00A97634">
      <w:pPr>
        <w:pStyle w:val="Heading3"/>
      </w:pPr>
      <w:bookmarkStart w:id="95" w:name="_Toc1049815"/>
      <w:r w:rsidRPr="008F7BC7">
        <w:t>Dosage</w:t>
      </w:r>
      <w:r w:rsidR="000159A6" w:rsidRPr="008F7BC7">
        <w:t xml:space="preserve"> </w:t>
      </w:r>
      <w:r w:rsidRPr="00A97634">
        <w:t>selection</w:t>
      </w:r>
      <w:r w:rsidR="000159A6" w:rsidRPr="008F7BC7">
        <w:t xml:space="preserve"> </w:t>
      </w:r>
      <w:r w:rsidRPr="008F7BC7">
        <w:t>for</w:t>
      </w:r>
      <w:r w:rsidR="000159A6" w:rsidRPr="008F7BC7">
        <w:t xml:space="preserve"> </w:t>
      </w:r>
      <w:r w:rsidRPr="008F7BC7">
        <w:t>the</w:t>
      </w:r>
      <w:r w:rsidR="000159A6" w:rsidRPr="008F7BC7">
        <w:t xml:space="preserve"> </w:t>
      </w:r>
      <w:r w:rsidRPr="008F7BC7">
        <w:t>pivotal</w:t>
      </w:r>
      <w:r w:rsidR="000159A6" w:rsidRPr="008F7BC7">
        <w:t xml:space="preserve"> </w:t>
      </w:r>
      <w:r w:rsidRPr="008F7BC7">
        <w:t>studies</w:t>
      </w:r>
      <w:bookmarkEnd w:id="95"/>
    </w:p>
    <w:p w14:paraId="3486D99D" w14:textId="3848A83F" w:rsidR="00D30F03" w:rsidRPr="008F7BC7" w:rsidRDefault="00D30F03" w:rsidP="008F7BC7">
      <w:pPr>
        <w:pStyle w:val="Heading4"/>
      </w:pPr>
      <w:bookmarkStart w:id="96" w:name="_Toc441843513"/>
      <w:bookmarkStart w:id="97" w:name="_Toc507577970"/>
      <w:bookmarkStart w:id="98" w:name="_Toc523409044"/>
      <w:r w:rsidRPr="008F7BC7">
        <w:t>Phase</w:t>
      </w:r>
      <w:r w:rsidR="000159A6" w:rsidRPr="008F7BC7">
        <w:t xml:space="preserve"> </w:t>
      </w:r>
      <w:r w:rsidRPr="008F7BC7">
        <w:t>II</w:t>
      </w:r>
      <w:r w:rsidR="000159A6" w:rsidRPr="008F7BC7">
        <w:t xml:space="preserve"> </w:t>
      </w:r>
      <w:r w:rsidRPr="008F7BC7">
        <w:t>dose</w:t>
      </w:r>
      <w:r w:rsidR="000159A6" w:rsidRPr="008F7BC7">
        <w:t xml:space="preserve"> </w:t>
      </w:r>
      <w:r w:rsidRPr="008F7BC7">
        <w:t>finding</w:t>
      </w:r>
      <w:r w:rsidR="000159A6" w:rsidRPr="008F7BC7">
        <w:t xml:space="preserve"> </w:t>
      </w:r>
      <w:r w:rsidRPr="008F7BC7">
        <w:t>studies</w:t>
      </w:r>
      <w:bookmarkEnd w:id="96"/>
      <w:bookmarkEnd w:id="97"/>
      <w:bookmarkEnd w:id="98"/>
    </w:p>
    <w:p w14:paraId="77CC09C4" w14:textId="1F56223B" w:rsidR="00D30F03" w:rsidRPr="008F7BC7" w:rsidRDefault="00D30F03" w:rsidP="00A97634">
      <w:pPr>
        <w:pStyle w:val="Heading5"/>
      </w:pPr>
      <w:bookmarkStart w:id="99" w:name="_Toc507577971"/>
      <w:proofErr w:type="spellStart"/>
      <w:proofErr w:type="gramStart"/>
      <w:r w:rsidRPr="008F7BC7">
        <w:t>gE</w:t>
      </w:r>
      <w:proofErr w:type="spellEnd"/>
      <w:proofErr w:type="gramEnd"/>
      <w:r w:rsidR="000159A6" w:rsidRPr="008F7BC7">
        <w:t xml:space="preserve"> </w:t>
      </w:r>
      <w:r w:rsidRPr="00A97634">
        <w:t>antigen</w:t>
      </w:r>
      <w:r w:rsidR="000159A6" w:rsidRPr="008F7BC7">
        <w:t xml:space="preserve"> </w:t>
      </w:r>
      <w:r w:rsidRPr="008F7BC7">
        <w:t>dose</w:t>
      </w:r>
      <w:r w:rsidR="000159A6" w:rsidRPr="008F7BC7">
        <w:t xml:space="preserve"> </w:t>
      </w:r>
      <w:r w:rsidRPr="008F7BC7">
        <w:t>finding</w:t>
      </w:r>
      <w:r w:rsidR="000159A6" w:rsidRPr="008F7BC7">
        <w:t xml:space="preserve"> </w:t>
      </w:r>
      <w:r w:rsidRPr="008F7BC7">
        <w:t>studies</w:t>
      </w:r>
      <w:bookmarkEnd w:id="99"/>
    </w:p>
    <w:p w14:paraId="35C8014C" w14:textId="0D061B76" w:rsidR="00D30F03" w:rsidRDefault="00D30F03" w:rsidP="00A97634">
      <w:pPr>
        <w:rPr>
          <w:lang w:eastAsia="ja-JP"/>
        </w:rPr>
      </w:pPr>
      <w:r w:rsidRPr="00A6589E">
        <w:rPr>
          <w:lang w:eastAsia="ja-JP"/>
        </w:rPr>
        <w:t>Study</w:t>
      </w:r>
      <w:r w:rsidR="000159A6">
        <w:rPr>
          <w:lang w:eastAsia="ja-JP"/>
        </w:rPr>
        <w:t xml:space="preserve"> </w:t>
      </w:r>
      <w:r w:rsidRPr="00A6589E">
        <w:rPr>
          <w:lang w:eastAsia="ja-JP"/>
        </w:rPr>
        <w:t>EXPLO</w:t>
      </w:r>
      <w:r w:rsidR="000159A6">
        <w:rPr>
          <w:lang w:eastAsia="ja-JP"/>
        </w:rPr>
        <w:t xml:space="preserve"> </w:t>
      </w:r>
      <w:r w:rsidRPr="00A6589E">
        <w:rPr>
          <w:lang w:eastAsia="ja-JP"/>
        </w:rPr>
        <w:t>CRD-004</w:t>
      </w:r>
      <w:r w:rsidR="000159A6">
        <w:rPr>
          <w:lang w:eastAsia="ja-JP"/>
        </w:rPr>
        <w:t xml:space="preserve"> </w:t>
      </w:r>
      <w:r w:rsidRPr="00A6589E">
        <w:rPr>
          <w:lang w:eastAsia="ja-JP"/>
        </w:rPr>
        <w:t>found</w:t>
      </w:r>
      <w:r w:rsidR="000159A6">
        <w:rPr>
          <w:lang w:eastAsia="ja-JP"/>
        </w:rPr>
        <w:t xml:space="preserve"> </w:t>
      </w:r>
      <w:r w:rsidRPr="00A6589E">
        <w:rPr>
          <w:lang w:eastAsia="ja-JP"/>
        </w:rPr>
        <w:t>that</w:t>
      </w:r>
      <w:r w:rsidR="000159A6">
        <w:rPr>
          <w:lang w:eastAsia="ja-JP"/>
        </w:rPr>
        <w:t xml:space="preserve"> </w:t>
      </w:r>
      <w:r w:rsidRPr="00A6589E">
        <w:rPr>
          <w:lang w:eastAsia="ja-JP"/>
        </w:rPr>
        <w:t>two</w:t>
      </w:r>
      <w:r w:rsidR="000159A6">
        <w:rPr>
          <w:lang w:eastAsia="ja-JP"/>
        </w:rPr>
        <w:t xml:space="preserve"> </w:t>
      </w:r>
      <w:r w:rsidRPr="00A6589E">
        <w:rPr>
          <w:lang w:eastAsia="ja-JP"/>
        </w:rPr>
        <w:t>doses</w:t>
      </w:r>
      <w:r w:rsidR="000159A6">
        <w:rPr>
          <w:lang w:eastAsia="ja-JP"/>
        </w:rPr>
        <w:t xml:space="preserve"> </w:t>
      </w:r>
      <w:r w:rsidRPr="00A6589E">
        <w:rPr>
          <w:lang w:eastAsia="ja-JP"/>
        </w:rPr>
        <w:t>of</w:t>
      </w:r>
      <w:r w:rsidR="000159A6">
        <w:rPr>
          <w:lang w:eastAsia="ja-JP"/>
        </w:rPr>
        <w:t xml:space="preserve"> </w:t>
      </w:r>
      <w:r w:rsidRPr="00A6589E">
        <w:rPr>
          <w:lang w:eastAsia="ja-JP"/>
        </w:rPr>
        <w:t>50</w:t>
      </w:r>
      <w:r w:rsidR="000159A6">
        <w:rPr>
          <w:lang w:eastAsia="ja-JP"/>
        </w:rPr>
        <w:t xml:space="preserve"> </w:t>
      </w:r>
      <w:r w:rsidRPr="00A6589E">
        <w:rPr>
          <w:lang w:eastAsia="ja-JP"/>
        </w:rPr>
        <w:t>µg</w:t>
      </w:r>
      <w:r w:rsidR="000159A6">
        <w:rPr>
          <w:lang w:eastAsia="ja-JP"/>
        </w:rPr>
        <w:t xml:space="preserve"> </w:t>
      </w:r>
      <w:proofErr w:type="gramStart"/>
      <w:r w:rsidRPr="00A6589E">
        <w:rPr>
          <w:lang w:eastAsia="ja-JP"/>
        </w:rPr>
        <w:t>gE</w:t>
      </w:r>
      <w:proofErr w:type="gramEnd"/>
      <w:r w:rsidR="000159A6">
        <w:rPr>
          <w:lang w:eastAsia="ja-JP"/>
        </w:rPr>
        <w:t xml:space="preserve"> </w:t>
      </w:r>
      <w:r w:rsidRPr="00A6589E">
        <w:rPr>
          <w:lang w:eastAsia="ja-JP"/>
        </w:rPr>
        <w:t>increased</w:t>
      </w:r>
      <w:r w:rsidR="000159A6">
        <w:rPr>
          <w:lang w:eastAsia="ja-JP"/>
        </w:rPr>
        <w:t xml:space="preserve"> </w:t>
      </w:r>
      <w:r w:rsidRPr="00A6589E">
        <w:rPr>
          <w:lang w:eastAsia="ja-JP"/>
        </w:rPr>
        <w:t>the</w:t>
      </w:r>
      <w:r w:rsidR="000159A6">
        <w:rPr>
          <w:lang w:eastAsia="ja-JP"/>
        </w:rPr>
        <w:t xml:space="preserve"> </w:t>
      </w:r>
      <w:r w:rsidRPr="00A6589E">
        <w:rPr>
          <w:lang w:eastAsia="ja-JP"/>
        </w:rPr>
        <w:t>immune</w:t>
      </w:r>
      <w:r w:rsidR="000159A6">
        <w:rPr>
          <w:lang w:eastAsia="ja-JP"/>
        </w:rPr>
        <w:t xml:space="preserve"> </w:t>
      </w:r>
      <w:r w:rsidRPr="00A6589E">
        <w:rPr>
          <w:lang w:eastAsia="ja-JP"/>
        </w:rPr>
        <w:t>response</w:t>
      </w:r>
      <w:r w:rsidR="000159A6">
        <w:rPr>
          <w:lang w:eastAsia="ja-JP"/>
        </w:rPr>
        <w:t xml:space="preserve"> </w:t>
      </w:r>
      <w:r w:rsidRPr="00A6589E">
        <w:rPr>
          <w:lang w:eastAsia="ja-JP"/>
        </w:rPr>
        <w:t>over</w:t>
      </w:r>
      <w:r w:rsidR="000159A6">
        <w:rPr>
          <w:lang w:eastAsia="ja-JP"/>
        </w:rPr>
        <w:t xml:space="preserve"> </w:t>
      </w:r>
      <w:r w:rsidRPr="00A6589E">
        <w:rPr>
          <w:lang w:eastAsia="ja-JP"/>
        </w:rPr>
        <w:t>a</w:t>
      </w:r>
      <w:r w:rsidR="000159A6">
        <w:rPr>
          <w:lang w:eastAsia="ja-JP"/>
        </w:rPr>
        <w:t xml:space="preserve"> </w:t>
      </w:r>
      <w:r w:rsidRPr="00A6589E">
        <w:rPr>
          <w:lang w:eastAsia="ja-JP"/>
        </w:rPr>
        <w:t>single</w:t>
      </w:r>
      <w:r w:rsidR="000159A6">
        <w:rPr>
          <w:lang w:eastAsia="ja-JP"/>
        </w:rPr>
        <w:t xml:space="preserve"> </w:t>
      </w:r>
      <w:r w:rsidRPr="00A6589E">
        <w:rPr>
          <w:lang w:eastAsia="ja-JP"/>
        </w:rPr>
        <w:t>dose</w:t>
      </w:r>
      <w:r w:rsidR="000159A6">
        <w:rPr>
          <w:lang w:eastAsia="ja-JP"/>
        </w:rPr>
        <w:t xml:space="preserve"> </w:t>
      </w:r>
      <w:r w:rsidRPr="00A6589E">
        <w:rPr>
          <w:lang w:eastAsia="ja-JP"/>
        </w:rPr>
        <w:t>and</w:t>
      </w:r>
      <w:r w:rsidR="000159A6">
        <w:rPr>
          <w:lang w:eastAsia="ja-JP"/>
        </w:rPr>
        <w:t xml:space="preserve"> </w:t>
      </w:r>
      <w:r w:rsidRPr="00A6589E">
        <w:rPr>
          <w:lang w:eastAsia="ja-JP"/>
        </w:rPr>
        <w:t>from</w:t>
      </w:r>
      <w:r w:rsidR="000159A6">
        <w:rPr>
          <w:lang w:eastAsia="ja-JP"/>
        </w:rPr>
        <w:t xml:space="preserve"> </w:t>
      </w:r>
      <w:r w:rsidRPr="00A6589E">
        <w:rPr>
          <w:lang w:eastAsia="ja-JP"/>
        </w:rPr>
        <w:t>this</w:t>
      </w:r>
      <w:r w:rsidR="000159A6">
        <w:rPr>
          <w:lang w:eastAsia="ja-JP"/>
        </w:rPr>
        <w:t xml:space="preserve"> </w:t>
      </w:r>
      <w:r w:rsidRPr="00A6589E">
        <w:rPr>
          <w:lang w:eastAsia="ja-JP"/>
        </w:rPr>
        <w:t>50</w:t>
      </w:r>
      <w:r w:rsidR="000159A6">
        <w:rPr>
          <w:lang w:eastAsia="ja-JP"/>
        </w:rPr>
        <w:t xml:space="preserve"> </w:t>
      </w:r>
      <w:r w:rsidRPr="00A6589E">
        <w:rPr>
          <w:lang w:eastAsia="ja-JP"/>
        </w:rPr>
        <w:t>µg</w:t>
      </w:r>
      <w:r w:rsidR="000159A6">
        <w:rPr>
          <w:lang w:eastAsia="ja-JP"/>
        </w:rPr>
        <w:t xml:space="preserve"> </w:t>
      </w:r>
      <w:r w:rsidRPr="00A6589E">
        <w:rPr>
          <w:lang w:eastAsia="ja-JP"/>
        </w:rPr>
        <w:t>gE</w:t>
      </w:r>
      <w:r w:rsidR="000159A6">
        <w:rPr>
          <w:lang w:eastAsia="ja-JP"/>
        </w:rPr>
        <w:t xml:space="preserve"> </w:t>
      </w:r>
      <w:r w:rsidRPr="00A6589E">
        <w:rPr>
          <w:lang w:eastAsia="ja-JP"/>
        </w:rPr>
        <w:t>was</w:t>
      </w:r>
      <w:r w:rsidR="000159A6">
        <w:rPr>
          <w:lang w:eastAsia="ja-JP"/>
        </w:rPr>
        <w:t xml:space="preserve"> </w:t>
      </w:r>
      <w:r w:rsidRPr="00A6589E">
        <w:rPr>
          <w:lang w:eastAsia="ja-JP"/>
        </w:rPr>
        <w:t>used</w:t>
      </w:r>
      <w:r w:rsidR="000159A6">
        <w:rPr>
          <w:lang w:eastAsia="ja-JP"/>
        </w:rPr>
        <w:t xml:space="preserve"> </w:t>
      </w:r>
      <w:r w:rsidRPr="00A6589E">
        <w:rPr>
          <w:lang w:eastAsia="ja-JP"/>
        </w:rPr>
        <w:t>as</w:t>
      </w:r>
      <w:r w:rsidR="000159A6">
        <w:rPr>
          <w:lang w:eastAsia="ja-JP"/>
        </w:rPr>
        <w:t xml:space="preserve"> </w:t>
      </w:r>
      <w:r w:rsidRPr="00A6589E">
        <w:rPr>
          <w:lang w:eastAsia="ja-JP"/>
        </w:rPr>
        <w:t>the</w:t>
      </w:r>
      <w:r w:rsidR="000159A6">
        <w:rPr>
          <w:lang w:eastAsia="ja-JP"/>
        </w:rPr>
        <w:t xml:space="preserve"> </w:t>
      </w:r>
      <w:r w:rsidRPr="00A6589E">
        <w:rPr>
          <w:lang w:eastAsia="ja-JP"/>
        </w:rPr>
        <w:t>reference</w:t>
      </w:r>
      <w:r w:rsidR="000159A6">
        <w:rPr>
          <w:lang w:eastAsia="ja-JP"/>
        </w:rPr>
        <w:t xml:space="preserve"> </w:t>
      </w:r>
      <w:r w:rsidRPr="00A6589E">
        <w:rPr>
          <w:lang w:eastAsia="ja-JP"/>
        </w:rPr>
        <w:t>dose</w:t>
      </w:r>
      <w:r w:rsidR="000159A6">
        <w:rPr>
          <w:lang w:eastAsia="ja-JP"/>
        </w:rPr>
        <w:t xml:space="preserve"> </w:t>
      </w:r>
      <w:r w:rsidRPr="00A6589E">
        <w:rPr>
          <w:lang w:eastAsia="ja-JP"/>
        </w:rPr>
        <w:t>of</w:t>
      </w:r>
      <w:r w:rsidR="000159A6">
        <w:rPr>
          <w:lang w:eastAsia="ja-JP"/>
        </w:rPr>
        <w:t xml:space="preserve"> </w:t>
      </w:r>
      <w:r>
        <w:rPr>
          <w:lang w:eastAsia="ja-JP"/>
        </w:rPr>
        <w:t>Study</w:t>
      </w:r>
      <w:r w:rsidR="00CD5352">
        <w:rPr>
          <w:lang w:eastAsia="ja-JP"/>
        </w:rPr>
        <w:t> </w:t>
      </w:r>
      <w:r>
        <w:rPr>
          <w:lang w:eastAsia="ja-JP"/>
        </w:rPr>
        <w:t>ZOSTER</w:t>
      </w:r>
      <w:r w:rsidR="002B2F1E">
        <w:rPr>
          <w:lang w:eastAsia="ja-JP"/>
        </w:rPr>
        <w:noBreakHyphen/>
      </w:r>
      <w:r w:rsidRPr="00A6589E">
        <w:rPr>
          <w:lang w:eastAsia="ja-JP"/>
        </w:rPr>
        <w:t>003.</w:t>
      </w:r>
      <w:r w:rsidR="000159A6">
        <w:rPr>
          <w:lang w:eastAsia="ja-JP"/>
        </w:rPr>
        <w:t xml:space="preserve"> </w:t>
      </w:r>
      <w:r w:rsidRPr="00A6589E">
        <w:rPr>
          <w:lang w:eastAsia="ja-JP"/>
        </w:rPr>
        <w:t>A</w:t>
      </w:r>
      <w:r w:rsidR="000159A6">
        <w:rPr>
          <w:lang w:eastAsia="ja-JP"/>
        </w:rPr>
        <w:t xml:space="preserve"> </w:t>
      </w:r>
      <w:r w:rsidRPr="00A6589E">
        <w:rPr>
          <w:lang w:eastAsia="ja-JP"/>
        </w:rPr>
        <w:t>lower</w:t>
      </w:r>
      <w:r w:rsidR="000159A6">
        <w:rPr>
          <w:lang w:eastAsia="ja-JP"/>
        </w:rPr>
        <w:t xml:space="preserve"> </w:t>
      </w:r>
      <w:r w:rsidRPr="00A6589E">
        <w:rPr>
          <w:lang w:eastAsia="ja-JP"/>
        </w:rPr>
        <w:t>dose</w:t>
      </w:r>
      <w:r w:rsidR="000159A6">
        <w:rPr>
          <w:lang w:eastAsia="ja-JP"/>
        </w:rPr>
        <w:t xml:space="preserve"> </w:t>
      </w:r>
      <w:r w:rsidRPr="00A6589E">
        <w:rPr>
          <w:lang w:eastAsia="ja-JP"/>
        </w:rPr>
        <w:t>(25</w:t>
      </w:r>
      <w:r w:rsidR="000159A6">
        <w:rPr>
          <w:lang w:eastAsia="ja-JP"/>
        </w:rPr>
        <w:t xml:space="preserve"> </w:t>
      </w:r>
      <w:r w:rsidRPr="00A6589E">
        <w:rPr>
          <w:lang w:eastAsia="ja-JP"/>
        </w:rPr>
        <w:t>µg)</w:t>
      </w:r>
      <w:r w:rsidR="000159A6">
        <w:rPr>
          <w:lang w:eastAsia="ja-JP"/>
        </w:rPr>
        <w:t xml:space="preserve"> </w:t>
      </w:r>
      <w:r w:rsidRPr="00A6589E">
        <w:rPr>
          <w:lang w:eastAsia="ja-JP"/>
        </w:rPr>
        <w:t>and</w:t>
      </w:r>
      <w:r w:rsidR="000159A6">
        <w:rPr>
          <w:lang w:eastAsia="ja-JP"/>
        </w:rPr>
        <w:t xml:space="preserve"> </w:t>
      </w:r>
      <w:r w:rsidRPr="00A6589E">
        <w:rPr>
          <w:lang w:eastAsia="ja-JP"/>
        </w:rPr>
        <w:t>higher</w:t>
      </w:r>
      <w:r w:rsidR="000159A6">
        <w:rPr>
          <w:lang w:eastAsia="ja-JP"/>
        </w:rPr>
        <w:t xml:space="preserve"> </w:t>
      </w:r>
      <w:r w:rsidRPr="00A6589E">
        <w:rPr>
          <w:lang w:eastAsia="ja-JP"/>
        </w:rPr>
        <w:t>dose</w:t>
      </w:r>
      <w:r w:rsidR="000159A6">
        <w:rPr>
          <w:lang w:eastAsia="ja-JP"/>
        </w:rPr>
        <w:t xml:space="preserve"> </w:t>
      </w:r>
      <w:r w:rsidRPr="00A6589E">
        <w:rPr>
          <w:lang w:eastAsia="ja-JP"/>
        </w:rPr>
        <w:t>(100</w:t>
      </w:r>
      <w:r w:rsidR="000159A6">
        <w:rPr>
          <w:lang w:eastAsia="ja-JP"/>
        </w:rPr>
        <w:t xml:space="preserve"> </w:t>
      </w:r>
      <w:r w:rsidRPr="00A6589E">
        <w:rPr>
          <w:lang w:eastAsia="ja-JP"/>
        </w:rPr>
        <w:t>µg)</w:t>
      </w:r>
      <w:r w:rsidR="000159A6">
        <w:rPr>
          <w:lang w:eastAsia="ja-JP"/>
        </w:rPr>
        <w:t xml:space="preserve"> </w:t>
      </w:r>
      <w:r w:rsidRPr="00A6589E">
        <w:rPr>
          <w:lang w:eastAsia="ja-JP"/>
        </w:rPr>
        <w:t>were</w:t>
      </w:r>
      <w:r w:rsidR="000159A6">
        <w:rPr>
          <w:lang w:eastAsia="ja-JP"/>
        </w:rPr>
        <w:t xml:space="preserve"> </w:t>
      </w:r>
      <w:r w:rsidRPr="00A6589E">
        <w:rPr>
          <w:lang w:eastAsia="ja-JP"/>
        </w:rPr>
        <w:t>then</w:t>
      </w:r>
      <w:r w:rsidR="000159A6">
        <w:rPr>
          <w:lang w:eastAsia="ja-JP"/>
        </w:rPr>
        <w:t xml:space="preserve"> </w:t>
      </w:r>
      <w:r w:rsidRPr="00A6589E">
        <w:rPr>
          <w:lang w:eastAsia="ja-JP"/>
        </w:rPr>
        <w:t>also</w:t>
      </w:r>
      <w:r w:rsidR="000159A6">
        <w:rPr>
          <w:lang w:eastAsia="ja-JP"/>
        </w:rPr>
        <w:t xml:space="preserve"> </w:t>
      </w:r>
      <w:r w:rsidRPr="00A6589E">
        <w:rPr>
          <w:lang w:eastAsia="ja-JP"/>
        </w:rPr>
        <w:t>included</w:t>
      </w:r>
      <w:r w:rsidR="000159A6">
        <w:rPr>
          <w:lang w:eastAsia="ja-JP"/>
        </w:rPr>
        <w:t xml:space="preserve"> </w:t>
      </w:r>
      <w:r w:rsidRPr="00A6589E">
        <w:rPr>
          <w:lang w:eastAsia="ja-JP"/>
        </w:rPr>
        <w:t>in</w:t>
      </w:r>
      <w:r w:rsidR="000159A6">
        <w:rPr>
          <w:lang w:eastAsia="ja-JP"/>
        </w:rPr>
        <w:t xml:space="preserve"> </w:t>
      </w:r>
      <w:r w:rsidRPr="00A6589E">
        <w:rPr>
          <w:lang w:eastAsia="ja-JP"/>
        </w:rPr>
        <w:t>the</w:t>
      </w:r>
      <w:r w:rsidR="000159A6">
        <w:rPr>
          <w:lang w:eastAsia="ja-JP"/>
        </w:rPr>
        <w:t xml:space="preserve"> </w:t>
      </w:r>
      <w:r w:rsidRPr="00A6589E">
        <w:rPr>
          <w:lang w:eastAsia="ja-JP"/>
        </w:rPr>
        <w:t>study</w:t>
      </w:r>
      <w:r w:rsidR="000159A6">
        <w:rPr>
          <w:lang w:eastAsia="ja-JP"/>
        </w:rPr>
        <w:t xml:space="preserve"> </w:t>
      </w:r>
      <w:r w:rsidRPr="00A6589E">
        <w:rPr>
          <w:lang w:eastAsia="ja-JP"/>
        </w:rPr>
        <w:t>to</w:t>
      </w:r>
      <w:r w:rsidR="000159A6">
        <w:rPr>
          <w:lang w:eastAsia="ja-JP"/>
        </w:rPr>
        <w:t xml:space="preserve"> </w:t>
      </w:r>
      <w:r w:rsidRPr="00A6589E">
        <w:rPr>
          <w:lang w:eastAsia="ja-JP"/>
        </w:rPr>
        <w:t>assess</w:t>
      </w:r>
      <w:r w:rsidR="000159A6">
        <w:rPr>
          <w:lang w:eastAsia="ja-JP"/>
        </w:rPr>
        <w:t xml:space="preserve"> </w:t>
      </w:r>
      <w:r w:rsidRPr="00A6589E">
        <w:rPr>
          <w:lang w:eastAsia="ja-JP"/>
        </w:rPr>
        <w:t>antigen</w:t>
      </w:r>
      <w:r w:rsidR="000159A6">
        <w:rPr>
          <w:lang w:eastAsia="ja-JP"/>
        </w:rPr>
        <w:t xml:space="preserve"> </w:t>
      </w:r>
      <w:r w:rsidRPr="00A6589E">
        <w:rPr>
          <w:lang w:eastAsia="ja-JP"/>
        </w:rPr>
        <w:t>dose.</w:t>
      </w:r>
    </w:p>
    <w:p w14:paraId="019DD35B" w14:textId="64A9687E" w:rsidR="00D30F03" w:rsidRDefault="002B2F1E" w:rsidP="00D30F03">
      <w:pPr>
        <w:rPr>
          <w:lang w:eastAsia="ja-JP"/>
        </w:rPr>
      </w:pPr>
      <w:r>
        <w:rPr>
          <w:lang w:eastAsia="ja-JP"/>
        </w:rPr>
        <w:t>Study</w:t>
      </w:r>
      <w:r w:rsidR="000159A6">
        <w:rPr>
          <w:lang w:eastAsia="ja-JP"/>
        </w:rPr>
        <w:t xml:space="preserve"> </w:t>
      </w:r>
      <w:r w:rsidR="00D30F03">
        <w:rPr>
          <w:lang w:eastAsia="ja-JP"/>
        </w:rPr>
        <w:t>ZOSTER-003</w:t>
      </w:r>
      <w:r w:rsidR="000159A6">
        <w:rPr>
          <w:lang w:eastAsia="ja-JP"/>
        </w:rPr>
        <w:t xml:space="preserve"> </w:t>
      </w:r>
      <w:r w:rsidR="00D30F03">
        <w:rPr>
          <w:lang w:eastAsia="ja-JP"/>
        </w:rPr>
        <w:t>was</w:t>
      </w:r>
      <w:r w:rsidR="000159A6">
        <w:rPr>
          <w:lang w:eastAsia="ja-JP"/>
        </w:rPr>
        <w:t xml:space="preserve"> </w:t>
      </w:r>
      <w:r w:rsidR="00D30F03">
        <w:rPr>
          <w:lang w:eastAsia="ja-JP"/>
        </w:rPr>
        <w:t>a</w:t>
      </w:r>
      <w:r w:rsidR="000159A6">
        <w:rPr>
          <w:lang w:eastAsia="ja-JP"/>
        </w:rPr>
        <w:t xml:space="preserve"> </w:t>
      </w:r>
      <w:r w:rsidR="00D30F03">
        <w:rPr>
          <w:lang w:eastAsia="ja-JP"/>
        </w:rPr>
        <w:t>Phase</w:t>
      </w:r>
      <w:r w:rsidR="000159A6">
        <w:rPr>
          <w:lang w:eastAsia="ja-JP"/>
        </w:rPr>
        <w:t xml:space="preserve"> </w:t>
      </w:r>
      <w:r>
        <w:rPr>
          <w:lang w:eastAsia="ja-JP"/>
        </w:rPr>
        <w:t>II,</w:t>
      </w:r>
      <w:r w:rsidR="000159A6">
        <w:rPr>
          <w:lang w:eastAsia="ja-JP"/>
        </w:rPr>
        <w:t xml:space="preserve"> </w:t>
      </w:r>
      <w:r>
        <w:rPr>
          <w:lang w:eastAsia="ja-JP"/>
        </w:rPr>
        <w:t>single</w:t>
      </w:r>
      <w:r w:rsidR="000159A6">
        <w:rPr>
          <w:lang w:eastAsia="ja-JP"/>
        </w:rPr>
        <w:t xml:space="preserve"> </w:t>
      </w:r>
      <w:proofErr w:type="gramStart"/>
      <w:r w:rsidR="00D30F03" w:rsidRPr="00A6589E">
        <w:rPr>
          <w:lang w:eastAsia="ja-JP"/>
        </w:rPr>
        <w:t>blind,</w:t>
      </w:r>
      <w:proofErr w:type="gramEnd"/>
      <w:r w:rsidR="000159A6">
        <w:rPr>
          <w:lang w:eastAsia="ja-JP"/>
        </w:rPr>
        <w:t xml:space="preserve"> </w:t>
      </w:r>
      <w:r w:rsidR="00D30F03" w:rsidRPr="00A6589E">
        <w:rPr>
          <w:lang w:eastAsia="ja-JP"/>
        </w:rPr>
        <w:t>randomised,</w:t>
      </w:r>
      <w:r w:rsidR="000159A6">
        <w:rPr>
          <w:lang w:eastAsia="ja-JP"/>
        </w:rPr>
        <w:t xml:space="preserve"> </w:t>
      </w:r>
      <w:r w:rsidR="00D30F03" w:rsidRPr="00A6589E">
        <w:rPr>
          <w:lang w:eastAsia="ja-JP"/>
        </w:rPr>
        <w:t>controlled,</w:t>
      </w:r>
      <w:r w:rsidR="000159A6">
        <w:rPr>
          <w:lang w:eastAsia="ja-JP"/>
        </w:rPr>
        <w:t xml:space="preserve"> </w:t>
      </w:r>
      <w:r w:rsidR="00D30F03" w:rsidRPr="00A6589E">
        <w:rPr>
          <w:lang w:eastAsia="ja-JP"/>
        </w:rPr>
        <w:t>multicentre</w:t>
      </w:r>
      <w:r w:rsidR="000159A6">
        <w:rPr>
          <w:lang w:eastAsia="ja-JP"/>
        </w:rPr>
        <w:t xml:space="preserve"> </w:t>
      </w:r>
      <w:r w:rsidR="00D30F03" w:rsidRPr="00A6589E">
        <w:rPr>
          <w:lang w:eastAsia="ja-JP"/>
        </w:rPr>
        <w:t>vaccination</w:t>
      </w:r>
      <w:r w:rsidR="000159A6">
        <w:rPr>
          <w:lang w:eastAsia="ja-JP"/>
        </w:rPr>
        <w:t xml:space="preserve"> </w:t>
      </w:r>
      <w:r w:rsidR="00D30F03">
        <w:rPr>
          <w:lang w:eastAsia="ja-JP"/>
        </w:rPr>
        <w:t>study</w:t>
      </w:r>
      <w:r w:rsidR="000159A6">
        <w:rPr>
          <w:lang w:eastAsia="ja-JP"/>
        </w:rPr>
        <w:t xml:space="preserve"> </w:t>
      </w:r>
      <w:r w:rsidR="00D30F03">
        <w:rPr>
          <w:lang w:eastAsia="ja-JP"/>
        </w:rPr>
        <w:t>which</w:t>
      </w:r>
      <w:r w:rsidR="000159A6">
        <w:rPr>
          <w:lang w:eastAsia="ja-JP"/>
        </w:rPr>
        <w:t xml:space="preserve"> </w:t>
      </w:r>
      <w:r w:rsidR="00D30F03">
        <w:rPr>
          <w:lang w:eastAsia="ja-JP"/>
        </w:rPr>
        <w:t>evaluated</w:t>
      </w:r>
      <w:r w:rsidR="000159A6">
        <w:rPr>
          <w:lang w:eastAsia="ja-JP"/>
        </w:rPr>
        <w:t xml:space="preserve"> </w:t>
      </w:r>
      <w:r w:rsidR="00D30F03">
        <w:rPr>
          <w:lang w:eastAsia="ja-JP"/>
        </w:rPr>
        <w:t>the</w:t>
      </w:r>
      <w:r w:rsidR="000159A6">
        <w:rPr>
          <w:lang w:eastAsia="ja-JP"/>
        </w:rPr>
        <w:t xml:space="preserve"> </w:t>
      </w:r>
      <w:r w:rsidR="00D30F03">
        <w:rPr>
          <w:lang w:eastAsia="ja-JP"/>
        </w:rPr>
        <w:t>safety</w:t>
      </w:r>
      <w:r w:rsidR="000159A6">
        <w:rPr>
          <w:lang w:eastAsia="ja-JP"/>
        </w:rPr>
        <w:t xml:space="preserve"> </w:t>
      </w:r>
      <w:r w:rsidR="00D30F03">
        <w:rPr>
          <w:lang w:eastAsia="ja-JP"/>
        </w:rPr>
        <w:t>and</w:t>
      </w:r>
      <w:r w:rsidR="000159A6">
        <w:rPr>
          <w:lang w:eastAsia="ja-JP"/>
        </w:rPr>
        <w:t xml:space="preserve"> </w:t>
      </w:r>
      <w:r w:rsidR="00D30F03">
        <w:rPr>
          <w:lang w:eastAsia="ja-JP"/>
        </w:rPr>
        <w:t>immune</w:t>
      </w:r>
      <w:r w:rsidR="000159A6">
        <w:rPr>
          <w:lang w:eastAsia="ja-JP"/>
        </w:rPr>
        <w:t xml:space="preserve"> </w:t>
      </w:r>
      <w:r w:rsidR="00D30F03">
        <w:rPr>
          <w:lang w:eastAsia="ja-JP"/>
        </w:rPr>
        <w:t>response</w:t>
      </w:r>
      <w:r w:rsidR="000159A6">
        <w:rPr>
          <w:lang w:eastAsia="ja-JP"/>
        </w:rPr>
        <w:t xml:space="preserve"> </w:t>
      </w:r>
      <w:r w:rsidR="00D30F03">
        <w:rPr>
          <w:lang w:eastAsia="ja-JP"/>
        </w:rPr>
        <w:t>of</w:t>
      </w:r>
      <w:r w:rsidR="000159A6">
        <w:rPr>
          <w:lang w:eastAsia="ja-JP"/>
        </w:rPr>
        <w:t xml:space="preserve"> </w:t>
      </w:r>
      <w:r w:rsidR="00D30F03">
        <w:rPr>
          <w:lang w:eastAsia="ja-JP"/>
        </w:rPr>
        <w:t>HZ/</w:t>
      </w:r>
      <w:proofErr w:type="spellStart"/>
      <w:r w:rsidR="00D30F03">
        <w:rPr>
          <w:lang w:eastAsia="ja-JP"/>
        </w:rPr>
        <w:t>su</w:t>
      </w:r>
      <w:proofErr w:type="spellEnd"/>
      <w:r w:rsidR="000159A6">
        <w:rPr>
          <w:lang w:eastAsia="ja-JP"/>
        </w:rPr>
        <w:t xml:space="preserve"> </w:t>
      </w:r>
      <w:r w:rsidR="00D30F03">
        <w:rPr>
          <w:lang w:eastAsia="ja-JP"/>
        </w:rPr>
        <w:t>in</w:t>
      </w:r>
      <w:r w:rsidR="000159A6">
        <w:rPr>
          <w:lang w:eastAsia="ja-JP"/>
        </w:rPr>
        <w:t xml:space="preserve"> </w:t>
      </w:r>
      <w:r w:rsidR="00D30F03">
        <w:rPr>
          <w:lang w:eastAsia="ja-JP"/>
        </w:rPr>
        <w:t>715</w:t>
      </w:r>
      <w:r w:rsidR="000159A6">
        <w:rPr>
          <w:lang w:eastAsia="ja-JP"/>
        </w:rPr>
        <w:t xml:space="preserve"> </w:t>
      </w:r>
      <w:r w:rsidR="00D30F03">
        <w:rPr>
          <w:lang w:eastAsia="ja-JP"/>
        </w:rPr>
        <w:t>healthy</w:t>
      </w:r>
      <w:r w:rsidR="000159A6">
        <w:rPr>
          <w:lang w:eastAsia="ja-JP"/>
        </w:rPr>
        <w:t xml:space="preserve"> </w:t>
      </w:r>
      <w:r w:rsidR="00D30F03">
        <w:rPr>
          <w:lang w:eastAsia="ja-JP"/>
        </w:rPr>
        <w:t>adults</w:t>
      </w:r>
      <w:r w:rsidR="000159A6">
        <w:rPr>
          <w:lang w:eastAsia="ja-JP"/>
        </w:rPr>
        <w:t xml:space="preserve"> </w:t>
      </w:r>
      <w:r w:rsidR="00D30F03">
        <w:rPr>
          <w:lang w:eastAsia="ja-JP"/>
        </w:rPr>
        <w:t>aged</w:t>
      </w:r>
      <w:r w:rsidR="000159A6">
        <w:rPr>
          <w:lang w:eastAsia="ja-JP"/>
        </w:rPr>
        <w:t xml:space="preserve"> </w:t>
      </w:r>
      <w:r w:rsidR="00D30F03">
        <w:rPr>
          <w:lang w:eastAsia="ja-JP"/>
        </w:rPr>
        <w:t>60</w:t>
      </w:r>
      <w:r w:rsidR="000159A6">
        <w:rPr>
          <w:lang w:eastAsia="ja-JP"/>
        </w:rPr>
        <w:t xml:space="preserve"> </w:t>
      </w:r>
      <w:r w:rsidR="00D30F03">
        <w:rPr>
          <w:lang w:eastAsia="ja-JP"/>
        </w:rPr>
        <w:t>to</w:t>
      </w:r>
      <w:r w:rsidR="000159A6">
        <w:rPr>
          <w:lang w:eastAsia="ja-JP"/>
        </w:rPr>
        <w:t xml:space="preserve"> </w:t>
      </w:r>
      <w:r w:rsidR="00D30F03">
        <w:rPr>
          <w:lang w:eastAsia="ja-JP"/>
        </w:rPr>
        <w:t>69</w:t>
      </w:r>
      <w:r w:rsidR="000159A6">
        <w:rPr>
          <w:lang w:eastAsia="ja-JP"/>
        </w:rPr>
        <w:t xml:space="preserve"> </w:t>
      </w:r>
      <w:r w:rsidR="00D30F03">
        <w:rPr>
          <w:lang w:eastAsia="ja-JP"/>
        </w:rPr>
        <w:t>and</w:t>
      </w:r>
      <w:r w:rsidR="000159A6">
        <w:rPr>
          <w:lang w:eastAsia="ja-JP"/>
        </w:rPr>
        <w:t xml:space="preserve"> </w:t>
      </w:r>
      <w:r w:rsidR="0037169B">
        <w:rPr>
          <w:lang w:eastAsia="ja-JP"/>
        </w:rPr>
        <w:t>≥</w:t>
      </w:r>
      <w:r w:rsidR="000159A6">
        <w:rPr>
          <w:lang w:eastAsia="ja-JP"/>
        </w:rPr>
        <w:t xml:space="preserve"> </w:t>
      </w:r>
      <w:r w:rsidR="00D30F03">
        <w:rPr>
          <w:lang w:eastAsia="ja-JP"/>
        </w:rPr>
        <w:t>70</w:t>
      </w:r>
      <w:r w:rsidR="000159A6">
        <w:rPr>
          <w:lang w:eastAsia="ja-JP"/>
        </w:rPr>
        <w:t xml:space="preserve"> </w:t>
      </w:r>
      <w:r w:rsidR="00D30F03">
        <w:rPr>
          <w:lang w:eastAsia="ja-JP"/>
        </w:rPr>
        <w:t>years.</w:t>
      </w:r>
      <w:r w:rsidR="000159A6">
        <w:rPr>
          <w:lang w:eastAsia="ja-JP"/>
        </w:rPr>
        <w:t xml:space="preserve"> </w:t>
      </w:r>
      <w:r w:rsidR="00D30F03">
        <w:rPr>
          <w:lang w:eastAsia="ja-JP"/>
        </w:rPr>
        <w:t>The</w:t>
      </w:r>
      <w:r w:rsidR="000159A6">
        <w:rPr>
          <w:lang w:eastAsia="ja-JP"/>
        </w:rPr>
        <w:t xml:space="preserve"> </w:t>
      </w:r>
      <w:r w:rsidR="00D30F03">
        <w:rPr>
          <w:lang w:eastAsia="ja-JP"/>
        </w:rPr>
        <w:t>study</w:t>
      </w:r>
      <w:r w:rsidR="000159A6">
        <w:rPr>
          <w:lang w:eastAsia="ja-JP"/>
        </w:rPr>
        <w:t xml:space="preserve"> </w:t>
      </w:r>
      <w:r>
        <w:rPr>
          <w:lang w:eastAsia="ja-JP"/>
        </w:rPr>
        <w:t>compared</w:t>
      </w:r>
      <w:r w:rsidR="000159A6">
        <w:rPr>
          <w:lang w:eastAsia="ja-JP"/>
        </w:rPr>
        <w:t xml:space="preserve"> </w:t>
      </w:r>
      <w:r>
        <w:rPr>
          <w:lang w:eastAsia="ja-JP"/>
        </w:rPr>
        <w:t>3</w:t>
      </w:r>
      <w:r w:rsidR="000159A6">
        <w:rPr>
          <w:lang w:eastAsia="ja-JP"/>
        </w:rPr>
        <w:t xml:space="preserve"> </w:t>
      </w:r>
      <w:r>
        <w:rPr>
          <w:lang w:eastAsia="ja-JP"/>
        </w:rPr>
        <w:t>doses</w:t>
      </w:r>
      <w:r w:rsidR="000159A6">
        <w:rPr>
          <w:lang w:eastAsia="ja-JP"/>
        </w:rPr>
        <w:t xml:space="preserve"> </w:t>
      </w:r>
      <w:r>
        <w:rPr>
          <w:lang w:eastAsia="ja-JP"/>
        </w:rPr>
        <w:t>(25,</w:t>
      </w:r>
      <w:r w:rsidR="000159A6">
        <w:rPr>
          <w:lang w:eastAsia="ja-JP"/>
        </w:rPr>
        <w:t xml:space="preserve"> </w:t>
      </w:r>
      <w:r>
        <w:rPr>
          <w:lang w:eastAsia="ja-JP"/>
        </w:rPr>
        <w:t>50</w:t>
      </w:r>
      <w:r w:rsidR="000159A6">
        <w:rPr>
          <w:lang w:eastAsia="ja-JP"/>
        </w:rPr>
        <w:t xml:space="preserve"> </w:t>
      </w:r>
      <w:r>
        <w:rPr>
          <w:lang w:eastAsia="ja-JP"/>
        </w:rPr>
        <w:t>or</w:t>
      </w:r>
      <w:r w:rsidR="000159A6">
        <w:rPr>
          <w:lang w:eastAsia="ja-JP"/>
        </w:rPr>
        <w:t xml:space="preserve"> </w:t>
      </w:r>
      <w:r>
        <w:rPr>
          <w:lang w:eastAsia="ja-JP"/>
        </w:rPr>
        <w:t>100</w:t>
      </w:r>
      <w:r w:rsidR="000159A6">
        <w:rPr>
          <w:lang w:eastAsia="ja-JP"/>
        </w:rPr>
        <w:t xml:space="preserve"> </w:t>
      </w:r>
      <w:r w:rsidR="00D30F03">
        <w:rPr>
          <w:lang w:eastAsia="ja-JP"/>
        </w:rPr>
        <w:t>µg)</w:t>
      </w:r>
      <w:r w:rsidR="000159A6">
        <w:rPr>
          <w:lang w:eastAsia="ja-JP"/>
        </w:rPr>
        <w:t xml:space="preserve"> </w:t>
      </w:r>
      <w:r w:rsidR="00D30F03">
        <w:rPr>
          <w:lang w:eastAsia="ja-JP"/>
        </w:rPr>
        <w:t>of</w:t>
      </w:r>
      <w:r w:rsidR="000159A6">
        <w:rPr>
          <w:lang w:eastAsia="ja-JP"/>
        </w:rPr>
        <w:t xml:space="preserve"> </w:t>
      </w:r>
      <w:r w:rsidR="00D30F03">
        <w:rPr>
          <w:lang w:eastAsia="ja-JP"/>
        </w:rPr>
        <w:t>gE</w:t>
      </w:r>
      <w:r w:rsidR="000159A6">
        <w:rPr>
          <w:lang w:eastAsia="ja-JP"/>
        </w:rPr>
        <w:t xml:space="preserve"> </w:t>
      </w:r>
      <w:r w:rsidR="00D30F03">
        <w:rPr>
          <w:lang w:eastAsia="ja-JP"/>
        </w:rPr>
        <w:t>with</w:t>
      </w:r>
      <w:r w:rsidR="000159A6">
        <w:rPr>
          <w:lang w:eastAsia="ja-JP"/>
        </w:rPr>
        <w:t xml:space="preserve"> </w:t>
      </w:r>
      <w:r w:rsidR="00503D1B">
        <w:t>AS01</w:t>
      </w:r>
      <w:r w:rsidR="00503D1B" w:rsidRPr="00570F2D">
        <w:rPr>
          <w:vertAlign w:val="subscript"/>
        </w:rPr>
        <w:t>B</w:t>
      </w:r>
      <w:r w:rsidR="000159A6">
        <w:rPr>
          <w:lang w:eastAsia="ja-JP"/>
        </w:rPr>
        <w:t xml:space="preserve"> </w:t>
      </w:r>
      <w:r w:rsidR="00D30F03">
        <w:rPr>
          <w:lang w:eastAsia="ja-JP"/>
        </w:rPr>
        <w:t>adjuvant</w:t>
      </w:r>
      <w:r w:rsidR="000159A6">
        <w:rPr>
          <w:lang w:eastAsia="ja-JP"/>
        </w:rPr>
        <w:t xml:space="preserve"> </w:t>
      </w:r>
      <w:r w:rsidR="00D30F03">
        <w:rPr>
          <w:lang w:eastAsia="ja-JP"/>
        </w:rPr>
        <w:t>when</w:t>
      </w:r>
      <w:r w:rsidR="000159A6">
        <w:rPr>
          <w:lang w:eastAsia="ja-JP"/>
        </w:rPr>
        <w:t xml:space="preserve"> </w:t>
      </w:r>
      <w:r w:rsidR="00D30F03">
        <w:rPr>
          <w:lang w:eastAsia="ja-JP"/>
        </w:rPr>
        <w:t>administered</w:t>
      </w:r>
      <w:r w:rsidR="000159A6">
        <w:rPr>
          <w:lang w:eastAsia="ja-JP"/>
        </w:rPr>
        <w:t xml:space="preserve"> </w:t>
      </w:r>
      <w:r w:rsidR="00D30F03">
        <w:rPr>
          <w:lang w:eastAsia="ja-JP"/>
        </w:rPr>
        <w:t>as</w:t>
      </w:r>
      <w:r w:rsidR="000159A6">
        <w:rPr>
          <w:lang w:eastAsia="ja-JP"/>
        </w:rPr>
        <w:t xml:space="preserve"> </w:t>
      </w:r>
      <w:r w:rsidR="00D30F03">
        <w:rPr>
          <w:lang w:eastAsia="ja-JP"/>
        </w:rPr>
        <w:t>2</w:t>
      </w:r>
      <w:r w:rsidR="000159A6">
        <w:rPr>
          <w:lang w:eastAsia="ja-JP"/>
        </w:rPr>
        <w:t xml:space="preserve"> </w:t>
      </w:r>
      <w:r w:rsidR="00D30F03">
        <w:rPr>
          <w:lang w:eastAsia="ja-JP"/>
        </w:rPr>
        <w:t>doses</w:t>
      </w:r>
      <w:r w:rsidR="000159A6">
        <w:rPr>
          <w:lang w:eastAsia="ja-JP"/>
        </w:rPr>
        <w:t xml:space="preserve"> </w:t>
      </w:r>
      <w:r w:rsidR="00D30F03">
        <w:rPr>
          <w:lang w:eastAsia="ja-JP"/>
        </w:rPr>
        <w:t>(at</w:t>
      </w:r>
      <w:r w:rsidR="000159A6">
        <w:rPr>
          <w:lang w:eastAsia="ja-JP"/>
        </w:rPr>
        <w:t xml:space="preserve"> </w:t>
      </w:r>
      <w:r w:rsidR="00D30F03">
        <w:rPr>
          <w:lang w:eastAsia="ja-JP"/>
        </w:rPr>
        <w:t>0,2</w:t>
      </w:r>
      <w:r w:rsidR="000159A6">
        <w:rPr>
          <w:lang w:eastAsia="ja-JP"/>
        </w:rPr>
        <w:t xml:space="preserve"> </w:t>
      </w:r>
      <w:r w:rsidR="00D30F03">
        <w:rPr>
          <w:lang w:eastAsia="ja-JP"/>
        </w:rPr>
        <w:t>months)</w:t>
      </w:r>
      <w:r w:rsidR="000159A6">
        <w:rPr>
          <w:lang w:eastAsia="ja-JP"/>
        </w:rPr>
        <w:t xml:space="preserve"> </w:t>
      </w:r>
      <w:r w:rsidR="00D30F03">
        <w:rPr>
          <w:lang w:eastAsia="ja-JP"/>
        </w:rPr>
        <w:t>compared</w:t>
      </w:r>
      <w:r w:rsidR="000159A6">
        <w:rPr>
          <w:lang w:eastAsia="ja-JP"/>
        </w:rPr>
        <w:t xml:space="preserve"> </w:t>
      </w:r>
      <w:r w:rsidR="00D30F03">
        <w:rPr>
          <w:lang w:eastAsia="ja-JP"/>
        </w:rPr>
        <w:t>to</w:t>
      </w:r>
      <w:r w:rsidR="000159A6">
        <w:rPr>
          <w:lang w:eastAsia="ja-JP"/>
        </w:rPr>
        <w:t xml:space="preserve"> </w:t>
      </w:r>
      <w:r w:rsidR="00D30F03">
        <w:rPr>
          <w:lang w:eastAsia="ja-JP"/>
        </w:rPr>
        <w:t>2</w:t>
      </w:r>
      <w:r w:rsidR="000159A6">
        <w:rPr>
          <w:lang w:eastAsia="ja-JP"/>
        </w:rPr>
        <w:t xml:space="preserve"> </w:t>
      </w:r>
      <w:r w:rsidR="00D30F03">
        <w:rPr>
          <w:lang w:eastAsia="ja-JP"/>
        </w:rPr>
        <w:t>doses</w:t>
      </w:r>
      <w:r w:rsidR="000159A6">
        <w:rPr>
          <w:lang w:eastAsia="ja-JP"/>
        </w:rPr>
        <w:t xml:space="preserve"> </w:t>
      </w:r>
      <w:r w:rsidR="00D30F03">
        <w:rPr>
          <w:lang w:eastAsia="ja-JP"/>
        </w:rPr>
        <w:t>of</w:t>
      </w:r>
      <w:r w:rsidR="000159A6">
        <w:rPr>
          <w:lang w:eastAsia="ja-JP"/>
        </w:rPr>
        <w:t xml:space="preserve"> </w:t>
      </w:r>
      <w:r w:rsidR="00D30F03">
        <w:rPr>
          <w:lang w:eastAsia="ja-JP"/>
        </w:rPr>
        <w:t>100</w:t>
      </w:r>
      <w:r w:rsidR="000159A6">
        <w:rPr>
          <w:lang w:eastAsia="ja-JP"/>
        </w:rPr>
        <w:t xml:space="preserve"> </w:t>
      </w:r>
      <w:r w:rsidR="00D30F03">
        <w:rPr>
          <w:lang w:eastAsia="ja-JP"/>
        </w:rPr>
        <w:t>µg</w:t>
      </w:r>
      <w:r w:rsidR="000159A6">
        <w:rPr>
          <w:lang w:eastAsia="ja-JP"/>
        </w:rPr>
        <w:t xml:space="preserve"> </w:t>
      </w:r>
      <w:r w:rsidR="00D30F03">
        <w:rPr>
          <w:lang w:eastAsia="ja-JP"/>
        </w:rPr>
        <w:t>gE/Saline</w:t>
      </w:r>
      <w:r w:rsidR="000159A6">
        <w:rPr>
          <w:lang w:eastAsia="ja-JP"/>
        </w:rPr>
        <w:t xml:space="preserve"> </w:t>
      </w:r>
      <w:r w:rsidR="00D30F03">
        <w:rPr>
          <w:lang w:eastAsia="ja-JP"/>
        </w:rPr>
        <w:t>or</w:t>
      </w:r>
      <w:r w:rsidR="000159A6">
        <w:rPr>
          <w:lang w:eastAsia="ja-JP"/>
        </w:rPr>
        <w:t xml:space="preserve"> </w:t>
      </w:r>
      <w:r w:rsidR="00D30F03">
        <w:rPr>
          <w:lang w:eastAsia="ja-JP"/>
        </w:rPr>
        <w:t>a</w:t>
      </w:r>
      <w:r w:rsidR="000159A6">
        <w:rPr>
          <w:lang w:eastAsia="ja-JP"/>
        </w:rPr>
        <w:t xml:space="preserve"> </w:t>
      </w:r>
      <w:r w:rsidR="00D30F03">
        <w:rPr>
          <w:lang w:eastAsia="ja-JP"/>
        </w:rPr>
        <w:t>single</w:t>
      </w:r>
      <w:r w:rsidR="000159A6">
        <w:rPr>
          <w:lang w:eastAsia="ja-JP"/>
        </w:rPr>
        <w:t xml:space="preserve"> </w:t>
      </w:r>
      <w:r w:rsidR="00D30F03">
        <w:rPr>
          <w:lang w:eastAsia="ja-JP"/>
        </w:rPr>
        <w:t>dose</w:t>
      </w:r>
      <w:r w:rsidR="000159A6">
        <w:rPr>
          <w:lang w:eastAsia="ja-JP"/>
        </w:rPr>
        <w:t xml:space="preserve"> </w:t>
      </w:r>
      <w:r w:rsidR="00D30F03">
        <w:rPr>
          <w:lang w:eastAsia="ja-JP"/>
        </w:rPr>
        <w:t>of</w:t>
      </w:r>
      <w:r w:rsidR="000159A6">
        <w:rPr>
          <w:lang w:eastAsia="ja-JP"/>
        </w:rPr>
        <w:t xml:space="preserve"> </w:t>
      </w:r>
      <w:r w:rsidR="00D30F03">
        <w:rPr>
          <w:lang w:eastAsia="ja-JP"/>
        </w:rPr>
        <w:t>100</w:t>
      </w:r>
      <w:r w:rsidR="000159A6">
        <w:rPr>
          <w:lang w:eastAsia="ja-JP"/>
        </w:rPr>
        <w:t xml:space="preserve"> </w:t>
      </w:r>
      <w:r w:rsidR="00D30F03">
        <w:rPr>
          <w:lang w:eastAsia="ja-JP"/>
        </w:rPr>
        <w:t>µg</w:t>
      </w:r>
      <w:r w:rsidR="000159A6">
        <w:rPr>
          <w:lang w:eastAsia="ja-JP"/>
        </w:rPr>
        <w:t xml:space="preserve"> </w:t>
      </w:r>
      <w:r w:rsidR="00D30F03">
        <w:rPr>
          <w:lang w:eastAsia="ja-JP"/>
        </w:rPr>
        <w:t>gE/</w:t>
      </w:r>
      <w:r w:rsidR="00503D1B">
        <w:t>AS01</w:t>
      </w:r>
      <w:r w:rsidR="00503D1B" w:rsidRPr="00570F2D">
        <w:rPr>
          <w:vertAlign w:val="subscript"/>
        </w:rPr>
        <w:t>B</w:t>
      </w:r>
      <w:r w:rsidR="000159A6">
        <w:rPr>
          <w:lang w:eastAsia="ja-JP"/>
        </w:rPr>
        <w:t xml:space="preserve"> </w:t>
      </w:r>
      <w:r w:rsidR="00D30F03">
        <w:rPr>
          <w:lang w:eastAsia="ja-JP"/>
        </w:rPr>
        <w:t>to</w:t>
      </w:r>
      <w:r w:rsidR="000159A6">
        <w:rPr>
          <w:lang w:eastAsia="ja-JP"/>
        </w:rPr>
        <w:t xml:space="preserve"> </w:t>
      </w:r>
      <w:r w:rsidR="00D30F03">
        <w:rPr>
          <w:lang w:eastAsia="ja-JP"/>
        </w:rPr>
        <w:t>select</w:t>
      </w:r>
      <w:r w:rsidR="000159A6">
        <w:rPr>
          <w:lang w:eastAsia="ja-JP"/>
        </w:rPr>
        <w:t xml:space="preserve"> </w:t>
      </w:r>
      <w:r w:rsidR="00D30F03">
        <w:rPr>
          <w:lang w:eastAsia="ja-JP"/>
        </w:rPr>
        <w:t>the</w:t>
      </w:r>
      <w:r w:rsidR="000159A6">
        <w:rPr>
          <w:lang w:eastAsia="ja-JP"/>
        </w:rPr>
        <w:t xml:space="preserve"> </w:t>
      </w:r>
      <w:r w:rsidR="00D30F03">
        <w:rPr>
          <w:lang w:eastAsia="ja-JP"/>
        </w:rPr>
        <w:t>optimal</w:t>
      </w:r>
      <w:r w:rsidR="000159A6">
        <w:rPr>
          <w:lang w:eastAsia="ja-JP"/>
        </w:rPr>
        <w:t xml:space="preserve"> </w:t>
      </w:r>
      <w:r w:rsidR="00D30F03">
        <w:rPr>
          <w:lang w:eastAsia="ja-JP"/>
        </w:rPr>
        <w:t>antigen</w:t>
      </w:r>
      <w:r w:rsidR="000159A6">
        <w:rPr>
          <w:lang w:eastAsia="ja-JP"/>
        </w:rPr>
        <w:t xml:space="preserve"> </w:t>
      </w:r>
      <w:r w:rsidR="00D30F03">
        <w:rPr>
          <w:lang w:eastAsia="ja-JP"/>
        </w:rPr>
        <w:t>dose</w:t>
      </w:r>
      <w:r w:rsidR="000159A6">
        <w:rPr>
          <w:lang w:eastAsia="ja-JP"/>
        </w:rPr>
        <w:t xml:space="preserve"> </w:t>
      </w:r>
      <w:r w:rsidR="00D30F03">
        <w:rPr>
          <w:lang w:eastAsia="ja-JP"/>
        </w:rPr>
        <w:t>and</w:t>
      </w:r>
      <w:r w:rsidR="000159A6">
        <w:rPr>
          <w:lang w:eastAsia="ja-JP"/>
        </w:rPr>
        <w:t xml:space="preserve"> </w:t>
      </w:r>
      <w:r w:rsidR="00D30F03">
        <w:rPr>
          <w:lang w:eastAsia="ja-JP"/>
        </w:rPr>
        <w:t>schedule</w:t>
      </w:r>
      <w:r w:rsidR="000159A6">
        <w:rPr>
          <w:lang w:eastAsia="ja-JP"/>
        </w:rPr>
        <w:t xml:space="preserve"> </w:t>
      </w:r>
      <w:r w:rsidR="00D30F03">
        <w:rPr>
          <w:lang w:eastAsia="ja-JP"/>
        </w:rPr>
        <w:t>of</w:t>
      </w:r>
      <w:r w:rsidR="000159A6">
        <w:rPr>
          <w:lang w:eastAsia="ja-JP"/>
        </w:rPr>
        <w:t xml:space="preserve"> </w:t>
      </w:r>
      <w:r w:rsidR="00D30F03">
        <w:rPr>
          <w:lang w:eastAsia="ja-JP"/>
        </w:rPr>
        <w:t>the</w:t>
      </w:r>
      <w:r w:rsidR="000159A6">
        <w:rPr>
          <w:lang w:eastAsia="ja-JP"/>
        </w:rPr>
        <w:t xml:space="preserve"> </w:t>
      </w:r>
      <w:r w:rsidR="00D30F03">
        <w:rPr>
          <w:lang w:eastAsia="ja-JP"/>
        </w:rPr>
        <w:t>candidate</w:t>
      </w:r>
      <w:r w:rsidR="000159A6">
        <w:rPr>
          <w:lang w:eastAsia="ja-JP"/>
        </w:rPr>
        <w:t xml:space="preserve"> </w:t>
      </w:r>
      <w:r w:rsidR="00D30F03">
        <w:rPr>
          <w:lang w:eastAsia="ja-JP"/>
        </w:rPr>
        <w:t>HZ</w:t>
      </w:r>
      <w:r w:rsidR="000159A6">
        <w:rPr>
          <w:lang w:eastAsia="ja-JP"/>
        </w:rPr>
        <w:t xml:space="preserve"> </w:t>
      </w:r>
      <w:r w:rsidR="00D30F03">
        <w:rPr>
          <w:lang w:eastAsia="ja-JP"/>
        </w:rPr>
        <w:t>vaccine</w:t>
      </w:r>
      <w:r w:rsidR="000159A6">
        <w:rPr>
          <w:lang w:eastAsia="ja-JP"/>
        </w:rPr>
        <w:t xml:space="preserve"> </w:t>
      </w:r>
      <w:r w:rsidR="00D30F03">
        <w:rPr>
          <w:lang w:eastAsia="ja-JP"/>
        </w:rPr>
        <w:t>for</w:t>
      </w:r>
      <w:r w:rsidR="000159A6">
        <w:rPr>
          <w:lang w:eastAsia="ja-JP"/>
        </w:rPr>
        <w:t xml:space="preserve"> </w:t>
      </w:r>
      <w:r w:rsidR="00D30F03">
        <w:rPr>
          <w:lang w:eastAsia="ja-JP"/>
        </w:rPr>
        <w:t>use</w:t>
      </w:r>
      <w:r w:rsidR="000159A6">
        <w:rPr>
          <w:lang w:eastAsia="ja-JP"/>
        </w:rPr>
        <w:t xml:space="preserve"> </w:t>
      </w:r>
      <w:r w:rsidR="00D30F03">
        <w:rPr>
          <w:lang w:eastAsia="ja-JP"/>
        </w:rPr>
        <w:t>in</w:t>
      </w:r>
      <w:r w:rsidR="000159A6">
        <w:rPr>
          <w:lang w:eastAsia="ja-JP"/>
        </w:rPr>
        <w:t xml:space="preserve"> </w:t>
      </w:r>
      <w:r w:rsidR="00D30F03">
        <w:rPr>
          <w:lang w:eastAsia="ja-JP"/>
        </w:rPr>
        <w:t>future</w:t>
      </w:r>
      <w:r w:rsidR="000159A6">
        <w:rPr>
          <w:lang w:eastAsia="ja-JP"/>
        </w:rPr>
        <w:t xml:space="preserve"> </w:t>
      </w:r>
      <w:r w:rsidR="00D30F03">
        <w:rPr>
          <w:lang w:eastAsia="ja-JP"/>
        </w:rPr>
        <w:t>trials.</w:t>
      </w:r>
      <w:r w:rsidR="000159A6">
        <w:rPr>
          <w:lang w:eastAsia="ja-JP"/>
        </w:rPr>
        <w:t xml:space="preserve"> </w:t>
      </w:r>
      <w:r w:rsidR="00D30F03">
        <w:rPr>
          <w:lang w:eastAsia="ja-JP"/>
        </w:rPr>
        <w:t>A</w:t>
      </w:r>
      <w:r w:rsidR="000159A6">
        <w:rPr>
          <w:lang w:eastAsia="ja-JP"/>
        </w:rPr>
        <w:t xml:space="preserve"> </w:t>
      </w:r>
      <w:r w:rsidR="00D30F03">
        <w:rPr>
          <w:lang w:eastAsia="ja-JP"/>
        </w:rPr>
        <w:t>total</w:t>
      </w:r>
      <w:r w:rsidR="000159A6">
        <w:rPr>
          <w:lang w:eastAsia="ja-JP"/>
        </w:rPr>
        <w:t xml:space="preserve"> </w:t>
      </w:r>
      <w:r w:rsidR="00D30F03">
        <w:rPr>
          <w:lang w:eastAsia="ja-JP"/>
        </w:rPr>
        <w:t>of</w:t>
      </w:r>
      <w:r w:rsidR="000159A6">
        <w:rPr>
          <w:lang w:eastAsia="ja-JP"/>
        </w:rPr>
        <w:t xml:space="preserve"> </w:t>
      </w:r>
      <w:r w:rsidR="00D30F03">
        <w:rPr>
          <w:lang w:eastAsia="ja-JP"/>
        </w:rPr>
        <w:t>715</w:t>
      </w:r>
      <w:r w:rsidR="000159A6">
        <w:rPr>
          <w:lang w:eastAsia="ja-JP"/>
        </w:rPr>
        <w:t xml:space="preserve"> </w:t>
      </w:r>
      <w:r w:rsidR="00D30F03">
        <w:rPr>
          <w:lang w:eastAsia="ja-JP"/>
        </w:rPr>
        <w:t>subjects</w:t>
      </w:r>
      <w:r w:rsidR="000159A6">
        <w:rPr>
          <w:lang w:eastAsia="ja-JP"/>
        </w:rPr>
        <w:t xml:space="preserve"> </w:t>
      </w:r>
      <w:r w:rsidR="00D30F03">
        <w:rPr>
          <w:lang w:eastAsia="ja-JP"/>
        </w:rPr>
        <w:t>were</w:t>
      </w:r>
      <w:r w:rsidR="000159A6">
        <w:rPr>
          <w:lang w:eastAsia="ja-JP"/>
        </w:rPr>
        <w:t xml:space="preserve"> </w:t>
      </w:r>
      <w:r w:rsidR="00D30F03">
        <w:rPr>
          <w:lang w:eastAsia="ja-JP"/>
        </w:rPr>
        <w:t>enrolled</w:t>
      </w:r>
      <w:r w:rsidR="000159A6">
        <w:rPr>
          <w:lang w:eastAsia="ja-JP"/>
        </w:rPr>
        <w:t xml:space="preserve"> </w:t>
      </w:r>
      <w:r w:rsidR="00D30F03">
        <w:rPr>
          <w:lang w:eastAsia="ja-JP"/>
        </w:rPr>
        <w:t>in</w:t>
      </w:r>
      <w:r w:rsidR="000159A6">
        <w:rPr>
          <w:lang w:eastAsia="ja-JP"/>
        </w:rPr>
        <w:t xml:space="preserve"> </w:t>
      </w:r>
      <w:r w:rsidR="00D30F03">
        <w:rPr>
          <w:lang w:eastAsia="ja-JP"/>
        </w:rPr>
        <w:t>the</w:t>
      </w:r>
      <w:r w:rsidR="000159A6">
        <w:rPr>
          <w:lang w:eastAsia="ja-JP"/>
        </w:rPr>
        <w:t xml:space="preserve"> </w:t>
      </w:r>
      <w:r w:rsidR="00D30F03">
        <w:rPr>
          <w:lang w:eastAsia="ja-JP"/>
        </w:rPr>
        <w:t>study</w:t>
      </w:r>
      <w:r w:rsidR="000159A6">
        <w:rPr>
          <w:lang w:eastAsia="ja-JP"/>
        </w:rPr>
        <w:t xml:space="preserve"> </w:t>
      </w:r>
      <w:r w:rsidR="00D30F03">
        <w:rPr>
          <w:lang w:eastAsia="ja-JP"/>
        </w:rPr>
        <w:t>and</w:t>
      </w:r>
      <w:r w:rsidR="000159A6">
        <w:rPr>
          <w:lang w:eastAsia="ja-JP"/>
        </w:rPr>
        <w:t xml:space="preserve"> </w:t>
      </w:r>
      <w:r w:rsidR="00E849D1">
        <w:rPr>
          <w:lang w:eastAsia="ja-JP"/>
        </w:rPr>
        <w:t>randomised</w:t>
      </w:r>
      <w:r w:rsidR="000159A6">
        <w:rPr>
          <w:lang w:eastAsia="ja-JP"/>
        </w:rPr>
        <w:t xml:space="preserve"> </w:t>
      </w:r>
      <w:r w:rsidR="00E849D1">
        <w:rPr>
          <w:lang w:eastAsia="ja-JP"/>
        </w:rPr>
        <w:t>in</w:t>
      </w:r>
      <w:r w:rsidR="000159A6">
        <w:rPr>
          <w:lang w:eastAsia="ja-JP"/>
        </w:rPr>
        <w:t xml:space="preserve"> </w:t>
      </w:r>
      <w:r w:rsidR="00E849D1">
        <w:rPr>
          <w:lang w:eastAsia="ja-JP"/>
        </w:rPr>
        <w:t>a</w:t>
      </w:r>
      <w:r w:rsidR="000159A6">
        <w:rPr>
          <w:lang w:eastAsia="ja-JP"/>
        </w:rPr>
        <w:t xml:space="preserve"> </w:t>
      </w:r>
      <w:r w:rsidR="00D30F03">
        <w:rPr>
          <w:lang w:eastAsia="ja-JP"/>
        </w:rPr>
        <w:t>1:3:3:3:3</w:t>
      </w:r>
      <w:r w:rsidR="000159A6">
        <w:rPr>
          <w:lang w:eastAsia="ja-JP"/>
        </w:rPr>
        <w:t xml:space="preserve"> </w:t>
      </w:r>
      <w:proofErr w:type="gramStart"/>
      <w:r w:rsidR="00E849D1">
        <w:rPr>
          <w:lang w:eastAsia="ja-JP"/>
        </w:rPr>
        <w:t>ratio</w:t>
      </w:r>
      <w:proofErr w:type="gramEnd"/>
      <w:r w:rsidR="000159A6">
        <w:rPr>
          <w:lang w:eastAsia="ja-JP"/>
        </w:rPr>
        <w:t xml:space="preserve"> </w:t>
      </w:r>
      <w:r w:rsidR="00D30F03">
        <w:rPr>
          <w:lang w:eastAsia="ja-JP"/>
        </w:rPr>
        <w:t>with</w:t>
      </w:r>
      <w:r w:rsidR="000159A6">
        <w:rPr>
          <w:lang w:eastAsia="ja-JP"/>
        </w:rPr>
        <w:t xml:space="preserve"> </w:t>
      </w:r>
      <w:r w:rsidR="00D30F03">
        <w:rPr>
          <w:lang w:eastAsia="ja-JP"/>
        </w:rPr>
        <w:t>stratification</w:t>
      </w:r>
      <w:r w:rsidR="000159A6">
        <w:rPr>
          <w:lang w:eastAsia="ja-JP"/>
        </w:rPr>
        <w:t xml:space="preserve"> </w:t>
      </w:r>
      <w:r w:rsidR="00D30F03">
        <w:rPr>
          <w:lang w:eastAsia="ja-JP"/>
        </w:rPr>
        <w:t>by</w:t>
      </w:r>
      <w:r w:rsidR="000159A6">
        <w:rPr>
          <w:lang w:eastAsia="ja-JP"/>
        </w:rPr>
        <w:t xml:space="preserve"> </w:t>
      </w:r>
      <w:r w:rsidR="00D30F03">
        <w:rPr>
          <w:lang w:eastAsia="ja-JP"/>
        </w:rPr>
        <w:t>age</w:t>
      </w:r>
      <w:r w:rsidR="000159A6">
        <w:rPr>
          <w:lang w:eastAsia="ja-JP"/>
        </w:rPr>
        <w:t xml:space="preserve"> </w:t>
      </w:r>
      <w:r w:rsidR="00D30F03">
        <w:rPr>
          <w:lang w:eastAsia="ja-JP"/>
        </w:rPr>
        <w:t>in</w:t>
      </w:r>
      <w:r w:rsidR="000159A6">
        <w:rPr>
          <w:lang w:eastAsia="ja-JP"/>
        </w:rPr>
        <w:t xml:space="preserve"> </w:t>
      </w:r>
      <w:r w:rsidR="00D30F03">
        <w:rPr>
          <w:lang w:eastAsia="ja-JP"/>
        </w:rPr>
        <w:t>a</w:t>
      </w:r>
      <w:r w:rsidR="000159A6">
        <w:rPr>
          <w:lang w:eastAsia="ja-JP"/>
        </w:rPr>
        <w:t xml:space="preserve"> </w:t>
      </w:r>
      <w:r w:rsidR="00D30F03">
        <w:rPr>
          <w:lang w:eastAsia="ja-JP"/>
        </w:rPr>
        <w:t>1:4</w:t>
      </w:r>
      <w:r w:rsidR="000159A6">
        <w:rPr>
          <w:lang w:eastAsia="ja-JP"/>
        </w:rPr>
        <w:t xml:space="preserve"> </w:t>
      </w:r>
      <w:r w:rsidR="00D30F03">
        <w:rPr>
          <w:lang w:eastAsia="ja-JP"/>
        </w:rPr>
        <w:t>ratio</w:t>
      </w:r>
      <w:r w:rsidR="000159A6">
        <w:rPr>
          <w:lang w:eastAsia="ja-JP"/>
        </w:rPr>
        <w:t xml:space="preserve"> </w:t>
      </w:r>
      <w:r w:rsidR="00D30F03">
        <w:rPr>
          <w:lang w:eastAsia="ja-JP"/>
        </w:rPr>
        <w:t>(60</w:t>
      </w:r>
      <w:r w:rsidR="000159A6">
        <w:rPr>
          <w:lang w:eastAsia="ja-JP"/>
        </w:rPr>
        <w:t xml:space="preserve"> </w:t>
      </w:r>
      <w:r w:rsidR="00D30F03">
        <w:rPr>
          <w:lang w:eastAsia="ja-JP"/>
        </w:rPr>
        <w:t>to</w:t>
      </w:r>
      <w:r w:rsidR="000159A6">
        <w:rPr>
          <w:lang w:eastAsia="ja-JP"/>
        </w:rPr>
        <w:t xml:space="preserve"> </w:t>
      </w:r>
      <w:r w:rsidR="00D30F03">
        <w:rPr>
          <w:lang w:eastAsia="ja-JP"/>
        </w:rPr>
        <w:t>69</w:t>
      </w:r>
      <w:r w:rsidR="000159A6">
        <w:rPr>
          <w:lang w:eastAsia="ja-JP"/>
        </w:rPr>
        <w:t xml:space="preserve"> </w:t>
      </w:r>
      <w:r w:rsidR="00D30F03">
        <w:rPr>
          <w:lang w:eastAsia="ja-JP"/>
        </w:rPr>
        <w:t>and</w:t>
      </w:r>
      <w:r w:rsidR="000159A6">
        <w:rPr>
          <w:lang w:eastAsia="ja-JP"/>
        </w:rPr>
        <w:t xml:space="preserve"> </w:t>
      </w:r>
      <w:r w:rsidR="0037169B">
        <w:rPr>
          <w:lang w:eastAsia="ja-JP"/>
        </w:rPr>
        <w:t>≥</w:t>
      </w:r>
      <w:r w:rsidR="000159A6">
        <w:rPr>
          <w:lang w:eastAsia="ja-JP"/>
        </w:rPr>
        <w:t xml:space="preserve"> </w:t>
      </w:r>
      <w:r w:rsidR="00D30F03">
        <w:rPr>
          <w:lang w:eastAsia="ja-JP"/>
        </w:rPr>
        <w:t>70</w:t>
      </w:r>
      <w:r w:rsidR="000159A6">
        <w:rPr>
          <w:lang w:eastAsia="ja-JP"/>
        </w:rPr>
        <w:t xml:space="preserve"> </w:t>
      </w:r>
      <w:r w:rsidR="00D30F03">
        <w:rPr>
          <w:lang w:eastAsia="ja-JP"/>
        </w:rPr>
        <w:t>years</w:t>
      </w:r>
      <w:r w:rsidR="000159A6">
        <w:rPr>
          <w:lang w:eastAsia="ja-JP"/>
        </w:rPr>
        <w:t xml:space="preserve"> </w:t>
      </w:r>
      <w:r w:rsidR="00D30F03">
        <w:rPr>
          <w:lang w:eastAsia="ja-JP"/>
        </w:rPr>
        <w:t>of</w:t>
      </w:r>
      <w:r w:rsidR="000159A6">
        <w:rPr>
          <w:lang w:eastAsia="ja-JP"/>
        </w:rPr>
        <w:t xml:space="preserve"> </w:t>
      </w:r>
      <w:r w:rsidR="00D30F03">
        <w:rPr>
          <w:lang w:eastAsia="ja-JP"/>
        </w:rPr>
        <w:t>age).</w:t>
      </w:r>
      <w:r w:rsidR="000159A6">
        <w:rPr>
          <w:lang w:eastAsia="ja-JP"/>
        </w:rPr>
        <w:t xml:space="preserve"> </w:t>
      </w:r>
      <w:r w:rsidR="00D30F03">
        <w:rPr>
          <w:lang w:eastAsia="ja-JP"/>
        </w:rPr>
        <w:t>The</w:t>
      </w:r>
      <w:r w:rsidR="000159A6">
        <w:rPr>
          <w:lang w:eastAsia="ja-JP"/>
        </w:rPr>
        <w:t xml:space="preserve"> </w:t>
      </w:r>
      <w:r w:rsidR="00D30F03">
        <w:rPr>
          <w:lang w:eastAsia="ja-JP"/>
        </w:rPr>
        <w:t>primary</w:t>
      </w:r>
      <w:r w:rsidR="000159A6">
        <w:rPr>
          <w:lang w:eastAsia="ja-JP"/>
        </w:rPr>
        <w:t xml:space="preserve"> </w:t>
      </w:r>
      <w:r w:rsidR="00D30F03">
        <w:rPr>
          <w:lang w:eastAsia="ja-JP"/>
        </w:rPr>
        <w:t>objective</w:t>
      </w:r>
      <w:r w:rsidR="000159A6">
        <w:rPr>
          <w:lang w:eastAsia="ja-JP"/>
        </w:rPr>
        <w:t xml:space="preserve"> </w:t>
      </w:r>
      <w:r w:rsidR="00D30F03">
        <w:rPr>
          <w:lang w:eastAsia="ja-JP"/>
        </w:rPr>
        <w:t>was</w:t>
      </w:r>
      <w:r w:rsidR="000159A6">
        <w:rPr>
          <w:lang w:eastAsia="ja-JP"/>
        </w:rPr>
        <w:t xml:space="preserve"> </w:t>
      </w:r>
      <w:r w:rsidR="00D30F03">
        <w:rPr>
          <w:lang w:eastAsia="ja-JP"/>
        </w:rPr>
        <w:t>to</w:t>
      </w:r>
      <w:r w:rsidR="000159A6">
        <w:rPr>
          <w:lang w:eastAsia="ja-JP"/>
        </w:rPr>
        <w:t xml:space="preserve"> </w:t>
      </w:r>
      <w:r w:rsidR="00D30F03">
        <w:rPr>
          <w:lang w:eastAsia="ja-JP"/>
        </w:rPr>
        <w:t>compare</w:t>
      </w:r>
      <w:r w:rsidR="000159A6">
        <w:rPr>
          <w:lang w:eastAsia="ja-JP"/>
        </w:rPr>
        <w:t xml:space="preserve"> </w:t>
      </w:r>
      <w:r w:rsidR="00D30F03">
        <w:rPr>
          <w:lang w:eastAsia="ja-JP"/>
        </w:rPr>
        <w:t>the</w:t>
      </w:r>
      <w:r w:rsidR="000159A6">
        <w:rPr>
          <w:lang w:eastAsia="ja-JP"/>
        </w:rPr>
        <w:t xml:space="preserve"> </w:t>
      </w:r>
      <w:r w:rsidR="00D30F03">
        <w:rPr>
          <w:lang w:eastAsia="ja-JP"/>
        </w:rPr>
        <w:t>gE-specific</w:t>
      </w:r>
      <w:r w:rsidR="000159A6">
        <w:rPr>
          <w:lang w:eastAsia="ja-JP"/>
        </w:rPr>
        <w:t xml:space="preserve"> </w:t>
      </w:r>
      <w:r w:rsidR="00D30F03">
        <w:rPr>
          <w:lang w:eastAsia="ja-JP"/>
        </w:rPr>
        <w:t>CD4</w:t>
      </w:r>
      <w:r w:rsidR="000E6841">
        <w:t>+</w:t>
      </w:r>
      <w:r w:rsidR="000159A6">
        <w:rPr>
          <w:lang w:eastAsia="ja-JP"/>
        </w:rPr>
        <w:t xml:space="preserve"> </w:t>
      </w:r>
      <w:r w:rsidR="00D30F03">
        <w:rPr>
          <w:lang w:eastAsia="ja-JP"/>
        </w:rPr>
        <w:t>T</w:t>
      </w:r>
      <w:r w:rsidR="000159A6">
        <w:rPr>
          <w:lang w:eastAsia="ja-JP"/>
        </w:rPr>
        <w:t xml:space="preserve"> </w:t>
      </w:r>
      <w:r w:rsidR="00D30F03">
        <w:rPr>
          <w:lang w:eastAsia="ja-JP"/>
        </w:rPr>
        <w:t>cell</w:t>
      </w:r>
      <w:r w:rsidR="000159A6">
        <w:rPr>
          <w:lang w:eastAsia="ja-JP"/>
        </w:rPr>
        <w:t xml:space="preserve"> </w:t>
      </w:r>
      <w:r w:rsidR="00D30F03">
        <w:rPr>
          <w:lang w:eastAsia="ja-JP"/>
        </w:rPr>
        <w:t>response</w:t>
      </w:r>
      <w:r w:rsidR="000159A6">
        <w:rPr>
          <w:lang w:eastAsia="ja-JP"/>
        </w:rPr>
        <w:t xml:space="preserve"> </w:t>
      </w:r>
      <w:r w:rsidR="00D30F03">
        <w:rPr>
          <w:lang w:eastAsia="ja-JP"/>
        </w:rPr>
        <w:t>in</w:t>
      </w:r>
      <w:r w:rsidR="000159A6">
        <w:rPr>
          <w:lang w:eastAsia="ja-JP"/>
        </w:rPr>
        <w:t xml:space="preserve"> </w:t>
      </w:r>
      <w:r w:rsidR="00D30F03">
        <w:rPr>
          <w:lang w:eastAsia="ja-JP"/>
        </w:rPr>
        <w:t>gE/</w:t>
      </w:r>
      <w:r w:rsidR="00503D1B">
        <w:t>AS01</w:t>
      </w:r>
      <w:r w:rsidR="00503D1B" w:rsidRPr="00570F2D">
        <w:rPr>
          <w:vertAlign w:val="subscript"/>
        </w:rPr>
        <w:t>B</w:t>
      </w:r>
      <w:r w:rsidR="000159A6">
        <w:rPr>
          <w:lang w:eastAsia="ja-JP"/>
        </w:rPr>
        <w:t xml:space="preserve"> </w:t>
      </w:r>
      <w:r w:rsidR="00D30F03">
        <w:rPr>
          <w:lang w:eastAsia="ja-JP"/>
        </w:rPr>
        <w:t>study</w:t>
      </w:r>
      <w:r w:rsidR="000159A6">
        <w:rPr>
          <w:lang w:eastAsia="ja-JP"/>
        </w:rPr>
        <w:t xml:space="preserve"> </w:t>
      </w:r>
      <w:r w:rsidR="00D30F03">
        <w:rPr>
          <w:lang w:eastAsia="ja-JP"/>
        </w:rPr>
        <w:t>vaccine</w:t>
      </w:r>
      <w:r w:rsidR="000159A6">
        <w:rPr>
          <w:lang w:eastAsia="ja-JP"/>
        </w:rPr>
        <w:t xml:space="preserve"> </w:t>
      </w:r>
      <w:r w:rsidR="00D30F03">
        <w:rPr>
          <w:lang w:eastAsia="ja-JP"/>
        </w:rPr>
        <w:t>groups</w:t>
      </w:r>
      <w:r w:rsidR="000159A6">
        <w:rPr>
          <w:lang w:eastAsia="ja-JP"/>
        </w:rPr>
        <w:t xml:space="preserve"> </w:t>
      </w:r>
      <w:r w:rsidR="00D30F03">
        <w:rPr>
          <w:lang w:eastAsia="ja-JP"/>
        </w:rPr>
        <w:t>at</w:t>
      </w:r>
      <w:r w:rsidR="000159A6">
        <w:rPr>
          <w:lang w:eastAsia="ja-JP"/>
        </w:rPr>
        <w:t xml:space="preserve"> </w:t>
      </w:r>
      <w:r w:rsidR="00D30F03">
        <w:rPr>
          <w:lang w:eastAsia="ja-JP"/>
        </w:rPr>
        <w:t>Month</w:t>
      </w:r>
      <w:r w:rsidR="000159A6">
        <w:rPr>
          <w:lang w:eastAsia="ja-JP"/>
        </w:rPr>
        <w:t xml:space="preserve"> </w:t>
      </w:r>
      <w:r w:rsidR="00D30F03">
        <w:rPr>
          <w:lang w:eastAsia="ja-JP"/>
        </w:rPr>
        <w:t>3</w:t>
      </w:r>
      <w:r w:rsidR="000159A6">
        <w:rPr>
          <w:lang w:eastAsia="ja-JP"/>
        </w:rPr>
        <w:t xml:space="preserve"> </w:t>
      </w:r>
      <w:r w:rsidR="00D30F03">
        <w:rPr>
          <w:lang w:eastAsia="ja-JP"/>
        </w:rPr>
        <w:t>in</w:t>
      </w:r>
      <w:r w:rsidR="000159A6">
        <w:rPr>
          <w:lang w:eastAsia="ja-JP"/>
        </w:rPr>
        <w:t xml:space="preserve"> </w:t>
      </w:r>
      <w:r w:rsidR="00D30F03">
        <w:rPr>
          <w:lang w:eastAsia="ja-JP"/>
        </w:rPr>
        <w:t>older</w:t>
      </w:r>
      <w:r w:rsidR="000159A6">
        <w:rPr>
          <w:lang w:eastAsia="ja-JP"/>
        </w:rPr>
        <w:t xml:space="preserve"> </w:t>
      </w:r>
      <w:r w:rsidR="00D30F03">
        <w:rPr>
          <w:lang w:eastAsia="ja-JP"/>
        </w:rPr>
        <w:t>adults</w:t>
      </w:r>
      <w:r w:rsidR="000159A6">
        <w:rPr>
          <w:lang w:eastAsia="ja-JP"/>
        </w:rPr>
        <w:t xml:space="preserve"> </w:t>
      </w:r>
      <w:r w:rsidR="00D30F03">
        <w:rPr>
          <w:lang w:eastAsia="ja-JP"/>
        </w:rPr>
        <w:t>(</w:t>
      </w:r>
      <w:r w:rsidR="0037169B">
        <w:rPr>
          <w:lang w:eastAsia="ja-JP"/>
        </w:rPr>
        <w:t>≥</w:t>
      </w:r>
      <w:r w:rsidR="000159A6">
        <w:rPr>
          <w:lang w:eastAsia="ja-JP"/>
        </w:rPr>
        <w:t xml:space="preserve"> </w:t>
      </w:r>
      <w:r w:rsidR="00D30F03">
        <w:rPr>
          <w:lang w:eastAsia="ja-JP"/>
        </w:rPr>
        <w:t>70</w:t>
      </w:r>
      <w:r w:rsidR="000159A6">
        <w:rPr>
          <w:lang w:eastAsia="ja-JP"/>
        </w:rPr>
        <w:t xml:space="preserve"> </w:t>
      </w:r>
      <w:r w:rsidR="00D30F03">
        <w:rPr>
          <w:lang w:eastAsia="ja-JP"/>
        </w:rPr>
        <w:t>years).</w:t>
      </w:r>
    </w:p>
    <w:p w14:paraId="757D46C4" w14:textId="4DFCA872" w:rsidR="00D30F03" w:rsidRDefault="00D30F03" w:rsidP="00D30F03">
      <w:pPr>
        <w:rPr>
          <w:lang w:eastAsia="ja-JP"/>
        </w:rPr>
      </w:pPr>
      <w:r w:rsidRPr="00A6589E">
        <w:rPr>
          <w:lang w:eastAsia="ja-JP"/>
        </w:rPr>
        <w:t>The</w:t>
      </w:r>
      <w:r w:rsidR="000159A6">
        <w:rPr>
          <w:lang w:eastAsia="ja-JP"/>
        </w:rPr>
        <w:t xml:space="preserve"> </w:t>
      </w:r>
      <w:proofErr w:type="gramStart"/>
      <w:r w:rsidRPr="00A6589E">
        <w:rPr>
          <w:lang w:eastAsia="ja-JP"/>
        </w:rPr>
        <w:t>gE</w:t>
      </w:r>
      <w:proofErr w:type="gramEnd"/>
      <w:r w:rsidR="000159A6">
        <w:rPr>
          <w:lang w:eastAsia="ja-JP"/>
        </w:rPr>
        <w:t xml:space="preserve"> </w:t>
      </w:r>
      <w:r w:rsidRPr="00A6589E">
        <w:rPr>
          <w:lang w:eastAsia="ja-JP"/>
        </w:rPr>
        <w:t>antigen</w:t>
      </w:r>
      <w:r w:rsidR="000159A6">
        <w:rPr>
          <w:lang w:eastAsia="ja-JP"/>
        </w:rPr>
        <w:t xml:space="preserve"> </w:t>
      </w:r>
      <w:r w:rsidRPr="00A6589E">
        <w:rPr>
          <w:lang w:eastAsia="ja-JP"/>
        </w:rPr>
        <w:t>dose</w:t>
      </w:r>
      <w:r w:rsidR="000159A6">
        <w:rPr>
          <w:lang w:eastAsia="ja-JP"/>
        </w:rPr>
        <w:t xml:space="preserve"> </w:t>
      </w:r>
      <w:r w:rsidRPr="00A6589E">
        <w:rPr>
          <w:lang w:eastAsia="ja-JP"/>
        </w:rPr>
        <w:t>selection</w:t>
      </w:r>
      <w:r w:rsidR="000159A6">
        <w:rPr>
          <w:lang w:eastAsia="ja-JP"/>
        </w:rPr>
        <w:t xml:space="preserve"> </w:t>
      </w:r>
      <w:r w:rsidRPr="00A6589E">
        <w:rPr>
          <w:lang w:eastAsia="ja-JP"/>
        </w:rPr>
        <w:t>was</w:t>
      </w:r>
      <w:r w:rsidR="000159A6">
        <w:rPr>
          <w:lang w:eastAsia="ja-JP"/>
        </w:rPr>
        <w:t xml:space="preserve"> </w:t>
      </w:r>
      <w:r w:rsidRPr="00A6589E">
        <w:rPr>
          <w:lang w:eastAsia="ja-JP"/>
        </w:rPr>
        <w:t>based</w:t>
      </w:r>
      <w:r w:rsidR="000159A6">
        <w:rPr>
          <w:lang w:eastAsia="ja-JP"/>
        </w:rPr>
        <w:t xml:space="preserve"> </w:t>
      </w:r>
      <w:r w:rsidRPr="00A6589E">
        <w:rPr>
          <w:lang w:eastAsia="ja-JP"/>
        </w:rPr>
        <w:t>on</w:t>
      </w:r>
      <w:r w:rsidR="000159A6">
        <w:rPr>
          <w:lang w:eastAsia="ja-JP"/>
        </w:rPr>
        <w:t xml:space="preserve"> </w:t>
      </w:r>
      <w:r w:rsidRPr="00A6589E">
        <w:rPr>
          <w:lang w:eastAsia="ja-JP"/>
        </w:rPr>
        <w:t>assessment</w:t>
      </w:r>
      <w:r w:rsidR="000159A6">
        <w:rPr>
          <w:lang w:eastAsia="ja-JP"/>
        </w:rPr>
        <w:t xml:space="preserve"> </w:t>
      </w:r>
      <w:r w:rsidRPr="00A6589E">
        <w:rPr>
          <w:lang w:eastAsia="ja-JP"/>
        </w:rPr>
        <w:t>of</w:t>
      </w:r>
      <w:r w:rsidR="000159A6">
        <w:rPr>
          <w:lang w:eastAsia="ja-JP"/>
        </w:rPr>
        <w:t xml:space="preserve"> </w:t>
      </w:r>
      <w:r w:rsidRPr="00A6589E">
        <w:rPr>
          <w:lang w:eastAsia="ja-JP"/>
        </w:rPr>
        <w:t>CD4</w:t>
      </w:r>
      <w:r w:rsidR="000159A6">
        <w:rPr>
          <w:lang w:eastAsia="ja-JP"/>
        </w:rPr>
        <w:t xml:space="preserve"> </w:t>
      </w:r>
      <w:r w:rsidRPr="00A6589E">
        <w:rPr>
          <w:lang w:eastAsia="ja-JP"/>
        </w:rPr>
        <w:t>T</w:t>
      </w:r>
      <w:r w:rsidR="000159A6">
        <w:rPr>
          <w:lang w:eastAsia="ja-JP"/>
        </w:rPr>
        <w:t xml:space="preserve"> </w:t>
      </w:r>
      <w:r w:rsidRPr="00A6589E">
        <w:rPr>
          <w:lang w:eastAsia="ja-JP"/>
        </w:rPr>
        <w:t>cell</w:t>
      </w:r>
      <w:r w:rsidR="000159A6">
        <w:rPr>
          <w:lang w:eastAsia="ja-JP"/>
        </w:rPr>
        <w:t xml:space="preserve"> </w:t>
      </w:r>
      <w:r w:rsidRPr="00A6589E">
        <w:rPr>
          <w:lang w:eastAsia="ja-JP"/>
        </w:rPr>
        <w:t>response</w:t>
      </w:r>
      <w:r w:rsidR="000159A6">
        <w:rPr>
          <w:lang w:eastAsia="ja-JP"/>
        </w:rPr>
        <w:t xml:space="preserve"> </w:t>
      </w:r>
      <w:r w:rsidRPr="00A6589E">
        <w:rPr>
          <w:lang w:eastAsia="ja-JP"/>
        </w:rPr>
        <w:t>to</w:t>
      </w:r>
      <w:r w:rsidR="000159A6">
        <w:rPr>
          <w:lang w:eastAsia="ja-JP"/>
        </w:rPr>
        <w:t xml:space="preserve"> </w:t>
      </w:r>
      <w:r w:rsidRPr="00A6589E">
        <w:rPr>
          <w:lang w:eastAsia="ja-JP"/>
        </w:rPr>
        <w:t>gE</w:t>
      </w:r>
      <w:r w:rsidR="000159A6">
        <w:rPr>
          <w:lang w:eastAsia="ja-JP"/>
        </w:rPr>
        <w:t xml:space="preserve"> </w:t>
      </w:r>
      <w:r w:rsidRPr="00A6589E">
        <w:rPr>
          <w:lang w:eastAsia="ja-JP"/>
        </w:rPr>
        <w:t>(secreting</w:t>
      </w:r>
      <w:r w:rsidR="000159A6">
        <w:rPr>
          <w:lang w:eastAsia="ja-JP"/>
        </w:rPr>
        <w:t xml:space="preserve"> </w:t>
      </w:r>
      <w:r w:rsidRPr="00A6589E">
        <w:rPr>
          <w:lang w:eastAsia="ja-JP"/>
        </w:rPr>
        <w:t>at</w:t>
      </w:r>
      <w:r w:rsidR="000159A6">
        <w:rPr>
          <w:lang w:eastAsia="ja-JP"/>
        </w:rPr>
        <w:t xml:space="preserve"> </w:t>
      </w:r>
      <w:r w:rsidRPr="00A6589E">
        <w:rPr>
          <w:lang w:eastAsia="ja-JP"/>
        </w:rPr>
        <w:t>least</w:t>
      </w:r>
      <w:r w:rsidR="000159A6">
        <w:rPr>
          <w:lang w:eastAsia="ja-JP"/>
        </w:rPr>
        <w:t xml:space="preserve"> </w:t>
      </w:r>
      <w:r w:rsidRPr="00A6589E">
        <w:rPr>
          <w:lang w:eastAsia="ja-JP"/>
        </w:rPr>
        <w:t>2</w:t>
      </w:r>
      <w:r w:rsidR="000159A6">
        <w:rPr>
          <w:lang w:eastAsia="ja-JP"/>
        </w:rPr>
        <w:t xml:space="preserve"> </w:t>
      </w:r>
      <w:r w:rsidRPr="00A6589E">
        <w:rPr>
          <w:lang w:eastAsia="ja-JP"/>
        </w:rPr>
        <w:t>different</w:t>
      </w:r>
      <w:r w:rsidR="000159A6">
        <w:rPr>
          <w:lang w:eastAsia="ja-JP"/>
        </w:rPr>
        <w:t xml:space="preserve"> </w:t>
      </w:r>
      <w:r w:rsidRPr="00A6589E">
        <w:rPr>
          <w:lang w:eastAsia="ja-JP"/>
        </w:rPr>
        <w:t>cytokines</w:t>
      </w:r>
      <w:r w:rsidR="000159A6">
        <w:rPr>
          <w:lang w:eastAsia="ja-JP"/>
        </w:rPr>
        <w:t xml:space="preserve"> </w:t>
      </w:r>
      <w:r w:rsidRPr="00A6589E">
        <w:rPr>
          <w:lang w:eastAsia="ja-JP"/>
        </w:rPr>
        <w:t>upon</w:t>
      </w:r>
      <w:r w:rsidR="000159A6">
        <w:rPr>
          <w:lang w:eastAsia="ja-JP"/>
        </w:rPr>
        <w:t xml:space="preserve"> </w:t>
      </w:r>
      <w:r w:rsidRPr="00A6589E">
        <w:rPr>
          <w:lang w:eastAsia="ja-JP"/>
        </w:rPr>
        <w:t>stimulation</w:t>
      </w:r>
      <w:r w:rsidR="000159A6">
        <w:rPr>
          <w:lang w:eastAsia="ja-JP"/>
        </w:rPr>
        <w:t xml:space="preserve"> </w:t>
      </w:r>
      <w:r w:rsidRPr="00A6589E">
        <w:rPr>
          <w:lang w:eastAsia="ja-JP"/>
        </w:rPr>
        <w:t>with</w:t>
      </w:r>
      <w:r w:rsidR="000159A6">
        <w:rPr>
          <w:lang w:eastAsia="ja-JP"/>
        </w:rPr>
        <w:t xml:space="preserve"> </w:t>
      </w:r>
      <w:r w:rsidRPr="00A6589E">
        <w:rPr>
          <w:lang w:eastAsia="ja-JP"/>
        </w:rPr>
        <w:t>gE)</w:t>
      </w:r>
      <w:r w:rsidR="000159A6">
        <w:rPr>
          <w:lang w:eastAsia="ja-JP"/>
        </w:rPr>
        <w:t xml:space="preserve"> </w:t>
      </w:r>
      <w:r w:rsidRPr="00A6589E">
        <w:rPr>
          <w:lang w:eastAsia="ja-JP"/>
        </w:rPr>
        <w:t>at</w:t>
      </w:r>
      <w:r w:rsidR="000159A6">
        <w:rPr>
          <w:lang w:eastAsia="ja-JP"/>
        </w:rPr>
        <w:t xml:space="preserve"> </w:t>
      </w:r>
      <w:r>
        <w:rPr>
          <w:lang w:eastAsia="ja-JP"/>
        </w:rPr>
        <w:t>Month</w:t>
      </w:r>
      <w:r w:rsidR="000159A6">
        <w:rPr>
          <w:lang w:eastAsia="ja-JP"/>
        </w:rPr>
        <w:t xml:space="preserve"> </w:t>
      </w:r>
      <w:r w:rsidRPr="00A6589E">
        <w:rPr>
          <w:lang w:eastAsia="ja-JP"/>
        </w:rPr>
        <w:t>3</w:t>
      </w:r>
      <w:r w:rsidR="000159A6">
        <w:rPr>
          <w:lang w:eastAsia="ja-JP"/>
        </w:rPr>
        <w:t xml:space="preserve"> </w:t>
      </w:r>
      <w:r w:rsidRPr="00A6589E">
        <w:rPr>
          <w:lang w:eastAsia="ja-JP"/>
        </w:rPr>
        <w:t>following</w:t>
      </w:r>
      <w:r w:rsidR="000159A6">
        <w:rPr>
          <w:lang w:eastAsia="ja-JP"/>
        </w:rPr>
        <w:t xml:space="preserve"> </w:t>
      </w:r>
      <w:r w:rsidRPr="00A6589E">
        <w:rPr>
          <w:lang w:eastAsia="ja-JP"/>
        </w:rPr>
        <w:t>two</w:t>
      </w:r>
      <w:r w:rsidR="000159A6">
        <w:rPr>
          <w:lang w:eastAsia="ja-JP"/>
        </w:rPr>
        <w:t xml:space="preserve"> </w:t>
      </w:r>
      <w:r w:rsidRPr="00A6589E">
        <w:rPr>
          <w:lang w:eastAsia="ja-JP"/>
        </w:rPr>
        <w:t>doses</w:t>
      </w:r>
      <w:r w:rsidR="000159A6">
        <w:rPr>
          <w:lang w:eastAsia="ja-JP"/>
        </w:rPr>
        <w:t xml:space="preserve"> </w:t>
      </w:r>
      <w:r w:rsidRPr="00A6589E">
        <w:rPr>
          <w:lang w:eastAsia="ja-JP"/>
        </w:rPr>
        <w:t>of</w:t>
      </w:r>
      <w:r w:rsidR="000159A6">
        <w:rPr>
          <w:lang w:eastAsia="ja-JP"/>
        </w:rPr>
        <w:t xml:space="preserve"> </w:t>
      </w:r>
      <w:r w:rsidRPr="00A6589E">
        <w:rPr>
          <w:lang w:eastAsia="ja-JP"/>
        </w:rPr>
        <w:t>vaccine</w:t>
      </w:r>
      <w:r>
        <w:rPr>
          <w:lang w:eastAsia="ja-JP"/>
        </w:rPr>
        <w:t>.</w:t>
      </w:r>
    </w:p>
    <w:p w14:paraId="0C2EEEE8" w14:textId="474C7519" w:rsidR="00D30F03" w:rsidRPr="00275AA7" w:rsidRDefault="00D30F03" w:rsidP="00A97634">
      <w:pPr>
        <w:rPr>
          <w:lang w:eastAsia="ja-JP"/>
        </w:rPr>
      </w:pPr>
      <w:r w:rsidRPr="00275AA7">
        <w:rPr>
          <w:lang w:eastAsia="ja-JP"/>
        </w:rPr>
        <w:t>The</w:t>
      </w:r>
      <w:r w:rsidR="000159A6">
        <w:rPr>
          <w:lang w:eastAsia="ja-JP"/>
        </w:rPr>
        <w:t xml:space="preserve"> </w:t>
      </w:r>
      <w:r w:rsidRPr="00275AA7">
        <w:rPr>
          <w:lang w:eastAsia="ja-JP"/>
        </w:rPr>
        <w:t>sponsor</w:t>
      </w:r>
      <w:r w:rsidR="000159A6">
        <w:rPr>
          <w:lang w:eastAsia="ja-JP"/>
        </w:rPr>
        <w:t xml:space="preserve"> </w:t>
      </w:r>
      <w:r w:rsidRPr="00275AA7">
        <w:rPr>
          <w:lang w:eastAsia="ja-JP"/>
        </w:rPr>
        <w:t>stated</w:t>
      </w:r>
      <w:r w:rsidR="000159A6">
        <w:rPr>
          <w:lang w:eastAsia="ja-JP"/>
        </w:rPr>
        <w:t xml:space="preserve"> </w:t>
      </w:r>
      <w:r w:rsidRPr="00275AA7">
        <w:rPr>
          <w:lang w:eastAsia="ja-JP"/>
        </w:rPr>
        <w:t>that</w:t>
      </w:r>
      <w:r w:rsidR="000159A6">
        <w:rPr>
          <w:lang w:eastAsia="ja-JP"/>
        </w:rPr>
        <w:t xml:space="preserve"> </w:t>
      </w:r>
      <w:r w:rsidRPr="00275AA7">
        <w:rPr>
          <w:lang w:eastAsia="ja-JP"/>
        </w:rPr>
        <w:t>cell</w:t>
      </w:r>
      <w:r w:rsidR="000159A6">
        <w:rPr>
          <w:lang w:eastAsia="ja-JP"/>
        </w:rPr>
        <w:t xml:space="preserve"> </w:t>
      </w:r>
      <w:r w:rsidRPr="00275AA7">
        <w:rPr>
          <w:lang w:eastAsia="ja-JP"/>
        </w:rPr>
        <w:t>mediated</w:t>
      </w:r>
      <w:r w:rsidR="000159A6">
        <w:rPr>
          <w:lang w:eastAsia="ja-JP"/>
        </w:rPr>
        <w:t xml:space="preserve"> </w:t>
      </w:r>
      <w:r w:rsidRPr="00275AA7">
        <w:rPr>
          <w:lang w:eastAsia="ja-JP"/>
        </w:rPr>
        <w:t>immune</w:t>
      </w:r>
      <w:r w:rsidR="000159A6">
        <w:rPr>
          <w:lang w:eastAsia="ja-JP"/>
        </w:rPr>
        <w:t xml:space="preserve"> </w:t>
      </w:r>
      <w:r w:rsidRPr="00275AA7">
        <w:rPr>
          <w:lang w:eastAsia="ja-JP"/>
        </w:rPr>
        <w:t>response</w:t>
      </w:r>
      <w:r w:rsidR="000159A6">
        <w:rPr>
          <w:lang w:eastAsia="ja-JP"/>
        </w:rPr>
        <w:t xml:space="preserve"> </w:t>
      </w:r>
      <w:r w:rsidRPr="00275AA7">
        <w:rPr>
          <w:lang w:eastAsia="ja-JP"/>
        </w:rPr>
        <w:t>data</w:t>
      </w:r>
      <w:r w:rsidR="000159A6">
        <w:rPr>
          <w:lang w:eastAsia="ja-JP"/>
        </w:rPr>
        <w:t xml:space="preserve"> </w:t>
      </w:r>
      <w:r w:rsidRPr="00275AA7">
        <w:rPr>
          <w:lang w:eastAsia="ja-JP"/>
        </w:rPr>
        <w:t>were</w:t>
      </w:r>
      <w:r w:rsidR="000159A6">
        <w:rPr>
          <w:lang w:eastAsia="ja-JP"/>
        </w:rPr>
        <w:t xml:space="preserve"> </w:t>
      </w:r>
      <w:r w:rsidRPr="00275AA7">
        <w:rPr>
          <w:lang w:eastAsia="ja-JP"/>
        </w:rPr>
        <w:t>used</w:t>
      </w:r>
      <w:r w:rsidR="000159A6">
        <w:rPr>
          <w:lang w:eastAsia="ja-JP"/>
        </w:rPr>
        <w:t xml:space="preserve"> </w:t>
      </w:r>
      <w:r w:rsidRPr="00275AA7">
        <w:rPr>
          <w:lang w:eastAsia="ja-JP"/>
        </w:rPr>
        <w:t>for</w:t>
      </w:r>
      <w:r w:rsidR="000159A6">
        <w:rPr>
          <w:lang w:eastAsia="ja-JP"/>
        </w:rPr>
        <w:t xml:space="preserve"> </w:t>
      </w:r>
      <w:r w:rsidRPr="00275AA7">
        <w:rPr>
          <w:lang w:eastAsia="ja-JP"/>
        </w:rPr>
        <w:t>the</w:t>
      </w:r>
      <w:r w:rsidR="000159A6">
        <w:rPr>
          <w:lang w:eastAsia="ja-JP"/>
        </w:rPr>
        <w:t xml:space="preserve"> </w:t>
      </w:r>
      <w:r w:rsidRPr="00275AA7">
        <w:rPr>
          <w:lang w:eastAsia="ja-JP"/>
        </w:rPr>
        <w:t>primary</w:t>
      </w:r>
      <w:r w:rsidR="000159A6">
        <w:rPr>
          <w:lang w:eastAsia="ja-JP"/>
        </w:rPr>
        <w:t xml:space="preserve"> </w:t>
      </w:r>
      <w:r w:rsidRPr="00275AA7">
        <w:rPr>
          <w:lang w:eastAsia="ja-JP"/>
        </w:rPr>
        <w:t>assessment</w:t>
      </w:r>
      <w:r w:rsidR="000159A6">
        <w:rPr>
          <w:lang w:eastAsia="ja-JP"/>
        </w:rPr>
        <w:t xml:space="preserve"> </w:t>
      </w:r>
      <w:r w:rsidRPr="00275AA7">
        <w:rPr>
          <w:lang w:eastAsia="ja-JP"/>
        </w:rPr>
        <w:t>rather</w:t>
      </w:r>
      <w:r w:rsidR="000159A6">
        <w:rPr>
          <w:lang w:eastAsia="ja-JP"/>
        </w:rPr>
        <w:t xml:space="preserve"> </w:t>
      </w:r>
      <w:r w:rsidRPr="00275AA7">
        <w:rPr>
          <w:lang w:eastAsia="ja-JP"/>
        </w:rPr>
        <w:t>than</w:t>
      </w:r>
      <w:r w:rsidR="000159A6">
        <w:rPr>
          <w:lang w:eastAsia="ja-JP"/>
        </w:rPr>
        <w:t xml:space="preserve"> </w:t>
      </w:r>
      <w:r w:rsidRPr="00275AA7">
        <w:rPr>
          <w:lang w:eastAsia="ja-JP"/>
        </w:rPr>
        <w:t>humoral</w:t>
      </w:r>
      <w:r w:rsidR="000159A6">
        <w:rPr>
          <w:lang w:eastAsia="ja-JP"/>
        </w:rPr>
        <w:t xml:space="preserve"> </w:t>
      </w:r>
      <w:r w:rsidRPr="00275AA7">
        <w:rPr>
          <w:lang w:eastAsia="ja-JP"/>
        </w:rPr>
        <w:t>immunogenicity</w:t>
      </w:r>
      <w:r w:rsidR="000159A6">
        <w:rPr>
          <w:lang w:eastAsia="ja-JP"/>
        </w:rPr>
        <w:t xml:space="preserve"> </w:t>
      </w:r>
      <w:r w:rsidRPr="00275AA7">
        <w:rPr>
          <w:i/>
          <w:lang w:eastAsia="ja-JP"/>
        </w:rPr>
        <w:t>as</w:t>
      </w:r>
      <w:r w:rsidR="000159A6">
        <w:rPr>
          <w:i/>
          <w:lang w:eastAsia="ja-JP"/>
        </w:rPr>
        <w:t xml:space="preserve"> </w:t>
      </w:r>
      <w:r w:rsidRPr="00275AA7">
        <w:rPr>
          <w:i/>
          <w:lang w:eastAsia="ja-JP"/>
        </w:rPr>
        <w:t>CMI</w:t>
      </w:r>
      <w:r w:rsidR="000159A6">
        <w:rPr>
          <w:i/>
          <w:lang w:eastAsia="ja-JP"/>
        </w:rPr>
        <w:t xml:space="preserve"> </w:t>
      </w:r>
      <w:r w:rsidRPr="00275AA7">
        <w:rPr>
          <w:i/>
          <w:lang w:eastAsia="ja-JP"/>
        </w:rPr>
        <w:t>is</w:t>
      </w:r>
      <w:r w:rsidR="000159A6">
        <w:rPr>
          <w:i/>
          <w:lang w:eastAsia="ja-JP"/>
        </w:rPr>
        <w:t xml:space="preserve"> </w:t>
      </w:r>
      <w:r w:rsidRPr="00275AA7">
        <w:rPr>
          <w:i/>
          <w:lang w:eastAsia="ja-JP"/>
        </w:rPr>
        <w:t>considered</w:t>
      </w:r>
      <w:r w:rsidR="000159A6">
        <w:rPr>
          <w:i/>
          <w:lang w:eastAsia="ja-JP"/>
        </w:rPr>
        <w:t xml:space="preserve"> </w:t>
      </w:r>
      <w:r w:rsidRPr="00275AA7">
        <w:rPr>
          <w:i/>
          <w:lang w:eastAsia="ja-JP"/>
        </w:rPr>
        <w:t>to</w:t>
      </w:r>
      <w:r w:rsidR="000159A6">
        <w:rPr>
          <w:i/>
          <w:lang w:eastAsia="ja-JP"/>
        </w:rPr>
        <w:t xml:space="preserve"> </w:t>
      </w:r>
      <w:r w:rsidRPr="00275AA7">
        <w:rPr>
          <w:i/>
          <w:lang w:eastAsia="ja-JP"/>
        </w:rPr>
        <w:t>play</w:t>
      </w:r>
      <w:r w:rsidR="000159A6">
        <w:rPr>
          <w:i/>
          <w:lang w:eastAsia="ja-JP"/>
        </w:rPr>
        <w:t xml:space="preserve"> </w:t>
      </w:r>
      <w:r w:rsidRPr="00275AA7">
        <w:rPr>
          <w:i/>
          <w:lang w:eastAsia="ja-JP"/>
        </w:rPr>
        <w:t>a</w:t>
      </w:r>
      <w:r w:rsidR="000159A6">
        <w:rPr>
          <w:i/>
          <w:lang w:eastAsia="ja-JP"/>
        </w:rPr>
        <w:t xml:space="preserve"> </w:t>
      </w:r>
      <w:r w:rsidRPr="00275AA7">
        <w:rPr>
          <w:i/>
          <w:lang w:eastAsia="ja-JP"/>
        </w:rPr>
        <w:t>critical</w:t>
      </w:r>
      <w:r w:rsidR="000159A6">
        <w:rPr>
          <w:i/>
          <w:lang w:eastAsia="ja-JP"/>
        </w:rPr>
        <w:t xml:space="preserve"> </w:t>
      </w:r>
      <w:r w:rsidRPr="00275AA7">
        <w:rPr>
          <w:i/>
          <w:lang w:eastAsia="ja-JP"/>
        </w:rPr>
        <w:t>role</w:t>
      </w:r>
      <w:r w:rsidR="000159A6">
        <w:rPr>
          <w:i/>
          <w:lang w:eastAsia="ja-JP"/>
        </w:rPr>
        <w:t xml:space="preserve"> </w:t>
      </w:r>
      <w:r w:rsidRPr="00275AA7">
        <w:rPr>
          <w:i/>
          <w:lang w:eastAsia="ja-JP"/>
        </w:rPr>
        <w:t>in</w:t>
      </w:r>
      <w:r w:rsidR="000159A6">
        <w:rPr>
          <w:i/>
          <w:lang w:eastAsia="ja-JP"/>
        </w:rPr>
        <w:t xml:space="preserve"> </w:t>
      </w:r>
      <w:r w:rsidRPr="00275AA7">
        <w:rPr>
          <w:i/>
          <w:lang w:eastAsia="ja-JP"/>
        </w:rPr>
        <w:t>controlling</w:t>
      </w:r>
      <w:r w:rsidR="000159A6">
        <w:rPr>
          <w:i/>
          <w:lang w:eastAsia="ja-JP"/>
        </w:rPr>
        <w:t xml:space="preserve"> </w:t>
      </w:r>
      <w:r w:rsidRPr="00275AA7">
        <w:rPr>
          <w:i/>
          <w:lang w:eastAsia="ja-JP"/>
        </w:rPr>
        <w:t>symptomatic</w:t>
      </w:r>
      <w:r w:rsidR="000159A6">
        <w:rPr>
          <w:i/>
          <w:lang w:eastAsia="ja-JP"/>
        </w:rPr>
        <w:t xml:space="preserve"> </w:t>
      </w:r>
      <w:r w:rsidRPr="00275AA7">
        <w:rPr>
          <w:i/>
          <w:lang w:eastAsia="ja-JP"/>
        </w:rPr>
        <w:t>VZV</w:t>
      </w:r>
      <w:r w:rsidR="000159A6">
        <w:rPr>
          <w:i/>
          <w:lang w:eastAsia="ja-JP"/>
        </w:rPr>
        <w:t xml:space="preserve"> </w:t>
      </w:r>
      <w:r w:rsidRPr="00275AA7">
        <w:rPr>
          <w:i/>
          <w:lang w:eastAsia="ja-JP"/>
        </w:rPr>
        <w:t>reactivation</w:t>
      </w:r>
      <w:r w:rsidRPr="00275AA7">
        <w:rPr>
          <w:lang w:eastAsia="ja-JP"/>
        </w:rPr>
        <w:t>.</w:t>
      </w:r>
      <w:r w:rsidR="000159A6">
        <w:rPr>
          <w:lang w:eastAsia="ja-JP"/>
        </w:rPr>
        <w:t xml:space="preserve"> </w:t>
      </w:r>
      <w:r w:rsidRPr="00275AA7">
        <w:rPr>
          <w:lang w:eastAsia="ja-JP"/>
        </w:rPr>
        <w:t>The</w:t>
      </w:r>
      <w:r w:rsidR="000159A6">
        <w:rPr>
          <w:lang w:eastAsia="ja-JP"/>
        </w:rPr>
        <w:t xml:space="preserve"> </w:t>
      </w:r>
      <w:r w:rsidRPr="00275AA7">
        <w:rPr>
          <w:lang w:eastAsia="ja-JP"/>
        </w:rPr>
        <w:t>evaluator</w:t>
      </w:r>
      <w:r w:rsidR="000159A6">
        <w:rPr>
          <w:lang w:eastAsia="ja-JP"/>
        </w:rPr>
        <w:t xml:space="preserve"> </w:t>
      </w:r>
      <w:r w:rsidRPr="00275AA7">
        <w:rPr>
          <w:lang w:eastAsia="ja-JP"/>
        </w:rPr>
        <w:t>agrees</w:t>
      </w:r>
      <w:r w:rsidR="000159A6">
        <w:rPr>
          <w:lang w:eastAsia="ja-JP"/>
        </w:rPr>
        <w:t xml:space="preserve"> </w:t>
      </w:r>
      <w:r w:rsidRPr="00275AA7">
        <w:rPr>
          <w:lang w:eastAsia="ja-JP"/>
        </w:rPr>
        <w:t>with</w:t>
      </w:r>
      <w:r w:rsidR="000159A6">
        <w:rPr>
          <w:lang w:eastAsia="ja-JP"/>
        </w:rPr>
        <w:t xml:space="preserve"> </w:t>
      </w:r>
      <w:r w:rsidRPr="00275AA7">
        <w:rPr>
          <w:lang w:eastAsia="ja-JP"/>
        </w:rPr>
        <w:t>this</w:t>
      </w:r>
      <w:r w:rsidR="000159A6">
        <w:rPr>
          <w:lang w:eastAsia="ja-JP"/>
        </w:rPr>
        <w:t xml:space="preserve"> </w:t>
      </w:r>
      <w:r w:rsidRPr="00275AA7">
        <w:rPr>
          <w:lang w:eastAsia="ja-JP"/>
        </w:rPr>
        <w:t>selection.</w:t>
      </w:r>
    </w:p>
    <w:p w14:paraId="7698F548" w14:textId="61A53795" w:rsidR="00D30F03" w:rsidRPr="00275AA7" w:rsidRDefault="00D30F03" w:rsidP="00331A1D">
      <w:pPr>
        <w:rPr>
          <w:lang w:eastAsia="ja-JP"/>
        </w:rPr>
      </w:pPr>
      <w:r w:rsidRPr="00275AA7">
        <w:rPr>
          <w:lang w:eastAsia="ja-JP"/>
        </w:rPr>
        <w:t>Study</w:t>
      </w:r>
      <w:r w:rsidR="000159A6">
        <w:rPr>
          <w:lang w:eastAsia="ja-JP"/>
        </w:rPr>
        <w:t xml:space="preserve"> </w:t>
      </w:r>
      <w:r>
        <w:rPr>
          <w:lang w:eastAsia="ja-JP"/>
        </w:rPr>
        <w:t>ZOSTER</w:t>
      </w:r>
      <w:r w:rsidRPr="00275AA7">
        <w:rPr>
          <w:lang w:eastAsia="ja-JP"/>
        </w:rPr>
        <w:t>-003</w:t>
      </w:r>
      <w:r w:rsidR="000159A6">
        <w:rPr>
          <w:lang w:eastAsia="ja-JP"/>
        </w:rPr>
        <w:t xml:space="preserve"> </w:t>
      </w:r>
      <w:r w:rsidRPr="00275AA7">
        <w:rPr>
          <w:lang w:eastAsia="ja-JP"/>
        </w:rPr>
        <w:t>found</w:t>
      </w:r>
      <w:r w:rsidR="000159A6">
        <w:rPr>
          <w:lang w:eastAsia="ja-JP"/>
        </w:rPr>
        <w:t xml:space="preserve"> </w:t>
      </w:r>
      <w:r w:rsidRPr="00275AA7">
        <w:rPr>
          <w:lang w:eastAsia="ja-JP"/>
        </w:rPr>
        <w:t>similar</w:t>
      </w:r>
      <w:r w:rsidR="000159A6">
        <w:rPr>
          <w:lang w:eastAsia="ja-JP"/>
        </w:rPr>
        <w:t xml:space="preserve"> </w:t>
      </w:r>
      <w:r w:rsidRPr="00275AA7">
        <w:rPr>
          <w:lang w:eastAsia="ja-JP"/>
        </w:rPr>
        <w:t>CMI</w:t>
      </w:r>
      <w:r w:rsidR="000159A6">
        <w:rPr>
          <w:lang w:eastAsia="ja-JP"/>
        </w:rPr>
        <w:t xml:space="preserve"> </w:t>
      </w:r>
      <w:r w:rsidRPr="00275AA7">
        <w:rPr>
          <w:lang w:eastAsia="ja-JP"/>
        </w:rPr>
        <w:t>respon</w:t>
      </w:r>
      <w:r>
        <w:rPr>
          <w:lang w:eastAsia="ja-JP"/>
        </w:rPr>
        <w:t>ses</w:t>
      </w:r>
      <w:r w:rsidR="000159A6">
        <w:rPr>
          <w:lang w:eastAsia="ja-JP"/>
        </w:rPr>
        <w:t xml:space="preserve"> </w:t>
      </w:r>
      <w:r>
        <w:rPr>
          <w:lang w:eastAsia="ja-JP"/>
        </w:rPr>
        <w:t>with</w:t>
      </w:r>
      <w:r w:rsidR="000159A6">
        <w:rPr>
          <w:lang w:eastAsia="ja-JP"/>
        </w:rPr>
        <w:t xml:space="preserve"> </w:t>
      </w:r>
      <w:r>
        <w:rPr>
          <w:lang w:eastAsia="ja-JP"/>
        </w:rPr>
        <w:t>both</w:t>
      </w:r>
      <w:r w:rsidR="000159A6">
        <w:rPr>
          <w:lang w:eastAsia="ja-JP"/>
        </w:rPr>
        <w:t xml:space="preserve"> </w:t>
      </w:r>
      <w:r>
        <w:rPr>
          <w:lang w:eastAsia="ja-JP"/>
        </w:rPr>
        <w:t>the</w:t>
      </w:r>
      <w:r w:rsidR="000159A6">
        <w:rPr>
          <w:lang w:eastAsia="ja-JP"/>
        </w:rPr>
        <w:t xml:space="preserve"> </w:t>
      </w:r>
      <w:r>
        <w:rPr>
          <w:lang w:eastAsia="ja-JP"/>
        </w:rPr>
        <w:t>50</w:t>
      </w:r>
      <w:r w:rsidR="000159A6">
        <w:rPr>
          <w:lang w:eastAsia="ja-JP"/>
        </w:rPr>
        <w:t xml:space="preserve"> </w:t>
      </w:r>
      <w:r>
        <w:rPr>
          <w:lang w:eastAsia="ja-JP"/>
        </w:rPr>
        <w:t>µg</w:t>
      </w:r>
      <w:r w:rsidR="000159A6">
        <w:rPr>
          <w:lang w:eastAsia="ja-JP"/>
        </w:rPr>
        <w:t xml:space="preserve"> </w:t>
      </w:r>
      <w:r>
        <w:rPr>
          <w:lang w:eastAsia="ja-JP"/>
        </w:rPr>
        <w:t>and</w:t>
      </w:r>
      <w:r w:rsidR="000159A6">
        <w:rPr>
          <w:lang w:eastAsia="ja-JP"/>
        </w:rPr>
        <w:t xml:space="preserve"> </w:t>
      </w:r>
      <w:r>
        <w:rPr>
          <w:lang w:eastAsia="ja-JP"/>
        </w:rPr>
        <w:t>100</w:t>
      </w:r>
      <w:r w:rsidR="000159A6">
        <w:rPr>
          <w:lang w:eastAsia="ja-JP"/>
        </w:rPr>
        <w:t xml:space="preserve"> </w:t>
      </w:r>
      <w:r w:rsidRPr="00275AA7">
        <w:rPr>
          <w:lang w:eastAsia="ja-JP"/>
        </w:rPr>
        <w:t>µg</w:t>
      </w:r>
      <w:r w:rsidR="000159A6">
        <w:rPr>
          <w:lang w:eastAsia="ja-JP"/>
        </w:rPr>
        <w:t xml:space="preserve"> </w:t>
      </w:r>
      <w:r w:rsidRPr="00275AA7">
        <w:rPr>
          <w:lang w:eastAsia="ja-JP"/>
        </w:rPr>
        <w:t>antigen</w:t>
      </w:r>
      <w:r w:rsidR="000159A6">
        <w:rPr>
          <w:lang w:eastAsia="ja-JP"/>
        </w:rPr>
        <w:t xml:space="preserve"> </w:t>
      </w:r>
      <w:r w:rsidRPr="00275AA7">
        <w:rPr>
          <w:lang w:eastAsia="ja-JP"/>
        </w:rPr>
        <w:t>doses</w:t>
      </w:r>
      <w:r w:rsidR="000159A6">
        <w:rPr>
          <w:lang w:eastAsia="ja-JP"/>
        </w:rPr>
        <w:t xml:space="preserve"> </w:t>
      </w:r>
      <w:r w:rsidRPr="00275AA7">
        <w:rPr>
          <w:lang w:eastAsia="ja-JP"/>
        </w:rPr>
        <w:t>together</w:t>
      </w:r>
      <w:r w:rsidR="000159A6">
        <w:rPr>
          <w:lang w:eastAsia="ja-JP"/>
        </w:rPr>
        <w:t xml:space="preserve"> </w:t>
      </w:r>
      <w:r w:rsidRPr="00275AA7">
        <w:rPr>
          <w:lang w:eastAsia="ja-JP"/>
        </w:rPr>
        <w:t>with</w:t>
      </w:r>
      <w:r w:rsidR="000159A6">
        <w:rPr>
          <w:lang w:eastAsia="ja-JP"/>
        </w:rPr>
        <w:t xml:space="preserve"> </w:t>
      </w:r>
      <w:r w:rsidRPr="00275AA7">
        <w:rPr>
          <w:lang w:eastAsia="ja-JP"/>
        </w:rPr>
        <w:t>similar</w:t>
      </w:r>
      <w:r w:rsidR="000159A6">
        <w:rPr>
          <w:lang w:eastAsia="ja-JP"/>
        </w:rPr>
        <w:t xml:space="preserve"> </w:t>
      </w:r>
      <w:r w:rsidRPr="00275AA7">
        <w:rPr>
          <w:lang w:eastAsia="ja-JP"/>
        </w:rPr>
        <w:t>reactogenicity.</w:t>
      </w:r>
      <w:r w:rsidR="000159A6">
        <w:rPr>
          <w:lang w:eastAsia="ja-JP"/>
        </w:rPr>
        <w:t xml:space="preserve"> </w:t>
      </w:r>
      <w:r>
        <w:rPr>
          <w:lang w:eastAsia="ja-JP"/>
        </w:rPr>
        <w:t>Therefore</w:t>
      </w:r>
      <w:r w:rsidR="000159A6">
        <w:rPr>
          <w:lang w:eastAsia="ja-JP"/>
        </w:rPr>
        <w:t xml:space="preserve"> </w:t>
      </w:r>
      <w:r>
        <w:rPr>
          <w:lang w:eastAsia="ja-JP"/>
        </w:rPr>
        <w:t>the</w:t>
      </w:r>
      <w:r w:rsidR="000159A6">
        <w:rPr>
          <w:lang w:eastAsia="ja-JP"/>
        </w:rPr>
        <w:t xml:space="preserve"> </w:t>
      </w:r>
      <w:r>
        <w:rPr>
          <w:lang w:eastAsia="ja-JP"/>
        </w:rPr>
        <w:t>lower</w:t>
      </w:r>
      <w:r w:rsidR="000159A6">
        <w:rPr>
          <w:lang w:eastAsia="ja-JP"/>
        </w:rPr>
        <w:t xml:space="preserve"> </w:t>
      </w:r>
      <w:r>
        <w:rPr>
          <w:lang w:eastAsia="ja-JP"/>
        </w:rPr>
        <w:t>dose</w:t>
      </w:r>
      <w:r w:rsidR="000159A6">
        <w:rPr>
          <w:lang w:eastAsia="ja-JP"/>
        </w:rPr>
        <w:t xml:space="preserve"> </w:t>
      </w:r>
      <w:r>
        <w:rPr>
          <w:lang w:eastAsia="ja-JP"/>
        </w:rPr>
        <w:t>of</w:t>
      </w:r>
      <w:r w:rsidR="000159A6">
        <w:rPr>
          <w:lang w:eastAsia="ja-JP"/>
        </w:rPr>
        <w:t xml:space="preserve"> </w:t>
      </w:r>
      <w:r>
        <w:rPr>
          <w:lang w:eastAsia="ja-JP"/>
        </w:rPr>
        <w:t>50</w:t>
      </w:r>
      <w:r w:rsidR="000159A6">
        <w:rPr>
          <w:lang w:eastAsia="ja-JP"/>
        </w:rPr>
        <w:t xml:space="preserve"> </w:t>
      </w:r>
      <w:r w:rsidRPr="00275AA7">
        <w:rPr>
          <w:lang w:eastAsia="ja-JP"/>
        </w:rPr>
        <w:t>µg</w:t>
      </w:r>
      <w:r w:rsidR="000159A6">
        <w:rPr>
          <w:lang w:eastAsia="ja-JP"/>
        </w:rPr>
        <w:t xml:space="preserve"> </w:t>
      </w:r>
      <w:r w:rsidRPr="00275AA7">
        <w:rPr>
          <w:lang w:eastAsia="ja-JP"/>
        </w:rPr>
        <w:t>was</w:t>
      </w:r>
      <w:r w:rsidR="000159A6">
        <w:rPr>
          <w:lang w:eastAsia="ja-JP"/>
        </w:rPr>
        <w:t xml:space="preserve"> </w:t>
      </w:r>
      <w:r w:rsidRPr="00275AA7">
        <w:rPr>
          <w:lang w:eastAsia="ja-JP"/>
        </w:rPr>
        <w:t>selected</w:t>
      </w:r>
      <w:r w:rsidR="000159A6">
        <w:rPr>
          <w:lang w:eastAsia="ja-JP"/>
        </w:rPr>
        <w:t xml:space="preserve"> </w:t>
      </w:r>
      <w:r w:rsidRPr="00275AA7">
        <w:rPr>
          <w:lang w:eastAsia="ja-JP"/>
        </w:rPr>
        <w:t>for</w:t>
      </w:r>
      <w:r w:rsidR="000159A6">
        <w:rPr>
          <w:lang w:eastAsia="ja-JP"/>
        </w:rPr>
        <w:t xml:space="preserve"> </w:t>
      </w:r>
      <w:r w:rsidRPr="00275AA7">
        <w:rPr>
          <w:lang w:eastAsia="ja-JP"/>
        </w:rPr>
        <w:t>further</w:t>
      </w:r>
      <w:r w:rsidR="000159A6">
        <w:rPr>
          <w:lang w:eastAsia="ja-JP"/>
        </w:rPr>
        <w:t xml:space="preserve"> </w:t>
      </w:r>
      <w:r w:rsidRPr="00275AA7">
        <w:rPr>
          <w:lang w:eastAsia="ja-JP"/>
        </w:rPr>
        <w:t>development.</w:t>
      </w:r>
    </w:p>
    <w:p w14:paraId="73943E3A" w14:textId="7C58A3DA" w:rsidR="00D30F03" w:rsidRPr="00275AA7" w:rsidRDefault="00D30F03" w:rsidP="00A97634">
      <w:pPr>
        <w:rPr>
          <w:lang w:eastAsia="ja-JP"/>
        </w:rPr>
      </w:pPr>
      <w:r w:rsidRPr="00275AA7">
        <w:rPr>
          <w:lang w:eastAsia="ja-JP"/>
        </w:rPr>
        <w:t>The</w:t>
      </w:r>
      <w:r w:rsidR="000159A6">
        <w:rPr>
          <w:lang w:eastAsia="ja-JP"/>
        </w:rPr>
        <w:t xml:space="preserve"> </w:t>
      </w:r>
      <w:r w:rsidRPr="00275AA7">
        <w:rPr>
          <w:lang w:eastAsia="ja-JP"/>
        </w:rPr>
        <w:t>presence</w:t>
      </w:r>
      <w:r w:rsidR="000159A6">
        <w:rPr>
          <w:lang w:eastAsia="ja-JP"/>
        </w:rPr>
        <w:t xml:space="preserve"> </w:t>
      </w:r>
      <w:r w:rsidRPr="00275AA7">
        <w:rPr>
          <w:lang w:eastAsia="ja-JP"/>
        </w:rPr>
        <w:t>of</w:t>
      </w:r>
      <w:r w:rsidR="000159A6">
        <w:rPr>
          <w:lang w:eastAsia="ja-JP"/>
        </w:rPr>
        <w:t xml:space="preserve"> </w:t>
      </w:r>
      <w:r w:rsidR="00503D1B">
        <w:t>AS01</w:t>
      </w:r>
      <w:r w:rsidR="00503D1B" w:rsidRPr="00570F2D">
        <w:rPr>
          <w:vertAlign w:val="subscript"/>
        </w:rPr>
        <w:t>B</w:t>
      </w:r>
      <w:r w:rsidR="000159A6">
        <w:rPr>
          <w:lang w:eastAsia="ja-JP"/>
        </w:rPr>
        <w:t xml:space="preserve"> </w:t>
      </w:r>
      <w:r w:rsidRPr="00275AA7">
        <w:rPr>
          <w:lang w:eastAsia="ja-JP"/>
        </w:rPr>
        <w:t>resulted</w:t>
      </w:r>
      <w:r w:rsidR="000159A6">
        <w:rPr>
          <w:lang w:eastAsia="ja-JP"/>
        </w:rPr>
        <w:t xml:space="preserve"> </w:t>
      </w:r>
      <w:r w:rsidRPr="00275AA7">
        <w:rPr>
          <w:lang w:eastAsia="ja-JP"/>
        </w:rPr>
        <w:t>in</w:t>
      </w:r>
      <w:r w:rsidR="000159A6">
        <w:rPr>
          <w:lang w:eastAsia="ja-JP"/>
        </w:rPr>
        <w:t xml:space="preserve"> </w:t>
      </w:r>
      <w:r w:rsidRPr="00275AA7">
        <w:rPr>
          <w:lang w:eastAsia="ja-JP"/>
        </w:rPr>
        <w:t>a</w:t>
      </w:r>
      <w:r w:rsidR="000159A6">
        <w:rPr>
          <w:lang w:eastAsia="ja-JP"/>
        </w:rPr>
        <w:t xml:space="preserve"> </w:t>
      </w:r>
      <w:r w:rsidRPr="00275AA7">
        <w:rPr>
          <w:lang w:eastAsia="ja-JP"/>
        </w:rPr>
        <w:t>superior</w:t>
      </w:r>
      <w:r w:rsidR="000159A6">
        <w:rPr>
          <w:lang w:eastAsia="ja-JP"/>
        </w:rPr>
        <w:t xml:space="preserve"> </w:t>
      </w:r>
      <w:r w:rsidRPr="00275AA7">
        <w:rPr>
          <w:lang w:eastAsia="ja-JP"/>
        </w:rPr>
        <w:t>immune</w:t>
      </w:r>
      <w:r w:rsidR="000159A6">
        <w:rPr>
          <w:lang w:eastAsia="ja-JP"/>
        </w:rPr>
        <w:t xml:space="preserve"> </w:t>
      </w:r>
      <w:r w:rsidRPr="00275AA7">
        <w:rPr>
          <w:lang w:eastAsia="ja-JP"/>
        </w:rPr>
        <w:t>response</w:t>
      </w:r>
      <w:r w:rsidR="000159A6">
        <w:rPr>
          <w:lang w:eastAsia="ja-JP"/>
        </w:rPr>
        <w:t xml:space="preserve"> </w:t>
      </w:r>
      <w:r w:rsidRPr="00275AA7">
        <w:rPr>
          <w:lang w:eastAsia="ja-JP"/>
        </w:rPr>
        <w:t>but</w:t>
      </w:r>
      <w:r w:rsidR="000159A6">
        <w:rPr>
          <w:lang w:eastAsia="ja-JP"/>
        </w:rPr>
        <w:t xml:space="preserve"> </w:t>
      </w:r>
      <w:r w:rsidRPr="00275AA7">
        <w:rPr>
          <w:lang w:eastAsia="ja-JP"/>
        </w:rPr>
        <w:t>also</w:t>
      </w:r>
      <w:r w:rsidR="000159A6">
        <w:rPr>
          <w:lang w:eastAsia="ja-JP"/>
        </w:rPr>
        <w:t xml:space="preserve"> </w:t>
      </w:r>
      <w:r w:rsidRPr="00275AA7">
        <w:rPr>
          <w:lang w:eastAsia="ja-JP"/>
        </w:rPr>
        <w:t>increased</w:t>
      </w:r>
      <w:r w:rsidR="000159A6">
        <w:rPr>
          <w:lang w:eastAsia="ja-JP"/>
        </w:rPr>
        <w:t xml:space="preserve"> </w:t>
      </w:r>
      <w:r w:rsidRPr="00275AA7">
        <w:rPr>
          <w:lang w:eastAsia="ja-JP"/>
        </w:rPr>
        <w:t>incidence</w:t>
      </w:r>
      <w:r w:rsidR="000159A6">
        <w:rPr>
          <w:lang w:eastAsia="ja-JP"/>
        </w:rPr>
        <w:t xml:space="preserve"> </w:t>
      </w:r>
      <w:r w:rsidRPr="00275AA7">
        <w:rPr>
          <w:lang w:eastAsia="ja-JP"/>
        </w:rPr>
        <w:t>of</w:t>
      </w:r>
      <w:r w:rsidR="000159A6">
        <w:rPr>
          <w:lang w:eastAsia="ja-JP"/>
        </w:rPr>
        <w:t xml:space="preserve"> </w:t>
      </w:r>
      <w:r w:rsidR="00331AB9">
        <w:t>adverse</w:t>
      </w:r>
      <w:r w:rsidR="000159A6">
        <w:t xml:space="preserve"> </w:t>
      </w:r>
      <w:r w:rsidR="00331AB9">
        <w:t>events</w:t>
      </w:r>
      <w:r w:rsidR="000159A6">
        <w:rPr>
          <w:lang w:eastAsia="ja-JP"/>
        </w:rPr>
        <w:t xml:space="preserve"> </w:t>
      </w:r>
      <w:r w:rsidR="00331AB9">
        <w:rPr>
          <w:lang w:eastAsia="ja-JP"/>
        </w:rPr>
        <w:t>(</w:t>
      </w:r>
      <w:r w:rsidRPr="00275AA7">
        <w:rPr>
          <w:lang w:eastAsia="ja-JP"/>
        </w:rPr>
        <w:t>AEs</w:t>
      </w:r>
      <w:r w:rsidR="00331AB9">
        <w:rPr>
          <w:lang w:eastAsia="ja-JP"/>
        </w:rPr>
        <w:t>)</w:t>
      </w:r>
      <w:r w:rsidRPr="00275AA7">
        <w:rPr>
          <w:lang w:eastAsia="ja-JP"/>
        </w:rPr>
        <w:t>.</w:t>
      </w:r>
    </w:p>
    <w:p w14:paraId="007CF96B" w14:textId="38D53EB4" w:rsidR="00D30F03" w:rsidRPr="008F7BC7" w:rsidRDefault="00D30F03" w:rsidP="00A97634">
      <w:pPr>
        <w:pStyle w:val="Heading5"/>
      </w:pPr>
      <w:bookmarkStart w:id="100" w:name="_Toc507577972"/>
      <w:r w:rsidRPr="008F7BC7">
        <w:t>Adjuvant</w:t>
      </w:r>
      <w:r w:rsidR="000159A6" w:rsidRPr="008F7BC7">
        <w:t xml:space="preserve"> </w:t>
      </w:r>
      <w:r w:rsidRPr="00A97634">
        <w:t>dose</w:t>
      </w:r>
      <w:r w:rsidR="000159A6" w:rsidRPr="008F7BC7">
        <w:t xml:space="preserve"> </w:t>
      </w:r>
      <w:r w:rsidRPr="008F7BC7">
        <w:t>finding</w:t>
      </w:r>
      <w:r w:rsidR="000159A6" w:rsidRPr="008F7BC7">
        <w:t xml:space="preserve"> </w:t>
      </w:r>
      <w:r w:rsidRPr="008F7BC7">
        <w:t>studies</w:t>
      </w:r>
      <w:bookmarkEnd w:id="100"/>
    </w:p>
    <w:p w14:paraId="07096F27" w14:textId="2F5E3D46" w:rsidR="00D30F03" w:rsidRPr="008F7BC7" w:rsidRDefault="00525235" w:rsidP="008F7BC7">
      <w:pPr>
        <w:pStyle w:val="Heading6"/>
      </w:pPr>
      <w:r w:rsidRPr="008F7BC7">
        <w:t>Study</w:t>
      </w:r>
      <w:r w:rsidR="000159A6" w:rsidRPr="008F7BC7">
        <w:t xml:space="preserve"> </w:t>
      </w:r>
      <w:r w:rsidRPr="008F7BC7">
        <w:t>ZOSTER</w:t>
      </w:r>
      <w:r w:rsidR="00D30F03" w:rsidRPr="008F7BC7">
        <w:t>-010</w:t>
      </w:r>
    </w:p>
    <w:p w14:paraId="14F68A01" w14:textId="53E1CE7B" w:rsidR="00D30F03" w:rsidRPr="00D30F03" w:rsidRDefault="000D0435" w:rsidP="00A97634">
      <w:r>
        <w:t>Study</w:t>
      </w:r>
      <w:r w:rsidR="000159A6">
        <w:t xml:space="preserve"> </w:t>
      </w:r>
      <w:r w:rsidR="00D30F03" w:rsidRPr="00D30F03">
        <w:t>ZOSTER-010</w:t>
      </w:r>
      <w:r w:rsidR="000159A6">
        <w:t xml:space="preserve"> </w:t>
      </w:r>
      <w:r w:rsidR="00D30F03" w:rsidRPr="00D30F03">
        <w:t>was</w:t>
      </w:r>
      <w:r w:rsidR="000159A6">
        <w:t xml:space="preserve"> </w:t>
      </w:r>
      <w:r w:rsidR="00D30F03" w:rsidRPr="00D30F03">
        <w:t>a</w:t>
      </w:r>
      <w:r w:rsidR="000159A6">
        <w:t xml:space="preserve"> </w:t>
      </w:r>
      <w:r w:rsidR="00D30F03" w:rsidRPr="00D30F03">
        <w:t>Phase</w:t>
      </w:r>
      <w:r w:rsidR="000159A6">
        <w:t xml:space="preserve"> </w:t>
      </w:r>
      <w:r w:rsidR="00D30F03" w:rsidRPr="00D30F03">
        <w:t>II,</w:t>
      </w:r>
      <w:r w:rsidR="000159A6">
        <w:t xml:space="preserve"> </w:t>
      </w:r>
      <w:r w:rsidR="00D30F03" w:rsidRPr="00D30F03">
        <w:t>observer</w:t>
      </w:r>
      <w:r w:rsidR="000159A6">
        <w:t xml:space="preserve"> </w:t>
      </w:r>
      <w:r w:rsidR="00D30F03" w:rsidRPr="00D30F03">
        <w:t>blind,</w:t>
      </w:r>
      <w:r w:rsidR="000159A6">
        <w:t xml:space="preserve"> </w:t>
      </w:r>
      <w:r w:rsidR="00D30F03" w:rsidRPr="00D30F03">
        <w:t>randomised,</w:t>
      </w:r>
      <w:r w:rsidR="000159A6">
        <w:t xml:space="preserve"> </w:t>
      </w:r>
      <w:r w:rsidR="00D30F03" w:rsidRPr="00D30F03">
        <w:t>placebo</w:t>
      </w:r>
      <w:r w:rsidR="000159A6">
        <w:t xml:space="preserve"> </w:t>
      </w:r>
      <w:r w:rsidR="00D30F03" w:rsidRPr="00D30F03">
        <w:t>controlled</w:t>
      </w:r>
      <w:r w:rsidR="000159A6">
        <w:t xml:space="preserve"> </w:t>
      </w:r>
      <w:r w:rsidR="00D30F03" w:rsidRPr="00D30F03">
        <w:t>vaccination</w:t>
      </w:r>
      <w:r w:rsidR="000159A6">
        <w:t xml:space="preserve"> </w:t>
      </w:r>
      <w:r w:rsidR="00D30F03" w:rsidRPr="00D30F03">
        <w:t>study</w:t>
      </w:r>
      <w:r w:rsidR="000159A6">
        <w:t xml:space="preserve"> </w:t>
      </w:r>
      <w:r w:rsidR="00D30F03" w:rsidRPr="00D30F03">
        <w:t>which</w:t>
      </w:r>
      <w:r w:rsidR="000159A6">
        <w:t xml:space="preserve"> </w:t>
      </w:r>
      <w:r w:rsidR="00D30F03" w:rsidRPr="00D30F03">
        <w:t>evaluated</w:t>
      </w:r>
      <w:r w:rsidR="000159A6">
        <w:t xml:space="preserve"> </w:t>
      </w:r>
      <w:r w:rsidR="00D30F03" w:rsidRPr="00D30F03">
        <w:t>the</w:t>
      </w:r>
      <w:r w:rsidR="000159A6">
        <w:t xml:space="preserve"> </w:t>
      </w:r>
      <w:r w:rsidR="00D30F03" w:rsidRPr="00D30F03">
        <w:t>immunogenicity</w:t>
      </w:r>
      <w:r w:rsidR="000159A6">
        <w:t xml:space="preserve"> </w:t>
      </w:r>
      <w:r w:rsidR="00D30F03" w:rsidRPr="00D30F03">
        <w:t>of</w:t>
      </w:r>
      <w:r w:rsidR="000159A6">
        <w:t xml:space="preserve"> </w:t>
      </w:r>
      <w:r w:rsidR="00D30F03" w:rsidRPr="00D30F03">
        <w:t>gE/</w:t>
      </w:r>
      <w:r w:rsidR="00503D1B">
        <w:t>AS01</w:t>
      </w:r>
      <w:r w:rsidR="00503D1B" w:rsidRPr="00570F2D">
        <w:rPr>
          <w:vertAlign w:val="subscript"/>
        </w:rPr>
        <w:t>B</w:t>
      </w:r>
      <w:r w:rsidR="000159A6">
        <w:t xml:space="preserve"> </w:t>
      </w:r>
      <w:r w:rsidR="00D30F03" w:rsidRPr="00D30F03">
        <w:t>vaccine</w:t>
      </w:r>
      <w:r w:rsidR="000159A6">
        <w:t xml:space="preserve"> </w:t>
      </w:r>
      <w:r w:rsidR="00D30F03" w:rsidRPr="00D30F03">
        <w:t>in</w:t>
      </w:r>
      <w:r w:rsidR="000159A6">
        <w:t xml:space="preserve"> </w:t>
      </w:r>
      <w:r w:rsidR="00D30F03" w:rsidRPr="00D30F03">
        <w:t>comparison</w:t>
      </w:r>
      <w:r w:rsidR="000159A6">
        <w:t xml:space="preserve"> </w:t>
      </w:r>
      <w:r w:rsidR="00D30F03" w:rsidRPr="00D30F03">
        <w:t>to</w:t>
      </w:r>
      <w:r w:rsidR="000159A6">
        <w:t xml:space="preserve"> </w:t>
      </w:r>
      <w:r w:rsidR="00D30F03" w:rsidRPr="00D30F03">
        <w:t>gE</w:t>
      </w:r>
      <w:r w:rsidR="000159A6">
        <w:t xml:space="preserve"> </w:t>
      </w:r>
      <w:r w:rsidR="00D30F03" w:rsidRPr="00D30F03">
        <w:t>combined</w:t>
      </w:r>
      <w:r w:rsidR="000159A6">
        <w:t xml:space="preserve"> </w:t>
      </w:r>
      <w:r w:rsidR="00D30F03" w:rsidRPr="00D30F03">
        <w:t>with</w:t>
      </w:r>
      <w:r w:rsidR="000159A6">
        <w:t xml:space="preserve"> </w:t>
      </w:r>
      <w:r w:rsidR="00D30F03" w:rsidRPr="00D30F03">
        <w:t>half</w:t>
      </w:r>
      <w:r w:rsidR="000159A6">
        <w:t xml:space="preserve"> </w:t>
      </w:r>
      <w:r w:rsidR="00D30F03" w:rsidRPr="00D30F03">
        <w:t>dose</w:t>
      </w:r>
      <w:r w:rsidR="000159A6">
        <w:t xml:space="preserve"> </w:t>
      </w:r>
      <w:r w:rsidR="00503D1B">
        <w:t>AS01</w:t>
      </w:r>
      <w:r w:rsidR="00503D1B" w:rsidRPr="00570F2D">
        <w:rPr>
          <w:vertAlign w:val="subscript"/>
        </w:rPr>
        <w:t>B</w:t>
      </w:r>
      <w:r w:rsidR="000159A6">
        <w:t xml:space="preserve"> </w:t>
      </w:r>
      <w:r w:rsidR="00D30F03" w:rsidRPr="00D30F03">
        <w:t>adjuvant</w:t>
      </w:r>
      <w:r w:rsidR="000159A6">
        <w:t xml:space="preserve"> </w:t>
      </w:r>
      <w:r w:rsidR="00D30F03" w:rsidRPr="00D30F03">
        <w:t>(</w:t>
      </w:r>
      <w:proofErr w:type="spellStart"/>
      <w:r w:rsidR="00D30F03" w:rsidRPr="00D30F03">
        <w:t>gE</w:t>
      </w:r>
      <w:proofErr w:type="spellEnd"/>
      <w:r w:rsidR="00D30F03" w:rsidRPr="00D30F03">
        <w:t>/AS01E)</w:t>
      </w:r>
      <w:r w:rsidR="00302976">
        <w:t>,</w:t>
      </w:r>
      <w:r w:rsidR="000159A6">
        <w:t xml:space="preserve"> </w:t>
      </w:r>
      <w:r w:rsidR="00D30F03" w:rsidRPr="00D30F03">
        <w:t>un</w:t>
      </w:r>
      <w:r>
        <w:noBreakHyphen/>
      </w:r>
      <w:proofErr w:type="spellStart"/>
      <w:r w:rsidR="00D30F03" w:rsidRPr="00D30F03">
        <w:t>adjuvanted</w:t>
      </w:r>
      <w:proofErr w:type="spellEnd"/>
      <w:r w:rsidR="000159A6">
        <w:t xml:space="preserve"> </w:t>
      </w:r>
      <w:proofErr w:type="spellStart"/>
      <w:r w:rsidR="00D30F03" w:rsidRPr="00D30F03">
        <w:t>gE</w:t>
      </w:r>
      <w:proofErr w:type="spellEnd"/>
      <w:r w:rsidR="000159A6">
        <w:t xml:space="preserve"> </w:t>
      </w:r>
      <w:r w:rsidR="00D30F03" w:rsidRPr="00D30F03">
        <w:t>(</w:t>
      </w:r>
      <w:proofErr w:type="spellStart"/>
      <w:r w:rsidR="00D30F03" w:rsidRPr="00D30F03">
        <w:t>gE</w:t>
      </w:r>
      <w:proofErr w:type="spellEnd"/>
      <w:r w:rsidR="00D30F03" w:rsidRPr="00D30F03">
        <w:t>/saline)</w:t>
      </w:r>
      <w:r w:rsidR="000159A6">
        <w:t xml:space="preserve"> </w:t>
      </w:r>
      <w:r w:rsidR="00302976" w:rsidRPr="00D30F03">
        <w:t>and</w:t>
      </w:r>
      <w:r w:rsidR="000159A6">
        <w:t xml:space="preserve"> </w:t>
      </w:r>
      <w:r w:rsidR="00302976">
        <w:t>placebo</w:t>
      </w:r>
      <w:r w:rsidR="000159A6">
        <w:t xml:space="preserve"> </w:t>
      </w:r>
      <w:r w:rsidR="00D30F03" w:rsidRPr="00D30F03">
        <w:t>in</w:t>
      </w:r>
      <w:r w:rsidR="000159A6">
        <w:t xml:space="preserve"> </w:t>
      </w:r>
      <w:r w:rsidR="00D30F03" w:rsidRPr="00D30F03">
        <w:t>410</w:t>
      </w:r>
      <w:r w:rsidR="000159A6">
        <w:t xml:space="preserve"> </w:t>
      </w:r>
      <w:r w:rsidR="00D30F03" w:rsidRPr="00D30F03">
        <w:t>healthy</w:t>
      </w:r>
      <w:r w:rsidR="000159A6">
        <w:t xml:space="preserve"> </w:t>
      </w:r>
      <w:r w:rsidR="00D30F03" w:rsidRPr="00D30F03">
        <w:t>adults</w:t>
      </w:r>
      <w:r w:rsidR="000159A6">
        <w:t xml:space="preserve"> </w:t>
      </w:r>
      <w:r w:rsidR="00D30F03" w:rsidRPr="00D30F03">
        <w:t>aged</w:t>
      </w:r>
      <w:r w:rsidR="000159A6">
        <w:t xml:space="preserve"> </w:t>
      </w:r>
      <w:r w:rsidR="0037169B">
        <w:t>≥</w:t>
      </w:r>
      <w:r w:rsidR="000159A6">
        <w:t xml:space="preserve"> </w:t>
      </w:r>
      <w:r w:rsidR="00D30F03" w:rsidRPr="00D30F03">
        <w:t>50</w:t>
      </w:r>
      <w:r w:rsidR="000159A6">
        <w:t xml:space="preserve"> </w:t>
      </w:r>
      <w:r w:rsidR="00D30F03" w:rsidRPr="00D30F03">
        <w:t>years</w:t>
      </w:r>
      <w:r w:rsidR="000159A6">
        <w:t xml:space="preserve"> </w:t>
      </w:r>
      <w:r w:rsidR="00D30F03" w:rsidRPr="00D30F03">
        <w:t>(mean</w:t>
      </w:r>
      <w:r w:rsidR="000159A6">
        <w:t xml:space="preserve"> </w:t>
      </w:r>
      <w:r w:rsidR="00D30F03" w:rsidRPr="00D30F03">
        <w:t>of</w:t>
      </w:r>
      <w:r w:rsidR="000159A6">
        <w:t xml:space="preserve"> </w:t>
      </w:r>
      <w:r w:rsidR="00D30F03" w:rsidRPr="00D30F03">
        <w:t>65</w:t>
      </w:r>
      <w:r w:rsidR="000159A6">
        <w:t xml:space="preserve"> </w:t>
      </w:r>
      <w:r w:rsidR="00D30F03" w:rsidRPr="00D30F03">
        <w:t>years).</w:t>
      </w:r>
      <w:r w:rsidR="000159A6">
        <w:t xml:space="preserve"> </w:t>
      </w:r>
      <w:r w:rsidR="00302976">
        <w:t>Subjects</w:t>
      </w:r>
      <w:r w:rsidR="000159A6">
        <w:t xml:space="preserve"> </w:t>
      </w:r>
      <w:r w:rsidR="00302976">
        <w:t>were</w:t>
      </w:r>
      <w:r w:rsidR="000159A6">
        <w:t xml:space="preserve"> </w:t>
      </w:r>
      <w:r w:rsidR="00302976">
        <w:t>randomised</w:t>
      </w:r>
      <w:r w:rsidR="000159A6">
        <w:t xml:space="preserve"> </w:t>
      </w:r>
      <w:r w:rsidR="00302976">
        <w:t>4:4:2:1</w:t>
      </w:r>
      <w:r w:rsidR="000159A6">
        <w:t xml:space="preserve"> </w:t>
      </w:r>
      <w:r w:rsidR="00302976">
        <w:t>respectively</w:t>
      </w:r>
      <w:r w:rsidR="000159A6">
        <w:t xml:space="preserve"> </w:t>
      </w:r>
      <w:r w:rsidR="00302976">
        <w:t>and</w:t>
      </w:r>
      <w:r w:rsidR="000159A6">
        <w:t xml:space="preserve"> </w:t>
      </w:r>
      <w:r w:rsidR="00302976">
        <w:t>received</w:t>
      </w:r>
      <w:r w:rsidR="000159A6">
        <w:t xml:space="preserve"> </w:t>
      </w:r>
      <w:r w:rsidR="00302976">
        <w:t>t</w:t>
      </w:r>
      <w:r w:rsidR="00302976" w:rsidRPr="00D30F03">
        <w:t>wo</w:t>
      </w:r>
      <w:r w:rsidR="000159A6">
        <w:t xml:space="preserve"> </w:t>
      </w:r>
      <w:r w:rsidR="00D30F03" w:rsidRPr="00D30F03">
        <w:t>doses</w:t>
      </w:r>
      <w:r w:rsidR="000159A6">
        <w:t xml:space="preserve"> </w:t>
      </w:r>
      <w:r w:rsidR="00D30F03" w:rsidRPr="00D30F03">
        <w:t>of</w:t>
      </w:r>
      <w:r w:rsidR="000159A6">
        <w:t xml:space="preserve"> </w:t>
      </w:r>
      <w:r w:rsidR="00D30F03" w:rsidRPr="00D30F03">
        <w:t>administered</w:t>
      </w:r>
      <w:r w:rsidR="000159A6">
        <w:t xml:space="preserve"> </w:t>
      </w:r>
      <w:r w:rsidR="00D30F03" w:rsidRPr="00D30F03">
        <w:t>two</w:t>
      </w:r>
      <w:r w:rsidR="000159A6">
        <w:t xml:space="preserve"> </w:t>
      </w:r>
      <w:r w:rsidR="00D30F03" w:rsidRPr="00D30F03">
        <w:t>months</w:t>
      </w:r>
      <w:r w:rsidR="000159A6">
        <w:t xml:space="preserve"> </w:t>
      </w:r>
      <w:r w:rsidR="00D30F03" w:rsidRPr="00D30F03">
        <w:t>apart.</w:t>
      </w:r>
    </w:p>
    <w:p w14:paraId="63D102A3" w14:textId="39233358" w:rsidR="00D30F03" w:rsidRDefault="00D30F03" w:rsidP="00A97634">
      <w:r w:rsidRPr="00A95365">
        <w:lastRenderedPageBreak/>
        <w:t>The</w:t>
      </w:r>
      <w:r w:rsidR="000159A6">
        <w:t xml:space="preserve"> </w:t>
      </w:r>
      <w:r w:rsidRPr="00A95365">
        <w:t>sponsor</w:t>
      </w:r>
      <w:r w:rsidR="000159A6">
        <w:t xml:space="preserve"> </w:t>
      </w:r>
      <w:r w:rsidRPr="00A95365">
        <w:t>concluded</w:t>
      </w:r>
      <w:r w:rsidR="000159A6">
        <w:t xml:space="preserve"> </w:t>
      </w:r>
      <w:r w:rsidRPr="00A95365">
        <w:t>that,</w:t>
      </w:r>
      <w:r w:rsidR="000159A6">
        <w:t xml:space="preserve"> </w:t>
      </w:r>
      <w:r w:rsidRPr="00A95365">
        <w:t>while</w:t>
      </w:r>
      <w:r w:rsidR="000159A6">
        <w:t xml:space="preserve"> </w:t>
      </w:r>
      <w:r w:rsidRPr="00A95365">
        <w:t>there</w:t>
      </w:r>
      <w:r w:rsidR="000159A6">
        <w:t xml:space="preserve"> </w:t>
      </w:r>
      <w:r w:rsidRPr="00A95365">
        <w:t>was</w:t>
      </w:r>
      <w:r w:rsidR="000159A6">
        <w:t xml:space="preserve"> </w:t>
      </w:r>
      <w:r w:rsidRPr="00A95365">
        <w:t>higher</w:t>
      </w:r>
      <w:r w:rsidR="000159A6">
        <w:t xml:space="preserve"> </w:t>
      </w:r>
      <w:r w:rsidRPr="00A95365">
        <w:t>reactogenicity</w:t>
      </w:r>
      <w:r w:rsidR="000159A6">
        <w:t xml:space="preserve"> </w:t>
      </w:r>
      <w:r w:rsidRPr="00A95365">
        <w:t>with</w:t>
      </w:r>
      <w:r w:rsidR="000159A6">
        <w:t xml:space="preserve"> </w:t>
      </w:r>
      <w:r w:rsidR="00503D1B">
        <w:t>AS01</w:t>
      </w:r>
      <w:r w:rsidR="00503D1B" w:rsidRPr="00570F2D">
        <w:rPr>
          <w:vertAlign w:val="subscript"/>
        </w:rPr>
        <w:t>B</w:t>
      </w:r>
      <w:r w:rsidRPr="00A95365">
        <w:t>,</w:t>
      </w:r>
      <w:r w:rsidR="000159A6">
        <w:t xml:space="preserve"> </w:t>
      </w:r>
      <w:r w:rsidRPr="00A95365">
        <w:t>the</w:t>
      </w:r>
      <w:r w:rsidR="000159A6">
        <w:t xml:space="preserve"> </w:t>
      </w:r>
      <w:r w:rsidRPr="00A95365">
        <w:t>rates</w:t>
      </w:r>
      <w:r w:rsidR="000159A6">
        <w:t xml:space="preserve"> </w:t>
      </w:r>
      <w:r w:rsidRPr="00A95365">
        <w:t>were</w:t>
      </w:r>
      <w:r w:rsidR="000159A6">
        <w:t xml:space="preserve"> </w:t>
      </w:r>
      <w:r w:rsidRPr="00A95365">
        <w:t>deemed</w:t>
      </w:r>
      <w:r w:rsidR="000159A6">
        <w:t xml:space="preserve"> </w:t>
      </w:r>
      <w:r>
        <w:t>‘</w:t>
      </w:r>
      <w:r w:rsidRPr="00A95365">
        <w:t>clinically</w:t>
      </w:r>
      <w:r w:rsidR="000159A6">
        <w:t xml:space="preserve"> </w:t>
      </w:r>
      <w:r w:rsidRPr="00A95365">
        <w:t>acceptable</w:t>
      </w:r>
      <w:r>
        <w:t>’.</w:t>
      </w:r>
    </w:p>
    <w:p w14:paraId="393BB602" w14:textId="3EE3AB4A" w:rsidR="00D30F03" w:rsidRPr="005B2FA5" w:rsidRDefault="00D30F03" w:rsidP="00331A1D">
      <w:r w:rsidRPr="003C27E6">
        <w:t>Given</w:t>
      </w:r>
      <w:r w:rsidR="000159A6">
        <w:t xml:space="preserve"> </w:t>
      </w:r>
      <w:r w:rsidRPr="003C27E6">
        <w:t>the</w:t>
      </w:r>
      <w:r w:rsidR="000159A6">
        <w:t xml:space="preserve"> </w:t>
      </w:r>
      <w:r w:rsidRPr="003C27E6">
        <w:t>improved</w:t>
      </w:r>
      <w:r w:rsidR="000159A6">
        <w:t xml:space="preserve"> </w:t>
      </w:r>
      <w:r w:rsidRPr="003C27E6">
        <w:t>immunogenicity</w:t>
      </w:r>
      <w:r w:rsidR="000159A6">
        <w:t xml:space="preserve"> </w:t>
      </w:r>
      <w:r w:rsidRPr="003C27E6">
        <w:t>of</w:t>
      </w:r>
      <w:r w:rsidR="000159A6">
        <w:t xml:space="preserve"> </w:t>
      </w:r>
      <w:r w:rsidRPr="003C27E6">
        <w:t>the</w:t>
      </w:r>
      <w:r w:rsidR="000159A6">
        <w:t xml:space="preserve"> </w:t>
      </w:r>
      <w:r w:rsidRPr="003C27E6">
        <w:t>higher</w:t>
      </w:r>
      <w:r w:rsidR="000159A6">
        <w:t xml:space="preserve"> </w:t>
      </w:r>
      <w:r w:rsidRPr="003C27E6">
        <w:t>dose</w:t>
      </w:r>
      <w:r w:rsidR="000159A6">
        <w:t xml:space="preserve"> </w:t>
      </w:r>
      <w:r w:rsidRPr="003C27E6">
        <w:t>adjuvant</w:t>
      </w:r>
      <w:r w:rsidR="000159A6">
        <w:t xml:space="preserve"> </w:t>
      </w:r>
      <w:r w:rsidRPr="003C27E6">
        <w:t>the</w:t>
      </w:r>
      <w:r w:rsidR="000159A6">
        <w:t xml:space="preserve"> </w:t>
      </w:r>
      <w:r w:rsidRPr="003C27E6">
        <w:t>evaluator</w:t>
      </w:r>
      <w:r w:rsidR="000159A6">
        <w:t xml:space="preserve"> </w:t>
      </w:r>
      <w:r w:rsidRPr="003C27E6">
        <w:t>agrees</w:t>
      </w:r>
      <w:r w:rsidR="000159A6">
        <w:t xml:space="preserve"> </w:t>
      </w:r>
      <w:r w:rsidRPr="003C27E6">
        <w:t>with</w:t>
      </w:r>
      <w:r w:rsidR="000159A6">
        <w:t xml:space="preserve"> </w:t>
      </w:r>
      <w:r w:rsidRPr="003C27E6">
        <w:t>the</w:t>
      </w:r>
      <w:r w:rsidR="000159A6">
        <w:t xml:space="preserve"> </w:t>
      </w:r>
      <w:r w:rsidRPr="003C27E6">
        <w:t>conclusions</w:t>
      </w:r>
      <w:r w:rsidRPr="005B2FA5">
        <w:t>.</w:t>
      </w:r>
    </w:p>
    <w:p w14:paraId="0006B973" w14:textId="41236580" w:rsidR="00D30F03" w:rsidRPr="003C27E6" w:rsidRDefault="00D30F03" w:rsidP="00331A1D">
      <w:r w:rsidRPr="003C27E6">
        <w:t>Reactogenicity</w:t>
      </w:r>
      <w:r w:rsidR="000159A6">
        <w:t xml:space="preserve"> </w:t>
      </w:r>
      <w:r w:rsidRPr="003C27E6">
        <w:t>was</w:t>
      </w:r>
      <w:r w:rsidR="000159A6">
        <w:t xml:space="preserve"> </w:t>
      </w:r>
      <w:r w:rsidRPr="003C27E6">
        <w:t>higher</w:t>
      </w:r>
      <w:r w:rsidR="000159A6">
        <w:t xml:space="preserve"> </w:t>
      </w:r>
      <w:r w:rsidRPr="003C27E6">
        <w:t>in</w:t>
      </w:r>
      <w:r w:rsidR="000159A6">
        <w:t xml:space="preserve"> </w:t>
      </w:r>
      <w:r w:rsidRPr="003C27E6">
        <w:t>the</w:t>
      </w:r>
      <w:r w:rsidR="000159A6">
        <w:t xml:space="preserve"> </w:t>
      </w:r>
      <w:r w:rsidRPr="003C27E6">
        <w:t>younger</w:t>
      </w:r>
      <w:r w:rsidR="000159A6">
        <w:t xml:space="preserve"> </w:t>
      </w:r>
      <w:r w:rsidRPr="003C27E6">
        <w:t>age</w:t>
      </w:r>
      <w:r w:rsidR="000159A6">
        <w:t xml:space="preserve"> </w:t>
      </w:r>
      <w:r w:rsidRPr="003C27E6">
        <w:t>groups.</w:t>
      </w:r>
    </w:p>
    <w:p w14:paraId="50BD5E25" w14:textId="2E6D0D00" w:rsidR="00D30F03" w:rsidRPr="003C27E6" w:rsidRDefault="00D30F03" w:rsidP="00331A1D">
      <w:r w:rsidRPr="003C27E6">
        <w:t>The</w:t>
      </w:r>
      <w:r w:rsidR="000159A6">
        <w:t xml:space="preserve"> </w:t>
      </w:r>
      <w:r w:rsidRPr="003C27E6">
        <w:t>symptom</w:t>
      </w:r>
      <w:r w:rsidR="000159A6">
        <w:t xml:space="preserve"> </w:t>
      </w:r>
      <w:r w:rsidRPr="003C27E6">
        <w:t>rates</w:t>
      </w:r>
      <w:r w:rsidR="000159A6">
        <w:t xml:space="preserve"> </w:t>
      </w:r>
      <w:r w:rsidRPr="003C27E6">
        <w:t>are</w:t>
      </w:r>
      <w:r w:rsidR="000159A6">
        <w:t xml:space="preserve"> </w:t>
      </w:r>
      <w:r w:rsidRPr="003C27E6">
        <w:t>relatively</w:t>
      </w:r>
      <w:r w:rsidR="000159A6">
        <w:t xml:space="preserve"> </w:t>
      </w:r>
      <w:r w:rsidRPr="003C27E6">
        <w:t>high</w:t>
      </w:r>
      <w:r w:rsidR="000159A6">
        <w:t xml:space="preserve"> </w:t>
      </w:r>
      <w:r w:rsidRPr="003C27E6">
        <w:t>and</w:t>
      </w:r>
      <w:r w:rsidR="000159A6">
        <w:t xml:space="preserve"> </w:t>
      </w:r>
      <w:r w:rsidRPr="003C27E6">
        <w:t>this</w:t>
      </w:r>
      <w:r w:rsidR="000159A6">
        <w:t xml:space="preserve"> </w:t>
      </w:r>
      <w:r w:rsidRPr="003C27E6">
        <w:t>could</w:t>
      </w:r>
      <w:r w:rsidR="000159A6">
        <w:t xml:space="preserve"> </w:t>
      </w:r>
      <w:r w:rsidRPr="003C27E6">
        <w:t>possibly</w:t>
      </w:r>
      <w:r w:rsidR="000159A6">
        <w:t xml:space="preserve"> </w:t>
      </w:r>
      <w:r w:rsidRPr="003C27E6">
        <w:t>impact</w:t>
      </w:r>
      <w:r w:rsidR="000159A6">
        <w:t xml:space="preserve"> </w:t>
      </w:r>
      <w:r w:rsidRPr="003C27E6">
        <w:t>on</w:t>
      </w:r>
      <w:r w:rsidR="000159A6">
        <w:t xml:space="preserve"> </w:t>
      </w:r>
      <w:r w:rsidRPr="003C27E6">
        <w:t>compliance</w:t>
      </w:r>
      <w:r w:rsidR="000159A6">
        <w:t xml:space="preserve"> </w:t>
      </w:r>
      <w:r w:rsidRPr="003C27E6">
        <w:t>with</w:t>
      </w:r>
      <w:r w:rsidR="000159A6">
        <w:t xml:space="preserve"> </w:t>
      </w:r>
      <w:r w:rsidRPr="003C27E6">
        <w:t>Dose</w:t>
      </w:r>
      <w:r w:rsidR="000159A6">
        <w:t xml:space="preserve"> </w:t>
      </w:r>
      <w:r w:rsidRPr="003C27E6">
        <w:t>2</w:t>
      </w:r>
      <w:r w:rsidR="000159A6">
        <w:t xml:space="preserve"> </w:t>
      </w:r>
      <w:r w:rsidRPr="003C27E6">
        <w:t>of</w:t>
      </w:r>
      <w:r w:rsidR="000159A6">
        <w:t xml:space="preserve"> </w:t>
      </w:r>
      <w:r w:rsidRPr="003C27E6">
        <w:t>the</w:t>
      </w:r>
      <w:r w:rsidR="000159A6">
        <w:t xml:space="preserve"> </w:t>
      </w:r>
      <w:r w:rsidRPr="003C27E6">
        <w:t>vaccine</w:t>
      </w:r>
      <w:r w:rsidR="000159A6">
        <w:t xml:space="preserve"> </w:t>
      </w:r>
      <w:r w:rsidRPr="003C27E6">
        <w:t>schedule.</w:t>
      </w:r>
    </w:p>
    <w:p w14:paraId="629DB37C" w14:textId="0603084E" w:rsidR="00D30F03" w:rsidRPr="003C27E6" w:rsidRDefault="00D30F03" w:rsidP="00331A1D">
      <w:r w:rsidRPr="003C27E6">
        <w:t>The</w:t>
      </w:r>
      <w:r w:rsidR="000159A6">
        <w:t xml:space="preserve"> </w:t>
      </w:r>
      <w:r w:rsidRPr="003C27E6">
        <w:t>sponsor</w:t>
      </w:r>
      <w:r w:rsidR="000159A6">
        <w:t xml:space="preserve"> </w:t>
      </w:r>
      <w:r w:rsidRPr="003C27E6">
        <w:t>has</w:t>
      </w:r>
      <w:r w:rsidR="000159A6">
        <w:t xml:space="preserve"> </w:t>
      </w:r>
      <w:r w:rsidRPr="003C27E6">
        <w:t>been</w:t>
      </w:r>
      <w:r w:rsidR="000159A6">
        <w:t xml:space="preserve"> </w:t>
      </w:r>
      <w:r w:rsidRPr="003C27E6">
        <w:t>asked</w:t>
      </w:r>
      <w:r w:rsidR="000159A6">
        <w:t xml:space="preserve"> </w:t>
      </w:r>
      <w:r w:rsidRPr="003C27E6">
        <w:t>to</w:t>
      </w:r>
      <w:r w:rsidR="000159A6">
        <w:t xml:space="preserve"> </w:t>
      </w:r>
      <w:r w:rsidRPr="003C27E6">
        <w:t>comment</w:t>
      </w:r>
      <w:r w:rsidR="000159A6">
        <w:t xml:space="preserve"> </w:t>
      </w:r>
      <w:r w:rsidRPr="003C27E6">
        <w:t>whether</w:t>
      </w:r>
      <w:r w:rsidR="000159A6">
        <w:t xml:space="preserve"> </w:t>
      </w:r>
      <w:r w:rsidRPr="003C27E6">
        <w:t>a</w:t>
      </w:r>
      <w:r w:rsidR="000159A6">
        <w:t xml:space="preserve"> </w:t>
      </w:r>
      <w:r w:rsidRPr="003C27E6">
        <w:t>lower</w:t>
      </w:r>
      <w:r w:rsidR="000159A6">
        <w:t xml:space="preserve"> </w:t>
      </w:r>
      <w:r w:rsidRPr="003C27E6">
        <w:t>adjuvant</w:t>
      </w:r>
      <w:r w:rsidR="000159A6">
        <w:t xml:space="preserve"> </w:t>
      </w:r>
      <w:r w:rsidRPr="003C27E6">
        <w:t>dose</w:t>
      </w:r>
      <w:r w:rsidR="000159A6">
        <w:t xml:space="preserve"> </w:t>
      </w:r>
      <w:r w:rsidRPr="003C27E6">
        <w:t>was</w:t>
      </w:r>
      <w:r w:rsidR="000159A6">
        <w:t xml:space="preserve"> </w:t>
      </w:r>
      <w:r w:rsidRPr="003C27E6">
        <w:t>considered</w:t>
      </w:r>
      <w:r w:rsidR="000159A6">
        <w:t xml:space="preserve"> </w:t>
      </w:r>
      <w:r w:rsidRPr="003C27E6">
        <w:t>for</w:t>
      </w:r>
      <w:r w:rsidR="000159A6">
        <w:t xml:space="preserve"> </w:t>
      </w:r>
      <w:r w:rsidRPr="003C27E6">
        <w:t>younger</w:t>
      </w:r>
      <w:r w:rsidR="000159A6">
        <w:t xml:space="preserve"> </w:t>
      </w:r>
      <w:r w:rsidRPr="003C27E6">
        <w:t>adults.</w:t>
      </w:r>
    </w:p>
    <w:p w14:paraId="6D2BA687" w14:textId="7C8AD8AF" w:rsidR="00D30F03" w:rsidRDefault="00525235" w:rsidP="000D0435">
      <w:pPr>
        <w:pStyle w:val="Heading6"/>
      </w:pPr>
      <w:bookmarkStart w:id="101" w:name="_Toc163441372"/>
      <w:bookmarkStart w:id="102" w:name="_Toc196046485"/>
      <w:bookmarkStart w:id="103" w:name="_Toc247691521"/>
      <w:bookmarkStart w:id="104" w:name="_Toc314842504"/>
      <w:r>
        <w:t>Study</w:t>
      </w:r>
      <w:r w:rsidR="000159A6">
        <w:t xml:space="preserve"> </w:t>
      </w:r>
      <w:r>
        <w:t>ZOSTER</w:t>
      </w:r>
      <w:r w:rsidR="00D30F03" w:rsidRPr="00D30F03">
        <w:t>-003</w:t>
      </w:r>
    </w:p>
    <w:p w14:paraId="150D7A58" w14:textId="04D146C8" w:rsidR="001F6DEC" w:rsidRDefault="000D0435" w:rsidP="00A97634">
      <w:pPr>
        <w:rPr>
          <w:lang w:eastAsia="ja-JP"/>
        </w:rPr>
      </w:pPr>
      <w:r>
        <w:rPr>
          <w:lang w:eastAsia="ja-JP"/>
        </w:rPr>
        <w:t>Study</w:t>
      </w:r>
      <w:r w:rsidR="000159A6">
        <w:rPr>
          <w:lang w:eastAsia="ja-JP"/>
        </w:rPr>
        <w:t xml:space="preserve"> </w:t>
      </w:r>
      <w:r w:rsidR="001F6DEC">
        <w:rPr>
          <w:lang w:eastAsia="ja-JP"/>
        </w:rPr>
        <w:t>ZOSTER</w:t>
      </w:r>
      <w:r w:rsidR="001F6DEC" w:rsidRPr="0064068A">
        <w:rPr>
          <w:lang w:eastAsia="ja-JP"/>
        </w:rPr>
        <w:t>-003</w:t>
      </w:r>
      <w:r w:rsidR="000159A6">
        <w:rPr>
          <w:lang w:eastAsia="ja-JP"/>
        </w:rPr>
        <w:t xml:space="preserve"> </w:t>
      </w:r>
      <w:r w:rsidR="001F6DEC" w:rsidRPr="0064068A">
        <w:rPr>
          <w:lang w:eastAsia="ja-JP"/>
        </w:rPr>
        <w:t>found</w:t>
      </w:r>
      <w:r w:rsidR="000159A6">
        <w:rPr>
          <w:lang w:eastAsia="ja-JP"/>
        </w:rPr>
        <w:t xml:space="preserve"> </w:t>
      </w:r>
      <w:r w:rsidR="001F6DEC" w:rsidRPr="0064068A">
        <w:rPr>
          <w:lang w:eastAsia="ja-JP"/>
        </w:rPr>
        <w:t>that</w:t>
      </w:r>
      <w:r w:rsidR="000159A6">
        <w:rPr>
          <w:lang w:eastAsia="ja-JP"/>
        </w:rPr>
        <w:t xml:space="preserve"> </w:t>
      </w:r>
      <w:r w:rsidR="001F6DEC" w:rsidRPr="0064068A">
        <w:rPr>
          <w:lang w:eastAsia="ja-JP"/>
        </w:rPr>
        <w:t>CD4</w:t>
      </w:r>
      <w:r w:rsidR="000159A6">
        <w:rPr>
          <w:lang w:eastAsia="ja-JP"/>
        </w:rPr>
        <w:t xml:space="preserve"> </w:t>
      </w:r>
      <w:r w:rsidR="001F6DEC" w:rsidRPr="0064068A">
        <w:rPr>
          <w:lang w:eastAsia="ja-JP"/>
        </w:rPr>
        <w:t>T</w:t>
      </w:r>
      <w:r w:rsidR="000159A6">
        <w:rPr>
          <w:lang w:eastAsia="ja-JP"/>
        </w:rPr>
        <w:t xml:space="preserve"> </w:t>
      </w:r>
      <w:r w:rsidR="001F6DEC" w:rsidRPr="0064068A">
        <w:rPr>
          <w:lang w:eastAsia="ja-JP"/>
        </w:rPr>
        <w:t>cell</w:t>
      </w:r>
      <w:r w:rsidR="000159A6">
        <w:rPr>
          <w:lang w:eastAsia="ja-JP"/>
        </w:rPr>
        <w:t xml:space="preserve"> </w:t>
      </w:r>
      <w:r w:rsidR="001F6DEC" w:rsidRPr="0064068A">
        <w:rPr>
          <w:lang w:eastAsia="ja-JP"/>
        </w:rPr>
        <w:t>response</w:t>
      </w:r>
      <w:r w:rsidR="000159A6">
        <w:rPr>
          <w:lang w:eastAsia="ja-JP"/>
        </w:rPr>
        <w:t xml:space="preserve"> </w:t>
      </w:r>
      <w:r w:rsidR="001F6DEC" w:rsidRPr="0064068A">
        <w:rPr>
          <w:lang w:eastAsia="ja-JP"/>
        </w:rPr>
        <w:t>to</w:t>
      </w:r>
      <w:r w:rsidR="000159A6">
        <w:rPr>
          <w:lang w:eastAsia="ja-JP"/>
        </w:rPr>
        <w:t xml:space="preserve"> </w:t>
      </w:r>
      <w:r w:rsidR="001F6DEC" w:rsidRPr="0064068A">
        <w:rPr>
          <w:lang w:eastAsia="ja-JP"/>
        </w:rPr>
        <w:t>vaccine</w:t>
      </w:r>
      <w:r w:rsidR="000159A6">
        <w:rPr>
          <w:lang w:eastAsia="ja-JP"/>
        </w:rPr>
        <w:t xml:space="preserve"> </w:t>
      </w:r>
      <w:r w:rsidR="001F6DEC" w:rsidRPr="0064068A">
        <w:rPr>
          <w:lang w:eastAsia="ja-JP"/>
        </w:rPr>
        <w:t>cont</w:t>
      </w:r>
      <w:r w:rsidR="001F6DEC">
        <w:rPr>
          <w:lang w:eastAsia="ja-JP"/>
        </w:rPr>
        <w:t>aining</w:t>
      </w:r>
      <w:r w:rsidR="000159A6">
        <w:rPr>
          <w:lang w:eastAsia="ja-JP"/>
        </w:rPr>
        <w:t xml:space="preserve"> </w:t>
      </w:r>
      <w:r w:rsidR="001F6DEC">
        <w:rPr>
          <w:lang w:eastAsia="ja-JP"/>
        </w:rPr>
        <w:t>adjuvant</w:t>
      </w:r>
      <w:r w:rsidR="000159A6">
        <w:rPr>
          <w:lang w:eastAsia="ja-JP"/>
        </w:rPr>
        <w:t xml:space="preserve"> </w:t>
      </w:r>
      <w:r w:rsidR="001F6DEC">
        <w:rPr>
          <w:lang w:eastAsia="ja-JP"/>
        </w:rPr>
        <w:t>was</w:t>
      </w:r>
      <w:r w:rsidR="000159A6">
        <w:rPr>
          <w:lang w:eastAsia="ja-JP"/>
        </w:rPr>
        <w:t xml:space="preserve"> </w:t>
      </w:r>
      <w:r w:rsidR="001F6DEC">
        <w:rPr>
          <w:lang w:eastAsia="ja-JP"/>
        </w:rPr>
        <w:t>greater</w:t>
      </w:r>
      <w:r w:rsidR="000159A6">
        <w:rPr>
          <w:lang w:eastAsia="ja-JP"/>
        </w:rPr>
        <w:t xml:space="preserve"> </w:t>
      </w:r>
      <w:r w:rsidR="001F6DEC">
        <w:rPr>
          <w:lang w:eastAsia="ja-JP"/>
        </w:rPr>
        <w:t>than</w:t>
      </w:r>
      <w:r w:rsidR="000159A6">
        <w:rPr>
          <w:lang w:eastAsia="ja-JP"/>
        </w:rPr>
        <w:t xml:space="preserve"> </w:t>
      </w:r>
      <w:r w:rsidR="001F6DEC" w:rsidRPr="0064068A">
        <w:rPr>
          <w:lang w:eastAsia="ja-JP"/>
        </w:rPr>
        <w:t>100</w:t>
      </w:r>
      <w:r w:rsidR="000159A6">
        <w:rPr>
          <w:lang w:eastAsia="ja-JP"/>
        </w:rPr>
        <w:t xml:space="preserve"> </w:t>
      </w:r>
      <w:r w:rsidR="001F6DEC" w:rsidRPr="00085F40">
        <w:rPr>
          <w:lang w:eastAsia="ja-JP"/>
        </w:rPr>
        <w:t>μg</w:t>
      </w:r>
      <w:r w:rsidR="000159A6">
        <w:rPr>
          <w:lang w:eastAsia="ja-JP"/>
        </w:rPr>
        <w:t xml:space="preserve"> </w:t>
      </w:r>
      <w:r w:rsidR="001F6DEC" w:rsidRPr="00085F40">
        <w:rPr>
          <w:lang w:eastAsia="ja-JP"/>
        </w:rPr>
        <w:t>gE/</w:t>
      </w:r>
      <w:r w:rsidR="003C27E6">
        <w:rPr>
          <w:lang w:eastAsia="ja-JP"/>
        </w:rPr>
        <w:t>s</w:t>
      </w:r>
      <w:r w:rsidR="003C27E6" w:rsidRPr="00085F40">
        <w:rPr>
          <w:lang w:eastAsia="ja-JP"/>
        </w:rPr>
        <w:t>aline</w:t>
      </w:r>
      <w:r w:rsidR="000159A6">
        <w:rPr>
          <w:lang w:eastAsia="ja-JP"/>
        </w:rPr>
        <w:t xml:space="preserve"> </w:t>
      </w:r>
      <w:r w:rsidR="001F6DEC">
        <w:rPr>
          <w:lang w:eastAsia="ja-JP"/>
        </w:rPr>
        <w:t>for</w:t>
      </w:r>
      <w:r w:rsidR="000159A6">
        <w:rPr>
          <w:lang w:eastAsia="ja-JP"/>
        </w:rPr>
        <w:t xml:space="preserve"> </w:t>
      </w:r>
      <w:r w:rsidR="001F6DEC">
        <w:rPr>
          <w:lang w:eastAsia="ja-JP"/>
        </w:rPr>
        <w:t>both</w:t>
      </w:r>
      <w:r w:rsidR="000159A6">
        <w:rPr>
          <w:lang w:eastAsia="ja-JP"/>
        </w:rPr>
        <w:t xml:space="preserve"> </w:t>
      </w:r>
      <w:r w:rsidR="001F6DEC">
        <w:rPr>
          <w:lang w:eastAsia="ja-JP"/>
        </w:rPr>
        <w:t>median</w:t>
      </w:r>
      <w:r w:rsidR="000159A6">
        <w:rPr>
          <w:lang w:eastAsia="ja-JP"/>
        </w:rPr>
        <w:t xml:space="preserve"> </w:t>
      </w:r>
      <w:r w:rsidR="001F6DEC">
        <w:rPr>
          <w:lang w:eastAsia="ja-JP"/>
        </w:rPr>
        <w:t>frequencies</w:t>
      </w:r>
      <w:r w:rsidR="000159A6">
        <w:rPr>
          <w:lang w:eastAsia="ja-JP"/>
        </w:rPr>
        <w:t xml:space="preserve"> </w:t>
      </w:r>
      <w:r w:rsidR="001F6DEC">
        <w:rPr>
          <w:lang w:eastAsia="ja-JP"/>
        </w:rPr>
        <w:t>and</w:t>
      </w:r>
      <w:r w:rsidR="000159A6">
        <w:rPr>
          <w:lang w:eastAsia="ja-JP"/>
        </w:rPr>
        <w:t xml:space="preserve"> </w:t>
      </w:r>
      <w:r w:rsidR="001F6DEC">
        <w:rPr>
          <w:lang w:eastAsia="ja-JP"/>
        </w:rPr>
        <w:t>also</w:t>
      </w:r>
      <w:r w:rsidR="000159A6">
        <w:rPr>
          <w:lang w:eastAsia="ja-JP"/>
        </w:rPr>
        <w:t xml:space="preserve"> </w:t>
      </w:r>
      <w:r w:rsidR="001F6DEC">
        <w:rPr>
          <w:lang w:eastAsia="ja-JP"/>
        </w:rPr>
        <w:t>the</w:t>
      </w:r>
      <w:r w:rsidR="000159A6">
        <w:rPr>
          <w:lang w:eastAsia="ja-JP"/>
        </w:rPr>
        <w:t xml:space="preserve"> </w:t>
      </w:r>
      <w:r w:rsidR="001F6DEC">
        <w:rPr>
          <w:lang w:eastAsia="ja-JP"/>
        </w:rPr>
        <w:t>proportion</w:t>
      </w:r>
      <w:r w:rsidR="000159A6">
        <w:rPr>
          <w:lang w:eastAsia="ja-JP"/>
        </w:rPr>
        <w:t xml:space="preserve"> </w:t>
      </w:r>
      <w:r w:rsidR="001F6DEC">
        <w:rPr>
          <w:lang w:eastAsia="ja-JP"/>
        </w:rPr>
        <w:t>of</w:t>
      </w:r>
      <w:r w:rsidR="000159A6">
        <w:rPr>
          <w:lang w:eastAsia="ja-JP"/>
        </w:rPr>
        <w:t xml:space="preserve"> </w:t>
      </w:r>
      <w:r w:rsidR="001F6DEC">
        <w:rPr>
          <w:lang w:eastAsia="ja-JP"/>
        </w:rPr>
        <w:t>responders</w:t>
      </w:r>
      <w:r w:rsidR="00C95B23">
        <w:rPr>
          <w:lang w:eastAsia="ja-JP"/>
        </w:rPr>
        <w:t>.</w:t>
      </w:r>
    </w:p>
    <w:p w14:paraId="72F93738" w14:textId="6413E7B3" w:rsidR="001F6DEC" w:rsidRPr="00C95B23" w:rsidRDefault="001F6DEC" w:rsidP="00A97634">
      <w:pPr>
        <w:pStyle w:val="Heading4"/>
      </w:pPr>
      <w:bookmarkStart w:id="105" w:name="_Toc416353712"/>
      <w:bookmarkStart w:id="106" w:name="_Toc421005265"/>
      <w:bookmarkStart w:id="107" w:name="_Toc432079147"/>
      <w:bookmarkStart w:id="108" w:name="_Toc432080720"/>
      <w:bookmarkStart w:id="109" w:name="_Toc507577973"/>
      <w:bookmarkStart w:id="110" w:name="_Toc523409045"/>
      <w:r w:rsidRPr="00C95B23">
        <w:t>Dose</w:t>
      </w:r>
      <w:r w:rsidR="000159A6" w:rsidRPr="00C95B23">
        <w:t xml:space="preserve"> </w:t>
      </w:r>
      <w:r w:rsidRPr="00A97634">
        <w:t>number</w:t>
      </w:r>
      <w:r w:rsidRPr="00C95B23">
        <w:t>,</w:t>
      </w:r>
      <w:r w:rsidR="000159A6" w:rsidRPr="00C95B23">
        <w:t xml:space="preserve"> </w:t>
      </w:r>
      <w:r w:rsidRPr="00C95B23">
        <w:t>schedule</w:t>
      </w:r>
      <w:r w:rsidR="000159A6" w:rsidRPr="00C95B23">
        <w:t xml:space="preserve"> </w:t>
      </w:r>
      <w:bookmarkEnd w:id="105"/>
      <w:bookmarkEnd w:id="106"/>
      <w:bookmarkEnd w:id="107"/>
      <w:bookmarkEnd w:id="108"/>
      <w:r w:rsidRPr="00C95B23">
        <w:t>and</w:t>
      </w:r>
      <w:r w:rsidR="000159A6" w:rsidRPr="00C95B23">
        <w:t xml:space="preserve"> </w:t>
      </w:r>
      <w:r w:rsidRPr="00C95B23">
        <w:t>route</w:t>
      </w:r>
      <w:bookmarkEnd w:id="109"/>
      <w:bookmarkEnd w:id="110"/>
    </w:p>
    <w:p w14:paraId="1B1AE5C9" w14:textId="7DA38AC7" w:rsidR="001F6DEC" w:rsidRPr="00C95B23" w:rsidRDefault="001F6DEC" w:rsidP="00C95B23">
      <w:pPr>
        <w:pStyle w:val="Heading5"/>
      </w:pPr>
      <w:bookmarkStart w:id="111" w:name="_Toc507577974"/>
      <w:r w:rsidRPr="00C95B23">
        <w:t>Dose</w:t>
      </w:r>
      <w:r w:rsidR="000159A6" w:rsidRPr="00C95B23">
        <w:t xml:space="preserve"> </w:t>
      </w:r>
      <w:r w:rsidRPr="00C95B23">
        <w:t>number</w:t>
      </w:r>
      <w:bookmarkEnd w:id="111"/>
    </w:p>
    <w:p w14:paraId="2309B3CD" w14:textId="754FF2D3" w:rsidR="001F6DEC" w:rsidRDefault="001F6DEC" w:rsidP="00A97634">
      <w:pPr>
        <w:rPr>
          <w:lang w:eastAsia="ja-JP"/>
        </w:rPr>
      </w:pPr>
      <w:r w:rsidRPr="00F759DA">
        <w:rPr>
          <w:lang w:eastAsia="ja-JP"/>
        </w:rPr>
        <w:t>Study</w:t>
      </w:r>
      <w:r w:rsidR="000159A6">
        <w:rPr>
          <w:lang w:eastAsia="ja-JP"/>
        </w:rPr>
        <w:t xml:space="preserve"> </w:t>
      </w:r>
      <w:r>
        <w:rPr>
          <w:lang w:eastAsia="ja-JP"/>
        </w:rPr>
        <w:t>ZOSTER</w:t>
      </w:r>
      <w:r w:rsidRPr="00F759DA">
        <w:rPr>
          <w:lang w:eastAsia="ja-JP"/>
        </w:rPr>
        <w:t>-003</w:t>
      </w:r>
      <w:r w:rsidR="000159A6">
        <w:rPr>
          <w:lang w:eastAsia="ja-JP"/>
        </w:rPr>
        <w:t xml:space="preserve"> </w:t>
      </w:r>
      <w:r w:rsidRPr="00F759DA">
        <w:rPr>
          <w:lang w:eastAsia="ja-JP"/>
        </w:rPr>
        <w:t>also</w:t>
      </w:r>
      <w:r w:rsidR="000159A6">
        <w:rPr>
          <w:lang w:eastAsia="ja-JP"/>
        </w:rPr>
        <w:t xml:space="preserve"> </w:t>
      </w:r>
      <w:r w:rsidRPr="00F759DA">
        <w:rPr>
          <w:lang w:eastAsia="ja-JP"/>
        </w:rPr>
        <w:t>assessed</w:t>
      </w:r>
      <w:r w:rsidR="000159A6">
        <w:rPr>
          <w:lang w:eastAsia="ja-JP"/>
        </w:rPr>
        <w:t xml:space="preserve"> </w:t>
      </w:r>
      <w:r>
        <w:rPr>
          <w:lang w:eastAsia="ja-JP"/>
        </w:rPr>
        <w:t>immunogenicity</w:t>
      </w:r>
      <w:r w:rsidR="000159A6">
        <w:rPr>
          <w:lang w:eastAsia="ja-JP"/>
        </w:rPr>
        <w:t xml:space="preserve"> </w:t>
      </w:r>
      <w:r>
        <w:rPr>
          <w:lang w:eastAsia="ja-JP"/>
        </w:rPr>
        <w:t>responses</w:t>
      </w:r>
      <w:r w:rsidR="000159A6">
        <w:rPr>
          <w:lang w:eastAsia="ja-JP"/>
        </w:rPr>
        <w:t xml:space="preserve"> </w:t>
      </w:r>
      <w:r>
        <w:rPr>
          <w:lang w:eastAsia="ja-JP"/>
        </w:rPr>
        <w:t>after</w:t>
      </w:r>
      <w:r w:rsidR="000159A6">
        <w:rPr>
          <w:lang w:eastAsia="ja-JP"/>
        </w:rPr>
        <w:t xml:space="preserve"> </w:t>
      </w:r>
      <w:r>
        <w:rPr>
          <w:lang w:eastAsia="ja-JP"/>
        </w:rPr>
        <w:t>1</w:t>
      </w:r>
      <w:r w:rsidR="000159A6">
        <w:rPr>
          <w:lang w:eastAsia="ja-JP"/>
        </w:rPr>
        <w:t xml:space="preserve"> </w:t>
      </w:r>
      <w:r>
        <w:rPr>
          <w:lang w:eastAsia="ja-JP"/>
        </w:rPr>
        <w:t>and</w:t>
      </w:r>
      <w:r w:rsidR="000159A6">
        <w:rPr>
          <w:lang w:eastAsia="ja-JP"/>
        </w:rPr>
        <w:t xml:space="preserve"> </w:t>
      </w:r>
      <w:r>
        <w:rPr>
          <w:lang w:eastAsia="ja-JP"/>
        </w:rPr>
        <w:t>2</w:t>
      </w:r>
      <w:r w:rsidR="000159A6">
        <w:rPr>
          <w:lang w:eastAsia="ja-JP"/>
        </w:rPr>
        <w:t xml:space="preserve"> </w:t>
      </w:r>
      <w:r>
        <w:rPr>
          <w:lang w:eastAsia="ja-JP"/>
        </w:rPr>
        <w:t>vaccinations.</w:t>
      </w:r>
      <w:r w:rsidR="000159A6">
        <w:rPr>
          <w:lang w:eastAsia="ja-JP"/>
        </w:rPr>
        <w:t xml:space="preserve"> </w:t>
      </w:r>
      <w:r>
        <w:rPr>
          <w:lang w:eastAsia="ja-JP"/>
        </w:rPr>
        <w:t>The</w:t>
      </w:r>
      <w:r w:rsidR="000159A6">
        <w:rPr>
          <w:lang w:eastAsia="ja-JP"/>
        </w:rPr>
        <w:t xml:space="preserve"> </w:t>
      </w:r>
      <w:r>
        <w:rPr>
          <w:lang w:eastAsia="ja-JP"/>
        </w:rPr>
        <w:t>CD4</w:t>
      </w:r>
      <w:r w:rsidR="000159A6">
        <w:rPr>
          <w:lang w:eastAsia="ja-JP"/>
        </w:rPr>
        <w:t xml:space="preserve"> </w:t>
      </w:r>
      <w:r>
        <w:rPr>
          <w:lang w:eastAsia="ja-JP"/>
        </w:rPr>
        <w:t>T</w:t>
      </w:r>
      <w:r w:rsidR="000159A6">
        <w:rPr>
          <w:lang w:eastAsia="ja-JP"/>
        </w:rPr>
        <w:t xml:space="preserve"> </w:t>
      </w:r>
      <w:r>
        <w:rPr>
          <w:lang w:eastAsia="ja-JP"/>
        </w:rPr>
        <w:t>cell</w:t>
      </w:r>
      <w:r w:rsidR="000159A6">
        <w:rPr>
          <w:lang w:eastAsia="ja-JP"/>
        </w:rPr>
        <w:t xml:space="preserve"> </w:t>
      </w:r>
      <w:r>
        <w:rPr>
          <w:lang w:eastAsia="ja-JP"/>
        </w:rPr>
        <w:t>response</w:t>
      </w:r>
      <w:r w:rsidR="000159A6">
        <w:rPr>
          <w:lang w:eastAsia="ja-JP"/>
        </w:rPr>
        <w:t xml:space="preserve"> </w:t>
      </w:r>
      <w:r>
        <w:rPr>
          <w:lang w:eastAsia="ja-JP"/>
        </w:rPr>
        <w:t>after</w:t>
      </w:r>
      <w:r w:rsidR="000159A6">
        <w:rPr>
          <w:lang w:eastAsia="ja-JP"/>
        </w:rPr>
        <w:t xml:space="preserve"> </w:t>
      </w:r>
      <w:r>
        <w:rPr>
          <w:lang w:eastAsia="ja-JP"/>
        </w:rPr>
        <w:t>the</w:t>
      </w:r>
      <w:r w:rsidR="000159A6">
        <w:rPr>
          <w:lang w:eastAsia="ja-JP"/>
        </w:rPr>
        <w:t xml:space="preserve"> </w:t>
      </w:r>
      <w:r>
        <w:rPr>
          <w:lang w:eastAsia="ja-JP"/>
        </w:rPr>
        <w:t>first</w:t>
      </w:r>
      <w:r w:rsidR="000159A6">
        <w:rPr>
          <w:lang w:eastAsia="ja-JP"/>
        </w:rPr>
        <w:t xml:space="preserve"> </w:t>
      </w:r>
      <w:r>
        <w:rPr>
          <w:lang w:eastAsia="ja-JP"/>
        </w:rPr>
        <w:t>dose</w:t>
      </w:r>
      <w:r w:rsidR="000159A6">
        <w:rPr>
          <w:lang w:eastAsia="ja-JP"/>
        </w:rPr>
        <w:t xml:space="preserve"> </w:t>
      </w:r>
      <w:r>
        <w:rPr>
          <w:lang w:eastAsia="ja-JP"/>
        </w:rPr>
        <w:t>increased</w:t>
      </w:r>
      <w:r w:rsidR="000159A6">
        <w:rPr>
          <w:lang w:eastAsia="ja-JP"/>
        </w:rPr>
        <w:t xml:space="preserve"> </w:t>
      </w:r>
      <w:r>
        <w:rPr>
          <w:lang w:eastAsia="ja-JP"/>
        </w:rPr>
        <w:t>2.4</w:t>
      </w:r>
      <w:r w:rsidR="000159A6">
        <w:rPr>
          <w:lang w:eastAsia="ja-JP"/>
        </w:rPr>
        <w:t xml:space="preserve"> </w:t>
      </w:r>
      <w:r>
        <w:rPr>
          <w:lang w:eastAsia="ja-JP"/>
        </w:rPr>
        <w:t>to</w:t>
      </w:r>
      <w:r w:rsidR="000159A6">
        <w:rPr>
          <w:lang w:eastAsia="ja-JP"/>
        </w:rPr>
        <w:t xml:space="preserve"> </w:t>
      </w:r>
      <w:r>
        <w:rPr>
          <w:lang w:eastAsia="ja-JP"/>
        </w:rPr>
        <w:t>3.1</w:t>
      </w:r>
      <w:r w:rsidR="000159A6">
        <w:rPr>
          <w:lang w:eastAsia="ja-JP"/>
        </w:rPr>
        <w:t xml:space="preserve"> </w:t>
      </w:r>
      <w:r>
        <w:rPr>
          <w:lang w:eastAsia="ja-JP"/>
        </w:rPr>
        <w:t>fold</w:t>
      </w:r>
      <w:r w:rsidR="000159A6">
        <w:rPr>
          <w:lang w:eastAsia="ja-JP"/>
        </w:rPr>
        <w:t xml:space="preserve"> </w:t>
      </w:r>
      <w:r>
        <w:rPr>
          <w:lang w:eastAsia="ja-JP"/>
        </w:rPr>
        <w:t>compared</w:t>
      </w:r>
      <w:r w:rsidR="000159A6">
        <w:rPr>
          <w:lang w:eastAsia="ja-JP"/>
        </w:rPr>
        <w:t xml:space="preserve"> </w:t>
      </w:r>
      <w:r>
        <w:rPr>
          <w:lang w:eastAsia="ja-JP"/>
        </w:rPr>
        <w:t>to</w:t>
      </w:r>
      <w:r w:rsidR="000159A6">
        <w:rPr>
          <w:lang w:eastAsia="ja-JP"/>
        </w:rPr>
        <w:t xml:space="preserve"> </w:t>
      </w:r>
      <w:r>
        <w:rPr>
          <w:lang w:eastAsia="ja-JP"/>
        </w:rPr>
        <w:t>pre-vaccination</w:t>
      </w:r>
      <w:r w:rsidR="000159A6">
        <w:rPr>
          <w:lang w:eastAsia="ja-JP"/>
        </w:rPr>
        <w:t xml:space="preserve"> </w:t>
      </w:r>
      <w:r>
        <w:rPr>
          <w:lang w:eastAsia="ja-JP"/>
        </w:rPr>
        <w:t>levels</w:t>
      </w:r>
      <w:r w:rsidR="000159A6">
        <w:rPr>
          <w:lang w:eastAsia="ja-JP"/>
        </w:rPr>
        <w:t xml:space="preserve"> </w:t>
      </w:r>
      <w:r>
        <w:rPr>
          <w:lang w:eastAsia="ja-JP"/>
        </w:rPr>
        <w:t>for</w:t>
      </w:r>
      <w:r w:rsidR="000159A6">
        <w:rPr>
          <w:lang w:eastAsia="ja-JP"/>
        </w:rPr>
        <w:t xml:space="preserve"> </w:t>
      </w:r>
      <w:r>
        <w:rPr>
          <w:lang w:eastAsia="ja-JP"/>
        </w:rPr>
        <w:t>subjects</w:t>
      </w:r>
      <w:r w:rsidR="000159A6">
        <w:rPr>
          <w:lang w:eastAsia="ja-JP"/>
        </w:rPr>
        <w:t xml:space="preserve"> </w:t>
      </w:r>
      <w:r>
        <w:rPr>
          <w:lang w:eastAsia="ja-JP"/>
        </w:rPr>
        <w:t>who</w:t>
      </w:r>
      <w:r w:rsidR="000159A6">
        <w:rPr>
          <w:lang w:eastAsia="ja-JP"/>
        </w:rPr>
        <w:t xml:space="preserve"> </w:t>
      </w:r>
      <w:r>
        <w:rPr>
          <w:lang w:eastAsia="ja-JP"/>
        </w:rPr>
        <w:t>received</w:t>
      </w:r>
      <w:r w:rsidR="000159A6">
        <w:rPr>
          <w:lang w:eastAsia="ja-JP"/>
        </w:rPr>
        <w:t xml:space="preserve"> </w:t>
      </w:r>
      <w:r>
        <w:rPr>
          <w:lang w:eastAsia="ja-JP"/>
        </w:rPr>
        <w:t>25,</w:t>
      </w:r>
      <w:r w:rsidR="000159A6">
        <w:rPr>
          <w:lang w:eastAsia="ja-JP"/>
        </w:rPr>
        <w:t xml:space="preserve"> </w:t>
      </w:r>
      <w:r>
        <w:rPr>
          <w:lang w:eastAsia="ja-JP"/>
        </w:rPr>
        <w:t>50</w:t>
      </w:r>
      <w:r w:rsidR="000159A6">
        <w:rPr>
          <w:lang w:eastAsia="ja-JP"/>
        </w:rPr>
        <w:t xml:space="preserve"> </w:t>
      </w:r>
      <w:r>
        <w:rPr>
          <w:lang w:eastAsia="ja-JP"/>
        </w:rPr>
        <w:t>or</w:t>
      </w:r>
      <w:r w:rsidR="000159A6">
        <w:rPr>
          <w:lang w:eastAsia="ja-JP"/>
        </w:rPr>
        <w:t xml:space="preserve"> </w:t>
      </w:r>
      <w:r>
        <w:rPr>
          <w:lang w:eastAsia="ja-JP"/>
        </w:rPr>
        <w:t>100</w:t>
      </w:r>
      <w:r w:rsidR="000159A6">
        <w:rPr>
          <w:lang w:eastAsia="ja-JP"/>
        </w:rPr>
        <w:t xml:space="preserve"> </w:t>
      </w:r>
      <w:r w:rsidRPr="00D655CD">
        <w:rPr>
          <w:lang w:eastAsia="ja-JP"/>
        </w:rPr>
        <w:t>μg</w:t>
      </w:r>
      <w:r w:rsidR="000159A6">
        <w:rPr>
          <w:lang w:eastAsia="ja-JP"/>
        </w:rPr>
        <w:t xml:space="preserve"> </w:t>
      </w:r>
      <w:r>
        <w:rPr>
          <w:lang w:eastAsia="ja-JP"/>
        </w:rPr>
        <w:t>gE/</w:t>
      </w:r>
      <w:r w:rsidR="00503D1B">
        <w:t>AS01</w:t>
      </w:r>
      <w:r w:rsidR="00503D1B" w:rsidRPr="00570F2D">
        <w:rPr>
          <w:vertAlign w:val="subscript"/>
        </w:rPr>
        <w:t>B</w:t>
      </w:r>
      <w:r w:rsidR="000159A6">
        <w:rPr>
          <w:lang w:eastAsia="ja-JP"/>
        </w:rPr>
        <w:t xml:space="preserve"> </w:t>
      </w:r>
      <w:r>
        <w:rPr>
          <w:lang w:eastAsia="ja-JP"/>
        </w:rPr>
        <w:t>vaccine</w:t>
      </w:r>
      <w:r w:rsidR="000159A6">
        <w:rPr>
          <w:lang w:eastAsia="ja-JP"/>
        </w:rPr>
        <w:t xml:space="preserve"> </w:t>
      </w:r>
      <w:r>
        <w:rPr>
          <w:lang w:eastAsia="ja-JP"/>
        </w:rPr>
        <w:t>and</w:t>
      </w:r>
      <w:r w:rsidR="000159A6">
        <w:rPr>
          <w:lang w:eastAsia="ja-JP"/>
        </w:rPr>
        <w:t xml:space="preserve"> </w:t>
      </w:r>
      <w:r>
        <w:rPr>
          <w:lang w:eastAsia="ja-JP"/>
        </w:rPr>
        <w:t>following</w:t>
      </w:r>
      <w:r w:rsidR="000159A6">
        <w:rPr>
          <w:lang w:eastAsia="ja-JP"/>
        </w:rPr>
        <w:t xml:space="preserve"> </w:t>
      </w:r>
      <w:r>
        <w:rPr>
          <w:lang w:eastAsia="ja-JP"/>
        </w:rPr>
        <w:t>the</w:t>
      </w:r>
      <w:r w:rsidR="000159A6">
        <w:rPr>
          <w:lang w:eastAsia="ja-JP"/>
        </w:rPr>
        <w:t xml:space="preserve"> </w:t>
      </w:r>
      <w:r>
        <w:rPr>
          <w:lang w:eastAsia="ja-JP"/>
        </w:rPr>
        <w:t>second</w:t>
      </w:r>
      <w:r w:rsidR="000159A6">
        <w:rPr>
          <w:lang w:eastAsia="ja-JP"/>
        </w:rPr>
        <w:t xml:space="preserve"> </w:t>
      </w:r>
      <w:r>
        <w:rPr>
          <w:lang w:eastAsia="ja-JP"/>
        </w:rPr>
        <w:t>vaccination</w:t>
      </w:r>
      <w:r w:rsidR="000159A6">
        <w:rPr>
          <w:lang w:eastAsia="ja-JP"/>
        </w:rPr>
        <w:t xml:space="preserve"> </w:t>
      </w:r>
      <w:r>
        <w:rPr>
          <w:lang w:eastAsia="ja-JP"/>
        </w:rPr>
        <w:t>at</w:t>
      </w:r>
      <w:r w:rsidR="000159A6">
        <w:rPr>
          <w:lang w:eastAsia="ja-JP"/>
        </w:rPr>
        <w:t xml:space="preserve"> </w:t>
      </w:r>
      <w:r>
        <w:rPr>
          <w:lang w:eastAsia="ja-JP"/>
        </w:rPr>
        <w:t>Month</w:t>
      </w:r>
      <w:r w:rsidR="000159A6">
        <w:rPr>
          <w:lang w:eastAsia="ja-JP"/>
        </w:rPr>
        <w:t xml:space="preserve"> </w:t>
      </w:r>
      <w:r>
        <w:rPr>
          <w:lang w:eastAsia="ja-JP"/>
        </w:rPr>
        <w:t>3</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a</w:t>
      </w:r>
      <w:r w:rsidR="000159A6">
        <w:rPr>
          <w:lang w:eastAsia="ja-JP"/>
        </w:rPr>
        <w:t xml:space="preserve"> </w:t>
      </w:r>
      <w:r>
        <w:rPr>
          <w:lang w:eastAsia="ja-JP"/>
        </w:rPr>
        <w:t>further</w:t>
      </w:r>
      <w:r w:rsidR="000159A6">
        <w:rPr>
          <w:lang w:eastAsia="ja-JP"/>
        </w:rPr>
        <w:t xml:space="preserve"> </w:t>
      </w:r>
      <w:r>
        <w:rPr>
          <w:lang w:eastAsia="ja-JP"/>
        </w:rPr>
        <w:t>3.5</w:t>
      </w:r>
      <w:r w:rsidR="000159A6">
        <w:rPr>
          <w:lang w:eastAsia="ja-JP"/>
        </w:rPr>
        <w:t xml:space="preserve"> </w:t>
      </w:r>
      <w:r>
        <w:rPr>
          <w:lang w:eastAsia="ja-JP"/>
        </w:rPr>
        <w:t>to</w:t>
      </w:r>
      <w:r w:rsidR="000159A6">
        <w:rPr>
          <w:lang w:eastAsia="ja-JP"/>
        </w:rPr>
        <w:t xml:space="preserve"> </w:t>
      </w:r>
      <w:r>
        <w:rPr>
          <w:lang w:eastAsia="ja-JP"/>
        </w:rPr>
        <w:t>4.8</w:t>
      </w:r>
      <w:r w:rsidR="000159A6">
        <w:rPr>
          <w:lang w:eastAsia="ja-JP"/>
        </w:rPr>
        <w:t xml:space="preserve"> </w:t>
      </w:r>
      <w:r>
        <w:rPr>
          <w:lang w:eastAsia="ja-JP"/>
        </w:rPr>
        <w:t>fold</w:t>
      </w:r>
      <w:r w:rsidR="000159A6">
        <w:rPr>
          <w:lang w:eastAsia="ja-JP"/>
        </w:rPr>
        <w:t xml:space="preserve"> </w:t>
      </w:r>
      <w:r>
        <w:rPr>
          <w:lang w:eastAsia="ja-JP"/>
        </w:rPr>
        <w:t>increase.</w:t>
      </w:r>
      <w:r w:rsidR="000159A6">
        <w:rPr>
          <w:lang w:eastAsia="ja-JP"/>
        </w:rPr>
        <w:t xml:space="preserve"> </w:t>
      </w:r>
      <w:r>
        <w:rPr>
          <w:lang w:eastAsia="ja-JP"/>
        </w:rPr>
        <w:t>When</w:t>
      </w:r>
      <w:r w:rsidR="000159A6">
        <w:rPr>
          <w:lang w:eastAsia="ja-JP"/>
        </w:rPr>
        <w:t xml:space="preserve"> </w:t>
      </w:r>
      <w:r>
        <w:rPr>
          <w:lang w:eastAsia="ja-JP"/>
        </w:rPr>
        <w:t>comparing</w:t>
      </w:r>
      <w:r w:rsidR="000159A6">
        <w:rPr>
          <w:lang w:eastAsia="ja-JP"/>
        </w:rPr>
        <w:t xml:space="preserve"> </w:t>
      </w:r>
      <w:r>
        <w:rPr>
          <w:lang w:eastAsia="ja-JP"/>
        </w:rPr>
        <w:t>one</w:t>
      </w:r>
      <w:r w:rsidR="000159A6">
        <w:rPr>
          <w:lang w:eastAsia="ja-JP"/>
        </w:rPr>
        <w:t xml:space="preserve"> </w:t>
      </w:r>
      <w:r>
        <w:rPr>
          <w:lang w:eastAsia="ja-JP"/>
        </w:rPr>
        <w:t>to</w:t>
      </w:r>
      <w:r w:rsidR="000159A6">
        <w:rPr>
          <w:lang w:eastAsia="ja-JP"/>
        </w:rPr>
        <w:t xml:space="preserve"> </w:t>
      </w:r>
      <w:r>
        <w:rPr>
          <w:lang w:eastAsia="ja-JP"/>
        </w:rPr>
        <w:t>two</w:t>
      </w:r>
      <w:r w:rsidR="000159A6">
        <w:rPr>
          <w:lang w:eastAsia="ja-JP"/>
        </w:rPr>
        <w:t xml:space="preserve"> </w:t>
      </w:r>
      <w:r>
        <w:rPr>
          <w:lang w:eastAsia="ja-JP"/>
        </w:rPr>
        <w:t>doses</w:t>
      </w:r>
      <w:r w:rsidR="000159A6">
        <w:rPr>
          <w:lang w:eastAsia="ja-JP"/>
        </w:rPr>
        <w:t xml:space="preserve"> </w:t>
      </w:r>
      <w:r>
        <w:rPr>
          <w:lang w:eastAsia="ja-JP"/>
        </w:rPr>
        <w:t>of</w:t>
      </w:r>
      <w:r w:rsidR="000159A6">
        <w:rPr>
          <w:lang w:eastAsia="ja-JP"/>
        </w:rPr>
        <w:t xml:space="preserve"> </w:t>
      </w:r>
      <w:r>
        <w:rPr>
          <w:lang w:eastAsia="ja-JP"/>
        </w:rPr>
        <w:t>100</w:t>
      </w:r>
      <w:r w:rsidR="000159A6">
        <w:rPr>
          <w:lang w:eastAsia="ja-JP"/>
        </w:rPr>
        <w:t xml:space="preserve"> </w:t>
      </w:r>
      <w:r w:rsidR="003C27E6">
        <w:rPr>
          <w:lang w:eastAsia="ja-JP"/>
        </w:rPr>
        <w:t>µ</w:t>
      </w:r>
      <w:r w:rsidRPr="00D655CD">
        <w:rPr>
          <w:lang w:eastAsia="ja-JP"/>
        </w:rPr>
        <w:t>g</w:t>
      </w:r>
      <w:r w:rsidR="000159A6">
        <w:rPr>
          <w:lang w:eastAsia="ja-JP"/>
        </w:rPr>
        <w:t xml:space="preserve"> </w:t>
      </w:r>
      <w:r>
        <w:rPr>
          <w:lang w:eastAsia="ja-JP"/>
        </w:rPr>
        <w:t>gE/</w:t>
      </w:r>
      <w:r w:rsidR="00503D1B">
        <w:t>AS01</w:t>
      </w:r>
      <w:r w:rsidR="00503D1B" w:rsidRPr="00570F2D">
        <w:rPr>
          <w:vertAlign w:val="subscript"/>
        </w:rPr>
        <w:t>B</w:t>
      </w:r>
      <w:r>
        <w:rPr>
          <w:lang w:eastAsia="ja-JP"/>
        </w:rPr>
        <w:t>,</w:t>
      </w:r>
      <w:r w:rsidR="000159A6">
        <w:rPr>
          <w:lang w:eastAsia="ja-JP"/>
        </w:rPr>
        <w:t xml:space="preserve"> </w:t>
      </w:r>
      <w:r>
        <w:rPr>
          <w:lang w:eastAsia="ja-JP"/>
        </w:rPr>
        <w:t>it</w:t>
      </w:r>
      <w:r w:rsidR="000159A6">
        <w:rPr>
          <w:lang w:eastAsia="ja-JP"/>
        </w:rPr>
        <w:t xml:space="preserve"> </w:t>
      </w:r>
      <w:r>
        <w:rPr>
          <w:lang w:eastAsia="ja-JP"/>
        </w:rPr>
        <w:t>was</w:t>
      </w:r>
      <w:r w:rsidR="000159A6">
        <w:rPr>
          <w:lang w:eastAsia="ja-JP"/>
        </w:rPr>
        <w:t xml:space="preserve"> </w:t>
      </w:r>
      <w:r>
        <w:rPr>
          <w:lang w:eastAsia="ja-JP"/>
        </w:rPr>
        <w:t>found</w:t>
      </w:r>
      <w:r w:rsidR="000159A6">
        <w:rPr>
          <w:lang w:eastAsia="ja-JP"/>
        </w:rPr>
        <w:t xml:space="preserve"> </w:t>
      </w:r>
      <w:r w:rsidRPr="000D0435">
        <w:rPr>
          <w:lang w:eastAsia="ja-JP"/>
        </w:rPr>
        <w:t>that</w:t>
      </w:r>
      <w:r w:rsidR="000159A6">
        <w:rPr>
          <w:lang w:eastAsia="ja-JP"/>
        </w:rPr>
        <w:t xml:space="preserve"> </w:t>
      </w:r>
      <w:r w:rsidRPr="000D0435">
        <w:rPr>
          <w:lang w:eastAsia="ja-JP"/>
        </w:rPr>
        <w:t>the</w:t>
      </w:r>
      <w:r w:rsidR="000159A6">
        <w:rPr>
          <w:lang w:eastAsia="ja-JP"/>
        </w:rPr>
        <w:t xml:space="preserve"> </w:t>
      </w:r>
      <w:r w:rsidRPr="000D0435">
        <w:rPr>
          <w:lang w:eastAsia="ja-JP"/>
        </w:rPr>
        <w:t>CMI</w:t>
      </w:r>
      <w:r w:rsidR="000159A6">
        <w:rPr>
          <w:lang w:eastAsia="ja-JP"/>
        </w:rPr>
        <w:t xml:space="preserve"> </w:t>
      </w:r>
      <w:r>
        <w:rPr>
          <w:lang w:eastAsia="ja-JP"/>
        </w:rPr>
        <w:t>response</w:t>
      </w:r>
      <w:r w:rsidR="000159A6">
        <w:rPr>
          <w:lang w:eastAsia="ja-JP"/>
        </w:rPr>
        <w:t xml:space="preserve"> </w:t>
      </w:r>
      <w:r>
        <w:rPr>
          <w:lang w:eastAsia="ja-JP"/>
        </w:rPr>
        <w:t>(median</w:t>
      </w:r>
      <w:r w:rsidR="000159A6">
        <w:rPr>
          <w:lang w:eastAsia="ja-JP"/>
        </w:rPr>
        <w:t xml:space="preserve"> </w:t>
      </w:r>
      <w:r>
        <w:rPr>
          <w:lang w:eastAsia="ja-JP"/>
        </w:rPr>
        <w:t>frequency</w:t>
      </w:r>
      <w:r w:rsidR="000159A6">
        <w:rPr>
          <w:lang w:eastAsia="ja-JP"/>
        </w:rPr>
        <w:t xml:space="preserve"> </w:t>
      </w:r>
      <w:r>
        <w:rPr>
          <w:lang w:eastAsia="ja-JP"/>
        </w:rPr>
        <w:t>of</w:t>
      </w:r>
      <w:r w:rsidR="000159A6">
        <w:rPr>
          <w:lang w:eastAsia="ja-JP"/>
        </w:rPr>
        <w:t xml:space="preserve"> </w:t>
      </w:r>
      <w:r>
        <w:rPr>
          <w:lang w:eastAsia="ja-JP"/>
        </w:rPr>
        <w:t>gE-specific</w:t>
      </w:r>
      <w:r w:rsidR="000159A6">
        <w:rPr>
          <w:lang w:eastAsia="ja-JP"/>
        </w:rPr>
        <w:t xml:space="preserve"> </w:t>
      </w:r>
      <w:proofErr w:type="gramStart"/>
      <w:r>
        <w:rPr>
          <w:lang w:eastAsia="ja-JP"/>
        </w:rPr>
        <w:t>CD4</w:t>
      </w:r>
      <w:r w:rsidR="004715B4">
        <w:rPr>
          <w:lang w:eastAsia="ja-JP"/>
        </w:rPr>
        <w:t>(</w:t>
      </w:r>
      <w:proofErr w:type="gramEnd"/>
      <w:r>
        <w:rPr>
          <w:lang w:eastAsia="ja-JP"/>
        </w:rPr>
        <w:t>2</w:t>
      </w:r>
      <w:r w:rsidR="000E6841">
        <w:t>+</w:t>
      </w:r>
      <w:r w:rsidR="004715B4">
        <w:rPr>
          <w:lang w:eastAsia="ja-JP"/>
        </w:rPr>
        <w:t>)</w:t>
      </w:r>
      <w:r w:rsidR="000159A6">
        <w:rPr>
          <w:lang w:eastAsia="ja-JP"/>
        </w:rPr>
        <w:t xml:space="preserve"> </w:t>
      </w:r>
      <w:r>
        <w:rPr>
          <w:lang w:eastAsia="ja-JP"/>
        </w:rPr>
        <w:t>T</w:t>
      </w:r>
      <w:r w:rsidR="000159A6">
        <w:rPr>
          <w:lang w:eastAsia="ja-JP"/>
        </w:rPr>
        <w:t xml:space="preserve"> </w:t>
      </w:r>
      <w:r>
        <w:rPr>
          <w:lang w:eastAsia="ja-JP"/>
        </w:rPr>
        <w:t>cells)</w:t>
      </w:r>
      <w:r w:rsidR="000159A6">
        <w:rPr>
          <w:lang w:eastAsia="ja-JP"/>
        </w:rPr>
        <w:t xml:space="preserve"> </w:t>
      </w:r>
      <w:r>
        <w:rPr>
          <w:lang w:eastAsia="ja-JP"/>
        </w:rPr>
        <w:t>was</w:t>
      </w:r>
      <w:r w:rsidR="000159A6">
        <w:rPr>
          <w:lang w:eastAsia="ja-JP"/>
        </w:rPr>
        <w:t xml:space="preserve"> </w:t>
      </w:r>
      <w:r w:rsidRPr="00E24EAC">
        <w:rPr>
          <w:lang w:eastAsia="ja-JP"/>
        </w:rPr>
        <w:t>greater</w:t>
      </w:r>
      <w:r w:rsidR="000159A6">
        <w:rPr>
          <w:lang w:eastAsia="ja-JP"/>
        </w:rPr>
        <w:t xml:space="preserve"> </w:t>
      </w:r>
      <w:r>
        <w:rPr>
          <w:lang w:eastAsia="ja-JP"/>
        </w:rPr>
        <w:t>with</w:t>
      </w:r>
      <w:r w:rsidR="000159A6">
        <w:rPr>
          <w:lang w:eastAsia="ja-JP"/>
        </w:rPr>
        <w:t xml:space="preserve"> </w:t>
      </w:r>
      <w:r>
        <w:rPr>
          <w:lang w:eastAsia="ja-JP"/>
        </w:rPr>
        <w:t>two</w:t>
      </w:r>
      <w:r w:rsidR="000159A6">
        <w:rPr>
          <w:lang w:eastAsia="ja-JP"/>
        </w:rPr>
        <w:t xml:space="preserve"> </w:t>
      </w:r>
      <w:r>
        <w:rPr>
          <w:lang w:eastAsia="ja-JP"/>
        </w:rPr>
        <w:t>doses</w:t>
      </w:r>
      <w:r w:rsidR="000159A6">
        <w:rPr>
          <w:lang w:eastAsia="ja-JP"/>
        </w:rPr>
        <w:t xml:space="preserve"> </w:t>
      </w:r>
      <w:r>
        <w:rPr>
          <w:lang w:eastAsia="ja-JP"/>
        </w:rPr>
        <w:t>in</w:t>
      </w:r>
      <w:r w:rsidR="000159A6">
        <w:rPr>
          <w:lang w:eastAsia="ja-JP"/>
        </w:rPr>
        <w:t xml:space="preserve"> </w:t>
      </w:r>
      <w:r>
        <w:rPr>
          <w:lang w:eastAsia="ja-JP"/>
        </w:rPr>
        <w:t>both</w:t>
      </w:r>
      <w:r w:rsidR="000159A6">
        <w:rPr>
          <w:lang w:eastAsia="ja-JP"/>
        </w:rPr>
        <w:t xml:space="preserve"> </w:t>
      </w:r>
      <w:r>
        <w:rPr>
          <w:lang w:eastAsia="ja-JP"/>
        </w:rPr>
        <w:t>the</w:t>
      </w:r>
      <w:r w:rsidR="000159A6">
        <w:rPr>
          <w:lang w:eastAsia="ja-JP"/>
        </w:rPr>
        <w:t xml:space="preserve"> </w:t>
      </w:r>
      <w:r>
        <w:rPr>
          <w:lang w:eastAsia="ja-JP"/>
        </w:rPr>
        <w:t>60</w:t>
      </w:r>
      <w:r w:rsidR="000159A6">
        <w:rPr>
          <w:lang w:eastAsia="ja-JP"/>
        </w:rPr>
        <w:t xml:space="preserve"> </w:t>
      </w:r>
      <w:r>
        <w:rPr>
          <w:lang w:eastAsia="ja-JP"/>
        </w:rPr>
        <w:t>to</w:t>
      </w:r>
      <w:r w:rsidR="000159A6">
        <w:rPr>
          <w:lang w:eastAsia="ja-JP"/>
        </w:rPr>
        <w:t xml:space="preserve"> </w:t>
      </w:r>
      <w:r>
        <w:rPr>
          <w:lang w:eastAsia="ja-JP"/>
        </w:rPr>
        <w:t>69</w:t>
      </w:r>
      <w:r w:rsidR="000159A6">
        <w:rPr>
          <w:lang w:eastAsia="ja-JP"/>
        </w:rPr>
        <w:t xml:space="preserve"> </w:t>
      </w:r>
      <w:r>
        <w:rPr>
          <w:lang w:eastAsia="ja-JP"/>
        </w:rPr>
        <w:t>and</w:t>
      </w:r>
      <w:r w:rsidR="000159A6">
        <w:rPr>
          <w:lang w:eastAsia="ja-JP"/>
        </w:rPr>
        <w:t xml:space="preserve"> </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year</w:t>
      </w:r>
      <w:r w:rsidR="000159A6">
        <w:rPr>
          <w:lang w:eastAsia="ja-JP"/>
        </w:rPr>
        <w:t xml:space="preserve"> </w:t>
      </w:r>
      <w:r>
        <w:rPr>
          <w:lang w:eastAsia="ja-JP"/>
        </w:rPr>
        <w:t>old</w:t>
      </w:r>
      <w:r w:rsidR="000159A6">
        <w:rPr>
          <w:lang w:eastAsia="ja-JP"/>
        </w:rPr>
        <w:t xml:space="preserve"> </w:t>
      </w:r>
      <w:r>
        <w:rPr>
          <w:lang w:eastAsia="ja-JP"/>
        </w:rPr>
        <w:t>age</w:t>
      </w:r>
      <w:r w:rsidR="000159A6">
        <w:rPr>
          <w:lang w:eastAsia="ja-JP"/>
        </w:rPr>
        <w:t xml:space="preserve"> </w:t>
      </w:r>
      <w:r>
        <w:rPr>
          <w:lang w:eastAsia="ja-JP"/>
        </w:rPr>
        <w:t>groups.</w:t>
      </w:r>
      <w:r w:rsidR="000159A6">
        <w:rPr>
          <w:lang w:eastAsia="ja-JP"/>
        </w:rPr>
        <w:t xml:space="preserve"> </w:t>
      </w:r>
      <w:r>
        <w:rPr>
          <w:lang w:eastAsia="ja-JP"/>
        </w:rPr>
        <w:t>Humoral</w:t>
      </w:r>
      <w:r w:rsidR="000159A6">
        <w:rPr>
          <w:lang w:eastAsia="ja-JP"/>
        </w:rPr>
        <w:t xml:space="preserve"> </w:t>
      </w:r>
      <w:r>
        <w:rPr>
          <w:lang w:eastAsia="ja-JP"/>
        </w:rPr>
        <w:t>immune</w:t>
      </w:r>
      <w:r w:rsidR="000159A6">
        <w:rPr>
          <w:lang w:eastAsia="ja-JP"/>
        </w:rPr>
        <w:t xml:space="preserve"> </w:t>
      </w:r>
      <w:r>
        <w:rPr>
          <w:lang w:eastAsia="ja-JP"/>
        </w:rPr>
        <w:t>response</w:t>
      </w:r>
      <w:r w:rsidR="000159A6">
        <w:rPr>
          <w:lang w:eastAsia="ja-JP"/>
        </w:rPr>
        <w:t xml:space="preserve"> </w:t>
      </w:r>
      <w:r>
        <w:rPr>
          <w:lang w:eastAsia="ja-JP"/>
        </w:rPr>
        <w:t>was</w:t>
      </w:r>
      <w:r w:rsidR="000159A6">
        <w:rPr>
          <w:lang w:eastAsia="ja-JP"/>
        </w:rPr>
        <w:t xml:space="preserve"> </w:t>
      </w:r>
      <w:r>
        <w:rPr>
          <w:lang w:eastAsia="ja-JP"/>
        </w:rPr>
        <w:t>also</w:t>
      </w:r>
      <w:r w:rsidR="000159A6">
        <w:rPr>
          <w:lang w:eastAsia="ja-JP"/>
        </w:rPr>
        <w:t xml:space="preserve"> </w:t>
      </w:r>
      <w:r>
        <w:rPr>
          <w:lang w:eastAsia="ja-JP"/>
        </w:rPr>
        <w:t>notably</w:t>
      </w:r>
      <w:r w:rsidR="000159A6">
        <w:rPr>
          <w:lang w:eastAsia="ja-JP"/>
        </w:rPr>
        <w:t xml:space="preserve"> </w:t>
      </w:r>
      <w:r>
        <w:rPr>
          <w:lang w:eastAsia="ja-JP"/>
        </w:rPr>
        <w:t>greater</w:t>
      </w:r>
      <w:r w:rsidR="000159A6">
        <w:rPr>
          <w:lang w:eastAsia="ja-JP"/>
        </w:rPr>
        <w:t xml:space="preserve"> </w:t>
      </w:r>
      <w:r>
        <w:rPr>
          <w:lang w:eastAsia="ja-JP"/>
        </w:rPr>
        <w:t>with</w:t>
      </w:r>
      <w:r w:rsidR="000159A6">
        <w:rPr>
          <w:lang w:eastAsia="ja-JP"/>
        </w:rPr>
        <w:t xml:space="preserve"> </w:t>
      </w:r>
      <w:r>
        <w:rPr>
          <w:lang w:eastAsia="ja-JP"/>
        </w:rPr>
        <w:t>two</w:t>
      </w:r>
      <w:r w:rsidR="000159A6">
        <w:rPr>
          <w:lang w:eastAsia="ja-JP"/>
        </w:rPr>
        <w:t xml:space="preserve"> </w:t>
      </w:r>
      <w:r>
        <w:rPr>
          <w:lang w:eastAsia="ja-JP"/>
        </w:rPr>
        <w:t>doses.</w:t>
      </w:r>
    </w:p>
    <w:p w14:paraId="151D4B38" w14:textId="5BAE4901" w:rsidR="001F6DEC" w:rsidRDefault="001F6DEC" w:rsidP="00A97634">
      <w:pPr>
        <w:rPr>
          <w:rFonts w:eastAsia="TimesNewRoman" w:cs="TimesNewRoman"/>
        </w:rPr>
      </w:pPr>
      <w:r>
        <w:rPr>
          <w:lang w:eastAsia="ja-JP"/>
        </w:rPr>
        <w:t>These</w:t>
      </w:r>
      <w:r w:rsidR="000159A6">
        <w:rPr>
          <w:lang w:eastAsia="ja-JP"/>
        </w:rPr>
        <w:t xml:space="preserve"> </w:t>
      </w:r>
      <w:r>
        <w:rPr>
          <w:lang w:eastAsia="ja-JP"/>
        </w:rPr>
        <w:t>data</w:t>
      </w:r>
      <w:r w:rsidR="000159A6">
        <w:rPr>
          <w:lang w:eastAsia="ja-JP"/>
        </w:rPr>
        <w:t xml:space="preserve"> </w:t>
      </w:r>
      <w:r>
        <w:rPr>
          <w:lang w:eastAsia="ja-JP"/>
        </w:rPr>
        <w:t>were</w:t>
      </w:r>
      <w:r w:rsidR="000159A6">
        <w:rPr>
          <w:lang w:eastAsia="ja-JP"/>
        </w:rPr>
        <w:t xml:space="preserve"> </w:t>
      </w:r>
      <w:r>
        <w:rPr>
          <w:lang w:eastAsia="ja-JP"/>
        </w:rPr>
        <w:t>supported</w:t>
      </w:r>
      <w:r w:rsidR="000159A6">
        <w:rPr>
          <w:lang w:eastAsia="ja-JP"/>
        </w:rPr>
        <w:t xml:space="preserve"> </w:t>
      </w:r>
      <w:r>
        <w:rPr>
          <w:lang w:eastAsia="ja-JP"/>
        </w:rPr>
        <w:t>by</w:t>
      </w:r>
      <w:r w:rsidR="000159A6">
        <w:rPr>
          <w:lang w:eastAsia="ja-JP"/>
        </w:rPr>
        <w:t xml:space="preserve"> </w:t>
      </w:r>
      <w:r>
        <w:rPr>
          <w:lang w:eastAsia="ja-JP"/>
        </w:rPr>
        <w:t>Study</w:t>
      </w:r>
      <w:r w:rsidR="000159A6">
        <w:rPr>
          <w:lang w:eastAsia="ja-JP"/>
        </w:rPr>
        <w:t xml:space="preserve"> </w:t>
      </w:r>
      <w:r>
        <w:rPr>
          <w:lang w:eastAsia="ja-JP"/>
        </w:rPr>
        <w:t>ZOSTER</w:t>
      </w:r>
      <w:r w:rsidRPr="00F759DA">
        <w:rPr>
          <w:lang w:eastAsia="ja-JP"/>
        </w:rPr>
        <w:t>-010,</w:t>
      </w:r>
      <w:r w:rsidR="000159A6">
        <w:rPr>
          <w:lang w:eastAsia="ja-JP"/>
        </w:rPr>
        <w:t xml:space="preserve"> </w:t>
      </w:r>
      <w:r w:rsidRPr="00F759DA">
        <w:rPr>
          <w:lang w:eastAsia="ja-JP"/>
        </w:rPr>
        <w:t>where</w:t>
      </w:r>
      <w:r w:rsidR="000159A6">
        <w:rPr>
          <w:lang w:eastAsia="ja-JP"/>
        </w:rPr>
        <w:t xml:space="preserve"> </w:t>
      </w:r>
      <w:r w:rsidRPr="00F759DA">
        <w:rPr>
          <w:lang w:eastAsia="ja-JP"/>
        </w:rPr>
        <w:t>there</w:t>
      </w:r>
      <w:r w:rsidR="000159A6">
        <w:rPr>
          <w:lang w:eastAsia="ja-JP"/>
        </w:rPr>
        <w:t xml:space="preserve"> </w:t>
      </w:r>
      <w:r>
        <w:rPr>
          <w:lang w:eastAsia="ja-JP"/>
        </w:rPr>
        <w:t>was</w:t>
      </w:r>
      <w:r w:rsidR="000159A6">
        <w:rPr>
          <w:lang w:eastAsia="ja-JP"/>
        </w:rPr>
        <w:t xml:space="preserve"> </w:t>
      </w:r>
      <w:r>
        <w:rPr>
          <w:lang w:eastAsia="ja-JP"/>
        </w:rPr>
        <w:t>also</w:t>
      </w:r>
      <w:r w:rsidR="000159A6">
        <w:rPr>
          <w:lang w:eastAsia="ja-JP"/>
        </w:rPr>
        <w:t xml:space="preserve"> </w:t>
      </w:r>
      <w:r>
        <w:rPr>
          <w:lang w:eastAsia="ja-JP"/>
        </w:rPr>
        <w:t>a</w:t>
      </w:r>
      <w:r w:rsidR="000159A6">
        <w:rPr>
          <w:lang w:eastAsia="ja-JP"/>
        </w:rPr>
        <w:t xml:space="preserve"> </w:t>
      </w:r>
      <w:r>
        <w:rPr>
          <w:lang w:eastAsia="ja-JP"/>
        </w:rPr>
        <w:t>consistent</w:t>
      </w:r>
      <w:r w:rsidR="000159A6">
        <w:rPr>
          <w:lang w:eastAsia="ja-JP"/>
        </w:rPr>
        <w:t xml:space="preserve"> </w:t>
      </w:r>
      <w:r>
        <w:rPr>
          <w:lang w:eastAsia="ja-JP"/>
        </w:rPr>
        <w:t>increase</w:t>
      </w:r>
      <w:r w:rsidR="000159A6">
        <w:rPr>
          <w:lang w:eastAsia="ja-JP"/>
        </w:rPr>
        <w:t xml:space="preserve"> </w:t>
      </w:r>
      <w:r>
        <w:rPr>
          <w:lang w:eastAsia="ja-JP"/>
        </w:rPr>
        <w:t>in</w:t>
      </w:r>
      <w:r w:rsidR="000159A6">
        <w:rPr>
          <w:lang w:eastAsia="ja-JP"/>
        </w:rPr>
        <w:t xml:space="preserve"> </w:t>
      </w:r>
      <w:r>
        <w:rPr>
          <w:lang w:eastAsia="ja-JP"/>
        </w:rPr>
        <w:t>CMI</w:t>
      </w:r>
      <w:r w:rsidR="000159A6">
        <w:rPr>
          <w:lang w:eastAsia="ja-JP"/>
        </w:rPr>
        <w:t xml:space="preserve"> </w:t>
      </w:r>
      <w:r>
        <w:rPr>
          <w:lang w:eastAsia="ja-JP"/>
        </w:rPr>
        <w:t>response</w:t>
      </w:r>
      <w:r w:rsidR="000159A6">
        <w:rPr>
          <w:lang w:eastAsia="ja-JP"/>
        </w:rPr>
        <w:t xml:space="preserve"> </w:t>
      </w:r>
      <w:r>
        <w:rPr>
          <w:lang w:eastAsia="ja-JP"/>
        </w:rPr>
        <w:t>after</w:t>
      </w:r>
      <w:r w:rsidR="000159A6">
        <w:rPr>
          <w:lang w:eastAsia="ja-JP"/>
        </w:rPr>
        <w:t xml:space="preserve"> </w:t>
      </w:r>
      <w:r>
        <w:rPr>
          <w:lang w:eastAsia="ja-JP"/>
        </w:rPr>
        <w:t>the</w:t>
      </w:r>
      <w:r w:rsidR="000159A6">
        <w:rPr>
          <w:lang w:eastAsia="ja-JP"/>
        </w:rPr>
        <w:t xml:space="preserve"> </w:t>
      </w:r>
      <w:r>
        <w:rPr>
          <w:lang w:eastAsia="ja-JP"/>
        </w:rPr>
        <w:t>second</w:t>
      </w:r>
      <w:r w:rsidR="000159A6">
        <w:rPr>
          <w:lang w:eastAsia="ja-JP"/>
        </w:rPr>
        <w:t xml:space="preserve"> </w:t>
      </w:r>
      <w:r>
        <w:rPr>
          <w:lang w:eastAsia="ja-JP"/>
        </w:rPr>
        <w:t>vaccination</w:t>
      </w:r>
      <w:r w:rsidR="000159A6">
        <w:rPr>
          <w:lang w:eastAsia="ja-JP"/>
        </w:rPr>
        <w:t xml:space="preserve"> </w:t>
      </w:r>
      <w:r>
        <w:rPr>
          <w:lang w:eastAsia="ja-JP"/>
        </w:rPr>
        <w:t>of</w:t>
      </w:r>
      <w:r w:rsidR="000159A6">
        <w:rPr>
          <w:lang w:eastAsia="ja-JP"/>
        </w:rPr>
        <w:t xml:space="preserve"> </w:t>
      </w:r>
      <w:r>
        <w:rPr>
          <w:lang w:eastAsia="ja-JP"/>
        </w:rPr>
        <w:t>gE/</w:t>
      </w:r>
      <w:r w:rsidR="00503D1B">
        <w:t>AS01</w:t>
      </w:r>
      <w:r w:rsidR="00503D1B" w:rsidRPr="00570F2D">
        <w:rPr>
          <w:vertAlign w:val="subscript"/>
        </w:rPr>
        <w:t>B</w:t>
      </w:r>
      <w:r>
        <w:rPr>
          <w:lang w:eastAsia="ja-JP"/>
        </w:rPr>
        <w:t>.</w:t>
      </w:r>
      <w:r w:rsidR="000159A6">
        <w:rPr>
          <w:lang w:eastAsia="ja-JP"/>
        </w:rPr>
        <w:t xml:space="preserve"> </w:t>
      </w:r>
      <w:r>
        <w:rPr>
          <w:lang w:eastAsia="ja-JP"/>
        </w:rPr>
        <w:t>Similarly,</w:t>
      </w:r>
      <w:r w:rsidR="000159A6">
        <w:rPr>
          <w:lang w:eastAsia="ja-JP"/>
        </w:rPr>
        <w:t xml:space="preserve"> </w:t>
      </w:r>
      <w:r w:rsidRPr="00F759DA">
        <w:rPr>
          <w:lang w:eastAsia="ja-JP"/>
        </w:rPr>
        <w:t>in</w:t>
      </w:r>
      <w:r w:rsidR="000159A6">
        <w:rPr>
          <w:lang w:eastAsia="ja-JP"/>
        </w:rPr>
        <w:t xml:space="preserve"> </w:t>
      </w:r>
      <w:r w:rsidR="000D0435">
        <w:rPr>
          <w:lang w:eastAsia="ja-JP"/>
        </w:rPr>
        <w:t>Study</w:t>
      </w:r>
      <w:r w:rsidR="00CD5352">
        <w:rPr>
          <w:lang w:eastAsia="ja-JP"/>
        </w:rPr>
        <w:t> </w:t>
      </w:r>
      <w:r w:rsidRPr="00F759DA">
        <w:rPr>
          <w:rFonts w:eastAsia="TimesNewRoman,Bold" w:cs="TimesNewRoman,Bold"/>
          <w:bCs/>
        </w:rPr>
        <w:t>EXPLO</w:t>
      </w:r>
      <w:r w:rsidR="000159A6">
        <w:rPr>
          <w:rFonts w:eastAsia="TimesNewRoman,Bold" w:cs="TimesNewRoman,Bold"/>
          <w:bCs/>
        </w:rPr>
        <w:t xml:space="preserve"> </w:t>
      </w:r>
      <w:r w:rsidRPr="00F759DA">
        <w:rPr>
          <w:rFonts w:eastAsia="TimesNewRoman,Bold" w:cs="TimesNewRoman,Bold"/>
          <w:bCs/>
        </w:rPr>
        <w:t>CRD-004</w:t>
      </w:r>
      <w:r w:rsidR="000159A6">
        <w:rPr>
          <w:rFonts w:eastAsia="TimesNewRoman,Bold" w:cs="TimesNewRoman,Bold"/>
          <w:bCs/>
        </w:rPr>
        <w:t xml:space="preserve"> </w:t>
      </w:r>
      <w:r w:rsidRPr="00F759DA">
        <w:rPr>
          <w:rFonts w:eastAsia="TimesNewRoman,Bold" w:cs="TimesNewRoman,Bold"/>
          <w:bCs/>
        </w:rPr>
        <w:t>a</w:t>
      </w:r>
      <w:r w:rsidR="000159A6">
        <w:rPr>
          <w:rFonts w:eastAsia="TimesNewRoman,Bold" w:cs="TimesNewRoman,Bold"/>
          <w:bCs/>
        </w:rPr>
        <w:t xml:space="preserve"> </w:t>
      </w:r>
      <w:r w:rsidRPr="00F759DA">
        <w:t>second</w:t>
      </w:r>
      <w:r w:rsidR="000159A6">
        <w:t xml:space="preserve"> </w:t>
      </w:r>
      <w:r>
        <w:t>dose</w:t>
      </w:r>
      <w:r w:rsidR="000159A6">
        <w:t xml:space="preserve"> </w:t>
      </w:r>
      <w:r>
        <w:t>of</w:t>
      </w:r>
      <w:r w:rsidR="000159A6">
        <w:t xml:space="preserve"> </w:t>
      </w:r>
      <w:r>
        <w:t>vaccine</w:t>
      </w:r>
      <w:r w:rsidR="000159A6">
        <w:t xml:space="preserve"> </w:t>
      </w:r>
      <w:r>
        <w:t>induced</w:t>
      </w:r>
      <w:r w:rsidR="000159A6">
        <w:t xml:space="preserve"> </w:t>
      </w:r>
      <w:r>
        <w:t>better</w:t>
      </w:r>
      <w:r w:rsidR="000159A6">
        <w:t xml:space="preserve"> </w:t>
      </w:r>
      <w:r>
        <w:t>CD4</w:t>
      </w:r>
      <w:r w:rsidR="000159A6">
        <w:t xml:space="preserve"> </w:t>
      </w:r>
      <w:r>
        <w:t>T</w:t>
      </w:r>
      <w:r w:rsidR="000159A6">
        <w:t xml:space="preserve"> </w:t>
      </w:r>
      <w:r>
        <w:t>cell</w:t>
      </w:r>
      <w:r w:rsidR="000159A6">
        <w:t xml:space="preserve"> </w:t>
      </w:r>
      <w:r>
        <w:t>response</w:t>
      </w:r>
      <w:r w:rsidR="000159A6">
        <w:t xml:space="preserve"> </w:t>
      </w:r>
      <w:r>
        <w:t>and</w:t>
      </w:r>
      <w:r w:rsidR="000159A6">
        <w:t xml:space="preserve"> </w:t>
      </w:r>
      <w:r>
        <w:t>higher</w:t>
      </w:r>
      <w:r w:rsidR="000159A6">
        <w:t xml:space="preserve"> </w:t>
      </w:r>
      <w:r>
        <w:t>antibody</w:t>
      </w:r>
      <w:r w:rsidR="000159A6">
        <w:t xml:space="preserve"> </w:t>
      </w:r>
      <w:r>
        <w:t>levels</w:t>
      </w:r>
      <w:r w:rsidR="000159A6">
        <w:t xml:space="preserve"> </w:t>
      </w:r>
      <w:r>
        <w:t>than</w:t>
      </w:r>
      <w:r w:rsidR="000159A6">
        <w:t xml:space="preserve"> </w:t>
      </w:r>
      <w:r>
        <w:t>1</w:t>
      </w:r>
      <w:r w:rsidR="000159A6">
        <w:t xml:space="preserve"> </w:t>
      </w:r>
      <w:r>
        <w:t>dose</w:t>
      </w:r>
      <w:r w:rsidR="000159A6">
        <w:t xml:space="preserve"> </w:t>
      </w:r>
      <w:r>
        <w:t>of</w:t>
      </w:r>
      <w:r w:rsidR="000159A6">
        <w:t xml:space="preserve"> </w:t>
      </w:r>
      <w:r>
        <w:t>vaccine.</w:t>
      </w:r>
    </w:p>
    <w:p w14:paraId="55E91ECD" w14:textId="20128A33" w:rsidR="001F6DEC" w:rsidRPr="00C95B23" w:rsidRDefault="001F6DEC" w:rsidP="00C95B23">
      <w:pPr>
        <w:pStyle w:val="Heading5"/>
      </w:pPr>
      <w:bookmarkStart w:id="112" w:name="_Toc507577975"/>
      <w:r w:rsidRPr="00C95B23">
        <w:t>Dose</w:t>
      </w:r>
      <w:r w:rsidR="000159A6" w:rsidRPr="00C95B23">
        <w:t xml:space="preserve"> </w:t>
      </w:r>
      <w:r w:rsidRPr="00C95B23">
        <w:t>schedule</w:t>
      </w:r>
      <w:bookmarkEnd w:id="112"/>
    </w:p>
    <w:p w14:paraId="205D8496" w14:textId="4BF6DE44" w:rsidR="001F6DEC" w:rsidRPr="00C95B23" w:rsidRDefault="00525235" w:rsidP="00A97634">
      <w:pPr>
        <w:pStyle w:val="Heading6"/>
      </w:pPr>
      <w:r w:rsidRPr="00C95B23">
        <w:t>Study</w:t>
      </w:r>
      <w:r w:rsidR="000159A6" w:rsidRPr="00C95B23">
        <w:t xml:space="preserve"> </w:t>
      </w:r>
      <w:r w:rsidRPr="00A97634">
        <w:t>ZOSTER</w:t>
      </w:r>
      <w:r w:rsidR="001F6DEC" w:rsidRPr="00C95B23">
        <w:t>-026</w:t>
      </w:r>
    </w:p>
    <w:p w14:paraId="7FFFDE9D" w14:textId="20E5D25F" w:rsidR="001F6DEC" w:rsidRDefault="000D0435" w:rsidP="00A97634">
      <w:pPr>
        <w:rPr>
          <w:lang w:eastAsia="ja-JP"/>
        </w:rPr>
      </w:pPr>
      <w:r>
        <w:rPr>
          <w:lang w:eastAsia="ja-JP"/>
        </w:rPr>
        <w:t>Study</w:t>
      </w:r>
      <w:r w:rsidR="000159A6">
        <w:rPr>
          <w:lang w:eastAsia="ja-JP"/>
        </w:rPr>
        <w:t xml:space="preserve"> </w:t>
      </w:r>
      <w:r w:rsidR="001F6DEC">
        <w:rPr>
          <w:lang w:eastAsia="ja-JP"/>
        </w:rPr>
        <w:t>ZOSTER</w:t>
      </w:r>
      <w:r w:rsidR="001F6DEC" w:rsidRPr="00F759DA">
        <w:rPr>
          <w:lang w:eastAsia="ja-JP"/>
        </w:rPr>
        <w:t>-026</w:t>
      </w:r>
      <w:r w:rsidR="000159A6">
        <w:rPr>
          <w:lang w:eastAsia="ja-JP"/>
        </w:rPr>
        <w:t xml:space="preserve"> </w:t>
      </w:r>
      <w:r w:rsidR="001F6DEC">
        <w:rPr>
          <w:lang w:eastAsia="ja-JP"/>
        </w:rPr>
        <w:t>was</w:t>
      </w:r>
      <w:r w:rsidR="000159A6">
        <w:rPr>
          <w:lang w:eastAsia="ja-JP"/>
        </w:rPr>
        <w:t xml:space="preserve"> </w:t>
      </w:r>
      <w:r w:rsidR="001F6DEC">
        <w:rPr>
          <w:lang w:eastAsia="ja-JP"/>
        </w:rPr>
        <w:t>an</w:t>
      </w:r>
      <w:r w:rsidR="000159A6">
        <w:rPr>
          <w:lang w:eastAsia="ja-JP"/>
        </w:rPr>
        <w:t xml:space="preserve"> </w:t>
      </w:r>
      <w:r w:rsidR="001F6DEC">
        <w:rPr>
          <w:lang w:eastAsia="ja-JP"/>
        </w:rPr>
        <w:t>open</w:t>
      </w:r>
      <w:r w:rsidR="000159A6">
        <w:rPr>
          <w:lang w:eastAsia="ja-JP"/>
        </w:rPr>
        <w:t xml:space="preserve"> </w:t>
      </w:r>
      <w:r w:rsidR="001F6DEC">
        <w:rPr>
          <w:lang w:eastAsia="ja-JP"/>
        </w:rPr>
        <w:t>label,</w:t>
      </w:r>
      <w:r w:rsidR="000159A6">
        <w:rPr>
          <w:lang w:eastAsia="ja-JP"/>
        </w:rPr>
        <w:t xml:space="preserve"> </w:t>
      </w:r>
      <w:r w:rsidR="001F6DEC">
        <w:rPr>
          <w:lang w:eastAsia="ja-JP"/>
        </w:rPr>
        <w:t>randomised,</w:t>
      </w:r>
      <w:r w:rsidR="000159A6">
        <w:rPr>
          <w:lang w:eastAsia="ja-JP"/>
        </w:rPr>
        <w:t xml:space="preserve"> </w:t>
      </w:r>
      <w:r w:rsidR="001F6DEC">
        <w:rPr>
          <w:lang w:eastAsia="ja-JP"/>
        </w:rPr>
        <w:t>parallel</w:t>
      </w:r>
      <w:r w:rsidR="000159A6">
        <w:rPr>
          <w:lang w:eastAsia="ja-JP"/>
        </w:rPr>
        <w:t xml:space="preserve"> </w:t>
      </w:r>
      <w:r w:rsidR="001F6DEC">
        <w:rPr>
          <w:lang w:eastAsia="ja-JP"/>
        </w:rPr>
        <w:t>group</w:t>
      </w:r>
      <w:r w:rsidR="000159A6">
        <w:rPr>
          <w:lang w:eastAsia="ja-JP"/>
        </w:rPr>
        <w:t xml:space="preserve"> </w:t>
      </w:r>
      <w:r w:rsidR="001F6DEC">
        <w:rPr>
          <w:lang w:eastAsia="ja-JP"/>
        </w:rPr>
        <w:t>immunogenicity</w:t>
      </w:r>
      <w:r w:rsidR="000159A6">
        <w:rPr>
          <w:lang w:eastAsia="ja-JP"/>
        </w:rPr>
        <w:t xml:space="preserve"> </w:t>
      </w:r>
      <w:r w:rsidR="001F6DEC">
        <w:rPr>
          <w:lang w:eastAsia="ja-JP"/>
        </w:rPr>
        <w:t>study</w:t>
      </w:r>
      <w:r w:rsidR="000159A6">
        <w:rPr>
          <w:lang w:eastAsia="ja-JP"/>
        </w:rPr>
        <w:t xml:space="preserve"> </w:t>
      </w:r>
      <w:r w:rsidR="001F6DEC">
        <w:rPr>
          <w:lang w:eastAsia="ja-JP"/>
        </w:rPr>
        <w:t>which</w:t>
      </w:r>
      <w:r w:rsidR="000159A6">
        <w:rPr>
          <w:lang w:eastAsia="ja-JP"/>
        </w:rPr>
        <w:t xml:space="preserve"> </w:t>
      </w:r>
      <w:r w:rsidR="001F6DEC">
        <w:rPr>
          <w:lang w:eastAsia="ja-JP"/>
        </w:rPr>
        <w:t>assessed</w:t>
      </w:r>
      <w:r w:rsidR="000159A6">
        <w:rPr>
          <w:lang w:eastAsia="ja-JP"/>
        </w:rPr>
        <w:t xml:space="preserve"> </w:t>
      </w:r>
      <w:r w:rsidR="001F6DEC">
        <w:rPr>
          <w:lang w:eastAsia="ja-JP"/>
        </w:rPr>
        <w:t>two</w:t>
      </w:r>
      <w:r w:rsidR="000159A6">
        <w:rPr>
          <w:lang w:eastAsia="ja-JP"/>
        </w:rPr>
        <w:t xml:space="preserve"> </w:t>
      </w:r>
      <w:r w:rsidR="001F6DEC">
        <w:rPr>
          <w:lang w:eastAsia="ja-JP"/>
        </w:rPr>
        <w:t>vaccination</w:t>
      </w:r>
      <w:r w:rsidR="000159A6">
        <w:rPr>
          <w:lang w:eastAsia="ja-JP"/>
        </w:rPr>
        <w:t xml:space="preserve"> </w:t>
      </w:r>
      <w:r w:rsidR="001F6DEC">
        <w:rPr>
          <w:lang w:eastAsia="ja-JP"/>
        </w:rPr>
        <w:t>intervals</w:t>
      </w:r>
      <w:r w:rsidR="000159A6">
        <w:rPr>
          <w:lang w:eastAsia="ja-JP"/>
        </w:rPr>
        <w:t xml:space="preserve"> </w:t>
      </w:r>
      <w:r w:rsidR="001F6DEC">
        <w:rPr>
          <w:lang w:eastAsia="ja-JP"/>
        </w:rPr>
        <w:t>longer</w:t>
      </w:r>
      <w:r w:rsidR="000159A6">
        <w:rPr>
          <w:lang w:eastAsia="ja-JP"/>
        </w:rPr>
        <w:t xml:space="preserve"> </w:t>
      </w:r>
      <w:r w:rsidR="001F6DEC">
        <w:rPr>
          <w:lang w:eastAsia="ja-JP"/>
        </w:rPr>
        <w:t>than</w:t>
      </w:r>
      <w:r w:rsidR="000159A6">
        <w:rPr>
          <w:lang w:eastAsia="ja-JP"/>
        </w:rPr>
        <w:t xml:space="preserve"> </w:t>
      </w:r>
      <w:r w:rsidR="001F6DEC">
        <w:rPr>
          <w:lang w:eastAsia="ja-JP"/>
        </w:rPr>
        <w:t>2</w:t>
      </w:r>
      <w:r w:rsidR="000159A6">
        <w:rPr>
          <w:lang w:eastAsia="ja-JP"/>
        </w:rPr>
        <w:t xml:space="preserve"> </w:t>
      </w:r>
      <w:r w:rsidR="001F6DEC">
        <w:rPr>
          <w:lang w:eastAsia="ja-JP"/>
        </w:rPr>
        <w:t>months</w:t>
      </w:r>
      <w:r w:rsidR="000159A6">
        <w:rPr>
          <w:lang w:eastAsia="ja-JP"/>
        </w:rPr>
        <w:t xml:space="preserve"> </w:t>
      </w:r>
      <w:r w:rsidR="001F6DEC">
        <w:rPr>
          <w:lang w:eastAsia="ja-JP"/>
        </w:rPr>
        <w:t>(0,</w:t>
      </w:r>
      <w:r w:rsidR="000159A6">
        <w:rPr>
          <w:lang w:eastAsia="ja-JP"/>
        </w:rPr>
        <w:t xml:space="preserve"> </w:t>
      </w:r>
      <w:r w:rsidR="001F6DEC">
        <w:rPr>
          <w:lang w:eastAsia="ja-JP"/>
        </w:rPr>
        <w:t>6</w:t>
      </w:r>
      <w:r w:rsidR="000159A6">
        <w:rPr>
          <w:lang w:eastAsia="ja-JP"/>
        </w:rPr>
        <w:t xml:space="preserve"> </w:t>
      </w:r>
      <w:r w:rsidR="001F6DEC">
        <w:rPr>
          <w:lang w:eastAsia="ja-JP"/>
        </w:rPr>
        <w:t>and</w:t>
      </w:r>
      <w:r w:rsidR="000159A6">
        <w:rPr>
          <w:lang w:eastAsia="ja-JP"/>
        </w:rPr>
        <w:t xml:space="preserve"> </w:t>
      </w:r>
      <w:r w:rsidR="001F6DEC">
        <w:rPr>
          <w:lang w:eastAsia="ja-JP"/>
        </w:rPr>
        <w:t>0,</w:t>
      </w:r>
      <w:r w:rsidR="000159A6">
        <w:rPr>
          <w:lang w:eastAsia="ja-JP"/>
        </w:rPr>
        <w:t xml:space="preserve"> </w:t>
      </w:r>
      <w:r w:rsidR="001F6DEC">
        <w:rPr>
          <w:lang w:eastAsia="ja-JP"/>
        </w:rPr>
        <w:t>12</w:t>
      </w:r>
      <w:r w:rsidR="000159A6">
        <w:rPr>
          <w:lang w:eastAsia="ja-JP"/>
        </w:rPr>
        <w:t xml:space="preserve"> </w:t>
      </w:r>
      <w:r w:rsidR="003C27E6">
        <w:rPr>
          <w:lang w:eastAsia="ja-JP"/>
        </w:rPr>
        <w:t>months</w:t>
      </w:r>
      <w:r w:rsidR="001F6DEC">
        <w:rPr>
          <w:lang w:eastAsia="ja-JP"/>
        </w:rPr>
        <w:t>)</w:t>
      </w:r>
      <w:r w:rsidR="000159A6">
        <w:rPr>
          <w:lang w:eastAsia="ja-JP"/>
        </w:rPr>
        <w:t xml:space="preserve"> </w:t>
      </w:r>
      <w:r w:rsidR="001F6DEC">
        <w:rPr>
          <w:lang w:eastAsia="ja-JP"/>
        </w:rPr>
        <w:t>in</w:t>
      </w:r>
      <w:r w:rsidR="000159A6">
        <w:rPr>
          <w:lang w:eastAsia="ja-JP"/>
        </w:rPr>
        <w:t xml:space="preserve"> </w:t>
      </w:r>
      <w:r w:rsidR="001F6DEC">
        <w:rPr>
          <w:lang w:eastAsia="ja-JP"/>
        </w:rPr>
        <w:t>354</w:t>
      </w:r>
      <w:r w:rsidR="000159A6">
        <w:rPr>
          <w:lang w:eastAsia="ja-JP"/>
        </w:rPr>
        <w:t xml:space="preserve"> </w:t>
      </w:r>
      <w:proofErr w:type="gramStart"/>
      <w:r w:rsidR="001F6DEC">
        <w:rPr>
          <w:lang w:eastAsia="ja-JP"/>
        </w:rPr>
        <w:t>adults</w:t>
      </w:r>
      <w:proofErr w:type="gramEnd"/>
      <w:r w:rsidR="000159A6">
        <w:rPr>
          <w:lang w:eastAsia="ja-JP"/>
        </w:rPr>
        <w:t xml:space="preserve"> </w:t>
      </w:r>
      <w:r w:rsidR="0037169B">
        <w:rPr>
          <w:lang w:eastAsia="ja-JP"/>
        </w:rPr>
        <w:t>≥</w:t>
      </w:r>
      <w:r w:rsidR="000159A6">
        <w:rPr>
          <w:lang w:eastAsia="ja-JP"/>
        </w:rPr>
        <w:t xml:space="preserve"> </w:t>
      </w:r>
      <w:r w:rsidR="001F6DEC">
        <w:rPr>
          <w:lang w:eastAsia="ja-JP"/>
        </w:rPr>
        <w:t>50</w:t>
      </w:r>
      <w:r w:rsidR="000159A6">
        <w:rPr>
          <w:lang w:eastAsia="ja-JP"/>
        </w:rPr>
        <w:t xml:space="preserve"> </w:t>
      </w:r>
      <w:r w:rsidR="001F6DEC">
        <w:rPr>
          <w:lang w:eastAsia="ja-JP"/>
        </w:rPr>
        <w:t>years</w:t>
      </w:r>
      <w:r w:rsidR="000159A6">
        <w:rPr>
          <w:lang w:eastAsia="ja-JP"/>
        </w:rPr>
        <w:t xml:space="preserve"> </w:t>
      </w:r>
      <w:r w:rsidR="001F6DEC">
        <w:rPr>
          <w:lang w:eastAsia="ja-JP"/>
        </w:rPr>
        <w:t>of</w:t>
      </w:r>
      <w:r w:rsidR="000159A6">
        <w:rPr>
          <w:lang w:eastAsia="ja-JP"/>
        </w:rPr>
        <w:t xml:space="preserve"> </w:t>
      </w:r>
      <w:r w:rsidR="001F6DEC">
        <w:rPr>
          <w:lang w:eastAsia="ja-JP"/>
        </w:rPr>
        <w:t>age.</w:t>
      </w:r>
      <w:r w:rsidR="000159A6">
        <w:rPr>
          <w:lang w:eastAsia="ja-JP"/>
        </w:rPr>
        <w:t xml:space="preserve"> </w:t>
      </w:r>
      <w:r w:rsidR="001F6DEC">
        <w:rPr>
          <w:lang w:eastAsia="ja-JP"/>
        </w:rPr>
        <w:t>As</w:t>
      </w:r>
      <w:r w:rsidR="000159A6">
        <w:rPr>
          <w:lang w:eastAsia="ja-JP"/>
        </w:rPr>
        <w:t xml:space="preserve"> </w:t>
      </w:r>
      <w:r w:rsidR="001F6DEC">
        <w:rPr>
          <w:lang w:eastAsia="ja-JP"/>
        </w:rPr>
        <w:t>measured</w:t>
      </w:r>
      <w:r w:rsidR="000159A6">
        <w:rPr>
          <w:lang w:eastAsia="ja-JP"/>
        </w:rPr>
        <w:t xml:space="preserve"> </w:t>
      </w:r>
      <w:r w:rsidR="001F6DEC">
        <w:rPr>
          <w:lang w:eastAsia="ja-JP"/>
        </w:rPr>
        <w:t>by</w:t>
      </w:r>
      <w:r w:rsidR="000159A6">
        <w:rPr>
          <w:lang w:eastAsia="ja-JP"/>
        </w:rPr>
        <w:t xml:space="preserve"> </w:t>
      </w:r>
      <w:r w:rsidR="001F6DEC">
        <w:rPr>
          <w:lang w:eastAsia="ja-JP"/>
        </w:rPr>
        <w:t>the</w:t>
      </w:r>
      <w:r w:rsidR="000159A6">
        <w:rPr>
          <w:lang w:eastAsia="ja-JP"/>
        </w:rPr>
        <w:t xml:space="preserve"> </w:t>
      </w:r>
      <w:r w:rsidR="001F6DEC">
        <w:rPr>
          <w:lang w:eastAsia="ja-JP"/>
        </w:rPr>
        <w:t>anti-gE</w:t>
      </w:r>
      <w:r w:rsidR="000159A6">
        <w:rPr>
          <w:lang w:eastAsia="ja-JP"/>
        </w:rPr>
        <w:t xml:space="preserve"> </w:t>
      </w:r>
      <w:r w:rsidR="00331AB9">
        <w:rPr>
          <w:lang w:eastAsia="ja-JP"/>
        </w:rPr>
        <w:t>antibody</w:t>
      </w:r>
      <w:r w:rsidR="000159A6">
        <w:rPr>
          <w:lang w:eastAsia="ja-JP"/>
        </w:rPr>
        <w:t xml:space="preserve"> </w:t>
      </w:r>
      <w:r w:rsidR="00331AB9">
        <w:t>geometric</w:t>
      </w:r>
      <w:r w:rsidR="000159A6">
        <w:t xml:space="preserve"> </w:t>
      </w:r>
      <w:r w:rsidR="00331AB9">
        <w:t>mean</w:t>
      </w:r>
      <w:r w:rsidR="000159A6">
        <w:t xml:space="preserve"> </w:t>
      </w:r>
      <w:r w:rsidR="00331AB9">
        <w:t>concentration</w:t>
      </w:r>
      <w:r w:rsidR="000159A6">
        <w:rPr>
          <w:lang w:eastAsia="ja-JP"/>
        </w:rPr>
        <w:t xml:space="preserve"> </w:t>
      </w:r>
      <w:r w:rsidR="00331AB9">
        <w:rPr>
          <w:lang w:eastAsia="ja-JP"/>
        </w:rPr>
        <w:t>(</w:t>
      </w:r>
      <w:r w:rsidR="001F6DEC">
        <w:rPr>
          <w:lang w:eastAsia="ja-JP"/>
        </w:rPr>
        <w:t>GMC</w:t>
      </w:r>
      <w:r w:rsidR="00331AB9">
        <w:rPr>
          <w:lang w:eastAsia="ja-JP"/>
        </w:rPr>
        <w:t>)</w:t>
      </w:r>
      <w:r w:rsidR="000159A6">
        <w:rPr>
          <w:lang w:eastAsia="ja-JP"/>
        </w:rPr>
        <w:t xml:space="preserve"> </w:t>
      </w:r>
      <w:r w:rsidR="001F6DEC">
        <w:rPr>
          <w:lang w:eastAsia="ja-JP"/>
        </w:rPr>
        <w:t>ratio</w:t>
      </w:r>
      <w:r w:rsidR="000159A6">
        <w:rPr>
          <w:lang w:eastAsia="ja-JP"/>
        </w:rPr>
        <w:t xml:space="preserve"> </w:t>
      </w:r>
      <w:r w:rsidR="001F6DEC">
        <w:rPr>
          <w:lang w:eastAsia="ja-JP"/>
        </w:rPr>
        <w:t>one</w:t>
      </w:r>
      <w:r w:rsidR="000159A6">
        <w:rPr>
          <w:lang w:eastAsia="ja-JP"/>
        </w:rPr>
        <w:t xml:space="preserve"> </w:t>
      </w:r>
      <w:r w:rsidR="001F6DEC">
        <w:rPr>
          <w:lang w:eastAsia="ja-JP"/>
        </w:rPr>
        <w:t>month</w:t>
      </w:r>
      <w:r w:rsidR="000159A6">
        <w:rPr>
          <w:lang w:eastAsia="ja-JP"/>
        </w:rPr>
        <w:t xml:space="preserve"> </w:t>
      </w:r>
      <w:r w:rsidR="001F6DEC">
        <w:rPr>
          <w:lang w:eastAsia="ja-JP"/>
        </w:rPr>
        <w:t>post</w:t>
      </w:r>
      <w:r w:rsidR="000159A6">
        <w:rPr>
          <w:lang w:eastAsia="ja-JP"/>
        </w:rPr>
        <w:t xml:space="preserve"> </w:t>
      </w:r>
      <w:r w:rsidR="001F6DEC">
        <w:rPr>
          <w:lang w:eastAsia="ja-JP"/>
        </w:rPr>
        <w:t>second</w:t>
      </w:r>
      <w:r w:rsidR="000159A6">
        <w:rPr>
          <w:lang w:eastAsia="ja-JP"/>
        </w:rPr>
        <w:t xml:space="preserve"> </w:t>
      </w:r>
      <w:r w:rsidR="001F6DEC">
        <w:rPr>
          <w:lang w:eastAsia="ja-JP"/>
        </w:rPr>
        <w:t>vaccination,</w:t>
      </w:r>
      <w:r w:rsidR="000159A6">
        <w:rPr>
          <w:lang w:eastAsia="ja-JP"/>
        </w:rPr>
        <w:t xml:space="preserve"> </w:t>
      </w:r>
      <w:r w:rsidR="001F6DEC">
        <w:rPr>
          <w:lang w:eastAsia="ja-JP"/>
        </w:rPr>
        <w:t>the</w:t>
      </w:r>
      <w:r w:rsidR="000159A6">
        <w:rPr>
          <w:lang w:eastAsia="ja-JP"/>
        </w:rPr>
        <w:t xml:space="preserve"> </w:t>
      </w:r>
      <w:r w:rsidR="001F6DEC">
        <w:rPr>
          <w:lang w:eastAsia="ja-JP"/>
        </w:rPr>
        <w:t>0</w:t>
      </w:r>
      <w:r w:rsidR="000159A6">
        <w:rPr>
          <w:lang w:eastAsia="ja-JP"/>
        </w:rPr>
        <w:t xml:space="preserve"> </w:t>
      </w:r>
      <w:r w:rsidR="003C27E6">
        <w:rPr>
          <w:lang w:eastAsia="ja-JP"/>
        </w:rPr>
        <w:t>and</w:t>
      </w:r>
      <w:r w:rsidR="000159A6">
        <w:rPr>
          <w:lang w:eastAsia="ja-JP"/>
        </w:rPr>
        <w:t xml:space="preserve"> </w:t>
      </w:r>
      <w:r w:rsidR="001F6DEC">
        <w:rPr>
          <w:lang w:eastAsia="ja-JP"/>
        </w:rPr>
        <w:t>6</w:t>
      </w:r>
      <w:r w:rsidR="000159A6">
        <w:rPr>
          <w:lang w:eastAsia="ja-JP"/>
        </w:rPr>
        <w:t xml:space="preserve"> </w:t>
      </w:r>
      <w:r w:rsidR="001F6DEC">
        <w:rPr>
          <w:lang w:eastAsia="ja-JP"/>
        </w:rPr>
        <w:t>month</w:t>
      </w:r>
      <w:r w:rsidR="000159A6">
        <w:rPr>
          <w:lang w:eastAsia="ja-JP"/>
        </w:rPr>
        <w:t xml:space="preserve"> </w:t>
      </w:r>
      <w:r w:rsidR="001F6DEC">
        <w:rPr>
          <w:lang w:eastAsia="ja-JP"/>
        </w:rPr>
        <w:t>schedule</w:t>
      </w:r>
      <w:r w:rsidR="000159A6">
        <w:rPr>
          <w:lang w:eastAsia="ja-JP"/>
        </w:rPr>
        <w:t xml:space="preserve"> </w:t>
      </w:r>
      <w:r w:rsidR="001F6DEC">
        <w:rPr>
          <w:lang w:eastAsia="ja-JP"/>
        </w:rPr>
        <w:t>was</w:t>
      </w:r>
      <w:r w:rsidR="000159A6">
        <w:rPr>
          <w:lang w:eastAsia="ja-JP"/>
        </w:rPr>
        <w:t xml:space="preserve"> </w:t>
      </w:r>
      <w:r w:rsidR="001F6DEC">
        <w:rPr>
          <w:lang w:eastAsia="ja-JP"/>
        </w:rPr>
        <w:t>found</w:t>
      </w:r>
      <w:r w:rsidR="000159A6">
        <w:rPr>
          <w:lang w:eastAsia="ja-JP"/>
        </w:rPr>
        <w:t xml:space="preserve"> </w:t>
      </w:r>
      <w:r w:rsidR="001F6DEC">
        <w:rPr>
          <w:lang w:eastAsia="ja-JP"/>
        </w:rPr>
        <w:t>to</w:t>
      </w:r>
      <w:r w:rsidR="000159A6">
        <w:rPr>
          <w:lang w:eastAsia="ja-JP"/>
        </w:rPr>
        <w:t xml:space="preserve"> </w:t>
      </w:r>
      <w:r w:rsidR="001F6DEC">
        <w:rPr>
          <w:lang w:eastAsia="ja-JP"/>
        </w:rPr>
        <w:t>be</w:t>
      </w:r>
      <w:r w:rsidR="000159A6">
        <w:rPr>
          <w:lang w:eastAsia="ja-JP"/>
        </w:rPr>
        <w:t xml:space="preserve"> </w:t>
      </w:r>
      <w:r w:rsidR="001F6DEC">
        <w:rPr>
          <w:lang w:eastAsia="ja-JP"/>
        </w:rPr>
        <w:t>non-inferior</w:t>
      </w:r>
      <w:r w:rsidR="000159A6">
        <w:rPr>
          <w:lang w:eastAsia="ja-JP"/>
        </w:rPr>
        <w:t xml:space="preserve"> </w:t>
      </w:r>
      <w:r w:rsidR="001F6DEC">
        <w:rPr>
          <w:lang w:eastAsia="ja-JP"/>
        </w:rPr>
        <w:t>to</w:t>
      </w:r>
      <w:r w:rsidR="000159A6">
        <w:rPr>
          <w:lang w:eastAsia="ja-JP"/>
        </w:rPr>
        <w:t xml:space="preserve"> </w:t>
      </w:r>
      <w:r w:rsidR="001F6DEC">
        <w:rPr>
          <w:lang w:eastAsia="ja-JP"/>
        </w:rPr>
        <w:t>the</w:t>
      </w:r>
      <w:r w:rsidR="000159A6">
        <w:rPr>
          <w:lang w:eastAsia="ja-JP"/>
        </w:rPr>
        <w:t xml:space="preserve"> </w:t>
      </w:r>
      <w:r w:rsidR="001F6DEC">
        <w:rPr>
          <w:lang w:eastAsia="ja-JP"/>
        </w:rPr>
        <w:t>0,2</w:t>
      </w:r>
      <w:r w:rsidR="000159A6">
        <w:rPr>
          <w:lang w:eastAsia="ja-JP"/>
        </w:rPr>
        <w:t xml:space="preserve"> </w:t>
      </w:r>
      <w:r w:rsidR="001F6DEC">
        <w:rPr>
          <w:lang w:eastAsia="ja-JP"/>
        </w:rPr>
        <w:t>month</w:t>
      </w:r>
      <w:r w:rsidR="000159A6">
        <w:rPr>
          <w:lang w:eastAsia="ja-JP"/>
        </w:rPr>
        <w:t xml:space="preserve"> </w:t>
      </w:r>
      <w:r w:rsidR="001F6DEC">
        <w:rPr>
          <w:lang w:eastAsia="ja-JP"/>
        </w:rPr>
        <w:t>schedule,</w:t>
      </w:r>
      <w:r w:rsidR="000159A6">
        <w:rPr>
          <w:lang w:eastAsia="ja-JP"/>
        </w:rPr>
        <w:t xml:space="preserve"> </w:t>
      </w:r>
      <w:r w:rsidR="001F6DEC">
        <w:rPr>
          <w:lang w:eastAsia="ja-JP"/>
        </w:rPr>
        <w:t>however</w:t>
      </w:r>
      <w:r w:rsidR="000159A6">
        <w:rPr>
          <w:lang w:eastAsia="ja-JP"/>
        </w:rPr>
        <w:t xml:space="preserve"> </w:t>
      </w:r>
      <w:r w:rsidR="001F6DEC">
        <w:rPr>
          <w:lang w:eastAsia="ja-JP"/>
        </w:rPr>
        <w:t>the</w:t>
      </w:r>
      <w:r w:rsidR="000159A6">
        <w:rPr>
          <w:lang w:eastAsia="ja-JP"/>
        </w:rPr>
        <w:t xml:space="preserve"> </w:t>
      </w:r>
      <w:r w:rsidR="001F6DEC">
        <w:rPr>
          <w:lang w:eastAsia="ja-JP"/>
        </w:rPr>
        <w:t>0</w:t>
      </w:r>
      <w:r w:rsidR="000159A6">
        <w:rPr>
          <w:lang w:eastAsia="ja-JP"/>
        </w:rPr>
        <w:t xml:space="preserve"> </w:t>
      </w:r>
      <w:r w:rsidR="003C27E6">
        <w:rPr>
          <w:lang w:eastAsia="ja-JP"/>
        </w:rPr>
        <w:t>and</w:t>
      </w:r>
      <w:r w:rsidR="001F6DEC">
        <w:rPr>
          <w:lang w:eastAsia="ja-JP"/>
        </w:rPr>
        <w:t>12</w:t>
      </w:r>
      <w:r w:rsidR="000159A6">
        <w:rPr>
          <w:lang w:eastAsia="ja-JP"/>
        </w:rPr>
        <w:t xml:space="preserve"> </w:t>
      </w:r>
      <w:r w:rsidR="001F6DEC">
        <w:rPr>
          <w:lang w:eastAsia="ja-JP"/>
        </w:rPr>
        <w:t>month</w:t>
      </w:r>
      <w:r w:rsidR="000159A6">
        <w:rPr>
          <w:lang w:eastAsia="ja-JP"/>
        </w:rPr>
        <w:t xml:space="preserve"> </w:t>
      </w:r>
      <w:r w:rsidR="001F6DEC">
        <w:rPr>
          <w:lang w:eastAsia="ja-JP"/>
        </w:rPr>
        <w:t>vaccination</w:t>
      </w:r>
      <w:r w:rsidR="000159A6">
        <w:rPr>
          <w:lang w:eastAsia="ja-JP"/>
        </w:rPr>
        <w:t xml:space="preserve"> </w:t>
      </w:r>
      <w:r w:rsidR="001F6DEC">
        <w:rPr>
          <w:lang w:eastAsia="ja-JP"/>
        </w:rPr>
        <w:t>interval</w:t>
      </w:r>
      <w:r w:rsidR="000159A6">
        <w:rPr>
          <w:lang w:eastAsia="ja-JP"/>
        </w:rPr>
        <w:t xml:space="preserve"> </w:t>
      </w:r>
      <w:r w:rsidR="001F6DEC">
        <w:rPr>
          <w:lang w:eastAsia="ja-JP"/>
        </w:rPr>
        <w:t>did</w:t>
      </w:r>
      <w:r w:rsidR="000159A6">
        <w:rPr>
          <w:lang w:eastAsia="ja-JP"/>
        </w:rPr>
        <w:t xml:space="preserve"> </w:t>
      </w:r>
      <w:r w:rsidR="001F6DEC">
        <w:rPr>
          <w:lang w:eastAsia="ja-JP"/>
        </w:rPr>
        <w:t>not</w:t>
      </w:r>
      <w:r w:rsidR="000159A6">
        <w:rPr>
          <w:lang w:eastAsia="ja-JP"/>
        </w:rPr>
        <w:t xml:space="preserve"> </w:t>
      </w:r>
      <w:r w:rsidR="001F6DEC">
        <w:rPr>
          <w:lang w:eastAsia="ja-JP"/>
        </w:rPr>
        <w:t>meet</w:t>
      </w:r>
      <w:r w:rsidR="000159A6">
        <w:rPr>
          <w:lang w:eastAsia="ja-JP"/>
        </w:rPr>
        <w:t xml:space="preserve"> </w:t>
      </w:r>
      <w:r w:rsidR="001F6DEC">
        <w:rPr>
          <w:lang w:eastAsia="ja-JP"/>
        </w:rPr>
        <w:t>the</w:t>
      </w:r>
      <w:r w:rsidR="000159A6">
        <w:rPr>
          <w:lang w:eastAsia="ja-JP"/>
        </w:rPr>
        <w:t xml:space="preserve"> </w:t>
      </w:r>
      <w:r w:rsidR="001F6DEC">
        <w:rPr>
          <w:lang w:eastAsia="ja-JP"/>
        </w:rPr>
        <w:t>non-inferiority</w:t>
      </w:r>
      <w:r w:rsidR="000159A6">
        <w:rPr>
          <w:lang w:eastAsia="ja-JP"/>
        </w:rPr>
        <w:t xml:space="preserve"> </w:t>
      </w:r>
      <w:r w:rsidR="001F6DEC">
        <w:rPr>
          <w:lang w:eastAsia="ja-JP"/>
        </w:rPr>
        <w:t>criterion</w:t>
      </w:r>
      <w:r w:rsidR="000159A6">
        <w:rPr>
          <w:lang w:eastAsia="ja-JP"/>
        </w:rPr>
        <w:t xml:space="preserve"> </w:t>
      </w:r>
      <w:r w:rsidR="001F6DEC">
        <w:rPr>
          <w:lang w:eastAsia="ja-JP"/>
        </w:rPr>
        <w:t>(GMC</w:t>
      </w:r>
      <w:r w:rsidR="000159A6">
        <w:rPr>
          <w:lang w:eastAsia="ja-JP"/>
        </w:rPr>
        <w:t xml:space="preserve"> </w:t>
      </w:r>
      <w:r w:rsidR="001F6DEC">
        <w:rPr>
          <w:lang w:eastAsia="ja-JP"/>
        </w:rPr>
        <w:t>ratio</w:t>
      </w:r>
      <w:r w:rsidR="000159A6">
        <w:rPr>
          <w:lang w:eastAsia="ja-JP"/>
        </w:rPr>
        <w:t xml:space="preserve"> </w:t>
      </w:r>
      <w:r w:rsidR="00B85299">
        <w:t>upper</w:t>
      </w:r>
      <w:r w:rsidR="000159A6">
        <w:t xml:space="preserve"> </w:t>
      </w:r>
      <w:r w:rsidR="00B85299">
        <w:t>limit</w:t>
      </w:r>
      <w:r w:rsidR="000159A6">
        <w:rPr>
          <w:lang w:eastAsia="ja-JP"/>
        </w:rPr>
        <w:t xml:space="preserve"> </w:t>
      </w:r>
      <w:r w:rsidR="00B85299">
        <w:rPr>
          <w:lang w:eastAsia="ja-JP"/>
        </w:rPr>
        <w:t>(</w:t>
      </w:r>
      <w:r w:rsidR="001F6DEC">
        <w:rPr>
          <w:lang w:eastAsia="ja-JP"/>
        </w:rPr>
        <w:t>UL</w:t>
      </w:r>
      <w:r w:rsidR="00B85299">
        <w:rPr>
          <w:lang w:eastAsia="ja-JP"/>
        </w:rPr>
        <w:t>)</w:t>
      </w:r>
      <w:r w:rsidR="000159A6">
        <w:rPr>
          <w:lang w:eastAsia="ja-JP"/>
        </w:rPr>
        <w:t xml:space="preserve"> </w:t>
      </w:r>
      <w:r w:rsidR="001F6DEC">
        <w:rPr>
          <w:lang w:eastAsia="ja-JP"/>
        </w:rPr>
        <w:t>of</w:t>
      </w:r>
      <w:r w:rsidR="000159A6">
        <w:rPr>
          <w:lang w:eastAsia="ja-JP"/>
        </w:rPr>
        <w:t xml:space="preserve"> </w:t>
      </w:r>
      <w:r w:rsidR="001F6DEC">
        <w:rPr>
          <w:lang w:eastAsia="ja-JP"/>
        </w:rPr>
        <w:t>the</w:t>
      </w:r>
      <w:r w:rsidR="000159A6">
        <w:rPr>
          <w:lang w:eastAsia="ja-JP"/>
        </w:rPr>
        <w:t xml:space="preserve"> </w:t>
      </w:r>
      <w:r w:rsidR="001F6DEC">
        <w:rPr>
          <w:lang w:eastAsia="ja-JP"/>
        </w:rPr>
        <w:t>97.5%</w:t>
      </w:r>
      <w:r w:rsidR="000159A6">
        <w:rPr>
          <w:lang w:eastAsia="ja-JP"/>
        </w:rPr>
        <w:t xml:space="preserve"> </w:t>
      </w:r>
      <w:r w:rsidR="001F6DEC">
        <w:rPr>
          <w:lang w:eastAsia="ja-JP"/>
        </w:rPr>
        <w:t>CI</w:t>
      </w:r>
      <w:r w:rsidR="000159A6">
        <w:rPr>
          <w:lang w:eastAsia="ja-JP"/>
        </w:rPr>
        <w:t xml:space="preserve"> </w:t>
      </w:r>
      <w:r w:rsidR="0037169B">
        <w:rPr>
          <w:lang w:eastAsia="ja-JP"/>
        </w:rPr>
        <w:t>&lt;</w:t>
      </w:r>
      <w:r w:rsidR="000159A6">
        <w:rPr>
          <w:lang w:eastAsia="ja-JP"/>
        </w:rPr>
        <w:t xml:space="preserve"> </w:t>
      </w:r>
      <w:r w:rsidR="001F6DEC">
        <w:rPr>
          <w:lang w:eastAsia="ja-JP"/>
        </w:rPr>
        <w:t>1.5).</w:t>
      </w:r>
    </w:p>
    <w:p w14:paraId="32066B8F" w14:textId="77777777" w:rsidR="001F6DEC" w:rsidRPr="00C95B23" w:rsidRDefault="001F6DEC" w:rsidP="00C95B23">
      <w:pPr>
        <w:pStyle w:val="Heading5"/>
      </w:pPr>
      <w:bookmarkStart w:id="113" w:name="_Toc507577976"/>
      <w:r w:rsidRPr="00C95B23">
        <w:t>Route</w:t>
      </w:r>
      <w:bookmarkEnd w:id="113"/>
    </w:p>
    <w:p w14:paraId="2DF162B2" w14:textId="2275AAA3" w:rsidR="001F6DEC" w:rsidRPr="00C95B23" w:rsidRDefault="00525235" w:rsidP="00A97634">
      <w:pPr>
        <w:pStyle w:val="Heading6"/>
      </w:pPr>
      <w:r w:rsidRPr="00C95B23">
        <w:t>Study</w:t>
      </w:r>
      <w:r w:rsidR="000159A6" w:rsidRPr="00C95B23">
        <w:t xml:space="preserve"> </w:t>
      </w:r>
      <w:r w:rsidRPr="00A97634">
        <w:t>ZOSTER</w:t>
      </w:r>
      <w:r w:rsidR="001F6DEC" w:rsidRPr="00C95B23">
        <w:t>-032</w:t>
      </w:r>
    </w:p>
    <w:p w14:paraId="0E5CDA0D" w14:textId="521A85EF" w:rsidR="001F6DEC" w:rsidRDefault="000D0435" w:rsidP="00A97634">
      <w:pPr>
        <w:rPr>
          <w:lang w:eastAsia="ja-JP"/>
        </w:rPr>
      </w:pPr>
      <w:r>
        <w:rPr>
          <w:lang w:eastAsia="ja-JP"/>
        </w:rPr>
        <w:t>Study</w:t>
      </w:r>
      <w:r w:rsidR="000159A6">
        <w:rPr>
          <w:lang w:eastAsia="ja-JP"/>
        </w:rPr>
        <w:t xml:space="preserve"> </w:t>
      </w:r>
      <w:r w:rsidR="001F6DEC">
        <w:rPr>
          <w:lang w:eastAsia="ja-JP"/>
        </w:rPr>
        <w:t>ZOSTER</w:t>
      </w:r>
      <w:r w:rsidR="001F6DEC" w:rsidRPr="0014148F">
        <w:rPr>
          <w:lang w:eastAsia="ja-JP"/>
        </w:rPr>
        <w:t>-032</w:t>
      </w:r>
      <w:r w:rsidR="000159A6">
        <w:rPr>
          <w:lang w:eastAsia="ja-JP"/>
        </w:rPr>
        <w:t xml:space="preserve"> </w:t>
      </w:r>
      <w:r w:rsidR="001F6DEC">
        <w:rPr>
          <w:lang w:eastAsia="ja-JP"/>
        </w:rPr>
        <w:t>was</w:t>
      </w:r>
      <w:r w:rsidR="000159A6">
        <w:rPr>
          <w:lang w:eastAsia="ja-JP"/>
        </w:rPr>
        <w:t xml:space="preserve"> </w:t>
      </w:r>
      <w:r w:rsidR="001F6DEC">
        <w:rPr>
          <w:lang w:eastAsia="ja-JP"/>
        </w:rPr>
        <w:t>a</w:t>
      </w:r>
      <w:r w:rsidR="000159A6">
        <w:rPr>
          <w:lang w:eastAsia="ja-JP"/>
        </w:rPr>
        <w:t xml:space="preserve"> </w:t>
      </w:r>
      <w:r w:rsidR="001F6DEC">
        <w:rPr>
          <w:lang w:eastAsia="ja-JP"/>
        </w:rPr>
        <w:t>Phase</w:t>
      </w:r>
      <w:r w:rsidR="000159A6">
        <w:rPr>
          <w:lang w:eastAsia="ja-JP"/>
        </w:rPr>
        <w:t xml:space="preserve"> </w:t>
      </w:r>
      <w:r w:rsidR="001F6DEC">
        <w:rPr>
          <w:lang w:eastAsia="ja-JP"/>
        </w:rPr>
        <w:t>III,</w:t>
      </w:r>
      <w:r w:rsidR="000159A6">
        <w:rPr>
          <w:lang w:eastAsia="ja-JP"/>
        </w:rPr>
        <w:t xml:space="preserve"> </w:t>
      </w:r>
      <w:r w:rsidR="001F6DEC">
        <w:rPr>
          <w:lang w:eastAsia="ja-JP"/>
        </w:rPr>
        <w:t>randomised,</w:t>
      </w:r>
      <w:r w:rsidR="000159A6">
        <w:rPr>
          <w:lang w:eastAsia="ja-JP"/>
        </w:rPr>
        <w:t xml:space="preserve"> </w:t>
      </w:r>
      <w:r w:rsidR="001F6DEC">
        <w:rPr>
          <w:lang w:eastAsia="ja-JP"/>
        </w:rPr>
        <w:t>open</w:t>
      </w:r>
      <w:r w:rsidR="000159A6">
        <w:rPr>
          <w:lang w:eastAsia="ja-JP"/>
        </w:rPr>
        <w:t xml:space="preserve"> </w:t>
      </w:r>
      <w:r w:rsidR="001F6DEC">
        <w:rPr>
          <w:lang w:eastAsia="ja-JP"/>
        </w:rPr>
        <w:t>label,</w:t>
      </w:r>
      <w:r w:rsidR="000159A6">
        <w:rPr>
          <w:lang w:eastAsia="ja-JP"/>
        </w:rPr>
        <w:t xml:space="preserve"> </w:t>
      </w:r>
      <w:r w:rsidR="001F6DEC">
        <w:rPr>
          <w:lang w:eastAsia="ja-JP"/>
        </w:rPr>
        <w:t>single</w:t>
      </w:r>
      <w:r w:rsidR="000159A6">
        <w:rPr>
          <w:lang w:eastAsia="ja-JP"/>
        </w:rPr>
        <w:t xml:space="preserve"> </w:t>
      </w:r>
      <w:r w:rsidR="001F6DEC">
        <w:rPr>
          <w:lang w:eastAsia="ja-JP"/>
        </w:rPr>
        <w:t>site</w:t>
      </w:r>
      <w:r w:rsidR="000159A6">
        <w:rPr>
          <w:lang w:eastAsia="ja-JP"/>
        </w:rPr>
        <w:t xml:space="preserve"> </w:t>
      </w:r>
      <w:r w:rsidR="001F6DEC">
        <w:rPr>
          <w:lang w:eastAsia="ja-JP"/>
        </w:rPr>
        <w:t>clinical</w:t>
      </w:r>
      <w:r w:rsidR="000159A6">
        <w:rPr>
          <w:lang w:eastAsia="ja-JP"/>
        </w:rPr>
        <w:t xml:space="preserve"> </w:t>
      </w:r>
      <w:r w:rsidR="001F6DEC">
        <w:rPr>
          <w:lang w:eastAsia="ja-JP"/>
        </w:rPr>
        <w:t>trial</w:t>
      </w:r>
      <w:r w:rsidR="000159A6">
        <w:rPr>
          <w:lang w:eastAsia="ja-JP"/>
        </w:rPr>
        <w:t xml:space="preserve"> </w:t>
      </w:r>
      <w:r w:rsidR="001F6DEC">
        <w:rPr>
          <w:lang w:eastAsia="ja-JP"/>
        </w:rPr>
        <w:t>to</w:t>
      </w:r>
      <w:r w:rsidR="000159A6">
        <w:rPr>
          <w:lang w:eastAsia="ja-JP"/>
        </w:rPr>
        <w:t xml:space="preserve"> </w:t>
      </w:r>
      <w:r w:rsidR="001F6DEC">
        <w:rPr>
          <w:lang w:eastAsia="ja-JP"/>
        </w:rPr>
        <w:t>assess</w:t>
      </w:r>
      <w:r w:rsidR="000159A6">
        <w:rPr>
          <w:lang w:eastAsia="ja-JP"/>
        </w:rPr>
        <w:t xml:space="preserve"> </w:t>
      </w:r>
      <w:r w:rsidR="001F6DEC">
        <w:rPr>
          <w:lang w:eastAsia="ja-JP"/>
        </w:rPr>
        <w:t>the</w:t>
      </w:r>
      <w:r w:rsidR="000159A6">
        <w:rPr>
          <w:lang w:eastAsia="ja-JP"/>
        </w:rPr>
        <w:t xml:space="preserve"> </w:t>
      </w:r>
      <w:r w:rsidR="001F6DEC">
        <w:rPr>
          <w:lang w:eastAsia="ja-JP"/>
        </w:rPr>
        <w:t>safety</w:t>
      </w:r>
      <w:r w:rsidR="000159A6">
        <w:rPr>
          <w:lang w:eastAsia="ja-JP"/>
        </w:rPr>
        <w:t xml:space="preserve"> </w:t>
      </w:r>
      <w:r w:rsidR="001F6DEC">
        <w:rPr>
          <w:lang w:eastAsia="ja-JP"/>
        </w:rPr>
        <w:t>and</w:t>
      </w:r>
      <w:r w:rsidR="000159A6">
        <w:rPr>
          <w:lang w:eastAsia="ja-JP"/>
        </w:rPr>
        <w:t xml:space="preserve"> </w:t>
      </w:r>
      <w:r w:rsidR="001F6DEC">
        <w:rPr>
          <w:lang w:eastAsia="ja-JP"/>
        </w:rPr>
        <w:t>immunogenicity</w:t>
      </w:r>
      <w:r w:rsidR="000159A6">
        <w:rPr>
          <w:lang w:eastAsia="ja-JP"/>
        </w:rPr>
        <w:t xml:space="preserve"> </w:t>
      </w:r>
      <w:r w:rsidR="001F6DEC">
        <w:rPr>
          <w:lang w:eastAsia="ja-JP"/>
        </w:rPr>
        <w:t>of</w:t>
      </w:r>
      <w:r w:rsidR="000159A6">
        <w:rPr>
          <w:lang w:eastAsia="ja-JP"/>
        </w:rPr>
        <w:t xml:space="preserve"> </w:t>
      </w:r>
      <w:r w:rsidR="001F6DEC">
        <w:rPr>
          <w:lang w:eastAsia="ja-JP"/>
        </w:rPr>
        <w:t>HZ/</w:t>
      </w:r>
      <w:proofErr w:type="spellStart"/>
      <w:r w:rsidR="001F6DEC">
        <w:rPr>
          <w:lang w:eastAsia="ja-JP"/>
        </w:rPr>
        <w:t>su</w:t>
      </w:r>
      <w:proofErr w:type="spellEnd"/>
      <w:r w:rsidR="000159A6">
        <w:rPr>
          <w:lang w:eastAsia="ja-JP"/>
        </w:rPr>
        <w:t xml:space="preserve"> </w:t>
      </w:r>
      <w:r w:rsidR="001F6DEC">
        <w:rPr>
          <w:lang w:eastAsia="ja-JP"/>
        </w:rPr>
        <w:t>vaccine</w:t>
      </w:r>
      <w:r w:rsidR="000159A6">
        <w:rPr>
          <w:lang w:eastAsia="ja-JP"/>
        </w:rPr>
        <w:t xml:space="preserve"> </w:t>
      </w:r>
      <w:r w:rsidR="001F6DEC">
        <w:rPr>
          <w:lang w:eastAsia="ja-JP"/>
        </w:rPr>
        <w:t>when</w:t>
      </w:r>
      <w:r w:rsidR="000159A6">
        <w:rPr>
          <w:lang w:eastAsia="ja-JP"/>
        </w:rPr>
        <w:t xml:space="preserve"> </w:t>
      </w:r>
      <w:r w:rsidR="001F6DEC">
        <w:rPr>
          <w:lang w:eastAsia="ja-JP"/>
        </w:rPr>
        <w:t>administered</w:t>
      </w:r>
      <w:r w:rsidR="000159A6">
        <w:rPr>
          <w:lang w:eastAsia="ja-JP"/>
        </w:rPr>
        <w:t xml:space="preserve"> </w:t>
      </w:r>
      <w:r w:rsidR="001F6DEC">
        <w:rPr>
          <w:lang w:eastAsia="ja-JP"/>
        </w:rPr>
        <w:t>subcutaneously</w:t>
      </w:r>
      <w:r w:rsidR="000159A6">
        <w:rPr>
          <w:lang w:eastAsia="ja-JP"/>
        </w:rPr>
        <w:t xml:space="preserve"> </w:t>
      </w:r>
      <w:r w:rsidR="001F6DEC">
        <w:rPr>
          <w:lang w:eastAsia="ja-JP"/>
        </w:rPr>
        <w:t>(SC)</w:t>
      </w:r>
      <w:r w:rsidR="000159A6">
        <w:rPr>
          <w:lang w:eastAsia="ja-JP"/>
        </w:rPr>
        <w:t xml:space="preserve"> </w:t>
      </w:r>
      <w:r w:rsidR="001F6DEC">
        <w:rPr>
          <w:lang w:eastAsia="ja-JP"/>
        </w:rPr>
        <w:t>as</w:t>
      </w:r>
      <w:r w:rsidR="000159A6">
        <w:rPr>
          <w:lang w:eastAsia="ja-JP"/>
        </w:rPr>
        <w:t xml:space="preserve"> </w:t>
      </w:r>
      <w:r w:rsidR="001F6DEC">
        <w:rPr>
          <w:lang w:eastAsia="ja-JP"/>
        </w:rPr>
        <w:t>compared</w:t>
      </w:r>
      <w:r w:rsidR="000159A6">
        <w:rPr>
          <w:lang w:eastAsia="ja-JP"/>
        </w:rPr>
        <w:t xml:space="preserve"> </w:t>
      </w:r>
      <w:r w:rsidR="001F6DEC">
        <w:rPr>
          <w:lang w:eastAsia="ja-JP"/>
        </w:rPr>
        <w:t>to</w:t>
      </w:r>
      <w:r w:rsidR="000159A6">
        <w:rPr>
          <w:lang w:eastAsia="ja-JP"/>
        </w:rPr>
        <w:t xml:space="preserve"> </w:t>
      </w:r>
      <w:r w:rsidR="001F6DEC">
        <w:rPr>
          <w:lang w:eastAsia="ja-JP"/>
        </w:rPr>
        <w:t>intramuscularly</w:t>
      </w:r>
      <w:r w:rsidR="000159A6">
        <w:rPr>
          <w:lang w:eastAsia="ja-JP"/>
        </w:rPr>
        <w:t xml:space="preserve"> </w:t>
      </w:r>
      <w:r w:rsidR="001F6DEC">
        <w:rPr>
          <w:lang w:eastAsia="ja-JP"/>
        </w:rPr>
        <w:t>(IM)</w:t>
      </w:r>
      <w:r w:rsidR="000159A6">
        <w:rPr>
          <w:lang w:eastAsia="ja-JP"/>
        </w:rPr>
        <w:t xml:space="preserve"> </w:t>
      </w:r>
      <w:r w:rsidR="001F6DEC">
        <w:rPr>
          <w:lang w:eastAsia="ja-JP"/>
        </w:rPr>
        <w:t>according</w:t>
      </w:r>
      <w:r w:rsidR="000159A6">
        <w:rPr>
          <w:lang w:eastAsia="ja-JP"/>
        </w:rPr>
        <w:t xml:space="preserve"> </w:t>
      </w:r>
      <w:r w:rsidR="001F6DEC">
        <w:rPr>
          <w:lang w:eastAsia="ja-JP"/>
        </w:rPr>
        <w:t>to</w:t>
      </w:r>
      <w:r w:rsidR="000159A6">
        <w:rPr>
          <w:lang w:eastAsia="ja-JP"/>
        </w:rPr>
        <w:t xml:space="preserve"> </w:t>
      </w:r>
      <w:r w:rsidR="001F6DEC">
        <w:rPr>
          <w:lang w:eastAsia="ja-JP"/>
        </w:rPr>
        <w:t>a</w:t>
      </w:r>
      <w:r w:rsidR="000159A6">
        <w:rPr>
          <w:lang w:eastAsia="ja-JP"/>
        </w:rPr>
        <w:t xml:space="preserve"> </w:t>
      </w:r>
      <w:r w:rsidR="001F6DEC">
        <w:rPr>
          <w:lang w:eastAsia="ja-JP"/>
        </w:rPr>
        <w:t>0,2</w:t>
      </w:r>
      <w:r w:rsidR="000159A6">
        <w:rPr>
          <w:lang w:eastAsia="ja-JP"/>
        </w:rPr>
        <w:t xml:space="preserve"> </w:t>
      </w:r>
      <w:r w:rsidR="001F6DEC">
        <w:rPr>
          <w:lang w:eastAsia="ja-JP"/>
        </w:rPr>
        <w:t>month</w:t>
      </w:r>
      <w:r w:rsidR="000159A6">
        <w:rPr>
          <w:lang w:eastAsia="ja-JP"/>
        </w:rPr>
        <w:t xml:space="preserve"> </w:t>
      </w:r>
      <w:r w:rsidR="001F6DEC">
        <w:rPr>
          <w:lang w:eastAsia="ja-JP"/>
        </w:rPr>
        <w:t>schedule</w:t>
      </w:r>
      <w:r w:rsidR="000159A6">
        <w:rPr>
          <w:lang w:eastAsia="ja-JP"/>
        </w:rPr>
        <w:t xml:space="preserve"> </w:t>
      </w:r>
      <w:r w:rsidR="001F6DEC">
        <w:rPr>
          <w:lang w:eastAsia="ja-JP"/>
        </w:rPr>
        <w:t>in</w:t>
      </w:r>
      <w:r w:rsidR="000159A6">
        <w:rPr>
          <w:lang w:eastAsia="ja-JP"/>
        </w:rPr>
        <w:t xml:space="preserve"> </w:t>
      </w:r>
      <w:r w:rsidR="00655BBB">
        <w:rPr>
          <w:lang w:eastAsia="ja-JP"/>
        </w:rPr>
        <w:t>60</w:t>
      </w:r>
      <w:r w:rsidR="000159A6">
        <w:rPr>
          <w:lang w:eastAsia="ja-JP"/>
        </w:rPr>
        <w:t xml:space="preserve"> </w:t>
      </w:r>
      <w:r w:rsidR="001F6DEC">
        <w:rPr>
          <w:lang w:eastAsia="ja-JP"/>
        </w:rPr>
        <w:t>Japanese</w:t>
      </w:r>
      <w:r w:rsidR="000159A6">
        <w:rPr>
          <w:lang w:eastAsia="ja-JP"/>
        </w:rPr>
        <w:t xml:space="preserve"> </w:t>
      </w:r>
      <w:r w:rsidR="001F6DEC">
        <w:rPr>
          <w:lang w:eastAsia="ja-JP"/>
        </w:rPr>
        <w:t>adults</w:t>
      </w:r>
      <w:r w:rsidR="000159A6">
        <w:rPr>
          <w:lang w:eastAsia="ja-JP"/>
        </w:rPr>
        <w:t xml:space="preserve"> </w:t>
      </w:r>
      <w:r w:rsidR="001F6DEC">
        <w:rPr>
          <w:lang w:eastAsia="ja-JP"/>
        </w:rPr>
        <w:t>aged</w:t>
      </w:r>
      <w:r w:rsidR="000159A6">
        <w:rPr>
          <w:lang w:eastAsia="ja-JP"/>
        </w:rPr>
        <w:t xml:space="preserve"> </w:t>
      </w:r>
      <w:r w:rsidR="0037169B">
        <w:rPr>
          <w:lang w:eastAsia="ja-JP"/>
        </w:rPr>
        <w:t>≥</w:t>
      </w:r>
      <w:r w:rsidR="000159A6">
        <w:rPr>
          <w:lang w:eastAsia="ja-JP"/>
        </w:rPr>
        <w:t xml:space="preserve"> </w:t>
      </w:r>
      <w:r w:rsidR="001F6DEC">
        <w:rPr>
          <w:lang w:eastAsia="ja-JP"/>
        </w:rPr>
        <w:t>50</w:t>
      </w:r>
      <w:r w:rsidR="000159A6">
        <w:rPr>
          <w:lang w:eastAsia="ja-JP"/>
        </w:rPr>
        <w:t xml:space="preserve"> </w:t>
      </w:r>
      <w:r w:rsidR="001F6DEC">
        <w:rPr>
          <w:lang w:eastAsia="ja-JP"/>
        </w:rPr>
        <w:t>years.</w:t>
      </w:r>
    </w:p>
    <w:p w14:paraId="4E07A5E0" w14:textId="4719E58A" w:rsidR="001F6DEC" w:rsidRDefault="001F6DEC" w:rsidP="00331A1D">
      <w:r>
        <w:t>The</w:t>
      </w:r>
      <w:r w:rsidR="000159A6">
        <w:t xml:space="preserve"> </w:t>
      </w:r>
      <w:r>
        <w:t>study</w:t>
      </w:r>
      <w:r w:rsidR="000159A6">
        <w:t xml:space="preserve"> </w:t>
      </w:r>
      <w:r>
        <w:t>was</w:t>
      </w:r>
      <w:r w:rsidR="000159A6">
        <w:t xml:space="preserve"> </w:t>
      </w:r>
      <w:r>
        <w:t>not</w:t>
      </w:r>
      <w:r w:rsidR="000159A6">
        <w:t xml:space="preserve"> </w:t>
      </w:r>
      <w:r>
        <w:t>statistically</w:t>
      </w:r>
      <w:r w:rsidR="000159A6">
        <w:t xml:space="preserve"> </w:t>
      </w:r>
      <w:r>
        <w:t>powered</w:t>
      </w:r>
      <w:r w:rsidR="000159A6">
        <w:t xml:space="preserve"> </w:t>
      </w:r>
      <w:r>
        <w:t>to</w:t>
      </w:r>
      <w:r w:rsidR="000159A6">
        <w:t xml:space="preserve"> </w:t>
      </w:r>
      <w:r>
        <w:t>allow</w:t>
      </w:r>
      <w:r w:rsidR="000159A6">
        <w:t xml:space="preserve"> </w:t>
      </w:r>
      <w:r>
        <w:t>between</w:t>
      </w:r>
      <w:r w:rsidR="000159A6">
        <w:t xml:space="preserve"> </w:t>
      </w:r>
      <w:r>
        <w:t>group</w:t>
      </w:r>
      <w:r w:rsidR="000159A6">
        <w:t xml:space="preserve"> </w:t>
      </w:r>
      <w:r>
        <w:t>comparisons.</w:t>
      </w:r>
    </w:p>
    <w:p w14:paraId="56122AF8" w14:textId="3BC2D6C2" w:rsidR="001F6DEC" w:rsidRDefault="001F6DEC" w:rsidP="00A97634">
      <w:pPr>
        <w:rPr>
          <w:lang w:eastAsia="ja-JP"/>
        </w:rPr>
      </w:pPr>
      <w:r>
        <w:rPr>
          <w:lang w:eastAsia="ja-JP"/>
        </w:rPr>
        <w:t>The</w:t>
      </w:r>
      <w:r w:rsidR="000159A6">
        <w:rPr>
          <w:lang w:eastAsia="ja-JP"/>
        </w:rPr>
        <w:t xml:space="preserve"> </w:t>
      </w:r>
      <w:r>
        <w:rPr>
          <w:lang w:eastAsia="ja-JP"/>
        </w:rPr>
        <w:t>study</w:t>
      </w:r>
      <w:r w:rsidR="000159A6">
        <w:rPr>
          <w:lang w:eastAsia="ja-JP"/>
        </w:rPr>
        <w:t xml:space="preserve"> </w:t>
      </w:r>
      <w:r>
        <w:rPr>
          <w:lang w:eastAsia="ja-JP"/>
        </w:rPr>
        <w:t>found</w:t>
      </w:r>
      <w:r w:rsidR="000159A6">
        <w:rPr>
          <w:lang w:eastAsia="ja-JP"/>
        </w:rPr>
        <w:t xml:space="preserve"> </w:t>
      </w:r>
      <w:r>
        <w:rPr>
          <w:lang w:eastAsia="ja-JP"/>
        </w:rPr>
        <w:t>similar</w:t>
      </w:r>
      <w:r w:rsidR="000159A6">
        <w:rPr>
          <w:lang w:eastAsia="ja-JP"/>
        </w:rPr>
        <w:t xml:space="preserve"> </w:t>
      </w:r>
      <w:r>
        <w:rPr>
          <w:lang w:eastAsia="ja-JP"/>
        </w:rPr>
        <w:t>immune</w:t>
      </w:r>
      <w:r w:rsidR="000159A6">
        <w:rPr>
          <w:lang w:eastAsia="ja-JP"/>
        </w:rPr>
        <w:t xml:space="preserve"> </w:t>
      </w:r>
      <w:r>
        <w:rPr>
          <w:lang w:eastAsia="ja-JP"/>
        </w:rPr>
        <w:t>responses</w:t>
      </w:r>
      <w:r w:rsidR="000159A6">
        <w:rPr>
          <w:lang w:eastAsia="ja-JP"/>
        </w:rPr>
        <w:t xml:space="preserve"> </w:t>
      </w:r>
      <w:r>
        <w:rPr>
          <w:lang w:eastAsia="ja-JP"/>
        </w:rPr>
        <w:t>(GMC</w:t>
      </w:r>
      <w:r w:rsidR="000159A6">
        <w:rPr>
          <w:lang w:eastAsia="ja-JP"/>
        </w:rPr>
        <w:t xml:space="preserve"> </w:t>
      </w:r>
      <w:r>
        <w:rPr>
          <w:lang w:eastAsia="ja-JP"/>
        </w:rPr>
        <w:t>and</w:t>
      </w:r>
      <w:r w:rsidR="000159A6">
        <w:rPr>
          <w:lang w:eastAsia="ja-JP"/>
        </w:rPr>
        <w:t xml:space="preserve"> </w:t>
      </w:r>
      <w:r w:rsidR="00B85299">
        <w:t>vaccine</w:t>
      </w:r>
      <w:r w:rsidR="000159A6">
        <w:t xml:space="preserve"> </w:t>
      </w:r>
      <w:r w:rsidR="00B85299">
        <w:t>response</w:t>
      </w:r>
      <w:r w:rsidR="000159A6">
        <w:t xml:space="preserve"> </w:t>
      </w:r>
      <w:r w:rsidR="00B85299">
        <w:t>rate</w:t>
      </w:r>
      <w:r w:rsidR="000159A6">
        <w:rPr>
          <w:lang w:eastAsia="ja-JP"/>
        </w:rPr>
        <w:t xml:space="preserve"> </w:t>
      </w:r>
      <w:r w:rsidR="00B85299">
        <w:rPr>
          <w:lang w:eastAsia="ja-JP"/>
        </w:rPr>
        <w:t>(</w:t>
      </w:r>
      <w:r>
        <w:rPr>
          <w:lang w:eastAsia="ja-JP"/>
        </w:rPr>
        <w:t>VRR</w:t>
      </w:r>
      <w:r w:rsidR="00B85299">
        <w:rPr>
          <w:lang w:eastAsia="ja-JP"/>
        </w:rPr>
        <w:t>)</w:t>
      </w:r>
      <w:r>
        <w:rPr>
          <w:lang w:eastAsia="ja-JP"/>
        </w:rPr>
        <w:t>)</w:t>
      </w:r>
      <w:r w:rsidR="000159A6">
        <w:rPr>
          <w:lang w:eastAsia="ja-JP"/>
        </w:rPr>
        <w:t xml:space="preserve"> </w:t>
      </w:r>
      <w:r>
        <w:rPr>
          <w:lang w:eastAsia="ja-JP"/>
        </w:rPr>
        <w:t>at</w:t>
      </w:r>
      <w:r w:rsidR="000159A6">
        <w:rPr>
          <w:lang w:eastAsia="ja-JP"/>
        </w:rPr>
        <w:t xml:space="preserve"> </w:t>
      </w:r>
      <w:r>
        <w:rPr>
          <w:lang w:eastAsia="ja-JP"/>
        </w:rPr>
        <w:t>Month</w:t>
      </w:r>
      <w:r w:rsidR="000159A6">
        <w:rPr>
          <w:lang w:eastAsia="ja-JP"/>
        </w:rPr>
        <w:t xml:space="preserve"> </w:t>
      </w:r>
      <w:r>
        <w:rPr>
          <w:lang w:eastAsia="ja-JP"/>
        </w:rPr>
        <w:t>3</w:t>
      </w:r>
      <w:r w:rsidR="000159A6">
        <w:rPr>
          <w:lang w:eastAsia="ja-JP"/>
        </w:rPr>
        <w:t xml:space="preserve"> </w:t>
      </w:r>
      <w:r>
        <w:rPr>
          <w:lang w:eastAsia="ja-JP"/>
        </w:rPr>
        <w:t>between</w:t>
      </w:r>
      <w:r w:rsidR="000159A6">
        <w:rPr>
          <w:lang w:eastAsia="ja-JP"/>
        </w:rPr>
        <w:t xml:space="preserve"> </w:t>
      </w:r>
      <w:r>
        <w:rPr>
          <w:lang w:eastAsia="ja-JP"/>
        </w:rPr>
        <w:t>SC</w:t>
      </w:r>
      <w:r w:rsidR="000159A6">
        <w:rPr>
          <w:lang w:eastAsia="ja-JP"/>
        </w:rPr>
        <w:t xml:space="preserve"> </w:t>
      </w:r>
      <w:r>
        <w:rPr>
          <w:lang w:eastAsia="ja-JP"/>
        </w:rPr>
        <w:t>and</w:t>
      </w:r>
      <w:r w:rsidR="000159A6">
        <w:rPr>
          <w:lang w:eastAsia="ja-JP"/>
        </w:rPr>
        <w:t xml:space="preserve"> </w:t>
      </w:r>
      <w:r>
        <w:rPr>
          <w:lang w:eastAsia="ja-JP"/>
        </w:rPr>
        <w:t>IM</w:t>
      </w:r>
      <w:r w:rsidR="000159A6">
        <w:rPr>
          <w:lang w:eastAsia="ja-JP"/>
        </w:rPr>
        <w:t xml:space="preserve"> </w:t>
      </w:r>
      <w:r>
        <w:rPr>
          <w:lang w:eastAsia="ja-JP"/>
        </w:rPr>
        <w:t>administration.</w:t>
      </w:r>
      <w:r w:rsidR="000159A6">
        <w:rPr>
          <w:lang w:eastAsia="ja-JP"/>
        </w:rPr>
        <w:t xml:space="preserve"> </w:t>
      </w:r>
      <w:r>
        <w:rPr>
          <w:lang w:eastAsia="ja-JP"/>
        </w:rPr>
        <w:t>However,</w:t>
      </w:r>
      <w:r w:rsidR="000159A6">
        <w:rPr>
          <w:lang w:eastAsia="ja-JP"/>
        </w:rPr>
        <w:t xml:space="preserve"> </w:t>
      </w:r>
      <w:r>
        <w:rPr>
          <w:lang w:eastAsia="ja-JP"/>
        </w:rPr>
        <w:t>the</w:t>
      </w:r>
      <w:r w:rsidR="000159A6">
        <w:rPr>
          <w:lang w:eastAsia="ja-JP"/>
        </w:rPr>
        <w:t xml:space="preserve"> </w:t>
      </w:r>
      <w:r>
        <w:rPr>
          <w:lang w:eastAsia="ja-JP"/>
        </w:rPr>
        <w:t>local</w:t>
      </w:r>
      <w:r w:rsidR="000159A6">
        <w:rPr>
          <w:lang w:eastAsia="ja-JP"/>
        </w:rPr>
        <w:t xml:space="preserve"> </w:t>
      </w:r>
      <w:r>
        <w:rPr>
          <w:lang w:eastAsia="ja-JP"/>
        </w:rPr>
        <w:t>reactogenicity</w:t>
      </w:r>
      <w:r w:rsidR="000159A6">
        <w:rPr>
          <w:lang w:eastAsia="ja-JP"/>
        </w:rPr>
        <w:t xml:space="preserve"> </w:t>
      </w:r>
      <w:r>
        <w:rPr>
          <w:lang w:eastAsia="ja-JP"/>
        </w:rPr>
        <w:lastRenderedPageBreak/>
        <w:t>(particularly</w:t>
      </w:r>
      <w:r w:rsidR="000159A6">
        <w:rPr>
          <w:lang w:eastAsia="ja-JP"/>
        </w:rPr>
        <w:t xml:space="preserve"> </w:t>
      </w:r>
      <w:r>
        <w:rPr>
          <w:lang w:eastAsia="ja-JP"/>
        </w:rPr>
        <w:t>Grade</w:t>
      </w:r>
      <w:r w:rsidR="000159A6">
        <w:rPr>
          <w:lang w:eastAsia="ja-JP"/>
        </w:rPr>
        <w:t xml:space="preserve"> </w:t>
      </w:r>
      <w:r>
        <w:rPr>
          <w:lang w:eastAsia="ja-JP"/>
        </w:rPr>
        <w:t>3</w:t>
      </w:r>
      <w:r w:rsidR="000159A6">
        <w:rPr>
          <w:lang w:eastAsia="ja-JP"/>
        </w:rPr>
        <w:t xml:space="preserve"> </w:t>
      </w:r>
      <w:r>
        <w:rPr>
          <w:lang w:eastAsia="ja-JP"/>
        </w:rPr>
        <w:t>redness</w:t>
      </w:r>
      <w:r w:rsidR="000159A6">
        <w:rPr>
          <w:lang w:eastAsia="ja-JP"/>
        </w:rPr>
        <w:t xml:space="preserve"> </w:t>
      </w:r>
      <w:r>
        <w:rPr>
          <w:lang w:eastAsia="ja-JP"/>
        </w:rPr>
        <w:t>and</w:t>
      </w:r>
      <w:r w:rsidR="000159A6">
        <w:rPr>
          <w:lang w:eastAsia="ja-JP"/>
        </w:rPr>
        <w:t xml:space="preserve"> </w:t>
      </w:r>
      <w:r>
        <w:rPr>
          <w:lang w:eastAsia="ja-JP"/>
        </w:rPr>
        <w:t>swelling)</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SC</w:t>
      </w:r>
      <w:r w:rsidR="000159A6">
        <w:rPr>
          <w:lang w:eastAsia="ja-JP"/>
        </w:rPr>
        <w:t xml:space="preserve"> </w:t>
      </w:r>
      <w:r>
        <w:rPr>
          <w:lang w:eastAsia="ja-JP"/>
        </w:rPr>
        <w:t>was</w:t>
      </w:r>
      <w:r w:rsidR="000159A6">
        <w:rPr>
          <w:lang w:eastAsia="ja-JP"/>
        </w:rPr>
        <w:t xml:space="preserve"> </w:t>
      </w:r>
      <w:r>
        <w:rPr>
          <w:lang w:eastAsia="ja-JP"/>
        </w:rPr>
        <w:t>much</w:t>
      </w:r>
      <w:r w:rsidR="000159A6">
        <w:rPr>
          <w:lang w:eastAsia="ja-JP"/>
        </w:rPr>
        <w:t xml:space="preserve"> </w:t>
      </w:r>
      <w:r>
        <w:rPr>
          <w:lang w:eastAsia="ja-JP"/>
        </w:rPr>
        <w:t>higher</w:t>
      </w:r>
      <w:r w:rsidR="000159A6">
        <w:rPr>
          <w:lang w:eastAsia="ja-JP"/>
        </w:rPr>
        <w:t xml:space="preserve"> </w:t>
      </w:r>
      <w:r>
        <w:rPr>
          <w:lang w:eastAsia="ja-JP"/>
        </w:rPr>
        <w:t>than</w:t>
      </w:r>
      <w:r w:rsidR="000159A6">
        <w:rPr>
          <w:lang w:eastAsia="ja-JP"/>
        </w:rPr>
        <w:t xml:space="preserve"> </w:t>
      </w:r>
      <w:r>
        <w:rPr>
          <w:lang w:eastAsia="ja-JP"/>
        </w:rPr>
        <w:t>the</w:t>
      </w:r>
      <w:r w:rsidR="000159A6">
        <w:rPr>
          <w:lang w:eastAsia="ja-JP"/>
        </w:rPr>
        <w:t xml:space="preserve"> </w:t>
      </w:r>
      <w:r>
        <w:rPr>
          <w:lang w:eastAsia="ja-JP"/>
        </w:rPr>
        <w:t>IM</w:t>
      </w:r>
      <w:r w:rsidR="000159A6">
        <w:rPr>
          <w:lang w:eastAsia="ja-JP"/>
        </w:rPr>
        <w:t xml:space="preserve"> </w:t>
      </w:r>
      <w:r>
        <w:rPr>
          <w:lang w:eastAsia="ja-JP"/>
        </w:rPr>
        <w:t>administration.</w:t>
      </w:r>
    </w:p>
    <w:p w14:paraId="59026AD9" w14:textId="45363F0A" w:rsidR="001F6DEC" w:rsidRDefault="001F6DEC" w:rsidP="00A97634">
      <w:r>
        <w:t>Due</w:t>
      </w:r>
      <w:r w:rsidR="000159A6">
        <w:t xml:space="preserve"> </w:t>
      </w:r>
      <w:r>
        <w:t>to</w:t>
      </w:r>
      <w:r w:rsidR="000159A6">
        <w:t xml:space="preserve"> </w:t>
      </w:r>
      <w:r>
        <w:t>the</w:t>
      </w:r>
      <w:r w:rsidR="000159A6">
        <w:t xml:space="preserve"> </w:t>
      </w:r>
      <w:r>
        <w:t>reactogenicity,</w:t>
      </w:r>
      <w:r w:rsidR="000159A6">
        <w:t xml:space="preserve"> </w:t>
      </w:r>
      <w:r w:rsidR="003D23D4">
        <w:t>the</w:t>
      </w:r>
      <w:r w:rsidR="000159A6">
        <w:t xml:space="preserve"> </w:t>
      </w:r>
      <w:r w:rsidR="003D23D4">
        <w:t>sponsor</w:t>
      </w:r>
      <w:r w:rsidR="000159A6">
        <w:t xml:space="preserve"> </w:t>
      </w:r>
      <w:r>
        <w:t>discontinued</w:t>
      </w:r>
      <w:r w:rsidR="000159A6">
        <w:t xml:space="preserve"> </w:t>
      </w:r>
      <w:r>
        <w:t>development</w:t>
      </w:r>
      <w:r w:rsidR="000159A6">
        <w:t xml:space="preserve"> </w:t>
      </w:r>
      <w:r>
        <w:t>of</w:t>
      </w:r>
      <w:r w:rsidR="000159A6">
        <w:t xml:space="preserve"> </w:t>
      </w:r>
      <w:r>
        <w:t>the</w:t>
      </w:r>
      <w:r w:rsidR="000159A6">
        <w:t xml:space="preserve"> </w:t>
      </w:r>
      <w:r>
        <w:t>SC</w:t>
      </w:r>
      <w:r w:rsidR="000159A6">
        <w:t xml:space="preserve"> </w:t>
      </w:r>
      <w:r>
        <w:t>indication.</w:t>
      </w:r>
    </w:p>
    <w:p w14:paraId="0F2313DB" w14:textId="67E224D6" w:rsidR="001F6DEC" w:rsidRPr="001F6DEC" w:rsidRDefault="001F6DEC" w:rsidP="00A97634">
      <w:pPr>
        <w:pStyle w:val="Heading4"/>
      </w:pPr>
      <w:bookmarkStart w:id="114" w:name="_Toc416353713"/>
      <w:bookmarkStart w:id="115" w:name="_Toc421005266"/>
      <w:bookmarkStart w:id="116" w:name="_Toc432079148"/>
      <w:bookmarkStart w:id="117" w:name="_Toc432080721"/>
      <w:bookmarkStart w:id="118" w:name="_Toc507577977"/>
      <w:bookmarkStart w:id="119" w:name="_Toc523409046"/>
      <w:r w:rsidRPr="001F6DEC">
        <w:t>Evaluator’s</w:t>
      </w:r>
      <w:r w:rsidR="000159A6">
        <w:t xml:space="preserve"> </w:t>
      </w:r>
      <w:r w:rsidRPr="001F6DEC">
        <w:t>conclusions</w:t>
      </w:r>
      <w:r w:rsidR="000159A6">
        <w:t xml:space="preserve"> </w:t>
      </w:r>
      <w:r w:rsidRPr="001F6DEC">
        <w:t>on</w:t>
      </w:r>
      <w:r w:rsidR="000159A6">
        <w:t xml:space="preserve"> </w:t>
      </w:r>
      <w:r w:rsidRPr="001F6DEC">
        <w:t>dose</w:t>
      </w:r>
      <w:r w:rsidR="000159A6">
        <w:t xml:space="preserve"> </w:t>
      </w:r>
      <w:r w:rsidRPr="001F6DEC">
        <w:t>finding</w:t>
      </w:r>
      <w:r w:rsidR="000159A6">
        <w:t xml:space="preserve"> </w:t>
      </w:r>
      <w:r w:rsidRPr="001F6DEC">
        <w:t>for</w:t>
      </w:r>
      <w:r w:rsidR="000159A6">
        <w:t xml:space="preserve"> </w:t>
      </w:r>
      <w:r w:rsidRPr="001F6DEC">
        <w:t>the</w:t>
      </w:r>
      <w:r w:rsidR="000159A6">
        <w:t xml:space="preserve"> </w:t>
      </w:r>
      <w:r w:rsidRPr="001F6DEC">
        <w:t>pivotal</w:t>
      </w:r>
      <w:r w:rsidR="000159A6">
        <w:t xml:space="preserve"> </w:t>
      </w:r>
      <w:r w:rsidRPr="00A97634">
        <w:t>studies</w:t>
      </w:r>
      <w:bookmarkEnd w:id="114"/>
      <w:bookmarkEnd w:id="115"/>
      <w:bookmarkEnd w:id="116"/>
      <w:bookmarkEnd w:id="117"/>
      <w:bookmarkEnd w:id="118"/>
      <w:bookmarkEnd w:id="119"/>
    </w:p>
    <w:p w14:paraId="1FA18DA8" w14:textId="0E670B40" w:rsidR="001F6DEC" w:rsidRDefault="001F6DEC" w:rsidP="00A97634">
      <w:r>
        <w:t>In</w:t>
      </w:r>
      <w:r w:rsidR="000159A6">
        <w:t xml:space="preserve"> </w:t>
      </w:r>
      <w:r w:rsidR="000D0435">
        <w:t>Study</w:t>
      </w:r>
      <w:r w:rsidR="000159A6">
        <w:t xml:space="preserve"> </w:t>
      </w:r>
      <w:r>
        <w:t>ZOSTER</w:t>
      </w:r>
      <w:r w:rsidRPr="004E3AB6">
        <w:t>-003</w:t>
      </w:r>
      <w:r>
        <w:t>,</w:t>
      </w:r>
      <w:r w:rsidR="000159A6">
        <w:t xml:space="preserve"> </w:t>
      </w:r>
      <w:r>
        <w:t>there</w:t>
      </w:r>
      <w:r w:rsidR="000159A6">
        <w:t xml:space="preserve"> </w:t>
      </w:r>
      <w:r>
        <w:t>was</w:t>
      </w:r>
      <w:r w:rsidR="000159A6">
        <w:t xml:space="preserve"> </w:t>
      </w:r>
      <w:r>
        <w:t>a</w:t>
      </w:r>
      <w:r w:rsidR="000159A6">
        <w:t xml:space="preserve"> </w:t>
      </w:r>
      <w:r w:rsidRPr="004E3AB6">
        <w:t>similar</w:t>
      </w:r>
      <w:r w:rsidR="000159A6">
        <w:t xml:space="preserve"> </w:t>
      </w:r>
      <w:r w:rsidRPr="004E3AB6">
        <w:t>CMI</w:t>
      </w:r>
      <w:r w:rsidR="000159A6">
        <w:t xml:space="preserve"> </w:t>
      </w:r>
      <w:r w:rsidRPr="004E3AB6">
        <w:t>response</w:t>
      </w:r>
      <w:r w:rsidR="000159A6">
        <w:t xml:space="preserve"> </w:t>
      </w:r>
      <w:r>
        <w:t>and</w:t>
      </w:r>
      <w:r w:rsidR="000159A6">
        <w:t xml:space="preserve"> </w:t>
      </w:r>
      <w:r w:rsidRPr="004E3AB6">
        <w:t>reactogenic</w:t>
      </w:r>
      <w:r>
        <w:t>ity</w:t>
      </w:r>
      <w:r w:rsidR="000159A6">
        <w:t xml:space="preserve"> </w:t>
      </w:r>
      <w:r>
        <w:t>with</w:t>
      </w:r>
      <w:r w:rsidR="000159A6">
        <w:t xml:space="preserve"> </w:t>
      </w:r>
      <w:r>
        <w:t>both</w:t>
      </w:r>
      <w:r w:rsidR="000159A6">
        <w:t xml:space="preserve"> </w:t>
      </w:r>
      <w:r>
        <w:t>the</w:t>
      </w:r>
      <w:r w:rsidR="000159A6">
        <w:t xml:space="preserve"> </w:t>
      </w:r>
      <w:r>
        <w:t>50</w:t>
      </w:r>
      <w:r w:rsidR="000159A6">
        <w:t xml:space="preserve"> </w:t>
      </w:r>
      <w:r>
        <w:t>µg</w:t>
      </w:r>
      <w:r w:rsidR="000159A6">
        <w:t xml:space="preserve"> </w:t>
      </w:r>
      <w:r>
        <w:t>and</w:t>
      </w:r>
      <w:r w:rsidR="000159A6">
        <w:t xml:space="preserve"> </w:t>
      </w:r>
      <w:r>
        <w:t>100</w:t>
      </w:r>
      <w:r w:rsidR="000159A6">
        <w:t xml:space="preserve"> </w:t>
      </w:r>
      <w:r w:rsidRPr="004E3AB6">
        <w:t>µg</w:t>
      </w:r>
      <w:r w:rsidR="000159A6">
        <w:t xml:space="preserve"> </w:t>
      </w:r>
      <w:r w:rsidRPr="004E3AB6">
        <w:t>antigen</w:t>
      </w:r>
      <w:r w:rsidR="000159A6">
        <w:t xml:space="preserve"> </w:t>
      </w:r>
      <w:r w:rsidRPr="004E3AB6">
        <w:t>doses.</w:t>
      </w:r>
      <w:r w:rsidR="000159A6">
        <w:t xml:space="preserve"> </w:t>
      </w:r>
      <w:r w:rsidRPr="001E19F3">
        <w:t>The</w:t>
      </w:r>
      <w:r w:rsidR="000159A6">
        <w:t xml:space="preserve"> </w:t>
      </w:r>
      <w:r w:rsidRPr="001E19F3">
        <w:t>25</w:t>
      </w:r>
      <w:r w:rsidR="000159A6">
        <w:t xml:space="preserve"> </w:t>
      </w:r>
      <w:r w:rsidRPr="001E19F3">
        <w:t>µg</w:t>
      </w:r>
      <w:r w:rsidR="000159A6">
        <w:t xml:space="preserve"> </w:t>
      </w:r>
      <w:proofErr w:type="gramStart"/>
      <w:r w:rsidRPr="001E19F3">
        <w:t>gE</w:t>
      </w:r>
      <w:proofErr w:type="gramEnd"/>
      <w:r w:rsidR="000159A6">
        <w:t xml:space="preserve"> </w:t>
      </w:r>
      <w:r w:rsidRPr="001E19F3">
        <w:t>dose</w:t>
      </w:r>
      <w:r w:rsidR="000159A6">
        <w:t xml:space="preserve"> </w:t>
      </w:r>
      <w:r w:rsidRPr="001E19F3">
        <w:t>was</w:t>
      </w:r>
      <w:r w:rsidR="000159A6">
        <w:t xml:space="preserve"> </w:t>
      </w:r>
      <w:r w:rsidRPr="001E19F3">
        <w:t>inferior</w:t>
      </w:r>
      <w:r w:rsidR="000159A6">
        <w:t xml:space="preserve"> </w:t>
      </w:r>
      <w:r w:rsidRPr="001E19F3">
        <w:t>to</w:t>
      </w:r>
      <w:r w:rsidR="000159A6">
        <w:t xml:space="preserve"> </w:t>
      </w:r>
      <w:r w:rsidRPr="001E19F3">
        <w:t>the</w:t>
      </w:r>
      <w:r w:rsidR="000159A6">
        <w:t xml:space="preserve"> </w:t>
      </w:r>
      <w:r>
        <w:t>higher</w:t>
      </w:r>
      <w:r w:rsidR="000159A6">
        <w:t xml:space="preserve"> </w:t>
      </w:r>
      <w:r>
        <w:t>doses</w:t>
      </w:r>
      <w:r w:rsidR="000159A6">
        <w:t xml:space="preserve"> </w:t>
      </w:r>
      <w:r w:rsidRPr="001E19F3">
        <w:t>in</w:t>
      </w:r>
      <w:r w:rsidR="000159A6">
        <w:t xml:space="preserve"> </w:t>
      </w:r>
      <w:r w:rsidRPr="001E19F3">
        <w:t>terms</w:t>
      </w:r>
      <w:r w:rsidR="000159A6">
        <w:t xml:space="preserve"> </w:t>
      </w:r>
      <w:r w:rsidRPr="001E19F3">
        <w:t>of</w:t>
      </w:r>
      <w:r w:rsidR="000159A6">
        <w:t xml:space="preserve"> </w:t>
      </w:r>
      <w:r w:rsidRPr="001E19F3">
        <w:t>CMI</w:t>
      </w:r>
      <w:r w:rsidR="000159A6">
        <w:t xml:space="preserve"> </w:t>
      </w:r>
      <w:r w:rsidRPr="001E19F3">
        <w:t>response</w:t>
      </w:r>
      <w:r>
        <w:t>.</w:t>
      </w:r>
      <w:r w:rsidR="000159A6">
        <w:t xml:space="preserve"> </w:t>
      </w:r>
      <w:r w:rsidRPr="001E19F3">
        <w:t>The</w:t>
      </w:r>
      <w:r w:rsidRPr="004E3AB6">
        <w:t>refore</w:t>
      </w:r>
      <w:r>
        <w:t>,</w:t>
      </w:r>
      <w:r w:rsidR="000159A6">
        <w:t xml:space="preserve"> </w:t>
      </w:r>
      <w:r w:rsidRPr="004E3AB6">
        <w:t>the</w:t>
      </w:r>
      <w:r w:rsidR="000159A6">
        <w:t xml:space="preserve"> </w:t>
      </w:r>
      <w:r w:rsidRPr="004E3AB6">
        <w:t>dose</w:t>
      </w:r>
      <w:r w:rsidR="000159A6">
        <w:t xml:space="preserve"> </w:t>
      </w:r>
      <w:r w:rsidRPr="004E3AB6">
        <w:t>of</w:t>
      </w:r>
      <w:r w:rsidR="000159A6">
        <w:t xml:space="preserve"> </w:t>
      </w:r>
      <w:r w:rsidRPr="004E3AB6">
        <w:t>50</w:t>
      </w:r>
      <w:r w:rsidR="000159A6">
        <w:t xml:space="preserve"> </w:t>
      </w:r>
      <w:r w:rsidRPr="004E3AB6">
        <w:t>µg</w:t>
      </w:r>
      <w:r w:rsidR="000159A6">
        <w:t xml:space="preserve"> </w:t>
      </w:r>
      <w:r w:rsidRPr="004E3AB6">
        <w:t>was</w:t>
      </w:r>
      <w:r w:rsidR="000159A6">
        <w:t xml:space="preserve"> </w:t>
      </w:r>
      <w:r w:rsidRPr="004E3AB6">
        <w:t>selected</w:t>
      </w:r>
      <w:r w:rsidR="000159A6">
        <w:t xml:space="preserve"> </w:t>
      </w:r>
      <w:r w:rsidRPr="004E3AB6">
        <w:t>for</w:t>
      </w:r>
      <w:r w:rsidR="000159A6">
        <w:t xml:space="preserve"> </w:t>
      </w:r>
      <w:r w:rsidRPr="004E3AB6">
        <w:t>further</w:t>
      </w:r>
      <w:r w:rsidR="000159A6">
        <w:t xml:space="preserve"> </w:t>
      </w:r>
      <w:r w:rsidRPr="004E3AB6">
        <w:t>development</w:t>
      </w:r>
      <w:r>
        <w:t>.</w:t>
      </w:r>
    </w:p>
    <w:p w14:paraId="0354617E" w14:textId="415A8050" w:rsidR="001F6DEC" w:rsidRDefault="001F6DEC" w:rsidP="001F6DEC">
      <w:pPr>
        <w:rPr>
          <w:lang w:eastAsia="ja-JP"/>
        </w:rPr>
      </w:pPr>
      <w:r w:rsidRPr="004E3AB6">
        <w:t>The</w:t>
      </w:r>
      <w:r w:rsidR="000159A6">
        <w:t xml:space="preserve"> </w:t>
      </w:r>
      <w:r w:rsidRPr="004E3AB6">
        <w:t>presence</w:t>
      </w:r>
      <w:r w:rsidR="000159A6">
        <w:t xml:space="preserve"> </w:t>
      </w:r>
      <w:r w:rsidRPr="004E3AB6">
        <w:t>of</w:t>
      </w:r>
      <w:r w:rsidR="000159A6">
        <w:t xml:space="preserve"> </w:t>
      </w:r>
      <w:r w:rsidR="00503D1B">
        <w:t>AS01</w:t>
      </w:r>
      <w:r w:rsidR="00503D1B" w:rsidRPr="00570F2D">
        <w:rPr>
          <w:vertAlign w:val="subscript"/>
        </w:rPr>
        <w:t>B</w:t>
      </w:r>
      <w:r w:rsidR="000159A6">
        <w:t xml:space="preserve"> </w:t>
      </w:r>
      <w:r>
        <w:t>adjuvant</w:t>
      </w:r>
      <w:r w:rsidR="000159A6">
        <w:t xml:space="preserve"> </w:t>
      </w:r>
      <w:r w:rsidRPr="004E3AB6">
        <w:t>resulted</w:t>
      </w:r>
      <w:r w:rsidR="000159A6">
        <w:t xml:space="preserve"> </w:t>
      </w:r>
      <w:r w:rsidRPr="004E3AB6">
        <w:t>in</w:t>
      </w:r>
      <w:r w:rsidR="000159A6">
        <w:t xml:space="preserve"> </w:t>
      </w:r>
      <w:r w:rsidRPr="004E3AB6">
        <w:t>a</w:t>
      </w:r>
      <w:r w:rsidR="000159A6">
        <w:t xml:space="preserve"> </w:t>
      </w:r>
      <w:r w:rsidRPr="004E3AB6">
        <w:t>superior</w:t>
      </w:r>
      <w:r w:rsidR="000159A6">
        <w:t xml:space="preserve"> </w:t>
      </w:r>
      <w:r w:rsidRPr="004E3AB6">
        <w:t>immune</w:t>
      </w:r>
      <w:r w:rsidR="000159A6">
        <w:t xml:space="preserve"> </w:t>
      </w:r>
      <w:r w:rsidRPr="004E3AB6">
        <w:t>response</w:t>
      </w:r>
      <w:r w:rsidR="000159A6">
        <w:t xml:space="preserve"> </w:t>
      </w:r>
      <w:r w:rsidRPr="004E3AB6">
        <w:t>but</w:t>
      </w:r>
      <w:r w:rsidR="000159A6">
        <w:t xml:space="preserve"> </w:t>
      </w:r>
      <w:r w:rsidRPr="004E3AB6">
        <w:t>also</w:t>
      </w:r>
      <w:r w:rsidR="000159A6">
        <w:t xml:space="preserve"> </w:t>
      </w:r>
      <w:r w:rsidRPr="004E3AB6">
        <w:t>increased</w:t>
      </w:r>
      <w:r w:rsidR="000159A6">
        <w:t xml:space="preserve"> </w:t>
      </w:r>
      <w:r>
        <w:rPr>
          <w:lang w:eastAsia="ja-JP"/>
        </w:rPr>
        <w:t>reactogenicity</w:t>
      </w:r>
      <w:r>
        <w:t>.</w:t>
      </w:r>
      <w:r w:rsidR="000159A6">
        <w:t xml:space="preserve"> </w:t>
      </w:r>
      <w:r>
        <w:rPr>
          <w:lang w:eastAsia="ja-JP"/>
        </w:rPr>
        <w:t>The</w:t>
      </w:r>
      <w:r w:rsidR="000159A6">
        <w:rPr>
          <w:lang w:eastAsia="ja-JP"/>
        </w:rPr>
        <w:t xml:space="preserve"> </w:t>
      </w:r>
      <w:r>
        <w:rPr>
          <w:lang w:eastAsia="ja-JP"/>
        </w:rPr>
        <w:t>full</w:t>
      </w:r>
      <w:r w:rsidR="000159A6">
        <w:rPr>
          <w:lang w:eastAsia="ja-JP"/>
        </w:rPr>
        <w:t xml:space="preserve"> </w:t>
      </w:r>
      <w:r>
        <w:rPr>
          <w:lang w:eastAsia="ja-JP"/>
        </w:rPr>
        <w:t>dose</w:t>
      </w:r>
      <w:r w:rsidR="000159A6">
        <w:rPr>
          <w:lang w:eastAsia="ja-JP"/>
        </w:rPr>
        <w:t xml:space="preserve"> </w:t>
      </w:r>
      <w:r w:rsidR="00503D1B">
        <w:t>AS01</w:t>
      </w:r>
      <w:r w:rsidR="00503D1B" w:rsidRPr="00570F2D">
        <w:rPr>
          <w:vertAlign w:val="subscript"/>
        </w:rPr>
        <w:t>B</w:t>
      </w:r>
      <w:r w:rsidR="000159A6">
        <w:rPr>
          <w:lang w:eastAsia="ja-JP"/>
        </w:rPr>
        <w:t xml:space="preserve"> </w:t>
      </w:r>
      <w:r>
        <w:rPr>
          <w:lang w:eastAsia="ja-JP"/>
        </w:rPr>
        <w:t>resulted</w:t>
      </w:r>
      <w:r w:rsidR="000159A6">
        <w:rPr>
          <w:lang w:eastAsia="ja-JP"/>
        </w:rPr>
        <w:t xml:space="preserve"> </w:t>
      </w:r>
      <w:r>
        <w:rPr>
          <w:lang w:eastAsia="ja-JP"/>
        </w:rPr>
        <w:t>in</w:t>
      </w:r>
      <w:r w:rsidR="000159A6">
        <w:rPr>
          <w:lang w:eastAsia="ja-JP"/>
        </w:rPr>
        <w:t xml:space="preserve"> </w:t>
      </w:r>
      <w:r>
        <w:rPr>
          <w:lang w:eastAsia="ja-JP"/>
        </w:rPr>
        <w:t>an</w:t>
      </w:r>
      <w:r w:rsidR="000159A6">
        <w:rPr>
          <w:lang w:eastAsia="ja-JP"/>
        </w:rPr>
        <w:t xml:space="preserve"> </w:t>
      </w:r>
      <w:r>
        <w:rPr>
          <w:lang w:eastAsia="ja-JP"/>
        </w:rPr>
        <w:t>increased</w:t>
      </w:r>
      <w:r w:rsidR="000159A6">
        <w:rPr>
          <w:lang w:eastAsia="ja-JP"/>
        </w:rPr>
        <w:t xml:space="preserve"> </w:t>
      </w:r>
      <w:r>
        <w:rPr>
          <w:lang w:eastAsia="ja-JP"/>
        </w:rPr>
        <w:t>immune</w:t>
      </w:r>
      <w:r w:rsidR="000159A6">
        <w:rPr>
          <w:lang w:eastAsia="ja-JP"/>
        </w:rPr>
        <w:t xml:space="preserve"> </w:t>
      </w:r>
      <w:r>
        <w:rPr>
          <w:lang w:eastAsia="ja-JP"/>
        </w:rPr>
        <w:t>response</w:t>
      </w:r>
      <w:r w:rsidR="000159A6">
        <w:rPr>
          <w:lang w:eastAsia="ja-JP"/>
        </w:rPr>
        <w:t xml:space="preserve"> </w:t>
      </w:r>
      <w:r>
        <w:rPr>
          <w:lang w:eastAsia="ja-JP"/>
        </w:rPr>
        <w:t>(CMI</w:t>
      </w:r>
      <w:r w:rsidR="000159A6">
        <w:rPr>
          <w:lang w:eastAsia="ja-JP"/>
        </w:rPr>
        <w:t xml:space="preserve"> </w:t>
      </w:r>
      <w:r>
        <w:rPr>
          <w:lang w:eastAsia="ja-JP"/>
        </w:rPr>
        <w:t>and</w:t>
      </w:r>
      <w:r w:rsidR="000159A6">
        <w:rPr>
          <w:lang w:eastAsia="ja-JP"/>
        </w:rPr>
        <w:t xml:space="preserve"> </w:t>
      </w:r>
      <w:r>
        <w:rPr>
          <w:lang w:eastAsia="ja-JP"/>
        </w:rPr>
        <w:t>humoral)</w:t>
      </w:r>
      <w:r w:rsidR="000159A6">
        <w:rPr>
          <w:lang w:eastAsia="ja-JP"/>
        </w:rPr>
        <w:t xml:space="preserve"> </w:t>
      </w:r>
      <w:r>
        <w:rPr>
          <w:lang w:eastAsia="ja-JP"/>
        </w:rPr>
        <w:t>compared</w:t>
      </w:r>
      <w:r w:rsidR="000159A6">
        <w:rPr>
          <w:lang w:eastAsia="ja-JP"/>
        </w:rPr>
        <w:t xml:space="preserve"> </w:t>
      </w:r>
      <w:r>
        <w:rPr>
          <w:lang w:eastAsia="ja-JP"/>
        </w:rPr>
        <w:t>to</w:t>
      </w:r>
      <w:r w:rsidR="000159A6">
        <w:rPr>
          <w:lang w:eastAsia="ja-JP"/>
        </w:rPr>
        <w:t xml:space="preserve"> </w:t>
      </w:r>
      <w:r>
        <w:rPr>
          <w:lang w:eastAsia="ja-JP"/>
        </w:rPr>
        <w:t>half</w:t>
      </w:r>
      <w:r w:rsidR="000159A6">
        <w:rPr>
          <w:lang w:eastAsia="ja-JP"/>
        </w:rPr>
        <w:t xml:space="preserve"> </w:t>
      </w:r>
      <w:r>
        <w:rPr>
          <w:lang w:eastAsia="ja-JP"/>
        </w:rPr>
        <w:t>strength</w:t>
      </w:r>
      <w:r w:rsidR="000159A6">
        <w:rPr>
          <w:lang w:eastAsia="ja-JP"/>
        </w:rPr>
        <w:t xml:space="preserve"> </w:t>
      </w:r>
      <w:r>
        <w:rPr>
          <w:lang w:eastAsia="ja-JP"/>
        </w:rPr>
        <w:t>dose</w:t>
      </w:r>
      <w:r w:rsidR="000159A6">
        <w:rPr>
          <w:lang w:eastAsia="ja-JP"/>
        </w:rPr>
        <w:t xml:space="preserve"> </w:t>
      </w:r>
      <w:r>
        <w:rPr>
          <w:lang w:eastAsia="ja-JP"/>
        </w:rPr>
        <w:t>and</w:t>
      </w:r>
      <w:r w:rsidR="000159A6">
        <w:rPr>
          <w:lang w:eastAsia="ja-JP"/>
        </w:rPr>
        <w:t xml:space="preserve"> </w:t>
      </w:r>
      <w:r>
        <w:rPr>
          <w:lang w:eastAsia="ja-JP"/>
        </w:rPr>
        <w:t>was</w:t>
      </w:r>
      <w:r w:rsidR="000159A6">
        <w:rPr>
          <w:lang w:eastAsia="ja-JP"/>
        </w:rPr>
        <w:t xml:space="preserve"> </w:t>
      </w:r>
      <w:r>
        <w:rPr>
          <w:lang w:eastAsia="ja-JP"/>
        </w:rPr>
        <w:t>selected</w:t>
      </w:r>
      <w:r w:rsidR="000159A6">
        <w:rPr>
          <w:lang w:eastAsia="ja-JP"/>
        </w:rPr>
        <w:t xml:space="preserve"> </w:t>
      </w:r>
      <w:r>
        <w:rPr>
          <w:lang w:eastAsia="ja-JP"/>
        </w:rPr>
        <w:t>for</w:t>
      </w:r>
      <w:r w:rsidR="000159A6">
        <w:rPr>
          <w:lang w:eastAsia="ja-JP"/>
        </w:rPr>
        <w:t xml:space="preserve"> </w:t>
      </w:r>
      <w:r>
        <w:rPr>
          <w:lang w:eastAsia="ja-JP"/>
        </w:rPr>
        <w:t>further</w:t>
      </w:r>
      <w:r w:rsidR="000159A6">
        <w:rPr>
          <w:lang w:eastAsia="ja-JP"/>
        </w:rPr>
        <w:t xml:space="preserve"> </w:t>
      </w:r>
      <w:r>
        <w:rPr>
          <w:lang w:eastAsia="ja-JP"/>
        </w:rPr>
        <w:t>development.</w:t>
      </w:r>
    </w:p>
    <w:p w14:paraId="72D7BCAC" w14:textId="77610D38" w:rsidR="001F6DEC" w:rsidRDefault="001F6DEC" w:rsidP="001F6DEC">
      <w:pPr>
        <w:rPr>
          <w:lang w:eastAsia="ja-JP"/>
        </w:rPr>
      </w:pPr>
      <w:r>
        <w:rPr>
          <w:lang w:eastAsia="ja-JP"/>
        </w:rPr>
        <w:t>Based</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rPr>
          <w:lang w:eastAsia="ja-JP"/>
        </w:rPr>
        <w:t>presented</w:t>
      </w:r>
      <w:r w:rsidR="000159A6">
        <w:rPr>
          <w:lang w:eastAsia="ja-JP"/>
        </w:rPr>
        <w:t xml:space="preserve"> </w:t>
      </w:r>
      <w:r>
        <w:rPr>
          <w:lang w:eastAsia="ja-JP"/>
        </w:rPr>
        <w:t>clinical</w:t>
      </w:r>
      <w:r w:rsidR="000159A6">
        <w:rPr>
          <w:lang w:eastAsia="ja-JP"/>
        </w:rPr>
        <w:t xml:space="preserve"> </w:t>
      </w:r>
      <w:r>
        <w:rPr>
          <w:lang w:eastAsia="ja-JP"/>
        </w:rPr>
        <w:t>immunogenicity</w:t>
      </w:r>
      <w:r w:rsidR="000159A6">
        <w:rPr>
          <w:lang w:eastAsia="ja-JP"/>
        </w:rPr>
        <w:t xml:space="preserve"> </w:t>
      </w:r>
      <w:r>
        <w:rPr>
          <w:lang w:eastAsia="ja-JP"/>
        </w:rPr>
        <w:t>data,</w:t>
      </w:r>
      <w:r w:rsidR="000159A6">
        <w:rPr>
          <w:lang w:eastAsia="ja-JP"/>
        </w:rPr>
        <w:t xml:space="preserve"> </w:t>
      </w:r>
      <w:r>
        <w:rPr>
          <w:lang w:eastAsia="ja-JP"/>
        </w:rPr>
        <w:t>the</w:t>
      </w:r>
      <w:r w:rsidR="000159A6">
        <w:rPr>
          <w:lang w:eastAsia="ja-JP"/>
        </w:rPr>
        <w:t xml:space="preserve"> </w:t>
      </w:r>
      <w:r>
        <w:rPr>
          <w:lang w:eastAsia="ja-JP"/>
        </w:rPr>
        <w:t>evaluator</w:t>
      </w:r>
      <w:r w:rsidR="000159A6">
        <w:rPr>
          <w:lang w:eastAsia="ja-JP"/>
        </w:rPr>
        <w:t xml:space="preserve"> </w:t>
      </w:r>
      <w:r>
        <w:rPr>
          <w:lang w:eastAsia="ja-JP"/>
        </w:rPr>
        <w:t>agrees</w:t>
      </w:r>
      <w:r w:rsidR="000159A6">
        <w:rPr>
          <w:lang w:eastAsia="ja-JP"/>
        </w:rPr>
        <w:t xml:space="preserve"> </w:t>
      </w:r>
      <w:r>
        <w:rPr>
          <w:lang w:eastAsia="ja-JP"/>
        </w:rPr>
        <w:t>with</w:t>
      </w:r>
      <w:r w:rsidR="000159A6">
        <w:rPr>
          <w:lang w:eastAsia="ja-JP"/>
        </w:rPr>
        <w:t xml:space="preserve"> </w:t>
      </w:r>
      <w:r>
        <w:rPr>
          <w:lang w:eastAsia="ja-JP"/>
        </w:rPr>
        <w:t>the</w:t>
      </w:r>
      <w:r w:rsidR="000159A6">
        <w:rPr>
          <w:lang w:eastAsia="ja-JP"/>
        </w:rPr>
        <w:t xml:space="preserve"> </w:t>
      </w:r>
      <w:r>
        <w:rPr>
          <w:lang w:eastAsia="ja-JP"/>
        </w:rPr>
        <w:t>sponsor’s</w:t>
      </w:r>
      <w:r w:rsidR="000159A6">
        <w:rPr>
          <w:lang w:eastAsia="ja-JP"/>
        </w:rPr>
        <w:t xml:space="preserve"> </w:t>
      </w:r>
      <w:r>
        <w:rPr>
          <w:lang w:eastAsia="ja-JP"/>
        </w:rPr>
        <w:t>dose</w:t>
      </w:r>
      <w:r w:rsidR="000159A6">
        <w:rPr>
          <w:lang w:eastAsia="ja-JP"/>
        </w:rPr>
        <w:t xml:space="preserve"> </w:t>
      </w:r>
      <w:r>
        <w:rPr>
          <w:lang w:eastAsia="ja-JP"/>
        </w:rPr>
        <w:t>selection</w:t>
      </w:r>
      <w:r w:rsidR="000159A6">
        <w:rPr>
          <w:lang w:eastAsia="ja-JP"/>
        </w:rPr>
        <w:t xml:space="preserve"> </w:t>
      </w:r>
      <w:r>
        <w:rPr>
          <w:lang w:eastAsia="ja-JP"/>
        </w:rPr>
        <w:t>for</w:t>
      </w:r>
      <w:r w:rsidR="000159A6">
        <w:rPr>
          <w:lang w:eastAsia="ja-JP"/>
        </w:rPr>
        <w:t xml:space="preserve"> </w:t>
      </w:r>
      <w:r>
        <w:rPr>
          <w:lang w:eastAsia="ja-JP"/>
        </w:rPr>
        <w:t>use</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Phase</w:t>
      </w:r>
      <w:r w:rsidR="000159A6">
        <w:rPr>
          <w:lang w:eastAsia="ja-JP"/>
        </w:rPr>
        <w:t xml:space="preserve"> </w:t>
      </w:r>
      <w:r>
        <w:rPr>
          <w:lang w:eastAsia="ja-JP"/>
        </w:rPr>
        <w:t>III</w:t>
      </w:r>
      <w:r w:rsidR="000159A6">
        <w:rPr>
          <w:lang w:eastAsia="ja-JP"/>
        </w:rPr>
        <w:t xml:space="preserve"> </w:t>
      </w:r>
      <w:r>
        <w:rPr>
          <w:lang w:eastAsia="ja-JP"/>
        </w:rPr>
        <w:t>program.</w:t>
      </w:r>
    </w:p>
    <w:p w14:paraId="24034F49" w14:textId="689F9531" w:rsidR="001F6DEC" w:rsidRDefault="001F6DEC" w:rsidP="00A97634">
      <w:r>
        <w:rPr>
          <w:lang w:eastAsia="ja-JP"/>
        </w:rPr>
        <w:t>Two</w:t>
      </w:r>
      <w:r w:rsidR="000159A6">
        <w:rPr>
          <w:lang w:eastAsia="ja-JP"/>
        </w:rPr>
        <w:t xml:space="preserve"> </w:t>
      </w:r>
      <w:r>
        <w:rPr>
          <w:lang w:eastAsia="ja-JP"/>
        </w:rPr>
        <w:t>doses</w:t>
      </w:r>
      <w:r w:rsidR="000159A6">
        <w:rPr>
          <w:lang w:eastAsia="ja-JP"/>
        </w:rPr>
        <w:t xml:space="preserve"> </w:t>
      </w:r>
      <w:r>
        <w:rPr>
          <w:lang w:eastAsia="ja-JP"/>
        </w:rPr>
        <w:t>of</w:t>
      </w:r>
      <w:r w:rsidR="000159A6">
        <w:rPr>
          <w:lang w:eastAsia="ja-JP"/>
        </w:rPr>
        <w:t xml:space="preserve"> </w:t>
      </w:r>
      <w:r>
        <w:rPr>
          <w:lang w:eastAsia="ja-JP"/>
        </w:rPr>
        <w:t>vaccine</w:t>
      </w:r>
      <w:r w:rsidR="000159A6">
        <w:rPr>
          <w:lang w:eastAsia="ja-JP"/>
        </w:rPr>
        <w:t xml:space="preserve"> </w:t>
      </w:r>
      <w:r>
        <w:rPr>
          <w:lang w:eastAsia="ja-JP"/>
        </w:rPr>
        <w:t>resulted</w:t>
      </w:r>
      <w:r w:rsidR="000159A6">
        <w:rPr>
          <w:lang w:eastAsia="ja-JP"/>
        </w:rPr>
        <w:t xml:space="preserve"> </w:t>
      </w:r>
      <w:r>
        <w:rPr>
          <w:lang w:eastAsia="ja-JP"/>
        </w:rPr>
        <w:t>in</w:t>
      </w:r>
      <w:r w:rsidR="000159A6">
        <w:rPr>
          <w:lang w:eastAsia="ja-JP"/>
        </w:rPr>
        <w:t xml:space="preserve"> </w:t>
      </w:r>
      <w:r>
        <w:rPr>
          <w:lang w:eastAsia="ja-JP"/>
        </w:rPr>
        <w:t>an</w:t>
      </w:r>
      <w:r w:rsidR="000159A6">
        <w:rPr>
          <w:lang w:eastAsia="ja-JP"/>
        </w:rPr>
        <w:t xml:space="preserve"> </w:t>
      </w:r>
      <w:r>
        <w:rPr>
          <w:lang w:eastAsia="ja-JP"/>
        </w:rPr>
        <w:t>improved</w:t>
      </w:r>
      <w:r w:rsidR="000159A6">
        <w:rPr>
          <w:lang w:eastAsia="ja-JP"/>
        </w:rPr>
        <w:t xml:space="preserve"> </w:t>
      </w:r>
      <w:r>
        <w:rPr>
          <w:lang w:eastAsia="ja-JP"/>
        </w:rPr>
        <w:t>response</w:t>
      </w:r>
      <w:r w:rsidR="000159A6">
        <w:rPr>
          <w:lang w:eastAsia="ja-JP"/>
        </w:rPr>
        <w:t xml:space="preserve"> </w:t>
      </w:r>
      <w:r>
        <w:rPr>
          <w:lang w:eastAsia="ja-JP"/>
        </w:rPr>
        <w:t>compared</w:t>
      </w:r>
      <w:r w:rsidR="000159A6">
        <w:rPr>
          <w:lang w:eastAsia="ja-JP"/>
        </w:rPr>
        <w:t xml:space="preserve"> </w:t>
      </w:r>
      <w:r>
        <w:rPr>
          <w:lang w:eastAsia="ja-JP"/>
        </w:rPr>
        <w:t>to</w:t>
      </w:r>
      <w:r w:rsidR="000159A6">
        <w:rPr>
          <w:lang w:eastAsia="ja-JP"/>
        </w:rPr>
        <w:t xml:space="preserve"> </w:t>
      </w:r>
      <w:r>
        <w:rPr>
          <w:lang w:eastAsia="ja-JP"/>
        </w:rPr>
        <w:t>a</w:t>
      </w:r>
      <w:r w:rsidR="000159A6">
        <w:rPr>
          <w:lang w:eastAsia="ja-JP"/>
        </w:rPr>
        <w:t xml:space="preserve"> </w:t>
      </w:r>
      <w:r>
        <w:rPr>
          <w:lang w:eastAsia="ja-JP"/>
        </w:rPr>
        <w:t>single</w:t>
      </w:r>
      <w:r w:rsidR="000159A6">
        <w:rPr>
          <w:lang w:eastAsia="ja-JP"/>
        </w:rPr>
        <w:t xml:space="preserve"> </w:t>
      </w:r>
      <w:r>
        <w:rPr>
          <w:lang w:eastAsia="ja-JP"/>
        </w:rPr>
        <w:t>dose</w:t>
      </w:r>
      <w:r w:rsidR="000159A6">
        <w:rPr>
          <w:lang w:eastAsia="ja-JP"/>
        </w:rPr>
        <w:t xml:space="preserve"> </w:t>
      </w:r>
      <w:r>
        <w:rPr>
          <w:lang w:eastAsia="ja-JP"/>
        </w:rPr>
        <w:t>(</w:t>
      </w:r>
      <w:r w:rsidR="00525235">
        <w:rPr>
          <w:lang w:eastAsia="ja-JP"/>
        </w:rPr>
        <w:t>Studies</w:t>
      </w:r>
      <w:r w:rsidR="000159A6">
        <w:rPr>
          <w:lang w:eastAsia="ja-JP"/>
        </w:rPr>
        <w:t xml:space="preserve"> </w:t>
      </w:r>
      <w:r w:rsidR="00525235">
        <w:rPr>
          <w:lang w:eastAsia="ja-JP"/>
        </w:rPr>
        <w:t>ZOSTER</w:t>
      </w:r>
      <w:r>
        <w:rPr>
          <w:lang w:eastAsia="ja-JP"/>
        </w:rPr>
        <w:t>-003,</w:t>
      </w:r>
      <w:r w:rsidR="000159A6">
        <w:rPr>
          <w:lang w:eastAsia="ja-JP"/>
        </w:rPr>
        <w:t xml:space="preserve"> </w:t>
      </w:r>
      <w:r>
        <w:rPr>
          <w:lang w:eastAsia="ja-JP"/>
        </w:rPr>
        <w:t>ZOSTER-026</w:t>
      </w:r>
      <w:r w:rsidR="000159A6">
        <w:rPr>
          <w:lang w:eastAsia="ja-JP"/>
        </w:rPr>
        <w:t xml:space="preserve"> </w:t>
      </w:r>
      <w:r>
        <w:rPr>
          <w:lang w:eastAsia="ja-JP"/>
        </w:rPr>
        <w:t>and</w:t>
      </w:r>
      <w:r w:rsidR="000159A6">
        <w:rPr>
          <w:lang w:eastAsia="ja-JP"/>
        </w:rPr>
        <w:t xml:space="preserve"> </w:t>
      </w:r>
      <w:r>
        <w:rPr>
          <w:lang w:eastAsia="ja-JP"/>
        </w:rPr>
        <w:t>EXPLO</w:t>
      </w:r>
      <w:r w:rsidR="000159A6">
        <w:rPr>
          <w:lang w:eastAsia="ja-JP"/>
        </w:rPr>
        <w:t xml:space="preserve"> </w:t>
      </w:r>
      <w:r>
        <w:rPr>
          <w:lang w:eastAsia="ja-JP"/>
        </w:rPr>
        <w:t>CRD-004).</w:t>
      </w:r>
      <w:r w:rsidR="000159A6">
        <w:rPr>
          <w:lang w:eastAsia="ja-JP"/>
        </w:rPr>
        <w:t xml:space="preserve"> </w:t>
      </w:r>
      <w:r>
        <w:t>While</w:t>
      </w:r>
      <w:r w:rsidR="000159A6">
        <w:t xml:space="preserve"> </w:t>
      </w:r>
      <w:r>
        <w:t>the</w:t>
      </w:r>
      <w:r w:rsidR="000159A6">
        <w:t xml:space="preserve"> </w:t>
      </w:r>
      <w:r>
        <w:t>vaccine</w:t>
      </w:r>
      <w:r w:rsidR="000159A6">
        <w:t xml:space="preserve"> </w:t>
      </w:r>
      <w:r>
        <w:t>dosing</w:t>
      </w:r>
      <w:r w:rsidR="000159A6">
        <w:t xml:space="preserve"> </w:t>
      </w:r>
      <w:r>
        <w:t>interval</w:t>
      </w:r>
      <w:r w:rsidR="000159A6">
        <w:t xml:space="preserve"> </w:t>
      </w:r>
      <w:r>
        <w:t>could</w:t>
      </w:r>
      <w:r w:rsidR="000159A6">
        <w:t xml:space="preserve"> </w:t>
      </w:r>
      <w:r>
        <w:t>be</w:t>
      </w:r>
      <w:r w:rsidR="000159A6">
        <w:t xml:space="preserve"> </w:t>
      </w:r>
      <w:r>
        <w:t>extended</w:t>
      </w:r>
      <w:r w:rsidR="000159A6">
        <w:t xml:space="preserve"> </w:t>
      </w:r>
      <w:r>
        <w:t>to</w:t>
      </w:r>
      <w:r w:rsidR="000159A6">
        <w:t xml:space="preserve"> </w:t>
      </w:r>
      <w:r>
        <w:t>6</w:t>
      </w:r>
      <w:r w:rsidR="000159A6">
        <w:t xml:space="preserve"> </w:t>
      </w:r>
      <w:r>
        <w:t>months</w:t>
      </w:r>
      <w:r w:rsidR="000159A6">
        <w:t xml:space="preserve"> </w:t>
      </w:r>
      <w:r>
        <w:t>based</w:t>
      </w:r>
      <w:r w:rsidR="000159A6">
        <w:t xml:space="preserve"> </w:t>
      </w:r>
      <w:r>
        <w:t>on</w:t>
      </w:r>
      <w:r w:rsidR="000159A6">
        <w:t xml:space="preserve"> </w:t>
      </w:r>
      <w:r>
        <w:t>non-inferior</w:t>
      </w:r>
      <w:r w:rsidR="000159A6">
        <w:t xml:space="preserve"> </w:t>
      </w:r>
      <w:r>
        <w:t>immunogenicity</w:t>
      </w:r>
      <w:r w:rsidR="000159A6">
        <w:t xml:space="preserve"> </w:t>
      </w:r>
      <w:r>
        <w:t>data,</w:t>
      </w:r>
      <w:r w:rsidR="000159A6">
        <w:t xml:space="preserve"> </w:t>
      </w:r>
      <w:r>
        <w:t>until</w:t>
      </w:r>
      <w:r w:rsidR="000159A6">
        <w:t xml:space="preserve"> </w:t>
      </w:r>
      <w:r>
        <w:t>there</w:t>
      </w:r>
      <w:r w:rsidR="000159A6">
        <w:t xml:space="preserve"> </w:t>
      </w:r>
      <w:r>
        <w:t>are</w:t>
      </w:r>
      <w:r w:rsidR="000159A6">
        <w:t xml:space="preserve"> </w:t>
      </w:r>
      <w:r>
        <w:t>data</w:t>
      </w:r>
      <w:r w:rsidR="000159A6">
        <w:t xml:space="preserve"> </w:t>
      </w:r>
      <w:r>
        <w:t>linking</w:t>
      </w:r>
      <w:r w:rsidR="000159A6">
        <w:t xml:space="preserve"> </w:t>
      </w:r>
      <w:r>
        <w:t>immunogenicity</w:t>
      </w:r>
      <w:r w:rsidR="000159A6">
        <w:t xml:space="preserve"> </w:t>
      </w:r>
      <w:r>
        <w:t>to</w:t>
      </w:r>
      <w:r w:rsidR="000159A6">
        <w:t xml:space="preserve"> </w:t>
      </w:r>
      <w:r>
        <w:t>efficacy</w:t>
      </w:r>
      <w:r w:rsidR="000159A6">
        <w:t xml:space="preserve"> </w:t>
      </w:r>
      <w:r>
        <w:t>the</w:t>
      </w:r>
      <w:r w:rsidR="000159A6">
        <w:t xml:space="preserve"> </w:t>
      </w:r>
      <w:r>
        <w:t>evaluator</w:t>
      </w:r>
      <w:r w:rsidR="000159A6">
        <w:t xml:space="preserve"> </w:t>
      </w:r>
      <w:r>
        <w:t>believes</w:t>
      </w:r>
      <w:r w:rsidR="000159A6">
        <w:t xml:space="preserve"> </w:t>
      </w:r>
      <w:r>
        <w:t>that</w:t>
      </w:r>
      <w:r w:rsidR="000159A6">
        <w:t xml:space="preserve"> </w:t>
      </w:r>
      <w:r>
        <w:t>only</w:t>
      </w:r>
      <w:r w:rsidR="000159A6">
        <w:t xml:space="preserve"> </w:t>
      </w:r>
      <w:r>
        <w:t>the</w:t>
      </w:r>
      <w:r w:rsidR="000159A6">
        <w:t xml:space="preserve"> </w:t>
      </w:r>
      <w:r>
        <w:t>2</w:t>
      </w:r>
      <w:r w:rsidR="000159A6">
        <w:t xml:space="preserve"> </w:t>
      </w:r>
      <w:r>
        <w:t>month</w:t>
      </w:r>
      <w:r w:rsidR="000159A6">
        <w:t xml:space="preserve"> </w:t>
      </w:r>
      <w:r>
        <w:t>dosing</w:t>
      </w:r>
      <w:r w:rsidR="000159A6">
        <w:t xml:space="preserve"> </w:t>
      </w:r>
      <w:r>
        <w:t>interval</w:t>
      </w:r>
      <w:r w:rsidR="000159A6">
        <w:t xml:space="preserve"> </w:t>
      </w:r>
      <w:r>
        <w:t>should</w:t>
      </w:r>
      <w:r w:rsidR="000159A6">
        <w:t xml:space="preserve"> </w:t>
      </w:r>
      <w:r>
        <w:t>be</w:t>
      </w:r>
      <w:r w:rsidR="000159A6">
        <w:t xml:space="preserve"> </w:t>
      </w:r>
      <w:r>
        <w:t>recommended.</w:t>
      </w:r>
      <w:r w:rsidR="000159A6">
        <w:t xml:space="preserve"> </w:t>
      </w:r>
      <w:r>
        <w:t>A</w:t>
      </w:r>
      <w:r w:rsidR="000159A6">
        <w:t xml:space="preserve"> </w:t>
      </w:r>
      <w:r>
        <w:t>12</w:t>
      </w:r>
      <w:r w:rsidR="000159A6">
        <w:t xml:space="preserve"> </w:t>
      </w:r>
      <w:r>
        <w:t>month</w:t>
      </w:r>
      <w:r w:rsidR="000159A6">
        <w:t xml:space="preserve"> </w:t>
      </w:r>
      <w:r>
        <w:t>interval</w:t>
      </w:r>
      <w:r w:rsidR="000159A6">
        <w:t xml:space="preserve"> </w:t>
      </w:r>
      <w:r>
        <w:t>is</w:t>
      </w:r>
      <w:r w:rsidR="000159A6">
        <w:t xml:space="preserve"> </w:t>
      </w:r>
      <w:r>
        <w:t>not</w:t>
      </w:r>
      <w:r w:rsidR="000159A6">
        <w:t xml:space="preserve"> </w:t>
      </w:r>
      <w:r>
        <w:t>recommended.</w:t>
      </w:r>
    </w:p>
    <w:p w14:paraId="64C1E556" w14:textId="248B223D" w:rsidR="001F6DEC" w:rsidRDefault="001F6DEC" w:rsidP="001F6DEC">
      <w:pPr>
        <w:rPr>
          <w:lang w:eastAsia="ja-JP"/>
        </w:rPr>
      </w:pPr>
      <w:r>
        <w:t>Subcutaneous</w:t>
      </w:r>
      <w:r w:rsidR="000159A6">
        <w:t xml:space="preserve"> </w:t>
      </w:r>
      <w:r>
        <w:t>administration</w:t>
      </w:r>
      <w:r w:rsidR="000159A6">
        <w:t xml:space="preserve"> </w:t>
      </w:r>
      <w:r>
        <w:t>was</w:t>
      </w:r>
      <w:r w:rsidR="000159A6">
        <w:t xml:space="preserve"> </w:t>
      </w:r>
      <w:r>
        <w:t>associated</w:t>
      </w:r>
      <w:r w:rsidR="000159A6">
        <w:t xml:space="preserve"> </w:t>
      </w:r>
      <w:r>
        <w:t>with</w:t>
      </w:r>
      <w:r w:rsidR="000159A6">
        <w:t xml:space="preserve"> </w:t>
      </w:r>
      <w:r>
        <w:t>high</w:t>
      </w:r>
      <w:r w:rsidR="000159A6">
        <w:t xml:space="preserve"> </w:t>
      </w:r>
      <w:r>
        <w:t>local</w:t>
      </w:r>
      <w:r w:rsidR="000159A6">
        <w:t xml:space="preserve"> </w:t>
      </w:r>
      <w:r>
        <w:t>reactogenicity</w:t>
      </w:r>
      <w:r w:rsidR="000159A6">
        <w:t xml:space="preserve"> </w:t>
      </w:r>
      <w:r>
        <w:t>and</w:t>
      </w:r>
      <w:r w:rsidR="000159A6">
        <w:t xml:space="preserve"> </w:t>
      </w:r>
      <w:r>
        <w:t>development</w:t>
      </w:r>
      <w:r w:rsidR="000159A6">
        <w:t xml:space="preserve"> </w:t>
      </w:r>
      <w:r>
        <w:t>was</w:t>
      </w:r>
      <w:r w:rsidR="000159A6">
        <w:t xml:space="preserve"> </w:t>
      </w:r>
      <w:r>
        <w:t>ceased.</w:t>
      </w:r>
    </w:p>
    <w:p w14:paraId="3D6B55A0" w14:textId="77777777" w:rsidR="008E7846" w:rsidRPr="00C95B23" w:rsidRDefault="008E7846" w:rsidP="00C95B23">
      <w:pPr>
        <w:pStyle w:val="Heading3"/>
      </w:pPr>
      <w:bookmarkStart w:id="120" w:name="_Toc1049816"/>
      <w:r w:rsidRPr="00C95B23">
        <w:t>Efficacy</w:t>
      </w:r>
      <w:bookmarkEnd w:id="101"/>
      <w:bookmarkEnd w:id="102"/>
      <w:bookmarkEnd w:id="103"/>
      <w:bookmarkEnd w:id="104"/>
      <w:bookmarkEnd w:id="120"/>
    </w:p>
    <w:p w14:paraId="1CC38CCA" w14:textId="19D67CC5" w:rsidR="001F6DEC" w:rsidRPr="00C95B23" w:rsidRDefault="001F6DEC" w:rsidP="00A97634">
      <w:pPr>
        <w:pStyle w:val="Heading4"/>
      </w:pPr>
      <w:bookmarkStart w:id="121" w:name="_Toc507577980"/>
      <w:bookmarkStart w:id="122" w:name="_Toc523409049"/>
      <w:r w:rsidRPr="00C95B23">
        <w:t>Pivotal</w:t>
      </w:r>
      <w:r w:rsidR="000159A6" w:rsidRPr="00C95B23">
        <w:t xml:space="preserve"> </w:t>
      </w:r>
      <w:r w:rsidRPr="00C95B23">
        <w:t>or</w:t>
      </w:r>
      <w:r w:rsidR="000159A6" w:rsidRPr="00C95B23">
        <w:t xml:space="preserve"> </w:t>
      </w:r>
      <w:r w:rsidRPr="00C95B23">
        <w:t>main</w:t>
      </w:r>
      <w:r w:rsidR="000159A6" w:rsidRPr="00C95B23">
        <w:t xml:space="preserve"> </w:t>
      </w:r>
      <w:r w:rsidRPr="00A97634">
        <w:t>efficacy</w:t>
      </w:r>
      <w:r w:rsidR="000159A6" w:rsidRPr="00C95B23">
        <w:t xml:space="preserve"> </w:t>
      </w:r>
      <w:r w:rsidRPr="00C95B23">
        <w:t>studies</w:t>
      </w:r>
      <w:bookmarkStart w:id="123" w:name="_Toc184439992"/>
      <w:bookmarkStart w:id="124" w:name="_Toc184440279"/>
      <w:bookmarkStart w:id="125" w:name="_Toc184444657"/>
      <w:bookmarkStart w:id="126" w:name="_Toc196046487"/>
      <w:bookmarkEnd w:id="121"/>
      <w:bookmarkEnd w:id="122"/>
    </w:p>
    <w:p w14:paraId="4154DE19" w14:textId="24DC5A84" w:rsidR="001F6DEC" w:rsidRDefault="001F6DEC" w:rsidP="00A97634">
      <w:pPr>
        <w:rPr>
          <w:lang w:eastAsia="ja-JP"/>
        </w:rPr>
      </w:pPr>
      <w:r>
        <w:rPr>
          <w:lang w:eastAsia="ja-JP"/>
        </w:rPr>
        <w:t>There</w:t>
      </w:r>
      <w:r w:rsidR="000159A6">
        <w:rPr>
          <w:lang w:eastAsia="ja-JP"/>
        </w:rPr>
        <w:t xml:space="preserve"> </w:t>
      </w:r>
      <w:r>
        <w:rPr>
          <w:lang w:eastAsia="ja-JP"/>
        </w:rPr>
        <w:t>were</w:t>
      </w:r>
      <w:r w:rsidR="000159A6">
        <w:rPr>
          <w:lang w:eastAsia="ja-JP"/>
        </w:rPr>
        <w:t xml:space="preserve"> </w:t>
      </w:r>
      <w:r>
        <w:rPr>
          <w:lang w:eastAsia="ja-JP"/>
        </w:rPr>
        <w:t>two</w:t>
      </w:r>
      <w:r w:rsidR="000159A6">
        <w:rPr>
          <w:lang w:eastAsia="ja-JP"/>
        </w:rPr>
        <w:t xml:space="preserve"> </w:t>
      </w:r>
      <w:r>
        <w:rPr>
          <w:lang w:eastAsia="ja-JP"/>
        </w:rPr>
        <w:t>studies</w:t>
      </w:r>
      <w:r w:rsidR="000159A6">
        <w:rPr>
          <w:lang w:eastAsia="ja-JP"/>
        </w:rPr>
        <w:t xml:space="preserve"> </w:t>
      </w:r>
      <w:r>
        <w:rPr>
          <w:lang w:eastAsia="ja-JP"/>
        </w:rPr>
        <w:t>providing</w:t>
      </w:r>
      <w:r w:rsidR="000159A6">
        <w:rPr>
          <w:lang w:eastAsia="ja-JP"/>
        </w:rPr>
        <w:t xml:space="preserve"> </w:t>
      </w:r>
      <w:r>
        <w:rPr>
          <w:lang w:eastAsia="ja-JP"/>
        </w:rPr>
        <w:t>efficacy</w:t>
      </w:r>
      <w:r w:rsidR="000159A6">
        <w:rPr>
          <w:lang w:eastAsia="ja-JP"/>
        </w:rPr>
        <w:t xml:space="preserve"> </w:t>
      </w:r>
      <w:r>
        <w:rPr>
          <w:lang w:eastAsia="ja-JP"/>
        </w:rPr>
        <w:t>data:</w:t>
      </w:r>
      <w:r w:rsidR="000159A6">
        <w:rPr>
          <w:lang w:eastAsia="ja-JP"/>
        </w:rPr>
        <w:t xml:space="preserve"> </w:t>
      </w:r>
      <w:r w:rsidR="00525235">
        <w:rPr>
          <w:lang w:eastAsia="ja-JP"/>
        </w:rPr>
        <w:t>Studies</w:t>
      </w:r>
      <w:r w:rsidR="000159A6">
        <w:rPr>
          <w:lang w:eastAsia="ja-JP"/>
        </w:rPr>
        <w:t xml:space="preserve"> </w:t>
      </w:r>
      <w:r w:rsidR="00525235">
        <w:rPr>
          <w:lang w:eastAsia="ja-JP"/>
        </w:rPr>
        <w:t>ZOSTER</w:t>
      </w:r>
      <w:r>
        <w:rPr>
          <w:lang w:eastAsia="ja-JP"/>
        </w:rPr>
        <w:t>-006</w:t>
      </w:r>
      <w:r w:rsidR="000159A6">
        <w:rPr>
          <w:lang w:eastAsia="ja-JP"/>
        </w:rPr>
        <w:t xml:space="preserve"> </w:t>
      </w:r>
      <w:r>
        <w:rPr>
          <w:lang w:eastAsia="ja-JP"/>
        </w:rPr>
        <w:t>and</w:t>
      </w:r>
      <w:r w:rsidR="000159A6">
        <w:rPr>
          <w:lang w:eastAsia="ja-JP"/>
        </w:rPr>
        <w:t xml:space="preserve"> </w:t>
      </w:r>
      <w:r>
        <w:rPr>
          <w:lang w:eastAsia="ja-JP"/>
        </w:rPr>
        <w:t>ZOSTER-022.</w:t>
      </w:r>
      <w:r w:rsidR="000159A6">
        <w:rPr>
          <w:lang w:eastAsia="ja-JP"/>
        </w:rPr>
        <w:t xml:space="preserve"> </w:t>
      </w:r>
      <w:r>
        <w:rPr>
          <w:lang w:eastAsia="ja-JP"/>
        </w:rPr>
        <w:t>Other</w:t>
      </w:r>
      <w:r w:rsidR="000159A6">
        <w:rPr>
          <w:lang w:eastAsia="ja-JP"/>
        </w:rPr>
        <w:t xml:space="preserve"> </w:t>
      </w:r>
      <w:r>
        <w:rPr>
          <w:lang w:eastAsia="ja-JP"/>
        </w:rPr>
        <w:t>studies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dossier</w:t>
      </w:r>
      <w:r w:rsidR="000159A6">
        <w:rPr>
          <w:lang w:eastAsia="ja-JP"/>
        </w:rPr>
        <w:t xml:space="preserve"> </w:t>
      </w:r>
      <w:r>
        <w:rPr>
          <w:lang w:eastAsia="ja-JP"/>
        </w:rPr>
        <w:t>provided</w:t>
      </w:r>
      <w:r w:rsidR="000159A6">
        <w:rPr>
          <w:lang w:eastAsia="ja-JP"/>
        </w:rPr>
        <w:t xml:space="preserve"> </w:t>
      </w:r>
      <w:r>
        <w:rPr>
          <w:lang w:eastAsia="ja-JP"/>
        </w:rPr>
        <w:t>immunogenicity</w:t>
      </w:r>
      <w:r w:rsidR="000159A6">
        <w:rPr>
          <w:lang w:eastAsia="ja-JP"/>
        </w:rPr>
        <w:t xml:space="preserve"> </w:t>
      </w:r>
      <w:r>
        <w:rPr>
          <w:lang w:eastAsia="ja-JP"/>
        </w:rPr>
        <w:t>data.</w:t>
      </w:r>
      <w:r w:rsidR="000159A6">
        <w:rPr>
          <w:lang w:eastAsia="ja-JP"/>
        </w:rPr>
        <w:t xml:space="preserve"> </w:t>
      </w:r>
      <w:r w:rsidR="000D0435">
        <w:rPr>
          <w:lang w:eastAsia="ja-JP"/>
        </w:rPr>
        <w:t>Study</w:t>
      </w:r>
      <w:r w:rsidR="000159A6">
        <w:rPr>
          <w:lang w:eastAsia="ja-JP"/>
        </w:rPr>
        <w:t xml:space="preserve"> </w:t>
      </w:r>
      <w:r>
        <w:rPr>
          <w:lang w:eastAsia="ja-JP"/>
        </w:rPr>
        <w:t>ZOSTER-006</w:t>
      </w:r>
      <w:r w:rsidR="000159A6">
        <w:rPr>
          <w:lang w:eastAsia="ja-JP"/>
        </w:rPr>
        <w:t xml:space="preserve"> </w:t>
      </w:r>
      <w:r>
        <w:rPr>
          <w:lang w:eastAsia="ja-JP"/>
        </w:rPr>
        <w:t>included</w:t>
      </w:r>
      <w:r w:rsidR="000159A6">
        <w:rPr>
          <w:lang w:eastAsia="ja-JP"/>
        </w:rPr>
        <w:t xml:space="preserve"> </w:t>
      </w:r>
      <w:r>
        <w:rPr>
          <w:lang w:eastAsia="ja-JP"/>
        </w:rPr>
        <w:t>subjects</w:t>
      </w:r>
      <w:r w:rsidR="000159A6">
        <w:rPr>
          <w:lang w:eastAsia="ja-JP"/>
        </w:rPr>
        <w:t xml:space="preserve"> </w:t>
      </w:r>
      <w:r>
        <w:rPr>
          <w:lang w:eastAsia="ja-JP"/>
        </w:rPr>
        <w:t>aged</w:t>
      </w:r>
      <w:r w:rsidR="000159A6">
        <w:rPr>
          <w:lang w:eastAsia="ja-JP"/>
        </w:rPr>
        <w:t xml:space="preserve"> </w:t>
      </w:r>
      <w:r w:rsidR="0037169B">
        <w:rPr>
          <w:lang w:eastAsia="ja-JP"/>
        </w:rPr>
        <w:t>≥</w:t>
      </w:r>
      <w:r w:rsidR="000159A6">
        <w:rPr>
          <w:lang w:eastAsia="ja-JP"/>
        </w:rPr>
        <w:t xml:space="preserve"> </w:t>
      </w:r>
      <w:r>
        <w:rPr>
          <w:lang w:eastAsia="ja-JP"/>
        </w:rPr>
        <w:t>50</w:t>
      </w:r>
      <w:r w:rsidR="000159A6">
        <w:rPr>
          <w:lang w:eastAsia="ja-JP"/>
        </w:rPr>
        <w:t xml:space="preserve"> </w:t>
      </w:r>
      <w:r>
        <w:rPr>
          <w:lang w:eastAsia="ja-JP"/>
        </w:rPr>
        <w:t>years</w:t>
      </w:r>
      <w:r w:rsidR="000159A6">
        <w:rPr>
          <w:lang w:eastAsia="ja-JP"/>
        </w:rPr>
        <w:t xml:space="preserve"> </w:t>
      </w:r>
      <w:r>
        <w:rPr>
          <w:lang w:eastAsia="ja-JP"/>
        </w:rPr>
        <w:t>and</w:t>
      </w:r>
      <w:r w:rsidR="000159A6">
        <w:rPr>
          <w:lang w:eastAsia="ja-JP"/>
        </w:rPr>
        <w:t xml:space="preserve"> </w:t>
      </w:r>
      <w:r w:rsidR="000D0435">
        <w:rPr>
          <w:lang w:eastAsia="ja-JP"/>
        </w:rPr>
        <w:t>Study</w:t>
      </w:r>
      <w:r w:rsidR="000159A6">
        <w:rPr>
          <w:lang w:eastAsia="ja-JP"/>
        </w:rPr>
        <w:t xml:space="preserve"> </w:t>
      </w:r>
      <w:r>
        <w:rPr>
          <w:lang w:eastAsia="ja-JP"/>
        </w:rPr>
        <w:t>ZOSTER-022</w:t>
      </w:r>
      <w:r w:rsidR="000159A6">
        <w:rPr>
          <w:lang w:eastAsia="ja-JP"/>
        </w:rPr>
        <w:t xml:space="preserve"> </w:t>
      </w:r>
      <w:r>
        <w:rPr>
          <w:lang w:eastAsia="ja-JP"/>
        </w:rPr>
        <w:t>included</w:t>
      </w:r>
      <w:r w:rsidR="000159A6">
        <w:rPr>
          <w:lang w:eastAsia="ja-JP"/>
        </w:rPr>
        <w:t xml:space="preserve"> </w:t>
      </w:r>
      <w:r>
        <w:rPr>
          <w:lang w:eastAsia="ja-JP"/>
        </w:rPr>
        <w:t>subjects</w:t>
      </w:r>
      <w:r w:rsidR="000159A6">
        <w:rPr>
          <w:lang w:eastAsia="ja-JP"/>
        </w:rPr>
        <w:t xml:space="preserve"> </w:t>
      </w:r>
      <w:r>
        <w:rPr>
          <w:lang w:eastAsia="ja-JP"/>
        </w:rPr>
        <w:t>aged</w:t>
      </w:r>
      <w:r w:rsidR="000159A6">
        <w:rPr>
          <w:lang w:eastAsia="ja-JP"/>
        </w:rPr>
        <w:t xml:space="preserve"> </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The</w:t>
      </w:r>
      <w:r w:rsidR="000159A6">
        <w:rPr>
          <w:lang w:eastAsia="ja-JP"/>
        </w:rPr>
        <w:t xml:space="preserve"> </w:t>
      </w:r>
      <w:r>
        <w:rPr>
          <w:lang w:eastAsia="ja-JP"/>
        </w:rPr>
        <w:t>studies</w:t>
      </w:r>
      <w:r w:rsidR="000159A6">
        <w:rPr>
          <w:lang w:eastAsia="ja-JP"/>
        </w:rPr>
        <w:t xml:space="preserve"> </w:t>
      </w:r>
      <w:r>
        <w:rPr>
          <w:lang w:eastAsia="ja-JP"/>
        </w:rPr>
        <w:t>ran</w:t>
      </w:r>
      <w:r w:rsidR="000159A6">
        <w:rPr>
          <w:lang w:eastAsia="ja-JP"/>
        </w:rPr>
        <w:t xml:space="preserve"> </w:t>
      </w:r>
      <w:r>
        <w:rPr>
          <w:lang w:eastAsia="ja-JP"/>
        </w:rPr>
        <w:t>concurrently</w:t>
      </w:r>
      <w:r w:rsidR="000159A6">
        <w:rPr>
          <w:lang w:eastAsia="ja-JP"/>
        </w:rPr>
        <w:t xml:space="preserve"> </w:t>
      </w:r>
      <w:r>
        <w:rPr>
          <w:lang w:eastAsia="ja-JP"/>
        </w:rPr>
        <w:t>at</w:t>
      </w:r>
      <w:r w:rsidR="000159A6">
        <w:rPr>
          <w:lang w:eastAsia="ja-JP"/>
        </w:rPr>
        <w:t xml:space="preserve"> </w:t>
      </w:r>
      <w:r>
        <w:rPr>
          <w:lang w:eastAsia="ja-JP"/>
        </w:rPr>
        <w:t>the</w:t>
      </w:r>
      <w:r w:rsidR="000159A6">
        <w:rPr>
          <w:lang w:eastAsia="ja-JP"/>
        </w:rPr>
        <w:t xml:space="preserve"> </w:t>
      </w:r>
      <w:r>
        <w:rPr>
          <w:lang w:eastAsia="ja-JP"/>
        </w:rPr>
        <w:t>same</w:t>
      </w:r>
      <w:r w:rsidR="000159A6">
        <w:rPr>
          <w:lang w:eastAsia="ja-JP"/>
        </w:rPr>
        <w:t xml:space="preserve"> </w:t>
      </w:r>
      <w:r>
        <w:rPr>
          <w:lang w:eastAsia="ja-JP"/>
        </w:rPr>
        <w:t>sites.</w:t>
      </w:r>
      <w:r w:rsidR="000159A6">
        <w:rPr>
          <w:lang w:eastAsia="ja-JP"/>
        </w:rPr>
        <w:t xml:space="preserve"> </w:t>
      </w:r>
      <w:r>
        <w:rPr>
          <w:lang w:eastAsia="ja-JP"/>
        </w:rPr>
        <w:t>The</w:t>
      </w:r>
      <w:r w:rsidR="000159A6">
        <w:rPr>
          <w:lang w:eastAsia="ja-JP"/>
        </w:rPr>
        <w:t xml:space="preserve"> </w:t>
      </w:r>
      <w:r w:rsidR="00331AB9">
        <w:t>clinical</w:t>
      </w:r>
      <w:r w:rsidR="000159A6">
        <w:t xml:space="preserve"> </w:t>
      </w:r>
      <w:r w:rsidR="00331AB9">
        <w:t>study</w:t>
      </w:r>
      <w:r w:rsidR="000159A6">
        <w:t xml:space="preserve"> </w:t>
      </w:r>
      <w:r w:rsidR="00331AB9">
        <w:t>report</w:t>
      </w:r>
      <w:r w:rsidR="000159A6">
        <w:rPr>
          <w:lang w:eastAsia="ja-JP"/>
        </w:rPr>
        <w:t xml:space="preserve"> </w:t>
      </w:r>
      <w:r w:rsidR="00331AB9">
        <w:rPr>
          <w:lang w:eastAsia="ja-JP"/>
        </w:rPr>
        <w:t>(</w:t>
      </w:r>
      <w:r w:rsidR="00525235">
        <w:rPr>
          <w:lang w:eastAsia="ja-JP"/>
        </w:rPr>
        <w:t>CSR</w:t>
      </w:r>
      <w:r w:rsidR="00331AB9">
        <w:rPr>
          <w:lang w:eastAsia="ja-JP"/>
        </w:rPr>
        <w:t>)</w:t>
      </w:r>
      <w:r w:rsidR="000159A6">
        <w:rPr>
          <w:lang w:eastAsia="ja-JP"/>
        </w:rPr>
        <w:t xml:space="preserve"> </w:t>
      </w:r>
      <w:r>
        <w:rPr>
          <w:lang w:eastAsia="ja-JP"/>
        </w:rPr>
        <w:t>for</w:t>
      </w:r>
      <w:r w:rsidR="000159A6">
        <w:rPr>
          <w:lang w:eastAsia="ja-JP"/>
        </w:rPr>
        <w:t xml:space="preserve"> </w:t>
      </w:r>
      <w:r w:rsidR="00525235">
        <w:rPr>
          <w:lang w:eastAsia="ja-JP"/>
        </w:rPr>
        <w:t>Study</w:t>
      </w:r>
      <w:r w:rsidR="000159A6">
        <w:rPr>
          <w:lang w:eastAsia="ja-JP"/>
        </w:rPr>
        <w:t xml:space="preserve"> </w:t>
      </w:r>
      <w:r w:rsidR="00525235">
        <w:rPr>
          <w:lang w:eastAsia="ja-JP"/>
        </w:rPr>
        <w:t>ZOSTER</w:t>
      </w:r>
      <w:r>
        <w:rPr>
          <w:lang w:eastAsia="ja-JP"/>
        </w:rPr>
        <w:t>-022</w:t>
      </w:r>
      <w:r w:rsidR="000159A6">
        <w:rPr>
          <w:lang w:eastAsia="ja-JP"/>
        </w:rPr>
        <w:t xml:space="preserve"> </w:t>
      </w:r>
      <w:r>
        <w:rPr>
          <w:lang w:eastAsia="ja-JP"/>
        </w:rPr>
        <w:t>contained</w:t>
      </w:r>
      <w:r w:rsidR="000159A6">
        <w:rPr>
          <w:lang w:eastAsia="ja-JP"/>
        </w:rPr>
        <w:t xml:space="preserve"> </w:t>
      </w:r>
      <w:r>
        <w:rPr>
          <w:lang w:eastAsia="ja-JP"/>
        </w:rPr>
        <w:t>analysis</w:t>
      </w:r>
      <w:r w:rsidR="000159A6">
        <w:rPr>
          <w:lang w:eastAsia="ja-JP"/>
        </w:rPr>
        <w:t xml:space="preserve"> </w:t>
      </w:r>
      <w:r>
        <w:rPr>
          <w:lang w:eastAsia="ja-JP"/>
        </w:rPr>
        <w:t>of</w:t>
      </w:r>
      <w:r w:rsidR="000159A6">
        <w:rPr>
          <w:lang w:eastAsia="ja-JP"/>
        </w:rPr>
        <w:t xml:space="preserve"> </w:t>
      </w:r>
      <w:r>
        <w:rPr>
          <w:lang w:eastAsia="ja-JP"/>
        </w:rPr>
        <w:t>pooled</w:t>
      </w:r>
      <w:r w:rsidR="000159A6">
        <w:rPr>
          <w:lang w:eastAsia="ja-JP"/>
        </w:rPr>
        <w:t xml:space="preserve"> </w:t>
      </w:r>
      <w:r>
        <w:rPr>
          <w:lang w:eastAsia="ja-JP"/>
        </w:rPr>
        <w:t>data</w:t>
      </w:r>
      <w:r w:rsidR="000159A6">
        <w:rPr>
          <w:lang w:eastAsia="ja-JP"/>
        </w:rPr>
        <w:t xml:space="preserve"> </w:t>
      </w:r>
      <w:r>
        <w:rPr>
          <w:lang w:eastAsia="ja-JP"/>
        </w:rPr>
        <w:t>from</w:t>
      </w:r>
      <w:r w:rsidR="000159A6">
        <w:rPr>
          <w:lang w:eastAsia="ja-JP"/>
        </w:rPr>
        <w:t xml:space="preserve"> </w:t>
      </w:r>
      <w:r>
        <w:rPr>
          <w:lang w:eastAsia="ja-JP"/>
        </w:rPr>
        <w:t>the</w:t>
      </w:r>
      <w:r w:rsidR="000159A6">
        <w:rPr>
          <w:lang w:eastAsia="ja-JP"/>
        </w:rPr>
        <w:t xml:space="preserve"> </w:t>
      </w:r>
      <w:r>
        <w:rPr>
          <w:lang w:eastAsia="ja-JP"/>
        </w:rPr>
        <w:t>two</w:t>
      </w:r>
      <w:r w:rsidR="000159A6">
        <w:rPr>
          <w:lang w:eastAsia="ja-JP"/>
        </w:rPr>
        <w:t xml:space="preserve"> </w:t>
      </w:r>
      <w:r>
        <w:rPr>
          <w:lang w:eastAsia="ja-JP"/>
        </w:rPr>
        <w:t>studies.</w:t>
      </w:r>
      <w:r w:rsidR="000159A6">
        <w:rPr>
          <w:lang w:eastAsia="ja-JP"/>
        </w:rPr>
        <w:t xml:space="preserve"> </w:t>
      </w:r>
      <w:r>
        <w:rPr>
          <w:lang w:eastAsia="ja-JP"/>
        </w:rPr>
        <w:t>The</w:t>
      </w:r>
      <w:r w:rsidR="000159A6">
        <w:rPr>
          <w:lang w:eastAsia="ja-JP"/>
        </w:rPr>
        <w:t xml:space="preserve"> </w:t>
      </w:r>
      <w:r>
        <w:rPr>
          <w:lang w:eastAsia="ja-JP"/>
        </w:rPr>
        <w:t>sponsor</w:t>
      </w:r>
      <w:r w:rsidR="000159A6">
        <w:rPr>
          <w:lang w:eastAsia="ja-JP"/>
        </w:rPr>
        <w:t xml:space="preserve"> </w:t>
      </w:r>
      <w:r>
        <w:rPr>
          <w:lang w:eastAsia="ja-JP"/>
        </w:rPr>
        <w:t>stated</w:t>
      </w:r>
      <w:r w:rsidR="000159A6">
        <w:rPr>
          <w:lang w:eastAsia="ja-JP"/>
        </w:rPr>
        <w:t xml:space="preserve"> </w:t>
      </w:r>
      <w:r>
        <w:rPr>
          <w:lang w:eastAsia="ja-JP"/>
        </w:rPr>
        <w:t>that</w:t>
      </w:r>
      <w:r w:rsidR="000159A6">
        <w:rPr>
          <w:lang w:eastAsia="ja-JP"/>
        </w:rPr>
        <w:t xml:space="preserve"> </w:t>
      </w:r>
      <w:r>
        <w:rPr>
          <w:lang w:eastAsia="ja-JP"/>
        </w:rPr>
        <w:t>the</w:t>
      </w:r>
      <w:r w:rsidR="000159A6">
        <w:rPr>
          <w:lang w:eastAsia="ja-JP"/>
        </w:rPr>
        <w:t xml:space="preserve"> </w:t>
      </w:r>
      <w:r>
        <w:rPr>
          <w:lang w:eastAsia="ja-JP"/>
        </w:rPr>
        <w:t>design</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two</w:t>
      </w:r>
      <w:r w:rsidR="000159A6">
        <w:rPr>
          <w:lang w:eastAsia="ja-JP"/>
        </w:rPr>
        <w:t xml:space="preserve"> </w:t>
      </w:r>
      <w:r>
        <w:rPr>
          <w:lang w:eastAsia="ja-JP"/>
        </w:rPr>
        <w:t>studies</w:t>
      </w:r>
      <w:r w:rsidR="000159A6">
        <w:rPr>
          <w:lang w:eastAsia="ja-JP"/>
        </w:rPr>
        <w:t xml:space="preserve"> </w:t>
      </w:r>
      <w:r>
        <w:rPr>
          <w:lang w:eastAsia="ja-JP"/>
        </w:rPr>
        <w:t>was</w:t>
      </w:r>
      <w:r w:rsidR="000159A6">
        <w:rPr>
          <w:lang w:eastAsia="ja-JP"/>
        </w:rPr>
        <w:t xml:space="preserve"> </w:t>
      </w:r>
      <w:r>
        <w:rPr>
          <w:lang w:eastAsia="ja-JP"/>
        </w:rPr>
        <w:t>agreed</w:t>
      </w:r>
      <w:r w:rsidR="000159A6">
        <w:rPr>
          <w:lang w:eastAsia="ja-JP"/>
        </w:rPr>
        <w:t xml:space="preserve"> </w:t>
      </w:r>
      <w:r>
        <w:rPr>
          <w:lang w:eastAsia="ja-JP"/>
        </w:rPr>
        <w:t>upon</w:t>
      </w:r>
      <w:r w:rsidR="000159A6">
        <w:rPr>
          <w:lang w:eastAsia="ja-JP"/>
        </w:rPr>
        <w:t xml:space="preserve"> </w:t>
      </w:r>
      <w:r>
        <w:rPr>
          <w:lang w:eastAsia="ja-JP"/>
        </w:rPr>
        <w:t>with</w:t>
      </w:r>
      <w:r w:rsidR="000159A6">
        <w:rPr>
          <w:lang w:eastAsia="ja-JP"/>
        </w:rPr>
        <w:t xml:space="preserve"> </w:t>
      </w:r>
      <w:r>
        <w:rPr>
          <w:lang w:eastAsia="ja-JP"/>
        </w:rPr>
        <w:t>regulatory</w:t>
      </w:r>
      <w:r w:rsidR="000159A6">
        <w:rPr>
          <w:lang w:eastAsia="ja-JP"/>
        </w:rPr>
        <w:t xml:space="preserve"> </w:t>
      </w:r>
      <w:r>
        <w:rPr>
          <w:lang w:eastAsia="ja-JP"/>
        </w:rPr>
        <w:t>agencies</w:t>
      </w:r>
      <w:r w:rsidR="000159A6">
        <w:rPr>
          <w:lang w:eastAsia="ja-JP"/>
        </w:rPr>
        <w:t xml:space="preserve"> </w:t>
      </w:r>
      <w:r>
        <w:rPr>
          <w:lang w:eastAsia="ja-JP"/>
        </w:rPr>
        <w:t>in</w:t>
      </w:r>
      <w:r w:rsidR="000159A6">
        <w:rPr>
          <w:lang w:eastAsia="ja-JP"/>
        </w:rPr>
        <w:t xml:space="preserve"> </w:t>
      </w:r>
      <w:r>
        <w:rPr>
          <w:lang w:eastAsia="ja-JP"/>
        </w:rPr>
        <w:t>Europe,</w:t>
      </w:r>
      <w:r w:rsidR="000159A6">
        <w:rPr>
          <w:lang w:eastAsia="ja-JP"/>
        </w:rPr>
        <w:t xml:space="preserve"> </w:t>
      </w:r>
      <w:r>
        <w:rPr>
          <w:lang w:eastAsia="ja-JP"/>
        </w:rPr>
        <w:t>the</w:t>
      </w:r>
      <w:r w:rsidR="000159A6">
        <w:rPr>
          <w:lang w:eastAsia="ja-JP"/>
        </w:rPr>
        <w:t xml:space="preserve"> </w:t>
      </w:r>
      <w:r>
        <w:rPr>
          <w:lang w:eastAsia="ja-JP"/>
        </w:rPr>
        <w:t>US</w:t>
      </w:r>
      <w:r w:rsidR="000159A6">
        <w:rPr>
          <w:lang w:eastAsia="ja-JP"/>
        </w:rPr>
        <w:t xml:space="preserve"> </w:t>
      </w:r>
      <w:r>
        <w:rPr>
          <w:lang w:eastAsia="ja-JP"/>
        </w:rPr>
        <w:t>and</w:t>
      </w:r>
      <w:r w:rsidR="000159A6">
        <w:rPr>
          <w:lang w:eastAsia="ja-JP"/>
        </w:rPr>
        <w:t xml:space="preserve"> </w:t>
      </w:r>
      <w:r>
        <w:rPr>
          <w:lang w:eastAsia="ja-JP"/>
        </w:rPr>
        <w:t>Japan.</w:t>
      </w:r>
    </w:p>
    <w:p w14:paraId="73305417" w14:textId="499728B4" w:rsidR="001F6DEC" w:rsidRDefault="00655BBB" w:rsidP="00541F41">
      <w:pPr>
        <w:rPr>
          <w:lang w:eastAsia="ja-JP"/>
        </w:rPr>
      </w:pPr>
      <w:r>
        <w:rPr>
          <w:lang w:eastAsia="ja-JP"/>
        </w:rPr>
        <w:t>As</w:t>
      </w:r>
      <w:r w:rsidR="000159A6">
        <w:rPr>
          <w:lang w:eastAsia="ja-JP"/>
        </w:rPr>
        <w:t xml:space="preserve"> </w:t>
      </w:r>
      <w:r>
        <w:rPr>
          <w:lang w:eastAsia="ja-JP"/>
        </w:rPr>
        <w:t>specified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protocol,</w:t>
      </w:r>
      <w:r w:rsidR="000159A6">
        <w:rPr>
          <w:lang w:eastAsia="ja-JP"/>
        </w:rPr>
        <w:t xml:space="preserve"> </w:t>
      </w:r>
      <w:r>
        <w:rPr>
          <w:lang w:eastAsia="ja-JP"/>
        </w:rPr>
        <w:t>if</w:t>
      </w:r>
      <w:r w:rsidR="000159A6">
        <w:rPr>
          <w:lang w:eastAsia="ja-JP"/>
        </w:rPr>
        <w:t xml:space="preserve"> </w:t>
      </w:r>
      <w:r w:rsidR="001F6DEC">
        <w:rPr>
          <w:lang w:eastAsia="ja-JP"/>
        </w:rPr>
        <w:t>both</w:t>
      </w:r>
      <w:r w:rsidR="000159A6">
        <w:rPr>
          <w:lang w:eastAsia="ja-JP"/>
        </w:rPr>
        <w:t xml:space="preserve"> </w:t>
      </w:r>
      <w:r w:rsidR="001F6DEC">
        <w:rPr>
          <w:lang w:eastAsia="ja-JP"/>
        </w:rPr>
        <w:t>studies</w:t>
      </w:r>
      <w:r w:rsidR="000159A6">
        <w:rPr>
          <w:lang w:eastAsia="ja-JP"/>
        </w:rPr>
        <w:t xml:space="preserve"> </w:t>
      </w:r>
      <w:r w:rsidR="001F6DEC">
        <w:rPr>
          <w:lang w:eastAsia="ja-JP"/>
        </w:rPr>
        <w:t>met</w:t>
      </w:r>
      <w:r w:rsidR="000159A6">
        <w:rPr>
          <w:lang w:eastAsia="ja-JP"/>
        </w:rPr>
        <w:t xml:space="preserve"> </w:t>
      </w:r>
      <w:r w:rsidR="001F6DEC">
        <w:rPr>
          <w:lang w:eastAsia="ja-JP"/>
        </w:rPr>
        <w:t>their</w:t>
      </w:r>
      <w:r w:rsidR="000159A6">
        <w:rPr>
          <w:lang w:eastAsia="ja-JP"/>
        </w:rPr>
        <w:t xml:space="preserve"> </w:t>
      </w:r>
      <w:r w:rsidR="001F6DEC">
        <w:rPr>
          <w:lang w:eastAsia="ja-JP"/>
        </w:rPr>
        <w:t>primary</w:t>
      </w:r>
      <w:r w:rsidR="000159A6">
        <w:rPr>
          <w:lang w:eastAsia="ja-JP"/>
        </w:rPr>
        <w:t xml:space="preserve"> </w:t>
      </w:r>
      <w:r w:rsidR="001F6DEC">
        <w:rPr>
          <w:lang w:eastAsia="ja-JP"/>
        </w:rPr>
        <w:t>endpoint</w:t>
      </w:r>
      <w:r w:rsidR="000159A6">
        <w:rPr>
          <w:lang w:eastAsia="ja-JP"/>
        </w:rPr>
        <w:t xml:space="preserve"> </w:t>
      </w:r>
      <w:r w:rsidR="001F6DEC">
        <w:rPr>
          <w:lang w:eastAsia="ja-JP"/>
        </w:rPr>
        <w:t>(efficacy</w:t>
      </w:r>
      <w:r w:rsidR="000159A6">
        <w:rPr>
          <w:lang w:eastAsia="ja-JP"/>
        </w:rPr>
        <w:t xml:space="preserve"> </w:t>
      </w:r>
      <w:r w:rsidR="001F6DEC">
        <w:rPr>
          <w:lang w:eastAsia="ja-JP"/>
        </w:rPr>
        <w:t>against</w:t>
      </w:r>
      <w:r w:rsidR="000159A6">
        <w:rPr>
          <w:lang w:eastAsia="ja-JP"/>
        </w:rPr>
        <w:t xml:space="preserve"> </w:t>
      </w:r>
      <w:r w:rsidR="001F6DEC">
        <w:rPr>
          <w:lang w:eastAsia="ja-JP"/>
        </w:rPr>
        <w:t>HZ)</w:t>
      </w:r>
      <w:r w:rsidR="000159A6">
        <w:rPr>
          <w:lang w:eastAsia="ja-JP"/>
        </w:rPr>
        <w:t xml:space="preserve"> </w:t>
      </w:r>
      <w:r w:rsidR="001F6DEC">
        <w:rPr>
          <w:lang w:eastAsia="ja-JP"/>
        </w:rPr>
        <w:t>then</w:t>
      </w:r>
      <w:r w:rsidR="000159A6">
        <w:rPr>
          <w:lang w:eastAsia="ja-JP"/>
        </w:rPr>
        <w:t xml:space="preserve"> </w:t>
      </w:r>
      <w:r w:rsidR="001F6DEC">
        <w:rPr>
          <w:lang w:eastAsia="ja-JP"/>
        </w:rPr>
        <w:t>the</w:t>
      </w:r>
      <w:r w:rsidR="000159A6">
        <w:rPr>
          <w:lang w:eastAsia="ja-JP"/>
        </w:rPr>
        <w:t xml:space="preserve"> </w:t>
      </w:r>
      <w:r w:rsidR="001F6DEC">
        <w:rPr>
          <w:lang w:eastAsia="ja-JP"/>
        </w:rPr>
        <w:t>pooled</w:t>
      </w:r>
      <w:r w:rsidR="000159A6">
        <w:rPr>
          <w:lang w:eastAsia="ja-JP"/>
        </w:rPr>
        <w:t xml:space="preserve"> </w:t>
      </w:r>
      <w:r w:rsidR="001F6DEC">
        <w:rPr>
          <w:lang w:eastAsia="ja-JP"/>
        </w:rPr>
        <w:t>data</w:t>
      </w:r>
      <w:r w:rsidR="000159A6">
        <w:rPr>
          <w:lang w:eastAsia="ja-JP"/>
        </w:rPr>
        <w:t xml:space="preserve"> </w:t>
      </w:r>
      <w:r w:rsidR="001F6DEC">
        <w:rPr>
          <w:lang w:eastAsia="ja-JP"/>
        </w:rPr>
        <w:t>analysis</w:t>
      </w:r>
      <w:r w:rsidR="000159A6">
        <w:rPr>
          <w:lang w:eastAsia="ja-JP"/>
        </w:rPr>
        <w:t xml:space="preserve"> </w:t>
      </w:r>
      <w:r w:rsidR="001F6DEC">
        <w:rPr>
          <w:lang w:eastAsia="ja-JP"/>
        </w:rPr>
        <w:t>for</w:t>
      </w:r>
      <w:r w:rsidR="000159A6">
        <w:rPr>
          <w:lang w:eastAsia="ja-JP"/>
        </w:rPr>
        <w:t xml:space="preserve"> </w:t>
      </w:r>
      <w:r w:rsidR="001F6DEC">
        <w:rPr>
          <w:lang w:eastAsia="ja-JP"/>
        </w:rPr>
        <w:t>HZ</w:t>
      </w:r>
      <w:r w:rsidR="000159A6">
        <w:rPr>
          <w:lang w:eastAsia="ja-JP"/>
        </w:rPr>
        <w:t xml:space="preserve"> </w:t>
      </w:r>
      <w:r w:rsidR="001F6DEC">
        <w:rPr>
          <w:lang w:eastAsia="ja-JP"/>
        </w:rPr>
        <w:t>and</w:t>
      </w:r>
      <w:r w:rsidR="000159A6">
        <w:rPr>
          <w:lang w:eastAsia="ja-JP"/>
        </w:rPr>
        <w:t xml:space="preserve"> </w:t>
      </w:r>
      <w:r w:rsidR="001F6DEC">
        <w:rPr>
          <w:lang w:eastAsia="ja-JP"/>
        </w:rPr>
        <w:t>PHN</w:t>
      </w:r>
      <w:r w:rsidR="000159A6">
        <w:rPr>
          <w:lang w:eastAsia="ja-JP"/>
        </w:rPr>
        <w:t xml:space="preserve"> </w:t>
      </w:r>
      <w:r w:rsidR="001F6DEC">
        <w:rPr>
          <w:lang w:eastAsia="ja-JP"/>
        </w:rPr>
        <w:t>was</w:t>
      </w:r>
      <w:r w:rsidR="000159A6">
        <w:rPr>
          <w:lang w:eastAsia="ja-JP"/>
        </w:rPr>
        <w:t xml:space="preserve"> </w:t>
      </w:r>
      <w:r>
        <w:rPr>
          <w:lang w:eastAsia="ja-JP"/>
        </w:rPr>
        <w:t>to</w:t>
      </w:r>
      <w:r w:rsidR="000159A6">
        <w:rPr>
          <w:lang w:eastAsia="ja-JP"/>
        </w:rPr>
        <w:t xml:space="preserve"> </w:t>
      </w:r>
      <w:r>
        <w:rPr>
          <w:lang w:eastAsia="ja-JP"/>
        </w:rPr>
        <w:t>be</w:t>
      </w:r>
      <w:r w:rsidR="000159A6">
        <w:rPr>
          <w:lang w:eastAsia="ja-JP"/>
        </w:rPr>
        <w:t xml:space="preserve"> </w:t>
      </w:r>
      <w:r w:rsidR="001F6DEC">
        <w:rPr>
          <w:lang w:eastAsia="ja-JP"/>
        </w:rPr>
        <w:t>undertaken.</w:t>
      </w:r>
      <w:r w:rsidR="000159A6">
        <w:rPr>
          <w:lang w:eastAsia="ja-JP"/>
        </w:rPr>
        <w:t xml:space="preserve"> </w:t>
      </w:r>
      <w:r w:rsidR="001F6DEC">
        <w:rPr>
          <w:lang w:eastAsia="ja-JP"/>
        </w:rPr>
        <w:t>This</w:t>
      </w:r>
      <w:r w:rsidR="000159A6">
        <w:rPr>
          <w:lang w:eastAsia="ja-JP"/>
        </w:rPr>
        <w:t xml:space="preserve"> </w:t>
      </w:r>
      <w:r w:rsidR="001F6DEC">
        <w:rPr>
          <w:lang w:eastAsia="ja-JP"/>
        </w:rPr>
        <w:t>pooled</w:t>
      </w:r>
      <w:r w:rsidR="000159A6">
        <w:rPr>
          <w:lang w:eastAsia="ja-JP"/>
        </w:rPr>
        <w:t xml:space="preserve"> </w:t>
      </w:r>
      <w:r w:rsidR="001F6DEC">
        <w:rPr>
          <w:lang w:eastAsia="ja-JP"/>
        </w:rPr>
        <w:t>analysis</w:t>
      </w:r>
      <w:r w:rsidR="000159A6">
        <w:rPr>
          <w:lang w:eastAsia="ja-JP"/>
        </w:rPr>
        <w:t xml:space="preserve"> </w:t>
      </w:r>
      <w:r w:rsidR="001F6DEC">
        <w:rPr>
          <w:lang w:eastAsia="ja-JP"/>
        </w:rPr>
        <w:t>was</w:t>
      </w:r>
      <w:r w:rsidR="000159A6">
        <w:rPr>
          <w:lang w:eastAsia="ja-JP"/>
        </w:rPr>
        <w:t xml:space="preserve"> </w:t>
      </w:r>
      <w:r w:rsidR="001F6DEC">
        <w:rPr>
          <w:lang w:eastAsia="ja-JP"/>
        </w:rPr>
        <w:t>the</w:t>
      </w:r>
      <w:r w:rsidR="000159A6">
        <w:rPr>
          <w:lang w:eastAsia="ja-JP"/>
        </w:rPr>
        <w:t xml:space="preserve"> </w:t>
      </w:r>
      <w:r w:rsidR="001F6DEC">
        <w:rPr>
          <w:lang w:eastAsia="ja-JP"/>
        </w:rPr>
        <w:t>primary</w:t>
      </w:r>
      <w:r w:rsidR="000159A6">
        <w:rPr>
          <w:lang w:eastAsia="ja-JP"/>
        </w:rPr>
        <w:t xml:space="preserve"> </w:t>
      </w:r>
      <w:r w:rsidR="001F6DEC">
        <w:rPr>
          <w:lang w:eastAsia="ja-JP"/>
        </w:rPr>
        <w:t>analysis</w:t>
      </w:r>
      <w:r w:rsidR="000159A6">
        <w:rPr>
          <w:lang w:eastAsia="ja-JP"/>
        </w:rPr>
        <w:t xml:space="preserve"> </w:t>
      </w:r>
      <w:r w:rsidR="001F6DEC">
        <w:rPr>
          <w:lang w:eastAsia="ja-JP"/>
        </w:rPr>
        <w:t>for</w:t>
      </w:r>
      <w:r w:rsidR="000159A6">
        <w:rPr>
          <w:lang w:eastAsia="ja-JP"/>
        </w:rPr>
        <w:t xml:space="preserve"> </w:t>
      </w:r>
      <w:r w:rsidR="001F6DEC">
        <w:rPr>
          <w:lang w:eastAsia="ja-JP"/>
        </w:rPr>
        <w:t>efficacy</w:t>
      </w:r>
      <w:r w:rsidR="000159A6">
        <w:rPr>
          <w:lang w:eastAsia="ja-JP"/>
        </w:rPr>
        <w:t xml:space="preserve"> </w:t>
      </w:r>
      <w:r w:rsidR="001F6DEC">
        <w:rPr>
          <w:lang w:eastAsia="ja-JP"/>
        </w:rPr>
        <w:t>against</w:t>
      </w:r>
      <w:r w:rsidR="000159A6">
        <w:rPr>
          <w:lang w:eastAsia="ja-JP"/>
        </w:rPr>
        <w:t xml:space="preserve"> </w:t>
      </w:r>
      <w:r w:rsidR="001F6DEC">
        <w:rPr>
          <w:lang w:eastAsia="ja-JP"/>
        </w:rPr>
        <w:t>PHN</w:t>
      </w:r>
      <w:r w:rsidR="000159A6">
        <w:rPr>
          <w:lang w:eastAsia="ja-JP"/>
        </w:rPr>
        <w:t xml:space="preserve"> </w:t>
      </w:r>
      <w:r w:rsidR="001F6DEC">
        <w:rPr>
          <w:lang w:eastAsia="ja-JP"/>
        </w:rPr>
        <w:t>in</w:t>
      </w:r>
      <w:r w:rsidR="000159A6">
        <w:rPr>
          <w:lang w:eastAsia="ja-JP"/>
        </w:rPr>
        <w:t xml:space="preserve"> </w:t>
      </w:r>
      <w:proofErr w:type="gramStart"/>
      <w:r w:rsidR="001F6DEC">
        <w:rPr>
          <w:lang w:eastAsia="ja-JP"/>
        </w:rPr>
        <w:t>adults</w:t>
      </w:r>
      <w:proofErr w:type="gramEnd"/>
      <w:r w:rsidR="000159A6">
        <w:rPr>
          <w:lang w:eastAsia="ja-JP"/>
        </w:rPr>
        <w:t xml:space="preserve"> </w:t>
      </w:r>
      <w:r w:rsidR="0037169B">
        <w:rPr>
          <w:lang w:eastAsia="ja-JP"/>
        </w:rPr>
        <w:t>≥</w:t>
      </w:r>
      <w:r w:rsidR="000159A6">
        <w:rPr>
          <w:lang w:eastAsia="ja-JP"/>
        </w:rPr>
        <w:t xml:space="preserve"> </w:t>
      </w:r>
      <w:r w:rsidR="001F6DEC">
        <w:rPr>
          <w:lang w:eastAsia="ja-JP"/>
        </w:rPr>
        <w:t>70</w:t>
      </w:r>
      <w:r w:rsidR="000159A6">
        <w:rPr>
          <w:lang w:eastAsia="ja-JP"/>
        </w:rPr>
        <w:t xml:space="preserve"> </w:t>
      </w:r>
      <w:r w:rsidR="001F6DEC">
        <w:rPr>
          <w:lang w:eastAsia="ja-JP"/>
        </w:rPr>
        <w:t>years</w:t>
      </w:r>
      <w:r w:rsidR="000159A6">
        <w:rPr>
          <w:lang w:eastAsia="ja-JP"/>
        </w:rPr>
        <w:t xml:space="preserve"> </w:t>
      </w:r>
      <w:r w:rsidR="001F6DEC">
        <w:rPr>
          <w:lang w:eastAsia="ja-JP"/>
        </w:rPr>
        <w:t>of</w:t>
      </w:r>
      <w:r w:rsidR="000159A6">
        <w:rPr>
          <w:lang w:eastAsia="ja-JP"/>
        </w:rPr>
        <w:t xml:space="preserve"> </w:t>
      </w:r>
      <w:r w:rsidR="001F6DEC">
        <w:rPr>
          <w:lang w:eastAsia="ja-JP"/>
        </w:rPr>
        <w:t>age.</w:t>
      </w:r>
    </w:p>
    <w:p w14:paraId="519135FC" w14:textId="2C003F13" w:rsidR="001F6DEC" w:rsidRDefault="001F6DEC" w:rsidP="00331A1D">
      <w:r>
        <w:t>Pooling</w:t>
      </w:r>
      <w:r w:rsidR="000159A6">
        <w:t xml:space="preserve"> </w:t>
      </w:r>
      <w:r>
        <w:t>of</w:t>
      </w:r>
      <w:r w:rsidR="000159A6">
        <w:t xml:space="preserve"> </w:t>
      </w:r>
      <w:r>
        <w:t>data</w:t>
      </w:r>
      <w:r w:rsidR="000159A6">
        <w:t xml:space="preserve"> </w:t>
      </w:r>
      <w:r>
        <w:t>was</w:t>
      </w:r>
      <w:r w:rsidR="000159A6">
        <w:t xml:space="preserve"> </w:t>
      </w:r>
      <w:r>
        <w:t>acceptable</w:t>
      </w:r>
      <w:r w:rsidR="000159A6">
        <w:t xml:space="preserve"> </w:t>
      </w:r>
      <w:r>
        <w:t>due</w:t>
      </w:r>
      <w:r w:rsidR="000159A6">
        <w:t xml:space="preserve"> </w:t>
      </w:r>
      <w:r>
        <w:t>to</w:t>
      </w:r>
      <w:r w:rsidR="000159A6">
        <w:t xml:space="preserve"> </w:t>
      </w:r>
      <w:r>
        <w:t>the</w:t>
      </w:r>
      <w:r w:rsidR="000159A6">
        <w:t xml:space="preserve"> </w:t>
      </w:r>
      <w:r>
        <w:t>studies</w:t>
      </w:r>
      <w:r w:rsidR="000159A6">
        <w:t xml:space="preserve"> </w:t>
      </w:r>
      <w:r>
        <w:t>having</w:t>
      </w:r>
      <w:r w:rsidR="000159A6">
        <w:t xml:space="preserve"> </w:t>
      </w:r>
      <w:r>
        <w:t>the</w:t>
      </w:r>
      <w:r w:rsidR="000159A6">
        <w:t xml:space="preserve"> </w:t>
      </w:r>
      <w:r>
        <w:t>same</w:t>
      </w:r>
      <w:r w:rsidR="000159A6">
        <w:t xml:space="preserve"> </w:t>
      </w:r>
      <w:r>
        <w:t>design</w:t>
      </w:r>
      <w:r w:rsidR="000159A6">
        <w:t xml:space="preserve"> </w:t>
      </w:r>
      <w:r>
        <w:t>and</w:t>
      </w:r>
      <w:r w:rsidR="000159A6">
        <w:t xml:space="preserve"> </w:t>
      </w:r>
      <w:r>
        <w:t>methodologies,</w:t>
      </w:r>
      <w:r w:rsidR="000159A6">
        <w:t xml:space="preserve"> </w:t>
      </w:r>
      <w:r>
        <w:t>inclusion</w:t>
      </w:r>
      <w:r w:rsidR="000159A6">
        <w:t xml:space="preserve"> </w:t>
      </w:r>
      <w:r>
        <w:t>and</w:t>
      </w:r>
      <w:r w:rsidR="000159A6">
        <w:t xml:space="preserve"> </w:t>
      </w:r>
      <w:r>
        <w:t>exclusion</w:t>
      </w:r>
      <w:r w:rsidR="000159A6">
        <w:t xml:space="preserve"> </w:t>
      </w:r>
      <w:r>
        <w:t>criteria,</w:t>
      </w:r>
      <w:r w:rsidR="000159A6">
        <w:t xml:space="preserve"> </w:t>
      </w:r>
      <w:r>
        <w:t>treatment</w:t>
      </w:r>
      <w:r w:rsidR="000159A6">
        <w:t xml:space="preserve"> </w:t>
      </w:r>
      <w:r>
        <w:t>groups</w:t>
      </w:r>
      <w:r w:rsidR="000159A6">
        <w:t xml:space="preserve"> </w:t>
      </w:r>
      <w:r>
        <w:t>and</w:t>
      </w:r>
      <w:r w:rsidR="000159A6">
        <w:t xml:space="preserve"> </w:t>
      </w:r>
      <w:r>
        <w:t>evaluations.</w:t>
      </w:r>
      <w:r w:rsidR="000159A6">
        <w:t xml:space="preserve"> </w:t>
      </w:r>
      <w:r>
        <w:t>An</w:t>
      </w:r>
      <w:r w:rsidR="000159A6">
        <w:t xml:space="preserve"> </w:t>
      </w:r>
      <w:r>
        <w:t>analysis</w:t>
      </w:r>
      <w:r w:rsidR="000159A6">
        <w:t xml:space="preserve"> </w:t>
      </w:r>
      <w:r>
        <w:t>of</w:t>
      </w:r>
      <w:r w:rsidR="000159A6">
        <w:t xml:space="preserve"> </w:t>
      </w:r>
      <w:r w:rsidR="00525235">
        <w:t>correlates</w:t>
      </w:r>
      <w:r w:rsidR="000159A6">
        <w:t xml:space="preserve"> </w:t>
      </w:r>
      <w:r w:rsidR="00525235">
        <w:t>of</w:t>
      </w:r>
      <w:r w:rsidR="000159A6">
        <w:t xml:space="preserve"> </w:t>
      </w:r>
      <w:r w:rsidR="00525235">
        <w:t>protection</w:t>
      </w:r>
      <w:r w:rsidR="000159A6">
        <w:t xml:space="preserve"> </w:t>
      </w:r>
      <w:r w:rsidR="00525235">
        <w:t>from</w:t>
      </w:r>
      <w:r w:rsidR="000159A6">
        <w:t xml:space="preserve"> </w:t>
      </w:r>
      <w:r w:rsidR="00525235">
        <w:t>S</w:t>
      </w:r>
      <w:r>
        <w:t>tudies</w:t>
      </w:r>
      <w:r w:rsidR="000159A6">
        <w:t xml:space="preserve"> </w:t>
      </w:r>
      <w:r>
        <w:t>ZOSTER-006</w:t>
      </w:r>
      <w:r w:rsidR="000159A6">
        <w:t xml:space="preserve"> </w:t>
      </w:r>
      <w:r>
        <w:t>and</w:t>
      </w:r>
      <w:r w:rsidR="000159A6">
        <w:t xml:space="preserve"> </w:t>
      </w:r>
      <w:r>
        <w:t>ZOSTER-022</w:t>
      </w:r>
      <w:r w:rsidR="000159A6">
        <w:t xml:space="preserve"> </w:t>
      </w:r>
      <w:r>
        <w:t>was</w:t>
      </w:r>
      <w:r w:rsidR="000159A6">
        <w:t xml:space="preserve"> </w:t>
      </w:r>
      <w:r>
        <w:t>planned</w:t>
      </w:r>
      <w:r w:rsidR="000159A6">
        <w:t xml:space="preserve"> </w:t>
      </w:r>
      <w:r>
        <w:t>but</w:t>
      </w:r>
      <w:r w:rsidR="000159A6">
        <w:t xml:space="preserve"> </w:t>
      </w:r>
      <w:r>
        <w:t>could</w:t>
      </w:r>
      <w:r w:rsidR="000159A6">
        <w:t xml:space="preserve"> </w:t>
      </w:r>
      <w:r>
        <w:t>not</w:t>
      </w:r>
      <w:r w:rsidR="000159A6">
        <w:t xml:space="preserve"> </w:t>
      </w:r>
      <w:r>
        <w:t>be</w:t>
      </w:r>
      <w:r w:rsidR="000159A6">
        <w:t xml:space="preserve"> </w:t>
      </w:r>
      <w:r>
        <w:t>located</w:t>
      </w:r>
      <w:r w:rsidR="000159A6">
        <w:t xml:space="preserve"> </w:t>
      </w:r>
      <w:r>
        <w:t>in</w:t>
      </w:r>
      <w:r w:rsidR="000159A6">
        <w:t xml:space="preserve"> </w:t>
      </w:r>
      <w:r>
        <w:t>the</w:t>
      </w:r>
      <w:r w:rsidR="000159A6">
        <w:t xml:space="preserve"> </w:t>
      </w:r>
      <w:r>
        <w:t>dossier.</w:t>
      </w:r>
      <w:r w:rsidR="000159A6">
        <w:t xml:space="preserve"> </w:t>
      </w:r>
      <w:r>
        <w:t>A</w:t>
      </w:r>
      <w:r w:rsidR="000159A6">
        <w:t xml:space="preserve"> </w:t>
      </w:r>
      <w:r>
        <w:t>question</w:t>
      </w:r>
      <w:r w:rsidR="000159A6">
        <w:t xml:space="preserve"> </w:t>
      </w:r>
      <w:r>
        <w:t>has</w:t>
      </w:r>
      <w:r w:rsidR="000159A6">
        <w:t xml:space="preserve"> </w:t>
      </w:r>
      <w:r>
        <w:t>been</w:t>
      </w:r>
      <w:r w:rsidR="000159A6">
        <w:t xml:space="preserve"> </w:t>
      </w:r>
      <w:r>
        <w:t>raised</w:t>
      </w:r>
      <w:r w:rsidR="000159A6">
        <w:t xml:space="preserve"> </w:t>
      </w:r>
      <w:r w:rsidR="003D23D4">
        <w:t>by</w:t>
      </w:r>
      <w:r w:rsidR="000159A6">
        <w:t xml:space="preserve"> </w:t>
      </w:r>
      <w:r w:rsidR="003D23D4">
        <w:t>the</w:t>
      </w:r>
      <w:r w:rsidR="000159A6">
        <w:t xml:space="preserve"> </w:t>
      </w:r>
      <w:r w:rsidR="003D23D4">
        <w:t>evaluator</w:t>
      </w:r>
      <w:r>
        <w:t>.</w:t>
      </w:r>
    </w:p>
    <w:p w14:paraId="0D7E3868" w14:textId="001A2A68" w:rsidR="0091081C" w:rsidRPr="00C95B23" w:rsidRDefault="0091081C" w:rsidP="00C95B23">
      <w:pPr>
        <w:pStyle w:val="Heading5"/>
      </w:pPr>
      <w:bookmarkStart w:id="127" w:name="_Toc507578011"/>
      <w:r w:rsidRPr="00C95B23">
        <w:t>Evaluator</w:t>
      </w:r>
      <w:r w:rsidR="000159A6" w:rsidRPr="00C95B23">
        <w:t xml:space="preserve"> </w:t>
      </w:r>
      <w:r w:rsidRPr="00C95B23">
        <w:t>commentary</w:t>
      </w:r>
      <w:bookmarkEnd w:id="127"/>
    </w:p>
    <w:p w14:paraId="7BDEC3D8" w14:textId="13AE4173" w:rsidR="0091081C" w:rsidRPr="0091081C" w:rsidRDefault="0091081C" w:rsidP="00541F41">
      <w:r w:rsidRPr="0091081C">
        <w:t>In</w:t>
      </w:r>
      <w:r w:rsidR="000159A6">
        <w:t xml:space="preserve"> </w:t>
      </w:r>
      <w:r w:rsidR="000D0435">
        <w:t>Study</w:t>
      </w:r>
      <w:r w:rsidR="000159A6">
        <w:t xml:space="preserve"> </w:t>
      </w:r>
      <w:r w:rsidRPr="0091081C">
        <w:t>ZOSTER-006,</w:t>
      </w:r>
      <w:r w:rsidR="000159A6">
        <w:t xml:space="preserve"> </w:t>
      </w:r>
      <w:r w:rsidRPr="0091081C">
        <w:t>in</w:t>
      </w:r>
      <w:r w:rsidR="000159A6">
        <w:t xml:space="preserve"> </w:t>
      </w:r>
      <w:r w:rsidRPr="0091081C">
        <w:t>the</w:t>
      </w:r>
      <w:r w:rsidR="000159A6">
        <w:t xml:space="preserve"> </w:t>
      </w:r>
      <w:r w:rsidR="000D0435">
        <w:t>modified</w:t>
      </w:r>
      <w:r w:rsidR="000159A6">
        <w:t xml:space="preserve"> </w:t>
      </w:r>
      <w:r w:rsidR="000D0435">
        <w:t>Total</w:t>
      </w:r>
      <w:r w:rsidR="000159A6">
        <w:t xml:space="preserve"> </w:t>
      </w:r>
      <w:r w:rsidR="000D0435">
        <w:t>Vaccinated</w:t>
      </w:r>
      <w:r w:rsidR="000159A6">
        <w:t xml:space="preserve"> </w:t>
      </w:r>
      <w:r w:rsidR="000D0435">
        <w:t>Cohort</w:t>
      </w:r>
      <w:r w:rsidR="000159A6">
        <w:t xml:space="preserve"> </w:t>
      </w:r>
      <w:r w:rsidR="000D0435">
        <w:t>(</w:t>
      </w:r>
      <w:proofErr w:type="spellStart"/>
      <w:r w:rsidRPr="0091081C">
        <w:t>mTVC</w:t>
      </w:r>
      <w:proofErr w:type="spellEnd"/>
      <w:r w:rsidR="000D0435">
        <w:t>)</w:t>
      </w:r>
      <w:r w:rsidRPr="0091081C">
        <w:t>,</w:t>
      </w:r>
      <w:r w:rsidR="000159A6">
        <w:t xml:space="preserve"> </w:t>
      </w:r>
      <w:r w:rsidRPr="0091081C">
        <w:t>the</w:t>
      </w:r>
      <w:r w:rsidR="000159A6">
        <w:t xml:space="preserve"> </w:t>
      </w:r>
      <w:r w:rsidRPr="0091081C">
        <w:t>HZ/</w:t>
      </w:r>
      <w:proofErr w:type="spellStart"/>
      <w:r w:rsidRPr="0091081C">
        <w:t>su</w:t>
      </w:r>
      <w:proofErr w:type="spellEnd"/>
      <w:r w:rsidR="000159A6">
        <w:t xml:space="preserve"> </w:t>
      </w:r>
      <w:r w:rsidRPr="0091081C">
        <w:t>vaccine</w:t>
      </w:r>
      <w:r w:rsidR="000159A6">
        <w:t xml:space="preserve"> </w:t>
      </w:r>
      <w:r w:rsidRPr="0091081C">
        <w:t>was</w:t>
      </w:r>
      <w:r w:rsidR="000159A6">
        <w:t xml:space="preserve"> </w:t>
      </w:r>
      <w:r w:rsidRPr="0091081C">
        <w:t>found</w:t>
      </w:r>
      <w:r w:rsidR="000159A6">
        <w:t xml:space="preserve"> </w:t>
      </w:r>
      <w:r w:rsidRPr="0091081C">
        <w:t>to</w:t>
      </w:r>
      <w:r w:rsidR="000159A6">
        <w:t xml:space="preserve"> </w:t>
      </w:r>
      <w:r w:rsidRPr="0091081C">
        <w:t>be</w:t>
      </w:r>
      <w:r w:rsidR="000159A6">
        <w:t xml:space="preserve"> </w:t>
      </w:r>
      <w:r w:rsidRPr="0091081C">
        <w:t>highly</w:t>
      </w:r>
      <w:r w:rsidR="000159A6">
        <w:t xml:space="preserve"> </w:t>
      </w:r>
      <w:r w:rsidRPr="0091081C">
        <w:t>efficacious</w:t>
      </w:r>
      <w:r w:rsidR="000159A6">
        <w:t xml:space="preserve"> </w:t>
      </w:r>
      <w:r w:rsidRPr="0091081C">
        <w:t>in</w:t>
      </w:r>
      <w:r w:rsidR="000159A6">
        <w:t xml:space="preserve"> </w:t>
      </w:r>
      <w:r w:rsidRPr="0091081C">
        <w:t>preventing</w:t>
      </w:r>
      <w:r w:rsidR="000159A6">
        <w:t xml:space="preserve"> </w:t>
      </w:r>
      <w:r w:rsidRPr="0091081C">
        <w:t>HZ</w:t>
      </w:r>
      <w:r w:rsidR="000159A6">
        <w:t xml:space="preserve"> </w:t>
      </w:r>
      <w:r w:rsidRPr="0091081C">
        <w:t>in</w:t>
      </w:r>
      <w:r w:rsidR="000159A6">
        <w:t xml:space="preserve"> </w:t>
      </w:r>
      <w:r w:rsidRPr="0091081C">
        <w:t>subjects</w:t>
      </w:r>
      <w:r w:rsidR="000159A6">
        <w:t xml:space="preserve"> </w:t>
      </w:r>
      <w:r w:rsidRPr="0091081C">
        <w:t>aged</w:t>
      </w:r>
      <w:r w:rsidR="000159A6">
        <w:t xml:space="preserve"> </w:t>
      </w:r>
      <w:r w:rsidR="0037169B">
        <w:t>≥</w:t>
      </w:r>
      <w:r w:rsidR="000159A6">
        <w:t xml:space="preserve"> </w:t>
      </w:r>
      <w:r w:rsidRPr="0091081C">
        <w:t>50</w:t>
      </w:r>
      <w:r w:rsidR="000159A6">
        <w:t xml:space="preserve"> </w:t>
      </w:r>
      <w:r w:rsidRPr="0091081C">
        <w:t>years</w:t>
      </w:r>
      <w:r w:rsidR="000159A6">
        <w:t xml:space="preserve"> </w:t>
      </w:r>
      <w:r w:rsidRPr="0091081C">
        <w:t>with</w:t>
      </w:r>
      <w:r w:rsidR="000159A6">
        <w:t xml:space="preserve"> </w:t>
      </w:r>
      <w:r w:rsidRPr="0091081C">
        <w:t>a</w:t>
      </w:r>
      <w:r w:rsidR="000159A6">
        <w:t xml:space="preserve"> </w:t>
      </w:r>
      <w:r w:rsidR="000D0435">
        <w:t>vaccine</w:t>
      </w:r>
      <w:r w:rsidR="000159A6">
        <w:t xml:space="preserve"> </w:t>
      </w:r>
      <w:r w:rsidR="000D0435">
        <w:t>efficacy</w:t>
      </w:r>
      <w:r w:rsidR="000159A6">
        <w:t xml:space="preserve"> </w:t>
      </w:r>
      <w:r w:rsidR="000D0435">
        <w:t>(</w:t>
      </w:r>
      <w:r w:rsidRPr="0091081C">
        <w:t>VE</w:t>
      </w:r>
      <w:r w:rsidR="000D0435">
        <w:t>)</w:t>
      </w:r>
      <w:r w:rsidR="000159A6">
        <w:t xml:space="preserve"> </w:t>
      </w:r>
      <w:r w:rsidRPr="0091081C">
        <w:t>of</w:t>
      </w:r>
      <w:r w:rsidR="000159A6">
        <w:t xml:space="preserve"> </w:t>
      </w:r>
      <w:r w:rsidRPr="0091081C">
        <w:t>97.16%</w:t>
      </w:r>
      <w:r w:rsidR="000159A6">
        <w:t xml:space="preserve"> </w:t>
      </w:r>
      <w:r w:rsidRPr="0091081C">
        <w:t>(95%</w:t>
      </w:r>
      <w:r w:rsidR="000159A6">
        <w:t xml:space="preserve"> </w:t>
      </w:r>
      <w:r w:rsidRPr="0091081C">
        <w:t>CI:</w:t>
      </w:r>
      <w:r w:rsidR="000159A6">
        <w:t xml:space="preserve"> </w:t>
      </w:r>
      <w:r w:rsidRPr="0091081C">
        <w:t>93.72%</w:t>
      </w:r>
      <w:r w:rsidR="000159A6">
        <w:t xml:space="preserve"> </w:t>
      </w:r>
      <w:r w:rsidRPr="0091081C">
        <w:t>to</w:t>
      </w:r>
      <w:r w:rsidR="000159A6">
        <w:t xml:space="preserve"> </w:t>
      </w:r>
      <w:r w:rsidRPr="0091081C">
        <w:t>98.97%).</w:t>
      </w:r>
      <w:r w:rsidR="000159A6">
        <w:t xml:space="preserve"> </w:t>
      </w:r>
      <w:r w:rsidRPr="0091081C">
        <w:t>The</w:t>
      </w:r>
      <w:r w:rsidR="000159A6">
        <w:t xml:space="preserve"> </w:t>
      </w:r>
      <w:r w:rsidRPr="0091081C">
        <w:t>result</w:t>
      </w:r>
      <w:r w:rsidR="000159A6">
        <w:t xml:space="preserve"> </w:t>
      </w:r>
      <w:r w:rsidRPr="0091081C">
        <w:t>was</w:t>
      </w:r>
      <w:r w:rsidR="000159A6">
        <w:t xml:space="preserve"> </w:t>
      </w:r>
      <w:r w:rsidRPr="0091081C">
        <w:t>consistent</w:t>
      </w:r>
      <w:r w:rsidR="000159A6">
        <w:t xml:space="preserve"> </w:t>
      </w:r>
      <w:r w:rsidRPr="0091081C">
        <w:t>when</w:t>
      </w:r>
      <w:r w:rsidR="000159A6">
        <w:t xml:space="preserve"> </w:t>
      </w:r>
      <w:r w:rsidRPr="0091081C">
        <w:t>analysis</w:t>
      </w:r>
      <w:r w:rsidR="000159A6">
        <w:t xml:space="preserve"> </w:t>
      </w:r>
      <w:r w:rsidRPr="0091081C">
        <w:t>was</w:t>
      </w:r>
      <w:r w:rsidR="000159A6">
        <w:t xml:space="preserve"> </w:t>
      </w:r>
      <w:r w:rsidRPr="0091081C">
        <w:t>undertaken</w:t>
      </w:r>
      <w:r w:rsidR="000159A6">
        <w:t xml:space="preserve"> </w:t>
      </w:r>
      <w:r w:rsidRPr="0091081C">
        <w:t>at</w:t>
      </w:r>
      <w:r w:rsidR="000159A6">
        <w:t xml:space="preserve"> </w:t>
      </w:r>
      <w:r w:rsidRPr="0091081C">
        <w:t>the</w:t>
      </w:r>
      <w:r w:rsidR="000159A6">
        <w:t xml:space="preserve"> </w:t>
      </w:r>
      <w:r w:rsidRPr="0091081C">
        <w:t>final</w:t>
      </w:r>
      <w:r w:rsidR="000159A6">
        <w:t xml:space="preserve"> </w:t>
      </w:r>
      <w:r w:rsidRPr="0091081C">
        <w:t>HZ</w:t>
      </w:r>
      <w:r w:rsidR="000159A6">
        <w:t xml:space="preserve"> </w:t>
      </w:r>
      <w:r w:rsidRPr="0091081C">
        <w:t>analysis</w:t>
      </w:r>
      <w:r w:rsidR="000159A6">
        <w:t xml:space="preserve"> </w:t>
      </w:r>
      <w:r w:rsidRPr="0091081C">
        <w:t>and</w:t>
      </w:r>
      <w:r w:rsidR="000159A6">
        <w:t xml:space="preserve"> </w:t>
      </w:r>
      <w:r w:rsidRPr="0091081C">
        <w:t>at</w:t>
      </w:r>
      <w:r w:rsidR="000159A6">
        <w:t xml:space="preserve"> </w:t>
      </w:r>
      <w:r w:rsidR="000D0435" w:rsidRPr="0091081C">
        <w:t>the</w:t>
      </w:r>
      <w:r w:rsidR="000159A6">
        <w:t xml:space="preserve"> </w:t>
      </w:r>
      <w:r w:rsidR="000D0435">
        <w:t>end</w:t>
      </w:r>
      <w:r w:rsidR="000159A6">
        <w:t xml:space="preserve"> </w:t>
      </w:r>
      <w:r w:rsidR="000D0435">
        <w:t>of</w:t>
      </w:r>
      <w:r w:rsidR="000159A6">
        <w:t xml:space="preserve"> </w:t>
      </w:r>
      <w:r w:rsidR="000D0435">
        <w:t>study</w:t>
      </w:r>
      <w:r w:rsidR="000159A6">
        <w:t xml:space="preserve"> </w:t>
      </w:r>
      <w:r w:rsidR="000D0435">
        <w:t>(</w:t>
      </w:r>
      <w:r w:rsidRPr="0091081C">
        <w:t>EOS</w:t>
      </w:r>
      <w:r w:rsidR="000D0435">
        <w:t>)</w:t>
      </w:r>
      <w:r w:rsidR="000159A6">
        <w:t xml:space="preserve"> </w:t>
      </w:r>
      <w:r w:rsidRPr="0091081C">
        <w:t>time</w:t>
      </w:r>
      <w:r w:rsidR="000159A6">
        <w:t xml:space="preserve"> </w:t>
      </w:r>
      <w:r w:rsidRPr="0091081C">
        <w:t>points.</w:t>
      </w:r>
      <w:r w:rsidR="000159A6">
        <w:t xml:space="preserve"> </w:t>
      </w:r>
      <w:r w:rsidRPr="0091081C">
        <w:t>It</w:t>
      </w:r>
      <w:r w:rsidR="000159A6">
        <w:t xml:space="preserve"> </w:t>
      </w:r>
      <w:r w:rsidRPr="0091081C">
        <w:t>was</w:t>
      </w:r>
      <w:r w:rsidR="000159A6">
        <w:t xml:space="preserve"> </w:t>
      </w:r>
      <w:r w:rsidRPr="0091081C">
        <w:t>also</w:t>
      </w:r>
      <w:r w:rsidR="000159A6">
        <w:t xml:space="preserve"> </w:t>
      </w:r>
      <w:r w:rsidRPr="0091081C">
        <w:t>supported</w:t>
      </w:r>
      <w:r w:rsidR="000159A6">
        <w:t xml:space="preserve"> </w:t>
      </w:r>
      <w:r w:rsidRPr="0091081C">
        <w:t>by</w:t>
      </w:r>
      <w:r w:rsidR="000159A6">
        <w:t xml:space="preserve"> </w:t>
      </w:r>
      <w:r w:rsidR="00D51914">
        <w:t>Total</w:t>
      </w:r>
      <w:r w:rsidR="000159A6">
        <w:t xml:space="preserve"> </w:t>
      </w:r>
      <w:r w:rsidR="00D51914">
        <w:t>Vaccinated</w:t>
      </w:r>
      <w:r w:rsidR="000159A6">
        <w:t xml:space="preserve"> </w:t>
      </w:r>
      <w:r w:rsidR="00D51914">
        <w:t>Cohort</w:t>
      </w:r>
      <w:r w:rsidR="000159A6">
        <w:t xml:space="preserve"> </w:t>
      </w:r>
      <w:r w:rsidR="00D51914">
        <w:t>(</w:t>
      </w:r>
      <w:r w:rsidRPr="0091081C">
        <w:t>TVC</w:t>
      </w:r>
      <w:r w:rsidR="00D51914">
        <w:t>)</w:t>
      </w:r>
      <w:r w:rsidR="000159A6">
        <w:t xml:space="preserve"> </w:t>
      </w:r>
      <w:r w:rsidRPr="0091081C">
        <w:t>and</w:t>
      </w:r>
      <w:r w:rsidR="000159A6">
        <w:t xml:space="preserve"> </w:t>
      </w:r>
      <w:r w:rsidR="000D0435">
        <w:t>According-To-Protocol</w:t>
      </w:r>
      <w:r w:rsidR="000159A6">
        <w:t xml:space="preserve"> </w:t>
      </w:r>
      <w:r w:rsidR="000D0435">
        <w:lastRenderedPageBreak/>
        <w:t>(</w:t>
      </w:r>
      <w:r w:rsidRPr="0091081C">
        <w:t>ATP</w:t>
      </w:r>
      <w:r w:rsidR="000D0435">
        <w:t>)</w:t>
      </w:r>
      <w:r w:rsidR="000159A6">
        <w:t xml:space="preserve"> </w:t>
      </w:r>
      <w:r w:rsidRPr="0091081C">
        <w:t>population</w:t>
      </w:r>
      <w:r w:rsidR="000159A6">
        <w:t xml:space="preserve"> </w:t>
      </w:r>
      <w:r w:rsidRPr="0091081C">
        <w:t>analyses.</w:t>
      </w:r>
      <w:r w:rsidR="000159A6">
        <w:t xml:space="preserve"> </w:t>
      </w:r>
      <w:r w:rsidR="000D0435">
        <w:t>Vaccine</w:t>
      </w:r>
      <w:r w:rsidR="000159A6">
        <w:t xml:space="preserve"> </w:t>
      </w:r>
      <w:r w:rsidR="000D0435">
        <w:t>efficacy</w:t>
      </w:r>
      <w:r w:rsidR="000159A6">
        <w:t xml:space="preserve"> </w:t>
      </w:r>
      <w:r w:rsidRPr="0091081C">
        <w:t>was</w:t>
      </w:r>
      <w:r w:rsidR="000159A6">
        <w:t xml:space="preserve"> </w:t>
      </w:r>
      <w:r w:rsidRPr="0091081C">
        <w:t>consistent</w:t>
      </w:r>
      <w:r w:rsidR="000159A6">
        <w:t xml:space="preserve"> </w:t>
      </w:r>
      <w:r w:rsidRPr="0091081C">
        <w:t>across</w:t>
      </w:r>
      <w:r w:rsidR="000159A6">
        <w:t xml:space="preserve"> </w:t>
      </w:r>
      <w:r w:rsidRPr="0091081C">
        <w:t>age</w:t>
      </w:r>
      <w:r w:rsidR="000159A6">
        <w:t xml:space="preserve"> </w:t>
      </w:r>
      <w:r w:rsidRPr="0091081C">
        <w:t>groups</w:t>
      </w:r>
      <w:r w:rsidR="000159A6">
        <w:t xml:space="preserve"> </w:t>
      </w:r>
      <w:r w:rsidRPr="0091081C">
        <w:t>of</w:t>
      </w:r>
      <w:r w:rsidR="000159A6">
        <w:t xml:space="preserve"> </w:t>
      </w:r>
      <w:r w:rsidRPr="0091081C">
        <w:t>50</w:t>
      </w:r>
      <w:r w:rsidR="000159A6">
        <w:t xml:space="preserve"> </w:t>
      </w:r>
      <w:r w:rsidRPr="0091081C">
        <w:t>to</w:t>
      </w:r>
      <w:r w:rsidR="000159A6">
        <w:t xml:space="preserve"> </w:t>
      </w:r>
      <w:r w:rsidRPr="0091081C">
        <w:t>59,</w:t>
      </w:r>
      <w:r w:rsidR="000159A6">
        <w:t xml:space="preserve"> </w:t>
      </w:r>
      <w:r w:rsidRPr="0091081C">
        <w:t>60</w:t>
      </w:r>
      <w:r w:rsidR="000159A6">
        <w:t xml:space="preserve"> </w:t>
      </w:r>
      <w:r w:rsidRPr="0091081C">
        <w:t>to</w:t>
      </w:r>
      <w:r w:rsidR="000159A6">
        <w:t xml:space="preserve"> </w:t>
      </w:r>
      <w:r w:rsidRPr="0091081C">
        <w:t>69</w:t>
      </w:r>
      <w:r w:rsidR="000159A6">
        <w:t xml:space="preserve"> </w:t>
      </w:r>
      <w:r w:rsidRPr="0091081C">
        <w:t>and</w:t>
      </w:r>
      <w:r w:rsidR="000159A6">
        <w:t xml:space="preserve"> </w:t>
      </w:r>
      <w:r w:rsidR="0037169B">
        <w:t>≥</w:t>
      </w:r>
      <w:r w:rsidR="000159A6">
        <w:t xml:space="preserve"> </w:t>
      </w:r>
      <w:r w:rsidRPr="0091081C">
        <w:t>70</w:t>
      </w:r>
      <w:r w:rsidR="000159A6">
        <w:t xml:space="preserve"> </w:t>
      </w:r>
      <w:r w:rsidRPr="0091081C">
        <w:t>years.</w:t>
      </w:r>
    </w:p>
    <w:p w14:paraId="58BFAF52" w14:textId="7FBA1D52" w:rsidR="0091081C" w:rsidRPr="0091081C" w:rsidRDefault="0091081C" w:rsidP="00541F41">
      <w:r w:rsidRPr="0091081C">
        <w:t>The</w:t>
      </w:r>
      <w:r w:rsidR="000159A6">
        <w:t xml:space="preserve"> </w:t>
      </w:r>
      <w:r w:rsidRPr="0091081C">
        <w:t>overall</w:t>
      </w:r>
      <w:r w:rsidR="000159A6">
        <w:t xml:space="preserve"> </w:t>
      </w:r>
      <w:r w:rsidRPr="0091081C">
        <w:t>VE</w:t>
      </w:r>
      <w:r w:rsidR="000159A6">
        <w:t xml:space="preserve"> </w:t>
      </w:r>
      <w:r w:rsidRPr="0091081C">
        <w:t>for</w:t>
      </w:r>
      <w:r w:rsidR="000159A6">
        <w:t xml:space="preserve"> </w:t>
      </w:r>
      <w:r w:rsidRPr="0091081C">
        <w:t>PHN</w:t>
      </w:r>
      <w:r w:rsidR="000159A6">
        <w:t xml:space="preserve"> </w:t>
      </w:r>
      <w:r w:rsidRPr="0091081C">
        <w:t>in</w:t>
      </w:r>
      <w:r w:rsidR="000159A6">
        <w:t xml:space="preserve"> </w:t>
      </w:r>
      <w:r w:rsidRPr="0091081C">
        <w:t>adults</w:t>
      </w:r>
      <w:r w:rsidR="000159A6">
        <w:t xml:space="preserve"> </w:t>
      </w:r>
      <w:r w:rsidR="0037169B">
        <w:t>≥</w:t>
      </w:r>
      <w:r w:rsidR="000159A6">
        <w:t xml:space="preserve"> </w:t>
      </w:r>
      <w:r w:rsidRPr="0091081C">
        <w:t>50</w:t>
      </w:r>
      <w:r w:rsidR="000159A6">
        <w:t xml:space="preserve"> </w:t>
      </w:r>
      <w:r w:rsidRPr="0091081C">
        <w:t>years</w:t>
      </w:r>
      <w:r w:rsidR="000159A6">
        <w:t xml:space="preserve"> </w:t>
      </w:r>
      <w:r w:rsidRPr="0091081C">
        <w:t>was</w:t>
      </w:r>
      <w:r w:rsidR="000159A6">
        <w:t xml:space="preserve"> </w:t>
      </w:r>
      <w:r w:rsidRPr="0091081C">
        <w:t>100%</w:t>
      </w:r>
      <w:r w:rsidR="000159A6">
        <w:t xml:space="preserve"> </w:t>
      </w:r>
      <w:r w:rsidRPr="0091081C">
        <w:t>(95%</w:t>
      </w:r>
      <w:r w:rsidR="000159A6">
        <w:t xml:space="preserve"> </w:t>
      </w:r>
      <w:r w:rsidRPr="0091081C">
        <w:t>CI:</w:t>
      </w:r>
      <w:r w:rsidR="000159A6">
        <w:t xml:space="preserve"> </w:t>
      </w:r>
      <w:r w:rsidRPr="0091081C">
        <w:t>77.1</w:t>
      </w:r>
      <w:r w:rsidR="000159A6">
        <w:t xml:space="preserve"> </w:t>
      </w:r>
      <w:r w:rsidRPr="0091081C">
        <w:t>to</w:t>
      </w:r>
      <w:r w:rsidR="000159A6">
        <w:t xml:space="preserve"> </w:t>
      </w:r>
      <w:r w:rsidRPr="0091081C">
        <w:t>100.0%)</w:t>
      </w:r>
      <w:r w:rsidR="000159A6">
        <w:t xml:space="preserve"> </w:t>
      </w:r>
      <w:r w:rsidRPr="0091081C">
        <w:t>although</w:t>
      </w:r>
      <w:r w:rsidR="000159A6">
        <w:t xml:space="preserve"> </w:t>
      </w:r>
      <w:r w:rsidRPr="0091081C">
        <w:t>the</w:t>
      </w:r>
      <w:r w:rsidR="000159A6">
        <w:t xml:space="preserve"> </w:t>
      </w:r>
      <w:r w:rsidRPr="0091081C">
        <w:t>study</w:t>
      </w:r>
      <w:r w:rsidR="000159A6">
        <w:t xml:space="preserve"> </w:t>
      </w:r>
      <w:r w:rsidRPr="0091081C">
        <w:t>was</w:t>
      </w:r>
      <w:r w:rsidR="000159A6">
        <w:t xml:space="preserve"> </w:t>
      </w:r>
      <w:r w:rsidRPr="0091081C">
        <w:t>not</w:t>
      </w:r>
      <w:r w:rsidR="000159A6">
        <w:t xml:space="preserve"> </w:t>
      </w:r>
      <w:r w:rsidRPr="0091081C">
        <w:t>powered</w:t>
      </w:r>
      <w:r w:rsidR="000159A6">
        <w:t xml:space="preserve"> </w:t>
      </w:r>
      <w:r w:rsidRPr="0091081C">
        <w:t>for</w:t>
      </w:r>
      <w:r w:rsidR="000159A6">
        <w:t xml:space="preserve"> </w:t>
      </w:r>
      <w:r w:rsidRPr="0091081C">
        <w:t>this</w:t>
      </w:r>
      <w:r w:rsidR="000159A6">
        <w:t xml:space="preserve"> </w:t>
      </w:r>
      <w:r w:rsidRPr="0091081C">
        <w:t>endpoint.</w:t>
      </w:r>
      <w:r w:rsidR="000159A6">
        <w:t xml:space="preserve"> </w:t>
      </w:r>
      <w:r w:rsidRPr="0091081C">
        <w:t>PHN</w:t>
      </w:r>
      <w:r w:rsidR="000159A6">
        <w:t xml:space="preserve"> </w:t>
      </w:r>
      <w:r w:rsidRPr="0091081C">
        <w:t>efficacy</w:t>
      </w:r>
      <w:r w:rsidR="000159A6">
        <w:t xml:space="preserve"> </w:t>
      </w:r>
      <w:r w:rsidR="000D0435">
        <w:t>was</w:t>
      </w:r>
      <w:r w:rsidR="000159A6">
        <w:t xml:space="preserve"> </w:t>
      </w:r>
      <w:r w:rsidR="000D0435">
        <w:t>seen</w:t>
      </w:r>
      <w:r w:rsidR="000159A6">
        <w:t xml:space="preserve"> </w:t>
      </w:r>
      <w:r w:rsidR="000D0435">
        <w:t>in</w:t>
      </w:r>
      <w:r w:rsidR="000159A6">
        <w:t xml:space="preserve"> </w:t>
      </w:r>
      <w:r w:rsidR="000D0435">
        <w:t>the</w:t>
      </w:r>
      <w:r w:rsidR="000159A6">
        <w:t xml:space="preserve"> </w:t>
      </w:r>
      <w:r w:rsidR="000D0435">
        <w:t>50</w:t>
      </w:r>
      <w:r w:rsidR="000159A6">
        <w:t xml:space="preserve"> </w:t>
      </w:r>
      <w:r w:rsidR="000D0435">
        <w:t>to</w:t>
      </w:r>
      <w:r w:rsidR="000159A6">
        <w:t xml:space="preserve"> </w:t>
      </w:r>
      <w:r w:rsidR="000D0435">
        <w:t>59</w:t>
      </w:r>
      <w:r w:rsidR="000159A6">
        <w:t xml:space="preserve"> </w:t>
      </w:r>
      <w:r w:rsidR="000D0435">
        <w:t>and</w:t>
      </w:r>
      <w:r w:rsidR="000159A6">
        <w:t xml:space="preserve"> </w:t>
      </w:r>
      <w:r w:rsidR="0037169B">
        <w:t>≥</w:t>
      </w:r>
      <w:r w:rsidR="00CD5352">
        <w:t> </w:t>
      </w:r>
      <w:r w:rsidRPr="0091081C">
        <w:t>70</w:t>
      </w:r>
      <w:r w:rsidR="000159A6">
        <w:t xml:space="preserve"> </w:t>
      </w:r>
      <w:r w:rsidRPr="0091081C">
        <w:t>year</w:t>
      </w:r>
      <w:r w:rsidR="000159A6">
        <w:t xml:space="preserve"> </w:t>
      </w:r>
      <w:r w:rsidRPr="0091081C">
        <w:t>age</w:t>
      </w:r>
      <w:r w:rsidR="000159A6">
        <w:t xml:space="preserve"> </w:t>
      </w:r>
      <w:r w:rsidRPr="0091081C">
        <w:t>groups</w:t>
      </w:r>
      <w:r w:rsidR="000159A6">
        <w:t xml:space="preserve"> </w:t>
      </w:r>
      <w:r w:rsidRPr="0091081C">
        <w:t>however</w:t>
      </w:r>
      <w:r w:rsidR="000159A6">
        <w:t xml:space="preserve"> </w:t>
      </w:r>
      <w:r w:rsidRPr="0091081C">
        <w:t>no</w:t>
      </w:r>
      <w:r w:rsidR="000159A6">
        <w:t xml:space="preserve"> </w:t>
      </w:r>
      <w:r w:rsidRPr="0091081C">
        <w:t>conclusions</w:t>
      </w:r>
      <w:r w:rsidR="000159A6">
        <w:t xml:space="preserve"> </w:t>
      </w:r>
      <w:r w:rsidRPr="0091081C">
        <w:t>were</w:t>
      </w:r>
      <w:r w:rsidR="000159A6">
        <w:t xml:space="preserve"> </w:t>
      </w:r>
      <w:r w:rsidRPr="0091081C">
        <w:t>possible</w:t>
      </w:r>
      <w:r w:rsidR="000159A6">
        <w:t xml:space="preserve"> </w:t>
      </w:r>
      <w:r w:rsidRPr="0091081C">
        <w:t>in</w:t>
      </w:r>
      <w:r w:rsidR="000159A6">
        <w:t xml:space="preserve"> </w:t>
      </w:r>
      <w:r w:rsidRPr="0091081C">
        <w:t>the</w:t>
      </w:r>
      <w:r w:rsidR="000159A6">
        <w:t xml:space="preserve"> </w:t>
      </w:r>
      <w:r w:rsidRPr="0091081C">
        <w:t>60</w:t>
      </w:r>
      <w:r w:rsidR="000159A6">
        <w:t xml:space="preserve"> </w:t>
      </w:r>
      <w:r w:rsidRPr="0091081C">
        <w:t>to</w:t>
      </w:r>
      <w:r w:rsidR="000159A6">
        <w:t xml:space="preserve"> </w:t>
      </w:r>
      <w:r w:rsidRPr="0091081C">
        <w:t>69</w:t>
      </w:r>
      <w:r w:rsidR="000159A6">
        <w:t xml:space="preserve"> </w:t>
      </w:r>
      <w:r w:rsidRPr="0091081C">
        <w:t>years</w:t>
      </w:r>
      <w:r w:rsidR="000159A6">
        <w:t xml:space="preserve"> </w:t>
      </w:r>
      <w:r w:rsidRPr="0091081C">
        <w:t>of</w:t>
      </w:r>
      <w:r w:rsidR="000159A6">
        <w:t xml:space="preserve"> </w:t>
      </w:r>
      <w:r w:rsidRPr="0091081C">
        <w:t>age</w:t>
      </w:r>
      <w:r w:rsidR="000159A6">
        <w:t xml:space="preserve"> </w:t>
      </w:r>
      <w:r w:rsidRPr="0091081C">
        <w:t>group</w:t>
      </w:r>
      <w:r w:rsidR="000159A6">
        <w:t xml:space="preserve"> </w:t>
      </w:r>
      <w:r w:rsidRPr="0091081C">
        <w:t>due</w:t>
      </w:r>
      <w:r w:rsidR="000159A6">
        <w:t xml:space="preserve"> </w:t>
      </w:r>
      <w:r w:rsidRPr="0091081C">
        <w:t>to</w:t>
      </w:r>
      <w:r w:rsidR="000159A6">
        <w:t xml:space="preserve"> </w:t>
      </w:r>
      <w:r w:rsidRPr="0091081C">
        <w:t>a</w:t>
      </w:r>
      <w:r w:rsidR="000159A6">
        <w:t xml:space="preserve"> </w:t>
      </w:r>
      <w:r w:rsidRPr="0091081C">
        <w:t>lack</w:t>
      </w:r>
      <w:r w:rsidR="000159A6">
        <w:t xml:space="preserve"> </w:t>
      </w:r>
      <w:r w:rsidRPr="0091081C">
        <w:t>of</w:t>
      </w:r>
      <w:r w:rsidR="000159A6">
        <w:t xml:space="preserve"> </w:t>
      </w:r>
      <w:r w:rsidRPr="0091081C">
        <w:t>cases.</w:t>
      </w:r>
      <w:r w:rsidR="000159A6">
        <w:t xml:space="preserve"> </w:t>
      </w:r>
      <w:r w:rsidRPr="0091081C">
        <w:t>It</w:t>
      </w:r>
      <w:r w:rsidR="000159A6">
        <w:t xml:space="preserve"> </w:t>
      </w:r>
      <w:r w:rsidRPr="0091081C">
        <w:t>was</w:t>
      </w:r>
      <w:r w:rsidR="000159A6">
        <w:t xml:space="preserve"> </w:t>
      </w:r>
      <w:r w:rsidRPr="0091081C">
        <w:t>also</w:t>
      </w:r>
      <w:r w:rsidR="000159A6">
        <w:t xml:space="preserve"> </w:t>
      </w:r>
      <w:r w:rsidRPr="0091081C">
        <w:t>not</w:t>
      </w:r>
      <w:r w:rsidR="000159A6">
        <w:t xml:space="preserve"> </w:t>
      </w:r>
      <w:r w:rsidRPr="0091081C">
        <w:t>possible</w:t>
      </w:r>
      <w:r w:rsidR="000159A6">
        <w:t xml:space="preserve"> </w:t>
      </w:r>
      <w:r w:rsidRPr="0091081C">
        <w:t>to</w:t>
      </w:r>
      <w:r w:rsidR="000159A6">
        <w:t xml:space="preserve"> </w:t>
      </w:r>
      <w:r w:rsidRPr="0091081C">
        <w:t>draw</w:t>
      </w:r>
      <w:r w:rsidR="000159A6">
        <w:t xml:space="preserve"> </w:t>
      </w:r>
      <w:r w:rsidRPr="0091081C">
        <w:t>conclusions</w:t>
      </w:r>
      <w:r w:rsidR="000159A6">
        <w:t xml:space="preserve"> </w:t>
      </w:r>
      <w:r w:rsidRPr="0091081C">
        <w:t>on</w:t>
      </w:r>
      <w:r w:rsidR="000159A6">
        <w:t xml:space="preserve"> </w:t>
      </w:r>
      <w:r w:rsidRPr="0091081C">
        <w:t>other</w:t>
      </w:r>
      <w:r w:rsidR="000159A6">
        <w:t xml:space="preserve"> </w:t>
      </w:r>
      <w:r w:rsidRPr="0091081C">
        <w:t>secondary</w:t>
      </w:r>
      <w:r w:rsidR="000159A6">
        <w:t xml:space="preserve"> </w:t>
      </w:r>
      <w:r w:rsidRPr="0091081C">
        <w:t>endpoints</w:t>
      </w:r>
      <w:r w:rsidR="000159A6">
        <w:t xml:space="preserve"> </w:t>
      </w:r>
      <w:r w:rsidRPr="0091081C">
        <w:t>due</w:t>
      </w:r>
      <w:r w:rsidR="000159A6">
        <w:t xml:space="preserve"> </w:t>
      </w:r>
      <w:r w:rsidRPr="0091081C">
        <w:t>to</w:t>
      </w:r>
      <w:r w:rsidR="000159A6">
        <w:t xml:space="preserve"> </w:t>
      </w:r>
      <w:r w:rsidRPr="0091081C">
        <w:t>the</w:t>
      </w:r>
      <w:r w:rsidR="000159A6">
        <w:t xml:space="preserve"> </w:t>
      </w:r>
      <w:r w:rsidRPr="0091081C">
        <w:t>low</w:t>
      </w:r>
      <w:r w:rsidR="000159A6">
        <w:t xml:space="preserve"> </w:t>
      </w:r>
      <w:r w:rsidRPr="0091081C">
        <w:t>numbers</w:t>
      </w:r>
      <w:r w:rsidR="000159A6">
        <w:t xml:space="preserve"> </w:t>
      </w:r>
      <w:r w:rsidRPr="0091081C">
        <w:t>in</w:t>
      </w:r>
      <w:r w:rsidR="000159A6">
        <w:t xml:space="preserve"> </w:t>
      </w:r>
      <w:r w:rsidRPr="0091081C">
        <w:t>the</w:t>
      </w:r>
      <w:r w:rsidR="000159A6">
        <w:t xml:space="preserve"> </w:t>
      </w:r>
      <w:r w:rsidRPr="0091081C">
        <w:t>HZ/</w:t>
      </w:r>
      <w:proofErr w:type="spellStart"/>
      <w:r w:rsidRPr="0091081C">
        <w:t>su</w:t>
      </w:r>
      <w:proofErr w:type="spellEnd"/>
      <w:r w:rsidR="000159A6">
        <w:t xml:space="preserve"> </w:t>
      </w:r>
      <w:r w:rsidRPr="0091081C">
        <w:t>group.</w:t>
      </w:r>
      <w:r w:rsidR="000159A6">
        <w:t xml:space="preserve"> </w:t>
      </w:r>
      <w:r w:rsidRPr="0091081C">
        <w:t>There</w:t>
      </w:r>
      <w:r w:rsidR="000159A6">
        <w:t xml:space="preserve"> </w:t>
      </w:r>
      <w:r w:rsidRPr="0091081C">
        <w:t>was</w:t>
      </w:r>
      <w:r w:rsidR="000159A6">
        <w:t xml:space="preserve"> </w:t>
      </w:r>
      <w:r w:rsidRPr="0091081C">
        <w:t>no</w:t>
      </w:r>
      <w:r w:rsidR="000159A6">
        <w:t xml:space="preserve"> </w:t>
      </w:r>
      <w:r w:rsidR="000D0435">
        <w:t>HZ</w:t>
      </w:r>
      <w:r w:rsidR="000159A6">
        <w:t xml:space="preserve"> </w:t>
      </w:r>
      <w:r w:rsidR="000D0435">
        <w:t>related</w:t>
      </w:r>
      <w:r w:rsidR="000159A6">
        <w:t xml:space="preserve"> </w:t>
      </w:r>
      <w:r w:rsidRPr="0091081C">
        <w:t>mortality</w:t>
      </w:r>
      <w:r w:rsidR="000159A6">
        <w:t xml:space="preserve"> </w:t>
      </w:r>
      <w:r w:rsidRPr="0091081C">
        <w:t>and</w:t>
      </w:r>
      <w:r w:rsidR="000159A6">
        <w:t xml:space="preserve"> </w:t>
      </w:r>
      <w:r w:rsidRPr="0091081C">
        <w:t>no</w:t>
      </w:r>
      <w:r w:rsidR="000159A6">
        <w:t xml:space="preserve"> </w:t>
      </w:r>
      <w:r w:rsidR="000D0435">
        <w:t>HZ</w:t>
      </w:r>
      <w:r w:rsidR="000159A6">
        <w:t xml:space="preserve"> </w:t>
      </w:r>
      <w:r w:rsidR="000D0435">
        <w:t>related</w:t>
      </w:r>
      <w:r w:rsidR="000159A6">
        <w:t xml:space="preserve"> </w:t>
      </w:r>
      <w:r w:rsidRPr="0091081C">
        <w:t>hospitalisations</w:t>
      </w:r>
      <w:r w:rsidR="000159A6">
        <w:t xml:space="preserve"> </w:t>
      </w:r>
      <w:r w:rsidRPr="0091081C">
        <w:t>in</w:t>
      </w:r>
      <w:r w:rsidR="000159A6">
        <w:t xml:space="preserve"> </w:t>
      </w:r>
      <w:r w:rsidRPr="0091081C">
        <w:t>the</w:t>
      </w:r>
      <w:r w:rsidR="000159A6">
        <w:t xml:space="preserve"> </w:t>
      </w:r>
      <w:r w:rsidRPr="0091081C">
        <w:t>HZ/</w:t>
      </w:r>
      <w:proofErr w:type="spellStart"/>
      <w:r w:rsidRPr="0091081C">
        <w:t>su</w:t>
      </w:r>
      <w:proofErr w:type="spellEnd"/>
      <w:r w:rsidR="000159A6">
        <w:t xml:space="preserve"> </w:t>
      </w:r>
      <w:r w:rsidRPr="0091081C">
        <w:t>group.</w:t>
      </w:r>
      <w:r w:rsidR="000159A6">
        <w:t xml:space="preserve"> </w:t>
      </w:r>
      <w:r w:rsidRPr="0091081C">
        <w:t>There</w:t>
      </w:r>
      <w:r w:rsidR="000159A6">
        <w:t xml:space="preserve"> </w:t>
      </w:r>
      <w:r w:rsidRPr="0091081C">
        <w:t>were</w:t>
      </w:r>
      <w:r w:rsidR="000159A6">
        <w:t xml:space="preserve"> </w:t>
      </w:r>
      <w:r w:rsidRPr="0091081C">
        <w:t>no</w:t>
      </w:r>
      <w:r w:rsidR="000159A6">
        <w:t xml:space="preserve"> </w:t>
      </w:r>
      <w:r w:rsidRPr="0091081C">
        <w:t>significant</w:t>
      </w:r>
      <w:r w:rsidR="000159A6">
        <w:t xml:space="preserve"> </w:t>
      </w:r>
      <w:r w:rsidRPr="0091081C">
        <w:t>effects</w:t>
      </w:r>
      <w:r w:rsidR="000159A6">
        <w:t xml:space="preserve"> </w:t>
      </w:r>
      <w:r w:rsidRPr="0091081C">
        <w:t>on</w:t>
      </w:r>
      <w:r w:rsidR="000159A6">
        <w:t xml:space="preserve"> </w:t>
      </w:r>
      <w:r w:rsidRPr="0091081C">
        <w:t>pain</w:t>
      </w:r>
      <w:r w:rsidR="000159A6">
        <w:t xml:space="preserve"> </w:t>
      </w:r>
      <w:r w:rsidRPr="0091081C">
        <w:t>or</w:t>
      </w:r>
      <w:r w:rsidR="000159A6">
        <w:t xml:space="preserve"> </w:t>
      </w:r>
      <w:r w:rsidRPr="0091081C">
        <w:t>pain</w:t>
      </w:r>
      <w:r w:rsidR="000159A6">
        <w:t xml:space="preserve"> </w:t>
      </w:r>
      <w:r w:rsidRPr="0091081C">
        <w:t>medication</w:t>
      </w:r>
      <w:r w:rsidR="000159A6">
        <w:t xml:space="preserve"> </w:t>
      </w:r>
      <w:r w:rsidRPr="0091081C">
        <w:t>use.</w:t>
      </w:r>
    </w:p>
    <w:p w14:paraId="13FB6084" w14:textId="13E04CF7" w:rsidR="0091081C" w:rsidRPr="0091081C" w:rsidRDefault="0091081C" w:rsidP="0091081C">
      <w:r w:rsidRPr="0091081C">
        <w:t>Immunogenicity</w:t>
      </w:r>
      <w:r w:rsidR="000159A6">
        <w:t xml:space="preserve"> </w:t>
      </w:r>
      <w:r w:rsidRPr="0091081C">
        <w:t>data</w:t>
      </w:r>
      <w:r w:rsidR="000159A6">
        <w:t xml:space="preserve"> </w:t>
      </w:r>
      <w:r w:rsidRPr="0091081C">
        <w:t>from</w:t>
      </w:r>
      <w:r w:rsidR="000159A6">
        <w:t xml:space="preserve"> </w:t>
      </w:r>
      <w:r w:rsidRPr="0091081C">
        <w:t>a</w:t>
      </w:r>
      <w:r w:rsidR="000159A6">
        <w:t xml:space="preserve"> </w:t>
      </w:r>
      <w:r w:rsidRPr="0091081C">
        <w:t>subset</w:t>
      </w:r>
      <w:r w:rsidR="000159A6">
        <w:t xml:space="preserve"> </w:t>
      </w:r>
      <w:r w:rsidRPr="0091081C">
        <w:t>of</w:t>
      </w:r>
      <w:r w:rsidR="000159A6">
        <w:t xml:space="preserve"> </w:t>
      </w:r>
      <w:r w:rsidRPr="0091081C">
        <w:t>subjects</w:t>
      </w:r>
      <w:r w:rsidR="000159A6">
        <w:t xml:space="preserve"> </w:t>
      </w:r>
      <w:r w:rsidRPr="0091081C">
        <w:t>showed</w:t>
      </w:r>
      <w:r w:rsidR="000159A6">
        <w:t xml:space="preserve"> </w:t>
      </w:r>
      <w:r w:rsidRPr="0091081C">
        <w:t>a</w:t>
      </w:r>
      <w:r w:rsidR="000159A6">
        <w:t xml:space="preserve"> </w:t>
      </w:r>
      <w:r w:rsidRPr="0091081C">
        <w:t>strong</w:t>
      </w:r>
      <w:r w:rsidR="000159A6">
        <w:t xml:space="preserve"> </w:t>
      </w:r>
      <w:r w:rsidRPr="0091081C">
        <w:t>anti-gE</w:t>
      </w:r>
      <w:r w:rsidR="000159A6">
        <w:t xml:space="preserve"> </w:t>
      </w:r>
      <w:r w:rsidRPr="0091081C">
        <w:t>antibody</w:t>
      </w:r>
      <w:r w:rsidR="000159A6">
        <w:t xml:space="preserve"> </w:t>
      </w:r>
      <w:r w:rsidRPr="0091081C">
        <w:t>response</w:t>
      </w:r>
      <w:r w:rsidR="000159A6">
        <w:t xml:space="preserve"> </w:t>
      </w:r>
      <w:r w:rsidRPr="0091081C">
        <w:t>and</w:t>
      </w:r>
      <w:r w:rsidR="000159A6">
        <w:t xml:space="preserve"> </w:t>
      </w:r>
      <w:r w:rsidRPr="0091081C">
        <w:t>CMI</w:t>
      </w:r>
      <w:r w:rsidR="000159A6">
        <w:t xml:space="preserve"> </w:t>
      </w:r>
      <w:r w:rsidRPr="0091081C">
        <w:t>response,</w:t>
      </w:r>
      <w:r w:rsidR="000159A6">
        <w:t xml:space="preserve"> </w:t>
      </w:r>
      <w:r w:rsidRPr="0091081C">
        <w:t>with</w:t>
      </w:r>
      <w:r w:rsidR="000159A6">
        <w:t xml:space="preserve"> </w:t>
      </w:r>
      <w:r w:rsidRPr="0091081C">
        <w:t>some</w:t>
      </w:r>
      <w:r w:rsidR="000159A6">
        <w:t xml:space="preserve"> </w:t>
      </w:r>
      <w:r w:rsidRPr="0091081C">
        <w:t>decline</w:t>
      </w:r>
      <w:r w:rsidR="000159A6">
        <w:t xml:space="preserve"> </w:t>
      </w:r>
      <w:r w:rsidRPr="0091081C">
        <w:t>over</w:t>
      </w:r>
      <w:r w:rsidR="000159A6">
        <w:t xml:space="preserve"> </w:t>
      </w:r>
      <w:r w:rsidRPr="0091081C">
        <w:t>3</w:t>
      </w:r>
      <w:r w:rsidR="000159A6">
        <w:t xml:space="preserve"> </w:t>
      </w:r>
      <w:r w:rsidRPr="0091081C">
        <w:t>years,</w:t>
      </w:r>
      <w:r w:rsidR="000159A6">
        <w:t xml:space="preserve"> </w:t>
      </w:r>
      <w:r w:rsidRPr="0091081C">
        <w:t>nonetheless</w:t>
      </w:r>
      <w:r w:rsidR="000159A6">
        <w:t xml:space="preserve"> </w:t>
      </w:r>
      <w:r w:rsidRPr="0091081C">
        <w:t>levels</w:t>
      </w:r>
      <w:r w:rsidR="000159A6">
        <w:t xml:space="preserve"> </w:t>
      </w:r>
      <w:r w:rsidRPr="0091081C">
        <w:t>remained</w:t>
      </w:r>
      <w:r w:rsidR="000159A6">
        <w:t xml:space="preserve"> </w:t>
      </w:r>
      <w:r w:rsidRPr="0091081C">
        <w:t>higher</w:t>
      </w:r>
      <w:r w:rsidR="000159A6">
        <w:t xml:space="preserve"> </w:t>
      </w:r>
      <w:r w:rsidRPr="0091081C">
        <w:t>than</w:t>
      </w:r>
      <w:r w:rsidR="000159A6">
        <w:t xml:space="preserve"> </w:t>
      </w:r>
      <w:r w:rsidRPr="0091081C">
        <w:t>pre</w:t>
      </w:r>
      <w:r w:rsidR="000159A6">
        <w:t xml:space="preserve"> </w:t>
      </w:r>
      <w:r w:rsidRPr="0091081C">
        <w:t>vaccination</w:t>
      </w:r>
      <w:r w:rsidR="000159A6">
        <w:t xml:space="preserve"> </w:t>
      </w:r>
      <w:r w:rsidRPr="0091081C">
        <w:t>levels.</w:t>
      </w:r>
      <w:r w:rsidR="000159A6">
        <w:t xml:space="preserve"> </w:t>
      </w:r>
      <w:r w:rsidRPr="0091081C">
        <w:t>Data</w:t>
      </w:r>
      <w:r w:rsidR="000159A6">
        <w:t xml:space="preserve"> </w:t>
      </w:r>
      <w:r w:rsidRPr="0091081C">
        <w:t>were</w:t>
      </w:r>
      <w:r w:rsidR="000159A6">
        <w:t xml:space="preserve"> </w:t>
      </w:r>
      <w:r w:rsidRPr="0091081C">
        <w:t>consistent</w:t>
      </w:r>
      <w:r w:rsidR="000159A6">
        <w:t xml:space="preserve"> </w:t>
      </w:r>
      <w:r w:rsidRPr="0091081C">
        <w:t>across</w:t>
      </w:r>
      <w:r w:rsidR="000159A6">
        <w:t xml:space="preserve"> </w:t>
      </w:r>
      <w:r w:rsidRPr="0091081C">
        <w:t>age</w:t>
      </w:r>
      <w:r w:rsidR="000159A6">
        <w:t xml:space="preserve"> </w:t>
      </w:r>
      <w:r w:rsidRPr="0091081C">
        <w:t>groups</w:t>
      </w:r>
      <w:r w:rsidR="000159A6">
        <w:t xml:space="preserve"> </w:t>
      </w:r>
      <w:r w:rsidRPr="0091081C">
        <w:t>and</w:t>
      </w:r>
      <w:r w:rsidR="000159A6">
        <w:t xml:space="preserve"> </w:t>
      </w:r>
      <w:r w:rsidRPr="0091081C">
        <w:t>study</w:t>
      </w:r>
      <w:r w:rsidR="000159A6">
        <w:t xml:space="preserve"> </w:t>
      </w:r>
      <w:r w:rsidRPr="0091081C">
        <w:t>regions.</w:t>
      </w:r>
    </w:p>
    <w:p w14:paraId="421D2A68" w14:textId="27B0C89D" w:rsidR="0091081C" w:rsidRDefault="0091081C" w:rsidP="0091081C">
      <w:pPr>
        <w:spacing w:before="0" w:line="240" w:lineRule="auto"/>
        <w:rPr>
          <w:lang w:eastAsia="ja-JP"/>
        </w:rPr>
      </w:pPr>
      <w:r>
        <w:rPr>
          <w:lang w:eastAsia="ja-JP"/>
        </w:rPr>
        <w:t>In</w:t>
      </w:r>
      <w:r w:rsidR="000159A6">
        <w:rPr>
          <w:lang w:eastAsia="ja-JP"/>
        </w:rPr>
        <w:t xml:space="preserve"> </w:t>
      </w:r>
      <w:r w:rsidR="000D0435">
        <w:rPr>
          <w:lang w:eastAsia="ja-JP"/>
        </w:rPr>
        <w:t>Study</w:t>
      </w:r>
      <w:r w:rsidR="000159A6">
        <w:rPr>
          <w:lang w:eastAsia="ja-JP"/>
        </w:rPr>
        <w:t xml:space="preserve"> </w:t>
      </w:r>
      <w:r>
        <w:rPr>
          <w:lang w:eastAsia="ja-JP"/>
        </w:rPr>
        <w:t>ZOSTER-022,</w:t>
      </w:r>
      <w:r w:rsidR="000159A6">
        <w:rPr>
          <w:lang w:eastAsia="ja-JP"/>
        </w:rPr>
        <w:t xml:space="preserve"> </w:t>
      </w:r>
      <w:r>
        <w:rPr>
          <w:lang w:eastAsia="ja-JP"/>
        </w:rPr>
        <w:t>VE</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prevention</w:t>
      </w:r>
      <w:r w:rsidR="000159A6">
        <w:rPr>
          <w:lang w:eastAsia="ja-JP"/>
        </w:rPr>
        <w:t xml:space="preserve"> </w:t>
      </w:r>
      <w:r>
        <w:rPr>
          <w:lang w:eastAsia="ja-JP"/>
        </w:rPr>
        <w:t>of</w:t>
      </w:r>
      <w:r w:rsidR="000159A6">
        <w:rPr>
          <w:lang w:eastAsia="ja-JP"/>
        </w:rPr>
        <w:t xml:space="preserve"> </w:t>
      </w:r>
      <w:r>
        <w:rPr>
          <w:lang w:eastAsia="ja-JP"/>
        </w:rPr>
        <w:t>HZ</w:t>
      </w:r>
      <w:r w:rsidR="000159A6">
        <w:rPr>
          <w:lang w:eastAsia="ja-JP"/>
        </w:rPr>
        <w:t xml:space="preserve"> </w:t>
      </w:r>
      <w:r>
        <w:rPr>
          <w:lang w:eastAsia="ja-JP"/>
        </w:rPr>
        <w:t>was</w:t>
      </w:r>
      <w:r w:rsidR="000159A6">
        <w:rPr>
          <w:lang w:eastAsia="ja-JP"/>
        </w:rPr>
        <w:t xml:space="preserve"> </w:t>
      </w:r>
      <w:r>
        <w:rPr>
          <w:lang w:eastAsia="ja-JP"/>
        </w:rPr>
        <w:t>confirmed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elderly</w:t>
      </w:r>
      <w:r w:rsidR="000159A6">
        <w:rPr>
          <w:lang w:eastAsia="ja-JP"/>
        </w:rPr>
        <w:t xml:space="preserve"> </w:t>
      </w:r>
      <w:r>
        <w:rPr>
          <w:lang w:eastAsia="ja-JP"/>
        </w:rPr>
        <w:t>population</w:t>
      </w:r>
      <w:r w:rsidR="000159A6">
        <w:rPr>
          <w:lang w:eastAsia="ja-JP"/>
        </w:rPr>
        <w:t xml:space="preserve"> </w:t>
      </w:r>
      <w:r>
        <w:rPr>
          <w:lang w:eastAsia="ja-JP"/>
        </w:rPr>
        <w:t>(</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after</w:t>
      </w:r>
      <w:r w:rsidR="000159A6">
        <w:rPr>
          <w:lang w:eastAsia="ja-JP"/>
        </w:rPr>
        <w:t xml:space="preserve"> </w:t>
      </w:r>
      <w:r>
        <w:rPr>
          <w:lang w:eastAsia="ja-JP"/>
        </w:rPr>
        <w:t>a</w:t>
      </w:r>
      <w:r w:rsidR="000159A6">
        <w:rPr>
          <w:lang w:eastAsia="ja-JP"/>
        </w:rPr>
        <w:t xml:space="preserve"> </w:t>
      </w:r>
      <w:r>
        <w:rPr>
          <w:lang w:eastAsia="ja-JP"/>
        </w:rPr>
        <w:t>median</w:t>
      </w:r>
      <w:r w:rsidR="000159A6">
        <w:rPr>
          <w:lang w:eastAsia="ja-JP"/>
        </w:rPr>
        <w:t xml:space="preserve"> </w:t>
      </w:r>
      <w:r>
        <w:rPr>
          <w:lang w:eastAsia="ja-JP"/>
        </w:rPr>
        <w:t>follow</w:t>
      </w:r>
      <w:r w:rsidR="000159A6">
        <w:rPr>
          <w:lang w:eastAsia="ja-JP"/>
        </w:rPr>
        <w:t xml:space="preserve"> </w:t>
      </w:r>
      <w:r>
        <w:rPr>
          <w:lang w:eastAsia="ja-JP"/>
        </w:rPr>
        <w:t>up</w:t>
      </w:r>
      <w:r w:rsidR="000159A6">
        <w:rPr>
          <w:lang w:eastAsia="ja-JP"/>
        </w:rPr>
        <w:t xml:space="preserve"> </w:t>
      </w:r>
      <w:r>
        <w:rPr>
          <w:lang w:eastAsia="ja-JP"/>
        </w:rPr>
        <w:t>period</w:t>
      </w:r>
      <w:r w:rsidR="000159A6">
        <w:rPr>
          <w:lang w:eastAsia="ja-JP"/>
        </w:rPr>
        <w:t xml:space="preserve"> </w:t>
      </w:r>
      <w:r>
        <w:rPr>
          <w:lang w:eastAsia="ja-JP"/>
        </w:rPr>
        <w:t>of</w:t>
      </w:r>
      <w:r w:rsidR="000159A6">
        <w:rPr>
          <w:lang w:eastAsia="ja-JP"/>
        </w:rPr>
        <w:t xml:space="preserve"> </w:t>
      </w:r>
      <w:r>
        <w:rPr>
          <w:lang w:eastAsia="ja-JP"/>
        </w:rPr>
        <w:t>3.9</w:t>
      </w:r>
      <w:r w:rsidR="000159A6">
        <w:rPr>
          <w:lang w:eastAsia="ja-JP"/>
        </w:rPr>
        <w:t xml:space="preserve"> </w:t>
      </w:r>
      <w:r>
        <w:rPr>
          <w:lang w:eastAsia="ja-JP"/>
        </w:rPr>
        <w:t>years.</w:t>
      </w:r>
      <w:r w:rsidR="000159A6">
        <w:rPr>
          <w:lang w:eastAsia="ja-JP"/>
        </w:rPr>
        <w:t xml:space="preserve"> </w:t>
      </w:r>
      <w:r>
        <w:rPr>
          <w:lang w:eastAsia="ja-JP"/>
        </w:rPr>
        <w:t>Efficacy</w:t>
      </w:r>
      <w:r w:rsidR="000159A6">
        <w:rPr>
          <w:lang w:eastAsia="ja-JP"/>
        </w:rPr>
        <w:t xml:space="preserve"> </w:t>
      </w:r>
      <w:r>
        <w:rPr>
          <w:lang w:eastAsia="ja-JP"/>
        </w:rPr>
        <w:t>was</w:t>
      </w:r>
      <w:r w:rsidR="000159A6">
        <w:rPr>
          <w:lang w:eastAsia="ja-JP"/>
        </w:rPr>
        <w:t xml:space="preserve"> </w:t>
      </w:r>
      <w:r>
        <w:rPr>
          <w:lang w:eastAsia="ja-JP"/>
        </w:rPr>
        <w:t>high</w:t>
      </w:r>
      <w:r w:rsidR="000159A6">
        <w:rPr>
          <w:lang w:eastAsia="ja-JP"/>
        </w:rPr>
        <w:t xml:space="preserve"> </w:t>
      </w:r>
      <w:r>
        <w:rPr>
          <w:lang w:eastAsia="ja-JP"/>
        </w:rPr>
        <w:t>at</w:t>
      </w:r>
      <w:r w:rsidR="000159A6">
        <w:rPr>
          <w:lang w:eastAsia="ja-JP"/>
        </w:rPr>
        <w:t xml:space="preserve"> </w:t>
      </w:r>
      <w:r w:rsidRPr="00B41B79">
        <w:rPr>
          <w:lang w:eastAsia="ja-JP"/>
        </w:rPr>
        <w:t>89.</w:t>
      </w:r>
      <w:r>
        <w:rPr>
          <w:lang w:eastAsia="ja-JP"/>
        </w:rPr>
        <w:t>8</w:t>
      </w:r>
      <w:r w:rsidRPr="00B41B79">
        <w:rPr>
          <w:lang w:eastAsia="ja-JP"/>
        </w:rPr>
        <w:t>%</w:t>
      </w:r>
      <w:r w:rsidR="000159A6">
        <w:rPr>
          <w:lang w:eastAsia="ja-JP"/>
        </w:rPr>
        <w:t xml:space="preserve"> </w:t>
      </w:r>
      <w:r w:rsidRPr="00B41B79">
        <w:rPr>
          <w:lang w:eastAsia="ja-JP"/>
        </w:rPr>
        <w:t>(95%</w:t>
      </w:r>
      <w:r w:rsidR="000159A6">
        <w:rPr>
          <w:lang w:eastAsia="ja-JP"/>
        </w:rPr>
        <w:t xml:space="preserve"> </w:t>
      </w:r>
      <w:r w:rsidRPr="00B41B79">
        <w:rPr>
          <w:lang w:eastAsia="ja-JP"/>
        </w:rPr>
        <w:t>CI:</w:t>
      </w:r>
      <w:r w:rsidR="000159A6">
        <w:rPr>
          <w:lang w:eastAsia="ja-JP"/>
        </w:rPr>
        <w:t xml:space="preserve"> </w:t>
      </w:r>
      <w:r w:rsidRPr="00B41B79">
        <w:rPr>
          <w:lang w:eastAsia="ja-JP"/>
        </w:rPr>
        <w:t>84.</w:t>
      </w:r>
      <w:r>
        <w:rPr>
          <w:lang w:eastAsia="ja-JP"/>
        </w:rPr>
        <w:t>3</w:t>
      </w:r>
      <w:r w:rsidR="000159A6">
        <w:rPr>
          <w:lang w:eastAsia="ja-JP"/>
        </w:rPr>
        <w:t xml:space="preserve"> </w:t>
      </w:r>
      <w:r>
        <w:rPr>
          <w:lang w:eastAsia="ja-JP"/>
        </w:rPr>
        <w:t>to</w:t>
      </w:r>
      <w:r w:rsidR="000159A6">
        <w:rPr>
          <w:lang w:eastAsia="ja-JP"/>
        </w:rPr>
        <w:t xml:space="preserve"> </w:t>
      </w:r>
      <w:r w:rsidRPr="00B41B79">
        <w:rPr>
          <w:lang w:eastAsia="ja-JP"/>
        </w:rPr>
        <w:t>93.</w:t>
      </w:r>
      <w:r>
        <w:rPr>
          <w:lang w:eastAsia="ja-JP"/>
        </w:rPr>
        <w:t>7%,</w:t>
      </w:r>
      <w:r w:rsidR="000159A6">
        <w:rPr>
          <w:lang w:eastAsia="ja-JP"/>
        </w:rPr>
        <w:t xml:space="preserve"> </w:t>
      </w:r>
      <w:r>
        <w:rPr>
          <w:lang w:eastAsia="ja-JP"/>
        </w:rPr>
        <w:t>p</w:t>
      </w:r>
      <w:r w:rsidR="000159A6">
        <w:rPr>
          <w:lang w:eastAsia="ja-JP"/>
        </w:rPr>
        <w:t xml:space="preserve"> </w:t>
      </w:r>
      <w:r w:rsidR="0037169B">
        <w:rPr>
          <w:lang w:eastAsia="ja-JP"/>
        </w:rPr>
        <w:t>&lt;</w:t>
      </w:r>
      <w:r w:rsidR="000159A6">
        <w:rPr>
          <w:lang w:eastAsia="ja-JP"/>
        </w:rPr>
        <w:t xml:space="preserve"> </w:t>
      </w:r>
      <w:r>
        <w:rPr>
          <w:lang w:eastAsia="ja-JP"/>
        </w:rPr>
        <w:t>0</w:t>
      </w:r>
      <w:r w:rsidRPr="00B41B79">
        <w:rPr>
          <w:lang w:eastAsia="ja-JP"/>
        </w:rPr>
        <w:t>.0001)</w:t>
      </w:r>
      <w:r w:rsidR="000159A6">
        <w:rPr>
          <w:lang w:eastAsia="ja-JP"/>
        </w:rPr>
        <w:t xml:space="preserve"> </w:t>
      </w:r>
      <w:r>
        <w:rPr>
          <w:lang w:eastAsia="ja-JP"/>
        </w:rPr>
        <w:t>and</w:t>
      </w:r>
      <w:r w:rsidR="000159A6">
        <w:rPr>
          <w:lang w:eastAsia="ja-JP"/>
        </w:rPr>
        <w:t xml:space="preserve"> </w:t>
      </w:r>
      <w:r>
        <w:rPr>
          <w:lang w:eastAsia="ja-JP"/>
        </w:rPr>
        <w:t>consistent</w:t>
      </w:r>
      <w:r w:rsidR="000159A6">
        <w:rPr>
          <w:lang w:eastAsia="ja-JP"/>
        </w:rPr>
        <w:t xml:space="preserve"> </w:t>
      </w:r>
      <w:r>
        <w:rPr>
          <w:lang w:eastAsia="ja-JP"/>
        </w:rPr>
        <w:t>across</w:t>
      </w:r>
      <w:r w:rsidR="000159A6">
        <w:rPr>
          <w:lang w:eastAsia="ja-JP"/>
        </w:rPr>
        <w:t xml:space="preserve"> </w:t>
      </w:r>
      <w:r>
        <w:rPr>
          <w:lang w:eastAsia="ja-JP"/>
        </w:rPr>
        <w:t>the</w:t>
      </w:r>
      <w:r w:rsidR="000159A6">
        <w:rPr>
          <w:lang w:eastAsia="ja-JP"/>
        </w:rPr>
        <w:t xml:space="preserve"> </w:t>
      </w:r>
      <w:r>
        <w:rPr>
          <w:lang w:eastAsia="ja-JP"/>
        </w:rPr>
        <w:t>two</w:t>
      </w:r>
      <w:r w:rsidR="000159A6">
        <w:rPr>
          <w:lang w:eastAsia="ja-JP"/>
        </w:rPr>
        <w:t xml:space="preserve"> </w:t>
      </w:r>
      <w:r>
        <w:rPr>
          <w:lang w:eastAsia="ja-JP"/>
        </w:rPr>
        <w:t>age</w:t>
      </w:r>
      <w:r w:rsidR="000159A6">
        <w:rPr>
          <w:lang w:eastAsia="ja-JP"/>
        </w:rPr>
        <w:t xml:space="preserve"> </w:t>
      </w:r>
      <w:r>
        <w:rPr>
          <w:lang w:eastAsia="ja-JP"/>
        </w:rPr>
        <w:t>subgroups</w:t>
      </w:r>
      <w:r w:rsidR="000159A6">
        <w:rPr>
          <w:lang w:eastAsia="ja-JP"/>
        </w:rPr>
        <w:t xml:space="preserve"> </w:t>
      </w:r>
      <w:r>
        <w:rPr>
          <w:lang w:eastAsia="ja-JP"/>
        </w:rPr>
        <w:t>(70</w:t>
      </w:r>
      <w:r w:rsidR="000159A6">
        <w:rPr>
          <w:lang w:eastAsia="ja-JP"/>
        </w:rPr>
        <w:t xml:space="preserve"> </w:t>
      </w:r>
      <w:r>
        <w:rPr>
          <w:lang w:eastAsia="ja-JP"/>
        </w:rPr>
        <w:t>to</w:t>
      </w:r>
      <w:r w:rsidR="000159A6">
        <w:rPr>
          <w:lang w:eastAsia="ja-JP"/>
        </w:rPr>
        <w:t xml:space="preserve"> </w:t>
      </w:r>
      <w:r>
        <w:rPr>
          <w:lang w:eastAsia="ja-JP"/>
        </w:rPr>
        <w:t>79</w:t>
      </w:r>
      <w:r w:rsidR="000159A6">
        <w:rPr>
          <w:lang w:eastAsia="ja-JP"/>
        </w:rPr>
        <w:t xml:space="preserve"> </w:t>
      </w:r>
      <w:r>
        <w:rPr>
          <w:lang w:eastAsia="ja-JP"/>
        </w:rPr>
        <w:t>and</w:t>
      </w:r>
      <w:r w:rsidR="000159A6">
        <w:rPr>
          <w:lang w:eastAsia="ja-JP"/>
        </w:rPr>
        <w:t xml:space="preserve"> </w:t>
      </w:r>
      <w:r w:rsidR="0037169B">
        <w:rPr>
          <w:lang w:eastAsia="ja-JP"/>
        </w:rPr>
        <w:t>≥</w:t>
      </w:r>
      <w:r w:rsidR="000159A6">
        <w:rPr>
          <w:lang w:eastAsia="ja-JP"/>
        </w:rPr>
        <w:t xml:space="preserve"> </w:t>
      </w:r>
      <w:r>
        <w:rPr>
          <w:lang w:eastAsia="ja-JP"/>
        </w:rPr>
        <w:t>80</w:t>
      </w:r>
      <w:r w:rsidR="000159A6">
        <w:rPr>
          <w:lang w:eastAsia="ja-JP"/>
        </w:rPr>
        <w:t xml:space="preserve"> </w:t>
      </w:r>
      <w:r>
        <w:rPr>
          <w:lang w:eastAsia="ja-JP"/>
        </w:rPr>
        <w:t>years).</w:t>
      </w:r>
      <w:r w:rsidR="000159A6">
        <w:rPr>
          <w:lang w:eastAsia="ja-JP"/>
        </w:rPr>
        <w:t xml:space="preserve"> </w:t>
      </w:r>
      <w:r>
        <w:rPr>
          <w:lang w:eastAsia="ja-JP"/>
        </w:rPr>
        <w:t>PHN</w:t>
      </w:r>
      <w:r w:rsidR="000159A6">
        <w:rPr>
          <w:lang w:eastAsia="ja-JP"/>
        </w:rPr>
        <w:t xml:space="preserve"> </w:t>
      </w:r>
      <w:r>
        <w:rPr>
          <w:lang w:eastAsia="ja-JP"/>
        </w:rPr>
        <w:t>VE</w:t>
      </w:r>
      <w:r w:rsidR="000159A6">
        <w:rPr>
          <w:lang w:eastAsia="ja-JP"/>
        </w:rPr>
        <w:t xml:space="preserve"> </w:t>
      </w:r>
      <w:r>
        <w:rPr>
          <w:lang w:eastAsia="ja-JP"/>
        </w:rPr>
        <w:t>was</w:t>
      </w:r>
      <w:r w:rsidR="000159A6">
        <w:rPr>
          <w:lang w:eastAsia="ja-JP"/>
        </w:rPr>
        <w:t xml:space="preserve"> </w:t>
      </w:r>
      <w:r>
        <w:rPr>
          <w:lang w:eastAsia="ja-JP"/>
        </w:rPr>
        <w:t>also</w:t>
      </w:r>
      <w:r w:rsidR="000159A6">
        <w:rPr>
          <w:lang w:eastAsia="ja-JP"/>
        </w:rPr>
        <w:t xml:space="preserve"> </w:t>
      </w:r>
      <w:r>
        <w:rPr>
          <w:lang w:eastAsia="ja-JP"/>
        </w:rPr>
        <w:t>found</w:t>
      </w:r>
      <w:r w:rsidR="000159A6">
        <w:rPr>
          <w:lang w:eastAsia="ja-JP"/>
        </w:rPr>
        <w:t xml:space="preserve"> </w:t>
      </w:r>
      <w:r>
        <w:rPr>
          <w:lang w:eastAsia="ja-JP"/>
        </w:rPr>
        <w:t>in</w:t>
      </w:r>
      <w:r w:rsidR="000159A6">
        <w:rPr>
          <w:lang w:eastAsia="ja-JP"/>
        </w:rPr>
        <w:t xml:space="preserve"> </w:t>
      </w:r>
      <w:r>
        <w:rPr>
          <w:lang w:eastAsia="ja-JP"/>
        </w:rPr>
        <w:t>this</w:t>
      </w:r>
      <w:r w:rsidR="000159A6">
        <w:rPr>
          <w:lang w:eastAsia="ja-JP"/>
        </w:rPr>
        <w:t xml:space="preserve"> </w:t>
      </w:r>
      <w:r>
        <w:rPr>
          <w:lang w:eastAsia="ja-JP"/>
        </w:rPr>
        <w:t>study</w:t>
      </w:r>
      <w:r w:rsidR="000159A6">
        <w:rPr>
          <w:lang w:eastAsia="ja-JP"/>
        </w:rPr>
        <w:t xml:space="preserve"> </w:t>
      </w:r>
      <w:r>
        <w:rPr>
          <w:lang w:eastAsia="ja-JP"/>
        </w:rPr>
        <w:t>(85.5%,</w:t>
      </w:r>
      <w:r w:rsidR="000159A6">
        <w:rPr>
          <w:lang w:eastAsia="ja-JP"/>
        </w:rPr>
        <w:t xml:space="preserve"> </w:t>
      </w:r>
      <w:r>
        <w:rPr>
          <w:lang w:eastAsia="ja-JP"/>
        </w:rPr>
        <w:t>95%</w:t>
      </w:r>
      <w:r w:rsidR="000159A6">
        <w:rPr>
          <w:lang w:eastAsia="ja-JP"/>
        </w:rPr>
        <w:t xml:space="preserve"> </w:t>
      </w:r>
      <w:r>
        <w:rPr>
          <w:lang w:eastAsia="ja-JP"/>
        </w:rPr>
        <w:t>CI:</w:t>
      </w:r>
      <w:r w:rsidR="000159A6">
        <w:rPr>
          <w:lang w:eastAsia="ja-JP"/>
        </w:rPr>
        <w:t xml:space="preserve"> </w:t>
      </w:r>
      <w:r>
        <w:rPr>
          <w:lang w:eastAsia="ja-JP"/>
        </w:rPr>
        <w:t>58.5</w:t>
      </w:r>
      <w:r w:rsidR="000159A6">
        <w:rPr>
          <w:lang w:eastAsia="ja-JP"/>
        </w:rPr>
        <w:t xml:space="preserve"> </w:t>
      </w:r>
      <w:r>
        <w:rPr>
          <w:lang w:eastAsia="ja-JP"/>
        </w:rPr>
        <w:t>to</w:t>
      </w:r>
      <w:r w:rsidR="000159A6">
        <w:rPr>
          <w:lang w:eastAsia="ja-JP"/>
        </w:rPr>
        <w:t xml:space="preserve"> </w:t>
      </w:r>
      <w:r>
        <w:rPr>
          <w:lang w:eastAsia="ja-JP"/>
        </w:rPr>
        <w:t>96.3%)</w:t>
      </w:r>
      <w:r w:rsidR="000159A6">
        <w:rPr>
          <w:lang w:eastAsia="ja-JP"/>
        </w:rPr>
        <w:t xml:space="preserve"> </w:t>
      </w:r>
      <w:r>
        <w:rPr>
          <w:lang w:eastAsia="ja-JP"/>
        </w:rPr>
        <w:t>although</w:t>
      </w:r>
      <w:r w:rsidR="000159A6">
        <w:rPr>
          <w:lang w:eastAsia="ja-JP"/>
        </w:rPr>
        <w:t xml:space="preserve"> </w:t>
      </w:r>
      <w:r>
        <w:rPr>
          <w:lang w:eastAsia="ja-JP"/>
        </w:rPr>
        <w:t>the</w:t>
      </w:r>
      <w:r w:rsidR="000159A6">
        <w:rPr>
          <w:lang w:eastAsia="ja-JP"/>
        </w:rPr>
        <w:t xml:space="preserve"> </w:t>
      </w:r>
      <w:r>
        <w:rPr>
          <w:lang w:eastAsia="ja-JP"/>
        </w:rPr>
        <w:t>study</w:t>
      </w:r>
      <w:r w:rsidR="000159A6">
        <w:rPr>
          <w:lang w:eastAsia="ja-JP"/>
        </w:rPr>
        <w:t xml:space="preserve"> </w:t>
      </w:r>
      <w:r>
        <w:rPr>
          <w:lang w:eastAsia="ja-JP"/>
        </w:rPr>
        <w:t>was</w:t>
      </w:r>
      <w:r w:rsidR="000159A6">
        <w:rPr>
          <w:lang w:eastAsia="ja-JP"/>
        </w:rPr>
        <w:t xml:space="preserve"> </w:t>
      </w:r>
      <w:r>
        <w:rPr>
          <w:lang w:eastAsia="ja-JP"/>
        </w:rPr>
        <w:t>not</w:t>
      </w:r>
      <w:r w:rsidR="000159A6">
        <w:rPr>
          <w:lang w:eastAsia="ja-JP"/>
        </w:rPr>
        <w:t xml:space="preserve"> </w:t>
      </w:r>
      <w:r>
        <w:rPr>
          <w:lang w:eastAsia="ja-JP"/>
        </w:rPr>
        <w:t>powered</w:t>
      </w:r>
      <w:r w:rsidR="000159A6">
        <w:rPr>
          <w:lang w:eastAsia="ja-JP"/>
        </w:rPr>
        <w:t xml:space="preserve"> </w:t>
      </w:r>
      <w:r>
        <w:rPr>
          <w:lang w:eastAsia="ja-JP"/>
        </w:rPr>
        <w:t>for</w:t>
      </w:r>
      <w:r w:rsidR="000159A6">
        <w:rPr>
          <w:lang w:eastAsia="ja-JP"/>
        </w:rPr>
        <w:t xml:space="preserve"> </w:t>
      </w:r>
      <w:r>
        <w:rPr>
          <w:lang w:eastAsia="ja-JP"/>
        </w:rPr>
        <w:t>this.</w:t>
      </w:r>
    </w:p>
    <w:p w14:paraId="4C7299B4" w14:textId="2D85469A" w:rsidR="0091081C" w:rsidRDefault="0091081C" w:rsidP="00541F41">
      <w:pPr>
        <w:rPr>
          <w:lang w:eastAsia="ja-JP"/>
        </w:rPr>
      </w:pPr>
      <w:r>
        <w:rPr>
          <w:lang w:eastAsia="ja-JP"/>
        </w:rPr>
        <w:t>A</w:t>
      </w:r>
      <w:r w:rsidR="000159A6">
        <w:rPr>
          <w:lang w:eastAsia="ja-JP"/>
        </w:rPr>
        <w:t xml:space="preserve"> </w:t>
      </w:r>
      <w:r>
        <w:rPr>
          <w:lang w:eastAsia="ja-JP"/>
        </w:rPr>
        <w:t>reduction</w:t>
      </w:r>
      <w:r w:rsidR="000159A6">
        <w:rPr>
          <w:lang w:eastAsia="ja-JP"/>
        </w:rPr>
        <w:t xml:space="preserve"> </w:t>
      </w:r>
      <w:r>
        <w:rPr>
          <w:lang w:eastAsia="ja-JP"/>
        </w:rPr>
        <w:t>in</w:t>
      </w:r>
      <w:r w:rsidR="000159A6">
        <w:rPr>
          <w:lang w:eastAsia="ja-JP"/>
        </w:rPr>
        <w:t xml:space="preserve"> </w:t>
      </w:r>
      <w:r>
        <w:rPr>
          <w:lang w:eastAsia="ja-JP"/>
        </w:rPr>
        <w:t>duration</w:t>
      </w:r>
      <w:r w:rsidR="000159A6">
        <w:rPr>
          <w:lang w:eastAsia="ja-JP"/>
        </w:rPr>
        <w:t xml:space="preserve"> </w:t>
      </w:r>
      <w:r>
        <w:rPr>
          <w:lang w:eastAsia="ja-JP"/>
        </w:rPr>
        <w:t>of</w:t>
      </w:r>
      <w:r w:rsidR="000159A6">
        <w:rPr>
          <w:lang w:eastAsia="ja-JP"/>
        </w:rPr>
        <w:t xml:space="preserve"> </w:t>
      </w:r>
      <w:r>
        <w:rPr>
          <w:lang w:eastAsia="ja-JP"/>
        </w:rPr>
        <w:t>pain</w:t>
      </w:r>
      <w:r w:rsidR="000159A6">
        <w:rPr>
          <w:lang w:eastAsia="ja-JP"/>
        </w:rPr>
        <w:t xml:space="preserve"> </w:t>
      </w:r>
      <w:r>
        <w:rPr>
          <w:lang w:eastAsia="ja-JP"/>
        </w:rPr>
        <w:t>was</w:t>
      </w:r>
      <w:r w:rsidR="000159A6">
        <w:rPr>
          <w:lang w:eastAsia="ja-JP"/>
        </w:rPr>
        <w:t xml:space="preserve"> </w:t>
      </w:r>
      <w:r>
        <w:rPr>
          <w:lang w:eastAsia="ja-JP"/>
        </w:rPr>
        <w:t>not</w:t>
      </w:r>
      <w:r w:rsidR="000159A6">
        <w:rPr>
          <w:lang w:eastAsia="ja-JP"/>
        </w:rPr>
        <w:t xml:space="preserve"> </w:t>
      </w:r>
      <w:r>
        <w:rPr>
          <w:lang w:eastAsia="ja-JP"/>
        </w:rPr>
        <w:t>confirmed</w:t>
      </w:r>
      <w:r w:rsidR="000159A6">
        <w:rPr>
          <w:lang w:eastAsia="ja-JP"/>
        </w:rPr>
        <w:t xml:space="preserve"> </w:t>
      </w:r>
      <w:r>
        <w:rPr>
          <w:lang w:eastAsia="ja-JP"/>
        </w:rPr>
        <w:t>despite</w:t>
      </w:r>
      <w:r w:rsidR="000159A6">
        <w:rPr>
          <w:lang w:eastAsia="ja-JP"/>
        </w:rPr>
        <w:t xml:space="preserve"> </w:t>
      </w:r>
      <w:r>
        <w:rPr>
          <w:lang w:eastAsia="ja-JP"/>
        </w:rPr>
        <w:t>a</w:t>
      </w:r>
      <w:r w:rsidR="000159A6">
        <w:rPr>
          <w:lang w:eastAsia="ja-JP"/>
        </w:rPr>
        <w:t xml:space="preserve"> </w:t>
      </w:r>
      <w:r>
        <w:rPr>
          <w:lang w:eastAsia="ja-JP"/>
        </w:rPr>
        <w:t>reduction</w:t>
      </w:r>
      <w:r w:rsidR="000159A6">
        <w:rPr>
          <w:lang w:eastAsia="ja-JP"/>
        </w:rPr>
        <w:t xml:space="preserve"> </w:t>
      </w:r>
      <w:r>
        <w:rPr>
          <w:lang w:eastAsia="ja-JP"/>
        </w:rPr>
        <w:t>in</w:t>
      </w:r>
      <w:r w:rsidR="000159A6">
        <w:rPr>
          <w:lang w:eastAsia="ja-JP"/>
        </w:rPr>
        <w:t xml:space="preserve"> </w:t>
      </w:r>
      <w:r>
        <w:rPr>
          <w:lang w:eastAsia="ja-JP"/>
        </w:rPr>
        <w:t>duration</w:t>
      </w:r>
      <w:r w:rsidR="000159A6">
        <w:rPr>
          <w:lang w:eastAsia="ja-JP"/>
        </w:rPr>
        <w:t xml:space="preserve"> </w:t>
      </w:r>
      <w:r>
        <w:rPr>
          <w:lang w:eastAsia="ja-JP"/>
        </w:rPr>
        <w:t>of</w:t>
      </w:r>
      <w:r w:rsidR="000159A6">
        <w:rPr>
          <w:lang w:eastAsia="ja-JP"/>
        </w:rPr>
        <w:t xml:space="preserve"> </w:t>
      </w:r>
      <w:r>
        <w:rPr>
          <w:lang w:eastAsia="ja-JP"/>
        </w:rPr>
        <w:t>pain</w:t>
      </w:r>
      <w:r w:rsidR="000159A6">
        <w:rPr>
          <w:lang w:eastAsia="ja-JP"/>
        </w:rPr>
        <w:t xml:space="preserve"> </w:t>
      </w:r>
      <w:r>
        <w:rPr>
          <w:lang w:eastAsia="ja-JP"/>
        </w:rPr>
        <w:t>medication</w:t>
      </w:r>
      <w:r w:rsidR="000159A6">
        <w:rPr>
          <w:lang w:eastAsia="ja-JP"/>
        </w:rPr>
        <w:t xml:space="preserve"> </w:t>
      </w:r>
      <w:r>
        <w:rPr>
          <w:lang w:eastAsia="ja-JP"/>
        </w:rPr>
        <w:t>use.</w:t>
      </w:r>
      <w:r w:rsidR="000159A6">
        <w:rPr>
          <w:lang w:eastAsia="ja-JP"/>
        </w:rPr>
        <w:t xml:space="preserve"> </w:t>
      </w:r>
      <w:r>
        <w:rPr>
          <w:lang w:eastAsia="ja-JP"/>
        </w:rPr>
        <w:t>High</w:t>
      </w:r>
      <w:r w:rsidR="000159A6">
        <w:rPr>
          <w:lang w:eastAsia="ja-JP"/>
        </w:rPr>
        <w:t xml:space="preserve"> </w:t>
      </w:r>
      <w:r>
        <w:rPr>
          <w:lang w:eastAsia="ja-JP"/>
        </w:rPr>
        <w:t>efficacy</w:t>
      </w:r>
      <w:r w:rsidR="000159A6">
        <w:rPr>
          <w:lang w:eastAsia="ja-JP"/>
        </w:rPr>
        <w:t xml:space="preserve"> </w:t>
      </w:r>
      <w:r>
        <w:rPr>
          <w:lang w:eastAsia="ja-JP"/>
        </w:rPr>
        <w:t>and</w:t>
      </w:r>
      <w:r w:rsidR="000159A6">
        <w:rPr>
          <w:lang w:eastAsia="ja-JP"/>
        </w:rPr>
        <w:t xml:space="preserve"> </w:t>
      </w:r>
      <w:r>
        <w:rPr>
          <w:lang w:eastAsia="ja-JP"/>
        </w:rPr>
        <w:t>resultant</w:t>
      </w:r>
      <w:r w:rsidR="000159A6">
        <w:rPr>
          <w:lang w:eastAsia="ja-JP"/>
        </w:rPr>
        <w:t xml:space="preserve"> </w:t>
      </w:r>
      <w:r>
        <w:rPr>
          <w:lang w:eastAsia="ja-JP"/>
        </w:rPr>
        <w:t>small</w:t>
      </w:r>
      <w:r w:rsidR="000159A6">
        <w:rPr>
          <w:lang w:eastAsia="ja-JP"/>
        </w:rPr>
        <w:t xml:space="preserve"> </w:t>
      </w:r>
      <w:r>
        <w:rPr>
          <w:lang w:eastAsia="ja-JP"/>
        </w:rPr>
        <w:t>case</w:t>
      </w:r>
      <w:r w:rsidR="000159A6">
        <w:rPr>
          <w:lang w:eastAsia="ja-JP"/>
        </w:rPr>
        <w:t xml:space="preserve"> </w:t>
      </w:r>
      <w:r>
        <w:rPr>
          <w:lang w:eastAsia="ja-JP"/>
        </w:rPr>
        <w:t>numbers</w:t>
      </w:r>
      <w:r w:rsidR="000159A6">
        <w:rPr>
          <w:lang w:eastAsia="ja-JP"/>
        </w:rPr>
        <w:t xml:space="preserve"> </w:t>
      </w:r>
      <w:r>
        <w:rPr>
          <w:lang w:eastAsia="ja-JP"/>
        </w:rPr>
        <w:t>meant</w:t>
      </w:r>
      <w:r w:rsidR="000159A6">
        <w:rPr>
          <w:lang w:eastAsia="ja-JP"/>
        </w:rPr>
        <w:t xml:space="preserve"> </w:t>
      </w:r>
      <w:r>
        <w:rPr>
          <w:lang w:eastAsia="ja-JP"/>
        </w:rPr>
        <w:t>secondary</w:t>
      </w:r>
      <w:r w:rsidR="000159A6">
        <w:rPr>
          <w:lang w:eastAsia="ja-JP"/>
        </w:rPr>
        <w:t xml:space="preserve"> </w:t>
      </w:r>
      <w:r>
        <w:rPr>
          <w:lang w:eastAsia="ja-JP"/>
        </w:rPr>
        <w:t>endpoints</w:t>
      </w:r>
      <w:r w:rsidR="000159A6">
        <w:rPr>
          <w:lang w:eastAsia="ja-JP"/>
        </w:rPr>
        <w:t xml:space="preserve"> </w:t>
      </w:r>
      <w:r>
        <w:rPr>
          <w:lang w:eastAsia="ja-JP"/>
        </w:rPr>
        <w:t>could</w:t>
      </w:r>
      <w:r w:rsidR="000159A6">
        <w:rPr>
          <w:lang w:eastAsia="ja-JP"/>
        </w:rPr>
        <w:t xml:space="preserve"> </w:t>
      </w:r>
      <w:r>
        <w:rPr>
          <w:lang w:eastAsia="ja-JP"/>
        </w:rPr>
        <w:t>not</w:t>
      </w:r>
      <w:r w:rsidR="000159A6">
        <w:rPr>
          <w:lang w:eastAsia="ja-JP"/>
        </w:rPr>
        <w:t xml:space="preserve"> </w:t>
      </w:r>
      <w:r>
        <w:rPr>
          <w:lang w:eastAsia="ja-JP"/>
        </w:rPr>
        <w:t>be</w:t>
      </w:r>
      <w:r w:rsidR="000159A6">
        <w:rPr>
          <w:lang w:eastAsia="ja-JP"/>
        </w:rPr>
        <w:t xml:space="preserve"> </w:t>
      </w:r>
      <w:r>
        <w:rPr>
          <w:lang w:eastAsia="ja-JP"/>
        </w:rPr>
        <w:t>confirmed.</w:t>
      </w:r>
    </w:p>
    <w:p w14:paraId="3762F1E0" w14:textId="074C5140" w:rsidR="0091081C" w:rsidRDefault="0091081C" w:rsidP="0091081C">
      <w:pPr>
        <w:spacing w:before="0" w:line="240" w:lineRule="auto"/>
        <w:rPr>
          <w:lang w:eastAsia="ja-JP"/>
        </w:rPr>
      </w:pPr>
      <w:r>
        <w:rPr>
          <w:lang w:eastAsia="ja-JP"/>
        </w:rPr>
        <w:t>There</w:t>
      </w:r>
      <w:r w:rsidR="000159A6">
        <w:rPr>
          <w:lang w:eastAsia="ja-JP"/>
        </w:rPr>
        <w:t xml:space="preserve"> </w:t>
      </w:r>
      <w:r>
        <w:rPr>
          <w:lang w:eastAsia="ja-JP"/>
        </w:rPr>
        <w:t>was</w:t>
      </w:r>
      <w:r w:rsidR="000159A6">
        <w:rPr>
          <w:lang w:eastAsia="ja-JP"/>
        </w:rPr>
        <w:t xml:space="preserve"> </w:t>
      </w:r>
      <w:r>
        <w:rPr>
          <w:lang w:eastAsia="ja-JP"/>
        </w:rPr>
        <w:t>a</w:t>
      </w:r>
      <w:r w:rsidR="000159A6">
        <w:rPr>
          <w:lang w:eastAsia="ja-JP"/>
        </w:rPr>
        <w:t xml:space="preserve"> </w:t>
      </w:r>
      <w:r>
        <w:rPr>
          <w:lang w:eastAsia="ja-JP"/>
        </w:rPr>
        <w:t>strong</w:t>
      </w:r>
      <w:r w:rsidR="000159A6">
        <w:rPr>
          <w:lang w:eastAsia="ja-JP"/>
        </w:rPr>
        <w:t xml:space="preserve"> </w:t>
      </w:r>
      <w:r>
        <w:rPr>
          <w:lang w:eastAsia="ja-JP"/>
        </w:rPr>
        <w:t>humoral</w:t>
      </w:r>
      <w:r w:rsidR="000159A6">
        <w:rPr>
          <w:lang w:eastAsia="ja-JP"/>
        </w:rPr>
        <w:t xml:space="preserve"> </w:t>
      </w:r>
      <w:r>
        <w:rPr>
          <w:lang w:eastAsia="ja-JP"/>
        </w:rPr>
        <w:t>immune</w:t>
      </w:r>
      <w:r w:rsidR="000159A6">
        <w:rPr>
          <w:lang w:eastAsia="ja-JP"/>
        </w:rPr>
        <w:t xml:space="preserve"> </w:t>
      </w:r>
      <w:r>
        <w:rPr>
          <w:lang w:eastAsia="ja-JP"/>
        </w:rPr>
        <w:t>response</w:t>
      </w:r>
      <w:r w:rsidR="000159A6">
        <w:rPr>
          <w:lang w:eastAsia="ja-JP"/>
        </w:rPr>
        <w:t xml:space="preserve"> </w:t>
      </w:r>
      <w:r>
        <w:rPr>
          <w:lang w:eastAsia="ja-JP"/>
        </w:rPr>
        <w:t>across</w:t>
      </w:r>
      <w:r w:rsidR="000159A6">
        <w:rPr>
          <w:lang w:eastAsia="ja-JP"/>
        </w:rPr>
        <w:t xml:space="preserve"> </w:t>
      </w:r>
      <w:r>
        <w:rPr>
          <w:lang w:eastAsia="ja-JP"/>
        </w:rPr>
        <w:t>the</w:t>
      </w:r>
      <w:r w:rsidR="000159A6">
        <w:rPr>
          <w:lang w:eastAsia="ja-JP"/>
        </w:rPr>
        <w:t xml:space="preserve"> </w:t>
      </w:r>
      <w:r>
        <w:rPr>
          <w:lang w:eastAsia="ja-JP"/>
        </w:rPr>
        <w:t>age</w:t>
      </w:r>
      <w:r w:rsidR="000159A6">
        <w:rPr>
          <w:lang w:eastAsia="ja-JP"/>
        </w:rPr>
        <w:t xml:space="preserve"> </w:t>
      </w:r>
      <w:r>
        <w:rPr>
          <w:lang w:eastAsia="ja-JP"/>
        </w:rPr>
        <w:t>subgroups</w:t>
      </w:r>
      <w:r w:rsidR="000159A6">
        <w:rPr>
          <w:lang w:eastAsia="ja-JP"/>
        </w:rPr>
        <w:t xml:space="preserve"> </w:t>
      </w:r>
      <w:r>
        <w:rPr>
          <w:lang w:eastAsia="ja-JP"/>
        </w:rPr>
        <w:t>(70</w:t>
      </w:r>
      <w:r w:rsidR="000159A6">
        <w:rPr>
          <w:lang w:eastAsia="ja-JP"/>
        </w:rPr>
        <w:t xml:space="preserve"> </w:t>
      </w:r>
      <w:r>
        <w:rPr>
          <w:lang w:eastAsia="ja-JP"/>
        </w:rPr>
        <w:t>to</w:t>
      </w:r>
      <w:r w:rsidR="000159A6">
        <w:rPr>
          <w:lang w:eastAsia="ja-JP"/>
        </w:rPr>
        <w:t xml:space="preserve"> </w:t>
      </w:r>
      <w:r>
        <w:rPr>
          <w:lang w:eastAsia="ja-JP"/>
        </w:rPr>
        <w:t>79</w:t>
      </w:r>
      <w:r w:rsidR="000159A6">
        <w:rPr>
          <w:lang w:eastAsia="ja-JP"/>
        </w:rPr>
        <w:t xml:space="preserve"> </w:t>
      </w:r>
      <w:r>
        <w:rPr>
          <w:lang w:eastAsia="ja-JP"/>
        </w:rPr>
        <w:t>and</w:t>
      </w:r>
      <w:r w:rsidR="000159A6">
        <w:rPr>
          <w:lang w:eastAsia="ja-JP"/>
        </w:rPr>
        <w:t xml:space="preserve"> </w:t>
      </w:r>
      <w:r w:rsidR="0037169B">
        <w:rPr>
          <w:lang w:eastAsia="ja-JP"/>
        </w:rPr>
        <w:t>≥</w:t>
      </w:r>
      <w:r w:rsidR="00CD5352">
        <w:rPr>
          <w:lang w:eastAsia="ja-JP"/>
        </w:rPr>
        <w:t> </w:t>
      </w:r>
      <w:r>
        <w:rPr>
          <w:lang w:eastAsia="ja-JP"/>
        </w:rPr>
        <w:t>80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p>
    <w:p w14:paraId="50A189C5" w14:textId="029E2A60" w:rsidR="0091081C" w:rsidRDefault="0091081C" w:rsidP="00541F41">
      <w:pPr>
        <w:rPr>
          <w:lang w:eastAsia="ja-JP"/>
        </w:rPr>
      </w:pPr>
      <w:r>
        <w:rPr>
          <w:lang w:eastAsia="ja-JP"/>
        </w:rPr>
        <w:t>Pooled</w:t>
      </w:r>
      <w:r w:rsidR="000159A6">
        <w:rPr>
          <w:lang w:eastAsia="ja-JP"/>
        </w:rPr>
        <w:t xml:space="preserve"> </w:t>
      </w:r>
      <w:r>
        <w:rPr>
          <w:lang w:eastAsia="ja-JP"/>
        </w:rPr>
        <w:t>analysis</w:t>
      </w:r>
      <w:r w:rsidR="000159A6">
        <w:rPr>
          <w:lang w:eastAsia="ja-JP"/>
        </w:rPr>
        <w:t xml:space="preserve"> </w:t>
      </w:r>
      <w:r>
        <w:rPr>
          <w:lang w:eastAsia="ja-JP"/>
        </w:rPr>
        <w:t>of</w:t>
      </w:r>
      <w:r w:rsidR="000159A6">
        <w:rPr>
          <w:lang w:eastAsia="ja-JP"/>
        </w:rPr>
        <w:t xml:space="preserve"> </w:t>
      </w:r>
      <w:r w:rsidR="000D0435">
        <w:rPr>
          <w:lang w:eastAsia="ja-JP"/>
        </w:rPr>
        <w:t>Studies</w:t>
      </w:r>
      <w:r w:rsidR="000159A6">
        <w:rPr>
          <w:lang w:eastAsia="ja-JP"/>
        </w:rPr>
        <w:t xml:space="preserve"> </w:t>
      </w:r>
      <w:r>
        <w:rPr>
          <w:lang w:eastAsia="ja-JP"/>
        </w:rPr>
        <w:t>ZOSTER-006</w:t>
      </w:r>
      <w:r w:rsidR="000159A6">
        <w:rPr>
          <w:lang w:eastAsia="ja-JP"/>
        </w:rPr>
        <w:t xml:space="preserve"> </w:t>
      </w:r>
      <w:r>
        <w:rPr>
          <w:lang w:eastAsia="ja-JP"/>
        </w:rPr>
        <w:t>and</w:t>
      </w:r>
      <w:r w:rsidR="000159A6">
        <w:rPr>
          <w:lang w:eastAsia="ja-JP"/>
        </w:rPr>
        <w:t xml:space="preserve"> </w:t>
      </w:r>
      <w:r>
        <w:rPr>
          <w:lang w:eastAsia="ja-JP"/>
        </w:rPr>
        <w:t>ZOSTER-022</w:t>
      </w:r>
      <w:r w:rsidR="000159A6">
        <w:rPr>
          <w:lang w:eastAsia="ja-JP"/>
        </w:rPr>
        <w:t xml:space="preserve"> </w:t>
      </w:r>
      <w:r>
        <w:rPr>
          <w:lang w:eastAsia="ja-JP"/>
        </w:rPr>
        <w:t>found</w:t>
      </w:r>
      <w:r w:rsidR="000159A6">
        <w:rPr>
          <w:lang w:eastAsia="ja-JP"/>
        </w:rPr>
        <w:t xml:space="preserve"> </w:t>
      </w:r>
      <w:r>
        <w:rPr>
          <w:lang w:eastAsia="ja-JP"/>
        </w:rPr>
        <w:t>results</w:t>
      </w:r>
      <w:r w:rsidR="000159A6">
        <w:rPr>
          <w:lang w:eastAsia="ja-JP"/>
        </w:rPr>
        <w:t xml:space="preserve"> </w:t>
      </w:r>
      <w:r>
        <w:rPr>
          <w:lang w:eastAsia="ja-JP"/>
        </w:rPr>
        <w:t>consistent</w:t>
      </w:r>
      <w:r w:rsidR="000159A6">
        <w:rPr>
          <w:lang w:eastAsia="ja-JP"/>
        </w:rPr>
        <w:t xml:space="preserve"> </w:t>
      </w:r>
      <w:r>
        <w:rPr>
          <w:lang w:eastAsia="ja-JP"/>
        </w:rPr>
        <w:t>with</w:t>
      </w:r>
      <w:r w:rsidR="000159A6">
        <w:rPr>
          <w:lang w:eastAsia="ja-JP"/>
        </w:rPr>
        <w:t xml:space="preserve"> </w:t>
      </w:r>
      <w:r>
        <w:rPr>
          <w:lang w:eastAsia="ja-JP"/>
        </w:rPr>
        <w:t>the</w:t>
      </w:r>
      <w:r w:rsidR="000159A6">
        <w:rPr>
          <w:lang w:eastAsia="ja-JP"/>
        </w:rPr>
        <w:t xml:space="preserve"> </w:t>
      </w:r>
      <w:r>
        <w:rPr>
          <w:lang w:eastAsia="ja-JP"/>
        </w:rPr>
        <w:t>individual</w:t>
      </w:r>
      <w:r w:rsidR="000159A6">
        <w:rPr>
          <w:lang w:eastAsia="ja-JP"/>
        </w:rPr>
        <w:t xml:space="preserve"> </w:t>
      </w:r>
      <w:r>
        <w:rPr>
          <w:lang w:eastAsia="ja-JP"/>
        </w:rPr>
        <w:t>studies.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prespecified</w:t>
      </w:r>
      <w:r w:rsidR="000159A6">
        <w:rPr>
          <w:lang w:eastAsia="ja-JP"/>
        </w:rPr>
        <w:t xml:space="preserve"> </w:t>
      </w:r>
      <w:r>
        <w:rPr>
          <w:lang w:eastAsia="ja-JP"/>
        </w:rPr>
        <w:t>analysis,</w:t>
      </w:r>
      <w:r w:rsidR="000159A6">
        <w:rPr>
          <w:lang w:eastAsia="ja-JP"/>
        </w:rPr>
        <w:t xml:space="preserve"> </w:t>
      </w:r>
      <w:r>
        <w:rPr>
          <w:lang w:eastAsia="ja-JP"/>
        </w:rPr>
        <w:t>for</w:t>
      </w:r>
      <w:r w:rsidR="000159A6">
        <w:rPr>
          <w:lang w:eastAsia="ja-JP"/>
        </w:rPr>
        <w:t xml:space="preserve"> </w:t>
      </w:r>
      <w:r>
        <w:rPr>
          <w:lang w:eastAsia="ja-JP"/>
        </w:rPr>
        <w:t>subjects</w:t>
      </w:r>
      <w:r w:rsidR="000159A6">
        <w:rPr>
          <w:lang w:eastAsia="ja-JP"/>
        </w:rPr>
        <w:t xml:space="preserve"> </w:t>
      </w:r>
      <w:r>
        <w:rPr>
          <w:lang w:eastAsia="ja-JP"/>
        </w:rPr>
        <w:t>aged</w:t>
      </w:r>
      <w:r w:rsidR="000159A6">
        <w:rPr>
          <w:lang w:eastAsia="ja-JP"/>
        </w:rPr>
        <w:t xml:space="preserve"> </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the</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vaccine</w:t>
      </w:r>
      <w:r w:rsidR="000159A6">
        <w:rPr>
          <w:lang w:eastAsia="ja-JP"/>
        </w:rPr>
        <w:t xml:space="preserve"> </w:t>
      </w:r>
      <w:r>
        <w:rPr>
          <w:lang w:eastAsia="ja-JP"/>
        </w:rPr>
        <w:t>was</w:t>
      </w:r>
      <w:r w:rsidR="000159A6">
        <w:rPr>
          <w:lang w:eastAsia="ja-JP"/>
        </w:rPr>
        <w:t xml:space="preserve"> </w:t>
      </w:r>
      <w:r>
        <w:rPr>
          <w:lang w:eastAsia="ja-JP"/>
        </w:rPr>
        <w:t>efficacious</w:t>
      </w:r>
      <w:r w:rsidR="000159A6">
        <w:rPr>
          <w:lang w:eastAsia="ja-JP"/>
        </w:rPr>
        <w:t xml:space="preserve"> </w:t>
      </w:r>
      <w:r>
        <w:rPr>
          <w:lang w:eastAsia="ja-JP"/>
        </w:rPr>
        <w:t>in</w:t>
      </w:r>
      <w:r w:rsidR="000159A6">
        <w:rPr>
          <w:lang w:eastAsia="ja-JP"/>
        </w:rPr>
        <w:t xml:space="preserve"> </w:t>
      </w:r>
      <w:r>
        <w:rPr>
          <w:lang w:eastAsia="ja-JP"/>
        </w:rPr>
        <w:t>preventing</w:t>
      </w:r>
      <w:r w:rsidR="000159A6">
        <w:rPr>
          <w:lang w:eastAsia="ja-JP"/>
        </w:rPr>
        <w:t xml:space="preserve"> </w:t>
      </w:r>
      <w:r>
        <w:rPr>
          <w:lang w:eastAsia="ja-JP"/>
        </w:rPr>
        <w:t>HZ</w:t>
      </w:r>
      <w:r w:rsidR="000159A6">
        <w:rPr>
          <w:lang w:eastAsia="ja-JP"/>
        </w:rPr>
        <w:t xml:space="preserve"> </w:t>
      </w:r>
      <w:r>
        <w:rPr>
          <w:lang w:eastAsia="ja-JP"/>
        </w:rPr>
        <w:t>91.3%</w:t>
      </w:r>
      <w:r w:rsidR="000159A6">
        <w:rPr>
          <w:lang w:eastAsia="ja-JP"/>
        </w:rPr>
        <w:t xml:space="preserve"> </w:t>
      </w:r>
      <w:r>
        <w:rPr>
          <w:lang w:eastAsia="ja-JP"/>
        </w:rPr>
        <w:t>(95%</w:t>
      </w:r>
      <w:r w:rsidR="000159A6">
        <w:rPr>
          <w:lang w:eastAsia="ja-JP"/>
        </w:rPr>
        <w:t xml:space="preserve"> </w:t>
      </w:r>
      <w:r>
        <w:rPr>
          <w:lang w:eastAsia="ja-JP"/>
        </w:rPr>
        <w:t>CI:</w:t>
      </w:r>
      <w:r w:rsidR="000159A6">
        <w:rPr>
          <w:lang w:eastAsia="ja-JP"/>
        </w:rPr>
        <w:t xml:space="preserve"> </w:t>
      </w:r>
      <w:r>
        <w:rPr>
          <w:lang w:eastAsia="ja-JP"/>
        </w:rPr>
        <w:t>86.9</w:t>
      </w:r>
      <w:r w:rsidR="000159A6">
        <w:rPr>
          <w:lang w:eastAsia="ja-JP"/>
        </w:rPr>
        <w:t xml:space="preserve"> </w:t>
      </w:r>
      <w:r>
        <w:rPr>
          <w:lang w:eastAsia="ja-JP"/>
        </w:rPr>
        <w:t>to</w:t>
      </w:r>
      <w:r w:rsidR="000159A6">
        <w:rPr>
          <w:lang w:eastAsia="ja-JP"/>
        </w:rPr>
        <w:t xml:space="preserve"> </w:t>
      </w:r>
      <w:r>
        <w:rPr>
          <w:lang w:eastAsia="ja-JP"/>
        </w:rPr>
        <w:t>94.5%)</w:t>
      </w:r>
      <w:r w:rsidR="000159A6">
        <w:rPr>
          <w:lang w:eastAsia="ja-JP"/>
        </w:rPr>
        <w:t xml:space="preserve"> </w:t>
      </w:r>
      <w:r>
        <w:rPr>
          <w:lang w:eastAsia="ja-JP"/>
        </w:rPr>
        <w:t>with</w:t>
      </w:r>
      <w:r w:rsidR="000159A6">
        <w:rPr>
          <w:lang w:eastAsia="ja-JP"/>
        </w:rPr>
        <w:t xml:space="preserve"> </w:t>
      </w:r>
      <w:r>
        <w:rPr>
          <w:lang w:eastAsia="ja-JP"/>
        </w:rPr>
        <w:t>consistent</w:t>
      </w:r>
      <w:r w:rsidR="000159A6">
        <w:rPr>
          <w:lang w:eastAsia="ja-JP"/>
        </w:rPr>
        <w:t xml:space="preserve"> </w:t>
      </w:r>
      <w:r>
        <w:rPr>
          <w:lang w:eastAsia="ja-JP"/>
        </w:rPr>
        <w:t>results</w:t>
      </w:r>
      <w:r w:rsidR="000159A6">
        <w:rPr>
          <w:lang w:eastAsia="ja-JP"/>
        </w:rPr>
        <w:t xml:space="preserve"> </w:t>
      </w:r>
      <w:r>
        <w:rPr>
          <w:lang w:eastAsia="ja-JP"/>
        </w:rPr>
        <w:t>for</w:t>
      </w:r>
      <w:r w:rsidR="000159A6">
        <w:rPr>
          <w:lang w:eastAsia="ja-JP"/>
        </w:rPr>
        <w:t xml:space="preserve"> </w:t>
      </w:r>
      <w:r>
        <w:rPr>
          <w:lang w:eastAsia="ja-JP"/>
        </w:rPr>
        <w:t>both</w:t>
      </w:r>
      <w:r w:rsidR="000159A6">
        <w:rPr>
          <w:lang w:eastAsia="ja-JP"/>
        </w:rPr>
        <w:t xml:space="preserve"> </w:t>
      </w:r>
      <w:r>
        <w:rPr>
          <w:lang w:eastAsia="ja-JP"/>
        </w:rPr>
        <w:t>the</w:t>
      </w:r>
      <w:r w:rsidR="000159A6">
        <w:rPr>
          <w:lang w:eastAsia="ja-JP"/>
        </w:rPr>
        <w:t xml:space="preserve"> </w:t>
      </w:r>
      <w:r>
        <w:rPr>
          <w:lang w:eastAsia="ja-JP"/>
        </w:rPr>
        <w:t>70</w:t>
      </w:r>
      <w:r w:rsidR="000159A6">
        <w:rPr>
          <w:lang w:eastAsia="ja-JP"/>
        </w:rPr>
        <w:t xml:space="preserve"> </w:t>
      </w:r>
      <w:r>
        <w:rPr>
          <w:lang w:eastAsia="ja-JP"/>
        </w:rPr>
        <w:t>to</w:t>
      </w:r>
      <w:r w:rsidR="000159A6">
        <w:rPr>
          <w:lang w:eastAsia="ja-JP"/>
        </w:rPr>
        <w:t xml:space="preserve"> </w:t>
      </w:r>
      <w:r>
        <w:rPr>
          <w:lang w:eastAsia="ja-JP"/>
        </w:rPr>
        <w:t>79</w:t>
      </w:r>
      <w:r w:rsidR="000159A6">
        <w:rPr>
          <w:lang w:eastAsia="ja-JP"/>
        </w:rPr>
        <w:t xml:space="preserve"> </w:t>
      </w:r>
      <w:r>
        <w:rPr>
          <w:lang w:eastAsia="ja-JP"/>
        </w:rPr>
        <w:t>and</w:t>
      </w:r>
      <w:r w:rsidR="000159A6">
        <w:rPr>
          <w:lang w:eastAsia="ja-JP"/>
        </w:rPr>
        <w:t xml:space="preserve"> </w:t>
      </w:r>
      <w:r w:rsidR="0037169B">
        <w:rPr>
          <w:lang w:eastAsia="ja-JP"/>
        </w:rPr>
        <w:t>≥</w:t>
      </w:r>
      <w:r w:rsidR="000159A6">
        <w:rPr>
          <w:lang w:eastAsia="ja-JP"/>
        </w:rPr>
        <w:t xml:space="preserve"> </w:t>
      </w:r>
      <w:r>
        <w:rPr>
          <w:lang w:eastAsia="ja-JP"/>
        </w:rPr>
        <w:t>80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groups.</w:t>
      </w:r>
    </w:p>
    <w:p w14:paraId="3ED622B6" w14:textId="66C271FB" w:rsidR="0091081C" w:rsidRDefault="0091081C" w:rsidP="0091081C">
      <w:pPr>
        <w:spacing w:before="0" w:line="240" w:lineRule="auto"/>
        <w:rPr>
          <w:lang w:eastAsia="ja-JP"/>
        </w:rPr>
      </w:pPr>
      <w:r>
        <w:rPr>
          <w:lang w:eastAsia="ja-JP"/>
        </w:rPr>
        <w:t>Efficacy</w:t>
      </w:r>
      <w:r w:rsidR="000159A6">
        <w:rPr>
          <w:lang w:eastAsia="ja-JP"/>
        </w:rPr>
        <w:t xml:space="preserve"> </w:t>
      </w:r>
      <w:r>
        <w:rPr>
          <w:lang w:eastAsia="ja-JP"/>
        </w:rPr>
        <w:t>was</w:t>
      </w:r>
      <w:r w:rsidR="000159A6">
        <w:rPr>
          <w:lang w:eastAsia="ja-JP"/>
        </w:rPr>
        <w:t xml:space="preserve"> </w:t>
      </w:r>
      <w:r>
        <w:rPr>
          <w:lang w:eastAsia="ja-JP"/>
        </w:rPr>
        <w:t>also</w:t>
      </w:r>
      <w:r w:rsidR="000159A6">
        <w:rPr>
          <w:lang w:eastAsia="ja-JP"/>
        </w:rPr>
        <w:t xml:space="preserve"> </w:t>
      </w:r>
      <w:r>
        <w:rPr>
          <w:lang w:eastAsia="ja-JP"/>
        </w:rPr>
        <w:t>demonstrated</w:t>
      </w:r>
      <w:r w:rsidR="000159A6">
        <w:rPr>
          <w:lang w:eastAsia="ja-JP"/>
        </w:rPr>
        <w:t xml:space="preserve"> </w:t>
      </w:r>
      <w:r>
        <w:rPr>
          <w:lang w:eastAsia="ja-JP"/>
        </w:rPr>
        <w:t>for</w:t>
      </w:r>
      <w:r w:rsidR="000159A6">
        <w:rPr>
          <w:lang w:eastAsia="ja-JP"/>
        </w:rPr>
        <w:t xml:space="preserve"> </w:t>
      </w:r>
      <w:r>
        <w:rPr>
          <w:lang w:eastAsia="ja-JP"/>
        </w:rPr>
        <w:t>PHN</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w:t>
      </w:r>
      <w:r w:rsidRPr="00252B8E">
        <w:rPr>
          <w:lang w:eastAsia="ja-JP"/>
        </w:rPr>
        <w:t>88.8%</w:t>
      </w:r>
      <w:r>
        <w:rPr>
          <w:lang w:eastAsia="ja-JP"/>
        </w:rPr>
        <w:t>,</w:t>
      </w:r>
      <w:r w:rsidR="000159A6">
        <w:rPr>
          <w:lang w:eastAsia="ja-JP"/>
        </w:rPr>
        <w:t xml:space="preserve"> </w:t>
      </w:r>
      <w:r w:rsidRPr="00252B8E">
        <w:rPr>
          <w:lang w:eastAsia="ja-JP"/>
        </w:rPr>
        <w:t>95%</w:t>
      </w:r>
      <w:r w:rsidR="000159A6">
        <w:rPr>
          <w:lang w:eastAsia="ja-JP"/>
        </w:rPr>
        <w:t xml:space="preserve"> </w:t>
      </w:r>
      <w:r w:rsidRPr="00252B8E">
        <w:rPr>
          <w:lang w:eastAsia="ja-JP"/>
        </w:rPr>
        <w:t>CI:</w:t>
      </w:r>
      <w:r w:rsidR="000159A6">
        <w:rPr>
          <w:lang w:eastAsia="ja-JP"/>
        </w:rPr>
        <w:t xml:space="preserve"> </w:t>
      </w:r>
      <w:r w:rsidRPr="00252B8E">
        <w:rPr>
          <w:lang w:eastAsia="ja-JP"/>
        </w:rPr>
        <w:t>68.7</w:t>
      </w:r>
      <w:r w:rsidR="000159A6">
        <w:rPr>
          <w:lang w:eastAsia="ja-JP"/>
        </w:rPr>
        <w:t xml:space="preserve"> </w:t>
      </w:r>
      <w:r>
        <w:rPr>
          <w:lang w:eastAsia="ja-JP"/>
        </w:rPr>
        <w:t>to</w:t>
      </w:r>
      <w:r w:rsidR="000159A6">
        <w:rPr>
          <w:lang w:eastAsia="ja-JP"/>
        </w:rPr>
        <w:t xml:space="preserve"> </w:t>
      </w:r>
      <w:r>
        <w:rPr>
          <w:lang w:eastAsia="ja-JP"/>
        </w:rPr>
        <w:t>9</w:t>
      </w:r>
      <w:r w:rsidRPr="00252B8E">
        <w:rPr>
          <w:lang w:eastAsia="ja-JP"/>
        </w:rPr>
        <w:t>7.1%</w:t>
      </w:r>
      <w:r>
        <w:rPr>
          <w:lang w:eastAsia="ja-JP"/>
        </w:rPr>
        <w:t>).</w:t>
      </w:r>
      <w:r w:rsidR="000159A6">
        <w:rPr>
          <w:lang w:eastAsia="ja-JP"/>
        </w:rPr>
        <w:t xml:space="preserve"> </w:t>
      </w:r>
      <w:r>
        <w:rPr>
          <w:lang w:eastAsia="ja-JP"/>
        </w:rPr>
        <w:t>The</w:t>
      </w:r>
      <w:r w:rsidR="000159A6">
        <w:rPr>
          <w:lang w:eastAsia="ja-JP"/>
        </w:rPr>
        <w:t xml:space="preserve"> </w:t>
      </w:r>
      <w:r>
        <w:rPr>
          <w:lang w:eastAsia="ja-JP"/>
        </w:rPr>
        <w:t>low</w:t>
      </w:r>
      <w:r w:rsidR="000159A6">
        <w:rPr>
          <w:lang w:eastAsia="ja-JP"/>
        </w:rPr>
        <w:t xml:space="preserve"> </w:t>
      </w:r>
      <w:r>
        <w:rPr>
          <w:lang w:eastAsia="ja-JP"/>
        </w:rPr>
        <w:t>numbers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sidR="0037169B">
        <w:rPr>
          <w:lang w:eastAsia="ja-JP"/>
        </w:rPr>
        <w:t>≥</w:t>
      </w:r>
      <w:r w:rsidR="000159A6">
        <w:rPr>
          <w:lang w:eastAsia="ja-JP"/>
        </w:rPr>
        <w:t xml:space="preserve"> </w:t>
      </w:r>
      <w:r>
        <w:rPr>
          <w:lang w:eastAsia="ja-JP"/>
        </w:rPr>
        <w:t>80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group</w:t>
      </w:r>
      <w:r w:rsidR="000159A6">
        <w:rPr>
          <w:lang w:eastAsia="ja-JP"/>
        </w:rPr>
        <w:t xml:space="preserve"> </w:t>
      </w:r>
      <w:r>
        <w:rPr>
          <w:lang w:eastAsia="ja-JP"/>
        </w:rPr>
        <w:t>meant</w:t>
      </w:r>
      <w:r w:rsidR="000159A6">
        <w:rPr>
          <w:lang w:eastAsia="ja-JP"/>
        </w:rPr>
        <w:t xml:space="preserve"> </w:t>
      </w:r>
      <w:r>
        <w:rPr>
          <w:lang w:eastAsia="ja-JP"/>
        </w:rPr>
        <w:t>that</w:t>
      </w:r>
      <w:r w:rsidR="000159A6">
        <w:rPr>
          <w:lang w:eastAsia="ja-JP"/>
        </w:rPr>
        <w:t xml:space="preserve"> </w:t>
      </w:r>
      <w:r>
        <w:rPr>
          <w:lang w:eastAsia="ja-JP"/>
        </w:rPr>
        <w:t>VE</w:t>
      </w:r>
      <w:r w:rsidR="000159A6">
        <w:rPr>
          <w:lang w:eastAsia="ja-JP"/>
        </w:rPr>
        <w:t xml:space="preserve"> </w:t>
      </w:r>
      <w:r>
        <w:rPr>
          <w:lang w:eastAsia="ja-JP"/>
        </w:rPr>
        <w:t>for</w:t>
      </w:r>
      <w:r w:rsidR="000159A6">
        <w:rPr>
          <w:lang w:eastAsia="ja-JP"/>
        </w:rPr>
        <w:t xml:space="preserve"> </w:t>
      </w:r>
      <w:r>
        <w:rPr>
          <w:lang w:eastAsia="ja-JP"/>
        </w:rPr>
        <w:t>PHN</w:t>
      </w:r>
      <w:r w:rsidR="000159A6">
        <w:rPr>
          <w:lang w:eastAsia="ja-JP"/>
        </w:rPr>
        <w:t xml:space="preserve"> </w:t>
      </w:r>
      <w:r>
        <w:rPr>
          <w:lang w:eastAsia="ja-JP"/>
        </w:rPr>
        <w:t>in</w:t>
      </w:r>
      <w:r w:rsidR="000159A6">
        <w:rPr>
          <w:lang w:eastAsia="ja-JP"/>
        </w:rPr>
        <w:t xml:space="preserve"> </w:t>
      </w:r>
      <w:r>
        <w:rPr>
          <w:lang w:eastAsia="ja-JP"/>
        </w:rPr>
        <w:t>this</w:t>
      </w:r>
      <w:r w:rsidR="000159A6">
        <w:rPr>
          <w:lang w:eastAsia="ja-JP"/>
        </w:rPr>
        <w:t xml:space="preserve"> </w:t>
      </w:r>
      <w:r>
        <w:rPr>
          <w:lang w:eastAsia="ja-JP"/>
        </w:rPr>
        <w:t>group</w:t>
      </w:r>
      <w:r w:rsidR="000159A6">
        <w:rPr>
          <w:lang w:eastAsia="ja-JP"/>
        </w:rPr>
        <w:t xml:space="preserve"> </w:t>
      </w:r>
      <w:r>
        <w:rPr>
          <w:lang w:eastAsia="ja-JP"/>
        </w:rPr>
        <w:t>could</w:t>
      </w:r>
      <w:r w:rsidR="000159A6">
        <w:rPr>
          <w:lang w:eastAsia="ja-JP"/>
        </w:rPr>
        <w:t xml:space="preserve"> </w:t>
      </w:r>
      <w:r>
        <w:rPr>
          <w:lang w:eastAsia="ja-JP"/>
        </w:rPr>
        <w:t>not</w:t>
      </w:r>
      <w:r w:rsidR="000159A6">
        <w:rPr>
          <w:lang w:eastAsia="ja-JP"/>
        </w:rPr>
        <w:t xml:space="preserve"> </w:t>
      </w:r>
      <w:r>
        <w:rPr>
          <w:lang w:eastAsia="ja-JP"/>
        </w:rPr>
        <w:t>be</w:t>
      </w:r>
      <w:r w:rsidR="000159A6">
        <w:rPr>
          <w:lang w:eastAsia="ja-JP"/>
        </w:rPr>
        <w:t xml:space="preserve"> </w:t>
      </w:r>
      <w:r>
        <w:rPr>
          <w:lang w:eastAsia="ja-JP"/>
        </w:rPr>
        <w:t>demonstrated.</w:t>
      </w:r>
      <w:r w:rsidR="000159A6">
        <w:rPr>
          <w:lang w:eastAsia="ja-JP"/>
        </w:rPr>
        <w:t xml:space="preserve"> </w:t>
      </w:r>
      <w:r>
        <w:rPr>
          <w:lang w:eastAsia="ja-JP"/>
        </w:rPr>
        <w:t>For</w:t>
      </w:r>
      <w:r w:rsidR="000159A6">
        <w:rPr>
          <w:lang w:eastAsia="ja-JP"/>
        </w:rPr>
        <w:t xml:space="preserve"> </w:t>
      </w:r>
      <w:r>
        <w:rPr>
          <w:lang w:eastAsia="ja-JP"/>
        </w:rPr>
        <w:t>those</w:t>
      </w:r>
      <w:r w:rsidR="000159A6">
        <w:rPr>
          <w:lang w:eastAsia="ja-JP"/>
        </w:rPr>
        <w:t xml:space="preserve"> </w:t>
      </w:r>
      <w:r>
        <w:rPr>
          <w:lang w:eastAsia="ja-JP"/>
        </w:rPr>
        <w:t>with</w:t>
      </w:r>
      <w:r w:rsidR="000159A6">
        <w:rPr>
          <w:lang w:eastAsia="ja-JP"/>
        </w:rPr>
        <w:t xml:space="preserve"> </w:t>
      </w:r>
      <w:r>
        <w:rPr>
          <w:lang w:eastAsia="ja-JP"/>
        </w:rPr>
        <w:t>HZ,</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no</w:t>
      </w:r>
      <w:r w:rsidR="000159A6">
        <w:rPr>
          <w:lang w:eastAsia="ja-JP"/>
        </w:rPr>
        <w:t xml:space="preserve"> </w:t>
      </w:r>
      <w:r>
        <w:rPr>
          <w:lang w:eastAsia="ja-JP"/>
        </w:rPr>
        <w:t>significant</w:t>
      </w:r>
      <w:r w:rsidR="000159A6">
        <w:rPr>
          <w:lang w:eastAsia="ja-JP"/>
        </w:rPr>
        <w:t xml:space="preserve"> </w:t>
      </w:r>
      <w:r>
        <w:rPr>
          <w:lang w:eastAsia="ja-JP"/>
        </w:rPr>
        <w:t>reduction</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incidence</w:t>
      </w:r>
      <w:r w:rsidR="000159A6">
        <w:rPr>
          <w:lang w:eastAsia="ja-JP"/>
        </w:rPr>
        <w:t xml:space="preserve"> </w:t>
      </w:r>
      <w:r>
        <w:rPr>
          <w:lang w:eastAsia="ja-JP"/>
        </w:rPr>
        <w:t>of</w:t>
      </w:r>
      <w:r w:rsidR="000159A6">
        <w:rPr>
          <w:lang w:eastAsia="ja-JP"/>
        </w:rPr>
        <w:t xml:space="preserve"> </w:t>
      </w:r>
      <w:r>
        <w:rPr>
          <w:lang w:eastAsia="ja-JP"/>
        </w:rPr>
        <w:t>PHN</w:t>
      </w:r>
      <w:r w:rsidR="000159A6">
        <w:rPr>
          <w:lang w:eastAsia="ja-JP"/>
        </w:rPr>
        <w:t xml:space="preserve"> </w:t>
      </w:r>
      <w:r>
        <w:rPr>
          <w:lang w:eastAsia="ja-JP"/>
        </w:rPr>
        <w:t>(VE</w:t>
      </w:r>
      <w:r w:rsidR="000159A6">
        <w:rPr>
          <w:lang w:eastAsia="ja-JP"/>
        </w:rPr>
        <w:t xml:space="preserve"> </w:t>
      </w:r>
      <w:r>
        <w:rPr>
          <w:lang w:eastAsia="ja-JP"/>
        </w:rPr>
        <w:t>of</w:t>
      </w:r>
      <w:r w:rsidR="000159A6">
        <w:rPr>
          <w:lang w:eastAsia="ja-JP"/>
        </w:rPr>
        <w:t xml:space="preserve"> </w:t>
      </w:r>
      <w:r>
        <w:rPr>
          <w:lang w:eastAsia="ja-JP"/>
        </w:rPr>
        <w:t>0.3%,</w:t>
      </w:r>
      <w:r w:rsidR="000159A6">
        <w:rPr>
          <w:lang w:eastAsia="ja-JP"/>
        </w:rPr>
        <w:t xml:space="preserve"> </w:t>
      </w:r>
      <w:r>
        <w:rPr>
          <w:lang w:eastAsia="ja-JP"/>
        </w:rPr>
        <w:t>95%</w:t>
      </w:r>
      <w:r w:rsidR="000159A6">
        <w:rPr>
          <w:lang w:eastAsia="ja-JP"/>
        </w:rPr>
        <w:t xml:space="preserve"> </w:t>
      </w:r>
      <w:r>
        <w:rPr>
          <w:lang w:eastAsia="ja-JP"/>
        </w:rPr>
        <w:t>CI:</w:t>
      </w:r>
      <w:r w:rsidR="000159A6">
        <w:rPr>
          <w:lang w:eastAsia="ja-JP"/>
        </w:rPr>
        <w:t xml:space="preserve"> </w:t>
      </w:r>
      <w:r>
        <w:rPr>
          <w:lang w:eastAsia="ja-JP"/>
        </w:rPr>
        <w:t>-161.5%</w:t>
      </w:r>
      <w:r w:rsidR="000159A6">
        <w:rPr>
          <w:lang w:eastAsia="ja-JP"/>
        </w:rPr>
        <w:t xml:space="preserve"> </w:t>
      </w:r>
      <w:r>
        <w:rPr>
          <w:lang w:eastAsia="ja-JP"/>
        </w:rPr>
        <w:t>to</w:t>
      </w:r>
      <w:r w:rsidR="000159A6">
        <w:rPr>
          <w:lang w:eastAsia="ja-JP"/>
        </w:rPr>
        <w:t xml:space="preserve"> </w:t>
      </w:r>
      <w:r>
        <w:rPr>
          <w:lang w:eastAsia="ja-JP"/>
        </w:rPr>
        <w:t>-65.6%),</w:t>
      </w:r>
      <w:r w:rsidR="000159A6">
        <w:rPr>
          <w:lang w:eastAsia="ja-JP"/>
        </w:rPr>
        <w:t xml:space="preserve"> </w:t>
      </w:r>
      <w:r>
        <w:rPr>
          <w:lang w:eastAsia="ja-JP"/>
        </w:rPr>
        <w:t>although</w:t>
      </w:r>
      <w:r w:rsidR="000159A6">
        <w:rPr>
          <w:lang w:eastAsia="ja-JP"/>
        </w:rPr>
        <w:t xml:space="preserve"> </w:t>
      </w:r>
      <w:r>
        <w:rPr>
          <w:lang w:eastAsia="ja-JP"/>
        </w:rPr>
        <w:t>case</w:t>
      </w:r>
      <w:r w:rsidR="000159A6">
        <w:rPr>
          <w:lang w:eastAsia="ja-JP"/>
        </w:rPr>
        <w:t xml:space="preserve"> </w:t>
      </w:r>
      <w:r>
        <w:rPr>
          <w:lang w:eastAsia="ja-JP"/>
        </w:rPr>
        <w:t>numbers</w:t>
      </w:r>
      <w:r w:rsidR="000159A6">
        <w:rPr>
          <w:lang w:eastAsia="ja-JP"/>
        </w:rPr>
        <w:t xml:space="preserve"> </w:t>
      </w:r>
      <w:r>
        <w:rPr>
          <w:lang w:eastAsia="ja-JP"/>
        </w:rPr>
        <w:t>were</w:t>
      </w:r>
      <w:r w:rsidR="000159A6">
        <w:rPr>
          <w:lang w:eastAsia="ja-JP"/>
        </w:rPr>
        <w:t xml:space="preserve"> </w:t>
      </w:r>
      <w:r>
        <w:rPr>
          <w:lang w:eastAsia="ja-JP"/>
        </w:rPr>
        <w:t>very</w:t>
      </w:r>
      <w:r w:rsidR="000159A6">
        <w:rPr>
          <w:lang w:eastAsia="ja-JP"/>
        </w:rPr>
        <w:t xml:space="preserve"> </w:t>
      </w:r>
      <w:r>
        <w:rPr>
          <w:lang w:eastAsia="ja-JP"/>
        </w:rPr>
        <w:t>small.</w:t>
      </w:r>
      <w:r w:rsidR="000159A6">
        <w:rPr>
          <w:lang w:eastAsia="ja-JP"/>
        </w:rPr>
        <w:t xml:space="preserve"> </w:t>
      </w:r>
      <w:r>
        <w:rPr>
          <w:lang w:eastAsia="ja-JP"/>
        </w:rPr>
        <w:t>These</w:t>
      </w:r>
      <w:r w:rsidR="000159A6">
        <w:rPr>
          <w:lang w:eastAsia="ja-JP"/>
        </w:rPr>
        <w:t xml:space="preserve"> </w:t>
      </w:r>
      <w:r>
        <w:rPr>
          <w:lang w:eastAsia="ja-JP"/>
        </w:rPr>
        <w:t>results</w:t>
      </w:r>
      <w:r w:rsidR="000159A6">
        <w:rPr>
          <w:lang w:eastAsia="ja-JP"/>
        </w:rPr>
        <w:t xml:space="preserve"> </w:t>
      </w:r>
      <w:r>
        <w:rPr>
          <w:lang w:eastAsia="ja-JP"/>
        </w:rPr>
        <w:t>mean</w:t>
      </w:r>
      <w:r w:rsidR="000159A6">
        <w:rPr>
          <w:lang w:eastAsia="ja-JP"/>
        </w:rPr>
        <w:t xml:space="preserve"> </w:t>
      </w:r>
      <w:r>
        <w:rPr>
          <w:lang w:eastAsia="ja-JP"/>
        </w:rPr>
        <w:t>that</w:t>
      </w:r>
      <w:r w:rsidR="000159A6">
        <w:rPr>
          <w:lang w:eastAsia="ja-JP"/>
        </w:rPr>
        <w:t xml:space="preserve"> </w:t>
      </w:r>
      <w:r>
        <w:rPr>
          <w:lang w:eastAsia="ja-JP"/>
        </w:rPr>
        <w:t>vaccine</w:t>
      </w:r>
      <w:r w:rsidR="000159A6">
        <w:rPr>
          <w:lang w:eastAsia="ja-JP"/>
        </w:rPr>
        <w:t xml:space="preserve"> </w:t>
      </w:r>
      <w:r>
        <w:rPr>
          <w:lang w:eastAsia="ja-JP"/>
        </w:rPr>
        <w:t>efficacy</w:t>
      </w:r>
      <w:r w:rsidR="000159A6">
        <w:rPr>
          <w:lang w:eastAsia="ja-JP"/>
        </w:rPr>
        <w:t xml:space="preserve"> </w:t>
      </w:r>
      <w:r>
        <w:rPr>
          <w:lang w:eastAsia="ja-JP"/>
        </w:rPr>
        <w:t>in</w:t>
      </w:r>
      <w:r w:rsidR="000159A6">
        <w:rPr>
          <w:lang w:eastAsia="ja-JP"/>
        </w:rPr>
        <w:t xml:space="preserve"> </w:t>
      </w:r>
      <w:r>
        <w:rPr>
          <w:lang w:eastAsia="ja-JP"/>
        </w:rPr>
        <w:t>preventing</w:t>
      </w:r>
      <w:r w:rsidR="000159A6">
        <w:rPr>
          <w:lang w:eastAsia="ja-JP"/>
        </w:rPr>
        <w:t xml:space="preserve"> </w:t>
      </w:r>
      <w:r>
        <w:rPr>
          <w:lang w:eastAsia="ja-JP"/>
        </w:rPr>
        <w:t>PHN</w:t>
      </w:r>
      <w:r w:rsidR="000159A6">
        <w:rPr>
          <w:lang w:eastAsia="ja-JP"/>
        </w:rPr>
        <w:t xml:space="preserve"> </w:t>
      </w:r>
      <w:r>
        <w:rPr>
          <w:lang w:eastAsia="ja-JP"/>
        </w:rPr>
        <w:t>is</w:t>
      </w:r>
      <w:r w:rsidR="000159A6">
        <w:rPr>
          <w:lang w:eastAsia="ja-JP"/>
        </w:rPr>
        <w:t xml:space="preserve"> </w:t>
      </w:r>
      <w:r>
        <w:rPr>
          <w:lang w:eastAsia="ja-JP"/>
        </w:rPr>
        <w:t>most</w:t>
      </w:r>
      <w:r w:rsidR="000159A6">
        <w:rPr>
          <w:lang w:eastAsia="ja-JP"/>
        </w:rPr>
        <w:t xml:space="preserve"> </w:t>
      </w:r>
      <w:r>
        <w:rPr>
          <w:lang w:eastAsia="ja-JP"/>
        </w:rPr>
        <w:t>likely</w:t>
      </w:r>
      <w:r w:rsidR="000159A6">
        <w:rPr>
          <w:lang w:eastAsia="ja-JP"/>
        </w:rPr>
        <w:t xml:space="preserve"> </w:t>
      </w:r>
      <w:r>
        <w:rPr>
          <w:lang w:eastAsia="ja-JP"/>
        </w:rPr>
        <w:t>due</w:t>
      </w:r>
      <w:r w:rsidR="000159A6">
        <w:rPr>
          <w:lang w:eastAsia="ja-JP"/>
        </w:rPr>
        <w:t xml:space="preserve"> </w:t>
      </w:r>
      <w:r>
        <w:rPr>
          <w:lang w:eastAsia="ja-JP"/>
        </w:rPr>
        <w:t>to</w:t>
      </w:r>
      <w:r w:rsidR="000159A6">
        <w:rPr>
          <w:lang w:eastAsia="ja-JP"/>
        </w:rPr>
        <w:t xml:space="preserve"> </w:t>
      </w:r>
      <w:r>
        <w:rPr>
          <w:lang w:eastAsia="ja-JP"/>
        </w:rPr>
        <w:t>the</w:t>
      </w:r>
      <w:r w:rsidR="000159A6">
        <w:rPr>
          <w:lang w:eastAsia="ja-JP"/>
        </w:rPr>
        <w:t xml:space="preserve"> </w:t>
      </w:r>
      <w:r>
        <w:rPr>
          <w:lang w:eastAsia="ja-JP"/>
        </w:rPr>
        <w:t>effect</w:t>
      </w:r>
      <w:r w:rsidR="000159A6">
        <w:rPr>
          <w:lang w:eastAsia="ja-JP"/>
        </w:rPr>
        <w:t xml:space="preserve"> </w:t>
      </w:r>
      <w:r>
        <w:rPr>
          <w:lang w:eastAsia="ja-JP"/>
        </w:rPr>
        <w:t>against</w:t>
      </w:r>
      <w:r w:rsidR="000159A6">
        <w:rPr>
          <w:lang w:eastAsia="ja-JP"/>
        </w:rPr>
        <w:t xml:space="preserve"> </w:t>
      </w:r>
      <w:r>
        <w:rPr>
          <w:lang w:eastAsia="ja-JP"/>
        </w:rPr>
        <w:t>HZ.</w:t>
      </w:r>
    </w:p>
    <w:p w14:paraId="12E87BA4" w14:textId="7C66B5A6" w:rsidR="0091081C" w:rsidRDefault="0091081C" w:rsidP="0091081C">
      <w:pPr>
        <w:spacing w:before="0" w:line="240" w:lineRule="auto"/>
        <w:rPr>
          <w:lang w:eastAsia="ja-JP"/>
        </w:rPr>
      </w:pPr>
      <w:r>
        <w:rPr>
          <w:lang w:eastAsia="ja-JP"/>
        </w:rPr>
        <w:t>The</w:t>
      </w:r>
      <w:r w:rsidR="000159A6">
        <w:rPr>
          <w:lang w:eastAsia="ja-JP"/>
        </w:rPr>
        <w:t xml:space="preserve"> </w:t>
      </w:r>
      <w:r>
        <w:rPr>
          <w:lang w:eastAsia="ja-JP"/>
        </w:rPr>
        <w:t>sponsor</w:t>
      </w:r>
      <w:r w:rsidR="000159A6">
        <w:rPr>
          <w:lang w:eastAsia="ja-JP"/>
        </w:rPr>
        <w:t xml:space="preserve"> </w:t>
      </w:r>
      <w:r>
        <w:rPr>
          <w:lang w:eastAsia="ja-JP"/>
        </w:rPr>
        <w:t>has</w:t>
      </w:r>
      <w:r w:rsidR="000159A6">
        <w:rPr>
          <w:lang w:eastAsia="ja-JP"/>
        </w:rPr>
        <w:t xml:space="preserve"> </w:t>
      </w:r>
      <w:r>
        <w:rPr>
          <w:lang w:eastAsia="ja-JP"/>
        </w:rPr>
        <w:t>been</w:t>
      </w:r>
      <w:r w:rsidR="000159A6">
        <w:rPr>
          <w:lang w:eastAsia="ja-JP"/>
        </w:rPr>
        <w:t xml:space="preserve"> </w:t>
      </w:r>
      <w:r>
        <w:rPr>
          <w:lang w:eastAsia="ja-JP"/>
        </w:rPr>
        <w:t>asked</w:t>
      </w:r>
      <w:r w:rsidR="000159A6">
        <w:rPr>
          <w:lang w:eastAsia="ja-JP"/>
        </w:rPr>
        <w:t xml:space="preserve"> </w:t>
      </w:r>
      <w:r>
        <w:rPr>
          <w:lang w:eastAsia="ja-JP"/>
        </w:rPr>
        <w:t>to</w:t>
      </w:r>
      <w:r w:rsidR="000159A6">
        <w:rPr>
          <w:lang w:eastAsia="ja-JP"/>
        </w:rPr>
        <w:t xml:space="preserve"> </w:t>
      </w:r>
      <w:r>
        <w:rPr>
          <w:lang w:eastAsia="ja-JP"/>
        </w:rPr>
        <w:t>comment</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rPr>
          <w:lang w:eastAsia="ja-JP"/>
        </w:rPr>
        <w:t>impact</w:t>
      </w:r>
      <w:r w:rsidR="000159A6">
        <w:rPr>
          <w:lang w:eastAsia="ja-JP"/>
        </w:rPr>
        <w:t xml:space="preserve"> </w:t>
      </w:r>
      <w:r>
        <w:rPr>
          <w:lang w:eastAsia="ja-JP"/>
        </w:rPr>
        <w:t>on</w:t>
      </w:r>
      <w:r w:rsidR="000159A6">
        <w:rPr>
          <w:lang w:eastAsia="ja-JP"/>
        </w:rPr>
        <w:t xml:space="preserve"> </w:t>
      </w:r>
      <w:r>
        <w:rPr>
          <w:lang w:eastAsia="ja-JP"/>
        </w:rPr>
        <w:t>PHN</w:t>
      </w:r>
      <w:r w:rsidR="000159A6">
        <w:rPr>
          <w:lang w:eastAsia="ja-JP"/>
        </w:rPr>
        <w:t xml:space="preserve"> </w:t>
      </w:r>
      <w:r>
        <w:rPr>
          <w:lang w:eastAsia="ja-JP"/>
        </w:rPr>
        <w:t>efficacy</w:t>
      </w:r>
      <w:r w:rsidR="000159A6">
        <w:rPr>
          <w:lang w:eastAsia="ja-JP"/>
        </w:rPr>
        <w:t xml:space="preserve"> </w:t>
      </w:r>
      <w:r>
        <w:rPr>
          <w:lang w:eastAsia="ja-JP"/>
        </w:rPr>
        <w:t>if</w:t>
      </w:r>
      <w:r w:rsidR="000159A6">
        <w:rPr>
          <w:lang w:eastAsia="ja-JP"/>
        </w:rPr>
        <w:t xml:space="preserve"> </w:t>
      </w:r>
      <w:r>
        <w:rPr>
          <w:lang w:eastAsia="ja-JP"/>
        </w:rPr>
        <w:t>different</w:t>
      </w:r>
      <w:r w:rsidR="000159A6">
        <w:rPr>
          <w:lang w:eastAsia="ja-JP"/>
        </w:rPr>
        <w:t xml:space="preserve"> </w:t>
      </w:r>
      <w:r>
        <w:rPr>
          <w:lang w:eastAsia="ja-JP"/>
        </w:rPr>
        <w:t>definitions</w:t>
      </w:r>
      <w:r w:rsidR="000159A6">
        <w:rPr>
          <w:lang w:eastAsia="ja-JP"/>
        </w:rPr>
        <w:t xml:space="preserve"> </w:t>
      </w:r>
      <w:r>
        <w:rPr>
          <w:lang w:eastAsia="ja-JP"/>
        </w:rPr>
        <w:t>of</w:t>
      </w:r>
      <w:r w:rsidR="000159A6">
        <w:rPr>
          <w:lang w:eastAsia="ja-JP"/>
        </w:rPr>
        <w:t xml:space="preserve"> </w:t>
      </w:r>
      <w:r>
        <w:rPr>
          <w:lang w:eastAsia="ja-JP"/>
        </w:rPr>
        <w:t>pain</w:t>
      </w:r>
      <w:r w:rsidR="000159A6">
        <w:rPr>
          <w:lang w:eastAsia="ja-JP"/>
        </w:rPr>
        <w:t xml:space="preserve"> </w:t>
      </w:r>
      <w:r>
        <w:rPr>
          <w:lang w:eastAsia="ja-JP"/>
        </w:rPr>
        <w:t>duration</w:t>
      </w:r>
      <w:r w:rsidR="000159A6">
        <w:rPr>
          <w:lang w:eastAsia="ja-JP"/>
        </w:rPr>
        <w:t xml:space="preserve"> </w:t>
      </w:r>
      <w:r>
        <w:rPr>
          <w:lang w:eastAsia="ja-JP"/>
        </w:rPr>
        <w:t>were</w:t>
      </w:r>
      <w:r w:rsidR="000159A6">
        <w:rPr>
          <w:lang w:eastAsia="ja-JP"/>
        </w:rPr>
        <w:t xml:space="preserve"> </w:t>
      </w:r>
      <w:r>
        <w:rPr>
          <w:lang w:eastAsia="ja-JP"/>
        </w:rPr>
        <w:t>used</w:t>
      </w:r>
      <w:r w:rsidR="000159A6">
        <w:rPr>
          <w:lang w:eastAsia="ja-JP"/>
        </w:rPr>
        <w:t xml:space="preserve"> </w:t>
      </w:r>
      <w:r>
        <w:rPr>
          <w:lang w:eastAsia="ja-JP"/>
        </w:rPr>
        <w:t>(rather</w:t>
      </w:r>
      <w:r w:rsidR="000159A6">
        <w:rPr>
          <w:lang w:eastAsia="ja-JP"/>
        </w:rPr>
        <w:t xml:space="preserve"> </w:t>
      </w:r>
      <w:r>
        <w:rPr>
          <w:lang w:eastAsia="ja-JP"/>
        </w:rPr>
        <w:t>than</w:t>
      </w:r>
      <w:r w:rsidR="000159A6">
        <w:rPr>
          <w:lang w:eastAsia="ja-JP"/>
        </w:rPr>
        <w:t xml:space="preserve"> </w:t>
      </w:r>
      <w:r>
        <w:rPr>
          <w:lang w:eastAsia="ja-JP"/>
        </w:rPr>
        <w:t>90</w:t>
      </w:r>
      <w:r w:rsidR="000159A6">
        <w:rPr>
          <w:lang w:eastAsia="ja-JP"/>
        </w:rPr>
        <w:t xml:space="preserve"> </w:t>
      </w:r>
      <w:r>
        <w:rPr>
          <w:lang w:eastAsia="ja-JP"/>
        </w:rPr>
        <w:t>days).</w:t>
      </w:r>
    </w:p>
    <w:p w14:paraId="1CDB156B" w14:textId="6E1E5E82" w:rsidR="0091081C" w:rsidRDefault="0091081C" w:rsidP="0091081C">
      <w:pPr>
        <w:spacing w:before="0" w:line="240" w:lineRule="auto"/>
        <w:rPr>
          <w:lang w:eastAsia="ja-JP"/>
        </w:rPr>
      </w:pPr>
      <w:r>
        <w:rPr>
          <w:lang w:eastAsia="ja-JP"/>
        </w:rPr>
        <w:t>A</w:t>
      </w:r>
      <w:r w:rsidR="000159A6">
        <w:rPr>
          <w:lang w:eastAsia="ja-JP"/>
        </w:rPr>
        <w:t xml:space="preserve"> </w:t>
      </w:r>
      <w:r>
        <w:rPr>
          <w:lang w:eastAsia="ja-JP"/>
        </w:rPr>
        <w:t>post-hoc</w:t>
      </w:r>
      <w:r w:rsidR="000159A6">
        <w:rPr>
          <w:lang w:eastAsia="ja-JP"/>
        </w:rPr>
        <w:t xml:space="preserve"> </w:t>
      </w:r>
      <w:r>
        <w:rPr>
          <w:lang w:eastAsia="ja-JP"/>
        </w:rPr>
        <w:t>analysis</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pooled</w:t>
      </w:r>
      <w:r w:rsidR="000159A6">
        <w:rPr>
          <w:lang w:eastAsia="ja-JP"/>
        </w:rPr>
        <w:t xml:space="preserve"> </w:t>
      </w:r>
      <w:r>
        <w:rPr>
          <w:lang w:eastAsia="ja-JP"/>
        </w:rPr>
        <w:t>data</w:t>
      </w:r>
      <w:r w:rsidR="000159A6">
        <w:rPr>
          <w:lang w:eastAsia="ja-JP"/>
        </w:rPr>
        <w:t xml:space="preserve"> </w:t>
      </w:r>
      <w:r>
        <w:rPr>
          <w:lang w:eastAsia="ja-JP"/>
        </w:rPr>
        <w:t>found</w:t>
      </w:r>
      <w:r w:rsidR="000159A6">
        <w:rPr>
          <w:lang w:eastAsia="ja-JP"/>
        </w:rPr>
        <w:t xml:space="preserve"> </w:t>
      </w:r>
      <w:r>
        <w:rPr>
          <w:lang w:eastAsia="ja-JP"/>
        </w:rPr>
        <w:t>a</w:t>
      </w:r>
      <w:r w:rsidR="000159A6">
        <w:rPr>
          <w:lang w:eastAsia="ja-JP"/>
        </w:rPr>
        <w:t xml:space="preserve"> </w:t>
      </w:r>
      <w:r>
        <w:rPr>
          <w:lang w:eastAsia="ja-JP"/>
        </w:rPr>
        <w:t>reduction</w:t>
      </w:r>
      <w:r w:rsidR="000159A6">
        <w:rPr>
          <w:lang w:eastAsia="ja-JP"/>
        </w:rPr>
        <w:t xml:space="preserve"> </w:t>
      </w:r>
      <w:r>
        <w:rPr>
          <w:lang w:eastAsia="ja-JP"/>
        </w:rPr>
        <w:t>in</w:t>
      </w:r>
      <w:r w:rsidR="000159A6">
        <w:rPr>
          <w:lang w:eastAsia="ja-JP"/>
        </w:rPr>
        <w:t xml:space="preserve"> </w:t>
      </w:r>
      <w:r>
        <w:rPr>
          <w:lang w:eastAsia="ja-JP"/>
        </w:rPr>
        <w:t>risk</w:t>
      </w:r>
      <w:r w:rsidR="000159A6">
        <w:rPr>
          <w:lang w:eastAsia="ja-JP"/>
        </w:rPr>
        <w:t xml:space="preserve"> </w:t>
      </w:r>
      <w:r>
        <w:rPr>
          <w:lang w:eastAsia="ja-JP"/>
        </w:rPr>
        <w:t>complications</w:t>
      </w:r>
      <w:r w:rsidR="000159A6">
        <w:rPr>
          <w:lang w:eastAsia="ja-JP"/>
        </w:rPr>
        <w:t xml:space="preserve"> </w:t>
      </w:r>
      <w:r>
        <w:rPr>
          <w:lang w:eastAsia="ja-JP"/>
        </w:rPr>
        <w:t>other</w:t>
      </w:r>
      <w:r w:rsidR="000159A6">
        <w:rPr>
          <w:lang w:eastAsia="ja-JP"/>
        </w:rPr>
        <w:t xml:space="preserve"> </w:t>
      </w:r>
      <w:r>
        <w:rPr>
          <w:lang w:eastAsia="ja-JP"/>
        </w:rPr>
        <w:t>than</w:t>
      </w:r>
      <w:r w:rsidR="000159A6">
        <w:rPr>
          <w:lang w:eastAsia="ja-JP"/>
        </w:rPr>
        <w:t xml:space="preserve"> </w:t>
      </w:r>
      <w:r>
        <w:rPr>
          <w:lang w:eastAsia="ja-JP"/>
        </w:rPr>
        <w:t>PHN.</w:t>
      </w:r>
      <w:r w:rsidR="000159A6">
        <w:rPr>
          <w:lang w:eastAsia="ja-JP"/>
        </w:rPr>
        <w:t xml:space="preserve"> </w:t>
      </w:r>
      <w:r>
        <w:rPr>
          <w:lang w:eastAsia="ja-JP"/>
        </w:rPr>
        <w:t>Consequently</w:t>
      </w:r>
      <w:r w:rsidR="000159A6">
        <w:rPr>
          <w:lang w:eastAsia="ja-JP"/>
        </w:rPr>
        <w:t xml:space="preserve"> </w:t>
      </w:r>
      <w:r>
        <w:rPr>
          <w:lang w:eastAsia="ja-JP"/>
        </w:rPr>
        <w:t>the</w:t>
      </w:r>
      <w:r w:rsidR="000159A6">
        <w:rPr>
          <w:lang w:eastAsia="ja-JP"/>
        </w:rPr>
        <w:t xml:space="preserve"> </w:t>
      </w:r>
      <w:r>
        <w:rPr>
          <w:lang w:eastAsia="ja-JP"/>
        </w:rPr>
        <w:t>proposed</w:t>
      </w:r>
      <w:r w:rsidR="000159A6">
        <w:rPr>
          <w:lang w:eastAsia="ja-JP"/>
        </w:rPr>
        <w:t xml:space="preserve"> </w:t>
      </w:r>
      <w:r>
        <w:rPr>
          <w:lang w:eastAsia="ja-JP"/>
        </w:rPr>
        <w:t>indication</w:t>
      </w:r>
      <w:r w:rsidR="000159A6">
        <w:rPr>
          <w:lang w:eastAsia="ja-JP"/>
        </w:rPr>
        <w:t xml:space="preserve"> </w:t>
      </w:r>
      <w:r>
        <w:rPr>
          <w:lang w:eastAsia="ja-JP"/>
        </w:rPr>
        <w:t>includes</w:t>
      </w:r>
      <w:r w:rsidR="000159A6">
        <w:rPr>
          <w:lang w:eastAsia="ja-JP"/>
        </w:rPr>
        <w:t xml:space="preserve"> </w:t>
      </w:r>
      <w:r>
        <w:rPr>
          <w:lang w:eastAsia="ja-JP"/>
        </w:rPr>
        <w:t>the</w:t>
      </w:r>
      <w:r w:rsidR="000159A6">
        <w:rPr>
          <w:lang w:eastAsia="ja-JP"/>
        </w:rPr>
        <w:t xml:space="preserve"> </w:t>
      </w:r>
      <w:r>
        <w:rPr>
          <w:lang w:eastAsia="ja-JP"/>
        </w:rPr>
        <w:t>broad</w:t>
      </w:r>
      <w:r w:rsidR="000159A6">
        <w:rPr>
          <w:lang w:eastAsia="ja-JP"/>
        </w:rPr>
        <w:t xml:space="preserve"> </w:t>
      </w:r>
      <w:r>
        <w:rPr>
          <w:lang w:eastAsia="ja-JP"/>
        </w:rPr>
        <w:t>wording</w:t>
      </w:r>
      <w:r w:rsidR="000159A6">
        <w:rPr>
          <w:lang w:eastAsia="ja-JP"/>
        </w:rPr>
        <w:t xml:space="preserve"> </w:t>
      </w:r>
      <w:r>
        <w:rPr>
          <w:lang w:eastAsia="ja-JP"/>
        </w:rPr>
        <w:t>‘</w:t>
      </w:r>
      <w:r w:rsidRPr="00EF7817">
        <w:rPr>
          <w:i/>
          <w:lang w:eastAsia="ja-JP"/>
        </w:rPr>
        <w:t>prevention</w:t>
      </w:r>
      <w:r w:rsidR="000159A6">
        <w:rPr>
          <w:i/>
          <w:lang w:eastAsia="ja-JP"/>
        </w:rPr>
        <w:t xml:space="preserve"> </w:t>
      </w:r>
      <w:r w:rsidRPr="00EF7817">
        <w:rPr>
          <w:i/>
          <w:lang w:eastAsia="ja-JP"/>
        </w:rPr>
        <w:t>of</w:t>
      </w:r>
      <w:r w:rsidR="000159A6">
        <w:rPr>
          <w:i/>
          <w:lang w:eastAsia="ja-JP"/>
        </w:rPr>
        <w:t xml:space="preserve"> </w:t>
      </w:r>
      <w:r w:rsidRPr="00EF7817">
        <w:rPr>
          <w:i/>
          <w:lang w:eastAsia="ja-JP"/>
        </w:rPr>
        <w:t>HZ</w:t>
      </w:r>
      <w:r w:rsidR="000159A6">
        <w:rPr>
          <w:i/>
          <w:lang w:eastAsia="ja-JP"/>
        </w:rPr>
        <w:t xml:space="preserve"> </w:t>
      </w:r>
      <w:r w:rsidRPr="00EF7817">
        <w:rPr>
          <w:i/>
          <w:lang w:eastAsia="ja-JP"/>
        </w:rPr>
        <w:t>and</w:t>
      </w:r>
      <w:r w:rsidR="000159A6">
        <w:rPr>
          <w:i/>
          <w:lang w:eastAsia="ja-JP"/>
        </w:rPr>
        <w:t xml:space="preserve"> </w:t>
      </w:r>
      <w:r w:rsidRPr="00EF7817">
        <w:rPr>
          <w:i/>
          <w:lang w:eastAsia="ja-JP"/>
        </w:rPr>
        <w:t>HA-related</w:t>
      </w:r>
      <w:r w:rsidR="000159A6">
        <w:rPr>
          <w:i/>
          <w:lang w:eastAsia="ja-JP"/>
        </w:rPr>
        <w:t xml:space="preserve"> </w:t>
      </w:r>
      <w:r w:rsidRPr="00EF7817">
        <w:rPr>
          <w:i/>
          <w:lang w:eastAsia="ja-JP"/>
        </w:rPr>
        <w:t>complications</w:t>
      </w:r>
      <w:r w:rsidR="000159A6">
        <w:rPr>
          <w:i/>
          <w:lang w:eastAsia="ja-JP"/>
        </w:rPr>
        <w:t xml:space="preserve"> </w:t>
      </w:r>
      <w:r w:rsidRPr="00EF7817">
        <w:rPr>
          <w:i/>
          <w:lang w:eastAsia="ja-JP"/>
        </w:rPr>
        <w:t>such</w:t>
      </w:r>
      <w:r w:rsidR="000159A6">
        <w:rPr>
          <w:i/>
          <w:lang w:eastAsia="ja-JP"/>
        </w:rPr>
        <w:t xml:space="preserve"> </w:t>
      </w:r>
      <w:r w:rsidRPr="00EF7817">
        <w:rPr>
          <w:i/>
          <w:lang w:eastAsia="ja-JP"/>
        </w:rPr>
        <w:t>as</w:t>
      </w:r>
      <w:r w:rsidR="000159A6">
        <w:rPr>
          <w:i/>
          <w:lang w:eastAsia="ja-JP"/>
        </w:rPr>
        <w:t xml:space="preserve"> </w:t>
      </w:r>
      <w:r w:rsidRPr="00EF7817">
        <w:rPr>
          <w:i/>
          <w:lang w:eastAsia="ja-JP"/>
        </w:rPr>
        <w:t>PHN</w:t>
      </w:r>
      <w:r>
        <w:rPr>
          <w:lang w:eastAsia="ja-JP"/>
        </w:rPr>
        <w:t>’.</w:t>
      </w:r>
      <w:r w:rsidR="000159A6">
        <w:rPr>
          <w:lang w:eastAsia="ja-JP"/>
        </w:rPr>
        <w:t xml:space="preserve"> </w:t>
      </w:r>
      <w:r>
        <w:rPr>
          <w:lang w:eastAsia="ja-JP"/>
        </w:rPr>
        <w:t>The</w:t>
      </w:r>
      <w:r w:rsidR="000159A6">
        <w:rPr>
          <w:lang w:eastAsia="ja-JP"/>
        </w:rPr>
        <w:t xml:space="preserve"> </w:t>
      </w:r>
      <w:r>
        <w:rPr>
          <w:lang w:eastAsia="ja-JP"/>
        </w:rPr>
        <w:t>evaluator</w:t>
      </w:r>
      <w:r w:rsidR="000159A6">
        <w:rPr>
          <w:lang w:eastAsia="ja-JP"/>
        </w:rPr>
        <w:t xml:space="preserve"> </w:t>
      </w:r>
      <w:r>
        <w:rPr>
          <w:lang w:eastAsia="ja-JP"/>
        </w:rPr>
        <w:t>does</w:t>
      </w:r>
      <w:r w:rsidR="000159A6">
        <w:rPr>
          <w:lang w:eastAsia="ja-JP"/>
        </w:rPr>
        <w:t xml:space="preserve"> </w:t>
      </w:r>
      <w:r>
        <w:rPr>
          <w:lang w:eastAsia="ja-JP"/>
        </w:rPr>
        <w:t>not</w:t>
      </w:r>
      <w:r w:rsidR="000159A6">
        <w:rPr>
          <w:lang w:eastAsia="ja-JP"/>
        </w:rPr>
        <w:t xml:space="preserve"> </w:t>
      </w:r>
      <w:r>
        <w:rPr>
          <w:lang w:eastAsia="ja-JP"/>
        </w:rPr>
        <w:t>agree</w:t>
      </w:r>
      <w:r w:rsidR="000159A6">
        <w:rPr>
          <w:lang w:eastAsia="ja-JP"/>
        </w:rPr>
        <w:t xml:space="preserve"> </w:t>
      </w:r>
      <w:r>
        <w:rPr>
          <w:lang w:eastAsia="ja-JP"/>
        </w:rPr>
        <w:t>with</w:t>
      </w:r>
      <w:r w:rsidR="000159A6">
        <w:rPr>
          <w:lang w:eastAsia="ja-JP"/>
        </w:rPr>
        <w:t xml:space="preserve"> </w:t>
      </w:r>
      <w:r>
        <w:rPr>
          <w:lang w:eastAsia="ja-JP"/>
        </w:rPr>
        <w:t>the</w:t>
      </w:r>
      <w:r w:rsidR="000159A6">
        <w:rPr>
          <w:lang w:eastAsia="ja-JP"/>
        </w:rPr>
        <w:t xml:space="preserve"> </w:t>
      </w:r>
      <w:r>
        <w:rPr>
          <w:lang w:eastAsia="ja-JP"/>
        </w:rPr>
        <w:t>inclusion</w:t>
      </w:r>
      <w:r w:rsidR="000159A6">
        <w:rPr>
          <w:lang w:eastAsia="ja-JP"/>
        </w:rPr>
        <w:t xml:space="preserve"> </w:t>
      </w:r>
      <w:r>
        <w:rPr>
          <w:lang w:eastAsia="ja-JP"/>
        </w:rPr>
        <w:t>of</w:t>
      </w:r>
      <w:r w:rsidR="000159A6">
        <w:rPr>
          <w:lang w:eastAsia="ja-JP"/>
        </w:rPr>
        <w:t xml:space="preserve"> </w:t>
      </w:r>
      <w:r>
        <w:rPr>
          <w:lang w:eastAsia="ja-JP"/>
        </w:rPr>
        <w:t>complications</w:t>
      </w:r>
      <w:r w:rsidR="000159A6">
        <w:rPr>
          <w:lang w:eastAsia="ja-JP"/>
        </w:rPr>
        <w:t xml:space="preserve"> </w:t>
      </w:r>
      <w:r>
        <w:rPr>
          <w:lang w:eastAsia="ja-JP"/>
        </w:rPr>
        <w:t>other</w:t>
      </w:r>
      <w:r w:rsidR="000159A6">
        <w:rPr>
          <w:lang w:eastAsia="ja-JP"/>
        </w:rPr>
        <w:t xml:space="preserve"> </w:t>
      </w:r>
      <w:r>
        <w:rPr>
          <w:lang w:eastAsia="ja-JP"/>
        </w:rPr>
        <w:t>than</w:t>
      </w:r>
      <w:r w:rsidR="000159A6">
        <w:rPr>
          <w:lang w:eastAsia="ja-JP"/>
        </w:rPr>
        <w:t xml:space="preserve"> </w:t>
      </w:r>
      <w:r>
        <w:rPr>
          <w:lang w:eastAsia="ja-JP"/>
        </w:rPr>
        <w:t>PHN</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indication</w:t>
      </w:r>
      <w:r w:rsidR="000159A6">
        <w:rPr>
          <w:lang w:eastAsia="ja-JP"/>
        </w:rPr>
        <w:t xml:space="preserve"> </w:t>
      </w:r>
      <w:r>
        <w:rPr>
          <w:lang w:eastAsia="ja-JP"/>
        </w:rPr>
        <w:t>as</w:t>
      </w:r>
      <w:r w:rsidR="000159A6">
        <w:rPr>
          <w:lang w:eastAsia="ja-JP"/>
        </w:rPr>
        <w:t xml:space="preserve"> </w:t>
      </w:r>
      <w:r>
        <w:rPr>
          <w:lang w:eastAsia="ja-JP"/>
        </w:rPr>
        <w:t>the</w:t>
      </w:r>
      <w:r w:rsidR="000159A6">
        <w:rPr>
          <w:lang w:eastAsia="ja-JP"/>
        </w:rPr>
        <w:t xml:space="preserve"> </w:t>
      </w:r>
      <w:r>
        <w:rPr>
          <w:lang w:eastAsia="ja-JP"/>
        </w:rPr>
        <w:t>statement</w:t>
      </w:r>
      <w:r w:rsidR="000159A6">
        <w:rPr>
          <w:lang w:eastAsia="ja-JP"/>
        </w:rPr>
        <w:t xml:space="preserve"> </w:t>
      </w:r>
      <w:r>
        <w:rPr>
          <w:lang w:eastAsia="ja-JP"/>
        </w:rPr>
        <w:t>has</w:t>
      </w:r>
      <w:r w:rsidR="000159A6">
        <w:rPr>
          <w:lang w:eastAsia="ja-JP"/>
        </w:rPr>
        <w:t xml:space="preserve"> </w:t>
      </w:r>
      <w:r>
        <w:rPr>
          <w:lang w:eastAsia="ja-JP"/>
        </w:rPr>
        <w:t>been</w:t>
      </w:r>
      <w:r w:rsidR="000159A6">
        <w:rPr>
          <w:lang w:eastAsia="ja-JP"/>
        </w:rPr>
        <w:t xml:space="preserve"> </w:t>
      </w:r>
      <w:r>
        <w:rPr>
          <w:lang w:eastAsia="ja-JP"/>
        </w:rPr>
        <w:t>based</w:t>
      </w:r>
      <w:r w:rsidR="000159A6">
        <w:rPr>
          <w:lang w:eastAsia="ja-JP"/>
        </w:rPr>
        <w:t xml:space="preserve"> </w:t>
      </w:r>
      <w:r>
        <w:rPr>
          <w:lang w:eastAsia="ja-JP"/>
        </w:rPr>
        <w:t>on</w:t>
      </w:r>
      <w:r w:rsidR="000159A6">
        <w:rPr>
          <w:lang w:eastAsia="ja-JP"/>
        </w:rPr>
        <w:t xml:space="preserve"> </w:t>
      </w:r>
      <w:r>
        <w:rPr>
          <w:lang w:eastAsia="ja-JP"/>
        </w:rPr>
        <w:t>a</w:t>
      </w:r>
      <w:r w:rsidR="000159A6">
        <w:rPr>
          <w:lang w:eastAsia="ja-JP"/>
        </w:rPr>
        <w:t xml:space="preserve"> </w:t>
      </w:r>
      <w:r>
        <w:rPr>
          <w:lang w:eastAsia="ja-JP"/>
        </w:rPr>
        <w:t>post-hoc</w:t>
      </w:r>
      <w:r w:rsidR="000159A6">
        <w:rPr>
          <w:lang w:eastAsia="ja-JP"/>
        </w:rPr>
        <w:t xml:space="preserve"> </w:t>
      </w:r>
      <w:r>
        <w:rPr>
          <w:lang w:eastAsia="ja-JP"/>
        </w:rPr>
        <w:t>analysis</w:t>
      </w:r>
      <w:r w:rsidR="000159A6">
        <w:rPr>
          <w:lang w:eastAsia="ja-JP"/>
        </w:rPr>
        <w:t xml:space="preserve"> </w:t>
      </w:r>
      <w:r>
        <w:rPr>
          <w:lang w:eastAsia="ja-JP"/>
        </w:rPr>
        <w:t>with</w:t>
      </w:r>
      <w:r w:rsidR="000159A6">
        <w:rPr>
          <w:lang w:eastAsia="ja-JP"/>
        </w:rPr>
        <w:t xml:space="preserve"> </w:t>
      </w:r>
      <w:r>
        <w:rPr>
          <w:lang w:eastAsia="ja-JP"/>
        </w:rPr>
        <w:t>low</w:t>
      </w:r>
      <w:r w:rsidR="000159A6">
        <w:rPr>
          <w:lang w:eastAsia="ja-JP"/>
        </w:rPr>
        <w:t xml:space="preserve"> </w:t>
      </w:r>
      <w:r>
        <w:rPr>
          <w:lang w:eastAsia="ja-JP"/>
        </w:rPr>
        <w:t>power</w:t>
      </w:r>
      <w:r w:rsidR="000159A6">
        <w:rPr>
          <w:lang w:eastAsia="ja-JP"/>
        </w:rPr>
        <w:t xml:space="preserve"> </w:t>
      </w:r>
      <w:r>
        <w:rPr>
          <w:lang w:eastAsia="ja-JP"/>
        </w:rPr>
        <w:t>and</w:t>
      </w:r>
      <w:r w:rsidR="000159A6">
        <w:rPr>
          <w:lang w:eastAsia="ja-JP"/>
        </w:rPr>
        <w:t xml:space="preserve"> </w:t>
      </w:r>
      <w:r>
        <w:rPr>
          <w:lang w:eastAsia="ja-JP"/>
        </w:rPr>
        <w:t>such</w:t>
      </w:r>
      <w:r w:rsidR="000159A6">
        <w:rPr>
          <w:lang w:eastAsia="ja-JP"/>
        </w:rPr>
        <w:t xml:space="preserve"> </w:t>
      </w:r>
      <w:r>
        <w:rPr>
          <w:lang w:eastAsia="ja-JP"/>
        </w:rPr>
        <w:t>complications</w:t>
      </w:r>
      <w:r w:rsidR="000159A6">
        <w:rPr>
          <w:lang w:eastAsia="ja-JP"/>
        </w:rPr>
        <w:t xml:space="preserve"> </w:t>
      </w:r>
      <w:r>
        <w:rPr>
          <w:lang w:eastAsia="ja-JP"/>
        </w:rPr>
        <w:t>can</w:t>
      </w:r>
      <w:r w:rsidR="000159A6">
        <w:rPr>
          <w:lang w:eastAsia="ja-JP"/>
        </w:rPr>
        <w:t xml:space="preserve"> </w:t>
      </w:r>
      <w:r>
        <w:rPr>
          <w:lang w:eastAsia="ja-JP"/>
        </w:rPr>
        <w:t>have</w:t>
      </w:r>
      <w:r w:rsidR="000159A6">
        <w:rPr>
          <w:lang w:eastAsia="ja-JP"/>
        </w:rPr>
        <w:t xml:space="preserve"> </w:t>
      </w:r>
      <w:r>
        <w:rPr>
          <w:lang w:eastAsia="ja-JP"/>
        </w:rPr>
        <w:t>varying</w:t>
      </w:r>
      <w:r w:rsidR="000159A6">
        <w:rPr>
          <w:lang w:eastAsia="ja-JP"/>
        </w:rPr>
        <w:t xml:space="preserve"> </w:t>
      </w:r>
      <w:r>
        <w:rPr>
          <w:lang w:eastAsia="ja-JP"/>
        </w:rPr>
        <w:t>mechanisms</w:t>
      </w:r>
      <w:r w:rsidR="000159A6">
        <w:rPr>
          <w:lang w:eastAsia="ja-JP"/>
        </w:rPr>
        <w:t xml:space="preserve"> </w:t>
      </w:r>
      <w:r>
        <w:rPr>
          <w:lang w:eastAsia="ja-JP"/>
        </w:rPr>
        <w:t>and</w:t>
      </w:r>
      <w:r w:rsidR="000159A6">
        <w:rPr>
          <w:lang w:eastAsia="ja-JP"/>
        </w:rPr>
        <w:t xml:space="preserve"> </w:t>
      </w:r>
      <w:r>
        <w:rPr>
          <w:lang w:eastAsia="ja-JP"/>
        </w:rPr>
        <w:t>pathogenesis.</w:t>
      </w:r>
    </w:p>
    <w:p w14:paraId="60993130" w14:textId="7B49AEDF" w:rsidR="0091081C" w:rsidRDefault="0091081C" w:rsidP="0091081C">
      <w:pPr>
        <w:spacing w:before="0" w:line="240" w:lineRule="auto"/>
        <w:rPr>
          <w:lang w:eastAsia="ja-JP"/>
        </w:rPr>
      </w:pPr>
      <w:r>
        <w:rPr>
          <w:lang w:eastAsia="ja-JP"/>
        </w:rPr>
        <w:t>Long</w:t>
      </w:r>
      <w:r w:rsidR="000159A6">
        <w:rPr>
          <w:lang w:eastAsia="ja-JP"/>
        </w:rPr>
        <w:t xml:space="preserve"> </w:t>
      </w:r>
      <w:r>
        <w:rPr>
          <w:lang w:eastAsia="ja-JP"/>
        </w:rPr>
        <w:t>term</w:t>
      </w:r>
      <w:r w:rsidR="000159A6">
        <w:rPr>
          <w:lang w:eastAsia="ja-JP"/>
        </w:rPr>
        <w:t xml:space="preserve"> </w:t>
      </w:r>
      <w:r>
        <w:rPr>
          <w:lang w:eastAsia="ja-JP"/>
        </w:rPr>
        <w:t>follow</w:t>
      </w:r>
      <w:r w:rsidR="000159A6">
        <w:rPr>
          <w:lang w:eastAsia="ja-JP"/>
        </w:rPr>
        <w:t xml:space="preserve"> </w:t>
      </w:r>
      <w:r>
        <w:rPr>
          <w:lang w:eastAsia="ja-JP"/>
        </w:rPr>
        <w:t>up</w:t>
      </w:r>
      <w:r w:rsidR="000159A6">
        <w:rPr>
          <w:lang w:eastAsia="ja-JP"/>
        </w:rPr>
        <w:t xml:space="preserve"> </w:t>
      </w:r>
      <w:r>
        <w:rPr>
          <w:lang w:eastAsia="ja-JP"/>
        </w:rPr>
        <w:t>studies</w:t>
      </w:r>
      <w:r w:rsidR="000159A6">
        <w:rPr>
          <w:lang w:eastAsia="ja-JP"/>
        </w:rPr>
        <w:t xml:space="preserve"> </w:t>
      </w:r>
      <w:r>
        <w:rPr>
          <w:lang w:eastAsia="ja-JP"/>
        </w:rPr>
        <w:t>will</w:t>
      </w:r>
      <w:r w:rsidR="000159A6">
        <w:rPr>
          <w:lang w:eastAsia="ja-JP"/>
        </w:rPr>
        <w:t xml:space="preserve"> </w:t>
      </w:r>
      <w:r>
        <w:rPr>
          <w:lang w:eastAsia="ja-JP"/>
        </w:rPr>
        <w:t>be</w:t>
      </w:r>
      <w:r w:rsidR="000159A6">
        <w:rPr>
          <w:lang w:eastAsia="ja-JP"/>
        </w:rPr>
        <w:t xml:space="preserve"> </w:t>
      </w:r>
      <w:r>
        <w:rPr>
          <w:lang w:eastAsia="ja-JP"/>
        </w:rPr>
        <w:t>needed</w:t>
      </w:r>
      <w:r w:rsidR="000159A6">
        <w:rPr>
          <w:lang w:eastAsia="ja-JP"/>
        </w:rPr>
        <w:t xml:space="preserve"> </w:t>
      </w:r>
      <w:r>
        <w:rPr>
          <w:lang w:eastAsia="ja-JP"/>
        </w:rPr>
        <w:t>to</w:t>
      </w:r>
      <w:r w:rsidR="000159A6">
        <w:rPr>
          <w:lang w:eastAsia="ja-JP"/>
        </w:rPr>
        <w:t xml:space="preserve"> </w:t>
      </w:r>
      <w:r>
        <w:rPr>
          <w:lang w:eastAsia="ja-JP"/>
        </w:rPr>
        <w:t>demonstrate</w:t>
      </w:r>
      <w:r w:rsidR="000159A6">
        <w:rPr>
          <w:lang w:eastAsia="ja-JP"/>
        </w:rPr>
        <w:t xml:space="preserve"> </w:t>
      </w:r>
      <w:r>
        <w:rPr>
          <w:lang w:eastAsia="ja-JP"/>
        </w:rPr>
        <w:t>efficacy</w:t>
      </w:r>
      <w:r w:rsidR="000159A6">
        <w:rPr>
          <w:lang w:eastAsia="ja-JP"/>
        </w:rPr>
        <w:t xml:space="preserve"> </w:t>
      </w:r>
      <w:r>
        <w:rPr>
          <w:lang w:eastAsia="ja-JP"/>
        </w:rPr>
        <w:t>against</w:t>
      </w:r>
      <w:r w:rsidR="000159A6">
        <w:rPr>
          <w:lang w:eastAsia="ja-JP"/>
        </w:rPr>
        <w:t xml:space="preserve"> </w:t>
      </w:r>
      <w:r>
        <w:rPr>
          <w:lang w:eastAsia="ja-JP"/>
        </w:rPr>
        <w:t>HZ</w:t>
      </w:r>
      <w:r w:rsidR="000159A6">
        <w:rPr>
          <w:lang w:eastAsia="ja-JP"/>
        </w:rPr>
        <w:t xml:space="preserve"> </w:t>
      </w:r>
      <w:r>
        <w:rPr>
          <w:lang w:eastAsia="ja-JP"/>
        </w:rPr>
        <w:t>and</w:t>
      </w:r>
      <w:r w:rsidR="000159A6">
        <w:rPr>
          <w:lang w:eastAsia="ja-JP"/>
        </w:rPr>
        <w:t xml:space="preserve"> </w:t>
      </w:r>
      <w:r>
        <w:rPr>
          <w:lang w:eastAsia="ja-JP"/>
        </w:rPr>
        <w:t>PHN</w:t>
      </w:r>
      <w:r w:rsidR="000159A6">
        <w:rPr>
          <w:lang w:eastAsia="ja-JP"/>
        </w:rPr>
        <w:t xml:space="preserve"> </w:t>
      </w:r>
      <w:r>
        <w:rPr>
          <w:lang w:eastAsia="ja-JP"/>
        </w:rPr>
        <w:t>beyond</w:t>
      </w:r>
      <w:r w:rsidR="000159A6">
        <w:rPr>
          <w:lang w:eastAsia="ja-JP"/>
        </w:rPr>
        <w:t xml:space="preserve"> </w:t>
      </w:r>
      <w:r>
        <w:rPr>
          <w:lang w:eastAsia="ja-JP"/>
        </w:rPr>
        <w:t>4</w:t>
      </w:r>
      <w:r w:rsidR="000159A6">
        <w:rPr>
          <w:lang w:eastAsia="ja-JP"/>
        </w:rPr>
        <w:t xml:space="preserve"> </w:t>
      </w:r>
      <w:r>
        <w:rPr>
          <w:lang w:eastAsia="ja-JP"/>
        </w:rPr>
        <w:t>years</w:t>
      </w:r>
      <w:r w:rsidR="000159A6">
        <w:rPr>
          <w:lang w:eastAsia="ja-JP"/>
        </w:rPr>
        <w:t xml:space="preserve"> </w:t>
      </w:r>
      <w:r>
        <w:rPr>
          <w:lang w:eastAsia="ja-JP"/>
        </w:rPr>
        <w:t>and</w:t>
      </w:r>
      <w:r w:rsidR="000159A6">
        <w:rPr>
          <w:lang w:eastAsia="ja-JP"/>
        </w:rPr>
        <w:t xml:space="preserve"> </w:t>
      </w:r>
      <w:r>
        <w:rPr>
          <w:lang w:eastAsia="ja-JP"/>
        </w:rPr>
        <w:t>this</w:t>
      </w:r>
      <w:r w:rsidR="000159A6">
        <w:rPr>
          <w:lang w:eastAsia="ja-JP"/>
        </w:rPr>
        <w:t xml:space="preserve"> </w:t>
      </w:r>
      <w:r>
        <w:rPr>
          <w:lang w:eastAsia="ja-JP"/>
        </w:rPr>
        <w:t>may</w:t>
      </w:r>
      <w:r w:rsidR="000159A6">
        <w:rPr>
          <w:lang w:eastAsia="ja-JP"/>
        </w:rPr>
        <w:t xml:space="preserve"> </w:t>
      </w:r>
      <w:r>
        <w:rPr>
          <w:lang w:eastAsia="ja-JP"/>
        </w:rPr>
        <w:t>be</w:t>
      </w:r>
      <w:r w:rsidR="000159A6">
        <w:rPr>
          <w:lang w:eastAsia="ja-JP"/>
        </w:rPr>
        <w:t xml:space="preserve"> </w:t>
      </w:r>
      <w:r>
        <w:rPr>
          <w:lang w:eastAsia="ja-JP"/>
        </w:rPr>
        <w:t>addressed</w:t>
      </w:r>
      <w:r w:rsidR="000159A6">
        <w:rPr>
          <w:lang w:eastAsia="ja-JP"/>
        </w:rPr>
        <w:t xml:space="preserve"> </w:t>
      </w:r>
      <w:r>
        <w:rPr>
          <w:lang w:eastAsia="ja-JP"/>
        </w:rPr>
        <w:t>by</w:t>
      </w:r>
      <w:r w:rsidR="000159A6">
        <w:rPr>
          <w:lang w:eastAsia="ja-JP"/>
        </w:rPr>
        <w:t xml:space="preserve"> </w:t>
      </w:r>
      <w:r>
        <w:rPr>
          <w:lang w:eastAsia="ja-JP"/>
        </w:rPr>
        <w:t>the</w:t>
      </w:r>
      <w:r w:rsidR="000159A6">
        <w:rPr>
          <w:lang w:eastAsia="ja-JP"/>
        </w:rPr>
        <w:t xml:space="preserve"> </w:t>
      </w:r>
      <w:r>
        <w:rPr>
          <w:lang w:eastAsia="ja-JP"/>
        </w:rPr>
        <w:t>follow</w:t>
      </w:r>
      <w:r w:rsidR="000159A6">
        <w:rPr>
          <w:lang w:eastAsia="ja-JP"/>
        </w:rPr>
        <w:t xml:space="preserve"> </w:t>
      </w:r>
      <w:r>
        <w:rPr>
          <w:lang w:eastAsia="ja-JP"/>
        </w:rPr>
        <w:t>up</w:t>
      </w:r>
      <w:r w:rsidR="000159A6">
        <w:rPr>
          <w:lang w:eastAsia="ja-JP"/>
        </w:rPr>
        <w:t xml:space="preserve"> </w:t>
      </w:r>
      <w:r>
        <w:rPr>
          <w:lang w:eastAsia="ja-JP"/>
        </w:rPr>
        <w:t>Study</w:t>
      </w:r>
      <w:r w:rsidR="000159A6">
        <w:rPr>
          <w:lang w:eastAsia="ja-JP"/>
        </w:rPr>
        <w:t xml:space="preserve"> </w:t>
      </w:r>
      <w:r>
        <w:rPr>
          <w:lang w:eastAsia="ja-JP"/>
        </w:rPr>
        <w:t>ZOSTER-049</w:t>
      </w:r>
      <w:r w:rsidR="000159A6">
        <w:rPr>
          <w:lang w:eastAsia="ja-JP"/>
        </w:rPr>
        <w:t xml:space="preserve"> </w:t>
      </w:r>
      <w:r>
        <w:rPr>
          <w:lang w:eastAsia="ja-JP"/>
        </w:rPr>
        <w:t>which</w:t>
      </w:r>
      <w:r w:rsidR="000159A6">
        <w:rPr>
          <w:lang w:eastAsia="ja-JP"/>
        </w:rPr>
        <w:t xml:space="preserve"> </w:t>
      </w:r>
      <w:r>
        <w:rPr>
          <w:lang w:eastAsia="ja-JP"/>
        </w:rPr>
        <w:t>is</w:t>
      </w:r>
      <w:r w:rsidR="000159A6">
        <w:rPr>
          <w:lang w:eastAsia="ja-JP"/>
        </w:rPr>
        <w:t xml:space="preserve"> </w:t>
      </w:r>
      <w:r>
        <w:rPr>
          <w:lang w:eastAsia="ja-JP"/>
        </w:rPr>
        <w:t>currently</w:t>
      </w:r>
      <w:r w:rsidR="000159A6">
        <w:rPr>
          <w:lang w:eastAsia="ja-JP"/>
        </w:rPr>
        <w:t xml:space="preserve"> </w:t>
      </w:r>
      <w:r>
        <w:rPr>
          <w:lang w:eastAsia="ja-JP"/>
        </w:rPr>
        <w:t>ongoing.</w:t>
      </w:r>
    </w:p>
    <w:p w14:paraId="012CAEE6" w14:textId="64B095E8" w:rsidR="0091081C" w:rsidRPr="0091081C" w:rsidRDefault="0091081C" w:rsidP="00541F41">
      <w:pPr>
        <w:rPr>
          <w:lang w:eastAsia="ja-JP"/>
        </w:rPr>
      </w:pPr>
      <w:r>
        <w:rPr>
          <w:lang w:eastAsia="ja-JP"/>
        </w:rPr>
        <w:t>In</w:t>
      </w:r>
      <w:r w:rsidR="000159A6">
        <w:rPr>
          <w:lang w:eastAsia="ja-JP"/>
        </w:rPr>
        <w:t xml:space="preserve"> </w:t>
      </w:r>
      <w:r>
        <w:rPr>
          <w:lang w:eastAsia="ja-JP"/>
        </w:rPr>
        <w:t>general</w:t>
      </w:r>
      <w:r w:rsidR="00FB1C95">
        <w:rPr>
          <w:lang w:eastAsia="ja-JP"/>
        </w:rPr>
        <w:t>,</w:t>
      </w:r>
      <w:r w:rsidR="000159A6">
        <w:rPr>
          <w:lang w:eastAsia="ja-JP"/>
        </w:rPr>
        <w:t xml:space="preserve"> </w:t>
      </w:r>
      <w:r w:rsidR="00FB1C95">
        <w:rPr>
          <w:lang w:eastAsia="ja-JP"/>
        </w:rPr>
        <w:t>quality</w:t>
      </w:r>
      <w:r w:rsidR="000159A6">
        <w:rPr>
          <w:lang w:eastAsia="ja-JP"/>
        </w:rPr>
        <w:t xml:space="preserve"> </w:t>
      </w:r>
      <w:r w:rsidR="00FB1C95">
        <w:rPr>
          <w:lang w:eastAsia="ja-JP"/>
        </w:rPr>
        <w:t>of</w:t>
      </w:r>
      <w:r w:rsidR="000159A6">
        <w:rPr>
          <w:lang w:eastAsia="ja-JP"/>
        </w:rPr>
        <w:t xml:space="preserve"> </w:t>
      </w:r>
      <w:r w:rsidR="00FB1C95">
        <w:rPr>
          <w:lang w:eastAsia="ja-JP"/>
        </w:rPr>
        <w:t>life</w:t>
      </w:r>
      <w:r w:rsidR="000159A6">
        <w:rPr>
          <w:lang w:eastAsia="ja-JP"/>
        </w:rPr>
        <w:t xml:space="preserve"> </w:t>
      </w:r>
      <w:r w:rsidR="00FB1C95">
        <w:rPr>
          <w:lang w:eastAsia="ja-JP"/>
        </w:rPr>
        <w:t>data</w:t>
      </w:r>
      <w:r w:rsidR="000159A6">
        <w:rPr>
          <w:lang w:eastAsia="ja-JP"/>
        </w:rPr>
        <w:t xml:space="preserve"> </w:t>
      </w:r>
      <w:r w:rsidR="00FB1C95">
        <w:rPr>
          <w:lang w:eastAsia="ja-JP"/>
        </w:rPr>
        <w:t>in</w:t>
      </w:r>
      <w:r w:rsidR="000159A6">
        <w:rPr>
          <w:lang w:eastAsia="ja-JP"/>
        </w:rPr>
        <w:t xml:space="preserve"> </w:t>
      </w:r>
      <w:r>
        <w:rPr>
          <w:lang w:eastAsia="ja-JP"/>
        </w:rPr>
        <w:t>subjects</w:t>
      </w:r>
      <w:r w:rsidR="000159A6">
        <w:rPr>
          <w:lang w:eastAsia="ja-JP"/>
        </w:rPr>
        <w:t xml:space="preserve"> </w:t>
      </w:r>
      <w:r w:rsidR="00FB1C95">
        <w:rPr>
          <w:lang w:eastAsia="ja-JP"/>
        </w:rPr>
        <w:t>experiencing</w:t>
      </w:r>
      <w:r w:rsidR="000159A6">
        <w:rPr>
          <w:lang w:eastAsia="ja-JP"/>
        </w:rPr>
        <w:t xml:space="preserve"> </w:t>
      </w:r>
      <w:r w:rsidR="00FB1C95">
        <w:rPr>
          <w:lang w:eastAsia="ja-JP"/>
        </w:rPr>
        <w:t>an</w:t>
      </w:r>
      <w:r w:rsidR="000159A6">
        <w:rPr>
          <w:lang w:eastAsia="ja-JP"/>
        </w:rPr>
        <w:t xml:space="preserve"> </w:t>
      </w:r>
      <w:r w:rsidR="00FB1C95">
        <w:rPr>
          <w:lang w:eastAsia="ja-JP"/>
        </w:rPr>
        <w:t>episode</w:t>
      </w:r>
      <w:r w:rsidR="000159A6">
        <w:rPr>
          <w:lang w:eastAsia="ja-JP"/>
        </w:rPr>
        <w:t xml:space="preserve"> </w:t>
      </w:r>
      <w:r w:rsidR="00FB1C95">
        <w:rPr>
          <w:lang w:eastAsia="ja-JP"/>
        </w:rPr>
        <w:t>of</w:t>
      </w:r>
      <w:r w:rsidR="000159A6">
        <w:rPr>
          <w:lang w:eastAsia="ja-JP"/>
        </w:rPr>
        <w:t xml:space="preserve"> </w:t>
      </w:r>
      <w:r>
        <w:rPr>
          <w:lang w:eastAsia="ja-JP"/>
        </w:rPr>
        <w:t>HZ</w:t>
      </w:r>
      <w:r w:rsidR="000159A6">
        <w:rPr>
          <w:lang w:eastAsia="ja-JP"/>
        </w:rPr>
        <w:t xml:space="preserve"> </w:t>
      </w:r>
      <w:r w:rsidR="00FB1C95">
        <w:rPr>
          <w:lang w:eastAsia="ja-JP"/>
        </w:rPr>
        <w:t>did</w:t>
      </w:r>
      <w:r w:rsidR="000159A6">
        <w:rPr>
          <w:lang w:eastAsia="ja-JP"/>
        </w:rPr>
        <w:t xml:space="preserve"> </w:t>
      </w:r>
      <w:r>
        <w:rPr>
          <w:lang w:eastAsia="ja-JP"/>
        </w:rPr>
        <w:t>not</w:t>
      </w:r>
      <w:r w:rsidR="000159A6">
        <w:rPr>
          <w:lang w:eastAsia="ja-JP"/>
        </w:rPr>
        <w:t xml:space="preserve"> </w:t>
      </w:r>
      <w:r>
        <w:rPr>
          <w:lang w:eastAsia="ja-JP"/>
        </w:rPr>
        <w:t>demonstrate</w:t>
      </w:r>
      <w:r w:rsidR="000159A6">
        <w:rPr>
          <w:lang w:eastAsia="ja-JP"/>
        </w:rPr>
        <w:t xml:space="preserve"> </w:t>
      </w:r>
      <w:r>
        <w:rPr>
          <w:lang w:eastAsia="ja-JP"/>
        </w:rPr>
        <w:t>any</w:t>
      </w:r>
      <w:r w:rsidR="000159A6">
        <w:rPr>
          <w:lang w:eastAsia="ja-JP"/>
        </w:rPr>
        <w:t xml:space="preserve"> </w:t>
      </w:r>
      <w:r>
        <w:rPr>
          <w:lang w:eastAsia="ja-JP"/>
        </w:rPr>
        <w:t>notable</w:t>
      </w:r>
      <w:r w:rsidR="000159A6">
        <w:rPr>
          <w:lang w:eastAsia="ja-JP"/>
        </w:rPr>
        <w:t xml:space="preserve"> </w:t>
      </w:r>
      <w:r>
        <w:rPr>
          <w:lang w:eastAsia="ja-JP"/>
        </w:rPr>
        <w:t>differences</w:t>
      </w:r>
      <w:r w:rsidR="000159A6">
        <w:rPr>
          <w:lang w:eastAsia="ja-JP"/>
        </w:rPr>
        <w:t xml:space="preserve"> </w:t>
      </w:r>
      <w:r>
        <w:rPr>
          <w:lang w:eastAsia="ja-JP"/>
        </w:rPr>
        <w:t>between</w:t>
      </w:r>
      <w:r w:rsidR="000159A6">
        <w:rPr>
          <w:lang w:eastAsia="ja-JP"/>
        </w:rPr>
        <w:t xml:space="preserve"> </w:t>
      </w:r>
      <w:r>
        <w:rPr>
          <w:lang w:eastAsia="ja-JP"/>
        </w:rPr>
        <w:t>treatment</w:t>
      </w:r>
      <w:r w:rsidR="000159A6">
        <w:rPr>
          <w:lang w:eastAsia="ja-JP"/>
        </w:rPr>
        <w:t xml:space="preserve"> </w:t>
      </w:r>
      <w:r>
        <w:rPr>
          <w:lang w:eastAsia="ja-JP"/>
        </w:rPr>
        <w:t>groups.</w:t>
      </w:r>
    </w:p>
    <w:p w14:paraId="1F698E65" w14:textId="4CEBD7C2" w:rsidR="001F6DEC" w:rsidRPr="00C95B23" w:rsidRDefault="001F6DEC" w:rsidP="00C95B23">
      <w:pPr>
        <w:pStyle w:val="Heading4"/>
      </w:pPr>
      <w:bookmarkStart w:id="128" w:name="_Toc507578012"/>
      <w:bookmarkStart w:id="129" w:name="_Toc523409050"/>
      <w:r w:rsidRPr="00C95B23">
        <w:lastRenderedPageBreak/>
        <w:t>Other</w:t>
      </w:r>
      <w:r w:rsidR="000159A6" w:rsidRPr="00C95B23">
        <w:t xml:space="preserve"> </w:t>
      </w:r>
      <w:r w:rsidRPr="00C95B23">
        <w:t>immunogenicity</w:t>
      </w:r>
      <w:r w:rsidR="000159A6" w:rsidRPr="00C95B23">
        <w:t xml:space="preserve"> </w:t>
      </w:r>
      <w:r w:rsidRPr="00C95B23">
        <w:t>studies</w:t>
      </w:r>
      <w:bookmarkEnd w:id="128"/>
      <w:bookmarkEnd w:id="129"/>
    </w:p>
    <w:p w14:paraId="21E2EAF7" w14:textId="1FD4EDFF" w:rsidR="001F6DEC" w:rsidRPr="00C95B23" w:rsidRDefault="000D0435" w:rsidP="00541F41">
      <w:pPr>
        <w:pStyle w:val="Heading5"/>
      </w:pPr>
      <w:bookmarkStart w:id="130" w:name="_Ref493071780"/>
      <w:bookmarkStart w:id="131" w:name="_Toc507578013"/>
      <w:r w:rsidRPr="00C95B23">
        <w:t>Study</w:t>
      </w:r>
      <w:r w:rsidR="000159A6" w:rsidRPr="00C95B23">
        <w:t xml:space="preserve"> </w:t>
      </w:r>
      <w:r w:rsidR="001F6DEC" w:rsidRPr="00C95B23">
        <w:t>ZOSTER-026</w:t>
      </w:r>
      <w:bookmarkEnd w:id="130"/>
      <w:bookmarkEnd w:id="131"/>
    </w:p>
    <w:p w14:paraId="156A7CB6" w14:textId="4537F23F" w:rsidR="001F6DEC" w:rsidRPr="001F6DEC" w:rsidRDefault="000D0435" w:rsidP="00541F41">
      <w:r>
        <w:t>Study</w:t>
      </w:r>
      <w:r w:rsidR="000159A6">
        <w:t xml:space="preserve"> </w:t>
      </w:r>
      <w:r w:rsidR="001F6DEC" w:rsidRPr="001F6DEC">
        <w:t>ZOSTER-026</w:t>
      </w:r>
      <w:r w:rsidR="000159A6">
        <w:t xml:space="preserve"> </w:t>
      </w:r>
      <w:r w:rsidR="001F6DEC" w:rsidRPr="001F6DEC">
        <w:t>was</w:t>
      </w:r>
      <w:r w:rsidR="000159A6">
        <w:t xml:space="preserve"> </w:t>
      </w:r>
      <w:r w:rsidR="001F6DEC" w:rsidRPr="001F6DEC">
        <w:t>a</w:t>
      </w:r>
      <w:r w:rsidR="000159A6">
        <w:t xml:space="preserve"> </w:t>
      </w:r>
      <w:r w:rsidR="001F6DEC" w:rsidRPr="001F6DEC">
        <w:t>Phase</w:t>
      </w:r>
      <w:r w:rsidR="000159A6">
        <w:t xml:space="preserve"> </w:t>
      </w:r>
      <w:r w:rsidR="001F6DEC" w:rsidRPr="001F6DEC">
        <w:t>III,</w:t>
      </w:r>
      <w:r w:rsidR="000159A6">
        <w:t xml:space="preserve"> </w:t>
      </w:r>
      <w:r w:rsidR="001F6DEC" w:rsidRPr="001F6DEC">
        <w:t>randomised,</w:t>
      </w:r>
      <w:r w:rsidR="000159A6">
        <w:t xml:space="preserve"> </w:t>
      </w:r>
      <w:r w:rsidR="001F6DEC" w:rsidRPr="001F6DEC">
        <w:t>open</w:t>
      </w:r>
      <w:r w:rsidR="000159A6">
        <w:t xml:space="preserve"> </w:t>
      </w:r>
      <w:r w:rsidR="001F6DEC" w:rsidRPr="001F6DEC">
        <w:t>label,</w:t>
      </w:r>
      <w:r w:rsidR="000159A6">
        <w:t xml:space="preserve"> </w:t>
      </w:r>
      <w:r w:rsidR="001F6DEC" w:rsidRPr="001F6DEC">
        <w:t>uncontrolled,</w:t>
      </w:r>
      <w:r w:rsidR="000159A6">
        <w:t xml:space="preserve"> </w:t>
      </w:r>
      <w:r w:rsidR="001F6DEC" w:rsidRPr="001F6DEC">
        <w:t>parallel</w:t>
      </w:r>
      <w:r w:rsidR="000159A6">
        <w:t xml:space="preserve"> </w:t>
      </w:r>
      <w:r w:rsidR="001F6DEC" w:rsidRPr="001F6DEC">
        <w:t>group</w:t>
      </w:r>
      <w:r w:rsidR="000159A6">
        <w:t xml:space="preserve"> </w:t>
      </w:r>
      <w:r w:rsidR="001F6DEC" w:rsidRPr="001F6DEC">
        <w:t>study</w:t>
      </w:r>
      <w:r w:rsidR="000159A6">
        <w:t xml:space="preserve"> </w:t>
      </w:r>
      <w:r w:rsidR="001F6DEC" w:rsidRPr="001F6DEC">
        <w:t>to</w:t>
      </w:r>
      <w:r w:rsidR="000159A6">
        <w:t xml:space="preserve"> </w:t>
      </w:r>
      <w:r w:rsidR="001F6DEC" w:rsidRPr="001F6DEC">
        <w:t>assess</w:t>
      </w:r>
      <w:r w:rsidR="000159A6">
        <w:t xml:space="preserve"> </w:t>
      </w:r>
      <w:r w:rsidR="001F6DEC" w:rsidRPr="001F6DEC">
        <w:t>the</w:t>
      </w:r>
      <w:r w:rsidR="000159A6">
        <w:t xml:space="preserve"> </w:t>
      </w:r>
      <w:r w:rsidR="001F6DEC" w:rsidRPr="001F6DEC">
        <w:t>safety</w:t>
      </w:r>
      <w:r w:rsidR="000159A6">
        <w:t xml:space="preserve"> </w:t>
      </w:r>
      <w:r w:rsidR="001F6DEC" w:rsidRPr="001F6DEC">
        <w:t>and</w:t>
      </w:r>
      <w:r w:rsidR="000159A6">
        <w:t xml:space="preserve"> </w:t>
      </w:r>
      <w:r w:rsidR="001F6DEC" w:rsidRPr="001F6DEC">
        <w:t>immunogenicity</w:t>
      </w:r>
      <w:r w:rsidR="000159A6">
        <w:t xml:space="preserve"> </w:t>
      </w:r>
      <w:r w:rsidR="001F6DEC" w:rsidRPr="001F6DEC">
        <w:t>of</w:t>
      </w:r>
      <w:r w:rsidR="000159A6">
        <w:t xml:space="preserve"> </w:t>
      </w:r>
      <w:r w:rsidR="001F6DEC" w:rsidRPr="001F6DEC">
        <w:t>HZ/</w:t>
      </w:r>
      <w:proofErr w:type="spellStart"/>
      <w:r w:rsidR="001F6DEC" w:rsidRPr="001F6DEC">
        <w:t>su</w:t>
      </w:r>
      <w:proofErr w:type="spellEnd"/>
      <w:r w:rsidR="000159A6">
        <w:t xml:space="preserve"> </w:t>
      </w:r>
      <w:r w:rsidR="001F6DEC" w:rsidRPr="001F6DEC">
        <w:t>vaccine</w:t>
      </w:r>
      <w:r w:rsidR="000159A6">
        <w:t xml:space="preserve"> </w:t>
      </w:r>
      <w:r w:rsidR="001F6DEC" w:rsidRPr="001F6DEC">
        <w:t>when</w:t>
      </w:r>
      <w:r w:rsidR="000159A6">
        <w:t xml:space="preserve"> </w:t>
      </w:r>
      <w:r w:rsidR="001F6DEC" w:rsidRPr="001F6DEC">
        <w:t>administered</w:t>
      </w:r>
      <w:r w:rsidR="000159A6">
        <w:t xml:space="preserve"> </w:t>
      </w:r>
      <w:r w:rsidR="001F6DEC" w:rsidRPr="001F6DEC">
        <w:t>according</w:t>
      </w:r>
      <w:r w:rsidR="000159A6">
        <w:t xml:space="preserve"> </w:t>
      </w:r>
      <w:r w:rsidR="001F6DEC" w:rsidRPr="001F6DEC">
        <w:t>to</w:t>
      </w:r>
      <w:r w:rsidR="000159A6">
        <w:t xml:space="preserve"> </w:t>
      </w:r>
      <w:r w:rsidR="001F6DEC" w:rsidRPr="001F6DEC">
        <w:t>a</w:t>
      </w:r>
      <w:r w:rsidR="000159A6">
        <w:t xml:space="preserve"> </w:t>
      </w:r>
      <w:r w:rsidR="001F6DEC" w:rsidRPr="001F6DEC">
        <w:t>0</w:t>
      </w:r>
      <w:r w:rsidR="000159A6">
        <w:t xml:space="preserve"> </w:t>
      </w:r>
      <w:r w:rsidR="003D23D4">
        <w:t>and</w:t>
      </w:r>
      <w:r w:rsidR="000159A6">
        <w:t xml:space="preserve"> </w:t>
      </w:r>
      <w:r w:rsidR="001F6DEC" w:rsidRPr="001F6DEC">
        <w:t>2</w:t>
      </w:r>
      <w:r w:rsidR="000159A6">
        <w:t xml:space="preserve"> </w:t>
      </w:r>
      <w:r w:rsidR="001F6DEC" w:rsidRPr="001F6DEC">
        <w:t>month,</w:t>
      </w:r>
      <w:r w:rsidR="000159A6">
        <w:t xml:space="preserve"> </w:t>
      </w:r>
      <w:r w:rsidR="001F6DEC" w:rsidRPr="001F6DEC">
        <w:t>0</w:t>
      </w:r>
      <w:r w:rsidR="000159A6">
        <w:t xml:space="preserve"> </w:t>
      </w:r>
      <w:r w:rsidR="003D23D4">
        <w:t>and</w:t>
      </w:r>
      <w:r w:rsidR="000159A6">
        <w:t xml:space="preserve"> </w:t>
      </w:r>
      <w:r w:rsidR="001F6DEC" w:rsidRPr="001F6DEC">
        <w:t>6</w:t>
      </w:r>
      <w:r w:rsidR="000159A6">
        <w:t xml:space="preserve"> </w:t>
      </w:r>
      <w:r w:rsidR="001F6DEC" w:rsidRPr="001F6DEC">
        <w:t>month</w:t>
      </w:r>
      <w:r w:rsidR="000159A6">
        <w:t xml:space="preserve"> </w:t>
      </w:r>
      <w:r w:rsidR="001F6DEC" w:rsidRPr="001F6DEC">
        <w:t>or</w:t>
      </w:r>
      <w:r w:rsidR="000159A6">
        <w:t xml:space="preserve"> </w:t>
      </w:r>
      <w:r w:rsidR="001F6DEC" w:rsidRPr="001F6DEC">
        <w:t>0</w:t>
      </w:r>
      <w:r w:rsidR="000159A6">
        <w:t xml:space="preserve"> </w:t>
      </w:r>
      <w:r w:rsidR="003D23D4">
        <w:t>and</w:t>
      </w:r>
      <w:r w:rsidR="000159A6">
        <w:t xml:space="preserve"> </w:t>
      </w:r>
      <w:r w:rsidR="001F6DEC" w:rsidRPr="001F6DEC">
        <w:t>12</w:t>
      </w:r>
      <w:r w:rsidR="000159A6">
        <w:t xml:space="preserve"> </w:t>
      </w:r>
      <w:r w:rsidR="001F6DEC" w:rsidRPr="001F6DEC">
        <w:t>month</w:t>
      </w:r>
      <w:r w:rsidR="000159A6">
        <w:t xml:space="preserve"> </w:t>
      </w:r>
      <w:r w:rsidR="001F6DEC" w:rsidRPr="001F6DEC">
        <w:t>schedule</w:t>
      </w:r>
      <w:r w:rsidR="000159A6">
        <w:t xml:space="preserve"> </w:t>
      </w:r>
      <w:r w:rsidR="001F6DEC" w:rsidRPr="001F6DEC">
        <w:t>in</w:t>
      </w:r>
      <w:r w:rsidR="000159A6">
        <w:t xml:space="preserve"> </w:t>
      </w:r>
      <w:r w:rsidR="001F6DEC" w:rsidRPr="001F6DEC">
        <w:t>adults</w:t>
      </w:r>
      <w:r w:rsidR="000159A6">
        <w:t xml:space="preserve"> </w:t>
      </w:r>
      <w:r w:rsidR="001F6DEC" w:rsidRPr="001F6DEC">
        <w:t>aged</w:t>
      </w:r>
      <w:r w:rsidR="000159A6">
        <w:t xml:space="preserve"> </w:t>
      </w:r>
      <w:r w:rsidR="0037169B">
        <w:t>≥</w:t>
      </w:r>
      <w:r w:rsidR="00CD5352">
        <w:t> </w:t>
      </w:r>
      <w:r w:rsidR="001F6DEC" w:rsidRPr="001F6DEC">
        <w:t>50</w:t>
      </w:r>
      <w:r w:rsidR="000159A6">
        <w:t xml:space="preserve"> </w:t>
      </w:r>
      <w:r w:rsidR="001F6DEC" w:rsidRPr="001F6DEC">
        <w:t>years.</w:t>
      </w:r>
      <w:r w:rsidR="000159A6">
        <w:t xml:space="preserve"> </w:t>
      </w:r>
      <w:r w:rsidR="001F6DEC" w:rsidRPr="001F6DEC">
        <w:t>It</w:t>
      </w:r>
      <w:r w:rsidR="000159A6">
        <w:t xml:space="preserve"> </w:t>
      </w:r>
      <w:r w:rsidR="001F6DEC" w:rsidRPr="001F6DEC">
        <w:t>was</w:t>
      </w:r>
      <w:r w:rsidR="000159A6">
        <w:t xml:space="preserve"> </w:t>
      </w:r>
      <w:r w:rsidR="001F6DEC" w:rsidRPr="001F6DEC">
        <w:t>conducted</w:t>
      </w:r>
      <w:r w:rsidR="000159A6">
        <w:t xml:space="preserve"> </w:t>
      </w:r>
      <w:r w:rsidR="001F6DEC" w:rsidRPr="001F6DEC">
        <w:t>between</w:t>
      </w:r>
      <w:r w:rsidR="000159A6">
        <w:t xml:space="preserve"> </w:t>
      </w:r>
      <w:r w:rsidR="001F6DEC" w:rsidRPr="001F6DEC">
        <w:t>March</w:t>
      </w:r>
      <w:r w:rsidR="000159A6">
        <w:t xml:space="preserve"> </w:t>
      </w:r>
      <w:r w:rsidR="001F6DEC" w:rsidRPr="001F6DEC">
        <w:t>2013</w:t>
      </w:r>
      <w:r w:rsidR="000159A6">
        <w:t xml:space="preserve"> </w:t>
      </w:r>
      <w:r w:rsidR="001F6DEC" w:rsidRPr="001F6DEC">
        <w:t>and</w:t>
      </w:r>
      <w:r w:rsidR="000159A6">
        <w:t xml:space="preserve"> </w:t>
      </w:r>
      <w:r w:rsidR="001F6DEC" w:rsidRPr="001F6DEC">
        <w:t>April</w:t>
      </w:r>
      <w:r w:rsidR="000159A6">
        <w:t xml:space="preserve"> </w:t>
      </w:r>
      <w:r w:rsidR="001F6DEC" w:rsidRPr="001F6DEC">
        <w:t>2015</w:t>
      </w:r>
      <w:r w:rsidR="000159A6">
        <w:t xml:space="preserve"> </w:t>
      </w:r>
      <w:r w:rsidR="001F6DEC" w:rsidRPr="001F6DEC">
        <w:t>at</w:t>
      </w:r>
      <w:r w:rsidR="000159A6">
        <w:t xml:space="preserve"> </w:t>
      </w:r>
      <w:r w:rsidR="001F6DEC" w:rsidRPr="001F6DEC">
        <w:t>one</w:t>
      </w:r>
      <w:r w:rsidR="000159A6">
        <w:t xml:space="preserve"> </w:t>
      </w:r>
      <w:r w:rsidR="001F6DEC" w:rsidRPr="001F6DEC">
        <w:t>site</w:t>
      </w:r>
      <w:r w:rsidR="000159A6">
        <w:t xml:space="preserve"> </w:t>
      </w:r>
      <w:r w:rsidR="001F6DEC" w:rsidRPr="001F6DEC">
        <w:t>in</w:t>
      </w:r>
      <w:r w:rsidR="000159A6">
        <w:t xml:space="preserve"> </w:t>
      </w:r>
      <w:r w:rsidR="001F6DEC" w:rsidRPr="001F6DEC">
        <w:t>the</w:t>
      </w:r>
      <w:r w:rsidR="000159A6">
        <w:t xml:space="preserve"> </w:t>
      </w:r>
      <w:r w:rsidR="001F6DEC" w:rsidRPr="001F6DEC">
        <w:t>US</w:t>
      </w:r>
      <w:r w:rsidR="000159A6">
        <w:t xml:space="preserve"> </w:t>
      </w:r>
      <w:r w:rsidR="001F6DEC" w:rsidRPr="001F6DEC">
        <w:t>and</w:t>
      </w:r>
      <w:r w:rsidR="000159A6">
        <w:t xml:space="preserve"> </w:t>
      </w:r>
      <w:r w:rsidR="001F6DEC" w:rsidRPr="001F6DEC">
        <w:t>one</w:t>
      </w:r>
      <w:r w:rsidR="000159A6">
        <w:t xml:space="preserve"> </w:t>
      </w:r>
      <w:r w:rsidR="001F6DEC" w:rsidRPr="001F6DEC">
        <w:t>in</w:t>
      </w:r>
      <w:r w:rsidR="000159A6">
        <w:t xml:space="preserve"> </w:t>
      </w:r>
      <w:r w:rsidR="001F6DEC" w:rsidRPr="001F6DEC">
        <w:t>Estonia.</w:t>
      </w:r>
    </w:p>
    <w:p w14:paraId="019DF4BD" w14:textId="7071EE52" w:rsidR="0091081C" w:rsidRPr="00C95B23" w:rsidRDefault="0091081C" w:rsidP="00C95B23">
      <w:pPr>
        <w:pStyle w:val="Heading5"/>
      </w:pPr>
      <w:bookmarkStart w:id="132" w:name="_Toc290888504"/>
      <w:bookmarkStart w:id="133" w:name="_Toc416353720"/>
      <w:bookmarkStart w:id="134" w:name="_Toc507578014"/>
      <w:r w:rsidRPr="00C95B23">
        <w:t>Study</w:t>
      </w:r>
      <w:bookmarkEnd w:id="132"/>
      <w:r w:rsidR="000159A6" w:rsidRPr="00C95B23">
        <w:t xml:space="preserve"> </w:t>
      </w:r>
      <w:bookmarkEnd w:id="133"/>
      <w:r w:rsidRPr="00C95B23">
        <w:t>ZOSTER-033</w:t>
      </w:r>
      <w:bookmarkEnd w:id="134"/>
    </w:p>
    <w:p w14:paraId="4376DB35" w14:textId="6B98D27D" w:rsidR="0091081C" w:rsidRPr="0091081C" w:rsidRDefault="000D0435" w:rsidP="0091081C">
      <w:r>
        <w:t>Study</w:t>
      </w:r>
      <w:r w:rsidR="000159A6">
        <w:t xml:space="preserve"> </w:t>
      </w:r>
      <w:r w:rsidR="0091081C" w:rsidRPr="0091081C">
        <w:t>ZOSTER-033</w:t>
      </w:r>
      <w:r w:rsidR="000159A6">
        <w:t xml:space="preserve"> </w:t>
      </w:r>
      <w:r w:rsidR="0091081C" w:rsidRPr="0091081C">
        <w:t>was</w:t>
      </w:r>
      <w:r w:rsidR="000159A6">
        <w:t xml:space="preserve"> </w:t>
      </w:r>
      <w:r w:rsidR="0091081C" w:rsidRPr="0091081C">
        <w:t>a</w:t>
      </w:r>
      <w:r w:rsidR="000159A6">
        <w:t xml:space="preserve"> </w:t>
      </w:r>
      <w:r w:rsidR="0091081C" w:rsidRPr="0091081C">
        <w:t>Phase</w:t>
      </w:r>
      <w:r w:rsidR="000159A6">
        <w:t xml:space="preserve"> </w:t>
      </w:r>
      <w:r w:rsidR="0091081C" w:rsidRPr="0091081C">
        <w:t>III,</w:t>
      </w:r>
      <w:r w:rsidR="000159A6">
        <w:t xml:space="preserve"> </w:t>
      </w:r>
      <w:r w:rsidR="0091081C" w:rsidRPr="0091081C">
        <w:t>non-randomised,</w:t>
      </w:r>
      <w:r w:rsidR="000159A6">
        <w:t xml:space="preserve"> </w:t>
      </w:r>
      <w:r w:rsidR="0091081C" w:rsidRPr="0091081C">
        <w:t>open</w:t>
      </w:r>
      <w:r w:rsidR="000159A6">
        <w:t xml:space="preserve"> </w:t>
      </w:r>
      <w:r w:rsidR="0091081C" w:rsidRPr="0091081C">
        <w:t>label,</w:t>
      </w:r>
      <w:r w:rsidR="000159A6">
        <w:t xml:space="preserve"> </w:t>
      </w:r>
      <w:r w:rsidR="0091081C" w:rsidRPr="0091081C">
        <w:t>multicentre</w:t>
      </w:r>
      <w:r w:rsidR="000159A6">
        <w:t xml:space="preserve"> </w:t>
      </w:r>
      <w:r w:rsidR="0091081C" w:rsidRPr="0091081C">
        <w:t>clinical</w:t>
      </w:r>
      <w:r w:rsidR="000159A6">
        <w:t xml:space="preserve"> </w:t>
      </w:r>
      <w:r w:rsidR="0091081C" w:rsidRPr="0091081C">
        <w:t>trial</w:t>
      </w:r>
      <w:r w:rsidR="000159A6">
        <w:t xml:space="preserve"> </w:t>
      </w:r>
      <w:r w:rsidR="0091081C" w:rsidRPr="0091081C">
        <w:t>to</w:t>
      </w:r>
      <w:r w:rsidR="000159A6">
        <w:t xml:space="preserve"> </w:t>
      </w:r>
      <w:r w:rsidR="0091081C" w:rsidRPr="0091081C">
        <w:t>assess</w:t>
      </w:r>
      <w:r w:rsidR="000159A6">
        <w:t xml:space="preserve"> </w:t>
      </w:r>
      <w:r w:rsidR="0091081C" w:rsidRPr="0091081C">
        <w:t>the</w:t>
      </w:r>
      <w:r w:rsidR="000159A6">
        <w:t xml:space="preserve"> </w:t>
      </w:r>
      <w:r w:rsidR="0091081C" w:rsidRPr="0091081C">
        <w:t>immunogenicity</w:t>
      </w:r>
      <w:r w:rsidR="000159A6">
        <w:t xml:space="preserve"> </w:t>
      </w:r>
      <w:r w:rsidR="0091081C" w:rsidRPr="0091081C">
        <w:t>and</w:t>
      </w:r>
      <w:r w:rsidR="000159A6">
        <w:t xml:space="preserve"> </w:t>
      </w:r>
      <w:r w:rsidR="0091081C" w:rsidRPr="0091081C">
        <w:t>safety</w:t>
      </w:r>
      <w:r w:rsidR="000159A6">
        <w:t xml:space="preserve"> </w:t>
      </w:r>
      <w:r w:rsidR="0091081C" w:rsidRPr="0091081C">
        <w:t>of</w:t>
      </w:r>
      <w:r w:rsidR="000159A6">
        <w:t xml:space="preserve"> </w:t>
      </w:r>
      <w:r w:rsidR="0091081C" w:rsidRPr="0091081C">
        <w:t>HZ/</w:t>
      </w:r>
      <w:proofErr w:type="spellStart"/>
      <w:r w:rsidR="0091081C" w:rsidRPr="0091081C">
        <w:t>su</w:t>
      </w:r>
      <w:proofErr w:type="spellEnd"/>
      <w:r w:rsidR="000159A6">
        <w:t xml:space="preserve"> </w:t>
      </w:r>
      <w:r w:rsidR="0091081C" w:rsidRPr="0091081C">
        <w:t>vaccine</w:t>
      </w:r>
      <w:r w:rsidR="000159A6">
        <w:t xml:space="preserve"> </w:t>
      </w:r>
      <w:r w:rsidR="0091081C" w:rsidRPr="0091081C">
        <w:t>when</w:t>
      </w:r>
      <w:r w:rsidR="000159A6">
        <w:t xml:space="preserve"> </w:t>
      </w:r>
      <w:r w:rsidR="0091081C" w:rsidRPr="0091081C">
        <w:t>administered</w:t>
      </w:r>
      <w:r w:rsidR="000159A6">
        <w:t xml:space="preserve"> </w:t>
      </w:r>
      <w:r w:rsidR="0091081C" w:rsidRPr="0091081C">
        <w:t>intramuscularly</w:t>
      </w:r>
      <w:r w:rsidR="000159A6">
        <w:t xml:space="preserve"> </w:t>
      </w:r>
      <w:r w:rsidR="0091081C" w:rsidRPr="0091081C">
        <w:t>on</w:t>
      </w:r>
      <w:r w:rsidR="000159A6">
        <w:t xml:space="preserve"> </w:t>
      </w:r>
      <w:r w:rsidR="0091081C" w:rsidRPr="0091081C">
        <w:t>a</w:t>
      </w:r>
      <w:r w:rsidR="000159A6">
        <w:t xml:space="preserve"> </w:t>
      </w:r>
      <w:r w:rsidR="0091081C" w:rsidRPr="0091081C">
        <w:t>0</w:t>
      </w:r>
      <w:proofErr w:type="gramStart"/>
      <w:r w:rsidR="0091081C" w:rsidRPr="0091081C">
        <w:t>,2</w:t>
      </w:r>
      <w:proofErr w:type="gramEnd"/>
      <w:r w:rsidR="000159A6">
        <w:t xml:space="preserve"> </w:t>
      </w:r>
      <w:r w:rsidR="0091081C" w:rsidRPr="0091081C">
        <w:t>month</w:t>
      </w:r>
      <w:r w:rsidR="000159A6">
        <w:t xml:space="preserve"> </w:t>
      </w:r>
      <w:r w:rsidR="0091081C" w:rsidRPr="0091081C">
        <w:t>schedule</w:t>
      </w:r>
      <w:r w:rsidR="000159A6">
        <w:t xml:space="preserve"> </w:t>
      </w:r>
      <w:r w:rsidR="0091081C" w:rsidRPr="0091081C">
        <w:t>to</w:t>
      </w:r>
      <w:r w:rsidR="000159A6">
        <w:t xml:space="preserve"> </w:t>
      </w:r>
      <w:r w:rsidR="0091081C" w:rsidRPr="0091081C">
        <w:t>adults</w:t>
      </w:r>
      <w:r w:rsidR="000159A6">
        <w:t xml:space="preserve"> </w:t>
      </w:r>
      <w:r w:rsidR="0037169B">
        <w:t>≥</w:t>
      </w:r>
      <w:r w:rsidR="000159A6">
        <w:t xml:space="preserve"> </w:t>
      </w:r>
      <w:r w:rsidR="0091081C" w:rsidRPr="0091081C">
        <w:t>50</w:t>
      </w:r>
      <w:r w:rsidR="000159A6">
        <w:t xml:space="preserve"> </w:t>
      </w:r>
      <w:r w:rsidR="0091081C" w:rsidRPr="0091081C">
        <w:t>years</w:t>
      </w:r>
      <w:r w:rsidR="000159A6">
        <w:t xml:space="preserve"> </w:t>
      </w:r>
      <w:r w:rsidR="0091081C" w:rsidRPr="0091081C">
        <w:t>of</w:t>
      </w:r>
      <w:r w:rsidR="000159A6">
        <w:t xml:space="preserve"> </w:t>
      </w:r>
      <w:r w:rsidR="0091081C" w:rsidRPr="0091081C">
        <w:t>age</w:t>
      </w:r>
      <w:r w:rsidR="000159A6">
        <w:t xml:space="preserve"> </w:t>
      </w:r>
      <w:r w:rsidR="0091081C" w:rsidRPr="0091081C">
        <w:t>with</w:t>
      </w:r>
      <w:r w:rsidR="000159A6">
        <w:t xml:space="preserve"> </w:t>
      </w:r>
      <w:r w:rsidR="0091081C" w:rsidRPr="0091081C">
        <w:t>a</w:t>
      </w:r>
      <w:r w:rsidR="000159A6">
        <w:t xml:space="preserve"> </w:t>
      </w:r>
      <w:r w:rsidR="0091081C" w:rsidRPr="0091081C">
        <w:t>history</w:t>
      </w:r>
      <w:r w:rsidR="000159A6">
        <w:t xml:space="preserve"> </w:t>
      </w:r>
      <w:r w:rsidR="0091081C" w:rsidRPr="0091081C">
        <w:t>of</w:t>
      </w:r>
      <w:r w:rsidR="000159A6">
        <w:t xml:space="preserve"> </w:t>
      </w:r>
      <w:r w:rsidR="0091081C" w:rsidRPr="0091081C">
        <w:t>a</w:t>
      </w:r>
      <w:r w:rsidR="000159A6">
        <w:t xml:space="preserve"> </w:t>
      </w:r>
      <w:r w:rsidR="0091081C" w:rsidRPr="0091081C">
        <w:t>prior</w:t>
      </w:r>
      <w:r w:rsidR="000159A6">
        <w:t xml:space="preserve"> </w:t>
      </w:r>
      <w:r w:rsidR="0091081C" w:rsidRPr="0091081C">
        <w:t>episode</w:t>
      </w:r>
      <w:r w:rsidR="000159A6">
        <w:t xml:space="preserve"> </w:t>
      </w:r>
      <w:r w:rsidR="0091081C" w:rsidRPr="0091081C">
        <w:t>of</w:t>
      </w:r>
      <w:r w:rsidR="000159A6">
        <w:t xml:space="preserve"> </w:t>
      </w:r>
      <w:r w:rsidR="0091081C" w:rsidRPr="0091081C">
        <w:t>HZ.</w:t>
      </w:r>
      <w:r w:rsidR="000159A6">
        <w:t xml:space="preserve"> </w:t>
      </w:r>
      <w:r w:rsidR="0091081C" w:rsidRPr="0091081C">
        <w:t>The</w:t>
      </w:r>
      <w:r w:rsidR="000159A6">
        <w:t xml:space="preserve"> </w:t>
      </w:r>
      <w:r w:rsidR="0091081C" w:rsidRPr="0091081C">
        <w:t>study</w:t>
      </w:r>
      <w:r w:rsidR="000159A6">
        <w:t xml:space="preserve"> </w:t>
      </w:r>
      <w:r w:rsidR="0091081C" w:rsidRPr="0091081C">
        <w:t>was</w:t>
      </w:r>
      <w:r w:rsidR="000159A6">
        <w:t xml:space="preserve"> </w:t>
      </w:r>
      <w:r w:rsidR="0091081C" w:rsidRPr="0091081C">
        <w:t>conducted</w:t>
      </w:r>
      <w:r w:rsidR="000159A6">
        <w:t xml:space="preserve"> </w:t>
      </w:r>
      <w:r w:rsidR="0091081C" w:rsidRPr="0091081C">
        <w:t>between</w:t>
      </w:r>
      <w:r w:rsidR="000159A6">
        <w:t xml:space="preserve"> </w:t>
      </w:r>
      <w:r w:rsidR="0091081C" w:rsidRPr="0091081C">
        <w:t>June</w:t>
      </w:r>
      <w:r w:rsidR="000159A6">
        <w:t xml:space="preserve"> </w:t>
      </w:r>
      <w:r w:rsidR="0091081C" w:rsidRPr="0091081C">
        <w:t>2013</w:t>
      </w:r>
      <w:r w:rsidR="000159A6">
        <w:t xml:space="preserve"> </w:t>
      </w:r>
      <w:r w:rsidR="0091081C" w:rsidRPr="0091081C">
        <w:t>and</w:t>
      </w:r>
      <w:r w:rsidR="000159A6">
        <w:t xml:space="preserve"> </w:t>
      </w:r>
      <w:r w:rsidR="0091081C" w:rsidRPr="0091081C">
        <w:t>November</w:t>
      </w:r>
      <w:r w:rsidR="000159A6">
        <w:t xml:space="preserve"> </w:t>
      </w:r>
      <w:r w:rsidR="0091081C" w:rsidRPr="0091081C">
        <w:t>2014</w:t>
      </w:r>
      <w:r w:rsidR="000159A6">
        <w:t xml:space="preserve"> </w:t>
      </w:r>
      <w:r w:rsidR="0091081C" w:rsidRPr="0091081C">
        <w:t>in</w:t>
      </w:r>
      <w:r w:rsidR="000159A6">
        <w:t xml:space="preserve"> </w:t>
      </w:r>
      <w:r w:rsidR="0091081C" w:rsidRPr="0091081C">
        <w:t>Canada</w:t>
      </w:r>
      <w:r w:rsidR="000159A6">
        <w:t xml:space="preserve"> </w:t>
      </w:r>
      <w:r w:rsidR="0091081C" w:rsidRPr="0091081C">
        <w:t>and</w:t>
      </w:r>
      <w:r w:rsidR="000159A6">
        <w:t xml:space="preserve"> </w:t>
      </w:r>
      <w:r w:rsidR="0091081C" w:rsidRPr="0091081C">
        <w:t>Russia.</w:t>
      </w:r>
    </w:p>
    <w:p w14:paraId="5E3D8C35" w14:textId="24C5289E" w:rsidR="0091081C" w:rsidRPr="00C95B23" w:rsidRDefault="0091081C" w:rsidP="00C95B23">
      <w:pPr>
        <w:pStyle w:val="Heading5"/>
      </w:pPr>
      <w:bookmarkStart w:id="135" w:name="_Toc507578015"/>
      <w:r w:rsidRPr="00C95B23">
        <w:rPr>
          <w:rStyle w:val="Heading4Char"/>
          <w:b/>
          <w:bCs/>
        </w:rPr>
        <w:t>Study</w:t>
      </w:r>
      <w:r w:rsidR="000159A6" w:rsidRPr="00C95B23">
        <w:t xml:space="preserve"> </w:t>
      </w:r>
      <w:r w:rsidRPr="00C95B23">
        <w:t>ZOSTER-004</w:t>
      </w:r>
      <w:bookmarkEnd w:id="135"/>
    </w:p>
    <w:p w14:paraId="683C1B3B" w14:textId="436B9F20" w:rsidR="0091081C" w:rsidRPr="0091081C" w:rsidRDefault="000D0435" w:rsidP="00541F41">
      <w:r>
        <w:t>Study</w:t>
      </w:r>
      <w:r w:rsidR="000159A6">
        <w:t xml:space="preserve"> </w:t>
      </w:r>
      <w:r w:rsidR="0091081C" w:rsidRPr="0091081C">
        <w:t>ZOSTER-004</w:t>
      </w:r>
      <w:r w:rsidR="000159A6">
        <w:t xml:space="preserve"> </w:t>
      </w:r>
      <w:r w:rsidR="0091081C" w:rsidRPr="0091081C">
        <w:t>was</w:t>
      </w:r>
      <w:r w:rsidR="000159A6">
        <w:t xml:space="preserve"> </w:t>
      </w:r>
      <w:r w:rsidR="0091081C" w:rsidRPr="0091081C">
        <w:t>a</w:t>
      </w:r>
      <w:r w:rsidR="000159A6">
        <w:t xml:space="preserve"> </w:t>
      </w:r>
      <w:r w:rsidR="0091081C" w:rsidRPr="0091081C">
        <w:t>Phase</w:t>
      </w:r>
      <w:r w:rsidR="000159A6">
        <w:t xml:space="preserve"> </w:t>
      </w:r>
      <w:r w:rsidR="0091081C" w:rsidRPr="0091081C">
        <w:t>III,</w:t>
      </w:r>
      <w:r w:rsidR="000159A6">
        <w:t xml:space="preserve"> </w:t>
      </w:r>
      <w:r w:rsidR="0091081C" w:rsidRPr="0091081C">
        <w:t>randomised,</w:t>
      </w:r>
      <w:r w:rsidR="000159A6">
        <w:t xml:space="preserve"> </w:t>
      </w:r>
      <w:r w:rsidR="0091081C" w:rsidRPr="0091081C">
        <w:t>open</w:t>
      </w:r>
      <w:r w:rsidR="000159A6">
        <w:t xml:space="preserve"> </w:t>
      </w:r>
      <w:r w:rsidR="0091081C" w:rsidRPr="0091081C">
        <w:t>label,</w:t>
      </w:r>
      <w:r w:rsidR="000159A6">
        <w:t xml:space="preserve"> </w:t>
      </w:r>
      <w:r w:rsidR="0091081C" w:rsidRPr="0091081C">
        <w:t>controlled,</w:t>
      </w:r>
      <w:r w:rsidR="000159A6">
        <w:t xml:space="preserve"> </w:t>
      </w:r>
      <w:r w:rsidR="0091081C" w:rsidRPr="0091081C">
        <w:t>multicentre</w:t>
      </w:r>
      <w:r w:rsidR="000159A6">
        <w:t xml:space="preserve"> </w:t>
      </w:r>
      <w:r w:rsidR="0091081C" w:rsidRPr="0091081C">
        <w:t>study</w:t>
      </w:r>
      <w:r w:rsidR="000159A6">
        <w:t xml:space="preserve"> </w:t>
      </w:r>
      <w:r w:rsidR="0091081C" w:rsidRPr="0091081C">
        <w:t>which</w:t>
      </w:r>
      <w:r w:rsidR="000159A6">
        <w:t xml:space="preserve"> </w:t>
      </w:r>
      <w:r w:rsidR="0091081C" w:rsidRPr="0091081C">
        <w:t>assessed</w:t>
      </w:r>
      <w:r w:rsidR="000159A6">
        <w:t xml:space="preserve"> </w:t>
      </w:r>
      <w:r w:rsidR="0091081C" w:rsidRPr="0091081C">
        <w:t>the</w:t>
      </w:r>
      <w:r w:rsidR="000159A6">
        <w:t xml:space="preserve"> </w:t>
      </w:r>
      <w:r w:rsidR="0091081C" w:rsidRPr="0091081C">
        <w:t>immunogenicity</w:t>
      </w:r>
      <w:r w:rsidR="000159A6">
        <w:t xml:space="preserve"> </w:t>
      </w:r>
      <w:r w:rsidR="0091081C" w:rsidRPr="0091081C">
        <w:t>and</w:t>
      </w:r>
      <w:r w:rsidR="000159A6">
        <w:t xml:space="preserve"> </w:t>
      </w:r>
      <w:r w:rsidR="0091081C" w:rsidRPr="0091081C">
        <w:t>safety</w:t>
      </w:r>
      <w:r w:rsidR="000159A6">
        <w:t xml:space="preserve"> </w:t>
      </w:r>
      <w:r w:rsidR="0091081C" w:rsidRPr="0091081C">
        <w:t>of</w:t>
      </w:r>
      <w:r w:rsidR="000159A6">
        <w:t xml:space="preserve"> </w:t>
      </w:r>
      <w:r w:rsidR="0091081C" w:rsidRPr="0091081C">
        <w:t>HZ/</w:t>
      </w:r>
      <w:proofErr w:type="spellStart"/>
      <w:r w:rsidR="0091081C" w:rsidRPr="0091081C">
        <w:t>su</w:t>
      </w:r>
      <w:proofErr w:type="spellEnd"/>
      <w:r w:rsidR="000159A6">
        <w:t xml:space="preserve"> </w:t>
      </w:r>
      <w:r w:rsidR="0091081C" w:rsidRPr="0091081C">
        <w:t>when</w:t>
      </w:r>
      <w:r w:rsidR="000159A6">
        <w:t xml:space="preserve"> </w:t>
      </w:r>
      <w:r w:rsidR="0091081C" w:rsidRPr="0091081C">
        <w:t>co-administered</w:t>
      </w:r>
      <w:r w:rsidR="000159A6">
        <w:t xml:space="preserve"> </w:t>
      </w:r>
      <w:r w:rsidR="0091081C" w:rsidRPr="0091081C">
        <w:t>with</w:t>
      </w:r>
      <w:r w:rsidR="000159A6">
        <w:t xml:space="preserve"> </w:t>
      </w:r>
      <w:r w:rsidR="003D23D4">
        <w:t>the</w:t>
      </w:r>
      <w:r w:rsidR="000159A6">
        <w:t xml:space="preserve"> </w:t>
      </w:r>
      <w:r w:rsidR="003D23D4">
        <w:t>sponsor’</w:t>
      </w:r>
      <w:r w:rsidR="003D23D4" w:rsidRPr="0091081C">
        <w:t>s</w:t>
      </w:r>
      <w:r w:rsidR="000159A6">
        <w:t xml:space="preserve"> </w:t>
      </w:r>
      <w:r w:rsidR="0091081C" w:rsidRPr="0091081C">
        <w:t>quadrivalent</w:t>
      </w:r>
      <w:r w:rsidR="000159A6">
        <w:t xml:space="preserve"> </w:t>
      </w:r>
      <w:r w:rsidR="0091081C" w:rsidRPr="0091081C">
        <w:t>seasonal</w:t>
      </w:r>
      <w:r w:rsidR="000159A6">
        <w:t xml:space="preserve"> </w:t>
      </w:r>
      <w:r w:rsidR="0091081C" w:rsidRPr="0091081C">
        <w:t>influenza</w:t>
      </w:r>
      <w:r w:rsidR="000159A6">
        <w:t xml:space="preserve"> </w:t>
      </w:r>
      <w:r w:rsidR="0091081C" w:rsidRPr="0091081C">
        <w:t>vaccine</w:t>
      </w:r>
      <w:r w:rsidR="000159A6">
        <w:t xml:space="preserve"> </w:t>
      </w:r>
      <w:r w:rsidR="0091081C" w:rsidRPr="0091081C">
        <w:t>(FLU-D-QIV)</w:t>
      </w:r>
      <w:r w:rsidR="000159A6">
        <w:t xml:space="preserve"> </w:t>
      </w:r>
      <w:r w:rsidR="0091081C" w:rsidRPr="0091081C">
        <w:t>in</w:t>
      </w:r>
      <w:r w:rsidR="000159A6">
        <w:t xml:space="preserve"> </w:t>
      </w:r>
      <w:r w:rsidR="0091081C" w:rsidRPr="0091081C">
        <w:t>adults</w:t>
      </w:r>
      <w:r w:rsidR="000159A6">
        <w:t xml:space="preserve"> </w:t>
      </w:r>
      <w:r w:rsidR="0037169B">
        <w:t>≥</w:t>
      </w:r>
      <w:r w:rsidR="000159A6">
        <w:t xml:space="preserve"> </w:t>
      </w:r>
      <w:r w:rsidR="0091081C" w:rsidRPr="0091081C">
        <w:t>50</w:t>
      </w:r>
      <w:r w:rsidR="000159A6">
        <w:t xml:space="preserve"> </w:t>
      </w:r>
      <w:r w:rsidR="0091081C" w:rsidRPr="0091081C">
        <w:t>years</w:t>
      </w:r>
      <w:r w:rsidR="000159A6">
        <w:t xml:space="preserve"> </w:t>
      </w:r>
      <w:r w:rsidR="0091081C" w:rsidRPr="0091081C">
        <w:t>of</w:t>
      </w:r>
      <w:r w:rsidR="000159A6">
        <w:t xml:space="preserve"> </w:t>
      </w:r>
      <w:r w:rsidR="0091081C" w:rsidRPr="0091081C">
        <w:t>age.</w:t>
      </w:r>
      <w:r w:rsidR="000159A6">
        <w:t xml:space="preserve"> </w:t>
      </w:r>
      <w:r w:rsidR="0091081C" w:rsidRPr="0091081C">
        <w:t>Subjects</w:t>
      </w:r>
      <w:r w:rsidR="000159A6">
        <w:t xml:space="preserve"> </w:t>
      </w:r>
      <w:r w:rsidR="0091081C" w:rsidRPr="0091081C">
        <w:t>were</w:t>
      </w:r>
      <w:r w:rsidR="000159A6">
        <w:t xml:space="preserve"> </w:t>
      </w:r>
      <w:r w:rsidR="0091081C" w:rsidRPr="0091081C">
        <w:t>followed</w:t>
      </w:r>
      <w:r w:rsidR="000159A6">
        <w:t xml:space="preserve"> </w:t>
      </w:r>
      <w:r w:rsidR="0091081C" w:rsidRPr="0091081C">
        <w:t>for</w:t>
      </w:r>
      <w:r w:rsidR="000159A6">
        <w:t xml:space="preserve"> </w:t>
      </w:r>
      <w:r w:rsidR="0091081C" w:rsidRPr="0091081C">
        <w:t>12</w:t>
      </w:r>
      <w:r w:rsidR="000159A6">
        <w:t xml:space="preserve"> </w:t>
      </w:r>
      <w:r w:rsidR="0091081C" w:rsidRPr="0091081C">
        <w:t>months</w:t>
      </w:r>
      <w:r w:rsidR="000159A6">
        <w:t xml:space="preserve"> </w:t>
      </w:r>
      <w:r w:rsidR="0091081C" w:rsidRPr="0091081C">
        <w:t>after</w:t>
      </w:r>
      <w:r w:rsidR="000159A6">
        <w:t xml:space="preserve"> </w:t>
      </w:r>
      <w:r w:rsidR="0091081C" w:rsidRPr="0091081C">
        <w:t>second</w:t>
      </w:r>
      <w:r w:rsidR="000159A6">
        <w:t xml:space="preserve"> </w:t>
      </w:r>
      <w:r w:rsidR="0091081C" w:rsidRPr="0091081C">
        <w:t>vaccination.</w:t>
      </w:r>
      <w:r w:rsidR="000159A6">
        <w:t xml:space="preserve"> </w:t>
      </w:r>
      <w:r w:rsidR="0091081C" w:rsidRPr="0091081C">
        <w:t>The</w:t>
      </w:r>
      <w:r w:rsidR="000159A6">
        <w:t xml:space="preserve"> </w:t>
      </w:r>
      <w:r w:rsidR="0091081C" w:rsidRPr="0091081C">
        <w:t>study</w:t>
      </w:r>
      <w:r w:rsidR="000159A6">
        <w:t xml:space="preserve"> </w:t>
      </w:r>
      <w:r w:rsidR="0091081C" w:rsidRPr="0091081C">
        <w:t>was</w:t>
      </w:r>
      <w:r w:rsidR="000159A6">
        <w:t xml:space="preserve"> </w:t>
      </w:r>
      <w:r w:rsidR="0091081C" w:rsidRPr="0091081C">
        <w:t>conducted</w:t>
      </w:r>
      <w:r w:rsidR="000159A6">
        <w:t xml:space="preserve"> </w:t>
      </w:r>
      <w:r w:rsidR="0091081C" w:rsidRPr="0091081C">
        <w:t>between</w:t>
      </w:r>
      <w:r w:rsidR="000159A6">
        <w:t xml:space="preserve"> </w:t>
      </w:r>
      <w:r w:rsidR="0091081C" w:rsidRPr="0091081C">
        <w:t>October</w:t>
      </w:r>
      <w:r w:rsidR="000159A6">
        <w:t xml:space="preserve"> </w:t>
      </w:r>
      <w:r w:rsidR="0091081C" w:rsidRPr="0091081C">
        <w:t>2013</w:t>
      </w:r>
      <w:r w:rsidR="000159A6">
        <w:t xml:space="preserve"> </w:t>
      </w:r>
      <w:r w:rsidR="0091081C" w:rsidRPr="0091081C">
        <w:t>and</w:t>
      </w:r>
      <w:r w:rsidR="000159A6">
        <w:t xml:space="preserve"> </w:t>
      </w:r>
      <w:r w:rsidR="0091081C" w:rsidRPr="0091081C">
        <w:t>March</w:t>
      </w:r>
      <w:r w:rsidR="000159A6">
        <w:t xml:space="preserve"> </w:t>
      </w:r>
      <w:r w:rsidR="0091081C" w:rsidRPr="0091081C">
        <w:t>2015</w:t>
      </w:r>
      <w:r w:rsidR="000159A6">
        <w:t xml:space="preserve"> </w:t>
      </w:r>
      <w:r w:rsidR="0091081C" w:rsidRPr="0091081C">
        <w:t>in</w:t>
      </w:r>
      <w:r w:rsidR="000159A6">
        <w:t xml:space="preserve"> </w:t>
      </w:r>
      <w:r w:rsidR="0091081C" w:rsidRPr="0091081C">
        <w:t>Canada,</w:t>
      </w:r>
      <w:r w:rsidR="000159A6">
        <w:t xml:space="preserve"> </w:t>
      </w:r>
      <w:r w:rsidR="0091081C" w:rsidRPr="0091081C">
        <w:t>Germany</w:t>
      </w:r>
      <w:r w:rsidR="000159A6">
        <w:t xml:space="preserve"> </w:t>
      </w:r>
      <w:r w:rsidR="0091081C" w:rsidRPr="0091081C">
        <w:t>and</w:t>
      </w:r>
      <w:r w:rsidR="000159A6">
        <w:t xml:space="preserve"> </w:t>
      </w:r>
      <w:r w:rsidR="0091081C" w:rsidRPr="0091081C">
        <w:t>the</w:t>
      </w:r>
      <w:r w:rsidR="000159A6">
        <w:t xml:space="preserve"> </w:t>
      </w:r>
      <w:r w:rsidR="0091081C" w:rsidRPr="0091081C">
        <w:t>US.</w:t>
      </w:r>
    </w:p>
    <w:p w14:paraId="258C985A" w14:textId="7FB9CB3E" w:rsidR="0091081C" w:rsidRDefault="0091081C" w:rsidP="0091081C">
      <w:pPr>
        <w:pStyle w:val="Heading5"/>
      </w:pPr>
      <w:bookmarkStart w:id="136" w:name="_Toc507578016"/>
      <w:r w:rsidRPr="00300796">
        <w:t>Evaluator</w:t>
      </w:r>
      <w:r w:rsidR="000159A6">
        <w:t xml:space="preserve"> </w:t>
      </w:r>
      <w:r>
        <w:t>c</w:t>
      </w:r>
      <w:r w:rsidRPr="00300796">
        <w:t>ommentary:</w:t>
      </w:r>
      <w:r w:rsidR="000159A6">
        <w:t xml:space="preserve"> </w:t>
      </w:r>
      <w:r>
        <w:t>o</w:t>
      </w:r>
      <w:r w:rsidRPr="00300796">
        <w:t>ther</w:t>
      </w:r>
      <w:r w:rsidR="000159A6">
        <w:t xml:space="preserve"> </w:t>
      </w:r>
      <w:r>
        <w:t>immunogenicity</w:t>
      </w:r>
      <w:r w:rsidR="000159A6">
        <w:t xml:space="preserve"> </w:t>
      </w:r>
      <w:r>
        <w:t>studies</w:t>
      </w:r>
      <w:bookmarkEnd w:id="136"/>
    </w:p>
    <w:p w14:paraId="2A6ACE72" w14:textId="761ABBEC" w:rsidR="0091081C" w:rsidRDefault="0091081C" w:rsidP="0091081C">
      <w:pPr>
        <w:rPr>
          <w:lang w:eastAsia="ja-JP"/>
        </w:rPr>
      </w:pPr>
      <w:r>
        <w:rPr>
          <w:lang w:eastAsia="ja-JP"/>
        </w:rPr>
        <w:t>The</w:t>
      </w:r>
      <w:r w:rsidR="000159A6">
        <w:rPr>
          <w:lang w:eastAsia="ja-JP"/>
        </w:rPr>
        <w:t xml:space="preserve"> </w:t>
      </w:r>
      <w:r>
        <w:rPr>
          <w:lang w:eastAsia="ja-JP"/>
        </w:rPr>
        <w:t>dossier</w:t>
      </w:r>
      <w:r w:rsidR="000159A6">
        <w:rPr>
          <w:lang w:eastAsia="ja-JP"/>
        </w:rPr>
        <w:t xml:space="preserve"> </w:t>
      </w:r>
      <w:r>
        <w:rPr>
          <w:lang w:eastAsia="ja-JP"/>
        </w:rPr>
        <w:t>contained</w:t>
      </w:r>
      <w:r w:rsidR="000159A6">
        <w:rPr>
          <w:lang w:eastAsia="ja-JP"/>
        </w:rPr>
        <w:t xml:space="preserve"> </w:t>
      </w:r>
      <w:r>
        <w:rPr>
          <w:lang w:eastAsia="ja-JP"/>
        </w:rPr>
        <w:t>a</w:t>
      </w:r>
      <w:r w:rsidR="000159A6">
        <w:rPr>
          <w:lang w:eastAsia="ja-JP"/>
        </w:rPr>
        <w:t xml:space="preserve"> </w:t>
      </w:r>
      <w:r>
        <w:rPr>
          <w:lang w:eastAsia="ja-JP"/>
        </w:rPr>
        <w:t>number</w:t>
      </w:r>
      <w:r w:rsidR="000159A6">
        <w:rPr>
          <w:lang w:eastAsia="ja-JP"/>
        </w:rPr>
        <w:t xml:space="preserve"> </w:t>
      </w:r>
      <w:r>
        <w:rPr>
          <w:lang w:eastAsia="ja-JP"/>
        </w:rPr>
        <w:t>of</w:t>
      </w:r>
      <w:r w:rsidR="000159A6">
        <w:rPr>
          <w:lang w:eastAsia="ja-JP"/>
        </w:rPr>
        <w:t xml:space="preserve"> </w:t>
      </w:r>
      <w:r>
        <w:rPr>
          <w:lang w:eastAsia="ja-JP"/>
        </w:rPr>
        <w:t>further</w:t>
      </w:r>
      <w:r w:rsidR="000159A6">
        <w:rPr>
          <w:lang w:eastAsia="ja-JP"/>
        </w:rPr>
        <w:t xml:space="preserve"> </w:t>
      </w:r>
      <w:r>
        <w:rPr>
          <w:lang w:eastAsia="ja-JP"/>
        </w:rPr>
        <w:t>studies</w:t>
      </w:r>
      <w:r w:rsidR="000159A6">
        <w:rPr>
          <w:lang w:eastAsia="ja-JP"/>
        </w:rPr>
        <w:t xml:space="preserve"> </w:t>
      </w:r>
      <w:r>
        <w:rPr>
          <w:lang w:eastAsia="ja-JP"/>
        </w:rPr>
        <w:t>all</w:t>
      </w:r>
      <w:r w:rsidR="000159A6">
        <w:rPr>
          <w:lang w:eastAsia="ja-JP"/>
        </w:rPr>
        <w:t xml:space="preserve"> </w:t>
      </w:r>
      <w:r>
        <w:rPr>
          <w:lang w:eastAsia="ja-JP"/>
        </w:rPr>
        <w:t>of</w:t>
      </w:r>
      <w:r w:rsidR="000159A6">
        <w:rPr>
          <w:lang w:eastAsia="ja-JP"/>
        </w:rPr>
        <w:t xml:space="preserve"> </w:t>
      </w:r>
      <w:r>
        <w:rPr>
          <w:lang w:eastAsia="ja-JP"/>
        </w:rPr>
        <w:t>which</w:t>
      </w:r>
      <w:r w:rsidR="000159A6">
        <w:rPr>
          <w:lang w:eastAsia="ja-JP"/>
        </w:rPr>
        <w:t xml:space="preserve"> </w:t>
      </w:r>
      <w:r>
        <w:rPr>
          <w:lang w:eastAsia="ja-JP"/>
        </w:rPr>
        <w:t>had</w:t>
      </w:r>
      <w:r w:rsidR="000159A6">
        <w:rPr>
          <w:lang w:eastAsia="ja-JP"/>
        </w:rPr>
        <w:t xml:space="preserve"> </w:t>
      </w:r>
      <w:r>
        <w:rPr>
          <w:lang w:eastAsia="ja-JP"/>
        </w:rPr>
        <w:t>immunogenicity,</w:t>
      </w:r>
      <w:r w:rsidR="000159A6">
        <w:rPr>
          <w:lang w:eastAsia="ja-JP"/>
        </w:rPr>
        <w:t xml:space="preserve"> </w:t>
      </w:r>
      <w:r>
        <w:rPr>
          <w:lang w:eastAsia="ja-JP"/>
        </w:rPr>
        <w:t>rather</w:t>
      </w:r>
      <w:r w:rsidR="000159A6">
        <w:rPr>
          <w:lang w:eastAsia="ja-JP"/>
        </w:rPr>
        <w:t xml:space="preserve"> </w:t>
      </w:r>
      <w:r>
        <w:rPr>
          <w:lang w:eastAsia="ja-JP"/>
        </w:rPr>
        <w:t>than</w:t>
      </w:r>
      <w:r w:rsidR="000159A6">
        <w:rPr>
          <w:lang w:eastAsia="ja-JP"/>
        </w:rPr>
        <w:t xml:space="preserve"> </w:t>
      </w:r>
      <w:r>
        <w:rPr>
          <w:lang w:eastAsia="ja-JP"/>
        </w:rPr>
        <w:t>efficacy,</w:t>
      </w:r>
      <w:r w:rsidR="000159A6">
        <w:rPr>
          <w:lang w:eastAsia="ja-JP"/>
        </w:rPr>
        <w:t xml:space="preserve"> </w:t>
      </w:r>
      <w:r>
        <w:rPr>
          <w:lang w:eastAsia="ja-JP"/>
        </w:rPr>
        <w:t>endpoints.</w:t>
      </w:r>
    </w:p>
    <w:p w14:paraId="2E07044D" w14:textId="5E910BB2" w:rsidR="0091081C" w:rsidRDefault="0091081C" w:rsidP="00541F41">
      <w:r w:rsidRPr="00594B36">
        <w:rPr>
          <w:lang w:eastAsia="ja-JP"/>
        </w:rPr>
        <w:t>In</w:t>
      </w:r>
      <w:r w:rsidR="000159A6">
        <w:rPr>
          <w:lang w:eastAsia="ja-JP"/>
        </w:rPr>
        <w:t xml:space="preserve"> </w:t>
      </w:r>
      <w:r w:rsidR="00525235">
        <w:rPr>
          <w:lang w:eastAsia="ja-JP"/>
        </w:rPr>
        <w:t>Study</w:t>
      </w:r>
      <w:r w:rsidR="000159A6">
        <w:rPr>
          <w:lang w:eastAsia="ja-JP"/>
        </w:rPr>
        <w:t xml:space="preserve"> </w:t>
      </w:r>
      <w:r w:rsidR="00525235">
        <w:rPr>
          <w:lang w:eastAsia="ja-JP"/>
        </w:rPr>
        <w:t>ZOSTER</w:t>
      </w:r>
      <w:r w:rsidRPr="00594B36">
        <w:rPr>
          <w:lang w:eastAsia="ja-JP"/>
        </w:rPr>
        <w:t>-026</w:t>
      </w:r>
      <w:r w:rsidR="000159A6">
        <w:rPr>
          <w:lang w:eastAsia="ja-JP"/>
        </w:rPr>
        <w:t xml:space="preserve"> </w:t>
      </w:r>
      <w:r>
        <w:rPr>
          <w:lang w:eastAsia="ja-JP"/>
        </w:rPr>
        <w:t>two</w:t>
      </w:r>
      <w:r w:rsidR="000159A6">
        <w:rPr>
          <w:lang w:eastAsia="ja-JP"/>
        </w:rPr>
        <w:t xml:space="preserve"> </w:t>
      </w:r>
      <w:r>
        <w:rPr>
          <w:lang w:eastAsia="ja-JP"/>
        </w:rPr>
        <w:t>doses</w:t>
      </w:r>
      <w:r w:rsidR="000159A6">
        <w:rPr>
          <w:lang w:eastAsia="ja-JP"/>
        </w:rPr>
        <w:t xml:space="preserve"> </w:t>
      </w:r>
      <w:r>
        <w:rPr>
          <w:lang w:eastAsia="ja-JP"/>
        </w:rPr>
        <w:t>of</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in</w:t>
      </w:r>
      <w:r w:rsidR="000159A6">
        <w:rPr>
          <w:lang w:eastAsia="ja-JP"/>
        </w:rPr>
        <w:t xml:space="preserve"> </w:t>
      </w:r>
      <w:r>
        <w:rPr>
          <w:lang w:eastAsia="ja-JP"/>
        </w:rPr>
        <w:t>a</w:t>
      </w:r>
      <w:r w:rsidR="000159A6">
        <w:rPr>
          <w:lang w:eastAsia="ja-JP"/>
        </w:rPr>
        <w:t xml:space="preserve"> </w:t>
      </w:r>
      <w:r>
        <w:rPr>
          <w:lang w:eastAsia="ja-JP"/>
        </w:rPr>
        <w:t>0</w:t>
      </w:r>
      <w:r w:rsidR="000159A6">
        <w:rPr>
          <w:lang w:eastAsia="ja-JP"/>
        </w:rPr>
        <w:t xml:space="preserve"> </w:t>
      </w:r>
      <w:r w:rsidR="003D23D4">
        <w:rPr>
          <w:lang w:eastAsia="ja-JP"/>
        </w:rPr>
        <w:t>and</w:t>
      </w:r>
      <w:r w:rsidR="000159A6">
        <w:rPr>
          <w:lang w:eastAsia="ja-JP"/>
        </w:rPr>
        <w:t xml:space="preserve"> </w:t>
      </w:r>
      <w:r>
        <w:rPr>
          <w:lang w:eastAsia="ja-JP"/>
        </w:rPr>
        <w:t>6</w:t>
      </w:r>
      <w:r w:rsidR="000159A6">
        <w:rPr>
          <w:lang w:eastAsia="ja-JP"/>
        </w:rPr>
        <w:t xml:space="preserve"> </w:t>
      </w:r>
      <w:r>
        <w:rPr>
          <w:lang w:eastAsia="ja-JP"/>
        </w:rPr>
        <w:t>month</w:t>
      </w:r>
      <w:r w:rsidR="000159A6">
        <w:rPr>
          <w:lang w:eastAsia="ja-JP"/>
        </w:rPr>
        <w:t xml:space="preserve"> </w:t>
      </w:r>
      <w:r>
        <w:rPr>
          <w:lang w:eastAsia="ja-JP"/>
        </w:rPr>
        <w:t>schedule</w:t>
      </w:r>
      <w:r w:rsidR="000159A6">
        <w:rPr>
          <w:lang w:eastAsia="ja-JP"/>
        </w:rPr>
        <w:t xml:space="preserve"> </w:t>
      </w:r>
      <w:r>
        <w:rPr>
          <w:lang w:eastAsia="ja-JP"/>
        </w:rPr>
        <w:t>was</w:t>
      </w:r>
      <w:r w:rsidR="000159A6">
        <w:rPr>
          <w:lang w:eastAsia="ja-JP"/>
        </w:rPr>
        <w:t xml:space="preserve"> </w:t>
      </w:r>
      <w:r>
        <w:rPr>
          <w:lang w:eastAsia="ja-JP"/>
        </w:rPr>
        <w:t>found</w:t>
      </w:r>
      <w:r w:rsidR="000159A6">
        <w:rPr>
          <w:lang w:eastAsia="ja-JP"/>
        </w:rPr>
        <w:t xml:space="preserve"> </w:t>
      </w:r>
      <w:r>
        <w:rPr>
          <w:lang w:eastAsia="ja-JP"/>
        </w:rPr>
        <w:t>to</w:t>
      </w:r>
      <w:r w:rsidR="000159A6">
        <w:rPr>
          <w:lang w:eastAsia="ja-JP"/>
        </w:rPr>
        <w:t xml:space="preserve"> </w:t>
      </w:r>
      <w:r>
        <w:rPr>
          <w:lang w:eastAsia="ja-JP"/>
        </w:rPr>
        <w:t>be</w:t>
      </w:r>
      <w:r w:rsidR="000159A6">
        <w:rPr>
          <w:lang w:eastAsia="ja-JP"/>
        </w:rPr>
        <w:t xml:space="preserve"> </w:t>
      </w:r>
      <w:r>
        <w:rPr>
          <w:lang w:eastAsia="ja-JP"/>
        </w:rPr>
        <w:t>non-inferior</w:t>
      </w:r>
      <w:r w:rsidR="000159A6">
        <w:rPr>
          <w:lang w:eastAsia="ja-JP"/>
        </w:rPr>
        <w:t xml:space="preserve"> </w:t>
      </w:r>
      <w:r>
        <w:rPr>
          <w:lang w:eastAsia="ja-JP"/>
        </w:rPr>
        <w:t>to</w:t>
      </w:r>
      <w:r w:rsidR="000159A6">
        <w:rPr>
          <w:lang w:eastAsia="ja-JP"/>
        </w:rPr>
        <w:t xml:space="preserve"> </w:t>
      </w:r>
      <w:r>
        <w:rPr>
          <w:lang w:eastAsia="ja-JP"/>
        </w:rPr>
        <w:t>a</w:t>
      </w:r>
      <w:r w:rsidR="000159A6">
        <w:rPr>
          <w:lang w:eastAsia="ja-JP"/>
        </w:rPr>
        <w:t xml:space="preserve"> </w:t>
      </w:r>
      <w:r>
        <w:rPr>
          <w:lang w:eastAsia="ja-JP"/>
        </w:rPr>
        <w:t>0</w:t>
      </w:r>
      <w:proofErr w:type="gramStart"/>
      <w:r>
        <w:rPr>
          <w:lang w:eastAsia="ja-JP"/>
        </w:rPr>
        <w:t>,2</w:t>
      </w:r>
      <w:proofErr w:type="gramEnd"/>
      <w:r w:rsidR="000159A6">
        <w:rPr>
          <w:lang w:eastAsia="ja-JP"/>
        </w:rPr>
        <w:t xml:space="preserve"> </w:t>
      </w:r>
      <w:r>
        <w:rPr>
          <w:lang w:eastAsia="ja-JP"/>
        </w:rPr>
        <w:t>month</w:t>
      </w:r>
      <w:r w:rsidR="000159A6">
        <w:rPr>
          <w:lang w:eastAsia="ja-JP"/>
        </w:rPr>
        <w:t xml:space="preserve"> </w:t>
      </w:r>
      <w:r>
        <w:rPr>
          <w:lang w:eastAsia="ja-JP"/>
        </w:rPr>
        <w:t>schedule,</w:t>
      </w:r>
      <w:r w:rsidR="000159A6">
        <w:rPr>
          <w:lang w:eastAsia="ja-JP"/>
        </w:rPr>
        <w:t xml:space="preserve"> </w:t>
      </w:r>
      <w:r>
        <w:rPr>
          <w:lang w:eastAsia="ja-JP"/>
        </w:rPr>
        <w:t>however</w:t>
      </w:r>
      <w:r w:rsidR="000159A6">
        <w:rPr>
          <w:lang w:eastAsia="ja-JP"/>
        </w:rPr>
        <w:t xml:space="preserve"> </w:t>
      </w:r>
      <w:r>
        <w:rPr>
          <w:lang w:eastAsia="ja-JP"/>
        </w:rPr>
        <w:t>the</w:t>
      </w:r>
      <w:r w:rsidR="000159A6">
        <w:rPr>
          <w:lang w:eastAsia="ja-JP"/>
        </w:rPr>
        <w:t xml:space="preserve"> </w:t>
      </w:r>
      <w:r>
        <w:rPr>
          <w:lang w:eastAsia="ja-JP"/>
        </w:rPr>
        <w:t>0</w:t>
      </w:r>
      <w:r w:rsidR="000159A6">
        <w:rPr>
          <w:lang w:eastAsia="ja-JP"/>
        </w:rPr>
        <w:t xml:space="preserve"> </w:t>
      </w:r>
      <w:r w:rsidR="003D23D4">
        <w:rPr>
          <w:lang w:eastAsia="ja-JP"/>
        </w:rPr>
        <w:t>and</w:t>
      </w:r>
      <w:r w:rsidR="000159A6">
        <w:rPr>
          <w:lang w:eastAsia="ja-JP"/>
        </w:rPr>
        <w:t xml:space="preserve"> </w:t>
      </w:r>
      <w:r>
        <w:rPr>
          <w:lang w:eastAsia="ja-JP"/>
        </w:rPr>
        <w:t>12</w:t>
      </w:r>
      <w:r w:rsidR="000159A6">
        <w:rPr>
          <w:lang w:eastAsia="ja-JP"/>
        </w:rPr>
        <w:t xml:space="preserve"> </w:t>
      </w:r>
      <w:r>
        <w:rPr>
          <w:lang w:eastAsia="ja-JP"/>
        </w:rPr>
        <w:t>month</w:t>
      </w:r>
      <w:r w:rsidR="000159A6">
        <w:rPr>
          <w:lang w:eastAsia="ja-JP"/>
        </w:rPr>
        <w:t xml:space="preserve"> </w:t>
      </w:r>
      <w:r>
        <w:rPr>
          <w:lang w:eastAsia="ja-JP"/>
        </w:rPr>
        <w:t>vaccination</w:t>
      </w:r>
      <w:r w:rsidR="000159A6">
        <w:rPr>
          <w:lang w:eastAsia="ja-JP"/>
        </w:rPr>
        <w:t xml:space="preserve"> </w:t>
      </w:r>
      <w:r>
        <w:rPr>
          <w:lang w:eastAsia="ja-JP"/>
        </w:rPr>
        <w:t>interval</w:t>
      </w:r>
      <w:r w:rsidR="000159A6">
        <w:rPr>
          <w:lang w:eastAsia="ja-JP"/>
        </w:rPr>
        <w:t xml:space="preserve"> </w:t>
      </w:r>
      <w:r>
        <w:rPr>
          <w:lang w:eastAsia="ja-JP"/>
        </w:rPr>
        <w:t>did</w:t>
      </w:r>
      <w:r w:rsidR="000159A6">
        <w:rPr>
          <w:lang w:eastAsia="ja-JP"/>
        </w:rPr>
        <w:t xml:space="preserve"> </w:t>
      </w:r>
      <w:r>
        <w:rPr>
          <w:lang w:eastAsia="ja-JP"/>
        </w:rPr>
        <w:t>not</w:t>
      </w:r>
      <w:r w:rsidR="000159A6">
        <w:rPr>
          <w:lang w:eastAsia="ja-JP"/>
        </w:rPr>
        <w:t xml:space="preserve"> </w:t>
      </w:r>
      <w:r>
        <w:rPr>
          <w:lang w:eastAsia="ja-JP"/>
        </w:rPr>
        <w:t>meet</w:t>
      </w:r>
      <w:r w:rsidR="000159A6">
        <w:rPr>
          <w:lang w:eastAsia="ja-JP"/>
        </w:rPr>
        <w:t xml:space="preserve"> </w:t>
      </w:r>
      <w:r>
        <w:rPr>
          <w:lang w:eastAsia="ja-JP"/>
        </w:rPr>
        <w:t>the</w:t>
      </w:r>
      <w:r w:rsidR="000159A6">
        <w:rPr>
          <w:lang w:eastAsia="ja-JP"/>
        </w:rPr>
        <w:t xml:space="preserve"> </w:t>
      </w:r>
      <w:r>
        <w:rPr>
          <w:lang w:eastAsia="ja-JP"/>
        </w:rPr>
        <w:t>non-inferiority</w:t>
      </w:r>
      <w:r w:rsidR="000159A6">
        <w:rPr>
          <w:lang w:eastAsia="ja-JP"/>
        </w:rPr>
        <w:t xml:space="preserve"> </w:t>
      </w:r>
      <w:r>
        <w:rPr>
          <w:lang w:eastAsia="ja-JP"/>
        </w:rPr>
        <w:t>criterion.</w:t>
      </w:r>
      <w:r w:rsidR="000159A6">
        <w:rPr>
          <w:lang w:eastAsia="ja-JP"/>
        </w:rPr>
        <w:t xml:space="preserve"> </w:t>
      </w:r>
      <w:r>
        <w:rPr>
          <w:lang w:eastAsia="ja-JP"/>
        </w:rPr>
        <w:t>T</w:t>
      </w:r>
      <w:r>
        <w:t>he</w:t>
      </w:r>
      <w:r w:rsidR="000159A6">
        <w:t xml:space="preserve"> </w:t>
      </w:r>
      <w:r>
        <w:t>sponsor</w:t>
      </w:r>
      <w:r w:rsidR="000159A6">
        <w:t xml:space="preserve"> </w:t>
      </w:r>
      <w:r>
        <w:t>has</w:t>
      </w:r>
      <w:r w:rsidR="000159A6">
        <w:t xml:space="preserve"> </w:t>
      </w:r>
      <w:r>
        <w:t>concluded</w:t>
      </w:r>
      <w:r w:rsidR="000159A6">
        <w:t xml:space="preserve"> </w:t>
      </w:r>
      <w:r>
        <w:t>that</w:t>
      </w:r>
      <w:r w:rsidR="000159A6">
        <w:t xml:space="preserve"> </w:t>
      </w:r>
      <w:r>
        <w:t>the</w:t>
      </w:r>
      <w:r w:rsidR="000159A6">
        <w:t xml:space="preserve"> </w:t>
      </w:r>
      <w:r>
        <w:t>vaccine</w:t>
      </w:r>
      <w:r w:rsidR="000159A6">
        <w:t xml:space="preserve"> </w:t>
      </w:r>
      <w:r>
        <w:t>dosing</w:t>
      </w:r>
      <w:r w:rsidR="000159A6">
        <w:t xml:space="preserve"> </w:t>
      </w:r>
      <w:r>
        <w:t>interval</w:t>
      </w:r>
      <w:r w:rsidR="000159A6">
        <w:t xml:space="preserve"> </w:t>
      </w:r>
      <w:r>
        <w:t>should</w:t>
      </w:r>
      <w:r w:rsidR="000159A6">
        <w:t xml:space="preserve"> </w:t>
      </w:r>
      <w:r>
        <w:t>be</w:t>
      </w:r>
      <w:r w:rsidR="000159A6">
        <w:t xml:space="preserve"> </w:t>
      </w:r>
      <w:r>
        <w:t>2</w:t>
      </w:r>
      <w:r w:rsidR="000159A6">
        <w:t xml:space="preserve"> </w:t>
      </w:r>
      <w:r>
        <w:t>months</w:t>
      </w:r>
      <w:r w:rsidR="000159A6">
        <w:t xml:space="preserve"> </w:t>
      </w:r>
      <w:r>
        <w:t>but</w:t>
      </w:r>
      <w:r w:rsidR="000159A6">
        <w:t xml:space="preserve"> </w:t>
      </w:r>
      <w:r>
        <w:t>could</w:t>
      </w:r>
      <w:r w:rsidR="000159A6">
        <w:t xml:space="preserve"> </w:t>
      </w:r>
      <w:r>
        <w:t>be</w:t>
      </w:r>
      <w:r w:rsidR="000159A6">
        <w:t xml:space="preserve"> </w:t>
      </w:r>
      <w:r>
        <w:t>extended</w:t>
      </w:r>
      <w:r w:rsidR="000159A6">
        <w:t xml:space="preserve"> </w:t>
      </w:r>
      <w:r>
        <w:t>to</w:t>
      </w:r>
      <w:r w:rsidR="000159A6">
        <w:t xml:space="preserve"> </w:t>
      </w:r>
      <w:r>
        <w:t>6</w:t>
      </w:r>
      <w:r w:rsidR="000159A6">
        <w:t xml:space="preserve"> </w:t>
      </w:r>
      <w:r>
        <w:t>months</w:t>
      </w:r>
      <w:r w:rsidR="000159A6">
        <w:t xml:space="preserve"> </w:t>
      </w:r>
      <w:r>
        <w:t>and</w:t>
      </w:r>
      <w:r w:rsidR="000159A6">
        <w:t xml:space="preserve"> </w:t>
      </w:r>
      <w:r>
        <w:t>a</w:t>
      </w:r>
      <w:r w:rsidR="000159A6">
        <w:t xml:space="preserve"> </w:t>
      </w:r>
      <w:r>
        <w:t>12</w:t>
      </w:r>
      <w:r w:rsidR="000159A6">
        <w:t xml:space="preserve"> </w:t>
      </w:r>
      <w:r>
        <w:t>month</w:t>
      </w:r>
      <w:r w:rsidR="000159A6">
        <w:t xml:space="preserve"> </w:t>
      </w:r>
      <w:r>
        <w:t>interval</w:t>
      </w:r>
      <w:r w:rsidR="000159A6">
        <w:t xml:space="preserve"> </w:t>
      </w:r>
      <w:r>
        <w:t>is</w:t>
      </w:r>
      <w:r w:rsidR="000159A6">
        <w:t xml:space="preserve"> </w:t>
      </w:r>
      <w:r>
        <w:t>not</w:t>
      </w:r>
      <w:r w:rsidR="000159A6">
        <w:t xml:space="preserve"> </w:t>
      </w:r>
      <w:r>
        <w:t>recommended.</w:t>
      </w:r>
      <w:r w:rsidR="000159A6">
        <w:t xml:space="preserve"> </w:t>
      </w:r>
      <w:r>
        <w:t>The</w:t>
      </w:r>
      <w:r w:rsidR="000159A6">
        <w:t xml:space="preserve"> </w:t>
      </w:r>
      <w:r>
        <w:t>study</w:t>
      </w:r>
      <w:r w:rsidR="000159A6">
        <w:t xml:space="preserve"> </w:t>
      </w:r>
      <w:r>
        <w:t>was</w:t>
      </w:r>
      <w:r w:rsidR="000159A6">
        <w:t xml:space="preserve"> </w:t>
      </w:r>
      <w:r>
        <w:t>based</w:t>
      </w:r>
      <w:r w:rsidR="000159A6">
        <w:t xml:space="preserve"> </w:t>
      </w:r>
      <w:r>
        <w:t>on</w:t>
      </w:r>
      <w:r w:rsidR="000159A6">
        <w:t xml:space="preserve"> </w:t>
      </w:r>
      <w:r>
        <w:t>humoral</w:t>
      </w:r>
      <w:r w:rsidR="000159A6">
        <w:t xml:space="preserve"> </w:t>
      </w:r>
      <w:r>
        <w:t>immunity</w:t>
      </w:r>
      <w:r w:rsidR="000159A6">
        <w:t xml:space="preserve"> </w:t>
      </w:r>
      <w:r>
        <w:t>despite</w:t>
      </w:r>
      <w:r w:rsidR="000159A6">
        <w:t xml:space="preserve"> </w:t>
      </w:r>
      <w:r>
        <w:t>cell</w:t>
      </w:r>
      <w:r w:rsidR="000159A6">
        <w:t xml:space="preserve"> </w:t>
      </w:r>
      <w:r>
        <w:t>mediated</w:t>
      </w:r>
      <w:r w:rsidR="000159A6">
        <w:t xml:space="preserve"> </w:t>
      </w:r>
      <w:r>
        <w:t>immunity</w:t>
      </w:r>
      <w:r w:rsidR="000159A6">
        <w:t xml:space="preserve"> </w:t>
      </w:r>
      <w:r>
        <w:t>being</w:t>
      </w:r>
      <w:r w:rsidR="000159A6">
        <w:t xml:space="preserve"> </w:t>
      </w:r>
      <w:r>
        <w:t>accepted</w:t>
      </w:r>
      <w:r w:rsidR="000159A6">
        <w:t xml:space="preserve"> </w:t>
      </w:r>
      <w:r>
        <w:t>as</w:t>
      </w:r>
      <w:r w:rsidR="000159A6">
        <w:t xml:space="preserve"> </w:t>
      </w:r>
      <w:r>
        <w:t>the</w:t>
      </w:r>
      <w:r w:rsidR="000159A6">
        <w:t xml:space="preserve"> </w:t>
      </w:r>
      <w:r>
        <w:t>more</w:t>
      </w:r>
      <w:r w:rsidR="000159A6">
        <w:t xml:space="preserve"> </w:t>
      </w:r>
      <w:r>
        <w:t>important</w:t>
      </w:r>
      <w:r w:rsidR="000159A6">
        <w:t xml:space="preserve"> </w:t>
      </w:r>
      <w:r>
        <w:t>response</w:t>
      </w:r>
      <w:r w:rsidR="000159A6">
        <w:t xml:space="preserve"> </w:t>
      </w:r>
      <w:r>
        <w:t>for</w:t>
      </w:r>
      <w:r w:rsidR="000159A6">
        <w:t xml:space="preserve"> </w:t>
      </w:r>
      <w:r>
        <w:t>HZ</w:t>
      </w:r>
      <w:r w:rsidR="000159A6">
        <w:t xml:space="preserve"> </w:t>
      </w:r>
      <w:r>
        <w:t>prevention.</w:t>
      </w:r>
      <w:r w:rsidR="000159A6">
        <w:t xml:space="preserve"> </w:t>
      </w:r>
      <w:r>
        <w:t>As</w:t>
      </w:r>
      <w:r w:rsidR="000159A6">
        <w:t xml:space="preserve"> </w:t>
      </w:r>
      <w:r>
        <w:t>there</w:t>
      </w:r>
      <w:r w:rsidR="000159A6">
        <w:t xml:space="preserve"> </w:t>
      </w:r>
      <w:r>
        <w:t>are</w:t>
      </w:r>
      <w:r w:rsidR="000159A6">
        <w:t xml:space="preserve"> </w:t>
      </w:r>
      <w:r>
        <w:t>currently</w:t>
      </w:r>
      <w:r w:rsidR="000159A6">
        <w:t xml:space="preserve"> </w:t>
      </w:r>
      <w:r>
        <w:t>no</w:t>
      </w:r>
      <w:r w:rsidR="000159A6">
        <w:t xml:space="preserve"> </w:t>
      </w:r>
      <w:r>
        <w:t>correlates</w:t>
      </w:r>
      <w:r w:rsidR="000159A6">
        <w:t xml:space="preserve"> </w:t>
      </w:r>
      <w:r>
        <w:t>of</w:t>
      </w:r>
      <w:r w:rsidR="000159A6">
        <w:t xml:space="preserve"> </w:t>
      </w:r>
      <w:r>
        <w:t>immune</w:t>
      </w:r>
      <w:r w:rsidR="000159A6">
        <w:t xml:space="preserve"> </w:t>
      </w:r>
      <w:r>
        <w:t>protection</w:t>
      </w:r>
      <w:r w:rsidR="000159A6">
        <w:t xml:space="preserve"> </w:t>
      </w:r>
      <w:r>
        <w:t>it</w:t>
      </w:r>
      <w:r w:rsidR="000159A6">
        <w:t xml:space="preserve"> </w:t>
      </w:r>
      <w:r>
        <w:t>is</w:t>
      </w:r>
      <w:r w:rsidR="000159A6">
        <w:t xml:space="preserve"> </w:t>
      </w:r>
      <w:r>
        <w:t>difficult</w:t>
      </w:r>
      <w:r w:rsidR="000159A6">
        <w:t xml:space="preserve"> </w:t>
      </w:r>
      <w:r>
        <w:t>to</w:t>
      </w:r>
      <w:r w:rsidR="000159A6">
        <w:t xml:space="preserve"> </w:t>
      </w:r>
      <w:r>
        <w:t>interpret</w:t>
      </w:r>
      <w:r w:rsidR="000159A6">
        <w:t xml:space="preserve"> </w:t>
      </w:r>
      <w:r>
        <w:t>the</w:t>
      </w:r>
      <w:r w:rsidR="000159A6">
        <w:t xml:space="preserve"> </w:t>
      </w:r>
      <w:r>
        <w:t>findings</w:t>
      </w:r>
      <w:r w:rsidR="000159A6">
        <w:t xml:space="preserve"> </w:t>
      </w:r>
      <w:r>
        <w:t>of</w:t>
      </w:r>
      <w:r w:rsidR="000159A6">
        <w:t xml:space="preserve"> </w:t>
      </w:r>
      <w:r>
        <w:t>the</w:t>
      </w:r>
      <w:r w:rsidR="000159A6">
        <w:t xml:space="preserve"> </w:t>
      </w:r>
      <w:r>
        <w:t>study</w:t>
      </w:r>
      <w:r w:rsidR="000159A6">
        <w:t xml:space="preserve"> </w:t>
      </w:r>
      <w:r>
        <w:t>and</w:t>
      </w:r>
      <w:r w:rsidR="000159A6">
        <w:t xml:space="preserve"> </w:t>
      </w:r>
      <w:r>
        <w:t>so</w:t>
      </w:r>
      <w:r w:rsidR="000159A6">
        <w:t xml:space="preserve"> </w:t>
      </w:r>
      <w:r>
        <w:t>at</w:t>
      </w:r>
      <w:r w:rsidR="000159A6">
        <w:t xml:space="preserve"> </w:t>
      </w:r>
      <w:r>
        <w:t>this</w:t>
      </w:r>
      <w:r w:rsidR="000159A6">
        <w:t xml:space="preserve"> </w:t>
      </w:r>
      <w:r>
        <w:t>stage</w:t>
      </w:r>
      <w:r w:rsidR="000159A6">
        <w:t xml:space="preserve"> </w:t>
      </w:r>
      <w:r>
        <w:t>the</w:t>
      </w:r>
      <w:r w:rsidR="000159A6">
        <w:t xml:space="preserve"> </w:t>
      </w:r>
      <w:r>
        <w:t>evaluator</w:t>
      </w:r>
      <w:r w:rsidR="000159A6">
        <w:t xml:space="preserve"> </w:t>
      </w:r>
      <w:r>
        <w:t>only</w:t>
      </w:r>
      <w:r w:rsidR="000159A6">
        <w:t xml:space="preserve"> </w:t>
      </w:r>
      <w:r>
        <w:t>recommends</w:t>
      </w:r>
      <w:r w:rsidR="000159A6">
        <w:t xml:space="preserve"> </w:t>
      </w:r>
      <w:r>
        <w:t>a</w:t>
      </w:r>
      <w:r w:rsidR="000159A6">
        <w:t xml:space="preserve"> </w:t>
      </w:r>
      <w:r>
        <w:t>0</w:t>
      </w:r>
      <w:r w:rsidR="000159A6">
        <w:t xml:space="preserve"> </w:t>
      </w:r>
      <w:r w:rsidR="003D23D4">
        <w:t>and</w:t>
      </w:r>
      <w:r w:rsidR="000159A6">
        <w:t xml:space="preserve"> </w:t>
      </w:r>
      <w:r>
        <w:t>2</w:t>
      </w:r>
      <w:r w:rsidR="000159A6">
        <w:t xml:space="preserve"> </w:t>
      </w:r>
      <w:r>
        <w:t>month</w:t>
      </w:r>
      <w:r w:rsidR="000159A6">
        <w:t xml:space="preserve"> </w:t>
      </w:r>
      <w:r>
        <w:t>schedule.</w:t>
      </w:r>
    </w:p>
    <w:p w14:paraId="05D37626" w14:textId="593805C4" w:rsidR="0091081C" w:rsidRDefault="0091081C" w:rsidP="0091081C">
      <w:r>
        <w:rPr>
          <w:lang w:eastAsia="ja-JP"/>
        </w:rPr>
        <w:t>In</w:t>
      </w:r>
      <w:r w:rsidR="000159A6">
        <w:rPr>
          <w:lang w:eastAsia="ja-JP"/>
        </w:rPr>
        <w:t xml:space="preserve"> </w:t>
      </w:r>
      <w:r>
        <w:rPr>
          <w:lang w:eastAsia="ja-JP"/>
        </w:rPr>
        <w:t>subjects</w:t>
      </w:r>
      <w:r w:rsidR="000159A6">
        <w:rPr>
          <w:lang w:eastAsia="ja-JP"/>
        </w:rPr>
        <w:t xml:space="preserve"> </w:t>
      </w:r>
      <w:r>
        <w:rPr>
          <w:lang w:eastAsia="ja-JP"/>
        </w:rPr>
        <w:t>with</w:t>
      </w:r>
      <w:r w:rsidR="000159A6">
        <w:rPr>
          <w:lang w:eastAsia="ja-JP"/>
        </w:rPr>
        <w:t xml:space="preserve"> </w:t>
      </w:r>
      <w:r>
        <w:rPr>
          <w:lang w:eastAsia="ja-JP"/>
        </w:rPr>
        <w:t>a</w:t>
      </w:r>
      <w:r w:rsidR="000159A6">
        <w:rPr>
          <w:lang w:eastAsia="ja-JP"/>
        </w:rPr>
        <w:t xml:space="preserve"> </w:t>
      </w:r>
      <w:r>
        <w:rPr>
          <w:lang w:eastAsia="ja-JP"/>
        </w:rPr>
        <w:t>previous</w:t>
      </w:r>
      <w:r w:rsidR="000159A6">
        <w:rPr>
          <w:lang w:eastAsia="ja-JP"/>
        </w:rPr>
        <w:t xml:space="preserve"> </w:t>
      </w:r>
      <w:r>
        <w:rPr>
          <w:lang w:eastAsia="ja-JP"/>
        </w:rPr>
        <w:t>history</w:t>
      </w:r>
      <w:r w:rsidR="000159A6">
        <w:rPr>
          <w:lang w:eastAsia="ja-JP"/>
        </w:rPr>
        <w:t xml:space="preserve"> </w:t>
      </w:r>
      <w:r>
        <w:rPr>
          <w:lang w:eastAsia="ja-JP"/>
        </w:rPr>
        <w:t>of</w:t>
      </w:r>
      <w:r w:rsidR="000159A6">
        <w:rPr>
          <w:lang w:eastAsia="ja-JP"/>
        </w:rPr>
        <w:t xml:space="preserve"> </w:t>
      </w:r>
      <w:r>
        <w:rPr>
          <w:lang w:eastAsia="ja-JP"/>
        </w:rPr>
        <w:t>HZ</w:t>
      </w:r>
      <w:r w:rsidR="000159A6">
        <w:rPr>
          <w:lang w:eastAsia="ja-JP"/>
        </w:rPr>
        <w:t xml:space="preserve"> </w:t>
      </w:r>
      <w:r>
        <w:rPr>
          <w:lang w:eastAsia="ja-JP"/>
        </w:rPr>
        <w:t>(</w:t>
      </w:r>
      <w:r w:rsidR="00525235">
        <w:rPr>
          <w:lang w:eastAsia="ja-JP"/>
        </w:rPr>
        <w:t>Study</w:t>
      </w:r>
      <w:r w:rsidR="000159A6">
        <w:rPr>
          <w:lang w:eastAsia="ja-JP"/>
        </w:rPr>
        <w:t xml:space="preserve"> </w:t>
      </w:r>
      <w:r w:rsidR="00525235">
        <w:rPr>
          <w:lang w:eastAsia="ja-JP"/>
        </w:rPr>
        <w:t>ZOSTER</w:t>
      </w:r>
      <w:r w:rsidRPr="00594B36">
        <w:rPr>
          <w:lang w:eastAsia="ja-JP"/>
        </w:rPr>
        <w:t>-033</w:t>
      </w:r>
      <w:r w:rsidRPr="004C2CEA">
        <w:rPr>
          <w:lang w:eastAsia="ja-JP"/>
        </w:rPr>
        <w:t>)</w:t>
      </w:r>
      <w:r>
        <w:rPr>
          <w:lang w:eastAsia="ja-JP"/>
        </w:rPr>
        <w:t>,</w:t>
      </w:r>
      <w:r w:rsidR="000159A6">
        <w:t xml:space="preserve"> </w:t>
      </w:r>
      <w:r>
        <w:t>the</w:t>
      </w:r>
      <w:r w:rsidR="000159A6">
        <w:t xml:space="preserve"> </w:t>
      </w:r>
      <w:r>
        <w:t>humoral</w:t>
      </w:r>
      <w:r w:rsidR="000159A6">
        <w:t xml:space="preserve"> </w:t>
      </w:r>
      <w:r>
        <w:t>immune</w:t>
      </w:r>
      <w:r w:rsidR="000159A6">
        <w:t xml:space="preserve"> </w:t>
      </w:r>
      <w:r>
        <w:t>responses</w:t>
      </w:r>
      <w:r w:rsidR="000159A6">
        <w:t xml:space="preserve"> </w:t>
      </w:r>
      <w:r>
        <w:t>to</w:t>
      </w:r>
      <w:r w:rsidR="000159A6">
        <w:t xml:space="preserve"> </w:t>
      </w:r>
      <w:r>
        <w:t>HZ/</w:t>
      </w:r>
      <w:proofErr w:type="spellStart"/>
      <w:r>
        <w:t>su</w:t>
      </w:r>
      <w:proofErr w:type="spellEnd"/>
      <w:r w:rsidR="000159A6">
        <w:t xml:space="preserve"> </w:t>
      </w:r>
      <w:r>
        <w:t>were</w:t>
      </w:r>
      <w:r w:rsidR="000159A6">
        <w:t xml:space="preserve"> </w:t>
      </w:r>
      <w:r>
        <w:t>high</w:t>
      </w:r>
      <w:r w:rsidR="000159A6">
        <w:t xml:space="preserve"> </w:t>
      </w:r>
      <w:r>
        <w:t>and</w:t>
      </w:r>
      <w:r w:rsidR="000159A6">
        <w:t xml:space="preserve"> </w:t>
      </w:r>
      <w:r>
        <w:t>the</w:t>
      </w:r>
      <w:r w:rsidR="000159A6">
        <w:t xml:space="preserve"> </w:t>
      </w:r>
      <w:r>
        <w:t>study</w:t>
      </w:r>
      <w:r w:rsidR="000159A6">
        <w:t xml:space="preserve"> </w:t>
      </w:r>
      <w:r>
        <w:t>met</w:t>
      </w:r>
      <w:r w:rsidR="000159A6">
        <w:t xml:space="preserve"> </w:t>
      </w:r>
      <w:r>
        <w:t>its</w:t>
      </w:r>
      <w:r w:rsidR="000159A6">
        <w:t xml:space="preserve"> </w:t>
      </w:r>
      <w:r>
        <w:t>primary</w:t>
      </w:r>
      <w:r w:rsidR="000159A6">
        <w:t xml:space="preserve"> </w:t>
      </w:r>
      <w:r>
        <w:t>objective</w:t>
      </w:r>
      <w:r w:rsidR="000159A6">
        <w:t xml:space="preserve"> </w:t>
      </w:r>
      <w:r>
        <w:t>as</w:t>
      </w:r>
      <w:r w:rsidR="000159A6">
        <w:t xml:space="preserve"> </w:t>
      </w:r>
      <w:r w:rsidR="001141E8">
        <w:t>the</w:t>
      </w:r>
      <w:r w:rsidR="000159A6">
        <w:t xml:space="preserve"> </w:t>
      </w:r>
      <w:r w:rsidR="001141E8">
        <w:t>lower</w:t>
      </w:r>
      <w:r w:rsidR="000159A6">
        <w:t xml:space="preserve"> </w:t>
      </w:r>
      <w:r w:rsidR="001141E8">
        <w:t>limit</w:t>
      </w:r>
      <w:r w:rsidR="000159A6">
        <w:t xml:space="preserve"> </w:t>
      </w:r>
      <w:r w:rsidR="001141E8">
        <w:t>(</w:t>
      </w:r>
      <w:r>
        <w:t>LL</w:t>
      </w:r>
      <w:r w:rsidR="001141E8">
        <w:t>)</w:t>
      </w:r>
      <w:r w:rsidR="000159A6">
        <w:t xml:space="preserve"> </w:t>
      </w:r>
      <w:r>
        <w:t>of</w:t>
      </w:r>
      <w:r w:rsidR="000159A6">
        <w:t xml:space="preserve"> </w:t>
      </w:r>
      <w:r>
        <w:t>the</w:t>
      </w:r>
      <w:r w:rsidR="000159A6">
        <w:t xml:space="preserve"> </w:t>
      </w:r>
      <w:r>
        <w:t>95%</w:t>
      </w:r>
      <w:r w:rsidR="000159A6">
        <w:t xml:space="preserve"> </w:t>
      </w:r>
      <w:r>
        <w:t>CI</w:t>
      </w:r>
      <w:r w:rsidR="000159A6">
        <w:t xml:space="preserve"> </w:t>
      </w:r>
      <w:r>
        <w:t>for</w:t>
      </w:r>
      <w:r w:rsidR="000159A6">
        <w:t xml:space="preserve"> </w:t>
      </w:r>
      <w:r>
        <w:t>the</w:t>
      </w:r>
      <w:r w:rsidR="000159A6">
        <w:t xml:space="preserve"> </w:t>
      </w:r>
      <w:r>
        <w:t>VRR</w:t>
      </w:r>
      <w:r w:rsidR="000159A6">
        <w:t xml:space="preserve"> </w:t>
      </w:r>
      <w:r>
        <w:t>was</w:t>
      </w:r>
      <w:r w:rsidR="000159A6">
        <w:t xml:space="preserve"> </w:t>
      </w:r>
      <w:r>
        <w:t>82%</w:t>
      </w:r>
      <w:r w:rsidR="000159A6">
        <w:t xml:space="preserve"> </w:t>
      </w:r>
      <w:r>
        <w:t>(</w:t>
      </w:r>
      <w:r w:rsidR="0037169B">
        <w:t>≥</w:t>
      </w:r>
      <w:r w:rsidR="000159A6">
        <w:t xml:space="preserve"> </w:t>
      </w:r>
      <w:r>
        <w:t>60%).</w:t>
      </w:r>
      <w:r w:rsidR="000159A6">
        <w:t xml:space="preserve"> </w:t>
      </w:r>
      <w:r>
        <w:t>Again,</w:t>
      </w:r>
      <w:r w:rsidR="000159A6">
        <w:t xml:space="preserve"> </w:t>
      </w:r>
      <w:r>
        <w:t>without</w:t>
      </w:r>
      <w:r w:rsidR="000159A6">
        <w:t xml:space="preserve"> </w:t>
      </w:r>
      <w:r>
        <w:t>data</w:t>
      </w:r>
      <w:r w:rsidR="000159A6">
        <w:t xml:space="preserve"> </w:t>
      </w:r>
      <w:r>
        <w:t>on</w:t>
      </w:r>
      <w:r w:rsidR="000159A6">
        <w:t xml:space="preserve"> </w:t>
      </w:r>
      <w:r>
        <w:t>correlates</w:t>
      </w:r>
      <w:r w:rsidR="000159A6">
        <w:t xml:space="preserve"> </w:t>
      </w:r>
      <w:r>
        <w:t>of</w:t>
      </w:r>
      <w:r w:rsidR="000159A6">
        <w:t xml:space="preserve"> </w:t>
      </w:r>
      <w:r>
        <w:t>protection,</w:t>
      </w:r>
      <w:r w:rsidR="000159A6">
        <w:t xml:space="preserve"> </w:t>
      </w:r>
      <w:r>
        <w:t>the</w:t>
      </w:r>
      <w:r w:rsidR="000159A6">
        <w:t xml:space="preserve"> </w:t>
      </w:r>
      <w:r>
        <w:t>interpretation</w:t>
      </w:r>
      <w:r w:rsidR="000159A6">
        <w:t xml:space="preserve"> </w:t>
      </w:r>
      <w:r>
        <w:t>of</w:t>
      </w:r>
      <w:r w:rsidR="000159A6">
        <w:t xml:space="preserve"> </w:t>
      </w:r>
      <w:r>
        <w:t>the</w:t>
      </w:r>
      <w:r w:rsidR="000159A6">
        <w:t xml:space="preserve"> </w:t>
      </w:r>
      <w:r>
        <w:t>results</w:t>
      </w:r>
      <w:r w:rsidR="000159A6">
        <w:t xml:space="preserve"> </w:t>
      </w:r>
      <w:r>
        <w:t>is</w:t>
      </w:r>
      <w:r w:rsidR="000159A6">
        <w:t xml:space="preserve"> </w:t>
      </w:r>
      <w:r>
        <w:t>difficult.</w:t>
      </w:r>
      <w:r w:rsidR="000159A6">
        <w:t xml:space="preserve"> </w:t>
      </w:r>
      <w:r>
        <w:t>The</w:t>
      </w:r>
      <w:r w:rsidR="000159A6">
        <w:t xml:space="preserve"> </w:t>
      </w:r>
      <w:r>
        <w:t>sponsor</w:t>
      </w:r>
      <w:r w:rsidR="000159A6">
        <w:t xml:space="preserve"> </w:t>
      </w:r>
      <w:r>
        <w:t>proposed</w:t>
      </w:r>
      <w:r w:rsidR="000159A6">
        <w:t xml:space="preserve"> </w:t>
      </w:r>
      <w:r>
        <w:t>that</w:t>
      </w:r>
      <w:r w:rsidR="000159A6">
        <w:t xml:space="preserve"> </w:t>
      </w:r>
      <w:r>
        <w:t>the</w:t>
      </w:r>
      <w:r w:rsidR="000159A6">
        <w:t xml:space="preserve"> </w:t>
      </w:r>
      <w:r>
        <w:t>high</w:t>
      </w:r>
      <w:r w:rsidR="000159A6">
        <w:t xml:space="preserve"> </w:t>
      </w:r>
      <w:r>
        <w:t>rate</w:t>
      </w:r>
      <w:r w:rsidR="000159A6">
        <w:t xml:space="preserve"> </w:t>
      </w:r>
      <w:r>
        <w:t>of</w:t>
      </w:r>
      <w:r w:rsidR="000159A6">
        <w:t xml:space="preserve"> </w:t>
      </w:r>
      <w:r>
        <w:t>suspected</w:t>
      </w:r>
      <w:r w:rsidR="000159A6">
        <w:t xml:space="preserve"> </w:t>
      </w:r>
      <w:r>
        <w:t>HZ</w:t>
      </w:r>
      <w:r w:rsidR="000159A6">
        <w:t xml:space="preserve"> </w:t>
      </w:r>
      <w:r>
        <w:t>cases</w:t>
      </w:r>
      <w:r w:rsidR="000159A6">
        <w:t xml:space="preserve"> </w:t>
      </w:r>
      <w:r>
        <w:t>in</w:t>
      </w:r>
      <w:r w:rsidR="000159A6">
        <w:t xml:space="preserve"> </w:t>
      </w:r>
      <w:r>
        <w:t>this</w:t>
      </w:r>
      <w:r w:rsidR="000159A6">
        <w:t xml:space="preserve"> </w:t>
      </w:r>
      <w:r>
        <w:t>study</w:t>
      </w:r>
      <w:r w:rsidR="000159A6">
        <w:t xml:space="preserve"> </w:t>
      </w:r>
      <w:r>
        <w:t>could</w:t>
      </w:r>
      <w:r w:rsidR="000159A6">
        <w:t xml:space="preserve"> </w:t>
      </w:r>
      <w:r>
        <w:t>be</w:t>
      </w:r>
      <w:r w:rsidR="000159A6">
        <w:t xml:space="preserve"> </w:t>
      </w:r>
      <w:r>
        <w:t>due</w:t>
      </w:r>
      <w:r w:rsidR="000159A6">
        <w:t xml:space="preserve"> </w:t>
      </w:r>
      <w:r>
        <w:t>to</w:t>
      </w:r>
      <w:r w:rsidR="000159A6">
        <w:t xml:space="preserve"> </w:t>
      </w:r>
      <w:r>
        <w:t>over</w:t>
      </w:r>
      <w:r w:rsidR="000159A6">
        <w:t xml:space="preserve"> </w:t>
      </w:r>
      <w:r>
        <w:t>reporting</w:t>
      </w:r>
      <w:r w:rsidR="000159A6">
        <w:t xml:space="preserve"> </w:t>
      </w:r>
      <w:r>
        <w:t>by</w:t>
      </w:r>
      <w:r w:rsidR="000159A6">
        <w:t xml:space="preserve"> </w:t>
      </w:r>
      <w:r>
        <w:t>study</w:t>
      </w:r>
      <w:r w:rsidR="000159A6">
        <w:t xml:space="preserve"> </w:t>
      </w:r>
      <w:r>
        <w:t>subjects.</w:t>
      </w:r>
      <w:r w:rsidR="000159A6">
        <w:t xml:space="preserve"> </w:t>
      </w:r>
      <w:r>
        <w:t>The</w:t>
      </w:r>
      <w:r w:rsidR="000159A6">
        <w:t xml:space="preserve"> </w:t>
      </w:r>
      <w:r>
        <w:t>lack</w:t>
      </w:r>
      <w:r w:rsidR="000159A6">
        <w:t xml:space="preserve"> </w:t>
      </w:r>
      <w:r>
        <w:t>of</w:t>
      </w:r>
      <w:r w:rsidR="000159A6">
        <w:t xml:space="preserve"> </w:t>
      </w:r>
      <w:r>
        <w:t>laboratory</w:t>
      </w:r>
      <w:r w:rsidR="000159A6">
        <w:t xml:space="preserve"> </w:t>
      </w:r>
      <w:r>
        <w:t>confirmation</w:t>
      </w:r>
      <w:r w:rsidR="000159A6">
        <w:t xml:space="preserve"> </w:t>
      </w:r>
      <w:r>
        <w:t>of</w:t>
      </w:r>
      <w:r w:rsidR="000159A6">
        <w:t xml:space="preserve"> </w:t>
      </w:r>
      <w:r>
        <w:t>these</w:t>
      </w:r>
      <w:r w:rsidR="000159A6">
        <w:t xml:space="preserve"> </w:t>
      </w:r>
      <w:r>
        <w:t>HZ</w:t>
      </w:r>
      <w:r w:rsidR="000159A6">
        <w:t xml:space="preserve"> </w:t>
      </w:r>
      <w:r>
        <w:t>cases</w:t>
      </w:r>
      <w:r w:rsidR="000159A6">
        <w:t xml:space="preserve"> </w:t>
      </w:r>
      <w:r>
        <w:t>means</w:t>
      </w:r>
      <w:r w:rsidR="000159A6">
        <w:t xml:space="preserve"> </w:t>
      </w:r>
      <w:r>
        <w:t>that</w:t>
      </w:r>
      <w:r w:rsidR="000159A6">
        <w:t xml:space="preserve"> </w:t>
      </w:r>
      <w:r>
        <w:t>no</w:t>
      </w:r>
      <w:r w:rsidR="000159A6">
        <w:t xml:space="preserve"> </w:t>
      </w:r>
      <w:r>
        <w:t>conclusions</w:t>
      </w:r>
      <w:r w:rsidR="000159A6">
        <w:t xml:space="preserve"> </w:t>
      </w:r>
      <w:r>
        <w:t>on</w:t>
      </w:r>
      <w:r w:rsidR="000159A6">
        <w:t xml:space="preserve"> </w:t>
      </w:r>
      <w:r>
        <w:t>this</w:t>
      </w:r>
      <w:r w:rsidR="000159A6">
        <w:t xml:space="preserve"> </w:t>
      </w:r>
      <w:r>
        <w:t>can</w:t>
      </w:r>
      <w:r w:rsidR="000159A6">
        <w:t xml:space="preserve"> </w:t>
      </w:r>
      <w:r>
        <w:t>be</w:t>
      </w:r>
      <w:r w:rsidR="000159A6">
        <w:t xml:space="preserve"> </w:t>
      </w:r>
      <w:r>
        <w:t>drawn.</w:t>
      </w:r>
    </w:p>
    <w:p w14:paraId="442F74FB" w14:textId="034BDF5D" w:rsidR="0091081C" w:rsidRDefault="00525235" w:rsidP="00541F41">
      <w:r>
        <w:rPr>
          <w:lang w:eastAsia="ja-JP"/>
        </w:rPr>
        <w:t>Study</w:t>
      </w:r>
      <w:r w:rsidR="000159A6">
        <w:rPr>
          <w:lang w:eastAsia="ja-JP"/>
        </w:rPr>
        <w:t xml:space="preserve"> </w:t>
      </w:r>
      <w:r>
        <w:rPr>
          <w:lang w:eastAsia="ja-JP"/>
        </w:rPr>
        <w:t>ZOSTER</w:t>
      </w:r>
      <w:r w:rsidR="0091081C" w:rsidRPr="00594B36">
        <w:rPr>
          <w:lang w:eastAsia="ja-JP"/>
        </w:rPr>
        <w:t>-004</w:t>
      </w:r>
      <w:r w:rsidR="000159A6">
        <w:rPr>
          <w:lang w:eastAsia="ja-JP"/>
        </w:rPr>
        <w:t xml:space="preserve"> </w:t>
      </w:r>
      <w:r w:rsidR="0091081C">
        <w:rPr>
          <w:lang w:eastAsia="ja-JP"/>
        </w:rPr>
        <w:t>found</w:t>
      </w:r>
      <w:r w:rsidR="000159A6">
        <w:rPr>
          <w:lang w:eastAsia="ja-JP"/>
        </w:rPr>
        <w:t xml:space="preserve"> </w:t>
      </w:r>
      <w:r w:rsidR="0091081C">
        <w:rPr>
          <w:lang w:eastAsia="ja-JP"/>
        </w:rPr>
        <w:t>that</w:t>
      </w:r>
      <w:r w:rsidR="000159A6">
        <w:rPr>
          <w:lang w:eastAsia="ja-JP"/>
        </w:rPr>
        <w:t xml:space="preserve"> </w:t>
      </w:r>
      <w:r w:rsidR="0091081C">
        <w:rPr>
          <w:lang w:eastAsia="ja-JP"/>
        </w:rPr>
        <w:t>c</w:t>
      </w:r>
      <w:r w:rsidR="0091081C">
        <w:t>oncomitant</w:t>
      </w:r>
      <w:r w:rsidR="000159A6">
        <w:t xml:space="preserve"> </w:t>
      </w:r>
      <w:r w:rsidR="0091081C">
        <w:t>administration</w:t>
      </w:r>
      <w:r w:rsidR="000159A6">
        <w:t xml:space="preserve"> </w:t>
      </w:r>
      <w:r w:rsidR="0091081C">
        <w:t>of</w:t>
      </w:r>
      <w:r w:rsidR="000159A6">
        <w:t xml:space="preserve"> </w:t>
      </w:r>
      <w:r w:rsidR="00FB1C95">
        <w:t>quadrivalent</w:t>
      </w:r>
      <w:r w:rsidR="000159A6">
        <w:t xml:space="preserve"> </w:t>
      </w:r>
      <w:r w:rsidR="0091081C">
        <w:t>seasonal</w:t>
      </w:r>
      <w:r w:rsidR="000159A6">
        <w:t xml:space="preserve"> </w:t>
      </w:r>
      <w:r w:rsidR="0091081C">
        <w:t>influenza</w:t>
      </w:r>
      <w:r w:rsidR="000159A6">
        <w:t xml:space="preserve"> </w:t>
      </w:r>
      <w:r w:rsidR="0091081C">
        <w:t>vaccine</w:t>
      </w:r>
      <w:r w:rsidR="000159A6">
        <w:t xml:space="preserve"> </w:t>
      </w:r>
      <w:r w:rsidR="00D73630">
        <w:t>(</w:t>
      </w:r>
      <w:r w:rsidR="00D73630" w:rsidRPr="00331A1D">
        <w:t>FLU</w:t>
      </w:r>
      <w:r w:rsidR="000159A6">
        <w:t xml:space="preserve"> </w:t>
      </w:r>
      <w:r w:rsidR="00D73630" w:rsidRPr="00331A1D">
        <w:t>D-</w:t>
      </w:r>
      <w:proofErr w:type="gramStart"/>
      <w:r w:rsidR="00D73630" w:rsidRPr="00331A1D">
        <w:t>QIV</w:t>
      </w:r>
      <w:r w:rsidR="000159A6">
        <w:t xml:space="preserve"> </w:t>
      </w:r>
      <w:r w:rsidR="00D73630">
        <w:t>)</w:t>
      </w:r>
      <w:proofErr w:type="gramEnd"/>
      <w:r w:rsidR="000159A6">
        <w:t xml:space="preserve"> </w:t>
      </w:r>
      <w:r w:rsidR="0091081C">
        <w:t>with</w:t>
      </w:r>
      <w:r w:rsidR="000159A6">
        <w:t xml:space="preserve"> </w:t>
      </w:r>
      <w:r w:rsidR="0091081C">
        <w:t>HZ/</w:t>
      </w:r>
      <w:proofErr w:type="spellStart"/>
      <w:r w:rsidR="0091081C">
        <w:t>su</w:t>
      </w:r>
      <w:proofErr w:type="spellEnd"/>
      <w:r w:rsidR="000159A6">
        <w:t xml:space="preserve"> </w:t>
      </w:r>
      <w:r w:rsidR="0091081C">
        <w:t>vaccine</w:t>
      </w:r>
      <w:r w:rsidR="000159A6">
        <w:t xml:space="preserve"> </w:t>
      </w:r>
      <w:r w:rsidR="0091081C">
        <w:t>was</w:t>
      </w:r>
      <w:r w:rsidR="000159A6">
        <w:t xml:space="preserve"> </w:t>
      </w:r>
      <w:r w:rsidR="0091081C">
        <w:t>acceptable</w:t>
      </w:r>
      <w:r w:rsidR="000159A6">
        <w:t xml:space="preserve"> </w:t>
      </w:r>
      <w:r w:rsidR="0091081C">
        <w:t>with</w:t>
      </w:r>
      <w:r w:rsidR="000159A6">
        <w:t xml:space="preserve"> </w:t>
      </w:r>
      <w:r w:rsidR="0091081C">
        <w:t>no</w:t>
      </w:r>
      <w:r w:rsidR="000159A6">
        <w:t xml:space="preserve"> </w:t>
      </w:r>
      <w:r w:rsidR="0091081C">
        <w:t>immunological</w:t>
      </w:r>
      <w:r w:rsidR="000159A6">
        <w:t xml:space="preserve"> </w:t>
      </w:r>
      <w:r w:rsidR="0091081C">
        <w:t>interference</w:t>
      </w:r>
      <w:r w:rsidR="000159A6">
        <w:t xml:space="preserve"> </w:t>
      </w:r>
      <w:r w:rsidR="0091081C">
        <w:t>for</w:t>
      </w:r>
      <w:r w:rsidR="000159A6">
        <w:t xml:space="preserve"> </w:t>
      </w:r>
      <w:r w:rsidR="0091081C">
        <w:t>either</w:t>
      </w:r>
      <w:r w:rsidR="000159A6">
        <w:t xml:space="preserve"> </w:t>
      </w:r>
      <w:r w:rsidR="0091081C">
        <w:t>vaccine.</w:t>
      </w:r>
      <w:r w:rsidR="000159A6">
        <w:t xml:space="preserve"> </w:t>
      </w:r>
      <w:r w:rsidR="0091081C">
        <w:t>It</w:t>
      </w:r>
      <w:r w:rsidR="000159A6">
        <w:t xml:space="preserve"> </w:t>
      </w:r>
      <w:r w:rsidR="0091081C">
        <w:t>is</w:t>
      </w:r>
      <w:r w:rsidR="000159A6">
        <w:t xml:space="preserve"> </w:t>
      </w:r>
      <w:r w:rsidR="0091081C">
        <w:t>noted</w:t>
      </w:r>
      <w:r w:rsidR="000159A6">
        <w:t xml:space="preserve"> </w:t>
      </w:r>
      <w:r w:rsidR="0091081C">
        <w:t>that</w:t>
      </w:r>
      <w:r w:rsidR="000159A6">
        <w:t xml:space="preserve"> </w:t>
      </w:r>
      <w:r w:rsidR="0091081C">
        <w:t>there</w:t>
      </w:r>
      <w:r w:rsidR="000159A6">
        <w:t xml:space="preserve"> </w:t>
      </w:r>
      <w:r w:rsidR="0091081C">
        <w:t>are</w:t>
      </w:r>
      <w:r w:rsidR="000159A6">
        <w:t xml:space="preserve"> </w:t>
      </w:r>
      <w:r w:rsidR="0091081C">
        <w:t>ongoing</w:t>
      </w:r>
      <w:r w:rsidR="000159A6">
        <w:t xml:space="preserve"> </w:t>
      </w:r>
      <w:r w:rsidR="0091081C">
        <w:t>studies</w:t>
      </w:r>
      <w:r w:rsidR="000159A6">
        <w:t xml:space="preserve"> </w:t>
      </w:r>
      <w:r w:rsidR="0091081C">
        <w:t>with</w:t>
      </w:r>
      <w:r w:rsidR="000159A6">
        <w:t xml:space="preserve"> </w:t>
      </w:r>
      <w:r w:rsidR="0091081C">
        <w:t>pneumococcal</w:t>
      </w:r>
      <w:r w:rsidR="000159A6">
        <w:t xml:space="preserve"> </w:t>
      </w:r>
      <w:r w:rsidR="0091081C">
        <w:t>vaccine</w:t>
      </w:r>
      <w:r w:rsidR="000159A6">
        <w:t xml:space="preserve"> </w:t>
      </w:r>
      <w:r w:rsidR="0091081C">
        <w:t>(</w:t>
      </w:r>
      <w:proofErr w:type="spellStart"/>
      <w:r w:rsidR="0091081C">
        <w:t>Pneumovax</w:t>
      </w:r>
      <w:proofErr w:type="spellEnd"/>
      <w:r w:rsidR="000159A6">
        <w:t xml:space="preserve"> </w:t>
      </w:r>
      <w:r w:rsidR="0091081C">
        <w:t>23)</w:t>
      </w:r>
      <w:r w:rsidR="000159A6">
        <w:t xml:space="preserve"> </w:t>
      </w:r>
      <w:r w:rsidR="0091081C">
        <w:t>(</w:t>
      </w:r>
      <w:r>
        <w:t>Study</w:t>
      </w:r>
      <w:r w:rsidR="000159A6">
        <w:t xml:space="preserve"> </w:t>
      </w:r>
      <w:r>
        <w:t>ZOSTER</w:t>
      </w:r>
      <w:r w:rsidR="0091081C">
        <w:noBreakHyphen/>
        <w:t>035)</w:t>
      </w:r>
      <w:r w:rsidR="000159A6">
        <w:t xml:space="preserve"> </w:t>
      </w:r>
      <w:r w:rsidR="0091081C">
        <w:t>and</w:t>
      </w:r>
      <w:r w:rsidR="000159A6">
        <w:t xml:space="preserve"> </w:t>
      </w:r>
      <w:r w:rsidR="0091081C">
        <w:t>diphtheria-tetanus-pertussis</w:t>
      </w:r>
      <w:r w:rsidR="000159A6">
        <w:t xml:space="preserve"> </w:t>
      </w:r>
      <w:r w:rsidR="0091081C">
        <w:t>vaccine</w:t>
      </w:r>
      <w:r w:rsidR="000159A6">
        <w:t xml:space="preserve"> </w:t>
      </w:r>
      <w:r w:rsidR="0091081C">
        <w:t>(</w:t>
      </w:r>
      <w:proofErr w:type="spellStart"/>
      <w:r w:rsidR="0091081C">
        <w:t>Boostrix</w:t>
      </w:r>
      <w:proofErr w:type="spellEnd"/>
      <w:r w:rsidR="0091081C">
        <w:t>)</w:t>
      </w:r>
      <w:r w:rsidR="000159A6">
        <w:t xml:space="preserve"> </w:t>
      </w:r>
      <w:r w:rsidR="0091081C">
        <w:t>(</w:t>
      </w:r>
      <w:r>
        <w:t>Study</w:t>
      </w:r>
      <w:r w:rsidR="000159A6">
        <w:t xml:space="preserve"> </w:t>
      </w:r>
      <w:r>
        <w:t>ZOSTER</w:t>
      </w:r>
      <w:r w:rsidR="0091081C">
        <w:t>-042).</w:t>
      </w:r>
      <w:r w:rsidR="000159A6">
        <w:t xml:space="preserve"> </w:t>
      </w:r>
      <w:r w:rsidR="0091081C">
        <w:t>The</w:t>
      </w:r>
      <w:r w:rsidR="000159A6">
        <w:t xml:space="preserve"> </w:t>
      </w:r>
      <w:r w:rsidR="0091081C">
        <w:t>sponsor</w:t>
      </w:r>
      <w:r w:rsidR="000159A6">
        <w:t xml:space="preserve"> </w:t>
      </w:r>
      <w:r w:rsidR="0091081C">
        <w:t>has</w:t>
      </w:r>
      <w:r w:rsidR="000159A6">
        <w:t xml:space="preserve"> </w:t>
      </w:r>
      <w:r w:rsidR="0091081C">
        <w:t>been</w:t>
      </w:r>
      <w:r w:rsidR="000159A6">
        <w:t xml:space="preserve"> </w:t>
      </w:r>
      <w:r w:rsidR="0091081C">
        <w:t>queried</w:t>
      </w:r>
      <w:r w:rsidR="000159A6">
        <w:t xml:space="preserve"> </w:t>
      </w:r>
      <w:r w:rsidR="0091081C">
        <w:t>on</w:t>
      </w:r>
      <w:r w:rsidR="000159A6">
        <w:t xml:space="preserve"> </w:t>
      </w:r>
      <w:r w:rsidR="0091081C">
        <w:t>whether</w:t>
      </w:r>
      <w:r w:rsidR="000159A6">
        <w:t xml:space="preserve"> </w:t>
      </w:r>
      <w:r w:rsidR="0091081C">
        <w:t>there</w:t>
      </w:r>
      <w:r w:rsidR="000159A6">
        <w:t xml:space="preserve"> </w:t>
      </w:r>
      <w:r w:rsidR="0091081C">
        <w:t>are</w:t>
      </w:r>
      <w:r w:rsidR="000159A6">
        <w:t xml:space="preserve"> </w:t>
      </w:r>
      <w:r w:rsidR="0091081C">
        <w:t>plans</w:t>
      </w:r>
      <w:r w:rsidR="000159A6">
        <w:t xml:space="preserve"> </w:t>
      </w:r>
      <w:r w:rsidR="0091081C">
        <w:t>to</w:t>
      </w:r>
      <w:r w:rsidR="000159A6">
        <w:t xml:space="preserve"> </w:t>
      </w:r>
      <w:r w:rsidR="0091081C">
        <w:t>assess</w:t>
      </w:r>
      <w:r w:rsidR="000159A6">
        <w:t xml:space="preserve"> </w:t>
      </w:r>
      <w:r w:rsidR="0091081C">
        <w:t>administration</w:t>
      </w:r>
      <w:r w:rsidR="000159A6">
        <w:t xml:space="preserve"> </w:t>
      </w:r>
      <w:r w:rsidR="0091081C">
        <w:t>with</w:t>
      </w:r>
      <w:r w:rsidR="000159A6">
        <w:t xml:space="preserve"> </w:t>
      </w:r>
      <w:r w:rsidR="0091081C">
        <w:t>other</w:t>
      </w:r>
      <w:r w:rsidR="000159A6">
        <w:t xml:space="preserve"> </w:t>
      </w:r>
      <w:r w:rsidR="0091081C">
        <w:t>adjuvanted</w:t>
      </w:r>
      <w:r w:rsidR="000159A6">
        <w:t xml:space="preserve"> </w:t>
      </w:r>
      <w:r w:rsidR="0091081C">
        <w:t>vaccines.</w:t>
      </w:r>
    </w:p>
    <w:p w14:paraId="35E75484" w14:textId="5BEE4D6E" w:rsidR="001F6DEC" w:rsidRDefault="0091081C" w:rsidP="001F6DEC">
      <w:r>
        <w:t>Further</w:t>
      </w:r>
      <w:r w:rsidR="000159A6">
        <w:t xml:space="preserve"> </w:t>
      </w:r>
      <w:r>
        <w:t>studies</w:t>
      </w:r>
      <w:r w:rsidR="000159A6">
        <w:t xml:space="preserve"> </w:t>
      </w:r>
      <w:r>
        <w:t>are</w:t>
      </w:r>
      <w:r w:rsidR="000159A6">
        <w:t xml:space="preserve"> </w:t>
      </w:r>
      <w:r>
        <w:t>planned</w:t>
      </w:r>
      <w:r w:rsidR="000159A6">
        <w:t xml:space="preserve"> </w:t>
      </w:r>
      <w:r>
        <w:t>in</w:t>
      </w:r>
      <w:r w:rsidR="000159A6">
        <w:t xml:space="preserve"> </w:t>
      </w:r>
      <w:r>
        <w:t>the</w:t>
      </w:r>
      <w:r w:rsidR="000159A6">
        <w:t xml:space="preserve"> </w:t>
      </w:r>
      <w:r>
        <w:t>immunocompromised</w:t>
      </w:r>
      <w:r w:rsidR="000159A6">
        <w:t xml:space="preserve"> </w:t>
      </w:r>
      <w:r>
        <w:t>patient</w:t>
      </w:r>
      <w:r w:rsidR="000159A6">
        <w:t xml:space="preserve"> </w:t>
      </w:r>
      <w:r>
        <w:t>indication.</w:t>
      </w:r>
    </w:p>
    <w:p w14:paraId="0D2EFCC6" w14:textId="3D35E1C0" w:rsidR="000D0435" w:rsidRPr="001F6DEC" w:rsidRDefault="000D0435" w:rsidP="001F6DEC">
      <w:r>
        <w:t>For</w:t>
      </w:r>
      <w:r w:rsidR="000159A6">
        <w:t xml:space="preserve"> </w:t>
      </w:r>
      <w:r>
        <w:t>the</w:t>
      </w:r>
      <w:r w:rsidR="000159A6">
        <w:t xml:space="preserve"> </w:t>
      </w:r>
      <w:r>
        <w:t>full</w:t>
      </w:r>
      <w:r w:rsidR="000159A6">
        <w:t xml:space="preserve"> </w:t>
      </w:r>
      <w:r>
        <w:t>details</w:t>
      </w:r>
      <w:r w:rsidR="000159A6">
        <w:t xml:space="preserve"> </w:t>
      </w:r>
      <w:r>
        <w:t>of</w:t>
      </w:r>
      <w:r w:rsidR="000159A6">
        <w:t xml:space="preserve"> </w:t>
      </w:r>
      <w:r>
        <w:t>the</w:t>
      </w:r>
      <w:r w:rsidR="000159A6">
        <w:t xml:space="preserve"> </w:t>
      </w:r>
      <w:r>
        <w:t>evaluation</w:t>
      </w:r>
      <w:r w:rsidR="000159A6">
        <w:t xml:space="preserve"> </w:t>
      </w:r>
      <w:r>
        <w:t>of</w:t>
      </w:r>
      <w:r w:rsidR="000159A6">
        <w:t xml:space="preserve"> </w:t>
      </w:r>
      <w:r>
        <w:t>these</w:t>
      </w:r>
      <w:r w:rsidR="000159A6">
        <w:t xml:space="preserve"> </w:t>
      </w:r>
      <w:r>
        <w:t>studies</w:t>
      </w:r>
      <w:r w:rsidR="000159A6">
        <w:t xml:space="preserve"> </w:t>
      </w:r>
      <w:r>
        <w:t>please</w:t>
      </w:r>
      <w:r w:rsidR="000159A6">
        <w:t xml:space="preserve"> </w:t>
      </w:r>
      <w:r>
        <w:t>see</w:t>
      </w:r>
      <w:r w:rsidR="000159A6">
        <w:t xml:space="preserve"> </w:t>
      </w:r>
      <w:r>
        <w:t>Attachment</w:t>
      </w:r>
      <w:r w:rsidR="000159A6">
        <w:t xml:space="preserve"> </w:t>
      </w:r>
      <w:r>
        <w:t>2,</w:t>
      </w:r>
      <w:r w:rsidR="000159A6">
        <w:t xml:space="preserve"> </w:t>
      </w:r>
      <w:r>
        <w:t>extract</w:t>
      </w:r>
      <w:r w:rsidR="000159A6">
        <w:t xml:space="preserve"> </w:t>
      </w:r>
      <w:r>
        <w:t>from</w:t>
      </w:r>
      <w:r w:rsidR="000159A6">
        <w:t xml:space="preserve"> </w:t>
      </w:r>
      <w:r>
        <w:t>the</w:t>
      </w:r>
      <w:r w:rsidR="000159A6">
        <w:t xml:space="preserve"> </w:t>
      </w:r>
      <w:r>
        <w:t>clinical</w:t>
      </w:r>
      <w:r w:rsidR="000159A6">
        <w:t xml:space="preserve"> </w:t>
      </w:r>
      <w:r>
        <w:t>evaluation</w:t>
      </w:r>
      <w:r w:rsidR="000159A6">
        <w:t xml:space="preserve"> </w:t>
      </w:r>
      <w:r>
        <w:t>report.</w:t>
      </w:r>
    </w:p>
    <w:p w14:paraId="2CBA0EDC" w14:textId="57DDFF91" w:rsidR="005C0A6F" w:rsidRPr="00C95B23" w:rsidRDefault="00605AD4" w:rsidP="00541F41">
      <w:pPr>
        <w:pStyle w:val="Heading4"/>
      </w:pPr>
      <w:r w:rsidRPr="00C95B23">
        <w:lastRenderedPageBreak/>
        <w:t>Evaluator’s</w:t>
      </w:r>
      <w:r w:rsidR="000159A6" w:rsidRPr="00C95B23">
        <w:t xml:space="preserve"> </w:t>
      </w:r>
      <w:r w:rsidRPr="00541F41">
        <w:t>conclusions</w:t>
      </w:r>
      <w:r w:rsidR="000159A6" w:rsidRPr="00C95B23">
        <w:t xml:space="preserve"> </w:t>
      </w:r>
      <w:r w:rsidRPr="00C95B23">
        <w:t>on</w:t>
      </w:r>
      <w:r w:rsidR="000159A6" w:rsidRPr="00C95B23">
        <w:t xml:space="preserve"> </w:t>
      </w:r>
      <w:r w:rsidRPr="00C95B23">
        <w:t>efficacy</w:t>
      </w:r>
    </w:p>
    <w:p w14:paraId="7DDBCE25" w14:textId="6F2F4950" w:rsidR="001F6DEC" w:rsidRDefault="001F6DEC" w:rsidP="00541F41">
      <w:pPr>
        <w:rPr>
          <w:lang w:eastAsia="ja-JP"/>
        </w:rPr>
      </w:pPr>
      <w:r>
        <w:rPr>
          <w:lang w:eastAsia="ja-JP"/>
        </w:rPr>
        <w:t>The</w:t>
      </w:r>
      <w:r w:rsidR="000159A6">
        <w:rPr>
          <w:lang w:eastAsia="ja-JP"/>
        </w:rPr>
        <w:t xml:space="preserve"> </w:t>
      </w:r>
      <w:r>
        <w:rPr>
          <w:lang w:eastAsia="ja-JP"/>
        </w:rPr>
        <w:t>e</w:t>
      </w:r>
      <w:r w:rsidRPr="00007D6B">
        <w:rPr>
          <w:lang w:eastAsia="ja-JP"/>
        </w:rPr>
        <w:t>fficacy</w:t>
      </w:r>
      <w:r w:rsidR="000159A6">
        <w:rPr>
          <w:lang w:eastAsia="ja-JP"/>
        </w:rPr>
        <w:t xml:space="preserve"> </w:t>
      </w:r>
      <w:r w:rsidRPr="00007D6B">
        <w:rPr>
          <w:lang w:eastAsia="ja-JP"/>
        </w:rPr>
        <w:t>of</w:t>
      </w:r>
      <w:r w:rsidR="000159A6">
        <w:rPr>
          <w:lang w:eastAsia="ja-JP"/>
        </w:rPr>
        <w:t xml:space="preserve"> </w:t>
      </w:r>
      <w:r w:rsidRPr="00007D6B">
        <w:rPr>
          <w:lang w:eastAsia="ja-JP"/>
        </w:rPr>
        <w:t>the</w:t>
      </w:r>
      <w:r w:rsidR="000159A6">
        <w:rPr>
          <w:lang w:eastAsia="ja-JP"/>
        </w:rPr>
        <w:t xml:space="preserve"> </w:t>
      </w:r>
      <w:r w:rsidRPr="00007D6B">
        <w:rPr>
          <w:lang w:eastAsia="ja-JP"/>
        </w:rPr>
        <w:t>HZ/</w:t>
      </w:r>
      <w:proofErr w:type="spellStart"/>
      <w:r w:rsidRPr="00007D6B">
        <w:rPr>
          <w:lang w:eastAsia="ja-JP"/>
        </w:rPr>
        <w:t>su</w:t>
      </w:r>
      <w:proofErr w:type="spellEnd"/>
      <w:r w:rsidR="000159A6">
        <w:rPr>
          <w:lang w:eastAsia="ja-JP"/>
        </w:rPr>
        <w:t xml:space="preserve"> </w:t>
      </w:r>
      <w:r w:rsidRPr="00007D6B">
        <w:rPr>
          <w:lang w:eastAsia="ja-JP"/>
        </w:rPr>
        <w:t>vaccine</w:t>
      </w:r>
      <w:r w:rsidR="000159A6">
        <w:rPr>
          <w:lang w:eastAsia="ja-JP"/>
        </w:rPr>
        <w:t xml:space="preserve"> </w:t>
      </w:r>
      <w:r w:rsidRPr="00007D6B">
        <w:rPr>
          <w:lang w:eastAsia="ja-JP"/>
        </w:rPr>
        <w:t>was</w:t>
      </w:r>
      <w:r w:rsidR="000159A6">
        <w:rPr>
          <w:lang w:eastAsia="ja-JP"/>
        </w:rPr>
        <w:t xml:space="preserve"> </w:t>
      </w:r>
      <w:r w:rsidRPr="00007D6B">
        <w:rPr>
          <w:lang w:eastAsia="ja-JP"/>
        </w:rPr>
        <w:t>based</w:t>
      </w:r>
      <w:r w:rsidR="000159A6">
        <w:rPr>
          <w:lang w:eastAsia="ja-JP"/>
        </w:rPr>
        <w:t xml:space="preserve"> </w:t>
      </w:r>
      <w:r w:rsidRPr="00007D6B">
        <w:rPr>
          <w:lang w:eastAsia="ja-JP"/>
        </w:rPr>
        <w:t>on</w:t>
      </w:r>
      <w:r w:rsidR="000159A6">
        <w:rPr>
          <w:lang w:eastAsia="ja-JP"/>
        </w:rPr>
        <w:t xml:space="preserve"> </w:t>
      </w:r>
      <w:r w:rsidRPr="00007D6B">
        <w:rPr>
          <w:lang w:eastAsia="ja-JP"/>
        </w:rPr>
        <w:t>two</w:t>
      </w:r>
      <w:r w:rsidR="000159A6">
        <w:rPr>
          <w:lang w:eastAsia="ja-JP"/>
        </w:rPr>
        <w:t xml:space="preserve"> </w:t>
      </w:r>
      <w:r w:rsidRPr="00007D6B">
        <w:rPr>
          <w:lang w:eastAsia="ja-JP"/>
        </w:rPr>
        <w:t>concurrent</w:t>
      </w:r>
      <w:r w:rsidR="000159A6">
        <w:rPr>
          <w:lang w:eastAsia="ja-JP"/>
        </w:rPr>
        <w:t xml:space="preserve"> </w:t>
      </w:r>
      <w:r w:rsidRPr="00007D6B">
        <w:rPr>
          <w:lang w:eastAsia="ja-JP"/>
        </w:rPr>
        <w:t>pivotal</w:t>
      </w:r>
      <w:r w:rsidR="000159A6">
        <w:rPr>
          <w:lang w:eastAsia="ja-JP"/>
        </w:rPr>
        <w:t xml:space="preserve"> </w:t>
      </w:r>
      <w:r>
        <w:rPr>
          <w:lang w:eastAsia="ja-JP"/>
        </w:rPr>
        <w:t>Phase</w:t>
      </w:r>
      <w:r w:rsidR="000159A6">
        <w:rPr>
          <w:lang w:eastAsia="ja-JP"/>
        </w:rPr>
        <w:t xml:space="preserve"> </w:t>
      </w:r>
      <w:r>
        <w:rPr>
          <w:lang w:eastAsia="ja-JP"/>
        </w:rPr>
        <w:t>III</w:t>
      </w:r>
      <w:r w:rsidR="000159A6">
        <w:rPr>
          <w:lang w:eastAsia="ja-JP"/>
        </w:rPr>
        <w:t xml:space="preserve"> </w:t>
      </w:r>
      <w:r w:rsidR="003D23D4">
        <w:rPr>
          <w:lang w:eastAsia="ja-JP"/>
        </w:rPr>
        <w:t>s</w:t>
      </w:r>
      <w:r>
        <w:rPr>
          <w:lang w:eastAsia="ja-JP"/>
        </w:rPr>
        <w:t>tudies</w:t>
      </w:r>
      <w:r w:rsidR="003D23D4">
        <w:rPr>
          <w:lang w:eastAsia="ja-JP"/>
        </w:rPr>
        <w:t>;</w:t>
      </w:r>
      <w:r w:rsidR="000159A6">
        <w:rPr>
          <w:lang w:eastAsia="ja-JP"/>
        </w:rPr>
        <w:t xml:space="preserve"> </w:t>
      </w:r>
      <w:r w:rsidR="003D23D4">
        <w:rPr>
          <w:lang w:eastAsia="ja-JP"/>
        </w:rPr>
        <w:t>Study</w:t>
      </w:r>
      <w:r w:rsidR="000159A6">
        <w:rPr>
          <w:lang w:eastAsia="ja-JP"/>
        </w:rPr>
        <w:t xml:space="preserve"> </w:t>
      </w:r>
      <w:r>
        <w:rPr>
          <w:lang w:eastAsia="ja-JP"/>
        </w:rPr>
        <w:t>ZOSTER</w:t>
      </w:r>
      <w:r w:rsidRPr="00007D6B">
        <w:rPr>
          <w:lang w:eastAsia="ja-JP"/>
        </w:rPr>
        <w:t>-006</w:t>
      </w:r>
      <w:r w:rsidR="000159A6">
        <w:rPr>
          <w:lang w:eastAsia="ja-JP"/>
        </w:rPr>
        <w:t xml:space="preserve"> </w:t>
      </w:r>
      <w:r w:rsidRPr="00007D6B">
        <w:rPr>
          <w:lang w:eastAsia="ja-JP"/>
        </w:rPr>
        <w:t>and</w:t>
      </w:r>
      <w:r w:rsidR="000159A6">
        <w:rPr>
          <w:lang w:eastAsia="ja-JP"/>
        </w:rPr>
        <w:t xml:space="preserve"> </w:t>
      </w:r>
      <w:r w:rsidR="003D23D4">
        <w:rPr>
          <w:lang w:eastAsia="ja-JP"/>
        </w:rPr>
        <w:t>Study</w:t>
      </w:r>
      <w:r w:rsidR="000159A6">
        <w:rPr>
          <w:lang w:eastAsia="ja-JP"/>
        </w:rPr>
        <w:t xml:space="preserve"> </w:t>
      </w:r>
      <w:r>
        <w:rPr>
          <w:lang w:eastAsia="ja-JP"/>
        </w:rPr>
        <w:t>ZOSTER</w:t>
      </w:r>
      <w:r w:rsidRPr="00007D6B">
        <w:rPr>
          <w:lang w:eastAsia="ja-JP"/>
        </w:rPr>
        <w:t>-022.</w:t>
      </w:r>
      <w:r w:rsidR="000159A6">
        <w:rPr>
          <w:lang w:eastAsia="ja-JP"/>
        </w:rPr>
        <w:t xml:space="preserve"> </w:t>
      </w:r>
      <w:r w:rsidRPr="00007D6B">
        <w:rPr>
          <w:lang w:eastAsia="ja-JP"/>
        </w:rPr>
        <w:t>These</w:t>
      </w:r>
      <w:r w:rsidR="000159A6">
        <w:rPr>
          <w:lang w:eastAsia="ja-JP"/>
        </w:rPr>
        <w:t xml:space="preserve"> </w:t>
      </w:r>
      <w:r w:rsidRPr="00007D6B">
        <w:rPr>
          <w:lang w:eastAsia="ja-JP"/>
        </w:rPr>
        <w:t>were</w:t>
      </w:r>
      <w:r w:rsidR="000159A6">
        <w:rPr>
          <w:lang w:eastAsia="ja-JP"/>
        </w:rPr>
        <w:t xml:space="preserve"> </w:t>
      </w:r>
      <w:r w:rsidRPr="00007D6B">
        <w:rPr>
          <w:lang w:eastAsia="ja-JP"/>
        </w:rPr>
        <w:t>large</w:t>
      </w:r>
      <w:r w:rsidR="000159A6">
        <w:rPr>
          <w:lang w:eastAsia="ja-JP"/>
        </w:rPr>
        <w:t xml:space="preserve"> </w:t>
      </w:r>
      <w:r w:rsidRPr="00007D6B">
        <w:rPr>
          <w:lang w:eastAsia="ja-JP"/>
        </w:rPr>
        <w:t>scale,</w:t>
      </w:r>
      <w:r w:rsidR="000159A6">
        <w:rPr>
          <w:lang w:eastAsia="ja-JP"/>
        </w:rPr>
        <w:t xml:space="preserve"> </w:t>
      </w:r>
      <w:r w:rsidRPr="00007D6B">
        <w:rPr>
          <w:lang w:eastAsia="ja-JP"/>
        </w:rPr>
        <w:t>randomised,</w:t>
      </w:r>
      <w:r w:rsidR="000159A6">
        <w:rPr>
          <w:lang w:eastAsia="ja-JP"/>
        </w:rPr>
        <w:t xml:space="preserve"> </w:t>
      </w:r>
      <w:r w:rsidRPr="00007D6B">
        <w:rPr>
          <w:lang w:eastAsia="ja-JP"/>
        </w:rPr>
        <w:t>observer</w:t>
      </w:r>
      <w:r w:rsidR="000159A6">
        <w:rPr>
          <w:lang w:eastAsia="ja-JP"/>
        </w:rPr>
        <w:t xml:space="preserve"> </w:t>
      </w:r>
      <w:r w:rsidRPr="00007D6B">
        <w:rPr>
          <w:lang w:eastAsia="ja-JP"/>
        </w:rPr>
        <w:t>blind</w:t>
      </w:r>
      <w:r>
        <w:rPr>
          <w:lang w:eastAsia="ja-JP"/>
        </w:rPr>
        <w:t>,</w:t>
      </w:r>
      <w:r w:rsidR="000159A6">
        <w:rPr>
          <w:lang w:eastAsia="ja-JP"/>
        </w:rPr>
        <w:t xml:space="preserve"> </w:t>
      </w:r>
      <w:r w:rsidRPr="00007D6B">
        <w:rPr>
          <w:lang w:eastAsia="ja-JP"/>
        </w:rPr>
        <w:t>placebo</w:t>
      </w:r>
      <w:r w:rsidR="000159A6">
        <w:rPr>
          <w:lang w:eastAsia="ja-JP"/>
        </w:rPr>
        <w:t xml:space="preserve"> </w:t>
      </w:r>
      <w:r w:rsidRPr="00007D6B">
        <w:rPr>
          <w:lang w:eastAsia="ja-JP"/>
        </w:rPr>
        <w:t>controlled,</w:t>
      </w:r>
      <w:r w:rsidR="000159A6">
        <w:rPr>
          <w:lang w:eastAsia="ja-JP"/>
        </w:rPr>
        <w:t xml:space="preserve"> </w:t>
      </w:r>
      <w:r w:rsidRPr="00007D6B">
        <w:rPr>
          <w:lang w:eastAsia="ja-JP"/>
        </w:rPr>
        <w:t>multicentre</w:t>
      </w:r>
      <w:r w:rsidR="000159A6">
        <w:rPr>
          <w:lang w:eastAsia="ja-JP"/>
        </w:rPr>
        <w:t xml:space="preserve"> </w:t>
      </w:r>
      <w:r w:rsidRPr="00007D6B">
        <w:rPr>
          <w:lang w:eastAsia="ja-JP"/>
        </w:rPr>
        <w:t>studies,</w:t>
      </w:r>
      <w:r w:rsidR="000159A6">
        <w:rPr>
          <w:lang w:eastAsia="ja-JP"/>
        </w:rPr>
        <w:t xml:space="preserve"> </w:t>
      </w:r>
      <w:r w:rsidRPr="00007D6B">
        <w:rPr>
          <w:lang w:eastAsia="ja-JP"/>
        </w:rPr>
        <w:t>conducted</w:t>
      </w:r>
      <w:r w:rsidR="000159A6">
        <w:rPr>
          <w:lang w:eastAsia="ja-JP"/>
        </w:rPr>
        <w:t xml:space="preserve"> </w:t>
      </w:r>
      <w:r w:rsidRPr="00007D6B">
        <w:rPr>
          <w:lang w:eastAsia="ja-JP"/>
        </w:rPr>
        <w:t>in</w:t>
      </w:r>
      <w:r w:rsidR="000159A6">
        <w:rPr>
          <w:lang w:eastAsia="ja-JP"/>
        </w:rPr>
        <w:t xml:space="preserve"> </w:t>
      </w:r>
      <w:r w:rsidRPr="00007D6B">
        <w:rPr>
          <w:lang w:eastAsia="ja-JP"/>
        </w:rPr>
        <w:t>18</w:t>
      </w:r>
      <w:r w:rsidR="000159A6">
        <w:rPr>
          <w:lang w:eastAsia="ja-JP"/>
        </w:rPr>
        <w:t xml:space="preserve"> </w:t>
      </w:r>
      <w:r w:rsidRPr="00007D6B">
        <w:rPr>
          <w:lang w:eastAsia="ja-JP"/>
        </w:rPr>
        <w:t>countries</w:t>
      </w:r>
      <w:r w:rsidR="000159A6">
        <w:rPr>
          <w:lang w:eastAsia="ja-JP"/>
        </w:rPr>
        <w:t xml:space="preserve"> </w:t>
      </w:r>
      <w:r w:rsidRPr="00007D6B">
        <w:rPr>
          <w:lang w:eastAsia="ja-JP"/>
        </w:rPr>
        <w:t>worldwide.</w:t>
      </w:r>
      <w:r w:rsidR="000159A6">
        <w:rPr>
          <w:lang w:eastAsia="ja-JP"/>
        </w:rPr>
        <w:t xml:space="preserve"> </w:t>
      </w:r>
      <w:r>
        <w:rPr>
          <w:lang w:eastAsia="ja-JP"/>
        </w:rPr>
        <w:t>The</w:t>
      </w:r>
      <w:r w:rsidR="000159A6">
        <w:rPr>
          <w:lang w:eastAsia="ja-JP"/>
        </w:rPr>
        <w:t xml:space="preserve"> </w:t>
      </w:r>
      <w:r>
        <w:rPr>
          <w:lang w:eastAsia="ja-JP"/>
        </w:rPr>
        <w:t>primary</w:t>
      </w:r>
      <w:r w:rsidR="000159A6">
        <w:rPr>
          <w:lang w:eastAsia="ja-JP"/>
        </w:rPr>
        <w:t xml:space="preserve"> </w:t>
      </w:r>
      <w:r>
        <w:rPr>
          <w:lang w:eastAsia="ja-JP"/>
        </w:rPr>
        <w:t>objective</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studies</w:t>
      </w:r>
      <w:r w:rsidR="000159A6">
        <w:rPr>
          <w:lang w:eastAsia="ja-JP"/>
        </w:rPr>
        <w:t xml:space="preserve"> </w:t>
      </w:r>
      <w:r>
        <w:rPr>
          <w:lang w:eastAsia="ja-JP"/>
        </w:rPr>
        <w:t>was</w:t>
      </w:r>
      <w:r w:rsidR="000159A6">
        <w:rPr>
          <w:lang w:eastAsia="ja-JP"/>
        </w:rPr>
        <w:t xml:space="preserve"> </w:t>
      </w:r>
      <w:r>
        <w:rPr>
          <w:lang w:eastAsia="ja-JP"/>
        </w:rPr>
        <w:t>to</w:t>
      </w:r>
      <w:r w:rsidR="000159A6">
        <w:rPr>
          <w:lang w:eastAsia="ja-JP"/>
        </w:rPr>
        <w:t xml:space="preserve"> </w:t>
      </w:r>
      <w:r>
        <w:rPr>
          <w:lang w:eastAsia="ja-JP"/>
        </w:rPr>
        <w:t>evaluate</w:t>
      </w:r>
      <w:r w:rsidR="000159A6">
        <w:rPr>
          <w:lang w:eastAsia="ja-JP"/>
        </w:rPr>
        <w:t xml:space="preserve"> </w:t>
      </w:r>
      <w:r>
        <w:rPr>
          <w:lang w:eastAsia="ja-JP"/>
        </w:rPr>
        <w:t>vaccine</w:t>
      </w:r>
      <w:r w:rsidR="000159A6">
        <w:rPr>
          <w:lang w:eastAsia="ja-JP"/>
        </w:rPr>
        <w:t xml:space="preserve"> </w:t>
      </w:r>
      <w:r>
        <w:rPr>
          <w:lang w:eastAsia="ja-JP"/>
        </w:rPr>
        <w:t>efficacy</w:t>
      </w:r>
      <w:r w:rsidR="000159A6">
        <w:rPr>
          <w:lang w:eastAsia="ja-JP"/>
        </w:rPr>
        <w:t xml:space="preserve"> </w:t>
      </w:r>
      <w:r>
        <w:rPr>
          <w:lang w:eastAsia="ja-JP"/>
        </w:rPr>
        <w:t>compared</w:t>
      </w:r>
      <w:r w:rsidR="000159A6">
        <w:rPr>
          <w:lang w:eastAsia="ja-JP"/>
        </w:rPr>
        <w:t xml:space="preserve"> </w:t>
      </w:r>
      <w:r>
        <w:rPr>
          <w:lang w:eastAsia="ja-JP"/>
        </w:rPr>
        <w:t>to</w:t>
      </w:r>
      <w:r w:rsidR="000159A6">
        <w:rPr>
          <w:lang w:eastAsia="ja-JP"/>
        </w:rPr>
        <w:t xml:space="preserve"> </w:t>
      </w:r>
      <w:r>
        <w:rPr>
          <w:lang w:eastAsia="ja-JP"/>
        </w:rPr>
        <w:t>placebo</w:t>
      </w:r>
      <w:r w:rsidR="000159A6">
        <w:rPr>
          <w:lang w:eastAsia="ja-JP"/>
        </w:rPr>
        <w:t xml:space="preserve"> </w:t>
      </w:r>
      <w:r>
        <w:rPr>
          <w:lang w:eastAsia="ja-JP"/>
        </w:rPr>
        <w:t>in</w:t>
      </w:r>
      <w:r w:rsidR="000159A6">
        <w:rPr>
          <w:lang w:eastAsia="ja-JP"/>
        </w:rPr>
        <w:t xml:space="preserve"> </w:t>
      </w:r>
      <w:r>
        <w:rPr>
          <w:lang w:eastAsia="ja-JP"/>
        </w:rPr>
        <w:t>preventing</w:t>
      </w:r>
      <w:r w:rsidR="000159A6">
        <w:rPr>
          <w:lang w:eastAsia="ja-JP"/>
        </w:rPr>
        <w:t xml:space="preserve"> </w:t>
      </w:r>
      <w:r>
        <w:rPr>
          <w:lang w:eastAsia="ja-JP"/>
        </w:rPr>
        <w:t>HZ</w:t>
      </w:r>
      <w:r w:rsidR="000159A6">
        <w:rPr>
          <w:lang w:eastAsia="ja-JP"/>
        </w:rPr>
        <w:t xml:space="preserve"> </w:t>
      </w:r>
      <w:r>
        <w:rPr>
          <w:lang w:eastAsia="ja-JP"/>
        </w:rPr>
        <w:t>in</w:t>
      </w:r>
      <w:r w:rsidR="000159A6">
        <w:rPr>
          <w:lang w:eastAsia="ja-JP"/>
        </w:rPr>
        <w:t xml:space="preserve"> </w:t>
      </w:r>
      <w:proofErr w:type="gramStart"/>
      <w:r>
        <w:rPr>
          <w:lang w:eastAsia="ja-JP"/>
        </w:rPr>
        <w:t>adults</w:t>
      </w:r>
      <w:proofErr w:type="gramEnd"/>
      <w:r w:rsidR="000159A6">
        <w:rPr>
          <w:lang w:eastAsia="ja-JP"/>
        </w:rPr>
        <w:t xml:space="preserve"> </w:t>
      </w:r>
      <w:r w:rsidR="0037169B">
        <w:rPr>
          <w:lang w:eastAsia="ja-JP"/>
        </w:rPr>
        <w:t>≥</w:t>
      </w:r>
      <w:r w:rsidR="000159A6">
        <w:rPr>
          <w:lang w:eastAsia="ja-JP"/>
        </w:rPr>
        <w:t xml:space="preserve"> </w:t>
      </w:r>
      <w:r>
        <w:rPr>
          <w:lang w:eastAsia="ja-JP"/>
        </w:rPr>
        <w:t>50</w:t>
      </w:r>
      <w:r w:rsidR="000159A6">
        <w:rPr>
          <w:lang w:eastAsia="ja-JP"/>
        </w:rPr>
        <w:t xml:space="preserve"> </w:t>
      </w:r>
      <w:r>
        <w:rPr>
          <w:lang w:eastAsia="ja-JP"/>
        </w:rPr>
        <w:t>and</w:t>
      </w:r>
      <w:r w:rsidR="000159A6">
        <w:rPr>
          <w:lang w:eastAsia="ja-JP"/>
        </w:rPr>
        <w:t xml:space="preserve"> </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respectively.</w:t>
      </w:r>
      <w:r w:rsidR="000159A6">
        <w:rPr>
          <w:lang w:eastAsia="ja-JP"/>
        </w:rPr>
        <w:t xml:space="preserve"> </w:t>
      </w:r>
      <w:r w:rsidRPr="00007D6B">
        <w:rPr>
          <w:lang w:eastAsia="ja-JP"/>
        </w:rPr>
        <w:t>Both</w:t>
      </w:r>
      <w:r w:rsidR="000159A6">
        <w:rPr>
          <w:lang w:eastAsia="ja-JP"/>
        </w:rPr>
        <w:t xml:space="preserve"> </w:t>
      </w:r>
      <w:r w:rsidRPr="00007D6B">
        <w:rPr>
          <w:lang w:eastAsia="ja-JP"/>
        </w:rPr>
        <w:t>studies</w:t>
      </w:r>
      <w:r w:rsidR="000159A6">
        <w:rPr>
          <w:lang w:eastAsia="ja-JP"/>
        </w:rPr>
        <w:t xml:space="preserve"> </w:t>
      </w:r>
      <w:r w:rsidRPr="00007D6B">
        <w:rPr>
          <w:lang w:eastAsia="ja-JP"/>
        </w:rPr>
        <w:t>had</w:t>
      </w:r>
      <w:r w:rsidR="000159A6">
        <w:rPr>
          <w:lang w:eastAsia="ja-JP"/>
        </w:rPr>
        <w:t xml:space="preserve"> </w:t>
      </w:r>
      <w:r w:rsidRPr="00007D6B">
        <w:rPr>
          <w:lang w:eastAsia="ja-JP"/>
        </w:rPr>
        <w:t>the</w:t>
      </w:r>
      <w:r w:rsidR="000159A6">
        <w:rPr>
          <w:lang w:eastAsia="ja-JP"/>
        </w:rPr>
        <w:t xml:space="preserve"> </w:t>
      </w:r>
      <w:r w:rsidRPr="00007D6B">
        <w:rPr>
          <w:lang w:eastAsia="ja-JP"/>
        </w:rPr>
        <w:t>same</w:t>
      </w:r>
      <w:r w:rsidR="000159A6">
        <w:rPr>
          <w:lang w:eastAsia="ja-JP"/>
        </w:rPr>
        <w:t xml:space="preserve"> </w:t>
      </w:r>
      <w:r w:rsidRPr="00007D6B">
        <w:rPr>
          <w:lang w:eastAsia="ja-JP"/>
        </w:rPr>
        <w:t>design</w:t>
      </w:r>
      <w:r w:rsidR="000159A6">
        <w:rPr>
          <w:lang w:eastAsia="ja-JP"/>
        </w:rPr>
        <w:t xml:space="preserve"> </w:t>
      </w:r>
      <w:r>
        <w:rPr>
          <w:lang w:eastAsia="ja-JP"/>
        </w:rPr>
        <w:t>and</w:t>
      </w:r>
      <w:r w:rsidR="000159A6">
        <w:rPr>
          <w:lang w:eastAsia="ja-JP"/>
        </w:rPr>
        <w:t xml:space="preserve"> </w:t>
      </w:r>
      <w:r>
        <w:rPr>
          <w:lang w:eastAsia="ja-JP"/>
        </w:rPr>
        <w:t>s</w:t>
      </w:r>
      <w:r w:rsidRPr="00007D6B">
        <w:rPr>
          <w:lang w:eastAsia="ja-JP"/>
        </w:rPr>
        <w:t>ubjects</w:t>
      </w:r>
      <w:r w:rsidR="000159A6">
        <w:rPr>
          <w:lang w:eastAsia="ja-JP"/>
        </w:rPr>
        <w:t xml:space="preserve"> </w:t>
      </w:r>
      <w:r w:rsidRPr="00007D6B">
        <w:rPr>
          <w:lang w:eastAsia="ja-JP"/>
        </w:rPr>
        <w:t>were</w:t>
      </w:r>
      <w:r w:rsidR="000159A6">
        <w:rPr>
          <w:lang w:eastAsia="ja-JP"/>
        </w:rPr>
        <w:t xml:space="preserve"> </w:t>
      </w:r>
      <w:r w:rsidRPr="00007D6B">
        <w:rPr>
          <w:lang w:eastAsia="ja-JP"/>
        </w:rPr>
        <w:t>randomised</w:t>
      </w:r>
      <w:r w:rsidR="000159A6">
        <w:rPr>
          <w:lang w:eastAsia="ja-JP"/>
        </w:rPr>
        <w:t xml:space="preserve"> </w:t>
      </w:r>
      <w:r w:rsidRPr="00007D6B">
        <w:rPr>
          <w:lang w:eastAsia="ja-JP"/>
        </w:rPr>
        <w:t>in</w:t>
      </w:r>
      <w:r w:rsidR="000159A6">
        <w:rPr>
          <w:lang w:eastAsia="ja-JP"/>
        </w:rPr>
        <w:t xml:space="preserve"> </w:t>
      </w:r>
      <w:r w:rsidRPr="00007D6B">
        <w:rPr>
          <w:lang w:eastAsia="ja-JP"/>
        </w:rPr>
        <w:t>a</w:t>
      </w:r>
      <w:r w:rsidR="000159A6">
        <w:rPr>
          <w:lang w:eastAsia="ja-JP"/>
        </w:rPr>
        <w:t xml:space="preserve"> </w:t>
      </w:r>
      <w:r w:rsidRPr="00007D6B">
        <w:rPr>
          <w:lang w:eastAsia="ja-JP"/>
        </w:rPr>
        <w:t>1:1</w:t>
      </w:r>
      <w:r w:rsidR="000159A6">
        <w:rPr>
          <w:lang w:eastAsia="ja-JP"/>
        </w:rPr>
        <w:t xml:space="preserve"> </w:t>
      </w:r>
      <w:r w:rsidRPr="00007D6B">
        <w:rPr>
          <w:lang w:eastAsia="ja-JP"/>
        </w:rPr>
        <w:t>ratio</w:t>
      </w:r>
      <w:r w:rsidR="000159A6">
        <w:rPr>
          <w:lang w:eastAsia="ja-JP"/>
        </w:rPr>
        <w:t xml:space="preserve"> </w:t>
      </w:r>
      <w:r w:rsidRPr="00007D6B">
        <w:rPr>
          <w:lang w:eastAsia="ja-JP"/>
        </w:rPr>
        <w:t>to</w:t>
      </w:r>
      <w:r w:rsidR="000159A6">
        <w:rPr>
          <w:lang w:eastAsia="ja-JP"/>
        </w:rPr>
        <w:t xml:space="preserve"> </w:t>
      </w:r>
      <w:r w:rsidRPr="00007D6B">
        <w:rPr>
          <w:lang w:eastAsia="ja-JP"/>
        </w:rPr>
        <w:t>receive</w:t>
      </w:r>
      <w:r w:rsidR="000159A6">
        <w:rPr>
          <w:lang w:eastAsia="ja-JP"/>
        </w:rPr>
        <w:t xml:space="preserve"> </w:t>
      </w:r>
      <w:r w:rsidRPr="00007D6B">
        <w:rPr>
          <w:lang w:eastAsia="ja-JP"/>
        </w:rPr>
        <w:t>two</w:t>
      </w:r>
      <w:r w:rsidR="000159A6">
        <w:rPr>
          <w:lang w:eastAsia="ja-JP"/>
        </w:rPr>
        <w:t xml:space="preserve"> </w:t>
      </w:r>
      <w:r w:rsidRPr="00007D6B">
        <w:rPr>
          <w:lang w:eastAsia="ja-JP"/>
        </w:rPr>
        <w:t>doses</w:t>
      </w:r>
      <w:r w:rsidR="000159A6">
        <w:rPr>
          <w:lang w:eastAsia="ja-JP"/>
        </w:rPr>
        <w:t xml:space="preserve"> </w:t>
      </w:r>
      <w:r w:rsidRPr="00007D6B">
        <w:rPr>
          <w:lang w:eastAsia="ja-JP"/>
        </w:rPr>
        <w:t>of</w:t>
      </w:r>
      <w:r w:rsidR="000159A6">
        <w:rPr>
          <w:lang w:eastAsia="ja-JP"/>
        </w:rPr>
        <w:t xml:space="preserve"> </w:t>
      </w:r>
      <w:r w:rsidRPr="00007D6B">
        <w:rPr>
          <w:lang w:eastAsia="ja-JP"/>
        </w:rPr>
        <w:t>HZ/</w:t>
      </w:r>
      <w:proofErr w:type="spellStart"/>
      <w:r w:rsidRPr="00007D6B">
        <w:rPr>
          <w:lang w:eastAsia="ja-JP"/>
        </w:rPr>
        <w:t>su</w:t>
      </w:r>
      <w:proofErr w:type="spellEnd"/>
      <w:r w:rsidR="000159A6">
        <w:rPr>
          <w:lang w:eastAsia="ja-JP"/>
        </w:rPr>
        <w:t xml:space="preserve"> </w:t>
      </w:r>
      <w:r w:rsidRPr="00007D6B">
        <w:rPr>
          <w:lang w:eastAsia="ja-JP"/>
        </w:rPr>
        <w:t>or</w:t>
      </w:r>
      <w:r w:rsidR="000159A6">
        <w:rPr>
          <w:lang w:eastAsia="ja-JP"/>
        </w:rPr>
        <w:t xml:space="preserve"> </w:t>
      </w:r>
      <w:r w:rsidRPr="00007D6B">
        <w:rPr>
          <w:lang w:eastAsia="ja-JP"/>
        </w:rPr>
        <w:t>saline</w:t>
      </w:r>
      <w:r w:rsidR="000159A6">
        <w:rPr>
          <w:lang w:eastAsia="ja-JP"/>
        </w:rPr>
        <w:t xml:space="preserve"> </w:t>
      </w:r>
      <w:r w:rsidRPr="00007D6B">
        <w:rPr>
          <w:lang w:eastAsia="ja-JP"/>
        </w:rPr>
        <w:t>placebo</w:t>
      </w:r>
      <w:r w:rsidR="000159A6">
        <w:rPr>
          <w:lang w:eastAsia="ja-JP"/>
        </w:rPr>
        <w:t xml:space="preserve"> </w:t>
      </w:r>
      <w:r w:rsidRPr="00007D6B">
        <w:rPr>
          <w:lang w:eastAsia="ja-JP"/>
        </w:rPr>
        <w:t>0.5</w:t>
      </w:r>
      <w:r w:rsidR="000159A6">
        <w:rPr>
          <w:lang w:eastAsia="ja-JP"/>
        </w:rPr>
        <w:t xml:space="preserve"> </w:t>
      </w:r>
      <w:r w:rsidRPr="00007D6B">
        <w:rPr>
          <w:lang w:eastAsia="ja-JP"/>
        </w:rPr>
        <w:t>mL</w:t>
      </w:r>
      <w:r w:rsidR="000159A6">
        <w:rPr>
          <w:lang w:eastAsia="ja-JP"/>
        </w:rPr>
        <w:t xml:space="preserve"> </w:t>
      </w:r>
      <w:r w:rsidRPr="00007D6B">
        <w:rPr>
          <w:lang w:eastAsia="ja-JP"/>
        </w:rPr>
        <w:t>via</w:t>
      </w:r>
      <w:r w:rsidR="000159A6">
        <w:rPr>
          <w:lang w:eastAsia="ja-JP"/>
        </w:rPr>
        <w:t xml:space="preserve"> </w:t>
      </w:r>
      <w:r w:rsidRPr="00007D6B">
        <w:rPr>
          <w:lang w:eastAsia="ja-JP"/>
        </w:rPr>
        <w:t>IM</w:t>
      </w:r>
      <w:r w:rsidR="000159A6">
        <w:rPr>
          <w:lang w:eastAsia="ja-JP"/>
        </w:rPr>
        <w:t xml:space="preserve"> </w:t>
      </w:r>
      <w:r w:rsidRPr="00007D6B">
        <w:rPr>
          <w:lang w:eastAsia="ja-JP"/>
        </w:rPr>
        <w:t>injection</w:t>
      </w:r>
      <w:r w:rsidR="000159A6">
        <w:rPr>
          <w:lang w:eastAsia="ja-JP"/>
        </w:rPr>
        <w:t xml:space="preserve"> </w:t>
      </w:r>
      <w:r w:rsidRPr="00007D6B">
        <w:rPr>
          <w:lang w:eastAsia="ja-JP"/>
        </w:rPr>
        <w:t>two</w:t>
      </w:r>
      <w:r w:rsidR="000159A6">
        <w:rPr>
          <w:lang w:eastAsia="ja-JP"/>
        </w:rPr>
        <w:t xml:space="preserve"> </w:t>
      </w:r>
      <w:r w:rsidRPr="00007D6B">
        <w:rPr>
          <w:lang w:eastAsia="ja-JP"/>
        </w:rPr>
        <w:t>months</w:t>
      </w:r>
      <w:r w:rsidR="000159A6">
        <w:rPr>
          <w:lang w:eastAsia="ja-JP"/>
        </w:rPr>
        <w:t xml:space="preserve"> </w:t>
      </w:r>
      <w:r w:rsidRPr="00007D6B">
        <w:rPr>
          <w:lang w:eastAsia="ja-JP"/>
        </w:rPr>
        <w:t>apart.</w:t>
      </w:r>
      <w:r w:rsidR="000159A6">
        <w:rPr>
          <w:lang w:eastAsia="ja-JP"/>
        </w:rPr>
        <w:t xml:space="preserve"> </w:t>
      </w:r>
      <w:r>
        <w:rPr>
          <w:lang w:eastAsia="ja-JP"/>
        </w:rPr>
        <w:t>Stratification</w:t>
      </w:r>
      <w:r w:rsidR="000159A6">
        <w:rPr>
          <w:lang w:eastAsia="ja-JP"/>
        </w:rPr>
        <w:t xml:space="preserve"> </w:t>
      </w:r>
      <w:r>
        <w:rPr>
          <w:lang w:eastAsia="ja-JP"/>
        </w:rPr>
        <w:t>by</w:t>
      </w:r>
      <w:r w:rsidR="000159A6">
        <w:rPr>
          <w:lang w:eastAsia="ja-JP"/>
        </w:rPr>
        <w:t xml:space="preserve"> </w:t>
      </w:r>
      <w:r>
        <w:rPr>
          <w:lang w:eastAsia="ja-JP"/>
        </w:rPr>
        <w:t>age</w:t>
      </w:r>
      <w:r w:rsidR="000159A6">
        <w:rPr>
          <w:lang w:eastAsia="ja-JP"/>
        </w:rPr>
        <w:t xml:space="preserve"> </w:t>
      </w:r>
      <w:r>
        <w:rPr>
          <w:lang w:eastAsia="ja-JP"/>
        </w:rPr>
        <w:t>group</w:t>
      </w:r>
      <w:r w:rsidR="000159A6">
        <w:rPr>
          <w:lang w:eastAsia="ja-JP"/>
        </w:rPr>
        <w:t xml:space="preserve"> </w:t>
      </w:r>
      <w:r>
        <w:rPr>
          <w:lang w:eastAsia="ja-JP"/>
        </w:rPr>
        <w:t>was</w:t>
      </w:r>
      <w:r w:rsidR="000159A6">
        <w:rPr>
          <w:lang w:eastAsia="ja-JP"/>
        </w:rPr>
        <w:t xml:space="preserve"> </w:t>
      </w:r>
      <w:r>
        <w:rPr>
          <w:lang w:eastAsia="ja-JP"/>
        </w:rPr>
        <w:t>undertaken</w:t>
      </w:r>
      <w:r w:rsidR="000159A6">
        <w:rPr>
          <w:lang w:eastAsia="ja-JP"/>
        </w:rPr>
        <w:t xml:space="preserve"> </w:t>
      </w:r>
      <w:r>
        <w:rPr>
          <w:lang w:eastAsia="ja-JP"/>
        </w:rPr>
        <w:t>to</w:t>
      </w:r>
      <w:r w:rsidR="000159A6">
        <w:rPr>
          <w:lang w:eastAsia="ja-JP"/>
        </w:rPr>
        <w:t xml:space="preserve"> </w:t>
      </w:r>
      <w:r w:rsidRPr="00007D6B">
        <w:rPr>
          <w:lang w:eastAsia="ja-JP"/>
        </w:rPr>
        <w:t>achieve</w:t>
      </w:r>
      <w:r w:rsidR="000159A6">
        <w:rPr>
          <w:lang w:eastAsia="ja-JP"/>
        </w:rPr>
        <w:t xml:space="preserve"> </w:t>
      </w:r>
      <w:r w:rsidRPr="00007D6B">
        <w:rPr>
          <w:lang w:eastAsia="ja-JP"/>
        </w:rPr>
        <w:t>compara</w:t>
      </w:r>
      <w:r>
        <w:rPr>
          <w:lang w:eastAsia="ja-JP"/>
        </w:rPr>
        <w:t>ble</w:t>
      </w:r>
      <w:r w:rsidR="000159A6">
        <w:rPr>
          <w:lang w:eastAsia="ja-JP"/>
        </w:rPr>
        <w:t xml:space="preserve"> </w:t>
      </w:r>
      <w:r>
        <w:rPr>
          <w:lang w:eastAsia="ja-JP"/>
        </w:rPr>
        <w:t>numbers</w:t>
      </w:r>
      <w:r w:rsidR="000159A6">
        <w:rPr>
          <w:lang w:eastAsia="ja-JP"/>
        </w:rPr>
        <w:t xml:space="preserve"> </w:t>
      </w:r>
      <w:r>
        <w:rPr>
          <w:lang w:eastAsia="ja-JP"/>
        </w:rPr>
        <w:t>of</w:t>
      </w:r>
      <w:r w:rsidR="000159A6">
        <w:rPr>
          <w:lang w:eastAsia="ja-JP"/>
        </w:rPr>
        <w:t xml:space="preserve"> </w:t>
      </w:r>
      <w:r>
        <w:rPr>
          <w:lang w:eastAsia="ja-JP"/>
        </w:rPr>
        <w:t>HZ</w:t>
      </w:r>
      <w:r w:rsidR="000159A6">
        <w:rPr>
          <w:lang w:eastAsia="ja-JP"/>
        </w:rPr>
        <w:t xml:space="preserve"> </w:t>
      </w:r>
      <w:r>
        <w:rPr>
          <w:lang w:eastAsia="ja-JP"/>
        </w:rPr>
        <w:t>cases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three</w:t>
      </w:r>
      <w:r w:rsidR="000159A6">
        <w:rPr>
          <w:lang w:eastAsia="ja-JP"/>
        </w:rPr>
        <w:t xml:space="preserve"> </w:t>
      </w:r>
      <w:r w:rsidRPr="00007D6B">
        <w:rPr>
          <w:lang w:eastAsia="ja-JP"/>
        </w:rPr>
        <w:t>main</w:t>
      </w:r>
      <w:r w:rsidR="000159A6">
        <w:rPr>
          <w:lang w:eastAsia="ja-JP"/>
        </w:rPr>
        <w:t xml:space="preserve"> </w:t>
      </w:r>
      <w:r w:rsidRPr="00007D6B">
        <w:rPr>
          <w:lang w:eastAsia="ja-JP"/>
        </w:rPr>
        <w:t>age</w:t>
      </w:r>
      <w:r w:rsidR="000159A6">
        <w:rPr>
          <w:lang w:eastAsia="ja-JP"/>
        </w:rPr>
        <w:t xml:space="preserve"> </w:t>
      </w:r>
      <w:r w:rsidRPr="00007D6B">
        <w:rPr>
          <w:lang w:eastAsia="ja-JP"/>
        </w:rPr>
        <w:t>strata</w:t>
      </w:r>
      <w:r w:rsidR="000159A6">
        <w:rPr>
          <w:lang w:eastAsia="ja-JP"/>
        </w:rPr>
        <w:t xml:space="preserve"> </w:t>
      </w:r>
      <w:r w:rsidRPr="00007D6B">
        <w:rPr>
          <w:lang w:eastAsia="ja-JP"/>
        </w:rPr>
        <w:t>(</w:t>
      </w:r>
      <w:r>
        <w:rPr>
          <w:lang w:eastAsia="ja-JP"/>
        </w:rPr>
        <w:t>50</w:t>
      </w:r>
      <w:r w:rsidR="000159A6">
        <w:rPr>
          <w:lang w:eastAsia="ja-JP"/>
        </w:rPr>
        <w:t xml:space="preserve"> </w:t>
      </w:r>
      <w:r>
        <w:rPr>
          <w:lang w:eastAsia="ja-JP"/>
        </w:rPr>
        <w:t>to</w:t>
      </w:r>
      <w:r w:rsidR="000159A6">
        <w:rPr>
          <w:lang w:eastAsia="ja-JP"/>
        </w:rPr>
        <w:t xml:space="preserve"> </w:t>
      </w:r>
      <w:r>
        <w:rPr>
          <w:lang w:eastAsia="ja-JP"/>
        </w:rPr>
        <w:t>59</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Pr="00007D6B">
        <w:rPr>
          <w:lang w:eastAsia="ja-JP"/>
        </w:rPr>
        <w:t>,</w:t>
      </w:r>
      <w:r w:rsidR="000159A6">
        <w:rPr>
          <w:lang w:eastAsia="ja-JP"/>
        </w:rPr>
        <w:t xml:space="preserve"> </w:t>
      </w:r>
      <w:r>
        <w:rPr>
          <w:lang w:eastAsia="ja-JP"/>
        </w:rPr>
        <w:t>60</w:t>
      </w:r>
      <w:r w:rsidR="000159A6">
        <w:rPr>
          <w:lang w:eastAsia="ja-JP"/>
        </w:rPr>
        <w:t xml:space="preserve"> </w:t>
      </w:r>
      <w:r>
        <w:rPr>
          <w:lang w:eastAsia="ja-JP"/>
        </w:rPr>
        <w:t>to</w:t>
      </w:r>
      <w:r w:rsidR="000159A6">
        <w:rPr>
          <w:lang w:eastAsia="ja-JP"/>
        </w:rPr>
        <w:t xml:space="preserve"> </w:t>
      </w:r>
      <w:r>
        <w:rPr>
          <w:lang w:eastAsia="ja-JP"/>
        </w:rPr>
        <w:t>69</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Pr="00007D6B">
        <w:rPr>
          <w:lang w:eastAsia="ja-JP"/>
        </w:rPr>
        <w:t>,</w:t>
      </w:r>
      <w:r w:rsidR="000159A6">
        <w:rPr>
          <w:lang w:eastAsia="ja-JP"/>
        </w:rPr>
        <w:t xml:space="preserve"> </w:t>
      </w:r>
      <w:r w:rsidR="0037169B">
        <w:rPr>
          <w:lang w:eastAsia="ja-JP"/>
        </w:rPr>
        <w:t>≥</w:t>
      </w:r>
      <w:r w:rsidR="000159A6">
        <w:rPr>
          <w:lang w:eastAsia="ja-JP"/>
        </w:rPr>
        <w:t xml:space="preserve"> </w:t>
      </w:r>
      <w:r>
        <w:rPr>
          <w:lang w:eastAsia="ja-JP"/>
        </w:rPr>
        <w:t>7</w:t>
      </w:r>
      <w:r w:rsidRPr="00007D6B">
        <w:rPr>
          <w:lang w:eastAsia="ja-JP"/>
        </w:rPr>
        <w:t>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Pr="00007D6B">
        <w:rPr>
          <w:lang w:eastAsia="ja-JP"/>
        </w:rPr>
        <w:t>).</w:t>
      </w:r>
    </w:p>
    <w:p w14:paraId="2FC050E7" w14:textId="0FB69389" w:rsidR="001F6DEC" w:rsidRPr="00007D6B" w:rsidRDefault="001F6DEC" w:rsidP="001F6DEC">
      <w:pPr>
        <w:rPr>
          <w:lang w:eastAsia="ja-JP"/>
        </w:rPr>
      </w:pPr>
      <w:r w:rsidRPr="00007D6B">
        <w:rPr>
          <w:lang w:eastAsia="ja-JP"/>
        </w:rPr>
        <w:t>Subjects</w:t>
      </w:r>
      <w:r w:rsidR="000159A6">
        <w:rPr>
          <w:lang w:eastAsia="ja-JP"/>
        </w:rPr>
        <w:t xml:space="preserve"> </w:t>
      </w:r>
      <w:r w:rsidRPr="00007D6B">
        <w:rPr>
          <w:lang w:eastAsia="ja-JP"/>
        </w:rPr>
        <w:t>were</w:t>
      </w:r>
      <w:r w:rsidR="000159A6">
        <w:rPr>
          <w:lang w:eastAsia="ja-JP"/>
        </w:rPr>
        <w:t xml:space="preserve"> </w:t>
      </w:r>
      <w:r w:rsidRPr="00007D6B">
        <w:rPr>
          <w:lang w:eastAsia="ja-JP"/>
        </w:rPr>
        <w:t>excluded</w:t>
      </w:r>
      <w:r w:rsidR="000159A6">
        <w:rPr>
          <w:lang w:eastAsia="ja-JP"/>
        </w:rPr>
        <w:t xml:space="preserve"> </w:t>
      </w:r>
      <w:r w:rsidRPr="00007D6B">
        <w:rPr>
          <w:lang w:eastAsia="ja-JP"/>
        </w:rPr>
        <w:t>if</w:t>
      </w:r>
      <w:r w:rsidR="000159A6">
        <w:rPr>
          <w:lang w:eastAsia="ja-JP"/>
        </w:rPr>
        <w:t xml:space="preserve"> </w:t>
      </w:r>
      <w:r w:rsidRPr="00007D6B">
        <w:rPr>
          <w:lang w:eastAsia="ja-JP"/>
        </w:rPr>
        <w:t>immunosuppressed</w:t>
      </w:r>
      <w:r w:rsidR="000159A6">
        <w:rPr>
          <w:lang w:eastAsia="ja-JP"/>
        </w:rPr>
        <w:t xml:space="preserve"> </w:t>
      </w:r>
      <w:r>
        <w:rPr>
          <w:lang w:eastAsia="ja-JP"/>
        </w:rPr>
        <w:t>for</w:t>
      </w:r>
      <w:r w:rsidR="000159A6">
        <w:rPr>
          <w:lang w:eastAsia="ja-JP"/>
        </w:rPr>
        <w:t xml:space="preserve"> </w:t>
      </w:r>
      <w:r>
        <w:rPr>
          <w:lang w:eastAsia="ja-JP"/>
        </w:rPr>
        <w:t>any</w:t>
      </w:r>
      <w:r w:rsidR="000159A6">
        <w:rPr>
          <w:lang w:eastAsia="ja-JP"/>
        </w:rPr>
        <w:t xml:space="preserve"> </w:t>
      </w:r>
      <w:r>
        <w:rPr>
          <w:lang w:eastAsia="ja-JP"/>
        </w:rPr>
        <w:t>reason</w:t>
      </w:r>
      <w:r w:rsidRPr="00007D6B">
        <w:rPr>
          <w:lang w:eastAsia="ja-JP"/>
        </w:rPr>
        <w:t>.</w:t>
      </w:r>
      <w:r w:rsidR="000159A6">
        <w:rPr>
          <w:lang w:eastAsia="ja-JP"/>
        </w:rPr>
        <w:t xml:space="preserve"> </w:t>
      </w:r>
      <w:r w:rsidRPr="00007D6B">
        <w:rPr>
          <w:lang w:eastAsia="ja-JP"/>
        </w:rPr>
        <w:t>Baseline</w:t>
      </w:r>
      <w:r w:rsidR="000159A6">
        <w:rPr>
          <w:lang w:eastAsia="ja-JP"/>
        </w:rPr>
        <w:t xml:space="preserve"> </w:t>
      </w:r>
      <w:r w:rsidRPr="00007D6B">
        <w:rPr>
          <w:lang w:eastAsia="ja-JP"/>
        </w:rPr>
        <w:t>medical</w:t>
      </w:r>
      <w:r w:rsidR="000159A6">
        <w:rPr>
          <w:lang w:eastAsia="ja-JP"/>
        </w:rPr>
        <w:t xml:space="preserve"> </w:t>
      </w:r>
      <w:r w:rsidRPr="00007D6B">
        <w:rPr>
          <w:lang w:eastAsia="ja-JP"/>
        </w:rPr>
        <w:t>conditions</w:t>
      </w:r>
      <w:r w:rsidR="000159A6">
        <w:rPr>
          <w:lang w:eastAsia="ja-JP"/>
        </w:rPr>
        <w:t xml:space="preserve"> </w:t>
      </w:r>
      <w:r w:rsidRPr="00007D6B">
        <w:rPr>
          <w:lang w:eastAsia="ja-JP"/>
        </w:rPr>
        <w:t>were</w:t>
      </w:r>
      <w:r w:rsidR="000159A6">
        <w:rPr>
          <w:lang w:eastAsia="ja-JP"/>
        </w:rPr>
        <w:t xml:space="preserve"> </w:t>
      </w:r>
      <w:r w:rsidRPr="00007D6B">
        <w:rPr>
          <w:lang w:eastAsia="ja-JP"/>
        </w:rPr>
        <w:t>not</w:t>
      </w:r>
      <w:r w:rsidR="000159A6">
        <w:rPr>
          <w:lang w:eastAsia="ja-JP"/>
        </w:rPr>
        <w:t xml:space="preserve"> </w:t>
      </w:r>
      <w:r w:rsidRPr="00007D6B">
        <w:rPr>
          <w:lang w:eastAsia="ja-JP"/>
        </w:rPr>
        <w:t>described</w:t>
      </w:r>
      <w:r w:rsidR="000159A6">
        <w:rPr>
          <w:lang w:eastAsia="ja-JP"/>
        </w:rPr>
        <w:t xml:space="preserve"> </w:t>
      </w:r>
      <w:r w:rsidRPr="00007D6B">
        <w:rPr>
          <w:lang w:eastAsia="ja-JP"/>
        </w:rPr>
        <w:t>in</w:t>
      </w:r>
      <w:r w:rsidR="000159A6">
        <w:rPr>
          <w:lang w:eastAsia="ja-JP"/>
        </w:rPr>
        <w:t xml:space="preserve"> </w:t>
      </w:r>
      <w:r w:rsidRPr="00007D6B">
        <w:rPr>
          <w:lang w:eastAsia="ja-JP"/>
        </w:rPr>
        <w:t>the</w:t>
      </w:r>
      <w:r w:rsidR="000159A6">
        <w:rPr>
          <w:lang w:eastAsia="ja-JP"/>
        </w:rPr>
        <w:t xml:space="preserve"> </w:t>
      </w:r>
      <w:r w:rsidR="000D0435">
        <w:rPr>
          <w:lang w:eastAsia="ja-JP"/>
        </w:rPr>
        <w:t>clinical</w:t>
      </w:r>
      <w:r w:rsidR="000159A6">
        <w:rPr>
          <w:lang w:eastAsia="ja-JP"/>
        </w:rPr>
        <w:t xml:space="preserve"> </w:t>
      </w:r>
      <w:r w:rsidR="000D0435">
        <w:rPr>
          <w:lang w:eastAsia="ja-JP"/>
        </w:rPr>
        <w:t>study</w:t>
      </w:r>
      <w:r w:rsidR="000159A6">
        <w:rPr>
          <w:lang w:eastAsia="ja-JP"/>
        </w:rPr>
        <w:t xml:space="preserve"> </w:t>
      </w:r>
      <w:r w:rsidR="000D0435">
        <w:rPr>
          <w:lang w:eastAsia="ja-JP"/>
        </w:rPr>
        <w:t>report</w:t>
      </w:r>
      <w:r w:rsidR="000159A6">
        <w:rPr>
          <w:lang w:eastAsia="ja-JP"/>
        </w:rPr>
        <w:t xml:space="preserve"> </w:t>
      </w:r>
      <w:r w:rsidR="000D0435">
        <w:rPr>
          <w:lang w:eastAsia="ja-JP"/>
        </w:rPr>
        <w:t>(</w:t>
      </w:r>
      <w:r w:rsidRPr="00007D6B">
        <w:rPr>
          <w:lang w:eastAsia="ja-JP"/>
        </w:rPr>
        <w:t>CSR</w:t>
      </w:r>
      <w:r w:rsidR="000D0435">
        <w:rPr>
          <w:lang w:eastAsia="ja-JP"/>
        </w:rPr>
        <w:t>)</w:t>
      </w:r>
      <w:r w:rsidR="000159A6">
        <w:rPr>
          <w:lang w:eastAsia="ja-JP"/>
        </w:rPr>
        <w:t xml:space="preserve"> </w:t>
      </w:r>
      <w:r w:rsidRPr="00007D6B">
        <w:rPr>
          <w:lang w:eastAsia="ja-JP"/>
        </w:rPr>
        <w:t>for</w:t>
      </w:r>
      <w:r w:rsidR="000159A6">
        <w:rPr>
          <w:lang w:eastAsia="ja-JP"/>
        </w:rPr>
        <w:t xml:space="preserve"> </w:t>
      </w:r>
      <w:r w:rsidRPr="00007D6B">
        <w:rPr>
          <w:lang w:eastAsia="ja-JP"/>
        </w:rPr>
        <w:t>either</w:t>
      </w:r>
      <w:r w:rsidR="000159A6">
        <w:rPr>
          <w:lang w:eastAsia="ja-JP"/>
        </w:rPr>
        <w:t xml:space="preserve"> </w:t>
      </w:r>
      <w:r w:rsidRPr="00007D6B">
        <w:rPr>
          <w:lang w:eastAsia="ja-JP"/>
        </w:rPr>
        <w:t>study</w:t>
      </w:r>
      <w:r w:rsidR="000159A6">
        <w:rPr>
          <w:lang w:eastAsia="ja-JP"/>
        </w:rPr>
        <w:t xml:space="preserve"> </w:t>
      </w:r>
      <w:r w:rsidRPr="00007D6B">
        <w:rPr>
          <w:lang w:eastAsia="ja-JP"/>
        </w:rPr>
        <w:t>and</w:t>
      </w:r>
      <w:r w:rsidR="000159A6">
        <w:rPr>
          <w:lang w:eastAsia="ja-JP"/>
        </w:rPr>
        <w:t xml:space="preserve"> </w:t>
      </w:r>
      <w:r w:rsidRPr="00007D6B">
        <w:rPr>
          <w:lang w:eastAsia="ja-JP"/>
        </w:rPr>
        <w:t>this</w:t>
      </w:r>
      <w:r w:rsidR="000159A6">
        <w:rPr>
          <w:lang w:eastAsia="ja-JP"/>
        </w:rPr>
        <w:t xml:space="preserve"> </w:t>
      </w:r>
      <w:r w:rsidR="000D0435">
        <w:rPr>
          <w:lang w:eastAsia="ja-JP"/>
        </w:rPr>
        <w:t>was</w:t>
      </w:r>
      <w:r w:rsidR="000159A6">
        <w:rPr>
          <w:lang w:eastAsia="ja-JP"/>
        </w:rPr>
        <w:t xml:space="preserve"> </w:t>
      </w:r>
      <w:r w:rsidRPr="00007D6B">
        <w:rPr>
          <w:lang w:eastAsia="ja-JP"/>
        </w:rPr>
        <w:t>queried.</w:t>
      </w:r>
      <w:r w:rsidR="000159A6">
        <w:rPr>
          <w:lang w:eastAsia="ja-JP"/>
        </w:rPr>
        <w:t xml:space="preserve"> </w:t>
      </w:r>
      <w:r>
        <w:rPr>
          <w:lang w:eastAsia="ja-JP"/>
        </w:rPr>
        <w:t>This</w:t>
      </w:r>
      <w:r w:rsidR="000159A6">
        <w:rPr>
          <w:lang w:eastAsia="ja-JP"/>
        </w:rPr>
        <w:t xml:space="preserve"> </w:t>
      </w:r>
      <w:r>
        <w:rPr>
          <w:lang w:eastAsia="ja-JP"/>
        </w:rPr>
        <w:t>is</w:t>
      </w:r>
      <w:r w:rsidR="000159A6">
        <w:rPr>
          <w:lang w:eastAsia="ja-JP"/>
        </w:rPr>
        <w:t xml:space="preserve"> </w:t>
      </w:r>
      <w:r>
        <w:rPr>
          <w:lang w:eastAsia="ja-JP"/>
        </w:rPr>
        <w:t>important</w:t>
      </w:r>
      <w:r w:rsidR="000159A6">
        <w:rPr>
          <w:lang w:eastAsia="ja-JP"/>
        </w:rPr>
        <w:t xml:space="preserve"> </w:t>
      </w:r>
      <w:r>
        <w:rPr>
          <w:lang w:eastAsia="ja-JP"/>
        </w:rPr>
        <w:t>to</w:t>
      </w:r>
      <w:r w:rsidR="000159A6">
        <w:rPr>
          <w:lang w:eastAsia="ja-JP"/>
        </w:rPr>
        <w:t xml:space="preserve"> </w:t>
      </w:r>
      <w:r w:rsidRPr="00007D6B">
        <w:rPr>
          <w:lang w:eastAsia="ja-JP"/>
        </w:rPr>
        <w:t>address</w:t>
      </w:r>
      <w:r w:rsidR="000159A6">
        <w:rPr>
          <w:lang w:eastAsia="ja-JP"/>
        </w:rPr>
        <w:t xml:space="preserve"> </w:t>
      </w:r>
      <w:r w:rsidRPr="00007D6B">
        <w:rPr>
          <w:lang w:eastAsia="ja-JP"/>
        </w:rPr>
        <w:t>comparability</w:t>
      </w:r>
      <w:r w:rsidR="000159A6">
        <w:rPr>
          <w:lang w:eastAsia="ja-JP"/>
        </w:rPr>
        <w:t xml:space="preserve"> </w:t>
      </w:r>
      <w:r w:rsidRPr="00007D6B">
        <w:rPr>
          <w:lang w:eastAsia="ja-JP"/>
        </w:rPr>
        <w:t>b</w:t>
      </w:r>
      <w:r>
        <w:rPr>
          <w:lang w:eastAsia="ja-JP"/>
        </w:rPr>
        <w:t>e</w:t>
      </w:r>
      <w:r w:rsidRPr="00007D6B">
        <w:rPr>
          <w:lang w:eastAsia="ja-JP"/>
        </w:rPr>
        <w:t>tween</w:t>
      </w:r>
      <w:r w:rsidR="000159A6">
        <w:rPr>
          <w:lang w:eastAsia="ja-JP"/>
        </w:rPr>
        <w:t xml:space="preserve"> </w:t>
      </w:r>
      <w:r w:rsidRPr="00007D6B">
        <w:rPr>
          <w:lang w:eastAsia="ja-JP"/>
        </w:rPr>
        <w:t>groups</w:t>
      </w:r>
      <w:r w:rsidR="000159A6">
        <w:rPr>
          <w:lang w:eastAsia="ja-JP"/>
        </w:rPr>
        <w:t xml:space="preserve"> </w:t>
      </w:r>
      <w:r w:rsidRPr="00007D6B">
        <w:rPr>
          <w:lang w:eastAsia="ja-JP"/>
        </w:rPr>
        <w:t>and</w:t>
      </w:r>
      <w:r w:rsidR="000159A6">
        <w:rPr>
          <w:lang w:eastAsia="ja-JP"/>
        </w:rPr>
        <w:t xml:space="preserve"> </w:t>
      </w:r>
      <w:r>
        <w:rPr>
          <w:lang w:eastAsia="ja-JP"/>
        </w:rPr>
        <w:t>the</w:t>
      </w:r>
      <w:r w:rsidR="000159A6">
        <w:rPr>
          <w:lang w:eastAsia="ja-JP"/>
        </w:rPr>
        <w:t xml:space="preserve"> </w:t>
      </w:r>
      <w:r w:rsidRPr="00007D6B">
        <w:rPr>
          <w:lang w:eastAsia="ja-JP"/>
        </w:rPr>
        <w:t>effects</w:t>
      </w:r>
      <w:r w:rsidR="000159A6">
        <w:rPr>
          <w:lang w:eastAsia="ja-JP"/>
        </w:rPr>
        <w:t xml:space="preserve"> </w:t>
      </w:r>
      <w:r w:rsidRPr="00007D6B">
        <w:rPr>
          <w:lang w:eastAsia="ja-JP"/>
        </w:rPr>
        <w:t>of</w:t>
      </w:r>
      <w:r w:rsidR="000159A6">
        <w:rPr>
          <w:lang w:eastAsia="ja-JP"/>
        </w:rPr>
        <w:t xml:space="preserve"> </w:t>
      </w:r>
      <w:r w:rsidRPr="00007D6B">
        <w:rPr>
          <w:lang w:eastAsia="ja-JP"/>
        </w:rPr>
        <w:t>conditions</w:t>
      </w:r>
      <w:r w:rsidR="000159A6">
        <w:rPr>
          <w:lang w:eastAsia="ja-JP"/>
        </w:rPr>
        <w:t xml:space="preserve"> </w:t>
      </w:r>
      <w:r w:rsidRPr="00007D6B">
        <w:rPr>
          <w:lang w:eastAsia="ja-JP"/>
        </w:rPr>
        <w:t>which</w:t>
      </w:r>
      <w:r w:rsidR="000159A6">
        <w:rPr>
          <w:lang w:eastAsia="ja-JP"/>
        </w:rPr>
        <w:t xml:space="preserve"> </w:t>
      </w:r>
      <w:r w:rsidRPr="00007D6B">
        <w:rPr>
          <w:lang w:eastAsia="ja-JP"/>
        </w:rPr>
        <w:t>may</w:t>
      </w:r>
      <w:r w:rsidR="000159A6">
        <w:rPr>
          <w:lang w:eastAsia="ja-JP"/>
        </w:rPr>
        <w:t xml:space="preserve"> </w:t>
      </w:r>
      <w:r w:rsidRPr="00007D6B">
        <w:rPr>
          <w:lang w:eastAsia="ja-JP"/>
        </w:rPr>
        <w:t>predispose</w:t>
      </w:r>
      <w:r w:rsidR="000159A6">
        <w:rPr>
          <w:lang w:eastAsia="ja-JP"/>
        </w:rPr>
        <w:t xml:space="preserve"> </w:t>
      </w:r>
      <w:r w:rsidRPr="00007D6B">
        <w:rPr>
          <w:lang w:eastAsia="ja-JP"/>
        </w:rPr>
        <w:t>to</w:t>
      </w:r>
      <w:r w:rsidR="000159A6">
        <w:rPr>
          <w:lang w:eastAsia="ja-JP"/>
        </w:rPr>
        <w:t xml:space="preserve"> </w:t>
      </w:r>
      <w:r w:rsidRPr="00007D6B">
        <w:rPr>
          <w:lang w:eastAsia="ja-JP"/>
        </w:rPr>
        <w:t>HZ</w:t>
      </w:r>
      <w:r>
        <w:rPr>
          <w:lang w:eastAsia="ja-JP"/>
        </w:rPr>
        <w:t>.</w:t>
      </w:r>
    </w:p>
    <w:p w14:paraId="7849ED8D" w14:textId="2FC85624" w:rsidR="001F6DEC" w:rsidRPr="00007D6B" w:rsidRDefault="001F6DEC" w:rsidP="00541F41">
      <w:pPr>
        <w:rPr>
          <w:lang w:eastAsia="ja-JP"/>
        </w:rPr>
      </w:pPr>
      <w:r>
        <w:rPr>
          <w:lang w:eastAsia="ja-JP"/>
        </w:rPr>
        <w:t>Having</w:t>
      </w:r>
      <w:r w:rsidR="000159A6">
        <w:rPr>
          <w:lang w:eastAsia="ja-JP"/>
        </w:rPr>
        <w:t xml:space="preserve"> </w:t>
      </w:r>
      <w:r>
        <w:rPr>
          <w:lang w:eastAsia="ja-JP"/>
        </w:rPr>
        <w:t>the</w:t>
      </w:r>
      <w:r w:rsidR="000159A6">
        <w:rPr>
          <w:lang w:eastAsia="ja-JP"/>
        </w:rPr>
        <w:t xml:space="preserve"> </w:t>
      </w:r>
      <w:r>
        <w:rPr>
          <w:lang w:eastAsia="ja-JP"/>
        </w:rPr>
        <w:t>two</w:t>
      </w:r>
      <w:r w:rsidR="000159A6">
        <w:rPr>
          <w:lang w:eastAsia="ja-JP"/>
        </w:rPr>
        <w:t xml:space="preserve"> </w:t>
      </w:r>
      <w:r>
        <w:rPr>
          <w:lang w:eastAsia="ja-JP"/>
        </w:rPr>
        <w:t>studies</w:t>
      </w:r>
      <w:r w:rsidR="000159A6">
        <w:rPr>
          <w:lang w:eastAsia="ja-JP"/>
        </w:rPr>
        <w:t xml:space="preserve"> </w:t>
      </w:r>
      <w:r>
        <w:rPr>
          <w:lang w:eastAsia="ja-JP"/>
        </w:rPr>
        <w:t>allowed</w:t>
      </w:r>
      <w:r w:rsidR="000159A6">
        <w:rPr>
          <w:lang w:eastAsia="ja-JP"/>
        </w:rPr>
        <w:t xml:space="preserve"> </w:t>
      </w:r>
      <w:r w:rsidRPr="00007D6B">
        <w:rPr>
          <w:lang w:eastAsia="ja-JP"/>
        </w:rPr>
        <w:t>for</w:t>
      </w:r>
      <w:r w:rsidR="000159A6">
        <w:rPr>
          <w:lang w:eastAsia="ja-JP"/>
        </w:rPr>
        <w:t xml:space="preserve"> </w:t>
      </w:r>
      <w:r w:rsidRPr="00007D6B">
        <w:rPr>
          <w:lang w:eastAsia="ja-JP"/>
        </w:rPr>
        <w:t>greater</w:t>
      </w:r>
      <w:r w:rsidR="000159A6">
        <w:rPr>
          <w:lang w:eastAsia="ja-JP"/>
        </w:rPr>
        <w:t xml:space="preserve"> </w:t>
      </w:r>
      <w:r w:rsidRPr="00007D6B">
        <w:rPr>
          <w:lang w:eastAsia="ja-JP"/>
        </w:rPr>
        <w:t>enrolment</w:t>
      </w:r>
      <w:r w:rsidR="000159A6">
        <w:rPr>
          <w:lang w:eastAsia="ja-JP"/>
        </w:rPr>
        <w:t xml:space="preserve"> </w:t>
      </w:r>
      <w:r w:rsidRPr="00007D6B">
        <w:rPr>
          <w:lang w:eastAsia="ja-JP"/>
        </w:rPr>
        <w:t>in</w:t>
      </w:r>
      <w:r w:rsidR="000159A6">
        <w:rPr>
          <w:lang w:eastAsia="ja-JP"/>
        </w:rPr>
        <w:t xml:space="preserve"> </w:t>
      </w:r>
      <w:r w:rsidRPr="00007D6B">
        <w:rPr>
          <w:lang w:eastAsia="ja-JP"/>
        </w:rPr>
        <w:t>older</w:t>
      </w:r>
      <w:r w:rsidR="000159A6">
        <w:rPr>
          <w:lang w:eastAsia="ja-JP"/>
        </w:rPr>
        <w:t xml:space="preserve"> </w:t>
      </w:r>
      <w:r w:rsidRPr="00007D6B">
        <w:rPr>
          <w:lang w:eastAsia="ja-JP"/>
        </w:rPr>
        <w:t>subjects</w:t>
      </w:r>
      <w:r>
        <w:rPr>
          <w:lang w:eastAsia="ja-JP"/>
        </w:rPr>
        <w:t>.</w:t>
      </w:r>
      <w:r w:rsidR="000159A6">
        <w:rPr>
          <w:lang w:eastAsia="ja-JP"/>
        </w:rPr>
        <w:t xml:space="preserve"> </w:t>
      </w:r>
      <w:r>
        <w:rPr>
          <w:lang w:eastAsia="ja-JP"/>
        </w:rPr>
        <w:t>This</w:t>
      </w:r>
      <w:r w:rsidR="000159A6">
        <w:rPr>
          <w:lang w:eastAsia="ja-JP"/>
        </w:rPr>
        <w:t xml:space="preserve"> </w:t>
      </w:r>
      <w:r>
        <w:rPr>
          <w:lang w:eastAsia="ja-JP"/>
        </w:rPr>
        <w:t>s</w:t>
      </w:r>
      <w:r w:rsidRPr="00007D6B">
        <w:rPr>
          <w:lang w:eastAsia="ja-JP"/>
        </w:rPr>
        <w:t>eparation</w:t>
      </w:r>
      <w:r w:rsidR="000159A6">
        <w:rPr>
          <w:lang w:eastAsia="ja-JP"/>
        </w:rPr>
        <w:t xml:space="preserve"> </w:t>
      </w:r>
      <w:r>
        <w:rPr>
          <w:lang w:eastAsia="ja-JP"/>
        </w:rPr>
        <w:t>was</w:t>
      </w:r>
      <w:r w:rsidR="000159A6">
        <w:rPr>
          <w:lang w:eastAsia="ja-JP"/>
        </w:rPr>
        <w:t xml:space="preserve"> </w:t>
      </w:r>
      <w:r>
        <w:rPr>
          <w:lang w:eastAsia="ja-JP"/>
        </w:rPr>
        <w:t>undertaken</w:t>
      </w:r>
      <w:r w:rsidR="000159A6">
        <w:rPr>
          <w:lang w:eastAsia="ja-JP"/>
        </w:rPr>
        <w:t xml:space="preserve"> </w:t>
      </w:r>
      <w:r w:rsidRPr="00007D6B">
        <w:rPr>
          <w:lang w:eastAsia="ja-JP"/>
        </w:rPr>
        <w:t>due</w:t>
      </w:r>
      <w:r w:rsidR="000159A6">
        <w:rPr>
          <w:lang w:eastAsia="ja-JP"/>
        </w:rPr>
        <w:t xml:space="preserve"> </w:t>
      </w:r>
      <w:r w:rsidRPr="00007D6B">
        <w:rPr>
          <w:lang w:eastAsia="ja-JP"/>
        </w:rPr>
        <w:t>to</w:t>
      </w:r>
      <w:r w:rsidR="000159A6">
        <w:rPr>
          <w:lang w:eastAsia="ja-JP"/>
        </w:rPr>
        <w:t xml:space="preserve"> </w:t>
      </w:r>
      <w:r>
        <w:rPr>
          <w:lang w:eastAsia="ja-JP"/>
        </w:rPr>
        <w:t>the</w:t>
      </w:r>
      <w:r w:rsidR="000159A6">
        <w:rPr>
          <w:lang w:eastAsia="ja-JP"/>
        </w:rPr>
        <w:t xml:space="preserve"> </w:t>
      </w:r>
      <w:r w:rsidRPr="00007D6B">
        <w:rPr>
          <w:lang w:eastAsia="ja-JP"/>
        </w:rPr>
        <w:t>higher</w:t>
      </w:r>
      <w:r w:rsidR="000159A6">
        <w:rPr>
          <w:lang w:eastAsia="ja-JP"/>
        </w:rPr>
        <w:t xml:space="preserve"> </w:t>
      </w:r>
      <w:r w:rsidRPr="00007D6B">
        <w:rPr>
          <w:lang w:eastAsia="ja-JP"/>
        </w:rPr>
        <w:t>PHN</w:t>
      </w:r>
      <w:r w:rsidR="000159A6">
        <w:rPr>
          <w:lang w:eastAsia="ja-JP"/>
        </w:rPr>
        <w:t xml:space="preserve"> </w:t>
      </w:r>
      <w:r w:rsidRPr="00007D6B">
        <w:rPr>
          <w:lang w:eastAsia="ja-JP"/>
        </w:rPr>
        <w:t>incidence</w:t>
      </w:r>
      <w:r w:rsidR="000159A6">
        <w:rPr>
          <w:lang w:eastAsia="ja-JP"/>
        </w:rPr>
        <w:t xml:space="preserve"> </w:t>
      </w:r>
      <w:r w:rsidRPr="00007D6B">
        <w:rPr>
          <w:lang w:eastAsia="ja-JP"/>
        </w:rPr>
        <w:t>in</w:t>
      </w:r>
      <w:r w:rsidR="000159A6">
        <w:rPr>
          <w:lang w:eastAsia="ja-JP"/>
        </w:rPr>
        <w:t xml:space="preserve"> </w:t>
      </w:r>
      <w:r w:rsidRPr="00007D6B">
        <w:rPr>
          <w:lang w:eastAsia="ja-JP"/>
        </w:rPr>
        <w:t>those</w:t>
      </w:r>
      <w:r w:rsidR="000159A6">
        <w:rPr>
          <w:lang w:eastAsia="ja-JP"/>
        </w:rPr>
        <w:t xml:space="preserve"> </w:t>
      </w:r>
      <w:r w:rsidRPr="00007D6B">
        <w:rPr>
          <w:lang w:eastAsia="ja-JP"/>
        </w:rPr>
        <w:t>aged</w:t>
      </w:r>
      <w:r w:rsidR="000159A6">
        <w:rPr>
          <w:lang w:eastAsia="ja-JP"/>
        </w:rPr>
        <w:t xml:space="preserve"> </w:t>
      </w:r>
      <w:r w:rsidR="0037169B">
        <w:rPr>
          <w:lang w:eastAsia="ja-JP"/>
        </w:rPr>
        <w:t>≥</w:t>
      </w:r>
      <w:r w:rsidR="000159A6">
        <w:rPr>
          <w:lang w:eastAsia="ja-JP"/>
        </w:rPr>
        <w:t xml:space="preserve"> </w:t>
      </w:r>
      <w:r w:rsidRPr="00007D6B">
        <w:rPr>
          <w:lang w:eastAsia="ja-JP"/>
        </w:rPr>
        <w:t>70</w:t>
      </w:r>
      <w:r w:rsidR="000159A6">
        <w:rPr>
          <w:lang w:eastAsia="ja-JP"/>
        </w:rPr>
        <w:t xml:space="preserve"> </w:t>
      </w:r>
      <w:r w:rsidRPr="00007D6B">
        <w:rPr>
          <w:lang w:eastAsia="ja-JP"/>
        </w:rPr>
        <w:t>years</w:t>
      </w:r>
      <w:r w:rsidR="000159A6">
        <w:rPr>
          <w:lang w:eastAsia="ja-JP"/>
        </w:rPr>
        <w:t xml:space="preserve"> </w:t>
      </w:r>
      <w:r w:rsidRPr="00007D6B">
        <w:rPr>
          <w:lang w:eastAsia="ja-JP"/>
        </w:rPr>
        <w:t>and</w:t>
      </w:r>
      <w:r w:rsidR="000159A6">
        <w:rPr>
          <w:lang w:eastAsia="ja-JP"/>
        </w:rPr>
        <w:t xml:space="preserve"> </w:t>
      </w:r>
      <w:r w:rsidRPr="00007D6B">
        <w:rPr>
          <w:lang w:eastAsia="ja-JP"/>
        </w:rPr>
        <w:t>also</w:t>
      </w:r>
      <w:r w:rsidR="000159A6">
        <w:rPr>
          <w:lang w:eastAsia="ja-JP"/>
        </w:rPr>
        <w:t xml:space="preserve"> </w:t>
      </w:r>
      <w:r w:rsidRPr="00007D6B">
        <w:rPr>
          <w:lang w:eastAsia="ja-JP"/>
        </w:rPr>
        <w:t>to</w:t>
      </w:r>
      <w:r w:rsidR="000159A6">
        <w:rPr>
          <w:lang w:eastAsia="ja-JP"/>
        </w:rPr>
        <w:t xml:space="preserve"> </w:t>
      </w:r>
      <w:r w:rsidRPr="00007D6B">
        <w:rPr>
          <w:lang w:eastAsia="ja-JP"/>
        </w:rPr>
        <w:t>accurately</w:t>
      </w:r>
      <w:r w:rsidR="000159A6">
        <w:rPr>
          <w:lang w:eastAsia="ja-JP"/>
        </w:rPr>
        <w:t xml:space="preserve"> </w:t>
      </w:r>
      <w:r w:rsidRPr="00007D6B">
        <w:rPr>
          <w:lang w:eastAsia="ja-JP"/>
        </w:rPr>
        <w:t>assess</w:t>
      </w:r>
      <w:r w:rsidR="000159A6">
        <w:rPr>
          <w:lang w:eastAsia="ja-JP"/>
        </w:rPr>
        <w:t xml:space="preserve"> </w:t>
      </w:r>
      <w:r w:rsidRPr="00007D6B">
        <w:rPr>
          <w:lang w:eastAsia="ja-JP"/>
        </w:rPr>
        <w:t>vaccine</w:t>
      </w:r>
      <w:r w:rsidR="000159A6">
        <w:rPr>
          <w:lang w:eastAsia="ja-JP"/>
        </w:rPr>
        <w:t xml:space="preserve"> </w:t>
      </w:r>
      <w:r w:rsidRPr="00007D6B">
        <w:rPr>
          <w:lang w:eastAsia="ja-JP"/>
        </w:rPr>
        <w:t>efficacy</w:t>
      </w:r>
      <w:r w:rsidR="000159A6">
        <w:rPr>
          <w:lang w:eastAsia="ja-JP"/>
        </w:rPr>
        <w:t xml:space="preserve"> </w:t>
      </w:r>
      <w:r>
        <w:rPr>
          <w:lang w:eastAsia="ja-JP"/>
        </w:rPr>
        <w:t>as</w:t>
      </w:r>
      <w:r w:rsidR="000159A6">
        <w:rPr>
          <w:lang w:eastAsia="ja-JP"/>
        </w:rPr>
        <w:t xml:space="preserve"> </w:t>
      </w:r>
      <w:r>
        <w:rPr>
          <w:lang w:eastAsia="ja-JP"/>
        </w:rPr>
        <w:t>it</w:t>
      </w:r>
      <w:r w:rsidR="000159A6">
        <w:rPr>
          <w:lang w:eastAsia="ja-JP"/>
        </w:rPr>
        <w:t xml:space="preserve"> </w:t>
      </w:r>
      <w:r>
        <w:rPr>
          <w:lang w:eastAsia="ja-JP"/>
        </w:rPr>
        <w:t>was</w:t>
      </w:r>
      <w:r w:rsidR="000159A6">
        <w:rPr>
          <w:lang w:eastAsia="ja-JP"/>
        </w:rPr>
        <w:t xml:space="preserve"> </w:t>
      </w:r>
      <w:r>
        <w:rPr>
          <w:lang w:eastAsia="ja-JP"/>
        </w:rPr>
        <w:t>assumed</w:t>
      </w:r>
      <w:r w:rsidR="000159A6">
        <w:rPr>
          <w:lang w:eastAsia="ja-JP"/>
        </w:rPr>
        <w:t xml:space="preserve"> </w:t>
      </w:r>
      <w:r>
        <w:rPr>
          <w:lang w:eastAsia="ja-JP"/>
        </w:rPr>
        <w:t>vaccine</w:t>
      </w:r>
      <w:r w:rsidR="000159A6">
        <w:rPr>
          <w:lang w:eastAsia="ja-JP"/>
        </w:rPr>
        <w:t xml:space="preserve"> </w:t>
      </w:r>
      <w:r w:rsidRPr="00007D6B">
        <w:rPr>
          <w:lang w:eastAsia="ja-JP"/>
        </w:rPr>
        <w:t>efficacy</w:t>
      </w:r>
      <w:r w:rsidR="000159A6">
        <w:rPr>
          <w:lang w:eastAsia="ja-JP"/>
        </w:rPr>
        <w:t xml:space="preserve"> </w:t>
      </w:r>
      <w:r>
        <w:rPr>
          <w:lang w:eastAsia="ja-JP"/>
        </w:rPr>
        <w:t>may</w:t>
      </w:r>
      <w:r w:rsidR="000159A6">
        <w:rPr>
          <w:lang w:eastAsia="ja-JP"/>
        </w:rPr>
        <w:t xml:space="preserve"> </w:t>
      </w:r>
      <w:r w:rsidRPr="00007D6B">
        <w:rPr>
          <w:lang w:eastAsia="ja-JP"/>
        </w:rPr>
        <w:t>decrease</w:t>
      </w:r>
      <w:r w:rsidR="000159A6">
        <w:rPr>
          <w:lang w:eastAsia="ja-JP"/>
        </w:rPr>
        <w:t xml:space="preserve"> </w:t>
      </w:r>
      <w:r w:rsidRPr="00007D6B">
        <w:rPr>
          <w:lang w:eastAsia="ja-JP"/>
        </w:rPr>
        <w:t>with</w:t>
      </w:r>
      <w:r w:rsidR="000159A6">
        <w:rPr>
          <w:lang w:eastAsia="ja-JP"/>
        </w:rPr>
        <w:t xml:space="preserve"> </w:t>
      </w:r>
      <w:r w:rsidRPr="00007D6B">
        <w:rPr>
          <w:lang w:eastAsia="ja-JP"/>
        </w:rPr>
        <w:t>age.</w:t>
      </w:r>
      <w:r w:rsidR="000159A6">
        <w:rPr>
          <w:lang w:eastAsia="ja-JP"/>
        </w:rPr>
        <w:t xml:space="preserve"> </w:t>
      </w:r>
      <w:r w:rsidRPr="00007D6B">
        <w:rPr>
          <w:lang w:eastAsia="ja-JP"/>
        </w:rPr>
        <w:t>The</w:t>
      </w:r>
      <w:r w:rsidR="000159A6">
        <w:rPr>
          <w:lang w:eastAsia="ja-JP"/>
        </w:rPr>
        <w:t xml:space="preserve"> </w:t>
      </w:r>
      <w:r w:rsidRPr="00007D6B">
        <w:rPr>
          <w:lang w:eastAsia="ja-JP"/>
        </w:rPr>
        <w:t>study</w:t>
      </w:r>
      <w:r w:rsidR="000159A6">
        <w:rPr>
          <w:lang w:eastAsia="ja-JP"/>
        </w:rPr>
        <w:t xml:space="preserve"> </w:t>
      </w:r>
      <w:r w:rsidRPr="00007D6B">
        <w:rPr>
          <w:lang w:eastAsia="ja-JP"/>
        </w:rPr>
        <w:t>design</w:t>
      </w:r>
      <w:r w:rsidR="000159A6">
        <w:rPr>
          <w:lang w:eastAsia="ja-JP"/>
        </w:rPr>
        <w:t xml:space="preserve"> </w:t>
      </w:r>
      <w:r>
        <w:rPr>
          <w:lang w:eastAsia="ja-JP"/>
        </w:rPr>
        <w:t>and</w:t>
      </w:r>
      <w:r w:rsidR="000159A6">
        <w:rPr>
          <w:lang w:eastAsia="ja-JP"/>
        </w:rPr>
        <w:t xml:space="preserve"> </w:t>
      </w:r>
      <w:r>
        <w:rPr>
          <w:lang w:eastAsia="ja-JP"/>
        </w:rPr>
        <w:t>oversight</w:t>
      </w:r>
      <w:r w:rsidR="000159A6">
        <w:rPr>
          <w:lang w:eastAsia="ja-JP"/>
        </w:rPr>
        <w:t xml:space="preserve"> </w:t>
      </w:r>
      <w:r w:rsidRPr="00007D6B">
        <w:rPr>
          <w:lang w:eastAsia="ja-JP"/>
        </w:rPr>
        <w:t>was</w:t>
      </w:r>
      <w:r w:rsidR="000159A6">
        <w:rPr>
          <w:lang w:eastAsia="ja-JP"/>
        </w:rPr>
        <w:t xml:space="preserve"> </w:t>
      </w:r>
      <w:r w:rsidRPr="00007D6B">
        <w:rPr>
          <w:lang w:eastAsia="ja-JP"/>
        </w:rPr>
        <w:t>appropriate</w:t>
      </w:r>
      <w:r w:rsidR="000159A6">
        <w:rPr>
          <w:lang w:eastAsia="ja-JP"/>
        </w:rPr>
        <w:t xml:space="preserve"> </w:t>
      </w:r>
      <w:r w:rsidRPr="00007D6B">
        <w:rPr>
          <w:lang w:eastAsia="ja-JP"/>
        </w:rPr>
        <w:t>and</w:t>
      </w:r>
      <w:r w:rsidR="000159A6">
        <w:rPr>
          <w:lang w:eastAsia="ja-JP"/>
        </w:rPr>
        <w:t xml:space="preserve"> </w:t>
      </w:r>
      <w:r w:rsidRPr="00007D6B">
        <w:rPr>
          <w:lang w:eastAsia="ja-JP"/>
        </w:rPr>
        <w:t>supported</w:t>
      </w:r>
      <w:r w:rsidR="000159A6">
        <w:rPr>
          <w:lang w:eastAsia="ja-JP"/>
        </w:rPr>
        <w:t xml:space="preserve"> </w:t>
      </w:r>
      <w:r w:rsidRPr="00007D6B">
        <w:rPr>
          <w:lang w:eastAsia="ja-JP"/>
        </w:rPr>
        <w:t>by</w:t>
      </w:r>
      <w:r w:rsidR="000159A6">
        <w:rPr>
          <w:lang w:eastAsia="ja-JP"/>
        </w:rPr>
        <w:t xml:space="preserve"> </w:t>
      </w:r>
      <w:r w:rsidRPr="00007D6B">
        <w:rPr>
          <w:lang w:eastAsia="ja-JP"/>
        </w:rPr>
        <w:t>regulatory</w:t>
      </w:r>
      <w:r w:rsidR="000159A6">
        <w:rPr>
          <w:lang w:eastAsia="ja-JP"/>
        </w:rPr>
        <w:t xml:space="preserve"> </w:t>
      </w:r>
      <w:r w:rsidRPr="00007D6B">
        <w:rPr>
          <w:lang w:eastAsia="ja-JP"/>
        </w:rPr>
        <w:t>advice.</w:t>
      </w:r>
    </w:p>
    <w:p w14:paraId="31A4591F" w14:textId="26BC994B" w:rsidR="001F6DEC" w:rsidRDefault="001F6DEC" w:rsidP="00541F41">
      <w:pPr>
        <w:rPr>
          <w:lang w:eastAsia="ja-JP"/>
        </w:rPr>
      </w:pPr>
      <w:r w:rsidRPr="00007D6B">
        <w:rPr>
          <w:lang w:eastAsia="ja-JP"/>
        </w:rPr>
        <w:t>The</w:t>
      </w:r>
      <w:r w:rsidR="000159A6">
        <w:rPr>
          <w:lang w:eastAsia="ja-JP"/>
        </w:rPr>
        <w:t xml:space="preserve"> </w:t>
      </w:r>
      <w:r w:rsidRPr="00007D6B">
        <w:rPr>
          <w:lang w:eastAsia="ja-JP"/>
        </w:rPr>
        <w:t>primary</w:t>
      </w:r>
      <w:r w:rsidR="000159A6">
        <w:rPr>
          <w:lang w:eastAsia="ja-JP"/>
        </w:rPr>
        <w:t xml:space="preserve"> </w:t>
      </w:r>
      <w:r w:rsidRPr="00007D6B">
        <w:rPr>
          <w:lang w:eastAsia="ja-JP"/>
        </w:rPr>
        <w:t>endpoint</w:t>
      </w:r>
      <w:r w:rsidR="000159A6">
        <w:rPr>
          <w:lang w:eastAsia="ja-JP"/>
        </w:rPr>
        <w:t xml:space="preserve"> </w:t>
      </w:r>
      <w:r w:rsidRPr="00007D6B">
        <w:rPr>
          <w:lang w:eastAsia="ja-JP"/>
        </w:rPr>
        <w:t>was</w:t>
      </w:r>
      <w:r w:rsidR="000159A6">
        <w:rPr>
          <w:lang w:eastAsia="ja-JP"/>
        </w:rPr>
        <w:t xml:space="preserve"> </w:t>
      </w:r>
      <w:r w:rsidRPr="00007D6B">
        <w:rPr>
          <w:lang w:eastAsia="ja-JP"/>
        </w:rPr>
        <w:t>HZ</w:t>
      </w:r>
      <w:r w:rsidR="000159A6">
        <w:rPr>
          <w:lang w:eastAsia="ja-JP"/>
        </w:rPr>
        <w:t xml:space="preserve"> </w:t>
      </w:r>
      <w:r w:rsidRPr="00007D6B">
        <w:rPr>
          <w:lang w:eastAsia="ja-JP"/>
        </w:rPr>
        <w:t>as</w:t>
      </w:r>
      <w:r w:rsidR="000159A6">
        <w:rPr>
          <w:lang w:eastAsia="ja-JP"/>
        </w:rPr>
        <w:t xml:space="preserve"> </w:t>
      </w:r>
      <w:r w:rsidRPr="00007D6B">
        <w:rPr>
          <w:lang w:eastAsia="ja-JP"/>
        </w:rPr>
        <w:t>confirmed</w:t>
      </w:r>
      <w:r w:rsidR="000159A6">
        <w:rPr>
          <w:lang w:eastAsia="ja-JP"/>
        </w:rPr>
        <w:t xml:space="preserve"> </w:t>
      </w:r>
      <w:r w:rsidR="00D0523C" w:rsidRPr="00007D6B">
        <w:rPr>
          <w:lang w:eastAsia="ja-JP"/>
        </w:rPr>
        <w:t>by</w:t>
      </w:r>
      <w:r w:rsidR="000159A6">
        <w:rPr>
          <w:lang w:eastAsia="ja-JP"/>
        </w:rPr>
        <w:t xml:space="preserve"> </w:t>
      </w:r>
      <w:r w:rsidR="00D0523C">
        <w:t>polymerase</w:t>
      </w:r>
      <w:r w:rsidR="000159A6">
        <w:t xml:space="preserve"> </w:t>
      </w:r>
      <w:r w:rsidR="00D0523C">
        <w:t>chain</w:t>
      </w:r>
      <w:r w:rsidR="000159A6">
        <w:t xml:space="preserve"> </w:t>
      </w:r>
      <w:r w:rsidR="00D0523C">
        <w:t>reaction</w:t>
      </w:r>
      <w:r w:rsidR="000159A6">
        <w:rPr>
          <w:lang w:eastAsia="ja-JP"/>
        </w:rPr>
        <w:t xml:space="preserve"> </w:t>
      </w:r>
      <w:r w:rsidR="00D0523C">
        <w:rPr>
          <w:lang w:eastAsia="ja-JP"/>
        </w:rPr>
        <w:t>(</w:t>
      </w:r>
      <w:r w:rsidRPr="00007D6B">
        <w:rPr>
          <w:lang w:eastAsia="ja-JP"/>
        </w:rPr>
        <w:t>PCR</w:t>
      </w:r>
      <w:r w:rsidR="00D0523C">
        <w:rPr>
          <w:lang w:eastAsia="ja-JP"/>
        </w:rPr>
        <w:t>)</w:t>
      </w:r>
      <w:r w:rsidR="000159A6">
        <w:rPr>
          <w:lang w:eastAsia="ja-JP"/>
        </w:rPr>
        <w:t xml:space="preserve"> </w:t>
      </w:r>
      <w:r>
        <w:rPr>
          <w:lang w:eastAsia="ja-JP"/>
        </w:rPr>
        <w:t>and</w:t>
      </w:r>
      <w:r w:rsidR="000159A6">
        <w:rPr>
          <w:lang w:eastAsia="ja-JP"/>
        </w:rPr>
        <w:t xml:space="preserve"> </w:t>
      </w:r>
      <w:r>
        <w:rPr>
          <w:lang w:eastAsia="ja-JP"/>
        </w:rPr>
        <w:t>all</w:t>
      </w:r>
      <w:r w:rsidR="000159A6">
        <w:rPr>
          <w:lang w:eastAsia="ja-JP"/>
        </w:rPr>
        <w:t xml:space="preserve"> </w:t>
      </w:r>
      <w:r>
        <w:rPr>
          <w:lang w:eastAsia="ja-JP"/>
        </w:rPr>
        <w:t>suspected</w:t>
      </w:r>
      <w:r w:rsidR="000159A6">
        <w:rPr>
          <w:lang w:eastAsia="ja-JP"/>
        </w:rPr>
        <w:t xml:space="preserve"> </w:t>
      </w:r>
      <w:r>
        <w:rPr>
          <w:lang w:eastAsia="ja-JP"/>
        </w:rPr>
        <w:t>HZ</w:t>
      </w:r>
      <w:r w:rsidR="000159A6">
        <w:rPr>
          <w:lang w:eastAsia="ja-JP"/>
        </w:rPr>
        <w:t xml:space="preserve"> </w:t>
      </w:r>
      <w:r>
        <w:rPr>
          <w:lang w:eastAsia="ja-JP"/>
        </w:rPr>
        <w:t>cases</w:t>
      </w:r>
      <w:r w:rsidR="000159A6">
        <w:rPr>
          <w:lang w:eastAsia="ja-JP"/>
        </w:rPr>
        <w:t xml:space="preserve"> </w:t>
      </w:r>
      <w:r>
        <w:rPr>
          <w:lang w:eastAsia="ja-JP"/>
        </w:rPr>
        <w:t>were</w:t>
      </w:r>
      <w:r w:rsidR="000159A6">
        <w:rPr>
          <w:lang w:eastAsia="ja-JP"/>
        </w:rPr>
        <w:t xml:space="preserve"> </w:t>
      </w:r>
      <w:r>
        <w:rPr>
          <w:lang w:eastAsia="ja-JP"/>
        </w:rPr>
        <w:t>reviewed</w:t>
      </w:r>
      <w:r w:rsidR="000159A6">
        <w:rPr>
          <w:lang w:eastAsia="ja-JP"/>
        </w:rPr>
        <w:t xml:space="preserve"> </w:t>
      </w:r>
      <w:r>
        <w:rPr>
          <w:lang w:eastAsia="ja-JP"/>
        </w:rPr>
        <w:t>by</w:t>
      </w:r>
      <w:r w:rsidR="000159A6">
        <w:rPr>
          <w:lang w:eastAsia="ja-JP"/>
        </w:rPr>
        <w:t xml:space="preserve"> </w:t>
      </w:r>
      <w:r w:rsidRPr="00007D6B">
        <w:rPr>
          <w:lang w:eastAsia="ja-JP"/>
        </w:rPr>
        <w:t>a</w:t>
      </w:r>
      <w:r w:rsidR="000159A6">
        <w:rPr>
          <w:lang w:eastAsia="ja-JP"/>
        </w:rPr>
        <w:t xml:space="preserve"> </w:t>
      </w:r>
      <w:r w:rsidRPr="00007D6B">
        <w:rPr>
          <w:lang w:eastAsia="ja-JP"/>
        </w:rPr>
        <w:t>blinded</w:t>
      </w:r>
      <w:r w:rsidR="000159A6">
        <w:rPr>
          <w:lang w:eastAsia="ja-JP"/>
        </w:rPr>
        <w:t xml:space="preserve"> </w:t>
      </w:r>
      <w:r w:rsidRPr="00007D6B">
        <w:rPr>
          <w:lang w:eastAsia="ja-JP"/>
        </w:rPr>
        <w:t>HZ</w:t>
      </w:r>
      <w:r w:rsidR="000159A6">
        <w:rPr>
          <w:lang w:eastAsia="ja-JP"/>
        </w:rPr>
        <w:t xml:space="preserve"> </w:t>
      </w:r>
      <w:r w:rsidRPr="00007D6B">
        <w:rPr>
          <w:lang w:eastAsia="ja-JP"/>
        </w:rPr>
        <w:t>Adjudication</w:t>
      </w:r>
      <w:r w:rsidR="000159A6">
        <w:rPr>
          <w:lang w:eastAsia="ja-JP"/>
        </w:rPr>
        <w:t xml:space="preserve"> </w:t>
      </w:r>
      <w:r w:rsidRPr="00007D6B">
        <w:rPr>
          <w:lang w:eastAsia="ja-JP"/>
        </w:rPr>
        <w:t>Committee.</w:t>
      </w:r>
      <w:r w:rsidR="000159A6">
        <w:rPr>
          <w:lang w:eastAsia="ja-JP"/>
        </w:rPr>
        <w:t xml:space="preserve"> </w:t>
      </w:r>
      <w:r w:rsidRPr="00007D6B">
        <w:rPr>
          <w:lang w:eastAsia="ja-JP"/>
        </w:rPr>
        <w:t>PHN</w:t>
      </w:r>
      <w:r w:rsidR="000159A6">
        <w:rPr>
          <w:lang w:eastAsia="ja-JP"/>
        </w:rPr>
        <w:t xml:space="preserve"> </w:t>
      </w:r>
      <w:r w:rsidRPr="00007D6B">
        <w:rPr>
          <w:lang w:eastAsia="ja-JP"/>
        </w:rPr>
        <w:t>was</w:t>
      </w:r>
      <w:r w:rsidR="000159A6">
        <w:rPr>
          <w:lang w:eastAsia="ja-JP"/>
        </w:rPr>
        <w:t xml:space="preserve"> </w:t>
      </w:r>
      <w:r w:rsidRPr="00007D6B">
        <w:rPr>
          <w:lang w:eastAsia="ja-JP"/>
        </w:rPr>
        <w:t>a</w:t>
      </w:r>
      <w:r w:rsidR="000159A6">
        <w:rPr>
          <w:lang w:eastAsia="ja-JP"/>
        </w:rPr>
        <w:t xml:space="preserve"> </w:t>
      </w:r>
      <w:r w:rsidRPr="00007D6B">
        <w:rPr>
          <w:lang w:eastAsia="ja-JP"/>
        </w:rPr>
        <w:t>secondary</w:t>
      </w:r>
      <w:r w:rsidR="000159A6">
        <w:rPr>
          <w:lang w:eastAsia="ja-JP"/>
        </w:rPr>
        <w:t xml:space="preserve"> </w:t>
      </w:r>
      <w:r w:rsidRPr="00007D6B">
        <w:rPr>
          <w:lang w:eastAsia="ja-JP"/>
        </w:rPr>
        <w:t>endpoint</w:t>
      </w:r>
      <w:r w:rsidR="000159A6">
        <w:rPr>
          <w:lang w:eastAsia="ja-JP"/>
        </w:rPr>
        <w:t xml:space="preserve"> </w:t>
      </w:r>
      <w:r w:rsidRPr="00007D6B">
        <w:rPr>
          <w:lang w:eastAsia="ja-JP"/>
        </w:rPr>
        <w:t>in</w:t>
      </w:r>
      <w:r w:rsidR="000159A6">
        <w:rPr>
          <w:lang w:eastAsia="ja-JP"/>
        </w:rPr>
        <w:t xml:space="preserve"> </w:t>
      </w:r>
      <w:r w:rsidRPr="00007D6B">
        <w:rPr>
          <w:lang w:eastAsia="ja-JP"/>
        </w:rPr>
        <w:t>the</w:t>
      </w:r>
      <w:r w:rsidR="000159A6">
        <w:rPr>
          <w:lang w:eastAsia="ja-JP"/>
        </w:rPr>
        <w:t xml:space="preserve"> </w:t>
      </w:r>
      <w:r w:rsidRPr="00007D6B">
        <w:rPr>
          <w:lang w:eastAsia="ja-JP"/>
        </w:rPr>
        <w:t>individual</w:t>
      </w:r>
      <w:r w:rsidR="000159A6">
        <w:rPr>
          <w:lang w:eastAsia="ja-JP"/>
        </w:rPr>
        <w:t xml:space="preserve"> </w:t>
      </w:r>
      <w:r w:rsidRPr="00007D6B">
        <w:rPr>
          <w:lang w:eastAsia="ja-JP"/>
        </w:rPr>
        <w:t>studies</w:t>
      </w:r>
      <w:r w:rsidR="000159A6">
        <w:rPr>
          <w:lang w:eastAsia="ja-JP"/>
        </w:rPr>
        <w:t xml:space="preserve"> </w:t>
      </w:r>
      <w:r w:rsidRPr="00007D6B">
        <w:rPr>
          <w:lang w:eastAsia="ja-JP"/>
        </w:rPr>
        <w:t>but</w:t>
      </w:r>
      <w:r w:rsidR="000159A6">
        <w:rPr>
          <w:lang w:eastAsia="ja-JP"/>
        </w:rPr>
        <w:t xml:space="preserve"> </w:t>
      </w:r>
      <w:r w:rsidRPr="00007D6B">
        <w:rPr>
          <w:lang w:eastAsia="ja-JP"/>
        </w:rPr>
        <w:t>for</w:t>
      </w:r>
      <w:r w:rsidR="000159A6">
        <w:rPr>
          <w:lang w:eastAsia="ja-JP"/>
        </w:rPr>
        <w:t xml:space="preserve"> </w:t>
      </w:r>
      <w:r w:rsidRPr="00007D6B">
        <w:rPr>
          <w:lang w:eastAsia="ja-JP"/>
        </w:rPr>
        <w:t>those</w:t>
      </w:r>
      <w:r w:rsidR="000159A6">
        <w:rPr>
          <w:lang w:eastAsia="ja-JP"/>
        </w:rPr>
        <w:t xml:space="preserve"> </w:t>
      </w:r>
      <w:r w:rsidRPr="00007D6B">
        <w:rPr>
          <w:lang w:eastAsia="ja-JP"/>
        </w:rPr>
        <w:t>aged</w:t>
      </w:r>
      <w:r w:rsidR="000159A6">
        <w:rPr>
          <w:lang w:eastAsia="ja-JP"/>
        </w:rPr>
        <w:t xml:space="preserve"> </w:t>
      </w:r>
      <w:r w:rsidR="0037169B">
        <w:rPr>
          <w:lang w:eastAsia="ja-JP"/>
        </w:rPr>
        <w:t>≥</w:t>
      </w:r>
      <w:r w:rsidR="000159A6">
        <w:rPr>
          <w:lang w:eastAsia="ja-JP"/>
        </w:rPr>
        <w:t xml:space="preserve"> </w:t>
      </w:r>
      <w:r w:rsidRPr="00007D6B">
        <w:rPr>
          <w:lang w:eastAsia="ja-JP"/>
        </w:rPr>
        <w:t>70</w:t>
      </w:r>
      <w:r w:rsidR="000159A6">
        <w:rPr>
          <w:lang w:eastAsia="ja-JP"/>
        </w:rPr>
        <w:t xml:space="preserve"> </w:t>
      </w:r>
      <w:r w:rsidRPr="00007D6B">
        <w:rPr>
          <w:lang w:eastAsia="ja-JP"/>
        </w:rPr>
        <w:t>years</w:t>
      </w:r>
      <w:r w:rsidR="000159A6">
        <w:rPr>
          <w:lang w:eastAsia="ja-JP"/>
        </w:rPr>
        <w:t xml:space="preserve"> </w:t>
      </w:r>
      <w:r w:rsidRPr="00007D6B">
        <w:rPr>
          <w:lang w:eastAsia="ja-JP"/>
        </w:rPr>
        <w:t>was</w:t>
      </w:r>
      <w:r w:rsidR="000159A6">
        <w:rPr>
          <w:lang w:eastAsia="ja-JP"/>
        </w:rPr>
        <w:t xml:space="preserve"> </w:t>
      </w:r>
      <w:r w:rsidRPr="00007D6B">
        <w:rPr>
          <w:lang w:eastAsia="ja-JP"/>
        </w:rPr>
        <w:t>a</w:t>
      </w:r>
      <w:r w:rsidR="000159A6">
        <w:rPr>
          <w:lang w:eastAsia="ja-JP"/>
        </w:rPr>
        <w:t xml:space="preserve"> </w:t>
      </w:r>
      <w:r w:rsidRPr="00007D6B">
        <w:rPr>
          <w:lang w:eastAsia="ja-JP"/>
        </w:rPr>
        <w:t>primary</w:t>
      </w:r>
      <w:r w:rsidR="000159A6">
        <w:rPr>
          <w:lang w:eastAsia="ja-JP"/>
        </w:rPr>
        <w:t xml:space="preserve"> </w:t>
      </w:r>
      <w:r w:rsidRPr="00007D6B">
        <w:rPr>
          <w:lang w:eastAsia="ja-JP"/>
        </w:rPr>
        <w:t>endpoint</w:t>
      </w:r>
      <w:r w:rsidR="000159A6">
        <w:rPr>
          <w:lang w:eastAsia="ja-JP"/>
        </w:rPr>
        <w:t xml:space="preserve"> </w:t>
      </w:r>
      <w:r w:rsidRPr="00007D6B">
        <w:rPr>
          <w:lang w:eastAsia="ja-JP"/>
        </w:rPr>
        <w:t>in</w:t>
      </w:r>
      <w:r w:rsidR="000159A6">
        <w:rPr>
          <w:lang w:eastAsia="ja-JP"/>
        </w:rPr>
        <w:t xml:space="preserve"> </w:t>
      </w:r>
      <w:r>
        <w:rPr>
          <w:lang w:eastAsia="ja-JP"/>
        </w:rPr>
        <w:t>the</w:t>
      </w:r>
      <w:r w:rsidR="000159A6">
        <w:rPr>
          <w:lang w:eastAsia="ja-JP"/>
        </w:rPr>
        <w:t xml:space="preserve"> </w:t>
      </w:r>
      <w:r w:rsidRPr="00007D6B">
        <w:rPr>
          <w:lang w:eastAsia="ja-JP"/>
        </w:rPr>
        <w:t>pooled</w:t>
      </w:r>
      <w:r w:rsidR="000159A6">
        <w:rPr>
          <w:lang w:eastAsia="ja-JP"/>
        </w:rPr>
        <w:t xml:space="preserve"> </w:t>
      </w:r>
      <w:r w:rsidRPr="00007D6B">
        <w:rPr>
          <w:lang w:eastAsia="ja-JP"/>
        </w:rPr>
        <w:t>analysis</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two</w:t>
      </w:r>
      <w:r w:rsidR="000159A6">
        <w:rPr>
          <w:lang w:eastAsia="ja-JP"/>
        </w:rPr>
        <w:t xml:space="preserve"> </w:t>
      </w:r>
      <w:r>
        <w:rPr>
          <w:lang w:eastAsia="ja-JP"/>
        </w:rPr>
        <w:t>studies</w:t>
      </w:r>
      <w:r w:rsidRPr="00007D6B">
        <w:rPr>
          <w:lang w:eastAsia="ja-JP"/>
        </w:rPr>
        <w:t>.</w:t>
      </w:r>
      <w:r w:rsidR="000159A6">
        <w:rPr>
          <w:lang w:eastAsia="ja-JP"/>
        </w:rPr>
        <w:t xml:space="preserve"> </w:t>
      </w:r>
      <w:r w:rsidRPr="00007D6B">
        <w:rPr>
          <w:lang w:eastAsia="ja-JP"/>
        </w:rPr>
        <w:t>Pooling</w:t>
      </w:r>
      <w:r w:rsidR="000159A6">
        <w:rPr>
          <w:lang w:eastAsia="ja-JP"/>
        </w:rPr>
        <w:t xml:space="preserve"> </w:t>
      </w:r>
      <w:r w:rsidRPr="00007D6B">
        <w:rPr>
          <w:lang w:eastAsia="ja-JP"/>
        </w:rPr>
        <w:t>was</w:t>
      </w:r>
      <w:r w:rsidR="000159A6">
        <w:rPr>
          <w:lang w:eastAsia="ja-JP"/>
        </w:rPr>
        <w:t xml:space="preserve"> </w:t>
      </w:r>
      <w:r w:rsidRPr="00007D6B">
        <w:rPr>
          <w:lang w:eastAsia="ja-JP"/>
        </w:rPr>
        <w:t>acceptable</w:t>
      </w:r>
      <w:r w:rsidR="000159A6">
        <w:rPr>
          <w:lang w:eastAsia="ja-JP"/>
        </w:rPr>
        <w:t xml:space="preserve"> </w:t>
      </w:r>
      <w:r w:rsidRPr="00007D6B">
        <w:rPr>
          <w:lang w:eastAsia="ja-JP"/>
        </w:rPr>
        <w:t>due</w:t>
      </w:r>
      <w:r w:rsidR="000159A6">
        <w:rPr>
          <w:lang w:eastAsia="ja-JP"/>
        </w:rPr>
        <w:t xml:space="preserve"> </w:t>
      </w:r>
      <w:r w:rsidRPr="00007D6B">
        <w:rPr>
          <w:lang w:eastAsia="ja-JP"/>
        </w:rPr>
        <w:t>to</w:t>
      </w:r>
      <w:r w:rsidR="000159A6">
        <w:rPr>
          <w:lang w:eastAsia="ja-JP"/>
        </w:rPr>
        <w:t xml:space="preserve"> </w:t>
      </w:r>
      <w:r>
        <w:rPr>
          <w:lang w:eastAsia="ja-JP"/>
        </w:rPr>
        <w:t>the</w:t>
      </w:r>
      <w:r w:rsidR="000159A6">
        <w:rPr>
          <w:lang w:eastAsia="ja-JP"/>
        </w:rPr>
        <w:t xml:space="preserve"> </w:t>
      </w:r>
      <w:r>
        <w:rPr>
          <w:lang w:eastAsia="ja-JP"/>
        </w:rPr>
        <w:t>studies</w:t>
      </w:r>
      <w:r w:rsidR="000159A6">
        <w:rPr>
          <w:lang w:eastAsia="ja-JP"/>
        </w:rPr>
        <w:t xml:space="preserve"> </w:t>
      </w:r>
      <w:r>
        <w:rPr>
          <w:lang w:eastAsia="ja-JP"/>
        </w:rPr>
        <w:t>having</w:t>
      </w:r>
      <w:r w:rsidR="000159A6">
        <w:rPr>
          <w:lang w:eastAsia="ja-JP"/>
        </w:rPr>
        <w:t xml:space="preserve"> </w:t>
      </w:r>
      <w:r>
        <w:rPr>
          <w:lang w:eastAsia="ja-JP"/>
        </w:rPr>
        <w:t>the</w:t>
      </w:r>
      <w:r w:rsidR="000159A6">
        <w:rPr>
          <w:lang w:eastAsia="ja-JP"/>
        </w:rPr>
        <w:t xml:space="preserve"> </w:t>
      </w:r>
      <w:r>
        <w:rPr>
          <w:lang w:eastAsia="ja-JP"/>
        </w:rPr>
        <w:t>same</w:t>
      </w:r>
      <w:r w:rsidR="000159A6">
        <w:rPr>
          <w:lang w:eastAsia="ja-JP"/>
        </w:rPr>
        <w:t xml:space="preserve"> </w:t>
      </w:r>
      <w:r>
        <w:rPr>
          <w:lang w:eastAsia="ja-JP"/>
        </w:rPr>
        <w:t>d</w:t>
      </w:r>
      <w:r w:rsidRPr="00007D6B">
        <w:rPr>
          <w:lang w:eastAsia="ja-JP"/>
        </w:rPr>
        <w:t>esign,</w:t>
      </w:r>
      <w:r w:rsidR="000159A6">
        <w:rPr>
          <w:lang w:eastAsia="ja-JP"/>
        </w:rPr>
        <w:t xml:space="preserve"> </w:t>
      </w:r>
      <w:r w:rsidRPr="00007D6B">
        <w:rPr>
          <w:lang w:eastAsia="ja-JP"/>
        </w:rPr>
        <w:t>inclusion/exclusion</w:t>
      </w:r>
      <w:r w:rsidR="000159A6">
        <w:rPr>
          <w:lang w:eastAsia="ja-JP"/>
        </w:rPr>
        <w:t xml:space="preserve"> </w:t>
      </w:r>
      <w:r w:rsidRPr="00007D6B">
        <w:rPr>
          <w:lang w:eastAsia="ja-JP"/>
        </w:rPr>
        <w:t>criteria</w:t>
      </w:r>
      <w:r w:rsidR="000159A6">
        <w:rPr>
          <w:lang w:eastAsia="ja-JP"/>
        </w:rPr>
        <w:t xml:space="preserve"> </w:t>
      </w:r>
      <w:r w:rsidRPr="00007D6B">
        <w:rPr>
          <w:lang w:eastAsia="ja-JP"/>
        </w:rPr>
        <w:t>and</w:t>
      </w:r>
      <w:r w:rsidR="000159A6">
        <w:rPr>
          <w:lang w:eastAsia="ja-JP"/>
        </w:rPr>
        <w:t xml:space="preserve"> </w:t>
      </w:r>
      <w:r w:rsidRPr="00007D6B">
        <w:rPr>
          <w:lang w:eastAsia="ja-JP"/>
        </w:rPr>
        <w:t>treatment.</w:t>
      </w:r>
      <w:r w:rsidR="000159A6">
        <w:rPr>
          <w:lang w:eastAsia="ja-JP"/>
        </w:rPr>
        <w:t xml:space="preserve"> </w:t>
      </w:r>
      <w:r w:rsidRPr="00007D6B">
        <w:rPr>
          <w:lang w:eastAsia="ja-JP"/>
        </w:rPr>
        <w:t>Pain</w:t>
      </w:r>
      <w:r w:rsidR="000159A6">
        <w:rPr>
          <w:lang w:eastAsia="ja-JP"/>
        </w:rPr>
        <w:t xml:space="preserve"> </w:t>
      </w:r>
      <w:r w:rsidRPr="00007D6B">
        <w:rPr>
          <w:lang w:eastAsia="ja-JP"/>
        </w:rPr>
        <w:t>assessment</w:t>
      </w:r>
      <w:r w:rsidR="000159A6">
        <w:rPr>
          <w:lang w:eastAsia="ja-JP"/>
        </w:rPr>
        <w:t xml:space="preserve"> </w:t>
      </w:r>
      <w:r w:rsidRPr="00007D6B">
        <w:rPr>
          <w:lang w:eastAsia="ja-JP"/>
        </w:rPr>
        <w:t>was</w:t>
      </w:r>
      <w:r w:rsidR="000159A6">
        <w:rPr>
          <w:lang w:eastAsia="ja-JP"/>
        </w:rPr>
        <w:t xml:space="preserve"> </w:t>
      </w:r>
      <w:r w:rsidRPr="00007D6B">
        <w:rPr>
          <w:lang w:eastAsia="ja-JP"/>
        </w:rPr>
        <w:t>based</w:t>
      </w:r>
      <w:r w:rsidR="000159A6">
        <w:rPr>
          <w:lang w:eastAsia="ja-JP"/>
        </w:rPr>
        <w:t xml:space="preserve"> </w:t>
      </w:r>
      <w:r w:rsidRPr="00007D6B">
        <w:rPr>
          <w:lang w:eastAsia="ja-JP"/>
        </w:rPr>
        <w:t>on</w:t>
      </w:r>
      <w:r w:rsidR="000159A6">
        <w:rPr>
          <w:lang w:eastAsia="ja-JP"/>
        </w:rPr>
        <w:t xml:space="preserve"> </w:t>
      </w:r>
      <w:r w:rsidR="00B85299" w:rsidRPr="00007D6B">
        <w:rPr>
          <w:lang w:eastAsia="ja-JP"/>
        </w:rPr>
        <w:t>the</w:t>
      </w:r>
      <w:r w:rsidR="000159A6">
        <w:rPr>
          <w:lang w:eastAsia="ja-JP"/>
        </w:rPr>
        <w:t xml:space="preserve"> </w:t>
      </w:r>
      <w:r w:rsidR="003D23D4">
        <w:t>Zoster</w:t>
      </w:r>
      <w:r w:rsidR="000159A6">
        <w:t xml:space="preserve"> </w:t>
      </w:r>
      <w:r w:rsidR="003D23D4">
        <w:t>Brief</w:t>
      </w:r>
      <w:r w:rsidR="000159A6">
        <w:t xml:space="preserve"> </w:t>
      </w:r>
      <w:r w:rsidR="003D23D4">
        <w:t>Pain</w:t>
      </w:r>
      <w:r w:rsidR="000159A6">
        <w:t xml:space="preserve"> </w:t>
      </w:r>
      <w:r w:rsidR="003D23D4">
        <w:t>Inventory</w:t>
      </w:r>
      <w:r w:rsidR="000159A6">
        <w:rPr>
          <w:lang w:eastAsia="ja-JP"/>
        </w:rPr>
        <w:t xml:space="preserve"> </w:t>
      </w:r>
      <w:r w:rsidR="00B85299">
        <w:rPr>
          <w:lang w:eastAsia="ja-JP"/>
        </w:rPr>
        <w:t>(</w:t>
      </w:r>
      <w:r w:rsidRPr="00007D6B">
        <w:rPr>
          <w:lang w:eastAsia="ja-JP"/>
        </w:rPr>
        <w:t>ZBPI</w:t>
      </w:r>
      <w:r w:rsidR="00B85299">
        <w:rPr>
          <w:lang w:eastAsia="ja-JP"/>
        </w:rPr>
        <w:t>)</w:t>
      </w:r>
      <w:r w:rsidR="000159A6">
        <w:rPr>
          <w:lang w:eastAsia="ja-JP"/>
        </w:rPr>
        <w:t xml:space="preserve"> </w:t>
      </w:r>
      <w:r w:rsidRPr="00007D6B">
        <w:rPr>
          <w:lang w:eastAsia="ja-JP"/>
        </w:rPr>
        <w:t>which</w:t>
      </w:r>
      <w:r w:rsidR="000159A6">
        <w:rPr>
          <w:lang w:eastAsia="ja-JP"/>
        </w:rPr>
        <w:t xml:space="preserve"> </w:t>
      </w:r>
      <w:r w:rsidRPr="00007D6B">
        <w:rPr>
          <w:lang w:eastAsia="ja-JP"/>
        </w:rPr>
        <w:t>was</w:t>
      </w:r>
      <w:r w:rsidR="000159A6">
        <w:rPr>
          <w:lang w:eastAsia="ja-JP"/>
        </w:rPr>
        <w:t xml:space="preserve"> </w:t>
      </w:r>
      <w:r w:rsidRPr="00007D6B">
        <w:rPr>
          <w:lang w:eastAsia="ja-JP"/>
        </w:rPr>
        <w:t>completed</w:t>
      </w:r>
      <w:r w:rsidR="000159A6">
        <w:rPr>
          <w:lang w:eastAsia="ja-JP"/>
        </w:rPr>
        <w:t xml:space="preserve"> </w:t>
      </w:r>
      <w:r w:rsidRPr="00007D6B">
        <w:rPr>
          <w:lang w:eastAsia="ja-JP"/>
        </w:rPr>
        <w:t>daily</w:t>
      </w:r>
      <w:r w:rsidR="000159A6">
        <w:rPr>
          <w:lang w:eastAsia="ja-JP"/>
        </w:rPr>
        <w:t xml:space="preserve"> </w:t>
      </w:r>
      <w:r w:rsidRPr="00007D6B">
        <w:rPr>
          <w:lang w:eastAsia="ja-JP"/>
        </w:rPr>
        <w:t>until</w:t>
      </w:r>
      <w:r w:rsidR="000159A6">
        <w:rPr>
          <w:lang w:eastAsia="ja-JP"/>
        </w:rPr>
        <w:t xml:space="preserve"> </w:t>
      </w:r>
      <w:r w:rsidRPr="00007D6B">
        <w:rPr>
          <w:lang w:eastAsia="ja-JP"/>
        </w:rPr>
        <w:t>28</w:t>
      </w:r>
      <w:r w:rsidR="000159A6">
        <w:rPr>
          <w:lang w:eastAsia="ja-JP"/>
        </w:rPr>
        <w:t xml:space="preserve"> </w:t>
      </w:r>
      <w:r w:rsidRPr="00007D6B">
        <w:rPr>
          <w:lang w:eastAsia="ja-JP"/>
        </w:rPr>
        <w:t>days</w:t>
      </w:r>
      <w:r w:rsidR="000159A6">
        <w:rPr>
          <w:lang w:eastAsia="ja-JP"/>
        </w:rPr>
        <w:t xml:space="preserve"> </w:t>
      </w:r>
      <w:r w:rsidRPr="00007D6B">
        <w:rPr>
          <w:lang w:eastAsia="ja-JP"/>
        </w:rPr>
        <w:t>post</w:t>
      </w:r>
      <w:r w:rsidR="000159A6">
        <w:rPr>
          <w:lang w:eastAsia="ja-JP"/>
        </w:rPr>
        <w:t xml:space="preserve"> </w:t>
      </w:r>
      <w:r w:rsidRPr="00007D6B">
        <w:rPr>
          <w:lang w:eastAsia="ja-JP"/>
        </w:rPr>
        <w:t>HZ</w:t>
      </w:r>
      <w:r w:rsidR="000159A6">
        <w:rPr>
          <w:lang w:eastAsia="ja-JP"/>
        </w:rPr>
        <w:t xml:space="preserve"> </w:t>
      </w:r>
      <w:r w:rsidRPr="00007D6B">
        <w:rPr>
          <w:lang w:eastAsia="ja-JP"/>
        </w:rPr>
        <w:t>onset</w:t>
      </w:r>
      <w:r w:rsidR="000159A6">
        <w:rPr>
          <w:lang w:eastAsia="ja-JP"/>
        </w:rPr>
        <w:t xml:space="preserve"> </w:t>
      </w:r>
      <w:r w:rsidRPr="00007D6B">
        <w:rPr>
          <w:lang w:eastAsia="ja-JP"/>
        </w:rPr>
        <w:t>and</w:t>
      </w:r>
      <w:r w:rsidR="000159A6">
        <w:rPr>
          <w:lang w:eastAsia="ja-JP"/>
        </w:rPr>
        <w:t xml:space="preserve"> </w:t>
      </w:r>
      <w:r w:rsidRPr="00007D6B">
        <w:rPr>
          <w:lang w:eastAsia="ja-JP"/>
        </w:rPr>
        <w:t>then</w:t>
      </w:r>
      <w:r w:rsidR="000159A6">
        <w:rPr>
          <w:lang w:eastAsia="ja-JP"/>
        </w:rPr>
        <w:t xml:space="preserve"> </w:t>
      </w:r>
      <w:r w:rsidRPr="00007D6B">
        <w:rPr>
          <w:lang w:eastAsia="ja-JP"/>
        </w:rPr>
        <w:t>weekly</w:t>
      </w:r>
      <w:r>
        <w:rPr>
          <w:lang w:eastAsia="ja-JP"/>
        </w:rPr>
        <w:t>.</w:t>
      </w:r>
      <w:r w:rsidR="000159A6">
        <w:rPr>
          <w:lang w:eastAsia="ja-JP"/>
        </w:rPr>
        <w:t xml:space="preserve"> </w:t>
      </w:r>
      <w:r w:rsidRPr="00F43895">
        <w:rPr>
          <w:lang w:eastAsia="ja-JP"/>
        </w:rPr>
        <w:t>PHN</w:t>
      </w:r>
      <w:r w:rsidR="000159A6">
        <w:rPr>
          <w:lang w:eastAsia="ja-JP"/>
        </w:rPr>
        <w:t xml:space="preserve"> </w:t>
      </w:r>
      <w:r w:rsidRPr="00F43895">
        <w:rPr>
          <w:lang w:eastAsia="ja-JP"/>
        </w:rPr>
        <w:t>was</w:t>
      </w:r>
      <w:r w:rsidR="000159A6">
        <w:rPr>
          <w:lang w:eastAsia="ja-JP"/>
        </w:rPr>
        <w:t xml:space="preserve"> </w:t>
      </w:r>
      <w:r w:rsidRPr="00F43895">
        <w:rPr>
          <w:lang w:eastAsia="ja-JP"/>
        </w:rPr>
        <w:t>defined</w:t>
      </w:r>
      <w:r w:rsidR="000159A6">
        <w:rPr>
          <w:lang w:eastAsia="ja-JP"/>
        </w:rPr>
        <w:t xml:space="preserve"> </w:t>
      </w:r>
      <w:r>
        <w:rPr>
          <w:lang w:eastAsia="ja-JP"/>
        </w:rPr>
        <w:t>as</w:t>
      </w:r>
      <w:r w:rsidR="000159A6">
        <w:rPr>
          <w:lang w:eastAsia="ja-JP"/>
        </w:rPr>
        <w:t xml:space="preserve"> </w:t>
      </w:r>
      <w:r w:rsidRPr="00F43895">
        <w:rPr>
          <w:lang w:eastAsia="ja-JP"/>
        </w:rPr>
        <w:t>the</w:t>
      </w:r>
      <w:r w:rsidR="000159A6">
        <w:rPr>
          <w:lang w:eastAsia="ja-JP"/>
        </w:rPr>
        <w:t xml:space="preserve"> </w:t>
      </w:r>
      <w:r w:rsidRPr="00F43895">
        <w:rPr>
          <w:lang w:eastAsia="ja-JP"/>
        </w:rPr>
        <w:t>presence</w:t>
      </w:r>
      <w:r w:rsidR="000159A6">
        <w:rPr>
          <w:lang w:eastAsia="ja-JP"/>
        </w:rPr>
        <w:t xml:space="preserve"> </w:t>
      </w:r>
      <w:r w:rsidRPr="00F43895">
        <w:rPr>
          <w:lang w:eastAsia="ja-JP"/>
        </w:rPr>
        <w:t>of</w:t>
      </w:r>
      <w:r w:rsidR="000159A6">
        <w:rPr>
          <w:lang w:eastAsia="ja-JP"/>
        </w:rPr>
        <w:t xml:space="preserve"> </w:t>
      </w:r>
      <w:r>
        <w:rPr>
          <w:lang w:eastAsia="ja-JP"/>
        </w:rPr>
        <w:t>HZ</w:t>
      </w:r>
      <w:r w:rsidR="000159A6">
        <w:rPr>
          <w:lang w:eastAsia="ja-JP"/>
        </w:rPr>
        <w:t xml:space="preserve"> </w:t>
      </w:r>
      <w:r>
        <w:rPr>
          <w:lang w:eastAsia="ja-JP"/>
        </w:rPr>
        <w:t>associated</w:t>
      </w:r>
      <w:r w:rsidR="000159A6">
        <w:rPr>
          <w:lang w:eastAsia="ja-JP"/>
        </w:rPr>
        <w:t xml:space="preserve"> </w:t>
      </w:r>
      <w:r w:rsidRPr="00F43895">
        <w:rPr>
          <w:lang w:eastAsia="ja-JP"/>
        </w:rPr>
        <w:t>severe</w:t>
      </w:r>
      <w:r w:rsidR="000159A6">
        <w:rPr>
          <w:lang w:eastAsia="ja-JP"/>
        </w:rPr>
        <w:t xml:space="preserve"> </w:t>
      </w:r>
      <w:r>
        <w:rPr>
          <w:lang w:eastAsia="ja-JP"/>
        </w:rPr>
        <w:t>‘</w:t>
      </w:r>
      <w:r w:rsidRPr="00F43895">
        <w:rPr>
          <w:lang w:eastAsia="ja-JP"/>
        </w:rPr>
        <w:t>worst</w:t>
      </w:r>
      <w:r>
        <w:rPr>
          <w:lang w:eastAsia="ja-JP"/>
        </w:rPr>
        <w:t>’</w:t>
      </w:r>
      <w:r w:rsidR="000159A6">
        <w:rPr>
          <w:lang w:eastAsia="ja-JP"/>
        </w:rPr>
        <w:t xml:space="preserve"> </w:t>
      </w:r>
      <w:r w:rsidRPr="00F43895">
        <w:rPr>
          <w:lang w:eastAsia="ja-JP"/>
        </w:rPr>
        <w:t>pain</w:t>
      </w:r>
      <w:r w:rsidR="000159A6">
        <w:rPr>
          <w:lang w:eastAsia="ja-JP"/>
        </w:rPr>
        <w:t xml:space="preserve"> </w:t>
      </w:r>
      <w:r>
        <w:rPr>
          <w:lang w:eastAsia="ja-JP"/>
        </w:rPr>
        <w:t>(</w:t>
      </w:r>
      <w:r w:rsidR="0037169B">
        <w:rPr>
          <w:lang w:eastAsia="ja-JP"/>
        </w:rPr>
        <w:t>≥</w:t>
      </w:r>
      <w:r w:rsidR="000159A6">
        <w:rPr>
          <w:lang w:eastAsia="ja-JP"/>
        </w:rPr>
        <w:t xml:space="preserve"> </w:t>
      </w:r>
      <w:r>
        <w:rPr>
          <w:lang w:eastAsia="ja-JP"/>
        </w:rPr>
        <w:t>3</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rPr>
          <w:lang w:eastAsia="ja-JP"/>
        </w:rPr>
        <w:t>ZBPI</w:t>
      </w:r>
      <w:r w:rsidR="000159A6">
        <w:rPr>
          <w:lang w:eastAsia="ja-JP"/>
        </w:rPr>
        <w:t xml:space="preserve"> </w:t>
      </w:r>
      <w:r>
        <w:rPr>
          <w:lang w:eastAsia="ja-JP"/>
        </w:rPr>
        <w:t>questionnaire)</w:t>
      </w:r>
      <w:r w:rsidR="000159A6">
        <w:rPr>
          <w:lang w:eastAsia="ja-JP"/>
        </w:rPr>
        <w:t xml:space="preserve"> </w:t>
      </w:r>
      <w:r w:rsidRPr="00F43895">
        <w:rPr>
          <w:lang w:eastAsia="ja-JP"/>
        </w:rPr>
        <w:t>persisting</w:t>
      </w:r>
      <w:r w:rsidR="000159A6">
        <w:rPr>
          <w:lang w:eastAsia="ja-JP"/>
        </w:rPr>
        <w:t xml:space="preserve"> </w:t>
      </w:r>
      <w:r w:rsidRPr="00F43895">
        <w:rPr>
          <w:lang w:eastAsia="ja-JP"/>
        </w:rPr>
        <w:t>or</w:t>
      </w:r>
      <w:r w:rsidR="000159A6">
        <w:rPr>
          <w:lang w:eastAsia="ja-JP"/>
        </w:rPr>
        <w:t xml:space="preserve"> </w:t>
      </w:r>
      <w:r w:rsidRPr="00F43895">
        <w:rPr>
          <w:lang w:eastAsia="ja-JP"/>
        </w:rPr>
        <w:t>appearing</w:t>
      </w:r>
      <w:r w:rsidR="000159A6">
        <w:rPr>
          <w:lang w:eastAsia="ja-JP"/>
        </w:rPr>
        <w:t xml:space="preserve"> </w:t>
      </w:r>
      <w:r w:rsidRPr="00F43895">
        <w:rPr>
          <w:lang w:eastAsia="ja-JP"/>
        </w:rPr>
        <w:t>more</w:t>
      </w:r>
      <w:r w:rsidR="000159A6">
        <w:rPr>
          <w:lang w:eastAsia="ja-JP"/>
        </w:rPr>
        <w:t xml:space="preserve"> </w:t>
      </w:r>
      <w:r w:rsidRPr="00F43895">
        <w:rPr>
          <w:lang w:eastAsia="ja-JP"/>
        </w:rPr>
        <w:t>than</w:t>
      </w:r>
      <w:r w:rsidR="000159A6">
        <w:rPr>
          <w:lang w:eastAsia="ja-JP"/>
        </w:rPr>
        <w:t xml:space="preserve"> </w:t>
      </w:r>
      <w:r w:rsidRPr="00F43895">
        <w:rPr>
          <w:lang w:eastAsia="ja-JP"/>
        </w:rPr>
        <w:t>90</w:t>
      </w:r>
      <w:r w:rsidR="000159A6">
        <w:rPr>
          <w:lang w:eastAsia="ja-JP"/>
        </w:rPr>
        <w:t xml:space="preserve"> </w:t>
      </w:r>
      <w:r w:rsidRPr="00F43895">
        <w:rPr>
          <w:lang w:eastAsia="ja-JP"/>
        </w:rPr>
        <w:t>days</w:t>
      </w:r>
      <w:r w:rsidR="000159A6">
        <w:rPr>
          <w:lang w:eastAsia="ja-JP"/>
        </w:rPr>
        <w:t xml:space="preserve"> </w:t>
      </w:r>
      <w:r w:rsidRPr="00F43895">
        <w:rPr>
          <w:lang w:eastAsia="ja-JP"/>
        </w:rPr>
        <w:t>after</w:t>
      </w:r>
      <w:r w:rsidR="000159A6">
        <w:rPr>
          <w:lang w:eastAsia="ja-JP"/>
        </w:rPr>
        <w:t xml:space="preserve"> </w:t>
      </w:r>
      <w:r w:rsidRPr="00F43895">
        <w:rPr>
          <w:lang w:eastAsia="ja-JP"/>
        </w:rPr>
        <w:t>onset</w:t>
      </w:r>
      <w:r w:rsidR="000159A6">
        <w:rPr>
          <w:lang w:eastAsia="ja-JP"/>
        </w:rPr>
        <w:t xml:space="preserve"> </w:t>
      </w:r>
      <w:r w:rsidRPr="00F43895">
        <w:rPr>
          <w:lang w:eastAsia="ja-JP"/>
        </w:rPr>
        <w:t>of</w:t>
      </w:r>
      <w:r w:rsidR="000159A6">
        <w:rPr>
          <w:lang w:eastAsia="ja-JP"/>
        </w:rPr>
        <w:t xml:space="preserve"> </w:t>
      </w:r>
      <w:r w:rsidRPr="00F43895">
        <w:rPr>
          <w:lang w:eastAsia="ja-JP"/>
        </w:rPr>
        <w:t>the</w:t>
      </w:r>
      <w:r w:rsidR="000159A6">
        <w:rPr>
          <w:lang w:eastAsia="ja-JP"/>
        </w:rPr>
        <w:t xml:space="preserve"> </w:t>
      </w:r>
      <w:r w:rsidRPr="00F43895">
        <w:rPr>
          <w:lang w:eastAsia="ja-JP"/>
        </w:rPr>
        <w:t>HZ</w:t>
      </w:r>
      <w:r w:rsidR="000159A6">
        <w:rPr>
          <w:lang w:eastAsia="ja-JP"/>
        </w:rPr>
        <w:t xml:space="preserve"> </w:t>
      </w:r>
      <w:r w:rsidRPr="00F43895">
        <w:rPr>
          <w:lang w:eastAsia="ja-JP"/>
        </w:rPr>
        <w:t>rash</w:t>
      </w:r>
      <w:r>
        <w:rPr>
          <w:lang w:eastAsia="ja-JP"/>
        </w:rPr>
        <w:t>.</w:t>
      </w:r>
    </w:p>
    <w:p w14:paraId="27EA91B1" w14:textId="21DABC10" w:rsidR="001F6DEC" w:rsidRPr="00007D6B" w:rsidRDefault="001F6DEC" w:rsidP="001F6DEC">
      <w:pPr>
        <w:rPr>
          <w:lang w:eastAsia="ja-JP"/>
        </w:rPr>
      </w:pPr>
      <w:r w:rsidRPr="00007D6B">
        <w:rPr>
          <w:lang w:eastAsia="ja-JP"/>
        </w:rPr>
        <w:t>Efficacy</w:t>
      </w:r>
      <w:r w:rsidR="000159A6">
        <w:rPr>
          <w:lang w:eastAsia="ja-JP"/>
        </w:rPr>
        <w:t xml:space="preserve"> </w:t>
      </w:r>
      <w:r w:rsidRPr="00007D6B">
        <w:rPr>
          <w:lang w:eastAsia="ja-JP"/>
        </w:rPr>
        <w:t>analysis</w:t>
      </w:r>
      <w:r w:rsidR="000159A6">
        <w:rPr>
          <w:lang w:eastAsia="ja-JP"/>
        </w:rPr>
        <w:t xml:space="preserve"> </w:t>
      </w:r>
      <w:r w:rsidRPr="00007D6B">
        <w:rPr>
          <w:lang w:eastAsia="ja-JP"/>
        </w:rPr>
        <w:t>was</w:t>
      </w:r>
      <w:r w:rsidR="000159A6">
        <w:rPr>
          <w:lang w:eastAsia="ja-JP"/>
        </w:rPr>
        <w:t xml:space="preserve"> </w:t>
      </w:r>
      <w:r>
        <w:rPr>
          <w:lang w:eastAsia="ja-JP"/>
        </w:rPr>
        <w:t>conducted</w:t>
      </w:r>
      <w:r w:rsidR="000159A6">
        <w:rPr>
          <w:lang w:eastAsia="ja-JP"/>
        </w:rPr>
        <w:t xml:space="preserve"> </w:t>
      </w:r>
      <w:r w:rsidRPr="00007D6B">
        <w:rPr>
          <w:lang w:eastAsia="ja-JP"/>
        </w:rPr>
        <w:t>on</w:t>
      </w:r>
      <w:r w:rsidR="000159A6">
        <w:rPr>
          <w:lang w:eastAsia="ja-JP"/>
        </w:rPr>
        <w:t xml:space="preserve"> </w:t>
      </w:r>
      <w:r w:rsidRPr="00007D6B">
        <w:rPr>
          <w:lang w:eastAsia="ja-JP"/>
        </w:rPr>
        <w:t>the</w:t>
      </w:r>
      <w:r w:rsidR="000159A6">
        <w:rPr>
          <w:lang w:eastAsia="ja-JP"/>
        </w:rPr>
        <w:t xml:space="preserve"> </w:t>
      </w:r>
      <w:r w:rsidRPr="00007D6B">
        <w:rPr>
          <w:lang w:eastAsia="ja-JP"/>
        </w:rPr>
        <w:t>modified</w:t>
      </w:r>
      <w:r w:rsidR="000159A6">
        <w:rPr>
          <w:lang w:eastAsia="ja-JP"/>
        </w:rPr>
        <w:t xml:space="preserve"> </w:t>
      </w:r>
      <w:r w:rsidRPr="00007D6B">
        <w:rPr>
          <w:lang w:eastAsia="ja-JP"/>
        </w:rPr>
        <w:t>TVC</w:t>
      </w:r>
      <w:r w:rsidR="000159A6">
        <w:rPr>
          <w:lang w:eastAsia="ja-JP"/>
        </w:rPr>
        <w:t xml:space="preserve"> </w:t>
      </w:r>
      <w:r w:rsidRPr="00007D6B">
        <w:rPr>
          <w:lang w:eastAsia="ja-JP"/>
        </w:rPr>
        <w:t>which</w:t>
      </w:r>
      <w:r w:rsidR="000159A6">
        <w:rPr>
          <w:lang w:eastAsia="ja-JP"/>
        </w:rPr>
        <w:t xml:space="preserve"> </w:t>
      </w:r>
      <w:r w:rsidRPr="00007D6B">
        <w:rPr>
          <w:lang w:eastAsia="ja-JP"/>
        </w:rPr>
        <w:t>excluded</w:t>
      </w:r>
      <w:r w:rsidR="000159A6">
        <w:rPr>
          <w:lang w:eastAsia="ja-JP"/>
        </w:rPr>
        <w:t xml:space="preserve"> </w:t>
      </w:r>
      <w:r w:rsidRPr="00007D6B">
        <w:rPr>
          <w:lang w:eastAsia="ja-JP"/>
        </w:rPr>
        <w:t>subjects</w:t>
      </w:r>
      <w:r w:rsidR="000159A6">
        <w:rPr>
          <w:lang w:eastAsia="ja-JP"/>
        </w:rPr>
        <w:t xml:space="preserve"> </w:t>
      </w:r>
      <w:r w:rsidRPr="00007D6B">
        <w:rPr>
          <w:lang w:eastAsia="ja-JP"/>
        </w:rPr>
        <w:t>who</w:t>
      </w:r>
      <w:r w:rsidR="000159A6">
        <w:rPr>
          <w:lang w:eastAsia="ja-JP"/>
        </w:rPr>
        <w:t xml:space="preserve"> </w:t>
      </w:r>
      <w:r w:rsidRPr="00007D6B">
        <w:rPr>
          <w:lang w:eastAsia="ja-JP"/>
        </w:rPr>
        <w:t>did</w:t>
      </w:r>
      <w:r w:rsidR="000159A6">
        <w:rPr>
          <w:lang w:eastAsia="ja-JP"/>
        </w:rPr>
        <w:t xml:space="preserve"> </w:t>
      </w:r>
      <w:r w:rsidRPr="00007D6B">
        <w:rPr>
          <w:lang w:eastAsia="ja-JP"/>
        </w:rPr>
        <w:t>not</w:t>
      </w:r>
      <w:r w:rsidR="000159A6">
        <w:rPr>
          <w:lang w:eastAsia="ja-JP"/>
        </w:rPr>
        <w:t xml:space="preserve"> </w:t>
      </w:r>
      <w:r w:rsidRPr="00007D6B">
        <w:rPr>
          <w:lang w:eastAsia="ja-JP"/>
        </w:rPr>
        <w:t>receive</w:t>
      </w:r>
      <w:r w:rsidR="000159A6">
        <w:rPr>
          <w:lang w:eastAsia="ja-JP"/>
        </w:rPr>
        <w:t xml:space="preserve"> </w:t>
      </w:r>
      <w:r w:rsidRPr="00007D6B">
        <w:rPr>
          <w:lang w:eastAsia="ja-JP"/>
        </w:rPr>
        <w:t>the</w:t>
      </w:r>
      <w:r w:rsidR="000159A6">
        <w:rPr>
          <w:lang w:eastAsia="ja-JP"/>
        </w:rPr>
        <w:t xml:space="preserve"> </w:t>
      </w:r>
      <w:r w:rsidRPr="00007D6B">
        <w:rPr>
          <w:lang w:eastAsia="ja-JP"/>
        </w:rPr>
        <w:t>second</w:t>
      </w:r>
      <w:r w:rsidR="000159A6">
        <w:rPr>
          <w:lang w:eastAsia="ja-JP"/>
        </w:rPr>
        <w:t xml:space="preserve"> </w:t>
      </w:r>
      <w:r w:rsidRPr="00007D6B">
        <w:rPr>
          <w:lang w:eastAsia="ja-JP"/>
        </w:rPr>
        <w:t>dose</w:t>
      </w:r>
      <w:r w:rsidR="000159A6">
        <w:rPr>
          <w:lang w:eastAsia="ja-JP"/>
        </w:rPr>
        <w:t xml:space="preserve"> </w:t>
      </w:r>
      <w:r w:rsidRPr="00007D6B">
        <w:rPr>
          <w:lang w:eastAsia="ja-JP"/>
        </w:rPr>
        <w:t>of</w:t>
      </w:r>
      <w:r w:rsidR="000159A6">
        <w:rPr>
          <w:lang w:eastAsia="ja-JP"/>
        </w:rPr>
        <w:t xml:space="preserve"> </w:t>
      </w:r>
      <w:r w:rsidRPr="00007D6B">
        <w:rPr>
          <w:lang w:eastAsia="ja-JP"/>
        </w:rPr>
        <w:t>vaccine,</w:t>
      </w:r>
      <w:r w:rsidR="000159A6">
        <w:rPr>
          <w:lang w:eastAsia="ja-JP"/>
        </w:rPr>
        <w:t xml:space="preserve"> </w:t>
      </w:r>
      <w:r w:rsidRPr="00007D6B">
        <w:rPr>
          <w:lang w:eastAsia="ja-JP"/>
        </w:rPr>
        <w:t>who</w:t>
      </w:r>
      <w:r w:rsidR="000159A6">
        <w:rPr>
          <w:lang w:eastAsia="ja-JP"/>
        </w:rPr>
        <w:t xml:space="preserve"> </w:t>
      </w:r>
      <w:r w:rsidRPr="00007D6B">
        <w:rPr>
          <w:lang w:eastAsia="ja-JP"/>
        </w:rPr>
        <w:t>developed</w:t>
      </w:r>
      <w:r w:rsidR="000159A6">
        <w:rPr>
          <w:lang w:eastAsia="ja-JP"/>
        </w:rPr>
        <w:t xml:space="preserve"> </w:t>
      </w:r>
      <w:r w:rsidRPr="00007D6B">
        <w:rPr>
          <w:lang w:eastAsia="ja-JP"/>
        </w:rPr>
        <w:t>confirmed</w:t>
      </w:r>
      <w:r w:rsidR="000159A6">
        <w:rPr>
          <w:lang w:eastAsia="ja-JP"/>
        </w:rPr>
        <w:t xml:space="preserve"> </w:t>
      </w:r>
      <w:r w:rsidRPr="00007D6B">
        <w:rPr>
          <w:lang w:eastAsia="ja-JP"/>
        </w:rPr>
        <w:t>HZ</w:t>
      </w:r>
      <w:r w:rsidR="000159A6">
        <w:rPr>
          <w:lang w:eastAsia="ja-JP"/>
        </w:rPr>
        <w:t xml:space="preserve"> </w:t>
      </w:r>
      <w:r w:rsidRPr="00007D6B">
        <w:rPr>
          <w:lang w:eastAsia="ja-JP"/>
        </w:rPr>
        <w:t>prior</w:t>
      </w:r>
      <w:r w:rsidR="000159A6">
        <w:rPr>
          <w:lang w:eastAsia="ja-JP"/>
        </w:rPr>
        <w:t xml:space="preserve"> </w:t>
      </w:r>
      <w:r w:rsidRPr="00007D6B">
        <w:rPr>
          <w:lang w:eastAsia="ja-JP"/>
        </w:rPr>
        <w:t>to</w:t>
      </w:r>
      <w:r w:rsidR="000159A6">
        <w:rPr>
          <w:lang w:eastAsia="ja-JP"/>
        </w:rPr>
        <w:t xml:space="preserve"> </w:t>
      </w:r>
      <w:r w:rsidRPr="00007D6B">
        <w:rPr>
          <w:lang w:eastAsia="ja-JP"/>
        </w:rPr>
        <w:t>30</w:t>
      </w:r>
      <w:r w:rsidR="000159A6">
        <w:rPr>
          <w:lang w:eastAsia="ja-JP"/>
        </w:rPr>
        <w:t xml:space="preserve"> </w:t>
      </w:r>
      <w:r w:rsidRPr="00007D6B">
        <w:rPr>
          <w:lang w:eastAsia="ja-JP"/>
        </w:rPr>
        <w:t>days</w:t>
      </w:r>
      <w:r w:rsidR="000159A6">
        <w:rPr>
          <w:lang w:eastAsia="ja-JP"/>
        </w:rPr>
        <w:t xml:space="preserve"> </w:t>
      </w:r>
      <w:r w:rsidRPr="00007D6B">
        <w:rPr>
          <w:lang w:eastAsia="ja-JP"/>
        </w:rPr>
        <w:t>post</w:t>
      </w:r>
      <w:r w:rsidR="000159A6">
        <w:rPr>
          <w:lang w:eastAsia="ja-JP"/>
        </w:rPr>
        <w:t xml:space="preserve"> </w:t>
      </w:r>
      <w:proofErr w:type="gramStart"/>
      <w:r w:rsidRPr="00007D6B">
        <w:rPr>
          <w:lang w:eastAsia="ja-JP"/>
        </w:rPr>
        <w:t>second</w:t>
      </w:r>
      <w:proofErr w:type="gramEnd"/>
      <w:r w:rsidR="000159A6">
        <w:rPr>
          <w:lang w:eastAsia="ja-JP"/>
        </w:rPr>
        <w:t xml:space="preserve"> </w:t>
      </w:r>
      <w:r w:rsidRPr="00007D6B">
        <w:rPr>
          <w:lang w:eastAsia="ja-JP"/>
        </w:rPr>
        <w:t>vaccination,</w:t>
      </w:r>
      <w:r w:rsidR="000159A6">
        <w:rPr>
          <w:lang w:eastAsia="ja-JP"/>
        </w:rPr>
        <w:t xml:space="preserve"> </w:t>
      </w:r>
      <w:r w:rsidRPr="00007D6B">
        <w:rPr>
          <w:lang w:eastAsia="ja-JP"/>
        </w:rPr>
        <w:t>or</w:t>
      </w:r>
      <w:r w:rsidR="000159A6">
        <w:rPr>
          <w:lang w:eastAsia="ja-JP"/>
        </w:rPr>
        <w:t xml:space="preserve"> </w:t>
      </w:r>
      <w:r w:rsidRPr="00007D6B">
        <w:rPr>
          <w:lang w:eastAsia="ja-JP"/>
        </w:rPr>
        <w:t>who</w:t>
      </w:r>
      <w:r w:rsidR="000159A6">
        <w:rPr>
          <w:lang w:eastAsia="ja-JP"/>
        </w:rPr>
        <w:t xml:space="preserve"> </w:t>
      </w:r>
      <w:r w:rsidRPr="00007D6B">
        <w:rPr>
          <w:lang w:eastAsia="ja-JP"/>
        </w:rPr>
        <w:t>did</w:t>
      </w:r>
      <w:r w:rsidR="000159A6">
        <w:rPr>
          <w:lang w:eastAsia="ja-JP"/>
        </w:rPr>
        <w:t xml:space="preserve"> </w:t>
      </w:r>
      <w:r w:rsidRPr="00007D6B">
        <w:rPr>
          <w:lang w:eastAsia="ja-JP"/>
        </w:rPr>
        <w:t>not</w:t>
      </w:r>
      <w:r w:rsidR="000159A6">
        <w:rPr>
          <w:lang w:eastAsia="ja-JP"/>
        </w:rPr>
        <w:t xml:space="preserve"> </w:t>
      </w:r>
      <w:r w:rsidRPr="00007D6B">
        <w:rPr>
          <w:lang w:eastAsia="ja-JP"/>
        </w:rPr>
        <w:t>receive</w:t>
      </w:r>
      <w:r w:rsidR="000159A6">
        <w:rPr>
          <w:lang w:eastAsia="ja-JP"/>
        </w:rPr>
        <w:t xml:space="preserve"> </w:t>
      </w:r>
      <w:r w:rsidRPr="00007D6B">
        <w:rPr>
          <w:lang w:eastAsia="ja-JP"/>
        </w:rPr>
        <w:t>vaccine</w:t>
      </w:r>
      <w:r w:rsidR="000159A6">
        <w:rPr>
          <w:lang w:eastAsia="ja-JP"/>
        </w:rPr>
        <w:t xml:space="preserve"> </w:t>
      </w:r>
      <w:r w:rsidRPr="00007D6B">
        <w:rPr>
          <w:lang w:eastAsia="ja-JP"/>
        </w:rPr>
        <w:t>according</w:t>
      </w:r>
      <w:r w:rsidR="000159A6">
        <w:rPr>
          <w:lang w:eastAsia="ja-JP"/>
        </w:rPr>
        <w:t xml:space="preserve"> </w:t>
      </w:r>
      <w:r w:rsidRPr="00007D6B">
        <w:rPr>
          <w:lang w:eastAsia="ja-JP"/>
        </w:rPr>
        <w:t>to</w:t>
      </w:r>
      <w:r w:rsidR="000159A6">
        <w:rPr>
          <w:lang w:eastAsia="ja-JP"/>
        </w:rPr>
        <w:t xml:space="preserve"> </w:t>
      </w:r>
      <w:r w:rsidRPr="00007D6B">
        <w:rPr>
          <w:lang w:eastAsia="ja-JP"/>
        </w:rPr>
        <w:t>the</w:t>
      </w:r>
      <w:r w:rsidR="000159A6">
        <w:rPr>
          <w:lang w:eastAsia="ja-JP"/>
        </w:rPr>
        <w:t xml:space="preserve"> </w:t>
      </w:r>
      <w:r w:rsidRPr="00007D6B">
        <w:rPr>
          <w:lang w:eastAsia="ja-JP"/>
        </w:rPr>
        <w:t>protocol.</w:t>
      </w:r>
      <w:r w:rsidR="000159A6">
        <w:rPr>
          <w:lang w:eastAsia="ja-JP"/>
        </w:rPr>
        <w:t xml:space="preserve"> </w:t>
      </w:r>
      <w:r w:rsidRPr="00007D6B">
        <w:rPr>
          <w:lang w:eastAsia="ja-JP"/>
        </w:rPr>
        <w:t>It</w:t>
      </w:r>
      <w:r w:rsidR="000159A6">
        <w:rPr>
          <w:lang w:eastAsia="ja-JP"/>
        </w:rPr>
        <w:t xml:space="preserve"> </w:t>
      </w:r>
      <w:r w:rsidRPr="00007D6B">
        <w:rPr>
          <w:lang w:eastAsia="ja-JP"/>
        </w:rPr>
        <w:t>was</w:t>
      </w:r>
      <w:r>
        <w:rPr>
          <w:lang w:eastAsia="ja-JP"/>
        </w:rPr>
        <w:t>,</w:t>
      </w:r>
      <w:r w:rsidR="000159A6">
        <w:rPr>
          <w:lang w:eastAsia="ja-JP"/>
        </w:rPr>
        <w:t xml:space="preserve"> </w:t>
      </w:r>
      <w:r w:rsidRPr="00007D6B">
        <w:rPr>
          <w:lang w:eastAsia="ja-JP"/>
        </w:rPr>
        <w:t>however</w:t>
      </w:r>
      <w:r>
        <w:rPr>
          <w:lang w:eastAsia="ja-JP"/>
        </w:rPr>
        <w:t>,</w:t>
      </w:r>
      <w:r w:rsidR="000159A6">
        <w:rPr>
          <w:lang w:eastAsia="ja-JP"/>
        </w:rPr>
        <w:t xml:space="preserve"> </w:t>
      </w:r>
      <w:r w:rsidRPr="00007D6B">
        <w:rPr>
          <w:lang w:eastAsia="ja-JP"/>
        </w:rPr>
        <w:t>supported</w:t>
      </w:r>
      <w:r w:rsidR="000159A6">
        <w:rPr>
          <w:lang w:eastAsia="ja-JP"/>
        </w:rPr>
        <w:t xml:space="preserve"> </w:t>
      </w:r>
      <w:r w:rsidRPr="00007D6B">
        <w:rPr>
          <w:lang w:eastAsia="ja-JP"/>
        </w:rPr>
        <w:t>by</w:t>
      </w:r>
      <w:r w:rsidR="000159A6">
        <w:rPr>
          <w:lang w:eastAsia="ja-JP"/>
        </w:rPr>
        <w:t xml:space="preserve"> </w:t>
      </w:r>
      <w:r w:rsidRPr="00007D6B">
        <w:rPr>
          <w:lang w:eastAsia="ja-JP"/>
        </w:rPr>
        <w:t>the</w:t>
      </w:r>
      <w:r w:rsidR="000159A6">
        <w:rPr>
          <w:lang w:eastAsia="ja-JP"/>
        </w:rPr>
        <w:t xml:space="preserve"> </w:t>
      </w:r>
      <w:r w:rsidRPr="00007D6B">
        <w:rPr>
          <w:lang w:eastAsia="ja-JP"/>
        </w:rPr>
        <w:t>TVC</w:t>
      </w:r>
      <w:r w:rsidR="000159A6">
        <w:rPr>
          <w:lang w:eastAsia="ja-JP"/>
        </w:rPr>
        <w:t xml:space="preserve"> </w:t>
      </w:r>
      <w:r w:rsidRPr="00007D6B">
        <w:rPr>
          <w:lang w:eastAsia="ja-JP"/>
        </w:rPr>
        <w:t>analysis</w:t>
      </w:r>
      <w:r w:rsidR="000159A6">
        <w:rPr>
          <w:lang w:eastAsia="ja-JP"/>
        </w:rPr>
        <w:t xml:space="preserve"> </w:t>
      </w:r>
      <w:r w:rsidRPr="00007D6B">
        <w:rPr>
          <w:lang w:eastAsia="ja-JP"/>
        </w:rPr>
        <w:t>which</w:t>
      </w:r>
      <w:r w:rsidR="000159A6">
        <w:rPr>
          <w:lang w:eastAsia="ja-JP"/>
        </w:rPr>
        <w:t xml:space="preserve"> </w:t>
      </w:r>
      <w:r w:rsidRPr="00007D6B">
        <w:rPr>
          <w:lang w:eastAsia="ja-JP"/>
        </w:rPr>
        <w:t>included</w:t>
      </w:r>
      <w:r w:rsidR="000159A6">
        <w:rPr>
          <w:lang w:eastAsia="ja-JP"/>
        </w:rPr>
        <w:t xml:space="preserve"> </w:t>
      </w:r>
      <w:r w:rsidRPr="00007D6B">
        <w:rPr>
          <w:lang w:eastAsia="ja-JP"/>
        </w:rPr>
        <w:t>subjects</w:t>
      </w:r>
      <w:r w:rsidR="000159A6">
        <w:rPr>
          <w:lang w:eastAsia="ja-JP"/>
        </w:rPr>
        <w:t xml:space="preserve"> </w:t>
      </w:r>
      <w:r w:rsidRPr="00007D6B">
        <w:rPr>
          <w:lang w:eastAsia="ja-JP"/>
        </w:rPr>
        <w:t>who</w:t>
      </w:r>
      <w:r w:rsidR="000159A6">
        <w:rPr>
          <w:lang w:eastAsia="ja-JP"/>
        </w:rPr>
        <w:t xml:space="preserve"> </w:t>
      </w:r>
      <w:r w:rsidRPr="00007D6B">
        <w:rPr>
          <w:lang w:eastAsia="ja-JP"/>
        </w:rPr>
        <w:t>may</w:t>
      </w:r>
      <w:r w:rsidR="000159A6">
        <w:rPr>
          <w:lang w:eastAsia="ja-JP"/>
        </w:rPr>
        <w:t xml:space="preserve"> </w:t>
      </w:r>
      <w:r w:rsidRPr="00007D6B">
        <w:rPr>
          <w:lang w:eastAsia="ja-JP"/>
        </w:rPr>
        <w:t>have</w:t>
      </w:r>
      <w:r w:rsidR="000159A6">
        <w:rPr>
          <w:lang w:eastAsia="ja-JP"/>
        </w:rPr>
        <w:t xml:space="preserve"> </w:t>
      </w:r>
      <w:r w:rsidRPr="00007D6B">
        <w:rPr>
          <w:lang w:eastAsia="ja-JP"/>
        </w:rPr>
        <w:t>only</w:t>
      </w:r>
      <w:r w:rsidR="000159A6">
        <w:rPr>
          <w:lang w:eastAsia="ja-JP"/>
        </w:rPr>
        <w:t xml:space="preserve"> </w:t>
      </w:r>
      <w:r w:rsidRPr="00007D6B">
        <w:rPr>
          <w:lang w:eastAsia="ja-JP"/>
        </w:rPr>
        <w:t>received</w:t>
      </w:r>
      <w:r w:rsidR="000159A6">
        <w:rPr>
          <w:lang w:eastAsia="ja-JP"/>
        </w:rPr>
        <w:t xml:space="preserve"> </w:t>
      </w:r>
      <w:r w:rsidRPr="00007D6B">
        <w:rPr>
          <w:lang w:eastAsia="ja-JP"/>
        </w:rPr>
        <w:t>one</w:t>
      </w:r>
      <w:r w:rsidR="000159A6">
        <w:rPr>
          <w:lang w:eastAsia="ja-JP"/>
        </w:rPr>
        <w:t xml:space="preserve"> </w:t>
      </w:r>
      <w:r w:rsidRPr="00007D6B">
        <w:rPr>
          <w:lang w:eastAsia="ja-JP"/>
        </w:rPr>
        <w:t>dose</w:t>
      </w:r>
      <w:r w:rsidR="000159A6">
        <w:rPr>
          <w:lang w:eastAsia="ja-JP"/>
        </w:rPr>
        <w:t xml:space="preserve"> </w:t>
      </w:r>
      <w:r w:rsidRPr="00007D6B">
        <w:rPr>
          <w:lang w:eastAsia="ja-JP"/>
        </w:rPr>
        <w:t>of</w:t>
      </w:r>
      <w:r w:rsidR="000159A6">
        <w:rPr>
          <w:lang w:eastAsia="ja-JP"/>
        </w:rPr>
        <w:t xml:space="preserve"> </w:t>
      </w:r>
      <w:r w:rsidRPr="00007D6B">
        <w:rPr>
          <w:lang w:eastAsia="ja-JP"/>
        </w:rPr>
        <w:t>vaccine</w:t>
      </w:r>
      <w:r w:rsidR="000159A6">
        <w:rPr>
          <w:lang w:eastAsia="ja-JP"/>
        </w:rPr>
        <w:t xml:space="preserve"> </w:t>
      </w:r>
      <w:r w:rsidRPr="00007D6B">
        <w:rPr>
          <w:lang w:eastAsia="ja-JP"/>
        </w:rPr>
        <w:t>which</w:t>
      </w:r>
      <w:r w:rsidR="000159A6">
        <w:rPr>
          <w:lang w:eastAsia="ja-JP"/>
        </w:rPr>
        <w:t xml:space="preserve"> </w:t>
      </w:r>
      <w:r w:rsidRPr="00007D6B">
        <w:rPr>
          <w:lang w:eastAsia="ja-JP"/>
        </w:rPr>
        <w:t>is</w:t>
      </w:r>
      <w:r w:rsidR="000159A6">
        <w:rPr>
          <w:lang w:eastAsia="ja-JP"/>
        </w:rPr>
        <w:t xml:space="preserve"> </w:t>
      </w:r>
      <w:r w:rsidRPr="00007D6B">
        <w:rPr>
          <w:lang w:eastAsia="ja-JP"/>
        </w:rPr>
        <w:t>of</w:t>
      </w:r>
      <w:r w:rsidR="000159A6">
        <w:rPr>
          <w:lang w:eastAsia="ja-JP"/>
        </w:rPr>
        <w:t xml:space="preserve"> </w:t>
      </w:r>
      <w:r w:rsidRPr="00007D6B">
        <w:rPr>
          <w:lang w:eastAsia="ja-JP"/>
        </w:rPr>
        <w:t>clinical</w:t>
      </w:r>
      <w:r w:rsidR="000159A6">
        <w:rPr>
          <w:lang w:eastAsia="ja-JP"/>
        </w:rPr>
        <w:t xml:space="preserve"> </w:t>
      </w:r>
      <w:r w:rsidRPr="00007D6B">
        <w:rPr>
          <w:lang w:eastAsia="ja-JP"/>
        </w:rPr>
        <w:t>relevance.</w:t>
      </w:r>
    </w:p>
    <w:p w14:paraId="51787DD0" w14:textId="2C79E464" w:rsidR="001F6DEC" w:rsidRPr="00007D6B" w:rsidRDefault="001F6DEC" w:rsidP="001F6DEC">
      <w:pPr>
        <w:rPr>
          <w:lang w:eastAsia="ja-JP"/>
        </w:rPr>
      </w:pPr>
      <w:r w:rsidRPr="00007D6B">
        <w:rPr>
          <w:lang w:eastAsia="ja-JP"/>
        </w:rPr>
        <w:t>Analysis</w:t>
      </w:r>
      <w:r w:rsidR="000159A6">
        <w:rPr>
          <w:lang w:eastAsia="ja-JP"/>
        </w:rPr>
        <w:t xml:space="preserve"> </w:t>
      </w:r>
      <w:r w:rsidRPr="00007D6B">
        <w:rPr>
          <w:lang w:eastAsia="ja-JP"/>
        </w:rPr>
        <w:t>of</w:t>
      </w:r>
      <w:r w:rsidR="000159A6">
        <w:rPr>
          <w:lang w:eastAsia="ja-JP"/>
        </w:rPr>
        <w:t xml:space="preserve"> </w:t>
      </w:r>
      <w:r w:rsidR="000D0435">
        <w:rPr>
          <w:lang w:eastAsia="ja-JP"/>
        </w:rPr>
        <w:t>Study</w:t>
      </w:r>
      <w:r w:rsidR="000159A6">
        <w:rPr>
          <w:lang w:eastAsia="ja-JP"/>
        </w:rPr>
        <w:t xml:space="preserve"> </w:t>
      </w:r>
      <w:r>
        <w:rPr>
          <w:lang w:eastAsia="ja-JP"/>
        </w:rPr>
        <w:t>ZOSTER</w:t>
      </w:r>
      <w:r w:rsidRPr="00007D6B">
        <w:rPr>
          <w:lang w:eastAsia="ja-JP"/>
        </w:rPr>
        <w:t>-006</w:t>
      </w:r>
      <w:r w:rsidR="000159A6">
        <w:rPr>
          <w:lang w:eastAsia="ja-JP"/>
        </w:rPr>
        <w:t xml:space="preserve"> </w:t>
      </w:r>
      <w:r w:rsidRPr="00007D6B">
        <w:rPr>
          <w:lang w:eastAsia="ja-JP"/>
        </w:rPr>
        <w:t>was</w:t>
      </w:r>
      <w:r w:rsidR="000159A6">
        <w:rPr>
          <w:lang w:eastAsia="ja-JP"/>
        </w:rPr>
        <w:t xml:space="preserve"> </w:t>
      </w:r>
      <w:r w:rsidRPr="00007D6B">
        <w:rPr>
          <w:lang w:eastAsia="ja-JP"/>
        </w:rPr>
        <w:t>undertaken</w:t>
      </w:r>
      <w:r w:rsidR="000159A6">
        <w:rPr>
          <w:lang w:eastAsia="ja-JP"/>
        </w:rPr>
        <w:t xml:space="preserve"> </w:t>
      </w:r>
      <w:r w:rsidRPr="00007D6B">
        <w:rPr>
          <w:lang w:eastAsia="ja-JP"/>
        </w:rPr>
        <w:t>in</w:t>
      </w:r>
      <w:r w:rsidR="000159A6">
        <w:rPr>
          <w:lang w:eastAsia="ja-JP"/>
        </w:rPr>
        <w:t xml:space="preserve"> </w:t>
      </w:r>
      <w:r w:rsidRPr="00007D6B">
        <w:rPr>
          <w:lang w:eastAsia="ja-JP"/>
        </w:rPr>
        <w:t>a</w:t>
      </w:r>
      <w:r w:rsidR="000159A6">
        <w:rPr>
          <w:lang w:eastAsia="ja-JP"/>
        </w:rPr>
        <w:t xml:space="preserve"> </w:t>
      </w:r>
      <w:r w:rsidRPr="00007D6B">
        <w:rPr>
          <w:lang w:eastAsia="ja-JP"/>
        </w:rPr>
        <w:t>two-step</w:t>
      </w:r>
      <w:r w:rsidR="000159A6">
        <w:rPr>
          <w:lang w:eastAsia="ja-JP"/>
        </w:rPr>
        <w:t xml:space="preserve"> </w:t>
      </w:r>
      <w:r w:rsidRPr="00007D6B">
        <w:rPr>
          <w:lang w:eastAsia="ja-JP"/>
        </w:rPr>
        <w:t>procedure,</w:t>
      </w:r>
      <w:r w:rsidR="000159A6">
        <w:rPr>
          <w:lang w:eastAsia="ja-JP"/>
        </w:rPr>
        <w:t xml:space="preserve"> </w:t>
      </w:r>
      <w:r w:rsidRPr="00007D6B">
        <w:rPr>
          <w:lang w:eastAsia="ja-JP"/>
        </w:rPr>
        <w:t>first</w:t>
      </w:r>
      <w:r w:rsidR="000159A6">
        <w:rPr>
          <w:lang w:eastAsia="ja-JP"/>
        </w:rPr>
        <w:t xml:space="preserve"> </w:t>
      </w:r>
      <w:r w:rsidRPr="00007D6B">
        <w:rPr>
          <w:lang w:eastAsia="ja-JP"/>
        </w:rPr>
        <w:t>HZ</w:t>
      </w:r>
      <w:r w:rsidR="000159A6">
        <w:rPr>
          <w:lang w:eastAsia="ja-JP"/>
        </w:rPr>
        <w:t xml:space="preserve"> </w:t>
      </w:r>
      <w:r w:rsidRPr="00007D6B">
        <w:rPr>
          <w:lang w:eastAsia="ja-JP"/>
        </w:rPr>
        <w:t>VE</w:t>
      </w:r>
      <w:r w:rsidR="000159A6">
        <w:rPr>
          <w:lang w:eastAsia="ja-JP"/>
        </w:rPr>
        <w:t xml:space="preserve"> </w:t>
      </w:r>
      <w:r w:rsidRPr="00007D6B">
        <w:rPr>
          <w:lang w:eastAsia="ja-JP"/>
        </w:rPr>
        <w:t>and</w:t>
      </w:r>
      <w:r w:rsidR="000159A6">
        <w:rPr>
          <w:lang w:eastAsia="ja-JP"/>
        </w:rPr>
        <w:t xml:space="preserve"> </w:t>
      </w:r>
      <w:r w:rsidRPr="00007D6B">
        <w:rPr>
          <w:lang w:eastAsia="ja-JP"/>
        </w:rPr>
        <w:t>then</w:t>
      </w:r>
      <w:r w:rsidR="000159A6">
        <w:rPr>
          <w:lang w:eastAsia="ja-JP"/>
        </w:rPr>
        <w:t xml:space="preserve"> </w:t>
      </w:r>
      <w:r w:rsidRPr="00007D6B">
        <w:rPr>
          <w:lang w:eastAsia="ja-JP"/>
        </w:rPr>
        <w:t>at</w:t>
      </w:r>
      <w:r w:rsidR="000159A6">
        <w:rPr>
          <w:lang w:eastAsia="ja-JP"/>
        </w:rPr>
        <w:t xml:space="preserve"> </w:t>
      </w:r>
      <w:r w:rsidRPr="00007D6B">
        <w:rPr>
          <w:lang w:eastAsia="ja-JP"/>
        </w:rPr>
        <w:t>EOS</w:t>
      </w:r>
      <w:r w:rsidR="000159A6">
        <w:rPr>
          <w:lang w:eastAsia="ja-JP"/>
        </w:rPr>
        <w:t xml:space="preserve"> </w:t>
      </w:r>
      <w:r>
        <w:rPr>
          <w:lang w:eastAsia="ja-JP"/>
        </w:rPr>
        <w:t>for</w:t>
      </w:r>
      <w:r w:rsidR="000159A6">
        <w:rPr>
          <w:lang w:eastAsia="ja-JP"/>
        </w:rPr>
        <w:t xml:space="preserve"> </w:t>
      </w:r>
      <w:r w:rsidRPr="00007D6B">
        <w:rPr>
          <w:lang w:eastAsia="ja-JP"/>
        </w:rPr>
        <w:t>PHN</w:t>
      </w:r>
      <w:r w:rsidR="000159A6">
        <w:rPr>
          <w:lang w:eastAsia="ja-JP"/>
        </w:rPr>
        <w:t xml:space="preserve"> </w:t>
      </w:r>
      <w:r w:rsidRPr="00007D6B">
        <w:rPr>
          <w:lang w:eastAsia="ja-JP"/>
        </w:rPr>
        <w:t>efficacy,</w:t>
      </w:r>
      <w:r w:rsidR="000159A6">
        <w:rPr>
          <w:lang w:eastAsia="ja-JP"/>
        </w:rPr>
        <w:t xml:space="preserve"> </w:t>
      </w:r>
      <w:r w:rsidRPr="00007D6B">
        <w:rPr>
          <w:lang w:eastAsia="ja-JP"/>
        </w:rPr>
        <w:t>due</w:t>
      </w:r>
      <w:r w:rsidR="000159A6">
        <w:rPr>
          <w:lang w:eastAsia="ja-JP"/>
        </w:rPr>
        <w:t xml:space="preserve"> </w:t>
      </w:r>
      <w:r w:rsidRPr="00007D6B">
        <w:rPr>
          <w:lang w:eastAsia="ja-JP"/>
        </w:rPr>
        <w:t>to</w:t>
      </w:r>
      <w:r w:rsidR="000159A6">
        <w:rPr>
          <w:lang w:eastAsia="ja-JP"/>
        </w:rPr>
        <w:t xml:space="preserve"> </w:t>
      </w:r>
      <w:r w:rsidRPr="00007D6B">
        <w:rPr>
          <w:lang w:eastAsia="ja-JP"/>
        </w:rPr>
        <w:t>earlier</w:t>
      </w:r>
      <w:r w:rsidR="000159A6">
        <w:rPr>
          <w:lang w:eastAsia="ja-JP"/>
        </w:rPr>
        <w:t xml:space="preserve"> </w:t>
      </w:r>
      <w:r w:rsidRPr="00007D6B">
        <w:rPr>
          <w:lang w:eastAsia="ja-JP"/>
        </w:rPr>
        <w:t>case</w:t>
      </w:r>
      <w:r w:rsidR="000159A6">
        <w:rPr>
          <w:lang w:eastAsia="ja-JP"/>
        </w:rPr>
        <w:t xml:space="preserve"> </w:t>
      </w:r>
      <w:r w:rsidRPr="00007D6B">
        <w:rPr>
          <w:lang w:eastAsia="ja-JP"/>
        </w:rPr>
        <w:t>accrual</w:t>
      </w:r>
      <w:r w:rsidR="000159A6">
        <w:rPr>
          <w:lang w:eastAsia="ja-JP"/>
        </w:rPr>
        <w:t xml:space="preserve"> </w:t>
      </w:r>
      <w:r w:rsidRPr="00007D6B">
        <w:rPr>
          <w:lang w:eastAsia="ja-JP"/>
        </w:rPr>
        <w:t>in</w:t>
      </w:r>
      <w:r w:rsidR="000159A6">
        <w:rPr>
          <w:lang w:eastAsia="ja-JP"/>
        </w:rPr>
        <w:t xml:space="preserve"> </w:t>
      </w:r>
      <w:r w:rsidR="00525235">
        <w:rPr>
          <w:lang w:eastAsia="ja-JP"/>
        </w:rPr>
        <w:t>Study</w:t>
      </w:r>
      <w:r w:rsidR="000159A6">
        <w:rPr>
          <w:lang w:eastAsia="ja-JP"/>
        </w:rPr>
        <w:t xml:space="preserve"> </w:t>
      </w:r>
      <w:r w:rsidR="00525235">
        <w:rPr>
          <w:lang w:eastAsia="ja-JP"/>
        </w:rPr>
        <w:t>ZOSTER</w:t>
      </w:r>
      <w:r w:rsidRPr="00007D6B">
        <w:rPr>
          <w:lang w:eastAsia="ja-JP"/>
        </w:rPr>
        <w:t>-006</w:t>
      </w:r>
      <w:r>
        <w:rPr>
          <w:lang w:eastAsia="ja-JP"/>
        </w:rPr>
        <w:t>.</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a</w:t>
      </w:r>
      <w:r w:rsidR="000159A6">
        <w:rPr>
          <w:lang w:eastAsia="ja-JP"/>
        </w:rPr>
        <w:t xml:space="preserve"> </w:t>
      </w:r>
      <w:r>
        <w:rPr>
          <w:lang w:eastAsia="ja-JP"/>
        </w:rPr>
        <w:t>‘Firewall</w:t>
      </w:r>
      <w:r w:rsidR="000159A6">
        <w:rPr>
          <w:lang w:eastAsia="ja-JP"/>
        </w:rPr>
        <w:t xml:space="preserve"> </w:t>
      </w:r>
      <w:r>
        <w:rPr>
          <w:lang w:eastAsia="ja-JP"/>
        </w:rPr>
        <w:t>team’</w:t>
      </w:r>
      <w:r w:rsidR="000159A6">
        <w:rPr>
          <w:lang w:eastAsia="ja-JP"/>
        </w:rPr>
        <w:t xml:space="preserve"> </w:t>
      </w:r>
      <w:r>
        <w:rPr>
          <w:lang w:eastAsia="ja-JP"/>
        </w:rPr>
        <w:t>set</w:t>
      </w:r>
      <w:r w:rsidR="000159A6">
        <w:rPr>
          <w:lang w:eastAsia="ja-JP"/>
        </w:rPr>
        <w:t xml:space="preserve"> </w:t>
      </w:r>
      <w:r>
        <w:rPr>
          <w:lang w:eastAsia="ja-JP"/>
        </w:rPr>
        <w:t>up</w:t>
      </w:r>
      <w:r w:rsidR="000159A6">
        <w:rPr>
          <w:lang w:eastAsia="ja-JP"/>
        </w:rPr>
        <w:t xml:space="preserve"> </w:t>
      </w:r>
      <w:r>
        <w:rPr>
          <w:lang w:eastAsia="ja-JP"/>
        </w:rPr>
        <w:t>to</w:t>
      </w:r>
      <w:r w:rsidR="000159A6">
        <w:rPr>
          <w:lang w:eastAsia="ja-JP"/>
        </w:rPr>
        <w:t xml:space="preserve"> </w:t>
      </w:r>
      <w:r>
        <w:rPr>
          <w:lang w:eastAsia="ja-JP"/>
        </w:rPr>
        <w:t>maintain</w:t>
      </w:r>
      <w:r w:rsidR="000159A6">
        <w:rPr>
          <w:lang w:eastAsia="ja-JP"/>
        </w:rPr>
        <w:t xml:space="preserve"> </w:t>
      </w:r>
      <w:r>
        <w:rPr>
          <w:lang w:eastAsia="ja-JP"/>
        </w:rPr>
        <w:t>study</w:t>
      </w:r>
      <w:r w:rsidR="000159A6">
        <w:rPr>
          <w:lang w:eastAsia="ja-JP"/>
        </w:rPr>
        <w:t xml:space="preserve"> </w:t>
      </w:r>
      <w:r>
        <w:rPr>
          <w:lang w:eastAsia="ja-JP"/>
        </w:rPr>
        <w:t>blind</w:t>
      </w:r>
      <w:r w:rsidR="000159A6">
        <w:rPr>
          <w:lang w:eastAsia="ja-JP"/>
        </w:rPr>
        <w:t xml:space="preserve"> </w:t>
      </w:r>
      <w:r>
        <w:rPr>
          <w:lang w:eastAsia="ja-JP"/>
        </w:rPr>
        <w:t>between</w:t>
      </w:r>
      <w:r w:rsidR="000159A6">
        <w:rPr>
          <w:lang w:eastAsia="ja-JP"/>
        </w:rPr>
        <w:t xml:space="preserve"> </w:t>
      </w:r>
      <w:r>
        <w:rPr>
          <w:lang w:eastAsia="ja-JP"/>
        </w:rPr>
        <w:t>the</w:t>
      </w:r>
      <w:r w:rsidR="000159A6">
        <w:rPr>
          <w:lang w:eastAsia="ja-JP"/>
        </w:rPr>
        <w:t xml:space="preserve"> </w:t>
      </w:r>
      <w:r>
        <w:rPr>
          <w:lang w:eastAsia="ja-JP"/>
        </w:rPr>
        <w:t>two</w:t>
      </w:r>
      <w:r w:rsidR="000159A6">
        <w:rPr>
          <w:lang w:eastAsia="ja-JP"/>
        </w:rPr>
        <w:t xml:space="preserve"> </w:t>
      </w:r>
      <w:r>
        <w:rPr>
          <w:lang w:eastAsia="ja-JP"/>
        </w:rPr>
        <w:t>analyses.</w:t>
      </w:r>
    </w:p>
    <w:p w14:paraId="079F12D0" w14:textId="42BEBFB9" w:rsidR="001F6DEC" w:rsidRPr="00007D6B" w:rsidRDefault="001F6DEC" w:rsidP="001F6DEC">
      <w:pPr>
        <w:rPr>
          <w:lang w:eastAsia="ja-JP"/>
        </w:rPr>
      </w:pPr>
      <w:r w:rsidRPr="00007D6B">
        <w:rPr>
          <w:lang w:eastAsia="ja-JP"/>
        </w:rPr>
        <w:t>Statistical</w:t>
      </w:r>
      <w:r w:rsidR="000159A6">
        <w:rPr>
          <w:lang w:eastAsia="ja-JP"/>
        </w:rPr>
        <w:t xml:space="preserve"> </w:t>
      </w:r>
      <w:r w:rsidRPr="00007D6B">
        <w:rPr>
          <w:lang w:eastAsia="ja-JP"/>
        </w:rPr>
        <w:t>analysis</w:t>
      </w:r>
      <w:r w:rsidR="000159A6">
        <w:rPr>
          <w:lang w:eastAsia="ja-JP"/>
        </w:rPr>
        <w:t xml:space="preserve"> </w:t>
      </w:r>
      <w:r w:rsidRPr="00007D6B">
        <w:rPr>
          <w:lang w:eastAsia="ja-JP"/>
        </w:rPr>
        <w:t>description</w:t>
      </w:r>
      <w:r w:rsidR="000159A6">
        <w:rPr>
          <w:lang w:eastAsia="ja-JP"/>
        </w:rPr>
        <w:t xml:space="preserve"> </w:t>
      </w:r>
      <w:r>
        <w:rPr>
          <w:lang w:eastAsia="ja-JP"/>
        </w:rPr>
        <w:t>was</w:t>
      </w:r>
      <w:r w:rsidR="000159A6">
        <w:rPr>
          <w:lang w:eastAsia="ja-JP"/>
        </w:rPr>
        <w:t xml:space="preserve"> </w:t>
      </w:r>
      <w:r w:rsidRPr="00007D6B">
        <w:rPr>
          <w:lang w:eastAsia="ja-JP"/>
        </w:rPr>
        <w:t>not</w:t>
      </w:r>
      <w:r w:rsidR="000159A6">
        <w:rPr>
          <w:lang w:eastAsia="ja-JP"/>
        </w:rPr>
        <w:t xml:space="preserve"> </w:t>
      </w:r>
      <w:r w:rsidRPr="00007D6B">
        <w:rPr>
          <w:lang w:eastAsia="ja-JP"/>
        </w:rPr>
        <w:t>completely</w:t>
      </w:r>
      <w:r w:rsidR="000159A6">
        <w:rPr>
          <w:lang w:eastAsia="ja-JP"/>
        </w:rPr>
        <w:t xml:space="preserve"> </w:t>
      </w:r>
      <w:r w:rsidRPr="00007D6B">
        <w:rPr>
          <w:lang w:eastAsia="ja-JP"/>
        </w:rPr>
        <w:t>clear</w:t>
      </w:r>
      <w:r w:rsidR="000159A6">
        <w:rPr>
          <w:lang w:eastAsia="ja-JP"/>
        </w:rPr>
        <w:t xml:space="preserve"> </w:t>
      </w:r>
      <w:r w:rsidRPr="00007D6B">
        <w:rPr>
          <w:lang w:eastAsia="ja-JP"/>
        </w:rPr>
        <w:t>on</w:t>
      </w:r>
      <w:r w:rsidR="000159A6">
        <w:rPr>
          <w:lang w:eastAsia="ja-JP"/>
        </w:rPr>
        <w:t xml:space="preserve"> </w:t>
      </w:r>
      <w:r w:rsidRPr="00007D6B">
        <w:rPr>
          <w:lang w:eastAsia="ja-JP"/>
        </w:rPr>
        <w:t>how</w:t>
      </w:r>
      <w:r w:rsidR="000159A6">
        <w:rPr>
          <w:lang w:eastAsia="ja-JP"/>
        </w:rPr>
        <w:t xml:space="preserve"> </w:t>
      </w:r>
      <w:r w:rsidRPr="00007D6B">
        <w:rPr>
          <w:lang w:eastAsia="ja-JP"/>
        </w:rPr>
        <w:t>multiplicity</w:t>
      </w:r>
      <w:r w:rsidR="000159A6">
        <w:rPr>
          <w:lang w:eastAsia="ja-JP"/>
        </w:rPr>
        <w:t xml:space="preserve"> </w:t>
      </w:r>
      <w:r w:rsidRPr="00007D6B">
        <w:rPr>
          <w:lang w:eastAsia="ja-JP"/>
        </w:rPr>
        <w:t>was</w:t>
      </w:r>
      <w:r w:rsidR="000159A6">
        <w:rPr>
          <w:lang w:eastAsia="ja-JP"/>
        </w:rPr>
        <w:t xml:space="preserve"> </w:t>
      </w:r>
      <w:r w:rsidRPr="00007D6B">
        <w:rPr>
          <w:lang w:eastAsia="ja-JP"/>
        </w:rPr>
        <w:t>controlled</w:t>
      </w:r>
      <w:r w:rsidR="000159A6">
        <w:rPr>
          <w:lang w:eastAsia="ja-JP"/>
        </w:rPr>
        <w:t xml:space="preserve"> </w:t>
      </w:r>
      <w:r w:rsidRPr="00007D6B">
        <w:rPr>
          <w:lang w:eastAsia="ja-JP"/>
        </w:rPr>
        <w:t>and</w:t>
      </w:r>
      <w:r w:rsidR="000159A6">
        <w:rPr>
          <w:lang w:eastAsia="ja-JP"/>
        </w:rPr>
        <w:t xml:space="preserve"> </w:t>
      </w:r>
      <w:r w:rsidRPr="00007D6B">
        <w:rPr>
          <w:lang w:eastAsia="ja-JP"/>
        </w:rPr>
        <w:t>also</w:t>
      </w:r>
      <w:r w:rsidR="000159A6">
        <w:rPr>
          <w:lang w:eastAsia="ja-JP"/>
        </w:rPr>
        <w:t xml:space="preserve"> </w:t>
      </w:r>
      <w:r w:rsidRPr="00007D6B">
        <w:rPr>
          <w:lang w:eastAsia="ja-JP"/>
        </w:rPr>
        <w:t>the</w:t>
      </w:r>
      <w:r w:rsidR="000159A6">
        <w:rPr>
          <w:lang w:eastAsia="ja-JP"/>
        </w:rPr>
        <w:t xml:space="preserve"> </w:t>
      </w:r>
      <w:r w:rsidRPr="00007D6B">
        <w:rPr>
          <w:lang w:eastAsia="ja-JP"/>
        </w:rPr>
        <w:t>impact</w:t>
      </w:r>
      <w:r w:rsidR="000159A6">
        <w:rPr>
          <w:lang w:eastAsia="ja-JP"/>
        </w:rPr>
        <w:t xml:space="preserve"> </w:t>
      </w:r>
      <w:r w:rsidRPr="00007D6B">
        <w:rPr>
          <w:lang w:eastAsia="ja-JP"/>
        </w:rPr>
        <w:t>of</w:t>
      </w:r>
      <w:r w:rsidR="000159A6">
        <w:rPr>
          <w:lang w:eastAsia="ja-JP"/>
        </w:rPr>
        <w:t xml:space="preserve"> </w:t>
      </w:r>
      <w:r w:rsidRPr="00007D6B">
        <w:rPr>
          <w:lang w:eastAsia="ja-JP"/>
        </w:rPr>
        <w:t>futility</w:t>
      </w:r>
      <w:r w:rsidR="000159A6">
        <w:rPr>
          <w:lang w:eastAsia="ja-JP"/>
        </w:rPr>
        <w:t xml:space="preserve"> </w:t>
      </w:r>
      <w:r w:rsidRPr="00007D6B">
        <w:rPr>
          <w:lang w:eastAsia="ja-JP"/>
        </w:rPr>
        <w:t>analyses</w:t>
      </w:r>
      <w:r w:rsidR="000159A6">
        <w:rPr>
          <w:lang w:eastAsia="ja-JP"/>
        </w:rPr>
        <w:t xml:space="preserve"> </w:t>
      </w:r>
      <w:r>
        <w:rPr>
          <w:lang w:eastAsia="ja-JP"/>
        </w:rPr>
        <w:t>conducted</w:t>
      </w:r>
      <w:r w:rsidR="000159A6">
        <w:rPr>
          <w:lang w:eastAsia="ja-JP"/>
        </w:rPr>
        <w:t xml:space="preserve"> </w:t>
      </w:r>
      <w:r w:rsidRPr="00007D6B">
        <w:rPr>
          <w:lang w:eastAsia="ja-JP"/>
        </w:rPr>
        <w:t>during</w:t>
      </w:r>
      <w:r w:rsidR="000159A6">
        <w:rPr>
          <w:lang w:eastAsia="ja-JP"/>
        </w:rPr>
        <w:t xml:space="preserve"> </w:t>
      </w:r>
      <w:r w:rsidRPr="00007D6B">
        <w:rPr>
          <w:lang w:eastAsia="ja-JP"/>
        </w:rPr>
        <w:t>the</w:t>
      </w:r>
      <w:r w:rsidR="000159A6">
        <w:rPr>
          <w:lang w:eastAsia="ja-JP"/>
        </w:rPr>
        <w:t xml:space="preserve"> </w:t>
      </w:r>
      <w:r w:rsidRPr="00007D6B">
        <w:rPr>
          <w:lang w:eastAsia="ja-JP"/>
        </w:rPr>
        <w:t>study</w:t>
      </w:r>
      <w:r w:rsidR="000159A6">
        <w:rPr>
          <w:lang w:eastAsia="ja-JP"/>
        </w:rPr>
        <w:t xml:space="preserve"> </w:t>
      </w:r>
      <w:r w:rsidRPr="00007D6B">
        <w:rPr>
          <w:lang w:eastAsia="ja-JP"/>
        </w:rPr>
        <w:t>and</w:t>
      </w:r>
      <w:r w:rsidR="000159A6">
        <w:rPr>
          <w:lang w:eastAsia="ja-JP"/>
        </w:rPr>
        <w:t xml:space="preserve"> </w:t>
      </w:r>
      <w:r w:rsidRPr="00007D6B">
        <w:rPr>
          <w:lang w:eastAsia="ja-JP"/>
        </w:rPr>
        <w:t>this</w:t>
      </w:r>
      <w:r w:rsidR="000159A6">
        <w:rPr>
          <w:lang w:eastAsia="ja-JP"/>
        </w:rPr>
        <w:t xml:space="preserve"> </w:t>
      </w:r>
      <w:r>
        <w:rPr>
          <w:lang w:eastAsia="ja-JP"/>
        </w:rPr>
        <w:t>has</w:t>
      </w:r>
      <w:r w:rsidR="000159A6">
        <w:rPr>
          <w:lang w:eastAsia="ja-JP"/>
        </w:rPr>
        <w:t xml:space="preserve"> </w:t>
      </w:r>
      <w:r w:rsidRPr="00007D6B">
        <w:rPr>
          <w:lang w:eastAsia="ja-JP"/>
        </w:rPr>
        <w:t>been</w:t>
      </w:r>
      <w:r w:rsidR="000159A6">
        <w:rPr>
          <w:lang w:eastAsia="ja-JP"/>
        </w:rPr>
        <w:t xml:space="preserve"> </w:t>
      </w:r>
      <w:r w:rsidRPr="00007D6B">
        <w:rPr>
          <w:lang w:eastAsia="ja-JP"/>
        </w:rPr>
        <w:t>questioned.</w:t>
      </w:r>
    </w:p>
    <w:p w14:paraId="5A0A5AF4" w14:textId="14552D0F" w:rsidR="001F6DEC" w:rsidRPr="00007D6B" w:rsidRDefault="001F6DEC" w:rsidP="001F6DEC">
      <w:pPr>
        <w:rPr>
          <w:lang w:eastAsia="ja-JP"/>
        </w:rPr>
      </w:pPr>
      <w:r w:rsidRPr="00007D6B">
        <w:rPr>
          <w:lang w:eastAsia="ja-JP"/>
        </w:rPr>
        <w:t>The</w:t>
      </w:r>
      <w:r w:rsidR="000159A6">
        <w:rPr>
          <w:lang w:eastAsia="ja-JP"/>
        </w:rPr>
        <w:t xml:space="preserve"> </w:t>
      </w:r>
      <w:r w:rsidRPr="00007D6B">
        <w:rPr>
          <w:lang w:eastAsia="ja-JP"/>
        </w:rPr>
        <w:t>studies</w:t>
      </w:r>
      <w:r w:rsidR="000159A6">
        <w:rPr>
          <w:lang w:eastAsia="ja-JP"/>
        </w:rPr>
        <w:t xml:space="preserve"> </w:t>
      </w:r>
      <w:r w:rsidRPr="00007D6B">
        <w:rPr>
          <w:lang w:eastAsia="ja-JP"/>
        </w:rPr>
        <w:t>were</w:t>
      </w:r>
      <w:r w:rsidR="000159A6">
        <w:rPr>
          <w:lang w:eastAsia="ja-JP"/>
        </w:rPr>
        <w:t xml:space="preserve"> </w:t>
      </w:r>
      <w:r w:rsidRPr="00007D6B">
        <w:rPr>
          <w:lang w:eastAsia="ja-JP"/>
        </w:rPr>
        <w:t>terminated</w:t>
      </w:r>
      <w:r w:rsidR="000159A6">
        <w:rPr>
          <w:lang w:eastAsia="ja-JP"/>
        </w:rPr>
        <w:t xml:space="preserve"> </w:t>
      </w:r>
      <w:r w:rsidRPr="00007D6B">
        <w:rPr>
          <w:lang w:eastAsia="ja-JP"/>
        </w:rPr>
        <w:t>early</w:t>
      </w:r>
      <w:r w:rsidR="000159A6">
        <w:rPr>
          <w:lang w:eastAsia="ja-JP"/>
        </w:rPr>
        <w:t xml:space="preserve"> </w:t>
      </w:r>
      <w:r>
        <w:rPr>
          <w:lang w:eastAsia="ja-JP"/>
        </w:rPr>
        <w:t>as</w:t>
      </w:r>
      <w:r w:rsidR="000159A6">
        <w:rPr>
          <w:lang w:eastAsia="ja-JP"/>
        </w:rPr>
        <w:t xml:space="preserve"> </w:t>
      </w:r>
      <w:r>
        <w:rPr>
          <w:lang w:eastAsia="ja-JP"/>
        </w:rPr>
        <w:t>the</w:t>
      </w:r>
      <w:r w:rsidR="000159A6">
        <w:rPr>
          <w:lang w:eastAsia="ja-JP"/>
        </w:rPr>
        <w:t xml:space="preserve"> </w:t>
      </w:r>
      <w:r>
        <w:rPr>
          <w:lang w:eastAsia="ja-JP"/>
        </w:rPr>
        <w:t>r</w:t>
      </w:r>
      <w:r w:rsidRPr="00007D6B">
        <w:rPr>
          <w:lang w:eastAsia="ja-JP"/>
        </w:rPr>
        <w:t>equired</w:t>
      </w:r>
      <w:r w:rsidR="000159A6">
        <w:rPr>
          <w:lang w:eastAsia="ja-JP"/>
        </w:rPr>
        <w:t xml:space="preserve"> </w:t>
      </w:r>
      <w:r w:rsidRPr="00007D6B">
        <w:rPr>
          <w:lang w:eastAsia="ja-JP"/>
        </w:rPr>
        <w:t>number</w:t>
      </w:r>
      <w:r w:rsidR="000159A6">
        <w:rPr>
          <w:lang w:eastAsia="ja-JP"/>
        </w:rPr>
        <w:t xml:space="preserve"> </w:t>
      </w:r>
      <w:r w:rsidRPr="00007D6B">
        <w:rPr>
          <w:lang w:eastAsia="ja-JP"/>
        </w:rPr>
        <w:t>of</w:t>
      </w:r>
      <w:r w:rsidR="000159A6">
        <w:rPr>
          <w:lang w:eastAsia="ja-JP"/>
        </w:rPr>
        <w:t xml:space="preserve"> </w:t>
      </w:r>
      <w:r w:rsidRPr="00007D6B">
        <w:rPr>
          <w:lang w:eastAsia="ja-JP"/>
        </w:rPr>
        <w:t>cases</w:t>
      </w:r>
      <w:r w:rsidR="000159A6">
        <w:rPr>
          <w:lang w:eastAsia="ja-JP"/>
        </w:rPr>
        <w:t xml:space="preserve"> </w:t>
      </w:r>
      <w:r w:rsidRPr="00007D6B">
        <w:rPr>
          <w:lang w:eastAsia="ja-JP"/>
        </w:rPr>
        <w:t>of</w:t>
      </w:r>
      <w:r w:rsidR="000159A6">
        <w:rPr>
          <w:lang w:eastAsia="ja-JP"/>
        </w:rPr>
        <w:t xml:space="preserve"> </w:t>
      </w:r>
      <w:r w:rsidRPr="00007D6B">
        <w:rPr>
          <w:lang w:eastAsia="ja-JP"/>
        </w:rPr>
        <w:t>HZ</w:t>
      </w:r>
      <w:r w:rsidR="000159A6">
        <w:rPr>
          <w:lang w:eastAsia="ja-JP"/>
        </w:rPr>
        <w:t xml:space="preserve"> </w:t>
      </w:r>
      <w:r w:rsidRPr="00007D6B">
        <w:rPr>
          <w:lang w:eastAsia="ja-JP"/>
        </w:rPr>
        <w:t>and</w:t>
      </w:r>
      <w:r w:rsidR="000159A6">
        <w:rPr>
          <w:lang w:eastAsia="ja-JP"/>
        </w:rPr>
        <w:t xml:space="preserve"> </w:t>
      </w:r>
      <w:r w:rsidRPr="00007D6B">
        <w:rPr>
          <w:lang w:eastAsia="ja-JP"/>
        </w:rPr>
        <w:t>PHN</w:t>
      </w:r>
      <w:r w:rsidR="000159A6">
        <w:rPr>
          <w:lang w:eastAsia="ja-JP"/>
        </w:rPr>
        <w:t xml:space="preserve"> </w:t>
      </w:r>
      <w:r w:rsidRPr="00007D6B">
        <w:rPr>
          <w:lang w:eastAsia="ja-JP"/>
        </w:rPr>
        <w:t>had</w:t>
      </w:r>
      <w:r w:rsidR="000159A6">
        <w:rPr>
          <w:lang w:eastAsia="ja-JP"/>
        </w:rPr>
        <w:t xml:space="preserve"> </w:t>
      </w:r>
      <w:r w:rsidRPr="00007D6B">
        <w:rPr>
          <w:lang w:eastAsia="ja-JP"/>
        </w:rPr>
        <w:t>been</w:t>
      </w:r>
      <w:r w:rsidR="000159A6">
        <w:rPr>
          <w:lang w:eastAsia="ja-JP"/>
        </w:rPr>
        <w:t xml:space="preserve"> </w:t>
      </w:r>
      <w:r w:rsidRPr="00007D6B">
        <w:rPr>
          <w:lang w:eastAsia="ja-JP"/>
        </w:rPr>
        <w:t>met</w:t>
      </w:r>
      <w:r>
        <w:rPr>
          <w:lang w:eastAsia="ja-JP"/>
        </w:rPr>
        <w:t>,</w:t>
      </w:r>
      <w:r w:rsidR="000159A6">
        <w:rPr>
          <w:lang w:eastAsia="ja-JP"/>
        </w:rPr>
        <w:t xml:space="preserve"> </w:t>
      </w:r>
      <w:r>
        <w:rPr>
          <w:lang w:eastAsia="ja-JP"/>
        </w:rPr>
        <w:t>vaccine</w:t>
      </w:r>
      <w:r w:rsidR="000159A6">
        <w:rPr>
          <w:lang w:eastAsia="ja-JP"/>
        </w:rPr>
        <w:t xml:space="preserve"> </w:t>
      </w:r>
      <w:r w:rsidRPr="00007D6B">
        <w:rPr>
          <w:lang w:eastAsia="ja-JP"/>
        </w:rPr>
        <w:t>efficacy</w:t>
      </w:r>
      <w:r w:rsidR="000159A6">
        <w:rPr>
          <w:lang w:eastAsia="ja-JP"/>
        </w:rPr>
        <w:t xml:space="preserve"> </w:t>
      </w:r>
      <w:r>
        <w:rPr>
          <w:lang w:eastAsia="ja-JP"/>
        </w:rPr>
        <w:t>was</w:t>
      </w:r>
      <w:r w:rsidR="000159A6">
        <w:rPr>
          <w:lang w:eastAsia="ja-JP"/>
        </w:rPr>
        <w:t xml:space="preserve"> </w:t>
      </w:r>
      <w:r>
        <w:rPr>
          <w:lang w:eastAsia="ja-JP"/>
        </w:rPr>
        <w:t>high</w:t>
      </w:r>
      <w:r w:rsidR="000159A6">
        <w:rPr>
          <w:lang w:eastAsia="ja-JP"/>
        </w:rPr>
        <w:t xml:space="preserve"> </w:t>
      </w:r>
      <w:r>
        <w:rPr>
          <w:lang w:eastAsia="ja-JP"/>
        </w:rPr>
        <w:t>and</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a</w:t>
      </w:r>
      <w:r w:rsidR="000159A6">
        <w:rPr>
          <w:lang w:eastAsia="ja-JP"/>
        </w:rPr>
        <w:t xml:space="preserve"> </w:t>
      </w:r>
      <w:r w:rsidRPr="00007D6B">
        <w:rPr>
          <w:lang w:eastAsia="ja-JP"/>
        </w:rPr>
        <w:t>desire</w:t>
      </w:r>
      <w:r w:rsidR="000159A6">
        <w:rPr>
          <w:lang w:eastAsia="ja-JP"/>
        </w:rPr>
        <w:t xml:space="preserve"> </w:t>
      </w:r>
      <w:r w:rsidRPr="00007D6B">
        <w:rPr>
          <w:lang w:eastAsia="ja-JP"/>
        </w:rPr>
        <w:t>to</w:t>
      </w:r>
      <w:r w:rsidR="000159A6">
        <w:rPr>
          <w:lang w:eastAsia="ja-JP"/>
        </w:rPr>
        <w:t xml:space="preserve"> </w:t>
      </w:r>
      <w:r w:rsidRPr="00007D6B">
        <w:rPr>
          <w:lang w:eastAsia="ja-JP"/>
        </w:rPr>
        <w:t>offer</w:t>
      </w:r>
      <w:r w:rsidR="000159A6">
        <w:rPr>
          <w:lang w:eastAsia="ja-JP"/>
        </w:rPr>
        <w:t xml:space="preserve"> </w:t>
      </w:r>
      <w:r w:rsidRPr="00007D6B">
        <w:rPr>
          <w:lang w:eastAsia="ja-JP"/>
        </w:rPr>
        <w:t>vaccine</w:t>
      </w:r>
      <w:r w:rsidR="000159A6">
        <w:rPr>
          <w:lang w:eastAsia="ja-JP"/>
        </w:rPr>
        <w:t xml:space="preserve"> </w:t>
      </w:r>
      <w:r w:rsidRPr="00007D6B">
        <w:rPr>
          <w:lang w:eastAsia="ja-JP"/>
        </w:rPr>
        <w:t>to</w:t>
      </w:r>
      <w:r w:rsidR="000159A6">
        <w:rPr>
          <w:lang w:eastAsia="ja-JP"/>
        </w:rPr>
        <w:t xml:space="preserve"> </w:t>
      </w:r>
      <w:r w:rsidRPr="00007D6B">
        <w:rPr>
          <w:lang w:eastAsia="ja-JP"/>
        </w:rPr>
        <w:t>the</w:t>
      </w:r>
      <w:r w:rsidR="000159A6">
        <w:rPr>
          <w:lang w:eastAsia="ja-JP"/>
        </w:rPr>
        <w:t xml:space="preserve"> </w:t>
      </w:r>
      <w:r w:rsidRPr="00007D6B">
        <w:rPr>
          <w:lang w:eastAsia="ja-JP"/>
        </w:rPr>
        <w:t>placebo</w:t>
      </w:r>
      <w:r w:rsidR="000159A6">
        <w:rPr>
          <w:lang w:eastAsia="ja-JP"/>
        </w:rPr>
        <w:t xml:space="preserve"> </w:t>
      </w:r>
      <w:r w:rsidRPr="00007D6B">
        <w:rPr>
          <w:lang w:eastAsia="ja-JP"/>
        </w:rPr>
        <w:t>group.</w:t>
      </w:r>
    </w:p>
    <w:p w14:paraId="479DD543" w14:textId="14374B73" w:rsidR="001F6DEC" w:rsidRPr="00007D6B" w:rsidRDefault="001F6DEC" w:rsidP="00541F41">
      <w:pPr>
        <w:rPr>
          <w:lang w:eastAsia="ja-JP"/>
        </w:rPr>
      </w:pPr>
      <w:r w:rsidRPr="00007D6B">
        <w:rPr>
          <w:lang w:eastAsia="ja-JP"/>
        </w:rPr>
        <w:t>There</w:t>
      </w:r>
      <w:r w:rsidR="000159A6">
        <w:rPr>
          <w:lang w:eastAsia="ja-JP"/>
        </w:rPr>
        <w:t xml:space="preserve"> </w:t>
      </w:r>
      <w:r w:rsidRPr="00007D6B">
        <w:rPr>
          <w:lang w:eastAsia="ja-JP"/>
        </w:rPr>
        <w:t>was</w:t>
      </w:r>
      <w:r w:rsidR="000159A6">
        <w:rPr>
          <w:lang w:eastAsia="ja-JP"/>
        </w:rPr>
        <w:t xml:space="preserve"> </w:t>
      </w:r>
      <w:r w:rsidRPr="00007D6B">
        <w:rPr>
          <w:lang w:eastAsia="ja-JP"/>
        </w:rPr>
        <w:t>a</w:t>
      </w:r>
      <w:r w:rsidR="000159A6">
        <w:rPr>
          <w:lang w:eastAsia="ja-JP"/>
        </w:rPr>
        <w:t xml:space="preserve"> </w:t>
      </w:r>
      <w:r w:rsidRPr="00007D6B">
        <w:rPr>
          <w:lang w:eastAsia="ja-JP"/>
        </w:rPr>
        <w:t>site</w:t>
      </w:r>
      <w:r w:rsidR="000159A6">
        <w:rPr>
          <w:lang w:eastAsia="ja-JP"/>
        </w:rPr>
        <w:t xml:space="preserve"> </w:t>
      </w:r>
      <w:r w:rsidRPr="00007D6B">
        <w:rPr>
          <w:lang w:eastAsia="ja-JP"/>
        </w:rPr>
        <w:t>in</w:t>
      </w:r>
      <w:r w:rsidR="000159A6">
        <w:rPr>
          <w:lang w:eastAsia="ja-JP"/>
        </w:rPr>
        <w:t xml:space="preserve"> </w:t>
      </w:r>
      <w:r w:rsidRPr="00007D6B">
        <w:rPr>
          <w:lang w:eastAsia="ja-JP"/>
        </w:rPr>
        <w:t>Mexico</w:t>
      </w:r>
      <w:r w:rsidR="000159A6">
        <w:rPr>
          <w:lang w:eastAsia="ja-JP"/>
        </w:rPr>
        <w:t xml:space="preserve"> </w:t>
      </w:r>
      <w:r w:rsidRPr="00007D6B">
        <w:rPr>
          <w:lang w:eastAsia="ja-JP"/>
        </w:rPr>
        <w:t>with</w:t>
      </w:r>
      <w:r w:rsidR="000159A6">
        <w:rPr>
          <w:lang w:eastAsia="ja-JP"/>
        </w:rPr>
        <w:t xml:space="preserve"> </w:t>
      </w:r>
      <w:r w:rsidRPr="00007D6B">
        <w:rPr>
          <w:lang w:eastAsia="ja-JP"/>
        </w:rPr>
        <w:t>significant</w:t>
      </w:r>
      <w:r w:rsidR="000159A6">
        <w:rPr>
          <w:lang w:eastAsia="ja-JP"/>
        </w:rPr>
        <w:t xml:space="preserve"> </w:t>
      </w:r>
      <w:r w:rsidRPr="00007D6B">
        <w:rPr>
          <w:lang w:eastAsia="ja-JP"/>
        </w:rPr>
        <w:t>GCP</w:t>
      </w:r>
      <w:r w:rsidR="000159A6">
        <w:rPr>
          <w:lang w:eastAsia="ja-JP"/>
        </w:rPr>
        <w:t xml:space="preserve"> </w:t>
      </w:r>
      <w:r w:rsidRPr="00007D6B">
        <w:rPr>
          <w:lang w:eastAsia="ja-JP"/>
        </w:rPr>
        <w:t>non-compliance</w:t>
      </w:r>
      <w:r w:rsidR="000159A6">
        <w:rPr>
          <w:lang w:eastAsia="ja-JP"/>
        </w:rPr>
        <w:t xml:space="preserve"> </w:t>
      </w:r>
      <w:r w:rsidRPr="00007D6B">
        <w:rPr>
          <w:lang w:eastAsia="ja-JP"/>
        </w:rPr>
        <w:t>and</w:t>
      </w:r>
      <w:r w:rsidR="000159A6">
        <w:rPr>
          <w:lang w:eastAsia="ja-JP"/>
        </w:rPr>
        <w:t xml:space="preserve"> </w:t>
      </w:r>
      <w:r w:rsidRPr="00007D6B">
        <w:rPr>
          <w:lang w:eastAsia="ja-JP"/>
        </w:rPr>
        <w:t>its</w:t>
      </w:r>
      <w:r w:rsidR="000159A6">
        <w:rPr>
          <w:lang w:eastAsia="ja-JP"/>
        </w:rPr>
        <w:t xml:space="preserve"> </w:t>
      </w:r>
      <w:r w:rsidRPr="00007D6B">
        <w:rPr>
          <w:lang w:eastAsia="ja-JP"/>
        </w:rPr>
        <w:t>data</w:t>
      </w:r>
      <w:r w:rsidR="000159A6">
        <w:rPr>
          <w:lang w:eastAsia="ja-JP"/>
        </w:rPr>
        <w:t xml:space="preserve"> </w:t>
      </w:r>
      <w:r>
        <w:rPr>
          <w:lang w:eastAsia="ja-JP"/>
        </w:rPr>
        <w:t>were</w:t>
      </w:r>
      <w:r w:rsidR="000159A6">
        <w:rPr>
          <w:lang w:eastAsia="ja-JP"/>
        </w:rPr>
        <w:t xml:space="preserve"> </w:t>
      </w:r>
      <w:r w:rsidRPr="00007D6B">
        <w:rPr>
          <w:lang w:eastAsia="ja-JP"/>
        </w:rPr>
        <w:t>excluded</w:t>
      </w:r>
      <w:r w:rsidR="000159A6">
        <w:rPr>
          <w:lang w:eastAsia="ja-JP"/>
        </w:rPr>
        <w:t xml:space="preserve"> </w:t>
      </w:r>
      <w:r w:rsidRPr="00007D6B">
        <w:rPr>
          <w:lang w:eastAsia="ja-JP"/>
        </w:rPr>
        <w:t>from</w:t>
      </w:r>
      <w:r w:rsidR="000159A6">
        <w:rPr>
          <w:lang w:eastAsia="ja-JP"/>
        </w:rPr>
        <w:t xml:space="preserve"> </w:t>
      </w:r>
      <w:r w:rsidRPr="00007D6B">
        <w:rPr>
          <w:lang w:eastAsia="ja-JP"/>
        </w:rPr>
        <w:t>analysis</w:t>
      </w:r>
      <w:r w:rsidR="000159A6">
        <w:rPr>
          <w:lang w:eastAsia="ja-JP"/>
        </w:rPr>
        <w:t xml:space="preserve"> </w:t>
      </w:r>
      <w:r w:rsidRPr="00007D6B">
        <w:rPr>
          <w:lang w:eastAsia="ja-JP"/>
        </w:rPr>
        <w:t>of</w:t>
      </w:r>
      <w:r w:rsidR="000159A6">
        <w:rPr>
          <w:lang w:eastAsia="ja-JP"/>
        </w:rPr>
        <w:t xml:space="preserve"> </w:t>
      </w:r>
      <w:r w:rsidRPr="00007D6B">
        <w:rPr>
          <w:lang w:eastAsia="ja-JP"/>
        </w:rPr>
        <w:t>both</w:t>
      </w:r>
      <w:r w:rsidR="000159A6">
        <w:rPr>
          <w:lang w:eastAsia="ja-JP"/>
        </w:rPr>
        <w:t xml:space="preserve"> </w:t>
      </w:r>
      <w:r w:rsidRPr="00007D6B">
        <w:rPr>
          <w:lang w:eastAsia="ja-JP"/>
        </w:rPr>
        <w:t>studies.</w:t>
      </w:r>
      <w:r w:rsidR="000159A6">
        <w:rPr>
          <w:lang w:eastAsia="ja-JP"/>
        </w:rPr>
        <w:t xml:space="preserve"> </w:t>
      </w:r>
      <w:r w:rsidRPr="00007D6B">
        <w:rPr>
          <w:lang w:eastAsia="ja-JP"/>
        </w:rPr>
        <w:t>The</w:t>
      </w:r>
      <w:r w:rsidR="000159A6">
        <w:rPr>
          <w:lang w:eastAsia="ja-JP"/>
        </w:rPr>
        <w:t xml:space="preserve"> </w:t>
      </w:r>
      <w:r w:rsidRPr="00007D6B">
        <w:rPr>
          <w:lang w:eastAsia="ja-JP"/>
        </w:rPr>
        <w:t>site</w:t>
      </w:r>
      <w:r w:rsidR="000159A6">
        <w:rPr>
          <w:lang w:eastAsia="ja-JP"/>
        </w:rPr>
        <w:t xml:space="preserve"> </w:t>
      </w:r>
      <w:r w:rsidRPr="00007D6B">
        <w:rPr>
          <w:lang w:eastAsia="ja-JP"/>
        </w:rPr>
        <w:t>had</w:t>
      </w:r>
      <w:r w:rsidR="000159A6">
        <w:rPr>
          <w:lang w:eastAsia="ja-JP"/>
        </w:rPr>
        <w:t xml:space="preserve"> </w:t>
      </w:r>
      <w:r w:rsidRPr="00007D6B">
        <w:rPr>
          <w:lang w:eastAsia="ja-JP"/>
        </w:rPr>
        <w:t>included</w:t>
      </w:r>
      <w:r w:rsidR="000159A6">
        <w:rPr>
          <w:lang w:eastAsia="ja-JP"/>
        </w:rPr>
        <w:t xml:space="preserve"> </w:t>
      </w:r>
      <w:r>
        <w:rPr>
          <w:lang w:eastAsia="ja-JP"/>
        </w:rPr>
        <w:t>a</w:t>
      </w:r>
      <w:r w:rsidR="000159A6">
        <w:rPr>
          <w:lang w:eastAsia="ja-JP"/>
        </w:rPr>
        <w:t xml:space="preserve"> </w:t>
      </w:r>
      <w:r>
        <w:rPr>
          <w:lang w:eastAsia="ja-JP"/>
        </w:rPr>
        <w:t>significant</w:t>
      </w:r>
      <w:r w:rsidR="000159A6">
        <w:rPr>
          <w:lang w:eastAsia="ja-JP"/>
        </w:rPr>
        <w:t xml:space="preserve"> </w:t>
      </w:r>
      <w:r>
        <w:rPr>
          <w:lang w:eastAsia="ja-JP"/>
        </w:rPr>
        <w:t>number</w:t>
      </w:r>
      <w:r w:rsidR="000159A6">
        <w:rPr>
          <w:lang w:eastAsia="ja-JP"/>
        </w:rPr>
        <w:t xml:space="preserve"> </w:t>
      </w:r>
      <w:r>
        <w:rPr>
          <w:lang w:eastAsia="ja-JP"/>
        </w:rPr>
        <w:t>of</w:t>
      </w:r>
      <w:r w:rsidR="000159A6">
        <w:rPr>
          <w:lang w:eastAsia="ja-JP"/>
        </w:rPr>
        <w:t xml:space="preserve"> </w:t>
      </w:r>
      <w:r>
        <w:rPr>
          <w:lang w:eastAsia="ja-JP"/>
        </w:rPr>
        <w:t>subjects:</w:t>
      </w:r>
      <w:r w:rsidR="000159A6">
        <w:rPr>
          <w:lang w:eastAsia="ja-JP"/>
        </w:rPr>
        <w:t xml:space="preserve"> </w:t>
      </w:r>
      <w:r>
        <w:rPr>
          <w:lang w:eastAsia="ja-JP"/>
        </w:rPr>
        <w:t>671</w:t>
      </w:r>
      <w:r w:rsidR="000159A6">
        <w:rPr>
          <w:lang w:eastAsia="ja-JP"/>
        </w:rPr>
        <w:t xml:space="preserve"> </w:t>
      </w:r>
      <w:r>
        <w:rPr>
          <w:lang w:eastAsia="ja-JP"/>
        </w:rPr>
        <w:t>(4.15</w:t>
      </w:r>
      <w:r w:rsidRPr="00007D6B">
        <w:rPr>
          <w:lang w:eastAsia="ja-JP"/>
        </w:rPr>
        <w:t>%</w:t>
      </w:r>
      <w:r>
        <w:rPr>
          <w:lang w:eastAsia="ja-JP"/>
        </w:rPr>
        <w:t>)</w:t>
      </w:r>
      <w:r w:rsidR="000159A6">
        <w:rPr>
          <w:lang w:eastAsia="ja-JP"/>
        </w:rPr>
        <w:t xml:space="preserve"> </w:t>
      </w:r>
      <w:r>
        <w:rPr>
          <w:lang w:eastAsia="ja-JP"/>
        </w:rPr>
        <w:t>in</w:t>
      </w:r>
      <w:r w:rsidR="000159A6">
        <w:rPr>
          <w:lang w:eastAsia="ja-JP"/>
        </w:rPr>
        <w:t xml:space="preserve"> </w:t>
      </w:r>
      <w:r>
        <w:rPr>
          <w:lang w:eastAsia="ja-JP"/>
        </w:rPr>
        <w:t>Study</w:t>
      </w:r>
      <w:r w:rsidR="000159A6">
        <w:rPr>
          <w:lang w:eastAsia="ja-JP"/>
        </w:rPr>
        <w:t xml:space="preserve"> </w:t>
      </w:r>
      <w:r>
        <w:rPr>
          <w:lang w:eastAsia="ja-JP"/>
        </w:rPr>
        <w:t>ZOSTER-006</w:t>
      </w:r>
      <w:r w:rsidR="000159A6">
        <w:rPr>
          <w:lang w:eastAsia="ja-JP"/>
        </w:rPr>
        <w:t xml:space="preserve"> </w:t>
      </w:r>
      <w:r w:rsidRPr="00007D6B">
        <w:rPr>
          <w:lang w:eastAsia="ja-JP"/>
        </w:rPr>
        <w:t>and</w:t>
      </w:r>
      <w:r w:rsidR="000159A6">
        <w:rPr>
          <w:lang w:eastAsia="ja-JP"/>
        </w:rPr>
        <w:t xml:space="preserve"> </w:t>
      </w:r>
      <w:r>
        <w:rPr>
          <w:lang w:eastAsia="ja-JP"/>
        </w:rPr>
        <w:t>865</w:t>
      </w:r>
      <w:r w:rsidR="000159A6">
        <w:rPr>
          <w:lang w:eastAsia="ja-JP"/>
        </w:rPr>
        <w:t xml:space="preserve"> </w:t>
      </w:r>
      <w:r>
        <w:rPr>
          <w:lang w:eastAsia="ja-JP"/>
        </w:rPr>
        <w:t>(</w:t>
      </w:r>
      <w:r w:rsidRPr="00007D6B">
        <w:rPr>
          <w:lang w:eastAsia="ja-JP"/>
        </w:rPr>
        <w:t>5.84%</w:t>
      </w:r>
      <w:r>
        <w:rPr>
          <w:lang w:eastAsia="ja-JP"/>
        </w:rPr>
        <w:t>)</w:t>
      </w:r>
      <w:r w:rsidR="000159A6">
        <w:rPr>
          <w:lang w:eastAsia="ja-JP"/>
        </w:rPr>
        <w:t xml:space="preserve"> </w:t>
      </w:r>
      <w:r>
        <w:rPr>
          <w:lang w:eastAsia="ja-JP"/>
        </w:rPr>
        <w:t>in</w:t>
      </w:r>
      <w:r w:rsidR="000159A6">
        <w:rPr>
          <w:lang w:eastAsia="ja-JP"/>
        </w:rPr>
        <w:t xml:space="preserve"> </w:t>
      </w:r>
      <w:r>
        <w:rPr>
          <w:lang w:eastAsia="ja-JP"/>
        </w:rPr>
        <w:t>Study</w:t>
      </w:r>
      <w:r w:rsidR="000159A6">
        <w:rPr>
          <w:lang w:eastAsia="ja-JP"/>
        </w:rPr>
        <w:t xml:space="preserve"> </w:t>
      </w:r>
      <w:r>
        <w:rPr>
          <w:lang w:eastAsia="ja-JP"/>
        </w:rPr>
        <w:t>ZOSTER-022</w:t>
      </w:r>
      <w:r w:rsidRPr="00007D6B">
        <w:rPr>
          <w:lang w:eastAsia="ja-JP"/>
        </w:rPr>
        <w:t>.</w:t>
      </w:r>
      <w:r w:rsidR="000159A6">
        <w:rPr>
          <w:lang w:eastAsia="ja-JP"/>
        </w:rPr>
        <w:t xml:space="preserve"> </w:t>
      </w:r>
      <w:r w:rsidRPr="00E25DED">
        <w:rPr>
          <w:lang w:eastAsia="ja-JP"/>
        </w:rPr>
        <w:t>Overall</w:t>
      </w:r>
      <w:r w:rsidR="000159A6">
        <w:rPr>
          <w:lang w:eastAsia="ja-JP"/>
        </w:rPr>
        <w:t xml:space="preserve"> </w:t>
      </w:r>
      <w:r>
        <w:rPr>
          <w:lang w:eastAsia="ja-JP"/>
        </w:rPr>
        <w:t>approximately</w:t>
      </w:r>
      <w:r w:rsidR="000159A6">
        <w:rPr>
          <w:lang w:eastAsia="ja-JP"/>
        </w:rPr>
        <w:t xml:space="preserve"> </w:t>
      </w:r>
      <w:r>
        <w:rPr>
          <w:lang w:eastAsia="ja-JP"/>
        </w:rPr>
        <w:t>5%</w:t>
      </w:r>
      <w:r w:rsidR="000159A6">
        <w:rPr>
          <w:lang w:eastAsia="ja-JP"/>
        </w:rPr>
        <w:t xml:space="preserve"> </w:t>
      </w:r>
      <w:r>
        <w:rPr>
          <w:lang w:eastAsia="ja-JP"/>
        </w:rPr>
        <w:t>of</w:t>
      </w:r>
      <w:r w:rsidR="000159A6">
        <w:rPr>
          <w:lang w:eastAsia="ja-JP"/>
        </w:rPr>
        <w:t xml:space="preserve"> </w:t>
      </w:r>
      <w:r w:rsidRPr="00007D6B">
        <w:rPr>
          <w:lang w:eastAsia="ja-JP"/>
        </w:rPr>
        <w:t>enrolled</w:t>
      </w:r>
      <w:r w:rsidR="000159A6">
        <w:rPr>
          <w:lang w:eastAsia="ja-JP"/>
        </w:rPr>
        <w:t xml:space="preserve"> </w:t>
      </w:r>
      <w:r w:rsidRPr="00007D6B">
        <w:rPr>
          <w:lang w:eastAsia="ja-JP"/>
        </w:rPr>
        <w:t>subjects</w:t>
      </w:r>
      <w:r w:rsidR="000159A6">
        <w:rPr>
          <w:lang w:eastAsia="ja-JP"/>
        </w:rPr>
        <w:t xml:space="preserve"> </w:t>
      </w:r>
      <w:r>
        <w:rPr>
          <w:lang w:eastAsia="ja-JP"/>
        </w:rPr>
        <w:t>were</w:t>
      </w:r>
      <w:r w:rsidR="000159A6">
        <w:rPr>
          <w:lang w:eastAsia="ja-JP"/>
        </w:rPr>
        <w:t xml:space="preserve"> </w:t>
      </w:r>
      <w:r>
        <w:rPr>
          <w:lang w:eastAsia="ja-JP"/>
        </w:rPr>
        <w:t>excluded</w:t>
      </w:r>
      <w:r w:rsidR="000159A6">
        <w:rPr>
          <w:lang w:eastAsia="ja-JP"/>
        </w:rPr>
        <w:t xml:space="preserve"> </w:t>
      </w:r>
      <w:r>
        <w:rPr>
          <w:lang w:eastAsia="ja-JP"/>
        </w:rPr>
        <w:t>from</w:t>
      </w:r>
      <w:r w:rsidR="000159A6">
        <w:rPr>
          <w:lang w:eastAsia="ja-JP"/>
        </w:rPr>
        <w:t xml:space="preserve"> </w:t>
      </w:r>
      <w:r>
        <w:rPr>
          <w:lang w:eastAsia="ja-JP"/>
        </w:rPr>
        <w:t>TVC</w:t>
      </w:r>
      <w:r w:rsidR="000159A6">
        <w:rPr>
          <w:lang w:eastAsia="ja-JP"/>
        </w:rPr>
        <w:t xml:space="preserve"> </w:t>
      </w:r>
      <w:r>
        <w:rPr>
          <w:lang w:eastAsia="ja-JP"/>
        </w:rPr>
        <w:t>analyses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two</w:t>
      </w:r>
      <w:r w:rsidR="000159A6">
        <w:rPr>
          <w:lang w:eastAsia="ja-JP"/>
        </w:rPr>
        <w:t xml:space="preserve"> </w:t>
      </w:r>
      <w:r>
        <w:rPr>
          <w:lang w:eastAsia="ja-JP"/>
        </w:rPr>
        <w:t>studies.</w:t>
      </w:r>
      <w:r w:rsidR="000159A6">
        <w:rPr>
          <w:lang w:eastAsia="ja-JP"/>
        </w:rPr>
        <w:t xml:space="preserve"> </w:t>
      </w:r>
      <w:r>
        <w:rPr>
          <w:lang w:eastAsia="ja-JP"/>
        </w:rPr>
        <w:t>The</w:t>
      </w:r>
      <w:r w:rsidR="000159A6">
        <w:rPr>
          <w:lang w:eastAsia="ja-JP"/>
        </w:rPr>
        <w:t xml:space="preserve"> </w:t>
      </w:r>
      <w:r>
        <w:rPr>
          <w:lang w:eastAsia="ja-JP"/>
        </w:rPr>
        <w:t>total</w:t>
      </w:r>
      <w:r w:rsidR="000159A6">
        <w:rPr>
          <w:lang w:eastAsia="ja-JP"/>
        </w:rPr>
        <w:t xml:space="preserve"> </w:t>
      </w:r>
      <w:r>
        <w:rPr>
          <w:lang w:eastAsia="ja-JP"/>
        </w:rPr>
        <w:t>vaccinated</w:t>
      </w:r>
      <w:r w:rsidR="000159A6">
        <w:rPr>
          <w:lang w:eastAsia="ja-JP"/>
        </w:rPr>
        <w:t xml:space="preserve"> </w:t>
      </w:r>
      <w:r>
        <w:rPr>
          <w:lang w:eastAsia="ja-JP"/>
        </w:rPr>
        <w:t>cohort</w:t>
      </w:r>
      <w:r w:rsidR="000159A6">
        <w:rPr>
          <w:lang w:eastAsia="ja-JP"/>
        </w:rPr>
        <w:t xml:space="preserve"> </w:t>
      </w:r>
      <w:r>
        <w:rPr>
          <w:lang w:eastAsia="ja-JP"/>
        </w:rPr>
        <w:t>for</w:t>
      </w:r>
      <w:r w:rsidR="000159A6">
        <w:rPr>
          <w:lang w:eastAsia="ja-JP"/>
        </w:rPr>
        <w:t xml:space="preserve"> </w:t>
      </w:r>
      <w:r>
        <w:rPr>
          <w:lang w:eastAsia="ja-JP"/>
        </w:rPr>
        <w:t>Studies</w:t>
      </w:r>
      <w:r w:rsidR="000159A6">
        <w:rPr>
          <w:lang w:eastAsia="ja-JP"/>
        </w:rPr>
        <w:t xml:space="preserve"> </w:t>
      </w:r>
      <w:r>
        <w:rPr>
          <w:lang w:eastAsia="ja-JP"/>
        </w:rPr>
        <w:t>ZOSTER-006</w:t>
      </w:r>
      <w:r w:rsidR="000159A6">
        <w:rPr>
          <w:lang w:eastAsia="ja-JP"/>
        </w:rPr>
        <w:t xml:space="preserve"> </w:t>
      </w:r>
      <w:r>
        <w:rPr>
          <w:lang w:eastAsia="ja-JP"/>
        </w:rPr>
        <w:t>and</w:t>
      </w:r>
      <w:r w:rsidR="000159A6">
        <w:rPr>
          <w:lang w:eastAsia="ja-JP"/>
        </w:rPr>
        <w:t xml:space="preserve"> </w:t>
      </w:r>
      <w:r>
        <w:rPr>
          <w:lang w:eastAsia="ja-JP"/>
        </w:rPr>
        <w:t>ZOSTER-022</w:t>
      </w:r>
      <w:r w:rsidR="000159A6">
        <w:rPr>
          <w:lang w:eastAsia="ja-JP"/>
        </w:rPr>
        <w:t xml:space="preserve"> </w:t>
      </w:r>
      <w:r>
        <w:rPr>
          <w:lang w:eastAsia="ja-JP"/>
        </w:rPr>
        <w:t>was</w:t>
      </w:r>
      <w:r w:rsidR="000159A6">
        <w:rPr>
          <w:lang w:eastAsia="ja-JP"/>
        </w:rPr>
        <w:t xml:space="preserve"> </w:t>
      </w:r>
      <w:r>
        <w:rPr>
          <w:lang w:eastAsia="ja-JP"/>
        </w:rPr>
        <w:t>15,411</w:t>
      </w:r>
      <w:r w:rsidR="000159A6">
        <w:rPr>
          <w:lang w:eastAsia="ja-JP"/>
        </w:rPr>
        <w:t xml:space="preserve"> </w:t>
      </w:r>
      <w:r>
        <w:rPr>
          <w:lang w:eastAsia="ja-JP"/>
        </w:rPr>
        <w:t>and</w:t>
      </w:r>
      <w:r w:rsidR="000159A6">
        <w:rPr>
          <w:lang w:eastAsia="ja-JP"/>
        </w:rPr>
        <w:t xml:space="preserve"> </w:t>
      </w:r>
      <w:r>
        <w:rPr>
          <w:lang w:eastAsia="ja-JP"/>
        </w:rPr>
        <w:t>13,900</w:t>
      </w:r>
      <w:r w:rsidR="000159A6">
        <w:rPr>
          <w:lang w:eastAsia="ja-JP"/>
        </w:rPr>
        <w:t xml:space="preserve"> </w:t>
      </w:r>
      <w:r>
        <w:rPr>
          <w:lang w:eastAsia="ja-JP"/>
        </w:rPr>
        <w:t>subjects,</w:t>
      </w:r>
      <w:r w:rsidR="000159A6">
        <w:rPr>
          <w:lang w:eastAsia="ja-JP"/>
        </w:rPr>
        <w:t xml:space="preserve"> </w:t>
      </w:r>
      <w:r>
        <w:rPr>
          <w:lang w:eastAsia="ja-JP"/>
        </w:rPr>
        <w:t>respectively.</w:t>
      </w:r>
    </w:p>
    <w:p w14:paraId="6C047E19" w14:textId="6541D736" w:rsidR="001F6DEC" w:rsidRPr="00007D6B" w:rsidRDefault="001F6DEC" w:rsidP="001F6DEC">
      <w:pPr>
        <w:rPr>
          <w:lang w:eastAsia="ja-JP"/>
        </w:rPr>
      </w:pPr>
      <w:r w:rsidRPr="00007D6B">
        <w:rPr>
          <w:lang w:eastAsia="ja-JP"/>
        </w:rPr>
        <w:t>For</w:t>
      </w:r>
      <w:r w:rsidR="000159A6">
        <w:rPr>
          <w:lang w:eastAsia="ja-JP"/>
        </w:rPr>
        <w:t xml:space="preserve"> </w:t>
      </w:r>
      <w:r w:rsidR="000D0435">
        <w:rPr>
          <w:lang w:eastAsia="ja-JP"/>
        </w:rPr>
        <w:t>Study</w:t>
      </w:r>
      <w:r w:rsidR="000159A6">
        <w:rPr>
          <w:lang w:eastAsia="ja-JP"/>
        </w:rPr>
        <w:t xml:space="preserve"> </w:t>
      </w:r>
      <w:r>
        <w:rPr>
          <w:lang w:eastAsia="ja-JP"/>
        </w:rPr>
        <w:t>ZOSTER</w:t>
      </w:r>
      <w:r w:rsidRPr="00007D6B">
        <w:rPr>
          <w:lang w:eastAsia="ja-JP"/>
        </w:rPr>
        <w:t>-006</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14,759</w:t>
      </w:r>
      <w:r w:rsidR="000159A6">
        <w:rPr>
          <w:lang w:eastAsia="ja-JP"/>
        </w:rPr>
        <w:t xml:space="preserve"> </w:t>
      </w:r>
      <w:r>
        <w:rPr>
          <w:lang w:eastAsia="ja-JP"/>
        </w:rPr>
        <w:t>subjects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proofErr w:type="spellStart"/>
      <w:r>
        <w:rPr>
          <w:lang w:eastAsia="ja-JP"/>
        </w:rPr>
        <w:t>mTVC</w:t>
      </w:r>
      <w:proofErr w:type="spellEnd"/>
      <w:r>
        <w:rPr>
          <w:lang w:eastAsia="ja-JP"/>
        </w:rPr>
        <w:t>.</w:t>
      </w:r>
      <w:r w:rsidR="000159A6">
        <w:rPr>
          <w:lang w:eastAsia="ja-JP"/>
        </w:rPr>
        <w:t xml:space="preserve"> </w:t>
      </w:r>
      <w:r>
        <w:rPr>
          <w:lang w:eastAsia="ja-JP"/>
        </w:rPr>
        <w:t>T</w:t>
      </w:r>
      <w:r w:rsidRPr="00007D6B">
        <w:rPr>
          <w:lang w:eastAsia="ja-JP"/>
        </w:rPr>
        <w:t>he</w:t>
      </w:r>
      <w:r w:rsidR="000159A6">
        <w:rPr>
          <w:lang w:eastAsia="ja-JP"/>
        </w:rPr>
        <w:t xml:space="preserve"> </w:t>
      </w:r>
      <w:r w:rsidRPr="00007D6B">
        <w:rPr>
          <w:lang w:eastAsia="ja-JP"/>
        </w:rPr>
        <w:t>median</w:t>
      </w:r>
      <w:r w:rsidR="000159A6">
        <w:rPr>
          <w:lang w:eastAsia="ja-JP"/>
        </w:rPr>
        <w:t xml:space="preserve"> </w:t>
      </w:r>
      <w:r w:rsidRPr="00007D6B">
        <w:rPr>
          <w:lang w:eastAsia="ja-JP"/>
        </w:rPr>
        <w:t>follow</w:t>
      </w:r>
      <w:r w:rsidR="000159A6">
        <w:rPr>
          <w:lang w:eastAsia="ja-JP"/>
        </w:rPr>
        <w:t xml:space="preserve"> </w:t>
      </w:r>
      <w:r w:rsidRPr="00007D6B">
        <w:rPr>
          <w:lang w:eastAsia="ja-JP"/>
        </w:rPr>
        <w:t>up</w:t>
      </w:r>
      <w:r w:rsidR="000159A6">
        <w:rPr>
          <w:lang w:eastAsia="ja-JP"/>
        </w:rPr>
        <w:t xml:space="preserve"> </w:t>
      </w:r>
      <w:r w:rsidRPr="00007D6B">
        <w:rPr>
          <w:lang w:eastAsia="ja-JP"/>
        </w:rPr>
        <w:t>time</w:t>
      </w:r>
      <w:r w:rsidR="000159A6">
        <w:rPr>
          <w:lang w:eastAsia="ja-JP"/>
        </w:rPr>
        <w:t xml:space="preserve"> </w:t>
      </w:r>
      <w:r>
        <w:rPr>
          <w:lang w:eastAsia="ja-JP"/>
        </w:rPr>
        <w:t>w</w:t>
      </w:r>
      <w:r w:rsidRPr="00007D6B">
        <w:rPr>
          <w:lang w:eastAsia="ja-JP"/>
        </w:rPr>
        <w:t>as</w:t>
      </w:r>
      <w:r w:rsidR="000159A6">
        <w:rPr>
          <w:lang w:eastAsia="ja-JP"/>
        </w:rPr>
        <w:t xml:space="preserve"> </w:t>
      </w:r>
      <w:r w:rsidRPr="00007D6B">
        <w:rPr>
          <w:lang w:eastAsia="ja-JP"/>
        </w:rPr>
        <w:t>3.1</w:t>
      </w:r>
      <w:r w:rsidR="000159A6">
        <w:rPr>
          <w:lang w:eastAsia="ja-JP"/>
        </w:rPr>
        <w:t xml:space="preserve"> </w:t>
      </w:r>
      <w:r w:rsidRPr="00007D6B">
        <w:rPr>
          <w:lang w:eastAsia="ja-JP"/>
        </w:rPr>
        <w:t>years</w:t>
      </w:r>
      <w:r w:rsidR="000159A6">
        <w:rPr>
          <w:lang w:eastAsia="ja-JP"/>
        </w:rPr>
        <w:t xml:space="preserve"> </w:t>
      </w:r>
      <w:r w:rsidRPr="00007D6B">
        <w:rPr>
          <w:lang w:eastAsia="ja-JP"/>
        </w:rPr>
        <w:t>at</w:t>
      </w:r>
      <w:r w:rsidR="000159A6">
        <w:rPr>
          <w:lang w:eastAsia="ja-JP"/>
        </w:rPr>
        <w:t xml:space="preserve"> </w:t>
      </w:r>
      <w:r w:rsidRPr="00007D6B">
        <w:rPr>
          <w:lang w:eastAsia="ja-JP"/>
        </w:rPr>
        <w:t>the</w:t>
      </w:r>
      <w:r w:rsidR="000159A6">
        <w:rPr>
          <w:lang w:eastAsia="ja-JP"/>
        </w:rPr>
        <w:t xml:space="preserve"> </w:t>
      </w:r>
      <w:r w:rsidRPr="00007D6B">
        <w:rPr>
          <w:lang w:eastAsia="ja-JP"/>
        </w:rPr>
        <w:t>first</w:t>
      </w:r>
      <w:r w:rsidR="000159A6">
        <w:rPr>
          <w:lang w:eastAsia="ja-JP"/>
        </w:rPr>
        <w:t xml:space="preserve"> </w:t>
      </w:r>
      <w:r w:rsidRPr="00007D6B">
        <w:rPr>
          <w:lang w:eastAsia="ja-JP"/>
        </w:rPr>
        <w:t>HZ</w:t>
      </w:r>
      <w:r w:rsidR="000159A6">
        <w:rPr>
          <w:lang w:eastAsia="ja-JP"/>
        </w:rPr>
        <w:t xml:space="preserve"> </w:t>
      </w:r>
      <w:r w:rsidRPr="00007D6B">
        <w:rPr>
          <w:lang w:eastAsia="ja-JP"/>
        </w:rPr>
        <w:t>analysis</w:t>
      </w:r>
      <w:r w:rsidR="000159A6">
        <w:rPr>
          <w:lang w:eastAsia="ja-JP"/>
        </w:rPr>
        <w:t xml:space="preserve"> </w:t>
      </w:r>
      <w:r w:rsidRPr="00007D6B">
        <w:rPr>
          <w:lang w:eastAsia="ja-JP"/>
        </w:rPr>
        <w:t>and</w:t>
      </w:r>
      <w:r w:rsidR="000159A6">
        <w:rPr>
          <w:lang w:eastAsia="ja-JP"/>
        </w:rPr>
        <w:t xml:space="preserve"> </w:t>
      </w:r>
      <w:r w:rsidRPr="00007D6B">
        <w:rPr>
          <w:lang w:eastAsia="ja-JP"/>
        </w:rPr>
        <w:t>4.1</w:t>
      </w:r>
      <w:r w:rsidR="000159A6">
        <w:rPr>
          <w:lang w:eastAsia="ja-JP"/>
        </w:rPr>
        <w:t xml:space="preserve"> </w:t>
      </w:r>
      <w:r w:rsidRPr="00007D6B">
        <w:rPr>
          <w:lang w:eastAsia="ja-JP"/>
        </w:rPr>
        <w:t>years</w:t>
      </w:r>
      <w:r w:rsidR="000159A6">
        <w:rPr>
          <w:lang w:eastAsia="ja-JP"/>
        </w:rPr>
        <w:t xml:space="preserve"> </w:t>
      </w:r>
      <w:r w:rsidRPr="00007D6B">
        <w:rPr>
          <w:lang w:eastAsia="ja-JP"/>
        </w:rPr>
        <w:t>at</w:t>
      </w:r>
      <w:r w:rsidR="000159A6">
        <w:rPr>
          <w:lang w:eastAsia="ja-JP"/>
        </w:rPr>
        <w:t xml:space="preserve"> </w:t>
      </w:r>
      <w:r w:rsidRPr="00007D6B">
        <w:rPr>
          <w:lang w:eastAsia="ja-JP"/>
        </w:rPr>
        <w:t>the</w:t>
      </w:r>
      <w:r w:rsidR="000159A6">
        <w:rPr>
          <w:lang w:eastAsia="ja-JP"/>
        </w:rPr>
        <w:t xml:space="preserve"> </w:t>
      </w:r>
      <w:r w:rsidRPr="00007D6B">
        <w:rPr>
          <w:lang w:eastAsia="ja-JP"/>
        </w:rPr>
        <w:t>end</w:t>
      </w:r>
      <w:r w:rsidR="000159A6">
        <w:rPr>
          <w:lang w:eastAsia="ja-JP"/>
        </w:rPr>
        <w:t xml:space="preserve"> </w:t>
      </w:r>
      <w:r w:rsidRPr="00007D6B">
        <w:rPr>
          <w:lang w:eastAsia="ja-JP"/>
        </w:rPr>
        <w:t>of</w:t>
      </w:r>
      <w:r w:rsidR="000159A6">
        <w:rPr>
          <w:lang w:eastAsia="ja-JP"/>
        </w:rPr>
        <w:t xml:space="preserve"> </w:t>
      </w:r>
      <w:r>
        <w:rPr>
          <w:lang w:eastAsia="ja-JP"/>
        </w:rPr>
        <w:t>Study</w:t>
      </w:r>
      <w:r w:rsidR="000159A6">
        <w:rPr>
          <w:lang w:eastAsia="ja-JP"/>
        </w:rPr>
        <w:t xml:space="preserve"> </w:t>
      </w:r>
      <w:r w:rsidRPr="00007D6B">
        <w:rPr>
          <w:lang w:eastAsia="ja-JP"/>
        </w:rPr>
        <w:t>HZ</w:t>
      </w:r>
      <w:r w:rsidR="000159A6">
        <w:rPr>
          <w:lang w:eastAsia="ja-JP"/>
        </w:rPr>
        <w:t xml:space="preserve"> </w:t>
      </w:r>
      <w:r w:rsidRPr="00007D6B">
        <w:rPr>
          <w:lang w:eastAsia="ja-JP"/>
        </w:rPr>
        <w:t>and</w:t>
      </w:r>
      <w:r w:rsidR="000159A6">
        <w:rPr>
          <w:lang w:eastAsia="ja-JP"/>
        </w:rPr>
        <w:t xml:space="preserve"> </w:t>
      </w:r>
      <w:r w:rsidRPr="00007D6B">
        <w:rPr>
          <w:lang w:eastAsia="ja-JP"/>
        </w:rPr>
        <w:t>PHN</w:t>
      </w:r>
      <w:r w:rsidR="000159A6">
        <w:rPr>
          <w:lang w:eastAsia="ja-JP"/>
        </w:rPr>
        <w:t xml:space="preserve"> </w:t>
      </w:r>
      <w:r w:rsidRPr="00007D6B">
        <w:rPr>
          <w:lang w:eastAsia="ja-JP"/>
        </w:rPr>
        <w:t>analysis</w:t>
      </w:r>
      <w:r>
        <w:rPr>
          <w:lang w:eastAsia="ja-JP"/>
        </w:rPr>
        <w:t>.</w:t>
      </w:r>
      <w:r w:rsidR="000159A6">
        <w:rPr>
          <w:lang w:eastAsia="ja-JP"/>
        </w:rPr>
        <w:t xml:space="preserve"> </w:t>
      </w:r>
      <w:r>
        <w:rPr>
          <w:lang w:eastAsia="ja-JP"/>
        </w:rPr>
        <w:t>For</w:t>
      </w:r>
      <w:r w:rsidR="000159A6">
        <w:rPr>
          <w:lang w:eastAsia="ja-JP"/>
        </w:rPr>
        <w:t xml:space="preserve"> </w:t>
      </w:r>
      <w:r w:rsidR="000D0435">
        <w:rPr>
          <w:lang w:eastAsia="ja-JP"/>
        </w:rPr>
        <w:t>Study</w:t>
      </w:r>
      <w:r w:rsidR="000159A6">
        <w:rPr>
          <w:lang w:eastAsia="ja-JP"/>
        </w:rPr>
        <w:t xml:space="preserve"> </w:t>
      </w:r>
      <w:r>
        <w:rPr>
          <w:lang w:eastAsia="ja-JP"/>
        </w:rPr>
        <w:t>ZOSTER</w:t>
      </w:r>
      <w:r>
        <w:rPr>
          <w:lang w:eastAsia="ja-JP"/>
        </w:rPr>
        <w:noBreakHyphen/>
        <w:t>02</w:t>
      </w:r>
      <w:r w:rsidRPr="00007D6B">
        <w:rPr>
          <w:lang w:eastAsia="ja-JP"/>
        </w:rPr>
        <w:t>2</w:t>
      </w:r>
      <w:r w:rsidR="000159A6">
        <w:rPr>
          <w:lang w:eastAsia="ja-JP"/>
        </w:rPr>
        <w:t xml:space="preserve"> </w:t>
      </w:r>
      <w:r w:rsidRPr="00007D6B">
        <w:rPr>
          <w:lang w:eastAsia="ja-JP"/>
        </w:rPr>
        <w:t>the</w:t>
      </w:r>
      <w:r w:rsidR="000159A6">
        <w:rPr>
          <w:lang w:eastAsia="ja-JP"/>
        </w:rPr>
        <w:t xml:space="preserve"> </w:t>
      </w:r>
      <w:r w:rsidRPr="00007D6B">
        <w:rPr>
          <w:lang w:eastAsia="ja-JP"/>
        </w:rPr>
        <w:t>median</w:t>
      </w:r>
      <w:r w:rsidR="000159A6">
        <w:rPr>
          <w:lang w:eastAsia="ja-JP"/>
        </w:rPr>
        <w:t xml:space="preserve"> </w:t>
      </w:r>
      <w:r w:rsidRPr="00007D6B">
        <w:rPr>
          <w:lang w:eastAsia="ja-JP"/>
        </w:rPr>
        <w:t>follow</w:t>
      </w:r>
      <w:r w:rsidR="000159A6">
        <w:rPr>
          <w:lang w:eastAsia="ja-JP"/>
        </w:rPr>
        <w:t xml:space="preserve"> </w:t>
      </w:r>
      <w:r w:rsidRPr="00007D6B">
        <w:rPr>
          <w:lang w:eastAsia="ja-JP"/>
        </w:rPr>
        <w:t>up</w:t>
      </w:r>
      <w:r w:rsidR="000159A6">
        <w:rPr>
          <w:lang w:eastAsia="ja-JP"/>
        </w:rPr>
        <w:t xml:space="preserve"> </w:t>
      </w:r>
      <w:r w:rsidRPr="00007D6B">
        <w:rPr>
          <w:lang w:eastAsia="ja-JP"/>
        </w:rPr>
        <w:t>time</w:t>
      </w:r>
      <w:r w:rsidR="000159A6">
        <w:rPr>
          <w:lang w:eastAsia="ja-JP"/>
        </w:rPr>
        <w:t xml:space="preserve"> </w:t>
      </w:r>
      <w:r w:rsidRPr="00007D6B">
        <w:rPr>
          <w:lang w:eastAsia="ja-JP"/>
        </w:rPr>
        <w:t>was</w:t>
      </w:r>
      <w:r w:rsidR="000159A6">
        <w:rPr>
          <w:lang w:eastAsia="ja-JP"/>
        </w:rPr>
        <w:t xml:space="preserve"> </w:t>
      </w:r>
      <w:r w:rsidRPr="00007D6B">
        <w:rPr>
          <w:lang w:eastAsia="ja-JP"/>
        </w:rPr>
        <w:t>3.9</w:t>
      </w:r>
      <w:r w:rsidR="000159A6">
        <w:rPr>
          <w:lang w:eastAsia="ja-JP"/>
        </w:rPr>
        <w:t xml:space="preserve"> </w:t>
      </w:r>
      <w:r w:rsidRPr="00007D6B">
        <w:rPr>
          <w:lang w:eastAsia="ja-JP"/>
        </w:rPr>
        <w:t>years</w:t>
      </w:r>
      <w:r>
        <w:rPr>
          <w:lang w:eastAsia="ja-JP"/>
        </w:rPr>
        <w:t>.</w:t>
      </w:r>
    </w:p>
    <w:p w14:paraId="6FE94126" w14:textId="781C1AFC" w:rsidR="001F6DEC" w:rsidRDefault="001F6DEC" w:rsidP="001F6DEC">
      <w:pPr>
        <w:rPr>
          <w:lang w:eastAsia="ja-JP"/>
        </w:rPr>
      </w:pPr>
      <w:r w:rsidRPr="003C7678">
        <w:rPr>
          <w:lang w:eastAsia="ja-JP"/>
        </w:rPr>
        <w:lastRenderedPageBreak/>
        <w:t>The</w:t>
      </w:r>
      <w:r w:rsidR="000159A6">
        <w:rPr>
          <w:lang w:eastAsia="ja-JP"/>
        </w:rPr>
        <w:t xml:space="preserve"> </w:t>
      </w:r>
      <w:r w:rsidRPr="003C7678">
        <w:rPr>
          <w:lang w:eastAsia="ja-JP"/>
        </w:rPr>
        <w:t>HZ/</w:t>
      </w:r>
      <w:proofErr w:type="spellStart"/>
      <w:r w:rsidRPr="003C7678">
        <w:rPr>
          <w:lang w:eastAsia="ja-JP"/>
        </w:rPr>
        <w:t>su</w:t>
      </w:r>
      <w:proofErr w:type="spellEnd"/>
      <w:r w:rsidR="000159A6">
        <w:rPr>
          <w:lang w:eastAsia="ja-JP"/>
        </w:rPr>
        <w:t xml:space="preserve"> </w:t>
      </w:r>
      <w:r w:rsidRPr="003C7678">
        <w:rPr>
          <w:lang w:eastAsia="ja-JP"/>
        </w:rPr>
        <w:t>vaccine</w:t>
      </w:r>
      <w:r w:rsidR="000159A6">
        <w:rPr>
          <w:lang w:eastAsia="ja-JP"/>
        </w:rPr>
        <w:t xml:space="preserve"> </w:t>
      </w:r>
      <w:r w:rsidRPr="003C7678">
        <w:rPr>
          <w:lang w:eastAsia="ja-JP"/>
        </w:rPr>
        <w:t>was</w:t>
      </w:r>
      <w:r w:rsidR="000159A6">
        <w:rPr>
          <w:lang w:eastAsia="ja-JP"/>
        </w:rPr>
        <w:t xml:space="preserve"> </w:t>
      </w:r>
      <w:r w:rsidRPr="003C7678">
        <w:rPr>
          <w:lang w:eastAsia="ja-JP"/>
        </w:rPr>
        <w:t>found</w:t>
      </w:r>
      <w:r w:rsidR="000159A6">
        <w:rPr>
          <w:lang w:eastAsia="ja-JP"/>
        </w:rPr>
        <w:t xml:space="preserve"> </w:t>
      </w:r>
      <w:r w:rsidRPr="003C7678">
        <w:rPr>
          <w:lang w:eastAsia="ja-JP"/>
        </w:rPr>
        <w:t>to</w:t>
      </w:r>
      <w:r w:rsidR="000159A6">
        <w:rPr>
          <w:lang w:eastAsia="ja-JP"/>
        </w:rPr>
        <w:t xml:space="preserve"> </w:t>
      </w:r>
      <w:r w:rsidRPr="003C7678">
        <w:rPr>
          <w:lang w:eastAsia="ja-JP"/>
        </w:rPr>
        <w:t>have</w:t>
      </w:r>
      <w:r w:rsidR="000159A6">
        <w:rPr>
          <w:lang w:eastAsia="ja-JP"/>
        </w:rPr>
        <w:t xml:space="preserve"> </w:t>
      </w:r>
      <w:r w:rsidRPr="003C7678">
        <w:rPr>
          <w:lang w:eastAsia="ja-JP"/>
        </w:rPr>
        <w:t>very</w:t>
      </w:r>
      <w:r w:rsidR="000159A6">
        <w:rPr>
          <w:lang w:eastAsia="ja-JP"/>
        </w:rPr>
        <w:t xml:space="preserve"> </w:t>
      </w:r>
      <w:r w:rsidRPr="003C7678">
        <w:rPr>
          <w:lang w:eastAsia="ja-JP"/>
        </w:rPr>
        <w:t>high</w:t>
      </w:r>
      <w:r w:rsidR="000159A6">
        <w:rPr>
          <w:lang w:eastAsia="ja-JP"/>
        </w:rPr>
        <w:t xml:space="preserve"> </w:t>
      </w:r>
      <w:r w:rsidRPr="003C7678">
        <w:rPr>
          <w:lang w:eastAsia="ja-JP"/>
        </w:rPr>
        <w:t>efficacy</w:t>
      </w:r>
      <w:r w:rsidR="000159A6">
        <w:rPr>
          <w:lang w:eastAsia="ja-JP"/>
        </w:rPr>
        <w:t xml:space="preserve"> </w:t>
      </w:r>
      <w:r>
        <w:rPr>
          <w:lang w:eastAsia="ja-JP"/>
        </w:rPr>
        <w:t>in</w:t>
      </w:r>
      <w:r w:rsidR="000159A6">
        <w:rPr>
          <w:lang w:eastAsia="ja-JP"/>
        </w:rPr>
        <w:t xml:space="preserve"> </w:t>
      </w:r>
      <w:r>
        <w:rPr>
          <w:lang w:eastAsia="ja-JP"/>
        </w:rPr>
        <w:t>both</w:t>
      </w:r>
      <w:r w:rsidR="000159A6">
        <w:rPr>
          <w:lang w:eastAsia="ja-JP"/>
        </w:rPr>
        <w:t xml:space="preserve"> </w:t>
      </w:r>
      <w:r>
        <w:rPr>
          <w:lang w:eastAsia="ja-JP"/>
        </w:rPr>
        <w:t>studies</w:t>
      </w:r>
      <w:r w:rsidRPr="003C7678">
        <w:rPr>
          <w:lang w:eastAsia="ja-JP"/>
        </w:rPr>
        <w:t>.</w:t>
      </w:r>
      <w:r w:rsidR="000159A6">
        <w:rPr>
          <w:lang w:eastAsia="ja-JP"/>
        </w:rPr>
        <w:t xml:space="preserve"> </w:t>
      </w:r>
      <w:r w:rsidRPr="003C7678">
        <w:rPr>
          <w:lang w:eastAsia="ja-JP"/>
        </w:rPr>
        <w:t>In</w:t>
      </w:r>
      <w:r w:rsidR="000159A6">
        <w:rPr>
          <w:lang w:eastAsia="ja-JP"/>
        </w:rPr>
        <w:t xml:space="preserve"> </w:t>
      </w:r>
      <w:r w:rsidR="000D0435">
        <w:rPr>
          <w:lang w:eastAsia="ja-JP"/>
        </w:rPr>
        <w:t>Study</w:t>
      </w:r>
      <w:r w:rsidR="000159A6">
        <w:rPr>
          <w:lang w:eastAsia="ja-JP"/>
        </w:rPr>
        <w:t xml:space="preserve"> </w:t>
      </w:r>
      <w:r>
        <w:rPr>
          <w:lang w:eastAsia="ja-JP"/>
        </w:rPr>
        <w:t>ZOSTER</w:t>
      </w:r>
      <w:r w:rsidR="00525235">
        <w:rPr>
          <w:lang w:eastAsia="ja-JP"/>
        </w:rPr>
        <w:noBreakHyphen/>
      </w:r>
      <w:r w:rsidRPr="003C7678">
        <w:rPr>
          <w:lang w:eastAsia="ja-JP"/>
        </w:rPr>
        <w:t>006</w:t>
      </w:r>
      <w:r>
        <w:rPr>
          <w:lang w:eastAsia="ja-JP"/>
        </w:rPr>
        <w:t>,</w:t>
      </w:r>
      <w:r w:rsidR="000159A6">
        <w:rPr>
          <w:lang w:eastAsia="ja-JP"/>
        </w:rPr>
        <w:t xml:space="preserve"> </w:t>
      </w:r>
      <w:r w:rsidRPr="003C7678">
        <w:rPr>
          <w:lang w:eastAsia="ja-JP"/>
        </w:rPr>
        <w:t>the</w:t>
      </w:r>
      <w:r w:rsidR="000159A6">
        <w:rPr>
          <w:lang w:eastAsia="ja-JP"/>
        </w:rPr>
        <w:t xml:space="preserve"> </w:t>
      </w:r>
      <w:r w:rsidRPr="003C7678">
        <w:rPr>
          <w:lang w:eastAsia="ja-JP"/>
        </w:rPr>
        <w:t>HZ</w:t>
      </w:r>
      <w:r w:rsidR="000159A6">
        <w:rPr>
          <w:lang w:eastAsia="ja-JP"/>
        </w:rPr>
        <w:t xml:space="preserve"> </w:t>
      </w:r>
      <w:r w:rsidRPr="003C7678">
        <w:rPr>
          <w:lang w:eastAsia="ja-JP"/>
        </w:rPr>
        <w:t>incidence</w:t>
      </w:r>
      <w:r w:rsidR="000159A6">
        <w:rPr>
          <w:lang w:eastAsia="ja-JP"/>
        </w:rPr>
        <w:t xml:space="preserve"> </w:t>
      </w:r>
      <w:r>
        <w:rPr>
          <w:lang w:eastAsia="ja-JP"/>
        </w:rPr>
        <w:t>was</w:t>
      </w:r>
      <w:r w:rsidR="000159A6">
        <w:rPr>
          <w:lang w:eastAsia="ja-JP"/>
        </w:rPr>
        <w:t xml:space="preserve"> </w:t>
      </w:r>
      <w:r w:rsidRPr="003C7678">
        <w:rPr>
          <w:lang w:eastAsia="ja-JP"/>
        </w:rPr>
        <w:t>0.3</w:t>
      </w:r>
      <w:r w:rsidR="000159A6">
        <w:rPr>
          <w:lang w:eastAsia="ja-JP"/>
        </w:rPr>
        <w:t xml:space="preserve"> </w:t>
      </w:r>
      <w:r w:rsidRPr="003C7678">
        <w:rPr>
          <w:lang w:eastAsia="ja-JP"/>
        </w:rPr>
        <w:t>and</w:t>
      </w:r>
      <w:r w:rsidR="000159A6">
        <w:rPr>
          <w:lang w:eastAsia="ja-JP"/>
        </w:rPr>
        <w:t xml:space="preserve"> </w:t>
      </w:r>
      <w:r w:rsidRPr="003C7678">
        <w:rPr>
          <w:lang w:eastAsia="ja-JP"/>
        </w:rPr>
        <w:t>9.1</w:t>
      </w:r>
      <w:r w:rsidR="000159A6">
        <w:rPr>
          <w:lang w:eastAsia="ja-JP"/>
        </w:rPr>
        <w:t xml:space="preserve"> </w:t>
      </w:r>
      <w:r w:rsidRPr="003C7678">
        <w:rPr>
          <w:lang w:eastAsia="ja-JP"/>
        </w:rPr>
        <w:t>per</w:t>
      </w:r>
      <w:r w:rsidR="000159A6">
        <w:rPr>
          <w:lang w:eastAsia="ja-JP"/>
        </w:rPr>
        <w:t xml:space="preserve"> </w:t>
      </w:r>
      <w:r w:rsidRPr="003C7678">
        <w:rPr>
          <w:lang w:eastAsia="ja-JP"/>
        </w:rPr>
        <w:t>1000</w:t>
      </w:r>
      <w:r w:rsidR="000159A6">
        <w:rPr>
          <w:lang w:eastAsia="ja-JP"/>
        </w:rPr>
        <w:t xml:space="preserve"> </w:t>
      </w:r>
      <w:r w:rsidRPr="003C7678">
        <w:rPr>
          <w:lang w:eastAsia="ja-JP"/>
        </w:rPr>
        <w:t>person</w:t>
      </w:r>
      <w:r w:rsidR="000159A6">
        <w:rPr>
          <w:lang w:eastAsia="ja-JP"/>
        </w:rPr>
        <w:t xml:space="preserve"> </w:t>
      </w:r>
      <w:r w:rsidRPr="003C7678">
        <w:rPr>
          <w:lang w:eastAsia="ja-JP"/>
        </w:rPr>
        <w:t>years</w:t>
      </w:r>
      <w:r w:rsidR="000159A6">
        <w:rPr>
          <w:lang w:eastAsia="ja-JP"/>
        </w:rPr>
        <w:t xml:space="preserve"> </w:t>
      </w:r>
      <w:r w:rsidRPr="003C7678">
        <w:rPr>
          <w:lang w:eastAsia="ja-JP"/>
        </w:rPr>
        <w:t>in</w:t>
      </w:r>
      <w:r w:rsidR="000159A6">
        <w:rPr>
          <w:lang w:eastAsia="ja-JP"/>
        </w:rPr>
        <w:t xml:space="preserve"> </w:t>
      </w:r>
      <w:r w:rsidRPr="003C7678">
        <w:rPr>
          <w:lang w:eastAsia="ja-JP"/>
        </w:rPr>
        <w:t>the</w:t>
      </w:r>
      <w:r w:rsidR="000159A6">
        <w:rPr>
          <w:lang w:eastAsia="ja-JP"/>
        </w:rPr>
        <w:t xml:space="preserve"> </w:t>
      </w:r>
      <w:r w:rsidRPr="003C7678">
        <w:rPr>
          <w:lang w:eastAsia="ja-JP"/>
        </w:rPr>
        <w:t>HZ/</w:t>
      </w:r>
      <w:proofErr w:type="spellStart"/>
      <w:r w:rsidRPr="003C7678">
        <w:rPr>
          <w:lang w:eastAsia="ja-JP"/>
        </w:rPr>
        <w:t>su</w:t>
      </w:r>
      <w:proofErr w:type="spellEnd"/>
      <w:r w:rsidR="000159A6">
        <w:rPr>
          <w:lang w:eastAsia="ja-JP"/>
        </w:rPr>
        <w:t xml:space="preserve"> </w:t>
      </w:r>
      <w:r w:rsidRPr="003C7678">
        <w:rPr>
          <w:lang w:eastAsia="ja-JP"/>
        </w:rPr>
        <w:t>and</w:t>
      </w:r>
      <w:r w:rsidR="000159A6">
        <w:rPr>
          <w:lang w:eastAsia="ja-JP"/>
        </w:rPr>
        <w:t xml:space="preserve"> </w:t>
      </w:r>
      <w:r w:rsidRPr="003C7678">
        <w:rPr>
          <w:lang w:eastAsia="ja-JP"/>
        </w:rPr>
        <w:t>placebo</w:t>
      </w:r>
      <w:r w:rsidR="000159A6">
        <w:rPr>
          <w:lang w:eastAsia="ja-JP"/>
        </w:rPr>
        <w:t xml:space="preserve"> </w:t>
      </w:r>
      <w:r w:rsidRPr="003C7678">
        <w:rPr>
          <w:lang w:eastAsia="ja-JP"/>
        </w:rPr>
        <w:t>groups,</w:t>
      </w:r>
      <w:r w:rsidR="000159A6">
        <w:rPr>
          <w:lang w:eastAsia="ja-JP"/>
        </w:rPr>
        <w:t xml:space="preserve"> </w:t>
      </w:r>
      <w:r w:rsidRPr="003C7678">
        <w:rPr>
          <w:lang w:eastAsia="ja-JP"/>
        </w:rPr>
        <w:t>respectively</w:t>
      </w:r>
      <w:r w:rsidR="000159A6">
        <w:rPr>
          <w:lang w:eastAsia="ja-JP"/>
        </w:rPr>
        <w:t xml:space="preserve"> </w:t>
      </w:r>
      <w:r>
        <w:rPr>
          <w:lang w:eastAsia="ja-JP"/>
        </w:rPr>
        <w:t>(6</w:t>
      </w:r>
      <w:r w:rsidR="000159A6">
        <w:rPr>
          <w:lang w:eastAsia="ja-JP"/>
        </w:rPr>
        <w:t xml:space="preserve"> </w:t>
      </w:r>
      <w:r>
        <w:rPr>
          <w:lang w:eastAsia="ja-JP"/>
        </w:rPr>
        <w:t>versus</w:t>
      </w:r>
      <w:r w:rsidR="000159A6">
        <w:rPr>
          <w:lang w:eastAsia="ja-JP"/>
        </w:rPr>
        <w:t xml:space="preserve"> </w:t>
      </w:r>
      <w:r>
        <w:rPr>
          <w:lang w:eastAsia="ja-JP"/>
        </w:rPr>
        <w:t>210</w:t>
      </w:r>
      <w:r w:rsidR="000159A6">
        <w:rPr>
          <w:lang w:eastAsia="ja-JP"/>
        </w:rPr>
        <w:t xml:space="preserve"> </w:t>
      </w:r>
      <w:r>
        <w:rPr>
          <w:lang w:eastAsia="ja-JP"/>
        </w:rPr>
        <w:t>cases)</w:t>
      </w:r>
      <w:r w:rsidRPr="003C7678">
        <w:rPr>
          <w:lang w:eastAsia="ja-JP"/>
        </w:rPr>
        <w:t>.</w:t>
      </w:r>
      <w:r w:rsidR="000159A6" w:rsidRPr="00541F41">
        <w:t xml:space="preserve"> </w:t>
      </w:r>
      <w:r>
        <w:rPr>
          <w:lang w:eastAsia="ja-JP"/>
        </w:rPr>
        <w:t>This</w:t>
      </w:r>
      <w:r w:rsidR="000159A6">
        <w:rPr>
          <w:lang w:eastAsia="ja-JP"/>
        </w:rPr>
        <w:t xml:space="preserve"> </w:t>
      </w:r>
      <w:r>
        <w:rPr>
          <w:lang w:eastAsia="ja-JP"/>
        </w:rPr>
        <w:t>resulted</w:t>
      </w:r>
      <w:r w:rsidR="000159A6">
        <w:rPr>
          <w:lang w:eastAsia="ja-JP"/>
        </w:rPr>
        <w:t xml:space="preserve"> </w:t>
      </w:r>
      <w:r>
        <w:rPr>
          <w:lang w:eastAsia="ja-JP"/>
        </w:rPr>
        <w:t>in</w:t>
      </w:r>
      <w:r w:rsidR="000159A6">
        <w:rPr>
          <w:lang w:eastAsia="ja-JP"/>
        </w:rPr>
        <w:t xml:space="preserve"> </w:t>
      </w:r>
      <w:r>
        <w:rPr>
          <w:lang w:eastAsia="ja-JP"/>
        </w:rPr>
        <w:t>a</w:t>
      </w:r>
      <w:r w:rsidR="000159A6">
        <w:rPr>
          <w:lang w:eastAsia="ja-JP"/>
        </w:rPr>
        <w:t xml:space="preserve"> </w:t>
      </w:r>
      <w:r>
        <w:rPr>
          <w:lang w:eastAsia="ja-JP"/>
        </w:rPr>
        <w:t>vaccine</w:t>
      </w:r>
      <w:r w:rsidR="000159A6">
        <w:rPr>
          <w:lang w:eastAsia="ja-JP"/>
        </w:rPr>
        <w:t xml:space="preserve"> </w:t>
      </w:r>
      <w:r>
        <w:rPr>
          <w:lang w:eastAsia="ja-JP"/>
        </w:rPr>
        <w:t>e</w:t>
      </w:r>
      <w:r w:rsidRPr="00007D6B">
        <w:rPr>
          <w:lang w:eastAsia="ja-JP"/>
        </w:rPr>
        <w:t>ffica</w:t>
      </w:r>
      <w:r>
        <w:rPr>
          <w:lang w:eastAsia="ja-JP"/>
        </w:rPr>
        <w:t>c</w:t>
      </w:r>
      <w:r w:rsidRPr="00007D6B">
        <w:rPr>
          <w:lang w:eastAsia="ja-JP"/>
        </w:rPr>
        <w:t>y</w:t>
      </w:r>
      <w:r w:rsidR="000159A6">
        <w:rPr>
          <w:lang w:eastAsia="ja-JP"/>
        </w:rPr>
        <w:t xml:space="preserve"> </w:t>
      </w:r>
      <w:r>
        <w:rPr>
          <w:lang w:eastAsia="ja-JP"/>
        </w:rPr>
        <w:t>of</w:t>
      </w:r>
      <w:r w:rsidR="000159A6">
        <w:rPr>
          <w:lang w:eastAsia="ja-JP"/>
        </w:rPr>
        <w:t xml:space="preserve"> </w:t>
      </w:r>
      <w:r>
        <w:rPr>
          <w:lang w:eastAsia="ja-JP"/>
        </w:rPr>
        <w:t>97.2%</w:t>
      </w:r>
      <w:r w:rsidR="000159A6">
        <w:rPr>
          <w:lang w:eastAsia="ja-JP"/>
        </w:rPr>
        <w:t xml:space="preserve"> </w:t>
      </w:r>
      <w:r>
        <w:rPr>
          <w:lang w:eastAsia="ja-JP"/>
        </w:rPr>
        <w:t>(95%</w:t>
      </w:r>
      <w:r w:rsidR="000159A6">
        <w:rPr>
          <w:lang w:eastAsia="ja-JP"/>
        </w:rPr>
        <w:t xml:space="preserve"> </w:t>
      </w:r>
      <w:r>
        <w:rPr>
          <w:lang w:eastAsia="ja-JP"/>
        </w:rPr>
        <w:t>CI:</w:t>
      </w:r>
      <w:r w:rsidR="000159A6">
        <w:rPr>
          <w:lang w:eastAsia="ja-JP"/>
        </w:rPr>
        <w:t xml:space="preserve"> </w:t>
      </w:r>
      <w:r>
        <w:rPr>
          <w:lang w:eastAsia="ja-JP"/>
        </w:rPr>
        <w:t>93.7</w:t>
      </w:r>
      <w:r w:rsidR="000159A6">
        <w:rPr>
          <w:lang w:eastAsia="ja-JP"/>
        </w:rPr>
        <w:t xml:space="preserve"> </w:t>
      </w:r>
      <w:r>
        <w:rPr>
          <w:lang w:eastAsia="ja-JP"/>
        </w:rPr>
        <w:t>to</w:t>
      </w:r>
      <w:r w:rsidR="000159A6">
        <w:rPr>
          <w:lang w:eastAsia="ja-JP"/>
        </w:rPr>
        <w:t xml:space="preserve"> </w:t>
      </w:r>
      <w:r>
        <w:rPr>
          <w:lang w:eastAsia="ja-JP"/>
        </w:rPr>
        <w:t>99.0%;</w:t>
      </w:r>
      <w:r w:rsidR="000159A6">
        <w:rPr>
          <w:lang w:eastAsia="ja-JP"/>
        </w:rPr>
        <w:t xml:space="preserve"> </w:t>
      </w:r>
      <w:r>
        <w:rPr>
          <w:lang w:eastAsia="ja-JP"/>
        </w:rPr>
        <w:t>p</w:t>
      </w:r>
      <w:r w:rsidR="000159A6">
        <w:rPr>
          <w:lang w:eastAsia="ja-JP"/>
        </w:rPr>
        <w:t xml:space="preserve"> </w:t>
      </w:r>
      <w:r w:rsidR="0037169B">
        <w:rPr>
          <w:lang w:eastAsia="ja-JP"/>
        </w:rPr>
        <w:t>&lt;</w:t>
      </w:r>
      <w:r w:rsidR="000159A6">
        <w:rPr>
          <w:lang w:eastAsia="ja-JP"/>
        </w:rPr>
        <w:t xml:space="preserve"> </w:t>
      </w:r>
      <w:r>
        <w:rPr>
          <w:lang w:eastAsia="ja-JP"/>
        </w:rPr>
        <w:t>0.0001)</w:t>
      </w:r>
      <w:r w:rsidR="000159A6">
        <w:rPr>
          <w:lang w:eastAsia="ja-JP"/>
        </w:rPr>
        <w:t xml:space="preserve"> </w:t>
      </w:r>
      <w:r>
        <w:rPr>
          <w:lang w:eastAsia="ja-JP"/>
        </w:rPr>
        <w:t>in</w:t>
      </w:r>
      <w:r w:rsidR="000159A6">
        <w:rPr>
          <w:lang w:eastAsia="ja-JP"/>
        </w:rPr>
        <w:t xml:space="preserve"> </w:t>
      </w:r>
      <w:r>
        <w:rPr>
          <w:lang w:eastAsia="ja-JP"/>
        </w:rPr>
        <w:t>this</w:t>
      </w:r>
      <w:r w:rsidR="000159A6">
        <w:rPr>
          <w:lang w:eastAsia="ja-JP"/>
        </w:rPr>
        <w:t xml:space="preserve"> </w:t>
      </w:r>
      <w:r>
        <w:rPr>
          <w:lang w:eastAsia="ja-JP"/>
        </w:rPr>
        <w:t>population</w:t>
      </w:r>
      <w:r w:rsidR="000159A6">
        <w:rPr>
          <w:lang w:eastAsia="ja-JP"/>
        </w:rPr>
        <w:t xml:space="preserve"> </w:t>
      </w:r>
      <w:r>
        <w:rPr>
          <w:lang w:eastAsia="ja-JP"/>
        </w:rPr>
        <w:t>of</w:t>
      </w:r>
      <w:r w:rsidR="000159A6">
        <w:rPr>
          <w:lang w:eastAsia="ja-JP"/>
        </w:rPr>
        <w:t xml:space="preserve"> </w:t>
      </w:r>
      <w:r w:rsidR="0037169B">
        <w:rPr>
          <w:lang w:eastAsia="ja-JP"/>
        </w:rPr>
        <w:t>≥</w:t>
      </w:r>
      <w:r w:rsidR="000159A6">
        <w:rPr>
          <w:lang w:eastAsia="ja-JP"/>
        </w:rPr>
        <w:t xml:space="preserve"> </w:t>
      </w:r>
      <w:r>
        <w:rPr>
          <w:lang w:eastAsia="ja-JP"/>
        </w:rPr>
        <w:t>50</w:t>
      </w:r>
      <w:r w:rsidR="000159A6">
        <w:rPr>
          <w:lang w:eastAsia="ja-JP"/>
        </w:rPr>
        <w:t xml:space="preserve"> </w:t>
      </w:r>
      <w:r>
        <w:rPr>
          <w:lang w:eastAsia="ja-JP"/>
        </w:rPr>
        <w:t>year</w:t>
      </w:r>
      <w:r w:rsidR="000159A6">
        <w:rPr>
          <w:lang w:eastAsia="ja-JP"/>
        </w:rPr>
        <w:t xml:space="preserve"> </w:t>
      </w:r>
      <w:r>
        <w:rPr>
          <w:lang w:eastAsia="ja-JP"/>
        </w:rPr>
        <w:t>olds.</w:t>
      </w:r>
      <w:r w:rsidR="000159A6">
        <w:rPr>
          <w:lang w:eastAsia="ja-JP"/>
        </w:rPr>
        <w:t xml:space="preserve"> </w:t>
      </w:r>
      <w:r>
        <w:rPr>
          <w:lang w:eastAsia="ja-JP"/>
        </w:rPr>
        <w:t>Efficacy</w:t>
      </w:r>
      <w:r w:rsidR="000159A6">
        <w:rPr>
          <w:lang w:eastAsia="ja-JP"/>
        </w:rPr>
        <w:t xml:space="preserve"> </w:t>
      </w:r>
      <w:r>
        <w:rPr>
          <w:lang w:eastAsia="ja-JP"/>
        </w:rPr>
        <w:t>was</w:t>
      </w:r>
      <w:r w:rsidR="000159A6">
        <w:rPr>
          <w:lang w:eastAsia="ja-JP"/>
        </w:rPr>
        <w:t xml:space="preserve"> </w:t>
      </w:r>
      <w:r>
        <w:rPr>
          <w:lang w:eastAsia="ja-JP"/>
        </w:rPr>
        <w:t>consistent</w:t>
      </w:r>
      <w:r w:rsidR="000159A6">
        <w:rPr>
          <w:lang w:eastAsia="ja-JP"/>
        </w:rPr>
        <w:t xml:space="preserve"> </w:t>
      </w:r>
      <w:r>
        <w:rPr>
          <w:lang w:eastAsia="ja-JP"/>
        </w:rPr>
        <w:t>across</w:t>
      </w:r>
      <w:r w:rsidR="000159A6">
        <w:rPr>
          <w:lang w:eastAsia="ja-JP"/>
        </w:rPr>
        <w:t xml:space="preserve"> </w:t>
      </w:r>
      <w:r>
        <w:rPr>
          <w:lang w:eastAsia="ja-JP"/>
        </w:rPr>
        <w:t>age</w:t>
      </w:r>
      <w:r w:rsidR="000159A6">
        <w:rPr>
          <w:lang w:eastAsia="ja-JP"/>
        </w:rPr>
        <w:t xml:space="preserve"> </w:t>
      </w:r>
      <w:r>
        <w:rPr>
          <w:lang w:eastAsia="ja-JP"/>
        </w:rPr>
        <w:t>groups</w:t>
      </w:r>
      <w:r w:rsidR="000159A6">
        <w:rPr>
          <w:lang w:eastAsia="ja-JP"/>
        </w:rPr>
        <w:t xml:space="preserve"> </w:t>
      </w:r>
      <w:r>
        <w:rPr>
          <w:lang w:eastAsia="ja-JP"/>
        </w:rPr>
        <w:t>(50</w:t>
      </w:r>
      <w:r w:rsidR="000159A6">
        <w:rPr>
          <w:lang w:eastAsia="ja-JP"/>
        </w:rPr>
        <w:t xml:space="preserve"> </w:t>
      </w:r>
      <w:r>
        <w:rPr>
          <w:lang w:eastAsia="ja-JP"/>
        </w:rPr>
        <w:t>to</w:t>
      </w:r>
      <w:r w:rsidR="000159A6">
        <w:rPr>
          <w:lang w:eastAsia="ja-JP"/>
        </w:rPr>
        <w:t xml:space="preserve"> </w:t>
      </w:r>
      <w:r>
        <w:rPr>
          <w:lang w:eastAsia="ja-JP"/>
        </w:rPr>
        <w:t>59</w:t>
      </w:r>
      <w:r w:rsidRPr="00007D6B">
        <w:rPr>
          <w:lang w:eastAsia="ja-JP"/>
        </w:rPr>
        <w:t>,</w:t>
      </w:r>
      <w:r w:rsidR="000159A6">
        <w:rPr>
          <w:lang w:eastAsia="ja-JP"/>
        </w:rPr>
        <w:t xml:space="preserve"> </w:t>
      </w:r>
      <w:r>
        <w:rPr>
          <w:lang w:eastAsia="ja-JP"/>
        </w:rPr>
        <w:t>60</w:t>
      </w:r>
      <w:r w:rsidR="000159A6">
        <w:rPr>
          <w:lang w:eastAsia="ja-JP"/>
        </w:rPr>
        <w:t xml:space="preserve"> </w:t>
      </w:r>
      <w:r>
        <w:rPr>
          <w:lang w:eastAsia="ja-JP"/>
        </w:rPr>
        <w:t>to</w:t>
      </w:r>
      <w:r w:rsidR="000159A6">
        <w:rPr>
          <w:lang w:eastAsia="ja-JP"/>
        </w:rPr>
        <w:t xml:space="preserve"> </w:t>
      </w:r>
      <w:r>
        <w:rPr>
          <w:lang w:eastAsia="ja-JP"/>
        </w:rPr>
        <w:t>69</w:t>
      </w:r>
      <w:r w:rsidRPr="00007D6B">
        <w:rPr>
          <w:lang w:eastAsia="ja-JP"/>
        </w:rPr>
        <w:t>,</w:t>
      </w:r>
      <w:r w:rsidR="000159A6">
        <w:rPr>
          <w:lang w:eastAsia="ja-JP"/>
        </w:rPr>
        <w:t xml:space="preserve"> </w:t>
      </w:r>
      <w:r w:rsidR="0037169B">
        <w:rPr>
          <w:lang w:eastAsia="ja-JP"/>
        </w:rPr>
        <w:t>≥</w:t>
      </w:r>
      <w:r w:rsidR="000159A6">
        <w:rPr>
          <w:lang w:eastAsia="ja-JP"/>
        </w:rPr>
        <w:t xml:space="preserve"> </w:t>
      </w:r>
      <w:r w:rsidRPr="00007D6B">
        <w:rPr>
          <w:lang w:eastAsia="ja-JP"/>
        </w:rPr>
        <w:t>70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and</w:t>
      </w:r>
      <w:r w:rsidR="000159A6">
        <w:rPr>
          <w:lang w:eastAsia="ja-JP"/>
        </w:rPr>
        <w:t xml:space="preserve"> </w:t>
      </w:r>
      <w:r>
        <w:rPr>
          <w:lang w:eastAsia="ja-JP"/>
        </w:rPr>
        <w:t>the</w:t>
      </w:r>
      <w:r w:rsidR="000159A6">
        <w:rPr>
          <w:lang w:eastAsia="ja-JP"/>
        </w:rPr>
        <w:t xml:space="preserve"> </w:t>
      </w:r>
      <w:r>
        <w:rPr>
          <w:lang w:eastAsia="ja-JP"/>
        </w:rPr>
        <w:t>LL</w:t>
      </w:r>
      <w:r w:rsidR="000159A6">
        <w:rPr>
          <w:lang w:eastAsia="ja-JP"/>
        </w:rPr>
        <w:t xml:space="preserve"> </w:t>
      </w:r>
      <w:r>
        <w:rPr>
          <w:lang w:eastAsia="ja-JP"/>
        </w:rPr>
        <w:t>of</w:t>
      </w:r>
      <w:r w:rsidR="000159A6">
        <w:rPr>
          <w:lang w:eastAsia="ja-JP"/>
        </w:rPr>
        <w:t xml:space="preserve"> </w:t>
      </w:r>
      <w:r>
        <w:rPr>
          <w:lang w:eastAsia="ja-JP"/>
        </w:rPr>
        <w:t>95%</w:t>
      </w:r>
      <w:r w:rsidR="00CD5352">
        <w:rPr>
          <w:lang w:eastAsia="ja-JP"/>
        </w:rPr>
        <w:t> </w:t>
      </w:r>
      <w:r>
        <w:rPr>
          <w:lang w:eastAsia="ja-JP"/>
        </w:rPr>
        <w:t>CI</w:t>
      </w:r>
      <w:r w:rsidR="000159A6">
        <w:rPr>
          <w:lang w:eastAsia="ja-JP"/>
        </w:rPr>
        <w:t xml:space="preserve"> </w:t>
      </w:r>
      <w:r>
        <w:rPr>
          <w:lang w:eastAsia="ja-JP"/>
        </w:rPr>
        <w:t>for</w:t>
      </w:r>
      <w:r w:rsidR="000159A6">
        <w:rPr>
          <w:lang w:eastAsia="ja-JP"/>
        </w:rPr>
        <w:t xml:space="preserve"> </w:t>
      </w:r>
      <w:r>
        <w:rPr>
          <w:lang w:eastAsia="ja-JP"/>
        </w:rPr>
        <w:t>VE</w:t>
      </w:r>
      <w:r w:rsidR="000159A6">
        <w:rPr>
          <w:lang w:eastAsia="ja-JP"/>
        </w:rPr>
        <w:t xml:space="preserve"> </w:t>
      </w:r>
      <w:r>
        <w:rPr>
          <w:lang w:eastAsia="ja-JP"/>
        </w:rPr>
        <w:t>was</w:t>
      </w:r>
      <w:r w:rsidR="000159A6">
        <w:rPr>
          <w:lang w:eastAsia="ja-JP"/>
        </w:rPr>
        <w:t xml:space="preserve"> </w:t>
      </w:r>
      <w:r>
        <w:rPr>
          <w:lang w:eastAsia="ja-JP"/>
        </w:rPr>
        <w:t>at</w:t>
      </w:r>
      <w:r w:rsidR="000159A6">
        <w:rPr>
          <w:lang w:eastAsia="ja-JP"/>
        </w:rPr>
        <w:t xml:space="preserve"> </w:t>
      </w:r>
      <w:r>
        <w:rPr>
          <w:lang w:eastAsia="ja-JP"/>
        </w:rPr>
        <w:t>least</w:t>
      </w:r>
      <w:r w:rsidR="000159A6">
        <w:rPr>
          <w:lang w:eastAsia="ja-JP"/>
        </w:rPr>
        <w:t xml:space="preserve"> </w:t>
      </w:r>
      <w:r>
        <w:rPr>
          <w:lang w:eastAsia="ja-JP"/>
        </w:rPr>
        <w:t>87%.</w:t>
      </w:r>
    </w:p>
    <w:p w14:paraId="617EC8FD" w14:textId="2E796B35" w:rsidR="001F6DEC" w:rsidRPr="00007D6B" w:rsidRDefault="001F6DEC" w:rsidP="001F6DEC">
      <w:pPr>
        <w:rPr>
          <w:lang w:eastAsia="ja-JP"/>
        </w:rPr>
      </w:pPr>
      <w:r>
        <w:rPr>
          <w:lang w:eastAsia="ja-JP"/>
        </w:rPr>
        <w:t>In</w:t>
      </w:r>
      <w:r w:rsidR="000159A6">
        <w:rPr>
          <w:lang w:eastAsia="ja-JP"/>
        </w:rPr>
        <w:t xml:space="preserve"> </w:t>
      </w:r>
      <w:r w:rsidR="000D0435">
        <w:rPr>
          <w:lang w:eastAsia="ja-JP"/>
        </w:rPr>
        <w:t>Study</w:t>
      </w:r>
      <w:r w:rsidR="000159A6">
        <w:rPr>
          <w:lang w:eastAsia="ja-JP"/>
        </w:rPr>
        <w:t xml:space="preserve"> </w:t>
      </w:r>
      <w:r w:rsidR="000D0435">
        <w:rPr>
          <w:lang w:eastAsia="ja-JP"/>
        </w:rPr>
        <w:t>ZOSTER</w:t>
      </w:r>
      <w:r>
        <w:rPr>
          <w:lang w:eastAsia="ja-JP"/>
        </w:rPr>
        <w:t>-022,</w:t>
      </w:r>
      <w:r w:rsidR="000159A6">
        <w:rPr>
          <w:lang w:eastAsia="ja-JP"/>
        </w:rPr>
        <w:t xml:space="preserve"> </w:t>
      </w:r>
      <w:r>
        <w:rPr>
          <w:lang w:eastAsia="ja-JP"/>
        </w:rPr>
        <w:t>the</w:t>
      </w:r>
      <w:r w:rsidR="000159A6">
        <w:rPr>
          <w:lang w:eastAsia="ja-JP"/>
        </w:rPr>
        <w:t xml:space="preserve"> </w:t>
      </w:r>
      <w:proofErr w:type="spellStart"/>
      <w:r>
        <w:rPr>
          <w:lang w:eastAsia="ja-JP"/>
        </w:rPr>
        <w:t>mTVC</w:t>
      </w:r>
      <w:proofErr w:type="spellEnd"/>
      <w:r w:rsidR="000159A6">
        <w:rPr>
          <w:lang w:eastAsia="ja-JP"/>
        </w:rPr>
        <w:t xml:space="preserve"> </w:t>
      </w:r>
      <w:r>
        <w:rPr>
          <w:lang w:eastAsia="ja-JP"/>
        </w:rPr>
        <w:t>included</w:t>
      </w:r>
      <w:r w:rsidR="000159A6">
        <w:rPr>
          <w:lang w:eastAsia="ja-JP"/>
        </w:rPr>
        <w:t xml:space="preserve"> </w:t>
      </w:r>
      <w:r>
        <w:rPr>
          <w:lang w:eastAsia="ja-JP"/>
        </w:rPr>
        <w:t>13,163</w:t>
      </w:r>
      <w:r w:rsidR="000159A6">
        <w:rPr>
          <w:lang w:eastAsia="ja-JP"/>
        </w:rPr>
        <w:t xml:space="preserve"> </w:t>
      </w:r>
      <w:r>
        <w:rPr>
          <w:lang w:eastAsia="ja-JP"/>
        </w:rPr>
        <w:t>subjects</w:t>
      </w:r>
      <w:r w:rsidR="000159A6">
        <w:rPr>
          <w:lang w:eastAsia="ja-JP"/>
        </w:rPr>
        <w:t xml:space="preserve"> </w:t>
      </w:r>
      <w:r>
        <w:rPr>
          <w:lang w:eastAsia="ja-JP"/>
        </w:rPr>
        <w:t>and</w:t>
      </w:r>
      <w:r w:rsidR="000159A6">
        <w:rPr>
          <w:lang w:eastAsia="ja-JP"/>
        </w:rPr>
        <w:t xml:space="preserve"> </w:t>
      </w:r>
      <w:r>
        <w:rPr>
          <w:lang w:eastAsia="ja-JP"/>
        </w:rPr>
        <w:t>the</w:t>
      </w:r>
      <w:r w:rsidR="000159A6">
        <w:rPr>
          <w:lang w:eastAsia="ja-JP"/>
        </w:rPr>
        <w:t xml:space="preserve"> </w:t>
      </w:r>
      <w:r>
        <w:rPr>
          <w:lang w:eastAsia="ja-JP"/>
        </w:rPr>
        <w:t>median</w:t>
      </w:r>
      <w:r w:rsidR="000159A6">
        <w:rPr>
          <w:lang w:eastAsia="ja-JP"/>
        </w:rPr>
        <w:t xml:space="preserve"> </w:t>
      </w:r>
      <w:r>
        <w:rPr>
          <w:lang w:eastAsia="ja-JP"/>
        </w:rPr>
        <w:t>follow</w:t>
      </w:r>
      <w:r w:rsidR="000159A6">
        <w:rPr>
          <w:lang w:eastAsia="ja-JP"/>
        </w:rPr>
        <w:t xml:space="preserve"> </w:t>
      </w:r>
      <w:r>
        <w:rPr>
          <w:lang w:eastAsia="ja-JP"/>
        </w:rPr>
        <w:t>up</w:t>
      </w:r>
      <w:r w:rsidR="000159A6">
        <w:rPr>
          <w:lang w:eastAsia="ja-JP"/>
        </w:rPr>
        <w:t xml:space="preserve"> </w:t>
      </w:r>
      <w:r>
        <w:rPr>
          <w:lang w:eastAsia="ja-JP"/>
        </w:rPr>
        <w:t>time</w:t>
      </w:r>
      <w:r w:rsidR="000159A6">
        <w:rPr>
          <w:lang w:eastAsia="ja-JP"/>
        </w:rPr>
        <w:t xml:space="preserve"> </w:t>
      </w:r>
      <w:r>
        <w:rPr>
          <w:lang w:eastAsia="ja-JP"/>
        </w:rPr>
        <w:t>was</w:t>
      </w:r>
      <w:r w:rsidR="000159A6">
        <w:rPr>
          <w:lang w:eastAsia="ja-JP"/>
        </w:rPr>
        <w:t xml:space="preserve"> </w:t>
      </w:r>
      <w:r>
        <w:rPr>
          <w:lang w:eastAsia="ja-JP"/>
        </w:rPr>
        <w:t>3.9</w:t>
      </w:r>
      <w:r w:rsidR="000159A6">
        <w:rPr>
          <w:lang w:eastAsia="ja-JP"/>
        </w:rPr>
        <w:t xml:space="preserve"> </w:t>
      </w:r>
      <w:r>
        <w:rPr>
          <w:lang w:eastAsia="ja-JP"/>
        </w:rPr>
        <w:t>years.</w:t>
      </w:r>
      <w:r w:rsidR="000159A6">
        <w:rPr>
          <w:lang w:eastAsia="ja-JP"/>
        </w:rPr>
        <w:t xml:space="preserve"> </w:t>
      </w:r>
      <w:r>
        <w:rPr>
          <w:lang w:eastAsia="ja-JP"/>
        </w:rPr>
        <w:t>T</w:t>
      </w:r>
      <w:r w:rsidRPr="003C7678">
        <w:rPr>
          <w:lang w:eastAsia="ja-JP"/>
        </w:rPr>
        <w:t>he</w:t>
      </w:r>
      <w:r w:rsidR="000159A6">
        <w:rPr>
          <w:lang w:eastAsia="ja-JP"/>
        </w:rPr>
        <w:t xml:space="preserve"> </w:t>
      </w:r>
      <w:r w:rsidRPr="003C7678">
        <w:rPr>
          <w:lang w:eastAsia="ja-JP"/>
        </w:rPr>
        <w:t>HZ</w:t>
      </w:r>
      <w:r w:rsidR="000159A6">
        <w:rPr>
          <w:lang w:eastAsia="ja-JP"/>
        </w:rPr>
        <w:t xml:space="preserve"> </w:t>
      </w:r>
      <w:r w:rsidRPr="003C7678">
        <w:rPr>
          <w:lang w:eastAsia="ja-JP"/>
        </w:rPr>
        <w:t>incidence</w:t>
      </w:r>
      <w:r w:rsidR="000159A6">
        <w:rPr>
          <w:lang w:eastAsia="ja-JP"/>
        </w:rPr>
        <w:t xml:space="preserve"> </w:t>
      </w:r>
      <w:r>
        <w:rPr>
          <w:lang w:eastAsia="ja-JP"/>
        </w:rPr>
        <w:t>was</w:t>
      </w:r>
      <w:r w:rsidR="000159A6">
        <w:rPr>
          <w:lang w:eastAsia="ja-JP"/>
        </w:rPr>
        <w:t xml:space="preserve"> </w:t>
      </w:r>
      <w:r w:rsidRPr="003C7678">
        <w:rPr>
          <w:lang w:eastAsia="ja-JP"/>
        </w:rPr>
        <w:t>0.</w:t>
      </w:r>
      <w:r>
        <w:rPr>
          <w:lang w:eastAsia="ja-JP"/>
        </w:rPr>
        <w:t>9</w:t>
      </w:r>
      <w:r w:rsidR="000159A6">
        <w:rPr>
          <w:lang w:eastAsia="ja-JP"/>
        </w:rPr>
        <w:t xml:space="preserve"> </w:t>
      </w:r>
      <w:r w:rsidRPr="003C7678">
        <w:rPr>
          <w:lang w:eastAsia="ja-JP"/>
        </w:rPr>
        <w:t>and</w:t>
      </w:r>
      <w:r w:rsidR="000159A6">
        <w:rPr>
          <w:lang w:eastAsia="ja-JP"/>
        </w:rPr>
        <w:t xml:space="preserve"> </w:t>
      </w:r>
      <w:r w:rsidRPr="003C7678">
        <w:rPr>
          <w:lang w:eastAsia="ja-JP"/>
        </w:rPr>
        <w:t>9.</w:t>
      </w:r>
      <w:r>
        <w:rPr>
          <w:lang w:eastAsia="ja-JP"/>
        </w:rPr>
        <w:t>2</w:t>
      </w:r>
      <w:r w:rsidR="000159A6">
        <w:rPr>
          <w:lang w:eastAsia="ja-JP"/>
        </w:rPr>
        <w:t xml:space="preserve"> </w:t>
      </w:r>
      <w:r w:rsidRPr="003C7678">
        <w:rPr>
          <w:lang w:eastAsia="ja-JP"/>
        </w:rPr>
        <w:t>per</w:t>
      </w:r>
      <w:r w:rsidR="000159A6">
        <w:rPr>
          <w:lang w:eastAsia="ja-JP"/>
        </w:rPr>
        <w:t xml:space="preserve"> </w:t>
      </w:r>
      <w:r w:rsidRPr="003C7678">
        <w:rPr>
          <w:lang w:eastAsia="ja-JP"/>
        </w:rPr>
        <w:t>1000</w:t>
      </w:r>
      <w:r w:rsidR="000159A6">
        <w:rPr>
          <w:lang w:eastAsia="ja-JP"/>
        </w:rPr>
        <w:t xml:space="preserve"> </w:t>
      </w:r>
      <w:r w:rsidRPr="003C7678">
        <w:rPr>
          <w:lang w:eastAsia="ja-JP"/>
        </w:rPr>
        <w:t>person</w:t>
      </w:r>
      <w:r w:rsidR="000159A6">
        <w:rPr>
          <w:lang w:eastAsia="ja-JP"/>
        </w:rPr>
        <w:t xml:space="preserve"> </w:t>
      </w:r>
      <w:r w:rsidRPr="003C7678">
        <w:rPr>
          <w:lang w:eastAsia="ja-JP"/>
        </w:rPr>
        <w:t>years</w:t>
      </w:r>
      <w:r w:rsidR="000159A6">
        <w:rPr>
          <w:lang w:eastAsia="ja-JP"/>
        </w:rPr>
        <w:t xml:space="preserve"> </w:t>
      </w:r>
      <w:r w:rsidRPr="003C7678">
        <w:rPr>
          <w:lang w:eastAsia="ja-JP"/>
        </w:rPr>
        <w:t>in</w:t>
      </w:r>
      <w:r w:rsidR="000159A6">
        <w:rPr>
          <w:lang w:eastAsia="ja-JP"/>
        </w:rPr>
        <w:t xml:space="preserve"> </w:t>
      </w:r>
      <w:r w:rsidRPr="003C7678">
        <w:rPr>
          <w:lang w:eastAsia="ja-JP"/>
        </w:rPr>
        <w:t>the</w:t>
      </w:r>
      <w:r w:rsidR="000159A6">
        <w:rPr>
          <w:lang w:eastAsia="ja-JP"/>
        </w:rPr>
        <w:t xml:space="preserve"> </w:t>
      </w:r>
      <w:r w:rsidRPr="003C7678">
        <w:rPr>
          <w:lang w:eastAsia="ja-JP"/>
        </w:rPr>
        <w:t>HZ/</w:t>
      </w:r>
      <w:proofErr w:type="spellStart"/>
      <w:r w:rsidRPr="003C7678">
        <w:rPr>
          <w:lang w:eastAsia="ja-JP"/>
        </w:rPr>
        <w:t>su</w:t>
      </w:r>
      <w:proofErr w:type="spellEnd"/>
      <w:r w:rsidR="000159A6">
        <w:rPr>
          <w:lang w:eastAsia="ja-JP"/>
        </w:rPr>
        <w:t xml:space="preserve"> </w:t>
      </w:r>
      <w:r w:rsidRPr="003C7678">
        <w:rPr>
          <w:lang w:eastAsia="ja-JP"/>
        </w:rPr>
        <w:t>and</w:t>
      </w:r>
      <w:r w:rsidR="000159A6">
        <w:rPr>
          <w:lang w:eastAsia="ja-JP"/>
        </w:rPr>
        <w:t xml:space="preserve"> </w:t>
      </w:r>
      <w:r w:rsidRPr="003C7678">
        <w:rPr>
          <w:lang w:eastAsia="ja-JP"/>
        </w:rPr>
        <w:t>placebo</w:t>
      </w:r>
      <w:r w:rsidR="000159A6">
        <w:rPr>
          <w:lang w:eastAsia="ja-JP"/>
        </w:rPr>
        <w:t xml:space="preserve"> </w:t>
      </w:r>
      <w:r w:rsidRPr="003C7678">
        <w:rPr>
          <w:lang w:eastAsia="ja-JP"/>
        </w:rPr>
        <w:t>groups,</w:t>
      </w:r>
      <w:r w:rsidR="000159A6">
        <w:rPr>
          <w:lang w:eastAsia="ja-JP"/>
        </w:rPr>
        <w:t xml:space="preserve"> </w:t>
      </w:r>
      <w:r w:rsidRPr="003C7678">
        <w:rPr>
          <w:lang w:eastAsia="ja-JP"/>
        </w:rPr>
        <w:t>respectively</w:t>
      </w:r>
      <w:r w:rsidR="000159A6">
        <w:rPr>
          <w:lang w:eastAsia="ja-JP"/>
        </w:rPr>
        <w:t xml:space="preserve"> </w:t>
      </w:r>
      <w:r>
        <w:rPr>
          <w:lang w:eastAsia="ja-JP"/>
        </w:rPr>
        <w:t>(23</w:t>
      </w:r>
      <w:r w:rsidR="000159A6">
        <w:rPr>
          <w:lang w:eastAsia="ja-JP"/>
        </w:rPr>
        <w:t xml:space="preserve"> </w:t>
      </w:r>
      <w:r>
        <w:rPr>
          <w:lang w:eastAsia="ja-JP"/>
        </w:rPr>
        <w:t>ver</w:t>
      </w:r>
      <w:r w:rsidRPr="00541F41">
        <w:t>s</w:t>
      </w:r>
      <w:r>
        <w:rPr>
          <w:lang w:eastAsia="ja-JP"/>
        </w:rPr>
        <w:t>us</w:t>
      </w:r>
      <w:r w:rsidR="000159A6">
        <w:rPr>
          <w:lang w:eastAsia="ja-JP"/>
        </w:rPr>
        <w:t xml:space="preserve"> </w:t>
      </w:r>
      <w:r>
        <w:rPr>
          <w:lang w:eastAsia="ja-JP"/>
        </w:rPr>
        <w:t>223</w:t>
      </w:r>
      <w:r w:rsidR="000159A6">
        <w:rPr>
          <w:lang w:eastAsia="ja-JP"/>
        </w:rPr>
        <w:t xml:space="preserve"> </w:t>
      </w:r>
      <w:r>
        <w:rPr>
          <w:lang w:eastAsia="ja-JP"/>
        </w:rPr>
        <w:t>cases)</w:t>
      </w:r>
      <w:r w:rsidRPr="003C7678">
        <w:rPr>
          <w:lang w:eastAsia="ja-JP"/>
        </w:rPr>
        <w:t>.</w:t>
      </w:r>
      <w:r w:rsidR="000159A6">
        <w:rPr>
          <w:lang w:eastAsia="ja-JP"/>
        </w:rPr>
        <w:t xml:space="preserve"> </w:t>
      </w:r>
      <w:r>
        <w:rPr>
          <w:lang w:eastAsia="ja-JP"/>
        </w:rPr>
        <w:t>The</w:t>
      </w:r>
      <w:r w:rsidR="000159A6">
        <w:rPr>
          <w:lang w:eastAsia="ja-JP"/>
        </w:rPr>
        <w:t xml:space="preserve"> </w:t>
      </w:r>
      <w:r w:rsidRPr="00007D6B">
        <w:rPr>
          <w:lang w:eastAsia="ja-JP"/>
        </w:rPr>
        <w:t>HZ</w:t>
      </w:r>
      <w:r w:rsidR="000159A6">
        <w:rPr>
          <w:lang w:eastAsia="ja-JP"/>
        </w:rPr>
        <w:t xml:space="preserve"> </w:t>
      </w:r>
      <w:r w:rsidRPr="00007D6B">
        <w:rPr>
          <w:lang w:eastAsia="ja-JP"/>
        </w:rPr>
        <w:t>VE</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adults</w:t>
      </w:r>
      <w:r w:rsidR="000159A6">
        <w:rPr>
          <w:lang w:eastAsia="ja-JP"/>
        </w:rPr>
        <w:t xml:space="preserve"> </w:t>
      </w:r>
      <w:r>
        <w:rPr>
          <w:lang w:eastAsia="ja-JP"/>
        </w:rPr>
        <w:t>aged</w:t>
      </w:r>
      <w:r w:rsidR="000159A6">
        <w:rPr>
          <w:lang w:eastAsia="ja-JP"/>
        </w:rPr>
        <w:t xml:space="preserve"> </w:t>
      </w:r>
      <w:r w:rsidR="0037169B">
        <w:rPr>
          <w:lang w:eastAsia="ja-JP"/>
        </w:rPr>
        <w:t>≥</w:t>
      </w:r>
      <w:r w:rsidR="000159A6">
        <w:rPr>
          <w:lang w:eastAsia="ja-JP"/>
        </w:rPr>
        <w:t xml:space="preserve"> </w:t>
      </w:r>
      <w:r>
        <w:rPr>
          <w:lang w:eastAsia="ja-JP"/>
        </w:rPr>
        <w:t>7</w:t>
      </w:r>
      <w:r w:rsidR="00525235">
        <w:rPr>
          <w:lang w:eastAsia="ja-JP"/>
        </w:rPr>
        <w:t>0</w:t>
      </w:r>
      <w:r w:rsidR="000159A6">
        <w:rPr>
          <w:lang w:eastAsia="ja-JP"/>
        </w:rPr>
        <w:t xml:space="preserve"> </w:t>
      </w:r>
      <w:r w:rsidR="00525235">
        <w:rPr>
          <w:lang w:eastAsia="ja-JP"/>
        </w:rPr>
        <w:t>years</w:t>
      </w:r>
      <w:r w:rsidR="000159A6">
        <w:rPr>
          <w:lang w:eastAsia="ja-JP"/>
        </w:rPr>
        <w:t xml:space="preserve"> </w:t>
      </w:r>
      <w:r w:rsidR="00525235">
        <w:rPr>
          <w:lang w:eastAsia="ja-JP"/>
        </w:rPr>
        <w:t>was</w:t>
      </w:r>
      <w:r w:rsidR="000159A6">
        <w:rPr>
          <w:lang w:eastAsia="ja-JP"/>
        </w:rPr>
        <w:t xml:space="preserve"> </w:t>
      </w:r>
      <w:r w:rsidR="00525235">
        <w:rPr>
          <w:lang w:eastAsia="ja-JP"/>
        </w:rPr>
        <w:t>89.8%</w:t>
      </w:r>
      <w:r w:rsidR="000159A6">
        <w:rPr>
          <w:lang w:eastAsia="ja-JP"/>
        </w:rPr>
        <w:t xml:space="preserve"> </w:t>
      </w:r>
      <w:r w:rsidR="00525235">
        <w:rPr>
          <w:lang w:eastAsia="ja-JP"/>
        </w:rPr>
        <w:t>(95%</w:t>
      </w:r>
      <w:r w:rsidR="000159A6">
        <w:rPr>
          <w:lang w:eastAsia="ja-JP"/>
        </w:rPr>
        <w:t xml:space="preserve"> </w:t>
      </w:r>
      <w:r w:rsidR="00525235">
        <w:rPr>
          <w:lang w:eastAsia="ja-JP"/>
        </w:rPr>
        <w:t>CI:</w:t>
      </w:r>
      <w:r w:rsidR="000159A6">
        <w:rPr>
          <w:lang w:eastAsia="ja-JP"/>
        </w:rPr>
        <w:t xml:space="preserve"> </w:t>
      </w:r>
      <w:r w:rsidR="00525235">
        <w:rPr>
          <w:lang w:eastAsia="ja-JP"/>
        </w:rPr>
        <w:t>84.3</w:t>
      </w:r>
      <w:r w:rsidR="000159A6">
        <w:rPr>
          <w:lang w:eastAsia="ja-JP"/>
        </w:rPr>
        <w:t xml:space="preserve"> </w:t>
      </w:r>
      <w:r w:rsidR="00525235">
        <w:rPr>
          <w:lang w:eastAsia="ja-JP"/>
        </w:rPr>
        <w:t>to</w:t>
      </w:r>
      <w:r w:rsidR="000159A6">
        <w:rPr>
          <w:lang w:eastAsia="ja-JP"/>
        </w:rPr>
        <w:t xml:space="preserve"> </w:t>
      </w:r>
      <w:r>
        <w:rPr>
          <w:lang w:eastAsia="ja-JP"/>
        </w:rPr>
        <w:t>93.7%,</w:t>
      </w:r>
      <w:r w:rsidR="000159A6">
        <w:rPr>
          <w:lang w:eastAsia="ja-JP"/>
        </w:rPr>
        <w:t xml:space="preserve"> </w:t>
      </w:r>
      <w:r>
        <w:rPr>
          <w:lang w:eastAsia="ja-JP"/>
        </w:rPr>
        <w:t>p</w:t>
      </w:r>
      <w:r w:rsidR="000159A6">
        <w:rPr>
          <w:lang w:eastAsia="ja-JP"/>
        </w:rPr>
        <w:t xml:space="preserve"> </w:t>
      </w:r>
      <w:r w:rsidR="0037169B">
        <w:rPr>
          <w:lang w:eastAsia="ja-JP"/>
        </w:rPr>
        <w:t>&lt;</w:t>
      </w:r>
      <w:r w:rsidR="000159A6">
        <w:rPr>
          <w:lang w:eastAsia="ja-JP"/>
        </w:rPr>
        <w:t xml:space="preserve"> </w:t>
      </w:r>
      <w:r>
        <w:rPr>
          <w:lang w:eastAsia="ja-JP"/>
        </w:rPr>
        <w:t>0.0001).</w:t>
      </w:r>
      <w:r w:rsidR="000159A6">
        <w:rPr>
          <w:lang w:eastAsia="ja-JP"/>
        </w:rPr>
        <w:t xml:space="preserve"> </w:t>
      </w:r>
      <w:r>
        <w:rPr>
          <w:lang w:eastAsia="ja-JP"/>
        </w:rPr>
        <w:t>Efficacy</w:t>
      </w:r>
      <w:r w:rsidR="000159A6">
        <w:rPr>
          <w:lang w:eastAsia="ja-JP"/>
        </w:rPr>
        <w:t xml:space="preserve"> </w:t>
      </w:r>
      <w:r>
        <w:rPr>
          <w:lang w:eastAsia="ja-JP"/>
        </w:rPr>
        <w:t>was</w:t>
      </w:r>
      <w:r w:rsidR="000159A6">
        <w:rPr>
          <w:lang w:eastAsia="ja-JP"/>
        </w:rPr>
        <w:t xml:space="preserve"> </w:t>
      </w:r>
      <w:r>
        <w:rPr>
          <w:lang w:eastAsia="ja-JP"/>
        </w:rPr>
        <w:t>similar</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two</w:t>
      </w:r>
      <w:r w:rsidR="000159A6">
        <w:rPr>
          <w:lang w:eastAsia="ja-JP"/>
        </w:rPr>
        <w:t xml:space="preserve"> </w:t>
      </w:r>
      <w:r>
        <w:rPr>
          <w:lang w:eastAsia="ja-JP"/>
        </w:rPr>
        <w:t>age</w:t>
      </w:r>
      <w:r w:rsidR="000159A6">
        <w:rPr>
          <w:lang w:eastAsia="ja-JP"/>
        </w:rPr>
        <w:t xml:space="preserve"> </w:t>
      </w:r>
      <w:r>
        <w:rPr>
          <w:lang w:eastAsia="ja-JP"/>
        </w:rPr>
        <w:t>subgroups</w:t>
      </w:r>
      <w:r w:rsidR="000159A6">
        <w:rPr>
          <w:lang w:eastAsia="ja-JP"/>
        </w:rPr>
        <w:t xml:space="preserve"> </w:t>
      </w:r>
      <w:r>
        <w:rPr>
          <w:lang w:eastAsia="ja-JP"/>
        </w:rPr>
        <w:t>(70</w:t>
      </w:r>
      <w:r w:rsidR="000159A6">
        <w:rPr>
          <w:lang w:eastAsia="ja-JP"/>
        </w:rPr>
        <w:t xml:space="preserve"> </w:t>
      </w:r>
      <w:r>
        <w:rPr>
          <w:lang w:eastAsia="ja-JP"/>
        </w:rPr>
        <w:t>to</w:t>
      </w:r>
      <w:r w:rsidR="000159A6">
        <w:rPr>
          <w:lang w:eastAsia="ja-JP"/>
        </w:rPr>
        <w:t xml:space="preserve"> </w:t>
      </w:r>
      <w:r>
        <w:rPr>
          <w:lang w:eastAsia="ja-JP"/>
        </w:rPr>
        <w:t>79</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and</w:t>
      </w:r>
      <w:r w:rsidR="000159A6">
        <w:rPr>
          <w:lang w:eastAsia="ja-JP"/>
        </w:rPr>
        <w:t xml:space="preserve"> </w:t>
      </w:r>
      <w:r w:rsidR="0037169B">
        <w:rPr>
          <w:lang w:eastAsia="ja-JP"/>
        </w:rPr>
        <w:t>≥</w:t>
      </w:r>
      <w:r w:rsidR="000159A6">
        <w:rPr>
          <w:lang w:eastAsia="ja-JP"/>
        </w:rPr>
        <w:t xml:space="preserve"> </w:t>
      </w:r>
      <w:r w:rsidRPr="00007D6B">
        <w:rPr>
          <w:lang w:eastAsia="ja-JP"/>
        </w:rPr>
        <w:t>80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Data</w:t>
      </w:r>
      <w:r w:rsidR="000159A6">
        <w:rPr>
          <w:lang w:eastAsia="ja-JP"/>
        </w:rPr>
        <w:t xml:space="preserve"> </w:t>
      </w:r>
      <w:r>
        <w:rPr>
          <w:lang w:eastAsia="ja-JP"/>
        </w:rPr>
        <w:t>from</w:t>
      </w:r>
      <w:r w:rsidR="000159A6">
        <w:rPr>
          <w:lang w:eastAsia="ja-JP"/>
        </w:rPr>
        <w:t xml:space="preserve"> </w:t>
      </w:r>
      <w:r>
        <w:rPr>
          <w:lang w:eastAsia="ja-JP"/>
        </w:rPr>
        <w:t>Study</w:t>
      </w:r>
      <w:r w:rsidR="000159A6">
        <w:rPr>
          <w:lang w:eastAsia="ja-JP"/>
        </w:rPr>
        <w:t xml:space="preserve"> </w:t>
      </w:r>
      <w:r>
        <w:rPr>
          <w:lang w:eastAsia="ja-JP"/>
        </w:rPr>
        <w:t>ZOSTER-022</w:t>
      </w:r>
      <w:r w:rsidR="000159A6">
        <w:rPr>
          <w:lang w:eastAsia="ja-JP"/>
        </w:rPr>
        <w:t xml:space="preserve"> </w:t>
      </w:r>
      <w:r>
        <w:rPr>
          <w:lang w:eastAsia="ja-JP"/>
        </w:rPr>
        <w:t>was</w:t>
      </w:r>
      <w:r w:rsidR="000159A6">
        <w:rPr>
          <w:lang w:eastAsia="ja-JP"/>
        </w:rPr>
        <w:t xml:space="preserve"> </w:t>
      </w:r>
      <w:r>
        <w:rPr>
          <w:lang w:eastAsia="ja-JP"/>
        </w:rPr>
        <w:t>supported</w:t>
      </w:r>
      <w:r w:rsidR="000159A6">
        <w:rPr>
          <w:lang w:eastAsia="ja-JP"/>
        </w:rPr>
        <w:t xml:space="preserve"> </w:t>
      </w:r>
      <w:r>
        <w:rPr>
          <w:lang w:eastAsia="ja-JP"/>
        </w:rPr>
        <w:t>by</w:t>
      </w:r>
      <w:r w:rsidR="000159A6">
        <w:rPr>
          <w:lang w:eastAsia="ja-JP"/>
        </w:rPr>
        <w:t xml:space="preserve"> </w:t>
      </w:r>
      <w:r>
        <w:rPr>
          <w:lang w:eastAsia="ja-JP"/>
        </w:rPr>
        <w:t>the</w:t>
      </w:r>
      <w:r w:rsidR="000159A6">
        <w:rPr>
          <w:lang w:eastAsia="ja-JP"/>
        </w:rPr>
        <w:t xml:space="preserve"> </w:t>
      </w:r>
      <w:r>
        <w:rPr>
          <w:lang w:eastAsia="ja-JP"/>
        </w:rPr>
        <w:t>pooled</w:t>
      </w:r>
      <w:r w:rsidR="000159A6">
        <w:rPr>
          <w:lang w:eastAsia="ja-JP"/>
        </w:rPr>
        <w:t xml:space="preserve"> </w:t>
      </w:r>
      <w:r>
        <w:rPr>
          <w:lang w:eastAsia="ja-JP"/>
        </w:rPr>
        <w:t>analysis</w:t>
      </w:r>
      <w:r w:rsidR="000159A6">
        <w:rPr>
          <w:lang w:eastAsia="ja-JP"/>
        </w:rPr>
        <w:t xml:space="preserve"> </w:t>
      </w:r>
      <w:r>
        <w:rPr>
          <w:lang w:eastAsia="ja-JP"/>
        </w:rPr>
        <w:t>where</w:t>
      </w:r>
      <w:r w:rsidR="000159A6">
        <w:rPr>
          <w:lang w:eastAsia="ja-JP"/>
        </w:rPr>
        <w:t xml:space="preserve"> </w:t>
      </w:r>
      <w:r>
        <w:rPr>
          <w:lang w:eastAsia="ja-JP"/>
        </w:rPr>
        <w:t>VE</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sidR="00525235">
        <w:rPr>
          <w:lang w:eastAsia="ja-JP"/>
        </w:rPr>
        <w:t>of</w:t>
      </w:r>
      <w:r w:rsidR="000159A6">
        <w:rPr>
          <w:lang w:eastAsia="ja-JP"/>
        </w:rPr>
        <w:t xml:space="preserve"> </w:t>
      </w:r>
      <w:r w:rsidR="00525235">
        <w:rPr>
          <w:lang w:eastAsia="ja-JP"/>
        </w:rPr>
        <w:t>age</w:t>
      </w:r>
      <w:r w:rsidR="000159A6">
        <w:rPr>
          <w:lang w:eastAsia="ja-JP"/>
        </w:rPr>
        <w:t xml:space="preserve"> </w:t>
      </w:r>
      <w:r w:rsidR="00525235">
        <w:rPr>
          <w:lang w:eastAsia="ja-JP"/>
        </w:rPr>
        <w:t>was</w:t>
      </w:r>
      <w:r w:rsidR="000159A6">
        <w:rPr>
          <w:lang w:eastAsia="ja-JP"/>
        </w:rPr>
        <w:t xml:space="preserve"> </w:t>
      </w:r>
      <w:r w:rsidR="00525235">
        <w:rPr>
          <w:lang w:eastAsia="ja-JP"/>
        </w:rPr>
        <w:t>91.3%</w:t>
      </w:r>
      <w:r w:rsidR="000159A6">
        <w:rPr>
          <w:lang w:eastAsia="ja-JP"/>
        </w:rPr>
        <w:t xml:space="preserve"> </w:t>
      </w:r>
      <w:r w:rsidR="00525235">
        <w:rPr>
          <w:lang w:eastAsia="ja-JP"/>
        </w:rPr>
        <w:t>(95%</w:t>
      </w:r>
      <w:r w:rsidR="00CD5352">
        <w:rPr>
          <w:lang w:eastAsia="ja-JP"/>
        </w:rPr>
        <w:t> </w:t>
      </w:r>
      <w:r w:rsidR="00525235">
        <w:rPr>
          <w:lang w:eastAsia="ja-JP"/>
        </w:rPr>
        <w:t>CI:</w:t>
      </w:r>
      <w:r w:rsidR="00CD5352">
        <w:rPr>
          <w:lang w:eastAsia="ja-JP"/>
        </w:rPr>
        <w:t> </w:t>
      </w:r>
      <w:r w:rsidR="00525235">
        <w:rPr>
          <w:lang w:eastAsia="ja-JP"/>
        </w:rPr>
        <w:t>86.9</w:t>
      </w:r>
      <w:r w:rsidR="000159A6">
        <w:rPr>
          <w:lang w:eastAsia="ja-JP"/>
        </w:rPr>
        <w:t xml:space="preserve"> </w:t>
      </w:r>
      <w:r w:rsidR="00525235">
        <w:rPr>
          <w:lang w:eastAsia="ja-JP"/>
        </w:rPr>
        <w:t>to</w:t>
      </w:r>
      <w:r w:rsidR="000159A6">
        <w:rPr>
          <w:lang w:eastAsia="ja-JP"/>
        </w:rPr>
        <w:t xml:space="preserve"> </w:t>
      </w:r>
      <w:r>
        <w:rPr>
          <w:lang w:eastAsia="ja-JP"/>
        </w:rPr>
        <w:t>94.5%).</w:t>
      </w:r>
    </w:p>
    <w:p w14:paraId="56F9E82C" w14:textId="30D555D7" w:rsidR="001F6DEC" w:rsidRDefault="001F6DEC" w:rsidP="001F6DEC">
      <w:pPr>
        <w:rPr>
          <w:lang w:eastAsia="ja-JP"/>
        </w:rPr>
      </w:pPr>
      <w:r>
        <w:rPr>
          <w:lang w:eastAsia="ja-JP"/>
        </w:rPr>
        <w:t>In</w:t>
      </w:r>
      <w:r w:rsidR="000159A6">
        <w:rPr>
          <w:lang w:eastAsia="ja-JP"/>
        </w:rPr>
        <w:t xml:space="preserve"> </w:t>
      </w:r>
      <w:r>
        <w:rPr>
          <w:lang w:eastAsia="ja-JP"/>
        </w:rPr>
        <w:t>both</w:t>
      </w:r>
      <w:r w:rsidR="000159A6">
        <w:rPr>
          <w:lang w:eastAsia="ja-JP"/>
        </w:rPr>
        <w:t xml:space="preserve"> </w:t>
      </w:r>
      <w:r>
        <w:rPr>
          <w:lang w:eastAsia="ja-JP"/>
        </w:rPr>
        <w:t>studies,</w:t>
      </w:r>
      <w:r w:rsidR="000159A6">
        <w:rPr>
          <w:lang w:eastAsia="ja-JP"/>
        </w:rPr>
        <w:t xml:space="preserve"> </w:t>
      </w:r>
      <w:r>
        <w:rPr>
          <w:lang w:eastAsia="ja-JP"/>
        </w:rPr>
        <w:t>results</w:t>
      </w:r>
      <w:r w:rsidR="000159A6">
        <w:rPr>
          <w:lang w:eastAsia="ja-JP"/>
        </w:rPr>
        <w:t xml:space="preserve"> </w:t>
      </w:r>
      <w:r>
        <w:rPr>
          <w:lang w:eastAsia="ja-JP"/>
        </w:rPr>
        <w:t>were</w:t>
      </w:r>
      <w:r w:rsidR="000159A6">
        <w:rPr>
          <w:lang w:eastAsia="ja-JP"/>
        </w:rPr>
        <w:t xml:space="preserve"> </w:t>
      </w:r>
      <w:r>
        <w:rPr>
          <w:lang w:eastAsia="ja-JP"/>
        </w:rPr>
        <w:t>consistent</w:t>
      </w:r>
      <w:r w:rsidR="000159A6">
        <w:rPr>
          <w:lang w:eastAsia="ja-JP"/>
        </w:rPr>
        <w:t xml:space="preserve"> </w:t>
      </w:r>
      <w:r>
        <w:rPr>
          <w:lang w:eastAsia="ja-JP"/>
        </w:rPr>
        <w:t>across</w:t>
      </w:r>
      <w:r w:rsidR="000159A6">
        <w:rPr>
          <w:lang w:eastAsia="ja-JP"/>
        </w:rPr>
        <w:t xml:space="preserve"> </w:t>
      </w:r>
      <w:r>
        <w:rPr>
          <w:lang w:eastAsia="ja-JP"/>
        </w:rPr>
        <w:t>geographic</w:t>
      </w:r>
      <w:r w:rsidR="000159A6">
        <w:rPr>
          <w:lang w:eastAsia="ja-JP"/>
        </w:rPr>
        <w:t xml:space="preserve"> </w:t>
      </w:r>
      <w:r>
        <w:rPr>
          <w:lang w:eastAsia="ja-JP"/>
        </w:rPr>
        <w:t>regions</w:t>
      </w:r>
      <w:r w:rsidR="000159A6">
        <w:rPr>
          <w:lang w:eastAsia="ja-JP"/>
        </w:rPr>
        <w:t xml:space="preserve"> </w:t>
      </w:r>
      <w:r>
        <w:rPr>
          <w:lang w:eastAsia="ja-JP"/>
        </w:rPr>
        <w:t>and</w:t>
      </w:r>
      <w:r w:rsidR="000159A6">
        <w:rPr>
          <w:lang w:eastAsia="ja-JP"/>
        </w:rPr>
        <w:t xml:space="preserve"> </w:t>
      </w:r>
      <w:r>
        <w:rPr>
          <w:lang w:eastAsia="ja-JP"/>
        </w:rPr>
        <w:t>gender</w:t>
      </w:r>
      <w:r w:rsidR="000159A6">
        <w:rPr>
          <w:lang w:eastAsia="ja-JP"/>
        </w:rPr>
        <w:t xml:space="preserve"> </w:t>
      </w:r>
      <w:r>
        <w:rPr>
          <w:lang w:eastAsia="ja-JP"/>
        </w:rPr>
        <w:t>and</w:t>
      </w:r>
      <w:r w:rsidR="000159A6">
        <w:rPr>
          <w:lang w:eastAsia="ja-JP"/>
        </w:rPr>
        <w:t xml:space="preserve"> </w:t>
      </w:r>
      <w:r>
        <w:rPr>
          <w:lang w:eastAsia="ja-JP"/>
        </w:rPr>
        <w:t>supported</w:t>
      </w:r>
      <w:r w:rsidR="000159A6">
        <w:rPr>
          <w:lang w:eastAsia="ja-JP"/>
        </w:rPr>
        <w:t xml:space="preserve"> </w:t>
      </w:r>
      <w:r>
        <w:rPr>
          <w:lang w:eastAsia="ja-JP"/>
        </w:rPr>
        <w:t>by</w:t>
      </w:r>
      <w:r w:rsidR="000159A6">
        <w:rPr>
          <w:lang w:eastAsia="ja-JP"/>
        </w:rPr>
        <w:t xml:space="preserve"> </w:t>
      </w:r>
      <w:r>
        <w:rPr>
          <w:lang w:eastAsia="ja-JP"/>
        </w:rPr>
        <w:t>sensitivity</w:t>
      </w:r>
      <w:r w:rsidR="000159A6">
        <w:rPr>
          <w:lang w:eastAsia="ja-JP"/>
        </w:rPr>
        <w:t xml:space="preserve"> </w:t>
      </w:r>
      <w:r>
        <w:rPr>
          <w:lang w:eastAsia="ja-JP"/>
        </w:rPr>
        <w:t>analyses.</w:t>
      </w:r>
    </w:p>
    <w:p w14:paraId="7D661C1A" w14:textId="3943D587" w:rsidR="001F6DEC" w:rsidRDefault="001F6DEC" w:rsidP="001F6DEC">
      <w:pPr>
        <w:rPr>
          <w:lang w:eastAsia="ja-JP"/>
        </w:rPr>
      </w:pPr>
      <w:r>
        <w:rPr>
          <w:lang w:eastAsia="ja-JP"/>
        </w:rPr>
        <w:t>There</w:t>
      </w:r>
      <w:r w:rsidR="000159A6">
        <w:rPr>
          <w:lang w:eastAsia="ja-JP"/>
        </w:rPr>
        <w:t xml:space="preserve"> </w:t>
      </w:r>
      <w:r>
        <w:rPr>
          <w:lang w:eastAsia="ja-JP"/>
        </w:rPr>
        <w:t>were</w:t>
      </w:r>
      <w:r w:rsidR="000159A6">
        <w:rPr>
          <w:lang w:eastAsia="ja-JP"/>
        </w:rPr>
        <w:t xml:space="preserve"> </w:t>
      </w:r>
      <w:r>
        <w:rPr>
          <w:lang w:eastAsia="ja-JP"/>
        </w:rPr>
        <w:t>very</w:t>
      </w:r>
      <w:r w:rsidR="000159A6">
        <w:rPr>
          <w:lang w:eastAsia="ja-JP"/>
        </w:rPr>
        <w:t xml:space="preserve"> </w:t>
      </w:r>
      <w:r>
        <w:rPr>
          <w:lang w:eastAsia="ja-JP"/>
        </w:rPr>
        <w:t>few</w:t>
      </w:r>
      <w:r w:rsidR="000159A6">
        <w:rPr>
          <w:lang w:eastAsia="ja-JP"/>
        </w:rPr>
        <w:t xml:space="preserve"> </w:t>
      </w:r>
      <w:r>
        <w:rPr>
          <w:lang w:eastAsia="ja-JP"/>
        </w:rPr>
        <w:t>cases</w:t>
      </w:r>
      <w:r w:rsidR="000159A6">
        <w:rPr>
          <w:lang w:eastAsia="ja-JP"/>
        </w:rPr>
        <w:t xml:space="preserve"> </w:t>
      </w:r>
      <w:r>
        <w:rPr>
          <w:lang w:eastAsia="ja-JP"/>
        </w:rPr>
        <w:t>of</w:t>
      </w:r>
      <w:r w:rsidR="000159A6">
        <w:rPr>
          <w:lang w:eastAsia="ja-JP"/>
        </w:rPr>
        <w:t xml:space="preserve"> </w:t>
      </w:r>
      <w:r>
        <w:rPr>
          <w:lang w:eastAsia="ja-JP"/>
        </w:rPr>
        <w:t>HZ</w:t>
      </w:r>
      <w:r w:rsidR="000159A6">
        <w:rPr>
          <w:lang w:eastAsia="ja-JP"/>
        </w:rPr>
        <w:t xml:space="preserve"> </w:t>
      </w:r>
      <w:r>
        <w:rPr>
          <w:lang w:eastAsia="ja-JP"/>
        </w:rPr>
        <w:t>in</w:t>
      </w:r>
      <w:r w:rsidR="000159A6">
        <w:rPr>
          <w:lang w:eastAsia="ja-JP"/>
        </w:rPr>
        <w:t xml:space="preserve"> </w:t>
      </w:r>
      <w:r>
        <w:rPr>
          <w:lang w:eastAsia="ja-JP"/>
        </w:rPr>
        <w:t>vaccinated</w:t>
      </w:r>
      <w:r w:rsidR="000159A6">
        <w:rPr>
          <w:lang w:eastAsia="ja-JP"/>
        </w:rPr>
        <w:t xml:space="preserve"> </w:t>
      </w:r>
      <w:r>
        <w:rPr>
          <w:lang w:eastAsia="ja-JP"/>
        </w:rPr>
        <w:t>subjects</w:t>
      </w:r>
      <w:r w:rsidR="000159A6">
        <w:rPr>
          <w:lang w:eastAsia="ja-JP"/>
        </w:rPr>
        <w:t xml:space="preserve"> </w:t>
      </w:r>
      <w:r>
        <w:rPr>
          <w:lang w:eastAsia="ja-JP"/>
        </w:rPr>
        <w:t>and</w:t>
      </w:r>
      <w:r w:rsidR="000159A6">
        <w:rPr>
          <w:lang w:eastAsia="ja-JP"/>
        </w:rPr>
        <w:t xml:space="preserve"> </w:t>
      </w:r>
      <w:r>
        <w:rPr>
          <w:lang w:eastAsia="ja-JP"/>
        </w:rPr>
        <w:t>it</w:t>
      </w:r>
      <w:r w:rsidR="000159A6">
        <w:rPr>
          <w:lang w:eastAsia="ja-JP"/>
        </w:rPr>
        <w:t xml:space="preserve"> </w:t>
      </w:r>
      <w:r>
        <w:rPr>
          <w:lang w:eastAsia="ja-JP"/>
        </w:rPr>
        <w:t>would</w:t>
      </w:r>
      <w:r w:rsidR="000159A6">
        <w:rPr>
          <w:lang w:eastAsia="ja-JP"/>
        </w:rPr>
        <w:t xml:space="preserve"> </w:t>
      </w:r>
      <w:r>
        <w:rPr>
          <w:lang w:eastAsia="ja-JP"/>
        </w:rPr>
        <w:t>be</w:t>
      </w:r>
      <w:r w:rsidR="000159A6">
        <w:rPr>
          <w:lang w:eastAsia="ja-JP"/>
        </w:rPr>
        <w:t xml:space="preserve"> </w:t>
      </w:r>
      <w:r>
        <w:rPr>
          <w:lang w:eastAsia="ja-JP"/>
        </w:rPr>
        <w:t>worthwhile</w:t>
      </w:r>
      <w:r w:rsidR="000159A6">
        <w:rPr>
          <w:lang w:eastAsia="ja-JP"/>
        </w:rPr>
        <w:t xml:space="preserve"> </w:t>
      </w:r>
      <w:r>
        <w:rPr>
          <w:lang w:eastAsia="ja-JP"/>
        </w:rPr>
        <w:t>to</w:t>
      </w:r>
      <w:r w:rsidR="000159A6">
        <w:rPr>
          <w:lang w:eastAsia="ja-JP"/>
        </w:rPr>
        <w:t xml:space="preserve"> </w:t>
      </w:r>
      <w:r>
        <w:rPr>
          <w:lang w:eastAsia="ja-JP"/>
        </w:rPr>
        <w:t>understand</w:t>
      </w:r>
      <w:r w:rsidR="000159A6">
        <w:rPr>
          <w:lang w:eastAsia="ja-JP"/>
        </w:rPr>
        <w:t xml:space="preserve"> </w:t>
      </w:r>
      <w:r>
        <w:rPr>
          <w:lang w:eastAsia="ja-JP"/>
        </w:rPr>
        <w:t>if</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any</w:t>
      </w:r>
      <w:r w:rsidR="000159A6">
        <w:rPr>
          <w:lang w:eastAsia="ja-JP"/>
        </w:rPr>
        <w:t xml:space="preserve"> </w:t>
      </w:r>
      <w:r>
        <w:rPr>
          <w:lang w:eastAsia="ja-JP"/>
        </w:rPr>
        <w:t>features</w:t>
      </w:r>
      <w:r w:rsidR="000159A6">
        <w:rPr>
          <w:lang w:eastAsia="ja-JP"/>
        </w:rPr>
        <w:t xml:space="preserve"> </w:t>
      </w:r>
      <w:r>
        <w:rPr>
          <w:lang w:eastAsia="ja-JP"/>
        </w:rPr>
        <w:t>in</w:t>
      </w:r>
      <w:r w:rsidR="000159A6">
        <w:rPr>
          <w:lang w:eastAsia="ja-JP"/>
        </w:rPr>
        <w:t xml:space="preserve"> </w:t>
      </w:r>
      <w:r>
        <w:rPr>
          <w:lang w:eastAsia="ja-JP"/>
        </w:rPr>
        <w:t>these</w:t>
      </w:r>
      <w:r w:rsidR="000159A6">
        <w:rPr>
          <w:lang w:eastAsia="ja-JP"/>
        </w:rPr>
        <w:t xml:space="preserve"> </w:t>
      </w:r>
      <w:r>
        <w:rPr>
          <w:lang w:eastAsia="ja-JP"/>
        </w:rPr>
        <w:t>subjects</w:t>
      </w:r>
      <w:r w:rsidR="000159A6">
        <w:rPr>
          <w:lang w:eastAsia="ja-JP"/>
        </w:rPr>
        <w:t xml:space="preserve"> </w:t>
      </w:r>
      <w:r>
        <w:rPr>
          <w:lang w:eastAsia="ja-JP"/>
        </w:rPr>
        <w:t>such</w:t>
      </w:r>
      <w:r w:rsidR="000159A6">
        <w:rPr>
          <w:lang w:eastAsia="ja-JP"/>
        </w:rPr>
        <w:t xml:space="preserve"> </w:t>
      </w:r>
      <w:r>
        <w:rPr>
          <w:lang w:eastAsia="ja-JP"/>
        </w:rPr>
        <w:t>as</w:t>
      </w:r>
      <w:r w:rsidR="000159A6">
        <w:rPr>
          <w:lang w:eastAsia="ja-JP"/>
        </w:rPr>
        <w:t xml:space="preserve"> </w:t>
      </w:r>
      <w:r>
        <w:rPr>
          <w:lang w:eastAsia="ja-JP"/>
        </w:rPr>
        <w:t>baseline</w:t>
      </w:r>
      <w:r w:rsidR="000159A6">
        <w:rPr>
          <w:lang w:eastAsia="ja-JP"/>
        </w:rPr>
        <w:t xml:space="preserve"> </w:t>
      </w:r>
      <w:r>
        <w:rPr>
          <w:lang w:eastAsia="ja-JP"/>
        </w:rPr>
        <w:t>conditions</w:t>
      </w:r>
      <w:r w:rsidR="000159A6">
        <w:rPr>
          <w:lang w:eastAsia="ja-JP"/>
        </w:rPr>
        <w:t xml:space="preserve"> </w:t>
      </w:r>
      <w:r>
        <w:rPr>
          <w:lang w:eastAsia="ja-JP"/>
        </w:rPr>
        <w:t>and</w:t>
      </w:r>
      <w:r w:rsidR="000159A6">
        <w:rPr>
          <w:lang w:eastAsia="ja-JP"/>
        </w:rPr>
        <w:t xml:space="preserve"> </w:t>
      </w:r>
      <w:r>
        <w:rPr>
          <w:lang w:eastAsia="ja-JP"/>
        </w:rPr>
        <w:t>immunological</w:t>
      </w:r>
      <w:r w:rsidR="000159A6">
        <w:rPr>
          <w:lang w:eastAsia="ja-JP"/>
        </w:rPr>
        <w:t xml:space="preserve"> </w:t>
      </w:r>
      <w:r>
        <w:rPr>
          <w:lang w:eastAsia="ja-JP"/>
        </w:rPr>
        <w:t>results</w:t>
      </w:r>
      <w:r w:rsidR="000159A6">
        <w:rPr>
          <w:lang w:eastAsia="ja-JP"/>
        </w:rPr>
        <w:t xml:space="preserve"> </w:t>
      </w:r>
      <w:r>
        <w:rPr>
          <w:lang w:eastAsia="ja-JP"/>
        </w:rPr>
        <w:t>that</w:t>
      </w:r>
      <w:r w:rsidR="000159A6">
        <w:rPr>
          <w:lang w:eastAsia="ja-JP"/>
        </w:rPr>
        <w:t xml:space="preserve"> </w:t>
      </w:r>
      <w:r>
        <w:rPr>
          <w:lang w:eastAsia="ja-JP"/>
        </w:rPr>
        <w:t>could</w:t>
      </w:r>
      <w:r w:rsidR="000159A6">
        <w:rPr>
          <w:lang w:eastAsia="ja-JP"/>
        </w:rPr>
        <w:t xml:space="preserve"> </w:t>
      </w:r>
      <w:r>
        <w:rPr>
          <w:lang w:eastAsia="ja-JP"/>
        </w:rPr>
        <w:t>have</w:t>
      </w:r>
      <w:r w:rsidR="000159A6">
        <w:rPr>
          <w:lang w:eastAsia="ja-JP"/>
        </w:rPr>
        <w:t xml:space="preserve"> </w:t>
      </w:r>
      <w:r>
        <w:rPr>
          <w:lang w:eastAsia="ja-JP"/>
        </w:rPr>
        <w:t>explained</w:t>
      </w:r>
      <w:r w:rsidR="000159A6">
        <w:rPr>
          <w:lang w:eastAsia="ja-JP"/>
        </w:rPr>
        <w:t xml:space="preserve"> </w:t>
      </w:r>
      <w:r>
        <w:rPr>
          <w:lang w:eastAsia="ja-JP"/>
        </w:rPr>
        <w:t>the</w:t>
      </w:r>
      <w:r w:rsidR="000159A6">
        <w:rPr>
          <w:lang w:eastAsia="ja-JP"/>
        </w:rPr>
        <w:t xml:space="preserve"> </w:t>
      </w:r>
      <w:r>
        <w:rPr>
          <w:lang w:eastAsia="ja-JP"/>
        </w:rPr>
        <w:t>breakthrough.</w:t>
      </w:r>
    </w:p>
    <w:p w14:paraId="173C0842" w14:textId="2BAC9B1A" w:rsidR="001F6DEC" w:rsidRDefault="001F6DEC" w:rsidP="00541F41">
      <w:pPr>
        <w:rPr>
          <w:lang w:eastAsia="ja-JP"/>
        </w:rPr>
      </w:pPr>
      <w:r>
        <w:rPr>
          <w:lang w:eastAsia="ja-JP"/>
        </w:rPr>
        <w:t>Both</w:t>
      </w:r>
      <w:r w:rsidR="000159A6">
        <w:rPr>
          <w:lang w:eastAsia="ja-JP"/>
        </w:rPr>
        <w:t xml:space="preserve"> </w:t>
      </w:r>
      <w:r>
        <w:rPr>
          <w:lang w:eastAsia="ja-JP"/>
        </w:rPr>
        <w:t>studies</w:t>
      </w:r>
      <w:r w:rsidR="000159A6">
        <w:rPr>
          <w:lang w:eastAsia="ja-JP"/>
        </w:rPr>
        <w:t xml:space="preserve"> </w:t>
      </w:r>
      <w:r>
        <w:rPr>
          <w:lang w:eastAsia="ja-JP"/>
        </w:rPr>
        <w:t>demonstrated</w:t>
      </w:r>
      <w:r w:rsidR="000159A6">
        <w:rPr>
          <w:lang w:eastAsia="ja-JP"/>
        </w:rPr>
        <w:t xml:space="preserve"> </w:t>
      </w:r>
      <w:r>
        <w:rPr>
          <w:lang w:eastAsia="ja-JP"/>
        </w:rPr>
        <w:t>efficacy</w:t>
      </w:r>
      <w:r w:rsidR="000159A6">
        <w:rPr>
          <w:lang w:eastAsia="ja-JP"/>
        </w:rPr>
        <w:t xml:space="preserve"> </w:t>
      </w:r>
      <w:r>
        <w:rPr>
          <w:lang w:eastAsia="ja-JP"/>
        </w:rPr>
        <w:t>against</w:t>
      </w:r>
      <w:r w:rsidR="000159A6">
        <w:rPr>
          <w:lang w:eastAsia="ja-JP"/>
        </w:rPr>
        <w:t xml:space="preserve"> </w:t>
      </w:r>
      <w:r>
        <w:rPr>
          <w:lang w:eastAsia="ja-JP"/>
        </w:rPr>
        <w:t>PHN:</w:t>
      </w:r>
      <w:r w:rsidR="000159A6">
        <w:rPr>
          <w:lang w:eastAsia="ja-JP"/>
        </w:rPr>
        <w:t xml:space="preserve"> </w:t>
      </w:r>
      <w:r>
        <w:rPr>
          <w:lang w:eastAsia="ja-JP"/>
        </w:rPr>
        <w:t>100%</w:t>
      </w:r>
      <w:r w:rsidR="000159A6">
        <w:rPr>
          <w:lang w:eastAsia="ja-JP"/>
        </w:rPr>
        <w:t xml:space="preserve"> </w:t>
      </w:r>
      <w:r>
        <w:rPr>
          <w:lang w:eastAsia="ja-JP"/>
        </w:rPr>
        <w:t>in</w:t>
      </w:r>
      <w:r w:rsidR="000159A6">
        <w:rPr>
          <w:lang w:eastAsia="ja-JP"/>
        </w:rPr>
        <w:t xml:space="preserve"> </w:t>
      </w:r>
      <w:r w:rsidR="000D0435">
        <w:rPr>
          <w:lang w:eastAsia="ja-JP"/>
        </w:rPr>
        <w:t>Study</w:t>
      </w:r>
      <w:r w:rsidR="000159A6">
        <w:rPr>
          <w:lang w:eastAsia="ja-JP"/>
        </w:rPr>
        <w:t xml:space="preserve"> </w:t>
      </w:r>
      <w:r w:rsidR="000D0435">
        <w:rPr>
          <w:lang w:eastAsia="ja-JP"/>
        </w:rPr>
        <w:t>ZOSTER</w:t>
      </w:r>
      <w:r>
        <w:rPr>
          <w:lang w:eastAsia="ja-JP"/>
        </w:rPr>
        <w:t>-006</w:t>
      </w:r>
      <w:r w:rsidR="000159A6">
        <w:rPr>
          <w:lang w:eastAsia="ja-JP"/>
        </w:rPr>
        <w:t xml:space="preserve"> </w:t>
      </w:r>
      <w:r>
        <w:rPr>
          <w:lang w:eastAsia="ja-JP"/>
        </w:rPr>
        <w:t>and</w:t>
      </w:r>
      <w:r w:rsidR="000159A6">
        <w:rPr>
          <w:lang w:eastAsia="ja-JP"/>
        </w:rPr>
        <w:t xml:space="preserve"> </w:t>
      </w:r>
      <w:r>
        <w:rPr>
          <w:lang w:eastAsia="ja-JP"/>
        </w:rPr>
        <w:t>85.5%</w:t>
      </w:r>
      <w:r w:rsidR="000159A6">
        <w:rPr>
          <w:lang w:eastAsia="ja-JP"/>
        </w:rPr>
        <w:t xml:space="preserve"> </w:t>
      </w:r>
      <w:r>
        <w:rPr>
          <w:lang w:eastAsia="ja-JP"/>
        </w:rPr>
        <w:t>in</w:t>
      </w:r>
      <w:r w:rsidR="000159A6">
        <w:rPr>
          <w:lang w:eastAsia="ja-JP"/>
        </w:rPr>
        <w:t xml:space="preserve"> </w:t>
      </w:r>
      <w:r w:rsidR="000D0435">
        <w:rPr>
          <w:lang w:eastAsia="ja-JP"/>
        </w:rPr>
        <w:t>Study</w:t>
      </w:r>
      <w:r w:rsidR="000159A6">
        <w:rPr>
          <w:lang w:eastAsia="ja-JP"/>
        </w:rPr>
        <w:t xml:space="preserve"> </w:t>
      </w:r>
      <w:r w:rsidR="000D0435">
        <w:rPr>
          <w:lang w:eastAsia="ja-JP"/>
        </w:rPr>
        <w:t>ZOSTER</w:t>
      </w:r>
      <w:r>
        <w:rPr>
          <w:lang w:eastAsia="ja-JP"/>
        </w:rPr>
        <w:noBreakHyphen/>
        <w:t>022.</w:t>
      </w:r>
      <w:r w:rsidR="000159A6">
        <w:rPr>
          <w:lang w:eastAsia="ja-JP"/>
        </w:rPr>
        <w:t xml:space="preserve"> </w:t>
      </w:r>
      <w:r>
        <w:rPr>
          <w:lang w:eastAsia="ja-JP"/>
        </w:rPr>
        <w:t>In</w:t>
      </w:r>
      <w:r w:rsidR="000159A6">
        <w:rPr>
          <w:lang w:eastAsia="ja-JP"/>
        </w:rPr>
        <w:t xml:space="preserve"> </w:t>
      </w:r>
      <w:r w:rsidR="000D0435">
        <w:rPr>
          <w:lang w:eastAsia="ja-JP"/>
        </w:rPr>
        <w:t>Study</w:t>
      </w:r>
      <w:r w:rsidR="000159A6">
        <w:rPr>
          <w:lang w:eastAsia="ja-JP"/>
        </w:rPr>
        <w:t xml:space="preserve"> </w:t>
      </w:r>
      <w:r w:rsidR="000D0435">
        <w:rPr>
          <w:lang w:eastAsia="ja-JP"/>
        </w:rPr>
        <w:t>ZOSTER</w:t>
      </w:r>
      <w:r>
        <w:rPr>
          <w:lang w:eastAsia="ja-JP"/>
        </w:rPr>
        <w:t>-006</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PHN</w:t>
      </w:r>
      <w:r w:rsidR="000159A6">
        <w:rPr>
          <w:lang w:eastAsia="ja-JP"/>
        </w:rPr>
        <w:t xml:space="preserve"> </w:t>
      </w:r>
      <w:r>
        <w:rPr>
          <w:lang w:eastAsia="ja-JP"/>
        </w:rPr>
        <w:t>cases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group</w:t>
      </w:r>
      <w:r w:rsidR="000159A6">
        <w:rPr>
          <w:lang w:eastAsia="ja-JP"/>
        </w:rPr>
        <w:t xml:space="preserve"> </w:t>
      </w:r>
      <w:r>
        <w:rPr>
          <w:lang w:eastAsia="ja-JP"/>
        </w:rPr>
        <w:t>and</w:t>
      </w:r>
      <w:r w:rsidR="000159A6">
        <w:rPr>
          <w:lang w:eastAsia="ja-JP"/>
        </w:rPr>
        <w:t xml:space="preserve"> </w:t>
      </w:r>
      <w:r>
        <w:rPr>
          <w:lang w:eastAsia="ja-JP"/>
        </w:rPr>
        <w:t>18</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placebo</w:t>
      </w:r>
      <w:r w:rsidR="000159A6">
        <w:rPr>
          <w:lang w:eastAsia="ja-JP"/>
        </w:rPr>
        <w:t xml:space="preserve"> </w:t>
      </w:r>
      <w:r>
        <w:rPr>
          <w:lang w:eastAsia="ja-JP"/>
        </w:rPr>
        <w:t>group.</w:t>
      </w:r>
      <w:r w:rsidR="000159A6">
        <w:rPr>
          <w:lang w:eastAsia="ja-JP"/>
        </w:rPr>
        <w:t xml:space="preserve"> </w:t>
      </w:r>
      <w:r>
        <w:rPr>
          <w:lang w:eastAsia="ja-JP"/>
        </w:rPr>
        <w:t>In</w:t>
      </w:r>
      <w:r w:rsidR="000159A6">
        <w:rPr>
          <w:lang w:eastAsia="ja-JP"/>
        </w:rPr>
        <w:t xml:space="preserve"> </w:t>
      </w:r>
      <w:r w:rsidR="000D0435">
        <w:rPr>
          <w:lang w:eastAsia="ja-JP"/>
        </w:rPr>
        <w:t>Study</w:t>
      </w:r>
      <w:r w:rsidR="000159A6">
        <w:rPr>
          <w:lang w:eastAsia="ja-JP"/>
        </w:rPr>
        <w:t xml:space="preserve"> </w:t>
      </w:r>
      <w:r w:rsidR="000D0435">
        <w:rPr>
          <w:lang w:eastAsia="ja-JP"/>
        </w:rPr>
        <w:t>ZOSTER</w:t>
      </w:r>
      <w:r>
        <w:rPr>
          <w:lang w:eastAsia="ja-JP"/>
        </w:rPr>
        <w:t>-022,</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4</w:t>
      </w:r>
      <w:r w:rsidR="000159A6">
        <w:rPr>
          <w:lang w:eastAsia="ja-JP"/>
        </w:rPr>
        <w:t xml:space="preserve"> </w:t>
      </w:r>
      <w:r>
        <w:rPr>
          <w:lang w:eastAsia="ja-JP"/>
        </w:rPr>
        <w:t>and</w:t>
      </w:r>
      <w:r w:rsidR="000159A6">
        <w:rPr>
          <w:lang w:eastAsia="ja-JP"/>
        </w:rPr>
        <w:t xml:space="preserve"> </w:t>
      </w:r>
      <w:r>
        <w:rPr>
          <w:lang w:eastAsia="ja-JP"/>
        </w:rPr>
        <w:t>28</w:t>
      </w:r>
      <w:r w:rsidR="000159A6">
        <w:rPr>
          <w:lang w:eastAsia="ja-JP"/>
        </w:rPr>
        <w:t xml:space="preserve"> </w:t>
      </w:r>
      <w:r>
        <w:rPr>
          <w:lang w:eastAsia="ja-JP"/>
        </w:rPr>
        <w:t>cases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respective</w:t>
      </w:r>
      <w:r w:rsidR="000159A6">
        <w:rPr>
          <w:lang w:eastAsia="ja-JP"/>
        </w:rPr>
        <w:t xml:space="preserve"> </w:t>
      </w:r>
      <w:r>
        <w:rPr>
          <w:lang w:eastAsia="ja-JP"/>
        </w:rPr>
        <w:t>groups,</w:t>
      </w:r>
      <w:r w:rsidR="000159A6">
        <w:rPr>
          <w:lang w:eastAsia="ja-JP"/>
        </w:rPr>
        <w:t xml:space="preserve"> </w:t>
      </w:r>
      <w:r>
        <w:rPr>
          <w:lang w:eastAsia="ja-JP"/>
        </w:rPr>
        <w:t>with</w:t>
      </w:r>
      <w:r w:rsidR="000159A6">
        <w:rPr>
          <w:lang w:eastAsia="ja-JP"/>
        </w:rPr>
        <w:t xml:space="preserve"> </w:t>
      </w:r>
      <w:r>
        <w:rPr>
          <w:lang w:eastAsia="ja-JP"/>
        </w:rPr>
        <w:t>an</w:t>
      </w:r>
      <w:r w:rsidR="000159A6">
        <w:rPr>
          <w:lang w:eastAsia="ja-JP"/>
        </w:rPr>
        <w:t xml:space="preserve"> </w:t>
      </w:r>
      <w:r>
        <w:rPr>
          <w:lang w:eastAsia="ja-JP"/>
        </w:rPr>
        <w:t>incidence</w:t>
      </w:r>
      <w:r w:rsidR="000159A6">
        <w:rPr>
          <w:lang w:eastAsia="ja-JP"/>
        </w:rPr>
        <w:t xml:space="preserve"> </w:t>
      </w:r>
      <w:r>
        <w:rPr>
          <w:lang w:eastAsia="ja-JP"/>
        </w:rPr>
        <w:t>of</w:t>
      </w:r>
      <w:r w:rsidR="000159A6">
        <w:rPr>
          <w:lang w:eastAsia="ja-JP"/>
        </w:rPr>
        <w:t xml:space="preserve"> </w:t>
      </w:r>
      <w:r>
        <w:rPr>
          <w:lang w:eastAsia="ja-JP"/>
        </w:rPr>
        <w:t>0.2</w:t>
      </w:r>
      <w:r w:rsidR="000159A6">
        <w:rPr>
          <w:lang w:eastAsia="ja-JP"/>
        </w:rPr>
        <w:t xml:space="preserve"> </w:t>
      </w:r>
      <w:r>
        <w:rPr>
          <w:lang w:eastAsia="ja-JP"/>
        </w:rPr>
        <w:t>and</w:t>
      </w:r>
      <w:r w:rsidR="000159A6">
        <w:rPr>
          <w:lang w:eastAsia="ja-JP"/>
        </w:rPr>
        <w:t xml:space="preserve"> </w:t>
      </w:r>
      <w:r>
        <w:rPr>
          <w:lang w:eastAsia="ja-JP"/>
        </w:rPr>
        <w:t>1.1</w:t>
      </w:r>
      <w:r w:rsidR="000159A6">
        <w:rPr>
          <w:lang w:eastAsia="ja-JP"/>
        </w:rPr>
        <w:t xml:space="preserve"> </w:t>
      </w:r>
      <w:r>
        <w:rPr>
          <w:lang w:eastAsia="ja-JP"/>
        </w:rPr>
        <w:t>per</w:t>
      </w:r>
      <w:r w:rsidR="000159A6">
        <w:rPr>
          <w:lang w:eastAsia="ja-JP"/>
        </w:rPr>
        <w:t xml:space="preserve"> </w:t>
      </w:r>
      <w:r>
        <w:rPr>
          <w:lang w:eastAsia="ja-JP"/>
        </w:rPr>
        <w:t>1000</w:t>
      </w:r>
      <w:r w:rsidR="000159A6">
        <w:rPr>
          <w:lang w:eastAsia="ja-JP"/>
        </w:rPr>
        <w:t xml:space="preserve"> </w:t>
      </w:r>
      <w:r>
        <w:rPr>
          <w:lang w:eastAsia="ja-JP"/>
        </w:rPr>
        <w:t>person-years.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pooled</w:t>
      </w:r>
      <w:r w:rsidR="000159A6">
        <w:rPr>
          <w:lang w:eastAsia="ja-JP"/>
        </w:rPr>
        <w:t xml:space="preserve"> </w:t>
      </w:r>
      <w:r>
        <w:rPr>
          <w:lang w:eastAsia="ja-JP"/>
        </w:rPr>
        <w:t>analysis</w:t>
      </w:r>
      <w:r w:rsidR="000159A6">
        <w:rPr>
          <w:lang w:eastAsia="ja-JP"/>
        </w:rPr>
        <w:t xml:space="preserve"> </w:t>
      </w:r>
      <w:r>
        <w:rPr>
          <w:lang w:eastAsia="ja-JP"/>
        </w:rPr>
        <w:t>for</w:t>
      </w:r>
      <w:r w:rsidR="000159A6">
        <w:rPr>
          <w:lang w:eastAsia="ja-JP"/>
        </w:rPr>
        <w:t xml:space="preserve"> </w:t>
      </w:r>
      <w:r>
        <w:rPr>
          <w:lang w:eastAsia="ja-JP"/>
        </w:rPr>
        <w:t>those</w:t>
      </w:r>
      <w:r w:rsidR="000159A6">
        <w:rPr>
          <w:lang w:eastAsia="ja-JP"/>
        </w:rPr>
        <w:t xml:space="preserve"> </w:t>
      </w:r>
      <w:r>
        <w:rPr>
          <w:lang w:eastAsia="ja-JP"/>
        </w:rPr>
        <w:t>aged</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and</w:t>
      </w:r>
      <w:r w:rsidR="000159A6">
        <w:rPr>
          <w:lang w:eastAsia="ja-JP"/>
        </w:rPr>
        <w:t xml:space="preserve"> </w:t>
      </w:r>
      <w:r>
        <w:rPr>
          <w:lang w:eastAsia="ja-JP"/>
        </w:rPr>
        <w:t>over,</w:t>
      </w:r>
      <w:r w:rsidR="000159A6">
        <w:rPr>
          <w:lang w:eastAsia="ja-JP"/>
        </w:rPr>
        <w:t xml:space="preserve"> </w:t>
      </w:r>
      <w:r>
        <w:rPr>
          <w:lang w:eastAsia="ja-JP"/>
        </w:rPr>
        <w:t>VE</w:t>
      </w:r>
      <w:r w:rsidR="000159A6">
        <w:rPr>
          <w:lang w:eastAsia="ja-JP"/>
        </w:rPr>
        <w:t xml:space="preserve"> </w:t>
      </w:r>
      <w:r>
        <w:rPr>
          <w:lang w:eastAsia="ja-JP"/>
        </w:rPr>
        <w:t>against</w:t>
      </w:r>
      <w:r w:rsidR="000159A6">
        <w:rPr>
          <w:lang w:eastAsia="ja-JP"/>
        </w:rPr>
        <w:t xml:space="preserve"> </w:t>
      </w:r>
      <w:r>
        <w:rPr>
          <w:lang w:eastAsia="ja-JP"/>
        </w:rPr>
        <w:t>PHN</w:t>
      </w:r>
      <w:r w:rsidR="000159A6">
        <w:rPr>
          <w:lang w:eastAsia="ja-JP"/>
        </w:rPr>
        <w:t xml:space="preserve"> </w:t>
      </w:r>
      <w:r>
        <w:rPr>
          <w:lang w:eastAsia="ja-JP"/>
        </w:rPr>
        <w:t>was</w:t>
      </w:r>
      <w:r w:rsidR="000159A6">
        <w:rPr>
          <w:lang w:eastAsia="ja-JP"/>
        </w:rPr>
        <w:t xml:space="preserve"> </w:t>
      </w:r>
      <w:r>
        <w:rPr>
          <w:lang w:eastAsia="ja-JP"/>
        </w:rPr>
        <w:t>88.9%</w:t>
      </w:r>
      <w:r w:rsidR="000159A6">
        <w:t xml:space="preserve"> </w:t>
      </w:r>
      <w:r>
        <w:t>(95%</w:t>
      </w:r>
      <w:r w:rsidR="000159A6">
        <w:t xml:space="preserve"> </w:t>
      </w:r>
      <w:r>
        <w:t>CI:</w:t>
      </w:r>
      <w:r w:rsidR="000159A6">
        <w:t xml:space="preserve"> </w:t>
      </w:r>
      <w:r>
        <w:t>68.7</w:t>
      </w:r>
      <w:r w:rsidR="000159A6">
        <w:t xml:space="preserve"> </w:t>
      </w:r>
      <w:r>
        <w:t>to</w:t>
      </w:r>
      <w:r w:rsidR="000159A6">
        <w:t xml:space="preserve"> </w:t>
      </w:r>
      <w:r w:rsidRPr="00D96912">
        <w:t>97.1%</w:t>
      </w:r>
      <w:r>
        <w:t>).</w:t>
      </w:r>
      <w:r w:rsidR="000159A6">
        <w:t xml:space="preserve"> </w:t>
      </w:r>
      <w:r>
        <w:t>The</w:t>
      </w:r>
      <w:r w:rsidR="000159A6">
        <w:t xml:space="preserve"> </w:t>
      </w:r>
      <w:r>
        <w:t>impact</w:t>
      </w:r>
      <w:r w:rsidR="000159A6">
        <w:t xml:space="preserve"> </w:t>
      </w:r>
      <w:r>
        <w:t>of</w:t>
      </w:r>
      <w:r w:rsidR="000159A6">
        <w:t xml:space="preserve"> </w:t>
      </w:r>
      <w:r>
        <w:t>the</w:t>
      </w:r>
      <w:r w:rsidR="000159A6">
        <w:t xml:space="preserve"> </w:t>
      </w:r>
      <w:r>
        <w:t>definition</w:t>
      </w:r>
      <w:r w:rsidR="000159A6">
        <w:t xml:space="preserve"> </w:t>
      </w:r>
      <w:r>
        <w:t>used</w:t>
      </w:r>
      <w:r w:rsidR="000159A6">
        <w:t xml:space="preserve"> </w:t>
      </w:r>
      <w:r>
        <w:t>for</w:t>
      </w:r>
      <w:r w:rsidR="000159A6">
        <w:t xml:space="preserve"> </w:t>
      </w:r>
      <w:r>
        <w:t>PHN</w:t>
      </w:r>
      <w:r w:rsidR="000159A6">
        <w:t xml:space="preserve"> </w:t>
      </w:r>
      <w:r>
        <w:t>has</w:t>
      </w:r>
      <w:r w:rsidR="000159A6">
        <w:t xml:space="preserve"> </w:t>
      </w:r>
      <w:r>
        <w:t>been</w:t>
      </w:r>
      <w:r w:rsidR="000159A6">
        <w:t xml:space="preserve"> </w:t>
      </w:r>
      <w:r>
        <w:t>questioned.</w:t>
      </w:r>
      <w:r w:rsidR="000159A6">
        <w:rPr>
          <w:lang w:eastAsia="ja-JP"/>
        </w:rPr>
        <w:t xml:space="preserve"> </w:t>
      </w:r>
      <w:r w:rsidRPr="00007D6B">
        <w:rPr>
          <w:lang w:eastAsia="ja-JP"/>
        </w:rPr>
        <w:t>For</w:t>
      </w:r>
      <w:r w:rsidR="000159A6">
        <w:rPr>
          <w:lang w:eastAsia="ja-JP"/>
        </w:rPr>
        <w:t xml:space="preserve"> </w:t>
      </w:r>
      <w:r w:rsidRPr="00007D6B">
        <w:rPr>
          <w:lang w:eastAsia="ja-JP"/>
        </w:rPr>
        <w:t>those</w:t>
      </w:r>
      <w:r w:rsidR="000159A6">
        <w:rPr>
          <w:lang w:eastAsia="ja-JP"/>
        </w:rPr>
        <w:t xml:space="preserve"> </w:t>
      </w:r>
      <w:r w:rsidRPr="00007D6B">
        <w:rPr>
          <w:lang w:eastAsia="ja-JP"/>
        </w:rPr>
        <w:t>with</w:t>
      </w:r>
      <w:r w:rsidR="000159A6">
        <w:rPr>
          <w:lang w:eastAsia="ja-JP"/>
        </w:rPr>
        <w:t xml:space="preserve"> </w:t>
      </w:r>
      <w:r w:rsidRPr="00007D6B">
        <w:rPr>
          <w:lang w:eastAsia="ja-JP"/>
        </w:rPr>
        <w:t>HZ,</w:t>
      </w:r>
      <w:r w:rsidR="000159A6">
        <w:rPr>
          <w:lang w:eastAsia="ja-JP"/>
        </w:rPr>
        <w:t xml:space="preserve"> </w:t>
      </w:r>
      <w:r w:rsidRPr="00007D6B">
        <w:rPr>
          <w:lang w:eastAsia="ja-JP"/>
        </w:rPr>
        <w:t>there</w:t>
      </w:r>
      <w:r w:rsidR="000159A6">
        <w:rPr>
          <w:lang w:eastAsia="ja-JP"/>
        </w:rPr>
        <w:t xml:space="preserve"> </w:t>
      </w:r>
      <w:r w:rsidRPr="00007D6B">
        <w:rPr>
          <w:lang w:eastAsia="ja-JP"/>
        </w:rPr>
        <w:t>was</w:t>
      </w:r>
      <w:r w:rsidR="000159A6">
        <w:rPr>
          <w:lang w:eastAsia="ja-JP"/>
        </w:rPr>
        <w:t xml:space="preserve"> </w:t>
      </w:r>
      <w:r w:rsidRPr="00007D6B">
        <w:rPr>
          <w:lang w:eastAsia="ja-JP"/>
        </w:rPr>
        <w:t>no</w:t>
      </w:r>
      <w:r w:rsidR="000159A6">
        <w:rPr>
          <w:lang w:eastAsia="ja-JP"/>
        </w:rPr>
        <w:t xml:space="preserve"> </w:t>
      </w:r>
      <w:r w:rsidRPr="00007D6B">
        <w:rPr>
          <w:lang w:eastAsia="ja-JP"/>
        </w:rPr>
        <w:t>significant</w:t>
      </w:r>
      <w:r w:rsidR="000159A6">
        <w:rPr>
          <w:lang w:eastAsia="ja-JP"/>
        </w:rPr>
        <w:t xml:space="preserve"> </w:t>
      </w:r>
      <w:r w:rsidRPr="00007D6B">
        <w:rPr>
          <w:lang w:eastAsia="ja-JP"/>
        </w:rPr>
        <w:t>reduction</w:t>
      </w:r>
      <w:r w:rsidR="000159A6">
        <w:rPr>
          <w:lang w:eastAsia="ja-JP"/>
        </w:rPr>
        <w:t xml:space="preserve"> </w:t>
      </w:r>
      <w:r w:rsidRPr="00007D6B">
        <w:rPr>
          <w:lang w:eastAsia="ja-JP"/>
        </w:rPr>
        <w:t>in</w:t>
      </w:r>
      <w:r w:rsidR="000159A6">
        <w:rPr>
          <w:lang w:eastAsia="ja-JP"/>
        </w:rPr>
        <w:t xml:space="preserve"> </w:t>
      </w:r>
      <w:r w:rsidRPr="00007D6B">
        <w:rPr>
          <w:lang w:eastAsia="ja-JP"/>
        </w:rPr>
        <w:t>the</w:t>
      </w:r>
      <w:r w:rsidR="000159A6">
        <w:rPr>
          <w:lang w:eastAsia="ja-JP"/>
        </w:rPr>
        <w:t xml:space="preserve"> </w:t>
      </w:r>
      <w:r w:rsidRPr="00007D6B">
        <w:rPr>
          <w:lang w:eastAsia="ja-JP"/>
        </w:rPr>
        <w:t>incidence</w:t>
      </w:r>
      <w:r w:rsidR="000159A6">
        <w:rPr>
          <w:lang w:eastAsia="ja-JP"/>
        </w:rPr>
        <w:t xml:space="preserve"> </w:t>
      </w:r>
      <w:r w:rsidRPr="00007D6B">
        <w:rPr>
          <w:lang w:eastAsia="ja-JP"/>
        </w:rPr>
        <w:t>of</w:t>
      </w:r>
      <w:r w:rsidR="000159A6">
        <w:rPr>
          <w:lang w:eastAsia="ja-JP"/>
        </w:rPr>
        <w:t xml:space="preserve"> </w:t>
      </w:r>
      <w:r w:rsidRPr="00007D6B">
        <w:rPr>
          <w:lang w:eastAsia="ja-JP"/>
        </w:rPr>
        <w:t>PHN</w:t>
      </w:r>
      <w:r w:rsidR="000159A6">
        <w:rPr>
          <w:lang w:eastAsia="ja-JP"/>
        </w:rPr>
        <w:t xml:space="preserve"> </w:t>
      </w:r>
      <w:r w:rsidRPr="00007D6B">
        <w:rPr>
          <w:lang w:eastAsia="ja-JP"/>
        </w:rPr>
        <w:t>(VE</w:t>
      </w:r>
      <w:r w:rsidR="000159A6">
        <w:rPr>
          <w:lang w:eastAsia="ja-JP"/>
        </w:rPr>
        <w:t xml:space="preserve"> </w:t>
      </w:r>
      <w:r w:rsidRPr="00007D6B">
        <w:rPr>
          <w:lang w:eastAsia="ja-JP"/>
        </w:rPr>
        <w:t>of</w:t>
      </w:r>
      <w:r w:rsidR="000159A6">
        <w:rPr>
          <w:lang w:eastAsia="ja-JP"/>
        </w:rPr>
        <w:t xml:space="preserve"> </w:t>
      </w:r>
      <w:r w:rsidRPr="00007D6B">
        <w:rPr>
          <w:lang w:eastAsia="ja-JP"/>
        </w:rPr>
        <w:t>0.29%</w:t>
      </w:r>
      <w:r>
        <w:rPr>
          <w:lang w:eastAsia="ja-JP"/>
        </w:rPr>
        <w:t>,</w:t>
      </w:r>
      <w:r w:rsidR="000159A6">
        <w:rPr>
          <w:lang w:eastAsia="ja-JP"/>
        </w:rPr>
        <w:t xml:space="preserve"> </w:t>
      </w:r>
      <w:r>
        <w:rPr>
          <w:lang w:eastAsia="ja-JP"/>
        </w:rPr>
        <w:t>95%</w:t>
      </w:r>
      <w:r w:rsidR="000159A6">
        <w:rPr>
          <w:lang w:eastAsia="ja-JP"/>
        </w:rPr>
        <w:t xml:space="preserve"> </w:t>
      </w:r>
      <w:r>
        <w:rPr>
          <w:lang w:eastAsia="ja-JP"/>
        </w:rPr>
        <w:t>CI:</w:t>
      </w:r>
      <w:r w:rsidR="000159A6">
        <w:rPr>
          <w:lang w:eastAsia="ja-JP"/>
        </w:rPr>
        <w:t xml:space="preserve"> </w:t>
      </w:r>
      <w:r w:rsidR="00392EF0">
        <w:rPr>
          <w:lang w:eastAsia="ja-JP"/>
        </w:rPr>
        <w:noBreakHyphen/>
      </w:r>
      <w:r>
        <w:rPr>
          <w:lang w:eastAsia="ja-JP"/>
        </w:rPr>
        <w:t>161.53%</w:t>
      </w:r>
      <w:r w:rsidR="000159A6">
        <w:rPr>
          <w:lang w:eastAsia="ja-JP"/>
        </w:rPr>
        <w:t xml:space="preserve"> </w:t>
      </w:r>
      <w:r>
        <w:rPr>
          <w:lang w:eastAsia="ja-JP"/>
        </w:rPr>
        <w:t>to</w:t>
      </w:r>
      <w:r w:rsidR="000159A6">
        <w:rPr>
          <w:lang w:eastAsia="ja-JP"/>
        </w:rPr>
        <w:t xml:space="preserve"> </w:t>
      </w:r>
      <w:r>
        <w:rPr>
          <w:lang w:eastAsia="ja-JP"/>
        </w:rPr>
        <w:t>65.57%)</w:t>
      </w:r>
      <w:r w:rsidR="000159A6">
        <w:rPr>
          <w:lang w:eastAsia="ja-JP"/>
        </w:rPr>
        <w:t xml:space="preserve"> </w:t>
      </w:r>
      <w:r>
        <w:rPr>
          <w:lang w:eastAsia="ja-JP"/>
        </w:rPr>
        <w:t>and</w:t>
      </w:r>
      <w:r w:rsidR="000159A6">
        <w:rPr>
          <w:lang w:eastAsia="ja-JP"/>
        </w:rPr>
        <w:t xml:space="preserve"> </w:t>
      </w:r>
      <w:r>
        <w:rPr>
          <w:lang w:eastAsia="ja-JP"/>
        </w:rPr>
        <w:t>so</w:t>
      </w:r>
      <w:r w:rsidR="000159A6">
        <w:rPr>
          <w:lang w:eastAsia="ja-JP"/>
        </w:rPr>
        <w:t xml:space="preserve"> </w:t>
      </w:r>
      <w:r>
        <w:rPr>
          <w:lang w:eastAsia="ja-JP"/>
        </w:rPr>
        <w:t>the</w:t>
      </w:r>
      <w:r w:rsidR="000159A6">
        <w:rPr>
          <w:lang w:eastAsia="ja-JP"/>
        </w:rPr>
        <w:t xml:space="preserve"> </w:t>
      </w:r>
      <w:r>
        <w:rPr>
          <w:lang w:eastAsia="ja-JP"/>
        </w:rPr>
        <w:t>vaccine</w:t>
      </w:r>
      <w:r w:rsidR="000159A6">
        <w:rPr>
          <w:lang w:eastAsia="ja-JP"/>
        </w:rPr>
        <w:t xml:space="preserve"> </w:t>
      </w:r>
      <w:r>
        <w:rPr>
          <w:lang w:eastAsia="ja-JP"/>
        </w:rPr>
        <w:t>efficacy</w:t>
      </w:r>
      <w:r w:rsidR="000159A6">
        <w:rPr>
          <w:lang w:eastAsia="ja-JP"/>
        </w:rPr>
        <w:t xml:space="preserve"> </w:t>
      </w:r>
      <w:r>
        <w:rPr>
          <w:lang w:eastAsia="ja-JP"/>
        </w:rPr>
        <w:t>in</w:t>
      </w:r>
      <w:r w:rsidR="000159A6">
        <w:rPr>
          <w:lang w:eastAsia="ja-JP"/>
        </w:rPr>
        <w:t xml:space="preserve"> </w:t>
      </w:r>
      <w:r>
        <w:rPr>
          <w:lang w:eastAsia="ja-JP"/>
        </w:rPr>
        <w:t>preventing</w:t>
      </w:r>
      <w:r w:rsidR="000159A6">
        <w:rPr>
          <w:lang w:eastAsia="ja-JP"/>
        </w:rPr>
        <w:t xml:space="preserve"> </w:t>
      </w:r>
      <w:r>
        <w:rPr>
          <w:lang w:eastAsia="ja-JP"/>
        </w:rPr>
        <w:t>PHN</w:t>
      </w:r>
      <w:r w:rsidR="000159A6">
        <w:rPr>
          <w:lang w:eastAsia="ja-JP"/>
        </w:rPr>
        <w:t xml:space="preserve"> </w:t>
      </w:r>
      <w:r>
        <w:rPr>
          <w:lang w:eastAsia="ja-JP"/>
        </w:rPr>
        <w:t>is</w:t>
      </w:r>
      <w:r w:rsidR="000159A6">
        <w:rPr>
          <w:lang w:eastAsia="ja-JP"/>
        </w:rPr>
        <w:t xml:space="preserve"> </w:t>
      </w:r>
      <w:r>
        <w:rPr>
          <w:lang w:eastAsia="ja-JP"/>
        </w:rPr>
        <w:t>likely</w:t>
      </w:r>
      <w:r w:rsidR="000159A6">
        <w:rPr>
          <w:lang w:eastAsia="ja-JP"/>
        </w:rPr>
        <w:t xml:space="preserve"> </w:t>
      </w:r>
      <w:r>
        <w:rPr>
          <w:lang w:eastAsia="ja-JP"/>
        </w:rPr>
        <w:t>due</w:t>
      </w:r>
      <w:r w:rsidR="000159A6">
        <w:rPr>
          <w:lang w:eastAsia="ja-JP"/>
        </w:rPr>
        <w:t xml:space="preserve"> </w:t>
      </w:r>
      <w:r>
        <w:rPr>
          <w:lang w:eastAsia="ja-JP"/>
        </w:rPr>
        <w:t>to</w:t>
      </w:r>
      <w:r w:rsidR="000159A6">
        <w:rPr>
          <w:lang w:eastAsia="ja-JP"/>
        </w:rPr>
        <w:t xml:space="preserve"> </w:t>
      </w:r>
      <w:r>
        <w:rPr>
          <w:lang w:eastAsia="ja-JP"/>
        </w:rPr>
        <w:t>its</w:t>
      </w:r>
      <w:r w:rsidR="000159A6">
        <w:rPr>
          <w:lang w:eastAsia="ja-JP"/>
        </w:rPr>
        <w:t xml:space="preserve"> </w:t>
      </w:r>
      <w:r>
        <w:rPr>
          <w:lang w:eastAsia="ja-JP"/>
        </w:rPr>
        <w:t>effect</w:t>
      </w:r>
      <w:r w:rsidR="000159A6">
        <w:rPr>
          <w:lang w:eastAsia="ja-JP"/>
        </w:rPr>
        <w:t xml:space="preserve"> </w:t>
      </w:r>
      <w:r>
        <w:rPr>
          <w:lang w:eastAsia="ja-JP"/>
        </w:rPr>
        <w:t>on</w:t>
      </w:r>
      <w:r w:rsidR="000159A6">
        <w:rPr>
          <w:lang w:eastAsia="ja-JP"/>
        </w:rPr>
        <w:t xml:space="preserve"> </w:t>
      </w:r>
      <w:r>
        <w:rPr>
          <w:lang w:eastAsia="ja-JP"/>
        </w:rPr>
        <w:t>HZ.</w:t>
      </w:r>
      <w:r w:rsidR="000159A6">
        <w:rPr>
          <w:lang w:eastAsia="ja-JP"/>
        </w:rPr>
        <w:t xml:space="preserve"> </w:t>
      </w:r>
      <w:r w:rsidRPr="00007D6B">
        <w:rPr>
          <w:lang w:eastAsia="ja-JP"/>
        </w:rPr>
        <w:t>The</w:t>
      </w:r>
      <w:r w:rsidR="000159A6">
        <w:rPr>
          <w:lang w:eastAsia="ja-JP"/>
        </w:rPr>
        <w:t xml:space="preserve"> </w:t>
      </w:r>
      <w:r w:rsidRPr="00007D6B">
        <w:rPr>
          <w:lang w:eastAsia="ja-JP"/>
        </w:rPr>
        <w:t>sponsor</w:t>
      </w:r>
      <w:r w:rsidR="000159A6">
        <w:rPr>
          <w:lang w:eastAsia="ja-JP"/>
        </w:rPr>
        <w:t xml:space="preserve"> </w:t>
      </w:r>
      <w:r w:rsidRPr="00007D6B">
        <w:rPr>
          <w:lang w:eastAsia="ja-JP"/>
        </w:rPr>
        <w:t>should</w:t>
      </w:r>
      <w:r w:rsidR="000159A6">
        <w:rPr>
          <w:lang w:eastAsia="ja-JP"/>
        </w:rPr>
        <w:t xml:space="preserve"> </w:t>
      </w:r>
      <w:r w:rsidRPr="00007D6B">
        <w:rPr>
          <w:lang w:eastAsia="ja-JP"/>
        </w:rPr>
        <w:t>comment</w:t>
      </w:r>
      <w:r w:rsidR="000159A6">
        <w:rPr>
          <w:lang w:eastAsia="ja-JP"/>
        </w:rPr>
        <w:t xml:space="preserve"> </w:t>
      </w:r>
      <w:r w:rsidRPr="00007D6B">
        <w:rPr>
          <w:lang w:eastAsia="ja-JP"/>
        </w:rPr>
        <w:t>on</w:t>
      </w:r>
      <w:r w:rsidR="000159A6">
        <w:rPr>
          <w:lang w:eastAsia="ja-JP"/>
        </w:rPr>
        <w:t xml:space="preserve"> </w:t>
      </w:r>
      <w:r w:rsidRPr="00007D6B">
        <w:rPr>
          <w:lang w:eastAsia="ja-JP"/>
        </w:rPr>
        <w:t>whether</w:t>
      </w:r>
      <w:r w:rsidR="000159A6">
        <w:rPr>
          <w:lang w:eastAsia="ja-JP"/>
        </w:rPr>
        <w:t xml:space="preserve"> </w:t>
      </w:r>
      <w:r w:rsidRPr="00007D6B">
        <w:rPr>
          <w:lang w:eastAsia="ja-JP"/>
        </w:rPr>
        <w:t>there</w:t>
      </w:r>
      <w:r w:rsidR="000159A6">
        <w:rPr>
          <w:lang w:eastAsia="ja-JP"/>
        </w:rPr>
        <w:t xml:space="preserve"> </w:t>
      </w:r>
      <w:r w:rsidRPr="00007D6B">
        <w:rPr>
          <w:lang w:eastAsia="ja-JP"/>
        </w:rPr>
        <w:t>could</w:t>
      </w:r>
      <w:r w:rsidR="000159A6">
        <w:rPr>
          <w:lang w:eastAsia="ja-JP"/>
        </w:rPr>
        <w:t xml:space="preserve"> </w:t>
      </w:r>
      <w:r w:rsidRPr="00007D6B">
        <w:rPr>
          <w:lang w:eastAsia="ja-JP"/>
        </w:rPr>
        <w:t>be</w:t>
      </w:r>
      <w:r w:rsidR="000159A6">
        <w:rPr>
          <w:lang w:eastAsia="ja-JP"/>
        </w:rPr>
        <w:t xml:space="preserve"> </w:t>
      </w:r>
      <w:r w:rsidRPr="00007D6B">
        <w:rPr>
          <w:lang w:eastAsia="ja-JP"/>
        </w:rPr>
        <w:t>an</w:t>
      </w:r>
      <w:r w:rsidR="000159A6">
        <w:rPr>
          <w:lang w:eastAsia="ja-JP"/>
        </w:rPr>
        <w:t xml:space="preserve"> </w:t>
      </w:r>
      <w:r w:rsidRPr="00007D6B">
        <w:rPr>
          <w:lang w:eastAsia="ja-JP"/>
        </w:rPr>
        <w:t>increased</w:t>
      </w:r>
      <w:r w:rsidR="000159A6">
        <w:rPr>
          <w:lang w:eastAsia="ja-JP"/>
        </w:rPr>
        <w:t xml:space="preserve"> </w:t>
      </w:r>
      <w:r w:rsidRPr="00007D6B">
        <w:rPr>
          <w:lang w:eastAsia="ja-JP"/>
        </w:rPr>
        <w:t>risk</w:t>
      </w:r>
      <w:r w:rsidR="000159A6">
        <w:rPr>
          <w:lang w:eastAsia="ja-JP"/>
        </w:rPr>
        <w:t xml:space="preserve"> </w:t>
      </w:r>
      <w:r w:rsidRPr="00007D6B">
        <w:rPr>
          <w:lang w:eastAsia="ja-JP"/>
        </w:rPr>
        <w:t>of</w:t>
      </w:r>
      <w:r w:rsidR="000159A6">
        <w:rPr>
          <w:lang w:eastAsia="ja-JP"/>
        </w:rPr>
        <w:t xml:space="preserve"> </w:t>
      </w:r>
      <w:r w:rsidRPr="00007D6B">
        <w:rPr>
          <w:lang w:eastAsia="ja-JP"/>
        </w:rPr>
        <w:t>PHN</w:t>
      </w:r>
      <w:r w:rsidR="000159A6">
        <w:rPr>
          <w:lang w:eastAsia="ja-JP"/>
        </w:rPr>
        <w:t xml:space="preserve"> </w:t>
      </w:r>
      <w:r w:rsidRPr="00007D6B">
        <w:rPr>
          <w:lang w:eastAsia="ja-JP"/>
        </w:rPr>
        <w:t>in</w:t>
      </w:r>
      <w:r w:rsidR="000159A6">
        <w:rPr>
          <w:lang w:eastAsia="ja-JP"/>
        </w:rPr>
        <w:t xml:space="preserve"> </w:t>
      </w:r>
      <w:r w:rsidRPr="00007D6B">
        <w:rPr>
          <w:lang w:eastAsia="ja-JP"/>
        </w:rPr>
        <w:t>those</w:t>
      </w:r>
      <w:r w:rsidR="000159A6">
        <w:rPr>
          <w:lang w:eastAsia="ja-JP"/>
        </w:rPr>
        <w:t xml:space="preserve"> </w:t>
      </w:r>
      <w:r w:rsidRPr="00007D6B">
        <w:rPr>
          <w:lang w:eastAsia="ja-JP"/>
        </w:rPr>
        <w:t>with</w:t>
      </w:r>
      <w:r w:rsidR="000159A6">
        <w:rPr>
          <w:lang w:eastAsia="ja-JP"/>
        </w:rPr>
        <w:t xml:space="preserve"> </w:t>
      </w:r>
      <w:r w:rsidRPr="00007D6B">
        <w:rPr>
          <w:lang w:eastAsia="ja-JP"/>
        </w:rPr>
        <w:t>HZ</w:t>
      </w:r>
      <w:r w:rsidR="000159A6">
        <w:rPr>
          <w:lang w:eastAsia="ja-JP"/>
        </w:rPr>
        <w:t xml:space="preserve"> </w:t>
      </w:r>
      <w:r w:rsidRPr="00007D6B">
        <w:rPr>
          <w:lang w:eastAsia="ja-JP"/>
        </w:rPr>
        <w:t>who</w:t>
      </w:r>
      <w:r w:rsidR="000159A6">
        <w:rPr>
          <w:lang w:eastAsia="ja-JP"/>
        </w:rPr>
        <w:t xml:space="preserve"> </w:t>
      </w:r>
      <w:r w:rsidRPr="00007D6B">
        <w:rPr>
          <w:lang w:eastAsia="ja-JP"/>
        </w:rPr>
        <w:t>had</w:t>
      </w:r>
      <w:r w:rsidR="000159A6">
        <w:rPr>
          <w:lang w:eastAsia="ja-JP"/>
        </w:rPr>
        <w:t xml:space="preserve"> </w:t>
      </w:r>
      <w:r w:rsidRPr="00007D6B">
        <w:rPr>
          <w:lang w:eastAsia="ja-JP"/>
        </w:rPr>
        <w:t>been</w:t>
      </w:r>
      <w:r w:rsidR="000159A6">
        <w:rPr>
          <w:lang w:eastAsia="ja-JP"/>
        </w:rPr>
        <w:t xml:space="preserve"> </w:t>
      </w:r>
      <w:r w:rsidRPr="00007D6B">
        <w:rPr>
          <w:lang w:eastAsia="ja-JP"/>
        </w:rPr>
        <w:t>vaccinated</w:t>
      </w:r>
      <w:r>
        <w:rPr>
          <w:lang w:eastAsia="ja-JP"/>
        </w:rPr>
        <w:t>.</w:t>
      </w:r>
    </w:p>
    <w:p w14:paraId="4619EF35" w14:textId="44196371" w:rsidR="001F6DEC" w:rsidRPr="00007D6B" w:rsidRDefault="001F6DEC" w:rsidP="001F6DEC">
      <w:pPr>
        <w:rPr>
          <w:lang w:eastAsia="ja-JP"/>
        </w:rPr>
      </w:pPr>
      <w:r>
        <w:rPr>
          <w:lang w:eastAsia="ja-JP"/>
        </w:rPr>
        <w:t>The</w:t>
      </w:r>
      <w:r w:rsidR="000159A6">
        <w:rPr>
          <w:lang w:eastAsia="ja-JP"/>
        </w:rPr>
        <w:t xml:space="preserve"> </w:t>
      </w:r>
      <w:r>
        <w:rPr>
          <w:lang w:eastAsia="ja-JP"/>
        </w:rPr>
        <w:t>high</w:t>
      </w:r>
      <w:r w:rsidR="000159A6">
        <w:rPr>
          <w:lang w:eastAsia="ja-JP"/>
        </w:rPr>
        <w:t xml:space="preserve"> </w:t>
      </w:r>
      <w:r>
        <w:rPr>
          <w:lang w:eastAsia="ja-JP"/>
        </w:rPr>
        <w:t>vaccine</w:t>
      </w:r>
      <w:r w:rsidR="000159A6">
        <w:rPr>
          <w:lang w:eastAsia="ja-JP"/>
        </w:rPr>
        <w:t xml:space="preserve"> </w:t>
      </w:r>
      <w:r>
        <w:rPr>
          <w:lang w:eastAsia="ja-JP"/>
        </w:rPr>
        <w:t>efficacy</w:t>
      </w:r>
      <w:r w:rsidR="000159A6">
        <w:rPr>
          <w:lang w:eastAsia="ja-JP"/>
        </w:rPr>
        <w:t xml:space="preserve"> </w:t>
      </w:r>
      <w:r w:rsidRPr="00007D6B">
        <w:rPr>
          <w:lang w:eastAsia="ja-JP"/>
        </w:rPr>
        <w:t>led</w:t>
      </w:r>
      <w:r w:rsidR="000159A6">
        <w:rPr>
          <w:lang w:eastAsia="ja-JP"/>
        </w:rPr>
        <w:t xml:space="preserve"> </w:t>
      </w:r>
      <w:r w:rsidRPr="00007D6B">
        <w:rPr>
          <w:lang w:eastAsia="ja-JP"/>
        </w:rPr>
        <w:t>to</w:t>
      </w:r>
      <w:r w:rsidR="000159A6">
        <w:rPr>
          <w:lang w:eastAsia="ja-JP"/>
        </w:rPr>
        <w:t xml:space="preserve"> </w:t>
      </w:r>
      <w:r w:rsidRPr="00007D6B">
        <w:rPr>
          <w:lang w:eastAsia="ja-JP"/>
        </w:rPr>
        <w:t>a</w:t>
      </w:r>
      <w:r w:rsidR="000159A6">
        <w:rPr>
          <w:lang w:eastAsia="ja-JP"/>
        </w:rPr>
        <w:t xml:space="preserve"> </w:t>
      </w:r>
      <w:r w:rsidRPr="00007D6B">
        <w:rPr>
          <w:lang w:eastAsia="ja-JP"/>
        </w:rPr>
        <w:t>small</w:t>
      </w:r>
      <w:r w:rsidR="000159A6">
        <w:rPr>
          <w:lang w:eastAsia="ja-JP"/>
        </w:rPr>
        <w:t xml:space="preserve"> </w:t>
      </w:r>
      <w:r w:rsidRPr="00007D6B">
        <w:rPr>
          <w:lang w:eastAsia="ja-JP"/>
        </w:rPr>
        <w:t>number</w:t>
      </w:r>
      <w:r w:rsidR="000159A6">
        <w:rPr>
          <w:lang w:eastAsia="ja-JP"/>
        </w:rPr>
        <w:t xml:space="preserve"> </w:t>
      </w:r>
      <w:r w:rsidRPr="00007D6B">
        <w:rPr>
          <w:lang w:eastAsia="ja-JP"/>
        </w:rPr>
        <w:t>of</w:t>
      </w:r>
      <w:r w:rsidR="000159A6">
        <w:rPr>
          <w:lang w:eastAsia="ja-JP"/>
        </w:rPr>
        <w:t xml:space="preserve"> </w:t>
      </w:r>
      <w:r w:rsidRPr="00007D6B">
        <w:rPr>
          <w:lang w:eastAsia="ja-JP"/>
        </w:rPr>
        <w:t>cases</w:t>
      </w:r>
      <w:r w:rsidR="000159A6">
        <w:rPr>
          <w:lang w:eastAsia="ja-JP"/>
        </w:rPr>
        <w:t xml:space="preserve"> </w:t>
      </w:r>
      <w:r w:rsidRPr="00007D6B">
        <w:rPr>
          <w:lang w:eastAsia="ja-JP"/>
        </w:rPr>
        <w:t>in</w:t>
      </w:r>
      <w:r w:rsidR="000159A6">
        <w:rPr>
          <w:lang w:eastAsia="ja-JP"/>
        </w:rPr>
        <w:t xml:space="preserve"> </w:t>
      </w:r>
      <w:r w:rsidRPr="00007D6B">
        <w:rPr>
          <w:lang w:eastAsia="ja-JP"/>
        </w:rPr>
        <w:t>the</w:t>
      </w:r>
      <w:r w:rsidR="000159A6">
        <w:rPr>
          <w:lang w:eastAsia="ja-JP"/>
        </w:rPr>
        <w:t xml:space="preserve"> </w:t>
      </w:r>
      <w:r w:rsidRPr="00007D6B">
        <w:rPr>
          <w:lang w:eastAsia="ja-JP"/>
        </w:rPr>
        <w:t>vaccinated</w:t>
      </w:r>
      <w:r w:rsidR="000159A6">
        <w:rPr>
          <w:lang w:eastAsia="ja-JP"/>
        </w:rPr>
        <w:t xml:space="preserve"> </w:t>
      </w:r>
      <w:r w:rsidRPr="00007D6B">
        <w:rPr>
          <w:lang w:eastAsia="ja-JP"/>
        </w:rPr>
        <w:t>group</w:t>
      </w:r>
      <w:r w:rsidR="000159A6">
        <w:rPr>
          <w:lang w:eastAsia="ja-JP"/>
        </w:rPr>
        <w:t xml:space="preserve"> </w:t>
      </w:r>
      <w:r w:rsidRPr="00007D6B">
        <w:rPr>
          <w:lang w:eastAsia="ja-JP"/>
        </w:rPr>
        <w:t>and</w:t>
      </w:r>
      <w:r w:rsidR="000159A6">
        <w:rPr>
          <w:lang w:eastAsia="ja-JP"/>
        </w:rPr>
        <w:t xml:space="preserve"> </w:t>
      </w:r>
      <w:r w:rsidRPr="00007D6B">
        <w:rPr>
          <w:lang w:eastAsia="ja-JP"/>
        </w:rPr>
        <w:t>therefore</w:t>
      </w:r>
      <w:r w:rsidR="000159A6">
        <w:rPr>
          <w:lang w:eastAsia="ja-JP"/>
        </w:rPr>
        <w:t xml:space="preserve"> </w:t>
      </w:r>
      <w:r w:rsidRPr="00007D6B">
        <w:rPr>
          <w:lang w:eastAsia="ja-JP"/>
        </w:rPr>
        <w:t>assessment</w:t>
      </w:r>
      <w:r w:rsidR="000159A6">
        <w:rPr>
          <w:lang w:eastAsia="ja-JP"/>
        </w:rPr>
        <w:t xml:space="preserve"> </w:t>
      </w:r>
      <w:r w:rsidRPr="00007D6B">
        <w:rPr>
          <w:lang w:eastAsia="ja-JP"/>
        </w:rPr>
        <w:t>of</w:t>
      </w:r>
      <w:r w:rsidR="000159A6">
        <w:rPr>
          <w:lang w:eastAsia="ja-JP"/>
        </w:rPr>
        <w:t xml:space="preserve"> </w:t>
      </w:r>
      <w:r w:rsidRPr="00007D6B">
        <w:rPr>
          <w:lang w:eastAsia="ja-JP"/>
        </w:rPr>
        <w:t>secondary</w:t>
      </w:r>
      <w:r w:rsidR="000159A6">
        <w:rPr>
          <w:lang w:eastAsia="ja-JP"/>
        </w:rPr>
        <w:t xml:space="preserve"> </w:t>
      </w:r>
      <w:r w:rsidRPr="00007D6B">
        <w:rPr>
          <w:lang w:eastAsia="ja-JP"/>
        </w:rPr>
        <w:t>endpoints</w:t>
      </w:r>
      <w:r w:rsidR="000159A6">
        <w:rPr>
          <w:lang w:eastAsia="ja-JP"/>
        </w:rPr>
        <w:t xml:space="preserve"> </w:t>
      </w:r>
      <w:r w:rsidRPr="00007D6B">
        <w:rPr>
          <w:lang w:eastAsia="ja-JP"/>
        </w:rPr>
        <w:t>was</w:t>
      </w:r>
      <w:r w:rsidR="000159A6">
        <w:rPr>
          <w:lang w:eastAsia="ja-JP"/>
        </w:rPr>
        <w:t xml:space="preserve"> </w:t>
      </w:r>
      <w:r w:rsidRPr="00007D6B">
        <w:rPr>
          <w:lang w:eastAsia="ja-JP"/>
        </w:rPr>
        <w:t>difficult.</w:t>
      </w:r>
    </w:p>
    <w:p w14:paraId="7247FE6F" w14:textId="3727CAA9" w:rsidR="001F6DEC" w:rsidRDefault="001F6DEC" w:rsidP="001F6DEC">
      <w:pPr>
        <w:rPr>
          <w:lang w:eastAsia="ja-JP"/>
        </w:rPr>
      </w:pPr>
      <w:r>
        <w:rPr>
          <w:lang w:eastAsia="ja-JP"/>
        </w:rPr>
        <w:t>Post-hoc</w:t>
      </w:r>
      <w:r w:rsidR="000159A6">
        <w:rPr>
          <w:lang w:eastAsia="ja-JP"/>
        </w:rPr>
        <w:t xml:space="preserve"> </w:t>
      </w:r>
      <w:r>
        <w:rPr>
          <w:lang w:eastAsia="ja-JP"/>
        </w:rPr>
        <w:t>analysis</w:t>
      </w:r>
      <w:r w:rsidR="000159A6">
        <w:rPr>
          <w:lang w:eastAsia="ja-JP"/>
        </w:rPr>
        <w:t xml:space="preserve"> </w:t>
      </w:r>
      <w:r>
        <w:rPr>
          <w:lang w:eastAsia="ja-JP"/>
        </w:rPr>
        <w:t>of</w:t>
      </w:r>
      <w:r w:rsidR="000159A6">
        <w:rPr>
          <w:lang w:eastAsia="ja-JP"/>
        </w:rPr>
        <w:t xml:space="preserve"> </w:t>
      </w:r>
      <w:r>
        <w:rPr>
          <w:lang w:eastAsia="ja-JP"/>
        </w:rPr>
        <w:t>pooled</w:t>
      </w:r>
      <w:r w:rsidR="000159A6">
        <w:rPr>
          <w:lang w:eastAsia="ja-JP"/>
        </w:rPr>
        <w:t xml:space="preserve"> </w:t>
      </w:r>
      <w:r>
        <w:rPr>
          <w:lang w:eastAsia="ja-JP"/>
        </w:rPr>
        <w:t>data</w:t>
      </w:r>
      <w:r w:rsidR="000159A6">
        <w:rPr>
          <w:lang w:eastAsia="ja-JP"/>
        </w:rPr>
        <w:t xml:space="preserve"> </w:t>
      </w:r>
      <w:r>
        <w:rPr>
          <w:lang w:eastAsia="ja-JP"/>
        </w:rPr>
        <w:t>reported</w:t>
      </w:r>
      <w:r w:rsidR="000159A6">
        <w:rPr>
          <w:lang w:eastAsia="ja-JP"/>
        </w:rPr>
        <w:t xml:space="preserve"> </w:t>
      </w:r>
      <w:r>
        <w:rPr>
          <w:lang w:eastAsia="ja-JP"/>
        </w:rPr>
        <w:t>high</w:t>
      </w:r>
      <w:r w:rsidR="000159A6">
        <w:rPr>
          <w:lang w:eastAsia="ja-JP"/>
        </w:rPr>
        <w:t xml:space="preserve"> </w:t>
      </w:r>
      <w:r>
        <w:rPr>
          <w:lang w:eastAsia="ja-JP"/>
        </w:rPr>
        <w:t>efficacy</w:t>
      </w:r>
      <w:r w:rsidR="000159A6">
        <w:rPr>
          <w:lang w:eastAsia="ja-JP"/>
        </w:rPr>
        <w:t xml:space="preserve"> </w:t>
      </w:r>
      <w:r>
        <w:rPr>
          <w:lang w:eastAsia="ja-JP"/>
        </w:rPr>
        <w:t>against</w:t>
      </w:r>
      <w:r w:rsidR="000159A6">
        <w:rPr>
          <w:lang w:eastAsia="ja-JP"/>
        </w:rPr>
        <w:t xml:space="preserve"> </w:t>
      </w:r>
      <w:r w:rsidR="000D0435">
        <w:rPr>
          <w:lang w:eastAsia="ja-JP"/>
        </w:rPr>
        <w:t>HZ</w:t>
      </w:r>
      <w:r w:rsidR="000159A6">
        <w:rPr>
          <w:lang w:eastAsia="ja-JP"/>
        </w:rPr>
        <w:t xml:space="preserve"> </w:t>
      </w:r>
      <w:r w:rsidR="000D0435">
        <w:rPr>
          <w:lang w:eastAsia="ja-JP"/>
        </w:rPr>
        <w:t>related</w:t>
      </w:r>
      <w:r w:rsidR="000159A6">
        <w:rPr>
          <w:lang w:eastAsia="ja-JP"/>
        </w:rPr>
        <w:t xml:space="preserve"> </w:t>
      </w:r>
      <w:r>
        <w:rPr>
          <w:lang w:eastAsia="ja-JP"/>
        </w:rPr>
        <w:t>complications</w:t>
      </w:r>
      <w:r w:rsidR="000159A6">
        <w:rPr>
          <w:lang w:eastAsia="ja-JP"/>
        </w:rPr>
        <w:t xml:space="preserve"> </w:t>
      </w:r>
      <w:r>
        <w:rPr>
          <w:lang w:eastAsia="ja-JP"/>
        </w:rPr>
        <w:t>other</w:t>
      </w:r>
      <w:r w:rsidR="000159A6">
        <w:rPr>
          <w:lang w:eastAsia="ja-JP"/>
        </w:rPr>
        <w:t xml:space="preserve"> </w:t>
      </w:r>
      <w:r>
        <w:rPr>
          <w:lang w:eastAsia="ja-JP"/>
        </w:rPr>
        <w:t>than</w:t>
      </w:r>
      <w:r w:rsidR="000159A6">
        <w:rPr>
          <w:lang w:eastAsia="ja-JP"/>
        </w:rPr>
        <w:t xml:space="preserve"> </w:t>
      </w:r>
      <w:r>
        <w:rPr>
          <w:lang w:eastAsia="ja-JP"/>
        </w:rPr>
        <w:t>PHN.</w:t>
      </w:r>
      <w:r w:rsidR="000159A6">
        <w:rPr>
          <w:lang w:eastAsia="ja-JP"/>
        </w:rPr>
        <w:t xml:space="preserve"> </w:t>
      </w:r>
      <w:r>
        <w:rPr>
          <w:lang w:eastAsia="ja-JP"/>
        </w:rPr>
        <w:t>This</w:t>
      </w:r>
      <w:r w:rsidR="000159A6">
        <w:rPr>
          <w:lang w:eastAsia="ja-JP"/>
        </w:rPr>
        <w:t xml:space="preserve"> </w:t>
      </w:r>
      <w:r>
        <w:rPr>
          <w:lang w:eastAsia="ja-JP"/>
        </w:rPr>
        <w:t>fact</w:t>
      </w:r>
      <w:r w:rsidR="000159A6">
        <w:rPr>
          <w:lang w:eastAsia="ja-JP"/>
        </w:rPr>
        <w:t xml:space="preserve"> </w:t>
      </w:r>
      <w:r>
        <w:rPr>
          <w:lang w:eastAsia="ja-JP"/>
        </w:rPr>
        <w:t>has</w:t>
      </w:r>
      <w:r w:rsidR="000159A6">
        <w:rPr>
          <w:lang w:eastAsia="ja-JP"/>
        </w:rPr>
        <w:t xml:space="preserve"> </w:t>
      </w:r>
      <w:r>
        <w:rPr>
          <w:lang w:eastAsia="ja-JP"/>
        </w:rPr>
        <w:t>been</w:t>
      </w:r>
      <w:r w:rsidR="000159A6">
        <w:rPr>
          <w:lang w:eastAsia="ja-JP"/>
        </w:rPr>
        <w:t xml:space="preserve"> </w:t>
      </w:r>
      <w:r>
        <w:rPr>
          <w:lang w:eastAsia="ja-JP"/>
        </w:rPr>
        <w:t>included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proposed</w:t>
      </w:r>
      <w:r w:rsidR="000159A6">
        <w:rPr>
          <w:lang w:eastAsia="ja-JP"/>
        </w:rPr>
        <w:t xml:space="preserve"> </w:t>
      </w:r>
      <w:r>
        <w:rPr>
          <w:lang w:eastAsia="ja-JP"/>
        </w:rPr>
        <w:t>i</w:t>
      </w:r>
      <w:r w:rsidRPr="00007D6B">
        <w:rPr>
          <w:lang w:eastAsia="ja-JP"/>
        </w:rPr>
        <w:t>ndication</w:t>
      </w:r>
      <w:r w:rsidR="000159A6">
        <w:rPr>
          <w:lang w:eastAsia="ja-JP"/>
        </w:rPr>
        <w:t xml:space="preserve"> </w:t>
      </w:r>
      <w:r>
        <w:rPr>
          <w:i/>
        </w:rPr>
        <w:t>‘</w:t>
      </w:r>
      <w:r w:rsidRPr="00F90EA8">
        <w:rPr>
          <w:i/>
          <w:lang w:eastAsia="ja-JP"/>
        </w:rPr>
        <w:t>prevention</w:t>
      </w:r>
      <w:r w:rsidR="000159A6">
        <w:rPr>
          <w:i/>
          <w:lang w:eastAsia="ja-JP"/>
        </w:rPr>
        <w:t xml:space="preserve"> </w:t>
      </w:r>
      <w:r w:rsidRPr="00F90EA8">
        <w:rPr>
          <w:i/>
          <w:lang w:eastAsia="ja-JP"/>
        </w:rPr>
        <w:t>of</w:t>
      </w:r>
      <w:r w:rsidR="000159A6">
        <w:rPr>
          <w:i/>
          <w:lang w:eastAsia="ja-JP"/>
        </w:rPr>
        <w:t xml:space="preserve"> </w:t>
      </w:r>
      <w:r w:rsidRPr="00F90EA8">
        <w:rPr>
          <w:i/>
          <w:lang w:eastAsia="ja-JP"/>
        </w:rPr>
        <w:t>HZ</w:t>
      </w:r>
      <w:r w:rsidR="000159A6">
        <w:rPr>
          <w:i/>
          <w:lang w:eastAsia="ja-JP"/>
        </w:rPr>
        <w:t xml:space="preserve"> </w:t>
      </w:r>
      <w:r w:rsidRPr="00F90EA8">
        <w:rPr>
          <w:i/>
          <w:lang w:eastAsia="ja-JP"/>
        </w:rPr>
        <w:t>and</w:t>
      </w:r>
      <w:r w:rsidR="000159A6">
        <w:rPr>
          <w:i/>
          <w:lang w:eastAsia="ja-JP"/>
        </w:rPr>
        <w:t xml:space="preserve"> </w:t>
      </w:r>
      <w:r w:rsidR="000D0435">
        <w:rPr>
          <w:i/>
          <w:lang w:eastAsia="ja-JP"/>
        </w:rPr>
        <w:t>HZ</w:t>
      </w:r>
      <w:r w:rsidR="000159A6">
        <w:rPr>
          <w:i/>
          <w:lang w:eastAsia="ja-JP"/>
        </w:rPr>
        <w:t xml:space="preserve"> </w:t>
      </w:r>
      <w:r w:rsidR="000D0435">
        <w:rPr>
          <w:i/>
          <w:lang w:eastAsia="ja-JP"/>
        </w:rPr>
        <w:t>related</w:t>
      </w:r>
      <w:r w:rsidR="000159A6">
        <w:rPr>
          <w:i/>
          <w:lang w:eastAsia="ja-JP"/>
        </w:rPr>
        <w:t xml:space="preserve"> </w:t>
      </w:r>
      <w:r w:rsidRPr="00F90EA8">
        <w:rPr>
          <w:i/>
          <w:lang w:eastAsia="ja-JP"/>
        </w:rPr>
        <w:t>complications</w:t>
      </w:r>
      <w:r w:rsidR="000159A6">
        <w:rPr>
          <w:i/>
          <w:lang w:eastAsia="ja-JP"/>
        </w:rPr>
        <w:t xml:space="preserve"> </w:t>
      </w:r>
      <w:r w:rsidRPr="00F90EA8">
        <w:rPr>
          <w:i/>
          <w:lang w:eastAsia="ja-JP"/>
        </w:rPr>
        <w:t>such</w:t>
      </w:r>
      <w:r w:rsidR="000159A6">
        <w:rPr>
          <w:i/>
          <w:lang w:eastAsia="ja-JP"/>
        </w:rPr>
        <w:t xml:space="preserve"> </w:t>
      </w:r>
      <w:r w:rsidRPr="00F90EA8">
        <w:rPr>
          <w:i/>
          <w:lang w:eastAsia="ja-JP"/>
        </w:rPr>
        <w:t>as</w:t>
      </w:r>
      <w:r w:rsidR="000159A6">
        <w:rPr>
          <w:i/>
          <w:lang w:eastAsia="ja-JP"/>
        </w:rPr>
        <w:t xml:space="preserve"> </w:t>
      </w:r>
      <w:r w:rsidRPr="00F90EA8">
        <w:rPr>
          <w:i/>
          <w:lang w:eastAsia="ja-JP"/>
        </w:rPr>
        <w:t>PHN</w:t>
      </w:r>
      <w:r>
        <w:rPr>
          <w:i/>
          <w:lang w:eastAsia="ja-JP"/>
        </w:rPr>
        <w:t>’</w:t>
      </w:r>
      <w:r w:rsidRPr="00F90EA8">
        <w:rPr>
          <w:i/>
          <w:lang w:eastAsia="ja-JP"/>
        </w:rPr>
        <w:t>.</w:t>
      </w:r>
      <w:r w:rsidR="000159A6">
        <w:rPr>
          <w:lang w:eastAsia="ja-JP"/>
        </w:rPr>
        <w:t xml:space="preserve"> </w:t>
      </w:r>
      <w:r>
        <w:rPr>
          <w:lang w:eastAsia="ja-JP"/>
        </w:rPr>
        <w:t>The</w:t>
      </w:r>
      <w:r w:rsidR="000159A6">
        <w:rPr>
          <w:lang w:eastAsia="ja-JP"/>
        </w:rPr>
        <w:t xml:space="preserve"> </w:t>
      </w:r>
      <w:r>
        <w:rPr>
          <w:lang w:eastAsia="ja-JP"/>
        </w:rPr>
        <w:t>very</w:t>
      </w:r>
      <w:r w:rsidR="000159A6">
        <w:rPr>
          <w:lang w:eastAsia="ja-JP"/>
        </w:rPr>
        <w:t xml:space="preserve"> </w:t>
      </w:r>
      <w:r>
        <w:rPr>
          <w:lang w:eastAsia="ja-JP"/>
        </w:rPr>
        <w:t>limited</w:t>
      </w:r>
      <w:r w:rsidR="000159A6">
        <w:rPr>
          <w:lang w:eastAsia="ja-JP"/>
        </w:rPr>
        <w:t xml:space="preserve"> </w:t>
      </w:r>
      <w:r>
        <w:rPr>
          <w:lang w:eastAsia="ja-JP"/>
        </w:rPr>
        <w:t>number</w:t>
      </w:r>
      <w:r w:rsidR="000159A6">
        <w:rPr>
          <w:lang w:eastAsia="ja-JP"/>
        </w:rPr>
        <w:t xml:space="preserve"> </w:t>
      </w:r>
      <w:r>
        <w:rPr>
          <w:lang w:eastAsia="ja-JP"/>
        </w:rPr>
        <w:t>of</w:t>
      </w:r>
      <w:r w:rsidR="000159A6">
        <w:rPr>
          <w:lang w:eastAsia="ja-JP"/>
        </w:rPr>
        <w:t xml:space="preserve"> </w:t>
      </w:r>
      <w:r>
        <w:rPr>
          <w:lang w:eastAsia="ja-JP"/>
        </w:rPr>
        <w:t>cases,</w:t>
      </w:r>
      <w:r w:rsidR="000159A6">
        <w:rPr>
          <w:lang w:eastAsia="ja-JP"/>
        </w:rPr>
        <w:t xml:space="preserve"> </w:t>
      </w:r>
      <w:r>
        <w:rPr>
          <w:lang w:eastAsia="ja-JP"/>
        </w:rPr>
        <w:t>the</w:t>
      </w:r>
      <w:r w:rsidR="000159A6">
        <w:rPr>
          <w:lang w:eastAsia="ja-JP"/>
        </w:rPr>
        <w:t xml:space="preserve"> </w:t>
      </w:r>
      <w:r>
        <w:rPr>
          <w:lang w:eastAsia="ja-JP"/>
        </w:rPr>
        <w:t>post-hoc</w:t>
      </w:r>
      <w:r w:rsidR="000159A6">
        <w:rPr>
          <w:lang w:eastAsia="ja-JP"/>
        </w:rPr>
        <w:t xml:space="preserve"> </w:t>
      </w:r>
      <w:r>
        <w:rPr>
          <w:lang w:eastAsia="ja-JP"/>
        </w:rPr>
        <w:t>analysis</w:t>
      </w:r>
      <w:r w:rsidR="000159A6">
        <w:rPr>
          <w:lang w:eastAsia="ja-JP"/>
        </w:rPr>
        <w:t xml:space="preserve"> </w:t>
      </w:r>
      <w:r>
        <w:rPr>
          <w:lang w:eastAsia="ja-JP"/>
        </w:rPr>
        <w:t>and</w:t>
      </w:r>
      <w:r w:rsidR="000159A6">
        <w:rPr>
          <w:lang w:eastAsia="ja-JP"/>
        </w:rPr>
        <w:t xml:space="preserve"> </w:t>
      </w:r>
      <w:r>
        <w:rPr>
          <w:lang w:eastAsia="ja-JP"/>
        </w:rPr>
        <w:t>the</w:t>
      </w:r>
      <w:r w:rsidR="000159A6">
        <w:rPr>
          <w:lang w:eastAsia="ja-JP"/>
        </w:rPr>
        <w:t xml:space="preserve"> </w:t>
      </w:r>
      <w:r>
        <w:rPr>
          <w:lang w:eastAsia="ja-JP"/>
        </w:rPr>
        <w:t>varying</w:t>
      </w:r>
      <w:r w:rsidR="000159A6">
        <w:rPr>
          <w:lang w:eastAsia="ja-JP"/>
        </w:rPr>
        <w:t xml:space="preserve"> </w:t>
      </w:r>
      <w:r>
        <w:rPr>
          <w:lang w:eastAsia="ja-JP"/>
        </w:rPr>
        <w:t>pathogenesis</w:t>
      </w:r>
      <w:r w:rsidR="000159A6">
        <w:rPr>
          <w:lang w:eastAsia="ja-JP"/>
        </w:rPr>
        <w:t xml:space="preserve"> </w:t>
      </w:r>
      <w:r>
        <w:rPr>
          <w:lang w:eastAsia="ja-JP"/>
        </w:rPr>
        <w:t>mean</w:t>
      </w:r>
      <w:r w:rsidR="000159A6">
        <w:rPr>
          <w:lang w:eastAsia="ja-JP"/>
        </w:rPr>
        <w:t xml:space="preserve"> </w:t>
      </w:r>
      <w:r>
        <w:rPr>
          <w:lang w:eastAsia="ja-JP"/>
        </w:rPr>
        <w:t>that</w:t>
      </w:r>
      <w:r w:rsidR="000159A6">
        <w:rPr>
          <w:lang w:eastAsia="ja-JP"/>
        </w:rPr>
        <w:t xml:space="preserve"> </w:t>
      </w:r>
      <w:r>
        <w:rPr>
          <w:lang w:eastAsia="ja-JP"/>
        </w:rPr>
        <w:t>inclusion</w:t>
      </w:r>
      <w:r w:rsidR="000159A6">
        <w:rPr>
          <w:lang w:eastAsia="ja-JP"/>
        </w:rPr>
        <w:t xml:space="preserve"> </w:t>
      </w:r>
      <w:r>
        <w:rPr>
          <w:lang w:eastAsia="ja-JP"/>
        </w:rPr>
        <w:t>of</w:t>
      </w:r>
      <w:r w:rsidR="000159A6">
        <w:rPr>
          <w:lang w:eastAsia="ja-JP"/>
        </w:rPr>
        <w:t xml:space="preserve"> </w:t>
      </w:r>
      <w:r>
        <w:rPr>
          <w:lang w:eastAsia="ja-JP"/>
        </w:rPr>
        <w:t>complications</w:t>
      </w:r>
      <w:r w:rsidR="000159A6">
        <w:rPr>
          <w:lang w:eastAsia="ja-JP"/>
        </w:rPr>
        <w:t xml:space="preserve"> </w:t>
      </w:r>
      <w:r>
        <w:rPr>
          <w:lang w:eastAsia="ja-JP"/>
        </w:rPr>
        <w:t>other</w:t>
      </w:r>
      <w:r w:rsidR="000159A6">
        <w:rPr>
          <w:lang w:eastAsia="ja-JP"/>
        </w:rPr>
        <w:t xml:space="preserve"> </w:t>
      </w:r>
      <w:r>
        <w:rPr>
          <w:lang w:eastAsia="ja-JP"/>
        </w:rPr>
        <w:t>than</w:t>
      </w:r>
      <w:r w:rsidR="000159A6">
        <w:rPr>
          <w:lang w:eastAsia="ja-JP"/>
        </w:rPr>
        <w:t xml:space="preserve"> </w:t>
      </w:r>
      <w:r>
        <w:rPr>
          <w:lang w:eastAsia="ja-JP"/>
        </w:rPr>
        <w:t>PHN</w:t>
      </w:r>
      <w:r w:rsidR="000159A6">
        <w:rPr>
          <w:lang w:eastAsia="ja-JP"/>
        </w:rPr>
        <w:t xml:space="preserve"> </w:t>
      </w:r>
      <w:r>
        <w:rPr>
          <w:lang w:eastAsia="ja-JP"/>
        </w:rPr>
        <w:t>is</w:t>
      </w:r>
      <w:r w:rsidR="000159A6">
        <w:rPr>
          <w:lang w:eastAsia="ja-JP"/>
        </w:rPr>
        <w:t xml:space="preserve"> </w:t>
      </w:r>
      <w:r>
        <w:rPr>
          <w:lang w:eastAsia="ja-JP"/>
        </w:rPr>
        <w:t>not</w:t>
      </w:r>
      <w:r w:rsidR="000159A6">
        <w:rPr>
          <w:lang w:eastAsia="ja-JP"/>
        </w:rPr>
        <w:t xml:space="preserve"> </w:t>
      </w:r>
      <w:r>
        <w:rPr>
          <w:lang w:eastAsia="ja-JP"/>
        </w:rPr>
        <w:t>endorsed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proposed</w:t>
      </w:r>
      <w:r w:rsidR="000159A6">
        <w:rPr>
          <w:lang w:eastAsia="ja-JP"/>
        </w:rPr>
        <w:t xml:space="preserve"> </w:t>
      </w:r>
      <w:r>
        <w:rPr>
          <w:lang w:eastAsia="ja-JP"/>
        </w:rPr>
        <w:t>indication.</w:t>
      </w:r>
      <w:r w:rsidR="000159A6">
        <w:rPr>
          <w:lang w:eastAsia="ja-JP"/>
        </w:rPr>
        <w:t xml:space="preserve"> </w:t>
      </w:r>
      <w:r>
        <w:rPr>
          <w:lang w:eastAsia="ja-JP"/>
        </w:rPr>
        <w:t>The</w:t>
      </w:r>
      <w:r w:rsidR="000159A6">
        <w:rPr>
          <w:lang w:eastAsia="ja-JP"/>
        </w:rPr>
        <w:t xml:space="preserve"> </w:t>
      </w:r>
      <w:r>
        <w:rPr>
          <w:lang w:eastAsia="ja-JP"/>
        </w:rPr>
        <w:t>data</w:t>
      </w:r>
      <w:r w:rsidR="000159A6">
        <w:rPr>
          <w:lang w:eastAsia="ja-JP"/>
        </w:rPr>
        <w:t xml:space="preserve"> </w:t>
      </w:r>
      <w:r>
        <w:rPr>
          <w:lang w:eastAsia="ja-JP"/>
        </w:rPr>
        <w:t>may</w:t>
      </w:r>
      <w:r w:rsidR="000159A6">
        <w:rPr>
          <w:lang w:eastAsia="ja-JP"/>
        </w:rPr>
        <w:t xml:space="preserve"> </w:t>
      </w:r>
      <w:r>
        <w:rPr>
          <w:lang w:eastAsia="ja-JP"/>
        </w:rPr>
        <w:t>be</w:t>
      </w:r>
      <w:r w:rsidR="000159A6">
        <w:rPr>
          <w:lang w:eastAsia="ja-JP"/>
        </w:rPr>
        <w:t xml:space="preserve"> </w:t>
      </w:r>
      <w:r>
        <w:rPr>
          <w:lang w:eastAsia="ja-JP"/>
        </w:rPr>
        <w:t>included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Clinical</w:t>
      </w:r>
      <w:r w:rsidR="000159A6">
        <w:rPr>
          <w:lang w:eastAsia="ja-JP"/>
        </w:rPr>
        <w:t xml:space="preserve"> </w:t>
      </w:r>
      <w:r>
        <w:rPr>
          <w:lang w:eastAsia="ja-JP"/>
        </w:rPr>
        <w:t>Trial</w:t>
      </w:r>
      <w:r w:rsidR="000159A6">
        <w:rPr>
          <w:lang w:eastAsia="ja-JP"/>
        </w:rPr>
        <w:t xml:space="preserve"> </w:t>
      </w:r>
      <w:r>
        <w:rPr>
          <w:lang w:eastAsia="ja-JP"/>
        </w:rPr>
        <w:t>section</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PI.</w:t>
      </w:r>
    </w:p>
    <w:p w14:paraId="3F085C77" w14:textId="2A539C2D" w:rsidR="001F6DEC" w:rsidRPr="00007D6B" w:rsidRDefault="001F6DEC" w:rsidP="00541F41">
      <w:pPr>
        <w:rPr>
          <w:lang w:eastAsia="ja-JP"/>
        </w:rPr>
      </w:pPr>
      <w:r>
        <w:rPr>
          <w:lang w:eastAsia="ja-JP"/>
        </w:rPr>
        <w:t>There</w:t>
      </w:r>
      <w:r w:rsidR="000159A6">
        <w:rPr>
          <w:lang w:eastAsia="ja-JP"/>
        </w:rPr>
        <w:t xml:space="preserve"> </w:t>
      </w:r>
      <w:r>
        <w:rPr>
          <w:lang w:eastAsia="ja-JP"/>
        </w:rPr>
        <w:t>was</w:t>
      </w:r>
      <w:r w:rsidR="000159A6">
        <w:rPr>
          <w:lang w:eastAsia="ja-JP"/>
        </w:rPr>
        <w:t xml:space="preserve"> </w:t>
      </w:r>
      <w:r>
        <w:rPr>
          <w:lang w:eastAsia="ja-JP"/>
        </w:rPr>
        <w:t>a</w:t>
      </w:r>
      <w:r w:rsidR="000159A6">
        <w:rPr>
          <w:lang w:eastAsia="ja-JP"/>
        </w:rPr>
        <w:t xml:space="preserve"> </w:t>
      </w:r>
      <w:r>
        <w:rPr>
          <w:lang w:eastAsia="ja-JP"/>
        </w:rPr>
        <w:t>reduction</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use</w:t>
      </w:r>
      <w:r w:rsidR="000159A6">
        <w:rPr>
          <w:lang w:eastAsia="ja-JP"/>
        </w:rPr>
        <w:t xml:space="preserve"> </w:t>
      </w:r>
      <w:r>
        <w:rPr>
          <w:lang w:eastAsia="ja-JP"/>
        </w:rPr>
        <w:t>and</w:t>
      </w:r>
      <w:r w:rsidR="000159A6">
        <w:rPr>
          <w:lang w:eastAsia="ja-JP"/>
        </w:rPr>
        <w:t xml:space="preserve"> </w:t>
      </w:r>
      <w:r>
        <w:rPr>
          <w:lang w:eastAsia="ja-JP"/>
        </w:rPr>
        <w:t>duration</w:t>
      </w:r>
      <w:r w:rsidR="000159A6">
        <w:rPr>
          <w:lang w:eastAsia="ja-JP"/>
        </w:rPr>
        <w:t xml:space="preserve"> </w:t>
      </w:r>
      <w:r>
        <w:rPr>
          <w:lang w:eastAsia="ja-JP"/>
        </w:rPr>
        <w:t>of</w:t>
      </w:r>
      <w:r w:rsidR="000159A6">
        <w:rPr>
          <w:lang w:eastAsia="ja-JP"/>
        </w:rPr>
        <w:t xml:space="preserve"> </w:t>
      </w:r>
      <w:r>
        <w:rPr>
          <w:lang w:eastAsia="ja-JP"/>
        </w:rPr>
        <w:t>use</w:t>
      </w:r>
      <w:r w:rsidR="000159A6">
        <w:rPr>
          <w:lang w:eastAsia="ja-JP"/>
        </w:rPr>
        <w:t xml:space="preserve"> </w:t>
      </w:r>
      <w:r>
        <w:rPr>
          <w:lang w:eastAsia="ja-JP"/>
        </w:rPr>
        <w:t>of</w:t>
      </w:r>
      <w:r w:rsidR="000159A6">
        <w:rPr>
          <w:lang w:eastAsia="ja-JP"/>
        </w:rPr>
        <w:t xml:space="preserve"> </w:t>
      </w:r>
      <w:r>
        <w:rPr>
          <w:lang w:eastAsia="ja-JP"/>
        </w:rPr>
        <w:t>pain</w:t>
      </w:r>
      <w:r w:rsidR="000159A6">
        <w:rPr>
          <w:lang w:eastAsia="ja-JP"/>
        </w:rPr>
        <w:t xml:space="preserve"> </w:t>
      </w:r>
      <w:r>
        <w:rPr>
          <w:lang w:eastAsia="ja-JP"/>
        </w:rPr>
        <w:t>medications</w:t>
      </w:r>
      <w:r w:rsidR="000159A6">
        <w:rPr>
          <w:lang w:eastAsia="ja-JP"/>
        </w:rPr>
        <w:t xml:space="preserve"> </w:t>
      </w:r>
      <w:r>
        <w:rPr>
          <w:lang w:eastAsia="ja-JP"/>
        </w:rPr>
        <w:t>in</w:t>
      </w:r>
      <w:r w:rsidR="000159A6">
        <w:rPr>
          <w:lang w:eastAsia="ja-JP"/>
        </w:rPr>
        <w:t xml:space="preserve"> </w:t>
      </w:r>
      <w:r>
        <w:rPr>
          <w:lang w:eastAsia="ja-JP"/>
        </w:rPr>
        <w:t>Study</w:t>
      </w:r>
      <w:r w:rsidR="000159A6">
        <w:rPr>
          <w:lang w:eastAsia="ja-JP"/>
        </w:rPr>
        <w:t xml:space="preserve"> </w:t>
      </w:r>
      <w:r w:rsidR="000D0435">
        <w:rPr>
          <w:lang w:eastAsia="ja-JP"/>
        </w:rPr>
        <w:t>ZOSTER</w:t>
      </w:r>
      <w:r>
        <w:rPr>
          <w:lang w:eastAsia="ja-JP"/>
        </w:rPr>
        <w:t>-022,</w:t>
      </w:r>
      <w:r w:rsidR="000159A6">
        <w:rPr>
          <w:lang w:eastAsia="ja-JP"/>
        </w:rPr>
        <w:t xml:space="preserve"> </w:t>
      </w:r>
      <w:r>
        <w:rPr>
          <w:lang w:eastAsia="ja-JP"/>
        </w:rPr>
        <w:t>however</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no</w:t>
      </w:r>
      <w:r w:rsidR="000159A6">
        <w:rPr>
          <w:lang w:eastAsia="ja-JP"/>
        </w:rPr>
        <w:t xml:space="preserve"> </w:t>
      </w:r>
      <w:r>
        <w:rPr>
          <w:lang w:eastAsia="ja-JP"/>
        </w:rPr>
        <w:t>reduction</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duration</w:t>
      </w:r>
      <w:r w:rsidR="000159A6">
        <w:rPr>
          <w:lang w:eastAsia="ja-JP"/>
        </w:rPr>
        <w:t xml:space="preserve"> </w:t>
      </w:r>
      <w:r>
        <w:rPr>
          <w:lang w:eastAsia="ja-JP"/>
        </w:rPr>
        <w:t>of</w:t>
      </w:r>
      <w:r w:rsidR="000159A6">
        <w:rPr>
          <w:lang w:eastAsia="ja-JP"/>
        </w:rPr>
        <w:t xml:space="preserve"> </w:t>
      </w:r>
      <w:r>
        <w:rPr>
          <w:lang w:eastAsia="ja-JP"/>
        </w:rPr>
        <w:t>actual</w:t>
      </w:r>
      <w:r w:rsidR="000159A6">
        <w:rPr>
          <w:lang w:eastAsia="ja-JP"/>
        </w:rPr>
        <w:t xml:space="preserve"> </w:t>
      </w:r>
      <w:r>
        <w:rPr>
          <w:lang w:eastAsia="ja-JP"/>
        </w:rPr>
        <w:t>pain</w:t>
      </w:r>
      <w:r w:rsidR="000159A6">
        <w:rPr>
          <w:lang w:eastAsia="ja-JP"/>
        </w:rPr>
        <w:t xml:space="preserve"> </w:t>
      </w:r>
      <w:r>
        <w:rPr>
          <w:lang w:eastAsia="ja-JP"/>
        </w:rPr>
        <w:t>and</w:t>
      </w:r>
      <w:r w:rsidR="000159A6">
        <w:rPr>
          <w:lang w:eastAsia="ja-JP"/>
        </w:rPr>
        <w:t xml:space="preserve"> </w:t>
      </w:r>
      <w:r>
        <w:rPr>
          <w:lang w:eastAsia="ja-JP"/>
        </w:rPr>
        <w:t>data</w:t>
      </w:r>
      <w:r w:rsidR="000159A6">
        <w:rPr>
          <w:lang w:eastAsia="ja-JP"/>
        </w:rPr>
        <w:t xml:space="preserve"> </w:t>
      </w:r>
      <w:r>
        <w:rPr>
          <w:lang w:eastAsia="ja-JP"/>
        </w:rPr>
        <w:t>were</w:t>
      </w:r>
      <w:r w:rsidR="000159A6">
        <w:rPr>
          <w:lang w:eastAsia="ja-JP"/>
        </w:rPr>
        <w:t xml:space="preserve"> </w:t>
      </w:r>
      <w:r>
        <w:rPr>
          <w:lang w:eastAsia="ja-JP"/>
        </w:rPr>
        <w:t>not</w:t>
      </w:r>
      <w:r w:rsidR="000159A6">
        <w:rPr>
          <w:lang w:eastAsia="ja-JP"/>
        </w:rPr>
        <w:t xml:space="preserve"> </w:t>
      </w:r>
      <w:r>
        <w:rPr>
          <w:lang w:eastAsia="ja-JP"/>
        </w:rPr>
        <w:t>supported</w:t>
      </w:r>
      <w:r w:rsidR="000159A6">
        <w:rPr>
          <w:lang w:eastAsia="ja-JP"/>
        </w:rPr>
        <w:t xml:space="preserve"> </w:t>
      </w:r>
      <w:r>
        <w:rPr>
          <w:lang w:eastAsia="ja-JP"/>
        </w:rPr>
        <w:t>by</w:t>
      </w:r>
      <w:r w:rsidR="000159A6">
        <w:rPr>
          <w:lang w:eastAsia="ja-JP"/>
        </w:rPr>
        <w:t xml:space="preserve"> </w:t>
      </w:r>
      <w:r>
        <w:rPr>
          <w:lang w:eastAsia="ja-JP"/>
        </w:rPr>
        <w:t>results</w:t>
      </w:r>
      <w:r w:rsidR="000159A6">
        <w:rPr>
          <w:lang w:eastAsia="ja-JP"/>
        </w:rPr>
        <w:t xml:space="preserve"> </w:t>
      </w:r>
      <w:r>
        <w:rPr>
          <w:lang w:eastAsia="ja-JP"/>
        </w:rPr>
        <w:t>from</w:t>
      </w:r>
      <w:r w:rsidR="000159A6">
        <w:rPr>
          <w:lang w:eastAsia="ja-JP"/>
        </w:rPr>
        <w:t xml:space="preserve"> </w:t>
      </w:r>
      <w:r>
        <w:rPr>
          <w:lang w:eastAsia="ja-JP"/>
        </w:rPr>
        <w:t>Study</w:t>
      </w:r>
      <w:r w:rsidR="000159A6">
        <w:rPr>
          <w:lang w:eastAsia="ja-JP"/>
        </w:rPr>
        <w:t xml:space="preserve"> </w:t>
      </w:r>
      <w:r>
        <w:rPr>
          <w:lang w:eastAsia="ja-JP"/>
        </w:rPr>
        <w:t>ZOSTER-006.</w:t>
      </w:r>
    </w:p>
    <w:p w14:paraId="0227B298" w14:textId="259FA4F2" w:rsidR="001F6DEC" w:rsidRDefault="001F6DEC" w:rsidP="001F6DEC">
      <w:pPr>
        <w:rPr>
          <w:lang w:eastAsia="ja-JP"/>
        </w:rPr>
      </w:pPr>
      <w:r w:rsidRPr="00007D6B">
        <w:rPr>
          <w:lang w:eastAsia="ja-JP"/>
        </w:rPr>
        <w:t>Eff</w:t>
      </w:r>
      <w:r>
        <w:rPr>
          <w:lang w:eastAsia="ja-JP"/>
        </w:rPr>
        <w:t>i</w:t>
      </w:r>
      <w:r w:rsidRPr="00007D6B">
        <w:rPr>
          <w:lang w:eastAsia="ja-JP"/>
        </w:rPr>
        <w:t>cacy</w:t>
      </w:r>
      <w:r w:rsidR="000159A6">
        <w:rPr>
          <w:lang w:eastAsia="ja-JP"/>
        </w:rPr>
        <w:t xml:space="preserve"> </w:t>
      </w:r>
      <w:r>
        <w:rPr>
          <w:lang w:eastAsia="ja-JP"/>
        </w:rPr>
        <w:t>was</w:t>
      </w:r>
      <w:r w:rsidR="000159A6">
        <w:rPr>
          <w:lang w:eastAsia="ja-JP"/>
        </w:rPr>
        <w:t xml:space="preserve"> </w:t>
      </w:r>
      <w:r>
        <w:rPr>
          <w:lang w:eastAsia="ja-JP"/>
        </w:rPr>
        <w:t>demonstrated</w:t>
      </w:r>
      <w:r w:rsidR="000159A6">
        <w:rPr>
          <w:lang w:eastAsia="ja-JP"/>
        </w:rPr>
        <w:t xml:space="preserve"> </w:t>
      </w:r>
      <w:r>
        <w:rPr>
          <w:lang w:eastAsia="ja-JP"/>
        </w:rPr>
        <w:t>out</w:t>
      </w:r>
      <w:r w:rsidR="000159A6">
        <w:rPr>
          <w:lang w:eastAsia="ja-JP"/>
        </w:rPr>
        <w:t xml:space="preserve"> </w:t>
      </w:r>
      <w:r>
        <w:rPr>
          <w:lang w:eastAsia="ja-JP"/>
        </w:rPr>
        <w:t>to</w:t>
      </w:r>
      <w:r w:rsidR="000159A6">
        <w:rPr>
          <w:lang w:eastAsia="ja-JP"/>
        </w:rPr>
        <w:t xml:space="preserve"> </w:t>
      </w:r>
      <w:r>
        <w:rPr>
          <w:lang w:eastAsia="ja-JP"/>
        </w:rPr>
        <w:t>4</w:t>
      </w:r>
      <w:r w:rsidR="000159A6">
        <w:rPr>
          <w:lang w:eastAsia="ja-JP"/>
        </w:rPr>
        <w:t xml:space="preserve"> </w:t>
      </w:r>
      <w:r>
        <w:rPr>
          <w:lang w:eastAsia="ja-JP"/>
        </w:rPr>
        <w:t>years</w:t>
      </w:r>
      <w:r w:rsidR="000159A6">
        <w:rPr>
          <w:lang w:eastAsia="ja-JP"/>
        </w:rPr>
        <w:t xml:space="preserve"> </w:t>
      </w:r>
      <w:r>
        <w:rPr>
          <w:lang w:eastAsia="ja-JP"/>
        </w:rPr>
        <w:t>post</w:t>
      </w:r>
      <w:r w:rsidR="000159A6">
        <w:rPr>
          <w:lang w:eastAsia="ja-JP"/>
        </w:rPr>
        <w:t xml:space="preserve"> </w:t>
      </w:r>
      <w:r>
        <w:rPr>
          <w:lang w:eastAsia="ja-JP"/>
        </w:rPr>
        <w:t>vaccination</w:t>
      </w:r>
      <w:r w:rsidR="000159A6">
        <w:rPr>
          <w:lang w:eastAsia="ja-JP"/>
        </w:rPr>
        <w:t xml:space="preserve"> </w:t>
      </w:r>
      <w:r>
        <w:rPr>
          <w:lang w:eastAsia="ja-JP"/>
        </w:rPr>
        <w:t>however</w:t>
      </w:r>
      <w:r w:rsidR="000159A6">
        <w:rPr>
          <w:lang w:eastAsia="ja-JP"/>
        </w:rPr>
        <w:t xml:space="preserve"> </w:t>
      </w:r>
      <w:r>
        <w:rPr>
          <w:lang w:eastAsia="ja-JP"/>
        </w:rPr>
        <w:t>the</w:t>
      </w:r>
      <w:r w:rsidR="000159A6">
        <w:rPr>
          <w:lang w:eastAsia="ja-JP"/>
        </w:rPr>
        <w:t xml:space="preserve"> </w:t>
      </w:r>
      <w:r>
        <w:rPr>
          <w:lang w:eastAsia="ja-JP"/>
        </w:rPr>
        <w:t>issue</w:t>
      </w:r>
      <w:r w:rsidR="000159A6">
        <w:rPr>
          <w:lang w:eastAsia="ja-JP"/>
        </w:rPr>
        <w:t xml:space="preserve"> </w:t>
      </w:r>
      <w:r>
        <w:rPr>
          <w:lang w:eastAsia="ja-JP"/>
        </w:rPr>
        <w:t>of</w:t>
      </w:r>
      <w:r w:rsidR="000159A6">
        <w:rPr>
          <w:lang w:eastAsia="ja-JP"/>
        </w:rPr>
        <w:t xml:space="preserve"> </w:t>
      </w:r>
      <w:r>
        <w:rPr>
          <w:lang w:eastAsia="ja-JP"/>
        </w:rPr>
        <w:t>possible</w:t>
      </w:r>
      <w:r w:rsidR="000159A6">
        <w:rPr>
          <w:lang w:eastAsia="ja-JP"/>
        </w:rPr>
        <w:t xml:space="preserve"> </w:t>
      </w:r>
      <w:r>
        <w:rPr>
          <w:lang w:eastAsia="ja-JP"/>
        </w:rPr>
        <w:t>wa</w:t>
      </w:r>
      <w:r w:rsidRPr="00007D6B">
        <w:rPr>
          <w:lang w:eastAsia="ja-JP"/>
        </w:rPr>
        <w:t>ning</w:t>
      </w:r>
      <w:r w:rsidR="000159A6">
        <w:rPr>
          <w:lang w:eastAsia="ja-JP"/>
        </w:rPr>
        <w:t xml:space="preserve"> </w:t>
      </w:r>
      <w:r w:rsidRPr="00007D6B">
        <w:rPr>
          <w:lang w:eastAsia="ja-JP"/>
        </w:rPr>
        <w:t>efficacy</w:t>
      </w:r>
      <w:r w:rsidR="000159A6">
        <w:rPr>
          <w:lang w:eastAsia="ja-JP"/>
        </w:rPr>
        <w:t xml:space="preserve"> </w:t>
      </w:r>
      <w:r w:rsidRPr="00007D6B">
        <w:rPr>
          <w:lang w:eastAsia="ja-JP"/>
        </w:rPr>
        <w:t>and</w:t>
      </w:r>
      <w:r w:rsidR="000159A6">
        <w:rPr>
          <w:lang w:eastAsia="ja-JP"/>
        </w:rPr>
        <w:t xml:space="preserve"> </w:t>
      </w:r>
      <w:r>
        <w:rPr>
          <w:lang w:eastAsia="ja-JP"/>
        </w:rPr>
        <w:t>the</w:t>
      </w:r>
      <w:r w:rsidR="000159A6">
        <w:rPr>
          <w:lang w:eastAsia="ja-JP"/>
        </w:rPr>
        <w:t xml:space="preserve"> </w:t>
      </w:r>
      <w:r w:rsidRPr="00007D6B">
        <w:rPr>
          <w:lang w:eastAsia="ja-JP"/>
        </w:rPr>
        <w:t>need</w:t>
      </w:r>
      <w:r w:rsidR="000159A6">
        <w:rPr>
          <w:lang w:eastAsia="ja-JP"/>
        </w:rPr>
        <w:t xml:space="preserve"> </w:t>
      </w:r>
      <w:r w:rsidRPr="00007D6B">
        <w:rPr>
          <w:lang w:eastAsia="ja-JP"/>
        </w:rPr>
        <w:t>for</w:t>
      </w:r>
      <w:r w:rsidR="000159A6">
        <w:rPr>
          <w:lang w:eastAsia="ja-JP"/>
        </w:rPr>
        <w:t xml:space="preserve"> </w:t>
      </w:r>
      <w:r w:rsidRPr="00007D6B">
        <w:rPr>
          <w:lang w:eastAsia="ja-JP"/>
        </w:rPr>
        <w:t>booster</w:t>
      </w:r>
      <w:r w:rsidR="000159A6">
        <w:rPr>
          <w:lang w:eastAsia="ja-JP"/>
        </w:rPr>
        <w:t xml:space="preserve"> </w:t>
      </w:r>
      <w:r w:rsidRPr="00007D6B">
        <w:rPr>
          <w:lang w:eastAsia="ja-JP"/>
        </w:rPr>
        <w:t>vaccination</w:t>
      </w:r>
      <w:r w:rsidR="000159A6">
        <w:rPr>
          <w:lang w:eastAsia="ja-JP"/>
        </w:rPr>
        <w:t xml:space="preserve"> </w:t>
      </w:r>
      <w:r>
        <w:rPr>
          <w:lang w:eastAsia="ja-JP"/>
        </w:rPr>
        <w:t>has</w:t>
      </w:r>
      <w:r w:rsidR="000159A6">
        <w:rPr>
          <w:lang w:eastAsia="ja-JP"/>
        </w:rPr>
        <w:t xml:space="preserve"> </w:t>
      </w:r>
      <w:r>
        <w:rPr>
          <w:lang w:eastAsia="ja-JP"/>
        </w:rPr>
        <w:t>n</w:t>
      </w:r>
      <w:r w:rsidRPr="00007D6B">
        <w:rPr>
          <w:lang w:eastAsia="ja-JP"/>
        </w:rPr>
        <w:t>ot</w:t>
      </w:r>
      <w:r w:rsidR="000159A6">
        <w:rPr>
          <w:lang w:eastAsia="ja-JP"/>
        </w:rPr>
        <w:t xml:space="preserve"> </w:t>
      </w:r>
      <w:r w:rsidRPr="00007D6B">
        <w:rPr>
          <w:lang w:eastAsia="ja-JP"/>
        </w:rPr>
        <w:t>yet</w:t>
      </w:r>
      <w:r w:rsidR="000159A6">
        <w:rPr>
          <w:lang w:eastAsia="ja-JP"/>
        </w:rPr>
        <w:t xml:space="preserve"> </w:t>
      </w:r>
      <w:r>
        <w:rPr>
          <w:lang w:eastAsia="ja-JP"/>
        </w:rPr>
        <w:t>been</w:t>
      </w:r>
      <w:r w:rsidR="000159A6">
        <w:rPr>
          <w:lang w:eastAsia="ja-JP"/>
        </w:rPr>
        <w:t xml:space="preserve"> </w:t>
      </w:r>
      <w:r w:rsidRPr="00007D6B">
        <w:rPr>
          <w:lang w:eastAsia="ja-JP"/>
        </w:rPr>
        <w:t>defined</w:t>
      </w:r>
      <w:r>
        <w:rPr>
          <w:lang w:eastAsia="ja-JP"/>
        </w:rPr>
        <w:t>.</w:t>
      </w:r>
    </w:p>
    <w:p w14:paraId="536E2E47" w14:textId="18B5CF1A" w:rsidR="001F6DEC" w:rsidRPr="00007D6B" w:rsidRDefault="001F6DEC" w:rsidP="001F6DEC">
      <w:pPr>
        <w:rPr>
          <w:lang w:eastAsia="ja-JP"/>
        </w:rPr>
      </w:pPr>
      <w:r>
        <w:rPr>
          <w:lang w:eastAsia="ja-JP"/>
        </w:rPr>
        <w:t>Co-administration</w:t>
      </w:r>
      <w:r w:rsidR="000159A6">
        <w:rPr>
          <w:lang w:eastAsia="ja-JP"/>
        </w:rPr>
        <w:t xml:space="preserve"> </w:t>
      </w:r>
      <w:r>
        <w:rPr>
          <w:lang w:eastAsia="ja-JP"/>
        </w:rPr>
        <w:t>with</w:t>
      </w:r>
      <w:r w:rsidR="000159A6">
        <w:rPr>
          <w:lang w:eastAsia="ja-JP"/>
        </w:rPr>
        <w:t xml:space="preserve"> </w:t>
      </w:r>
      <w:r>
        <w:rPr>
          <w:lang w:eastAsia="ja-JP"/>
        </w:rPr>
        <w:t>quadrivalent</w:t>
      </w:r>
      <w:r w:rsidR="000159A6">
        <w:rPr>
          <w:lang w:eastAsia="ja-JP"/>
        </w:rPr>
        <w:t xml:space="preserve"> </w:t>
      </w:r>
      <w:r>
        <w:rPr>
          <w:lang w:eastAsia="ja-JP"/>
        </w:rPr>
        <w:t>seasonal</w:t>
      </w:r>
      <w:r w:rsidR="000159A6">
        <w:rPr>
          <w:lang w:eastAsia="ja-JP"/>
        </w:rPr>
        <w:t xml:space="preserve"> </w:t>
      </w:r>
      <w:r>
        <w:rPr>
          <w:lang w:eastAsia="ja-JP"/>
        </w:rPr>
        <w:t>influenza</w:t>
      </w:r>
      <w:r w:rsidR="000159A6">
        <w:rPr>
          <w:lang w:eastAsia="ja-JP"/>
        </w:rPr>
        <w:t xml:space="preserve"> </w:t>
      </w:r>
      <w:r>
        <w:rPr>
          <w:lang w:eastAsia="ja-JP"/>
        </w:rPr>
        <w:t>vaccine</w:t>
      </w:r>
      <w:r w:rsidR="000159A6">
        <w:rPr>
          <w:lang w:eastAsia="ja-JP"/>
        </w:rPr>
        <w:t xml:space="preserve"> </w:t>
      </w:r>
      <w:r>
        <w:rPr>
          <w:lang w:eastAsia="ja-JP"/>
        </w:rPr>
        <w:t>found</w:t>
      </w:r>
      <w:r w:rsidR="000159A6">
        <w:rPr>
          <w:lang w:eastAsia="ja-JP"/>
        </w:rPr>
        <w:t xml:space="preserve"> </w:t>
      </w:r>
      <w:r>
        <w:rPr>
          <w:lang w:eastAsia="ja-JP"/>
        </w:rPr>
        <w:t>no</w:t>
      </w:r>
      <w:r w:rsidR="000159A6">
        <w:rPr>
          <w:lang w:eastAsia="ja-JP"/>
        </w:rPr>
        <w:t xml:space="preserve"> </w:t>
      </w:r>
      <w:r>
        <w:rPr>
          <w:lang w:eastAsia="ja-JP"/>
        </w:rPr>
        <w:t>evidence</w:t>
      </w:r>
      <w:r w:rsidR="000159A6">
        <w:rPr>
          <w:lang w:eastAsia="ja-JP"/>
        </w:rPr>
        <w:t xml:space="preserve"> </w:t>
      </w:r>
      <w:r>
        <w:rPr>
          <w:lang w:eastAsia="ja-JP"/>
        </w:rPr>
        <w:t>of</w:t>
      </w:r>
      <w:r w:rsidR="000159A6">
        <w:rPr>
          <w:lang w:eastAsia="ja-JP"/>
        </w:rPr>
        <w:t xml:space="preserve"> </w:t>
      </w:r>
      <w:r>
        <w:rPr>
          <w:lang w:eastAsia="ja-JP"/>
        </w:rPr>
        <w:t>immunological</w:t>
      </w:r>
      <w:r w:rsidR="000159A6">
        <w:rPr>
          <w:lang w:eastAsia="ja-JP"/>
        </w:rPr>
        <w:t xml:space="preserve"> </w:t>
      </w:r>
      <w:r>
        <w:rPr>
          <w:lang w:eastAsia="ja-JP"/>
        </w:rPr>
        <w:t>interference.</w:t>
      </w:r>
    </w:p>
    <w:p w14:paraId="02206452" w14:textId="23EBAFAA" w:rsidR="001F6DEC" w:rsidRPr="00007D6B" w:rsidRDefault="001F6DEC" w:rsidP="001F6DEC">
      <w:pPr>
        <w:rPr>
          <w:lang w:eastAsia="ja-JP"/>
        </w:rPr>
      </w:pPr>
      <w:r>
        <w:rPr>
          <w:lang w:eastAsia="ja-JP"/>
        </w:rPr>
        <w:t>A</w:t>
      </w:r>
      <w:r w:rsidR="000159A6">
        <w:rPr>
          <w:lang w:eastAsia="ja-JP"/>
        </w:rPr>
        <w:t xml:space="preserve"> </w:t>
      </w:r>
      <w:r>
        <w:rPr>
          <w:lang w:eastAsia="ja-JP"/>
        </w:rPr>
        <w:t>0</w:t>
      </w:r>
      <w:r w:rsidR="000159A6">
        <w:rPr>
          <w:lang w:eastAsia="ja-JP"/>
        </w:rPr>
        <w:t xml:space="preserve"> </w:t>
      </w:r>
      <w:r w:rsidR="00991939">
        <w:rPr>
          <w:lang w:eastAsia="ja-JP"/>
        </w:rPr>
        <w:t>and</w:t>
      </w:r>
      <w:r w:rsidR="000159A6">
        <w:rPr>
          <w:lang w:eastAsia="ja-JP"/>
        </w:rPr>
        <w:t xml:space="preserve"> </w:t>
      </w:r>
      <w:r>
        <w:rPr>
          <w:lang w:eastAsia="ja-JP"/>
        </w:rPr>
        <w:t>6</w:t>
      </w:r>
      <w:r w:rsidR="000159A6">
        <w:rPr>
          <w:lang w:eastAsia="ja-JP"/>
        </w:rPr>
        <w:t xml:space="preserve"> </w:t>
      </w:r>
      <w:r>
        <w:rPr>
          <w:lang w:eastAsia="ja-JP"/>
        </w:rPr>
        <w:t>month</w:t>
      </w:r>
      <w:r w:rsidR="000159A6">
        <w:rPr>
          <w:lang w:eastAsia="ja-JP"/>
        </w:rPr>
        <w:t xml:space="preserve"> </w:t>
      </w:r>
      <w:r>
        <w:rPr>
          <w:lang w:eastAsia="ja-JP"/>
        </w:rPr>
        <w:t>vaccination</w:t>
      </w:r>
      <w:r w:rsidR="000159A6">
        <w:rPr>
          <w:lang w:eastAsia="ja-JP"/>
        </w:rPr>
        <w:t xml:space="preserve"> </w:t>
      </w:r>
      <w:r>
        <w:rPr>
          <w:lang w:eastAsia="ja-JP"/>
        </w:rPr>
        <w:t>schedule</w:t>
      </w:r>
      <w:r w:rsidR="000159A6">
        <w:rPr>
          <w:lang w:eastAsia="ja-JP"/>
        </w:rPr>
        <w:t xml:space="preserve"> </w:t>
      </w:r>
      <w:r>
        <w:rPr>
          <w:lang w:eastAsia="ja-JP"/>
        </w:rPr>
        <w:t>was</w:t>
      </w:r>
      <w:r w:rsidR="000159A6">
        <w:rPr>
          <w:lang w:eastAsia="ja-JP"/>
        </w:rPr>
        <w:t xml:space="preserve"> </w:t>
      </w:r>
      <w:r>
        <w:rPr>
          <w:lang w:eastAsia="ja-JP"/>
        </w:rPr>
        <w:t>non-inferior</w:t>
      </w:r>
      <w:r w:rsidR="000159A6">
        <w:rPr>
          <w:lang w:eastAsia="ja-JP"/>
        </w:rPr>
        <w:t xml:space="preserve"> </w:t>
      </w:r>
      <w:r>
        <w:rPr>
          <w:lang w:eastAsia="ja-JP"/>
        </w:rPr>
        <w:t>to</w:t>
      </w:r>
      <w:r w:rsidR="000159A6">
        <w:rPr>
          <w:lang w:eastAsia="ja-JP"/>
        </w:rPr>
        <w:t xml:space="preserve"> </w:t>
      </w:r>
      <w:r>
        <w:rPr>
          <w:lang w:eastAsia="ja-JP"/>
        </w:rPr>
        <w:t>the</w:t>
      </w:r>
      <w:r w:rsidR="000159A6">
        <w:rPr>
          <w:lang w:eastAsia="ja-JP"/>
        </w:rPr>
        <w:t xml:space="preserve"> </w:t>
      </w:r>
      <w:r>
        <w:rPr>
          <w:lang w:eastAsia="ja-JP"/>
        </w:rPr>
        <w:t>0</w:t>
      </w:r>
      <w:r w:rsidR="000159A6">
        <w:rPr>
          <w:lang w:eastAsia="ja-JP"/>
        </w:rPr>
        <w:t xml:space="preserve"> </w:t>
      </w:r>
      <w:r w:rsidR="00392EF0">
        <w:rPr>
          <w:lang w:eastAsia="ja-JP"/>
        </w:rPr>
        <w:t>and</w:t>
      </w:r>
      <w:r w:rsidR="000159A6">
        <w:rPr>
          <w:lang w:eastAsia="ja-JP"/>
        </w:rPr>
        <w:t xml:space="preserve"> </w:t>
      </w:r>
      <w:r>
        <w:rPr>
          <w:lang w:eastAsia="ja-JP"/>
        </w:rPr>
        <w:t>2</w:t>
      </w:r>
      <w:r w:rsidR="000159A6">
        <w:rPr>
          <w:lang w:eastAsia="ja-JP"/>
        </w:rPr>
        <w:t xml:space="preserve"> </w:t>
      </w:r>
      <w:r>
        <w:rPr>
          <w:lang w:eastAsia="ja-JP"/>
        </w:rPr>
        <w:t>month</w:t>
      </w:r>
      <w:r w:rsidR="000159A6">
        <w:rPr>
          <w:lang w:eastAsia="ja-JP"/>
        </w:rPr>
        <w:t xml:space="preserve"> </w:t>
      </w:r>
      <w:r>
        <w:rPr>
          <w:lang w:eastAsia="ja-JP"/>
        </w:rPr>
        <w:t>schedule</w:t>
      </w:r>
      <w:r w:rsidR="000159A6">
        <w:rPr>
          <w:lang w:eastAsia="ja-JP"/>
        </w:rPr>
        <w:t xml:space="preserve"> </w:t>
      </w:r>
      <w:r>
        <w:rPr>
          <w:lang w:eastAsia="ja-JP"/>
        </w:rPr>
        <w:t>based</w:t>
      </w:r>
      <w:r w:rsidR="000159A6">
        <w:rPr>
          <w:lang w:eastAsia="ja-JP"/>
        </w:rPr>
        <w:t xml:space="preserve"> </w:t>
      </w:r>
      <w:r>
        <w:rPr>
          <w:lang w:eastAsia="ja-JP"/>
        </w:rPr>
        <w:t>on</w:t>
      </w:r>
      <w:r w:rsidR="000159A6">
        <w:rPr>
          <w:lang w:eastAsia="ja-JP"/>
        </w:rPr>
        <w:t xml:space="preserve"> </w:t>
      </w:r>
      <w:r>
        <w:rPr>
          <w:lang w:eastAsia="ja-JP"/>
        </w:rPr>
        <w:t>humoral</w:t>
      </w:r>
      <w:r w:rsidR="000159A6">
        <w:rPr>
          <w:lang w:eastAsia="ja-JP"/>
        </w:rPr>
        <w:t xml:space="preserve"> </w:t>
      </w:r>
      <w:r>
        <w:rPr>
          <w:lang w:eastAsia="ja-JP"/>
        </w:rPr>
        <w:t>immune</w:t>
      </w:r>
      <w:r w:rsidR="000159A6">
        <w:rPr>
          <w:lang w:eastAsia="ja-JP"/>
        </w:rPr>
        <w:t xml:space="preserve"> </w:t>
      </w:r>
      <w:r>
        <w:rPr>
          <w:lang w:eastAsia="ja-JP"/>
        </w:rPr>
        <w:t>response.</w:t>
      </w:r>
      <w:r w:rsidR="000159A6">
        <w:rPr>
          <w:lang w:eastAsia="ja-JP"/>
        </w:rPr>
        <w:t xml:space="preserve"> </w:t>
      </w:r>
      <w:r>
        <w:rPr>
          <w:lang w:eastAsia="ja-JP"/>
        </w:rPr>
        <w:t>Nonetheless,</w:t>
      </w:r>
      <w:r w:rsidR="000159A6">
        <w:rPr>
          <w:lang w:eastAsia="ja-JP"/>
        </w:rPr>
        <w:t xml:space="preserve"> </w:t>
      </w:r>
      <w:r>
        <w:rPr>
          <w:lang w:eastAsia="ja-JP"/>
        </w:rPr>
        <w:t>due</w:t>
      </w:r>
      <w:r w:rsidR="000159A6">
        <w:rPr>
          <w:lang w:eastAsia="ja-JP"/>
        </w:rPr>
        <w:t xml:space="preserve"> </w:t>
      </w:r>
      <w:r>
        <w:rPr>
          <w:lang w:eastAsia="ja-JP"/>
        </w:rPr>
        <w:t>to</w:t>
      </w:r>
      <w:r w:rsidR="000159A6">
        <w:rPr>
          <w:lang w:eastAsia="ja-JP"/>
        </w:rPr>
        <w:t xml:space="preserve"> </w:t>
      </w:r>
      <w:r>
        <w:rPr>
          <w:lang w:eastAsia="ja-JP"/>
        </w:rPr>
        <w:t>the</w:t>
      </w:r>
      <w:r w:rsidR="000159A6">
        <w:rPr>
          <w:lang w:eastAsia="ja-JP"/>
        </w:rPr>
        <w:t xml:space="preserve"> </w:t>
      </w:r>
      <w:r>
        <w:rPr>
          <w:lang w:eastAsia="ja-JP"/>
        </w:rPr>
        <w:t>lack</w:t>
      </w:r>
      <w:r w:rsidR="000159A6">
        <w:rPr>
          <w:lang w:eastAsia="ja-JP"/>
        </w:rPr>
        <w:t xml:space="preserve"> </w:t>
      </w:r>
      <w:r>
        <w:rPr>
          <w:lang w:eastAsia="ja-JP"/>
        </w:rPr>
        <w:t>of</w:t>
      </w:r>
      <w:r w:rsidR="000159A6">
        <w:rPr>
          <w:lang w:eastAsia="ja-JP"/>
        </w:rPr>
        <w:t xml:space="preserve"> </w:t>
      </w:r>
      <w:r>
        <w:rPr>
          <w:lang w:eastAsia="ja-JP"/>
        </w:rPr>
        <w:t>correlates</w:t>
      </w:r>
      <w:r w:rsidR="000159A6">
        <w:rPr>
          <w:lang w:eastAsia="ja-JP"/>
        </w:rPr>
        <w:t xml:space="preserve"> </w:t>
      </w:r>
      <w:r>
        <w:rPr>
          <w:lang w:eastAsia="ja-JP"/>
        </w:rPr>
        <w:t>of</w:t>
      </w:r>
      <w:r w:rsidR="000159A6">
        <w:rPr>
          <w:lang w:eastAsia="ja-JP"/>
        </w:rPr>
        <w:t xml:space="preserve"> </w:t>
      </w:r>
      <w:r>
        <w:rPr>
          <w:lang w:eastAsia="ja-JP"/>
        </w:rPr>
        <w:t>protection</w:t>
      </w:r>
      <w:r w:rsidR="000159A6">
        <w:rPr>
          <w:lang w:eastAsia="ja-JP"/>
        </w:rPr>
        <w:t xml:space="preserve"> </w:t>
      </w:r>
      <w:r>
        <w:rPr>
          <w:lang w:eastAsia="ja-JP"/>
        </w:rPr>
        <w:t>and</w:t>
      </w:r>
      <w:r w:rsidR="000159A6">
        <w:rPr>
          <w:lang w:eastAsia="ja-JP"/>
        </w:rPr>
        <w:t xml:space="preserve"> </w:t>
      </w:r>
      <w:r>
        <w:rPr>
          <w:lang w:eastAsia="ja-JP"/>
        </w:rPr>
        <w:t>lack</w:t>
      </w:r>
      <w:r w:rsidR="000159A6">
        <w:rPr>
          <w:lang w:eastAsia="ja-JP"/>
        </w:rPr>
        <w:t xml:space="preserve"> </w:t>
      </w:r>
      <w:r>
        <w:rPr>
          <w:lang w:eastAsia="ja-JP"/>
        </w:rPr>
        <w:t>of</w:t>
      </w:r>
      <w:r w:rsidR="000159A6">
        <w:rPr>
          <w:lang w:eastAsia="ja-JP"/>
        </w:rPr>
        <w:t xml:space="preserve"> </w:t>
      </w:r>
      <w:r>
        <w:rPr>
          <w:lang w:eastAsia="ja-JP"/>
        </w:rPr>
        <w:t>CMI</w:t>
      </w:r>
      <w:r w:rsidR="000159A6">
        <w:rPr>
          <w:lang w:eastAsia="ja-JP"/>
        </w:rPr>
        <w:t xml:space="preserve"> </w:t>
      </w:r>
      <w:r>
        <w:rPr>
          <w:lang w:eastAsia="ja-JP"/>
        </w:rPr>
        <w:t>data</w:t>
      </w:r>
      <w:r w:rsidR="000159A6">
        <w:rPr>
          <w:lang w:eastAsia="ja-JP"/>
        </w:rPr>
        <w:t xml:space="preserve"> </w:t>
      </w:r>
      <w:r>
        <w:rPr>
          <w:lang w:eastAsia="ja-JP"/>
        </w:rPr>
        <w:t>the</w:t>
      </w:r>
      <w:r w:rsidR="000159A6">
        <w:rPr>
          <w:lang w:eastAsia="ja-JP"/>
        </w:rPr>
        <w:t xml:space="preserve"> </w:t>
      </w:r>
      <w:r>
        <w:rPr>
          <w:lang w:eastAsia="ja-JP"/>
        </w:rPr>
        <w:t>0</w:t>
      </w:r>
      <w:r w:rsidR="000159A6">
        <w:rPr>
          <w:lang w:eastAsia="ja-JP"/>
        </w:rPr>
        <w:t xml:space="preserve"> </w:t>
      </w:r>
      <w:r w:rsidR="00392EF0">
        <w:rPr>
          <w:lang w:eastAsia="ja-JP"/>
        </w:rPr>
        <w:t>and</w:t>
      </w:r>
      <w:r w:rsidR="000159A6">
        <w:rPr>
          <w:lang w:eastAsia="ja-JP"/>
        </w:rPr>
        <w:t xml:space="preserve"> </w:t>
      </w:r>
      <w:r>
        <w:rPr>
          <w:lang w:eastAsia="ja-JP"/>
        </w:rPr>
        <w:t>6</w:t>
      </w:r>
      <w:r w:rsidR="000159A6">
        <w:rPr>
          <w:lang w:eastAsia="ja-JP"/>
        </w:rPr>
        <w:t xml:space="preserve"> </w:t>
      </w:r>
      <w:r>
        <w:rPr>
          <w:lang w:eastAsia="ja-JP"/>
        </w:rPr>
        <w:t>month</w:t>
      </w:r>
      <w:r w:rsidR="000159A6">
        <w:rPr>
          <w:lang w:eastAsia="ja-JP"/>
        </w:rPr>
        <w:t xml:space="preserve"> </w:t>
      </w:r>
      <w:r>
        <w:rPr>
          <w:lang w:eastAsia="ja-JP"/>
        </w:rPr>
        <w:t>schedule</w:t>
      </w:r>
      <w:r w:rsidR="000159A6">
        <w:rPr>
          <w:lang w:eastAsia="ja-JP"/>
        </w:rPr>
        <w:t xml:space="preserve"> </w:t>
      </w:r>
      <w:r>
        <w:rPr>
          <w:lang w:eastAsia="ja-JP"/>
        </w:rPr>
        <w:t>cannot</w:t>
      </w:r>
      <w:r w:rsidR="000159A6">
        <w:rPr>
          <w:lang w:eastAsia="ja-JP"/>
        </w:rPr>
        <w:t xml:space="preserve"> </w:t>
      </w:r>
      <w:r>
        <w:rPr>
          <w:lang w:eastAsia="ja-JP"/>
        </w:rPr>
        <w:t>be</w:t>
      </w:r>
      <w:r w:rsidR="000159A6">
        <w:rPr>
          <w:lang w:eastAsia="ja-JP"/>
        </w:rPr>
        <w:t xml:space="preserve"> </w:t>
      </w:r>
      <w:r>
        <w:rPr>
          <w:lang w:eastAsia="ja-JP"/>
        </w:rPr>
        <w:t>supported</w:t>
      </w:r>
      <w:r w:rsidR="000159A6">
        <w:rPr>
          <w:lang w:eastAsia="ja-JP"/>
        </w:rPr>
        <w:t xml:space="preserve"> </w:t>
      </w:r>
      <w:r>
        <w:rPr>
          <w:lang w:eastAsia="ja-JP"/>
        </w:rPr>
        <w:t>at</w:t>
      </w:r>
      <w:r w:rsidR="000159A6">
        <w:rPr>
          <w:lang w:eastAsia="ja-JP"/>
        </w:rPr>
        <w:t xml:space="preserve"> </w:t>
      </w:r>
      <w:r>
        <w:rPr>
          <w:lang w:eastAsia="ja-JP"/>
        </w:rPr>
        <w:t>this</w:t>
      </w:r>
      <w:r w:rsidR="000159A6">
        <w:rPr>
          <w:lang w:eastAsia="ja-JP"/>
        </w:rPr>
        <w:t xml:space="preserve"> </w:t>
      </w:r>
      <w:r>
        <w:rPr>
          <w:lang w:eastAsia="ja-JP"/>
        </w:rPr>
        <w:t>stage.</w:t>
      </w:r>
      <w:r w:rsidR="000159A6">
        <w:rPr>
          <w:lang w:eastAsia="ja-JP"/>
        </w:rPr>
        <w:t xml:space="preserve"> </w:t>
      </w:r>
      <w:r>
        <w:rPr>
          <w:lang w:eastAsia="ja-JP"/>
        </w:rPr>
        <w:t>The</w:t>
      </w:r>
      <w:r w:rsidR="000159A6">
        <w:rPr>
          <w:lang w:eastAsia="ja-JP"/>
        </w:rPr>
        <w:t xml:space="preserve"> </w:t>
      </w:r>
      <w:r>
        <w:rPr>
          <w:lang w:eastAsia="ja-JP"/>
        </w:rPr>
        <w:t>0</w:t>
      </w:r>
      <w:r w:rsidR="000159A6">
        <w:rPr>
          <w:lang w:eastAsia="ja-JP"/>
        </w:rPr>
        <w:t xml:space="preserve"> </w:t>
      </w:r>
      <w:r w:rsidR="00392EF0">
        <w:rPr>
          <w:lang w:eastAsia="ja-JP"/>
        </w:rPr>
        <w:t>and</w:t>
      </w:r>
      <w:r w:rsidR="000159A6">
        <w:rPr>
          <w:lang w:eastAsia="ja-JP"/>
        </w:rPr>
        <w:t xml:space="preserve"> </w:t>
      </w:r>
      <w:r>
        <w:rPr>
          <w:lang w:eastAsia="ja-JP"/>
        </w:rPr>
        <w:t>12</w:t>
      </w:r>
      <w:r w:rsidR="000159A6">
        <w:rPr>
          <w:lang w:eastAsia="ja-JP"/>
        </w:rPr>
        <w:t xml:space="preserve"> </w:t>
      </w:r>
      <w:r>
        <w:rPr>
          <w:lang w:eastAsia="ja-JP"/>
        </w:rPr>
        <w:t>month</w:t>
      </w:r>
      <w:r w:rsidR="000159A6">
        <w:rPr>
          <w:lang w:eastAsia="ja-JP"/>
        </w:rPr>
        <w:t xml:space="preserve"> </w:t>
      </w:r>
      <w:r>
        <w:rPr>
          <w:lang w:eastAsia="ja-JP"/>
        </w:rPr>
        <w:t>schedule</w:t>
      </w:r>
      <w:r w:rsidR="000159A6">
        <w:rPr>
          <w:lang w:eastAsia="ja-JP"/>
        </w:rPr>
        <w:t xml:space="preserve"> </w:t>
      </w:r>
      <w:r>
        <w:rPr>
          <w:lang w:eastAsia="ja-JP"/>
        </w:rPr>
        <w:t>did</w:t>
      </w:r>
      <w:r w:rsidR="000159A6">
        <w:rPr>
          <w:lang w:eastAsia="ja-JP"/>
        </w:rPr>
        <w:t xml:space="preserve"> </w:t>
      </w:r>
      <w:r>
        <w:rPr>
          <w:lang w:eastAsia="ja-JP"/>
        </w:rPr>
        <w:t>not</w:t>
      </w:r>
      <w:r w:rsidR="000159A6">
        <w:rPr>
          <w:lang w:eastAsia="ja-JP"/>
        </w:rPr>
        <w:t xml:space="preserve"> </w:t>
      </w:r>
      <w:r>
        <w:rPr>
          <w:lang w:eastAsia="ja-JP"/>
        </w:rPr>
        <w:t>meet</w:t>
      </w:r>
      <w:r w:rsidR="000159A6">
        <w:rPr>
          <w:lang w:eastAsia="ja-JP"/>
        </w:rPr>
        <w:t xml:space="preserve"> </w:t>
      </w:r>
      <w:r>
        <w:rPr>
          <w:lang w:eastAsia="ja-JP"/>
        </w:rPr>
        <w:t>non-inferiority</w:t>
      </w:r>
      <w:r w:rsidR="000159A6">
        <w:rPr>
          <w:lang w:eastAsia="ja-JP"/>
        </w:rPr>
        <w:t xml:space="preserve"> </w:t>
      </w:r>
      <w:r>
        <w:rPr>
          <w:lang w:eastAsia="ja-JP"/>
        </w:rPr>
        <w:t>criteria.</w:t>
      </w:r>
    </w:p>
    <w:p w14:paraId="4F5768A0" w14:textId="4873D4C9" w:rsidR="001F6DEC" w:rsidRDefault="001F6DEC" w:rsidP="001F6DEC">
      <w:pPr>
        <w:rPr>
          <w:lang w:eastAsia="ja-JP"/>
        </w:rPr>
      </w:pPr>
      <w:r>
        <w:rPr>
          <w:lang w:eastAsia="ja-JP"/>
        </w:rPr>
        <w:t>The</w:t>
      </w:r>
      <w:r w:rsidR="000159A6">
        <w:rPr>
          <w:lang w:eastAsia="ja-JP"/>
        </w:rPr>
        <w:t xml:space="preserve"> </w:t>
      </w:r>
      <w:r>
        <w:rPr>
          <w:lang w:eastAsia="ja-JP"/>
        </w:rPr>
        <w:t>vaccine</w:t>
      </w:r>
      <w:r w:rsidR="000159A6">
        <w:rPr>
          <w:lang w:eastAsia="ja-JP"/>
        </w:rPr>
        <w:t xml:space="preserve"> </w:t>
      </w:r>
      <w:r>
        <w:rPr>
          <w:lang w:eastAsia="ja-JP"/>
        </w:rPr>
        <w:t>was</w:t>
      </w:r>
      <w:r w:rsidR="000159A6">
        <w:rPr>
          <w:lang w:eastAsia="ja-JP"/>
        </w:rPr>
        <w:t xml:space="preserve"> </w:t>
      </w:r>
      <w:r>
        <w:rPr>
          <w:lang w:eastAsia="ja-JP"/>
        </w:rPr>
        <w:t>immunogenic</w:t>
      </w:r>
      <w:r w:rsidR="000159A6">
        <w:rPr>
          <w:lang w:eastAsia="ja-JP"/>
        </w:rPr>
        <w:t xml:space="preserve"> </w:t>
      </w:r>
      <w:r>
        <w:rPr>
          <w:lang w:eastAsia="ja-JP"/>
        </w:rPr>
        <w:t>in</w:t>
      </w:r>
      <w:r w:rsidR="000159A6">
        <w:rPr>
          <w:lang w:eastAsia="ja-JP"/>
        </w:rPr>
        <w:t xml:space="preserve"> </w:t>
      </w:r>
      <w:r>
        <w:rPr>
          <w:lang w:eastAsia="ja-JP"/>
        </w:rPr>
        <w:t>subjects</w:t>
      </w:r>
      <w:r w:rsidR="000159A6">
        <w:rPr>
          <w:lang w:eastAsia="ja-JP"/>
        </w:rPr>
        <w:t xml:space="preserve"> </w:t>
      </w:r>
      <w:r>
        <w:rPr>
          <w:lang w:eastAsia="ja-JP"/>
        </w:rPr>
        <w:t>with</w:t>
      </w:r>
      <w:r w:rsidR="000159A6">
        <w:rPr>
          <w:lang w:eastAsia="ja-JP"/>
        </w:rPr>
        <w:t xml:space="preserve"> </w:t>
      </w:r>
      <w:r>
        <w:rPr>
          <w:lang w:eastAsia="ja-JP"/>
        </w:rPr>
        <w:t>a</w:t>
      </w:r>
      <w:r w:rsidR="000159A6">
        <w:rPr>
          <w:lang w:eastAsia="ja-JP"/>
        </w:rPr>
        <w:t xml:space="preserve"> </w:t>
      </w:r>
      <w:r>
        <w:rPr>
          <w:lang w:eastAsia="ja-JP"/>
        </w:rPr>
        <w:t>prior</w:t>
      </w:r>
      <w:r w:rsidR="000159A6">
        <w:rPr>
          <w:lang w:eastAsia="ja-JP"/>
        </w:rPr>
        <w:t xml:space="preserve"> </w:t>
      </w:r>
      <w:r>
        <w:rPr>
          <w:lang w:eastAsia="ja-JP"/>
        </w:rPr>
        <w:t>episode</w:t>
      </w:r>
      <w:r w:rsidR="000159A6">
        <w:rPr>
          <w:lang w:eastAsia="ja-JP"/>
        </w:rPr>
        <w:t xml:space="preserve"> </w:t>
      </w:r>
      <w:r>
        <w:rPr>
          <w:lang w:eastAsia="ja-JP"/>
        </w:rPr>
        <w:t>of</w:t>
      </w:r>
      <w:r w:rsidR="000159A6">
        <w:rPr>
          <w:lang w:eastAsia="ja-JP"/>
        </w:rPr>
        <w:t xml:space="preserve"> </w:t>
      </w:r>
      <w:r>
        <w:rPr>
          <w:lang w:eastAsia="ja-JP"/>
        </w:rPr>
        <w:t>HZ.</w:t>
      </w:r>
    </w:p>
    <w:p w14:paraId="3BCD60E3" w14:textId="16FB6B15" w:rsidR="001F6DEC" w:rsidRPr="001F6DEC" w:rsidRDefault="001F6DEC" w:rsidP="00541F41">
      <w:pPr>
        <w:rPr>
          <w:lang w:eastAsia="ja-JP"/>
        </w:rPr>
      </w:pPr>
      <w:r w:rsidRPr="00514564">
        <w:rPr>
          <w:lang w:eastAsia="ja-JP"/>
        </w:rPr>
        <w:lastRenderedPageBreak/>
        <w:t>The</w:t>
      </w:r>
      <w:r w:rsidR="000159A6">
        <w:rPr>
          <w:lang w:eastAsia="ja-JP"/>
        </w:rPr>
        <w:t xml:space="preserve"> </w:t>
      </w:r>
      <w:r w:rsidRPr="00514564">
        <w:rPr>
          <w:lang w:eastAsia="ja-JP"/>
        </w:rPr>
        <w:t>indication</w:t>
      </w:r>
      <w:r w:rsidR="000159A6">
        <w:rPr>
          <w:lang w:eastAsia="ja-JP"/>
        </w:rPr>
        <w:t xml:space="preserve"> </w:t>
      </w:r>
      <w:r w:rsidRPr="00514564">
        <w:rPr>
          <w:lang w:eastAsia="ja-JP"/>
        </w:rPr>
        <w:t>for</w:t>
      </w:r>
      <w:r w:rsidR="000159A6">
        <w:rPr>
          <w:lang w:eastAsia="ja-JP"/>
        </w:rPr>
        <w:t xml:space="preserve"> </w:t>
      </w:r>
      <w:r w:rsidRPr="00514564">
        <w:rPr>
          <w:lang w:eastAsia="ja-JP"/>
        </w:rPr>
        <w:t>use</w:t>
      </w:r>
      <w:r w:rsidR="000159A6">
        <w:rPr>
          <w:lang w:eastAsia="ja-JP"/>
        </w:rPr>
        <w:t xml:space="preserve"> </w:t>
      </w:r>
      <w:r w:rsidRPr="00514564">
        <w:rPr>
          <w:lang w:eastAsia="ja-JP"/>
        </w:rPr>
        <w:t>in</w:t>
      </w:r>
      <w:r w:rsidR="000159A6">
        <w:rPr>
          <w:lang w:eastAsia="ja-JP"/>
        </w:rPr>
        <w:t xml:space="preserve"> </w:t>
      </w:r>
      <w:r w:rsidRPr="00514564">
        <w:rPr>
          <w:lang w:eastAsia="ja-JP"/>
        </w:rPr>
        <w:t>immunocompromised</w:t>
      </w:r>
      <w:r w:rsidR="000159A6">
        <w:rPr>
          <w:lang w:eastAsia="ja-JP"/>
        </w:rPr>
        <w:t xml:space="preserve"> </w:t>
      </w:r>
      <w:r w:rsidRPr="00514564">
        <w:rPr>
          <w:lang w:eastAsia="ja-JP"/>
        </w:rPr>
        <w:t>subjects</w:t>
      </w:r>
      <w:r w:rsidR="000159A6">
        <w:rPr>
          <w:lang w:eastAsia="ja-JP"/>
        </w:rPr>
        <w:t xml:space="preserve"> </w:t>
      </w:r>
      <w:r w:rsidRPr="00514564">
        <w:rPr>
          <w:lang w:eastAsia="ja-JP"/>
        </w:rPr>
        <w:t>is</w:t>
      </w:r>
      <w:r w:rsidR="000159A6">
        <w:rPr>
          <w:lang w:eastAsia="ja-JP"/>
        </w:rPr>
        <w:t xml:space="preserve"> </w:t>
      </w:r>
      <w:r w:rsidRPr="00514564">
        <w:rPr>
          <w:lang w:eastAsia="ja-JP"/>
        </w:rPr>
        <w:t>not</w:t>
      </w:r>
      <w:r w:rsidR="000159A6">
        <w:rPr>
          <w:lang w:eastAsia="ja-JP"/>
        </w:rPr>
        <w:t xml:space="preserve"> </w:t>
      </w:r>
      <w:r w:rsidRPr="00514564">
        <w:rPr>
          <w:lang w:eastAsia="ja-JP"/>
        </w:rPr>
        <w:t>the</w:t>
      </w:r>
      <w:r w:rsidR="000159A6">
        <w:rPr>
          <w:lang w:eastAsia="ja-JP"/>
        </w:rPr>
        <w:t xml:space="preserve"> </w:t>
      </w:r>
      <w:r w:rsidRPr="00514564">
        <w:rPr>
          <w:lang w:eastAsia="ja-JP"/>
        </w:rPr>
        <w:t>subject</w:t>
      </w:r>
      <w:r w:rsidR="000159A6">
        <w:rPr>
          <w:lang w:eastAsia="ja-JP"/>
        </w:rPr>
        <w:t xml:space="preserve"> </w:t>
      </w:r>
      <w:r w:rsidRPr="00514564">
        <w:rPr>
          <w:lang w:eastAsia="ja-JP"/>
        </w:rPr>
        <w:t>of</w:t>
      </w:r>
      <w:r w:rsidR="000159A6">
        <w:rPr>
          <w:lang w:eastAsia="ja-JP"/>
        </w:rPr>
        <w:t xml:space="preserve"> </w:t>
      </w:r>
      <w:r w:rsidRPr="00514564">
        <w:rPr>
          <w:lang w:eastAsia="ja-JP"/>
        </w:rPr>
        <w:t>this</w:t>
      </w:r>
      <w:r w:rsidR="000159A6">
        <w:rPr>
          <w:lang w:eastAsia="ja-JP"/>
        </w:rPr>
        <w:t xml:space="preserve"> </w:t>
      </w:r>
      <w:r w:rsidRPr="00514564">
        <w:rPr>
          <w:lang w:eastAsia="ja-JP"/>
        </w:rPr>
        <w:t>submission.</w:t>
      </w:r>
      <w:r w:rsidR="000159A6">
        <w:rPr>
          <w:lang w:eastAsia="ja-JP"/>
        </w:rPr>
        <w:t xml:space="preserve"> </w:t>
      </w:r>
      <w:r w:rsidRPr="00514564">
        <w:rPr>
          <w:lang w:eastAsia="ja-JP"/>
        </w:rPr>
        <w:t>The</w:t>
      </w:r>
      <w:r w:rsidR="000159A6">
        <w:rPr>
          <w:lang w:eastAsia="ja-JP"/>
        </w:rPr>
        <w:t xml:space="preserve"> </w:t>
      </w:r>
      <w:r w:rsidRPr="00514564">
        <w:rPr>
          <w:lang w:eastAsia="ja-JP"/>
        </w:rPr>
        <w:t>two</w:t>
      </w:r>
      <w:r w:rsidR="000159A6">
        <w:rPr>
          <w:lang w:eastAsia="ja-JP"/>
        </w:rPr>
        <w:t xml:space="preserve"> </w:t>
      </w:r>
      <w:r w:rsidRPr="00514564">
        <w:rPr>
          <w:lang w:eastAsia="ja-JP"/>
        </w:rPr>
        <w:t>submitted</w:t>
      </w:r>
      <w:r w:rsidR="000159A6">
        <w:rPr>
          <w:lang w:eastAsia="ja-JP"/>
        </w:rPr>
        <w:t xml:space="preserve"> </w:t>
      </w:r>
      <w:r w:rsidRPr="00514564">
        <w:rPr>
          <w:lang w:eastAsia="ja-JP"/>
        </w:rPr>
        <w:t>studies</w:t>
      </w:r>
      <w:r w:rsidR="000159A6">
        <w:rPr>
          <w:lang w:eastAsia="ja-JP"/>
        </w:rPr>
        <w:t xml:space="preserve"> </w:t>
      </w:r>
      <w:r w:rsidRPr="00514564">
        <w:rPr>
          <w:lang w:eastAsia="ja-JP"/>
        </w:rPr>
        <w:t>in</w:t>
      </w:r>
      <w:r w:rsidR="000159A6">
        <w:rPr>
          <w:lang w:eastAsia="ja-JP"/>
        </w:rPr>
        <w:t xml:space="preserve"> </w:t>
      </w:r>
      <w:r w:rsidRPr="00514564">
        <w:rPr>
          <w:lang w:eastAsia="ja-JP"/>
        </w:rPr>
        <w:t>autologous</w:t>
      </w:r>
      <w:r w:rsidR="000159A6">
        <w:rPr>
          <w:lang w:eastAsia="ja-JP"/>
        </w:rPr>
        <w:t xml:space="preserve"> </w:t>
      </w:r>
      <w:r w:rsidRPr="00514564">
        <w:rPr>
          <w:lang w:eastAsia="ja-JP"/>
        </w:rPr>
        <w:t>HCT</w:t>
      </w:r>
      <w:r w:rsidR="000159A6">
        <w:rPr>
          <w:lang w:eastAsia="ja-JP"/>
        </w:rPr>
        <w:t xml:space="preserve"> </w:t>
      </w:r>
      <w:r w:rsidRPr="00514564">
        <w:rPr>
          <w:lang w:eastAsia="ja-JP"/>
        </w:rPr>
        <w:t>recipients</w:t>
      </w:r>
      <w:r w:rsidR="000159A6">
        <w:rPr>
          <w:lang w:eastAsia="ja-JP"/>
        </w:rPr>
        <w:t xml:space="preserve"> </w:t>
      </w:r>
      <w:r w:rsidRPr="00514564">
        <w:rPr>
          <w:lang w:eastAsia="ja-JP"/>
        </w:rPr>
        <w:t>and</w:t>
      </w:r>
      <w:r w:rsidR="000159A6">
        <w:rPr>
          <w:lang w:eastAsia="ja-JP"/>
        </w:rPr>
        <w:t xml:space="preserve"> </w:t>
      </w:r>
      <w:r w:rsidRPr="00514564">
        <w:rPr>
          <w:lang w:eastAsia="ja-JP"/>
        </w:rPr>
        <w:t>HIV-infected</w:t>
      </w:r>
      <w:r w:rsidR="000159A6">
        <w:rPr>
          <w:lang w:eastAsia="ja-JP"/>
        </w:rPr>
        <w:t xml:space="preserve"> </w:t>
      </w:r>
      <w:r w:rsidRPr="00514564">
        <w:rPr>
          <w:lang w:eastAsia="ja-JP"/>
        </w:rPr>
        <w:t>adults</w:t>
      </w:r>
      <w:r w:rsidR="000159A6">
        <w:rPr>
          <w:lang w:eastAsia="ja-JP"/>
        </w:rPr>
        <w:t xml:space="preserve"> </w:t>
      </w:r>
      <w:r w:rsidRPr="00514564">
        <w:rPr>
          <w:lang w:eastAsia="ja-JP"/>
        </w:rPr>
        <w:t>found</w:t>
      </w:r>
      <w:r w:rsidR="000159A6">
        <w:rPr>
          <w:lang w:eastAsia="ja-JP"/>
        </w:rPr>
        <w:t xml:space="preserve"> </w:t>
      </w:r>
      <w:r w:rsidRPr="00514564">
        <w:rPr>
          <w:lang w:eastAsia="ja-JP"/>
        </w:rPr>
        <w:t>that</w:t>
      </w:r>
      <w:r w:rsidR="000159A6">
        <w:rPr>
          <w:lang w:eastAsia="ja-JP"/>
        </w:rPr>
        <w:t xml:space="preserve"> </w:t>
      </w:r>
      <w:r w:rsidR="00EF22C7">
        <w:rPr>
          <w:lang w:eastAsia="ja-JP"/>
        </w:rPr>
        <w:t>three</w:t>
      </w:r>
      <w:r w:rsidR="000159A6">
        <w:rPr>
          <w:lang w:eastAsia="ja-JP"/>
        </w:rPr>
        <w:t xml:space="preserve"> </w:t>
      </w:r>
      <w:r w:rsidRPr="00514564">
        <w:rPr>
          <w:lang w:eastAsia="ja-JP"/>
        </w:rPr>
        <w:t>doses</w:t>
      </w:r>
      <w:r w:rsidR="000159A6">
        <w:rPr>
          <w:lang w:eastAsia="ja-JP"/>
        </w:rPr>
        <w:t xml:space="preserve"> </w:t>
      </w:r>
      <w:r w:rsidRPr="00514564">
        <w:rPr>
          <w:lang w:eastAsia="ja-JP"/>
        </w:rPr>
        <w:t>of</w:t>
      </w:r>
      <w:r w:rsidR="000159A6">
        <w:rPr>
          <w:lang w:eastAsia="ja-JP"/>
        </w:rPr>
        <w:t xml:space="preserve"> </w:t>
      </w:r>
      <w:r w:rsidRPr="00514564">
        <w:rPr>
          <w:lang w:eastAsia="ja-JP"/>
        </w:rPr>
        <w:t>vaccine</w:t>
      </w:r>
      <w:r w:rsidR="000159A6">
        <w:rPr>
          <w:lang w:eastAsia="ja-JP"/>
        </w:rPr>
        <w:t xml:space="preserve"> </w:t>
      </w:r>
      <w:r w:rsidRPr="00514564">
        <w:rPr>
          <w:lang w:eastAsia="ja-JP"/>
        </w:rPr>
        <w:t>were</w:t>
      </w:r>
      <w:r w:rsidR="000159A6">
        <w:rPr>
          <w:lang w:eastAsia="ja-JP"/>
        </w:rPr>
        <w:t xml:space="preserve"> </w:t>
      </w:r>
      <w:r w:rsidRPr="00514564">
        <w:rPr>
          <w:lang w:eastAsia="ja-JP"/>
        </w:rPr>
        <w:t>immunogenic</w:t>
      </w:r>
      <w:r w:rsidR="0096043C">
        <w:rPr>
          <w:lang w:eastAsia="ja-JP"/>
        </w:rPr>
        <w:t>.</w:t>
      </w:r>
      <w:r w:rsidR="00EF22C7">
        <w:rPr>
          <w:rStyle w:val="FootnoteReference"/>
          <w:lang w:eastAsia="ja-JP"/>
        </w:rPr>
        <w:footnoteReference w:id="10"/>
      </w:r>
    </w:p>
    <w:p w14:paraId="594CB194" w14:textId="77777777" w:rsidR="008E7846" w:rsidRPr="00C95B23" w:rsidRDefault="008E7846" w:rsidP="00541F41">
      <w:pPr>
        <w:pStyle w:val="Heading3"/>
      </w:pPr>
      <w:bookmarkStart w:id="137" w:name="_Toc163441378"/>
      <w:bookmarkStart w:id="138" w:name="_Toc196046495"/>
      <w:bookmarkStart w:id="139" w:name="_Toc247691522"/>
      <w:bookmarkStart w:id="140" w:name="_Toc314842505"/>
      <w:bookmarkStart w:id="141" w:name="_Toc1049817"/>
      <w:bookmarkEnd w:id="123"/>
      <w:bookmarkEnd w:id="124"/>
      <w:bookmarkEnd w:id="125"/>
      <w:bookmarkEnd w:id="126"/>
      <w:r w:rsidRPr="00541F41">
        <w:t>Safety</w:t>
      </w:r>
      <w:bookmarkEnd w:id="137"/>
      <w:bookmarkEnd w:id="138"/>
      <w:bookmarkEnd w:id="139"/>
      <w:bookmarkEnd w:id="140"/>
      <w:bookmarkEnd w:id="141"/>
    </w:p>
    <w:p w14:paraId="631751E3" w14:textId="49B87059" w:rsidR="005C0A6F" w:rsidRPr="00C95B23" w:rsidRDefault="00605AD4" w:rsidP="00C95B23">
      <w:pPr>
        <w:pStyle w:val="Heading4"/>
      </w:pPr>
      <w:bookmarkStart w:id="142" w:name="_Toc247691524"/>
      <w:bookmarkStart w:id="143" w:name="_Toc314842508"/>
      <w:bookmarkStart w:id="144" w:name="_Toc196046504"/>
      <w:bookmarkStart w:id="145" w:name="_Toc163441390"/>
      <w:r w:rsidRPr="00C95B23">
        <w:t>Studies</w:t>
      </w:r>
      <w:r w:rsidR="000159A6" w:rsidRPr="00C95B23">
        <w:t xml:space="preserve"> </w:t>
      </w:r>
      <w:r w:rsidRPr="00C95B23">
        <w:t>providing</w:t>
      </w:r>
      <w:r w:rsidR="000159A6" w:rsidRPr="00C95B23">
        <w:t xml:space="preserve"> </w:t>
      </w:r>
      <w:r w:rsidRPr="00C95B23">
        <w:t>safety</w:t>
      </w:r>
      <w:r w:rsidR="000159A6" w:rsidRPr="00C95B23">
        <w:t xml:space="preserve"> </w:t>
      </w:r>
      <w:r w:rsidRPr="00C95B23">
        <w:t>data</w:t>
      </w:r>
    </w:p>
    <w:p w14:paraId="0AF438DC" w14:textId="3F2D5777" w:rsidR="0091081C" w:rsidRPr="00C95B23" w:rsidRDefault="0091081C" w:rsidP="00541F41">
      <w:pPr>
        <w:pStyle w:val="Heading5"/>
      </w:pPr>
      <w:bookmarkStart w:id="146" w:name="_Toc507578022"/>
      <w:r w:rsidRPr="00C95B23">
        <w:t>Pivotal</w:t>
      </w:r>
      <w:r w:rsidR="000159A6" w:rsidRPr="00C95B23">
        <w:t xml:space="preserve"> </w:t>
      </w:r>
      <w:r w:rsidRPr="00C95B23">
        <w:t>and/or</w:t>
      </w:r>
      <w:r w:rsidR="000159A6" w:rsidRPr="00C95B23">
        <w:t xml:space="preserve"> </w:t>
      </w:r>
      <w:r w:rsidRPr="00C95B23">
        <w:t>main</w:t>
      </w:r>
      <w:r w:rsidR="000159A6" w:rsidRPr="00C95B23">
        <w:t xml:space="preserve"> </w:t>
      </w:r>
      <w:r w:rsidRPr="00541F41">
        <w:t>efficacy</w:t>
      </w:r>
      <w:r w:rsidR="000159A6" w:rsidRPr="00C95B23">
        <w:t xml:space="preserve"> </w:t>
      </w:r>
      <w:r w:rsidRPr="00C95B23">
        <w:t>studies</w:t>
      </w:r>
      <w:bookmarkEnd w:id="146"/>
    </w:p>
    <w:p w14:paraId="2C049DA2" w14:textId="53291037" w:rsidR="0091081C" w:rsidRDefault="0091081C" w:rsidP="00541F41">
      <w:pPr>
        <w:rPr>
          <w:lang w:eastAsia="ja-JP"/>
        </w:rPr>
      </w:pPr>
      <w:r>
        <w:rPr>
          <w:lang w:eastAsia="ja-JP"/>
        </w:rPr>
        <w:t>In</w:t>
      </w:r>
      <w:r w:rsidR="000159A6">
        <w:rPr>
          <w:lang w:eastAsia="ja-JP"/>
        </w:rPr>
        <w:t xml:space="preserve"> </w:t>
      </w:r>
      <w:r w:rsidR="000D0435">
        <w:rPr>
          <w:lang w:eastAsia="ja-JP"/>
        </w:rPr>
        <w:t>Study</w:t>
      </w:r>
      <w:r w:rsidR="000159A6">
        <w:rPr>
          <w:lang w:eastAsia="ja-JP"/>
        </w:rPr>
        <w:t xml:space="preserve"> </w:t>
      </w:r>
      <w:r w:rsidR="000D0435">
        <w:rPr>
          <w:lang w:eastAsia="ja-JP"/>
        </w:rPr>
        <w:t>ZOSTER</w:t>
      </w:r>
      <w:r>
        <w:rPr>
          <w:lang w:eastAsia="ja-JP"/>
        </w:rPr>
        <w:t>-006</w:t>
      </w:r>
      <w:r w:rsidR="000159A6">
        <w:rPr>
          <w:lang w:eastAsia="ja-JP"/>
        </w:rPr>
        <w:t xml:space="preserve"> </w:t>
      </w:r>
      <w:r>
        <w:rPr>
          <w:lang w:eastAsia="ja-JP"/>
        </w:rPr>
        <w:t>and</w:t>
      </w:r>
      <w:r w:rsidR="000159A6">
        <w:rPr>
          <w:lang w:eastAsia="ja-JP"/>
        </w:rPr>
        <w:t xml:space="preserve"> </w:t>
      </w:r>
      <w:r w:rsidR="000D0435">
        <w:rPr>
          <w:lang w:eastAsia="ja-JP"/>
        </w:rPr>
        <w:t>Study</w:t>
      </w:r>
      <w:r w:rsidR="000159A6">
        <w:rPr>
          <w:lang w:eastAsia="ja-JP"/>
        </w:rPr>
        <w:t xml:space="preserve"> </w:t>
      </w:r>
      <w:r w:rsidR="000D0435">
        <w:rPr>
          <w:lang w:eastAsia="ja-JP"/>
        </w:rPr>
        <w:t>ZOSTER</w:t>
      </w:r>
      <w:r>
        <w:rPr>
          <w:lang w:eastAsia="ja-JP"/>
        </w:rPr>
        <w:t>-022,</w:t>
      </w:r>
      <w:r w:rsidR="000159A6">
        <w:rPr>
          <w:lang w:eastAsia="ja-JP"/>
        </w:rPr>
        <w:t xml:space="preserve"> </w:t>
      </w:r>
      <w:r>
        <w:rPr>
          <w:lang w:eastAsia="ja-JP"/>
        </w:rPr>
        <w:t>solicited</w:t>
      </w:r>
      <w:r w:rsidR="000159A6">
        <w:rPr>
          <w:lang w:eastAsia="ja-JP"/>
        </w:rPr>
        <w:t xml:space="preserve"> </w:t>
      </w:r>
      <w:r>
        <w:rPr>
          <w:lang w:eastAsia="ja-JP"/>
        </w:rPr>
        <w:t>AEs</w:t>
      </w:r>
      <w:r w:rsidR="000159A6">
        <w:rPr>
          <w:lang w:eastAsia="ja-JP"/>
        </w:rPr>
        <w:t xml:space="preserve"> </w:t>
      </w:r>
      <w:r>
        <w:rPr>
          <w:lang w:eastAsia="ja-JP"/>
        </w:rPr>
        <w:t>were</w:t>
      </w:r>
      <w:r w:rsidR="000159A6">
        <w:rPr>
          <w:lang w:eastAsia="ja-JP"/>
        </w:rPr>
        <w:t xml:space="preserve"> </w:t>
      </w:r>
      <w:r>
        <w:rPr>
          <w:lang w:eastAsia="ja-JP"/>
        </w:rPr>
        <w:t>collected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diary</w:t>
      </w:r>
      <w:r w:rsidR="000159A6">
        <w:rPr>
          <w:lang w:eastAsia="ja-JP"/>
        </w:rPr>
        <w:t xml:space="preserve"> </w:t>
      </w:r>
      <w:r>
        <w:rPr>
          <w:lang w:eastAsia="ja-JP"/>
        </w:rPr>
        <w:t>card</w:t>
      </w:r>
      <w:r w:rsidR="000159A6">
        <w:rPr>
          <w:lang w:eastAsia="ja-JP"/>
        </w:rPr>
        <w:t xml:space="preserve"> </w:t>
      </w:r>
      <w:r>
        <w:rPr>
          <w:lang w:eastAsia="ja-JP"/>
        </w:rPr>
        <w:t>subset</w:t>
      </w:r>
      <w:r w:rsidR="000159A6">
        <w:rPr>
          <w:lang w:eastAsia="ja-JP"/>
        </w:rPr>
        <w:t xml:space="preserve"> </w:t>
      </w:r>
      <w:r>
        <w:rPr>
          <w:lang w:eastAsia="ja-JP"/>
        </w:rPr>
        <w:t>of</w:t>
      </w:r>
      <w:r w:rsidR="000159A6">
        <w:rPr>
          <w:lang w:eastAsia="ja-JP"/>
        </w:rPr>
        <w:t xml:space="preserve"> </w:t>
      </w:r>
      <w:r>
        <w:rPr>
          <w:lang w:eastAsia="ja-JP"/>
        </w:rPr>
        <w:t>subjects</w:t>
      </w:r>
      <w:r w:rsidR="000159A6">
        <w:rPr>
          <w:lang w:eastAsia="ja-JP"/>
        </w:rPr>
        <w:t xml:space="preserve"> </w:t>
      </w:r>
      <w:r>
        <w:rPr>
          <w:lang w:eastAsia="ja-JP"/>
        </w:rPr>
        <w:t>for</w:t>
      </w:r>
      <w:r w:rsidR="000159A6">
        <w:rPr>
          <w:lang w:eastAsia="ja-JP"/>
        </w:rPr>
        <w:t xml:space="preserve"> </w:t>
      </w:r>
      <w:r>
        <w:rPr>
          <w:lang w:eastAsia="ja-JP"/>
        </w:rPr>
        <w:t>seven</w:t>
      </w:r>
      <w:r w:rsidR="000159A6">
        <w:rPr>
          <w:lang w:eastAsia="ja-JP"/>
        </w:rPr>
        <w:t xml:space="preserve"> </w:t>
      </w:r>
      <w:r>
        <w:rPr>
          <w:lang w:eastAsia="ja-JP"/>
        </w:rPr>
        <w:t>days</w:t>
      </w:r>
      <w:r w:rsidR="000159A6">
        <w:rPr>
          <w:lang w:eastAsia="ja-JP"/>
        </w:rPr>
        <w:t xml:space="preserve"> </w:t>
      </w:r>
      <w:r>
        <w:rPr>
          <w:lang w:eastAsia="ja-JP"/>
        </w:rPr>
        <w:t>from</w:t>
      </w:r>
      <w:r w:rsidR="000159A6">
        <w:rPr>
          <w:lang w:eastAsia="ja-JP"/>
        </w:rPr>
        <w:t xml:space="preserve"> </w:t>
      </w:r>
      <w:r>
        <w:rPr>
          <w:lang w:eastAsia="ja-JP"/>
        </w:rPr>
        <w:t>Day</w:t>
      </w:r>
      <w:r w:rsidR="000159A6">
        <w:rPr>
          <w:lang w:eastAsia="ja-JP"/>
        </w:rPr>
        <w:t xml:space="preserve"> </w:t>
      </w:r>
      <w:r>
        <w:rPr>
          <w:lang w:eastAsia="ja-JP"/>
        </w:rPr>
        <w:t>0</w:t>
      </w:r>
      <w:r w:rsidR="000159A6">
        <w:rPr>
          <w:lang w:eastAsia="ja-JP"/>
        </w:rPr>
        <w:t xml:space="preserve"> </w:t>
      </w:r>
      <w:r>
        <w:rPr>
          <w:lang w:eastAsia="ja-JP"/>
        </w:rPr>
        <w:t>to</w:t>
      </w:r>
      <w:r w:rsidR="000159A6">
        <w:rPr>
          <w:lang w:eastAsia="ja-JP"/>
        </w:rPr>
        <w:t xml:space="preserve"> </w:t>
      </w:r>
      <w:r>
        <w:rPr>
          <w:lang w:eastAsia="ja-JP"/>
        </w:rPr>
        <w:t>Day</w:t>
      </w:r>
      <w:r w:rsidR="000159A6">
        <w:rPr>
          <w:lang w:eastAsia="ja-JP"/>
        </w:rPr>
        <w:t xml:space="preserve"> </w:t>
      </w:r>
      <w:r>
        <w:rPr>
          <w:lang w:eastAsia="ja-JP"/>
        </w:rPr>
        <w:t>6</w:t>
      </w:r>
      <w:r w:rsidR="000159A6">
        <w:rPr>
          <w:lang w:eastAsia="ja-JP"/>
        </w:rPr>
        <w:t xml:space="preserve"> </w:t>
      </w:r>
      <w:r>
        <w:rPr>
          <w:lang w:eastAsia="ja-JP"/>
        </w:rPr>
        <w:t>after</w:t>
      </w:r>
      <w:r w:rsidR="000159A6">
        <w:rPr>
          <w:lang w:eastAsia="ja-JP"/>
        </w:rPr>
        <w:t xml:space="preserve"> </w:t>
      </w:r>
      <w:r>
        <w:rPr>
          <w:lang w:eastAsia="ja-JP"/>
        </w:rPr>
        <w:t>each</w:t>
      </w:r>
      <w:r w:rsidR="000159A6">
        <w:rPr>
          <w:lang w:eastAsia="ja-JP"/>
        </w:rPr>
        <w:t xml:space="preserve"> </w:t>
      </w:r>
      <w:r>
        <w:rPr>
          <w:lang w:eastAsia="ja-JP"/>
        </w:rPr>
        <w:t>vaccination.</w:t>
      </w:r>
      <w:r w:rsidR="000159A6">
        <w:rPr>
          <w:lang w:eastAsia="ja-JP"/>
        </w:rPr>
        <w:t xml:space="preserve"> </w:t>
      </w:r>
      <w:r>
        <w:rPr>
          <w:lang w:eastAsia="ja-JP"/>
        </w:rPr>
        <w:t>Solicited</w:t>
      </w:r>
      <w:r w:rsidR="000159A6">
        <w:rPr>
          <w:lang w:eastAsia="ja-JP"/>
        </w:rPr>
        <w:t xml:space="preserve"> </w:t>
      </w:r>
      <w:r>
        <w:rPr>
          <w:lang w:eastAsia="ja-JP"/>
        </w:rPr>
        <w:t>local</w:t>
      </w:r>
      <w:r w:rsidR="000159A6">
        <w:rPr>
          <w:lang w:eastAsia="ja-JP"/>
        </w:rPr>
        <w:t xml:space="preserve"> </w:t>
      </w:r>
      <w:r>
        <w:rPr>
          <w:lang w:eastAsia="ja-JP"/>
        </w:rPr>
        <w:t>(injection</w:t>
      </w:r>
      <w:r w:rsidR="000159A6">
        <w:rPr>
          <w:lang w:eastAsia="ja-JP"/>
        </w:rPr>
        <w:t xml:space="preserve"> </w:t>
      </w:r>
      <w:r>
        <w:rPr>
          <w:lang w:eastAsia="ja-JP"/>
        </w:rPr>
        <w:t>site)</w:t>
      </w:r>
      <w:r w:rsidR="000159A6">
        <w:rPr>
          <w:lang w:eastAsia="ja-JP"/>
        </w:rPr>
        <w:t xml:space="preserve"> </w:t>
      </w:r>
      <w:r>
        <w:rPr>
          <w:lang w:eastAsia="ja-JP"/>
        </w:rPr>
        <w:t>AEs</w:t>
      </w:r>
      <w:r w:rsidR="000159A6">
        <w:rPr>
          <w:lang w:eastAsia="ja-JP"/>
        </w:rPr>
        <w:t xml:space="preserve"> </w:t>
      </w:r>
      <w:r>
        <w:rPr>
          <w:lang w:eastAsia="ja-JP"/>
        </w:rPr>
        <w:t>included</w:t>
      </w:r>
      <w:r w:rsidR="000159A6">
        <w:rPr>
          <w:lang w:eastAsia="ja-JP"/>
        </w:rPr>
        <w:t xml:space="preserve"> </w:t>
      </w:r>
      <w:r>
        <w:rPr>
          <w:lang w:eastAsia="ja-JP"/>
        </w:rPr>
        <w:t>pain,</w:t>
      </w:r>
      <w:r w:rsidR="000159A6">
        <w:rPr>
          <w:lang w:eastAsia="ja-JP"/>
        </w:rPr>
        <w:t xml:space="preserve"> </w:t>
      </w:r>
      <w:r>
        <w:rPr>
          <w:lang w:eastAsia="ja-JP"/>
        </w:rPr>
        <w:t>redness</w:t>
      </w:r>
      <w:r w:rsidR="000159A6">
        <w:rPr>
          <w:lang w:eastAsia="ja-JP"/>
        </w:rPr>
        <w:t xml:space="preserve"> </w:t>
      </w:r>
      <w:r>
        <w:rPr>
          <w:lang w:eastAsia="ja-JP"/>
        </w:rPr>
        <w:t>and</w:t>
      </w:r>
      <w:r w:rsidR="000159A6">
        <w:rPr>
          <w:lang w:eastAsia="ja-JP"/>
        </w:rPr>
        <w:t xml:space="preserve"> </w:t>
      </w:r>
      <w:r>
        <w:rPr>
          <w:lang w:eastAsia="ja-JP"/>
        </w:rPr>
        <w:t>swelling.</w:t>
      </w:r>
      <w:r w:rsidR="000159A6">
        <w:rPr>
          <w:lang w:eastAsia="ja-JP"/>
        </w:rPr>
        <w:t xml:space="preserve"> </w:t>
      </w:r>
      <w:r>
        <w:rPr>
          <w:lang w:eastAsia="ja-JP"/>
        </w:rPr>
        <w:t>Solicited</w:t>
      </w:r>
      <w:r w:rsidR="000159A6">
        <w:rPr>
          <w:lang w:eastAsia="ja-JP"/>
        </w:rPr>
        <w:t xml:space="preserve"> </w:t>
      </w:r>
      <w:r>
        <w:rPr>
          <w:lang w:eastAsia="ja-JP"/>
        </w:rPr>
        <w:t>general</w:t>
      </w:r>
      <w:r w:rsidR="000159A6">
        <w:rPr>
          <w:lang w:eastAsia="ja-JP"/>
        </w:rPr>
        <w:t xml:space="preserve"> </w:t>
      </w:r>
      <w:r>
        <w:rPr>
          <w:lang w:eastAsia="ja-JP"/>
        </w:rPr>
        <w:t>AEs</w:t>
      </w:r>
      <w:r w:rsidR="000159A6">
        <w:rPr>
          <w:lang w:eastAsia="ja-JP"/>
        </w:rPr>
        <w:t xml:space="preserve"> </w:t>
      </w:r>
      <w:r>
        <w:rPr>
          <w:lang w:eastAsia="ja-JP"/>
        </w:rPr>
        <w:t>included</w:t>
      </w:r>
      <w:r w:rsidR="000159A6">
        <w:rPr>
          <w:lang w:eastAsia="ja-JP"/>
        </w:rPr>
        <w:t xml:space="preserve"> </w:t>
      </w:r>
      <w:r>
        <w:rPr>
          <w:lang w:eastAsia="ja-JP"/>
        </w:rPr>
        <w:t>fatigue,</w:t>
      </w:r>
      <w:r w:rsidR="000159A6">
        <w:rPr>
          <w:lang w:eastAsia="ja-JP"/>
        </w:rPr>
        <w:t xml:space="preserve"> </w:t>
      </w:r>
      <w:r>
        <w:rPr>
          <w:lang w:eastAsia="ja-JP"/>
        </w:rPr>
        <w:t>fever,</w:t>
      </w:r>
      <w:r w:rsidR="000159A6">
        <w:rPr>
          <w:lang w:eastAsia="ja-JP"/>
        </w:rPr>
        <w:t xml:space="preserve"> </w:t>
      </w:r>
      <w:r>
        <w:rPr>
          <w:lang w:eastAsia="ja-JP"/>
        </w:rPr>
        <w:t>GI</w:t>
      </w:r>
      <w:r w:rsidR="000159A6">
        <w:rPr>
          <w:lang w:eastAsia="ja-JP"/>
        </w:rPr>
        <w:t xml:space="preserve"> </w:t>
      </w:r>
      <w:r>
        <w:rPr>
          <w:lang w:eastAsia="ja-JP"/>
        </w:rPr>
        <w:t>symptoms</w:t>
      </w:r>
      <w:r w:rsidR="000159A6">
        <w:rPr>
          <w:lang w:eastAsia="ja-JP"/>
        </w:rPr>
        <w:t xml:space="preserve"> </w:t>
      </w:r>
      <w:r>
        <w:rPr>
          <w:lang w:eastAsia="ja-JP"/>
        </w:rPr>
        <w:t>(nausea,</w:t>
      </w:r>
      <w:r w:rsidR="000159A6">
        <w:rPr>
          <w:lang w:eastAsia="ja-JP"/>
        </w:rPr>
        <w:t xml:space="preserve"> </w:t>
      </w:r>
      <w:r>
        <w:rPr>
          <w:lang w:eastAsia="ja-JP"/>
        </w:rPr>
        <w:t>vomiting,</w:t>
      </w:r>
      <w:r w:rsidR="000159A6">
        <w:rPr>
          <w:lang w:eastAsia="ja-JP"/>
        </w:rPr>
        <w:t xml:space="preserve"> </w:t>
      </w:r>
      <w:r>
        <w:rPr>
          <w:lang w:eastAsia="ja-JP"/>
        </w:rPr>
        <w:t>diarrhoea</w:t>
      </w:r>
      <w:r w:rsidR="000159A6">
        <w:rPr>
          <w:lang w:eastAsia="ja-JP"/>
        </w:rPr>
        <w:t xml:space="preserve"> </w:t>
      </w:r>
      <w:r>
        <w:rPr>
          <w:lang w:eastAsia="ja-JP"/>
        </w:rPr>
        <w:t>and/or</w:t>
      </w:r>
      <w:r w:rsidR="000159A6">
        <w:rPr>
          <w:lang w:eastAsia="ja-JP"/>
        </w:rPr>
        <w:t xml:space="preserve"> </w:t>
      </w:r>
      <w:r>
        <w:rPr>
          <w:lang w:eastAsia="ja-JP"/>
        </w:rPr>
        <w:t>abdominal</w:t>
      </w:r>
      <w:r w:rsidR="000159A6">
        <w:rPr>
          <w:lang w:eastAsia="ja-JP"/>
        </w:rPr>
        <w:t xml:space="preserve"> </w:t>
      </w:r>
      <w:r>
        <w:rPr>
          <w:lang w:eastAsia="ja-JP"/>
        </w:rPr>
        <w:t>pain),</w:t>
      </w:r>
      <w:r w:rsidR="000159A6">
        <w:rPr>
          <w:lang w:eastAsia="ja-JP"/>
        </w:rPr>
        <w:t xml:space="preserve"> </w:t>
      </w:r>
      <w:r>
        <w:rPr>
          <w:lang w:eastAsia="ja-JP"/>
        </w:rPr>
        <w:t>headache,</w:t>
      </w:r>
      <w:r w:rsidR="000159A6">
        <w:rPr>
          <w:lang w:eastAsia="ja-JP"/>
        </w:rPr>
        <w:t xml:space="preserve"> </w:t>
      </w:r>
      <w:r>
        <w:rPr>
          <w:lang w:eastAsia="ja-JP"/>
        </w:rPr>
        <w:t>myalgia</w:t>
      </w:r>
      <w:r w:rsidR="000159A6">
        <w:rPr>
          <w:lang w:eastAsia="ja-JP"/>
        </w:rPr>
        <w:t xml:space="preserve"> </w:t>
      </w:r>
      <w:r>
        <w:rPr>
          <w:lang w:eastAsia="ja-JP"/>
        </w:rPr>
        <w:t>and</w:t>
      </w:r>
      <w:r w:rsidR="000159A6">
        <w:rPr>
          <w:lang w:eastAsia="ja-JP"/>
        </w:rPr>
        <w:t xml:space="preserve"> </w:t>
      </w:r>
      <w:r>
        <w:rPr>
          <w:lang w:eastAsia="ja-JP"/>
        </w:rPr>
        <w:t>shivering.</w:t>
      </w:r>
      <w:r w:rsidR="000159A6">
        <w:rPr>
          <w:lang w:eastAsia="ja-JP"/>
        </w:rPr>
        <w:t xml:space="preserve"> </w:t>
      </w:r>
      <w:r>
        <w:rPr>
          <w:lang w:eastAsia="ja-JP"/>
        </w:rPr>
        <w:t>Daily</w:t>
      </w:r>
      <w:r w:rsidR="000159A6">
        <w:rPr>
          <w:lang w:eastAsia="ja-JP"/>
        </w:rPr>
        <w:t xml:space="preserve"> </w:t>
      </w:r>
      <w:r>
        <w:rPr>
          <w:lang w:eastAsia="ja-JP"/>
        </w:rPr>
        <w:t>temperature</w:t>
      </w:r>
      <w:r w:rsidR="000159A6">
        <w:rPr>
          <w:lang w:eastAsia="ja-JP"/>
        </w:rPr>
        <w:t xml:space="preserve"> </w:t>
      </w:r>
      <w:r>
        <w:rPr>
          <w:lang w:eastAsia="ja-JP"/>
        </w:rPr>
        <w:t>was</w:t>
      </w:r>
      <w:r w:rsidR="000159A6">
        <w:rPr>
          <w:lang w:eastAsia="ja-JP"/>
        </w:rPr>
        <w:t xml:space="preserve"> </w:t>
      </w:r>
      <w:r>
        <w:rPr>
          <w:lang w:eastAsia="ja-JP"/>
        </w:rPr>
        <w:t>also</w:t>
      </w:r>
      <w:r w:rsidR="000159A6">
        <w:rPr>
          <w:lang w:eastAsia="ja-JP"/>
        </w:rPr>
        <w:t xml:space="preserve"> </w:t>
      </w:r>
      <w:r>
        <w:rPr>
          <w:lang w:eastAsia="ja-JP"/>
        </w:rPr>
        <w:t>recorded.</w:t>
      </w:r>
      <w:r w:rsidR="000159A6">
        <w:rPr>
          <w:lang w:eastAsia="ja-JP"/>
        </w:rPr>
        <w:t xml:space="preserve"> </w:t>
      </w:r>
      <w:r>
        <w:rPr>
          <w:lang w:eastAsia="ja-JP"/>
        </w:rPr>
        <w:t>All</w:t>
      </w:r>
      <w:r w:rsidR="000159A6">
        <w:rPr>
          <w:lang w:eastAsia="ja-JP"/>
        </w:rPr>
        <w:t xml:space="preserve"> </w:t>
      </w:r>
      <w:r>
        <w:rPr>
          <w:lang w:eastAsia="ja-JP"/>
        </w:rPr>
        <w:t>other</w:t>
      </w:r>
      <w:r w:rsidR="000159A6">
        <w:rPr>
          <w:lang w:eastAsia="ja-JP"/>
        </w:rPr>
        <w:t xml:space="preserve"> </w:t>
      </w:r>
      <w:r>
        <w:rPr>
          <w:lang w:eastAsia="ja-JP"/>
        </w:rPr>
        <w:t>AEs</w:t>
      </w:r>
      <w:r w:rsidR="000159A6">
        <w:rPr>
          <w:lang w:eastAsia="ja-JP"/>
        </w:rPr>
        <w:t xml:space="preserve"> </w:t>
      </w:r>
      <w:r>
        <w:rPr>
          <w:lang w:eastAsia="ja-JP"/>
        </w:rPr>
        <w:t>were</w:t>
      </w:r>
      <w:r w:rsidR="000159A6">
        <w:rPr>
          <w:lang w:eastAsia="ja-JP"/>
        </w:rPr>
        <w:t xml:space="preserve"> </w:t>
      </w:r>
      <w:r>
        <w:rPr>
          <w:lang w:eastAsia="ja-JP"/>
        </w:rPr>
        <w:t>reported</w:t>
      </w:r>
      <w:r w:rsidR="000159A6">
        <w:rPr>
          <w:lang w:eastAsia="ja-JP"/>
        </w:rPr>
        <w:t xml:space="preserve"> </w:t>
      </w:r>
      <w:r>
        <w:rPr>
          <w:lang w:eastAsia="ja-JP"/>
        </w:rPr>
        <w:t>as</w:t>
      </w:r>
      <w:r w:rsidR="000159A6">
        <w:rPr>
          <w:lang w:eastAsia="ja-JP"/>
        </w:rPr>
        <w:t xml:space="preserve"> </w:t>
      </w:r>
      <w:r>
        <w:rPr>
          <w:lang w:eastAsia="ja-JP"/>
        </w:rPr>
        <w:t>‘unsolicited’</w:t>
      </w:r>
      <w:r w:rsidR="000159A6">
        <w:rPr>
          <w:lang w:eastAsia="ja-JP"/>
        </w:rPr>
        <w:t xml:space="preserve"> </w:t>
      </w:r>
      <w:r>
        <w:rPr>
          <w:lang w:eastAsia="ja-JP"/>
        </w:rPr>
        <w:t>and</w:t>
      </w:r>
      <w:r w:rsidR="000159A6">
        <w:rPr>
          <w:lang w:eastAsia="ja-JP"/>
        </w:rPr>
        <w:t xml:space="preserve"> </w:t>
      </w:r>
      <w:r>
        <w:rPr>
          <w:lang w:eastAsia="ja-JP"/>
        </w:rPr>
        <w:t>were</w:t>
      </w:r>
      <w:r w:rsidR="000159A6">
        <w:rPr>
          <w:lang w:eastAsia="ja-JP"/>
        </w:rPr>
        <w:t xml:space="preserve"> </w:t>
      </w:r>
      <w:r>
        <w:rPr>
          <w:lang w:eastAsia="ja-JP"/>
        </w:rPr>
        <w:t>collected</w:t>
      </w:r>
      <w:r w:rsidR="000159A6">
        <w:rPr>
          <w:lang w:eastAsia="ja-JP"/>
        </w:rPr>
        <w:t xml:space="preserve"> </w:t>
      </w:r>
      <w:r>
        <w:rPr>
          <w:lang w:eastAsia="ja-JP"/>
        </w:rPr>
        <w:t>during</w:t>
      </w:r>
      <w:r w:rsidR="000159A6">
        <w:rPr>
          <w:lang w:eastAsia="ja-JP"/>
        </w:rPr>
        <w:t xml:space="preserve"> </w:t>
      </w:r>
      <w:r>
        <w:rPr>
          <w:lang w:eastAsia="ja-JP"/>
        </w:rPr>
        <w:t>the</w:t>
      </w:r>
      <w:r w:rsidR="000159A6">
        <w:rPr>
          <w:lang w:eastAsia="ja-JP"/>
        </w:rPr>
        <w:t xml:space="preserve"> </w:t>
      </w:r>
      <w:r>
        <w:rPr>
          <w:lang w:eastAsia="ja-JP"/>
        </w:rPr>
        <w:t>30</w:t>
      </w:r>
      <w:r w:rsidR="000159A6">
        <w:rPr>
          <w:lang w:eastAsia="ja-JP"/>
        </w:rPr>
        <w:t xml:space="preserve"> </w:t>
      </w:r>
      <w:r>
        <w:rPr>
          <w:lang w:eastAsia="ja-JP"/>
        </w:rPr>
        <w:t>days</w:t>
      </w:r>
      <w:r w:rsidR="000159A6">
        <w:rPr>
          <w:lang w:eastAsia="ja-JP"/>
        </w:rPr>
        <w:t xml:space="preserve"> </w:t>
      </w:r>
      <w:r>
        <w:rPr>
          <w:lang w:eastAsia="ja-JP"/>
        </w:rPr>
        <w:t>post</w:t>
      </w:r>
      <w:r w:rsidR="000159A6">
        <w:rPr>
          <w:lang w:eastAsia="ja-JP"/>
        </w:rPr>
        <w:t xml:space="preserve"> </w:t>
      </w:r>
      <w:r>
        <w:rPr>
          <w:lang w:eastAsia="ja-JP"/>
        </w:rPr>
        <w:t>vaccination.</w:t>
      </w:r>
      <w:r w:rsidR="000159A6">
        <w:rPr>
          <w:lang w:eastAsia="ja-JP"/>
        </w:rPr>
        <w:t xml:space="preserve"> </w:t>
      </w:r>
      <w:r>
        <w:rPr>
          <w:lang w:eastAsia="ja-JP"/>
        </w:rPr>
        <w:t>For</w:t>
      </w:r>
      <w:r w:rsidR="000159A6">
        <w:rPr>
          <w:lang w:eastAsia="ja-JP"/>
        </w:rPr>
        <w:t xml:space="preserve"> </w:t>
      </w:r>
      <w:r>
        <w:rPr>
          <w:lang w:eastAsia="ja-JP"/>
        </w:rPr>
        <w:t>subjects</w:t>
      </w:r>
      <w:r w:rsidR="000159A6">
        <w:rPr>
          <w:lang w:eastAsia="ja-JP"/>
        </w:rPr>
        <w:t xml:space="preserve"> </w:t>
      </w:r>
      <w:r>
        <w:rPr>
          <w:lang w:eastAsia="ja-JP"/>
        </w:rPr>
        <w:t>not</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diary</w:t>
      </w:r>
      <w:r w:rsidR="000159A6">
        <w:rPr>
          <w:lang w:eastAsia="ja-JP"/>
        </w:rPr>
        <w:t xml:space="preserve"> </w:t>
      </w:r>
      <w:r>
        <w:rPr>
          <w:lang w:eastAsia="ja-JP"/>
        </w:rPr>
        <w:t>card</w:t>
      </w:r>
      <w:r w:rsidR="000159A6">
        <w:rPr>
          <w:lang w:eastAsia="ja-JP"/>
        </w:rPr>
        <w:t xml:space="preserve"> </w:t>
      </w:r>
      <w:r>
        <w:rPr>
          <w:lang w:eastAsia="ja-JP"/>
        </w:rPr>
        <w:t>subset,</w:t>
      </w:r>
      <w:r w:rsidR="000159A6">
        <w:rPr>
          <w:lang w:eastAsia="ja-JP"/>
        </w:rPr>
        <w:t xml:space="preserve"> </w:t>
      </w:r>
      <w:r>
        <w:rPr>
          <w:lang w:eastAsia="ja-JP"/>
        </w:rPr>
        <w:t>local</w:t>
      </w:r>
      <w:r w:rsidR="000159A6">
        <w:rPr>
          <w:lang w:eastAsia="ja-JP"/>
        </w:rPr>
        <w:t xml:space="preserve"> </w:t>
      </w:r>
      <w:r>
        <w:rPr>
          <w:lang w:eastAsia="ja-JP"/>
        </w:rPr>
        <w:t>and</w:t>
      </w:r>
      <w:r w:rsidR="000159A6">
        <w:rPr>
          <w:lang w:eastAsia="ja-JP"/>
        </w:rPr>
        <w:t xml:space="preserve"> </w:t>
      </w:r>
      <w:r>
        <w:rPr>
          <w:lang w:eastAsia="ja-JP"/>
        </w:rPr>
        <w:t>general</w:t>
      </w:r>
      <w:r w:rsidR="000159A6">
        <w:rPr>
          <w:lang w:eastAsia="ja-JP"/>
        </w:rPr>
        <w:t xml:space="preserve"> </w:t>
      </w:r>
      <w:r>
        <w:rPr>
          <w:lang w:eastAsia="ja-JP"/>
        </w:rPr>
        <w:t>symptoms</w:t>
      </w:r>
      <w:r w:rsidR="000159A6">
        <w:rPr>
          <w:lang w:eastAsia="ja-JP"/>
        </w:rPr>
        <w:t xml:space="preserve"> </w:t>
      </w:r>
      <w:r>
        <w:rPr>
          <w:lang w:eastAsia="ja-JP"/>
        </w:rPr>
        <w:t>post</w:t>
      </w:r>
      <w:r w:rsidR="000159A6">
        <w:rPr>
          <w:lang w:eastAsia="ja-JP"/>
        </w:rPr>
        <w:t xml:space="preserve"> </w:t>
      </w:r>
      <w:r>
        <w:rPr>
          <w:lang w:eastAsia="ja-JP"/>
        </w:rPr>
        <w:t>vaccination</w:t>
      </w:r>
      <w:r w:rsidR="000159A6">
        <w:rPr>
          <w:lang w:eastAsia="ja-JP"/>
        </w:rPr>
        <w:t xml:space="preserve"> </w:t>
      </w:r>
      <w:r>
        <w:rPr>
          <w:lang w:eastAsia="ja-JP"/>
        </w:rPr>
        <w:t>were</w:t>
      </w:r>
      <w:r w:rsidR="000159A6">
        <w:rPr>
          <w:lang w:eastAsia="ja-JP"/>
        </w:rPr>
        <w:t xml:space="preserve"> </w:t>
      </w:r>
      <w:r>
        <w:rPr>
          <w:lang w:eastAsia="ja-JP"/>
        </w:rPr>
        <w:t>recorded</w:t>
      </w:r>
      <w:r w:rsidR="000159A6">
        <w:rPr>
          <w:lang w:eastAsia="ja-JP"/>
        </w:rPr>
        <w:t xml:space="preserve"> </w:t>
      </w:r>
      <w:r>
        <w:rPr>
          <w:lang w:eastAsia="ja-JP"/>
        </w:rPr>
        <w:t>as</w:t>
      </w:r>
      <w:r w:rsidR="000159A6">
        <w:rPr>
          <w:lang w:eastAsia="ja-JP"/>
        </w:rPr>
        <w:t xml:space="preserve"> </w:t>
      </w:r>
      <w:r>
        <w:rPr>
          <w:lang w:eastAsia="ja-JP"/>
        </w:rPr>
        <w:t>unsolicited</w:t>
      </w:r>
      <w:r w:rsidR="000159A6">
        <w:rPr>
          <w:lang w:eastAsia="ja-JP"/>
        </w:rPr>
        <w:t xml:space="preserve"> </w:t>
      </w:r>
      <w:r>
        <w:rPr>
          <w:lang w:eastAsia="ja-JP"/>
        </w:rPr>
        <w:t>AEs.</w:t>
      </w:r>
      <w:r w:rsidR="000159A6">
        <w:rPr>
          <w:lang w:eastAsia="ja-JP"/>
        </w:rPr>
        <w:t xml:space="preserve"> </w:t>
      </w:r>
      <w:r>
        <w:rPr>
          <w:lang w:eastAsia="ja-JP"/>
        </w:rPr>
        <w:t>If</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an</w:t>
      </w:r>
      <w:r w:rsidR="000159A6">
        <w:rPr>
          <w:lang w:eastAsia="ja-JP"/>
        </w:rPr>
        <w:t xml:space="preserve"> </w:t>
      </w:r>
      <w:r>
        <w:rPr>
          <w:lang w:eastAsia="ja-JP"/>
        </w:rPr>
        <w:t>unsolicited</w:t>
      </w:r>
      <w:r w:rsidR="000159A6">
        <w:rPr>
          <w:lang w:eastAsia="ja-JP"/>
        </w:rPr>
        <w:t xml:space="preserve"> </w:t>
      </w:r>
      <w:r>
        <w:rPr>
          <w:lang w:eastAsia="ja-JP"/>
        </w:rPr>
        <w:t>AE</w:t>
      </w:r>
      <w:r w:rsidR="000159A6">
        <w:rPr>
          <w:lang w:eastAsia="ja-JP"/>
        </w:rPr>
        <w:t xml:space="preserve"> </w:t>
      </w:r>
      <w:r>
        <w:rPr>
          <w:lang w:eastAsia="ja-JP"/>
        </w:rPr>
        <w:t>with</w:t>
      </w:r>
      <w:r w:rsidR="000159A6">
        <w:rPr>
          <w:lang w:eastAsia="ja-JP"/>
        </w:rPr>
        <w:t xml:space="preserve"> </w:t>
      </w:r>
      <w:r>
        <w:rPr>
          <w:lang w:eastAsia="ja-JP"/>
        </w:rPr>
        <w:t>a</w:t>
      </w:r>
      <w:r w:rsidR="000159A6">
        <w:rPr>
          <w:lang w:eastAsia="ja-JP"/>
        </w:rPr>
        <w:t xml:space="preserve"> </w:t>
      </w:r>
      <w:r>
        <w:rPr>
          <w:lang w:eastAsia="ja-JP"/>
        </w:rPr>
        <w:t>medically</w:t>
      </w:r>
      <w:r w:rsidR="000159A6">
        <w:rPr>
          <w:lang w:eastAsia="ja-JP"/>
        </w:rPr>
        <w:t xml:space="preserve"> </w:t>
      </w:r>
      <w:r>
        <w:rPr>
          <w:lang w:eastAsia="ja-JP"/>
        </w:rPr>
        <w:t>attended</w:t>
      </w:r>
      <w:r w:rsidR="000159A6">
        <w:rPr>
          <w:lang w:eastAsia="ja-JP"/>
        </w:rPr>
        <w:t xml:space="preserve"> </w:t>
      </w:r>
      <w:r>
        <w:rPr>
          <w:lang w:eastAsia="ja-JP"/>
        </w:rPr>
        <w:t>visit</w:t>
      </w:r>
      <w:r w:rsidR="000159A6">
        <w:rPr>
          <w:lang w:eastAsia="ja-JP"/>
        </w:rPr>
        <w:t xml:space="preserve"> </w:t>
      </w:r>
      <w:r>
        <w:rPr>
          <w:lang w:eastAsia="ja-JP"/>
        </w:rPr>
        <w:t>this</w:t>
      </w:r>
      <w:r w:rsidR="000159A6">
        <w:rPr>
          <w:lang w:eastAsia="ja-JP"/>
        </w:rPr>
        <w:t xml:space="preserve"> </w:t>
      </w:r>
      <w:r>
        <w:rPr>
          <w:lang w:eastAsia="ja-JP"/>
        </w:rPr>
        <w:t>was</w:t>
      </w:r>
      <w:r w:rsidR="000159A6">
        <w:rPr>
          <w:lang w:eastAsia="ja-JP"/>
        </w:rPr>
        <w:t xml:space="preserve"> </w:t>
      </w:r>
      <w:r>
        <w:rPr>
          <w:lang w:eastAsia="ja-JP"/>
        </w:rPr>
        <w:t>recorded</w:t>
      </w:r>
      <w:r w:rsidR="000159A6">
        <w:rPr>
          <w:lang w:eastAsia="ja-JP"/>
        </w:rPr>
        <w:t xml:space="preserve"> </w:t>
      </w:r>
      <w:r>
        <w:rPr>
          <w:lang w:eastAsia="ja-JP"/>
        </w:rPr>
        <w:t>up</w:t>
      </w:r>
      <w:r w:rsidR="000159A6">
        <w:rPr>
          <w:lang w:eastAsia="ja-JP"/>
        </w:rPr>
        <w:t xml:space="preserve"> </w:t>
      </w:r>
      <w:r>
        <w:rPr>
          <w:lang w:eastAsia="ja-JP"/>
        </w:rPr>
        <w:t>to</w:t>
      </w:r>
      <w:r w:rsidR="000159A6">
        <w:rPr>
          <w:lang w:eastAsia="ja-JP"/>
        </w:rPr>
        <w:t xml:space="preserve"> </w:t>
      </w:r>
      <w:r>
        <w:rPr>
          <w:lang w:eastAsia="ja-JP"/>
        </w:rPr>
        <w:t>Month</w:t>
      </w:r>
      <w:r w:rsidR="000159A6">
        <w:rPr>
          <w:lang w:eastAsia="ja-JP"/>
        </w:rPr>
        <w:t xml:space="preserve"> </w:t>
      </w:r>
      <w:r>
        <w:rPr>
          <w:lang w:eastAsia="ja-JP"/>
        </w:rPr>
        <w:t>8.</w:t>
      </w:r>
    </w:p>
    <w:p w14:paraId="631369F5" w14:textId="04304FC0" w:rsidR="0091081C" w:rsidRDefault="0091081C" w:rsidP="00541F41">
      <w:pPr>
        <w:rPr>
          <w:lang w:eastAsia="ja-JP"/>
        </w:rPr>
      </w:pPr>
      <w:r>
        <w:rPr>
          <w:lang w:eastAsia="ja-JP"/>
        </w:rPr>
        <w:t>HZ</w:t>
      </w:r>
      <w:r w:rsidR="000159A6">
        <w:rPr>
          <w:lang w:eastAsia="ja-JP"/>
        </w:rPr>
        <w:t xml:space="preserve"> </w:t>
      </w:r>
      <w:r>
        <w:rPr>
          <w:lang w:eastAsia="ja-JP"/>
        </w:rPr>
        <w:t>and</w:t>
      </w:r>
      <w:r w:rsidR="000159A6">
        <w:rPr>
          <w:lang w:eastAsia="ja-JP"/>
        </w:rPr>
        <w:t xml:space="preserve"> </w:t>
      </w:r>
      <w:r>
        <w:rPr>
          <w:lang w:eastAsia="ja-JP"/>
        </w:rPr>
        <w:t>PHN</w:t>
      </w:r>
      <w:r w:rsidR="000159A6">
        <w:rPr>
          <w:lang w:eastAsia="ja-JP"/>
        </w:rPr>
        <w:t xml:space="preserve"> </w:t>
      </w:r>
      <w:r>
        <w:rPr>
          <w:lang w:eastAsia="ja-JP"/>
        </w:rPr>
        <w:t>were</w:t>
      </w:r>
      <w:r w:rsidR="000159A6">
        <w:rPr>
          <w:lang w:eastAsia="ja-JP"/>
        </w:rPr>
        <w:t xml:space="preserve"> </w:t>
      </w:r>
      <w:r>
        <w:rPr>
          <w:lang w:eastAsia="ja-JP"/>
        </w:rPr>
        <w:t>not</w:t>
      </w:r>
      <w:r w:rsidR="000159A6">
        <w:rPr>
          <w:lang w:eastAsia="ja-JP"/>
        </w:rPr>
        <w:t xml:space="preserve"> </w:t>
      </w:r>
      <w:r>
        <w:rPr>
          <w:lang w:eastAsia="ja-JP"/>
        </w:rPr>
        <w:t>considered</w:t>
      </w:r>
      <w:r w:rsidR="000159A6">
        <w:rPr>
          <w:lang w:eastAsia="ja-JP"/>
        </w:rPr>
        <w:t xml:space="preserve"> </w:t>
      </w:r>
      <w:r>
        <w:rPr>
          <w:lang w:eastAsia="ja-JP"/>
        </w:rPr>
        <w:t>an</w:t>
      </w:r>
      <w:r w:rsidR="000159A6">
        <w:rPr>
          <w:lang w:eastAsia="ja-JP"/>
        </w:rPr>
        <w:t xml:space="preserve"> </w:t>
      </w:r>
      <w:r>
        <w:rPr>
          <w:lang w:eastAsia="ja-JP"/>
        </w:rPr>
        <w:t>AE</w:t>
      </w:r>
      <w:r w:rsidR="000159A6">
        <w:rPr>
          <w:lang w:eastAsia="ja-JP"/>
        </w:rPr>
        <w:t xml:space="preserve"> </w:t>
      </w:r>
      <w:r>
        <w:rPr>
          <w:lang w:eastAsia="ja-JP"/>
        </w:rPr>
        <w:t>or</w:t>
      </w:r>
      <w:r w:rsidR="000159A6">
        <w:rPr>
          <w:lang w:eastAsia="ja-JP"/>
        </w:rPr>
        <w:t xml:space="preserve"> </w:t>
      </w:r>
      <w:r w:rsidR="00D51914">
        <w:t>serious</w:t>
      </w:r>
      <w:r w:rsidR="000159A6">
        <w:t xml:space="preserve"> </w:t>
      </w:r>
      <w:r w:rsidR="00D51914">
        <w:t>adverse</w:t>
      </w:r>
      <w:r w:rsidR="000159A6">
        <w:t xml:space="preserve"> </w:t>
      </w:r>
      <w:r w:rsidR="00D51914">
        <w:t>event</w:t>
      </w:r>
      <w:r w:rsidR="000159A6">
        <w:rPr>
          <w:lang w:eastAsia="ja-JP"/>
        </w:rPr>
        <w:t xml:space="preserve"> </w:t>
      </w:r>
      <w:r w:rsidR="00D51914">
        <w:rPr>
          <w:lang w:eastAsia="ja-JP"/>
        </w:rPr>
        <w:t>(</w:t>
      </w:r>
      <w:r>
        <w:rPr>
          <w:lang w:eastAsia="ja-JP"/>
        </w:rPr>
        <w:t>SAE</w:t>
      </w:r>
      <w:r w:rsidR="00D51914">
        <w:rPr>
          <w:lang w:eastAsia="ja-JP"/>
        </w:rPr>
        <w:t>)</w:t>
      </w:r>
      <w:r w:rsidR="000159A6">
        <w:rPr>
          <w:lang w:eastAsia="ja-JP"/>
        </w:rPr>
        <w:t xml:space="preserve"> </w:t>
      </w:r>
      <w:r>
        <w:rPr>
          <w:lang w:eastAsia="ja-JP"/>
        </w:rPr>
        <w:t>although</w:t>
      </w:r>
      <w:r w:rsidR="000159A6">
        <w:rPr>
          <w:lang w:eastAsia="ja-JP"/>
        </w:rPr>
        <w:t xml:space="preserve"> </w:t>
      </w:r>
      <w:r>
        <w:rPr>
          <w:lang w:eastAsia="ja-JP"/>
        </w:rPr>
        <w:t>complications</w:t>
      </w:r>
      <w:r w:rsidR="000159A6">
        <w:rPr>
          <w:lang w:eastAsia="ja-JP"/>
        </w:rPr>
        <w:t xml:space="preserve"> </w:t>
      </w:r>
      <w:r>
        <w:rPr>
          <w:lang w:eastAsia="ja-JP"/>
        </w:rPr>
        <w:t>of</w:t>
      </w:r>
      <w:r w:rsidR="000159A6">
        <w:rPr>
          <w:lang w:eastAsia="ja-JP"/>
        </w:rPr>
        <w:t xml:space="preserve"> </w:t>
      </w:r>
      <w:r>
        <w:rPr>
          <w:lang w:eastAsia="ja-JP"/>
        </w:rPr>
        <w:t>these</w:t>
      </w:r>
      <w:r w:rsidR="000159A6">
        <w:rPr>
          <w:lang w:eastAsia="ja-JP"/>
        </w:rPr>
        <w:t xml:space="preserve"> </w:t>
      </w:r>
      <w:r>
        <w:rPr>
          <w:lang w:eastAsia="ja-JP"/>
        </w:rPr>
        <w:t>conditions</w:t>
      </w:r>
      <w:r w:rsidR="000159A6">
        <w:rPr>
          <w:lang w:eastAsia="ja-JP"/>
        </w:rPr>
        <w:t xml:space="preserve"> </w:t>
      </w:r>
      <w:r>
        <w:rPr>
          <w:lang w:eastAsia="ja-JP"/>
        </w:rPr>
        <w:t>were.</w:t>
      </w:r>
      <w:r w:rsidR="000159A6">
        <w:rPr>
          <w:lang w:eastAsia="ja-JP"/>
        </w:rPr>
        <w:t xml:space="preserve"> </w:t>
      </w:r>
      <w:r>
        <w:rPr>
          <w:lang w:eastAsia="ja-JP"/>
        </w:rPr>
        <w:t>All</w:t>
      </w:r>
      <w:r w:rsidR="000159A6">
        <w:rPr>
          <w:lang w:eastAsia="ja-JP"/>
        </w:rPr>
        <w:t xml:space="preserve"> </w:t>
      </w:r>
      <w:r>
        <w:rPr>
          <w:lang w:eastAsia="ja-JP"/>
        </w:rPr>
        <w:t>suspected</w:t>
      </w:r>
      <w:r w:rsidR="000159A6">
        <w:rPr>
          <w:lang w:eastAsia="ja-JP"/>
        </w:rPr>
        <w:t xml:space="preserve"> </w:t>
      </w:r>
      <w:r>
        <w:rPr>
          <w:lang w:eastAsia="ja-JP"/>
        </w:rPr>
        <w:t>cases</w:t>
      </w:r>
      <w:r w:rsidR="000159A6">
        <w:rPr>
          <w:lang w:eastAsia="ja-JP"/>
        </w:rPr>
        <w:t xml:space="preserve"> </w:t>
      </w:r>
      <w:r>
        <w:rPr>
          <w:lang w:eastAsia="ja-JP"/>
        </w:rPr>
        <w:t>of</w:t>
      </w:r>
      <w:r w:rsidR="000159A6">
        <w:rPr>
          <w:lang w:eastAsia="ja-JP"/>
        </w:rPr>
        <w:t xml:space="preserve"> </w:t>
      </w:r>
      <w:r>
        <w:rPr>
          <w:lang w:eastAsia="ja-JP"/>
        </w:rPr>
        <w:t>HZ</w:t>
      </w:r>
      <w:r w:rsidR="000159A6">
        <w:rPr>
          <w:lang w:eastAsia="ja-JP"/>
        </w:rPr>
        <w:t xml:space="preserve"> </w:t>
      </w:r>
      <w:r>
        <w:rPr>
          <w:lang w:eastAsia="ja-JP"/>
        </w:rPr>
        <w:t>were</w:t>
      </w:r>
      <w:r w:rsidR="000159A6">
        <w:rPr>
          <w:lang w:eastAsia="ja-JP"/>
        </w:rPr>
        <w:t xml:space="preserve"> </w:t>
      </w:r>
      <w:r>
        <w:rPr>
          <w:lang w:eastAsia="ja-JP"/>
        </w:rPr>
        <w:t>confirmed</w:t>
      </w:r>
      <w:r w:rsidR="000159A6">
        <w:rPr>
          <w:lang w:eastAsia="ja-JP"/>
        </w:rPr>
        <w:t xml:space="preserve"> </w:t>
      </w:r>
      <w:r>
        <w:rPr>
          <w:lang w:eastAsia="ja-JP"/>
        </w:rPr>
        <w:t>by</w:t>
      </w:r>
      <w:r w:rsidR="000159A6">
        <w:rPr>
          <w:lang w:eastAsia="ja-JP"/>
        </w:rPr>
        <w:t xml:space="preserve"> </w:t>
      </w:r>
      <w:r>
        <w:rPr>
          <w:lang w:eastAsia="ja-JP"/>
        </w:rPr>
        <w:t>PCR</w:t>
      </w:r>
      <w:r w:rsidR="000159A6">
        <w:rPr>
          <w:lang w:eastAsia="ja-JP"/>
        </w:rPr>
        <w:t xml:space="preserve"> </w:t>
      </w:r>
      <w:r>
        <w:rPr>
          <w:lang w:eastAsia="ja-JP"/>
        </w:rPr>
        <w:t>or</w:t>
      </w:r>
      <w:r w:rsidR="000159A6">
        <w:rPr>
          <w:lang w:eastAsia="ja-JP"/>
        </w:rPr>
        <w:t xml:space="preserve"> </w:t>
      </w:r>
      <w:r>
        <w:rPr>
          <w:lang w:eastAsia="ja-JP"/>
        </w:rPr>
        <w:t>the</w:t>
      </w:r>
      <w:r w:rsidR="000159A6">
        <w:rPr>
          <w:lang w:eastAsia="ja-JP"/>
        </w:rPr>
        <w:t xml:space="preserve"> </w:t>
      </w:r>
      <w:r>
        <w:rPr>
          <w:lang w:eastAsia="ja-JP"/>
        </w:rPr>
        <w:t>HZ</w:t>
      </w:r>
      <w:r w:rsidR="000159A6">
        <w:rPr>
          <w:lang w:eastAsia="ja-JP"/>
        </w:rPr>
        <w:t xml:space="preserve"> </w:t>
      </w:r>
      <w:r>
        <w:rPr>
          <w:lang w:eastAsia="ja-JP"/>
        </w:rPr>
        <w:t>adjudication</w:t>
      </w:r>
      <w:r w:rsidR="000159A6">
        <w:rPr>
          <w:lang w:eastAsia="ja-JP"/>
        </w:rPr>
        <w:t xml:space="preserve"> </w:t>
      </w:r>
      <w:r>
        <w:rPr>
          <w:lang w:eastAsia="ja-JP"/>
        </w:rPr>
        <w:t>committee.</w:t>
      </w:r>
    </w:p>
    <w:p w14:paraId="4DD7BF8B" w14:textId="2F414A64" w:rsidR="0091081C" w:rsidRDefault="0091081C" w:rsidP="00541F41">
      <w:pPr>
        <w:rPr>
          <w:lang w:eastAsia="ja-JP"/>
        </w:rPr>
      </w:pPr>
      <w:r>
        <w:rPr>
          <w:lang w:eastAsia="ja-JP"/>
        </w:rPr>
        <w:t>AE</w:t>
      </w:r>
      <w:r w:rsidR="000159A6">
        <w:rPr>
          <w:lang w:eastAsia="ja-JP"/>
        </w:rPr>
        <w:t xml:space="preserve"> </w:t>
      </w:r>
      <w:r>
        <w:rPr>
          <w:lang w:eastAsia="ja-JP"/>
        </w:rPr>
        <w:t>intensity</w:t>
      </w:r>
      <w:r w:rsidR="000159A6">
        <w:rPr>
          <w:lang w:eastAsia="ja-JP"/>
        </w:rPr>
        <w:t xml:space="preserve"> </w:t>
      </w:r>
      <w:r>
        <w:rPr>
          <w:lang w:eastAsia="ja-JP"/>
        </w:rPr>
        <w:t>was</w:t>
      </w:r>
      <w:r w:rsidR="000159A6">
        <w:rPr>
          <w:lang w:eastAsia="ja-JP"/>
        </w:rPr>
        <w:t xml:space="preserve"> </w:t>
      </w:r>
      <w:r>
        <w:rPr>
          <w:lang w:eastAsia="ja-JP"/>
        </w:rPr>
        <w:t>graded</w:t>
      </w:r>
      <w:r w:rsidR="000159A6">
        <w:rPr>
          <w:lang w:eastAsia="ja-JP"/>
        </w:rPr>
        <w:t xml:space="preserve"> </w:t>
      </w:r>
      <w:r>
        <w:rPr>
          <w:lang w:eastAsia="ja-JP"/>
        </w:rPr>
        <w:t>as</w:t>
      </w:r>
      <w:r w:rsidR="000159A6">
        <w:rPr>
          <w:lang w:eastAsia="ja-JP"/>
        </w:rPr>
        <w:t xml:space="preserve"> </w:t>
      </w:r>
      <w:r>
        <w:rPr>
          <w:lang w:eastAsia="ja-JP"/>
        </w:rPr>
        <w:t>follows:</w:t>
      </w:r>
      <w:r w:rsidR="000159A6">
        <w:rPr>
          <w:lang w:eastAsia="ja-JP"/>
        </w:rPr>
        <w:t xml:space="preserve"> </w:t>
      </w:r>
      <w:r>
        <w:rPr>
          <w:lang w:eastAsia="ja-JP"/>
        </w:rPr>
        <w:t>0</w:t>
      </w:r>
      <w:r w:rsidR="000159A6">
        <w:rPr>
          <w:lang w:eastAsia="ja-JP"/>
        </w:rPr>
        <w:t xml:space="preserve"> </w:t>
      </w:r>
      <w:r>
        <w:rPr>
          <w:lang w:eastAsia="ja-JP"/>
        </w:rPr>
        <w:t>being</w:t>
      </w:r>
      <w:r w:rsidR="000159A6">
        <w:rPr>
          <w:lang w:eastAsia="ja-JP"/>
        </w:rPr>
        <w:t xml:space="preserve"> </w:t>
      </w:r>
      <w:r>
        <w:rPr>
          <w:lang w:eastAsia="ja-JP"/>
        </w:rPr>
        <w:t>none;</w:t>
      </w:r>
      <w:r w:rsidR="000159A6">
        <w:rPr>
          <w:lang w:eastAsia="ja-JP"/>
        </w:rPr>
        <w:t xml:space="preserve"> </w:t>
      </w:r>
      <w:r>
        <w:rPr>
          <w:lang w:eastAsia="ja-JP"/>
        </w:rPr>
        <w:t>1</w:t>
      </w:r>
      <w:r w:rsidR="000159A6">
        <w:rPr>
          <w:lang w:eastAsia="ja-JP"/>
        </w:rPr>
        <w:t xml:space="preserve"> </w:t>
      </w:r>
      <w:r>
        <w:rPr>
          <w:lang w:eastAsia="ja-JP"/>
        </w:rPr>
        <w:t>mild;</w:t>
      </w:r>
      <w:r w:rsidR="000159A6">
        <w:rPr>
          <w:lang w:eastAsia="ja-JP"/>
        </w:rPr>
        <w:t xml:space="preserve"> </w:t>
      </w:r>
      <w:r>
        <w:rPr>
          <w:lang w:eastAsia="ja-JP"/>
        </w:rPr>
        <w:t>2</w:t>
      </w:r>
      <w:r w:rsidR="000159A6">
        <w:rPr>
          <w:lang w:eastAsia="ja-JP"/>
        </w:rPr>
        <w:t xml:space="preserve"> </w:t>
      </w:r>
      <w:r>
        <w:rPr>
          <w:lang w:eastAsia="ja-JP"/>
        </w:rPr>
        <w:t>moderate;</w:t>
      </w:r>
      <w:r w:rsidR="000159A6">
        <w:rPr>
          <w:lang w:eastAsia="ja-JP"/>
        </w:rPr>
        <w:t xml:space="preserve"> </w:t>
      </w:r>
      <w:r>
        <w:rPr>
          <w:lang w:eastAsia="ja-JP"/>
        </w:rPr>
        <w:t>and</w:t>
      </w:r>
      <w:r w:rsidR="000159A6">
        <w:rPr>
          <w:lang w:eastAsia="ja-JP"/>
        </w:rPr>
        <w:t xml:space="preserve"> </w:t>
      </w:r>
      <w:r>
        <w:rPr>
          <w:lang w:eastAsia="ja-JP"/>
        </w:rPr>
        <w:t>3</w:t>
      </w:r>
      <w:r w:rsidR="000159A6">
        <w:rPr>
          <w:lang w:eastAsia="ja-JP"/>
        </w:rPr>
        <w:t xml:space="preserve"> </w:t>
      </w:r>
      <w:r>
        <w:rPr>
          <w:lang w:eastAsia="ja-JP"/>
        </w:rPr>
        <w:t>severe</w:t>
      </w:r>
      <w:r w:rsidR="000159A6">
        <w:rPr>
          <w:lang w:eastAsia="ja-JP"/>
        </w:rPr>
        <w:t xml:space="preserve"> </w:t>
      </w:r>
      <w:r>
        <w:rPr>
          <w:lang w:eastAsia="ja-JP"/>
        </w:rPr>
        <w:t>and</w:t>
      </w:r>
      <w:r w:rsidR="000159A6">
        <w:rPr>
          <w:lang w:eastAsia="ja-JP"/>
        </w:rPr>
        <w:t xml:space="preserve"> </w:t>
      </w:r>
      <w:r>
        <w:rPr>
          <w:lang w:eastAsia="ja-JP"/>
        </w:rPr>
        <w:t>preventing</w:t>
      </w:r>
      <w:r w:rsidR="000159A6">
        <w:rPr>
          <w:lang w:eastAsia="ja-JP"/>
        </w:rPr>
        <w:t xml:space="preserve"> </w:t>
      </w:r>
      <w:r>
        <w:rPr>
          <w:lang w:eastAsia="ja-JP"/>
        </w:rPr>
        <w:t>normal</w:t>
      </w:r>
      <w:r w:rsidR="000159A6">
        <w:rPr>
          <w:lang w:eastAsia="ja-JP"/>
        </w:rPr>
        <w:t xml:space="preserve"> </w:t>
      </w:r>
      <w:r>
        <w:rPr>
          <w:lang w:eastAsia="ja-JP"/>
        </w:rPr>
        <w:t>everyday</w:t>
      </w:r>
      <w:r w:rsidR="000159A6">
        <w:rPr>
          <w:lang w:eastAsia="ja-JP"/>
        </w:rPr>
        <w:t xml:space="preserve"> </w:t>
      </w:r>
      <w:r>
        <w:rPr>
          <w:lang w:eastAsia="ja-JP"/>
        </w:rPr>
        <w:t>activities.</w:t>
      </w:r>
      <w:r w:rsidR="000159A6">
        <w:rPr>
          <w:lang w:eastAsia="ja-JP"/>
        </w:rPr>
        <w:t xml:space="preserve"> </w:t>
      </w:r>
      <w:r>
        <w:rPr>
          <w:lang w:eastAsia="ja-JP"/>
        </w:rPr>
        <w:t>Redness</w:t>
      </w:r>
      <w:r w:rsidR="000159A6">
        <w:rPr>
          <w:lang w:eastAsia="ja-JP"/>
        </w:rPr>
        <w:t xml:space="preserve"> </w:t>
      </w:r>
      <w:r>
        <w:rPr>
          <w:lang w:eastAsia="ja-JP"/>
        </w:rPr>
        <w:t>and</w:t>
      </w:r>
      <w:r w:rsidR="000159A6">
        <w:rPr>
          <w:lang w:eastAsia="ja-JP"/>
        </w:rPr>
        <w:t xml:space="preserve"> </w:t>
      </w:r>
      <w:r>
        <w:rPr>
          <w:lang w:eastAsia="ja-JP"/>
        </w:rPr>
        <w:t>swelling</w:t>
      </w:r>
      <w:r w:rsidR="000159A6">
        <w:rPr>
          <w:lang w:eastAsia="ja-JP"/>
        </w:rPr>
        <w:t xml:space="preserve"> </w:t>
      </w:r>
      <w:r>
        <w:rPr>
          <w:lang w:eastAsia="ja-JP"/>
        </w:rPr>
        <w:t>were</w:t>
      </w:r>
      <w:r w:rsidR="000159A6">
        <w:rPr>
          <w:lang w:eastAsia="ja-JP"/>
        </w:rPr>
        <w:t xml:space="preserve"> </w:t>
      </w:r>
      <w:r>
        <w:rPr>
          <w:lang w:eastAsia="ja-JP"/>
        </w:rPr>
        <w:t>scored:</w:t>
      </w:r>
      <w:r w:rsidR="000159A6">
        <w:rPr>
          <w:lang w:eastAsia="ja-JP"/>
        </w:rPr>
        <w:t xml:space="preserve"> </w:t>
      </w:r>
      <w:r>
        <w:rPr>
          <w:lang w:eastAsia="ja-JP"/>
        </w:rPr>
        <w:t>0</w:t>
      </w:r>
      <w:r w:rsidR="000159A6">
        <w:rPr>
          <w:lang w:eastAsia="ja-JP"/>
        </w:rPr>
        <w:t xml:space="preserve"> </w:t>
      </w:r>
      <w:r w:rsidR="0037169B">
        <w:rPr>
          <w:lang w:eastAsia="ja-JP"/>
        </w:rPr>
        <w:t>&lt;</w:t>
      </w:r>
      <w:r w:rsidR="000159A6">
        <w:rPr>
          <w:lang w:eastAsia="ja-JP"/>
        </w:rPr>
        <w:t xml:space="preserve"> </w:t>
      </w:r>
      <w:r>
        <w:rPr>
          <w:lang w:eastAsia="ja-JP"/>
        </w:rPr>
        <w:t>20</w:t>
      </w:r>
      <w:r w:rsidR="000159A6">
        <w:rPr>
          <w:lang w:eastAsia="ja-JP"/>
        </w:rPr>
        <w:t xml:space="preserve"> </w:t>
      </w:r>
      <w:r>
        <w:rPr>
          <w:lang w:eastAsia="ja-JP"/>
        </w:rPr>
        <w:t>mm;</w:t>
      </w:r>
      <w:r w:rsidR="000159A6">
        <w:rPr>
          <w:lang w:eastAsia="ja-JP"/>
        </w:rPr>
        <w:t xml:space="preserve"> </w:t>
      </w:r>
      <w:r>
        <w:rPr>
          <w:lang w:eastAsia="ja-JP"/>
        </w:rPr>
        <w:t>1</w:t>
      </w:r>
      <w:r w:rsidR="000159A6">
        <w:rPr>
          <w:lang w:eastAsia="ja-JP"/>
        </w:rPr>
        <w:t xml:space="preserve"> </w:t>
      </w:r>
      <w:r w:rsidR="0037169B">
        <w:rPr>
          <w:lang w:eastAsia="ja-JP"/>
        </w:rPr>
        <w:t>≥</w:t>
      </w:r>
      <w:r w:rsidR="000159A6">
        <w:rPr>
          <w:lang w:eastAsia="ja-JP"/>
        </w:rPr>
        <w:t xml:space="preserve"> </w:t>
      </w:r>
      <w:r>
        <w:rPr>
          <w:lang w:eastAsia="ja-JP"/>
        </w:rPr>
        <w:t>20</w:t>
      </w:r>
      <w:r w:rsidR="000159A6">
        <w:rPr>
          <w:lang w:eastAsia="ja-JP"/>
        </w:rPr>
        <w:t xml:space="preserve"> </w:t>
      </w:r>
      <w:r>
        <w:rPr>
          <w:lang w:eastAsia="ja-JP"/>
        </w:rPr>
        <w:t>mm</w:t>
      </w:r>
      <w:r w:rsidR="000159A6">
        <w:rPr>
          <w:lang w:eastAsia="ja-JP"/>
        </w:rPr>
        <w:t xml:space="preserve"> </w:t>
      </w:r>
      <w:r>
        <w:rPr>
          <w:lang w:eastAsia="ja-JP"/>
        </w:rPr>
        <w:t>to</w:t>
      </w:r>
      <w:r w:rsidR="000159A6">
        <w:rPr>
          <w:lang w:eastAsia="ja-JP"/>
        </w:rPr>
        <w:t xml:space="preserve"> </w:t>
      </w:r>
      <w:r w:rsidR="004715B4">
        <w:rPr>
          <w:lang w:eastAsia="ja-JP"/>
        </w:rPr>
        <w:t>≤</w:t>
      </w:r>
      <w:r w:rsidR="000159A6">
        <w:rPr>
          <w:lang w:eastAsia="ja-JP"/>
        </w:rPr>
        <w:t xml:space="preserve"> </w:t>
      </w:r>
      <w:r>
        <w:rPr>
          <w:lang w:eastAsia="ja-JP"/>
        </w:rPr>
        <w:t>50</w:t>
      </w:r>
      <w:r w:rsidR="000159A6">
        <w:rPr>
          <w:lang w:eastAsia="ja-JP"/>
        </w:rPr>
        <w:t xml:space="preserve"> </w:t>
      </w:r>
      <w:r>
        <w:rPr>
          <w:lang w:eastAsia="ja-JP"/>
        </w:rPr>
        <w:t>mm;</w:t>
      </w:r>
      <w:r w:rsidR="000159A6">
        <w:rPr>
          <w:lang w:eastAsia="ja-JP"/>
        </w:rPr>
        <w:t xml:space="preserve"> </w:t>
      </w:r>
      <w:r>
        <w:rPr>
          <w:lang w:eastAsia="ja-JP"/>
        </w:rPr>
        <w:t>2</w:t>
      </w:r>
      <w:r w:rsidR="000159A6">
        <w:rPr>
          <w:lang w:eastAsia="ja-JP"/>
        </w:rPr>
        <w:t xml:space="preserve"> </w:t>
      </w:r>
      <w:r w:rsidR="004715B4">
        <w:rPr>
          <w:lang w:eastAsia="ja-JP"/>
        </w:rPr>
        <w:t>&gt;</w:t>
      </w:r>
      <w:r w:rsidR="000159A6">
        <w:rPr>
          <w:lang w:eastAsia="ja-JP"/>
        </w:rPr>
        <w:t xml:space="preserve"> </w:t>
      </w:r>
      <w:r>
        <w:rPr>
          <w:lang w:eastAsia="ja-JP"/>
        </w:rPr>
        <w:t>50</w:t>
      </w:r>
      <w:r w:rsidR="000159A6">
        <w:rPr>
          <w:lang w:eastAsia="ja-JP"/>
        </w:rPr>
        <w:t xml:space="preserve"> </w:t>
      </w:r>
      <w:r>
        <w:rPr>
          <w:lang w:eastAsia="ja-JP"/>
        </w:rPr>
        <w:t>mm</w:t>
      </w:r>
      <w:r w:rsidR="000159A6">
        <w:rPr>
          <w:lang w:eastAsia="ja-JP"/>
        </w:rPr>
        <w:t xml:space="preserve"> </w:t>
      </w:r>
      <w:r>
        <w:rPr>
          <w:lang w:eastAsia="ja-JP"/>
        </w:rPr>
        <w:t>to</w:t>
      </w:r>
      <w:r w:rsidR="000159A6">
        <w:rPr>
          <w:lang w:eastAsia="ja-JP"/>
        </w:rPr>
        <w:t xml:space="preserve"> </w:t>
      </w:r>
      <w:r w:rsidR="004715B4">
        <w:rPr>
          <w:lang w:eastAsia="ja-JP"/>
        </w:rPr>
        <w:t>≤</w:t>
      </w:r>
      <w:r w:rsidR="000159A6">
        <w:rPr>
          <w:lang w:eastAsia="ja-JP"/>
        </w:rPr>
        <w:t xml:space="preserve"> </w:t>
      </w:r>
      <w:r>
        <w:rPr>
          <w:lang w:eastAsia="ja-JP"/>
        </w:rPr>
        <w:t>100</w:t>
      </w:r>
      <w:r w:rsidR="000159A6">
        <w:rPr>
          <w:lang w:eastAsia="ja-JP"/>
        </w:rPr>
        <w:t xml:space="preserve"> </w:t>
      </w:r>
      <w:r>
        <w:rPr>
          <w:lang w:eastAsia="ja-JP"/>
        </w:rPr>
        <w:t>mm;</w:t>
      </w:r>
      <w:r w:rsidR="000159A6">
        <w:rPr>
          <w:lang w:eastAsia="ja-JP"/>
        </w:rPr>
        <w:t xml:space="preserve"> </w:t>
      </w:r>
      <w:r>
        <w:rPr>
          <w:lang w:eastAsia="ja-JP"/>
        </w:rPr>
        <w:t>and</w:t>
      </w:r>
      <w:r w:rsidR="000159A6">
        <w:rPr>
          <w:lang w:eastAsia="ja-JP"/>
        </w:rPr>
        <w:t xml:space="preserve"> </w:t>
      </w:r>
      <w:r>
        <w:rPr>
          <w:lang w:eastAsia="ja-JP"/>
        </w:rPr>
        <w:t>3</w:t>
      </w:r>
      <w:r w:rsidR="000159A6">
        <w:rPr>
          <w:lang w:eastAsia="ja-JP"/>
        </w:rPr>
        <w:t xml:space="preserve"> </w:t>
      </w:r>
      <w:r w:rsidR="004715B4">
        <w:rPr>
          <w:lang w:eastAsia="ja-JP"/>
        </w:rPr>
        <w:t>&gt;</w:t>
      </w:r>
      <w:r w:rsidR="000159A6">
        <w:rPr>
          <w:lang w:eastAsia="ja-JP"/>
        </w:rPr>
        <w:t xml:space="preserve"> </w:t>
      </w:r>
      <w:r>
        <w:rPr>
          <w:lang w:eastAsia="ja-JP"/>
        </w:rPr>
        <w:t>100</w:t>
      </w:r>
      <w:r w:rsidR="000159A6">
        <w:rPr>
          <w:lang w:eastAsia="ja-JP"/>
        </w:rPr>
        <w:t xml:space="preserve"> </w:t>
      </w:r>
      <w:r>
        <w:rPr>
          <w:lang w:eastAsia="ja-JP"/>
        </w:rPr>
        <w:t>mm</w:t>
      </w:r>
      <w:r w:rsidR="000159A6">
        <w:rPr>
          <w:lang w:eastAsia="ja-JP"/>
        </w:rPr>
        <w:t xml:space="preserve"> </w:t>
      </w:r>
      <w:r>
        <w:rPr>
          <w:lang w:eastAsia="ja-JP"/>
        </w:rPr>
        <w:t>diameter.</w:t>
      </w:r>
      <w:r w:rsidR="000159A6">
        <w:rPr>
          <w:lang w:eastAsia="ja-JP"/>
        </w:rPr>
        <w:t xml:space="preserve"> </w:t>
      </w:r>
      <w:r>
        <w:rPr>
          <w:lang w:eastAsia="ja-JP"/>
        </w:rPr>
        <w:t>Temperature</w:t>
      </w:r>
      <w:r w:rsidR="000159A6">
        <w:rPr>
          <w:lang w:eastAsia="ja-JP"/>
        </w:rPr>
        <w:t xml:space="preserve"> </w:t>
      </w:r>
      <w:r>
        <w:rPr>
          <w:lang w:eastAsia="ja-JP"/>
        </w:rPr>
        <w:t>was</w:t>
      </w:r>
      <w:r w:rsidR="000159A6">
        <w:rPr>
          <w:lang w:eastAsia="ja-JP"/>
        </w:rPr>
        <w:t xml:space="preserve"> </w:t>
      </w:r>
      <w:r>
        <w:rPr>
          <w:lang w:eastAsia="ja-JP"/>
        </w:rPr>
        <w:t>scored:</w:t>
      </w:r>
      <w:r w:rsidR="000159A6">
        <w:rPr>
          <w:lang w:eastAsia="ja-JP"/>
        </w:rPr>
        <w:t xml:space="preserve"> </w:t>
      </w:r>
      <w:r>
        <w:rPr>
          <w:lang w:eastAsia="ja-JP"/>
        </w:rPr>
        <w:t>0</w:t>
      </w:r>
      <w:r w:rsidR="000159A6">
        <w:rPr>
          <w:lang w:eastAsia="ja-JP"/>
        </w:rPr>
        <w:t xml:space="preserve"> </w:t>
      </w:r>
      <w:r w:rsidR="0037169B">
        <w:rPr>
          <w:lang w:eastAsia="ja-JP"/>
        </w:rPr>
        <w:t>&lt;</w:t>
      </w:r>
      <w:r w:rsidR="000159A6">
        <w:rPr>
          <w:lang w:eastAsia="ja-JP"/>
        </w:rPr>
        <w:t xml:space="preserve"> </w:t>
      </w:r>
      <w:r>
        <w:rPr>
          <w:lang w:eastAsia="ja-JP"/>
        </w:rPr>
        <w:t>37.5°C;</w:t>
      </w:r>
      <w:r w:rsidR="000159A6">
        <w:rPr>
          <w:lang w:eastAsia="ja-JP"/>
        </w:rPr>
        <w:t xml:space="preserve"> </w:t>
      </w:r>
      <w:r>
        <w:rPr>
          <w:lang w:eastAsia="ja-JP"/>
        </w:rPr>
        <w:t>1</w:t>
      </w:r>
      <w:r w:rsidR="000159A6">
        <w:rPr>
          <w:lang w:eastAsia="ja-JP"/>
        </w:rPr>
        <w:t xml:space="preserve"> </w:t>
      </w:r>
      <w:r>
        <w:rPr>
          <w:lang w:eastAsia="ja-JP"/>
        </w:rPr>
        <w:t>37.5°C</w:t>
      </w:r>
      <w:r w:rsidR="000159A6">
        <w:rPr>
          <w:lang w:eastAsia="ja-JP"/>
        </w:rPr>
        <w:t xml:space="preserve"> </w:t>
      </w:r>
      <w:r>
        <w:rPr>
          <w:lang w:eastAsia="ja-JP"/>
        </w:rPr>
        <w:t>to</w:t>
      </w:r>
      <w:r w:rsidR="000159A6">
        <w:rPr>
          <w:lang w:eastAsia="ja-JP"/>
        </w:rPr>
        <w:t xml:space="preserve"> </w:t>
      </w:r>
      <w:r>
        <w:rPr>
          <w:lang w:eastAsia="ja-JP"/>
        </w:rPr>
        <w:t>38.0°C;</w:t>
      </w:r>
      <w:r w:rsidR="000159A6">
        <w:rPr>
          <w:lang w:eastAsia="ja-JP"/>
        </w:rPr>
        <w:t xml:space="preserve"> </w:t>
      </w:r>
      <w:r>
        <w:rPr>
          <w:lang w:eastAsia="ja-JP"/>
        </w:rPr>
        <w:t>2</w:t>
      </w:r>
      <w:r w:rsidR="000159A6">
        <w:rPr>
          <w:lang w:eastAsia="ja-JP"/>
        </w:rPr>
        <w:t xml:space="preserve"> </w:t>
      </w:r>
      <w:r>
        <w:rPr>
          <w:lang w:eastAsia="ja-JP"/>
        </w:rPr>
        <w:t>38.1°C</w:t>
      </w:r>
      <w:r w:rsidR="000159A6">
        <w:rPr>
          <w:lang w:eastAsia="ja-JP"/>
        </w:rPr>
        <w:t xml:space="preserve"> </w:t>
      </w:r>
      <w:r>
        <w:rPr>
          <w:lang w:eastAsia="ja-JP"/>
        </w:rPr>
        <w:t>to</w:t>
      </w:r>
      <w:r w:rsidR="000159A6">
        <w:rPr>
          <w:lang w:eastAsia="ja-JP"/>
        </w:rPr>
        <w:t xml:space="preserve"> </w:t>
      </w:r>
      <w:r>
        <w:rPr>
          <w:lang w:eastAsia="ja-JP"/>
        </w:rPr>
        <w:t>39.0°C;</w:t>
      </w:r>
      <w:r w:rsidR="000159A6">
        <w:rPr>
          <w:lang w:eastAsia="ja-JP"/>
        </w:rPr>
        <w:t xml:space="preserve"> </w:t>
      </w:r>
      <w:r>
        <w:rPr>
          <w:lang w:eastAsia="ja-JP"/>
        </w:rPr>
        <w:t>and</w:t>
      </w:r>
      <w:r w:rsidR="000159A6">
        <w:rPr>
          <w:lang w:eastAsia="ja-JP"/>
        </w:rPr>
        <w:t xml:space="preserve"> </w:t>
      </w:r>
      <w:r>
        <w:rPr>
          <w:lang w:eastAsia="ja-JP"/>
        </w:rPr>
        <w:t>3</w:t>
      </w:r>
      <w:r w:rsidR="000159A6">
        <w:rPr>
          <w:lang w:eastAsia="ja-JP"/>
        </w:rPr>
        <w:t xml:space="preserve"> </w:t>
      </w:r>
      <w:r w:rsidR="004715B4">
        <w:rPr>
          <w:lang w:eastAsia="ja-JP"/>
        </w:rPr>
        <w:t>&gt;</w:t>
      </w:r>
      <w:r w:rsidR="000159A6">
        <w:rPr>
          <w:lang w:eastAsia="ja-JP"/>
        </w:rPr>
        <w:t xml:space="preserve"> </w:t>
      </w:r>
      <w:r>
        <w:rPr>
          <w:lang w:eastAsia="ja-JP"/>
        </w:rPr>
        <w:t>39.0°C</w:t>
      </w:r>
      <w:r w:rsidR="000159A6">
        <w:rPr>
          <w:lang w:eastAsia="ja-JP"/>
        </w:rPr>
        <w:t xml:space="preserve"> </w:t>
      </w:r>
      <w:r w:rsidRPr="00595AF5">
        <w:rPr>
          <w:lang w:eastAsia="ja-JP"/>
        </w:rPr>
        <w:t>(</w:t>
      </w:r>
      <w:r w:rsidR="00392EF0">
        <w:rPr>
          <w:lang w:eastAsia="ja-JP"/>
        </w:rPr>
        <w:t>see</w:t>
      </w:r>
      <w:r w:rsidR="000159A6">
        <w:rPr>
          <w:lang w:eastAsia="ja-JP"/>
        </w:rPr>
        <w:t xml:space="preserve"> </w:t>
      </w:r>
      <w:r>
        <w:rPr>
          <w:lang w:eastAsia="ja-JP"/>
        </w:rPr>
        <w:t>Table</w:t>
      </w:r>
      <w:r w:rsidR="000159A6">
        <w:rPr>
          <w:lang w:eastAsia="ja-JP"/>
        </w:rPr>
        <w:t xml:space="preserve"> </w:t>
      </w:r>
      <w:r>
        <w:rPr>
          <w:lang w:eastAsia="ja-JP"/>
        </w:rPr>
        <w:t>33</w:t>
      </w:r>
      <w:r w:rsidR="00525235">
        <w:rPr>
          <w:lang w:eastAsia="ja-JP"/>
        </w:rPr>
        <w:t>,</w:t>
      </w:r>
      <w:r w:rsidR="000159A6">
        <w:rPr>
          <w:lang w:eastAsia="ja-JP"/>
        </w:rPr>
        <w:t xml:space="preserve"> </w:t>
      </w:r>
      <w:r w:rsidR="00525235">
        <w:rPr>
          <w:lang w:eastAsia="ja-JP"/>
        </w:rPr>
        <w:t>Attachment</w:t>
      </w:r>
      <w:r w:rsidR="000159A6">
        <w:rPr>
          <w:lang w:eastAsia="ja-JP"/>
        </w:rPr>
        <w:t xml:space="preserve"> </w:t>
      </w:r>
      <w:r w:rsidR="00525235">
        <w:rPr>
          <w:lang w:eastAsia="ja-JP"/>
        </w:rPr>
        <w:t>2</w:t>
      </w:r>
      <w:r w:rsidRPr="00595AF5">
        <w:rPr>
          <w:lang w:eastAsia="ja-JP"/>
        </w:rPr>
        <w:t>).</w:t>
      </w:r>
    </w:p>
    <w:p w14:paraId="52EC392C" w14:textId="473F5BCE" w:rsidR="0091081C" w:rsidRDefault="0091081C" w:rsidP="00541F41">
      <w:pPr>
        <w:rPr>
          <w:lang w:eastAsia="ja-JP"/>
        </w:rPr>
      </w:pPr>
      <w:r>
        <w:rPr>
          <w:lang w:eastAsia="ja-JP"/>
        </w:rPr>
        <w:t>SAEs</w:t>
      </w:r>
      <w:r w:rsidR="000159A6">
        <w:rPr>
          <w:lang w:eastAsia="ja-JP"/>
        </w:rPr>
        <w:t xml:space="preserve"> </w:t>
      </w:r>
      <w:r>
        <w:rPr>
          <w:lang w:eastAsia="ja-JP"/>
        </w:rPr>
        <w:t>were</w:t>
      </w:r>
      <w:r w:rsidR="000159A6">
        <w:rPr>
          <w:lang w:eastAsia="ja-JP"/>
        </w:rPr>
        <w:t xml:space="preserve"> </w:t>
      </w:r>
      <w:r>
        <w:rPr>
          <w:lang w:eastAsia="ja-JP"/>
        </w:rPr>
        <w:t>recorded</w:t>
      </w:r>
      <w:r w:rsidR="000159A6">
        <w:rPr>
          <w:lang w:eastAsia="ja-JP"/>
        </w:rPr>
        <w:t xml:space="preserve"> </w:t>
      </w:r>
      <w:r>
        <w:rPr>
          <w:lang w:eastAsia="ja-JP"/>
        </w:rPr>
        <w:t>from</w:t>
      </w:r>
      <w:r w:rsidR="000159A6">
        <w:rPr>
          <w:lang w:eastAsia="ja-JP"/>
        </w:rPr>
        <w:t xml:space="preserve"> </w:t>
      </w:r>
      <w:r>
        <w:rPr>
          <w:lang w:eastAsia="ja-JP"/>
        </w:rPr>
        <w:t>Day</w:t>
      </w:r>
      <w:r w:rsidR="000159A6">
        <w:rPr>
          <w:lang w:eastAsia="ja-JP"/>
        </w:rPr>
        <w:t xml:space="preserve"> </w:t>
      </w:r>
      <w:r>
        <w:rPr>
          <w:lang w:eastAsia="ja-JP"/>
        </w:rPr>
        <w:t>0</w:t>
      </w:r>
      <w:r w:rsidR="000159A6">
        <w:rPr>
          <w:lang w:eastAsia="ja-JP"/>
        </w:rPr>
        <w:t xml:space="preserve"> </w:t>
      </w:r>
      <w:r>
        <w:rPr>
          <w:lang w:eastAsia="ja-JP"/>
        </w:rPr>
        <w:t>to</w:t>
      </w:r>
      <w:r w:rsidR="000159A6">
        <w:rPr>
          <w:lang w:eastAsia="ja-JP"/>
        </w:rPr>
        <w:t xml:space="preserve"> </w:t>
      </w:r>
      <w:r>
        <w:rPr>
          <w:lang w:eastAsia="ja-JP"/>
        </w:rPr>
        <w:t>Month</w:t>
      </w:r>
      <w:r w:rsidR="000159A6">
        <w:rPr>
          <w:lang w:eastAsia="ja-JP"/>
        </w:rPr>
        <w:t xml:space="preserve"> </w:t>
      </w:r>
      <w:r>
        <w:rPr>
          <w:lang w:eastAsia="ja-JP"/>
        </w:rPr>
        <w:t>14,</w:t>
      </w:r>
      <w:r w:rsidR="000159A6">
        <w:rPr>
          <w:lang w:eastAsia="ja-JP"/>
        </w:rPr>
        <w:t xml:space="preserve"> </w:t>
      </w:r>
      <w:r>
        <w:rPr>
          <w:lang w:eastAsia="ja-JP"/>
        </w:rPr>
        <w:t>or</w:t>
      </w:r>
      <w:r w:rsidR="000159A6">
        <w:rPr>
          <w:lang w:eastAsia="ja-JP"/>
        </w:rPr>
        <w:t xml:space="preserve"> </w:t>
      </w:r>
      <w:r>
        <w:rPr>
          <w:lang w:eastAsia="ja-JP"/>
        </w:rPr>
        <w:t>to</w:t>
      </w:r>
      <w:r w:rsidR="000159A6">
        <w:rPr>
          <w:lang w:eastAsia="ja-JP"/>
        </w:rPr>
        <w:t xml:space="preserve"> </w:t>
      </w:r>
      <w:r>
        <w:rPr>
          <w:lang w:eastAsia="ja-JP"/>
        </w:rPr>
        <w:t>study</w:t>
      </w:r>
      <w:r w:rsidR="000159A6">
        <w:rPr>
          <w:lang w:eastAsia="ja-JP"/>
        </w:rPr>
        <w:t xml:space="preserve"> </w:t>
      </w:r>
      <w:r>
        <w:rPr>
          <w:lang w:eastAsia="ja-JP"/>
        </w:rPr>
        <w:t>completion</w:t>
      </w:r>
      <w:r w:rsidR="000159A6">
        <w:rPr>
          <w:lang w:eastAsia="ja-JP"/>
        </w:rPr>
        <w:t xml:space="preserve"> </w:t>
      </w:r>
      <w:r>
        <w:rPr>
          <w:lang w:eastAsia="ja-JP"/>
        </w:rPr>
        <w:t>if</w:t>
      </w:r>
      <w:r w:rsidR="000159A6">
        <w:rPr>
          <w:lang w:eastAsia="ja-JP"/>
        </w:rPr>
        <w:t xml:space="preserve"> </w:t>
      </w:r>
      <w:r>
        <w:rPr>
          <w:lang w:eastAsia="ja-JP"/>
        </w:rPr>
        <w:t>the</w:t>
      </w:r>
      <w:r w:rsidR="000159A6">
        <w:rPr>
          <w:lang w:eastAsia="ja-JP"/>
        </w:rPr>
        <w:t xml:space="preserve"> </w:t>
      </w:r>
      <w:r>
        <w:rPr>
          <w:lang w:eastAsia="ja-JP"/>
        </w:rPr>
        <w:t>SAE</w:t>
      </w:r>
      <w:r w:rsidR="000159A6">
        <w:rPr>
          <w:lang w:eastAsia="ja-JP"/>
        </w:rPr>
        <w:t xml:space="preserve"> </w:t>
      </w:r>
      <w:r>
        <w:rPr>
          <w:lang w:eastAsia="ja-JP"/>
        </w:rPr>
        <w:t>related</w:t>
      </w:r>
      <w:r w:rsidR="000159A6">
        <w:rPr>
          <w:lang w:eastAsia="ja-JP"/>
        </w:rPr>
        <w:t xml:space="preserve"> </w:t>
      </w:r>
      <w:r>
        <w:rPr>
          <w:lang w:eastAsia="ja-JP"/>
        </w:rPr>
        <w:t>to</w:t>
      </w:r>
      <w:r w:rsidR="000159A6">
        <w:rPr>
          <w:lang w:eastAsia="ja-JP"/>
        </w:rPr>
        <w:t xml:space="preserve"> </w:t>
      </w:r>
      <w:r>
        <w:rPr>
          <w:lang w:eastAsia="ja-JP"/>
        </w:rPr>
        <w:t>study</w:t>
      </w:r>
      <w:r w:rsidR="000159A6">
        <w:rPr>
          <w:lang w:eastAsia="ja-JP"/>
        </w:rPr>
        <w:t xml:space="preserve"> </w:t>
      </w:r>
      <w:r>
        <w:rPr>
          <w:lang w:eastAsia="ja-JP"/>
        </w:rPr>
        <w:t>participation</w:t>
      </w:r>
      <w:r w:rsidR="000159A6">
        <w:rPr>
          <w:lang w:eastAsia="ja-JP"/>
        </w:rPr>
        <w:t xml:space="preserve"> </w:t>
      </w:r>
      <w:r>
        <w:rPr>
          <w:lang w:eastAsia="ja-JP"/>
        </w:rPr>
        <w:t>or</w:t>
      </w:r>
      <w:r w:rsidR="000159A6">
        <w:rPr>
          <w:lang w:eastAsia="ja-JP"/>
        </w:rPr>
        <w:t xml:space="preserve"> </w:t>
      </w:r>
      <w:r>
        <w:rPr>
          <w:lang w:eastAsia="ja-JP"/>
        </w:rPr>
        <w:t>if</w:t>
      </w:r>
      <w:r w:rsidR="000159A6">
        <w:rPr>
          <w:lang w:eastAsia="ja-JP"/>
        </w:rPr>
        <w:t xml:space="preserve"> </w:t>
      </w:r>
      <w:r>
        <w:rPr>
          <w:lang w:eastAsia="ja-JP"/>
        </w:rPr>
        <w:t>it</w:t>
      </w:r>
      <w:r w:rsidR="000159A6">
        <w:rPr>
          <w:lang w:eastAsia="ja-JP"/>
        </w:rPr>
        <w:t xml:space="preserve"> </w:t>
      </w:r>
      <w:r>
        <w:rPr>
          <w:lang w:eastAsia="ja-JP"/>
        </w:rPr>
        <w:t>was</w:t>
      </w:r>
      <w:r w:rsidR="000159A6">
        <w:rPr>
          <w:lang w:eastAsia="ja-JP"/>
        </w:rPr>
        <w:t xml:space="preserve"> </w:t>
      </w:r>
      <w:r>
        <w:rPr>
          <w:lang w:eastAsia="ja-JP"/>
        </w:rPr>
        <w:t>fatal.</w:t>
      </w:r>
      <w:r w:rsidR="000159A6">
        <w:rPr>
          <w:lang w:eastAsia="ja-JP"/>
        </w:rPr>
        <w:t xml:space="preserve"> </w:t>
      </w:r>
      <w:r>
        <w:rPr>
          <w:lang w:eastAsia="ja-JP"/>
        </w:rPr>
        <w:t>SAEs</w:t>
      </w:r>
      <w:r w:rsidR="000159A6">
        <w:rPr>
          <w:lang w:eastAsia="ja-JP"/>
        </w:rPr>
        <w:t xml:space="preserve"> </w:t>
      </w:r>
      <w:r>
        <w:rPr>
          <w:lang w:eastAsia="ja-JP"/>
        </w:rPr>
        <w:t>were</w:t>
      </w:r>
      <w:r w:rsidR="000159A6">
        <w:rPr>
          <w:lang w:eastAsia="ja-JP"/>
        </w:rPr>
        <w:t xml:space="preserve"> </w:t>
      </w:r>
      <w:r>
        <w:rPr>
          <w:lang w:eastAsia="ja-JP"/>
        </w:rPr>
        <w:t>also</w:t>
      </w:r>
      <w:r w:rsidR="000159A6">
        <w:rPr>
          <w:lang w:eastAsia="ja-JP"/>
        </w:rPr>
        <w:t xml:space="preserve"> </w:t>
      </w:r>
      <w:r>
        <w:rPr>
          <w:lang w:eastAsia="ja-JP"/>
        </w:rPr>
        <w:t>analysed</w:t>
      </w:r>
      <w:r w:rsidR="000159A6">
        <w:rPr>
          <w:lang w:eastAsia="ja-JP"/>
        </w:rPr>
        <w:t xml:space="preserve"> </w:t>
      </w:r>
      <w:r>
        <w:rPr>
          <w:lang w:eastAsia="ja-JP"/>
        </w:rPr>
        <w:t>if</w:t>
      </w:r>
      <w:r w:rsidR="000159A6">
        <w:rPr>
          <w:lang w:eastAsia="ja-JP"/>
        </w:rPr>
        <w:t xml:space="preserve"> </w:t>
      </w:r>
      <w:r>
        <w:rPr>
          <w:lang w:eastAsia="ja-JP"/>
        </w:rPr>
        <w:t>occurring</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30</w:t>
      </w:r>
      <w:r w:rsidR="000159A6">
        <w:rPr>
          <w:lang w:eastAsia="ja-JP"/>
        </w:rPr>
        <w:t xml:space="preserve"> </w:t>
      </w:r>
      <w:r>
        <w:rPr>
          <w:lang w:eastAsia="ja-JP"/>
        </w:rPr>
        <w:t>day</w:t>
      </w:r>
      <w:r w:rsidR="000159A6">
        <w:rPr>
          <w:lang w:eastAsia="ja-JP"/>
        </w:rPr>
        <w:t xml:space="preserve"> </w:t>
      </w:r>
      <w:r>
        <w:rPr>
          <w:lang w:eastAsia="ja-JP"/>
        </w:rPr>
        <w:t>period</w:t>
      </w:r>
      <w:r w:rsidR="000159A6">
        <w:rPr>
          <w:lang w:eastAsia="ja-JP"/>
        </w:rPr>
        <w:t xml:space="preserve"> </w:t>
      </w:r>
      <w:r>
        <w:rPr>
          <w:lang w:eastAsia="ja-JP"/>
        </w:rPr>
        <w:t>post</w:t>
      </w:r>
      <w:r w:rsidR="000159A6">
        <w:rPr>
          <w:lang w:eastAsia="ja-JP"/>
        </w:rPr>
        <w:t xml:space="preserve"> </w:t>
      </w:r>
      <w:r>
        <w:rPr>
          <w:lang w:eastAsia="ja-JP"/>
        </w:rPr>
        <w:t>vaccination.</w:t>
      </w:r>
      <w:r w:rsidR="000159A6">
        <w:rPr>
          <w:lang w:eastAsia="ja-JP"/>
        </w:rPr>
        <w:t xml:space="preserve"> </w:t>
      </w:r>
      <w:r>
        <w:rPr>
          <w:lang w:eastAsia="ja-JP"/>
        </w:rPr>
        <w:t>Information</w:t>
      </w:r>
      <w:r w:rsidR="000159A6">
        <w:rPr>
          <w:lang w:eastAsia="ja-JP"/>
        </w:rPr>
        <w:t xml:space="preserve"> </w:t>
      </w:r>
      <w:r>
        <w:rPr>
          <w:lang w:eastAsia="ja-JP"/>
        </w:rPr>
        <w:t>on</w:t>
      </w:r>
      <w:r w:rsidR="000159A6">
        <w:rPr>
          <w:lang w:eastAsia="ja-JP"/>
        </w:rPr>
        <w:t xml:space="preserve"> </w:t>
      </w:r>
      <w:r>
        <w:rPr>
          <w:lang w:eastAsia="ja-JP"/>
        </w:rPr>
        <w:t>p</w:t>
      </w:r>
      <w:r w:rsidR="00525235">
        <w:rPr>
          <w:lang w:eastAsia="ja-JP"/>
        </w:rPr>
        <w:t>otential</w:t>
      </w:r>
      <w:r w:rsidR="000159A6">
        <w:rPr>
          <w:lang w:eastAsia="ja-JP"/>
        </w:rPr>
        <w:t xml:space="preserve"> </w:t>
      </w:r>
      <w:r w:rsidR="00525235">
        <w:rPr>
          <w:lang w:eastAsia="ja-JP"/>
        </w:rPr>
        <w:t>immune</w:t>
      </w:r>
      <w:r w:rsidR="000159A6">
        <w:rPr>
          <w:lang w:eastAsia="ja-JP"/>
        </w:rPr>
        <w:t xml:space="preserve"> </w:t>
      </w:r>
      <w:r w:rsidRPr="008F0CDB">
        <w:rPr>
          <w:lang w:eastAsia="ja-JP"/>
        </w:rPr>
        <w:t>mediated</w:t>
      </w:r>
      <w:r w:rsidR="000159A6">
        <w:rPr>
          <w:lang w:eastAsia="ja-JP"/>
        </w:rPr>
        <w:t xml:space="preserve"> </w:t>
      </w:r>
      <w:r w:rsidRPr="008F0CDB">
        <w:rPr>
          <w:lang w:eastAsia="ja-JP"/>
        </w:rPr>
        <w:t>diseases</w:t>
      </w:r>
      <w:r w:rsidR="000159A6">
        <w:rPr>
          <w:lang w:eastAsia="ja-JP"/>
        </w:rPr>
        <w:t xml:space="preserve"> </w:t>
      </w:r>
      <w:r w:rsidRPr="008F0CDB">
        <w:rPr>
          <w:lang w:eastAsia="ja-JP"/>
        </w:rPr>
        <w:t>(</w:t>
      </w:r>
      <w:proofErr w:type="spellStart"/>
      <w:r w:rsidRPr="008F0CDB">
        <w:rPr>
          <w:lang w:eastAsia="ja-JP"/>
        </w:rPr>
        <w:t>pIMDs</w:t>
      </w:r>
      <w:proofErr w:type="spellEnd"/>
      <w:r w:rsidRPr="008F0CDB">
        <w:rPr>
          <w:lang w:eastAsia="ja-JP"/>
        </w:rPr>
        <w:t>)</w:t>
      </w:r>
      <w:r w:rsidR="000159A6">
        <w:rPr>
          <w:lang w:eastAsia="ja-JP"/>
        </w:rPr>
        <w:t xml:space="preserve"> </w:t>
      </w:r>
      <w:r>
        <w:rPr>
          <w:lang w:eastAsia="ja-JP"/>
        </w:rPr>
        <w:t>was</w:t>
      </w:r>
      <w:r w:rsidR="000159A6">
        <w:rPr>
          <w:lang w:eastAsia="ja-JP"/>
        </w:rPr>
        <w:t xml:space="preserve"> </w:t>
      </w:r>
      <w:r>
        <w:rPr>
          <w:lang w:eastAsia="ja-JP"/>
        </w:rPr>
        <w:t>collected</w:t>
      </w:r>
      <w:r w:rsidR="000159A6">
        <w:rPr>
          <w:lang w:eastAsia="ja-JP"/>
        </w:rPr>
        <w:t xml:space="preserve"> </w:t>
      </w:r>
      <w:r>
        <w:rPr>
          <w:lang w:eastAsia="ja-JP"/>
        </w:rPr>
        <w:t>for</w:t>
      </w:r>
      <w:r w:rsidR="000159A6">
        <w:rPr>
          <w:lang w:eastAsia="ja-JP"/>
        </w:rPr>
        <w:t xml:space="preserve"> </w:t>
      </w:r>
      <w:r>
        <w:rPr>
          <w:lang w:eastAsia="ja-JP"/>
        </w:rPr>
        <w:t>the</w:t>
      </w:r>
      <w:r w:rsidR="000159A6">
        <w:rPr>
          <w:lang w:eastAsia="ja-JP"/>
        </w:rPr>
        <w:t xml:space="preserve"> </w:t>
      </w:r>
      <w:r>
        <w:rPr>
          <w:lang w:eastAsia="ja-JP"/>
        </w:rPr>
        <w:t>duration</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study.</w:t>
      </w:r>
    </w:p>
    <w:p w14:paraId="4FCBEB88" w14:textId="2D42B74F" w:rsidR="0091081C" w:rsidRPr="00C95B23" w:rsidRDefault="0091081C" w:rsidP="00C95B23">
      <w:pPr>
        <w:pStyle w:val="Heading5"/>
      </w:pPr>
      <w:bookmarkStart w:id="147" w:name="_Toc507578024"/>
      <w:r w:rsidRPr="00C95B23">
        <w:t>Other</w:t>
      </w:r>
      <w:r w:rsidR="000159A6" w:rsidRPr="00C95B23">
        <w:t xml:space="preserve"> </w:t>
      </w:r>
      <w:r w:rsidR="00524314" w:rsidRPr="00C95B23">
        <w:t>safety</w:t>
      </w:r>
      <w:r w:rsidRPr="00C95B23">
        <w:t>/immunogenicity</w:t>
      </w:r>
      <w:r w:rsidR="000159A6" w:rsidRPr="00C95B23">
        <w:t xml:space="preserve"> </w:t>
      </w:r>
      <w:r w:rsidRPr="00C95B23">
        <w:t>studies</w:t>
      </w:r>
      <w:bookmarkEnd w:id="147"/>
    </w:p>
    <w:p w14:paraId="0C35D5E4" w14:textId="249BD797" w:rsidR="0091081C" w:rsidRDefault="0091081C" w:rsidP="0091081C">
      <w:pPr>
        <w:spacing w:before="0" w:line="240" w:lineRule="auto"/>
        <w:rPr>
          <w:lang w:eastAsia="ja-JP"/>
        </w:rPr>
      </w:pPr>
      <w:r>
        <w:rPr>
          <w:lang w:eastAsia="ja-JP"/>
        </w:rPr>
        <w:t>There</w:t>
      </w:r>
      <w:r w:rsidR="000159A6">
        <w:rPr>
          <w:lang w:eastAsia="ja-JP"/>
        </w:rPr>
        <w:t xml:space="preserve"> </w:t>
      </w:r>
      <w:r>
        <w:rPr>
          <w:lang w:eastAsia="ja-JP"/>
        </w:rPr>
        <w:t>were</w:t>
      </w:r>
      <w:r w:rsidR="000159A6">
        <w:rPr>
          <w:lang w:eastAsia="ja-JP"/>
        </w:rPr>
        <w:t xml:space="preserve"> </w:t>
      </w:r>
      <w:r>
        <w:rPr>
          <w:lang w:eastAsia="ja-JP"/>
        </w:rPr>
        <w:t>17</w:t>
      </w:r>
      <w:r w:rsidR="000159A6">
        <w:rPr>
          <w:lang w:eastAsia="ja-JP"/>
        </w:rPr>
        <w:t xml:space="preserve"> </w:t>
      </w:r>
      <w:r>
        <w:rPr>
          <w:lang w:eastAsia="ja-JP"/>
        </w:rPr>
        <w:t>further</w:t>
      </w:r>
      <w:r w:rsidR="000159A6">
        <w:rPr>
          <w:lang w:eastAsia="ja-JP"/>
        </w:rPr>
        <w:t xml:space="preserve"> </w:t>
      </w:r>
      <w:r>
        <w:rPr>
          <w:lang w:eastAsia="ja-JP"/>
        </w:rPr>
        <w:t>studies,</w:t>
      </w:r>
      <w:r w:rsidR="000159A6">
        <w:rPr>
          <w:lang w:eastAsia="ja-JP"/>
        </w:rPr>
        <w:t xml:space="preserve"> </w:t>
      </w:r>
      <w:r>
        <w:rPr>
          <w:lang w:eastAsia="ja-JP"/>
        </w:rPr>
        <w:t>two</w:t>
      </w:r>
      <w:r w:rsidR="000159A6">
        <w:rPr>
          <w:lang w:eastAsia="ja-JP"/>
        </w:rPr>
        <w:t xml:space="preserve"> </w:t>
      </w:r>
      <w:r>
        <w:rPr>
          <w:lang w:eastAsia="ja-JP"/>
        </w:rPr>
        <w:t>in</w:t>
      </w:r>
      <w:r w:rsidR="000159A6">
        <w:rPr>
          <w:lang w:eastAsia="ja-JP"/>
        </w:rPr>
        <w:t xml:space="preserve"> </w:t>
      </w:r>
      <w:r>
        <w:rPr>
          <w:lang w:eastAsia="ja-JP"/>
        </w:rPr>
        <w:t>immunocompromised</w:t>
      </w:r>
      <w:r w:rsidR="000159A6">
        <w:rPr>
          <w:lang w:eastAsia="ja-JP"/>
        </w:rPr>
        <w:t xml:space="preserve"> </w:t>
      </w:r>
      <w:r>
        <w:rPr>
          <w:lang w:eastAsia="ja-JP"/>
        </w:rPr>
        <w:t>adults</w:t>
      </w:r>
      <w:r w:rsidR="000159A6">
        <w:rPr>
          <w:lang w:eastAsia="ja-JP"/>
        </w:rPr>
        <w:t xml:space="preserve"> </w:t>
      </w:r>
      <w:r>
        <w:rPr>
          <w:lang w:eastAsia="ja-JP"/>
        </w:rPr>
        <w:t>and</w:t>
      </w:r>
      <w:r w:rsidR="000159A6">
        <w:rPr>
          <w:lang w:eastAsia="ja-JP"/>
        </w:rPr>
        <w:t xml:space="preserve"> </w:t>
      </w:r>
      <w:r>
        <w:rPr>
          <w:lang w:eastAsia="ja-JP"/>
        </w:rPr>
        <w:t>15</w:t>
      </w:r>
      <w:r w:rsidR="000159A6">
        <w:rPr>
          <w:lang w:eastAsia="ja-JP"/>
        </w:rPr>
        <w:t xml:space="preserve"> </w:t>
      </w:r>
      <w:r>
        <w:rPr>
          <w:lang w:eastAsia="ja-JP"/>
        </w:rPr>
        <w:t>in</w:t>
      </w:r>
      <w:r w:rsidR="000159A6">
        <w:rPr>
          <w:lang w:eastAsia="ja-JP"/>
        </w:rPr>
        <w:t xml:space="preserve"> </w:t>
      </w:r>
      <w:proofErr w:type="gramStart"/>
      <w:r>
        <w:rPr>
          <w:lang w:eastAsia="ja-JP"/>
        </w:rPr>
        <w:t>adults</w:t>
      </w:r>
      <w:proofErr w:type="gramEnd"/>
      <w:r w:rsidR="000159A6">
        <w:rPr>
          <w:lang w:eastAsia="ja-JP"/>
        </w:rPr>
        <w:t xml:space="preserve"> </w:t>
      </w:r>
      <w:r w:rsidR="0037169B">
        <w:rPr>
          <w:lang w:eastAsia="ja-JP"/>
        </w:rPr>
        <w:t>≥</w:t>
      </w:r>
      <w:r w:rsidR="000159A6">
        <w:rPr>
          <w:lang w:eastAsia="ja-JP"/>
        </w:rPr>
        <w:t xml:space="preserve"> </w:t>
      </w:r>
      <w:r>
        <w:rPr>
          <w:lang w:eastAsia="ja-JP"/>
        </w:rPr>
        <w:t>50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In</w:t>
      </w:r>
      <w:r w:rsidR="000159A6">
        <w:rPr>
          <w:lang w:eastAsia="ja-JP"/>
        </w:rPr>
        <w:t xml:space="preserve"> </w:t>
      </w:r>
      <w:r>
        <w:rPr>
          <w:lang w:eastAsia="ja-JP"/>
        </w:rPr>
        <w:t>this</w:t>
      </w:r>
      <w:r w:rsidR="000159A6">
        <w:rPr>
          <w:lang w:eastAsia="ja-JP"/>
        </w:rPr>
        <w:t xml:space="preserve"> </w:t>
      </w:r>
      <w:r>
        <w:rPr>
          <w:lang w:eastAsia="ja-JP"/>
        </w:rPr>
        <w:t>latter</w:t>
      </w:r>
      <w:r w:rsidR="000159A6">
        <w:rPr>
          <w:lang w:eastAsia="ja-JP"/>
        </w:rPr>
        <w:t xml:space="preserve"> </w:t>
      </w:r>
      <w:r>
        <w:rPr>
          <w:lang w:eastAsia="ja-JP"/>
        </w:rPr>
        <w:t>group,</w:t>
      </w:r>
      <w:r w:rsidR="000159A6">
        <w:rPr>
          <w:lang w:eastAsia="ja-JP"/>
        </w:rPr>
        <w:t xml:space="preserve"> </w:t>
      </w:r>
      <w:r>
        <w:rPr>
          <w:lang w:eastAsia="ja-JP"/>
        </w:rPr>
        <w:t>6</w:t>
      </w:r>
      <w:r w:rsidR="000159A6">
        <w:rPr>
          <w:lang w:eastAsia="ja-JP"/>
        </w:rPr>
        <w:t xml:space="preserve"> </w:t>
      </w:r>
      <w:r>
        <w:rPr>
          <w:lang w:eastAsia="ja-JP"/>
        </w:rPr>
        <w:t>studies</w:t>
      </w:r>
      <w:r w:rsidR="000159A6">
        <w:rPr>
          <w:lang w:eastAsia="ja-JP"/>
        </w:rPr>
        <w:t xml:space="preserve"> </w:t>
      </w:r>
      <w:r>
        <w:rPr>
          <w:lang w:eastAsia="ja-JP"/>
        </w:rPr>
        <w:t>were</w:t>
      </w:r>
      <w:r w:rsidR="000159A6">
        <w:rPr>
          <w:lang w:eastAsia="ja-JP"/>
        </w:rPr>
        <w:t xml:space="preserve"> </w:t>
      </w:r>
      <w:r>
        <w:rPr>
          <w:lang w:eastAsia="ja-JP"/>
        </w:rPr>
        <w:t>extension</w:t>
      </w:r>
      <w:r w:rsidR="000159A6">
        <w:rPr>
          <w:lang w:eastAsia="ja-JP"/>
        </w:rPr>
        <w:t xml:space="preserve"> </w:t>
      </w:r>
      <w:r>
        <w:rPr>
          <w:lang w:eastAsia="ja-JP"/>
        </w:rPr>
        <w:t>studies.</w:t>
      </w:r>
    </w:p>
    <w:p w14:paraId="3F439CEE" w14:textId="29B06478" w:rsidR="0091081C" w:rsidRDefault="0091081C" w:rsidP="00541F41">
      <w:pPr>
        <w:rPr>
          <w:lang w:eastAsia="ja-JP"/>
        </w:rPr>
      </w:pPr>
      <w:r>
        <w:rPr>
          <w:lang w:eastAsia="ja-JP"/>
        </w:rPr>
        <w:t>In</w:t>
      </w:r>
      <w:r w:rsidR="000159A6">
        <w:rPr>
          <w:lang w:eastAsia="ja-JP"/>
        </w:rPr>
        <w:t xml:space="preserve"> </w:t>
      </w:r>
      <w:r>
        <w:rPr>
          <w:lang w:eastAsia="ja-JP"/>
        </w:rPr>
        <w:t>all</w:t>
      </w:r>
      <w:r w:rsidR="000159A6">
        <w:rPr>
          <w:lang w:eastAsia="ja-JP"/>
        </w:rPr>
        <w:t xml:space="preserve"> </w:t>
      </w:r>
      <w:r>
        <w:rPr>
          <w:lang w:eastAsia="ja-JP"/>
        </w:rPr>
        <w:t>studies</w:t>
      </w:r>
      <w:r w:rsidR="000159A6">
        <w:rPr>
          <w:lang w:eastAsia="ja-JP"/>
        </w:rPr>
        <w:t xml:space="preserve"> </w:t>
      </w:r>
      <w:r>
        <w:rPr>
          <w:lang w:eastAsia="ja-JP"/>
        </w:rPr>
        <w:t>solicited</w:t>
      </w:r>
      <w:r w:rsidR="000159A6">
        <w:rPr>
          <w:lang w:eastAsia="ja-JP"/>
        </w:rPr>
        <w:t xml:space="preserve"> </w:t>
      </w:r>
      <w:r>
        <w:rPr>
          <w:lang w:eastAsia="ja-JP"/>
        </w:rPr>
        <w:t>and</w:t>
      </w:r>
      <w:r w:rsidR="000159A6">
        <w:rPr>
          <w:lang w:eastAsia="ja-JP"/>
        </w:rPr>
        <w:t xml:space="preserve"> </w:t>
      </w:r>
      <w:r>
        <w:rPr>
          <w:lang w:eastAsia="ja-JP"/>
        </w:rPr>
        <w:t>unsolicited</w:t>
      </w:r>
      <w:r w:rsidR="000159A6">
        <w:rPr>
          <w:lang w:eastAsia="ja-JP"/>
        </w:rPr>
        <w:t xml:space="preserve"> </w:t>
      </w:r>
      <w:r>
        <w:rPr>
          <w:lang w:eastAsia="ja-JP"/>
        </w:rPr>
        <w:t>AEs</w:t>
      </w:r>
      <w:r w:rsidR="000159A6">
        <w:rPr>
          <w:lang w:eastAsia="ja-JP"/>
        </w:rPr>
        <w:t xml:space="preserve"> </w:t>
      </w:r>
      <w:r>
        <w:rPr>
          <w:lang w:eastAsia="ja-JP"/>
        </w:rPr>
        <w:t>were</w:t>
      </w:r>
      <w:r w:rsidR="000159A6">
        <w:rPr>
          <w:lang w:eastAsia="ja-JP"/>
        </w:rPr>
        <w:t xml:space="preserve"> </w:t>
      </w:r>
      <w:r>
        <w:rPr>
          <w:lang w:eastAsia="ja-JP"/>
        </w:rPr>
        <w:t>recorded</w:t>
      </w:r>
      <w:r w:rsidR="000159A6">
        <w:rPr>
          <w:lang w:eastAsia="ja-JP"/>
        </w:rPr>
        <w:t xml:space="preserve"> </w:t>
      </w:r>
      <w:r>
        <w:rPr>
          <w:lang w:eastAsia="ja-JP"/>
        </w:rPr>
        <w:t>on</w:t>
      </w:r>
      <w:r w:rsidR="000159A6">
        <w:rPr>
          <w:lang w:eastAsia="ja-JP"/>
        </w:rPr>
        <w:t xml:space="preserve"> </w:t>
      </w:r>
      <w:r>
        <w:rPr>
          <w:lang w:eastAsia="ja-JP"/>
        </w:rPr>
        <w:t>diary</w:t>
      </w:r>
      <w:r w:rsidR="000159A6">
        <w:rPr>
          <w:lang w:eastAsia="ja-JP"/>
        </w:rPr>
        <w:t xml:space="preserve"> </w:t>
      </w:r>
      <w:r>
        <w:rPr>
          <w:lang w:eastAsia="ja-JP"/>
        </w:rPr>
        <w:t>cards,</w:t>
      </w:r>
      <w:r w:rsidR="000159A6">
        <w:rPr>
          <w:lang w:eastAsia="ja-JP"/>
        </w:rPr>
        <w:t xml:space="preserve"> </w:t>
      </w:r>
      <w:r>
        <w:rPr>
          <w:lang w:eastAsia="ja-JP"/>
        </w:rPr>
        <w:t>the</w:t>
      </w:r>
      <w:r w:rsidR="000159A6">
        <w:rPr>
          <w:lang w:eastAsia="ja-JP"/>
        </w:rPr>
        <w:t xml:space="preserve"> </w:t>
      </w:r>
      <w:r>
        <w:rPr>
          <w:lang w:eastAsia="ja-JP"/>
        </w:rPr>
        <w:t>solicited</w:t>
      </w:r>
      <w:r w:rsidR="000159A6">
        <w:rPr>
          <w:lang w:eastAsia="ja-JP"/>
        </w:rPr>
        <w:t xml:space="preserve"> </w:t>
      </w:r>
      <w:r>
        <w:rPr>
          <w:lang w:eastAsia="ja-JP"/>
        </w:rPr>
        <w:t>AEs</w:t>
      </w:r>
      <w:r w:rsidR="000159A6">
        <w:rPr>
          <w:lang w:eastAsia="ja-JP"/>
        </w:rPr>
        <w:t xml:space="preserve"> </w:t>
      </w:r>
      <w:r>
        <w:rPr>
          <w:lang w:eastAsia="ja-JP"/>
        </w:rPr>
        <w:t>for</w:t>
      </w:r>
      <w:r w:rsidR="000159A6">
        <w:rPr>
          <w:lang w:eastAsia="ja-JP"/>
        </w:rPr>
        <w:t xml:space="preserve"> </w:t>
      </w:r>
      <w:r>
        <w:rPr>
          <w:lang w:eastAsia="ja-JP"/>
        </w:rPr>
        <w:t>7</w:t>
      </w:r>
      <w:r w:rsidR="000159A6">
        <w:rPr>
          <w:lang w:eastAsia="ja-JP"/>
        </w:rPr>
        <w:t xml:space="preserve"> </w:t>
      </w:r>
      <w:r>
        <w:rPr>
          <w:lang w:eastAsia="ja-JP"/>
        </w:rPr>
        <w:t>days</w:t>
      </w:r>
      <w:r w:rsidR="000159A6">
        <w:rPr>
          <w:lang w:eastAsia="ja-JP"/>
        </w:rPr>
        <w:t xml:space="preserve"> </w:t>
      </w:r>
      <w:r>
        <w:rPr>
          <w:lang w:eastAsia="ja-JP"/>
        </w:rPr>
        <w:t>and</w:t>
      </w:r>
      <w:r w:rsidR="000159A6">
        <w:rPr>
          <w:lang w:eastAsia="ja-JP"/>
        </w:rPr>
        <w:t xml:space="preserve"> </w:t>
      </w:r>
      <w:r>
        <w:rPr>
          <w:lang w:eastAsia="ja-JP"/>
        </w:rPr>
        <w:t>unsolicited</w:t>
      </w:r>
      <w:r w:rsidR="000159A6">
        <w:rPr>
          <w:lang w:eastAsia="ja-JP"/>
        </w:rPr>
        <w:t xml:space="preserve"> </w:t>
      </w:r>
      <w:r>
        <w:rPr>
          <w:lang w:eastAsia="ja-JP"/>
        </w:rPr>
        <w:t>AEs</w:t>
      </w:r>
      <w:r w:rsidR="000159A6">
        <w:rPr>
          <w:lang w:eastAsia="ja-JP"/>
        </w:rPr>
        <w:t xml:space="preserve"> </w:t>
      </w:r>
      <w:r>
        <w:rPr>
          <w:lang w:eastAsia="ja-JP"/>
        </w:rPr>
        <w:t>for</w:t>
      </w:r>
      <w:r w:rsidR="000159A6">
        <w:rPr>
          <w:lang w:eastAsia="ja-JP"/>
        </w:rPr>
        <w:t xml:space="preserve"> </w:t>
      </w:r>
      <w:r>
        <w:rPr>
          <w:lang w:eastAsia="ja-JP"/>
        </w:rPr>
        <w:t>30</w:t>
      </w:r>
      <w:r w:rsidR="000159A6">
        <w:rPr>
          <w:lang w:eastAsia="ja-JP"/>
        </w:rPr>
        <w:t xml:space="preserve"> </w:t>
      </w:r>
      <w:r>
        <w:rPr>
          <w:lang w:eastAsia="ja-JP"/>
        </w:rPr>
        <w:t>days</w:t>
      </w:r>
      <w:r w:rsidR="000159A6">
        <w:rPr>
          <w:lang w:eastAsia="ja-JP"/>
        </w:rPr>
        <w:t xml:space="preserve"> </w:t>
      </w:r>
      <w:r>
        <w:rPr>
          <w:lang w:eastAsia="ja-JP"/>
        </w:rPr>
        <w:t>post</w:t>
      </w:r>
      <w:r w:rsidR="000159A6">
        <w:rPr>
          <w:lang w:eastAsia="ja-JP"/>
        </w:rPr>
        <w:t xml:space="preserve"> </w:t>
      </w:r>
      <w:r>
        <w:rPr>
          <w:lang w:eastAsia="ja-JP"/>
        </w:rPr>
        <w:t>vaccination.</w:t>
      </w:r>
      <w:r w:rsidR="000159A6">
        <w:rPr>
          <w:lang w:eastAsia="ja-JP"/>
        </w:rPr>
        <w:t xml:space="preserve"> </w:t>
      </w:r>
      <w:r>
        <w:rPr>
          <w:lang w:eastAsia="ja-JP"/>
        </w:rPr>
        <w:t>SAEs</w:t>
      </w:r>
      <w:r w:rsidR="000159A6">
        <w:rPr>
          <w:lang w:eastAsia="ja-JP"/>
        </w:rPr>
        <w:t xml:space="preserve"> </w:t>
      </w:r>
      <w:r>
        <w:rPr>
          <w:lang w:eastAsia="ja-JP"/>
        </w:rPr>
        <w:t>were</w:t>
      </w:r>
      <w:r w:rsidR="000159A6">
        <w:rPr>
          <w:lang w:eastAsia="ja-JP"/>
        </w:rPr>
        <w:t xml:space="preserve"> </w:t>
      </w:r>
      <w:r>
        <w:rPr>
          <w:lang w:eastAsia="ja-JP"/>
        </w:rPr>
        <w:t>collected</w:t>
      </w:r>
      <w:r w:rsidR="000159A6">
        <w:rPr>
          <w:lang w:eastAsia="ja-JP"/>
        </w:rPr>
        <w:t xml:space="preserve"> </w:t>
      </w:r>
      <w:r>
        <w:rPr>
          <w:lang w:eastAsia="ja-JP"/>
        </w:rPr>
        <w:t>in</w:t>
      </w:r>
      <w:r w:rsidR="000159A6">
        <w:rPr>
          <w:lang w:eastAsia="ja-JP"/>
        </w:rPr>
        <w:t xml:space="preserve"> </w:t>
      </w:r>
      <w:r>
        <w:rPr>
          <w:lang w:eastAsia="ja-JP"/>
        </w:rPr>
        <w:t>all</w:t>
      </w:r>
      <w:r w:rsidR="000159A6">
        <w:rPr>
          <w:lang w:eastAsia="ja-JP"/>
        </w:rPr>
        <w:t xml:space="preserve"> </w:t>
      </w:r>
      <w:r>
        <w:rPr>
          <w:lang w:eastAsia="ja-JP"/>
        </w:rPr>
        <w:t>studies</w:t>
      </w:r>
      <w:r w:rsidR="000159A6">
        <w:rPr>
          <w:lang w:eastAsia="ja-JP"/>
        </w:rPr>
        <w:t xml:space="preserve"> </w:t>
      </w:r>
      <w:r>
        <w:rPr>
          <w:lang w:eastAsia="ja-JP"/>
        </w:rPr>
        <w:t>for</w:t>
      </w:r>
      <w:r w:rsidR="000159A6">
        <w:rPr>
          <w:lang w:eastAsia="ja-JP"/>
        </w:rPr>
        <w:t xml:space="preserve"> </w:t>
      </w:r>
      <w:r>
        <w:rPr>
          <w:lang w:eastAsia="ja-JP"/>
        </w:rPr>
        <w:t>their</w:t>
      </w:r>
      <w:r w:rsidR="000159A6">
        <w:rPr>
          <w:lang w:eastAsia="ja-JP"/>
        </w:rPr>
        <w:t xml:space="preserve"> </w:t>
      </w:r>
      <w:r>
        <w:rPr>
          <w:lang w:eastAsia="ja-JP"/>
        </w:rPr>
        <w:t>duration</w:t>
      </w:r>
      <w:r w:rsidR="000159A6">
        <w:rPr>
          <w:lang w:eastAsia="ja-JP"/>
        </w:rPr>
        <w:t xml:space="preserve"> </w:t>
      </w:r>
      <w:r>
        <w:rPr>
          <w:lang w:eastAsia="ja-JP"/>
        </w:rPr>
        <w:t>from</w:t>
      </w:r>
      <w:r w:rsidR="000159A6">
        <w:rPr>
          <w:lang w:eastAsia="ja-JP"/>
        </w:rPr>
        <w:t xml:space="preserve"> </w:t>
      </w:r>
      <w:r>
        <w:rPr>
          <w:lang w:eastAsia="ja-JP"/>
        </w:rPr>
        <w:t>the</w:t>
      </w:r>
      <w:r w:rsidR="000159A6">
        <w:rPr>
          <w:lang w:eastAsia="ja-JP"/>
        </w:rPr>
        <w:t xml:space="preserve"> </w:t>
      </w:r>
      <w:r>
        <w:rPr>
          <w:lang w:eastAsia="ja-JP"/>
        </w:rPr>
        <w:t>time</w:t>
      </w:r>
      <w:r w:rsidR="000159A6">
        <w:rPr>
          <w:lang w:eastAsia="ja-JP"/>
        </w:rPr>
        <w:t xml:space="preserve"> </w:t>
      </w:r>
      <w:r>
        <w:rPr>
          <w:lang w:eastAsia="ja-JP"/>
        </w:rPr>
        <w:t>of</w:t>
      </w:r>
      <w:r w:rsidR="000159A6">
        <w:rPr>
          <w:lang w:eastAsia="ja-JP"/>
        </w:rPr>
        <w:t xml:space="preserve"> </w:t>
      </w:r>
      <w:r>
        <w:rPr>
          <w:lang w:eastAsia="ja-JP"/>
        </w:rPr>
        <w:t>study</w:t>
      </w:r>
      <w:r w:rsidR="000159A6">
        <w:rPr>
          <w:lang w:eastAsia="ja-JP"/>
        </w:rPr>
        <w:t xml:space="preserve"> </w:t>
      </w:r>
      <w:r>
        <w:rPr>
          <w:lang w:eastAsia="ja-JP"/>
        </w:rPr>
        <w:t>vaccination.</w:t>
      </w:r>
      <w:r w:rsidR="000159A6">
        <w:rPr>
          <w:lang w:eastAsia="ja-JP"/>
        </w:rPr>
        <w:t xml:space="preserve"> </w:t>
      </w:r>
      <w:r>
        <w:rPr>
          <w:lang w:eastAsia="ja-JP"/>
        </w:rPr>
        <w:t>Study</w:t>
      </w:r>
      <w:r w:rsidR="000159A6">
        <w:rPr>
          <w:lang w:eastAsia="ja-JP"/>
        </w:rPr>
        <w:t xml:space="preserve"> </w:t>
      </w:r>
      <w:r>
        <w:rPr>
          <w:lang w:eastAsia="ja-JP"/>
        </w:rPr>
        <w:t>EXPLO-CRD-004</w:t>
      </w:r>
      <w:r w:rsidR="000159A6">
        <w:rPr>
          <w:lang w:eastAsia="ja-JP"/>
        </w:rPr>
        <w:t xml:space="preserve"> </w:t>
      </w:r>
      <w:r>
        <w:rPr>
          <w:lang w:eastAsia="ja-JP"/>
        </w:rPr>
        <w:t>had</w:t>
      </w:r>
      <w:r w:rsidR="000159A6">
        <w:rPr>
          <w:lang w:eastAsia="ja-JP"/>
        </w:rPr>
        <w:t xml:space="preserve"> </w:t>
      </w:r>
      <w:r>
        <w:rPr>
          <w:lang w:eastAsia="ja-JP"/>
        </w:rPr>
        <w:t>follow</w:t>
      </w:r>
      <w:r w:rsidR="000159A6">
        <w:rPr>
          <w:lang w:eastAsia="ja-JP"/>
        </w:rPr>
        <w:t xml:space="preserve"> </w:t>
      </w:r>
      <w:r>
        <w:rPr>
          <w:lang w:eastAsia="ja-JP"/>
        </w:rPr>
        <w:t>up</w:t>
      </w:r>
      <w:r w:rsidR="000159A6">
        <w:rPr>
          <w:lang w:eastAsia="ja-JP"/>
        </w:rPr>
        <w:t xml:space="preserve"> </w:t>
      </w:r>
      <w:r>
        <w:rPr>
          <w:lang w:eastAsia="ja-JP"/>
        </w:rPr>
        <w:t>for</w:t>
      </w:r>
      <w:r w:rsidR="000159A6">
        <w:rPr>
          <w:lang w:eastAsia="ja-JP"/>
        </w:rPr>
        <w:t xml:space="preserve"> </w:t>
      </w:r>
      <w:r>
        <w:rPr>
          <w:lang w:eastAsia="ja-JP"/>
        </w:rPr>
        <w:t>42</w:t>
      </w:r>
      <w:r w:rsidR="000159A6">
        <w:rPr>
          <w:lang w:eastAsia="ja-JP"/>
        </w:rPr>
        <w:t xml:space="preserve"> </w:t>
      </w:r>
      <w:r>
        <w:rPr>
          <w:lang w:eastAsia="ja-JP"/>
        </w:rPr>
        <w:t>months</w:t>
      </w:r>
      <w:r w:rsidR="000159A6">
        <w:rPr>
          <w:lang w:eastAsia="ja-JP"/>
        </w:rPr>
        <w:t xml:space="preserve"> </w:t>
      </w:r>
      <w:r>
        <w:rPr>
          <w:lang w:eastAsia="ja-JP"/>
        </w:rPr>
        <w:t>and</w:t>
      </w:r>
      <w:r w:rsidR="000159A6">
        <w:rPr>
          <w:lang w:eastAsia="ja-JP"/>
        </w:rPr>
        <w:t xml:space="preserve"> </w:t>
      </w:r>
      <w:r>
        <w:rPr>
          <w:lang w:eastAsia="ja-JP"/>
        </w:rPr>
        <w:t>Study</w:t>
      </w:r>
      <w:r w:rsidR="000159A6">
        <w:rPr>
          <w:lang w:eastAsia="ja-JP"/>
        </w:rPr>
        <w:t xml:space="preserve"> </w:t>
      </w:r>
      <w:r>
        <w:rPr>
          <w:lang w:eastAsia="ja-JP"/>
        </w:rPr>
        <w:t>ZOSTER-003</w:t>
      </w:r>
      <w:r w:rsidR="000159A6">
        <w:rPr>
          <w:lang w:eastAsia="ja-JP"/>
        </w:rPr>
        <w:t xml:space="preserve"> </w:t>
      </w:r>
      <w:r>
        <w:rPr>
          <w:lang w:eastAsia="ja-JP"/>
        </w:rPr>
        <w:t>for</w:t>
      </w:r>
      <w:r w:rsidR="000159A6">
        <w:rPr>
          <w:lang w:eastAsia="ja-JP"/>
        </w:rPr>
        <w:t xml:space="preserve"> </w:t>
      </w:r>
      <w:r>
        <w:rPr>
          <w:lang w:eastAsia="ja-JP"/>
        </w:rPr>
        <w:t>72</w:t>
      </w:r>
      <w:r w:rsidR="000159A6">
        <w:rPr>
          <w:lang w:eastAsia="ja-JP"/>
        </w:rPr>
        <w:t xml:space="preserve"> </w:t>
      </w:r>
      <w:r>
        <w:rPr>
          <w:lang w:eastAsia="ja-JP"/>
        </w:rPr>
        <w:t>months.</w:t>
      </w:r>
      <w:r w:rsidR="000159A6">
        <w:rPr>
          <w:lang w:eastAsia="ja-JP"/>
        </w:rPr>
        <w:t xml:space="preserve"> </w:t>
      </w:r>
      <w:r>
        <w:rPr>
          <w:lang w:eastAsia="ja-JP"/>
        </w:rPr>
        <w:t>Potential</w:t>
      </w:r>
      <w:r w:rsidR="000159A6">
        <w:rPr>
          <w:lang w:eastAsia="ja-JP"/>
        </w:rPr>
        <w:t xml:space="preserve"> </w:t>
      </w:r>
      <w:r w:rsidR="002D0438">
        <w:rPr>
          <w:lang w:eastAsia="ja-JP"/>
        </w:rPr>
        <w:t>immune</w:t>
      </w:r>
      <w:r w:rsidR="000159A6">
        <w:rPr>
          <w:lang w:eastAsia="ja-JP"/>
        </w:rPr>
        <w:t xml:space="preserve"> </w:t>
      </w:r>
      <w:r w:rsidR="002D0438">
        <w:rPr>
          <w:lang w:eastAsia="ja-JP"/>
        </w:rPr>
        <w:t>related</w:t>
      </w:r>
      <w:r w:rsidR="000159A6">
        <w:rPr>
          <w:lang w:eastAsia="ja-JP"/>
        </w:rPr>
        <w:t xml:space="preserve"> </w:t>
      </w:r>
      <w:r w:rsidR="002D0438">
        <w:rPr>
          <w:lang w:eastAsia="ja-JP"/>
        </w:rPr>
        <w:t>diseases</w:t>
      </w:r>
      <w:r w:rsidR="000159A6">
        <w:rPr>
          <w:lang w:eastAsia="ja-JP"/>
        </w:rPr>
        <w:t xml:space="preserve"> </w:t>
      </w:r>
      <w:r w:rsidR="002D0438">
        <w:rPr>
          <w:lang w:eastAsia="ja-JP"/>
        </w:rPr>
        <w:t>(</w:t>
      </w:r>
      <w:proofErr w:type="spellStart"/>
      <w:r w:rsidR="002D0438">
        <w:rPr>
          <w:lang w:eastAsia="ja-JP"/>
        </w:rPr>
        <w:t>p</w:t>
      </w:r>
      <w:r>
        <w:rPr>
          <w:lang w:eastAsia="ja-JP"/>
        </w:rPr>
        <w:t>IMD</w:t>
      </w:r>
      <w:proofErr w:type="spellEnd"/>
      <w:r w:rsidR="002D0438">
        <w:rPr>
          <w:lang w:eastAsia="ja-JP"/>
        </w:rPr>
        <w:t>)</w:t>
      </w:r>
      <w:r w:rsidR="000159A6">
        <w:rPr>
          <w:lang w:eastAsia="ja-JP"/>
        </w:rPr>
        <w:t xml:space="preserve"> </w:t>
      </w:r>
      <w:r>
        <w:rPr>
          <w:lang w:eastAsia="ja-JP"/>
        </w:rPr>
        <w:t>were</w:t>
      </w:r>
      <w:r w:rsidR="000159A6">
        <w:rPr>
          <w:lang w:eastAsia="ja-JP"/>
        </w:rPr>
        <w:t xml:space="preserve"> </w:t>
      </w:r>
      <w:r>
        <w:rPr>
          <w:lang w:eastAsia="ja-JP"/>
        </w:rPr>
        <w:t>collected</w:t>
      </w:r>
      <w:r w:rsidR="000159A6">
        <w:rPr>
          <w:lang w:eastAsia="ja-JP"/>
        </w:rPr>
        <w:t xml:space="preserve"> </w:t>
      </w:r>
      <w:r>
        <w:rPr>
          <w:lang w:eastAsia="ja-JP"/>
        </w:rPr>
        <w:t>for</w:t>
      </w:r>
      <w:r w:rsidR="000159A6">
        <w:rPr>
          <w:lang w:eastAsia="ja-JP"/>
        </w:rPr>
        <w:t xml:space="preserve"> </w:t>
      </w:r>
      <w:r>
        <w:rPr>
          <w:lang w:eastAsia="ja-JP"/>
        </w:rPr>
        <w:t>the</w:t>
      </w:r>
      <w:r w:rsidR="000159A6">
        <w:rPr>
          <w:lang w:eastAsia="ja-JP"/>
        </w:rPr>
        <w:t xml:space="preserve"> </w:t>
      </w:r>
      <w:r>
        <w:rPr>
          <w:lang w:eastAsia="ja-JP"/>
        </w:rPr>
        <w:t>study</w:t>
      </w:r>
      <w:r w:rsidR="000159A6">
        <w:rPr>
          <w:lang w:eastAsia="ja-JP"/>
        </w:rPr>
        <w:t xml:space="preserve"> </w:t>
      </w:r>
      <w:r>
        <w:rPr>
          <w:lang w:eastAsia="ja-JP"/>
        </w:rPr>
        <w:t>duration.</w:t>
      </w:r>
    </w:p>
    <w:p w14:paraId="0AA8E304" w14:textId="7EA47B01" w:rsidR="0091081C" w:rsidRDefault="0091081C" w:rsidP="00541F41">
      <w:pPr>
        <w:rPr>
          <w:lang w:eastAsia="ja-JP"/>
        </w:rPr>
      </w:pPr>
      <w:r>
        <w:rPr>
          <w:lang w:eastAsia="ja-JP"/>
        </w:rPr>
        <w:t>Haematology</w:t>
      </w:r>
      <w:r w:rsidR="000159A6">
        <w:rPr>
          <w:lang w:eastAsia="ja-JP"/>
        </w:rPr>
        <w:t xml:space="preserve"> </w:t>
      </w:r>
      <w:r>
        <w:rPr>
          <w:lang w:eastAsia="ja-JP"/>
        </w:rPr>
        <w:t>and</w:t>
      </w:r>
      <w:r w:rsidR="000159A6">
        <w:rPr>
          <w:lang w:eastAsia="ja-JP"/>
        </w:rPr>
        <w:t xml:space="preserve"> </w:t>
      </w:r>
      <w:r>
        <w:rPr>
          <w:lang w:eastAsia="ja-JP"/>
        </w:rPr>
        <w:t>biochemist</w:t>
      </w:r>
      <w:r w:rsidR="000D0435">
        <w:rPr>
          <w:lang w:eastAsia="ja-JP"/>
        </w:rPr>
        <w:t>ry</w:t>
      </w:r>
      <w:r w:rsidR="000159A6">
        <w:rPr>
          <w:lang w:eastAsia="ja-JP"/>
        </w:rPr>
        <w:t xml:space="preserve"> </w:t>
      </w:r>
      <w:r w:rsidR="000D0435">
        <w:rPr>
          <w:lang w:eastAsia="ja-JP"/>
        </w:rPr>
        <w:t>parameters</w:t>
      </w:r>
      <w:r w:rsidR="000159A6">
        <w:rPr>
          <w:lang w:eastAsia="ja-JP"/>
        </w:rPr>
        <w:t xml:space="preserve"> </w:t>
      </w:r>
      <w:r w:rsidR="000D0435">
        <w:rPr>
          <w:lang w:eastAsia="ja-JP"/>
        </w:rPr>
        <w:t>were</w:t>
      </w:r>
      <w:r w:rsidR="000159A6">
        <w:rPr>
          <w:lang w:eastAsia="ja-JP"/>
        </w:rPr>
        <w:t xml:space="preserve"> </w:t>
      </w:r>
      <w:r w:rsidR="000D0435">
        <w:rPr>
          <w:lang w:eastAsia="ja-JP"/>
        </w:rPr>
        <w:t>assessed</w:t>
      </w:r>
      <w:r w:rsidR="000159A6">
        <w:rPr>
          <w:lang w:eastAsia="ja-JP"/>
        </w:rPr>
        <w:t xml:space="preserve"> </w:t>
      </w:r>
      <w:r w:rsidR="000D0435">
        <w:rPr>
          <w:lang w:eastAsia="ja-JP"/>
        </w:rPr>
        <w:t>in</w:t>
      </w:r>
      <w:r w:rsidR="000159A6">
        <w:rPr>
          <w:lang w:eastAsia="ja-JP"/>
        </w:rPr>
        <w:t xml:space="preserve"> </w:t>
      </w:r>
      <w:r w:rsidR="000D0435">
        <w:rPr>
          <w:lang w:eastAsia="ja-JP"/>
        </w:rPr>
        <w:t>S</w:t>
      </w:r>
      <w:r>
        <w:rPr>
          <w:lang w:eastAsia="ja-JP"/>
        </w:rPr>
        <w:t>tudies</w:t>
      </w:r>
      <w:r w:rsidR="000159A6">
        <w:rPr>
          <w:lang w:eastAsia="ja-JP"/>
        </w:rPr>
        <w:t xml:space="preserve"> </w:t>
      </w:r>
      <w:r>
        <w:rPr>
          <w:lang w:eastAsia="ja-JP"/>
        </w:rPr>
        <w:t>EXPLO-CRD-004,</w:t>
      </w:r>
      <w:r w:rsidR="000159A6">
        <w:rPr>
          <w:lang w:eastAsia="ja-JP"/>
        </w:rPr>
        <w:t xml:space="preserve"> </w:t>
      </w:r>
      <w:r w:rsidR="000D0435">
        <w:rPr>
          <w:lang w:eastAsia="ja-JP"/>
        </w:rPr>
        <w:t>ZOSTER</w:t>
      </w:r>
      <w:r>
        <w:rPr>
          <w:lang w:eastAsia="ja-JP"/>
        </w:rPr>
        <w:noBreakHyphen/>
        <w:t>003</w:t>
      </w:r>
      <w:r w:rsidR="000D0435">
        <w:rPr>
          <w:lang w:eastAsia="ja-JP"/>
        </w:rPr>
        <w:t>,</w:t>
      </w:r>
      <w:r w:rsidR="000159A6">
        <w:rPr>
          <w:lang w:eastAsia="ja-JP"/>
        </w:rPr>
        <w:t xml:space="preserve"> </w:t>
      </w:r>
      <w:r w:rsidR="000D0435">
        <w:rPr>
          <w:lang w:eastAsia="ja-JP"/>
        </w:rPr>
        <w:t>ZOSTER</w:t>
      </w:r>
      <w:r>
        <w:rPr>
          <w:lang w:eastAsia="ja-JP"/>
        </w:rPr>
        <w:t>-010</w:t>
      </w:r>
      <w:r w:rsidR="000159A6">
        <w:rPr>
          <w:lang w:eastAsia="ja-JP"/>
        </w:rPr>
        <w:t xml:space="preserve"> </w:t>
      </w:r>
      <w:r>
        <w:rPr>
          <w:lang w:eastAsia="ja-JP"/>
        </w:rPr>
        <w:t>and</w:t>
      </w:r>
      <w:r w:rsidR="000159A6">
        <w:rPr>
          <w:lang w:eastAsia="ja-JP"/>
        </w:rPr>
        <w:t xml:space="preserve"> </w:t>
      </w:r>
      <w:r w:rsidR="000D0435">
        <w:rPr>
          <w:lang w:eastAsia="ja-JP"/>
        </w:rPr>
        <w:t>ZOSTER</w:t>
      </w:r>
      <w:r>
        <w:rPr>
          <w:lang w:eastAsia="ja-JP"/>
        </w:rPr>
        <w:t>-023,</w:t>
      </w:r>
      <w:r w:rsidR="000159A6">
        <w:rPr>
          <w:lang w:eastAsia="ja-JP"/>
        </w:rPr>
        <w:t xml:space="preserve"> </w:t>
      </w:r>
      <w:r>
        <w:rPr>
          <w:lang w:eastAsia="ja-JP"/>
        </w:rPr>
        <w:t>as</w:t>
      </w:r>
      <w:r w:rsidR="000159A6">
        <w:rPr>
          <w:lang w:eastAsia="ja-JP"/>
        </w:rPr>
        <w:t xml:space="preserve"> </w:t>
      </w:r>
      <w:r>
        <w:rPr>
          <w:lang w:eastAsia="ja-JP"/>
        </w:rPr>
        <w:t>well</w:t>
      </w:r>
      <w:r w:rsidR="000159A6">
        <w:rPr>
          <w:lang w:eastAsia="ja-JP"/>
        </w:rPr>
        <w:t xml:space="preserve"> </w:t>
      </w:r>
      <w:r>
        <w:rPr>
          <w:lang w:eastAsia="ja-JP"/>
        </w:rPr>
        <w:t>as</w:t>
      </w:r>
      <w:r w:rsidR="000159A6">
        <w:rPr>
          <w:lang w:eastAsia="ja-JP"/>
        </w:rPr>
        <w:t xml:space="preserve"> </w:t>
      </w:r>
      <w:r>
        <w:rPr>
          <w:lang w:eastAsia="ja-JP"/>
        </w:rPr>
        <w:t>in</w:t>
      </w:r>
      <w:r w:rsidR="000159A6">
        <w:rPr>
          <w:lang w:eastAsia="ja-JP"/>
        </w:rPr>
        <w:t xml:space="preserve"> </w:t>
      </w:r>
      <w:r w:rsidR="001141E8">
        <w:t>immunocompromised</w:t>
      </w:r>
      <w:r w:rsidR="000159A6">
        <w:rPr>
          <w:lang w:eastAsia="ja-JP"/>
        </w:rPr>
        <w:t xml:space="preserve"> </w:t>
      </w:r>
      <w:r w:rsidR="001141E8">
        <w:rPr>
          <w:lang w:eastAsia="ja-JP"/>
        </w:rPr>
        <w:t>(</w:t>
      </w:r>
      <w:r>
        <w:rPr>
          <w:lang w:eastAsia="ja-JP"/>
        </w:rPr>
        <w:t>IC</w:t>
      </w:r>
      <w:r w:rsidR="001141E8">
        <w:rPr>
          <w:lang w:eastAsia="ja-JP"/>
        </w:rPr>
        <w:t>)</w:t>
      </w:r>
      <w:r w:rsidR="000159A6">
        <w:rPr>
          <w:lang w:eastAsia="ja-JP"/>
        </w:rPr>
        <w:t xml:space="preserve"> </w:t>
      </w:r>
      <w:r>
        <w:rPr>
          <w:lang w:eastAsia="ja-JP"/>
        </w:rPr>
        <w:t>adults</w:t>
      </w:r>
      <w:r w:rsidR="000159A6">
        <w:rPr>
          <w:lang w:eastAsia="ja-JP"/>
        </w:rPr>
        <w:t xml:space="preserve"> </w:t>
      </w:r>
      <w:r>
        <w:rPr>
          <w:lang w:eastAsia="ja-JP"/>
        </w:rPr>
        <w:t>in</w:t>
      </w:r>
      <w:r w:rsidR="000159A6">
        <w:rPr>
          <w:lang w:eastAsia="ja-JP"/>
        </w:rPr>
        <w:t xml:space="preserve"> </w:t>
      </w:r>
      <w:r w:rsidR="000D0435">
        <w:rPr>
          <w:lang w:eastAsia="ja-JP"/>
        </w:rPr>
        <w:t>Studies</w:t>
      </w:r>
      <w:r w:rsidR="000159A6">
        <w:rPr>
          <w:lang w:eastAsia="ja-JP"/>
        </w:rPr>
        <w:t xml:space="preserve"> </w:t>
      </w:r>
      <w:r w:rsidR="000D0435">
        <w:rPr>
          <w:lang w:eastAsia="ja-JP"/>
        </w:rPr>
        <w:t>ZOSTER</w:t>
      </w:r>
      <w:r>
        <w:rPr>
          <w:lang w:eastAsia="ja-JP"/>
        </w:rPr>
        <w:t>-001</w:t>
      </w:r>
      <w:r w:rsidR="000159A6">
        <w:rPr>
          <w:lang w:eastAsia="ja-JP"/>
        </w:rPr>
        <w:t xml:space="preserve"> </w:t>
      </w:r>
      <w:r>
        <w:rPr>
          <w:lang w:eastAsia="ja-JP"/>
        </w:rPr>
        <w:t>and</w:t>
      </w:r>
      <w:r w:rsidR="000159A6">
        <w:rPr>
          <w:lang w:eastAsia="ja-JP"/>
        </w:rPr>
        <w:t xml:space="preserve"> </w:t>
      </w:r>
      <w:r w:rsidR="000D0435">
        <w:rPr>
          <w:lang w:eastAsia="ja-JP"/>
        </w:rPr>
        <w:t>ZOSTER</w:t>
      </w:r>
      <w:r>
        <w:rPr>
          <w:lang w:eastAsia="ja-JP"/>
        </w:rPr>
        <w:noBreakHyphen/>
        <w:t>015.</w:t>
      </w:r>
      <w:r w:rsidR="000159A6">
        <w:rPr>
          <w:lang w:eastAsia="ja-JP"/>
        </w:rPr>
        <w:t xml:space="preserve"> </w:t>
      </w:r>
      <w:r>
        <w:rPr>
          <w:lang w:eastAsia="ja-JP"/>
        </w:rPr>
        <w:t>Suspected</w:t>
      </w:r>
      <w:r w:rsidR="000159A6">
        <w:rPr>
          <w:lang w:eastAsia="ja-JP"/>
        </w:rPr>
        <w:t xml:space="preserve"> </w:t>
      </w:r>
      <w:r>
        <w:rPr>
          <w:lang w:eastAsia="ja-JP"/>
        </w:rPr>
        <w:t>cases</w:t>
      </w:r>
      <w:r w:rsidR="000159A6">
        <w:rPr>
          <w:lang w:eastAsia="ja-JP"/>
        </w:rPr>
        <w:t xml:space="preserve"> </w:t>
      </w:r>
      <w:r>
        <w:rPr>
          <w:lang w:eastAsia="ja-JP"/>
        </w:rPr>
        <w:t>of</w:t>
      </w:r>
      <w:r w:rsidR="000159A6">
        <w:rPr>
          <w:lang w:eastAsia="ja-JP"/>
        </w:rPr>
        <w:t xml:space="preserve"> </w:t>
      </w:r>
      <w:r>
        <w:rPr>
          <w:lang w:eastAsia="ja-JP"/>
        </w:rPr>
        <w:t>HZ</w:t>
      </w:r>
      <w:r w:rsidR="000159A6">
        <w:rPr>
          <w:lang w:eastAsia="ja-JP"/>
        </w:rPr>
        <w:t xml:space="preserve"> </w:t>
      </w:r>
      <w:r>
        <w:rPr>
          <w:lang w:eastAsia="ja-JP"/>
        </w:rPr>
        <w:t>were</w:t>
      </w:r>
      <w:r w:rsidR="000159A6">
        <w:rPr>
          <w:lang w:eastAsia="ja-JP"/>
        </w:rPr>
        <w:t xml:space="preserve"> </w:t>
      </w:r>
      <w:r>
        <w:rPr>
          <w:lang w:eastAsia="ja-JP"/>
        </w:rPr>
        <w:t>evaluated</w:t>
      </w:r>
      <w:r w:rsidR="000159A6">
        <w:rPr>
          <w:lang w:eastAsia="ja-JP"/>
        </w:rPr>
        <w:t xml:space="preserve"> </w:t>
      </w:r>
      <w:r>
        <w:rPr>
          <w:lang w:eastAsia="ja-JP"/>
        </w:rPr>
        <w:t>by</w:t>
      </w:r>
      <w:r w:rsidR="000159A6">
        <w:rPr>
          <w:lang w:eastAsia="ja-JP"/>
        </w:rPr>
        <w:t xml:space="preserve"> </w:t>
      </w:r>
      <w:r>
        <w:rPr>
          <w:lang w:eastAsia="ja-JP"/>
        </w:rPr>
        <w:t>PCR</w:t>
      </w:r>
      <w:r w:rsidR="000159A6">
        <w:rPr>
          <w:lang w:eastAsia="ja-JP"/>
        </w:rPr>
        <w:t xml:space="preserve"> </w:t>
      </w:r>
      <w:r>
        <w:rPr>
          <w:lang w:eastAsia="ja-JP"/>
        </w:rPr>
        <w:t>or</w:t>
      </w:r>
      <w:r w:rsidR="000159A6">
        <w:rPr>
          <w:lang w:eastAsia="ja-JP"/>
        </w:rPr>
        <w:t xml:space="preserve"> </w:t>
      </w:r>
      <w:r>
        <w:rPr>
          <w:lang w:eastAsia="ja-JP"/>
        </w:rPr>
        <w:t>an</w:t>
      </w:r>
      <w:r w:rsidR="000159A6">
        <w:rPr>
          <w:lang w:eastAsia="ja-JP"/>
        </w:rPr>
        <w:t xml:space="preserve"> </w:t>
      </w:r>
      <w:r>
        <w:rPr>
          <w:lang w:eastAsia="ja-JP"/>
        </w:rPr>
        <w:t>expert</w:t>
      </w:r>
      <w:r w:rsidR="000159A6">
        <w:rPr>
          <w:lang w:eastAsia="ja-JP"/>
        </w:rPr>
        <w:t xml:space="preserve"> </w:t>
      </w:r>
      <w:r>
        <w:rPr>
          <w:lang w:eastAsia="ja-JP"/>
        </w:rPr>
        <w:t>in</w:t>
      </w:r>
      <w:r w:rsidR="000159A6">
        <w:rPr>
          <w:lang w:eastAsia="ja-JP"/>
        </w:rPr>
        <w:t xml:space="preserve"> </w:t>
      </w:r>
      <w:r w:rsidR="000D0435">
        <w:rPr>
          <w:lang w:eastAsia="ja-JP"/>
        </w:rPr>
        <w:t>Studies</w:t>
      </w:r>
      <w:r w:rsidR="000159A6">
        <w:rPr>
          <w:lang w:eastAsia="ja-JP"/>
        </w:rPr>
        <w:t xml:space="preserve"> </w:t>
      </w:r>
      <w:r w:rsidR="000D0435">
        <w:rPr>
          <w:lang w:eastAsia="ja-JP"/>
        </w:rPr>
        <w:t>ZOSTER</w:t>
      </w:r>
      <w:r>
        <w:rPr>
          <w:lang w:eastAsia="ja-JP"/>
        </w:rPr>
        <w:t>-001</w:t>
      </w:r>
      <w:r w:rsidR="000159A6">
        <w:rPr>
          <w:lang w:eastAsia="ja-JP"/>
        </w:rPr>
        <w:t xml:space="preserve"> </w:t>
      </w:r>
      <w:r>
        <w:rPr>
          <w:lang w:eastAsia="ja-JP"/>
        </w:rPr>
        <w:t>and</w:t>
      </w:r>
      <w:r w:rsidR="000159A6">
        <w:rPr>
          <w:lang w:eastAsia="ja-JP"/>
        </w:rPr>
        <w:t xml:space="preserve"> </w:t>
      </w:r>
      <w:r>
        <w:rPr>
          <w:lang w:eastAsia="ja-JP"/>
        </w:rPr>
        <w:t>ZOSTER</w:t>
      </w:r>
      <w:r>
        <w:rPr>
          <w:lang w:eastAsia="ja-JP"/>
        </w:rPr>
        <w:noBreakHyphen/>
        <w:t>015.</w:t>
      </w:r>
    </w:p>
    <w:p w14:paraId="52C5BB9F" w14:textId="0330C811" w:rsidR="0091081C" w:rsidRPr="00C95B23" w:rsidRDefault="0091081C" w:rsidP="00541F41">
      <w:pPr>
        <w:pStyle w:val="Heading5"/>
      </w:pPr>
      <w:bookmarkStart w:id="148" w:name="_Toc507578025"/>
      <w:r w:rsidRPr="00C95B23">
        <w:lastRenderedPageBreak/>
        <w:t>Data</w:t>
      </w:r>
      <w:r w:rsidR="000159A6" w:rsidRPr="00C95B23">
        <w:t xml:space="preserve"> </w:t>
      </w:r>
      <w:r w:rsidRPr="00541F41">
        <w:t>pooling</w:t>
      </w:r>
      <w:bookmarkEnd w:id="148"/>
    </w:p>
    <w:p w14:paraId="0F15D1CF" w14:textId="081255E1" w:rsidR="0091081C" w:rsidRPr="00595AF5" w:rsidRDefault="0091081C" w:rsidP="00541F41">
      <w:pPr>
        <w:rPr>
          <w:lang w:eastAsia="ja-JP"/>
        </w:rPr>
      </w:pPr>
      <w:r>
        <w:rPr>
          <w:lang w:eastAsia="ja-JP"/>
        </w:rPr>
        <w:t>Safety</w:t>
      </w:r>
      <w:r w:rsidR="000159A6">
        <w:rPr>
          <w:lang w:eastAsia="ja-JP"/>
        </w:rPr>
        <w:t xml:space="preserve"> </w:t>
      </w:r>
      <w:r>
        <w:rPr>
          <w:lang w:eastAsia="ja-JP"/>
        </w:rPr>
        <w:t>data</w:t>
      </w:r>
      <w:r w:rsidR="000159A6">
        <w:rPr>
          <w:lang w:eastAsia="ja-JP"/>
        </w:rPr>
        <w:t xml:space="preserve"> </w:t>
      </w:r>
      <w:r>
        <w:rPr>
          <w:lang w:eastAsia="ja-JP"/>
        </w:rPr>
        <w:t>from</w:t>
      </w:r>
      <w:r w:rsidR="000159A6">
        <w:rPr>
          <w:lang w:eastAsia="ja-JP"/>
        </w:rPr>
        <w:t xml:space="preserve"> </w:t>
      </w:r>
      <w:r>
        <w:rPr>
          <w:lang w:eastAsia="ja-JP"/>
        </w:rPr>
        <w:t>studies</w:t>
      </w:r>
      <w:r w:rsidR="000159A6">
        <w:rPr>
          <w:lang w:eastAsia="ja-JP"/>
        </w:rPr>
        <w:t xml:space="preserve"> </w:t>
      </w:r>
      <w:r>
        <w:rPr>
          <w:lang w:eastAsia="ja-JP"/>
        </w:rPr>
        <w:t>in</w:t>
      </w:r>
      <w:r w:rsidR="000159A6">
        <w:rPr>
          <w:lang w:eastAsia="ja-JP"/>
        </w:rPr>
        <w:t xml:space="preserve"> </w:t>
      </w:r>
      <w:r>
        <w:rPr>
          <w:lang w:eastAsia="ja-JP"/>
        </w:rPr>
        <w:t>adults</w:t>
      </w:r>
      <w:r w:rsidR="000159A6">
        <w:rPr>
          <w:lang w:eastAsia="ja-JP"/>
        </w:rPr>
        <w:t xml:space="preserve"> </w:t>
      </w:r>
      <w:r w:rsidR="0037169B">
        <w:rPr>
          <w:lang w:eastAsia="ja-JP"/>
        </w:rPr>
        <w:t>≥</w:t>
      </w:r>
      <w:r w:rsidR="000159A6">
        <w:rPr>
          <w:lang w:eastAsia="ja-JP"/>
        </w:rPr>
        <w:t xml:space="preserve"> </w:t>
      </w:r>
      <w:r>
        <w:rPr>
          <w:lang w:eastAsia="ja-JP"/>
        </w:rPr>
        <w:t>50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who</w:t>
      </w:r>
      <w:r w:rsidR="000159A6">
        <w:rPr>
          <w:lang w:eastAsia="ja-JP"/>
        </w:rPr>
        <w:t xml:space="preserve"> </w:t>
      </w:r>
      <w:r>
        <w:rPr>
          <w:lang w:eastAsia="ja-JP"/>
        </w:rPr>
        <w:t>received</w:t>
      </w:r>
      <w:r w:rsidR="000159A6">
        <w:rPr>
          <w:lang w:eastAsia="ja-JP"/>
        </w:rPr>
        <w:t xml:space="preserve"> </w:t>
      </w:r>
      <w:r>
        <w:rPr>
          <w:lang w:eastAsia="ja-JP"/>
        </w:rPr>
        <w:t>the</w:t>
      </w:r>
      <w:r w:rsidR="000159A6">
        <w:rPr>
          <w:lang w:eastAsia="ja-JP"/>
        </w:rPr>
        <w:t xml:space="preserve"> </w:t>
      </w:r>
      <w:r>
        <w:rPr>
          <w:lang w:eastAsia="ja-JP"/>
        </w:rPr>
        <w:t>final</w:t>
      </w:r>
      <w:r w:rsidR="000159A6">
        <w:rPr>
          <w:lang w:eastAsia="ja-JP"/>
        </w:rPr>
        <w:t xml:space="preserve"> </w:t>
      </w:r>
      <w:r>
        <w:rPr>
          <w:lang w:eastAsia="ja-JP"/>
        </w:rPr>
        <w:t>formulation</w:t>
      </w:r>
      <w:r w:rsidR="000159A6">
        <w:rPr>
          <w:lang w:eastAsia="ja-JP"/>
        </w:rPr>
        <w:t xml:space="preserve"> </w:t>
      </w:r>
      <w:r>
        <w:rPr>
          <w:lang w:eastAsia="ja-JP"/>
        </w:rPr>
        <w:t>of</w:t>
      </w:r>
      <w:r w:rsidR="000159A6">
        <w:rPr>
          <w:lang w:eastAsia="ja-JP"/>
        </w:rPr>
        <w:t xml:space="preserve"> </w:t>
      </w:r>
      <w:r>
        <w:rPr>
          <w:lang w:eastAsia="ja-JP"/>
        </w:rPr>
        <w:t>vaccine</w:t>
      </w:r>
      <w:r w:rsidR="000159A6">
        <w:rPr>
          <w:lang w:eastAsia="ja-JP"/>
        </w:rPr>
        <w:t xml:space="preserve"> </w:t>
      </w:r>
      <w:r>
        <w:rPr>
          <w:lang w:eastAsia="ja-JP"/>
        </w:rPr>
        <w:t>(50</w:t>
      </w:r>
      <w:r w:rsidR="000159A6">
        <w:rPr>
          <w:lang w:eastAsia="ja-JP"/>
        </w:rPr>
        <w:t xml:space="preserve"> </w:t>
      </w:r>
      <w:r>
        <w:rPr>
          <w:lang w:eastAsia="ja-JP"/>
        </w:rPr>
        <w:t>µg</w:t>
      </w:r>
      <w:r w:rsidR="000159A6">
        <w:rPr>
          <w:lang w:eastAsia="ja-JP"/>
        </w:rPr>
        <w:t xml:space="preserve"> </w:t>
      </w:r>
      <w:r>
        <w:rPr>
          <w:lang w:eastAsia="ja-JP"/>
        </w:rPr>
        <w:t>gE/ASO1B)</w:t>
      </w:r>
      <w:r w:rsidR="000159A6">
        <w:rPr>
          <w:lang w:eastAsia="ja-JP"/>
        </w:rPr>
        <w:t xml:space="preserve"> </w:t>
      </w:r>
      <w:r>
        <w:rPr>
          <w:lang w:eastAsia="ja-JP"/>
        </w:rPr>
        <w:t>in</w:t>
      </w:r>
      <w:r w:rsidR="000159A6">
        <w:rPr>
          <w:lang w:eastAsia="ja-JP"/>
        </w:rPr>
        <w:t xml:space="preserve"> </w:t>
      </w:r>
      <w:r>
        <w:rPr>
          <w:lang w:eastAsia="ja-JP"/>
        </w:rPr>
        <w:t>a</w:t>
      </w:r>
      <w:r w:rsidR="000159A6">
        <w:rPr>
          <w:lang w:eastAsia="ja-JP"/>
        </w:rPr>
        <w:t xml:space="preserve"> </w:t>
      </w:r>
      <w:r>
        <w:rPr>
          <w:lang w:eastAsia="ja-JP"/>
        </w:rPr>
        <w:t>0</w:t>
      </w:r>
      <w:r w:rsidR="000159A6">
        <w:rPr>
          <w:lang w:eastAsia="ja-JP"/>
        </w:rPr>
        <w:t xml:space="preserve"> </w:t>
      </w:r>
      <w:r w:rsidR="002D0438">
        <w:rPr>
          <w:lang w:eastAsia="ja-JP"/>
        </w:rPr>
        <w:t>and</w:t>
      </w:r>
      <w:r w:rsidR="000159A6">
        <w:rPr>
          <w:lang w:eastAsia="ja-JP"/>
        </w:rPr>
        <w:t xml:space="preserve"> </w:t>
      </w:r>
      <w:r>
        <w:rPr>
          <w:lang w:eastAsia="ja-JP"/>
        </w:rPr>
        <w:t>2</w:t>
      </w:r>
      <w:r w:rsidR="000159A6">
        <w:rPr>
          <w:lang w:eastAsia="ja-JP"/>
        </w:rPr>
        <w:t xml:space="preserve"> </w:t>
      </w:r>
      <w:r>
        <w:rPr>
          <w:lang w:eastAsia="ja-JP"/>
        </w:rPr>
        <w:t>month</w:t>
      </w:r>
      <w:r w:rsidR="000159A6">
        <w:rPr>
          <w:lang w:eastAsia="ja-JP"/>
        </w:rPr>
        <w:t xml:space="preserve"> </w:t>
      </w:r>
      <w:r>
        <w:rPr>
          <w:lang w:eastAsia="ja-JP"/>
        </w:rPr>
        <w:t>schedule</w:t>
      </w:r>
      <w:r w:rsidR="000159A6">
        <w:rPr>
          <w:lang w:eastAsia="ja-JP"/>
        </w:rPr>
        <w:t xml:space="preserve"> </w:t>
      </w:r>
      <w:r>
        <w:rPr>
          <w:lang w:eastAsia="ja-JP"/>
        </w:rPr>
        <w:t>by</w:t>
      </w:r>
      <w:r w:rsidR="000159A6">
        <w:rPr>
          <w:lang w:eastAsia="ja-JP"/>
        </w:rPr>
        <w:t xml:space="preserve"> </w:t>
      </w:r>
      <w:r>
        <w:rPr>
          <w:lang w:eastAsia="ja-JP"/>
        </w:rPr>
        <w:t>IM</w:t>
      </w:r>
      <w:r w:rsidR="000159A6">
        <w:rPr>
          <w:lang w:eastAsia="ja-JP"/>
        </w:rPr>
        <w:t xml:space="preserve"> </w:t>
      </w:r>
      <w:r>
        <w:rPr>
          <w:lang w:eastAsia="ja-JP"/>
        </w:rPr>
        <w:t>injection,</w:t>
      </w:r>
      <w:r w:rsidR="000159A6">
        <w:rPr>
          <w:lang w:eastAsia="ja-JP"/>
        </w:rPr>
        <w:t xml:space="preserve"> </w:t>
      </w:r>
      <w:r>
        <w:rPr>
          <w:lang w:eastAsia="ja-JP"/>
        </w:rPr>
        <w:t>and</w:t>
      </w:r>
      <w:r w:rsidR="000159A6">
        <w:rPr>
          <w:lang w:eastAsia="ja-JP"/>
        </w:rPr>
        <w:t xml:space="preserve"> </w:t>
      </w:r>
      <w:r>
        <w:rPr>
          <w:lang w:eastAsia="ja-JP"/>
        </w:rPr>
        <w:t>had</w:t>
      </w:r>
      <w:r w:rsidR="000159A6">
        <w:rPr>
          <w:lang w:eastAsia="ja-JP"/>
        </w:rPr>
        <w:t xml:space="preserve"> </w:t>
      </w:r>
      <w:r>
        <w:rPr>
          <w:lang w:eastAsia="ja-JP"/>
        </w:rPr>
        <w:t>at</w:t>
      </w:r>
      <w:r w:rsidR="000159A6">
        <w:rPr>
          <w:lang w:eastAsia="ja-JP"/>
        </w:rPr>
        <w:t xml:space="preserve"> </w:t>
      </w:r>
      <w:r>
        <w:rPr>
          <w:lang w:eastAsia="ja-JP"/>
        </w:rPr>
        <w:t>least</w:t>
      </w:r>
      <w:r w:rsidR="000159A6">
        <w:rPr>
          <w:lang w:eastAsia="ja-JP"/>
        </w:rPr>
        <w:t xml:space="preserve"> </w:t>
      </w:r>
      <w:r>
        <w:rPr>
          <w:lang w:eastAsia="ja-JP"/>
        </w:rPr>
        <w:t>one</w:t>
      </w:r>
      <w:r w:rsidR="000159A6">
        <w:rPr>
          <w:lang w:eastAsia="ja-JP"/>
        </w:rPr>
        <w:t xml:space="preserve"> </w:t>
      </w:r>
      <w:r>
        <w:rPr>
          <w:lang w:eastAsia="ja-JP"/>
        </w:rPr>
        <w:t>year</w:t>
      </w:r>
      <w:r w:rsidR="000159A6">
        <w:rPr>
          <w:lang w:eastAsia="ja-JP"/>
        </w:rPr>
        <w:t xml:space="preserve"> </w:t>
      </w:r>
      <w:r>
        <w:rPr>
          <w:lang w:eastAsia="ja-JP"/>
        </w:rPr>
        <w:t>of</w:t>
      </w:r>
      <w:r w:rsidR="000159A6">
        <w:rPr>
          <w:lang w:eastAsia="ja-JP"/>
        </w:rPr>
        <w:t xml:space="preserve"> </w:t>
      </w:r>
      <w:r>
        <w:rPr>
          <w:lang w:eastAsia="ja-JP"/>
        </w:rPr>
        <w:t>follow</w:t>
      </w:r>
      <w:r w:rsidR="000159A6">
        <w:rPr>
          <w:lang w:eastAsia="ja-JP"/>
        </w:rPr>
        <w:t xml:space="preserve"> </w:t>
      </w:r>
      <w:r>
        <w:rPr>
          <w:lang w:eastAsia="ja-JP"/>
        </w:rPr>
        <w:t>up</w:t>
      </w:r>
      <w:r w:rsidR="000159A6">
        <w:rPr>
          <w:lang w:eastAsia="ja-JP"/>
        </w:rPr>
        <w:t xml:space="preserve"> </w:t>
      </w:r>
      <w:r>
        <w:rPr>
          <w:lang w:eastAsia="ja-JP"/>
        </w:rPr>
        <w:t>post</w:t>
      </w:r>
      <w:r w:rsidR="000159A6">
        <w:rPr>
          <w:lang w:eastAsia="ja-JP"/>
        </w:rPr>
        <w:t xml:space="preserve"> </w:t>
      </w:r>
      <w:r>
        <w:rPr>
          <w:lang w:eastAsia="ja-JP"/>
        </w:rPr>
        <w:t>vaccination,</w:t>
      </w:r>
      <w:r w:rsidR="000159A6">
        <w:rPr>
          <w:lang w:eastAsia="ja-JP"/>
        </w:rPr>
        <w:t xml:space="preserve"> </w:t>
      </w:r>
      <w:r>
        <w:rPr>
          <w:lang w:eastAsia="ja-JP"/>
        </w:rPr>
        <w:t>were</w:t>
      </w:r>
      <w:r w:rsidR="000159A6">
        <w:rPr>
          <w:lang w:eastAsia="ja-JP"/>
        </w:rPr>
        <w:t xml:space="preserve"> </w:t>
      </w:r>
      <w:r>
        <w:rPr>
          <w:lang w:eastAsia="ja-JP"/>
        </w:rPr>
        <w:t>pooled.</w:t>
      </w:r>
      <w:r w:rsidR="000159A6">
        <w:rPr>
          <w:lang w:eastAsia="ja-JP"/>
        </w:rPr>
        <w:t xml:space="preserve"> </w:t>
      </w:r>
      <w:r>
        <w:rPr>
          <w:lang w:eastAsia="ja-JP"/>
        </w:rPr>
        <w:t>The</w:t>
      </w:r>
      <w:r w:rsidR="000159A6">
        <w:rPr>
          <w:lang w:eastAsia="ja-JP"/>
        </w:rPr>
        <w:t xml:space="preserve"> </w:t>
      </w:r>
      <w:r>
        <w:rPr>
          <w:lang w:eastAsia="ja-JP"/>
        </w:rPr>
        <w:t>data</w:t>
      </w:r>
      <w:r w:rsidR="000159A6">
        <w:rPr>
          <w:lang w:eastAsia="ja-JP"/>
        </w:rPr>
        <w:t xml:space="preserve"> </w:t>
      </w:r>
      <w:r>
        <w:rPr>
          <w:lang w:eastAsia="ja-JP"/>
        </w:rPr>
        <w:t>were</w:t>
      </w:r>
      <w:r w:rsidR="000159A6">
        <w:rPr>
          <w:lang w:eastAsia="ja-JP"/>
        </w:rPr>
        <w:t xml:space="preserve"> </w:t>
      </w:r>
      <w:r>
        <w:rPr>
          <w:lang w:eastAsia="ja-JP"/>
        </w:rPr>
        <w:t>grouped</w:t>
      </w:r>
      <w:r w:rsidR="000159A6">
        <w:rPr>
          <w:lang w:eastAsia="ja-JP"/>
        </w:rPr>
        <w:t xml:space="preserve"> </w:t>
      </w:r>
      <w:r>
        <w:rPr>
          <w:lang w:eastAsia="ja-JP"/>
        </w:rPr>
        <w:t>into</w:t>
      </w:r>
      <w:r w:rsidR="000159A6">
        <w:rPr>
          <w:lang w:eastAsia="ja-JP"/>
        </w:rPr>
        <w:t xml:space="preserve"> </w:t>
      </w:r>
      <w:r>
        <w:rPr>
          <w:lang w:eastAsia="ja-JP"/>
        </w:rPr>
        <w:t>the</w:t>
      </w:r>
      <w:r w:rsidR="000159A6">
        <w:rPr>
          <w:lang w:eastAsia="ja-JP"/>
        </w:rPr>
        <w:t xml:space="preserve"> </w:t>
      </w:r>
      <w:r>
        <w:rPr>
          <w:lang w:eastAsia="ja-JP"/>
        </w:rPr>
        <w:t>‘main</w:t>
      </w:r>
      <w:r w:rsidR="000159A6">
        <w:rPr>
          <w:lang w:eastAsia="ja-JP"/>
        </w:rPr>
        <w:t xml:space="preserve"> </w:t>
      </w:r>
      <w:r>
        <w:rPr>
          <w:lang w:eastAsia="ja-JP"/>
        </w:rPr>
        <w:t>safety</w:t>
      </w:r>
      <w:r w:rsidR="000159A6">
        <w:rPr>
          <w:lang w:eastAsia="ja-JP"/>
        </w:rPr>
        <w:t xml:space="preserve"> </w:t>
      </w:r>
      <w:r>
        <w:rPr>
          <w:lang w:eastAsia="ja-JP"/>
        </w:rPr>
        <w:t>pooling</w:t>
      </w:r>
      <w:r w:rsidR="000159A6">
        <w:rPr>
          <w:lang w:eastAsia="ja-JP"/>
        </w:rPr>
        <w:t xml:space="preserve"> </w:t>
      </w:r>
      <w:r>
        <w:rPr>
          <w:lang w:eastAsia="ja-JP"/>
        </w:rPr>
        <w:t>analysis’</w:t>
      </w:r>
      <w:r w:rsidR="000159A6">
        <w:rPr>
          <w:lang w:eastAsia="ja-JP"/>
        </w:rPr>
        <w:t xml:space="preserve"> </w:t>
      </w:r>
      <w:r>
        <w:rPr>
          <w:lang w:eastAsia="ja-JP"/>
        </w:rPr>
        <w:t>where</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was</w:t>
      </w:r>
      <w:r w:rsidR="000159A6">
        <w:rPr>
          <w:lang w:eastAsia="ja-JP"/>
        </w:rPr>
        <w:t xml:space="preserve"> </w:t>
      </w:r>
      <w:r>
        <w:rPr>
          <w:lang w:eastAsia="ja-JP"/>
        </w:rPr>
        <w:t>compared</w:t>
      </w:r>
      <w:r w:rsidR="000159A6">
        <w:rPr>
          <w:lang w:eastAsia="ja-JP"/>
        </w:rPr>
        <w:t xml:space="preserve"> </w:t>
      </w:r>
      <w:r>
        <w:rPr>
          <w:lang w:eastAsia="ja-JP"/>
        </w:rPr>
        <w:t>to</w:t>
      </w:r>
      <w:r w:rsidR="000159A6">
        <w:rPr>
          <w:lang w:eastAsia="ja-JP"/>
        </w:rPr>
        <w:t xml:space="preserve"> </w:t>
      </w:r>
      <w:r>
        <w:rPr>
          <w:lang w:eastAsia="ja-JP"/>
        </w:rPr>
        <w:t>placebo</w:t>
      </w:r>
      <w:r w:rsidR="000159A6">
        <w:rPr>
          <w:lang w:eastAsia="ja-JP"/>
        </w:rPr>
        <w:t xml:space="preserve"> </w:t>
      </w:r>
      <w:r>
        <w:rPr>
          <w:lang w:eastAsia="ja-JP"/>
        </w:rPr>
        <w:t>and</w:t>
      </w:r>
      <w:r w:rsidR="000159A6">
        <w:rPr>
          <w:lang w:eastAsia="ja-JP"/>
        </w:rPr>
        <w:t xml:space="preserve"> </w:t>
      </w:r>
      <w:r>
        <w:rPr>
          <w:lang w:eastAsia="ja-JP"/>
        </w:rPr>
        <w:t>the</w:t>
      </w:r>
      <w:r w:rsidR="000159A6">
        <w:rPr>
          <w:lang w:eastAsia="ja-JP"/>
        </w:rPr>
        <w:t xml:space="preserve"> </w:t>
      </w:r>
      <w:r>
        <w:rPr>
          <w:lang w:eastAsia="ja-JP"/>
        </w:rPr>
        <w:t>studies</w:t>
      </w:r>
      <w:r w:rsidR="000159A6">
        <w:rPr>
          <w:lang w:eastAsia="ja-JP"/>
        </w:rPr>
        <w:t xml:space="preserve"> </w:t>
      </w:r>
      <w:r>
        <w:rPr>
          <w:lang w:eastAsia="ja-JP"/>
        </w:rPr>
        <w:t>had</w:t>
      </w:r>
      <w:r w:rsidR="000159A6">
        <w:rPr>
          <w:lang w:eastAsia="ja-JP"/>
        </w:rPr>
        <w:t xml:space="preserve"> </w:t>
      </w:r>
      <w:r>
        <w:rPr>
          <w:lang w:eastAsia="ja-JP"/>
        </w:rPr>
        <w:t>similar</w:t>
      </w:r>
      <w:r w:rsidR="000159A6">
        <w:rPr>
          <w:lang w:eastAsia="ja-JP"/>
        </w:rPr>
        <w:t xml:space="preserve"> </w:t>
      </w:r>
      <w:r>
        <w:rPr>
          <w:lang w:eastAsia="ja-JP"/>
        </w:rPr>
        <w:t>design</w:t>
      </w:r>
      <w:r w:rsidR="000159A6">
        <w:rPr>
          <w:lang w:eastAsia="ja-JP"/>
        </w:rPr>
        <w:t xml:space="preserve"> </w:t>
      </w:r>
      <w:r>
        <w:rPr>
          <w:lang w:eastAsia="ja-JP"/>
        </w:rPr>
        <w:t>(</w:t>
      </w:r>
      <w:r w:rsidR="000D0435">
        <w:rPr>
          <w:lang w:eastAsia="ja-JP"/>
        </w:rPr>
        <w:t>Studies</w:t>
      </w:r>
      <w:r w:rsidR="000159A6">
        <w:rPr>
          <w:lang w:eastAsia="ja-JP"/>
        </w:rPr>
        <w:t xml:space="preserve"> </w:t>
      </w:r>
      <w:r w:rsidR="000D0435">
        <w:rPr>
          <w:lang w:eastAsia="ja-JP"/>
        </w:rPr>
        <w:t>ZOSTER</w:t>
      </w:r>
      <w:r>
        <w:rPr>
          <w:lang w:eastAsia="ja-JP"/>
        </w:rPr>
        <w:noBreakHyphen/>
        <w:t>006</w:t>
      </w:r>
      <w:r w:rsidR="000159A6">
        <w:rPr>
          <w:lang w:eastAsia="ja-JP"/>
        </w:rPr>
        <w:t xml:space="preserve"> </w:t>
      </w:r>
      <w:r>
        <w:rPr>
          <w:lang w:eastAsia="ja-JP"/>
        </w:rPr>
        <w:t>and</w:t>
      </w:r>
      <w:r w:rsidR="000159A6">
        <w:rPr>
          <w:lang w:eastAsia="ja-JP"/>
        </w:rPr>
        <w:t xml:space="preserve"> </w:t>
      </w:r>
      <w:r>
        <w:rPr>
          <w:lang w:eastAsia="ja-JP"/>
        </w:rPr>
        <w:t>ZOSTER-022),</w:t>
      </w:r>
      <w:r w:rsidR="000159A6">
        <w:rPr>
          <w:lang w:eastAsia="ja-JP"/>
        </w:rPr>
        <w:t xml:space="preserve"> </w:t>
      </w:r>
      <w:r>
        <w:rPr>
          <w:lang w:eastAsia="ja-JP"/>
        </w:rPr>
        <w:t>or</w:t>
      </w:r>
      <w:r w:rsidR="000159A6">
        <w:rPr>
          <w:lang w:eastAsia="ja-JP"/>
        </w:rPr>
        <w:t xml:space="preserve"> </w:t>
      </w:r>
      <w:r>
        <w:rPr>
          <w:lang w:eastAsia="ja-JP"/>
        </w:rPr>
        <w:t>the</w:t>
      </w:r>
      <w:r w:rsidR="000159A6">
        <w:rPr>
          <w:lang w:eastAsia="ja-JP"/>
        </w:rPr>
        <w:t xml:space="preserve"> </w:t>
      </w:r>
      <w:r>
        <w:rPr>
          <w:lang w:eastAsia="ja-JP"/>
        </w:rPr>
        <w:t>‘broader</w:t>
      </w:r>
      <w:r w:rsidR="000159A6">
        <w:rPr>
          <w:lang w:eastAsia="ja-JP"/>
        </w:rPr>
        <w:t xml:space="preserve"> </w:t>
      </w:r>
      <w:r>
        <w:rPr>
          <w:lang w:eastAsia="ja-JP"/>
        </w:rPr>
        <w:t>safety</w:t>
      </w:r>
      <w:r w:rsidR="000159A6">
        <w:rPr>
          <w:lang w:eastAsia="ja-JP"/>
        </w:rPr>
        <w:t xml:space="preserve"> </w:t>
      </w:r>
      <w:r>
        <w:rPr>
          <w:lang w:eastAsia="ja-JP"/>
        </w:rPr>
        <w:t>pooling</w:t>
      </w:r>
      <w:r w:rsidR="000159A6">
        <w:rPr>
          <w:lang w:eastAsia="ja-JP"/>
        </w:rPr>
        <w:t xml:space="preserve"> </w:t>
      </w:r>
      <w:r w:rsidRPr="00595AF5">
        <w:rPr>
          <w:lang w:eastAsia="ja-JP"/>
        </w:rPr>
        <w:t>analysis’</w:t>
      </w:r>
      <w:r w:rsidR="000159A6">
        <w:rPr>
          <w:lang w:eastAsia="ja-JP"/>
        </w:rPr>
        <w:t xml:space="preserve"> </w:t>
      </w:r>
      <w:r w:rsidRPr="00595AF5">
        <w:rPr>
          <w:lang w:eastAsia="ja-JP"/>
        </w:rPr>
        <w:t>(</w:t>
      </w:r>
      <w:r w:rsidR="002D0438">
        <w:rPr>
          <w:lang w:eastAsia="ja-JP"/>
        </w:rPr>
        <w:t>see</w:t>
      </w:r>
      <w:r w:rsidR="000159A6">
        <w:rPr>
          <w:lang w:eastAsia="ja-JP"/>
        </w:rPr>
        <w:t xml:space="preserve"> </w:t>
      </w:r>
      <w:r w:rsidRPr="00595AF5">
        <w:rPr>
          <w:lang w:eastAsia="ja-JP"/>
        </w:rPr>
        <w:t>Table</w:t>
      </w:r>
      <w:r w:rsidR="000159A6">
        <w:rPr>
          <w:lang w:eastAsia="ja-JP"/>
        </w:rPr>
        <w:t xml:space="preserve"> </w:t>
      </w:r>
      <w:r>
        <w:rPr>
          <w:lang w:eastAsia="ja-JP"/>
        </w:rPr>
        <w:t>35</w:t>
      </w:r>
      <w:r w:rsidR="002D0438">
        <w:rPr>
          <w:lang w:eastAsia="ja-JP"/>
        </w:rPr>
        <w:t>,</w:t>
      </w:r>
      <w:r w:rsidR="000159A6">
        <w:rPr>
          <w:lang w:eastAsia="ja-JP"/>
        </w:rPr>
        <w:t xml:space="preserve"> </w:t>
      </w:r>
      <w:r w:rsidR="00525235">
        <w:rPr>
          <w:lang w:eastAsia="ja-JP"/>
        </w:rPr>
        <w:t>Attachment</w:t>
      </w:r>
      <w:r w:rsidR="000159A6">
        <w:rPr>
          <w:lang w:eastAsia="ja-JP"/>
        </w:rPr>
        <w:t xml:space="preserve"> </w:t>
      </w:r>
      <w:r w:rsidR="00525235">
        <w:rPr>
          <w:lang w:eastAsia="ja-JP"/>
        </w:rPr>
        <w:t>2</w:t>
      </w:r>
      <w:r w:rsidRPr="00595AF5">
        <w:rPr>
          <w:lang w:eastAsia="ja-JP"/>
        </w:rPr>
        <w:t>).</w:t>
      </w:r>
    </w:p>
    <w:p w14:paraId="1A9E8E16" w14:textId="6B5E1C6A" w:rsidR="0091081C" w:rsidRPr="0091081C" w:rsidRDefault="0091081C" w:rsidP="00541F41">
      <w:pPr>
        <w:rPr>
          <w:lang w:eastAsia="ja-JP"/>
        </w:rPr>
      </w:pPr>
      <w:r>
        <w:rPr>
          <w:lang w:eastAsia="ja-JP"/>
        </w:rPr>
        <w:t>When</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co-administration</w:t>
      </w:r>
      <w:r w:rsidR="000159A6">
        <w:rPr>
          <w:lang w:eastAsia="ja-JP"/>
        </w:rPr>
        <w:t xml:space="preserve"> </w:t>
      </w:r>
      <w:r>
        <w:rPr>
          <w:lang w:eastAsia="ja-JP"/>
        </w:rPr>
        <w:t>(</w:t>
      </w:r>
      <w:r w:rsidR="000D0435">
        <w:rPr>
          <w:lang w:eastAsia="ja-JP"/>
        </w:rPr>
        <w:t>Study</w:t>
      </w:r>
      <w:r w:rsidR="000159A6">
        <w:rPr>
          <w:lang w:eastAsia="ja-JP"/>
        </w:rPr>
        <w:t xml:space="preserve"> </w:t>
      </w:r>
      <w:r w:rsidR="000D0435">
        <w:rPr>
          <w:lang w:eastAsia="ja-JP"/>
        </w:rPr>
        <w:t>ZOSTER</w:t>
      </w:r>
      <w:r>
        <w:rPr>
          <w:lang w:eastAsia="ja-JP"/>
        </w:rPr>
        <w:t>-004</w:t>
      </w:r>
      <w:r w:rsidR="000159A6">
        <w:rPr>
          <w:lang w:eastAsia="ja-JP"/>
        </w:rPr>
        <w:t xml:space="preserve"> </w:t>
      </w:r>
      <w:r>
        <w:rPr>
          <w:lang w:eastAsia="ja-JP"/>
        </w:rPr>
        <w:t>with</w:t>
      </w:r>
      <w:r w:rsidR="000159A6">
        <w:rPr>
          <w:lang w:eastAsia="ja-JP"/>
        </w:rPr>
        <w:t xml:space="preserve"> </w:t>
      </w:r>
      <w:r>
        <w:rPr>
          <w:lang w:eastAsia="ja-JP"/>
        </w:rPr>
        <w:t>FLU-D-QIV)</w:t>
      </w:r>
      <w:r w:rsidR="000159A6">
        <w:rPr>
          <w:lang w:eastAsia="ja-JP"/>
        </w:rPr>
        <w:t xml:space="preserve"> </w:t>
      </w:r>
      <w:r>
        <w:rPr>
          <w:lang w:eastAsia="ja-JP"/>
        </w:rPr>
        <w:t>or</w:t>
      </w:r>
      <w:r w:rsidR="000159A6">
        <w:rPr>
          <w:lang w:eastAsia="ja-JP"/>
        </w:rPr>
        <w:t xml:space="preserve"> </w:t>
      </w:r>
      <w:r>
        <w:rPr>
          <w:lang w:eastAsia="ja-JP"/>
        </w:rPr>
        <w:t>assessment</w:t>
      </w:r>
      <w:r w:rsidR="000159A6">
        <w:rPr>
          <w:lang w:eastAsia="ja-JP"/>
        </w:rPr>
        <w:t xml:space="preserve"> </w:t>
      </w:r>
      <w:r>
        <w:rPr>
          <w:lang w:eastAsia="ja-JP"/>
        </w:rPr>
        <w:t>in</w:t>
      </w:r>
      <w:r w:rsidR="000159A6">
        <w:rPr>
          <w:lang w:eastAsia="ja-JP"/>
        </w:rPr>
        <w:t xml:space="preserve"> </w:t>
      </w:r>
      <w:r>
        <w:rPr>
          <w:lang w:eastAsia="ja-JP"/>
        </w:rPr>
        <w:t>IC</w:t>
      </w:r>
      <w:r w:rsidR="000159A6">
        <w:rPr>
          <w:lang w:eastAsia="ja-JP"/>
        </w:rPr>
        <w:t xml:space="preserve"> </w:t>
      </w:r>
      <w:r>
        <w:rPr>
          <w:lang w:eastAsia="ja-JP"/>
        </w:rPr>
        <w:t>adults</w:t>
      </w:r>
      <w:r w:rsidR="000159A6">
        <w:rPr>
          <w:lang w:eastAsia="ja-JP"/>
        </w:rPr>
        <w:t xml:space="preserve"> </w:t>
      </w:r>
      <w:r>
        <w:rPr>
          <w:lang w:eastAsia="ja-JP"/>
        </w:rPr>
        <w:t>(</w:t>
      </w:r>
      <w:r w:rsidR="000D0435">
        <w:rPr>
          <w:lang w:eastAsia="ja-JP"/>
        </w:rPr>
        <w:t>Studies</w:t>
      </w:r>
      <w:r w:rsidR="000159A6">
        <w:rPr>
          <w:lang w:eastAsia="ja-JP"/>
        </w:rPr>
        <w:t xml:space="preserve"> </w:t>
      </w:r>
      <w:r w:rsidR="000D0435">
        <w:rPr>
          <w:lang w:eastAsia="ja-JP"/>
        </w:rPr>
        <w:t>ZOSTER</w:t>
      </w:r>
      <w:r>
        <w:rPr>
          <w:lang w:eastAsia="ja-JP"/>
        </w:rPr>
        <w:t>-001</w:t>
      </w:r>
      <w:r w:rsidR="000159A6">
        <w:rPr>
          <w:lang w:eastAsia="ja-JP"/>
        </w:rPr>
        <w:t xml:space="preserve"> </w:t>
      </w:r>
      <w:r>
        <w:rPr>
          <w:lang w:eastAsia="ja-JP"/>
        </w:rPr>
        <w:t>and</w:t>
      </w:r>
      <w:r w:rsidR="000159A6">
        <w:rPr>
          <w:lang w:eastAsia="ja-JP"/>
        </w:rPr>
        <w:t xml:space="preserve"> </w:t>
      </w:r>
      <w:r>
        <w:rPr>
          <w:lang w:eastAsia="ja-JP"/>
        </w:rPr>
        <w:t>ZOSTER-015)</w:t>
      </w:r>
      <w:r w:rsidR="000159A6">
        <w:rPr>
          <w:lang w:eastAsia="ja-JP"/>
        </w:rPr>
        <w:t xml:space="preserve"> </w:t>
      </w:r>
      <w:r>
        <w:rPr>
          <w:lang w:eastAsia="ja-JP"/>
        </w:rPr>
        <w:t>the</w:t>
      </w:r>
      <w:r w:rsidR="000159A6">
        <w:rPr>
          <w:lang w:eastAsia="ja-JP"/>
        </w:rPr>
        <w:t xml:space="preserve"> </w:t>
      </w:r>
      <w:r>
        <w:rPr>
          <w:lang w:eastAsia="ja-JP"/>
        </w:rPr>
        <w:t>data</w:t>
      </w:r>
      <w:r w:rsidR="000159A6">
        <w:rPr>
          <w:lang w:eastAsia="ja-JP"/>
        </w:rPr>
        <w:t xml:space="preserve"> </w:t>
      </w:r>
      <w:r>
        <w:rPr>
          <w:lang w:eastAsia="ja-JP"/>
        </w:rPr>
        <w:t>were</w:t>
      </w:r>
      <w:r w:rsidR="000159A6">
        <w:rPr>
          <w:lang w:eastAsia="ja-JP"/>
        </w:rPr>
        <w:t xml:space="preserve"> </w:t>
      </w:r>
      <w:r>
        <w:rPr>
          <w:lang w:eastAsia="ja-JP"/>
        </w:rPr>
        <w:t>not</w:t>
      </w:r>
      <w:r w:rsidR="000159A6">
        <w:rPr>
          <w:lang w:eastAsia="ja-JP"/>
        </w:rPr>
        <w:t xml:space="preserve"> </w:t>
      </w:r>
      <w:r>
        <w:rPr>
          <w:lang w:eastAsia="ja-JP"/>
        </w:rPr>
        <w:t>included</w:t>
      </w:r>
      <w:r w:rsidR="000159A6">
        <w:rPr>
          <w:lang w:eastAsia="ja-JP"/>
        </w:rPr>
        <w:t xml:space="preserve"> </w:t>
      </w:r>
      <w:r>
        <w:rPr>
          <w:lang w:eastAsia="ja-JP"/>
        </w:rPr>
        <w:t>in</w:t>
      </w:r>
      <w:r w:rsidR="000159A6">
        <w:rPr>
          <w:lang w:eastAsia="ja-JP"/>
        </w:rPr>
        <w:t xml:space="preserve"> </w:t>
      </w:r>
      <w:r>
        <w:rPr>
          <w:lang w:eastAsia="ja-JP"/>
        </w:rPr>
        <w:t>pooled</w:t>
      </w:r>
      <w:r w:rsidR="000159A6">
        <w:rPr>
          <w:lang w:eastAsia="ja-JP"/>
        </w:rPr>
        <w:t xml:space="preserve"> </w:t>
      </w:r>
      <w:r>
        <w:rPr>
          <w:lang w:eastAsia="ja-JP"/>
        </w:rPr>
        <w:t>analyses.</w:t>
      </w:r>
      <w:r w:rsidR="000159A6">
        <w:rPr>
          <w:lang w:eastAsia="ja-JP"/>
        </w:rPr>
        <w:t xml:space="preserve"> </w:t>
      </w:r>
      <w:r>
        <w:rPr>
          <w:lang w:eastAsia="ja-JP"/>
        </w:rPr>
        <w:t>Data</w:t>
      </w:r>
      <w:r w:rsidR="000159A6">
        <w:rPr>
          <w:lang w:eastAsia="ja-JP"/>
        </w:rPr>
        <w:t xml:space="preserve"> </w:t>
      </w:r>
      <w:r>
        <w:rPr>
          <w:lang w:eastAsia="ja-JP"/>
        </w:rPr>
        <w:t>from</w:t>
      </w:r>
      <w:r w:rsidR="000159A6">
        <w:rPr>
          <w:lang w:eastAsia="ja-JP"/>
        </w:rPr>
        <w:t xml:space="preserve"> </w:t>
      </w:r>
      <w:r w:rsidR="000D0435">
        <w:rPr>
          <w:lang w:eastAsia="ja-JP"/>
        </w:rPr>
        <w:t>Studies</w:t>
      </w:r>
      <w:r w:rsidR="000159A6">
        <w:rPr>
          <w:lang w:eastAsia="ja-JP"/>
        </w:rPr>
        <w:t xml:space="preserve"> </w:t>
      </w:r>
      <w:r w:rsidR="000D0435">
        <w:rPr>
          <w:lang w:eastAsia="ja-JP"/>
        </w:rPr>
        <w:t>ZOSTER</w:t>
      </w:r>
      <w:r>
        <w:rPr>
          <w:lang w:eastAsia="ja-JP"/>
        </w:rPr>
        <w:t>-007</w:t>
      </w:r>
      <w:r w:rsidR="000159A6">
        <w:rPr>
          <w:lang w:eastAsia="ja-JP"/>
        </w:rPr>
        <w:t xml:space="preserve"> </w:t>
      </w:r>
      <w:r>
        <w:rPr>
          <w:lang w:eastAsia="ja-JP"/>
        </w:rPr>
        <w:t>and</w:t>
      </w:r>
      <w:r w:rsidR="000159A6">
        <w:rPr>
          <w:lang w:eastAsia="ja-JP"/>
        </w:rPr>
        <w:t xml:space="preserve"> </w:t>
      </w:r>
      <w:r>
        <w:rPr>
          <w:lang w:eastAsia="ja-JP"/>
        </w:rPr>
        <w:t>ZOSTER-026</w:t>
      </w:r>
      <w:r w:rsidR="000159A6">
        <w:rPr>
          <w:lang w:eastAsia="ja-JP"/>
        </w:rPr>
        <w:t xml:space="preserve"> </w:t>
      </w:r>
      <w:r>
        <w:rPr>
          <w:lang w:eastAsia="ja-JP"/>
        </w:rPr>
        <w:t>were</w:t>
      </w:r>
      <w:r w:rsidR="000159A6">
        <w:rPr>
          <w:lang w:eastAsia="ja-JP"/>
        </w:rPr>
        <w:t xml:space="preserve"> </w:t>
      </w:r>
      <w:r>
        <w:rPr>
          <w:lang w:eastAsia="ja-JP"/>
        </w:rPr>
        <w:t>not</w:t>
      </w:r>
      <w:r w:rsidR="000159A6">
        <w:rPr>
          <w:lang w:eastAsia="ja-JP"/>
        </w:rPr>
        <w:t xml:space="preserve"> </w:t>
      </w:r>
      <w:r>
        <w:rPr>
          <w:lang w:eastAsia="ja-JP"/>
        </w:rPr>
        <w:t>included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safety</w:t>
      </w:r>
      <w:r w:rsidR="000159A6">
        <w:rPr>
          <w:lang w:eastAsia="ja-JP"/>
        </w:rPr>
        <w:t xml:space="preserve"> </w:t>
      </w:r>
      <w:r>
        <w:rPr>
          <w:lang w:eastAsia="ja-JP"/>
        </w:rPr>
        <w:t>pooling</w:t>
      </w:r>
      <w:r w:rsidR="000159A6">
        <w:rPr>
          <w:lang w:eastAsia="ja-JP"/>
        </w:rPr>
        <w:t xml:space="preserve"> </w:t>
      </w:r>
      <w:r>
        <w:rPr>
          <w:lang w:eastAsia="ja-JP"/>
        </w:rPr>
        <w:t>as</w:t>
      </w:r>
      <w:r w:rsidR="000159A6">
        <w:rPr>
          <w:lang w:eastAsia="ja-JP"/>
        </w:rPr>
        <w:t xml:space="preserve"> </w:t>
      </w:r>
      <w:r>
        <w:rPr>
          <w:lang w:eastAsia="ja-JP"/>
        </w:rPr>
        <w:t>one</w:t>
      </w:r>
      <w:r w:rsidR="000159A6">
        <w:rPr>
          <w:lang w:eastAsia="ja-JP"/>
        </w:rPr>
        <w:t xml:space="preserve"> </w:t>
      </w:r>
      <w:r>
        <w:rPr>
          <w:lang w:eastAsia="ja-JP"/>
        </w:rPr>
        <w:t>year</w:t>
      </w:r>
      <w:r w:rsidR="000159A6">
        <w:rPr>
          <w:lang w:eastAsia="ja-JP"/>
        </w:rPr>
        <w:t xml:space="preserve"> </w:t>
      </w:r>
      <w:r>
        <w:rPr>
          <w:lang w:eastAsia="ja-JP"/>
        </w:rPr>
        <w:t>follow</w:t>
      </w:r>
      <w:r w:rsidR="000159A6">
        <w:rPr>
          <w:lang w:eastAsia="ja-JP"/>
        </w:rPr>
        <w:t xml:space="preserve"> </w:t>
      </w:r>
      <w:r>
        <w:rPr>
          <w:lang w:eastAsia="ja-JP"/>
        </w:rPr>
        <w:t>up</w:t>
      </w:r>
      <w:r w:rsidR="000159A6">
        <w:rPr>
          <w:lang w:eastAsia="ja-JP"/>
        </w:rPr>
        <w:t xml:space="preserve"> </w:t>
      </w:r>
      <w:r>
        <w:rPr>
          <w:lang w:eastAsia="ja-JP"/>
        </w:rPr>
        <w:t>was</w:t>
      </w:r>
      <w:r w:rsidR="000159A6">
        <w:rPr>
          <w:lang w:eastAsia="ja-JP"/>
        </w:rPr>
        <w:t xml:space="preserve"> </w:t>
      </w:r>
      <w:r>
        <w:rPr>
          <w:lang w:eastAsia="ja-JP"/>
        </w:rPr>
        <w:t>not</w:t>
      </w:r>
      <w:r w:rsidR="000159A6">
        <w:rPr>
          <w:lang w:eastAsia="ja-JP"/>
        </w:rPr>
        <w:t xml:space="preserve"> </w:t>
      </w:r>
      <w:r>
        <w:rPr>
          <w:lang w:eastAsia="ja-JP"/>
        </w:rPr>
        <w:t>available</w:t>
      </w:r>
      <w:r w:rsidR="000159A6">
        <w:rPr>
          <w:lang w:eastAsia="ja-JP"/>
        </w:rPr>
        <w:t xml:space="preserve"> </w:t>
      </w:r>
      <w:r>
        <w:rPr>
          <w:lang w:eastAsia="ja-JP"/>
        </w:rPr>
        <w:t>at</w:t>
      </w:r>
      <w:r w:rsidR="000159A6">
        <w:rPr>
          <w:lang w:eastAsia="ja-JP"/>
        </w:rPr>
        <w:t xml:space="preserve"> </w:t>
      </w:r>
      <w:r>
        <w:rPr>
          <w:lang w:eastAsia="ja-JP"/>
        </w:rPr>
        <w:t>the</w:t>
      </w:r>
      <w:r w:rsidR="000159A6">
        <w:rPr>
          <w:lang w:eastAsia="ja-JP"/>
        </w:rPr>
        <w:t xml:space="preserve"> </w:t>
      </w:r>
      <w:r>
        <w:rPr>
          <w:lang w:eastAsia="ja-JP"/>
        </w:rPr>
        <w:t>time</w:t>
      </w:r>
      <w:r w:rsidR="000159A6">
        <w:rPr>
          <w:lang w:eastAsia="ja-JP"/>
        </w:rPr>
        <w:t xml:space="preserve"> </w:t>
      </w:r>
      <w:r>
        <w:rPr>
          <w:lang w:eastAsia="ja-JP"/>
        </w:rPr>
        <w:t>of</w:t>
      </w:r>
      <w:r w:rsidR="000159A6">
        <w:rPr>
          <w:lang w:eastAsia="ja-JP"/>
        </w:rPr>
        <w:t xml:space="preserve"> </w:t>
      </w:r>
      <w:r>
        <w:rPr>
          <w:lang w:eastAsia="ja-JP"/>
        </w:rPr>
        <w:t>database</w:t>
      </w:r>
      <w:r w:rsidR="000159A6">
        <w:rPr>
          <w:lang w:eastAsia="ja-JP"/>
        </w:rPr>
        <w:t xml:space="preserve"> </w:t>
      </w:r>
      <w:r>
        <w:rPr>
          <w:lang w:eastAsia="ja-JP"/>
        </w:rPr>
        <w:t>lock.</w:t>
      </w:r>
      <w:r w:rsidR="000159A6">
        <w:rPr>
          <w:lang w:eastAsia="ja-JP"/>
        </w:rPr>
        <w:t xml:space="preserve"> </w:t>
      </w:r>
      <w:r w:rsidR="00525235">
        <w:rPr>
          <w:lang w:eastAsia="ja-JP"/>
        </w:rPr>
        <w:t>Study</w:t>
      </w:r>
      <w:r w:rsidR="000159A6">
        <w:rPr>
          <w:lang w:eastAsia="ja-JP"/>
        </w:rPr>
        <w:t xml:space="preserve"> </w:t>
      </w:r>
      <w:r>
        <w:rPr>
          <w:lang w:eastAsia="ja-JP"/>
        </w:rPr>
        <w:t>EXPLO</w:t>
      </w:r>
      <w:r w:rsidR="002D0438">
        <w:rPr>
          <w:lang w:eastAsia="ja-JP"/>
        </w:rPr>
        <w:noBreakHyphen/>
      </w:r>
      <w:r>
        <w:rPr>
          <w:lang w:eastAsia="ja-JP"/>
        </w:rPr>
        <w:t>CRD-004</w:t>
      </w:r>
      <w:r w:rsidR="000159A6">
        <w:rPr>
          <w:lang w:eastAsia="ja-JP"/>
        </w:rPr>
        <w:t xml:space="preserve"> </w:t>
      </w:r>
      <w:r>
        <w:rPr>
          <w:lang w:eastAsia="ja-JP"/>
        </w:rPr>
        <w:t>was</w:t>
      </w:r>
      <w:r w:rsidR="000159A6">
        <w:rPr>
          <w:lang w:eastAsia="ja-JP"/>
        </w:rPr>
        <w:t xml:space="preserve"> </w:t>
      </w:r>
      <w:r>
        <w:rPr>
          <w:lang w:eastAsia="ja-JP"/>
        </w:rPr>
        <w:t>not</w:t>
      </w:r>
      <w:r w:rsidR="000159A6">
        <w:rPr>
          <w:lang w:eastAsia="ja-JP"/>
        </w:rPr>
        <w:t xml:space="preserve"> </w:t>
      </w:r>
      <w:r>
        <w:rPr>
          <w:lang w:eastAsia="ja-JP"/>
        </w:rPr>
        <w:t>included</w:t>
      </w:r>
      <w:r w:rsidR="000159A6">
        <w:rPr>
          <w:lang w:eastAsia="ja-JP"/>
        </w:rPr>
        <w:t xml:space="preserve"> </w:t>
      </w:r>
      <w:r>
        <w:rPr>
          <w:lang w:eastAsia="ja-JP"/>
        </w:rPr>
        <w:t>as</w:t>
      </w:r>
      <w:r w:rsidR="000159A6">
        <w:rPr>
          <w:lang w:eastAsia="ja-JP"/>
        </w:rPr>
        <w:t xml:space="preserve"> </w:t>
      </w:r>
      <w:r>
        <w:rPr>
          <w:lang w:eastAsia="ja-JP"/>
        </w:rPr>
        <w:t>follow</w:t>
      </w:r>
      <w:r w:rsidR="000159A6">
        <w:rPr>
          <w:lang w:eastAsia="ja-JP"/>
        </w:rPr>
        <w:t xml:space="preserve"> </w:t>
      </w:r>
      <w:r>
        <w:rPr>
          <w:lang w:eastAsia="ja-JP"/>
        </w:rPr>
        <w:t>up</w:t>
      </w:r>
      <w:r w:rsidR="000159A6">
        <w:rPr>
          <w:lang w:eastAsia="ja-JP"/>
        </w:rPr>
        <w:t xml:space="preserve"> </w:t>
      </w:r>
      <w:r>
        <w:rPr>
          <w:lang w:eastAsia="ja-JP"/>
        </w:rPr>
        <w:t>was</w:t>
      </w:r>
      <w:r w:rsidR="000159A6">
        <w:rPr>
          <w:lang w:eastAsia="ja-JP"/>
        </w:rPr>
        <w:t xml:space="preserve"> </w:t>
      </w:r>
      <w:r>
        <w:rPr>
          <w:lang w:eastAsia="ja-JP"/>
        </w:rPr>
        <w:t>f</w:t>
      </w:r>
      <w:r w:rsidR="000D0435">
        <w:rPr>
          <w:lang w:eastAsia="ja-JP"/>
        </w:rPr>
        <w:t>or</w:t>
      </w:r>
      <w:r w:rsidR="000159A6">
        <w:rPr>
          <w:lang w:eastAsia="ja-JP"/>
        </w:rPr>
        <w:t xml:space="preserve"> </w:t>
      </w:r>
      <w:r w:rsidR="000D0435">
        <w:rPr>
          <w:lang w:eastAsia="ja-JP"/>
        </w:rPr>
        <w:t>10</w:t>
      </w:r>
      <w:r w:rsidR="000159A6">
        <w:rPr>
          <w:lang w:eastAsia="ja-JP"/>
        </w:rPr>
        <w:t xml:space="preserve"> </w:t>
      </w:r>
      <w:r w:rsidR="000D0435">
        <w:rPr>
          <w:lang w:eastAsia="ja-JP"/>
        </w:rPr>
        <w:t>months</w:t>
      </w:r>
      <w:r w:rsidR="000159A6">
        <w:rPr>
          <w:lang w:eastAsia="ja-JP"/>
        </w:rPr>
        <w:t xml:space="preserve"> </w:t>
      </w:r>
      <w:r w:rsidR="000D0435">
        <w:rPr>
          <w:lang w:eastAsia="ja-JP"/>
        </w:rPr>
        <w:t>and</w:t>
      </w:r>
      <w:r w:rsidR="000159A6">
        <w:rPr>
          <w:lang w:eastAsia="ja-JP"/>
        </w:rPr>
        <w:t xml:space="preserve"> </w:t>
      </w:r>
      <w:r w:rsidR="000D0435">
        <w:rPr>
          <w:lang w:eastAsia="ja-JP"/>
        </w:rPr>
        <w:t>the</w:t>
      </w:r>
      <w:r w:rsidR="000159A6">
        <w:rPr>
          <w:lang w:eastAsia="ja-JP"/>
        </w:rPr>
        <w:t xml:space="preserve"> </w:t>
      </w:r>
      <w:r w:rsidR="000D0435">
        <w:rPr>
          <w:lang w:eastAsia="ja-JP"/>
        </w:rPr>
        <w:t>extension</w:t>
      </w:r>
      <w:r w:rsidR="000159A6">
        <w:rPr>
          <w:lang w:eastAsia="ja-JP"/>
        </w:rPr>
        <w:t xml:space="preserve"> </w:t>
      </w:r>
      <w:r w:rsidR="000D0435">
        <w:rPr>
          <w:lang w:eastAsia="ja-JP"/>
        </w:rPr>
        <w:t>S</w:t>
      </w:r>
      <w:r>
        <w:rPr>
          <w:lang w:eastAsia="ja-JP"/>
        </w:rPr>
        <w:t>tudies</w:t>
      </w:r>
      <w:r w:rsidR="000159A6">
        <w:rPr>
          <w:lang w:eastAsia="ja-JP"/>
        </w:rPr>
        <w:t xml:space="preserve"> </w:t>
      </w:r>
      <w:r>
        <w:rPr>
          <w:lang w:eastAsia="ja-JP"/>
        </w:rPr>
        <w:t>ZOSTER-018</w:t>
      </w:r>
      <w:r w:rsidR="000159A6">
        <w:rPr>
          <w:lang w:eastAsia="ja-JP"/>
        </w:rPr>
        <w:t xml:space="preserve"> </w:t>
      </w:r>
      <w:r>
        <w:rPr>
          <w:lang w:eastAsia="ja-JP"/>
        </w:rPr>
        <w:t>and</w:t>
      </w:r>
      <w:r w:rsidR="000159A6">
        <w:rPr>
          <w:lang w:eastAsia="ja-JP"/>
        </w:rPr>
        <w:t xml:space="preserve"> </w:t>
      </w:r>
      <w:r>
        <w:rPr>
          <w:lang w:eastAsia="ja-JP"/>
        </w:rPr>
        <w:t>ZOSTER-019</w:t>
      </w:r>
      <w:r w:rsidR="000159A6">
        <w:rPr>
          <w:lang w:eastAsia="ja-JP"/>
        </w:rPr>
        <w:t xml:space="preserve"> </w:t>
      </w:r>
      <w:r>
        <w:rPr>
          <w:lang w:eastAsia="ja-JP"/>
        </w:rPr>
        <w:t>only</w:t>
      </w:r>
      <w:r w:rsidR="000159A6">
        <w:rPr>
          <w:lang w:eastAsia="ja-JP"/>
        </w:rPr>
        <w:t xml:space="preserve"> </w:t>
      </w:r>
      <w:r>
        <w:rPr>
          <w:lang w:eastAsia="ja-JP"/>
        </w:rPr>
        <w:t>recorded</w:t>
      </w:r>
      <w:r w:rsidR="000159A6">
        <w:rPr>
          <w:lang w:eastAsia="ja-JP"/>
        </w:rPr>
        <w:t xml:space="preserve"> </w:t>
      </w:r>
      <w:r>
        <w:rPr>
          <w:lang w:eastAsia="ja-JP"/>
        </w:rPr>
        <w:t>study</w:t>
      </w:r>
      <w:r w:rsidR="000159A6">
        <w:rPr>
          <w:lang w:eastAsia="ja-JP"/>
        </w:rPr>
        <w:t xml:space="preserve"> </w:t>
      </w:r>
      <w:r>
        <w:rPr>
          <w:lang w:eastAsia="ja-JP"/>
        </w:rPr>
        <w:t>related</w:t>
      </w:r>
      <w:r w:rsidR="000159A6">
        <w:rPr>
          <w:lang w:eastAsia="ja-JP"/>
        </w:rPr>
        <w:t xml:space="preserve"> </w:t>
      </w:r>
      <w:r>
        <w:rPr>
          <w:lang w:eastAsia="ja-JP"/>
        </w:rPr>
        <w:t>SAEs</w:t>
      </w:r>
      <w:r w:rsidR="000159A6">
        <w:rPr>
          <w:lang w:eastAsia="ja-JP"/>
        </w:rPr>
        <w:t xml:space="preserve"> </w:t>
      </w:r>
      <w:r>
        <w:rPr>
          <w:lang w:eastAsia="ja-JP"/>
        </w:rPr>
        <w:t>and</w:t>
      </w:r>
      <w:r w:rsidR="000159A6">
        <w:rPr>
          <w:lang w:eastAsia="ja-JP"/>
        </w:rPr>
        <w:t xml:space="preserve"> </w:t>
      </w:r>
      <w:r>
        <w:rPr>
          <w:lang w:eastAsia="ja-JP"/>
        </w:rPr>
        <w:t>suspected</w:t>
      </w:r>
      <w:r w:rsidR="000159A6">
        <w:rPr>
          <w:lang w:eastAsia="ja-JP"/>
        </w:rPr>
        <w:t xml:space="preserve"> </w:t>
      </w:r>
      <w:r>
        <w:rPr>
          <w:lang w:eastAsia="ja-JP"/>
        </w:rPr>
        <w:t>HZ</w:t>
      </w:r>
      <w:r w:rsidR="000159A6">
        <w:rPr>
          <w:lang w:eastAsia="ja-JP"/>
        </w:rPr>
        <w:t xml:space="preserve"> </w:t>
      </w:r>
      <w:r>
        <w:rPr>
          <w:lang w:eastAsia="ja-JP"/>
        </w:rPr>
        <w:t>cases.</w:t>
      </w:r>
      <w:r w:rsidR="000159A6">
        <w:rPr>
          <w:lang w:eastAsia="ja-JP"/>
        </w:rPr>
        <w:t xml:space="preserve"> </w:t>
      </w:r>
      <w:r w:rsidR="000D0435">
        <w:rPr>
          <w:lang w:eastAsia="ja-JP"/>
        </w:rPr>
        <w:t>Study</w:t>
      </w:r>
      <w:r w:rsidR="000159A6">
        <w:rPr>
          <w:lang w:eastAsia="ja-JP"/>
        </w:rPr>
        <w:t xml:space="preserve"> </w:t>
      </w:r>
      <w:r w:rsidR="000D0435">
        <w:rPr>
          <w:lang w:eastAsia="ja-JP"/>
        </w:rPr>
        <w:t>ZOSTER</w:t>
      </w:r>
      <w:r>
        <w:rPr>
          <w:lang w:eastAsia="ja-JP"/>
        </w:rPr>
        <w:t>-023</w:t>
      </w:r>
      <w:r w:rsidR="000159A6">
        <w:rPr>
          <w:lang w:eastAsia="ja-JP"/>
        </w:rPr>
        <w:t xml:space="preserve"> </w:t>
      </w:r>
      <w:r>
        <w:rPr>
          <w:lang w:eastAsia="ja-JP"/>
        </w:rPr>
        <w:t>in</w:t>
      </w:r>
      <w:r w:rsidR="000159A6">
        <w:rPr>
          <w:lang w:eastAsia="ja-JP"/>
        </w:rPr>
        <w:t xml:space="preserve"> </w:t>
      </w:r>
      <w:r>
        <w:rPr>
          <w:lang w:eastAsia="ja-JP"/>
        </w:rPr>
        <w:t>Japanese</w:t>
      </w:r>
      <w:r w:rsidR="000159A6">
        <w:rPr>
          <w:lang w:eastAsia="ja-JP"/>
        </w:rPr>
        <w:t xml:space="preserve"> </w:t>
      </w:r>
      <w:r>
        <w:rPr>
          <w:lang w:eastAsia="ja-JP"/>
        </w:rPr>
        <w:t>ethnic</w:t>
      </w:r>
      <w:r w:rsidR="000159A6">
        <w:rPr>
          <w:lang w:eastAsia="ja-JP"/>
        </w:rPr>
        <w:t xml:space="preserve"> </w:t>
      </w:r>
      <w:r>
        <w:rPr>
          <w:lang w:eastAsia="ja-JP"/>
        </w:rPr>
        <w:t>origin</w:t>
      </w:r>
      <w:r w:rsidR="000159A6">
        <w:rPr>
          <w:lang w:eastAsia="ja-JP"/>
        </w:rPr>
        <w:t xml:space="preserve"> </w:t>
      </w:r>
      <w:r>
        <w:rPr>
          <w:lang w:eastAsia="ja-JP"/>
        </w:rPr>
        <w:t>subjects</w:t>
      </w:r>
      <w:r w:rsidR="000159A6">
        <w:rPr>
          <w:lang w:eastAsia="ja-JP"/>
        </w:rPr>
        <w:t xml:space="preserve"> </w:t>
      </w:r>
      <w:r>
        <w:rPr>
          <w:lang w:eastAsia="ja-JP"/>
        </w:rPr>
        <w:t>which</w:t>
      </w:r>
      <w:r w:rsidR="000159A6">
        <w:rPr>
          <w:lang w:eastAsia="ja-JP"/>
        </w:rPr>
        <w:t xml:space="preserve"> </w:t>
      </w:r>
      <w:r>
        <w:rPr>
          <w:lang w:eastAsia="ja-JP"/>
        </w:rPr>
        <w:t>only</w:t>
      </w:r>
      <w:r w:rsidR="000159A6">
        <w:rPr>
          <w:lang w:eastAsia="ja-JP"/>
        </w:rPr>
        <w:t xml:space="preserve"> </w:t>
      </w:r>
      <w:r>
        <w:rPr>
          <w:lang w:eastAsia="ja-JP"/>
        </w:rPr>
        <w:t>had</w:t>
      </w:r>
      <w:r w:rsidR="000159A6">
        <w:rPr>
          <w:lang w:eastAsia="ja-JP"/>
        </w:rPr>
        <w:t xml:space="preserve"> </w:t>
      </w:r>
      <w:r>
        <w:rPr>
          <w:lang w:eastAsia="ja-JP"/>
        </w:rPr>
        <w:t>6</w:t>
      </w:r>
      <w:r w:rsidR="000159A6">
        <w:rPr>
          <w:lang w:eastAsia="ja-JP"/>
        </w:rPr>
        <w:t xml:space="preserve"> </w:t>
      </w:r>
      <w:r>
        <w:rPr>
          <w:lang w:eastAsia="ja-JP"/>
        </w:rPr>
        <w:t>months</w:t>
      </w:r>
      <w:r w:rsidR="000159A6">
        <w:rPr>
          <w:lang w:eastAsia="ja-JP"/>
        </w:rPr>
        <w:t xml:space="preserve"> </w:t>
      </w:r>
      <w:r>
        <w:rPr>
          <w:lang w:eastAsia="ja-JP"/>
        </w:rPr>
        <w:t>of</w:t>
      </w:r>
      <w:r w:rsidR="000159A6">
        <w:rPr>
          <w:lang w:eastAsia="ja-JP"/>
        </w:rPr>
        <w:t xml:space="preserve"> </w:t>
      </w:r>
      <w:r>
        <w:rPr>
          <w:lang w:eastAsia="ja-JP"/>
        </w:rPr>
        <w:t>follow</w:t>
      </w:r>
      <w:r w:rsidR="000159A6">
        <w:rPr>
          <w:lang w:eastAsia="ja-JP"/>
        </w:rPr>
        <w:t xml:space="preserve"> </w:t>
      </w:r>
      <w:r>
        <w:rPr>
          <w:lang w:eastAsia="ja-JP"/>
        </w:rPr>
        <w:t>up</w:t>
      </w:r>
      <w:r w:rsidR="000159A6">
        <w:rPr>
          <w:lang w:eastAsia="ja-JP"/>
        </w:rPr>
        <w:t xml:space="preserve"> </w:t>
      </w:r>
      <w:r>
        <w:rPr>
          <w:lang w:eastAsia="ja-JP"/>
        </w:rPr>
        <w:t>and</w:t>
      </w:r>
      <w:r w:rsidR="000159A6">
        <w:rPr>
          <w:lang w:eastAsia="ja-JP"/>
        </w:rPr>
        <w:t xml:space="preserve"> </w:t>
      </w:r>
      <w:r w:rsidR="000D0435">
        <w:rPr>
          <w:lang w:eastAsia="ja-JP"/>
        </w:rPr>
        <w:t>Studies</w:t>
      </w:r>
      <w:r w:rsidR="000159A6">
        <w:rPr>
          <w:lang w:eastAsia="ja-JP"/>
        </w:rPr>
        <w:t xml:space="preserve"> </w:t>
      </w:r>
      <w:r w:rsidR="000D0435">
        <w:rPr>
          <w:lang w:eastAsia="ja-JP"/>
        </w:rPr>
        <w:t>ZOSTER</w:t>
      </w:r>
      <w:r>
        <w:rPr>
          <w:lang w:eastAsia="ja-JP"/>
        </w:rPr>
        <w:t>-001</w:t>
      </w:r>
      <w:r w:rsidR="000159A6">
        <w:rPr>
          <w:lang w:eastAsia="ja-JP"/>
        </w:rPr>
        <w:t xml:space="preserve"> </w:t>
      </w:r>
      <w:r>
        <w:rPr>
          <w:lang w:eastAsia="ja-JP"/>
        </w:rPr>
        <w:t>and</w:t>
      </w:r>
      <w:r w:rsidR="000159A6">
        <w:rPr>
          <w:lang w:eastAsia="ja-JP"/>
        </w:rPr>
        <w:t xml:space="preserve"> </w:t>
      </w:r>
      <w:r>
        <w:rPr>
          <w:lang w:eastAsia="ja-JP"/>
        </w:rPr>
        <w:t>ZOSTER-015</w:t>
      </w:r>
      <w:r w:rsidR="000159A6">
        <w:rPr>
          <w:lang w:eastAsia="ja-JP"/>
        </w:rPr>
        <w:t xml:space="preserve"> </w:t>
      </w:r>
      <w:r>
        <w:rPr>
          <w:lang w:eastAsia="ja-JP"/>
        </w:rPr>
        <w:t>which</w:t>
      </w:r>
      <w:r w:rsidR="000159A6">
        <w:rPr>
          <w:lang w:eastAsia="ja-JP"/>
        </w:rPr>
        <w:t xml:space="preserve"> </w:t>
      </w:r>
      <w:r>
        <w:rPr>
          <w:lang w:eastAsia="ja-JP"/>
        </w:rPr>
        <w:t>were</w:t>
      </w:r>
      <w:r w:rsidR="000159A6">
        <w:rPr>
          <w:lang w:eastAsia="ja-JP"/>
        </w:rPr>
        <w:t xml:space="preserve"> </w:t>
      </w:r>
      <w:r>
        <w:rPr>
          <w:lang w:eastAsia="ja-JP"/>
        </w:rPr>
        <w:t>in</w:t>
      </w:r>
      <w:r w:rsidR="000159A6">
        <w:rPr>
          <w:lang w:eastAsia="ja-JP"/>
        </w:rPr>
        <w:t xml:space="preserve"> </w:t>
      </w:r>
      <w:r w:rsidR="00525235">
        <w:t>immunocompromised</w:t>
      </w:r>
      <w:r w:rsidR="000159A6">
        <w:rPr>
          <w:lang w:eastAsia="ja-JP"/>
        </w:rPr>
        <w:t xml:space="preserve"> </w:t>
      </w:r>
      <w:r w:rsidR="00525235">
        <w:rPr>
          <w:lang w:eastAsia="ja-JP"/>
        </w:rPr>
        <w:t>(</w:t>
      </w:r>
      <w:r>
        <w:rPr>
          <w:lang w:eastAsia="ja-JP"/>
        </w:rPr>
        <w:t>IC</w:t>
      </w:r>
      <w:r w:rsidR="00525235">
        <w:rPr>
          <w:lang w:eastAsia="ja-JP"/>
        </w:rPr>
        <w:t>)</w:t>
      </w:r>
      <w:r w:rsidR="000159A6">
        <w:rPr>
          <w:lang w:eastAsia="ja-JP"/>
        </w:rPr>
        <w:t xml:space="preserve"> </w:t>
      </w:r>
      <w:r>
        <w:rPr>
          <w:lang w:eastAsia="ja-JP"/>
        </w:rPr>
        <w:t>adults</w:t>
      </w:r>
      <w:r w:rsidR="000159A6">
        <w:rPr>
          <w:lang w:eastAsia="ja-JP"/>
        </w:rPr>
        <w:t xml:space="preserve"> </w:t>
      </w:r>
      <w:r>
        <w:rPr>
          <w:lang w:eastAsia="ja-JP"/>
        </w:rPr>
        <w:t>were</w:t>
      </w:r>
      <w:r w:rsidR="000159A6">
        <w:rPr>
          <w:lang w:eastAsia="ja-JP"/>
        </w:rPr>
        <w:t xml:space="preserve"> </w:t>
      </w:r>
      <w:r>
        <w:rPr>
          <w:lang w:eastAsia="ja-JP"/>
        </w:rPr>
        <w:t>also</w:t>
      </w:r>
      <w:r w:rsidR="000159A6">
        <w:rPr>
          <w:lang w:eastAsia="ja-JP"/>
        </w:rPr>
        <w:t xml:space="preserve"> </w:t>
      </w:r>
      <w:r>
        <w:rPr>
          <w:lang w:eastAsia="ja-JP"/>
        </w:rPr>
        <w:t>not</w:t>
      </w:r>
      <w:r w:rsidR="000159A6">
        <w:rPr>
          <w:lang w:eastAsia="ja-JP"/>
        </w:rPr>
        <w:t xml:space="preserve"> </w:t>
      </w:r>
      <w:r>
        <w:rPr>
          <w:lang w:eastAsia="ja-JP"/>
        </w:rPr>
        <w:t>included.</w:t>
      </w:r>
    </w:p>
    <w:p w14:paraId="6B36BC4B" w14:textId="6912D5AD" w:rsidR="005C0A6F" w:rsidRPr="00C95B23" w:rsidRDefault="00605AD4" w:rsidP="00C95B23">
      <w:pPr>
        <w:pStyle w:val="Heading4"/>
      </w:pPr>
      <w:r w:rsidRPr="00C95B23">
        <w:t>Patient</w:t>
      </w:r>
      <w:r w:rsidR="000159A6" w:rsidRPr="00C95B23">
        <w:t xml:space="preserve"> </w:t>
      </w:r>
      <w:r w:rsidRPr="00C95B23">
        <w:t>exposure</w:t>
      </w:r>
    </w:p>
    <w:p w14:paraId="38AE9F7F" w14:textId="45373576" w:rsidR="0091081C" w:rsidRPr="0091081C" w:rsidRDefault="0091081C" w:rsidP="00541F41">
      <w:r w:rsidRPr="0091081C">
        <w:t>The</w:t>
      </w:r>
      <w:r w:rsidR="000159A6">
        <w:t xml:space="preserve"> </w:t>
      </w:r>
      <w:r w:rsidRPr="0091081C">
        <w:t>total</w:t>
      </w:r>
      <w:r w:rsidR="000159A6">
        <w:t xml:space="preserve"> </w:t>
      </w:r>
      <w:r w:rsidRPr="0091081C">
        <w:t>exposure</w:t>
      </w:r>
      <w:r w:rsidR="000159A6">
        <w:t xml:space="preserve"> </w:t>
      </w:r>
      <w:r w:rsidRPr="0091081C">
        <w:t>to</w:t>
      </w:r>
      <w:r w:rsidR="000159A6">
        <w:t xml:space="preserve"> </w:t>
      </w:r>
      <w:r w:rsidRPr="0091081C">
        <w:t>HZ/</w:t>
      </w:r>
      <w:proofErr w:type="spellStart"/>
      <w:r w:rsidRPr="0091081C">
        <w:t>su</w:t>
      </w:r>
      <w:proofErr w:type="spellEnd"/>
      <w:r w:rsidR="000159A6">
        <w:t xml:space="preserve"> </w:t>
      </w:r>
      <w:r w:rsidRPr="0091081C">
        <w:t>in</w:t>
      </w:r>
      <w:r w:rsidR="000159A6">
        <w:t xml:space="preserve"> </w:t>
      </w:r>
      <w:r w:rsidRPr="0091081C">
        <w:t>the</w:t>
      </w:r>
      <w:r w:rsidR="000159A6">
        <w:t xml:space="preserve"> </w:t>
      </w:r>
      <w:r w:rsidRPr="0091081C">
        <w:t>clinical</w:t>
      </w:r>
      <w:r w:rsidR="000159A6">
        <w:t xml:space="preserve"> </w:t>
      </w:r>
      <w:r w:rsidRPr="0091081C">
        <w:t>development</w:t>
      </w:r>
      <w:r w:rsidR="000159A6">
        <w:t xml:space="preserve"> </w:t>
      </w:r>
      <w:r w:rsidRPr="0091081C">
        <w:t>program</w:t>
      </w:r>
      <w:r w:rsidR="000159A6">
        <w:t xml:space="preserve"> </w:t>
      </w:r>
      <w:r w:rsidRPr="0091081C">
        <w:t>studies</w:t>
      </w:r>
      <w:r w:rsidR="000159A6">
        <w:t xml:space="preserve"> </w:t>
      </w:r>
      <w:r w:rsidRPr="0091081C">
        <w:t>included</w:t>
      </w:r>
      <w:r w:rsidR="000159A6">
        <w:t xml:space="preserve"> </w:t>
      </w:r>
      <w:r w:rsidRPr="0091081C">
        <w:t>in</w:t>
      </w:r>
      <w:r w:rsidR="000159A6">
        <w:t xml:space="preserve"> </w:t>
      </w:r>
      <w:r w:rsidRPr="0091081C">
        <w:t>the</w:t>
      </w:r>
      <w:r w:rsidR="000159A6">
        <w:t xml:space="preserve"> </w:t>
      </w:r>
      <w:r w:rsidRPr="0091081C">
        <w:t>dossier</w:t>
      </w:r>
      <w:r w:rsidR="000159A6">
        <w:t xml:space="preserve"> </w:t>
      </w:r>
      <w:r w:rsidRPr="0091081C">
        <w:t>was</w:t>
      </w:r>
      <w:r w:rsidR="000159A6">
        <w:t xml:space="preserve"> </w:t>
      </w:r>
      <w:r w:rsidRPr="0091081C">
        <w:t>17,204</w:t>
      </w:r>
      <w:r w:rsidR="000159A6">
        <w:t xml:space="preserve"> </w:t>
      </w:r>
      <w:r w:rsidRPr="0091081C">
        <w:t>subjects.</w:t>
      </w:r>
      <w:r w:rsidR="000159A6">
        <w:t xml:space="preserve"> </w:t>
      </w:r>
      <w:r w:rsidRPr="0091081C">
        <w:t>The</w:t>
      </w:r>
      <w:r w:rsidR="000159A6">
        <w:t xml:space="preserve"> </w:t>
      </w:r>
      <w:r w:rsidRPr="0091081C">
        <w:t>breakdown</w:t>
      </w:r>
      <w:r w:rsidR="000159A6">
        <w:t xml:space="preserve"> </w:t>
      </w:r>
      <w:r w:rsidRPr="0091081C">
        <w:t>of</w:t>
      </w:r>
      <w:r w:rsidR="000159A6">
        <w:t xml:space="preserve"> </w:t>
      </w:r>
      <w:r w:rsidRPr="0091081C">
        <w:t>how</w:t>
      </w:r>
      <w:r w:rsidR="000159A6">
        <w:t xml:space="preserve"> </w:t>
      </w:r>
      <w:r w:rsidRPr="0091081C">
        <w:t>studies</w:t>
      </w:r>
      <w:r w:rsidR="000159A6">
        <w:t xml:space="preserve"> </w:t>
      </w:r>
      <w:r w:rsidRPr="0091081C">
        <w:t>were</w:t>
      </w:r>
      <w:r w:rsidR="000159A6">
        <w:t xml:space="preserve"> </w:t>
      </w:r>
      <w:r w:rsidRPr="0091081C">
        <w:t>included</w:t>
      </w:r>
      <w:r w:rsidR="000159A6">
        <w:t xml:space="preserve"> </w:t>
      </w:r>
      <w:r w:rsidRPr="0091081C">
        <w:t>in</w:t>
      </w:r>
      <w:r w:rsidR="000159A6">
        <w:t xml:space="preserve"> </w:t>
      </w:r>
      <w:r w:rsidRPr="0091081C">
        <w:t>the</w:t>
      </w:r>
      <w:r w:rsidR="000159A6">
        <w:t xml:space="preserve"> </w:t>
      </w:r>
      <w:r w:rsidRPr="0091081C">
        <w:t>safety</w:t>
      </w:r>
      <w:r w:rsidR="000159A6">
        <w:t xml:space="preserve"> </w:t>
      </w:r>
      <w:r w:rsidRPr="0091081C">
        <w:t>pools</w:t>
      </w:r>
      <w:r w:rsidR="000159A6">
        <w:t xml:space="preserve"> </w:t>
      </w:r>
      <w:r w:rsidRPr="0091081C">
        <w:t>is</w:t>
      </w:r>
      <w:r w:rsidR="000159A6">
        <w:t xml:space="preserve"> </w:t>
      </w:r>
      <w:r w:rsidRPr="0091081C">
        <w:t>shown</w:t>
      </w:r>
      <w:r w:rsidR="000159A6">
        <w:t xml:space="preserve"> </w:t>
      </w:r>
      <w:r w:rsidRPr="0091081C">
        <w:t>in</w:t>
      </w:r>
      <w:r w:rsidR="000159A6">
        <w:t xml:space="preserve"> </w:t>
      </w:r>
      <w:r w:rsidR="0012170B" w:rsidRPr="0012170B">
        <w:t>Figure</w:t>
      </w:r>
      <w:r w:rsidR="000159A6">
        <w:t xml:space="preserve"> </w:t>
      </w:r>
      <w:r w:rsidRPr="0012170B">
        <w:t>12</w:t>
      </w:r>
      <w:r w:rsidR="0012170B">
        <w:t>,</w:t>
      </w:r>
      <w:r w:rsidR="000159A6">
        <w:t xml:space="preserve"> </w:t>
      </w:r>
      <w:r w:rsidR="0012170B">
        <w:t>Attachment</w:t>
      </w:r>
      <w:r w:rsidR="000159A6">
        <w:t xml:space="preserve"> </w:t>
      </w:r>
      <w:r w:rsidR="0012170B">
        <w:t>2</w:t>
      </w:r>
      <w:r w:rsidRPr="0012170B">
        <w:t>.</w:t>
      </w:r>
      <w:r w:rsidR="000159A6">
        <w:t xml:space="preserve"> </w:t>
      </w:r>
      <w:r w:rsidRPr="0012170B">
        <w:t>In</w:t>
      </w:r>
      <w:r w:rsidR="000159A6">
        <w:t xml:space="preserve"> </w:t>
      </w:r>
      <w:r w:rsidRPr="0091081C">
        <w:t>the</w:t>
      </w:r>
      <w:r w:rsidR="000159A6">
        <w:t xml:space="preserve"> </w:t>
      </w:r>
      <w:r w:rsidRPr="0091081C">
        <w:t>main</w:t>
      </w:r>
      <w:r w:rsidR="000159A6">
        <w:t xml:space="preserve"> </w:t>
      </w:r>
      <w:r w:rsidRPr="0091081C">
        <w:t>safety</w:t>
      </w:r>
      <w:r w:rsidR="000159A6">
        <w:t xml:space="preserve"> </w:t>
      </w:r>
      <w:r w:rsidRPr="0091081C">
        <w:t>pool</w:t>
      </w:r>
      <w:r w:rsidR="000159A6">
        <w:t xml:space="preserve"> </w:t>
      </w:r>
      <w:r w:rsidRPr="0091081C">
        <w:t>(</w:t>
      </w:r>
      <w:r w:rsidR="000D0435">
        <w:t>Studies</w:t>
      </w:r>
      <w:r w:rsidR="000159A6">
        <w:t xml:space="preserve"> </w:t>
      </w:r>
      <w:r w:rsidR="000D0435">
        <w:t>ZOSTER</w:t>
      </w:r>
      <w:r w:rsidRPr="0091081C">
        <w:t>-006</w:t>
      </w:r>
      <w:r w:rsidR="000159A6">
        <w:t xml:space="preserve"> </w:t>
      </w:r>
      <w:r w:rsidRPr="0091081C">
        <w:t>and</w:t>
      </w:r>
      <w:r w:rsidR="000159A6">
        <w:t xml:space="preserve"> </w:t>
      </w:r>
      <w:r w:rsidRPr="0091081C">
        <w:t>ZOSTER-022),</w:t>
      </w:r>
      <w:r w:rsidR="000159A6">
        <w:t xml:space="preserve"> </w:t>
      </w:r>
      <w:r w:rsidRPr="0091081C">
        <w:t>there</w:t>
      </w:r>
      <w:r w:rsidR="000159A6">
        <w:t xml:space="preserve"> </w:t>
      </w:r>
      <w:r w:rsidRPr="0091081C">
        <w:t>were</w:t>
      </w:r>
      <w:r w:rsidR="000159A6">
        <w:t xml:space="preserve"> </w:t>
      </w:r>
      <w:r w:rsidRPr="0091081C">
        <w:t>14,745</w:t>
      </w:r>
      <w:r w:rsidR="000159A6">
        <w:t xml:space="preserve"> </w:t>
      </w:r>
      <w:r w:rsidRPr="0091081C">
        <w:t>subjects</w:t>
      </w:r>
      <w:r w:rsidR="000159A6">
        <w:t xml:space="preserve"> </w:t>
      </w:r>
      <w:r w:rsidRPr="0091081C">
        <w:t>who</w:t>
      </w:r>
      <w:r w:rsidR="000159A6">
        <w:t xml:space="preserve"> </w:t>
      </w:r>
      <w:r w:rsidRPr="0091081C">
        <w:t>received</w:t>
      </w:r>
      <w:r w:rsidR="000159A6">
        <w:t xml:space="preserve"> </w:t>
      </w:r>
      <w:r w:rsidRPr="0091081C">
        <w:t>at</w:t>
      </w:r>
      <w:r w:rsidR="000159A6">
        <w:t xml:space="preserve"> </w:t>
      </w:r>
      <w:r w:rsidRPr="0091081C">
        <w:t>least</w:t>
      </w:r>
      <w:r w:rsidR="000159A6">
        <w:t xml:space="preserve"> </w:t>
      </w:r>
      <w:r w:rsidRPr="0091081C">
        <w:t>one</w:t>
      </w:r>
      <w:r w:rsidR="000159A6">
        <w:t xml:space="preserve"> </w:t>
      </w:r>
      <w:r w:rsidRPr="0091081C">
        <w:t>dose</w:t>
      </w:r>
      <w:r w:rsidR="000159A6">
        <w:t xml:space="preserve"> </w:t>
      </w:r>
      <w:r w:rsidRPr="0091081C">
        <w:t>of</w:t>
      </w:r>
      <w:r w:rsidR="000159A6">
        <w:t xml:space="preserve"> </w:t>
      </w:r>
      <w:r w:rsidRPr="0091081C">
        <w:t>HZ/</w:t>
      </w:r>
      <w:proofErr w:type="spellStart"/>
      <w:r w:rsidRPr="0091081C">
        <w:t>su</w:t>
      </w:r>
      <w:proofErr w:type="spellEnd"/>
      <w:r w:rsidR="000159A6">
        <w:t xml:space="preserve"> </w:t>
      </w:r>
      <w:r w:rsidRPr="0091081C">
        <w:t>vaccine</w:t>
      </w:r>
      <w:r w:rsidR="000159A6">
        <w:t xml:space="preserve"> </w:t>
      </w:r>
      <w:r w:rsidRPr="0091081C">
        <w:t>(Table</w:t>
      </w:r>
      <w:r w:rsidR="000159A6">
        <w:t xml:space="preserve"> </w:t>
      </w:r>
      <w:r w:rsidRPr="0091081C">
        <w:t>36</w:t>
      </w:r>
      <w:r w:rsidR="0012170B">
        <w:t>,</w:t>
      </w:r>
      <w:r w:rsidR="000159A6">
        <w:t xml:space="preserve"> </w:t>
      </w:r>
      <w:r w:rsidR="0012170B">
        <w:t>Attachment</w:t>
      </w:r>
      <w:r w:rsidR="000159A6">
        <w:t xml:space="preserve"> </w:t>
      </w:r>
      <w:r w:rsidR="0012170B">
        <w:t>2</w:t>
      </w:r>
      <w:r w:rsidRPr="0091081C">
        <w:t>).</w:t>
      </w:r>
      <w:r w:rsidR="000159A6">
        <w:t xml:space="preserve"> </w:t>
      </w:r>
      <w:r w:rsidRPr="0091081C">
        <w:t>In</w:t>
      </w:r>
      <w:r w:rsidR="000159A6">
        <w:t xml:space="preserve"> </w:t>
      </w:r>
      <w:r w:rsidRPr="0091081C">
        <w:t>the</w:t>
      </w:r>
      <w:r w:rsidR="000159A6">
        <w:t xml:space="preserve"> </w:t>
      </w:r>
      <w:r w:rsidRPr="0091081C">
        <w:t>broader</w:t>
      </w:r>
      <w:r w:rsidR="000159A6">
        <w:t xml:space="preserve"> </w:t>
      </w:r>
      <w:r w:rsidRPr="0091081C">
        <w:t>safety</w:t>
      </w:r>
      <w:r w:rsidR="000159A6">
        <w:t xml:space="preserve"> </w:t>
      </w:r>
      <w:r w:rsidRPr="0091081C">
        <w:t>pool,</w:t>
      </w:r>
      <w:r w:rsidR="000159A6">
        <w:t xml:space="preserve"> </w:t>
      </w:r>
      <w:r w:rsidRPr="0091081C">
        <w:t>there</w:t>
      </w:r>
      <w:r w:rsidR="000159A6">
        <w:t xml:space="preserve"> </w:t>
      </w:r>
      <w:r w:rsidRPr="0091081C">
        <w:t>were</w:t>
      </w:r>
      <w:r w:rsidR="000159A6">
        <w:t xml:space="preserve"> </w:t>
      </w:r>
      <w:r w:rsidRPr="0091081C">
        <w:t>15,493</w:t>
      </w:r>
      <w:r w:rsidR="000159A6">
        <w:t xml:space="preserve"> </w:t>
      </w:r>
      <w:r w:rsidRPr="0091081C">
        <w:t>adults</w:t>
      </w:r>
      <w:r w:rsidR="000159A6">
        <w:t xml:space="preserve"> </w:t>
      </w:r>
      <w:r w:rsidR="0037169B">
        <w:t>≥</w:t>
      </w:r>
      <w:r w:rsidR="000159A6">
        <w:t xml:space="preserve"> </w:t>
      </w:r>
      <w:r w:rsidRPr="0091081C">
        <w:t>50</w:t>
      </w:r>
      <w:r w:rsidR="000159A6">
        <w:t xml:space="preserve"> </w:t>
      </w:r>
      <w:r w:rsidRPr="0091081C">
        <w:t>years</w:t>
      </w:r>
      <w:r w:rsidR="000159A6">
        <w:t xml:space="preserve"> </w:t>
      </w:r>
      <w:r w:rsidRPr="0091081C">
        <w:t>of</w:t>
      </w:r>
      <w:r w:rsidR="000159A6">
        <w:t xml:space="preserve"> </w:t>
      </w:r>
      <w:r w:rsidRPr="0091081C">
        <w:t>age</w:t>
      </w:r>
      <w:r w:rsidR="000159A6">
        <w:t xml:space="preserve"> </w:t>
      </w:r>
      <w:r w:rsidRPr="0091081C">
        <w:t>who</w:t>
      </w:r>
      <w:r w:rsidR="000159A6">
        <w:t xml:space="preserve"> </w:t>
      </w:r>
      <w:r w:rsidRPr="0091081C">
        <w:t>received</w:t>
      </w:r>
      <w:r w:rsidR="000159A6">
        <w:t xml:space="preserve"> </w:t>
      </w:r>
      <w:r w:rsidRPr="0091081C">
        <w:t>at</w:t>
      </w:r>
      <w:r w:rsidR="000159A6">
        <w:t xml:space="preserve"> </w:t>
      </w:r>
      <w:r w:rsidRPr="0091081C">
        <w:t>least</w:t>
      </w:r>
      <w:r w:rsidR="000159A6">
        <w:t xml:space="preserve"> </w:t>
      </w:r>
      <w:r w:rsidRPr="0091081C">
        <w:t>one</w:t>
      </w:r>
      <w:r w:rsidR="000159A6">
        <w:t xml:space="preserve"> </w:t>
      </w:r>
      <w:r w:rsidRPr="0091081C">
        <w:t>dose</w:t>
      </w:r>
      <w:r w:rsidR="000159A6">
        <w:t xml:space="preserve"> </w:t>
      </w:r>
      <w:r w:rsidRPr="0091081C">
        <w:t>of</w:t>
      </w:r>
      <w:r w:rsidR="000159A6">
        <w:t xml:space="preserve"> </w:t>
      </w:r>
      <w:r w:rsidRPr="0091081C">
        <w:t>HZ/</w:t>
      </w:r>
      <w:proofErr w:type="spellStart"/>
      <w:r w:rsidRPr="0091081C">
        <w:t>su</w:t>
      </w:r>
      <w:proofErr w:type="spellEnd"/>
      <w:r w:rsidR="000159A6">
        <w:t xml:space="preserve"> </w:t>
      </w:r>
      <w:r w:rsidRPr="0091081C">
        <w:t>vaccine</w:t>
      </w:r>
      <w:r w:rsidR="000159A6">
        <w:t xml:space="preserve"> </w:t>
      </w:r>
      <w:r w:rsidRPr="0091081C">
        <w:t>and</w:t>
      </w:r>
      <w:r w:rsidR="000159A6">
        <w:t xml:space="preserve"> </w:t>
      </w:r>
      <w:r w:rsidRPr="0091081C">
        <w:t>9,078</w:t>
      </w:r>
      <w:r w:rsidR="000159A6">
        <w:t xml:space="preserve"> </w:t>
      </w:r>
      <w:r w:rsidRPr="0091081C">
        <w:t>who</w:t>
      </w:r>
      <w:r w:rsidR="000159A6">
        <w:t xml:space="preserve"> </w:t>
      </w:r>
      <w:r w:rsidRPr="0091081C">
        <w:t>were</w:t>
      </w:r>
      <w:r w:rsidR="000159A6">
        <w:t xml:space="preserve"> </w:t>
      </w:r>
      <w:r w:rsidR="0037169B">
        <w:t>≥</w:t>
      </w:r>
      <w:r w:rsidR="000159A6">
        <w:t xml:space="preserve"> </w:t>
      </w:r>
      <w:r w:rsidRPr="0091081C">
        <w:t>70</w:t>
      </w:r>
      <w:r w:rsidR="000159A6">
        <w:t xml:space="preserve"> </w:t>
      </w:r>
      <w:r w:rsidRPr="0091081C">
        <w:t>years</w:t>
      </w:r>
      <w:r w:rsidR="000159A6">
        <w:t xml:space="preserve"> </w:t>
      </w:r>
      <w:r w:rsidRPr="0091081C">
        <w:t>of</w:t>
      </w:r>
      <w:r w:rsidR="000159A6">
        <w:t xml:space="preserve"> </w:t>
      </w:r>
      <w:r w:rsidRPr="0091081C">
        <w:t>age.</w:t>
      </w:r>
      <w:r w:rsidR="000159A6">
        <w:t xml:space="preserve"> </w:t>
      </w:r>
      <w:r w:rsidRPr="0091081C">
        <w:t>Approximately</w:t>
      </w:r>
      <w:r w:rsidR="000159A6">
        <w:t xml:space="preserve"> </w:t>
      </w:r>
      <w:r w:rsidRPr="0091081C">
        <w:t>95%</w:t>
      </w:r>
      <w:r w:rsidR="000159A6">
        <w:t xml:space="preserve"> </w:t>
      </w:r>
      <w:r w:rsidRPr="0091081C">
        <w:t>of</w:t>
      </w:r>
      <w:r w:rsidR="000159A6">
        <w:t xml:space="preserve"> </w:t>
      </w:r>
      <w:r w:rsidRPr="0091081C">
        <w:t>subjects</w:t>
      </w:r>
      <w:r w:rsidR="000159A6">
        <w:t xml:space="preserve"> </w:t>
      </w:r>
      <w:r w:rsidRPr="0091081C">
        <w:t>received</w:t>
      </w:r>
      <w:r w:rsidR="000159A6">
        <w:t xml:space="preserve"> </w:t>
      </w:r>
      <w:r w:rsidRPr="0091081C">
        <w:t>two</w:t>
      </w:r>
      <w:r w:rsidR="000159A6">
        <w:t xml:space="preserve"> </w:t>
      </w:r>
      <w:r w:rsidRPr="0091081C">
        <w:t>doses</w:t>
      </w:r>
      <w:r w:rsidR="000159A6">
        <w:t xml:space="preserve"> </w:t>
      </w:r>
      <w:r w:rsidRPr="0091081C">
        <w:t>of</w:t>
      </w:r>
      <w:r w:rsidR="000159A6">
        <w:t xml:space="preserve"> </w:t>
      </w:r>
      <w:r w:rsidRPr="0091081C">
        <w:t>vaccine.</w:t>
      </w:r>
      <w:r w:rsidR="000159A6">
        <w:t xml:space="preserve"> </w:t>
      </w:r>
      <w:r w:rsidRPr="0091081C">
        <w:t>Exposure</w:t>
      </w:r>
      <w:r w:rsidR="000159A6">
        <w:t xml:space="preserve"> </w:t>
      </w:r>
      <w:r w:rsidRPr="0091081C">
        <w:t>in</w:t>
      </w:r>
      <w:r w:rsidR="000159A6">
        <w:t xml:space="preserve"> </w:t>
      </w:r>
      <w:r w:rsidRPr="0091081C">
        <w:t>studies</w:t>
      </w:r>
      <w:r w:rsidR="000159A6">
        <w:t xml:space="preserve"> </w:t>
      </w:r>
      <w:r w:rsidRPr="0091081C">
        <w:t>not</w:t>
      </w:r>
      <w:r w:rsidR="000159A6">
        <w:t xml:space="preserve"> </w:t>
      </w:r>
      <w:r w:rsidRPr="0091081C">
        <w:t>included</w:t>
      </w:r>
      <w:r w:rsidR="000159A6">
        <w:t xml:space="preserve"> </w:t>
      </w:r>
      <w:r w:rsidRPr="0091081C">
        <w:t>in</w:t>
      </w:r>
      <w:r w:rsidR="000159A6">
        <w:t xml:space="preserve"> </w:t>
      </w:r>
      <w:r w:rsidRPr="0091081C">
        <w:t>the</w:t>
      </w:r>
      <w:r w:rsidR="000159A6">
        <w:t xml:space="preserve"> </w:t>
      </w:r>
      <w:r w:rsidRPr="0091081C">
        <w:t>broader</w:t>
      </w:r>
      <w:r w:rsidR="000159A6">
        <w:t xml:space="preserve"> </w:t>
      </w:r>
      <w:r w:rsidRPr="0091081C">
        <w:t>safety</w:t>
      </w:r>
      <w:r w:rsidR="000159A6">
        <w:t xml:space="preserve"> </w:t>
      </w:r>
      <w:r w:rsidRPr="0091081C">
        <w:t>pool</w:t>
      </w:r>
      <w:r w:rsidR="000159A6">
        <w:t xml:space="preserve"> </w:t>
      </w:r>
      <w:r w:rsidRPr="0091081C">
        <w:t>is</w:t>
      </w:r>
      <w:r w:rsidR="000159A6">
        <w:t xml:space="preserve"> </w:t>
      </w:r>
      <w:r w:rsidRPr="0091081C">
        <w:t>summarised</w:t>
      </w:r>
      <w:r w:rsidR="000159A6">
        <w:t xml:space="preserve"> </w:t>
      </w:r>
      <w:r w:rsidRPr="0091081C">
        <w:t>in</w:t>
      </w:r>
      <w:r w:rsidR="000159A6">
        <w:t xml:space="preserve"> </w:t>
      </w:r>
      <w:r w:rsidRPr="0091081C">
        <w:t>Table</w:t>
      </w:r>
      <w:r w:rsidR="000159A6">
        <w:t xml:space="preserve"> </w:t>
      </w:r>
      <w:r w:rsidRPr="0091081C">
        <w:t>37</w:t>
      </w:r>
      <w:r w:rsidR="000159A6">
        <w:t xml:space="preserve"> </w:t>
      </w:r>
      <w:r>
        <w:t>of</w:t>
      </w:r>
      <w:r w:rsidR="000159A6">
        <w:t xml:space="preserve"> </w:t>
      </w:r>
      <w:r>
        <w:t>Attachment</w:t>
      </w:r>
      <w:r w:rsidR="000159A6">
        <w:t xml:space="preserve"> </w:t>
      </w:r>
      <w:r>
        <w:t>2</w:t>
      </w:r>
      <w:r w:rsidRPr="0091081C">
        <w:t>.</w:t>
      </w:r>
      <w:r w:rsidR="000159A6">
        <w:t xml:space="preserve"> </w:t>
      </w:r>
      <w:r w:rsidRPr="0091081C">
        <w:t>In</w:t>
      </w:r>
      <w:r w:rsidR="000159A6">
        <w:t xml:space="preserve"> </w:t>
      </w:r>
      <w:r w:rsidRPr="0091081C">
        <w:t>the</w:t>
      </w:r>
      <w:r w:rsidR="000159A6">
        <w:t xml:space="preserve"> </w:t>
      </w:r>
      <w:r w:rsidRPr="0091081C">
        <w:t>main</w:t>
      </w:r>
      <w:r w:rsidR="000159A6">
        <w:t xml:space="preserve"> </w:t>
      </w:r>
      <w:r w:rsidRPr="0091081C">
        <w:t>safety</w:t>
      </w:r>
      <w:r w:rsidR="000159A6">
        <w:t xml:space="preserve"> </w:t>
      </w:r>
      <w:r w:rsidRPr="0091081C">
        <w:t>pool</w:t>
      </w:r>
      <w:r w:rsidR="000159A6">
        <w:t xml:space="preserve"> </w:t>
      </w:r>
      <w:r w:rsidRPr="0091081C">
        <w:t>there</w:t>
      </w:r>
      <w:r w:rsidR="000159A6">
        <w:t xml:space="preserve"> </w:t>
      </w:r>
      <w:r w:rsidRPr="0091081C">
        <w:t>were</w:t>
      </w:r>
      <w:r w:rsidR="000159A6">
        <w:t xml:space="preserve"> </w:t>
      </w:r>
      <w:r w:rsidRPr="0091081C">
        <w:t>14,660</w:t>
      </w:r>
      <w:r w:rsidR="000159A6">
        <w:t xml:space="preserve"> </w:t>
      </w:r>
      <w:r w:rsidRPr="0091081C">
        <w:t>subjects</w:t>
      </w:r>
      <w:r w:rsidR="000159A6">
        <w:t xml:space="preserve"> </w:t>
      </w:r>
      <w:r w:rsidRPr="0091081C">
        <w:t>who</w:t>
      </w:r>
      <w:r w:rsidR="000159A6">
        <w:t xml:space="preserve"> </w:t>
      </w:r>
      <w:r w:rsidRPr="0091081C">
        <w:t>received</w:t>
      </w:r>
      <w:r w:rsidR="000159A6">
        <w:t xml:space="preserve"> </w:t>
      </w:r>
      <w:r w:rsidRPr="0091081C">
        <w:t>placebo.</w:t>
      </w:r>
    </w:p>
    <w:p w14:paraId="2FB43115" w14:textId="3597B2B7" w:rsidR="005C0A6F" w:rsidRPr="00C95B23" w:rsidRDefault="00605AD4" w:rsidP="00C95B23">
      <w:pPr>
        <w:pStyle w:val="Heading4"/>
      </w:pPr>
      <w:r w:rsidRPr="00C95B23">
        <w:t>Safety</w:t>
      </w:r>
      <w:r w:rsidR="000159A6" w:rsidRPr="00C95B23">
        <w:t xml:space="preserve"> </w:t>
      </w:r>
      <w:r w:rsidRPr="00C95B23">
        <w:t>issues</w:t>
      </w:r>
      <w:r w:rsidR="000159A6" w:rsidRPr="00C95B23">
        <w:t xml:space="preserve"> </w:t>
      </w:r>
      <w:r w:rsidRPr="00C95B23">
        <w:t>with</w:t>
      </w:r>
      <w:r w:rsidR="000159A6" w:rsidRPr="00C95B23">
        <w:t xml:space="preserve"> </w:t>
      </w:r>
      <w:r w:rsidRPr="00C95B23">
        <w:t>the</w:t>
      </w:r>
      <w:r w:rsidR="000159A6" w:rsidRPr="00C95B23">
        <w:t xml:space="preserve"> </w:t>
      </w:r>
      <w:r w:rsidRPr="00C95B23">
        <w:t>potential</w:t>
      </w:r>
      <w:r w:rsidR="000159A6" w:rsidRPr="00C95B23">
        <w:t xml:space="preserve"> </w:t>
      </w:r>
      <w:r w:rsidRPr="00C95B23">
        <w:t>for</w:t>
      </w:r>
      <w:r w:rsidR="000159A6" w:rsidRPr="00C95B23">
        <w:t xml:space="preserve"> </w:t>
      </w:r>
      <w:r w:rsidRPr="00C95B23">
        <w:t>major</w:t>
      </w:r>
      <w:r w:rsidR="000159A6" w:rsidRPr="00C95B23">
        <w:t xml:space="preserve"> </w:t>
      </w:r>
      <w:r w:rsidRPr="00C95B23">
        <w:t>regulatory</w:t>
      </w:r>
      <w:r w:rsidR="000159A6" w:rsidRPr="00C95B23">
        <w:t xml:space="preserve"> </w:t>
      </w:r>
      <w:r w:rsidRPr="00C95B23">
        <w:t>impact</w:t>
      </w:r>
    </w:p>
    <w:p w14:paraId="17CA7B95" w14:textId="75985261" w:rsidR="0091081C" w:rsidRPr="00C95B23" w:rsidRDefault="0091081C" w:rsidP="00C95B23">
      <w:pPr>
        <w:pStyle w:val="Heading5"/>
      </w:pPr>
      <w:bookmarkStart w:id="149" w:name="_Toc507578047"/>
      <w:r w:rsidRPr="00C95B23">
        <w:t>Potential</w:t>
      </w:r>
      <w:r w:rsidR="000159A6" w:rsidRPr="00C95B23">
        <w:t xml:space="preserve"> </w:t>
      </w:r>
      <w:r w:rsidRPr="00C95B23">
        <w:t>Immune</w:t>
      </w:r>
      <w:r w:rsidR="000159A6" w:rsidRPr="00C95B23">
        <w:t xml:space="preserve"> </w:t>
      </w:r>
      <w:r w:rsidRPr="00C95B23">
        <w:t>Mediated</w:t>
      </w:r>
      <w:r w:rsidR="000159A6" w:rsidRPr="00C95B23">
        <w:t xml:space="preserve"> </w:t>
      </w:r>
      <w:r w:rsidRPr="00C95B23">
        <w:t>Diseases</w:t>
      </w:r>
      <w:bookmarkEnd w:id="149"/>
    </w:p>
    <w:p w14:paraId="47D89002" w14:textId="0ABB651C" w:rsidR="0091081C" w:rsidRPr="00C95B23" w:rsidRDefault="0091081C" w:rsidP="00541F41">
      <w:pPr>
        <w:pStyle w:val="Heading6"/>
      </w:pPr>
      <w:bookmarkStart w:id="150" w:name="_Toc507578048"/>
      <w:r w:rsidRPr="00C95B23">
        <w:t>Main</w:t>
      </w:r>
      <w:r w:rsidR="000159A6" w:rsidRPr="00C95B23">
        <w:t xml:space="preserve"> </w:t>
      </w:r>
      <w:r w:rsidRPr="00541F41">
        <w:t>safety</w:t>
      </w:r>
      <w:r w:rsidR="000159A6" w:rsidRPr="00C95B23">
        <w:t xml:space="preserve"> </w:t>
      </w:r>
      <w:r w:rsidRPr="00C95B23">
        <w:t>pool</w:t>
      </w:r>
      <w:bookmarkEnd w:id="150"/>
    </w:p>
    <w:p w14:paraId="4DCCA772" w14:textId="7EA1060D" w:rsidR="0091081C" w:rsidRDefault="0091081C" w:rsidP="00541F41">
      <w:pPr>
        <w:rPr>
          <w:lang w:eastAsia="ja-JP"/>
        </w:rPr>
      </w:pPr>
      <w:r>
        <w:rPr>
          <w:lang w:eastAsia="ja-JP"/>
        </w:rPr>
        <w:t>There</w:t>
      </w:r>
      <w:r w:rsidR="000159A6">
        <w:rPr>
          <w:lang w:eastAsia="ja-JP"/>
        </w:rPr>
        <w:t xml:space="preserve"> </w:t>
      </w:r>
      <w:r>
        <w:rPr>
          <w:lang w:eastAsia="ja-JP"/>
        </w:rPr>
        <w:t>were</w:t>
      </w:r>
      <w:r w:rsidR="000159A6">
        <w:rPr>
          <w:lang w:eastAsia="ja-JP"/>
        </w:rPr>
        <w:t xml:space="preserve"> </w:t>
      </w:r>
      <w:r>
        <w:rPr>
          <w:lang w:eastAsia="ja-JP"/>
        </w:rPr>
        <w:t>179</w:t>
      </w:r>
      <w:r w:rsidR="000159A6">
        <w:rPr>
          <w:lang w:eastAsia="ja-JP"/>
        </w:rPr>
        <w:t xml:space="preserve"> </w:t>
      </w:r>
      <w:r>
        <w:rPr>
          <w:lang w:eastAsia="ja-JP"/>
        </w:rPr>
        <w:t>(1.2%,</w:t>
      </w:r>
      <w:r w:rsidR="000159A6">
        <w:rPr>
          <w:lang w:eastAsia="ja-JP"/>
        </w:rPr>
        <w:t xml:space="preserve"> </w:t>
      </w:r>
      <w:r>
        <w:rPr>
          <w:lang w:eastAsia="ja-JP"/>
        </w:rPr>
        <w:t>95%</w:t>
      </w:r>
      <w:r w:rsidR="000159A6">
        <w:rPr>
          <w:lang w:eastAsia="ja-JP"/>
        </w:rPr>
        <w:t xml:space="preserve"> </w:t>
      </w:r>
      <w:r>
        <w:rPr>
          <w:lang w:eastAsia="ja-JP"/>
        </w:rPr>
        <w:t>CI:</w:t>
      </w:r>
      <w:r w:rsidR="000159A6">
        <w:rPr>
          <w:lang w:eastAsia="ja-JP"/>
        </w:rPr>
        <w:t xml:space="preserve"> </w:t>
      </w:r>
      <w:r>
        <w:rPr>
          <w:lang w:eastAsia="ja-JP"/>
        </w:rPr>
        <w:t>1.1</w:t>
      </w:r>
      <w:r w:rsidR="000159A6">
        <w:rPr>
          <w:lang w:eastAsia="ja-JP"/>
        </w:rPr>
        <w:t xml:space="preserve"> </w:t>
      </w:r>
      <w:r>
        <w:rPr>
          <w:lang w:eastAsia="ja-JP"/>
        </w:rPr>
        <w:t>to</w:t>
      </w:r>
      <w:r w:rsidR="000159A6">
        <w:rPr>
          <w:lang w:eastAsia="ja-JP"/>
        </w:rPr>
        <w:t xml:space="preserve"> </w:t>
      </w:r>
      <w:r>
        <w:rPr>
          <w:lang w:eastAsia="ja-JP"/>
        </w:rPr>
        <w:t>1.4)</w:t>
      </w:r>
      <w:r w:rsidR="000159A6">
        <w:rPr>
          <w:lang w:eastAsia="ja-JP"/>
        </w:rPr>
        <w:t xml:space="preserve"> </w:t>
      </w:r>
      <w:r>
        <w:rPr>
          <w:lang w:eastAsia="ja-JP"/>
        </w:rPr>
        <w:t>and</w:t>
      </w:r>
      <w:r w:rsidR="000159A6">
        <w:rPr>
          <w:lang w:eastAsia="ja-JP"/>
        </w:rPr>
        <w:t xml:space="preserve"> </w:t>
      </w:r>
      <w:r>
        <w:rPr>
          <w:lang w:eastAsia="ja-JP"/>
        </w:rPr>
        <w:t>202</w:t>
      </w:r>
      <w:r w:rsidR="000159A6">
        <w:rPr>
          <w:lang w:eastAsia="ja-JP"/>
        </w:rPr>
        <w:t xml:space="preserve"> </w:t>
      </w:r>
      <w:r>
        <w:rPr>
          <w:lang w:eastAsia="ja-JP"/>
        </w:rPr>
        <w:t>(1.4%,</w:t>
      </w:r>
      <w:r w:rsidR="000159A6">
        <w:rPr>
          <w:lang w:eastAsia="ja-JP"/>
        </w:rPr>
        <w:t xml:space="preserve"> </w:t>
      </w:r>
      <w:r>
        <w:rPr>
          <w:lang w:eastAsia="ja-JP"/>
        </w:rPr>
        <w:t>95%</w:t>
      </w:r>
      <w:r w:rsidR="000159A6">
        <w:rPr>
          <w:lang w:eastAsia="ja-JP"/>
        </w:rPr>
        <w:t xml:space="preserve"> </w:t>
      </w:r>
      <w:r>
        <w:rPr>
          <w:lang w:eastAsia="ja-JP"/>
        </w:rPr>
        <w:t>CI:</w:t>
      </w:r>
      <w:r w:rsidR="000159A6">
        <w:rPr>
          <w:lang w:eastAsia="ja-JP"/>
        </w:rPr>
        <w:t xml:space="preserve"> </w:t>
      </w:r>
      <w:r>
        <w:rPr>
          <w:lang w:eastAsia="ja-JP"/>
        </w:rPr>
        <w:t>1.2</w:t>
      </w:r>
      <w:r w:rsidR="000159A6">
        <w:rPr>
          <w:lang w:eastAsia="ja-JP"/>
        </w:rPr>
        <w:t xml:space="preserve"> </w:t>
      </w:r>
      <w:r>
        <w:rPr>
          <w:lang w:eastAsia="ja-JP"/>
        </w:rPr>
        <w:t>to</w:t>
      </w:r>
      <w:r w:rsidR="000159A6">
        <w:rPr>
          <w:lang w:eastAsia="ja-JP"/>
        </w:rPr>
        <w:t xml:space="preserve"> </w:t>
      </w:r>
      <w:r>
        <w:rPr>
          <w:lang w:eastAsia="ja-JP"/>
        </w:rPr>
        <w:t>1.6)</w:t>
      </w:r>
      <w:r w:rsidR="000159A6">
        <w:rPr>
          <w:lang w:eastAsia="ja-JP"/>
        </w:rPr>
        <w:t xml:space="preserve"> </w:t>
      </w:r>
      <w:r>
        <w:rPr>
          <w:lang w:eastAsia="ja-JP"/>
        </w:rPr>
        <w:t>subjects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and</w:t>
      </w:r>
      <w:r w:rsidR="000159A6">
        <w:rPr>
          <w:lang w:eastAsia="ja-JP"/>
        </w:rPr>
        <w:t xml:space="preserve"> </w:t>
      </w:r>
      <w:r>
        <w:rPr>
          <w:lang w:eastAsia="ja-JP"/>
        </w:rPr>
        <w:t>placebo</w:t>
      </w:r>
      <w:r w:rsidR="000159A6">
        <w:rPr>
          <w:lang w:eastAsia="ja-JP"/>
        </w:rPr>
        <w:t xml:space="preserve"> </w:t>
      </w:r>
      <w:r>
        <w:rPr>
          <w:lang w:eastAsia="ja-JP"/>
        </w:rPr>
        <w:t>groups,</w:t>
      </w:r>
      <w:r w:rsidR="000159A6">
        <w:rPr>
          <w:lang w:eastAsia="ja-JP"/>
        </w:rPr>
        <w:t xml:space="preserve"> </w:t>
      </w:r>
      <w:r>
        <w:rPr>
          <w:lang w:eastAsia="ja-JP"/>
        </w:rPr>
        <w:t>respectively,</w:t>
      </w:r>
      <w:r w:rsidR="000159A6">
        <w:rPr>
          <w:lang w:eastAsia="ja-JP"/>
        </w:rPr>
        <w:t xml:space="preserve"> </w:t>
      </w:r>
      <w:r>
        <w:rPr>
          <w:lang w:eastAsia="ja-JP"/>
        </w:rPr>
        <w:t>with</w:t>
      </w:r>
      <w:r w:rsidR="000159A6">
        <w:rPr>
          <w:lang w:eastAsia="ja-JP"/>
        </w:rPr>
        <w:t xml:space="preserve"> </w:t>
      </w:r>
      <w:r>
        <w:rPr>
          <w:lang w:eastAsia="ja-JP"/>
        </w:rPr>
        <w:t>a</w:t>
      </w:r>
      <w:r w:rsidR="000159A6">
        <w:rPr>
          <w:lang w:eastAsia="ja-JP"/>
        </w:rPr>
        <w:t xml:space="preserve"> </w:t>
      </w:r>
      <w:r>
        <w:rPr>
          <w:lang w:eastAsia="ja-JP"/>
        </w:rPr>
        <w:t>potential</w:t>
      </w:r>
      <w:r w:rsidR="000159A6">
        <w:rPr>
          <w:lang w:eastAsia="ja-JP"/>
        </w:rPr>
        <w:t xml:space="preserve"> </w:t>
      </w:r>
      <w:r>
        <w:rPr>
          <w:lang w:eastAsia="ja-JP"/>
        </w:rPr>
        <w:t>immune</w:t>
      </w:r>
      <w:r w:rsidR="000159A6">
        <w:rPr>
          <w:lang w:eastAsia="ja-JP"/>
        </w:rPr>
        <w:t xml:space="preserve"> </w:t>
      </w:r>
      <w:r>
        <w:rPr>
          <w:lang w:eastAsia="ja-JP"/>
        </w:rPr>
        <w:t>mediated</w:t>
      </w:r>
      <w:r w:rsidR="000159A6">
        <w:rPr>
          <w:lang w:eastAsia="ja-JP"/>
        </w:rPr>
        <w:t xml:space="preserve"> </w:t>
      </w:r>
      <w:r>
        <w:rPr>
          <w:lang w:eastAsia="ja-JP"/>
        </w:rPr>
        <w:t>disease</w:t>
      </w:r>
      <w:r w:rsidR="000159A6">
        <w:rPr>
          <w:lang w:eastAsia="ja-JP"/>
        </w:rPr>
        <w:t xml:space="preserve"> </w:t>
      </w:r>
      <w:r>
        <w:rPr>
          <w:lang w:eastAsia="ja-JP"/>
        </w:rPr>
        <w:t>(</w:t>
      </w:r>
      <w:proofErr w:type="spellStart"/>
      <w:r>
        <w:rPr>
          <w:lang w:eastAsia="ja-JP"/>
        </w:rPr>
        <w:t>pIMD</w:t>
      </w:r>
      <w:proofErr w:type="spellEnd"/>
      <w:r>
        <w:rPr>
          <w:lang w:eastAsia="ja-JP"/>
        </w:rPr>
        <w:t>).</w:t>
      </w:r>
      <w:r w:rsidR="000159A6">
        <w:rPr>
          <w:lang w:eastAsia="ja-JP"/>
        </w:rPr>
        <w:t xml:space="preserve"> </w:t>
      </w:r>
      <w:r>
        <w:rPr>
          <w:lang w:eastAsia="ja-JP"/>
        </w:rPr>
        <w:t>The</w:t>
      </w:r>
      <w:r w:rsidR="000159A6">
        <w:rPr>
          <w:lang w:eastAsia="ja-JP"/>
        </w:rPr>
        <w:t xml:space="preserve"> </w:t>
      </w:r>
      <w:r>
        <w:rPr>
          <w:lang w:eastAsia="ja-JP"/>
        </w:rPr>
        <w:t>most</w:t>
      </w:r>
      <w:r w:rsidR="000159A6">
        <w:rPr>
          <w:lang w:eastAsia="ja-JP"/>
        </w:rPr>
        <w:t xml:space="preserve"> </w:t>
      </w:r>
      <w:r>
        <w:rPr>
          <w:lang w:eastAsia="ja-JP"/>
        </w:rPr>
        <w:t>frequent</w:t>
      </w:r>
      <w:r w:rsidR="000159A6">
        <w:rPr>
          <w:lang w:eastAsia="ja-JP"/>
        </w:rPr>
        <w:t xml:space="preserve"> </w:t>
      </w:r>
      <w:r>
        <w:rPr>
          <w:lang w:eastAsia="ja-JP"/>
        </w:rPr>
        <w:t>conditions</w:t>
      </w:r>
      <w:r w:rsidR="000159A6">
        <w:rPr>
          <w:lang w:eastAsia="ja-JP"/>
        </w:rPr>
        <w:t xml:space="preserve"> </w:t>
      </w:r>
      <w:r>
        <w:rPr>
          <w:lang w:eastAsia="ja-JP"/>
        </w:rPr>
        <w:t>were</w:t>
      </w:r>
      <w:r w:rsidR="000159A6">
        <w:rPr>
          <w:lang w:eastAsia="ja-JP"/>
        </w:rPr>
        <w:t xml:space="preserve"> </w:t>
      </w:r>
      <w:r>
        <w:rPr>
          <w:lang w:eastAsia="ja-JP"/>
        </w:rPr>
        <w:t>polymyalgia</w:t>
      </w:r>
      <w:r w:rsidR="000159A6">
        <w:rPr>
          <w:lang w:eastAsia="ja-JP"/>
        </w:rPr>
        <w:t xml:space="preserve"> </w:t>
      </w:r>
      <w:proofErr w:type="spellStart"/>
      <w:r>
        <w:rPr>
          <w:lang w:eastAsia="ja-JP"/>
        </w:rPr>
        <w:t>rheumatica</w:t>
      </w:r>
      <w:proofErr w:type="spellEnd"/>
      <w:r w:rsidR="000159A6">
        <w:rPr>
          <w:lang w:eastAsia="ja-JP"/>
        </w:rPr>
        <w:t xml:space="preserve"> </w:t>
      </w:r>
      <w:r>
        <w:rPr>
          <w:lang w:eastAsia="ja-JP"/>
        </w:rPr>
        <w:t>(32</w:t>
      </w:r>
      <w:r w:rsidR="000159A6">
        <w:rPr>
          <w:lang w:eastAsia="ja-JP"/>
        </w:rPr>
        <w:t xml:space="preserve"> </w:t>
      </w:r>
      <w:r>
        <w:rPr>
          <w:lang w:eastAsia="ja-JP"/>
        </w:rPr>
        <w:t>versus</w:t>
      </w:r>
      <w:r w:rsidR="000159A6">
        <w:rPr>
          <w:lang w:eastAsia="ja-JP"/>
        </w:rPr>
        <w:t xml:space="preserve"> </w:t>
      </w:r>
      <w:r>
        <w:rPr>
          <w:lang w:eastAsia="ja-JP"/>
        </w:rPr>
        <w:t>29</w:t>
      </w:r>
      <w:r w:rsidR="00CD5352">
        <w:rPr>
          <w:lang w:eastAsia="ja-JP"/>
        </w:rPr>
        <w:t> </w:t>
      </w:r>
      <w:r>
        <w:rPr>
          <w:lang w:eastAsia="ja-JP"/>
        </w:rPr>
        <w:t>subjects</w:t>
      </w:r>
      <w:r w:rsidR="000159A6">
        <w:rPr>
          <w:lang w:eastAsia="ja-JP"/>
        </w:rPr>
        <w:t xml:space="preserve"> </w:t>
      </w:r>
      <w:r>
        <w:rPr>
          <w:lang w:eastAsia="ja-JP"/>
        </w:rPr>
        <w:t>respectively),</w:t>
      </w:r>
      <w:r w:rsidR="000159A6">
        <w:rPr>
          <w:lang w:eastAsia="ja-JP"/>
        </w:rPr>
        <w:t xml:space="preserve"> </w:t>
      </w:r>
      <w:r>
        <w:rPr>
          <w:lang w:eastAsia="ja-JP"/>
        </w:rPr>
        <w:t>rheumatoid</w:t>
      </w:r>
      <w:r w:rsidR="000159A6">
        <w:rPr>
          <w:lang w:eastAsia="ja-JP"/>
        </w:rPr>
        <w:t xml:space="preserve"> </w:t>
      </w:r>
      <w:r>
        <w:rPr>
          <w:lang w:eastAsia="ja-JP"/>
        </w:rPr>
        <w:t>arthritis</w:t>
      </w:r>
      <w:r w:rsidR="000159A6">
        <w:rPr>
          <w:lang w:eastAsia="ja-JP"/>
        </w:rPr>
        <w:t xml:space="preserve"> </w:t>
      </w:r>
      <w:r>
        <w:rPr>
          <w:lang w:eastAsia="ja-JP"/>
        </w:rPr>
        <w:t>(20</w:t>
      </w:r>
      <w:r w:rsidR="000159A6">
        <w:rPr>
          <w:lang w:eastAsia="ja-JP"/>
        </w:rPr>
        <w:t xml:space="preserve"> </w:t>
      </w:r>
      <w:r>
        <w:rPr>
          <w:lang w:eastAsia="ja-JP"/>
        </w:rPr>
        <w:t>versus</w:t>
      </w:r>
      <w:r w:rsidR="000159A6">
        <w:rPr>
          <w:lang w:eastAsia="ja-JP"/>
        </w:rPr>
        <w:t xml:space="preserve"> </w:t>
      </w:r>
      <w:r>
        <w:rPr>
          <w:lang w:eastAsia="ja-JP"/>
        </w:rPr>
        <w:t>26</w:t>
      </w:r>
      <w:r w:rsidR="000159A6">
        <w:rPr>
          <w:lang w:eastAsia="ja-JP"/>
        </w:rPr>
        <w:t xml:space="preserve"> </w:t>
      </w:r>
      <w:r>
        <w:rPr>
          <w:lang w:eastAsia="ja-JP"/>
        </w:rPr>
        <w:t>subjects),</w:t>
      </w:r>
      <w:r w:rsidR="000159A6">
        <w:rPr>
          <w:lang w:eastAsia="ja-JP"/>
        </w:rPr>
        <w:t xml:space="preserve"> </w:t>
      </w:r>
      <w:r>
        <w:rPr>
          <w:lang w:eastAsia="ja-JP"/>
        </w:rPr>
        <w:t>psoriasis</w:t>
      </w:r>
      <w:r w:rsidR="000159A6">
        <w:rPr>
          <w:lang w:eastAsia="ja-JP"/>
        </w:rPr>
        <w:t xml:space="preserve"> </w:t>
      </w:r>
      <w:r>
        <w:rPr>
          <w:lang w:eastAsia="ja-JP"/>
        </w:rPr>
        <w:t>(15</w:t>
      </w:r>
      <w:r w:rsidR="000159A6">
        <w:rPr>
          <w:lang w:eastAsia="ja-JP"/>
        </w:rPr>
        <w:t xml:space="preserve"> </w:t>
      </w:r>
      <w:r>
        <w:rPr>
          <w:lang w:eastAsia="ja-JP"/>
        </w:rPr>
        <w:t>versus</w:t>
      </w:r>
      <w:r w:rsidR="000159A6">
        <w:rPr>
          <w:lang w:eastAsia="ja-JP"/>
        </w:rPr>
        <w:t xml:space="preserve"> </w:t>
      </w:r>
      <w:r>
        <w:rPr>
          <w:lang w:eastAsia="ja-JP"/>
        </w:rPr>
        <w:t>18</w:t>
      </w:r>
      <w:r w:rsidR="000159A6">
        <w:rPr>
          <w:lang w:eastAsia="ja-JP"/>
        </w:rPr>
        <w:t xml:space="preserve"> </w:t>
      </w:r>
      <w:r>
        <w:rPr>
          <w:lang w:eastAsia="ja-JP"/>
        </w:rPr>
        <w:t>subjects)</w:t>
      </w:r>
      <w:r w:rsidR="000159A6">
        <w:rPr>
          <w:lang w:eastAsia="ja-JP"/>
        </w:rPr>
        <w:t xml:space="preserve"> </w:t>
      </w:r>
      <w:r>
        <w:rPr>
          <w:lang w:eastAsia="ja-JP"/>
        </w:rPr>
        <w:t>and</w:t>
      </w:r>
      <w:r w:rsidR="000159A6">
        <w:rPr>
          <w:lang w:eastAsia="ja-JP"/>
        </w:rPr>
        <w:t xml:space="preserve"> </w:t>
      </w:r>
      <w:r>
        <w:rPr>
          <w:lang w:eastAsia="ja-JP"/>
        </w:rPr>
        <w:t>autoimmune</w:t>
      </w:r>
      <w:r w:rsidR="000159A6">
        <w:rPr>
          <w:lang w:eastAsia="ja-JP"/>
        </w:rPr>
        <w:t xml:space="preserve"> </w:t>
      </w:r>
      <w:r>
        <w:rPr>
          <w:lang w:eastAsia="ja-JP"/>
        </w:rPr>
        <w:t>thyroiditis</w:t>
      </w:r>
      <w:r w:rsidR="000159A6">
        <w:rPr>
          <w:lang w:eastAsia="ja-JP"/>
        </w:rPr>
        <w:t xml:space="preserve"> </w:t>
      </w:r>
      <w:r>
        <w:rPr>
          <w:lang w:eastAsia="ja-JP"/>
        </w:rPr>
        <w:t>(13</w:t>
      </w:r>
      <w:r w:rsidR="000159A6">
        <w:rPr>
          <w:lang w:eastAsia="ja-JP"/>
        </w:rPr>
        <w:t xml:space="preserve"> </w:t>
      </w:r>
      <w:r>
        <w:rPr>
          <w:lang w:eastAsia="ja-JP"/>
        </w:rPr>
        <w:t>versus</w:t>
      </w:r>
      <w:r w:rsidR="000159A6">
        <w:rPr>
          <w:lang w:eastAsia="ja-JP"/>
        </w:rPr>
        <w:t xml:space="preserve"> </w:t>
      </w:r>
      <w:r>
        <w:rPr>
          <w:lang w:eastAsia="ja-JP"/>
        </w:rPr>
        <w:t>10</w:t>
      </w:r>
      <w:r w:rsidR="000159A6">
        <w:rPr>
          <w:lang w:eastAsia="ja-JP"/>
        </w:rPr>
        <w:t xml:space="preserve"> </w:t>
      </w:r>
      <w:r>
        <w:rPr>
          <w:lang w:eastAsia="ja-JP"/>
        </w:rPr>
        <w:t>subjects).</w:t>
      </w:r>
      <w:r w:rsidR="000159A6">
        <w:rPr>
          <w:lang w:eastAsia="ja-JP"/>
        </w:rPr>
        <w:t xml:space="preserve"> </w:t>
      </w:r>
      <w:r>
        <w:rPr>
          <w:lang w:eastAsia="ja-JP"/>
        </w:rPr>
        <w:t>The</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proofErr w:type="spellStart"/>
      <w:r>
        <w:rPr>
          <w:lang w:eastAsia="ja-JP"/>
        </w:rPr>
        <w:t>pIMDs</w:t>
      </w:r>
      <w:proofErr w:type="spellEnd"/>
      <w:r w:rsidR="000159A6">
        <w:rPr>
          <w:lang w:eastAsia="ja-JP"/>
        </w:rPr>
        <w:t xml:space="preserve"> </w:t>
      </w:r>
      <w:r>
        <w:rPr>
          <w:lang w:eastAsia="ja-JP"/>
        </w:rPr>
        <w:t>with</w:t>
      </w:r>
      <w:r w:rsidR="000159A6">
        <w:rPr>
          <w:lang w:eastAsia="ja-JP"/>
        </w:rPr>
        <w:t xml:space="preserve"> </w:t>
      </w:r>
      <w:r>
        <w:rPr>
          <w:lang w:eastAsia="ja-JP"/>
        </w:rPr>
        <w:t>an</w:t>
      </w:r>
      <w:r w:rsidR="000159A6">
        <w:rPr>
          <w:lang w:eastAsia="ja-JP"/>
        </w:rPr>
        <w:t xml:space="preserve"> </w:t>
      </w:r>
      <w:r>
        <w:rPr>
          <w:lang w:eastAsia="ja-JP"/>
        </w:rPr>
        <w:t>onset</w:t>
      </w:r>
      <w:r w:rsidR="000159A6">
        <w:rPr>
          <w:lang w:eastAsia="ja-JP"/>
        </w:rPr>
        <w:t xml:space="preserve"> </w:t>
      </w:r>
      <w:r>
        <w:rPr>
          <w:lang w:eastAsia="ja-JP"/>
        </w:rPr>
        <w:t>from</w:t>
      </w:r>
      <w:r w:rsidR="000159A6">
        <w:rPr>
          <w:lang w:eastAsia="ja-JP"/>
        </w:rPr>
        <w:t xml:space="preserve"> </w:t>
      </w:r>
      <w:r>
        <w:rPr>
          <w:lang w:eastAsia="ja-JP"/>
        </w:rPr>
        <w:t>the</w:t>
      </w:r>
      <w:r w:rsidR="000159A6">
        <w:rPr>
          <w:lang w:eastAsia="ja-JP"/>
        </w:rPr>
        <w:t xml:space="preserve"> </w:t>
      </w:r>
      <w:r>
        <w:rPr>
          <w:lang w:eastAsia="ja-JP"/>
        </w:rPr>
        <w:t>first</w:t>
      </w:r>
      <w:r w:rsidR="000159A6">
        <w:rPr>
          <w:lang w:eastAsia="ja-JP"/>
        </w:rPr>
        <w:t xml:space="preserve"> </w:t>
      </w:r>
      <w:r>
        <w:rPr>
          <w:lang w:eastAsia="ja-JP"/>
        </w:rPr>
        <w:t>vaccination</w:t>
      </w:r>
      <w:r w:rsidR="000159A6">
        <w:rPr>
          <w:lang w:eastAsia="ja-JP"/>
        </w:rPr>
        <w:t xml:space="preserve"> </w:t>
      </w:r>
      <w:r>
        <w:rPr>
          <w:lang w:eastAsia="ja-JP"/>
        </w:rPr>
        <w:t>to</w:t>
      </w:r>
      <w:r w:rsidR="000159A6">
        <w:rPr>
          <w:lang w:eastAsia="ja-JP"/>
        </w:rPr>
        <w:t xml:space="preserve"> </w:t>
      </w:r>
      <w:r>
        <w:rPr>
          <w:lang w:eastAsia="ja-JP"/>
        </w:rPr>
        <w:t>30</w:t>
      </w:r>
      <w:r w:rsidR="000159A6">
        <w:rPr>
          <w:lang w:eastAsia="ja-JP"/>
        </w:rPr>
        <w:t xml:space="preserve"> </w:t>
      </w:r>
      <w:r>
        <w:rPr>
          <w:lang w:eastAsia="ja-JP"/>
        </w:rPr>
        <w:t>days</w:t>
      </w:r>
      <w:r w:rsidR="000159A6">
        <w:rPr>
          <w:lang w:eastAsia="ja-JP"/>
        </w:rPr>
        <w:t xml:space="preserve"> </w:t>
      </w:r>
      <w:r>
        <w:rPr>
          <w:lang w:eastAsia="ja-JP"/>
        </w:rPr>
        <w:t>post</w:t>
      </w:r>
      <w:r w:rsidR="000159A6">
        <w:rPr>
          <w:lang w:eastAsia="ja-JP"/>
        </w:rPr>
        <w:t xml:space="preserve"> </w:t>
      </w:r>
      <w:r>
        <w:rPr>
          <w:lang w:eastAsia="ja-JP"/>
        </w:rPr>
        <w:t>last</w:t>
      </w:r>
      <w:r w:rsidR="000159A6">
        <w:rPr>
          <w:lang w:eastAsia="ja-JP"/>
        </w:rPr>
        <w:t xml:space="preserve"> </w:t>
      </w:r>
      <w:r>
        <w:rPr>
          <w:lang w:eastAsia="ja-JP"/>
        </w:rPr>
        <w:t>vaccination</w:t>
      </w:r>
      <w:r w:rsidR="000159A6">
        <w:rPr>
          <w:lang w:eastAsia="ja-JP"/>
        </w:rPr>
        <w:t xml:space="preserve"> </w:t>
      </w:r>
      <w:r>
        <w:rPr>
          <w:lang w:eastAsia="ja-JP"/>
        </w:rPr>
        <w:t>was</w:t>
      </w:r>
      <w:r w:rsidR="000159A6">
        <w:rPr>
          <w:lang w:eastAsia="ja-JP"/>
        </w:rPr>
        <w:t xml:space="preserve"> </w:t>
      </w:r>
      <w:r>
        <w:rPr>
          <w:lang w:eastAsia="ja-JP"/>
        </w:rPr>
        <w:t>0.2%</w:t>
      </w:r>
      <w:r w:rsidR="000159A6">
        <w:rPr>
          <w:lang w:eastAsia="ja-JP"/>
        </w:rPr>
        <w:t xml:space="preserve"> </w:t>
      </w:r>
      <w:r>
        <w:rPr>
          <w:lang w:eastAsia="ja-JP"/>
        </w:rPr>
        <w:t>in</w:t>
      </w:r>
      <w:r w:rsidR="000159A6">
        <w:rPr>
          <w:lang w:eastAsia="ja-JP"/>
        </w:rPr>
        <w:t xml:space="preserve"> </w:t>
      </w:r>
      <w:r>
        <w:rPr>
          <w:lang w:eastAsia="ja-JP"/>
        </w:rPr>
        <w:t>each</w:t>
      </w:r>
      <w:r w:rsidR="000159A6">
        <w:rPr>
          <w:lang w:eastAsia="ja-JP"/>
        </w:rPr>
        <w:t xml:space="preserve"> </w:t>
      </w:r>
      <w:r>
        <w:rPr>
          <w:lang w:eastAsia="ja-JP"/>
        </w:rPr>
        <w:t>group,</w:t>
      </w:r>
      <w:r w:rsidR="000159A6">
        <w:rPr>
          <w:lang w:eastAsia="ja-JP"/>
        </w:rPr>
        <w:t xml:space="preserve"> </w:t>
      </w:r>
      <w:r>
        <w:rPr>
          <w:lang w:eastAsia="ja-JP"/>
        </w:rPr>
        <w:t>and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period</w:t>
      </w:r>
      <w:r w:rsidR="000159A6">
        <w:rPr>
          <w:lang w:eastAsia="ja-JP"/>
        </w:rPr>
        <w:t xml:space="preserve"> </w:t>
      </w:r>
      <w:r>
        <w:rPr>
          <w:lang w:eastAsia="ja-JP"/>
        </w:rPr>
        <w:t>up</w:t>
      </w:r>
      <w:r w:rsidR="000159A6">
        <w:rPr>
          <w:lang w:eastAsia="ja-JP"/>
        </w:rPr>
        <w:t xml:space="preserve"> </w:t>
      </w:r>
      <w:r>
        <w:rPr>
          <w:lang w:eastAsia="ja-JP"/>
        </w:rPr>
        <w:t>to</w:t>
      </w:r>
      <w:r w:rsidR="000159A6">
        <w:rPr>
          <w:lang w:eastAsia="ja-JP"/>
        </w:rPr>
        <w:t xml:space="preserve"> </w:t>
      </w:r>
      <w:r>
        <w:rPr>
          <w:lang w:eastAsia="ja-JP"/>
        </w:rPr>
        <w:t>1</w:t>
      </w:r>
      <w:r w:rsidR="000159A6">
        <w:rPr>
          <w:lang w:eastAsia="ja-JP"/>
        </w:rPr>
        <w:t xml:space="preserve"> </w:t>
      </w:r>
      <w:r>
        <w:rPr>
          <w:lang w:eastAsia="ja-JP"/>
        </w:rPr>
        <w:t>year</w:t>
      </w:r>
      <w:r w:rsidR="000159A6">
        <w:rPr>
          <w:lang w:eastAsia="ja-JP"/>
        </w:rPr>
        <w:t xml:space="preserve"> </w:t>
      </w:r>
      <w:r>
        <w:rPr>
          <w:lang w:eastAsia="ja-JP"/>
        </w:rPr>
        <w:t>post</w:t>
      </w:r>
      <w:r w:rsidR="000159A6">
        <w:rPr>
          <w:lang w:eastAsia="ja-JP"/>
        </w:rPr>
        <w:t xml:space="preserve"> </w:t>
      </w:r>
      <w:r>
        <w:rPr>
          <w:lang w:eastAsia="ja-JP"/>
        </w:rPr>
        <w:t>last</w:t>
      </w:r>
      <w:r w:rsidR="000159A6">
        <w:rPr>
          <w:lang w:eastAsia="ja-JP"/>
        </w:rPr>
        <w:t xml:space="preserve"> </w:t>
      </w:r>
      <w:r>
        <w:rPr>
          <w:lang w:eastAsia="ja-JP"/>
        </w:rPr>
        <w:t>vaccination</w:t>
      </w:r>
      <w:r w:rsidR="000159A6">
        <w:rPr>
          <w:lang w:eastAsia="ja-JP"/>
        </w:rPr>
        <w:t xml:space="preserve"> </w:t>
      </w:r>
      <w:r>
        <w:rPr>
          <w:lang w:eastAsia="ja-JP"/>
        </w:rPr>
        <w:t>was</w:t>
      </w:r>
      <w:r w:rsidR="000159A6">
        <w:rPr>
          <w:lang w:eastAsia="ja-JP"/>
        </w:rPr>
        <w:t xml:space="preserve"> </w:t>
      </w:r>
      <w:r>
        <w:rPr>
          <w:lang w:eastAsia="ja-JP"/>
        </w:rPr>
        <w:t>0.6%</w:t>
      </w:r>
      <w:r w:rsidR="000159A6">
        <w:rPr>
          <w:lang w:eastAsia="ja-JP"/>
        </w:rPr>
        <w:t xml:space="preserve"> </w:t>
      </w:r>
      <w:r>
        <w:rPr>
          <w:lang w:eastAsia="ja-JP"/>
        </w:rPr>
        <w:t>and</w:t>
      </w:r>
      <w:r w:rsidR="000159A6">
        <w:rPr>
          <w:lang w:eastAsia="ja-JP"/>
        </w:rPr>
        <w:t xml:space="preserve"> </w:t>
      </w:r>
      <w:r>
        <w:rPr>
          <w:lang w:eastAsia="ja-JP"/>
        </w:rPr>
        <w:t>0.7%,</w:t>
      </w:r>
      <w:r w:rsidR="000159A6">
        <w:rPr>
          <w:lang w:eastAsia="ja-JP"/>
        </w:rPr>
        <w:t xml:space="preserve"> </w:t>
      </w:r>
      <w:r>
        <w:rPr>
          <w:lang w:eastAsia="ja-JP"/>
        </w:rPr>
        <w:t>respectively.</w:t>
      </w:r>
      <w:r w:rsidR="000159A6">
        <w:rPr>
          <w:lang w:eastAsia="ja-JP"/>
        </w:rPr>
        <w:t xml:space="preserve"> </w:t>
      </w:r>
      <w:r>
        <w:rPr>
          <w:lang w:eastAsia="ja-JP"/>
        </w:rPr>
        <w:t>The</w:t>
      </w:r>
      <w:r w:rsidR="000159A6">
        <w:rPr>
          <w:lang w:eastAsia="ja-JP"/>
        </w:rPr>
        <w:t xml:space="preserve"> </w:t>
      </w:r>
      <w:r>
        <w:rPr>
          <w:lang w:eastAsia="ja-JP"/>
        </w:rPr>
        <w:t>remainder</w:t>
      </w:r>
      <w:r w:rsidR="000159A6">
        <w:rPr>
          <w:lang w:eastAsia="ja-JP"/>
        </w:rPr>
        <w:t xml:space="preserve"> </w:t>
      </w:r>
      <w:r>
        <w:rPr>
          <w:lang w:eastAsia="ja-JP"/>
        </w:rPr>
        <w:t>(about</w:t>
      </w:r>
      <w:r w:rsidR="000159A6">
        <w:rPr>
          <w:lang w:eastAsia="ja-JP"/>
        </w:rPr>
        <w:t xml:space="preserve"> </w:t>
      </w:r>
      <w:r>
        <w:rPr>
          <w:lang w:eastAsia="ja-JP"/>
        </w:rPr>
        <w:t>half</w:t>
      </w:r>
      <w:r w:rsidR="000159A6">
        <w:rPr>
          <w:lang w:eastAsia="ja-JP"/>
        </w:rPr>
        <w:t xml:space="preserve"> </w:t>
      </w:r>
      <w:r>
        <w:rPr>
          <w:lang w:eastAsia="ja-JP"/>
        </w:rPr>
        <w:t>the</w:t>
      </w:r>
      <w:r w:rsidR="000159A6">
        <w:rPr>
          <w:lang w:eastAsia="ja-JP"/>
        </w:rPr>
        <w:t xml:space="preserve"> </w:t>
      </w:r>
      <w:r>
        <w:rPr>
          <w:lang w:eastAsia="ja-JP"/>
        </w:rPr>
        <w:t>cases</w:t>
      </w:r>
      <w:r w:rsidR="000159A6">
        <w:rPr>
          <w:lang w:eastAsia="ja-JP"/>
        </w:rPr>
        <w:t xml:space="preserve"> </w:t>
      </w:r>
      <w:r>
        <w:rPr>
          <w:lang w:eastAsia="ja-JP"/>
        </w:rPr>
        <w:t>of</w:t>
      </w:r>
      <w:r w:rsidR="000159A6">
        <w:rPr>
          <w:lang w:eastAsia="ja-JP"/>
        </w:rPr>
        <w:t xml:space="preserve"> </w:t>
      </w:r>
      <w:proofErr w:type="spellStart"/>
      <w:r>
        <w:rPr>
          <w:lang w:eastAsia="ja-JP"/>
        </w:rPr>
        <w:t>pIMDs</w:t>
      </w:r>
      <w:proofErr w:type="spellEnd"/>
      <w:r w:rsidR="000159A6">
        <w:rPr>
          <w:lang w:eastAsia="ja-JP"/>
        </w:rPr>
        <w:t xml:space="preserve"> </w:t>
      </w:r>
      <w:r>
        <w:rPr>
          <w:lang w:eastAsia="ja-JP"/>
        </w:rPr>
        <w:t>in</w:t>
      </w:r>
      <w:r w:rsidR="000159A6">
        <w:rPr>
          <w:lang w:eastAsia="ja-JP"/>
        </w:rPr>
        <w:t xml:space="preserve"> </w:t>
      </w:r>
      <w:r>
        <w:rPr>
          <w:lang w:eastAsia="ja-JP"/>
        </w:rPr>
        <w:t>each</w:t>
      </w:r>
      <w:r w:rsidR="000159A6">
        <w:rPr>
          <w:lang w:eastAsia="ja-JP"/>
        </w:rPr>
        <w:t xml:space="preserve"> </w:t>
      </w:r>
      <w:r>
        <w:rPr>
          <w:lang w:eastAsia="ja-JP"/>
        </w:rPr>
        <w:t>group)</w:t>
      </w:r>
      <w:r w:rsidR="000159A6">
        <w:rPr>
          <w:lang w:eastAsia="ja-JP"/>
        </w:rPr>
        <w:t xml:space="preserve"> </w:t>
      </w:r>
      <w:r>
        <w:rPr>
          <w:lang w:eastAsia="ja-JP"/>
        </w:rPr>
        <w:t>had</w:t>
      </w:r>
      <w:r w:rsidR="000159A6">
        <w:rPr>
          <w:lang w:eastAsia="ja-JP"/>
        </w:rPr>
        <w:t xml:space="preserve"> </w:t>
      </w:r>
      <w:r>
        <w:rPr>
          <w:lang w:eastAsia="ja-JP"/>
        </w:rPr>
        <w:t>an</w:t>
      </w:r>
      <w:r w:rsidR="000159A6">
        <w:rPr>
          <w:lang w:eastAsia="ja-JP"/>
        </w:rPr>
        <w:t xml:space="preserve"> </w:t>
      </w:r>
      <w:r>
        <w:rPr>
          <w:lang w:eastAsia="ja-JP"/>
        </w:rPr>
        <w:t>onset</w:t>
      </w:r>
      <w:r w:rsidR="000159A6">
        <w:rPr>
          <w:lang w:eastAsia="ja-JP"/>
        </w:rPr>
        <w:t xml:space="preserve"> </w:t>
      </w:r>
      <w:r>
        <w:rPr>
          <w:lang w:eastAsia="ja-JP"/>
        </w:rPr>
        <w:t>over</w:t>
      </w:r>
      <w:r w:rsidR="000159A6">
        <w:rPr>
          <w:lang w:eastAsia="ja-JP"/>
        </w:rPr>
        <w:t xml:space="preserve"> </w:t>
      </w:r>
      <w:r>
        <w:rPr>
          <w:lang w:eastAsia="ja-JP"/>
        </w:rPr>
        <w:t>1</w:t>
      </w:r>
      <w:r w:rsidR="000159A6">
        <w:rPr>
          <w:lang w:eastAsia="ja-JP"/>
        </w:rPr>
        <w:t xml:space="preserve"> </w:t>
      </w:r>
      <w:r>
        <w:rPr>
          <w:lang w:eastAsia="ja-JP"/>
        </w:rPr>
        <w:t>year</w:t>
      </w:r>
      <w:r w:rsidR="000159A6">
        <w:rPr>
          <w:lang w:eastAsia="ja-JP"/>
        </w:rPr>
        <w:t xml:space="preserve"> </w:t>
      </w:r>
      <w:r>
        <w:rPr>
          <w:lang w:eastAsia="ja-JP"/>
        </w:rPr>
        <w:t>post</w:t>
      </w:r>
      <w:r w:rsidR="000159A6">
        <w:rPr>
          <w:lang w:eastAsia="ja-JP"/>
        </w:rPr>
        <w:t xml:space="preserve"> </w:t>
      </w:r>
      <w:r>
        <w:rPr>
          <w:lang w:eastAsia="ja-JP"/>
        </w:rPr>
        <w:t>vaccination.</w:t>
      </w:r>
    </w:p>
    <w:p w14:paraId="159976A3" w14:textId="0F136624" w:rsidR="0091081C" w:rsidRDefault="0091081C" w:rsidP="00541F41">
      <w:pPr>
        <w:rPr>
          <w:lang w:eastAsia="ja-JP"/>
        </w:rPr>
      </w:pPr>
      <w:r>
        <w:rPr>
          <w:lang w:eastAsia="ja-JP"/>
        </w:rPr>
        <w:t>Treatment</w:t>
      </w:r>
      <w:r w:rsidR="000159A6">
        <w:rPr>
          <w:lang w:eastAsia="ja-JP"/>
        </w:rPr>
        <w:t xml:space="preserve"> </w:t>
      </w:r>
      <w:r>
        <w:rPr>
          <w:lang w:eastAsia="ja-JP"/>
        </w:rPr>
        <w:t>related</w:t>
      </w:r>
      <w:r w:rsidR="000159A6">
        <w:rPr>
          <w:lang w:eastAsia="ja-JP"/>
        </w:rPr>
        <w:t xml:space="preserve"> </w:t>
      </w:r>
      <w:proofErr w:type="spellStart"/>
      <w:r>
        <w:rPr>
          <w:lang w:eastAsia="ja-JP"/>
        </w:rPr>
        <w:t>pIMDs</w:t>
      </w:r>
      <w:proofErr w:type="spellEnd"/>
      <w:r w:rsidR="000159A6">
        <w:rPr>
          <w:lang w:eastAsia="ja-JP"/>
        </w:rPr>
        <w:t xml:space="preserve"> </w:t>
      </w:r>
      <w:r>
        <w:rPr>
          <w:lang w:eastAsia="ja-JP"/>
        </w:rPr>
        <w:t>were</w:t>
      </w:r>
      <w:r w:rsidR="000159A6">
        <w:rPr>
          <w:lang w:eastAsia="ja-JP"/>
        </w:rPr>
        <w:t xml:space="preserve"> </w:t>
      </w:r>
      <w:r>
        <w:rPr>
          <w:lang w:eastAsia="ja-JP"/>
        </w:rPr>
        <w:t>reported</w:t>
      </w:r>
      <w:r w:rsidR="000159A6">
        <w:rPr>
          <w:lang w:eastAsia="ja-JP"/>
        </w:rPr>
        <w:t xml:space="preserve"> </w:t>
      </w:r>
      <w:r>
        <w:rPr>
          <w:lang w:eastAsia="ja-JP"/>
        </w:rPr>
        <w:t>in</w:t>
      </w:r>
      <w:r w:rsidR="000159A6">
        <w:rPr>
          <w:lang w:eastAsia="ja-JP"/>
        </w:rPr>
        <w:t xml:space="preserve"> </w:t>
      </w:r>
      <w:r>
        <w:rPr>
          <w:lang w:eastAsia="ja-JP"/>
        </w:rPr>
        <w:t>0.1%</w:t>
      </w:r>
      <w:r w:rsidR="000159A6">
        <w:rPr>
          <w:lang w:eastAsia="ja-JP"/>
        </w:rPr>
        <w:t xml:space="preserve"> </w:t>
      </w:r>
      <w:r>
        <w:rPr>
          <w:lang w:eastAsia="ja-JP"/>
        </w:rPr>
        <w:t>of</w:t>
      </w:r>
      <w:r w:rsidR="000159A6">
        <w:rPr>
          <w:lang w:eastAsia="ja-JP"/>
        </w:rPr>
        <w:t xml:space="preserve"> </w:t>
      </w:r>
      <w:r>
        <w:rPr>
          <w:lang w:eastAsia="ja-JP"/>
        </w:rPr>
        <w:t>each</w:t>
      </w:r>
      <w:r w:rsidR="000159A6">
        <w:rPr>
          <w:lang w:eastAsia="ja-JP"/>
        </w:rPr>
        <w:t xml:space="preserve"> </w:t>
      </w:r>
      <w:r>
        <w:rPr>
          <w:lang w:eastAsia="ja-JP"/>
        </w:rPr>
        <w:t>treatment</w:t>
      </w:r>
      <w:r w:rsidR="000159A6">
        <w:rPr>
          <w:lang w:eastAsia="ja-JP"/>
        </w:rPr>
        <w:t xml:space="preserve"> </w:t>
      </w:r>
      <w:r>
        <w:rPr>
          <w:lang w:eastAsia="ja-JP"/>
        </w:rPr>
        <w:t>group.</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notable</w:t>
      </w:r>
      <w:r w:rsidR="000159A6">
        <w:rPr>
          <w:lang w:eastAsia="ja-JP"/>
        </w:rPr>
        <w:t xml:space="preserve"> </w:t>
      </w:r>
      <w:r>
        <w:rPr>
          <w:lang w:eastAsia="ja-JP"/>
        </w:rPr>
        <w:t>differences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proofErr w:type="spellStart"/>
      <w:r>
        <w:rPr>
          <w:lang w:eastAsia="ja-JP"/>
        </w:rPr>
        <w:t>pIMDs</w:t>
      </w:r>
      <w:proofErr w:type="spellEnd"/>
      <w:r w:rsidR="000159A6">
        <w:rPr>
          <w:lang w:eastAsia="ja-JP"/>
        </w:rPr>
        <w:t xml:space="preserve"> </w:t>
      </w:r>
      <w:r>
        <w:rPr>
          <w:lang w:eastAsia="ja-JP"/>
        </w:rPr>
        <w:t>by</w:t>
      </w:r>
      <w:r w:rsidR="000159A6">
        <w:rPr>
          <w:lang w:eastAsia="ja-JP"/>
        </w:rPr>
        <w:t xml:space="preserve"> </w:t>
      </w:r>
      <w:r>
        <w:rPr>
          <w:lang w:eastAsia="ja-JP"/>
        </w:rPr>
        <w:t>age</w:t>
      </w:r>
      <w:r w:rsidR="000159A6">
        <w:rPr>
          <w:lang w:eastAsia="ja-JP"/>
        </w:rPr>
        <w:t xml:space="preserve"> </w:t>
      </w:r>
      <w:r>
        <w:rPr>
          <w:lang w:eastAsia="ja-JP"/>
        </w:rPr>
        <w:t>group</w:t>
      </w:r>
      <w:r w:rsidR="000159A6">
        <w:rPr>
          <w:lang w:eastAsia="ja-JP"/>
        </w:rPr>
        <w:t xml:space="preserve"> </w:t>
      </w:r>
      <w:r>
        <w:rPr>
          <w:lang w:eastAsia="ja-JP"/>
        </w:rPr>
        <w:t>(1.2%</w:t>
      </w:r>
      <w:r w:rsidR="000159A6">
        <w:rPr>
          <w:lang w:eastAsia="ja-JP"/>
        </w:rPr>
        <w:t xml:space="preserve"> </w:t>
      </w:r>
      <w:r>
        <w:rPr>
          <w:lang w:eastAsia="ja-JP"/>
        </w:rPr>
        <w:t>versus</w:t>
      </w:r>
      <w:r w:rsidR="000159A6">
        <w:rPr>
          <w:lang w:eastAsia="ja-JP"/>
        </w:rPr>
        <w:t xml:space="preserve"> </w:t>
      </w:r>
      <w:r>
        <w:rPr>
          <w:lang w:eastAsia="ja-JP"/>
        </w:rPr>
        <w:t>1.4%</w:t>
      </w:r>
      <w:r w:rsidR="000159A6">
        <w:rPr>
          <w:lang w:eastAsia="ja-JP"/>
        </w:rPr>
        <w:t xml:space="preserve"> </w:t>
      </w:r>
      <w:r>
        <w:rPr>
          <w:lang w:eastAsia="ja-JP"/>
        </w:rPr>
        <w:t>in</w:t>
      </w:r>
      <w:r w:rsidR="000159A6">
        <w:rPr>
          <w:lang w:eastAsia="ja-JP"/>
        </w:rPr>
        <w:t xml:space="preserve"> </w:t>
      </w:r>
      <w:r>
        <w:rPr>
          <w:lang w:eastAsia="ja-JP"/>
        </w:rPr>
        <w:t>50</w:t>
      </w:r>
      <w:r w:rsidR="000159A6">
        <w:rPr>
          <w:lang w:eastAsia="ja-JP"/>
        </w:rPr>
        <w:t xml:space="preserve"> </w:t>
      </w:r>
      <w:r>
        <w:rPr>
          <w:lang w:eastAsia="ja-JP"/>
        </w:rPr>
        <w:t>to</w:t>
      </w:r>
      <w:r w:rsidR="000159A6">
        <w:rPr>
          <w:lang w:eastAsia="ja-JP"/>
        </w:rPr>
        <w:t xml:space="preserve"> </w:t>
      </w:r>
      <w:r>
        <w:rPr>
          <w:lang w:eastAsia="ja-JP"/>
        </w:rPr>
        <w:t>69</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and</w:t>
      </w:r>
      <w:r w:rsidR="000159A6">
        <w:rPr>
          <w:lang w:eastAsia="ja-JP"/>
        </w:rPr>
        <w:t xml:space="preserve"> </w:t>
      </w:r>
      <w:r>
        <w:rPr>
          <w:lang w:eastAsia="ja-JP"/>
        </w:rPr>
        <w:t>1.3%</w:t>
      </w:r>
      <w:r w:rsidR="000159A6">
        <w:rPr>
          <w:lang w:eastAsia="ja-JP"/>
        </w:rPr>
        <w:t xml:space="preserve"> </w:t>
      </w:r>
      <w:r>
        <w:rPr>
          <w:lang w:eastAsia="ja-JP"/>
        </w:rPr>
        <w:t>in</w:t>
      </w:r>
      <w:r w:rsidR="000159A6">
        <w:rPr>
          <w:lang w:eastAsia="ja-JP"/>
        </w:rPr>
        <w:t xml:space="preserve"> </w:t>
      </w:r>
      <w:r>
        <w:rPr>
          <w:lang w:eastAsia="ja-JP"/>
        </w:rPr>
        <w:t>both</w:t>
      </w:r>
      <w:r w:rsidR="000159A6">
        <w:rPr>
          <w:lang w:eastAsia="ja-JP"/>
        </w:rPr>
        <w:t xml:space="preserve"> </w:t>
      </w:r>
      <w:r>
        <w:rPr>
          <w:lang w:eastAsia="ja-JP"/>
        </w:rPr>
        <w:t>groups</w:t>
      </w:r>
      <w:r w:rsidR="000159A6">
        <w:rPr>
          <w:lang w:eastAsia="ja-JP"/>
        </w:rPr>
        <w:t xml:space="preserve"> </w:t>
      </w:r>
      <w:r>
        <w:rPr>
          <w:lang w:eastAsia="ja-JP"/>
        </w:rPr>
        <w:t>in</w:t>
      </w:r>
      <w:r w:rsidR="000159A6">
        <w:rPr>
          <w:lang w:eastAsia="ja-JP"/>
        </w:rPr>
        <w:t xml:space="preserve"> </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p>
    <w:p w14:paraId="538D9A0E" w14:textId="1E5A7466" w:rsidR="0091081C" w:rsidRDefault="0091081C" w:rsidP="00C049B7">
      <w:r>
        <w:t>There</w:t>
      </w:r>
      <w:r w:rsidR="000159A6">
        <w:t xml:space="preserve"> </w:t>
      </w:r>
      <w:r>
        <w:t>was</w:t>
      </w:r>
      <w:r w:rsidR="000159A6">
        <w:t xml:space="preserve"> </w:t>
      </w:r>
      <w:r>
        <w:t>no</w:t>
      </w:r>
      <w:r w:rsidR="000159A6">
        <w:t xml:space="preserve"> </w:t>
      </w:r>
      <w:r>
        <w:t>evident</w:t>
      </w:r>
      <w:r w:rsidR="000159A6">
        <w:t xml:space="preserve"> </w:t>
      </w:r>
      <w:r>
        <w:t>imbalance</w:t>
      </w:r>
      <w:r w:rsidR="000159A6">
        <w:t xml:space="preserve"> </w:t>
      </w:r>
      <w:r>
        <w:t>in</w:t>
      </w:r>
      <w:r w:rsidR="000159A6">
        <w:t xml:space="preserve"> </w:t>
      </w:r>
      <w:r>
        <w:t>the</w:t>
      </w:r>
      <w:r w:rsidR="000159A6">
        <w:t xml:space="preserve"> </w:t>
      </w:r>
      <w:r>
        <w:t>occurrence</w:t>
      </w:r>
      <w:r w:rsidR="000159A6">
        <w:t xml:space="preserve"> </w:t>
      </w:r>
      <w:r>
        <w:t>of</w:t>
      </w:r>
      <w:r w:rsidR="000159A6">
        <w:t xml:space="preserve"> </w:t>
      </w:r>
      <w:proofErr w:type="spellStart"/>
      <w:r>
        <w:t>pIMDs</w:t>
      </w:r>
      <w:proofErr w:type="spellEnd"/>
      <w:r w:rsidR="000159A6">
        <w:t xml:space="preserve"> </w:t>
      </w:r>
      <w:r>
        <w:t>between</w:t>
      </w:r>
      <w:r w:rsidR="000159A6">
        <w:t xml:space="preserve"> </w:t>
      </w:r>
      <w:r>
        <w:t>the</w:t>
      </w:r>
      <w:r w:rsidR="000159A6">
        <w:t xml:space="preserve"> </w:t>
      </w:r>
      <w:r>
        <w:t>vaccine</w:t>
      </w:r>
      <w:r w:rsidR="000159A6">
        <w:t xml:space="preserve"> </w:t>
      </w:r>
      <w:r>
        <w:t>and</w:t>
      </w:r>
      <w:r w:rsidR="000159A6">
        <w:t xml:space="preserve"> </w:t>
      </w:r>
      <w:r>
        <w:t>placebo</w:t>
      </w:r>
      <w:r w:rsidR="000159A6">
        <w:t xml:space="preserve"> </w:t>
      </w:r>
      <w:r>
        <w:t>groups.</w:t>
      </w:r>
    </w:p>
    <w:p w14:paraId="7CBEC337" w14:textId="6D558D50" w:rsidR="0091081C" w:rsidRPr="00C95B23" w:rsidRDefault="0091081C" w:rsidP="00541F41">
      <w:pPr>
        <w:pStyle w:val="Heading6"/>
      </w:pPr>
      <w:bookmarkStart w:id="151" w:name="_Toc507578049"/>
      <w:r w:rsidRPr="00C95B23">
        <w:t>Broader</w:t>
      </w:r>
      <w:r w:rsidR="000159A6" w:rsidRPr="00C95B23">
        <w:t xml:space="preserve"> </w:t>
      </w:r>
      <w:r w:rsidRPr="00541F41">
        <w:t>safety</w:t>
      </w:r>
      <w:r w:rsidR="000159A6" w:rsidRPr="00C95B23">
        <w:t xml:space="preserve"> </w:t>
      </w:r>
      <w:r w:rsidRPr="00C95B23">
        <w:t>pool</w:t>
      </w:r>
      <w:bookmarkEnd w:id="151"/>
    </w:p>
    <w:p w14:paraId="1142330F" w14:textId="668C5050" w:rsidR="0091081C" w:rsidRDefault="0091081C" w:rsidP="00541F41">
      <w:pPr>
        <w:rPr>
          <w:lang w:eastAsia="ja-JP"/>
        </w:rPr>
      </w:pPr>
      <w:r>
        <w:rPr>
          <w:lang w:eastAsia="ja-JP"/>
        </w:rPr>
        <w:t>In</w:t>
      </w:r>
      <w:r w:rsidR="000159A6">
        <w:rPr>
          <w:lang w:eastAsia="ja-JP"/>
        </w:rPr>
        <w:t xml:space="preserve"> </w:t>
      </w:r>
      <w:r>
        <w:rPr>
          <w:lang w:eastAsia="ja-JP"/>
        </w:rPr>
        <w:t>the</w:t>
      </w:r>
      <w:r w:rsidR="000159A6">
        <w:rPr>
          <w:lang w:eastAsia="ja-JP"/>
        </w:rPr>
        <w:t xml:space="preserve"> </w:t>
      </w:r>
      <w:r>
        <w:rPr>
          <w:lang w:eastAsia="ja-JP"/>
        </w:rPr>
        <w:t>broader</w:t>
      </w:r>
      <w:r w:rsidR="000159A6">
        <w:rPr>
          <w:lang w:eastAsia="ja-JP"/>
        </w:rPr>
        <w:t xml:space="preserve"> </w:t>
      </w:r>
      <w:r>
        <w:rPr>
          <w:lang w:eastAsia="ja-JP"/>
        </w:rPr>
        <w:t>safety</w:t>
      </w:r>
      <w:r w:rsidR="000159A6">
        <w:rPr>
          <w:lang w:eastAsia="ja-JP"/>
        </w:rPr>
        <w:t xml:space="preserve"> </w:t>
      </w:r>
      <w:r>
        <w:rPr>
          <w:lang w:eastAsia="ja-JP"/>
        </w:rPr>
        <w:t>pool,</w:t>
      </w:r>
      <w:r w:rsidR="000159A6">
        <w:rPr>
          <w:lang w:eastAsia="ja-JP"/>
        </w:rPr>
        <w:t xml:space="preserve"> </w:t>
      </w:r>
      <w:r>
        <w:rPr>
          <w:lang w:eastAsia="ja-JP"/>
        </w:rPr>
        <w:t>the</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proofErr w:type="spellStart"/>
      <w:r>
        <w:rPr>
          <w:lang w:eastAsia="ja-JP"/>
        </w:rPr>
        <w:t>pIMDs</w:t>
      </w:r>
      <w:proofErr w:type="spellEnd"/>
      <w:r w:rsidR="000159A6">
        <w:rPr>
          <w:lang w:eastAsia="ja-JP"/>
        </w:rPr>
        <w:t xml:space="preserve"> </w:t>
      </w:r>
      <w:r>
        <w:rPr>
          <w:lang w:eastAsia="ja-JP"/>
        </w:rPr>
        <w:t>during</w:t>
      </w:r>
      <w:r w:rsidR="000159A6">
        <w:rPr>
          <w:lang w:eastAsia="ja-JP"/>
        </w:rPr>
        <w:t xml:space="preserve"> </w:t>
      </w:r>
      <w:r>
        <w:rPr>
          <w:lang w:eastAsia="ja-JP"/>
        </w:rPr>
        <w:t>the</w:t>
      </w:r>
      <w:r w:rsidR="000159A6">
        <w:rPr>
          <w:lang w:eastAsia="ja-JP"/>
        </w:rPr>
        <w:t xml:space="preserve"> </w:t>
      </w:r>
      <w:r>
        <w:rPr>
          <w:lang w:eastAsia="ja-JP"/>
        </w:rPr>
        <w:t>whole</w:t>
      </w:r>
      <w:r w:rsidR="000159A6">
        <w:rPr>
          <w:lang w:eastAsia="ja-JP"/>
        </w:rPr>
        <w:t xml:space="preserve"> </w:t>
      </w:r>
      <w:r>
        <w:rPr>
          <w:lang w:eastAsia="ja-JP"/>
        </w:rPr>
        <w:t>follow</w:t>
      </w:r>
      <w:r w:rsidR="000159A6">
        <w:rPr>
          <w:lang w:eastAsia="ja-JP"/>
        </w:rPr>
        <w:t xml:space="preserve"> </w:t>
      </w:r>
      <w:r>
        <w:rPr>
          <w:lang w:eastAsia="ja-JP"/>
        </w:rPr>
        <w:t>up</w:t>
      </w:r>
      <w:r w:rsidR="000159A6">
        <w:rPr>
          <w:lang w:eastAsia="ja-JP"/>
        </w:rPr>
        <w:t xml:space="preserve"> </w:t>
      </w:r>
      <w:r>
        <w:rPr>
          <w:lang w:eastAsia="ja-JP"/>
        </w:rPr>
        <w:t>period</w:t>
      </w:r>
      <w:r w:rsidR="000159A6">
        <w:rPr>
          <w:lang w:eastAsia="ja-JP"/>
        </w:rPr>
        <w:t xml:space="preserve"> </w:t>
      </w:r>
      <w:r>
        <w:rPr>
          <w:lang w:eastAsia="ja-JP"/>
        </w:rPr>
        <w:t>was</w:t>
      </w:r>
      <w:r w:rsidR="000159A6">
        <w:rPr>
          <w:lang w:eastAsia="ja-JP"/>
        </w:rPr>
        <w:t xml:space="preserve"> </w:t>
      </w:r>
      <w:r>
        <w:rPr>
          <w:lang w:eastAsia="ja-JP"/>
        </w:rPr>
        <w:t>1.2%.</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five</w:t>
      </w:r>
      <w:r w:rsidR="000159A6">
        <w:rPr>
          <w:lang w:eastAsia="ja-JP"/>
        </w:rPr>
        <w:t xml:space="preserve"> </w:t>
      </w:r>
      <w:r>
        <w:rPr>
          <w:lang w:eastAsia="ja-JP"/>
        </w:rPr>
        <w:t>additional</w:t>
      </w:r>
      <w:r w:rsidR="000159A6">
        <w:rPr>
          <w:lang w:eastAsia="ja-JP"/>
        </w:rPr>
        <w:t xml:space="preserve"> </w:t>
      </w:r>
      <w:r>
        <w:rPr>
          <w:lang w:eastAsia="ja-JP"/>
        </w:rPr>
        <w:t>subjects</w:t>
      </w:r>
      <w:r w:rsidR="000159A6">
        <w:rPr>
          <w:lang w:eastAsia="ja-JP"/>
        </w:rPr>
        <w:t xml:space="preserve"> </w:t>
      </w:r>
      <w:r>
        <w:rPr>
          <w:lang w:eastAsia="ja-JP"/>
        </w:rPr>
        <w:t>with</w:t>
      </w:r>
      <w:r w:rsidR="000159A6">
        <w:rPr>
          <w:lang w:eastAsia="ja-JP"/>
        </w:rPr>
        <w:t xml:space="preserve"> </w:t>
      </w:r>
      <w:r>
        <w:rPr>
          <w:lang w:eastAsia="ja-JP"/>
        </w:rPr>
        <w:t>a</w:t>
      </w:r>
      <w:r w:rsidR="000159A6">
        <w:rPr>
          <w:lang w:eastAsia="ja-JP"/>
        </w:rPr>
        <w:t xml:space="preserve"> </w:t>
      </w:r>
      <w:proofErr w:type="spellStart"/>
      <w:r>
        <w:rPr>
          <w:lang w:eastAsia="ja-JP"/>
        </w:rPr>
        <w:t>pIMD</w:t>
      </w:r>
      <w:proofErr w:type="spellEnd"/>
      <w:r w:rsidR="000159A6">
        <w:rPr>
          <w:lang w:eastAsia="ja-JP"/>
        </w:rPr>
        <w:t xml:space="preserve"> </w:t>
      </w:r>
      <w:r>
        <w:rPr>
          <w:lang w:eastAsia="ja-JP"/>
        </w:rPr>
        <w:t>and</w:t>
      </w:r>
      <w:r w:rsidR="000159A6">
        <w:rPr>
          <w:lang w:eastAsia="ja-JP"/>
        </w:rPr>
        <w:t xml:space="preserve"> </w:t>
      </w:r>
      <w:r>
        <w:rPr>
          <w:lang w:eastAsia="ja-JP"/>
        </w:rPr>
        <w:t>none</w:t>
      </w:r>
      <w:r w:rsidR="000159A6">
        <w:rPr>
          <w:lang w:eastAsia="ja-JP"/>
        </w:rPr>
        <w:t xml:space="preserve"> </w:t>
      </w:r>
      <w:r>
        <w:rPr>
          <w:lang w:eastAsia="ja-JP"/>
        </w:rPr>
        <w:t>were</w:t>
      </w:r>
      <w:r w:rsidR="000159A6">
        <w:rPr>
          <w:lang w:eastAsia="ja-JP"/>
        </w:rPr>
        <w:t xml:space="preserve"> </w:t>
      </w:r>
      <w:r>
        <w:rPr>
          <w:lang w:eastAsia="ja-JP"/>
        </w:rPr>
        <w:t>considered</w:t>
      </w:r>
      <w:r w:rsidR="000159A6">
        <w:rPr>
          <w:lang w:eastAsia="ja-JP"/>
        </w:rPr>
        <w:t xml:space="preserve"> </w:t>
      </w:r>
      <w:r>
        <w:rPr>
          <w:lang w:eastAsia="ja-JP"/>
        </w:rPr>
        <w:t>treatment</w:t>
      </w:r>
      <w:r w:rsidR="000159A6">
        <w:rPr>
          <w:lang w:eastAsia="ja-JP"/>
        </w:rPr>
        <w:t xml:space="preserve"> </w:t>
      </w:r>
      <w:r>
        <w:rPr>
          <w:lang w:eastAsia="ja-JP"/>
        </w:rPr>
        <w:t>related.</w:t>
      </w:r>
    </w:p>
    <w:p w14:paraId="28267C3F" w14:textId="77777777" w:rsidR="0091081C" w:rsidRPr="00C95B23" w:rsidRDefault="0091081C" w:rsidP="00C95B23">
      <w:pPr>
        <w:pStyle w:val="Heading5"/>
      </w:pPr>
      <w:bookmarkStart w:id="152" w:name="_Toc507578050"/>
      <w:r w:rsidRPr="00C95B23">
        <w:lastRenderedPageBreak/>
        <w:t>Hypersensitivity</w:t>
      </w:r>
      <w:bookmarkEnd w:id="152"/>
    </w:p>
    <w:p w14:paraId="132EC630" w14:textId="3E25CA72" w:rsidR="0091081C" w:rsidRPr="00C95B23" w:rsidRDefault="0091081C" w:rsidP="00541F41">
      <w:pPr>
        <w:pStyle w:val="Heading6"/>
      </w:pPr>
      <w:bookmarkStart w:id="153" w:name="_Toc507578051"/>
      <w:r w:rsidRPr="00C95B23">
        <w:t>Main</w:t>
      </w:r>
      <w:r w:rsidR="000159A6" w:rsidRPr="00C95B23">
        <w:t xml:space="preserve"> </w:t>
      </w:r>
      <w:r w:rsidRPr="00541F41">
        <w:t>safety</w:t>
      </w:r>
      <w:r w:rsidR="000159A6" w:rsidRPr="00C95B23">
        <w:t xml:space="preserve"> </w:t>
      </w:r>
      <w:r w:rsidRPr="00C95B23">
        <w:t>pool</w:t>
      </w:r>
      <w:bookmarkEnd w:id="153"/>
    </w:p>
    <w:p w14:paraId="67ED1517" w14:textId="768EB927" w:rsidR="0091081C" w:rsidRDefault="0091081C" w:rsidP="00541F41">
      <w:pPr>
        <w:rPr>
          <w:lang w:eastAsia="ja-JP"/>
        </w:rPr>
      </w:pPr>
      <w:r>
        <w:rPr>
          <w:lang w:eastAsia="ja-JP"/>
        </w:rPr>
        <w:t>Using</w:t>
      </w:r>
      <w:r w:rsidR="000159A6">
        <w:rPr>
          <w:lang w:eastAsia="ja-JP"/>
        </w:rPr>
        <w:t xml:space="preserve"> </w:t>
      </w:r>
      <w:r>
        <w:rPr>
          <w:lang w:eastAsia="ja-JP"/>
        </w:rPr>
        <w:t>the</w:t>
      </w:r>
      <w:r w:rsidR="000159A6">
        <w:rPr>
          <w:lang w:eastAsia="ja-JP"/>
        </w:rPr>
        <w:t xml:space="preserve"> </w:t>
      </w:r>
      <w:r w:rsidR="00D51914">
        <w:t>Standardised</w:t>
      </w:r>
      <w:r w:rsidR="000159A6">
        <w:t xml:space="preserve"> </w:t>
      </w:r>
      <w:proofErr w:type="spellStart"/>
      <w:r w:rsidR="00D51914">
        <w:t>MedDRA</w:t>
      </w:r>
      <w:proofErr w:type="spellEnd"/>
      <w:r w:rsidR="000159A6">
        <w:t xml:space="preserve"> </w:t>
      </w:r>
      <w:r w:rsidR="00D51914">
        <w:t>Query</w:t>
      </w:r>
      <w:r w:rsidR="000159A6">
        <w:rPr>
          <w:lang w:eastAsia="ja-JP"/>
        </w:rPr>
        <w:t xml:space="preserve"> </w:t>
      </w:r>
      <w:r w:rsidR="00D51914">
        <w:rPr>
          <w:lang w:eastAsia="ja-JP"/>
        </w:rPr>
        <w:t>(</w:t>
      </w:r>
      <w:r>
        <w:rPr>
          <w:lang w:eastAsia="ja-JP"/>
        </w:rPr>
        <w:t>SMQ</w:t>
      </w:r>
      <w:r w:rsidR="00D51914">
        <w:rPr>
          <w:lang w:eastAsia="ja-JP"/>
        </w:rPr>
        <w:t>)</w:t>
      </w:r>
      <w:r w:rsidR="000159A6">
        <w:rPr>
          <w:lang w:eastAsia="ja-JP"/>
        </w:rPr>
        <w:t xml:space="preserve"> </w:t>
      </w:r>
      <w:r>
        <w:rPr>
          <w:lang w:eastAsia="ja-JP"/>
        </w:rPr>
        <w:t>‘hypersensitivity</w:t>
      </w:r>
      <w:r w:rsidR="000159A6">
        <w:rPr>
          <w:lang w:eastAsia="ja-JP"/>
        </w:rPr>
        <w:t xml:space="preserve"> </w:t>
      </w:r>
      <w:r>
        <w:rPr>
          <w:lang w:eastAsia="ja-JP"/>
        </w:rPr>
        <w:t>narrow’,</w:t>
      </w:r>
      <w:r w:rsidR="000159A6">
        <w:rPr>
          <w:lang w:eastAsia="ja-JP"/>
        </w:rPr>
        <w:t xml:space="preserve"> </w:t>
      </w:r>
      <w:r>
        <w:rPr>
          <w:lang w:eastAsia="ja-JP"/>
        </w:rPr>
        <w:t>the</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r>
        <w:rPr>
          <w:lang w:eastAsia="ja-JP"/>
        </w:rPr>
        <w:t>such</w:t>
      </w:r>
      <w:r w:rsidR="000159A6">
        <w:rPr>
          <w:lang w:eastAsia="ja-JP"/>
        </w:rPr>
        <w:t xml:space="preserve"> </w:t>
      </w:r>
      <w:r>
        <w:rPr>
          <w:lang w:eastAsia="ja-JP"/>
        </w:rPr>
        <w:t>AEs</w:t>
      </w:r>
      <w:r w:rsidR="000159A6">
        <w:rPr>
          <w:lang w:eastAsia="ja-JP"/>
        </w:rPr>
        <w:t xml:space="preserve"> </w:t>
      </w:r>
      <w:r>
        <w:rPr>
          <w:lang w:eastAsia="ja-JP"/>
        </w:rPr>
        <w:t>was</w:t>
      </w:r>
      <w:r w:rsidR="000159A6">
        <w:rPr>
          <w:lang w:eastAsia="ja-JP"/>
        </w:rPr>
        <w:t xml:space="preserve"> </w:t>
      </w:r>
      <w:r>
        <w:rPr>
          <w:lang w:eastAsia="ja-JP"/>
        </w:rPr>
        <w:t>2.6%</w:t>
      </w:r>
      <w:r w:rsidR="000159A6">
        <w:rPr>
          <w:lang w:eastAsia="ja-JP"/>
        </w:rPr>
        <w:t xml:space="preserve"> </w:t>
      </w:r>
      <w:r>
        <w:rPr>
          <w:lang w:eastAsia="ja-JP"/>
        </w:rPr>
        <w:t>and</w:t>
      </w:r>
      <w:r w:rsidR="000159A6">
        <w:rPr>
          <w:lang w:eastAsia="ja-JP"/>
        </w:rPr>
        <w:t xml:space="preserve"> </w:t>
      </w:r>
      <w:r>
        <w:rPr>
          <w:lang w:eastAsia="ja-JP"/>
        </w:rPr>
        <w:t>2.4%</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and</w:t>
      </w:r>
      <w:r w:rsidR="000159A6">
        <w:rPr>
          <w:lang w:eastAsia="ja-JP"/>
        </w:rPr>
        <w:t xml:space="preserve"> </w:t>
      </w:r>
      <w:r>
        <w:rPr>
          <w:lang w:eastAsia="ja-JP"/>
        </w:rPr>
        <w:t>placebo</w:t>
      </w:r>
      <w:r w:rsidR="000159A6">
        <w:rPr>
          <w:lang w:eastAsia="ja-JP"/>
        </w:rPr>
        <w:t xml:space="preserve"> </w:t>
      </w:r>
      <w:r>
        <w:rPr>
          <w:lang w:eastAsia="ja-JP"/>
        </w:rPr>
        <w:t>groups,</w:t>
      </w:r>
      <w:r w:rsidR="000159A6">
        <w:rPr>
          <w:lang w:eastAsia="ja-JP"/>
        </w:rPr>
        <w:t xml:space="preserve"> </w:t>
      </w:r>
      <w:r>
        <w:rPr>
          <w:lang w:eastAsia="ja-JP"/>
        </w:rPr>
        <w:t>respectively,</w:t>
      </w:r>
      <w:r w:rsidR="000159A6">
        <w:rPr>
          <w:lang w:eastAsia="ja-JP"/>
        </w:rPr>
        <w:t xml:space="preserve"> </w:t>
      </w:r>
      <w:r>
        <w:rPr>
          <w:lang w:eastAsia="ja-JP"/>
        </w:rPr>
        <w:t>and</w:t>
      </w:r>
      <w:r w:rsidR="000159A6">
        <w:rPr>
          <w:lang w:eastAsia="ja-JP"/>
        </w:rPr>
        <w:t xml:space="preserve"> </w:t>
      </w:r>
      <w:r>
        <w:rPr>
          <w:lang w:eastAsia="ja-JP"/>
        </w:rPr>
        <w:t>the</w:t>
      </w:r>
      <w:r w:rsidR="000159A6">
        <w:rPr>
          <w:lang w:eastAsia="ja-JP"/>
        </w:rPr>
        <w:t xml:space="preserve"> </w:t>
      </w:r>
      <w:r>
        <w:rPr>
          <w:lang w:eastAsia="ja-JP"/>
        </w:rPr>
        <w:t>rate</w:t>
      </w:r>
      <w:r w:rsidR="000159A6">
        <w:rPr>
          <w:lang w:eastAsia="ja-JP"/>
        </w:rPr>
        <w:t xml:space="preserve"> </w:t>
      </w:r>
      <w:r>
        <w:rPr>
          <w:lang w:eastAsia="ja-JP"/>
        </w:rPr>
        <w:t>per</w:t>
      </w:r>
      <w:r w:rsidR="000159A6">
        <w:rPr>
          <w:lang w:eastAsia="ja-JP"/>
        </w:rPr>
        <w:t xml:space="preserve"> </w:t>
      </w:r>
      <w:r>
        <w:rPr>
          <w:lang w:eastAsia="ja-JP"/>
        </w:rPr>
        <w:t>dose</w:t>
      </w:r>
      <w:r w:rsidR="000159A6">
        <w:rPr>
          <w:lang w:eastAsia="ja-JP"/>
        </w:rPr>
        <w:t xml:space="preserve"> </w:t>
      </w:r>
      <w:r>
        <w:rPr>
          <w:lang w:eastAsia="ja-JP"/>
        </w:rPr>
        <w:t>was</w:t>
      </w:r>
      <w:r w:rsidR="000159A6">
        <w:rPr>
          <w:lang w:eastAsia="ja-JP"/>
        </w:rPr>
        <w:t xml:space="preserve"> </w:t>
      </w:r>
      <w:r>
        <w:rPr>
          <w:lang w:eastAsia="ja-JP"/>
        </w:rPr>
        <w:t>1.4%</w:t>
      </w:r>
      <w:r w:rsidR="000159A6">
        <w:rPr>
          <w:lang w:eastAsia="ja-JP"/>
        </w:rPr>
        <w:t xml:space="preserve"> </w:t>
      </w:r>
      <w:r>
        <w:rPr>
          <w:lang w:eastAsia="ja-JP"/>
        </w:rPr>
        <w:t>and</w:t>
      </w:r>
      <w:r w:rsidR="000159A6">
        <w:rPr>
          <w:lang w:eastAsia="ja-JP"/>
        </w:rPr>
        <w:t xml:space="preserve"> </w:t>
      </w:r>
      <w:r>
        <w:rPr>
          <w:lang w:eastAsia="ja-JP"/>
        </w:rPr>
        <w:t>1.3%.</w:t>
      </w:r>
      <w:r w:rsidR="000159A6">
        <w:rPr>
          <w:lang w:eastAsia="ja-JP"/>
        </w:rPr>
        <w:t xml:space="preserve"> </w:t>
      </w:r>
      <w:r>
        <w:rPr>
          <w:lang w:eastAsia="ja-JP"/>
        </w:rPr>
        <w:t>The</w:t>
      </w:r>
      <w:r w:rsidR="000159A6">
        <w:rPr>
          <w:lang w:eastAsia="ja-JP"/>
        </w:rPr>
        <w:t xml:space="preserve"> </w:t>
      </w:r>
      <w:r>
        <w:rPr>
          <w:lang w:eastAsia="ja-JP"/>
        </w:rPr>
        <w:t>most</w:t>
      </w:r>
      <w:r w:rsidR="000159A6">
        <w:rPr>
          <w:lang w:eastAsia="ja-JP"/>
        </w:rPr>
        <w:t xml:space="preserve"> </w:t>
      </w:r>
      <w:r>
        <w:rPr>
          <w:lang w:eastAsia="ja-JP"/>
        </w:rPr>
        <w:t>frequent</w:t>
      </w:r>
      <w:r w:rsidR="000159A6">
        <w:rPr>
          <w:lang w:eastAsia="ja-JP"/>
        </w:rPr>
        <w:t xml:space="preserve"> </w:t>
      </w:r>
      <w:r>
        <w:rPr>
          <w:lang w:eastAsia="ja-JP"/>
        </w:rPr>
        <w:t>preferred</w:t>
      </w:r>
      <w:r w:rsidR="000159A6">
        <w:rPr>
          <w:lang w:eastAsia="ja-JP"/>
        </w:rPr>
        <w:t xml:space="preserve"> </w:t>
      </w:r>
      <w:r>
        <w:rPr>
          <w:lang w:eastAsia="ja-JP"/>
        </w:rPr>
        <w:t>terms</w:t>
      </w:r>
      <w:r w:rsidR="000159A6">
        <w:rPr>
          <w:lang w:eastAsia="ja-JP"/>
        </w:rPr>
        <w:t xml:space="preserve"> </w:t>
      </w:r>
      <w:r>
        <w:rPr>
          <w:lang w:eastAsia="ja-JP"/>
        </w:rPr>
        <w:t>were</w:t>
      </w:r>
      <w:r w:rsidR="000159A6">
        <w:rPr>
          <w:lang w:eastAsia="ja-JP"/>
        </w:rPr>
        <w:t xml:space="preserve"> </w:t>
      </w:r>
      <w:r>
        <w:rPr>
          <w:lang w:eastAsia="ja-JP"/>
        </w:rPr>
        <w:t>rash,</w:t>
      </w:r>
      <w:r w:rsidR="000159A6">
        <w:rPr>
          <w:lang w:eastAsia="ja-JP"/>
        </w:rPr>
        <w:t xml:space="preserve"> </w:t>
      </w:r>
      <w:r>
        <w:rPr>
          <w:lang w:eastAsia="ja-JP"/>
        </w:rPr>
        <w:t>injection</w:t>
      </w:r>
      <w:r w:rsidR="000159A6">
        <w:rPr>
          <w:lang w:eastAsia="ja-JP"/>
        </w:rPr>
        <w:t xml:space="preserve"> </w:t>
      </w:r>
      <w:r>
        <w:rPr>
          <w:lang w:eastAsia="ja-JP"/>
        </w:rPr>
        <w:t>site</w:t>
      </w:r>
      <w:r w:rsidR="000159A6">
        <w:rPr>
          <w:lang w:eastAsia="ja-JP"/>
        </w:rPr>
        <w:t xml:space="preserve"> </w:t>
      </w:r>
      <w:r>
        <w:rPr>
          <w:lang w:eastAsia="ja-JP"/>
        </w:rPr>
        <w:t>rash,</w:t>
      </w:r>
      <w:r w:rsidR="000159A6">
        <w:rPr>
          <w:lang w:eastAsia="ja-JP"/>
        </w:rPr>
        <w:t xml:space="preserve"> </w:t>
      </w:r>
      <w:r>
        <w:rPr>
          <w:lang w:eastAsia="ja-JP"/>
        </w:rPr>
        <w:t>eczema,</w:t>
      </w:r>
      <w:r w:rsidR="000159A6">
        <w:rPr>
          <w:lang w:eastAsia="ja-JP"/>
        </w:rPr>
        <w:t xml:space="preserve"> </w:t>
      </w:r>
      <w:r>
        <w:rPr>
          <w:lang w:eastAsia="ja-JP"/>
        </w:rPr>
        <w:t>urticaria</w:t>
      </w:r>
      <w:r w:rsidR="000159A6">
        <w:rPr>
          <w:lang w:eastAsia="ja-JP"/>
        </w:rPr>
        <w:t xml:space="preserve"> </w:t>
      </w:r>
      <w:r>
        <w:rPr>
          <w:lang w:eastAsia="ja-JP"/>
        </w:rPr>
        <w:t>and</w:t>
      </w:r>
      <w:r w:rsidR="000159A6">
        <w:rPr>
          <w:lang w:eastAsia="ja-JP"/>
        </w:rPr>
        <w:t xml:space="preserve"> </w:t>
      </w:r>
      <w:r>
        <w:rPr>
          <w:lang w:eastAsia="ja-JP"/>
        </w:rPr>
        <w:t>dermatitis.</w:t>
      </w:r>
      <w:r w:rsidR="000159A6">
        <w:rPr>
          <w:lang w:eastAsia="ja-JP"/>
        </w:rPr>
        <w:t xml:space="preserve"> </w:t>
      </w:r>
      <w:r>
        <w:rPr>
          <w:lang w:eastAsia="ja-JP"/>
        </w:rPr>
        <w:t>Using</w:t>
      </w:r>
      <w:r w:rsidR="000159A6">
        <w:rPr>
          <w:lang w:eastAsia="ja-JP"/>
        </w:rPr>
        <w:t xml:space="preserve"> </w:t>
      </w:r>
      <w:r>
        <w:rPr>
          <w:lang w:eastAsia="ja-JP"/>
        </w:rPr>
        <w:t>the</w:t>
      </w:r>
      <w:r w:rsidR="000159A6">
        <w:rPr>
          <w:lang w:eastAsia="ja-JP"/>
        </w:rPr>
        <w:t xml:space="preserve"> </w:t>
      </w:r>
      <w:r>
        <w:rPr>
          <w:lang w:eastAsia="ja-JP"/>
        </w:rPr>
        <w:t>SMQ</w:t>
      </w:r>
      <w:r w:rsidR="000159A6">
        <w:rPr>
          <w:lang w:eastAsia="ja-JP"/>
        </w:rPr>
        <w:t xml:space="preserve"> </w:t>
      </w:r>
      <w:r>
        <w:rPr>
          <w:lang w:eastAsia="ja-JP"/>
        </w:rPr>
        <w:t>‘anaphylactic</w:t>
      </w:r>
      <w:r w:rsidR="000159A6">
        <w:rPr>
          <w:lang w:eastAsia="ja-JP"/>
        </w:rPr>
        <w:t xml:space="preserve"> </w:t>
      </w:r>
      <w:r>
        <w:rPr>
          <w:lang w:eastAsia="ja-JP"/>
        </w:rPr>
        <w:t>reaction</w:t>
      </w:r>
      <w:r w:rsidR="000159A6">
        <w:rPr>
          <w:lang w:eastAsia="ja-JP"/>
        </w:rPr>
        <w:t xml:space="preserve"> </w:t>
      </w:r>
      <w:r>
        <w:rPr>
          <w:lang w:eastAsia="ja-JP"/>
        </w:rPr>
        <w:t>narrow’</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30</w:t>
      </w:r>
      <w:r w:rsidR="000159A6">
        <w:rPr>
          <w:lang w:eastAsia="ja-JP"/>
        </w:rPr>
        <w:t xml:space="preserve"> </w:t>
      </w:r>
      <w:r>
        <w:rPr>
          <w:lang w:eastAsia="ja-JP"/>
        </w:rPr>
        <w:t>day</w:t>
      </w:r>
      <w:r w:rsidR="000159A6">
        <w:rPr>
          <w:lang w:eastAsia="ja-JP"/>
        </w:rPr>
        <w:t xml:space="preserve"> </w:t>
      </w:r>
      <w:r>
        <w:rPr>
          <w:lang w:eastAsia="ja-JP"/>
        </w:rPr>
        <w:t>post</w:t>
      </w:r>
      <w:r w:rsidR="000159A6">
        <w:rPr>
          <w:lang w:eastAsia="ja-JP"/>
        </w:rPr>
        <w:t xml:space="preserve"> </w:t>
      </w:r>
      <w:r>
        <w:rPr>
          <w:lang w:eastAsia="ja-JP"/>
        </w:rPr>
        <w:t>vaccination</w:t>
      </w:r>
      <w:r w:rsidR="000159A6">
        <w:rPr>
          <w:lang w:eastAsia="ja-JP"/>
        </w:rPr>
        <w:t xml:space="preserve"> </w:t>
      </w:r>
      <w:r>
        <w:rPr>
          <w:lang w:eastAsia="ja-JP"/>
        </w:rPr>
        <w:t>period,</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a</w:t>
      </w:r>
      <w:r w:rsidR="000159A6">
        <w:rPr>
          <w:lang w:eastAsia="ja-JP"/>
        </w:rPr>
        <w:t xml:space="preserve"> </w:t>
      </w:r>
      <w:r>
        <w:rPr>
          <w:lang w:eastAsia="ja-JP"/>
        </w:rPr>
        <w:t>single</w:t>
      </w:r>
      <w:r w:rsidR="000159A6">
        <w:rPr>
          <w:lang w:eastAsia="ja-JP"/>
        </w:rPr>
        <w:t xml:space="preserve"> </w:t>
      </w:r>
      <w:r>
        <w:rPr>
          <w:lang w:eastAsia="ja-JP"/>
        </w:rPr>
        <w:t>case</w:t>
      </w:r>
      <w:r w:rsidR="000159A6">
        <w:rPr>
          <w:lang w:eastAsia="ja-JP"/>
        </w:rPr>
        <w:t xml:space="preserve"> </w:t>
      </w:r>
      <w:r>
        <w:rPr>
          <w:lang w:eastAsia="ja-JP"/>
        </w:rPr>
        <w:t>identified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group.</w:t>
      </w:r>
      <w:r w:rsidR="000159A6">
        <w:rPr>
          <w:lang w:eastAsia="ja-JP"/>
        </w:rPr>
        <w:t xml:space="preserve"> </w:t>
      </w:r>
      <w:r>
        <w:rPr>
          <w:lang w:eastAsia="ja-JP"/>
        </w:rPr>
        <w:t>This</w:t>
      </w:r>
      <w:r w:rsidR="000159A6">
        <w:rPr>
          <w:lang w:eastAsia="ja-JP"/>
        </w:rPr>
        <w:t xml:space="preserve"> </w:t>
      </w:r>
      <w:r>
        <w:rPr>
          <w:lang w:eastAsia="ja-JP"/>
        </w:rPr>
        <w:t>occurred</w:t>
      </w:r>
      <w:r w:rsidR="000159A6">
        <w:rPr>
          <w:lang w:eastAsia="ja-JP"/>
        </w:rPr>
        <w:t xml:space="preserve"> </w:t>
      </w:r>
      <w:r>
        <w:rPr>
          <w:lang w:eastAsia="ja-JP"/>
        </w:rPr>
        <w:t>after</w:t>
      </w:r>
      <w:r w:rsidR="000159A6">
        <w:rPr>
          <w:lang w:eastAsia="ja-JP"/>
        </w:rPr>
        <w:t xml:space="preserve"> </w:t>
      </w:r>
      <w:r>
        <w:rPr>
          <w:lang w:eastAsia="ja-JP"/>
        </w:rPr>
        <w:t>Dose</w:t>
      </w:r>
      <w:r w:rsidR="000159A6">
        <w:rPr>
          <w:lang w:eastAsia="ja-JP"/>
        </w:rPr>
        <w:t xml:space="preserve"> </w:t>
      </w:r>
      <w:r>
        <w:rPr>
          <w:lang w:eastAsia="ja-JP"/>
        </w:rPr>
        <w:t>1</w:t>
      </w:r>
      <w:r w:rsidR="000159A6">
        <w:rPr>
          <w:lang w:eastAsia="ja-JP"/>
        </w:rPr>
        <w:t xml:space="preserve"> </w:t>
      </w:r>
      <w:r>
        <w:rPr>
          <w:lang w:eastAsia="ja-JP"/>
        </w:rPr>
        <w:t>and</w:t>
      </w:r>
      <w:r w:rsidR="000159A6">
        <w:rPr>
          <w:lang w:eastAsia="ja-JP"/>
        </w:rPr>
        <w:t xml:space="preserve"> </w:t>
      </w:r>
      <w:r>
        <w:rPr>
          <w:lang w:eastAsia="ja-JP"/>
        </w:rPr>
        <w:t>was</w:t>
      </w:r>
      <w:r w:rsidR="000159A6">
        <w:rPr>
          <w:lang w:eastAsia="ja-JP"/>
        </w:rPr>
        <w:t xml:space="preserve"> </w:t>
      </w:r>
      <w:r>
        <w:rPr>
          <w:lang w:eastAsia="ja-JP"/>
        </w:rPr>
        <w:t>graded</w:t>
      </w:r>
      <w:r w:rsidR="000159A6">
        <w:rPr>
          <w:lang w:eastAsia="ja-JP"/>
        </w:rPr>
        <w:t xml:space="preserve"> </w:t>
      </w:r>
      <w:r>
        <w:rPr>
          <w:lang w:eastAsia="ja-JP"/>
        </w:rPr>
        <w:t>level</w:t>
      </w:r>
      <w:r w:rsidR="000159A6">
        <w:rPr>
          <w:lang w:eastAsia="ja-JP"/>
        </w:rPr>
        <w:t xml:space="preserve"> </w:t>
      </w:r>
      <w:r>
        <w:rPr>
          <w:lang w:eastAsia="ja-JP"/>
        </w:rPr>
        <w:t>1.</w:t>
      </w:r>
      <w:r w:rsidR="000159A6">
        <w:rPr>
          <w:lang w:eastAsia="ja-JP"/>
        </w:rPr>
        <w:t xml:space="preserve"> </w:t>
      </w:r>
      <w:r>
        <w:rPr>
          <w:lang w:eastAsia="ja-JP"/>
        </w:rPr>
        <w:t>The</w:t>
      </w:r>
      <w:r w:rsidR="000159A6">
        <w:rPr>
          <w:lang w:eastAsia="ja-JP"/>
        </w:rPr>
        <w:t xml:space="preserve"> </w:t>
      </w:r>
      <w:r>
        <w:rPr>
          <w:lang w:eastAsia="ja-JP"/>
        </w:rPr>
        <w:t>subject</w:t>
      </w:r>
      <w:r w:rsidR="000159A6">
        <w:rPr>
          <w:lang w:eastAsia="ja-JP"/>
        </w:rPr>
        <w:t xml:space="preserve"> </w:t>
      </w:r>
      <w:r>
        <w:rPr>
          <w:lang w:eastAsia="ja-JP"/>
        </w:rPr>
        <w:t>had</w:t>
      </w:r>
      <w:r w:rsidR="000159A6">
        <w:rPr>
          <w:lang w:eastAsia="ja-JP"/>
        </w:rPr>
        <w:t xml:space="preserve"> </w:t>
      </w:r>
      <w:r>
        <w:rPr>
          <w:lang w:eastAsia="ja-JP"/>
        </w:rPr>
        <w:t>site</w:t>
      </w:r>
      <w:r w:rsidR="000159A6">
        <w:rPr>
          <w:lang w:eastAsia="ja-JP"/>
        </w:rPr>
        <w:t xml:space="preserve"> </w:t>
      </w:r>
      <w:r>
        <w:rPr>
          <w:lang w:eastAsia="ja-JP"/>
        </w:rPr>
        <w:t>pain,</w:t>
      </w:r>
      <w:r w:rsidR="000159A6">
        <w:rPr>
          <w:lang w:eastAsia="ja-JP"/>
        </w:rPr>
        <w:t xml:space="preserve"> </w:t>
      </w:r>
      <w:r>
        <w:rPr>
          <w:lang w:eastAsia="ja-JP"/>
        </w:rPr>
        <w:t>pyrexia,</w:t>
      </w:r>
      <w:r w:rsidR="000159A6">
        <w:rPr>
          <w:lang w:eastAsia="ja-JP"/>
        </w:rPr>
        <w:t xml:space="preserve"> </w:t>
      </w:r>
      <w:r>
        <w:rPr>
          <w:lang w:eastAsia="ja-JP"/>
        </w:rPr>
        <w:t>fatigue,</w:t>
      </w:r>
      <w:r w:rsidR="000159A6">
        <w:rPr>
          <w:lang w:eastAsia="ja-JP"/>
        </w:rPr>
        <w:t xml:space="preserve"> </w:t>
      </w:r>
      <w:r>
        <w:rPr>
          <w:lang w:eastAsia="ja-JP"/>
        </w:rPr>
        <w:t>injection</w:t>
      </w:r>
      <w:r w:rsidR="000159A6">
        <w:rPr>
          <w:lang w:eastAsia="ja-JP"/>
        </w:rPr>
        <w:t xml:space="preserve"> </w:t>
      </w:r>
      <w:r>
        <w:rPr>
          <w:lang w:eastAsia="ja-JP"/>
        </w:rPr>
        <w:t>site</w:t>
      </w:r>
      <w:r w:rsidR="000159A6">
        <w:rPr>
          <w:lang w:eastAsia="ja-JP"/>
        </w:rPr>
        <w:t xml:space="preserve"> </w:t>
      </w:r>
      <w:r>
        <w:rPr>
          <w:lang w:eastAsia="ja-JP"/>
        </w:rPr>
        <w:t>redness,</w:t>
      </w:r>
      <w:r w:rsidR="000159A6">
        <w:rPr>
          <w:lang w:eastAsia="ja-JP"/>
        </w:rPr>
        <w:t xml:space="preserve"> </w:t>
      </w:r>
      <w:r>
        <w:rPr>
          <w:lang w:eastAsia="ja-JP"/>
        </w:rPr>
        <w:t>chills,</w:t>
      </w:r>
      <w:r w:rsidR="000159A6">
        <w:rPr>
          <w:lang w:eastAsia="ja-JP"/>
        </w:rPr>
        <w:t xml:space="preserve"> </w:t>
      </w:r>
      <w:r>
        <w:rPr>
          <w:lang w:eastAsia="ja-JP"/>
        </w:rPr>
        <w:t>nausea</w:t>
      </w:r>
      <w:r w:rsidR="000159A6">
        <w:rPr>
          <w:lang w:eastAsia="ja-JP"/>
        </w:rPr>
        <w:t xml:space="preserve"> </w:t>
      </w:r>
      <w:r>
        <w:rPr>
          <w:lang w:eastAsia="ja-JP"/>
        </w:rPr>
        <w:t>and</w:t>
      </w:r>
      <w:r w:rsidR="000159A6">
        <w:rPr>
          <w:lang w:eastAsia="ja-JP"/>
        </w:rPr>
        <w:t xml:space="preserve"> </w:t>
      </w:r>
      <w:r>
        <w:rPr>
          <w:lang w:eastAsia="ja-JP"/>
        </w:rPr>
        <w:t>disorientation</w:t>
      </w:r>
      <w:r w:rsidR="000159A6">
        <w:rPr>
          <w:lang w:eastAsia="ja-JP"/>
        </w:rPr>
        <w:t xml:space="preserve"> </w:t>
      </w:r>
      <w:r>
        <w:rPr>
          <w:lang w:eastAsia="ja-JP"/>
        </w:rPr>
        <w:t>and</w:t>
      </w:r>
      <w:r w:rsidR="000159A6">
        <w:rPr>
          <w:lang w:eastAsia="ja-JP"/>
        </w:rPr>
        <w:t xml:space="preserve"> </w:t>
      </w:r>
      <w:r>
        <w:rPr>
          <w:lang w:eastAsia="ja-JP"/>
        </w:rPr>
        <w:t>recovered</w:t>
      </w:r>
      <w:r w:rsidR="000159A6">
        <w:rPr>
          <w:lang w:eastAsia="ja-JP"/>
        </w:rPr>
        <w:t xml:space="preserve"> </w:t>
      </w:r>
      <w:r>
        <w:rPr>
          <w:lang w:eastAsia="ja-JP"/>
        </w:rPr>
        <w:t>by</w:t>
      </w:r>
      <w:r w:rsidR="000159A6">
        <w:rPr>
          <w:lang w:eastAsia="ja-JP"/>
        </w:rPr>
        <w:t xml:space="preserve"> </w:t>
      </w:r>
      <w:r>
        <w:rPr>
          <w:lang w:eastAsia="ja-JP"/>
        </w:rPr>
        <w:t>Day</w:t>
      </w:r>
      <w:r w:rsidR="000159A6">
        <w:rPr>
          <w:lang w:eastAsia="ja-JP"/>
        </w:rPr>
        <w:t xml:space="preserve"> </w:t>
      </w:r>
      <w:r>
        <w:rPr>
          <w:lang w:eastAsia="ja-JP"/>
        </w:rPr>
        <w:t>3</w:t>
      </w:r>
      <w:r w:rsidR="000159A6">
        <w:rPr>
          <w:lang w:eastAsia="ja-JP"/>
        </w:rPr>
        <w:t xml:space="preserve"> </w:t>
      </w:r>
      <w:r>
        <w:rPr>
          <w:lang w:eastAsia="ja-JP"/>
        </w:rPr>
        <w:t>without</w:t>
      </w:r>
      <w:r w:rsidR="000159A6">
        <w:rPr>
          <w:lang w:eastAsia="ja-JP"/>
        </w:rPr>
        <w:t xml:space="preserve"> </w:t>
      </w:r>
      <w:r>
        <w:rPr>
          <w:lang w:eastAsia="ja-JP"/>
        </w:rPr>
        <w:t>treatment.</w:t>
      </w:r>
    </w:p>
    <w:p w14:paraId="138B77B6" w14:textId="7680AA4E" w:rsidR="0091081C" w:rsidRPr="00C95B23" w:rsidRDefault="0091081C" w:rsidP="00C95B23">
      <w:pPr>
        <w:pStyle w:val="Heading6"/>
      </w:pPr>
      <w:bookmarkStart w:id="154" w:name="_Toc507578052"/>
      <w:r w:rsidRPr="00C95B23">
        <w:t>Broader</w:t>
      </w:r>
      <w:r w:rsidR="000159A6" w:rsidRPr="00C95B23">
        <w:t xml:space="preserve"> </w:t>
      </w:r>
      <w:r w:rsidRPr="00C95B23">
        <w:t>safety</w:t>
      </w:r>
      <w:r w:rsidR="000159A6" w:rsidRPr="00C95B23">
        <w:t xml:space="preserve"> </w:t>
      </w:r>
      <w:r w:rsidRPr="00C95B23">
        <w:t>pool</w:t>
      </w:r>
      <w:bookmarkEnd w:id="154"/>
    </w:p>
    <w:p w14:paraId="05271884" w14:textId="1A9A625D" w:rsidR="0091081C" w:rsidRDefault="0091081C" w:rsidP="00541F41">
      <w:pPr>
        <w:rPr>
          <w:lang w:eastAsia="ja-JP"/>
        </w:rPr>
      </w:pPr>
      <w:r>
        <w:rPr>
          <w:lang w:eastAsia="ja-JP"/>
        </w:rPr>
        <w:t>The</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r>
        <w:rPr>
          <w:lang w:eastAsia="ja-JP"/>
        </w:rPr>
        <w:t>‘hypersensitivity’</w:t>
      </w:r>
      <w:r w:rsidR="000159A6">
        <w:rPr>
          <w:lang w:eastAsia="ja-JP"/>
        </w:rPr>
        <w:t xml:space="preserve"> </w:t>
      </w:r>
      <w:r>
        <w:rPr>
          <w:lang w:eastAsia="ja-JP"/>
        </w:rPr>
        <w:t>SMQ</w:t>
      </w:r>
      <w:r w:rsidR="000159A6">
        <w:rPr>
          <w:lang w:eastAsia="ja-JP"/>
        </w:rPr>
        <w:t xml:space="preserve"> </w:t>
      </w:r>
      <w:r>
        <w:rPr>
          <w:lang w:eastAsia="ja-JP"/>
        </w:rPr>
        <w:t>was</w:t>
      </w:r>
      <w:r w:rsidR="000159A6">
        <w:rPr>
          <w:lang w:eastAsia="ja-JP"/>
        </w:rPr>
        <w:t xml:space="preserve"> </w:t>
      </w:r>
      <w:r>
        <w:rPr>
          <w:lang w:eastAsia="ja-JP"/>
        </w:rPr>
        <w:t>2.5%</w:t>
      </w:r>
      <w:r w:rsidR="000159A6">
        <w:rPr>
          <w:lang w:eastAsia="ja-JP"/>
        </w:rPr>
        <w:t xml:space="preserve"> </w:t>
      </w:r>
      <w:r>
        <w:rPr>
          <w:lang w:eastAsia="ja-JP"/>
        </w:rPr>
        <w:t>and</w:t>
      </w:r>
      <w:r w:rsidR="000159A6">
        <w:rPr>
          <w:lang w:eastAsia="ja-JP"/>
        </w:rPr>
        <w:t xml:space="preserve"> </w:t>
      </w:r>
      <w:r>
        <w:rPr>
          <w:lang w:eastAsia="ja-JP"/>
        </w:rPr>
        <w:t>was</w:t>
      </w:r>
      <w:r w:rsidR="000159A6">
        <w:rPr>
          <w:lang w:eastAsia="ja-JP"/>
        </w:rPr>
        <w:t xml:space="preserve"> </w:t>
      </w:r>
      <w:r>
        <w:rPr>
          <w:lang w:eastAsia="ja-JP"/>
        </w:rPr>
        <w:t>reported</w:t>
      </w:r>
      <w:r w:rsidR="000159A6">
        <w:rPr>
          <w:lang w:eastAsia="ja-JP"/>
        </w:rPr>
        <w:t xml:space="preserve"> </w:t>
      </w:r>
      <w:r>
        <w:rPr>
          <w:lang w:eastAsia="ja-JP"/>
        </w:rPr>
        <w:t>after</w:t>
      </w:r>
      <w:r w:rsidR="000159A6">
        <w:rPr>
          <w:lang w:eastAsia="ja-JP"/>
        </w:rPr>
        <w:t xml:space="preserve"> </w:t>
      </w:r>
      <w:r>
        <w:rPr>
          <w:lang w:eastAsia="ja-JP"/>
        </w:rPr>
        <w:t>1.4%</w:t>
      </w:r>
      <w:r w:rsidR="000159A6">
        <w:rPr>
          <w:lang w:eastAsia="ja-JP"/>
        </w:rPr>
        <w:t xml:space="preserve"> </w:t>
      </w:r>
      <w:r>
        <w:rPr>
          <w:lang w:eastAsia="ja-JP"/>
        </w:rPr>
        <w:t>of</w:t>
      </w:r>
      <w:r w:rsidR="000159A6">
        <w:rPr>
          <w:lang w:eastAsia="ja-JP"/>
        </w:rPr>
        <w:t xml:space="preserve"> </w:t>
      </w:r>
      <w:r>
        <w:rPr>
          <w:lang w:eastAsia="ja-JP"/>
        </w:rPr>
        <w:t>doses.</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additional</w:t>
      </w:r>
      <w:r w:rsidR="000159A6">
        <w:rPr>
          <w:lang w:eastAsia="ja-JP"/>
        </w:rPr>
        <w:t xml:space="preserve"> </w:t>
      </w:r>
      <w:r>
        <w:rPr>
          <w:lang w:eastAsia="ja-JP"/>
        </w:rPr>
        <w:t>anaphylaxis</w:t>
      </w:r>
      <w:r w:rsidR="000159A6">
        <w:rPr>
          <w:lang w:eastAsia="ja-JP"/>
        </w:rPr>
        <w:t xml:space="preserve"> </w:t>
      </w:r>
      <w:r>
        <w:rPr>
          <w:lang w:eastAsia="ja-JP"/>
        </w:rPr>
        <w:t>cases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broader</w:t>
      </w:r>
      <w:r w:rsidR="000159A6">
        <w:rPr>
          <w:lang w:eastAsia="ja-JP"/>
        </w:rPr>
        <w:t xml:space="preserve"> </w:t>
      </w:r>
      <w:r>
        <w:rPr>
          <w:lang w:eastAsia="ja-JP"/>
        </w:rPr>
        <w:t>safety</w:t>
      </w:r>
      <w:r w:rsidR="000159A6">
        <w:rPr>
          <w:lang w:eastAsia="ja-JP"/>
        </w:rPr>
        <w:t xml:space="preserve"> </w:t>
      </w:r>
      <w:r>
        <w:rPr>
          <w:lang w:eastAsia="ja-JP"/>
        </w:rPr>
        <w:t>pool.</w:t>
      </w:r>
    </w:p>
    <w:p w14:paraId="33BFA1EC" w14:textId="6697C1B4" w:rsidR="0091081C" w:rsidRPr="00C95B23" w:rsidRDefault="0091081C" w:rsidP="00541F41">
      <w:pPr>
        <w:pStyle w:val="Heading6"/>
      </w:pPr>
      <w:bookmarkStart w:id="155" w:name="_Toc507578053"/>
      <w:r w:rsidRPr="00C95B23">
        <w:t>Other</w:t>
      </w:r>
      <w:r w:rsidR="000159A6" w:rsidRPr="00C95B23">
        <w:t xml:space="preserve"> </w:t>
      </w:r>
      <w:r w:rsidRPr="00541F41">
        <w:t>studies</w:t>
      </w:r>
      <w:bookmarkEnd w:id="155"/>
    </w:p>
    <w:p w14:paraId="39C0CE7E" w14:textId="35ABB18F" w:rsidR="0091081C" w:rsidRDefault="0091081C" w:rsidP="00541F41">
      <w:pPr>
        <w:rPr>
          <w:lang w:eastAsia="ja-JP"/>
        </w:rPr>
      </w:pPr>
      <w:bookmarkStart w:id="156" w:name="_Toc272414672"/>
      <w:bookmarkStart w:id="157" w:name="_Toc290888536"/>
      <w:bookmarkStart w:id="158" w:name="_Toc416353752"/>
      <w:bookmarkStart w:id="159" w:name="_Toc421005295"/>
      <w:bookmarkStart w:id="160" w:name="_Toc432079172"/>
      <w:bookmarkStart w:id="161" w:name="_Toc432080745"/>
      <w:r w:rsidRPr="00662A7F">
        <w:rPr>
          <w:lang w:eastAsia="ja-JP"/>
        </w:rPr>
        <w:t>No</w:t>
      </w:r>
      <w:r w:rsidR="000159A6">
        <w:rPr>
          <w:lang w:eastAsia="ja-JP"/>
        </w:rPr>
        <w:t xml:space="preserve"> </w:t>
      </w:r>
      <w:r w:rsidRPr="00662A7F">
        <w:rPr>
          <w:lang w:eastAsia="ja-JP"/>
        </w:rPr>
        <w:t>cases</w:t>
      </w:r>
      <w:r w:rsidR="000159A6">
        <w:rPr>
          <w:lang w:eastAsia="ja-JP"/>
        </w:rPr>
        <w:t xml:space="preserve"> </w:t>
      </w:r>
      <w:r w:rsidRPr="00662A7F">
        <w:rPr>
          <w:lang w:eastAsia="ja-JP"/>
        </w:rPr>
        <w:t>of</w:t>
      </w:r>
      <w:r w:rsidR="000159A6">
        <w:rPr>
          <w:lang w:eastAsia="ja-JP"/>
        </w:rPr>
        <w:t xml:space="preserve"> </w:t>
      </w:r>
      <w:r w:rsidRPr="00662A7F">
        <w:rPr>
          <w:lang w:eastAsia="ja-JP"/>
        </w:rPr>
        <w:t>anaphylaxis</w:t>
      </w:r>
      <w:r w:rsidR="000159A6">
        <w:rPr>
          <w:lang w:eastAsia="ja-JP"/>
        </w:rPr>
        <w:t xml:space="preserve"> </w:t>
      </w:r>
      <w:r w:rsidRPr="00662A7F">
        <w:rPr>
          <w:lang w:eastAsia="ja-JP"/>
        </w:rPr>
        <w:t>were</w:t>
      </w:r>
      <w:r w:rsidR="000159A6">
        <w:rPr>
          <w:lang w:eastAsia="ja-JP"/>
        </w:rPr>
        <w:t xml:space="preserve"> </w:t>
      </w:r>
      <w:r w:rsidRPr="00662A7F">
        <w:rPr>
          <w:lang w:eastAsia="ja-JP"/>
        </w:rPr>
        <w:t>identified</w:t>
      </w:r>
      <w:bookmarkEnd w:id="156"/>
      <w:bookmarkEnd w:id="157"/>
      <w:bookmarkEnd w:id="158"/>
      <w:bookmarkEnd w:id="159"/>
      <w:bookmarkEnd w:id="160"/>
      <w:bookmarkEnd w:id="161"/>
      <w:r>
        <w:rPr>
          <w:lang w:eastAsia="ja-JP"/>
        </w:rPr>
        <w:t>.</w:t>
      </w:r>
    </w:p>
    <w:p w14:paraId="2A99AA8A" w14:textId="7E092491" w:rsidR="0091081C" w:rsidRPr="00C95B23" w:rsidRDefault="0091081C" w:rsidP="00541F41">
      <w:pPr>
        <w:pStyle w:val="Heading5"/>
      </w:pPr>
      <w:bookmarkStart w:id="162" w:name="_Toc272414674"/>
      <w:bookmarkStart w:id="163" w:name="_Toc290888538"/>
      <w:bookmarkStart w:id="164" w:name="_Toc416353753"/>
      <w:bookmarkStart w:id="165" w:name="_Toc421005296"/>
      <w:bookmarkStart w:id="166" w:name="_Toc432079173"/>
      <w:bookmarkStart w:id="167" w:name="_Toc432080746"/>
      <w:bookmarkStart w:id="168" w:name="_Toc507578054"/>
      <w:r w:rsidRPr="00C95B23">
        <w:t>Laboratory</w:t>
      </w:r>
      <w:r w:rsidR="000159A6" w:rsidRPr="00C95B23">
        <w:t xml:space="preserve"> </w:t>
      </w:r>
      <w:r w:rsidRPr="00541F41">
        <w:t>test</w:t>
      </w:r>
      <w:bookmarkEnd w:id="162"/>
      <w:bookmarkEnd w:id="163"/>
      <w:bookmarkEnd w:id="164"/>
      <w:bookmarkEnd w:id="165"/>
      <w:bookmarkEnd w:id="166"/>
      <w:bookmarkEnd w:id="167"/>
      <w:r w:rsidRPr="00541F41">
        <w:t>s</w:t>
      </w:r>
      <w:bookmarkEnd w:id="168"/>
    </w:p>
    <w:p w14:paraId="2E846585" w14:textId="377B886A" w:rsidR="0091081C" w:rsidRDefault="0091081C" w:rsidP="00541F41">
      <w:pPr>
        <w:rPr>
          <w:lang w:eastAsia="ja-JP"/>
        </w:rPr>
      </w:pPr>
      <w:r>
        <w:rPr>
          <w:lang w:eastAsia="ja-JP"/>
        </w:rPr>
        <w:t>Laboratory</w:t>
      </w:r>
      <w:r w:rsidR="000159A6">
        <w:rPr>
          <w:lang w:eastAsia="ja-JP"/>
        </w:rPr>
        <w:t xml:space="preserve"> </w:t>
      </w:r>
      <w:r w:rsidR="000D0435">
        <w:rPr>
          <w:lang w:eastAsia="ja-JP"/>
        </w:rPr>
        <w:t>assessments</w:t>
      </w:r>
      <w:r w:rsidR="000159A6">
        <w:rPr>
          <w:lang w:eastAsia="ja-JP"/>
        </w:rPr>
        <w:t xml:space="preserve"> </w:t>
      </w:r>
      <w:r w:rsidR="000D0435">
        <w:rPr>
          <w:lang w:eastAsia="ja-JP"/>
        </w:rPr>
        <w:t>were</w:t>
      </w:r>
      <w:r w:rsidR="000159A6">
        <w:rPr>
          <w:lang w:eastAsia="ja-JP"/>
        </w:rPr>
        <w:t xml:space="preserve"> </w:t>
      </w:r>
      <w:r w:rsidR="000D0435">
        <w:rPr>
          <w:lang w:eastAsia="ja-JP"/>
        </w:rPr>
        <w:t>undertaken</w:t>
      </w:r>
      <w:r w:rsidR="000159A6">
        <w:rPr>
          <w:lang w:eastAsia="ja-JP"/>
        </w:rPr>
        <w:t xml:space="preserve"> </w:t>
      </w:r>
      <w:r w:rsidR="000D0435">
        <w:rPr>
          <w:lang w:eastAsia="ja-JP"/>
        </w:rPr>
        <w:t>in</w:t>
      </w:r>
      <w:r w:rsidR="000159A6">
        <w:rPr>
          <w:lang w:eastAsia="ja-JP"/>
        </w:rPr>
        <w:t xml:space="preserve"> </w:t>
      </w:r>
      <w:r w:rsidR="000D0435">
        <w:rPr>
          <w:lang w:eastAsia="ja-JP"/>
        </w:rPr>
        <w:t>Studies</w:t>
      </w:r>
      <w:r w:rsidR="000159A6">
        <w:rPr>
          <w:lang w:eastAsia="ja-JP"/>
        </w:rPr>
        <w:t xml:space="preserve"> </w:t>
      </w:r>
      <w:r>
        <w:rPr>
          <w:lang w:eastAsia="ja-JP"/>
        </w:rPr>
        <w:t>EXPLO-CRD-004,</w:t>
      </w:r>
      <w:r w:rsidR="000159A6">
        <w:rPr>
          <w:lang w:eastAsia="ja-JP"/>
        </w:rPr>
        <w:t xml:space="preserve"> </w:t>
      </w:r>
      <w:r>
        <w:rPr>
          <w:lang w:eastAsia="ja-JP"/>
        </w:rPr>
        <w:t>ZOSTER-003,</w:t>
      </w:r>
      <w:r w:rsidR="000159A6">
        <w:rPr>
          <w:lang w:eastAsia="ja-JP"/>
        </w:rPr>
        <w:t xml:space="preserve"> </w:t>
      </w:r>
      <w:r>
        <w:rPr>
          <w:lang w:eastAsia="ja-JP"/>
        </w:rPr>
        <w:t>ZOSTER-010</w:t>
      </w:r>
      <w:r w:rsidR="000159A6">
        <w:rPr>
          <w:lang w:eastAsia="ja-JP"/>
        </w:rPr>
        <w:t xml:space="preserve"> </w:t>
      </w:r>
      <w:r>
        <w:rPr>
          <w:lang w:eastAsia="ja-JP"/>
        </w:rPr>
        <w:t>and</w:t>
      </w:r>
      <w:r w:rsidR="000159A6">
        <w:rPr>
          <w:lang w:eastAsia="ja-JP"/>
        </w:rPr>
        <w:t xml:space="preserve"> </w:t>
      </w:r>
      <w:r>
        <w:rPr>
          <w:lang w:eastAsia="ja-JP"/>
        </w:rPr>
        <w:t>ZOSTER-023.</w:t>
      </w:r>
      <w:r w:rsidR="000159A6">
        <w:rPr>
          <w:lang w:eastAsia="ja-JP"/>
        </w:rPr>
        <w:t xml:space="preserve"> </w:t>
      </w:r>
      <w:r>
        <w:rPr>
          <w:lang w:eastAsia="ja-JP"/>
        </w:rPr>
        <w:t>There</w:t>
      </w:r>
      <w:r w:rsidR="000159A6">
        <w:rPr>
          <w:lang w:eastAsia="ja-JP"/>
        </w:rPr>
        <w:t xml:space="preserve"> </w:t>
      </w:r>
      <w:proofErr w:type="gramStart"/>
      <w:r>
        <w:rPr>
          <w:lang w:eastAsia="ja-JP"/>
        </w:rPr>
        <w:t>were</w:t>
      </w:r>
      <w:proofErr w:type="gramEnd"/>
      <w:r w:rsidR="000159A6">
        <w:rPr>
          <w:lang w:eastAsia="ja-JP"/>
        </w:rPr>
        <w:t xml:space="preserve"> </w:t>
      </w:r>
      <w:r>
        <w:rPr>
          <w:lang w:eastAsia="ja-JP"/>
        </w:rPr>
        <w:t>no</w:t>
      </w:r>
      <w:r w:rsidR="000159A6">
        <w:rPr>
          <w:lang w:eastAsia="ja-JP"/>
        </w:rPr>
        <w:t xml:space="preserve"> </w:t>
      </w:r>
      <w:r>
        <w:rPr>
          <w:lang w:eastAsia="ja-JP"/>
        </w:rPr>
        <w:t>evident</w:t>
      </w:r>
      <w:r w:rsidR="000159A6">
        <w:rPr>
          <w:lang w:eastAsia="ja-JP"/>
        </w:rPr>
        <w:t xml:space="preserve"> </w:t>
      </w:r>
      <w:r>
        <w:rPr>
          <w:lang w:eastAsia="ja-JP"/>
        </w:rPr>
        <w:t>safety</w:t>
      </w:r>
      <w:r w:rsidR="000159A6">
        <w:rPr>
          <w:lang w:eastAsia="ja-JP"/>
        </w:rPr>
        <w:t xml:space="preserve"> </w:t>
      </w:r>
      <w:r>
        <w:rPr>
          <w:lang w:eastAsia="ja-JP"/>
        </w:rPr>
        <w:t>signals</w:t>
      </w:r>
      <w:r w:rsidR="000159A6">
        <w:rPr>
          <w:lang w:eastAsia="ja-JP"/>
        </w:rPr>
        <w:t xml:space="preserve"> </w:t>
      </w:r>
      <w:r>
        <w:rPr>
          <w:lang w:eastAsia="ja-JP"/>
        </w:rPr>
        <w:t>reported.</w:t>
      </w:r>
    </w:p>
    <w:p w14:paraId="73F2F003" w14:textId="15920168" w:rsidR="0091081C" w:rsidRPr="00C95B23" w:rsidRDefault="0091081C" w:rsidP="00541F41">
      <w:pPr>
        <w:pStyle w:val="Heading5"/>
      </w:pPr>
      <w:bookmarkStart w:id="169" w:name="_Toc272414676"/>
      <w:bookmarkStart w:id="170" w:name="_Toc290888540"/>
      <w:bookmarkStart w:id="171" w:name="_Toc416353755"/>
      <w:bookmarkStart w:id="172" w:name="_Toc421005298"/>
      <w:bookmarkStart w:id="173" w:name="_Toc432079175"/>
      <w:bookmarkStart w:id="174" w:name="_Toc432080748"/>
      <w:bookmarkStart w:id="175" w:name="_Toc507578055"/>
      <w:r w:rsidRPr="00C95B23">
        <w:t>Vital</w:t>
      </w:r>
      <w:r w:rsidR="000159A6" w:rsidRPr="00C95B23">
        <w:t xml:space="preserve"> </w:t>
      </w:r>
      <w:r w:rsidRPr="00C95B23">
        <w:t>signs</w:t>
      </w:r>
      <w:bookmarkEnd w:id="169"/>
      <w:bookmarkEnd w:id="170"/>
      <w:bookmarkEnd w:id="171"/>
      <w:bookmarkEnd w:id="172"/>
      <w:r w:rsidR="000159A6" w:rsidRPr="00C95B23">
        <w:t xml:space="preserve"> </w:t>
      </w:r>
      <w:r w:rsidRPr="00C95B23">
        <w:t>and</w:t>
      </w:r>
      <w:r w:rsidR="000159A6" w:rsidRPr="00C95B23">
        <w:t xml:space="preserve"> </w:t>
      </w:r>
      <w:r w:rsidRPr="00541F41">
        <w:t>clinical</w:t>
      </w:r>
      <w:r w:rsidR="000159A6" w:rsidRPr="00C95B23">
        <w:t xml:space="preserve"> </w:t>
      </w:r>
      <w:r w:rsidRPr="00C95B23">
        <w:t>examination</w:t>
      </w:r>
      <w:r w:rsidR="000159A6" w:rsidRPr="00C95B23">
        <w:t xml:space="preserve"> </w:t>
      </w:r>
      <w:r w:rsidRPr="00C95B23">
        <w:t>findings</w:t>
      </w:r>
      <w:bookmarkEnd w:id="173"/>
      <w:bookmarkEnd w:id="174"/>
      <w:bookmarkEnd w:id="175"/>
    </w:p>
    <w:p w14:paraId="1EFD3BF9" w14:textId="23E0D9BA" w:rsidR="0091081C" w:rsidRDefault="0091081C" w:rsidP="00541F41">
      <w:pPr>
        <w:rPr>
          <w:lang w:eastAsia="ja-JP"/>
        </w:rPr>
      </w:pPr>
      <w:bookmarkStart w:id="176" w:name="_Toc432079176"/>
      <w:bookmarkStart w:id="177" w:name="_Toc432080749"/>
      <w:r>
        <w:rPr>
          <w:lang w:eastAsia="ja-JP"/>
        </w:rPr>
        <w:t>There</w:t>
      </w:r>
      <w:r w:rsidR="000159A6">
        <w:rPr>
          <w:lang w:eastAsia="ja-JP"/>
        </w:rPr>
        <w:t xml:space="preserve"> </w:t>
      </w:r>
      <w:r>
        <w:rPr>
          <w:lang w:eastAsia="ja-JP"/>
        </w:rPr>
        <w:t>was</w:t>
      </w:r>
      <w:r w:rsidR="000159A6">
        <w:rPr>
          <w:lang w:eastAsia="ja-JP"/>
        </w:rPr>
        <w:t xml:space="preserve"> </w:t>
      </w:r>
      <w:r>
        <w:rPr>
          <w:lang w:eastAsia="ja-JP"/>
        </w:rPr>
        <w:t>no</w:t>
      </w:r>
      <w:r w:rsidR="000159A6">
        <w:rPr>
          <w:lang w:eastAsia="ja-JP"/>
        </w:rPr>
        <w:t xml:space="preserve"> </w:t>
      </w:r>
      <w:r>
        <w:rPr>
          <w:lang w:eastAsia="ja-JP"/>
        </w:rPr>
        <w:t>routine</w:t>
      </w:r>
      <w:r w:rsidR="000159A6">
        <w:rPr>
          <w:lang w:eastAsia="ja-JP"/>
        </w:rPr>
        <w:t xml:space="preserve"> </w:t>
      </w:r>
      <w:r>
        <w:rPr>
          <w:lang w:eastAsia="ja-JP"/>
        </w:rPr>
        <w:t>vital</w:t>
      </w:r>
      <w:r w:rsidR="000159A6">
        <w:rPr>
          <w:lang w:eastAsia="ja-JP"/>
        </w:rPr>
        <w:t xml:space="preserve"> </w:t>
      </w:r>
      <w:r>
        <w:rPr>
          <w:lang w:eastAsia="ja-JP"/>
        </w:rPr>
        <w:t>sign</w:t>
      </w:r>
      <w:r w:rsidR="000159A6">
        <w:rPr>
          <w:lang w:eastAsia="ja-JP"/>
        </w:rPr>
        <w:t xml:space="preserve"> </w:t>
      </w:r>
      <w:r>
        <w:rPr>
          <w:lang w:eastAsia="ja-JP"/>
        </w:rPr>
        <w:t>measurement</w:t>
      </w:r>
      <w:r w:rsidR="000159A6">
        <w:rPr>
          <w:lang w:eastAsia="ja-JP"/>
        </w:rPr>
        <w:t xml:space="preserve"> </w:t>
      </w:r>
      <w:r>
        <w:rPr>
          <w:lang w:eastAsia="ja-JP"/>
        </w:rPr>
        <w:t>during</w:t>
      </w:r>
      <w:r w:rsidR="000159A6">
        <w:rPr>
          <w:lang w:eastAsia="ja-JP"/>
        </w:rPr>
        <w:t xml:space="preserve"> </w:t>
      </w:r>
      <w:r>
        <w:rPr>
          <w:lang w:eastAsia="ja-JP"/>
        </w:rPr>
        <w:t>the</w:t>
      </w:r>
      <w:r w:rsidR="000159A6">
        <w:rPr>
          <w:lang w:eastAsia="ja-JP"/>
        </w:rPr>
        <w:t xml:space="preserve"> </w:t>
      </w:r>
      <w:r>
        <w:rPr>
          <w:lang w:eastAsia="ja-JP"/>
        </w:rPr>
        <w:t>studies</w:t>
      </w:r>
      <w:r w:rsidR="000159A6">
        <w:rPr>
          <w:lang w:eastAsia="ja-JP"/>
        </w:rPr>
        <w:t xml:space="preserve"> </w:t>
      </w:r>
      <w:r>
        <w:rPr>
          <w:lang w:eastAsia="ja-JP"/>
        </w:rPr>
        <w:t>apart</w:t>
      </w:r>
      <w:r w:rsidR="000159A6">
        <w:rPr>
          <w:lang w:eastAsia="ja-JP"/>
        </w:rPr>
        <w:t xml:space="preserve"> </w:t>
      </w:r>
      <w:r>
        <w:rPr>
          <w:lang w:eastAsia="ja-JP"/>
        </w:rPr>
        <w:t>from</w:t>
      </w:r>
      <w:r w:rsidR="000159A6">
        <w:rPr>
          <w:lang w:eastAsia="ja-JP"/>
        </w:rPr>
        <w:t xml:space="preserve"> </w:t>
      </w:r>
      <w:r>
        <w:rPr>
          <w:lang w:eastAsia="ja-JP"/>
        </w:rPr>
        <w:t>body</w:t>
      </w:r>
      <w:r w:rsidR="000159A6">
        <w:rPr>
          <w:lang w:eastAsia="ja-JP"/>
        </w:rPr>
        <w:t xml:space="preserve"> </w:t>
      </w:r>
      <w:r>
        <w:rPr>
          <w:lang w:eastAsia="ja-JP"/>
        </w:rPr>
        <w:t>temperature</w:t>
      </w:r>
      <w:r w:rsidR="000159A6">
        <w:rPr>
          <w:lang w:eastAsia="ja-JP"/>
        </w:rPr>
        <w:t xml:space="preserve"> </w:t>
      </w:r>
      <w:r>
        <w:rPr>
          <w:lang w:eastAsia="ja-JP"/>
        </w:rPr>
        <w:t>which</w:t>
      </w:r>
      <w:r w:rsidR="000159A6">
        <w:rPr>
          <w:lang w:eastAsia="ja-JP"/>
        </w:rPr>
        <w:t xml:space="preserve"> </w:t>
      </w:r>
      <w:r>
        <w:rPr>
          <w:lang w:eastAsia="ja-JP"/>
        </w:rPr>
        <w:t>was</w:t>
      </w:r>
      <w:r w:rsidR="000159A6">
        <w:rPr>
          <w:lang w:eastAsia="ja-JP"/>
        </w:rPr>
        <w:t xml:space="preserve"> </w:t>
      </w:r>
      <w:r>
        <w:rPr>
          <w:lang w:eastAsia="ja-JP"/>
        </w:rPr>
        <w:t>ascertained</w:t>
      </w:r>
      <w:r w:rsidR="000159A6">
        <w:rPr>
          <w:lang w:eastAsia="ja-JP"/>
        </w:rPr>
        <w:t xml:space="preserve"> </w:t>
      </w:r>
      <w:r>
        <w:rPr>
          <w:lang w:eastAsia="ja-JP"/>
        </w:rPr>
        <w:t>prior</w:t>
      </w:r>
      <w:r w:rsidR="000159A6">
        <w:rPr>
          <w:lang w:eastAsia="ja-JP"/>
        </w:rPr>
        <w:t xml:space="preserve"> </w:t>
      </w:r>
      <w:r>
        <w:rPr>
          <w:lang w:eastAsia="ja-JP"/>
        </w:rPr>
        <w:t>to</w:t>
      </w:r>
      <w:r w:rsidR="000159A6">
        <w:rPr>
          <w:lang w:eastAsia="ja-JP"/>
        </w:rPr>
        <w:t xml:space="preserve"> </w:t>
      </w:r>
      <w:r>
        <w:rPr>
          <w:lang w:eastAsia="ja-JP"/>
        </w:rPr>
        <w:t>each</w:t>
      </w:r>
      <w:r w:rsidR="000159A6">
        <w:rPr>
          <w:lang w:eastAsia="ja-JP"/>
        </w:rPr>
        <w:t xml:space="preserve"> </w:t>
      </w:r>
      <w:r>
        <w:rPr>
          <w:lang w:eastAsia="ja-JP"/>
        </w:rPr>
        <w:t>vaccination.</w:t>
      </w:r>
      <w:r w:rsidR="000159A6">
        <w:rPr>
          <w:lang w:eastAsia="ja-JP"/>
        </w:rPr>
        <w:t xml:space="preserve"> </w:t>
      </w:r>
      <w:r>
        <w:rPr>
          <w:lang w:eastAsia="ja-JP"/>
        </w:rPr>
        <w:t>Clinical</w:t>
      </w:r>
      <w:r w:rsidR="000159A6">
        <w:rPr>
          <w:lang w:eastAsia="ja-JP"/>
        </w:rPr>
        <w:t xml:space="preserve"> </w:t>
      </w:r>
      <w:r>
        <w:rPr>
          <w:lang w:eastAsia="ja-JP"/>
        </w:rPr>
        <w:t>examination</w:t>
      </w:r>
      <w:r w:rsidR="000159A6">
        <w:rPr>
          <w:lang w:eastAsia="ja-JP"/>
        </w:rPr>
        <w:t xml:space="preserve"> </w:t>
      </w:r>
      <w:r>
        <w:rPr>
          <w:lang w:eastAsia="ja-JP"/>
        </w:rPr>
        <w:t>was</w:t>
      </w:r>
      <w:r w:rsidR="000159A6">
        <w:rPr>
          <w:lang w:eastAsia="ja-JP"/>
        </w:rPr>
        <w:t xml:space="preserve"> </w:t>
      </w:r>
      <w:r>
        <w:rPr>
          <w:lang w:eastAsia="ja-JP"/>
        </w:rPr>
        <w:t>performed</w:t>
      </w:r>
      <w:r w:rsidR="000159A6">
        <w:rPr>
          <w:lang w:eastAsia="ja-JP"/>
        </w:rPr>
        <w:t xml:space="preserve"> </w:t>
      </w:r>
      <w:r>
        <w:rPr>
          <w:lang w:eastAsia="ja-JP"/>
        </w:rPr>
        <w:t>at</w:t>
      </w:r>
      <w:r w:rsidR="000159A6">
        <w:rPr>
          <w:lang w:eastAsia="ja-JP"/>
        </w:rPr>
        <w:t xml:space="preserve"> </w:t>
      </w:r>
      <w:r>
        <w:rPr>
          <w:lang w:eastAsia="ja-JP"/>
        </w:rPr>
        <w:t>study</w:t>
      </w:r>
      <w:r w:rsidR="000159A6">
        <w:rPr>
          <w:lang w:eastAsia="ja-JP"/>
        </w:rPr>
        <w:t xml:space="preserve"> </w:t>
      </w:r>
      <w:r>
        <w:rPr>
          <w:lang w:eastAsia="ja-JP"/>
        </w:rPr>
        <w:t>entry</w:t>
      </w:r>
      <w:r w:rsidR="000159A6">
        <w:rPr>
          <w:lang w:eastAsia="ja-JP"/>
        </w:rPr>
        <w:t xml:space="preserve"> </w:t>
      </w:r>
      <w:r>
        <w:rPr>
          <w:lang w:eastAsia="ja-JP"/>
        </w:rPr>
        <w:t>if</w:t>
      </w:r>
      <w:r w:rsidR="000159A6">
        <w:rPr>
          <w:lang w:eastAsia="ja-JP"/>
        </w:rPr>
        <w:t xml:space="preserve"> </w:t>
      </w:r>
      <w:r>
        <w:rPr>
          <w:lang w:eastAsia="ja-JP"/>
        </w:rPr>
        <w:t>indicated</w:t>
      </w:r>
      <w:r w:rsidR="000159A6">
        <w:rPr>
          <w:lang w:eastAsia="ja-JP"/>
        </w:rPr>
        <w:t xml:space="preserve"> </w:t>
      </w:r>
      <w:r>
        <w:rPr>
          <w:lang w:eastAsia="ja-JP"/>
        </w:rPr>
        <w:t>from</w:t>
      </w:r>
      <w:r w:rsidR="000159A6">
        <w:rPr>
          <w:lang w:eastAsia="ja-JP"/>
        </w:rPr>
        <w:t xml:space="preserve"> </w:t>
      </w:r>
      <w:r>
        <w:rPr>
          <w:lang w:eastAsia="ja-JP"/>
        </w:rPr>
        <w:t>the</w:t>
      </w:r>
      <w:r w:rsidR="000159A6">
        <w:rPr>
          <w:lang w:eastAsia="ja-JP"/>
        </w:rPr>
        <w:t xml:space="preserve"> </w:t>
      </w:r>
      <w:r>
        <w:rPr>
          <w:lang w:eastAsia="ja-JP"/>
        </w:rPr>
        <w:t>medical</w:t>
      </w:r>
      <w:r w:rsidR="000159A6">
        <w:rPr>
          <w:lang w:eastAsia="ja-JP"/>
        </w:rPr>
        <w:t xml:space="preserve"> </w:t>
      </w:r>
      <w:r>
        <w:rPr>
          <w:lang w:eastAsia="ja-JP"/>
        </w:rPr>
        <w:t>history.</w:t>
      </w:r>
      <w:r w:rsidR="000159A6">
        <w:rPr>
          <w:lang w:eastAsia="ja-JP"/>
        </w:rPr>
        <w:t xml:space="preserve"> </w:t>
      </w:r>
      <w:r>
        <w:rPr>
          <w:lang w:eastAsia="ja-JP"/>
        </w:rPr>
        <w:t>Clinically</w:t>
      </w:r>
      <w:r w:rsidR="000159A6">
        <w:rPr>
          <w:lang w:eastAsia="ja-JP"/>
        </w:rPr>
        <w:t xml:space="preserve"> </w:t>
      </w:r>
      <w:r>
        <w:rPr>
          <w:lang w:eastAsia="ja-JP"/>
        </w:rPr>
        <w:t>significant</w:t>
      </w:r>
      <w:r w:rsidR="000159A6">
        <w:rPr>
          <w:lang w:eastAsia="ja-JP"/>
        </w:rPr>
        <w:t xml:space="preserve"> </w:t>
      </w:r>
      <w:r>
        <w:rPr>
          <w:lang w:eastAsia="ja-JP"/>
        </w:rPr>
        <w:t>abnormalities</w:t>
      </w:r>
      <w:r w:rsidR="000159A6">
        <w:rPr>
          <w:lang w:eastAsia="ja-JP"/>
        </w:rPr>
        <w:t xml:space="preserve"> </w:t>
      </w:r>
      <w:r>
        <w:rPr>
          <w:lang w:eastAsia="ja-JP"/>
        </w:rPr>
        <w:t>during</w:t>
      </w:r>
      <w:r w:rsidR="000159A6">
        <w:rPr>
          <w:lang w:eastAsia="ja-JP"/>
        </w:rPr>
        <w:t xml:space="preserve"> </w:t>
      </w:r>
      <w:r>
        <w:rPr>
          <w:lang w:eastAsia="ja-JP"/>
        </w:rPr>
        <w:t>the</w:t>
      </w:r>
      <w:r w:rsidR="000159A6">
        <w:rPr>
          <w:lang w:eastAsia="ja-JP"/>
        </w:rPr>
        <w:t xml:space="preserve"> </w:t>
      </w:r>
      <w:r>
        <w:rPr>
          <w:lang w:eastAsia="ja-JP"/>
        </w:rPr>
        <w:t>study</w:t>
      </w:r>
      <w:r w:rsidR="000159A6">
        <w:rPr>
          <w:lang w:eastAsia="ja-JP"/>
        </w:rPr>
        <w:t xml:space="preserve"> </w:t>
      </w:r>
      <w:r>
        <w:rPr>
          <w:lang w:eastAsia="ja-JP"/>
        </w:rPr>
        <w:t>were</w:t>
      </w:r>
      <w:r w:rsidR="000159A6">
        <w:rPr>
          <w:lang w:eastAsia="ja-JP"/>
        </w:rPr>
        <w:t xml:space="preserve"> </w:t>
      </w:r>
      <w:r>
        <w:rPr>
          <w:lang w:eastAsia="ja-JP"/>
        </w:rPr>
        <w:t>reported</w:t>
      </w:r>
      <w:r w:rsidR="000159A6">
        <w:rPr>
          <w:lang w:eastAsia="ja-JP"/>
        </w:rPr>
        <w:t xml:space="preserve"> </w:t>
      </w:r>
      <w:r>
        <w:rPr>
          <w:lang w:eastAsia="ja-JP"/>
        </w:rPr>
        <w:t>as</w:t>
      </w:r>
      <w:r w:rsidR="000159A6">
        <w:rPr>
          <w:lang w:eastAsia="ja-JP"/>
        </w:rPr>
        <w:t xml:space="preserve"> </w:t>
      </w:r>
      <w:r>
        <w:rPr>
          <w:lang w:eastAsia="ja-JP"/>
        </w:rPr>
        <w:t>AEs</w:t>
      </w:r>
      <w:r w:rsidR="000159A6">
        <w:rPr>
          <w:lang w:eastAsia="ja-JP"/>
        </w:rPr>
        <w:t xml:space="preserve"> </w:t>
      </w:r>
      <w:r>
        <w:rPr>
          <w:lang w:eastAsia="ja-JP"/>
        </w:rPr>
        <w:t>as</w:t>
      </w:r>
      <w:r w:rsidR="000159A6">
        <w:rPr>
          <w:lang w:eastAsia="ja-JP"/>
        </w:rPr>
        <w:t xml:space="preserve"> </w:t>
      </w:r>
      <w:r>
        <w:rPr>
          <w:lang w:eastAsia="ja-JP"/>
        </w:rPr>
        <w:t>appropriate.</w:t>
      </w:r>
    </w:p>
    <w:p w14:paraId="4E8D073B" w14:textId="13D0A329" w:rsidR="0091081C" w:rsidRPr="00C95B23" w:rsidRDefault="0091081C" w:rsidP="00C95B23">
      <w:pPr>
        <w:pStyle w:val="Heading4"/>
      </w:pPr>
      <w:bookmarkStart w:id="178" w:name="_Toc241374322"/>
      <w:bookmarkStart w:id="179" w:name="_Ref272331212"/>
      <w:bookmarkStart w:id="180" w:name="_Toc272414687"/>
      <w:bookmarkStart w:id="181" w:name="_Toc290888551"/>
      <w:bookmarkStart w:id="182" w:name="_Toc416353766"/>
      <w:bookmarkStart w:id="183" w:name="_Toc421005309"/>
      <w:bookmarkStart w:id="184" w:name="_Toc432079180"/>
      <w:bookmarkStart w:id="185" w:name="_Toc432080753"/>
      <w:bookmarkStart w:id="186" w:name="_Toc507578057"/>
      <w:bookmarkEnd w:id="176"/>
      <w:bookmarkEnd w:id="177"/>
      <w:r w:rsidRPr="00C95B23">
        <w:t>Safety</w:t>
      </w:r>
      <w:r w:rsidR="000159A6" w:rsidRPr="00C95B23">
        <w:t xml:space="preserve"> </w:t>
      </w:r>
      <w:r w:rsidRPr="00C95B23">
        <w:t>in</w:t>
      </w:r>
      <w:r w:rsidR="000159A6" w:rsidRPr="00C95B23">
        <w:t xml:space="preserve"> </w:t>
      </w:r>
      <w:r w:rsidRPr="00C95B23">
        <w:t>special</w:t>
      </w:r>
      <w:r w:rsidR="000159A6" w:rsidRPr="00C95B23">
        <w:t xml:space="preserve"> </w:t>
      </w:r>
      <w:r w:rsidRPr="00C95B23">
        <w:t>populations</w:t>
      </w:r>
      <w:bookmarkEnd w:id="178"/>
      <w:bookmarkEnd w:id="179"/>
      <w:bookmarkEnd w:id="180"/>
      <w:bookmarkEnd w:id="181"/>
      <w:bookmarkEnd w:id="182"/>
      <w:bookmarkEnd w:id="183"/>
      <w:bookmarkEnd w:id="184"/>
      <w:bookmarkEnd w:id="185"/>
      <w:bookmarkEnd w:id="186"/>
    </w:p>
    <w:p w14:paraId="1CF658D5" w14:textId="77777777" w:rsidR="0091081C" w:rsidRPr="00C95B23" w:rsidRDefault="0091081C" w:rsidP="00541F41">
      <w:pPr>
        <w:pStyle w:val="Heading5"/>
      </w:pPr>
      <w:r w:rsidRPr="00541F41">
        <w:t>Immunocompromised</w:t>
      </w:r>
    </w:p>
    <w:p w14:paraId="2573E02E" w14:textId="3F608C2D" w:rsidR="0091081C" w:rsidRDefault="0091081C" w:rsidP="00541F41">
      <w:pPr>
        <w:rPr>
          <w:lang w:eastAsia="ja-JP"/>
        </w:rPr>
      </w:pPr>
      <w:r>
        <w:rPr>
          <w:lang w:eastAsia="ja-JP"/>
        </w:rPr>
        <w:t>Studies</w:t>
      </w:r>
      <w:r w:rsidR="000159A6">
        <w:rPr>
          <w:lang w:eastAsia="ja-JP"/>
        </w:rPr>
        <w:t xml:space="preserve"> </w:t>
      </w:r>
      <w:r>
        <w:rPr>
          <w:lang w:eastAsia="ja-JP"/>
        </w:rPr>
        <w:t>ZOSTER-001</w:t>
      </w:r>
      <w:r w:rsidR="000159A6">
        <w:rPr>
          <w:lang w:eastAsia="ja-JP"/>
        </w:rPr>
        <w:t xml:space="preserve"> </w:t>
      </w:r>
      <w:r>
        <w:rPr>
          <w:lang w:eastAsia="ja-JP"/>
        </w:rPr>
        <w:t>and</w:t>
      </w:r>
      <w:r w:rsidR="000159A6">
        <w:rPr>
          <w:lang w:eastAsia="ja-JP"/>
        </w:rPr>
        <w:t xml:space="preserve"> </w:t>
      </w:r>
      <w:r>
        <w:rPr>
          <w:lang w:eastAsia="ja-JP"/>
        </w:rPr>
        <w:t>ZOSTER-015</w:t>
      </w:r>
      <w:r w:rsidR="000159A6">
        <w:rPr>
          <w:lang w:eastAsia="ja-JP"/>
        </w:rPr>
        <w:t xml:space="preserve"> </w:t>
      </w:r>
      <w:r>
        <w:rPr>
          <w:lang w:eastAsia="ja-JP"/>
        </w:rPr>
        <w:t>assessed</w:t>
      </w:r>
      <w:r w:rsidR="000159A6">
        <w:rPr>
          <w:lang w:eastAsia="ja-JP"/>
        </w:rPr>
        <w:t xml:space="preserve"> </w:t>
      </w:r>
      <w:r>
        <w:rPr>
          <w:lang w:eastAsia="ja-JP"/>
        </w:rPr>
        <w:t>the</w:t>
      </w:r>
      <w:r w:rsidR="000159A6">
        <w:rPr>
          <w:lang w:eastAsia="ja-JP"/>
        </w:rPr>
        <w:t xml:space="preserve"> </w:t>
      </w:r>
      <w:r>
        <w:rPr>
          <w:lang w:eastAsia="ja-JP"/>
        </w:rPr>
        <w:t>vaccine</w:t>
      </w:r>
      <w:r w:rsidR="000159A6">
        <w:rPr>
          <w:lang w:eastAsia="ja-JP"/>
        </w:rPr>
        <w:t xml:space="preserve"> </w:t>
      </w:r>
      <w:r>
        <w:rPr>
          <w:lang w:eastAsia="ja-JP"/>
        </w:rPr>
        <w:t>in</w:t>
      </w:r>
      <w:r w:rsidR="000159A6">
        <w:rPr>
          <w:lang w:eastAsia="ja-JP"/>
        </w:rPr>
        <w:t xml:space="preserve"> </w:t>
      </w:r>
      <w:proofErr w:type="gramStart"/>
      <w:r>
        <w:rPr>
          <w:lang w:eastAsia="ja-JP"/>
        </w:rPr>
        <w:t>adults</w:t>
      </w:r>
      <w:proofErr w:type="gramEnd"/>
      <w:r w:rsidR="000159A6">
        <w:rPr>
          <w:lang w:eastAsia="ja-JP"/>
        </w:rPr>
        <w:t xml:space="preserve"> </w:t>
      </w:r>
      <w:r w:rsidR="0037169B">
        <w:rPr>
          <w:lang w:eastAsia="ja-JP"/>
        </w:rPr>
        <w:t>≥</w:t>
      </w:r>
      <w:r w:rsidR="000159A6">
        <w:rPr>
          <w:lang w:eastAsia="ja-JP"/>
        </w:rPr>
        <w:t xml:space="preserve"> </w:t>
      </w:r>
      <w:r>
        <w:rPr>
          <w:lang w:eastAsia="ja-JP"/>
        </w:rPr>
        <w:t>18</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who</w:t>
      </w:r>
      <w:r w:rsidR="000159A6">
        <w:rPr>
          <w:lang w:eastAsia="ja-JP"/>
        </w:rPr>
        <w:t xml:space="preserve"> </w:t>
      </w:r>
      <w:r>
        <w:rPr>
          <w:lang w:eastAsia="ja-JP"/>
        </w:rPr>
        <w:t>had</w:t>
      </w:r>
      <w:r w:rsidR="000159A6">
        <w:rPr>
          <w:lang w:eastAsia="ja-JP"/>
        </w:rPr>
        <w:t xml:space="preserve"> </w:t>
      </w:r>
      <w:r>
        <w:rPr>
          <w:lang w:eastAsia="ja-JP"/>
        </w:rPr>
        <w:t>received</w:t>
      </w:r>
      <w:r w:rsidR="000159A6">
        <w:rPr>
          <w:lang w:eastAsia="ja-JP"/>
        </w:rPr>
        <w:t xml:space="preserve"> </w:t>
      </w:r>
      <w:r>
        <w:rPr>
          <w:lang w:eastAsia="ja-JP"/>
        </w:rPr>
        <w:t>an</w:t>
      </w:r>
      <w:r w:rsidR="000159A6">
        <w:rPr>
          <w:lang w:eastAsia="ja-JP"/>
        </w:rPr>
        <w:t xml:space="preserve"> </w:t>
      </w:r>
      <w:r w:rsidR="00525235">
        <w:rPr>
          <w:lang w:eastAsia="ja-JP"/>
        </w:rPr>
        <w:t>autologous</w:t>
      </w:r>
      <w:r w:rsidR="000159A6">
        <w:rPr>
          <w:lang w:eastAsia="ja-JP"/>
        </w:rPr>
        <w:t xml:space="preserve"> </w:t>
      </w:r>
      <w:r w:rsidR="00525235">
        <w:t>haematopoietic</w:t>
      </w:r>
      <w:r w:rsidR="000159A6">
        <w:t xml:space="preserve"> </w:t>
      </w:r>
      <w:r w:rsidR="00525235">
        <w:t>stem</w:t>
      </w:r>
      <w:r w:rsidR="000159A6">
        <w:t xml:space="preserve"> </w:t>
      </w:r>
      <w:r w:rsidR="00525235">
        <w:t>cell</w:t>
      </w:r>
      <w:r w:rsidR="000159A6">
        <w:t xml:space="preserve"> </w:t>
      </w:r>
      <w:r w:rsidR="00525235">
        <w:t>transplant</w:t>
      </w:r>
      <w:r w:rsidR="000159A6">
        <w:rPr>
          <w:lang w:eastAsia="ja-JP"/>
        </w:rPr>
        <w:t xml:space="preserve"> </w:t>
      </w:r>
      <w:r w:rsidR="00525235">
        <w:rPr>
          <w:lang w:eastAsia="ja-JP"/>
        </w:rPr>
        <w:t>(</w:t>
      </w:r>
      <w:r>
        <w:rPr>
          <w:lang w:eastAsia="ja-JP"/>
        </w:rPr>
        <w:t>HCT</w:t>
      </w:r>
      <w:r w:rsidR="00525235">
        <w:rPr>
          <w:lang w:eastAsia="ja-JP"/>
        </w:rPr>
        <w:t>)</w:t>
      </w:r>
      <w:r w:rsidR="000159A6">
        <w:rPr>
          <w:lang w:eastAsia="ja-JP"/>
        </w:rPr>
        <w:t xml:space="preserve"> </w:t>
      </w:r>
      <w:r>
        <w:rPr>
          <w:lang w:eastAsia="ja-JP"/>
        </w:rPr>
        <w:t>and</w:t>
      </w:r>
      <w:r w:rsidR="000159A6">
        <w:rPr>
          <w:lang w:eastAsia="ja-JP"/>
        </w:rPr>
        <w:t xml:space="preserve"> </w:t>
      </w:r>
      <w:r>
        <w:rPr>
          <w:lang w:eastAsia="ja-JP"/>
        </w:rPr>
        <w:t>or</w:t>
      </w:r>
      <w:r w:rsidR="000159A6">
        <w:rPr>
          <w:lang w:eastAsia="ja-JP"/>
        </w:rPr>
        <w:t xml:space="preserve"> </w:t>
      </w:r>
      <w:r>
        <w:rPr>
          <w:lang w:eastAsia="ja-JP"/>
        </w:rPr>
        <w:t>who</w:t>
      </w:r>
      <w:r w:rsidR="000159A6">
        <w:rPr>
          <w:lang w:eastAsia="ja-JP"/>
        </w:rPr>
        <w:t xml:space="preserve"> </w:t>
      </w:r>
      <w:r>
        <w:rPr>
          <w:lang w:eastAsia="ja-JP"/>
        </w:rPr>
        <w:t>had</w:t>
      </w:r>
      <w:r w:rsidR="000159A6">
        <w:rPr>
          <w:lang w:eastAsia="ja-JP"/>
        </w:rPr>
        <w:t xml:space="preserve"> </w:t>
      </w:r>
      <w:r>
        <w:rPr>
          <w:lang w:eastAsia="ja-JP"/>
        </w:rPr>
        <w:t>HIV</w:t>
      </w:r>
      <w:r w:rsidR="000159A6">
        <w:rPr>
          <w:lang w:eastAsia="ja-JP"/>
        </w:rPr>
        <w:t xml:space="preserve"> </w:t>
      </w:r>
      <w:r>
        <w:rPr>
          <w:lang w:eastAsia="ja-JP"/>
        </w:rPr>
        <w:t>infection,</w:t>
      </w:r>
      <w:r w:rsidR="000159A6">
        <w:rPr>
          <w:lang w:eastAsia="ja-JP"/>
        </w:rPr>
        <w:t xml:space="preserve"> </w:t>
      </w:r>
      <w:r>
        <w:rPr>
          <w:lang w:eastAsia="ja-JP"/>
        </w:rPr>
        <w:t>respectively.</w:t>
      </w:r>
      <w:r w:rsidR="000159A6">
        <w:rPr>
          <w:lang w:eastAsia="ja-JP"/>
        </w:rPr>
        <w:t xml:space="preserve"> </w:t>
      </w:r>
      <w:r>
        <w:rPr>
          <w:lang w:eastAsia="ja-JP"/>
        </w:rPr>
        <w:t>In</w:t>
      </w:r>
      <w:r w:rsidR="000159A6">
        <w:rPr>
          <w:lang w:eastAsia="ja-JP"/>
        </w:rPr>
        <w:t xml:space="preserve"> </w:t>
      </w:r>
      <w:r w:rsidR="00525235">
        <w:rPr>
          <w:lang w:eastAsia="ja-JP"/>
        </w:rPr>
        <w:t>Study</w:t>
      </w:r>
      <w:r w:rsidR="000159A6">
        <w:rPr>
          <w:lang w:eastAsia="ja-JP"/>
        </w:rPr>
        <w:t xml:space="preserve"> </w:t>
      </w:r>
      <w:r w:rsidR="00525235">
        <w:rPr>
          <w:lang w:eastAsia="ja-JP"/>
        </w:rPr>
        <w:t>ZOSTER</w:t>
      </w:r>
      <w:r>
        <w:rPr>
          <w:lang w:eastAsia="ja-JP"/>
        </w:rPr>
        <w:t>-001,</w:t>
      </w:r>
      <w:r w:rsidR="000159A6">
        <w:rPr>
          <w:lang w:eastAsia="ja-JP"/>
        </w:rPr>
        <w:t xml:space="preserve"> </w:t>
      </w:r>
      <w:r>
        <w:rPr>
          <w:lang w:eastAsia="ja-JP"/>
        </w:rPr>
        <w:t>vaccine</w:t>
      </w:r>
      <w:r w:rsidR="000159A6">
        <w:rPr>
          <w:lang w:eastAsia="ja-JP"/>
        </w:rPr>
        <w:t xml:space="preserve"> </w:t>
      </w:r>
      <w:r>
        <w:rPr>
          <w:lang w:eastAsia="ja-JP"/>
        </w:rPr>
        <w:t>was</w:t>
      </w:r>
      <w:r w:rsidR="000159A6">
        <w:rPr>
          <w:lang w:eastAsia="ja-JP"/>
        </w:rPr>
        <w:t xml:space="preserve"> </w:t>
      </w:r>
      <w:r>
        <w:rPr>
          <w:lang w:eastAsia="ja-JP"/>
        </w:rPr>
        <w:t>tolerated</w:t>
      </w:r>
      <w:r w:rsidR="000159A6">
        <w:rPr>
          <w:lang w:eastAsia="ja-JP"/>
        </w:rPr>
        <w:t xml:space="preserve"> </w:t>
      </w:r>
      <w:r>
        <w:rPr>
          <w:lang w:eastAsia="ja-JP"/>
        </w:rPr>
        <w:t>with</w:t>
      </w:r>
      <w:r w:rsidR="000159A6">
        <w:rPr>
          <w:lang w:eastAsia="ja-JP"/>
        </w:rPr>
        <w:t xml:space="preserve"> </w:t>
      </w:r>
      <w:r>
        <w:rPr>
          <w:lang w:eastAsia="ja-JP"/>
        </w:rPr>
        <w:t>no</w:t>
      </w:r>
      <w:r w:rsidR="000159A6">
        <w:rPr>
          <w:lang w:eastAsia="ja-JP"/>
        </w:rPr>
        <w:t xml:space="preserve"> </w:t>
      </w:r>
      <w:r>
        <w:rPr>
          <w:lang w:eastAsia="ja-JP"/>
        </w:rPr>
        <w:t>evident</w:t>
      </w:r>
      <w:r w:rsidR="000159A6">
        <w:rPr>
          <w:lang w:eastAsia="ja-JP"/>
        </w:rPr>
        <w:t xml:space="preserve"> </w:t>
      </w:r>
      <w:r>
        <w:rPr>
          <w:lang w:eastAsia="ja-JP"/>
        </w:rPr>
        <w:t>safety</w:t>
      </w:r>
      <w:r w:rsidR="000159A6">
        <w:rPr>
          <w:lang w:eastAsia="ja-JP"/>
        </w:rPr>
        <w:t xml:space="preserve"> </w:t>
      </w:r>
      <w:r>
        <w:rPr>
          <w:lang w:eastAsia="ja-JP"/>
        </w:rPr>
        <w:t>signals</w:t>
      </w:r>
      <w:r w:rsidR="000159A6">
        <w:rPr>
          <w:lang w:eastAsia="ja-JP"/>
        </w:rPr>
        <w:t xml:space="preserve"> </w:t>
      </w:r>
      <w:r>
        <w:rPr>
          <w:lang w:eastAsia="ja-JP"/>
        </w:rPr>
        <w:t>apart</w:t>
      </w:r>
      <w:r w:rsidR="000159A6">
        <w:rPr>
          <w:lang w:eastAsia="ja-JP"/>
        </w:rPr>
        <w:t xml:space="preserve"> </w:t>
      </w:r>
      <w:r>
        <w:rPr>
          <w:lang w:eastAsia="ja-JP"/>
        </w:rPr>
        <w:t>from</w:t>
      </w:r>
      <w:r w:rsidR="000159A6">
        <w:rPr>
          <w:lang w:eastAsia="ja-JP"/>
        </w:rPr>
        <w:t xml:space="preserve"> </w:t>
      </w:r>
      <w:r>
        <w:rPr>
          <w:lang w:eastAsia="ja-JP"/>
        </w:rPr>
        <w:t>an</w:t>
      </w:r>
      <w:r w:rsidR="000159A6">
        <w:rPr>
          <w:lang w:eastAsia="ja-JP"/>
        </w:rPr>
        <w:t xml:space="preserve"> </w:t>
      </w:r>
      <w:r>
        <w:rPr>
          <w:lang w:eastAsia="ja-JP"/>
        </w:rPr>
        <w:t>increase</w:t>
      </w:r>
      <w:r w:rsidR="000159A6">
        <w:rPr>
          <w:lang w:eastAsia="ja-JP"/>
        </w:rPr>
        <w:t xml:space="preserve"> </w:t>
      </w:r>
      <w:r>
        <w:rPr>
          <w:lang w:eastAsia="ja-JP"/>
        </w:rPr>
        <w:t>in</w:t>
      </w:r>
      <w:r w:rsidR="000159A6">
        <w:rPr>
          <w:lang w:eastAsia="ja-JP"/>
        </w:rPr>
        <w:t xml:space="preserve"> </w:t>
      </w:r>
      <w:r>
        <w:rPr>
          <w:lang w:eastAsia="ja-JP"/>
        </w:rPr>
        <w:t>symptoms</w:t>
      </w:r>
      <w:r w:rsidR="000159A6">
        <w:rPr>
          <w:lang w:eastAsia="ja-JP"/>
        </w:rPr>
        <w:t xml:space="preserve"> </w:t>
      </w:r>
      <w:r>
        <w:rPr>
          <w:lang w:eastAsia="ja-JP"/>
        </w:rPr>
        <w:t>following</w:t>
      </w:r>
      <w:r w:rsidR="000159A6">
        <w:rPr>
          <w:lang w:eastAsia="ja-JP"/>
        </w:rPr>
        <w:t xml:space="preserve"> </w:t>
      </w:r>
      <w:r>
        <w:rPr>
          <w:lang w:eastAsia="ja-JP"/>
        </w:rPr>
        <w:t>3</w:t>
      </w:r>
      <w:r w:rsidR="000159A6">
        <w:rPr>
          <w:lang w:eastAsia="ja-JP"/>
        </w:rPr>
        <w:t xml:space="preserve"> </w:t>
      </w:r>
      <w:r>
        <w:rPr>
          <w:lang w:eastAsia="ja-JP"/>
        </w:rPr>
        <w:t>doses</w:t>
      </w:r>
      <w:r w:rsidR="000159A6">
        <w:rPr>
          <w:lang w:eastAsia="ja-JP"/>
        </w:rPr>
        <w:t xml:space="preserve"> </w:t>
      </w:r>
      <w:r>
        <w:rPr>
          <w:lang w:eastAsia="ja-JP"/>
        </w:rPr>
        <w:t>compared</w:t>
      </w:r>
      <w:r w:rsidR="000159A6">
        <w:rPr>
          <w:lang w:eastAsia="ja-JP"/>
        </w:rPr>
        <w:t xml:space="preserve"> </w:t>
      </w:r>
      <w:r>
        <w:rPr>
          <w:lang w:eastAsia="ja-JP"/>
        </w:rPr>
        <w:t>to</w:t>
      </w:r>
      <w:r w:rsidR="000159A6">
        <w:rPr>
          <w:lang w:eastAsia="ja-JP"/>
        </w:rPr>
        <w:t xml:space="preserve"> </w:t>
      </w:r>
      <w:r>
        <w:rPr>
          <w:lang w:eastAsia="ja-JP"/>
        </w:rPr>
        <w:t>two</w:t>
      </w:r>
      <w:r w:rsidR="000159A6">
        <w:rPr>
          <w:lang w:eastAsia="ja-JP"/>
        </w:rPr>
        <w:t xml:space="preserve"> </w:t>
      </w:r>
      <w:r>
        <w:rPr>
          <w:lang w:eastAsia="ja-JP"/>
        </w:rPr>
        <w:t>doses.</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9</w:t>
      </w:r>
      <w:r w:rsidR="000159A6">
        <w:rPr>
          <w:lang w:eastAsia="ja-JP"/>
        </w:rPr>
        <w:t xml:space="preserve"> </w:t>
      </w:r>
      <w:r>
        <w:rPr>
          <w:lang w:eastAsia="ja-JP"/>
        </w:rPr>
        <w:t>deaths,</w:t>
      </w:r>
      <w:r w:rsidR="000159A6">
        <w:rPr>
          <w:lang w:eastAsia="ja-JP"/>
        </w:rPr>
        <w:t xml:space="preserve"> </w:t>
      </w:r>
      <w:r>
        <w:rPr>
          <w:lang w:eastAsia="ja-JP"/>
        </w:rPr>
        <w:t>7</w:t>
      </w:r>
      <w:r w:rsidR="000159A6">
        <w:rPr>
          <w:lang w:eastAsia="ja-JP"/>
        </w:rPr>
        <w:t xml:space="preserve"> </w:t>
      </w:r>
      <w:r>
        <w:rPr>
          <w:lang w:eastAsia="ja-JP"/>
        </w:rPr>
        <w:t>from</w:t>
      </w:r>
      <w:r w:rsidR="000159A6">
        <w:rPr>
          <w:lang w:eastAsia="ja-JP"/>
        </w:rPr>
        <w:t xml:space="preserve"> </w:t>
      </w:r>
      <w:r>
        <w:rPr>
          <w:lang w:eastAsia="ja-JP"/>
        </w:rPr>
        <w:t>underlying</w:t>
      </w:r>
      <w:r w:rsidR="000159A6">
        <w:rPr>
          <w:lang w:eastAsia="ja-JP"/>
        </w:rPr>
        <w:t xml:space="preserve"> </w:t>
      </w:r>
      <w:r>
        <w:rPr>
          <w:lang w:eastAsia="ja-JP"/>
        </w:rPr>
        <w:t>malignancy</w:t>
      </w:r>
      <w:r w:rsidR="000159A6">
        <w:rPr>
          <w:lang w:eastAsia="ja-JP"/>
        </w:rPr>
        <w:t xml:space="preserve"> </w:t>
      </w:r>
      <w:r>
        <w:rPr>
          <w:lang w:eastAsia="ja-JP"/>
        </w:rPr>
        <w:t>and</w:t>
      </w:r>
      <w:r w:rsidR="000159A6">
        <w:rPr>
          <w:lang w:eastAsia="ja-JP"/>
        </w:rPr>
        <w:t xml:space="preserve"> </w:t>
      </w:r>
      <w:r>
        <w:rPr>
          <w:lang w:eastAsia="ja-JP"/>
        </w:rPr>
        <w:t>two</w:t>
      </w:r>
      <w:r w:rsidR="000159A6">
        <w:rPr>
          <w:lang w:eastAsia="ja-JP"/>
        </w:rPr>
        <w:t xml:space="preserve"> </w:t>
      </w:r>
      <w:r>
        <w:rPr>
          <w:lang w:eastAsia="ja-JP"/>
        </w:rPr>
        <w:t>of</w:t>
      </w:r>
      <w:r w:rsidR="000159A6">
        <w:rPr>
          <w:lang w:eastAsia="ja-JP"/>
        </w:rPr>
        <w:t xml:space="preserve"> </w:t>
      </w:r>
      <w:r>
        <w:rPr>
          <w:lang w:eastAsia="ja-JP"/>
        </w:rPr>
        <w:t>unknown</w:t>
      </w:r>
      <w:r w:rsidR="000159A6">
        <w:rPr>
          <w:lang w:eastAsia="ja-JP"/>
        </w:rPr>
        <w:t xml:space="preserve"> </w:t>
      </w:r>
      <w:r>
        <w:rPr>
          <w:lang w:eastAsia="ja-JP"/>
        </w:rPr>
        <w:t>cause.</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33</w:t>
      </w:r>
      <w:r w:rsidR="000159A6">
        <w:rPr>
          <w:lang w:eastAsia="ja-JP"/>
        </w:rPr>
        <w:t xml:space="preserve"> </w:t>
      </w:r>
      <w:r>
        <w:rPr>
          <w:lang w:eastAsia="ja-JP"/>
        </w:rPr>
        <w:t>subjects</w:t>
      </w:r>
      <w:r w:rsidR="000159A6">
        <w:rPr>
          <w:lang w:eastAsia="ja-JP"/>
        </w:rPr>
        <w:t xml:space="preserve"> </w:t>
      </w:r>
      <w:r>
        <w:rPr>
          <w:lang w:eastAsia="ja-JP"/>
        </w:rPr>
        <w:t>with</w:t>
      </w:r>
      <w:r w:rsidR="000159A6">
        <w:rPr>
          <w:lang w:eastAsia="ja-JP"/>
        </w:rPr>
        <w:t xml:space="preserve"> </w:t>
      </w:r>
      <w:r>
        <w:rPr>
          <w:lang w:eastAsia="ja-JP"/>
        </w:rPr>
        <w:t>an</w:t>
      </w:r>
      <w:r w:rsidR="000159A6">
        <w:rPr>
          <w:lang w:eastAsia="ja-JP"/>
        </w:rPr>
        <w:t xml:space="preserve"> </w:t>
      </w:r>
      <w:r>
        <w:rPr>
          <w:lang w:eastAsia="ja-JP"/>
        </w:rPr>
        <w:t>SAE,</w:t>
      </w:r>
      <w:r w:rsidR="000159A6">
        <w:rPr>
          <w:lang w:eastAsia="ja-JP"/>
        </w:rPr>
        <w:t xml:space="preserve"> </w:t>
      </w:r>
      <w:r>
        <w:rPr>
          <w:lang w:eastAsia="ja-JP"/>
        </w:rPr>
        <w:t>one</w:t>
      </w:r>
      <w:r w:rsidR="000159A6">
        <w:rPr>
          <w:lang w:eastAsia="ja-JP"/>
        </w:rPr>
        <w:t xml:space="preserve"> </w:t>
      </w:r>
      <w:r>
        <w:rPr>
          <w:lang w:eastAsia="ja-JP"/>
        </w:rPr>
        <w:t>(pneumonia</w:t>
      </w:r>
      <w:r w:rsidR="000159A6">
        <w:rPr>
          <w:lang w:eastAsia="ja-JP"/>
        </w:rPr>
        <w:t xml:space="preserve"> </w:t>
      </w:r>
      <w:r>
        <w:rPr>
          <w:lang w:eastAsia="ja-JP"/>
        </w:rPr>
        <w:t>in</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group)</w:t>
      </w:r>
      <w:r w:rsidR="000159A6">
        <w:rPr>
          <w:lang w:eastAsia="ja-JP"/>
        </w:rPr>
        <w:t xml:space="preserve"> </w:t>
      </w:r>
      <w:r>
        <w:rPr>
          <w:lang w:eastAsia="ja-JP"/>
        </w:rPr>
        <w:t>was</w:t>
      </w:r>
      <w:r w:rsidR="000159A6">
        <w:rPr>
          <w:lang w:eastAsia="ja-JP"/>
        </w:rPr>
        <w:t xml:space="preserve"> </w:t>
      </w:r>
      <w:r>
        <w:rPr>
          <w:lang w:eastAsia="ja-JP"/>
        </w:rPr>
        <w:t>considered</w:t>
      </w:r>
      <w:r w:rsidR="000159A6">
        <w:rPr>
          <w:lang w:eastAsia="ja-JP"/>
        </w:rPr>
        <w:t xml:space="preserve"> </w:t>
      </w:r>
      <w:r>
        <w:rPr>
          <w:lang w:eastAsia="ja-JP"/>
        </w:rPr>
        <w:t>treatment</w:t>
      </w:r>
      <w:r w:rsidR="000159A6">
        <w:rPr>
          <w:lang w:eastAsia="ja-JP"/>
        </w:rPr>
        <w:t xml:space="preserve"> </w:t>
      </w:r>
      <w:r>
        <w:rPr>
          <w:lang w:eastAsia="ja-JP"/>
        </w:rPr>
        <w:t>related.</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proofErr w:type="spellStart"/>
      <w:r>
        <w:rPr>
          <w:lang w:eastAsia="ja-JP"/>
        </w:rPr>
        <w:t>pIMDs</w:t>
      </w:r>
      <w:proofErr w:type="spellEnd"/>
      <w:r w:rsidR="000159A6">
        <w:rPr>
          <w:lang w:eastAsia="ja-JP"/>
        </w:rPr>
        <w:t xml:space="preserve"> </w:t>
      </w:r>
      <w:r>
        <w:rPr>
          <w:lang w:eastAsia="ja-JP"/>
        </w:rPr>
        <w:t>and</w:t>
      </w:r>
      <w:r w:rsidR="000159A6">
        <w:rPr>
          <w:lang w:eastAsia="ja-JP"/>
        </w:rPr>
        <w:t xml:space="preserve"> </w:t>
      </w:r>
      <w:r>
        <w:rPr>
          <w:lang w:eastAsia="ja-JP"/>
        </w:rPr>
        <w:t>two</w:t>
      </w:r>
      <w:r w:rsidR="000159A6">
        <w:rPr>
          <w:lang w:eastAsia="ja-JP"/>
        </w:rPr>
        <w:t xml:space="preserve"> </w:t>
      </w:r>
      <w:r>
        <w:rPr>
          <w:lang w:eastAsia="ja-JP"/>
        </w:rPr>
        <w:t>cases</w:t>
      </w:r>
      <w:r w:rsidR="000159A6">
        <w:rPr>
          <w:lang w:eastAsia="ja-JP"/>
        </w:rPr>
        <w:t xml:space="preserve"> </w:t>
      </w:r>
      <w:r>
        <w:rPr>
          <w:lang w:eastAsia="ja-JP"/>
        </w:rPr>
        <w:t>of</w:t>
      </w:r>
      <w:r w:rsidR="000159A6">
        <w:rPr>
          <w:lang w:eastAsia="ja-JP"/>
        </w:rPr>
        <w:t xml:space="preserve"> </w:t>
      </w:r>
      <w:r>
        <w:rPr>
          <w:lang w:eastAsia="ja-JP"/>
        </w:rPr>
        <w:t>suspected</w:t>
      </w:r>
      <w:r w:rsidR="000159A6">
        <w:rPr>
          <w:lang w:eastAsia="ja-JP"/>
        </w:rPr>
        <w:t xml:space="preserve"> </w:t>
      </w:r>
      <w:r>
        <w:rPr>
          <w:lang w:eastAsia="ja-JP"/>
        </w:rPr>
        <w:t>HZ.</w:t>
      </w:r>
    </w:p>
    <w:p w14:paraId="248BA8DA" w14:textId="7D7A9EC0" w:rsidR="0091081C" w:rsidRPr="00662A7F" w:rsidRDefault="0091081C" w:rsidP="00541F41">
      <w:pPr>
        <w:rPr>
          <w:lang w:eastAsia="ja-JP"/>
        </w:rPr>
      </w:pPr>
      <w:r>
        <w:rPr>
          <w:lang w:eastAsia="ja-JP"/>
        </w:rPr>
        <w:t>In</w:t>
      </w:r>
      <w:r w:rsidR="000159A6">
        <w:rPr>
          <w:lang w:eastAsia="ja-JP"/>
        </w:rPr>
        <w:t xml:space="preserve"> </w:t>
      </w:r>
      <w:r>
        <w:rPr>
          <w:lang w:eastAsia="ja-JP"/>
        </w:rPr>
        <w:t>HIV</w:t>
      </w:r>
      <w:r w:rsidR="000159A6">
        <w:rPr>
          <w:lang w:eastAsia="ja-JP"/>
        </w:rPr>
        <w:t xml:space="preserve"> </w:t>
      </w:r>
      <w:r>
        <w:rPr>
          <w:lang w:eastAsia="ja-JP"/>
        </w:rPr>
        <w:t>infected</w:t>
      </w:r>
      <w:r w:rsidR="000159A6">
        <w:rPr>
          <w:lang w:eastAsia="ja-JP"/>
        </w:rPr>
        <w:t xml:space="preserve"> </w:t>
      </w:r>
      <w:r>
        <w:rPr>
          <w:lang w:eastAsia="ja-JP"/>
        </w:rPr>
        <w:t>adults,</w:t>
      </w:r>
      <w:r w:rsidR="000159A6">
        <w:rPr>
          <w:lang w:eastAsia="ja-JP"/>
        </w:rPr>
        <w:t xml:space="preserve"> </w:t>
      </w:r>
      <w:r>
        <w:rPr>
          <w:lang w:eastAsia="ja-JP"/>
        </w:rPr>
        <w:t>three</w:t>
      </w:r>
      <w:r w:rsidR="000159A6">
        <w:rPr>
          <w:lang w:eastAsia="ja-JP"/>
        </w:rPr>
        <w:t xml:space="preserve"> </w:t>
      </w:r>
      <w:r>
        <w:rPr>
          <w:lang w:eastAsia="ja-JP"/>
        </w:rPr>
        <w:t>doses</w:t>
      </w:r>
      <w:r w:rsidR="000159A6">
        <w:rPr>
          <w:lang w:eastAsia="ja-JP"/>
        </w:rPr>
        <w:t xml:space="preserve"> </w:t>
      </w:r>
      <w:r>
        <w:rPr>
          <w:lang w:eastAsia="ja-JP"/>
        </w:rPr>
        <w:t>of</w:t>
      </w:r>
      <w:r w:rsidR="000159A6">
        <w:rPr>
          <w:lang w:eastAsia="ja-JP"/>
        </w:rPr>
        <w:t xml:space="preserve"> </w:t>
      </w:r>
      <w:r>
        <w:rPr>
          <w:lang w:eastAsia="ja-JP"/>
        </w:rPr>
        <w:t>vaccine</w:t>
      </w:r>
      <w:r w:rsidR="000159A6">
        <w:rPr>
          <w:lang w:eastAsia="ja-JP"/>
        </w:rPr>
        <w:t xml:space="preserve"> </w:t>
      </w:r>
      <w:r>
        <w:rPr>
          <w:lang w:eastAsia="ja-JP"/>
        </w:rPr>
        <w:t>(0</w:t>
      </w:r>
      <w:proofErr w:type="gramStart"/>
      <w:r>
        <w:rPr>
          <w:lang w:eastAsia="ja-JP"/>
        </w:rPr>
        <w:t>,2</w:t>
      </w:r>
      <w:proofErr w:type="gramEnd"/>
      <w:r>
        <w:rPr>
          <w:lang w:eastAsia="ja-JP"/>
        </w:rPr>
        <w:t>,</w:t>
      </w:r>
      <w:r w:rsidR="000159A6">
        <w:rPr>
          <w:lang w:eastAsia="ja-JP"/>
        </w:rPr>
        <w:t xml:space="preserve"> </w:t>
      </w:r>
      <w:r>
        <w:rPr>
          <w:lang w:eastAsia="ja-JP"/>
        </w:rPr>
        <w:t>6</w:t>
      </w:r>
      <w:r w:rsidR="000159A6">
        <w:rPr>
          <w:lang w:eastAsia="ja-JP"/>
        </w:rPr>
        <w:t xml:space="preserve"> </w:t>
      </w:r>
      <w:r>
        <w:rPr>
          <w:lang w:eastAsia="ja-JP"/>
        </w:rPr>
        <w:t>months)</w:t>
      </w:r>
      <w:r w:rsidR="000159A6">
        <w:rPr>
          <w:lang w:eastAsia="ja-JP"/>
        </w:rPr>
        <w:t xml:space="preserve"> </w:t>
      </w:r>
      <w:r>
        <w:rPr>
          <w:lang w:eastAsia="ja-JP"/>
        </w:rPr>
        <w:t>were</w:t>
      </w:r>
      <w:r w:rsidR="000159A6">
        <w:rPr>
          <w:lang w:eastAsia="ja-JP"/>
        </w:rPr>
        <w:t xml:space="preserve"> </w:t>
      </w:r>
      <w:r>
        <w:rPr>
          <w:lang w:eastAsia="ja-JP"/>
        </w:rPr>
        <w:t>tolerated.</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deaths</w:t>
      </w:r>
      <w:r w:rsidR="000159A6">
        <w:rPr>
          <w:lang w:eastAsia="ja-JP"/>
        </w:rPr>
        <w:t xml:space="preserve"> </w:t>
      </w:r>
      <w:r>
        <w:rPr>
          <w:lang w:eastAsia="ja-JP"/>
        </w:rPr>
        <w:t>and</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six</w:t>
      </w:r>
      <w:r w:rsidR="000159A6">
        <w:rPr>
          <w:lang w:eastAsia="ja-JP"/>
        </w:rPr>
        <w:t xml:space="preserve"> </w:t>
      </w:r>
      <w:r>
        <w:rPr>
          <w:lang w:eastAsia="ja-JP"/>
        </w:rPr>
        <w:t>(8.1%)</w:t>
      </w:r>
      <w:r w:rsidR="000159A6">
        <w:rPr>
          <w:lang w:eastAsia="ja-JP"/>
        </w:rPr>
        <w:t xml:space="preserve"> </w:t>
      </w:r>
      <w:proofErr w:type="gramStart"/>
      <w:r>
        <w:rPr>
          <w:lang w:eastAsia="ja-JP"/>
        </w:rPr>
        <w:t>SAEs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and</w:t>
      </w:r>
      <w:r w:rsidR="000159A6">
        <w:rPr>
          <w:lang w:eastAsia="ja-JP"/>
        </w:rPr>
        <w:t xml:space="preserve"> </w:t>
      </w:r>
      <w:r>
        <w:rPr>
          <w:lang w:eastAsia="ja-JP"/>
        </w:rPr>
        <w:t>2</w:t>
      </w:r>
      <w:r w:rsidR="000159A6">
        <w:rPr>
          <w:lang w:eastAsia="ja-JP"/>
        </w:rPr>
        <w:t xml:space="preserve"> </w:t>
      </w:r>
      <w:r>
        <w:rPr>
          <w:lang w:eastAsia="ja-JP"/>
        </w:rPr>
        <w:t>(4.1%)</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placebo</w:t>
      </w:r>
      <w:r w:rsidR="000159A6">
        <w:rPr>
          <w:lang w:eastAsia="ja-JP"/>
        </w:rPr>
        <w:t xml:space="preserve"> </w:t>
      </w:r>
      <w:r>
        <w:rPr>
          <w:lang w:eastAsia="ja-JP"/>
        </w:rPr>
        <w:t>group.</w:t>
      </w:r>
      <w:proofErr w:type="gramEnd"/>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one</w:t>
      </w:r>
      <w:r w:rsidR="000159A6">
        <w:rPr>
          <w:lang w:eastAsia="ja-JP"/>
        </w:rPr>
        <w:t xml:space="preserve"> </w:t>
      </w:r>
      <w:r>
        <w:rPr>
          <w:lang w:eastAsia="ja-JP"/>
        </w:rPr>
        <w:t>withdrawal</w:t>
      </w:r>
      <w:r w:rsidR="000159A6">
        <w:rPr>
          <w:lang w:eastAsia="ja-JP"/>
        </w:rPr>
        <w:t xml:space="preserve"> </w:t>
      </w:r>
      <w:r>
        <w:rPr>
          <w:lang w:eastAsia="ja-JP"/>
        </w:rPr>
        <w:t>in</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group</w:t>
      </w:r>
      <w:r w:rsidR="000159A6">
        <w:rPr>
          <w:lang w:eastAsia="ja-JP"/>
        </w:rPr>
        <w:t xml:space="preserve"> </w:t>
      </w:r>
      <w:r>
        <w:rPr>
          <w:lang w:eastAsia="ja-JP"/>
        </w:rPr>
        <w:t>from</w:t>
      </w:r>
      <w:r w:rsidR="000159A6">
        <w:rPr>
          <w:lang w:eastAsia="ja-JP"/>
        </w:rPr>
        <w:t xml:space="preserve"> </w:t>
      </w:r>
      <w:r>
        <w:rPr>
          <w:lang w:eastAsia="ja-JP"/>
        </w:rPr>
        <w:t>portal</w:t>
      </w:r>
      <w:r w:rsidR="000159A6">
        <w:rPr>
          <w:lang w:eastAsia="ja-JP"/>
        </w:rPr>
        <w:t xml:space="preserve"> </w:t>
      </w:r>
      <w:r>
        <w:rPr>
          <w:lang w:eastAsia="ja-JP"/>
        </w:rPr>
        <w:t>hypertension</w:t>
      </w:r>
      <w:r w:rsidR="000159A6">
        <w:rPr>
          <w:lang w:eastAsia="ja-JP"/>
        </w:rPr>
        <w:t xml:space="preserve"> </w:t>
      </w:r>
      <w:r>
        <w:rPr>
          <w:lang w:eastAsia="ja-JP"/>
        </w:rPr>
        <w:t>and</w:t>
      </w:r>
      <w:r w:rsidR="000159A6">
        <w:rPr>
          <w:lang w:eastAsia="ja-JP"/>
        </w:rPr>
        <w:t xml:space="preserve"> </w:t>
      </w:r>
      <w:r>
        <w:rPr>
          <w:lang w:eastAsia="ja-JP"/>
        </w:rPr>
        <w:t>oesophageal</w:t>
      </w:r>
      <w:r w:rsidR="000159A6">
        <w:rPr>
          <w:lang w:eastAsia="ja-JP"/>
        </w:rPr>
        <w:t xml:space="preserve"> </w:t>
      </w:r>
      <w:r>
        <w:rPr>
          <w:lang w:eastAsia="ja-JP"/>
        </w:rPr>
        <w:t>varices</w:t>
      </w:r>
      <w:r w:rsidR="000159A6">
        <w:rPr>
          <w:lang w:eastAsia="ja-JP"/>
        </w:rPr>
        <w:t xml:space="preserve"> </w:t>
      </w:r>
      <w:r>
        <w:rPr>
          <w:lang w:eastAsia="ja-JP"/>
        </w:rPr>
        <w:t>haemorrhage.</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proofErr w:type="spellStart"/>
      <w:r>
        <w:rPr>
          <w:lang w:eastAsia="ja-JP"/>
        </w:rPr>
        <w:t>pIMDs</w:t>
      </w:r>
      <w:proofErr w:type="spellEnd"/>
      <w:r w:rsidR="000159A6">
        <w:rPr>
          <w:lang w:eastAsia="ja-JP"/>
        </w:rPr>
        <w:t xml:space="preserve"> </w:t>
      </w:r>
      <w:r>
        <w:rPr>
          <w:lang w:eastAsia="ja-JP"/>
        </w:rPr>
        <w:t>and</w:t>
      </w:r>
      <w:r w:rsidR="000159A6">
        <w:rPr>
          <w:lang w:eastAsia="ja-JP"/>
        </w:rPr>
        <w:t xml:space="preserve"> </w:t>
      </w:r>
      <w:r>
        <w:rPr>
          <w:lang w:eastAsia="ja-JP"/>
        </w:rPr>
        <w:t>one</w:t>
      </w:r>
      <w:r w:rsidR="000159A6">
        <w:rPr>
          <w:lang w:eastAsia="ja-JP"/>
        </w:rPr>
        <w:t xml:space="preserve"> </w:t>
      </w:r>
      <w:r>
        <w:rPr>
          <w:lang w:eastAsia="ja-JP"/>
        </w:rPr>
        <w:t>case</w:t>
      </w:r>
      <w:r w:rsidR="000159A6">
        <w:rPr>
          <w:lang w:eastAsia="ja-JP"/>
        </w:rPr>
        <w:t xml:space="preserve"> </w:t>
      </w:r>
      <w:r>
        <w:rPr>
          <w:lang w:eastAsia="ja-JP"/>
        </w:rPr>
        <w:t>of</w:t>
      </w:r>
      <w:r w:rsidR="000159A6">
        <w:rPr>
          <w:lang w:eastAsia="ja-JP"/>
        </w:rPr>
        <w:t xml:space="preserve"> </w:t>
      </w:r>
      <w:r>
        <w:rPr>
          <w:lang w:eastAsia="ja-JP"/>
        </w:rPr>
        <w:t>HZ</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group.</w:t>
      </w:r>
      <w:r w:rsidR="000159A6">
        <w:rPr>
          <w:lang w:eastAsia="ja-JP"/>
        </w:rPr>
        <w:t xml:space="preserve"> </w:t>
      </w:r>
      <w:r>
        <w:rPr>
          <w:lang w:eastAsia="ja-JP"/>
        </w:rPr>
        <w:t>The</w:t>
      </w:r>
      <w:r w:rsidR="000159A6">
        <w:rPr>
          <w:lang w:eastAsia="ja-JP"/>
        </w:rPr>
        <w:t xml:space="preserve"> </w:t>
      </w:r>
      <w:r>
        <w:rPr>
          <w:lang w:eastAsia="ja-JP"/>
        </w:rPr>
        <w:t>study</w:t>
      </w:r>
      <w:r w:rsidR="000159A6">
        <w:rPr>
          <w:lang w:eastAsia="ja-JP"/>
        </w:rPr>
        <w:t xml:space="preserve"> </w:t>
      </w:r>
      <w:r>
        <w:rPr>
          <w:lang w:eastAsia="ja-JP"/>
        </w:rPr>
        <w:t>was</w:t>
      </w:r>
      <w:r w:rsidR="000159A6">
        <w:rPr>
          <w:lang w:eastAsia="ja-JP"/>
        </w:rPr>
        <w:t xml:space="preserve"> </w:t>
      </w:r>
      <w:r>
        <w:rPr>
          <w:lang w:eastAsia="ja-JP"/>
        </w:rPr>
        <w:t>put</w:t>
      </w:r>
      <w:r w:rsidR="000159A6">
        <w:rPr>
          <w:lang w:eastAsia="ja-JP"/>
        </w:rPr>
        <w:t xml:space="preserve"> </w:t>
      </w:r>
      <w:r>
        <w:rPr>
          <w:lang w:eastAsia="ja-JP"/>
        </w:rPr>
        <w:t>on</w:t>
      </w:r>
      <w:r w:rsidR="000159A6">
        <w:rPr>
          <w:lang w:eastAsia="ja-JP"/>
        </w:rPr>
        <w:t xml:space="preserve"> </w:t>
      </w:r>
      <w:r>
        <w:rPr>
          <w:lang w:eastAsia="ja-JP"/>
        </w:rPr>
        <w:t>hold</w:t>
      </w:r>
      <w:r w:rsidR="000159A6">
        <w:rPr>
          <w:lang w:eastAsia="ja-JP"/>
        </w:rPr>
        <w:t xml:space="preserve"> </w:t>
      </w:r>
      <w:r>
        <w:rPr>
          <w:lang w:eastAsia="ja-JP"/>
        </w:rPr>
        <w:t>once</w:t>
      </w:r>
      <w:r w:rsidR="000159A6">
        <w:rPr>
          <w:lang w:eastAsia="ja-JP"/>
        </w:rPr>
        <w:t xml:space="preserve"> </w:t>
      </w:r>
      <w:r>
        <w:rPr>
          <w:lang w:eastAsia="ja-JP"/>
        </w:rPr>
        <w:t>to</w:t>
      </w:r>
      <w:r w:rsidR="000159A6">
        <w:rPr>
          <w:lang w:eastAsia="ja-JP"/>
        </w:rPr>
        <w:t xml:space="preserve"> </w:t>
      </w:r>
      <w:r>
        <w:rPr>
          <w:lang w:eastAsia="ja-JP"/>
        </w:rPr>
        <w:t>review</w:t>
      </w:r>
      <w:r w:rsidR="000159A6">
        <w:rPr>
          <w:lang w:eastAsia="ja-JP"/>
        </w:rPr>
        <w:t xml:space="preserve"> </w:t>
      </w:r>
      <w:r>
        <w:rPr>
          <w:lang w:eastAsia="ja-JP"/>
        </w:rPr>
        <w:t>4</w:t>
      </w:r>
      <w:r w:rsidR="000159A6">
        <w:rPr>
          <w:lang w:eastAsia="ja-JP"/>
        </w:rPr>
        <w:t xml:space="preserve"> </w:t>
      </w:r>
      <w:r>
        <w:rPr>
          <w:lang w:eastAsia="ja-JP"/>
        </w:rPr>
        <w:t>cases</w:t>
      </w:r>
      <w:r w:rsidR="000159A6">
        <w:rPr>
          <w:lang w:eastAsia="ja-JP"/>
        </w:rPr>
        <w:t xml:space="preserve"> </w:t>
      </w:r>
      <w:r>
        <w:rPr>
          <w:lang w:eastAsia="ja-JP"/>
        </w:rPr>
        <w:t>of</w:t>
      </w:r>
      <w:r w:rsidR="000159A6">
        <w:rPr>
          <w:lang w:eastAsia="ja-JP"/>
        </w:rPr>
        <w:t xml:space="preserve"> </w:t>
      </w:r>
      <w:r>
        <w:rPr>
          <w:lang w:eastAsia="ja-JP"/>
        </w:rPr>
        <w:t>protocol-defined</w:t>
      </w:r>
      <w:r w:rsidR="000159A6">
        <w:rPr>
          <w:lang w:eastAsia="ja-JP"/>
        </w:rPr>
        <w:t xml:space="preserve"> </w:t>
      </w:r>
      <w:r>
        <w:rPr>
          <w:lang w:eastAsia="ja-JP"/>
        </w:rPr>
        <w:t>worsening</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underlying</w:t>
      </w:r>
      <w:r w:rsidR="000159A6">
        <w:rPr>
          <w:lang w:eastAsia="ja-JP"/>
        </w:rPr>
        <w:t xml:space="preserve"> </w:t>
      </w:r>
      <w:r>
        <w:rPr>
          <w:lang w:eastAsia="ja-JP"/>
        </w:rPr>
        <w:t>HIV.</w:t>
      </w:r>
      <w:r w:rsidR="000159A6">
        <w:rPr>
          <w:lang w:eastAsia="ja-JP"/>
        </w:rPr>
        <w:t xml:space="preserve"> </w:t>
      </w:r>
      <w:r>
        <w:rPr>
          <w:lang w:eastAsia="ja-JP"/>
        </w:rPr>
        <w:t>The</w:t>
      </w:r>
      <w:r w:rsidR="000159A6">
        <w:rPr>
          <w:lang w:eastAsia="ja-JP"/>
        </w:rPr>
        <w:t xml:space="preserve"> </w:t>
      </w:r>
      <w:r>
        <w:rPr>
          <w:lang w:eastAsia="ja-JP"/>
        </w:rPr>
        <w:t>study</w:t>
      </w:r>
      <w:r w:rsidR="000159A6">
        <w:rPr>
          <w:lang w:eastAsia="ja-JP"/>
        </w:rPr>
        <w:t xml:space="preserve"> </w:t>
      </w:r>
      <w:r>
        <w:rPr>
          <w:lang w:eastAsia="ja-JP"/>
        </w:rPr>
        <w:t>was</w:t>
      </w:r>
      <w:r w:rsidR="000159A6">
        <w:rPr>
          <w:lang w:eastAsia="ja-JP"/>
        </w:rPr>
        <w:t xml:space="preserve"> </w:t>
      </w:r>
      <w:r>
        <w:rPr>
          <w:lang w:eastAsia="ja-JP"/>
        </w:rPr>
        <w:t>continued</w:t>
      </w:r>
      <w:r w:rsidR="000159A6">
        <w:rPr>
          <w:lang w:eastAsia="ja-JP"/>
        </w:rPr>
        <w:t xml:space="preserve"> </w:t>
      </w:r>
      <w:r>
        <w:rPr>
          <w:lang w:eastAsia="ja-JP"/>
        </w:rPr>
        <w:t>when</w:t>
      </w:r>
      <w:r w:rsidR="000159A6">
        <w:rPr>
          <w:lang w:eastAsia="ja-JP"/>
        </w:rPr>
        <w:t xml:space="preserve"> </w:t>
      </w:r>
      <w:r>
        <w:rPr>
          <w:lang w:eastAsia="ja-JP"/>
        </w:rPr>
        <w:t>the</w:t>
      </w:r>
      <w:r w:rsidR="000159A6">
        <w:rPr>
          <w:lang w:eastAsia="ja-JP"/>
        </w:rPr>
        <w:t xml:space="preserve"> </w:t>
      </w:r>
      <w:r>
        <w:rPr>
          <w:lang w:eastAsia="ja-JP"/>
        </w:rPr>
        <w:t>review</w:t>
      </w:r>
      <w:r w:rsidR="000159A6">
        <w:rPr>
          <w:lang w:eastAsia="ja-JP"/>
        </w:rPr>
        <w:t xml:space="preserve"> </w:t>
      </w:r>
      <w:r>
        <w:rPr>
          <w:lang w:eastAsia="ja-JP"/>
        </w:rPr>
        <w:t>committee</w:t>
      </w:r>
      <w:r w:rsidR="000159A6">
        <w:rPr>
          <w:lang w:eastAsia="ja-JP"/>
        </w:rPr>
        <w:t xml:space="preserve"> </w:t>
      </w:r>
      <w:r>
        <w:rPr>
          <w:lang w:eastAsia="ja-JP"/>
        </w:rPr>
        <w:t>found</w:t>
      </w:r>
      <w:r w:rsidR="000159A6">
        <w:rPr>
          <w:lang w:eastAsia="ja-JP"/>
        </w:rPr>
        <w:t xml:space="preserve"> </w:t>
      </w:r>
      <w:r>
        <w:rPr>
          <w:lang w:eastAsia="ja-JP"/>
        </w:rPr>
        <w:t>no</w:t>
      </w:r>
      <w:r w:rsidR="000159A6">
        <w:rPr>
          <w:lang w:eastAsia="ja-JP"/>
        </w:rPr>
        <w:t xml:space="preserve"> </w:t>
      </w:r>
      <w:r>
        <w:rPr>
          <w:lang w:eastAsia="ja-JP"/>
        </w:rPr>
        <w:t>particular</w:t>
      </w:r>
      <w:r w:rsidR="000159A6">
        <w:rPr>
          <w:lang w:eastAsia="ja-JP"/>
        </w:rPr>
        <w:t xml:space="preserve"> </w:t>
      </w:r>
      <w:r>
        <w:rPr>
          <w:lang w:eastAsia="ja-JP"/>
        </w:rPr>
        <w:t>safety</w:t>
      </w:r>
      <w:r w:rsidR="000159A6">
        <w:rPr>
          <w:lang w:eastAsia="ja-JP"/>
        </w:rPr>
        <w:t xml:space="preserve"> </w:t>
      </w:r>
      <w:r>
        <w:rPr>
          <w:lang w:eastAsia="ja-JP"/>
        </w:rPr>
        <w:t>concern.</w:t>
      </w:r>
    </w:p>
    <w:p w14:paraId="0C329B69" w14:textId="7AD0BC47" w:rsidR="0091081C" w:rsidRPr="005B2FA5" w:rsidRDefault="0091081C" w:rsidP="00C049B7">
      <w:r w:rsidRPr="002D0438">
        <w:t>The</w:t>
      </w:r>
      <w:r w:rsidR="000159A6">
        <w:t xml:space="preserve"> </w:t>
      </w:r>
      <w:r w:rsidRPr="002D0438">
        <w:t>clinical</w:t>
      </w:r>
      <w:r w:rsidR="000159A6">
        <w:t xml:space="preserve"> </w:t>
      </w:r>
      <w:r w:rsidRPr="002D0438">
        <w:t>development</w:t>
      </w:r>
      <w:r w:rsidR="000159A6">
        <w:t xml:space="preserve"> </w:t>
      </w:r>
      <w:r w:rsidRPr="002D0438">
        <w:t>program</w:t>
      </w:r>
      <w:r w:rsidR="000159A6">
        <w:t xml:space="preserve"> </w:t>
      </w:r>
      <w:r w:rsidRPr="002D0438">
        <w:t>in</w:t>
      </w:r>
      <w:r w:rsidR="000159A6">
        <w:t xml:space="preserve"> </w:t>
      </w:r>
      <w:r w:rsidRPr="002D0438">
        <w:t>this</w:t>
      </w:r>
      <w:r w:rsidR="000159A6">
        <w:t xml:space="preserve"> </w:t>
      </w:r>
      <w:r w:rsidRPr="002D0438">
        <w:t>indication</w:t>
      </w:r>
      <w:r w:rsidR="000159A6">
        <w:t xml:space="preserve"> </w:t>
      </w:r>
      <w:r w:rsidRPr="002D0438">
        <w:t>is</w:t>
      </w:r>
      <w:r w:rsidR="000159A6">
        <w:t xml:space="preserve"> </w:t>
      </w:r>
      <w:r w:rsidRPr="002D0438">
        <w:t>ongoing</w:t>
      </w:r>
      <w:r w:rsidR="000159A6">
        <w:t xml:space="preserve"> </w:t>
      </w:r>
      <w:r w:rsidRPr="002D0438">
        <w:t>and</w:t>
      </w:r>
      <w:r w:rsidR="000159A6">
        <w:t xml:space="preserve"> </w:t>
      </w:r>
      <w:r w:rsidRPr="002D0438">
        <w:t>this</w:t>
      </w:r>
      <w:r w:rsidR="000159A6">
        <w:t xml:space="preserve"> </w:t>
      </w:r>
      <w:r w:rsidRPr="002D0438">
        <w:t>indication</w:t>
      </w:r>
      <w:r w:rsidR="000159A6">
        <w:t xml:space="preserve"> </w:t>
      </w:r>
      <w:r w:rsidRPr="002D0438">
        <w:t>does</w:t>
      </w:r>
      <w:r w:rsidR="000159A6">
        <w:t xml:space="preserve"> </w:t>
      </w:r>
      <w:r w:rsidRPr="002D0438">
        <w:t>not</w:t>
      </w:r>
      <w:r w:rsidR="000159A6">
        <w:t xml:space="preserve"> </w:t>
      </w:r>
      <w:r w:rsidRPr="002D0438">
        <w:t>form</w:t>
      </w:r>
      <w:r w:rsidR="000159A6">
        <w:t xml:space="preserve"> </w:t>
      </w:r>
      <w:r w:rsidRPr="002D0438">
        <w:t>part</w:t>
      </w:r>
      <w:r w:rsidR="000159A6">
        <w:t xml:space="preserve"> </w:t>
      </w:r>
      <w:r w:rsidRPr="002D0438">
        <w:t>of</w:t>
      </w:r>
      <w:r w:rsidR="000159A6">
        <w:t xml:space="preserve"> </w:t>
      </w:r>
      <w:r w:rsidRPr="002D0438">
        <w:t>this</w:t>
      </w:r>
      <w:r w:rsidR="000159A6">
        <w:t xml:space="preserve"> </w:t>
      </w:r>
      <w:r w:rsidRPr="002D0438">
        <w:t>application.</w:t>
      </w:r>
    </w:p>
    <w:p w14:paraId="74B19C16" w14:textId="5001698F" w:rsidR="0091081C" w:rsidRPr="002D0438" w:rsidRDefault="0091081C" w:rsidP="00541F41">
      <w:r w:rsidRPr="002D0438">
        <w:t>The</w:t>
      </w:r>
      <w:r w:rsidR="000159A6">
        <w:t xml:space="preserve"> </w:t>
      </w:r>
      <w:r w:rsidRPr="002D0438">
        <w:t>sponsor</w:t>
      </w:r>
      <w:r w:rsidR="000159A6">
        <w:t xml:space="preserve"> </w:t>
      </w:r>
      <w:r w:rsidRPr="002D0438">
        <w:t>reported</w:t>
      </w:r>
      <w:r w:rsidR="000159A6">
        <w:t xml:space="preserve"> </w:t>
      </w:r>
      <w:r w:rsidRPr="002D0438">
        <w:t>in</w:t>
      </w:r>
      <w:r w:rsidR="000159A6">
        <w:t xml:space="preserve"> </w:t>
      </w:r>
      <w:r w:rsidRPr="002D0438">
        <w:t>the</w:t>
      </w:r>
      <w:r w:rsidR="000159A6">
        <w:t xml:space="preserve"> </w:t>
      </w:r>
      <w:r w:rsidRPr="002D0438">
        <w:t>Clinical</w:t>
      </w:r>
      <w:r w:rsidR="000159A6">
        <w:t xml:space="preserve"> </w:t>
      </w:r>
      <w:r w:rsidRPr="002D0438">
        <w:t>Overview</w:t>
      </w:r>
      <w:r w:rsidR="000159A6">
        <w:t xml:space="preserve"> </w:t>
      </w:r>
      <w:r w:rsidRPr="002D0438">
        <w:t>that</w:t>
      </w:r>
      <w:r w:rsidR="000159A6">
        <w:t xml:space="preserve"> </w:t>
      </w:r>
      <w:r w:rsidRPr="002D0438">
        <w:t>the</w:t>
      </w:r>
      <w:r w:rsidR="000159A6">
        <w:t xml:space="preserve"> </w:t>
      </w:r>
      <w:r w:rsidR="001141E8" w:rsidRPr="002D0438">
        <w:t>Independent</w:t>
      </w:r>
      <w:r w:rsidR="000159A6">
        <w:t xml:space="preserve"> </w:t>
      </w:r>
      <w:r w:rsidR="001141E8" w:rsidRPr="002D0438">
        <w:t>Data</w:t>
      </w:r>
      <w:r w:rsidR="000159A6">
        <w:t xml:space="preserve"> </w:t>
      </w:r>
      <w:r w:rsidR="001141E8" w:rsidRPr="002D0438">
        <w:t>Monitoring</w:t>
      </w:r>
      <w:r w:rsidR="000159A6">
        <w:t xml:space="preserve"> </w:t>
      </w:r>
      <w:r w:rsidR="001141E8" w:rsidRPr="002D0438">
        <w:t>Committees</w:t>
      </w:r>
      <w:r w:rsidR="000159A6">
        <w:t xml:space="preserve"> </w:t>
      </w:r>
      <w:r w:rsidR="001141E8" w:rsidRPr="002D0438">
        <w:t>(IDMC)</w:t>
      </w:r>
      <w:r w:rsidR="000159A6">
        <w:t xml:space="preserve"> </w:t>
      </w:r>
      <w:r w:rsidRPr="002D0438">
        <w:t>overseeing</w:t>
      </w:r>
      <w:r w:rsidR="000159A6">
        <w:t xml:space="preserve"> </w:t>
      </w:r>
      <w:r w:rsidRPr="002D0438">
        <w:t>the</w:t>
      </w:r>
      <w:r w:rsidR="000159A6">
        <w:t xml:space="preserve"> </w:t>
      </w:r>
      <w:r w:rsidRPr="002D0438">
        <w:t>three</w:t>
      </w:r>
      <w:r w:rsidR="000159A6">
        <w:t xml:space="preserve"> </w:t>
      </w:r>
      <w:r w:rsidRPr="002D0438">
        <w:t>ongoing</w:t>
      </w:r>
      <w:r w:rsidR="000159A6">
        <w:t xml:space="preserve"> </w:t>
      </w:r>
      <w:r w:rsidRPr="002D0438">
        <w:t>studies</w:t>
      </w:r>
      <w:r w:rsidR="000159A6">
        <w:t xml:space="preserve"> </w:t>
      </w:r>
      <w:r w:rsidRPr="002D0438">
        <w:t>in</w:t>
      </w:r>
      <w:r w:rsidR="000159A6">
        <w:t xml:space="preserve"> </w:t>
      </w:r>
      <w:r w:rsidRPr="002D0438">
        <w:t>this</w:t>
      </w:r>
      <w:r w:rsidR="000159A6">
        <w:t xml:space="preserve"> </w:t>
      </w:r>
      <w:r w:rsidRPr="002D0438">
        <w:t>indication</w:t>
      </w:r>
      <w:r w:rsidR="000159A6">
        <w:t xml:space="preserve"> </w:t>
      </w:r>
      <w:r w:rsidRPr="002D0438">
        <w:t>have</w:t>
      </w:r>
      <w:r w:rsidR="000159A6">
        <w:t xml:space="preserve"> </w:t>
      </w:r>
      <w:r w:rsidRPr="002D0438">
        <w:t>not</w:t>
      </w:r>
      <w:r w:rsidR="000159A6">
        <w:t xml:space="preserve"> </w:t>
      </w:r>
      <w:r w:rsidRPr="002D0438">
        <w:t>reported</w:t>
      </w:r>
      <w:r w:rsidR="000159A6">
        <w:t xml:space="preserve"> </w:t>
      </w:r>
      <w:r w:rsidRPr="002D0438">
        <w:t>any</w:t>
      </w:r>
      <w:r w:rsidR="000159A6">
        <w:t xml:space="preserve"> </w:t>
      </w:r>
      <w:r w:rsidRPr="002D0438">
        <w:t>safety</w:t>
      </w:r>
      <w:r w:rsidR="000159A6">
        <w:t xml:space="preserve"> </w:t>
      </w:r>
      <w:r w:rsidRPr="002D0438">
        <w:t>concerns.</w:t>
      </w:r>
    </w:p>
    <w:p w14:paraId="1C389291" w14:textId="4005B057" w:rsidR="0091081C" w:rsidRPr="00624EB5" w:rsidRDefault="0091081C" w:rsidP="00541F41">
      <w:pPr>
        <w:pStyle w:val="Heading5"/>
      </w:pPr>
      <w:r w:rsidRPr="00541F41">
        <w:lastRenderedPageBreak/>
        <w:t>Previous</w:t>
      </w:r>
      <w:r w:rsidR="000159A6">
        <w:t xml:space="preserve"> </w:t>
      </w:r>
      <w:r w:rsidRPr="00624EB5">
        <w:t>HZ</w:t>
      </w:r>
    </w:p>
    <w:p w14:paraId="63B36B42" w14:textId="68E39251" w:rsidR="0091081C" w:rsidRDefault="0091081C" w:rsidP="00541F41">
      <w:pPr>
        <w:rPr>
          <w:lang w:eastAsia="ja-JP"/>
        </w:rPr>
      </w:pPr>
      <w:r>
        <w:rPr>
          <w:lang w:eastAsia="ja-JP"/>
        </w:rPr>
        <w:t>In</w:t>
      </w:r>
      <w:r w:rsidR="000159A6">
        <w:rPr>
          <w:lang w:eastAsia="ja-JP"/>
        </w:rPr>
        <w:t xml:space="preserve"> </w:t>
      </w:r>
      <w:r>
        <w:rPr>
          <w:lang w:eastAsia="ja-JP"/>
        </w:rPr>
        <w:t>the</w:t>
      </w:r>
      <w:r w:rsidR="000159A6">
        <w:rPr>
          <w:lang w:eastAsia="ja-JP"/>
        </w:rPr>
        <w:t xml:space="preserve"> </w:t>
      </w:r>
      <w:r>
        <w:rPr>
          <w:lang w:eastAsia="ja-JP"/>
        </w:rPr>
        <w:t>open</w:t>
      </w:r>
      <w:r w:rsidR="000159A6">
        <w:rPr>
          <w:lang w:eastAsia="ja-JP"/>
        </w:rPr>
        <w:t xml:space="preserve"> </w:t>
      </w:r>
      <w:r>
        <w:rPr>
          <w:lang w:eastAsia="ja-JP"/>
        </w:rPr>
        <w:t>label,</w:t>
      </w:r>
      <w:r w:rsidR="000159A6">
        <w:rPr>
          <w:lang w:eastAsia="ja-JP"/>
        </w:rPr>
        <w:t xml:space="preserve"> </w:t>
      </w:r>
      <w:r>
        <w:rPr>
          <w:lang w:eastAsia="ja-JP"/>
        </w:rPr>
        <w:t>non-randomised</w:t>
      </w:r>
      <w:r w:rsidR="000159A6">
        <w:rPr>
          <w:lang w:eastAsia="ja-JP"/>
        </w:rPr>
        <w:t xml:space="preserve"> </w:t>
      </w:r>
      <w:r>
        <w:rPr>
          <w:lang w:eastAsia="ja-JP"/>
        </w:rPr>
        <w:t>Study</w:t>
      </w:r>
      <w:r w:rsidR="000159A6">
        <w:rPr>
          <w:lang w:eastAsia="ja-JP"/>
        </w:rPr>
        <w:t xml:space="preserve"> </w:t>
      </w:r>
      <w:r>
        <w:rPr>
          <w:lang w:eastAsia="ja-JP"/>
        </w:rPr>
        <w:t>ZOSTER-033,</w:t>
      </w:r>
      <w:r w:rsidR="000159A6">
        <w:rPr>
          <w:lang w:eastAsia="ja-JP"/>
        </w:rPr>
        <w:t xml:space="preserve"> </w:t>
      </w:r>
      <w:r>
        <w:rPr>
          <w:lang w:eastAsia="ja-JP"/>
        </w:rPr>
        <w:t>77.9%</w:t>
      </w:r>
      <w:r w:rsidR="000159A6">
        <w:rPr>
          <w:lang w:eastAsia="ja-JP"/>
        </w:rPr>
        <w:t xml:space="preserve"> </w:t>
      </w:r>
      <w:r>
        <w:rPr>
          <w:lang w:eastAsia="ja-JP"/>
        </w:rPr>
        <w:t>of</w:t>
      </w:r>
      <w:r w:rsidR="000159A6">
        <w:rPr>
          <w:lang w:eastAsia="ja-JP"/>
        </w:rPr>
        <w:t xml:space="preserve"> </w:t>
      </w:r>
      <w:r>
        <w:rPr>
          <w:lang w:eastAsia="ja-JP"/>
        </w:rPr>
        <w:t>subjects</w:t>
      </w:r>
      <w:r w:rsidR="000159A6">
        <w:rPr>
          <w:lang w:eastAsia="ja-JP"/>
        </w:rPr>
        <w:t xml:space="preserve"> </w:t>
      </w:r>
      <w:r>
        <w:rPr>
          <w:lang w:eastAsia="ja-JP"/>
        </w:rPr>
        <w:t>with</w:t>
      </w:r>
      <w:r w:rsidR="000159A6">
        <w:rPr>
          <w:lang w:eastAsia="ja-JP"/>
        </w:rPr>
        <w:t xml:space="preserve"> </w:t>
      </w:r>
      <w:r>
        <w:rPr>
          <w:lang w:eastAsia="ja-JP"/>
        </w:rPr>
        <w:t>a</w:t>
      </w:r>
      <w:r w:rsidR="000159A6">
        <w:rPr>
          <w:lang w:eastAsia="ja-JP"/>
        </w:rPr>
        <w:t xml:space="preserve"> </w:t>
      </w:r>
      <w:r>
        <w:rPr>
          <w:lang w:eastAsia="ja-JP"/>
        </w:rPr>
        <w:t>history</w:t>
      </w:r>
      <w:r w:rsidR="000159A6">
        <w:rPr>
          <w:lang w:eastAsia="ja-JP"/>
        </w:rPr>
        <w:t xml:space="preserve"> </w:t>
      </w:r>
      <w:r>
        <w:rPr>
          <w:lang w:eastAsia="ja-JP"/>
        </w:rPr>
        <w:t>of</w:t>
      </w:r>
      <w:r w:rsidR="000159A6">
        <w:rPr>
          <w:lang w:eastAsia="ja-JP"/>
        </w:rPr>
        <w:t xml:space="preserve"> </w:t>
      </w:r>
      <w:r>
        <w:rPr>
          <w:lang w:eastAsia="ja-JP"/>
        </w:rPr>
        <w:t>HZ</w:t>
      </w:r>
      <w:r w:rsidR="000159A6">
        <w:rPr>
          <w:lang w:eastAsia="ja-JP"/>
        </w:rPr>
        <w:t xml:space="preserve"> </w:t>
      </w:r>
      <w:r>
        <w:rPr>
          <w:lang w:eastAsia="ja-JP"/>
        </w:rPr>
        <w:t>reported</w:t>
      </w:r>
      <w:r w:rsidR="000159A6">
        <w:rPr>
          <w:lang w:eastAsia="ja-JP"/>
        </w:rPr>
        <w:t xml:space="preserve"> </w:t>
      </w:r>
      <w:r>
        <w:rPr>
          <w:lang w:eastAsia="ja-JP"/>
        </w:rPr>
        <w:t>solicited</w:t>
      </w:r>
      <w:r w:rsidR="000159A6">
        <w:rPr>
          <w:lang w:eastAsia="ja-JP"/>
        </w:rPr>
        <w:t xml:space="preserve"> </w:t>
      </w:r>
      <w:r>
        <w:rPr>
          <w:lang w:eastAsia="ja-JP"/>
        </w:rPr>
        <w:t>local</w:t>
      </w:r>
      <w:r w:rsidR="000159A6">
        <w:rPr>
          <w:lang w:eastAsia="ja-JP"/>
        </w:rPr>
        <w:t xml:space="preserve"> </w:t>
      </w:r>
      <w:r>
        <w:rPr>
          <w:lang w:eastAsia="ja-JP"/>
        </w:rPr>
        <w:t>symptoms</w:t>
      </w:r>
      <w:r w:rsidR="000159A6">
        <w:rPr>
          <w:lang w:eastAsia="ja-JP"/>
        </w:rPr>
        <w:t xml:space="preserve"> </w:t>
      </w:r>
      <w:r>
        <w:rPr>
          <w:lang w:eastAsia="ja-JP"/>
        </w:rPr>
        <w:t>and</w:t>
      </w:r>
      <w:r w:rsidR="000159A6">
        <w:rPr>
          <w:lang w:eastAsia="ja-JP"/>
        </w:rPr>
        <w:t xml:space="preserve"> </w:t>
      </w:r>
      <w:r>
        <w:rPr>
          <w:lang w:eastAsia="ja-JP"/>
        </w:rPr>
        <w:t>71.6%</w:t>
      </w:r>
      <w:r w:rsidR="000159A6">
        <w:rPr>
          <w:lang w:eastAsia="ja-JP"/>
        </w:rPr>
        <w:t xml:space="preserve"> </w:t>
      </w:r>
      <w:r>
        <w:rPr>
          <w:lang w:eastAsia="ja-JP"/>
        </w:rPr>
        <w:t>reported</w:t>
      </w:r>
      <w:r w:rsidR="000159A6">
        <w:rPr>
          <w:lang w:eastAsia="ja-JP"/>
        </w:rPr>
        <w:t xml:space="preserve"> </w:t>
      </w:r>
      <w:r>
        <w:rPr>
          <w:lang w:eastAsia="ja-JP"/>
        </w:rPr>
        <w:t>solicited</w:t>
      </w:r>
      <w:r w:rsidR="000159A6">
        <w:rPr>
          <w:lang w:eastAsia="ja-JP"/>
        </w:rPr>
        <w:t xml:space="preserve"> </w:t>
      </w:r>
      <w:r>
        <w:rPr>
          <w:lang w:eastAsia="ja-JP"/>
        </w:rPr>
        <w:t>general</w:t>
      </w:r>
      <w:r w:rsidR="000159A6">
        <w:rPr>
          <w:lang w:eastAsia="ja-JP"/>
        </w:rPr>
        <w:t xml:space="preserve"> </w:t>
      </w:r>
      <w:r>
        <w:rPr>
          <w:lang w:eastAsia="ja-JP"/>
        </w:rPr>
        <w:t>symptoms.</w:t>
      </w:r>
      <w:r w:rsidR="000159A6">
        <w:rPr>
          <w:lang w:eastAsia="ja-JP"/>
        </w:rPr>
        <w:t xml:space="preserve"> </w:t>
      </w:r>
      <w:r>
        <w:rPr>
          <w:lang w:eastAsia="ja-JP"/>
        </w:rPr>
        <w:t>Grade</w:t>
      </w:r>
      <w:r w:rsidR="000159A6">
        <w:rPr>
          <w:lang w:eastAsia="ja-JP"/>
        </w:rPr>
        <w:t xml:space="preserve"> </w:t>
      </w:r>
      <w:r>
        <w:rPr>
          <w:lang w:eastAsia="ja-JP"/>
        </w:rPr>
        <w:t>3</w:t>
      </w:r>
      <w:r w:rsidR="000159A6">
        <w:rPr>
          <w:lang w:eastAsia="ja-JP"/>
        </w:rPr>
        <w:t xml:space="preserve"> </w:t>
      </w:r>
      <w:proofErr w:type="gramStart"/>
      <w:r>
        <w:rPr>
          <w:lang w:eastAsia="ja-JP"/>
        </w:rPr>
        <w:t>pain</w:t>
      </w:r>
      <w:proofErr w:type="gramEnd"/>
      <w:r w:rsidR="000159A6">
        <w:rPr>
          <w:lang w:eastAsia="ja-JP"/>
        </w:rPr>
        <w:t xml:space="preserve"> </w:t>
      </w:r>
      <w:r>
        <w:rPr>
          <w:lang w:eastAsia="ja-JP"/>
        </w:rPr>
        <w:t>was</w:t>
      </w:r>
      <w:r w:rsidR="000159A6">
        <w:rPr>
          <w:lang w:eastAsia="ja-JP"/>
        </w:rPr>
        <w:t xml:space="preserve"> </w:t>
      </w:r>
      <w:r>
        <w:rPr>
          <w:lang w:eastAsia="ja-JP"/>
        </w:rPr>
        <w:t>reported</w:t>
      </w:r>
      <w:r w:rsidR="000159A6">
        <w:rPr>
          <w:lang w:eastAsia="ja-JP"/>
        </w:rPr>
        <w:t xml:space="preserve"> </w:t>
      </w:r>
      <w:r>
        <w:rPr>
          <w:lang w:eastAsia="ja-JP"/>
        </w:rPr>
        <w:t>following</w:t>
      </w:r>
      <w:r w:rsidR="000159A6">
        <w:rPr>
          <w:lang w:eastAsia="ja-JP"/>
        </w:rPr>
        <w:t xml:space="preserve"> </w:t>
      </w:r>
      <w:r>
        <w:rPr>
          <w:lang w:eastAsia="ja-JP"/>
        </w:rPr>
        <w:t>4.4%</w:t>
      </w:r>
      <w:r w:rsidR="000159A6">
        <w:rPr>
          <w:lang w:eastAsia="ja-JP"/>
        </w:rPr>
        <w:t xml:space="preserve"> </w:t>
      </w:r>
      <w:r>
        <w:rPr>
          <w:lang w:eastAsia="ja-JP"/>
        </w:rPr>
        <w:t>of</w:t>
      </w:r>
      <w:r w:rsidR="000159A6">
        <w:rPr>
          <w:lang w:eastAsia="ja-JP"/>
        </w:rPr>
        <w:t xml:space="preserve"> </w:t>
      </w:r>
      <w:r>
        <w:rPr>
          <w:lang w:eastAsia="ja-JP"/>
        </w:rPr>
        <w:t>doses</w:t>
      </w:r>
      <w:r w:rsidR="000159A6">
        <w:rPr>
          <w:lang w:eastAsia="ja-JP"/>
        </w:rPr>
        <w:t xml:space="preserve"> </w:t>
      </w:r>
      <w:r>
        <w:rPr>
          <w:lang w:eastAsia="ja-JP"/>
        </w:rPr>
        <w:t>by</w:t>
      </w:r>
      <w:r w:rsidR="000159A6">
        <w:rPr>
          <w:lang w:eastAsia="ja-JP"/>
        </w:rPr>
        <w:t xml:space="preserve"> </w:t>
      </w:r>
      <w:r>
        <w:rPr>
          <w:lang w:eastAsia="ja-JP"/>
        </w:rPr>
        <w:t>8.4%</w:t>
      </w:r>
      <w:r w:rsidR="000159A6">
        <w:rPr>
          <w:lang w:eastAsia="ja-JP"/>
        </w:rPr>
        <w:t xml:space="preserve"> </w:t>
      </w:r>
      <w:r>
        <w:rPr>
          <w:lang w:eastAsia="ja-JP"/>
        </w:rPr>
        <w:t>of</w:t>
      </w:r>
      <w:r w:rsidR="000159A6">
        <w:rPr>
          <w:lang w:eastAsia="ja-JP"/>
        </w:rPr>
        <w:t xml:space="preserve"> </w:t>
      </w:r>
      <w:r>
        <w:rPr>
          <w:lang w:eastAsia="ja-JP"/>
        </w:rPr>
        <w:t>subjects</w:t>
      </w:r>
      <w:r w:rsidR="000159A6">
        <w:rPr>
          <w:lang w:eastAsia="ja-JP"/>
        </w:rPr>
        <w:t xml:space="preserve"> </w:t>
      </w:r>
      <w:r>
        <w:rPr>
          <w:lang w:eastAsia="ja-JP"/>
        </w:rPr>
        <w:t>and</w:t>
      </w:r>
      <w:r w:rsidR="000159A6">
        <w:rPr>
          <w:lang w:eastAsia="ja-JP"/>
        </w:rPr>
        <w:t xml:space="preserve"> </w:t>
      </w:r>
      <w:r>
        <w:rPr>
          <w:lang w:eastAsia="ja-JP"/>
        </w:rPr>
        <w:t>Grade</w:t>
      </w:r>
      <w:r w:rsidR="000159A6">
        <w:rPr>
          <w:lang w:eastAsia="ja-JP"/>
        </w:rPr>
        <w:t xml:space="preserve"> </w:t>
      </w:r>
      <w:r>
        <w:rPr>
          <w:lang w:eastAsia="ja-JP"/>
        </w:rPr>
        <w:t>3</w:t>
      </w:r>
      <w:r w:rsidR="000159A6">
        <w:rPr>
          <w:lang w:eastAsia="ja-JP"/>
        </w:rPr>
        <w:t xml:space="preserve"> </w:t>
      </w:r>
      <w:r>
        <w:rPr>
          <w:lang w:eastAsia="ja-JP"/>
        </w:rPr>
        <w:t>fatigue</w:t>
      </w:r>
      <w:r w:rsidR="000159A6">
        <w:rPr>
          <w:lang w:eastAsia="ja-JP"/>
        </w:rPr>
        <w:t xml:space="preserve"> </w:t>
      </w:r>
      <w:r>
        <w:rPr>
          <w:lang w:eastAsia="ja-JP"/>
        </w:rPr>
        <w:t>following</w:t>
      </w:r>
      <w:r w:rsidR="000159A6">
        <w:rPr>
          <w:lang w:eastAsia="ja-JP"/>
        </w:rPr>
        <w:t xml:space="preserve"> </w:t>
      </w:r>
      <w:r>
        <w:rPr>
          <w:lang w:eastAsia="ja-JP"/>
        </w:rPr>
        <w:t>6.1%</w:t>
      </w:r>
      <w:r w:rsidR="000159A6">
        <w:rPr>
          <w:lang w:eastAsia="ja-JP"/>
        </w:rPr>
        <w:t xml:space="preserve"> </w:t>
      </w:r>
      <w:r>
        <w:rPr>
          <w:lang w:eastAsia="ja-JP"/>
        </w:rPr>
        <w:t>of</w:t>
      </w:r>
      <w:r w:rsidR="000159A6">
        <w:rPr>
          <w:lang w:eastAsia="ja-JP"/>
        </w:rPr>
        <w:t xml:space="preserve"> </w:t>
      </w:r>
      <w:r>
        <w:rPr>
          <w:lang w:eastAsia="ja-JP"/>
        </w:rPr>
        <w:t>doses</w:t>
      </w:r>
      <w:r w:rsidR="000159A6">
        <w:rPr>
          <w:lang w:eastAsia="ja-JP"/>
        </w:rPr>
        <w:t xml:space="preserve"> </w:t>
      </w:r>
      <w:r>
        <w:rPr>
          <w:lang w:eastAsia="ja-JP"/>
        </w:rPr>
        <w:t>by</w:t>
      </w:r>
      <w:r w:rsidR="000159A6">
        <w:rPr>
          <w:lang w:eastAsia="ja-JP"/>
        </w:rPr>
        <w:t xml:space="preserve"> </w:t>
      </w:r>
      <w:r>
        <w:rPr>
          <w:lang w:eastAsia="ja-JP"/>
        </w:rPr>
        <w:t>10.5%</w:t>
      </w:r>
      <w:r w:rsidR="000159A6">
        <w:rPr>
          <w:lang w:eastAsia="ja-JP"/>
        </w:rPr>
        <w:t xml:space="preserve"> </w:t>
      </w:r>
      <w:r>
        <w:rPr>
          <w:lang w:eastAsia="ja-JP"/>
        </w:rPr>
        <w:t>of</w:t>
      </w:r>
      <w:r w:rsidR="000159A6">
        <w:rPr>
          <w:lang w:eastAsia="ja-JP"/>
        </w:rPr>
        <w:t xml:space="preserve"> </w:t>
      </w:r>
      <w:r>
        <w:rPr>
          <w:lang w:eastAsia="ja-JP"/>
        </w:rPr>
        <w:t>subjects.</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evident</w:t>
      </w:r>
      <w:r w:rsidR="000159A6">
        <w:rPr>
          <w:lang w:eastAsia="ja-JP"/>
        </w:rPr>
        <w:t xml:space="preserve"> </w:t>
      </w:r>
      <w:r>
        <w:rPr>
          <w:lang w:eastAsia="ja-JP"/>
        </w:rPr>
        <w:t>safety</w:t>
      </w:r>
      <w:r w:rsidR="000159A6">
        <w:rPr>
          <w:lang w:eastAsia="ja-JP"/>
        </w:rPr>
        <w:t xml:space="preserve"> </w:t>
      </w:r>
      <w:r>
        <w:rPr>
          <w:lang w:eastAsia="ja-JP"/>
        </w:rPr>
        <w:t>signals.</w:t>
      </w:r>
    </w:p>
    <w:p w14:paraId="223B2C0F" w14:textId="7486C97E" w:rsidR="0091081C" w:rsidRDefault="0091081C" w:rsidP="0091081C">
      <w:pPr>
        <w:pStyle w:val="Heading5"/>
        <w:rPr>
          <w:lang w:eastAsia="ja-JP"/>
        </w:rPr>
      </w:pPr>
      <w:r w:rsidRPr="00DD40FF">
        <w:rPr>
          <w:lang w:eastAsia="ja-JP"/>
        </w:rPr>
        <w:t>Japanese</w:t>
      </w:r>
      <w:r w:rsidR="000159A6">
        <w:rPr>
          <w:lang w:eastAsia="ja-JP"/>
        </w:rPr>
        <w:t xml:space="preserve"> </w:t>
      </w:r>
      <w:r w:rsidRPr="00DD40FF">
        <w:rPr>
          <w:lang w:eastAsia="ja-JP"/>
        </w:rPr>
        <w:t>ethnicity</w:t>
      </w:r>
    </w:p>
    <w:p w14:paraId="4C510528" w14:textId="163139FB" w:rsidR="0091081C" w:rsidRDefault="0091081C" w:rsidP="00541F41">
      <w:pPr>
        <w:rPr>
          <w:lang w:eastAsia="ja-JP"/>
        </w:rPr>
      </w:pPr>
      <w:r>
        <w:rPr>
          <w:lang w:eastAsia="ja-JP"/>
        </w:rPr>
        <w:t>In</w:t>
      </w:r>
      <w:r w:rsidR="000159A6">
        <w:rPr>
          <w:lang w:eastAsia="ja-JP"/>
        </w:rPr>
        <w:t xml:space="preserve"> </w:t>
      </w:r>
      <w:r>
        <w:rPr>
          <w:lang w:eastAsia="ja-JP"/>
        </w:rPr>
        <w:t>the</w:t>
      </w:r>
      <w:r w:rsidR="000159A6">
        <w:rPr>
          <w:lang w:eastAsia="ja-JP"/>
        </w:rPr>
        <w:t xml:space="preserve"> </w:t>
      </w:r>
      <w:r>
        <w:rPr>
          <w:lang w:eastAsia="ja-JP"/>
        </w:rPr>
        <w:t>small</w:t>
      </w:r>
      <w:r w:rsidR="000159A6">
        <w:rPr>
          <w:lang w:eastAsia="ja-JP"/>
        </w:rPr>
        <w:t xml:space="preserve"> </w:t>
      </w:r>
      <w:r>
        <w:rPr>
          <w:lang w:eastAsia="ja-JP"/>
        </w:rPr>
        <w:t>Phase</w:t>
      </w:r>
      <w:r w:rsidR="000159A6">
        <w:rPr>
          <w:lang w:eastAsia="ja-JP"/>
        </w:rPr>
        <w:t xml:space="preserve"> </w:t>
      </w:r>
      <w:r>
        <w:rPr>
          <w:lang w:eastAsia="ja-JP"/>
        </w:rPr>
        <w:t>I</w:t>
      </w:r>
      <w:r w:rsidR="000159A6">
        <w:rPr>
          <w:lang w:eastAsia="ja-JP"/>
        </w:rPr>
        <w:t xml:space="preserve"> </w:t>
      </w:r>
      <w:r>
        <w:rPr>
          <w:lang w:eastAsia="ja-JP"/>
        </w:rPr>
        <w:t>Study</w:t>
      </w:r>
      <w:r w:rsidR="000159A6">
        <w:rPr>
          <w:lang w:eastAsia="ja-JP"/>
        </w:rPr>
        <w:t xml:space="preserve"> </w:t>
      </w:r>
      <w:r>
        <w:rPr>
          <w:lang w:eastAsia="ja-JP"/>
        </w:rPr>
        <w:t>ZOSTER-023</w:t>
      </w:r>
      <w:r w:rsidR="000159A6">
        <w:rPr>
          <w:lang w:eastAsia="ja-JP"/>
        </w:rPr>
        <w:t xml:space="preserve"> </w:t>
      </w:r>
      <w:r>
        <w:rPr>
          <w:lang w:eastAsia="ja-JP"/>
        </w:rPr>
        <w:t>in</w:t>
      </w:r>
      <w:r w:rsidR="000159A6">
        <w:rPr>
          <w:lang w:eastAsia="ja-JP"/>
        </w:rPr>
        <w:t xml:space="preserve"> </w:t>
      </w:r>
      <w:r>
        <w:rPr>
          <w:lang w:eastAsia="ja-JP"/>
        </w:rPr>
        <w:t>adults</w:t>
      </w:r>
      <w:r w:rsidR="000159A6">
        <w:rPr>
          <w:lang w:eastAsia="ja-JP"/>
        </w:rPr>
        <w:t xml:space="preserve"> </w:t>
      </w:r>
      <w:r>
        <w:rPr>
          <w:lang w:eastAsia="ja-JP"/>
        </w:rPr>
        <w:t>with</w:t>
      </w:r>
      <w:r w:rsidR="000159A6">
        <w:rPr>
          <w:lang w:eastAsia="ja-JP"/>
        </w:rPr>
        <w:t xml:space="preserve"> </w:t>
      </w:r>
      <w:r>
        <w:rPr>
          <w:lang w:eastAsia="ja-JP"/>
        </w:rPr>
        <w:t>Japanese</w:t>
      </w:r>
      <w:r w:rsidR="000159A6">
        <w:rPr>
          <w:lang w:eastAsia="ja-JP"/>
        </w:rPr>
        <w:t xml:space="preserve"> </w:t>
      </w:r>
      <w:r>
        <w:rPr>
          <w:lang w:eastAsia="ja-JP"/>
        </w:rPr>
        <w:t>ethnic</w:t>
      </w:r>
      <w:r w:rsidR="000159A6">
        <w:rPr>
          <w:lang w:eastAsia="ja-JP"/>
        </w:rPr>
        <w:t xml:space="preserve"> </w:t>
      </w:r>
      <w:r>
        <w:rPr>
          <w:lang w:eastAsia="ja-JP"/>
        </w:rPr>
        <w:t>origin,</w:t>
      </w:r>
      <w:r w:rsidR="000159A6">
        <w:rPr>
          <w:lang w:eastAsia="ja-JP"/>
        </w:rPr>
        <w:t xml:space="preserve"> </w:t>
      </w:r>
      <w:r>
        <w:rPr>
          <w:lang w:eastAsia="ja-JP"/>
        </w:rPr>
        <w:t>the</w:t>
      </w:r>
      <w:r w:rsidR="000159A6">
        <w:rPr>
          <w:lang w:eastAsia="ja-JP"/>
        </w:rPr>
        <w:t xml:space="preserve"> </w:t>
      </w:r>
      <w:r>
        <w:rPr>
          <w:lang w:eastAsia="ja-JP"/>
        </w:rPr>
        <w:t>vaccine</w:t>
      </w:r>
      <w:r w:rsidR="000159A6">
        <w:rPr>
          <w:lang w:eastAsia="ja-JP"/>
        </w:rPr>
        <w:t xml:space="preserve"> </w:t>
      </w:r>
      <w:r>
        <w:rPr>
          <w:lang w:eastAsia="ja-JP"/>
        </w:rPr>
        <w:t>was</w:t>
      </w:r>
      <w:r w:rsidR="000159A6">
        <w:rPr>
          <w:lang w:eastAsia="ja-JP"/>
        </w:rPr>
        <w:t xml:space="preserve"> </w:t>
      </w:r>
      <w:r>
        <w:rPr>
          <w:lang w:eastAsia="ja-JP"/>
        </w:rPr>
        <w:t>tolerated</w:t>
      </w:r>
      <w:r w:rsidR="000159A6">
        <w:rPr>
          <w:lang w:eastAsia="ja-JP"/>
        </w:rPr>
        <w:t xml:space="preserve"> </w:t>
      </w:r>
      <w:r>
        <w:rPr>
          <w:lang w:eastAsia="ja-JP"/>
        </w:rPr>
        <w:t>however</w:t>
      </w:r>
      <w:r w:rsidR="000159A6">
        <w:rPr>
          <w:lang w:eastAsia="ja-JP"/>
        </w:rPr>
        <w:t xml:space="preserve"> </w:t>
      </w:r>
      <w:r>
        <w:rPr>
          <w:lang w:eastAsia="ja-JP"/>
        </w:rPr>
        <w:t>the</w:t>
      </w:r>
      <w:r w:rsidR="000159A6">
        <w:rPr>
          <w:lang w:eastAsia="ja-JP"/>
        </w:rPr>
        <w:t xml:space="preserve"> </w:t>
      </w:r>
      <w:r>
        <w:rPr>
          <w:lang w:eastAsia="ja-JP"/>
        </w:rPr>
        <w:t>numbers</w:t>
      </w:r>
      <w:r w:rsidR="000159A6">
        <w:rPr>
          <w:lang w:eastAsia="ja-JP"/>
        </w:rPr>
        <w:t xml:space="preserve"> </w:t>
      </w:r>
      <w:r>
        <w:rPr>
          <w:lang w:eastAsia="ja-JP"/>
        </w:rPr>
        <w:t>were</w:t>
      </w:r>
      <w:r w:rsidR="000159A6">
        <w:rPr>
          <w:lang w:eastAsia="ja-JP"/>
        </w:rPr>
        <w:t xml:space="preserve"> </w:t>
      </w:r>
      <w:r>
        <w:rPr>
          <w:lang w:eastAsia="ja-JP"/>
        </w:rPr>
        <w:t>too</w:t>
      </w:r>
      <w:r w:rsidR="000159A6">
        <w:rPr>
          <w:lang w:eastAsia="ja-JP"/>
        </w:rPr>
        <w:t xml:space="preserve"> </w:t>
      </w:r>
      <w:r>
        <w:rPr>
          <w:lang w:eastAsia="ja-JP"/>
        </w:rPr>
        <w:t>small</w:t>
      </w:r>
      <w:r w:rsidR="000159A6">
        <w:rPr>
          <w:lang w:eastAsia="ja-JP"/>
        </w:rPr>
        <w:t xml:space="preserve"> </w:t>
      </w:r>
      <w:r>
        <w:rPr>
          <w:lang w:eastAsia="ja-JP"/>
        </w:rPr>
        <w:t>to</w:t>
      </w:r>
      <w:r w:rsidR="000159A6">
        <w:rPr>
          <w:lang w:eastAsia="ja-JP"/>
        </w:rPr>
        <w:t xml:space="preserve"> </w:t>
      </w:r>
      <w:r>
        <w:rPr>
          <w:lang w:eastAsia="ja-JP"/>
        </w:rPr>
        <w:t>draw</w:t>
      </w:r>
      <w:r w:rsidR="000159A6">
        <w:rPr>
          <w:lang w:eastAsia="ja-JP"/>
        </w:rPr>
        <w:t xml:space="preserve"> </w:t>
      </w:r>
      <w:r>
        <w:rPr>
          <w:lang w:eastAsia="ja-JP"/>
        </w:rPr>
        <w:t>conclusions</w:t>
      </w:r>
      <w:r w:rsidR="000159A6">
        <w:rPr>
          <w:lang w:eastAsia="ja-JP"/>
        </w:rPr>
        <w:t xml:space="preserve"> </w:t>
      </w:r>
      <w:r>
        <w:rPr>
          <w:lang w:eastAsia="ja-JP"/>
        </w:rPr>
        <w:t>(10</w:t>
      </w:r>
      <w:r w:rsidR="000159A6">
        <w:rPr>
          <w:lang w:eastAsia="ja-JP"/>
        </w:rPr>
        <w:t xml:space="preserve"> </w:t>
      </w:r>
      <w:r>
        <w:rPr>
          <w:lang w:eastAsia="ja-JP"/>
        </w:rPr>
        <w:t>subjects</w:t>
      </w:r>
      <w:r w:rsidR="000159A6">
        <w:rPr>
          <w:lang w:eastAsia="ja-JP"/>
        </w:rPr>
        <w:t xml:space="preserve"> </w:t>
      </w:r>
      <w:r>
        <w:rPr>
          <w:lang w:eastAsia="ja-JP"/>
        </w:rPr>
        <w:t>aged</w:t>
      </w:r>
      <w:r w:rsidR="000159A6">
        <w:rPr>
          <w:lang w:eastAsia="ja-JP"/>
        </w:rPr>
        <w:t xml:space="preserve"> </w:t>
      </w:r>
      <w:r>
        <w:rPr>
          <w:lang w:eastAsia="ja-JP"/>
        </w:rPr>
        <w:t>50</w:t>
      </w:r>
      <w:r w:rsidR="000159A6">
        <w:rPr>
          <w:lang w:eastAsia="ja-JP"/>
        </w:rPr>
        <w:t xml:space="preserve"> </w:t>
      </w:r>
      <w:r>
        <w:rPr>
          <w:lang w:eastAsia="ja-JP"/>
        </w:rPr>
        <w:t>to</w:t>
      </w:r>
      <w:r w:rsidR="000159A6">
        <w:rPr>
          <w:lang w:eastAsia="ja-JP"/>
        </w:rPr>
        <w:t xml:space="preserve"> </w:t>
      </w:r>
      <w:r>
        <w:rPr>
          <w:lang w:eastAsia="ja-JP"/>
        </w:rPr>
        <w:t>69</w:t>
      </w:r>
      <w:r w:rsidR="000159A6">
        <w:rPr>
          <w:lang w:eastAsia="ja-JP"/>
        </w:rPr>
        <w:t xml:space="preserve"> </w:t>
      </w:r>
      <w:r>
        <w:rPr>
          <w:lang w:eastAsia="ja-JP"/>
        </w:rPr>
        <w:t>years).</w:t>
      </w:r>
    </w:p>
    <w:p w14:paraId="2AA0607B" w14:textId="3F66D1CD" w:rsidR="0091081C" w:rsidRDefault="0091081C" w:rsidP="0091081C">
      <w:pPr>
        <w:pStyle w:val="Heading5"/>
        <w:rPr>
          <w:lang w:eastAsia="ja-JP"/>
        </w:rPr>
      </w:pPr>
      <w:r w:rsidRPr="00A61532">
        <w:rPr>
          <w:lang w:eastAsia="ja-JP"/>
        </w:rPr>
        <w:t>Younger</w:t>
      </w:r>
      <w:r w:rsidR="000159A6">
        <w:rPr>
          <w:lang w:eastAsia="ja-JP"/>
        </w:rPr>
        <w:t xml:space="preserve"> </w:t>
      </w:r>
      <w:r w:rsidRPr="00A61532">
        <w:rPr>
          <w:lang w:eastAsia="ja-JP"/>
        </w:rPr>
        <w:t>adults</w:t>
      </w:r>
    </w:p>
    <w:p w14:paraId="08263673" w14:textId="6754E0AD" w:rsidR="0091081C" w:rsidRDefault="0091081C" w:rsidP="00541F41">
      <w:pPr>
        <w:rPr>
          <w:lang w:eastAsia="ja-JP"/>
        </w:rPr>
      </w:pPr>
      <w:r>
        <w:rPr>
          <w:lang w:eastAsia="ja-JP"/>
        </w:rPr>
        <w:t>Data</w:t>
      </w:r>
      <w:r w:rsidR="000159A6">
        <w:rPr>
          <w:lang w:eastAsia="ja-JP"/>
        </w:rPr>
        <w:t xml:space="preserve"> </w:t>
      </w:r>
      <w:r>
        <w:rPr>
          <w:lang w:eastAsia="ja-JP"/>
        </w:rPr>
        <w:t>on</w:t>
      </w:r>
      <w:r w:rsidR="000159A6">
        <w:rPr>
          <w:lang w:eastAsia="ja-JP"/>
        </w:rPr>
        <w:t xml:space="preserve"> </w:t>
      </w:r>
      <w:r>
        <w:rPr>
          <w:lang w:eastAsia="ja-JP"/>
        </w:rPr>
        <w:t>younger</w:t>
      </w:r>
      <w:r w:rsidR="000159A6">
        <w:rPr>
          <w:lang w:eastAsia="ja-JP"/>
        </w:rPr>
        <w:t xml:space="preserve"> </w:t>
      </w:r>
      <w:r>
        <w:rPr>
          <w:lang w:eastAsia="ja-JP"/>
        </w:rPr>
        <w:t>adults</w:t>
      </w:r>
      <w:r w:rsidR="000159A6">
        <w:rPr>
          <w:lang w:eastAsia="ja-JP"/>
        </w:rPr>
        <w:t xml:space="preserve"> </w:t>
      </w:r>
      <w:r>
        <w:rPr>
          <w:lang w:eastAsia="ja-JP"/>
        </w:rPr>
        <w:t>aged</w:t>
      </w:r>
      <w:r w:rsidR="000159A6">
        <w:rPr>
          <w:lang w:eastAsia="ja-JP"/>
        </w:rPr>
        <w:t xml:space="preserve"> </w:t>
      </w:r>
      <w:r>
        <w:rPr>
          <w:lang w:eastAsia="ja-JP"/>
        </w:rPr>
        <w:t>18</w:t>
      </w:r>
      <w:r w:rsidR="000159A6">
        <w:rPr>
          <w:lang w:eastAsia="ja-JP"/>
        </w:rPr>
        <w:t xml:space="preserve"> </w:t>
      </w:r>
      <w:r>
        <w:rPr>
          <w:lang w:eastAsia="ja-JP"/>
        </w:rPr>
        <w:t>to</w:t>
      </w:r>
      <w:r w:rsidR="000159A6">
        <w:rPr>
          <w:lang w:eastAsia="ja-JP"/>
        </w:rPr>
        <w:t xml:space="preserve"> </w:t>
      </w:r>
      <w:r>
        <w:rPr>
          <w:lang w:eastAsia="ja-JP"/>
        </w:rPr>
        <w:t>30</w:t>
      </w:r>
      <w:r w:rsidR="000159A6">
        <w:rPr>
          <w:lang w:eastAsia="ja-JP"/>
        </w:rPr>
        <w:t xml:space="preserve"> </w:t>
      </w:r>
      <w:r>
        <w:rPr>
          <w:lang w:eastAsia="ja-JP"/>
        </w:rPr>
        <w:t>are</w:t>
      </w:r>
      <w:r w:rsidR="000159A6">
        <w:rPr>
          <w:lang w:eastAsia="ja-JP"/>
        </w:rPr>
        <w:t xml:space="preserve"> </w:t>
      </w:r>
      <w:r>
        <w:rPr>
          <w:lang w:eastAsia="ja-JP"/>
        </w:rPr>
        <w:t>avai</w:t>
      </w:r>
      <w:r w:rsidR="00525235">
        <w:rPr>
          <w:lang w:eastAsia="ja-JP"/>
        </w:rPr>
        <w:t>lable</w:t>
      </w:r>
      <w:r w:rsidR="000159A6">
        <w:rPr>
          <w:lang w:eastAsia="ja-JP"/>
        </w:rPr>
        <w:t xml:space="preserve"> </w:t>
      </w:r>
      <w:r w:rsidR="00525235">
        <w:rPr>
          <w:lang w:eastAsia="ja-JP"/>
        </w:rPr>
        <w:t>from</w:t>
      </w:r>
      <w:r w:rsidR="000159A6">
        <w:rPr>
          <w:lang w:eastAsia="ja-JP"/>
        </w:rPr>
        <w:t xml:space="preserve"> </w:t>
      </w:r>
      <w:r w:rsidR="00525235">
        <w:rPr>
          <w:lang w:eastAsia="ja-JP"/>
        </w:rPr>
        <w:t>the</w:t>
      </w:r>
      <w:r w:rsidR="000159A6">
        <w:rPr>
          <w:lang w:eastAsia="ja-JP"/>
        </w:rPr>
        <w:t xml:space="preserve"> </w:t>
      </w:r>
      <w:r w:rsidR="00525235">
        <w:rPr>
          <w:lang w:eastAsia="ja-JP"/>
        </w:rPr>
        <w:t>two</w:t>
      </w:r>
      <w:r w:rsidR="000159A6">
        <w:rPr>
          <w:lang w:eastAsia="ja-JP"/>
        </w:rPr>
        <w:t xml:space="preserve"> </w:t>
      </w:r>
      <w:r w:rsidR="00525235">
        <w:rPr>
          <w:lang w:eastAsia="ja-JP"/>
        </w:rPr>
        <w:t>early</w:t>
      </w:r>
      <w:r w:rsidR="000159A6">
        <w:rPr>
          <w:lang w:eastAsia="ja-JP"/>
        </w:rPr>
        <w:t xml:space="preserve"> </w:t>
      </w:r>
      <w:r w:rsidR="002D0438">
        <w:rPr>
          <w:lang w:eastAsia="ja-JP"/>
        </w:rPr>
        <w:t>phase</w:t>
      </w:r>
      <w:r w:rsidR="000159A6">
        <w:rPr>
          <w:lang w:eastAsia="ja-JP"/>
        </w:rPr>
        <w:t xml:space="preserve"> </w:t>
      </w:r>
      <w:r w:rsidR="003E540C">
        <w:rPr>
          <w:lang w:eastAsia="ja-JP"/>
        </w:rPr>
        <w:t>studies:</w:t>
      </w:r>
      <w:r w:rsidR="000159A6">
        <w:rPr>
          <w:lang w:eastAsia="ja-JP"/>
        </w:rPr>
        <w:t xml:space="preserve"> </w:t>
      </w:r>
      <w:r w:rsidR="00525235">
        <w:rPr>
          <w:lang w:eastAsia="ja-JP"/>
        </w:rPr>
        <w:t>S</w:t>
      </w:r>
      <w:r>
        <w:rPr>
          <w:lang w:eastAsia="ja-JP"/>
        </w:rPr>
        <w:t>tudies</w:t>
      </w:r>
      <w:r w:rsidR="000159A6">
        <w:rPr>
          <w:lang w:eastAsia="ja-JP"/>
        </w:rPr>
        <w:t xml:space="preserve"> </w:t>
      </w:r>
      <w:r>
        <w:rPr>
          <w:lang w:eastAsia="ja-JP"/>
        </w:rPr>
        <w:t>EXPLO-CRD-004</w:t>
      </w:r>
      <w:r w:rsidR="000159A6">
        <w:rPr>
          <w:lang w:eastAsia="ja-JP"/>
        </w:rPr>
        <w:t xml:space="preserve"> </w:t>
      </w:r>
      <w:r>
        <w:rPr>
          <w:lang w:eastAsia="ja-JP"/>
        </w:rPr>
        <w:t>and</w:t>
      </w:r>
      <w:r w:rsidR="000159A6">
        <w:rPr>
          <w:lang w:eastAsia="ja-JP"/>
        </w:rPr>
        <w:t xml:space="preserve"> </w:t>
      </w:r>
      <w:r>
        <w:rPr>
          <w:lang w:eastAsia="ja-JP"/>
        </w:rPr>
        <w:t>ZOSTER-023.</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evident</w:t>
      </w:r>
      <w:r w:rsidR="000159A6">
        <w:rPr>
          <w:lang w:eastAsia="ja-JP"/>
        </w:rPr>
        <w:t xml:space="preserve"> </w:t>
      </w:r>
      <w:r>
        <w:rPr>
          <w:lang w:eastAsia="ja-JP"/>
        </w:rPr>
        <w:t>safety</w:t>
      </w:r>
      <w:r w:rsidR="000159A6">
        <w:rPr>
          <w:lang w:eastAsia="ja-JP"/>
        </w:rPr>
        <w:t xml:space="preserve"> </w:t>
      </w:r>
      <w:r>
        <w:rPr>
          <w:lang w:eastAsia="ja-JP"/>
        </w:rPr>
        <w:t>signals</w:t>
      </w:r>
      <w:r w:rsidR="000159A6">
        <w:rPr>
          <w:lang w:eastAsia="ja-JP"/>
        </w:rPr>
        <w:t xml:space="preserve"> </w:t>
      </w:r>
      <w:r>
        <w:rPr>
          <w:lang w:eastAsia="ja-JP"/>
        </w:rPr>
        <w:t>from</w:t>
      </w:r>
      <w:r w:rsidR="000159A6">
        <w:rPr>
          <w:lang w:eastAsia="ja-JP"/>
        </w:rPr>
        <w:t xml:space="preserve"> </w:t>
      </w:r>
      <w:r>
        <w:rPr>
          <w:lang w:eastAsia="ja-JP"/>
        </w:rPr>
        <w:t>these</w:t>
      </w:r>
      <w:r w:rsidR="000159A6">
        <w:rPr>
          <w:lang w:eastAsia="ja-JP"/>
        </w:rPr>
        <w:t xml:space="preserve"> </w:t>
      </w:r>
      <w:r>
        <w:rPr>
          <w:lang w:eastAsia="ja-JP"/>
        </w:rPr>
        <w:t>small</w:t>
      </w:r>
      <w:r w:rsidR="000159A6">
        <w:rPr>
          <w:lang w:eastAsia="ja-JP"/>
        </w:rPr>
        <w:t xml:space="preserve"> </w:t>
      </w:r>
      <w:r>
        <w:rPr>
          <w:lang w:eastAsia="ja-JP"/>
        </w:rPr>
        <w:t>studies.</w:t>
      </w:r>
    </w:p>
    <w:p w14:paraId="2B7B611F" w14:textId="5FC5BEC0" w:rsidR="0091081C" w:rsidRDefault="0091081C" w:rsidP="00541F41">
      <w:pPr>
        <w:pStyle w:val="Heading5"/>
        <w:rPr>
          <w:lang w:eastAsia="ja-JP"/>
        </w:rPr>
      </w:pPr>
      <w:r w:rsidRPr="00A61532">
        <w:rPr>
          <w:lang w:eastAsia="ja-JP"/>
        </w:rPr>
        <w:t>Pregnancy</w:t>
      </w:r>
      <w:r w:rsidR="000159A6">
        <w:rPr>
          <w:lang w:eastAsia="ja-JP"/>
        </w:rPr>
        <w:t xml:space="preserve"> </w:t>
      </w:r>
      <w:r w:rsidRPr="00A61532">
        <w:rPr>
          <w:lang w:eastAsia="ja-JP"/>
        </w:rPr>
        <w:t>and</w:t>
      </w:r>
      <w:r w:rsidR="000159A6">
        <w:rPr>
          <w:lang w:eastAsia="ja-JP"/>
        </w:rPr>
        <w:t xml:space="preserve"> </w:t>
      </w:r>
      <w:r w:rsidRPr="00A61532">
        <w:rPr>
          <w:lang w:eastAsia="ja-JP"/>
        </w:rPr>
        <w:t>lactation</w:t>
      </w:r>
    </w:p>
    <w:p w14:paraId="07114224" w14:textId="44DEFDBA" w:rsidR="0091081C" w:rsidRDefault="0091081C" w:rsidP="0091081C">
      <w:pPr>
        <w:spacing w:before="0" w:line="240" w:lineRule="auto"/>
        <w:rPr>
          <w:lang w:eastAsia="ja-JP"/>
        </w:rPr>
      </w:pPr>
      <w:r>
        <w:rPr>
          <w:lang w:eastAsia="ja-JP"/>
        </w:rPr>
        <w:t>There</w:t>
      </w:r>
      <w:r w:rsidR="000159A6">
        <w:rPr>
          <w:lang w:eastAsia="ja-JP"/>
        </w:rPr>
        <w:t xml:space="preserve"> </w:t>
      </w:r>
      <w:r>
        <w:rPr>
          <w:lang w:eastAsia="ja-JP"/>
        </w:rPr>
        <w:t>are</w:t>
      </w:r>
      <w:r w:rsidR="000159A6">
        <w:rPr>
          <w:lang w:eastAsia="ja-JP"/>
        </w:rPr>
        <w:t xml:space="preserve"> </w:t>
      </w:r>
      <w:r>
        <w:rPr>
          <w:lang w:eastAsia="ja-JP"/>
        </w:rPr>
        <w:t>no</w:t>
      </w:r>
      <w:r w:rsidR="000159A6">
        <w:rPr>
          <w:lang w:eastAsia="ja-JP"/>
        </w:rPr>
        <w:t xml:space="preserve"> </w:t>
      </w:r>
      <w:r>
        <w:rPr>
          <w:lang w:eastAsia="ja-JP"/>
        </w:rPr>
        <w:t>data</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rPr>
          <w:lang w:eastAsia="ja-JP"/>
        </w:rPr>
        <w:t>use</w:t>
      </w:r>
      <w:r w:rsidR="000159A6">
        <w:rPr>
          <w:lang w:eastAsia="ja-JP"/>
        </w:rPr>
        <w:t xml:space="preserve"> </w:t>
      </w:r>
      <w:r>
        <w:rPr>
          <w:lang w:eastAsia="ja-JP"/>
        </w:rPr>
        <w:t>of</w:t>
      </w:r>
      <w:r w:rsidR="000159A6">
        <w:rPr>
          <w:lang w:eastAsia="ja-JP"/>
        </w:rPr>
        <w:t xml:space="preserve"> </w:t>
      </w:r>
      <w:r>
        <w:rPr>
          <w:lang w:eastAsia="ja-JP"/>
        </w:rPr>
        <w:t>vaccine</w:t>
      </w:r>
      <w:r w:rsidR="000159A6">
        <w:rPr>
          <w:lang w:eastAsia="ja-JP"/>
        </w:rPr>
        <w:t xml:space="preserve"> </w:t>
      </w:r>
      <w:r>
        <w:rPr>
          <w:lang w:eastAsia="ja-JP"/>
        </w:rPr>
        <w:t>in</w:t>
      </w:r>
      <w:r w:rsidR="000159A6">
        <w:rPr>
          <w:lang w:eastAsia="ja-JP"/>
        </w:rPr>
        <w:t xml:space="preserve"> </w:t>
      </w:r>
      <w:r>
        <w:rPr>
          <w:lang w:eastAsia="ja-JP"/>
        </w:rPr>
        <w:t>pregnant</w:t>
      </w:r>
      <w:r w:rsidR="000159A6">
        <w:rPr>
          <w:lang w:eastAsia="ja-JP"/>
        </w:rPr>
        <w:t xml:space="preserve"> </w:t>
      </w:r>
      <w:r>
        <w:rPr>
          <w:lang w:eastAsia="ja-JP"/>
        </w:rPr>
        <w:t>or</w:t>
      </w:r>
      <w:r w:rsidR="000159A6">
        <w:rPr>
          <w:lang w:eastAsia="ja-JP"/>
        </w:rPr>
        <w:t xml:space="preserve"> </w:t>
      </w:r>
      <w:r>
        <w:rPr>
          <w:lang w:eastAsia="ja-JP"/>
        </w:rPr>
        <w:t>lactating</w:t>
      </w:r>
      <w:r w:rsidR="000159A6">
        <w:rPr>
          <w:lang w:eastAsia="ja-JP"/>
        </w:rPr>
        <w:t xml:space="preserve"> </w:t>
      </w:r>
      <w:r>
        <w:rPr>
          <w:lang w:eastAsia="ja-JP"/>
        </w:rPr>
        <w:t>women.</w:t>
      </w:r>
    </w:p>
    <w:p w14:paraId="0659BCF8" w14:textId="3678FE84" w:rsidR="00624EB5" w:rsidRDefault="00624EB5" w:rsidP="00541F41">
      <w:pPr>
        <w:pStyle w:val="Heading5"/>
      </w:pPr>
      <w:bookmarkStart w:id="187" w:name="_Toc241374324"/>
      <w:bookmarkStart w:id="188" w:name="_Ref272331214"/>
      <w:bookmarkStart w:id="189" w:name="_Toc272414688"/>
      <w:bookmarkStart w:id="190" w:name="_Toc290888552"/>
      <w:bookmarkStart w:id="191" w:name="_Toc416353767"/>
      <w:bookmarkStart w:id="192" w:name="_Toc421005310"/>
      <w:bookmarkStart w:id="193" w:name="_Toc432079181"/>
      <w:bookmarkStart w:id="194" w:name="_Toc432080754"/>
      <w:bookmarkStart w:id="195" w:name="_Toc507578058"/>
      <w:r w:rsidRPr="00545B14">
        <w:t>Safety</w:t>
      </w:r>
      <w:r w:rsidR="000159A6">
        <w:t xml:space="preserve"> </w:t>
      </w:r>
      <w:r w:rsidRPr="00545B14">
        <w:t>related</w:t>
      </w:r>
      <w:r w:rsidR="000159A6">
        <w:t xml:space="preserve"> </w:t>
      </w:r>
      <w:r w:rsidRPr="00545B14">
        <w:t>to</w:t>
      </w:r>
      <w:r w:rsidR="000159A6">
        <w:t xml:space="preserve"> </w:t>
      </w:r>
      <w:r w:rsidRPr="00545B14">
        <w:t>drug-</w:t>
      </w:r>
      <w:r w:rsidRPr="00541F41">
        <w:t>drug</w:t>
      </w:r>
      <w:r w:rsidR="000159A6">
        <w:t xml:space="preserve"> </w:t>
      </w:r>
      <w:r w:rsidRPr="00545B14">
        <w:t>interactions</w:t>
      </w:r>
      <w:r w:rsidR="000159A6">
        <w:t xml:space="preserve"> </w:t>
      </w:r>
      <w:r w:rsidRPr="00545B14">
        <w:t>and</w:t>
      </w:r>
      <w:r w:rsidR="000159A6">
        <w:t xml:space="preserve"> </w:t>
      </w:r>
      <w:r w:rsidRPr="00545B14">
        <w:t>other</w:t>
      </w:r>
      <w:r w:rsidR="000159A6">
        <w:t xml:space="preserve"> </w:t>
      </w:r>
      <w:r w:rsidRPr="00545B14">
        <w:t>interactions</w:t>
      </w:r>
      <w:bookmarkEnd w:id="187"/>
      <w:bookmarkEnd w:id="188"/>
      <w:bookmarkEnd w:id="189"/>
      <w:bookmarkEnd w:id="190"/>
      <w:bookmarkEnd w:id="191"/>
      <w:bookmarkEnd w:id="192"/>
      <w:bookmarkEnd w:id="193"/>
      <w:bookmarkEnd w:id="194"/>
      <w:bookmarkEnd w:id="195"/>
    </w:p>
    <w:p w14:paraId="52738182" w14:textId="1BFC8DB4" w:rsidR="0091081C" w:rsidRPr="0091081C" w:rsidRDefault="00624EB5" w:rsidP="00541F41">
      <w:pPr>
        <w:rPr>
          <w:lang w:eastAsia="ja-JP"/>
        </w:rPr>
      </w:pPr>
      <w:r>
        <w:rPr>
          <w:lang w:eastAsia="ja-JP"/>
        </w:rPr>
        <w:t>In</w:t>
      </w:r>
      <w:r w:rsidR="000159A6">
        <w:rPr>
          <w:lang w:eastAsia="ja-JP"/>
        </w:rPr>
        <w:t xml:space="preserve"> </w:t>
      </w:r>
      <w:r>
        <w:rPr>
          <w:lang w:eastAsia="ja-JP"/>
        </w:rPr>
        <w:t>Study</w:t>
      </w:r>
      <w:r w:rsidR="000159A6">
        <w:rPr>
          <w:lang w:eastAsia="ja-JP"/>
        </w:rPr>
        <w:t xml:space="preserve"> </w:t>
      </w:r>
      <w:r>
        <w:rPr>
          <w:lang w:eastAsia="ja-JP"/>
        </w:rPr>
        <w:t>ZOSTER-004,</w:t>
      </w:r>
      <w:r w:rsidR="000159A6">
        <w:rPr>
          <w:lang w:eastAsia="ja-JP"/>
        </w:rPr>
        <w:t xml:space="preserve"> </w:t>
      </w:r>
      <w:r>
        <w:rPr>
          <w:lang w:eastAsia="ja-JP"/>
        </w:rPr>
        <w:t>co-administration</w:t>
      </w:r>
      <w:r w:rsidR="000159A6">
        <w:rPr>
          <w:lang w:eastAsia="ja-JP"/>
        </w:rPr>
        <w:t xml:space="preserve"> </w:t>
      </w:r>
      <w:r>
        <w:rPr>
          <w:lang w:eastAsia="ja-JP"/>
        </w:rPr>
        <w:t>of</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with</w:t>
      </w:r>
      <w:r w:rsidR="000159A6">
        <w:rPr>
          <w:lang w:eastAsia="ja-JP"/>
        </w:rPr>
        <w:t xml:space="preserve"> </w:t>
      </w:r>
      <w:r>
        <w:rPr>
          <w:lang w:eastAsia="ja-JP"/>
        </w:rPr>
        <w:t>FLU-D-QIV</w:t>
      </w:r>
      <w:r w:rsidR="000159A6">
        <w:rPr>
          <w:lang w:eastAsia="ja-JP"/>
        </w:rPr>
        <w:t xml:space="preserve"> </w:t>
      </w:r>
      <w:r>
        <w:rPr>
          <w:lang w:eastAsia="ja-JP"/>
        </w:rPr>
        <w:t>was</w:t>
      </w:r>
      <w:r w:rsidR="000159A6">
        <w:rPr>
          <w:lang w:eastAsia="ja-JP"/>
        </w:rPr>
        <w:t xml:space="preserve"> </w:t>
      </w:r>
      <w:r>
        <w:rPr>
          <w:lang w:eastAsia="ja-JP"/>
        </w:rPr>
        <w:t>assessed.</w:t>
      </w:r>
      <w:r w:rsidR="000159A6">
        <w:rPr>
          <w:lang w:eastAsia="ja-JP"/>
        </w:rPr>
        <w:t xml:space="preserve"> </w:t>
      </w:r>
      <w:r>
        <w:rPr>
          <w:lang w:eastAsia="ja-JP"/>
        </w:rPr>
        <w:t>The</w:t>
      </w:r>
      <w:r w:rsidR="000159A6">
        <w:rPr>
          <w:lang w:eastAsia="ja-JP"/>
        </w:rPr>
        <w:t xml:space="preserve"> </w:t>
      </w:r>
      <w:r>
        <w:rPr>
          <w:lang w:eastAsia="ja-JP"/>
        </w:rPr>
        <w:t>rate</w:t>
      </w:r>
      <w:r w:rsidR="000159A6">
        <w:rPr>
          <w:lang w:eastAsia="ja-JP"/>
        </w:rPr>
        <w:t xml:space="preserve"> </w:t>
      </w:r>
      <w:r>
        <w:rPr>
          <w:lang w:eastAsia="ja-JP"/>
        </w:rPr>
        <w:t>per</w:t>
      </w:r>
      <w:r w:rsidR="000159A6">
        <w:rPr>
          <w:lang w:eastAsia="ja-JP"/>
        </w:rPr>
        <w:t xml:space="preserve"> </w:t>
      </w:r>
      <w:r>
        <w:rPr>
          <w:lang w:eastAsia="ja-JP"/>
        </w:rPr>
        <w:t>dose</w:t>
      </w:r>
      <w:r w:rsidR="000159A6">
        <w:rPr>
          <w:lang w:eastAsia="ja-JP"/>
        </w:rPr>
        <w:t xml:space="preserve"> </w:t>
      </w:r>
      <w:r>
        <w:rPr>
          <w:lang w:eastAsia="ja-JP"/>
        </w:rPr>
        <w:t>of</w:t>
      </w:r>
      <w:r w:rsidR="000159A6">
        <w:rPr>
          <w:lang w:eastAsia="ja-JP"/>
        </w:rPr>
        <w:t xml:space="preserve"> </w:t>
      </w:r>
      <w:r>
        <w:rPr>
          <w:lang w:eastAsia="ja-JP"/>
        </w:rPr>
        <w:t>solicited</w:t>
      </w:r>
      <w:r w:rsidR="000159A6">
        <w:rPr>
          <w:lang w:eastAsia="ja-JP"/>
        </w:rPr>
        <w:t xml:space="preserve"> </w:t>
      </w:r>
      <w:r>
        <w:rPr>
          <w:lang w:eastAsia="ja-JP"/>
        </w:rPr>
        <w:t>local</w:t>
      </w:r>
      <w:r w:rsidR="000159A6">
        <w:rPr>
          <w:lang w:eastAsia="ja-JP"/>
        </w:rPr>
        <w:t xml:space="preserve"> </w:t>
      </w:r>
      <w:r>
        <w:rPr>
          <w:lang w:eastAsia="ja-JP"/>
        </w:rPr>
        <w:t>symptoms</w:t>
      </w:r>
      <w:r w:rsidR="000159A6">
        <w:rPr>
          <w:lang w:eastAsia="ja-JP"/>
        </w:rPr>
        <w:t xml:space="preserve"> </w:t>
      </w:r>
      <w:r>
        <w:rPr>
          <w:lang w:eastAsia="ja-JP"/>
        </w:rPr>
        <w:t>was</w:t>
      </w:r>
      <w:r w:rsidR="000159A6">
        <w:rPr>
          <w:lang w:eastAsia="ja-JP"/>
        </w:rPr>
        <w:t xml:space="preserve"> </w:t>
      </w:r>
      <w:r>
        <w:rPr>
          <w:lang w:eastAsia="ja-JP"/>
        </w:rPr>
        <w:t>higher</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group</w:t>
      </w:r>
      <w:r w:rsidR="000159A6">
        <w:rPr>
          <w:lang w:eastAsia="ja-JP"/>
        </w:rPr>
        <w:t xml:space="preserve"> </w:t>
      </w:r>
      <w:r>
        <w:rPr>
          <w:lang w:eastAsia="ja-JP"/>
        </w:rPr>
        <w:t>that</w:t>
      </w:r>
      <w:r w:rsidR="000159A6">
        <w:rPr>
          <w:lang w:eastAsia="ja-JP"/>
        </w:rPr>
        <w:t xml:space="preserve"> </w:t>
      </w:r>
      <w:r>
        <w:rPr>
          <w:lang w:eastAsia="ja-JP"/>
        </w:rPr>
        <w:t>received</w:t>
      </w:r>
      <w:r w:rsidR="000159A6">
        <w:rPr>
          <w:lang w:eastAsia="ja-JP"/>
        </w:rPr>
        <w:t xml:space="preserve"> </w:t>
      </w:r>
      <w:r>
        <w:rPr>
          <w:lang w:eastAsia="ja-JP"/>
        </w:rPr>
        <w:t>co</w:t>
      </w:r>
      <w:r w:rsidR="003E540C">
        <w:rPr>
          <w:lang w:eastAsia="ja-JP"/>
        </w:rPr>
        <w:noBreakHyphen/>
      </w:r>
      <w:r>
        <w:rPr>
          <w:lang w:eastAsia="ja-JP"/>
        </w:rPr>
        <w:t>administered</w:t>
      </w:r>
      <w:r w:rsidR="000159A6">
        <w:rPr>
          <w:lang w:eastAsia="ja-JP"/>
        </w:rPr>
        <w:t xml:space="preserve"> </w:t>
      </w:r>
      <w:r>
        <w:rPr>
          <w:lang w:eastAsia="ja-JP"/>
        </w:rPr>
        <w:t>vaccine</w:t>
      </w:r>
      <w:r w:rsidR="000159A6">
        <w:rPr>
          <w:lang w:eastAsia="ja-JP"/>
        </w:rPr>
        <w:t xml:space="preserve"> </w:t>
      </w:r>
      <w:r>
        <w:rPr>
          <w:lang w:eastAsia="ja-JP"/>
        </w:rPr>
        <w:t>compared</w:t>
      </w:r>
      <w:r w:rsidR="000159A6">
        <w:rPr>
          <w:lang w:eastAsia="ja-JP"/>
        </w:rPr>
        <w:t xml:space="preserve"> </w:t>
      </w:r>
      <w:r>
        <w:rPr>
          <w:lang w:eastAsia="ja-JP"/>
        </w:rPr>
        <w:t>the</w:t>
      </w:r>
      <w:r w:rsidR="000159A6">
        <w:rPr>
          <w:lang w:eastAsia="ja-JP"/>
        </w:rPr>
        <w:t xml:space="preserve"> </w:t>
      </w:r>
      <w:r>
        <w:rPr>
          <w:lang w:eastAsia="ja-JP"/>
        </w:rPr>
        <w:t>control</w:t>
      </w:r>
      <w:r w:rsidR="000159A6">
        <w:rPr>
          <w:lang w:eastAsia="ja-JP"/>
        </w:rPr>
        <w:t xml:space="preserve"> </w:t>
      </w:r>
      <w:r>
        <w:rPr>
          <w:lang w:eastAsia="ja-JP"/>
        </w:rPr>
        <w:t>group</w:t>
      </w:r>
      <w:r w:rsidR="000159A6">
        <w:rPr>
          <w:lang w:eastAsia="ja-JP"/>
        </w:rPr>
        <w:t xml:space="preserve"> </w:t>
      </w:r>
      <w:r>
        <w:rPr>
          <w:lang w:eastAsia="ja-JP"/>
        </w:rPr>
        <w:t>who</w:t>
      </w:r>
      <w:r w:rsidR="000159A6">
        <w:rPr>
          <w:lang w:eastAsia="ja-JP"/>
        </w:rPr>
        <w:t xml:space="preserve"> </w:t>
      </w:r>
      <w:r>
        <w:rPr>
          <w:lang w:eastAsia="ja-JP"/>
        </w:rPr>
        <w:t>received</w:t>
      </w:r>
      <w:r w:rsidR="000159A6">
        <w:rPr>
          <w:lang w:eastAsia="ja-JP"/>
        </w:rPr>
        <w:t xml:space="preserve"> </w:t>
      </w:r>
      <w:r>
        <w:rPr>
          <w:lang w:eastAsia="ja-JP"/>
        </w:rPr>
        <w:t>vaccine</w:t>
      </w:r>
      <w:r w:rsidR="000159A6">
        <w:rPr>
          <w:lang w:eastAsia="ja-JP"/>
        </w:rPr>
        <w:t xml:space="preserve"> </w:t>
      </w:r>
      <w:r>
        <w:rPr>
          <w:lang w:eastAsia="ja-JP"/>
        </w:rPr>
        <w:t>doses</w:t>
      </w:r>
      <w:r w:rsidR="000159A6">
        <w:rPr>
          <w:lang w:eastAsia="ja-JP"/>
        </w:rPr>
        <w:t xml:space="preserve"> </w:t>
      </w:r>
      <w:r>
        <w:rPr>
          <w:lang w:eastAsia="ja-JP"/>
        </w:rPr>
        <w:t>alone</w:t>
      </w:r>
      <w:r w:rsidR="000159A6">
        <w:rPr>
          <w:lang w:eastAsia="ja-JP"/>
        </w:rPr>
        <w:t xml:space="preserve"> </w:t>
      </w:r>
      <w:r>
        <w:rPr>
          <w:lang w:eastAsia="ja-JP"/>
        </w:rPr>
        <w:t>(77.1%</w:t>
      </w:r>
      <w:r w:rsidR="000159A6">
        <w:rPr>
          <w:lang w:eastAsia="ja-JP"/>
        </w:rPr>
        <w:t xml:space="preserve"> </w:t>
      </w:r>
      <w:r>
        <w:rPr>
          <w:lang w:eastAsia="ja-JP"/>
        </w:rPr>
        <w:t>versus</w:t>
      </w:r>
      <w:r w:rsidR="000159A6">
        <w:rPr>
          <w:lang w:eastAsia="ja-JP"/>
        </w:rPr>
        <w:t xml:space="preserve"> </w:t>
      </w:r>
      <w:r>
        <w:rPr>
          <w:lang w:eastAsia="ja-JP"/>
        </w:rPr>
        <w:t>57.4%).</w:t>
      </w:r>
      <w:r w:rsidR="000159A6">
        <w:rPr>
          <w:lang w:eastAsia="ja-JP"/>
        </w:rPr>
        <w:t xml:space="preserve"> </w:t>
      </w:r>
      <w:r>
        <w:rPr>
          <w:lang w:eastAsia="ja-JP"/>
        </w:rPr>
        <w:t>In</w:t>
      </w:r>
      <w:r w:rsidR="000159A6">
        <w:rPr>
          <w:lang w:eastAsia="ja-JP"/>
        </w:rPr>
        <w:t xml:space="preserve"> </w:t>
      </w:r>
      <w:r>
        <w:rPr>
          <w:lang w:eastAsia="ja-JP"/>
        </w:rPr>
        <w:t>particular,</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a</w:t>
      </w:r>
      <w:r w:rsidR="000159A6">
        <w:rPr>
          <w:lang w:eastAsia="ja-JP"/>
        </w:rPr>
        <w:t xml:space="preserve"> </w:t>
      </w:r>
      <w:r>
        <w:rPr>
          <w:lang w:eastAsia="ja-JP"/>
        </w:rPr>
        <w:t>higher</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r>
        <w:rPr>
          <w:lang w:eastAsia="ja-JP"/>
        </w:rPr>
        <w:t>pain</w:t>
      </w:r>
      <w:r w:rsidR="000159A6">
        <w:rPr>
          <w:lang w:eastAsia="ja-JP"/>
        </w:rPr>
        <w:t xml:space="preserve"> </w:t>
      </w:r>
      <w:r>
        <w:rPr>
          <w:lang w:eastAsia="ja-JP"/>
        </w:rPr>
        <w:t>(73.6%</w:t>
      </w:r>
      <w:r w:rsidR="000159A6">
        <w:rPr>
          <w:lang w:eastAsia="ja-JP"/>
        </w:rPr>
        <w:t xml:space="preserve"> </w:t>
      </w:r>
      <w:r>
        <w:rPr>
          <w:lang w:eastAsia="ja-JP"/>
        </w:rPr>
        <w:t>versus</w:t>
      </w:r>
      <w:r w:rsidR="000159A6">
        <w:rPr>
          <w:lang w:eastAsia="ja-JP"/>
        </w:rPr>
        <w:t xml:space="preserve"> </w:t>
      </w:r>
      <w:r>
        <w:rPr>
          <w:lang w:eastAsia="ja-JP"/>
        </w:rPr>
        <w:t>54.2%)</w:t>
      </w:r>
      <w:r w:rsidR="000159A6">
        <w:rPr>
          <w:lang w:eastAsia="ja-JP"/>
        </w:rPr>
        <w:t xml:space="preserve"> </w:t>
      </w:r>
      <w:r>
        <w:rPr>
          <w:lang w:eastAsia="ja-JP"/>
        </w:rPr>
        <w:t>and</w:t>
      </w:r>
      <w:r w:rsidR="000159A6">
        <w:rPr>
          <w:lang w:eastAsia="ja-JP"/>
        </w:rPr>
        <w:t xml:space="preserve"> </w:t>
      </w:r>
      <w:r>
        <w:rPr>
          <w:lang w:eastAsia="ja-JP"/>
        </w:rPr>
        <w:t>Grade</w:t>
      </w:r>
      <w:r w:rsidR="000159A6">
        <w:rPr>
          <w:lang w:eastAsia="ja-JP"/>
        </w:rPr>
        <w:t xml:space="preserve"> </w:t>
      </w:r>
      <w:r>
        <w:rPr>
          <w:lang w:eastAsia="ja-JP"/>
        </w:rPr>
        <w:t>3</w:t>
      </w:r>
      <w:r w:rsidR="000159A6">
        <w:rPr>
          <w:lang w:eastAsia="ja-JP"/>
        </w:rPr>
        <w:t xml:space="preserve"> </w:t>
      </w:r>
      <w:r>
        <w:rPr>
          <w:lang w:eastAsia="ja-JP"/>
        </w:rPr>
        <w:t>pain</w:t>
      </w:r>
      <w:r w:rsidR="000159A6">
        <w:rPr>
          <w:lang w:eastAsia="ja-JP"/>
        </w:rPr>
        <w:t xml:space="preserve"> </w:t>
      </w:r>
      <w:r>
        <w:rPr>
          <w:lang w:eastAsia="ja-JP"/>
        </w:rPr>
        <w:t>(8.4%</w:t>
      </w:r>
      <w:r w:rsidR="000159A6">
        <w:rPr>
          <w:lang w:eastAsia="ja-JP"/>
        </w:rPr>
        <w:t xml:space="preserve"> </w:t>
      </w:r>
      <w:r>
        <w:rPr>
          <w:lang w:eastAsia="ja-JP"/>
        </w:rPr>
        <w:t>versus</w:t>
      </w:r>
      <w:r w:rsidR="000159A6">
        <w:rPr>
          <w:lang w:eastAsia="ja-JP"/>
        </w:rPr>
        <w:t xml:space="preserve"> </w:t>
      </w:r>
      <w:r>
        <w:rPr>
          <w:lang w:eastAsia="ja-JP"/>
        </w:rPr>
        <w:t>4.4%).</w:t>
      </w:r>
      <w:r w:rsidR="000159A6">
        <w:rPr>
          <w:lang w:eastAsia="ja-JP"/>
        </w:rPr>
        <w:t xml:space="preserve"> </w:t>
      </w:r>
      <w:r>
        <w:rPr>
          <w:lang w:eastAsia="ja-JP"/>
        </w:rPr>
        <w:t>Solicited</w:t>
      </w:r>
      <w:r w:rsidR="000159A6">
        <w:rPr>
          <w:lang w:eastAsia="ja-JP"/>
        </w:rPr>
        <w:t xml:space="preserve"> </w:t>
      </w:r>
      <w:r>
        <w:rPr>
          <w:lang w:eastAsia="ja-JP"/>
        </w:rPr>
        <w:t>general</w:t>
      </w:r>
      <w:r w:rsidR="000159A6">
        <w:rPr>
          <w:lang w:eastAsia="ja-JP"/>
        </w:rPr>
        <w:t xml:space="preserve"> </w:t>
      </w:r>
      <w:r>
        <w:rPr>
          <w:lang w:eastAsia="ja-JP"/>
        </w:rPr>
        <w:t>symptoms</w:t>
      </w:r>
      <w:r w:rsidR="000159A6">
        <w:rPr>
          <w:lang w:eastAsia="ja-JP"/>
        </w:rPr>
        <w:t xml:space="preserve"> </w:t>
      </w:r>
      <w:r>
        <w:rPr>
          <w:lang w:eastAsia="ja-JP"/>
        </w:rPr>
        <w:t>were</w:t>
      </w:r>
      <w:r w:rsidR="000159A6">
        <w:rPr>
          <w:lang w:eastAsia="ja-JP"/>
        </w:rPr>
        <w:t xml:space="preserve"> </w:t>
      </w:r>
      <w:r>
        <w:rPr>
          <w:lang w:eastAsia="ja-JP"/>
        </w:rPr>
        <w:t>also</w:t>
      </w:r>
      <w:r w:rsidR="000159A6">
        <w:rPr>
          <w:lang w:eastAsia="ja-JP"/>
        </w:rPr>
        <w:t xml:space="preserve"> </w:t>
      </w:r>
      <w:r>
        <w:rPr>
          <w:lang w:eastAsia="ja-JP"/>
        </w:rPr>
        <w:t>more</w:t>
      </w:r>
      <w:r w:rsidR="000159A6">
        <w:rPr>
          <w:lang w:eastAsia="ja-JP"/>
        </w:rPr>
        <w:t xml:space="preserve"> </w:t>
      </w:r>
      <w:r>
        <w:rPr>
          <w:lang w:eastAsia="ja-JP"/>
        </w:rPr>
        <w:t>frequent</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co-administered</w:t>
      </w:r>
      <w:r w:rsidR="000159A6">
        <w:rPr>
          <w:lang w:eastAsia="ja-JP"/>
        </w:rPr>
        <w:t xml:space="preserve"> </w:t>
      </w:r>
      <w:r>
        <w:rPr>
          <w:lang w:eastAsia="ja-JP"/>
        </w:rPr>
        <w:t>group</w:t>
      </w:r>
      <w:r w:rsidR="000159A6">
        <w:rPr>
          <w:lang w:eastAsia="ja-JP"/>
        </w:rPr>
        <w:t xml:space="preserve"> </w:t>
      </w:r>
      <w:r>
        <w:rPr>
          <w:lang w:eastAsia="ja-JP"/>
        </w:rPr>
        <w:t>(62.5%</w:t>
      </w:r>
      <w:r w:rsidR="000159A6">
        <w:rPr>
          <w:lang w:eastAsia="ja-JP"/>
        </w:rPr>
        <w:t xml:space="preserve"> </w:t>
      </w:r>
      <w:r>
        <w:rPr>
          <w:lang w:eastAsia="ja-JP"/>
        </w:rPr>
        <w:t>versus</w:t>
      </w:r>
      <w:r w:rsidR="000159A6">
        <w:rPr>
          <w:lang w:eastAsia="ja-JP"/>
        </w:rPr>
        <w:t xml:space="preserve"> </w:t>
      </w:r>
      <w:r>
        <w:rPr>
          <w:lang w:eastAsia="ja-JP"/>
        </w:rPr>
        <w:t>49.7%</w:t>
      </w:r>
      <w:r w:rsidR="000159A6">
        <w:rPr>
          <w:lang w:eastAsia="ja-JP"/>
        </w:rPr>
        <w:t xml:space="preserve"> </w:t>
      </w:r>
      <w:r>
        <w:rPr>
          <w:lang w:eastAsia="ja-JP"/>
        </w:rPr>
        <w:t>overall</w:t>
      </w:r>
      <w:r w:rsidR="000159A6">
        <w:rPr>
          <w:lang w:eastAsia="ja-JP"/>
        </w:rPr>
        <w:t xml:space="preserve"> </w:t>
      </w:r>
      <w:r>
        <w:rPr>
          <w:lang w:eastAsia="ja-JP"/>
        </w:rPr>
        <w:t>per</w:t>
      </w:r>
      <w:r w:rsidR="000159A6">
        <w:rPr>
          <w:lang w:eastAsia="ja-JP"/>
        </w:rPr>
        <w:t xml:space="preserve"> </w:t>
      </w:r>
      <w:r>
        <w:rPr>
          <w:lang w:eastAsia="ja-JP"/>
        </w:rPr>
        <w:t>dose).</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notable</w:t>
      </w:r>
      <w:r w:rsidR="000159A6">
        <w:rPr>
          <w:lang w:eastAsia="ja-JP"/>
        </w:rPr>
        <w:t xml:space="preserve"> </w:t>
      </w:r>
      <w:r>
        <w:rPr>
          <w:lang w:eastAsia="ja-JP"/>
        </w:rPr>
        <w:t>differences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r>
        <w:rPr>
          <w:lang w:eastAsia="ja-JP"/>
        </w:rPr>
        <w:t>unsolicited</w:t>
      </w:r>
      <w:r w:rsidR="000159A6">
        <w:rPr>
          <w:lang w:eastAsia="ja-JP"/>
        </w:rPr>
        <w:t xml:space="preserve"> </w:t>
      </w:r>
      <w:r>
        <w:rPr>
          <w:lang w:eastAsia="ja-JP"/>
        </w:rPr>
        <w:t>AEs</w:t>
      </w:r>
      <w:r w:rsidR="000159A6">
        <w:rPr>
          <w:lang w:eastAsia="ja-JP"/>
        </w:rPr>
        <w:t xml:space="preserve"> </w:t>
      </w:r>
      <w:r>
        <w:rPr>
          <w:lang w:eastAsia="ja-JP"/>
        </w:rPr>
        <w:t>following</w:t>
      </w:r>
      <w:r w:rsidR="000159A6">
        <w:rPr>
          <w:lang w:eastAsia="ja-JP"/>
        </w:rPr>
        <w:t xml:space="preserve"> </w:t>
      </w:r>
      <w:r>
        <w:rPr>
          <w:lang w:eastAsia="ja-JP"/>
        </w:rPr>
        <w:t>each</w:t>
      </w:r>
      <w:r w:rsidR="000159A6">
        <w:rPr>
          <w:lang w:eastAsia="ja-JP"/>
        </w:rPr>
        <w:t xml:space="preserve"> </w:t>
      </w:r>
      <w:r>
        <w:rPr>
          <w:lang w:eastAsia="ja-JP"/>
        </w:rPr>
        <w:t>vaccine</w:t>
      </w:r>
      <w:r w:rsidR="000159A6">
        <w:rPr>
          <w:lang w:eastAsia="ja-JP"/>
        </w:rPr>
        <w:t xml:space="preserve"> </w:t>
      </w:r>
      <w:r>
        <w:rPr>
          <w:lang w:eastAsia="ja-JP"/>
        </w:rPr>
        <w:t>dose</w:t>
      </w:r>
      <w:r w:rsidR="000159A6">
        <w:rPr>
          <w:lang w:eastAsia="ja-JP"/>
        </w:rPr>
        <w:t xml:space="preserve"> </w:t>
      </w:r>
      <w:r>
        <w:rPr>
          <w:lang w:eastAsia="ja-JP"/>
        </w:rPr>
        <w:t>(15.5%</w:t>
      </w:r>
      <w:r w:rsidR="000159A6">
        <w:rPr>
          <w:lang w:eastAsia="ja-JP"/>
        </w:rPr>
        <w:t xml:space="preserve"> </w:t>
      </w:r>
      <w:r>
        <w:rPr>
          <w:lang w:eastAsia="ja-JP"/>
        </w:rPr>
        <w:t>versus</w:t>
      </w:r>
      <w:r w:rsidR="000159A6">
        <w:rPr>
          <w:lang w:eastAsia="ja-JP"/>
        </w:rPr>
        <w:t xml:space="preserve"> </w:t>
      </w:r>
      <w:r>
        <w:rPr>
          <w:lang w:eastAsia="ja-JP"/>
        </w:rPr>
        <w:t>17.0%).</w:t>
      </w:r>
    </w:p>
    <w:p w14:paraId="3BA3B2B2" w14:textId="7D0A613D" w:rsidR="005C0A6F" w:rsidRPr="00C95B23" w:rsidRDefault="00605AD4" w:rsidP="00541F41">
      <w:pPr>
        <w:pStyle w:val="Heading4"/>
      </w:pPr>
      <w:r w:rsidRPr="00C95B23">
        <w:t>Post</w:t>
      </w:r>
      <w:r w:rsidR="0096043C" w:rsidRPr="00C95B23">
        <w:t>-</w:t>
      </w:r>
      <w:r w:rsidRPr="00541F41">
        <w:t>marketing</w:t>
      </w:r>
      <w:r w:rsidR="000159A6" w:rsidRPr="00C95B23">
        <w:t xml:space="preserve"> </w:t>
      </w:r>
      <w:r w:rsidRPr="00C95B23">
        <w:t>data</w:t>
      </w:r>
    </w:p>
    <w:p w14:paraId="3A47D44F" w14:textId="70E7E277" w:rsidR="00624EB5" w:rsidRPr="00624EB5" w:rsidRDefault="00624EB5" w:rsidP="00624EB5">
      <w:r>
        <w:t>Not</w:t>
      </w:r>
      <w:r w:rsidR="000159A6">
        <w:t xml:space="preserve"> </w:t>
      </w:r>
      <w:r>
        <w:t>applicable.</w:t>
      </w:r>
    </w:p>
    <w:p w14:paraId="018AC12E" w14:textId="02F2EC6C" w:rsidR="005C0A6F" w:rsidRPr="00C95B23" w:rsidRDefault="00605AD4" w:rsidP="00541F41">
      <w:pPr>
        <w:pStyle w:val="Heading4"/>
      </w:pPr>
      <w:r w:rsidRPr="00541F41">
        <w:t>Evaluator’s</w:t>
      </w:r>
      <w:r w:rsidR="000159A6" w:rsidRPr="00C95B23">
        <w:t xml:space="preserve"> </w:t>
      </w:r>
      <w:r w:rsidRPr="00C95B23">
        <w:t>conclusions</w:t>
      </w:r>
      <w:r w:rsidR="000159A6" w:rsidRPr="00C95B23">
        <w:t xml:space="preserve"> </w:t>
      </w:r>
      <w:r w:rsidRPr="00C95B23">
        <w:t>on</w:t>
      </w:r>
      <w:r w:rsidR="000159A6" w:rsidRPr="00C95B23">
        <w:t xml:space="preserve"> </w:t>
      </w:r>
      <w:r w:rsidRPr="00C95B23">
        <w:t>safety</w:t>
      </w:r>
    </w:p>
    <w:p w14:paraId="2633EA40" w14:textId="685761CD" w:rsidR="00624EB5" w:rsidRDefault="00624EB5" w:rsidP="00541F41">
      <w:pPr>
        <w:rPr>
          <w:lang w:eastAsia="ja-JP"/>
        </w:rPr>
      </w:pPr>
      <w:r>
        <w:t>The</w:t>
      </w:r>
      <w:r w:rsidR="000159A6">
        <w:t xml:space="preserve"> </w:t>
      </w:r>
      <w:r>
        <w:t>total</w:t>
      </w:r>
      <w:r w:rsidR="000159A6">
        <w:t xml:space="preserve"> </w:t>
      </w:r>
      <w:r>
        <w:t>exposure</w:t>
      </w:r>
      <w:r w:rsidR="000159A6">
        <w:t xml:space="preserve"> </w:t>
      </w:r>
      <w:r>
        <w:t>to</w:t>
      </w:r>
      <w:r w:rsidR="000159A6">
        <w:t xml:space="preserve"> </w:t>
      </w:r>
      <w:r>
        <w:t>HZ/</w:t>
      </w:r>
      <w:proofErr w:type="spellStart"/>
      <w:r>
        <w:t>su</w:t>
      </w:r>
      <w:proofErr w:type="spellEnd"/>
      <w:r w:rsidR="000159A6">
        <w:t xml:space="preserve"> </w:t>
      </w:r>
      <w:r>
        <w:t>in</w:t>
      </w:r>
      <w:r w:rsidR="000159A6">
        <w:t xml:space="preserve"> </w:t>
      </w:r>
      <w:r>
        <w:t>the</w:t>
      </w:r>
      <w:r w:rsidR="000159A6">
        <w:t xml:space="preserve"> </w:t>
      </w:r>
      <w:r>
        <w:t>studies</w:t>
      </w:r>
      <w:r w:rsidR="000159A6">
        <w:t xml:space="preserve"> </w:t>
      </w:r>
      <w:r>
        <w:t>included</w:t>
      </w:r>
      <w:r w:rsidR="000159A6">
        <w:t xml:space="preserve"> </w:t>
      </w:r>
      <w:r>
        <w:t>in</w:t>
      </w:r>
      <w:r w:rsidR="000159A6">
        <w:t xml:space="preserve"> </w:t>
      </w:r>
      <w:r>
        <w:t>the</w:t>
      </w:r>
      <w:r w:rsidR="000159A6">
        <w:t xml:space="preserve"> </w:t>
      </w:r>
      <w:r>
        <w:t>dossier</w:t>
      </w:r>
      <w:r w:rsidR="000159A6">
        <w:t xml:space="preserve"> </w:t>
      </w:r>
      <w:r>
        <w:t>was</w:t>
      </w:r>
      <w:r w:rsidR="000159A6">
        <w:t xml:space="preserve"> </w:t>
      </w:r>
      <w:r>
        <w:t>17,204</w:t>
      </w:r>
      <w:r w:rsidR="000159A6">
        <w:t xml:space="preserve"> </w:t>
      </w:r>
      <w:r>
        <w:t>subjects</w:t>
      </w:r>
      <w:r>
        <w:rPr>
          <w:lang w:eastAsia="ja-JP"/>
        </w:rPr>
        <w:t>.</w:t>
      </w:r>
      <w:r w:rsidR="000159A6">
        <w:rPr>
          <w:lang w:eastAsia="ja-JP"/>
        </w:rPr>
        <w:t xml:space="preserve"> </w:t>
      </w:r>
      <w:r>
        <w:rPr>
          <w:lang w:eastAsia="ja-JP"/>
        </w:rPr>
        <w:t>The</w:t>
      </w:r>
      <w:r w:rsidR="000159A6">
        <w:rPr>
          <w:lang w:eastAsia="ja-JP"/>
        </w:rPr>
        <w:t xml:space="preserve"> </w:t>
      </w:r>
      <w:r>
        <w:rPr>
          <w:lang w:eastAsia="ja-JP"/>
        </w:rPr>
        <w:t>main</w:t>
      </w:r>
      <w:r w:rsidR="000159A6">
        <w:rPr>
          <w:lang w:eastAsia="ja-JP"/>
        </w:rPr>
        <w:t xml:space="preserve"> </w:t>
      </w:r>
      <w:r>
        <w:rPr>
          <w:lang w:eastAsia="ja-JP"/>
        </w:rPr>
        <w:t>safety</w:t>
      </w:r>
      <w:r w:rsidR="000159A6">
        <w:rPr>
          <w:lang w:eastAsia="ja-JP"/>
        </w:rPr>
        <w:t xml:space="preserve"> </w:t>
      </w:r>
      <w:r>
        <w:rPr>
          <w:lang w:eastAsia="ja-JP"/>
        </w:rPr>
        <w:t>pool,</w:t>
      </w:r>
      <w:r w:rsidR="000159A6">
        <w:rPr>
          <w:lang w:eastAsia="ja-JP"/>
        </w:rPr>
        <w:t xml:space="preserve"> </w:t>
      </w:r>
      <w:r>
        <w:rPr>
          <w:lang w:eastAsia="ja-JP"/>
        </w:rPr>
        <w:t>which</w:t>
      </w:r>
      <w:r w:rsidR="000159A6">
        <w:rPr>
          <w:lang w:eastAsia="ja-JP"/>
        </w:rPr>
        <w:t xml:space="preserve"> </w:t>
      </w:r>
      <w:r>
        <w:rPr>
          <w:lang w:eastAsia="ja-JP"/>
        </w:rPr>
        <w:t>contained</w:t>
      </w:r>
      <w:r w:rsidR="000159A6">
        <w:rPr>
          <w:lang w:eastAsia="ja-JP"/>
        </w:rPr>
        <w:t xml:space="preserve"> </w:t>
      </w:r>
      <w:r>
        <w:rPr>
          <w:lang w:eastAsia="ja-JP"/>
        </w:rPr>
        <w:t>data</w:t>
      </w:r>
      <w:r w:rsidR="000159A6">
        <w:rPr>
          <w:lang w:eastAsia="ja-JP"/>
        </w:rPr>
        <w:t xml:space="preserve"> </w:t>
      </w:r>
      <w:r>
        <w:rPr>
          <w:lang w:eastAsia="ja-JP"/>
        </w:rPr>
        <w:t>from</w:t>
      </w:r>
      <w:r w:rsidR="000159A6">
        <w:rPr>
          <w:lang w:eastAsia="ja-JP"/>
        </w:rPr>
        <w:t xml:space="preserve"> </w:t>
      </w:r>
      <w:r>
        <w:rPr>
          <w:lang w:eastAsia="ja-JP"/>
        </w:rPr>
        <w:t>the</w:t>
      </w:r>
      <w:r w:rsidR="000159A6">
        <w:rPr>
          <w:lang w:eastAsia="ja-JP"/>
        </w:rPr>
        <w:t xml:space="preserve"> </w:t>
      </w:r>
      <w:r>
        <w:rPr>
          <w:lang w:eastAsia="ja-JP"/>
        </w:rPr>
        <w:t>two</w:t>
      </w:r>
      <w:r w:rsidR="000159A6">
        <w:rPr>
          <w:lang w:eastAsia="ja-JP"/>
        </w:rPr>
        <w:t xml:space="preserve"> </w:t>
      </w:r>
      <w:r>
        <w:rPr>
          <w:lang w:eastAsia="ja-JP"/>
        </w:rPr>
        <w:t>pivotal</w:t>
      </w:r>
      <w:r w:rsidR="000159A6">
        <w:rPr>
          <w:lang w:eastAsia="ja-JP"/>
        </w:rPr>
        <w:t xml:space="preserve"> </w:t>
      </w:r>
      <w:r>
        <w:rPr>
          <w:lang w:eastAsia="ja-JP"/>
        </w:rPr>
        <w:t>Phase</w:t>
      </w:r>
      <w:r w:rsidR="000159A6">
        <w:rPr>
          <w:lang w:eastAsia="ja-JP"/>
        </w:rPr>
        <w:t xml:space="preserve"> </w:t>
      </w:r>
      <w:r>
        <w:rPr>
          <w:lang w:eastAsia="ja-JP"/>
        </w:rPr>
        <w:t>III</w:t>
      </w:r>
      <w:r w:rsidR="000159A6">
        <w:rPr>
          <w:lang w:eastAsia="ja-JP"/>
        </w:rPr>
        <w:t xml:space="preserve"> </w:t>
      </w:r>
      <w:r>
        <w:rPr>
          <w:lang w:eastAsia="ja-JP"/>
        </w:rPr>
        <w:t>studies,</w:t>
      </w:r>
      <w:r w:rsidR="000159A6">
        <w:rPr>
          <w:lang w:eastAsia="ja-JP"/>
        </w:rPr>
        <w:t xml:space="preserve"> </w:t>
      </w:r>
      <w:r>
        <w:rPr>
          <w:lang w:eastAsia="ja-JP"/>
        </w:rPr>
        <w:t>included</w:t>
      </w:r>
      <w:r w:rsidR="000159A6">
        <w:rPr>
          <w:lang w:eastAsia="ja-JP"/>
        </w:rPr>
        <w:t xml:space="preserve"> </w:t>
      </w:r>
      <w:r w:rsidRPr="0041553E">
        <w:t>14,745</w:t>
      </w:r>
      <w:r w:rsidR="000159A6">
        <w:t xml:space="preserve"> </w:t>
      </w:r>
      <w:r>
        <w:t>adults</w:t>
      </w:r>
      <w:r w:rsidR="000159A6">
        <w:t xml:space="preserve"> </w:t>
      </w:r>
      <w:r w:rsidR="0037169B">
        <w:t>≥</w:t>
      </w:r>
      <w:r w:rsidR="000159A6">
        <w:t xml:space="preserve"> </w:t>
      </w:r>
      <w:r>
        <w:t>50</w:t>
      </w:r>
      <w:r w:rsidR="000159A6">
        <w:t xml:space="preserve"> </w:t>
      </w:r>
      <w:r>
        <w:t>years</w:t>
      </w:r>
      <w:r w:rsidR="000159A6">
        <w:t xml:space="preserve"> </w:t>
      </w:r>
      <w:r>
        <w:t>of</w:t>
      </w:r>
      <w:r w:rsidR="000159A6">
        <w:t xml:space="preserve"> </w:t>
      </w:r>
      <w:r>
        <w:t>age</w:t>
      </w:r>
      <w:r w:rsidR="000159A6">
        <w:t xml:space="preserve"> </w:t>
      </w:r>
      <w:r>
        <w:t>who</w:t>
      </w:r>
      <w:r w:rsidR="000159A6">
        <w:t xml:space="preserve"> </w:t>
      </w:r>
      <w:r>
        <w:t>received</w:t>
      </w:r>
      <w:r w:rsidR="000159A6">
        <w:t xml:space="preserve"> </w:t>
      </w:r>
      <w:r>
        <w:t>at</w:t>
      </w:r>
      <w:r w:rsidR="000159A6">
        <w:t xml:space="preserve"> </w:t>
      </w:r>
      <w:r>
        <w:t>least</w:t>
      </w:r>
      <w:r w:rsidR="000159A6">
        <w:t xml:space="preserve"> </w:t>
      </w:r>
      <w:r>
        <w:t>one</w:t>
      </w:r>
      <w:r w:rsidR="000159A6">
        <w:t xml:space="preserve"> </w:t>
      </w:r>
      <w:r>
        <w:t>dose</w:t>
      </w:r>
      <w:r w:rsidR="000159A6">
        <w:t xml:space="preserve"> </w:t>
      </w:r>
      <w:r>
        <w:t>of</w:t>
      </w:r>
      <w:r w:rsidR="000159A6">
        <w:t xml:space="preserve"> </w:t>
      </w:r>
      <w:r>
        <w:t>HZ/</w:t>
      </w:r>
      <w:proofErr w:type="spellStart"/>
      <w:r>
        <w:t>su</w:t>
      </w:r>
      <w:proofErr w:type="spellEnd"/>
      <w:r w:rsidR="000159A6">
        <w:t xml:space="preserve"> </w:t>
      </w:r>
      <w:r>
        <w:t>vaccine.</w:t>
      </w:r>
      <w:r w:rsidR="000159A6">
        <w:t xml:space="preserve"> </w:t>
      </w:r>
      <w:r>
        <w:t>Of</w:t>
      </w:r>
      <w:r w:rsidR="000159A6">
        <w:t xml:space="preserve"> </w:t>
      </w:r>
      <w:r>
        <w:t>these,</w:t>
      </w:r>
      <w:r w:rsidR="000159A6">
        <w:t xml:space="preserve"> </w:t>
      </w:r>
      <w:r>
        <w:t>approximately</w:t>
      </w:r>
      <w:r w:rsidR="000159A6">
        <w:t xml:space="preserve"> </w:t>
      </w:r>
      <w:r>
        <w:t>95%</w:t>
      </w:r>
      <w:r w:rsidR="000159A6">
        <w:t xml:space="preserve"> </w:t>
      </w:r>
      <w:r>
        <w:t>received</w:t>
      </w:r>
      <w:r w:rsidR="000159A6">
        <w:t xml:space="preserve"> </w:t>
      </w:r>
      <w:r>
        <w:t>two</w:t>
      </w:r>
      <w:r w:rsidR="000159A6">
        <w:t xml:space="preserve"> </w:t>
      </w:r>
      <w:r>
        <w:t>doses</w:t>
      </w:r>
      <w:r w:rsidR="000159A6">
        <w:t xml:space="preserve"> </w:t>
      </w:r>
      <w:r>
        <w:t>of</w:t>
      </w:r>
      <w:r w:rsidR="000159A6">
        <w:t xml:space="preserve"> </w:t>
      </w:r>
      <w:r>
        <w:t>vaccine.</w:t>
      </w:r>
      <w:r w:rsidR="000159A6">
        <w:t xml:space="preserve"> </w:t>
      </w:r>
      <w:r>
        <w:t>The</w:t>
      </w:r>
      <w:r w:rsidR="000159A6">
        <w:t xml:space="preserve"> </w:t>
      </w:r>
      <w:r w:rsidRPr="009C2461">
        <w:t>mean</w:t>
      </w:r>
      <w:r w:rsidR="000159A6">
        <w:t xml:space="preserve"> </w:t>
      </w:r>
      <w:r w:rsidRPr="009C2461">
        <w:t>follow</w:t>
      </w:r>
      <w:r w:rsidR="000159A6">
        <w:t xml:space="preserve"> </w:t>
      </w:r>
      <w:r w:rsidRPr="009C2461">
        <w:t>up</w:t>
      </w:r>
      <w:r w:rsidR="000159A6">
        <w:t xml:space="preserve"> </w:t>
      </w:r>
      <w:r w:rsidRPr="009C2461">
        <w:t>period</w:t>
      </w:r>
      <w:r w:rsidR="000159A6">
        <w:t xml:space="preserve"> </w:t>
      </w:r>
      <w:r w:rsidRPr="009C2461">
        <w:t>was</w:t>
      </w:r>
      <w:r w:rsidR="000159A6">
        <w:t xml:space="preserve"> </w:t>
      </w:r>
      <w:r w:rsidRPr="009C2461">
        <w:t>3</w:t>
      </w:r>
      <w:r w:rsidR="000159A6">
        <w:t xml:space="preserve"> </w:t>
      </w:r>
      <w:r w:rsidRPr="009C2461">
        <w:t>years.</w:t>
      </w:r>
    </w:p>
    <w:p w14:paraId="05BF1786" w14:textId="29942A1A" w:rsidR="00624EB5" w:rsidRDefault="00624EB5" w:rsidP="00541F41">
      <w:pPr>
        <w:rPr>
          <w:lang w:eastAsia="ja-JP"/>
        </w:rPr>
      </w:pPr>
      <w:r>
        <w:rPr>
          <w:lang w:eastAsia="ja-JP"/>
        </w:rPr>
        <w:t>The</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vaccine</w:t>
      </w:r>
      <w:r w:rsidR="000159A6">
        <w:rPr>
          <w:lang w:eastAsia="ja-JP"/>
        </w:rPr>
        <w:t xml:space="preserve"> </w:t>
      </w:r>
      <w:r>
        <w:rPr>
          <w:lang w:eastAsia="ja-JP"/>
        </w:rPr>
        <w:t>was</w:t>
      </w:r>
      <w:r w:rsidR="000159A6">
        <w:rPr>
          <w:lang w:eastAsia="ja-JP"/>
        </w:rPr>
        <w:t xml:space="preserve"> </w:t>
      </w:r>
      <w:proofErr w:type="spellStart"/>
      <w:r>
        <w:rPr>
          <w:lang w:eastAsia="ja-JP"/>
        </w:rPr>
        <w:t>reactogenic</w:t>
      </w:r>
      <w:proofErr w:type="spellEnd"/>
      <w:r w:rsidR="000159A6">
        <w:rPr>
          <w:lang w:eastAsia="ja-JP"/>
        </w:rPr>
        <w:t xml:space="preserve"> </w:t>
      </w:r>
      <w:r>
        <w:rPr>
          <w:lang w:eastAsia="ja-JP"/>
        </w:rPr>
        <w:t>with</w:t>
      </w:r>
      <w:r w:rsidR="000159A6">
        <w:rPr>
          <w:lang w:eastAsia="ja-JP"/>
        </w:rPr>
        <w:t xml:space="preserve"> </w:t>
      </w:r>
      <w:r>
        <w:rPr>
          <w:lang w:eastAsia="ja-JP"/>
        </w:rPr>
        <w:t>a</w:t>
      </w:r>
      <w:r w:rsidR="000159A6">
        <w:rPr>
          <w:lang w:eastAsia="ja-JP"/>
        </w:rPr>
        <w:t xml:space="preserve"> </w:t>
      </w:r>
      <w:r>
        <w:rPr>
          <w:lang w:eastAsia="ja-JP"/>
        </w:rPr>
        <w:t>high</w:t>
      </w:r>
      <w:r w:rsidR="000159A6">
        <w:rPr>
          <w:lang w:eastAsia="ja-JP"/>
        </w:rPr>
        <w:t xml:space="preserve"> </w:t>
      </w:r>
      <w:r>
        <w:rPr>
          <w:lang w:eastAsia="ja-JP"/>
        </w:rPr>
        <w:t>rate</w:t>
      </w:r>
      <w:r w:rsidR="000159A6">
        <w:rPr>
          <w:lang w:eastAsia="ja-JP"/>
        </w:rPr>
        <w:t xml:space="preserve"> </w:t>
      </w:r>
      <w:r>
        <w:rPr>
          <w:lang w:eastAsia="ja-JP"/>
        </w:rPr>
        <w:t>(overall</w:t>
      </w:r>
      <w:r w:rsidR="000159A6">
        <w:rPr>
          <w:lang w:eastAsia="ja-JP"/>
        </w:rPr>
        <w:t xml:space="preserve"> </w:t>
      </w:r>
      <w:r>
        <w:rPr>
          <w:lang w:eastAsia="ja-JP"/>
        </w:rPr>
        <w:t>rate</w:t>
      </w:r>
      <w:r w:rsidR="000159A6">
        <w:rPr>
          <w:lang w:eastAsia="ja-JP"/>
        </w:rPr>
        <w:t xml:space="preserve"> </w:t>
      </w:r>
      <w:r>
        <w:rPr>
          <w:lang w:eastAsia="ja-JP"/>
        </w:rPr>
        <w:t>per</w:t>
      </w:r>
      <w:r w:rsidR="000159A6">
        <w:rPr>
          <w:lang w:eastAsia="ja-JP"/>
        </w:rPr>
        <w:t xml:space="preserve"> </w:t>
      </w:r>
      <w:r>
        <w:rPr>
          <w:lang w:eastAsia="ja-JP"/>
        </w:rPr>
        <w:t>dose)</w:t>
      </w:r>
      <w:r w:rsidR="000159A6">
        <w:rPr>
          <w:lang w:eastAsia="ja-JP"/>
        </w:rPr>
        <w:t xml:space="preserve"> </w:t>
      </w:r>
      <w:r>
        <w:rPr>
          <w:lang w:eastAsia="ja-JP"/>
        </w:rPr>
        <w:t>of</w:t>
      </w:r>
      <w:r w:rsidR="000159A6">
        <w:rPr>
          <w:lang w:eastAsia="ja-JP"/>
        </w:rPr>
        <w:t xml:space="preserve"> </w:t>
      </w:r>
      <w:r>
        <w:rPr>
          <w:lang w:eastAsia="ja-JP"/>
        </w:rPr>
        <w:t>local</w:t>
      </w:r>
      <w:r w:rsidR="000159A6">
        <w:rPr>
          <w:lang w:eastAsia="ja-JP"/>
        </w:rPr>
        <w:t xml:space="preserve"> </w:t>
      </w:r>
      <w:r>
        <w:rPr>
          <w:lang w:eastAsia="ja-JP"/>
        </w:rPr>
        <w:t>symptoms</w:t>
      </w:r>
      <w:r w:rsidR="000159A6">
        <w:rPr>
          <w:lang w:eastAsia="ja-JP"/>
        </w:rPr>
        <w:t xml:space="preserve"> </w:t>
      </w:r>
      <w:r>
        <w:rPr>
          <w:lang w:eastAsia="ja-JP"/>
        </w:rPr>
        <w:t>of</w:t>
      </w:r>
      <w:r w:rsidR="000159A6">
        <w:rPr>
          <w:lang w:eastAsia="ja-JP"/>
        </w:rPr>
        <w:t xml:space="preserve"> </w:t>
      </w:r>
      <w:r>
        <w:rPr>
          <w:lang w:eastAsia="ja-JP"/>
        </w:rPr>
        <w:t>pain</w:t>
      </w:r>
      <w:r w:rsidR="000159A6">
        <w:rPr>
          <w:lang w:eastAsia="ja-JP"/>
        </w:rPr>
        <w:t xml:space="preserve"> </w:t>
      </w:r>
      <w:r>
        <w:rPr>
          <w:lang w:eastAsia="ja-JP"/>
        </w:rPr>
        <w:t>(68%),</w:t>
      </w:r>
      <w:r w:rsidR="000159A6">
        <w:rPr>
          <w:lang w:eastAsia="ja-JP"/>
        </w:rPr>
        <w:t xml:space="preserve"> </w:t>
      </w:r>
      <w:r>
        <w:rPr>
          <w:lang w:eastAsia="ja-JP"/>
        </w:rPr>
        <w:t>redness</w:t>
      </w:r>
      <w:r w:rsidR="000159A6">
        <w:rPr>
          <w:lang w:eastAsia="ja-JP"/>
        </w:rPr>
        <w:t xml:space="preserve"> </w:t>
      </w:r>
      <w:r>
        <w:rPr>
          <w:lang w:eastAsia="ja-JP"/>
        </w:rPr>
        <w:t>(38%)</w:t>
      </w:r>
      <w:r w:rsidR="000159A6">
        <w:rPr>
          <w:lang w:eastAsia="ja-JP"/>
        </w:rPr>
        <w:t xml:space="preserve"> </w:t>
      </w:r>
      <w:r>
        <w:rPr>
          <w:lang w:eastAsia="ja-JP"/>
        </w:rPr>
        <w:t>and</w:t>
      </w:r>
      <w:r w:rsidR="000159A6">
        <w:rPr>
          <w:lang w:eastAsia="ja-JP"/>
        </w:rPr>
        <w:t xml:space="preserve"> </w:t>
      </w:r>
      <w:r>
        <w:rPr>
          <w:lang w:eastAsia="ja-JP"/>
        </w:rPr>
        <w:t>swelling</w:t>
      </w:r>
      <w:r w:rsidR="000159A6">
        <w:rPr>
          <w:lang w:eastAsia="ja-JP"/>
        </w:rPr>
        <w:t xml:space="preserve"> </w:t>
      </w:r>
      <w:r>
        <w:rPr>
          <w:lang w:eastAsia="ja-JP"/>
        </w:rPr>
        <w:t>(26%)</w:t>
      </w:r>
      <w:r w:rsidR="000159A6">
        <w:rPr>
          <w:lang w:eastAsia="ja-JP"/>
        </w:rPr>
        <w:t xml:space="preserve"> </w:t>
      </w:r>
      <w:r>
        <w:rPr>
          <w:lang w:eastAsia="ja-JP"/>
        </w:rPr>
        <w:t>as</w:t>
      </w:r>
      <w:r w:rsidR="000159A6">
        <w:rPr>
          <w:lang w:eastAsia="ja-JP"/>
        </w:rPr>
        <w:t xml:space="preserve"> </w:t>
      </w:r>
      <w:r>
        <w:rPr>
          <w:lang w:eastAsia="ja-JP"/>
        </w:rPr>
        <w:t>well</w:t>
      </w:r>
      <w:r w:rsidR="000159A6">
        <w:rPr>
          <w:lang w:eastAsia="ja-JP"/>
        </w:rPr>
        <w:t xml:space="preserve"> </w:t>
      </w:r>
      <w:r>
        <w:rPr>
          <w:lang w:eastAsia="ja-JP"/>
        </w:rPr>
        <w:t>as</w:t>
      </w:r>
      <w:r w:rsidR="000159A6">
        <w:rPr>
          <w:lang w:eastAsia="ja-JP"/>
        </w:rPr>
        <w:t xml:space="preserve"> </w:t>
      </w:r>
      <w:r>
        <w:rPr>
          <w:lang w:eastAsia="ja-JP"/>
        </w:rPr>
        <w:t>of</w:t>
      </w:r>
      <w:r w:rsidR="000159A6">
        <w:rPr>
          <w:lang w:eastAsia="ja-JP"/>
        </w:rPr>
        <w:t xml:space="preserve"> </w:t>
      </w:r>
      <w:r>
        <w:rPr>
          <w:lang w:eastAsia="ja-JP"/>
        </w:rPr>
        <w:t>general</w:t>
      </w:r>
      <w:r w:rsidR="000159A6">
        <w:rPr>
          <w:lang w:eastAsia="ja-JP"/>
        </w:rPr>
        <w:t xml:space="preserve"> </w:t>
      </w:r>
      <w:r>
        <w:rPr>
          <w:lang w:eastAsia="ja-JP"/>
        </w:rPr>
        <w:t>symptoms</w:t>
      </w:r>
      <w:r w:rsidR="000159A6">
        <w:rPr>
          <w:lang w:eastAsia="ja-JP"/>
        </w:rPr>
        <w:t xml:space="preserve"> </w:t>
      </w:r>
      <w:r>
        <w:rPr>
          <w:lang w:eastAsia="ja-JP"/>
        </w:rPr>
        <w:t>of</w:t>
      </w:r>
      <w:r w:rsidR="000159A6">
        <w:rPr>
          <w:lang w:eastAsia="ja-JP"/>
        </w:rPr>
        <w:t xml:space="preserve"> </w:t>
      </w:r>
      <w:r>
        <w:rPr>
          <w:lang w:eastAsia="ja-JP"/>
        </w:rPr>
        <w:t>myalgia</w:t>
      </w:r>
      <w:r w:rsidR="000159A6">
        <w:rPr>
          <w:lang w:eastAsia="ja-JP"/>
        </w:rPr>
        <w:t xml:space="preserve"> </w:t>
      </w:r>
      <w:r>
        <w:rPr>
          <w:lang w:eastAsia="ja-JP"/>
        </w:rPr>
        <w:t>(33%),</w:t>
      </w:r>
      <w:r w:rsidR="000159A6">
        <w:rPr>
          <w:lang w:eastAsia="ja-JP"/>
        </w:rPr>
        <w:t xml:space="preserve"> </w:t>
      </w:r>
      <w:r>
        <w:rPr>
          <w:lang w:eastAsia="ja-JP"/>
        </w:rPr>
        <w:t>fatigue</w:t>
      </w:r>
      <w:r w:rsidR="000159A6">
        <w:rPr>
          <w:lang w:eastAsia="ja-JP"/>
        </w:rPr>
        <w:t xml:space="preserve"> </w:t>
      </w:r>
      <w:r>
        <w:rPr>
          <w:lang w:eastAsia="ja-JP"/>
        </w:rPr>
        <w:t>(32%)</w:t>
      </w:r>
      <w:r w:rsidR="000159A6">
        <w:rPr>
          <w:lang w:eastAsia="ja-JP"/>
        </w:rPr>
        <w:t xml:space="preserve"> </w:t>
      </w:r>
      <w:r>
        <w:rPr>
          <w:lang w:eastAsia="ja-JP"/>
        </w:rPr>
        <w:t>and</w:t>
      </w:r>
      <w:r w:rsidR="000159A6">
        <w:rPr>
          <w:lang w:eastAsia="ja-JP"/>
        </w:rPr>
        <w:t xml:space="preserve"> </w:t>
      </w:r>
      <w:r>
        <w:rPr>
          <w:lang w:eastAsia="ja-JP"/>
        </w:rPr>
        <w:t>headache</w:t>
      </w:r>
      <w:r w:rsidR="000159A6">
        <w:rPr>
          <w:lang w:eastAsia="ja-JP"/>
        </w:rPr>
        <w:t xml:space="preserve"> </w:t>
      </w:r>
      <w:r>
        <w:rPr>
          <w:lang w:eastAsia="ja-JP"/>
        </w:rPr>
        <w:t>(26%).</w:t>
      </w:r>
      <w:r w:rsidR="000159A6">
        <w:rPr>
          <w:lang w:eastAsia="ja-JP"/>
        </w:rPr>
        <w:t xml:space="preserve"> </w:t>
      </w:r>
      <w:r>
        <w:rPr>
          <w:lang w:eastAsia="ja-JP"/>
        </w:rPr>
        <w:t>Other</w:t>
      </w:r>
      <w:r w:rsidR="000159A6">
        <w:rPr>
          <w:lang w:eastAsia="ja-JP"/>
        </w:rPr>
        <w:t xml:space="preserve"> </w:t>
      </w:r>
      <w:r>
        <w:rPr>
          <w:lang w:eastAsia="ja-JP"/>
        </w:rPr>
        <w:t>common</w:t>
      </w:r>
      <w:r w:rsidR="000159A6">
        <w:rPr>
          <w:lang w:eastAsia="ja-JP"/>
        </w:rPr>
        <w:t xml:space="preserve"> </w:t>
      </w:r>
      <w:r>
        <w:rPr>
          <w:lang w:eastAsia="ja-JP"/>
        </w:rPr>
        <w:t>symptoms</w:t>
      </w:r>
      <w:r w:rsidR="000159A6">
        <w:rPr>
          <w:lang w:eastAsia="ja-JP"/>
        </w:rPr>
        <w:t xml:space="preserve"> </w:t>
      </w:r>
      <w:r>
        <w:rPr>
          <w:lang w:eastAsia="ja-JP"/>
        </w:rPr>
        <w:t>were</w:t>
      </w:r>
      <w:r w:rsidR="000159A6">
        <w:rPr>
          <w:lang w:eastAsia="ja-JP"/>
        </w:rPr>
        <w:t xml:space="preserve"> </w:t>
      </w:r>
      <w:r>
        <w:rPr>
          <w:lang w:eastAsia="ja-JP"/>
        </w:rPr>
        <w:t>GI</w:t>
      </w:r>
      <w:r w:rsidR="000159A6">
        <w:rPr>
          <w:lang w:eastAsia="ja-JP"/>
        </w:rPr>
        <w:t xml:space="preserve"> </w:t>
      </w:r>
      <w:r>
        <w:rPr>
          <w:lang w:eastAsia="ja-JP"/>
        </w:rPr>
        <w:t>disorders</w:t>
      </w:r>
      <w:r w:rsidR="000159A6">
        <w:rPr>
          <w:lang w:eastAsia="ja-JP"/>
        </w:rPr>
        <w:t xml:space="preserve"> </w:t>
      </w:r>
      <w:r>
        <w:rPr>
          <w:lang w:eastAsia="ja-JP"/>
        </w:rPr>
        <w:t>(nausea,</w:t>
      </w:r>
      <w:r w:rsidR="000159A6">
        <w:rPr>
          <w:lang w:eastAsia="ja-JP"/>
        </w:rPr>
        <w:t xml:space="preserve"> </w:t>
      </w:r>
      <w:r>
        <w:rPr>
          <w:lang w:eastAsia="ja-JP"/>
        </w:rPr>
        <w:t>vomiting,</w:t>
      </w:r>
      <w:r w:rsidR="000159A6">
        <w:rPr>
          <w:lang w:eastAsia="ja-JP"/>
        </w:rPr>
        <w:t xml:space="preserve"> </w:t>
      </w:r>
      <w:r>
        <w:rPr>
          <w:lang w:eastAsia="ja-JP"/>
        </w:rPr>
        <w:t>diarrhoea</w:t>
      </w:r>
      <w:r w:rsidR="000159A6">
        <w:rPr>
          <w:lang w:eastAsia="ja-JP"/>
        </w:rPr>
        <w:t xml:space="preserve"> </w:t>
      </w:r>
      <w:r>
        <w:rPr>
          <w:lang w:eastAsia="ja-JP"/>
        </w:rPr>
        <w:t>and/or</w:t>
      </w:r>
      <w:r w:rsidR="000159A6">
        <w:rPr>
          <w:lang w:eastAsia="ja-JP"/>
        </w:rPr>
        <w:t xml:space="preserve"> </w:t>
      </w:r>
      <w:r>
        <w:rPr>
          <w:lang w:eastAsia="ja-JP"/>
        </w:rPr>
        <w:t>abdominal</w:t>
      </w:r>
      <w:r w:rsidR="000159A6">
        <w:rPr>
          <w:lang w:eastAsia="ja-JP"/>
        </w:rPr>
        <w:t xml:space="preserve"> </w:t>
      </w:r>
      <w:r>
        <w:rPr>
          <w:lang w:eastAsia="ja-JP"/>
        </w:rPr>
        <w:t>pain)</w:t>
      </w:r>
      <w:r w:rsidR="000159A6">
        <w:rPr>
          <w:lang w:eastAsia="ja-JP"/>
        </w:rPr>
        <w:t xml:space="preserve"> </w:t>
      </w:r>
      <w:r>
        <w:rPr>
          <w:lang w:eastAsia="ja-JP"/>
        </w:rPr>
        <w:t>(10.7%),</w:t>
      </w:r>
      <w:r w:rsidR="000159A6">
        <w:rPr>
          <w:lang w:eastAsia="ja-JP"/>
        </w:rPr>
        <w:t xml:space="preserve"> </w:t>
      </w:r>
      <w:r>
        <w:rPr>
          <w:lang w:eastAsia="ja-JP"/>
        </w:rPr>
        <w:t>shivering</w:t>
      </w:r>
      <w:r w:rsidR="000159A6">
        <w:rPr>
          <w:lang w:eastAsia="ja-JP"/>
        </w:rPr>
        <w:t xml:space="preserve"> </w:t>
      </w:r>
      <w:r>
        <w:rPr>
          <w:lang w:eastAsia="ja-JP"/>
        </w:rPr>
        <w:t>(17.6%)</w:t>
      </w:r>
      <w:r w:rsidR="000159A6">
        <w:rPr>
          <w:lang w:eastAsia="ja-JP"/>
        </w:rPr>
        <w:t xml:space="preserve"> </w:t>
      </w:r>
      <w:r>
        <w:rPr>
          <w:lang w:eastAsia="ja-JP"/>
        </w:rPr>
        <w:t>and</w:t>
      </w:r>
      <w:r w:rsidR="000159A6">
        <w:rPr>
          <w:lang w:eastAsia="ja-JP"/>
        </w:rPr>
        <w:t xml:space="preserve"> </w:t>
      </w:r>
      <w:r>
        <w:rPr>
          <w:lang w:eastAsia="ja-JP"/>
        </w:rPr>
        <w:t>fever</w:t>
      </w:r>
      <w:r w:rsidR="000159A6">
        <w:rPr>
          <w:lang w:eastAsia="ja-JP"/>
        </w:rPr>
        <w:t xml:space="preserve"> </w:t>
      </w:r>
      <w:r>
        <w:rPr>
          <w:lang w:eastAsia="ja-JP"/>
        </w:rPr>
        <w:t>(12.8%).</w:t>
      </w:r>
    </w:p>
    <w:p w14:paraId="66588EAB" w14:textId="4C15B651" w:rsidR="00624EB5" w:rsidRDefault="00624EB5" w:rsidP="00541F41">
      <w:pPr>
        <w:rPr>
          <w:lang w:eastAsia="ja-JP"/>
        </w:rPr>
      </w:pPr>
      <w:r>
        <w:rPr>
          <w:lang w:eastAsia="ja-JP"/>
        </w:rPr>
        <w:t>Most</w:t>
      </w:r>
      <w:r w:rsidR="000159A6">
        <w:rPr>
          <w:lang w:eastAsia="ja-JP"/>
        </w:rPr>
        <w:t xml:space="preserve"> </w:t>
      </w:r>
      <w:r>
        <w:rPr>
          <w:lang w:eastAsia="ja-JP"/>
        </w:rPr>
        <w:t>reactions</w:t>
      </w:r>
      <w:r w:rsidR="000159A6">
        <w:rPr>
          <w:lang w:eastAsia="ja-JP"/>
        </w:rPr>
        <w:t xml:space="preserve"> </w:t>
      </w:r>
      <w:r>
        <w:rPr>
          <w:lang w:eastAsia="ja-JP"/>
        </w:rPr>
        <w:t>were</w:t>
      </w:r>
      <w:r w:rsidR="000159A6">
        <w:rPr>
          <w:lang w:eastAsia="ja-JP"/>
        </w:rPr>
        <w:t xml:space="preserve"> </w:t>
      </w:r>
      <w:r>
        <w:rPr>
          <w:lang w:eastAsia="ja-JP"/>
        </w:rPr>
        <w:t>Grade</w:t>
      </w:r>
      <w:r w:rsidR="000159A6">
        <w:rPr>
          <w:lang w:eastAsia="ja-JP"/>
        </w:rPr>
        <w:t xml:space="preserve"> </w:t>
      </w:r>
      <w:r>
        <w:rPr>
          <w:lang w:eastAsia="ja-JP"/>
        </w:rPr>
        <w:t>1</w:t>
      </w:r>
      <w:r w:rsidR="000159A6">
        <w:rPr>
          <w:lang w:eastAsia="ja-JP"/>
        </w:rPr>
        <w:t xml:space="preserve"> </w:t>
      </w:r>
      <w:r>
        <w:rPr>
          <w:lang w:eastAsia="ja-JP"/>
        </w:rPr>
        <w:t>or</w:t>
      </w:r>
      <w:r w:rsidR="000159A6">
        <w:rPr>
          <w:lang w:eastAsia="ja-JP"/>
        </w:rPr>
        <w:t xml:space="preserve"> </w:t>
      </w:r>
      <w:r>
        <w:rPr>
          <w:lang w:eastAsia="ja-JP"/>
        </w:rPr>
        <w:t>2</w:t>
      </w:r>
      <w:r w:rsidR="000159A6">
        <w:rPr>
          <w:lang w:eastAsia="ja-JP"/>
        </w:rPr>
        <w:t xml:space="preserve"> </w:t>
      </w:r>
      <w:r>
        <w:rPr>
          <w:lang w:eastAsia="ja-JP"/>
        </w:rPr>
        <w:t>and</w:t>
      </w:r>
      <w:r w:rsidR="000159A6">
        <w:rPr>
          <w:lang w:eastAsia="ja-JP"/>
        </w:rPr>
        <w:t xml:space="preserve"> </w:t>
      </w:r>
      <w:r>
        <w:rPr>
          <w:lang w:eastAsia="ja-JP"/>
        </w:rPr>
        <w:t>symptoms</w:t>
      </w:r>
      <w:r w:rsidR="000159A6">
        <w:rPr>
          <w:lang w:eastAsia="ja-JP"/>
        </w:rPr>
        <w:t xml:space="preserve"> </w:t>
      </w:r>
      <w:r>
        <w:rPr>
          <w:lang w:eastAsia="ja-JP"/>
        </w:rPr>
        <w:t>tended</w:t>
      </w:r>
      <w:r w:rsidR="000159A6">
        <w:rPr>
          <w:lang w:eastAsia="ja-JP"/>
        </w:rPr>
        <w:t xml:space="preserve"> </w:t>
      </w:r>
      <w:r>
        <w:rPr>
          <w:lang w:eastAsia="ja-JP"/>
        </w:rPr>
        <w:t>to</w:t>
      </w:r>
      <w:r w:rsidR="000159A6">
        <w:rPr>
          <w:lang w:eastAsia="ja-JP"/>
        </w:rPr>
        <w:t xml:space="preserve"> </w:t>
      </w:r>
      <w:r>
        <w:rPr>
          <w:lang w:eastAsia="ja-JP"/>
        </w:rPr>
        <w:t>last</w:t>
      </w:r>
      <w:r w:rsidR="000159A6">
        <w:rPr>
          <w:lang w:eastAsia="ja-JP"/>
        </w:rPr>
        <w:t xml:space="preserve"> </w:t>
      </w:r>
      <w:r>
        <w:rPr>
          <w:lang w:eastAsia="ja-JP"/>
        </w:rPr>
        <w:t>less</w:t>
      </w:r>
      <w:r w:rsidR="000159A6">
        <w:rPr>
          <w:lang w:eastAsia="ja-JP"/>
        </w:rPr>
        <w:t xml:space="preserve"> </w:t>
      </w:r>
      <w:r>
        <w:rPr>
          <w:lang w:eastAsia="ja-JP"/>
        </w:rPr>
        <w:t>than</w:t>
      </w:r>
      <w:r w:rsidR="000159A6">
        <w:rPr>
          <w:lang w:eastAsia="ja-JP"/>
        </w:rPr>
        <w:t xml:space="preserve"> </w:t>
      </w:r>
      <w:r>
        <w:rPr>
          <w:lang w:eastAsia="ja-JP"/>
        </w:rPr>
        <w:t>4</w:t>
      </w:r>
      <w:r w:rsidR="000159A6">
        <w:rPr>
          <w:lang w:eastAsia="ja-JP"/>
        </w:rPr>
        <w:t xml:space="preserve"> </w:t>
      </w:r>
      <w:r>
        <w:rPr>
          <w:lang w:eastAsia="ja-JP"/>
        </w:rPr>
        <w:t>days.</w:t>
      </w:r>
      <w:r w:rsidR="000159A6">
        <w:rPr>
          <w:lang w:eastAsia="ja-JP"/>
        </w:rPr>
        <w:t xml:space="preserve"> </w:t>
      </w:r>
      <w:r>
        <w:rPr>
          <w:lang w:eastAsia="ja-JP"/>
        </w:rPr>
        <w:t>Severe,</w:t>
      </w:r>
      <w:r w:rsidR="000159A6">
        <w:rPr>
          <w:lang w:eastAsia="ja-JP"/>
        </w:rPr>
        <w:t xml:space="preserve"> </w:t>
      </w:r>
      <w:r>
        <w:rPr>
          <w:lang w:eastAsia="ja-JP"/>
        </w:rPr>
        <w:t>Grade</w:t>
      </w:r>
      <w:r w:rsidR="000159A6">
        <w:rPr>
          <w:lang w:eastAsia="ja-JP"/>
        </w:rPr>
        <w:t xml:space="preserve"> </w:t>
      </w:r>
      <w:r>
        <w:rPr>
          <w:lang w:eastAsia="ja-JP"/>
        </w:rPr>
        <w:t>3,</w:t>
      </w:r>
      <w:r w:rsidR="000159A6">
        <w:rPr>
          <w:lang w:eastAsia="ja-JP"/>
        </w:rPr>
        <w:t xml:space="preserve"> </w:t>
      </w:r>
      <w:r>
        <w:rPr>
          <w:lang w:eastAsia="ja-JP"/>
        </w:rPr>
        <w:t>local</w:t>
      </w:r>
      <w:r w:rsidR="000159A6">
        <w:rPr>
          <w:lang w:eastAsia="ja-JP"/>
        </w:rPr>
        <w:t xml:space="preserve"> </w:t>
      </w:r>
      <w:r>
        <w:rPr>
          <w:lang w:eastAsia="ja-JP"/>
        </w:rPr>
        <w:t>symptoms</w:t>
      </w:r>
      <w:r w:rsidR="000159A6">
        <w:rPr>
          <w:lang w:eastAsia="ja-JP"/>
        </w:rPr>
        <w:t xml:space="preserve"> </w:t>
      </w:r>
      <w:r>
        <w:rPr>
          <w:lang w:eastAsia="ja-JP"/>
        </w:rPr>
        <w:t>were</w:t>
      </w:r>
      <w:r w:rsidR="000159A6">
        <w:rPr>
          <w:lang w:eastAsia="ja-JP"/>
        </w:rPr>
        <w:t xml:space="preserve"> </w:t>
      </w:r>
      <w:r>
        <w:rPr>
          <w:lang w:eastAsia="ja-JP"/>
        </w:rPr>
        <w:t>reported</w:t>
      </w:r>
      <w:r w:rsidR="000159A6">
        <w:rPr>
          <w:lang w:eastAsia="ja-JP"/>
        </w:rPr>
        <w:t xml:space="preserve"> </w:t>
      </w:r>
      <w:r>
        <w:rPr>
          <w:lang w:eastAsia="ja-JP"/>
        </w:rPr>
        <w:t>in</w:t>
      </w:r>
      <w:r w:rsidR="000159A6">
        <w:rPr>
          <w:lang w:eastAsia="ja-JP"/>
        </w:rPr>
        <w:t xml:space="preserve"> </w:t>
      </w:r>
      <w:r w:rsidR="004715B4">
        <w:rPr>
          <w:lang w:eastAsia="ja-JP"/>
        </w:rPr>
        <w:t>≤</w:t>
      </w:r>
      <w:r w:rsidR="000159A6">
        <w:rPr>
          <w:lang w:eastAsia="ja-JP"/>
        </w:rPr>
        <w:t xml:space="preserve"> </w:t>
      </w:r>
      <w:r>
        <w:rPr>
          <w:lang w:eastAsia="ja-JP"/>
        </w:rPr>
        <w:t>6.4%</w:t>
      </w:r>
      <w:r w:rsidR="000159A6">
        <w:rPr>
          <w:lang w:eastAsia="ja-JP"/>
        </w:rPr>
        <w:t xml:space="preserve"> </w:t>
      </w:r>
      <w:r>
        <w:rPr>
          <w:lang w:eastAsia="ja-JP"/>
        </w:rPr>
        <w:t>of</w:t>
      </w:r>
      <w:r w:rsidR="000159A6">
        <w:rPr>
          <w:lang w:eastAsia="ja-JP"/>
        </w:rPr>
        <w:t xml:space="preserve"> </w:t>
      </w:r>
      <w:r>
        <w:rPr>
          <w:lang w:eastAsia="ja-JP"/>
        </w:rPr>
        <w:t>subjects</w:t>
      </w:r>
      <w:r w:rsidR="000159A6">
        <w:rPr>
          <w:lang w:eastAsia="ja-JP"/>
        </w:rPr>
        <w:t xml:space="preserve"> </w:t>
      </w:r>
      <w:r>
        <w:rPr>
          <w:lang w:eastAsia="ja-JP"/>
        </w:rPr>
        <w:t>(pain</w:t>
      </w:r>
      <w:r w:rsidR="000159A6">
        <w:rPr>
          <w:lang w:eastAsia="ja-JP"/>
        </w:rPr>
        <w:t xml:space="preserve"> </w:t>
      </w:r>
      <w:r>
        <w:rPr>
          <w:lang w:eastAsia="ja-JP"/>
        </w:rPr>
        <w:t>being</w:t>
      </w:r>
      <w:r w:rsidR="000159A6">
        <w:rPr>
          <w:lang w:eastAsia="ja-JP"/>
        </w:rPr>
        <w:t xml:space="preserve"> </w:t>
      </w:r>
      <w:r>
        <w:rPr>
          <w:lang w:eastAsia="ja-JP"/>
        </w:rPr>
        <w:t>the</w:t>
      </w:r>
      <w:r w:rsidR="000159A6">
        <w:rPr>
          <w:lang w:eastAsia="ja-JP"/>
        </w:rPr>
        <w:t xml:space="preserve"> </w:t>
      </w:r>
      <w:r>
        <w:rPr>
          <w:lang w:eastAsia="ja-JP"/>
        </w:rPr>
        <w:t>most</w:t>
      </w:r>
      <w:r w:rsidR="000159A6">
        <w:rPr>
          <w:lang w:eastAsia="ja-JP"/>
        </w:rPr>
        <w:t xml:space="preserve"> </w:t>
      </w:r>
      <w:r>
        <w:rPr>
          <w:lang w:eastAsia="ja-JP"/>
        </w:rPr>
        <w:t>frequent)</w:t>
      </w:r>
      <w:r w:rsidR="000159A6">
        <w:rPr>
          <w:lang w:eastAsia="ja-JP"/>
        </w:rPr>
        <w:t xml:space="preserve"> </w:t>
      </w:r>
      <w:r>
        <w:rPr>
          <w:lang w:eastAsia="ja-JP"/>
        </w:rPr>
        <w:t>and</w:t>
      </w:r>
      <w:r w:rsidR="000159A6">
        <w:rPr>
          <w:lang w:eastAsia="ja-JP"/>
        </w:rPr>
        <w:t xml:space="preserve"> </w:t>
      </w:r>
      <w:r>
        <w:rPr>
          <w:lang w:eastAsia="ja-JP"/>
        </w:rPr>
        <w:t>Grade</w:t>
      </w:r>
      <w:r w:rsidR="000159A6">
        <w:rPr>
          <w:lang w:eastAsia="ja-JP"/>
        </w:rPr>
        <w:t xml:space="preserve"> </w:t>
      </w:r>
      <w:r>
        <w:rPr>
          <w:lang w:eastAsia="ja-JP"/>
        </w:rPr>
        <w:t>3</w:t>
      </w:r>
      <w:r w:rsidR="000159A6">
        <w:rPr>
          <w:lang w:eastAsia="ja-JP"/>
        </w:rPr>
        <w:t xml:space="preserve"> </w:t>
      </w:r>
      <w:r>
        <w:rPr>
          <w:lang w:eastAsia="ja-JP"/>
        </w:rPr>
        <w:t>general</w:t>
      </w:r>
      <w:r w:rsidR="000159A6">
        <w:rPr>
          <w:lang w:eastAsia="ja-JP"/>
        </w:rPr>
        <w:t xml:space="preserve"> </w:t>
      </w:r>
      <w:r>
        <w:rPr>
          <w:lang w:eastAsia="ja-JP"/>
        </w:rPr>
        <w:t>symptoms</w:t>
      </w:r>
      <w:r w:rsidR="000159A6">
        <w:rPr>
          <w:lang w:eastAsia="ja-JP"/>
        </w:rPr>
        <w:t xml:space="preserve"> </w:t>
      </w:r>
      <w:r>
        <w:rPr>
          <w:lang w:eastAsia="ja-JP"/>
        </w:rPr>
        <w:t>in</w:t>
      </w:r>
      <w:r w:rsidR="000159A6">
        <w:rPr>
          <w:lang w:eastAsia="ja-JP"/>
        </w:rPr>
        <w:t xml:space="preserve"> </w:t>
      </w:r>
      <w:r w:rsidR="004715B4">
        <w:rPr>
          <w:lang w:eastAsia="ja-JP"/>
        </w:rPr>
        <w:t>≤</w:t>
      </w:r>
      <w:r w:rsidR="000159A6">
        <w:rPr>
          <w:lang w:eastAsia="ja-JP"/>
        </w:rPr>
        <w:t xml:space="preserve"> </w:t>
      </w:r>
      <w:r>
        <w:rPr>
          <w:lang w:eastAsia="ja-JP"/>
        </w:rPr>
        <w:t>5.3%</w:t>
      </w:r>
      <w:r w:rsidR="000159A6">
        <w:rPr>
          <w:lang w:eastAsia="ja-JP"/>
        </w:rPr>
        <w:t xml:space="preserve"> </w:t>
      </w:r>
      <w:r>
        <w:rPr>
          <w:lang w:eastAsia="ja-JP"/>
        </w:rPr>
        <w:t>(fatigue</w:t>
      </w:r>
      <w:r w:rsidR="000159A6">
        <w:rPr>
          <w:lang w:eastAsia="ja-JP"/>
        </w:rPr>
        <w:t xml:space="preserve"> </w:t>
      </w:r>
      <w:r>
        <w:rPr>
          <w:lang w:eastAsia="ja-JP"/>
        </w:rPr>
        <w:t>and</w:t>
      </w:r>
      <w:r w:rsidR="000159A6">
        <w:rPr>
          <w:lang w:eastAsia="ja-JP"/>
        </w:rPr>
        <w:t xml:space="preserve"> </w:t>
      </w:r>
      <w:r>
        <w:rPr>
          <w:lang w:eastAsia="ja-JP"/>
        </w:rPr>
        <w:t>myalgia</w:t>
      </w:r>
      <w:r w:rsidR="000159A6">
        <w:rPr>
          <w:lang w:eastAsia="ja-JP"/>
        </w:rPr>
        <w:t xml:space="preserve"> </w:t>
      </w:r>
      <w:r>
        <w:rPr>
          <w:lang w:eastAsia="ja-JP"/>
        </w:rPr>
        <w:t>the</w:t>
      </w:r>
      <w:r w:rsidR="000159A6">
        <w:rPr>
          <w:lang w:eastAsia="ja-JP"/>
        </w:rPr>
        <w:t xml:space="preserve"> </w:t>
      </w:r>
      <w:r>
        <w:rPr>
          <w:lang w:eastAsia="ja-JP"/>
        </w:rPr>
        <w:t>most</w:t>
      </w:r>
      <w:r w:rsidR="000159A6">
        <w:rPr>
          <w:lang w:eastAsia="ja-JP"/>
        </w:rPr>
        <w:t xml:space="preserve"> </w:t>
      </w:r>
      <w:r>
        <w:rPr>
          <w:lang w:eastAsia="ja-JP"/>
        </w:rPr>
        <w:t>frequent).</w:t>
      </w:r>
      <w:r w:rsidR="000159A6">
        <w:rPr>
          <w:lang w:eastAsia="ja-JP"/>
        </w:rPr>
        <w:t xml:space="preserve"> </w:t>
      </w:r>
      <w:r>
        <w:rPr>
          <w:lang w:eastAsia="ja-JP"/>
        </w:rPr>
        <w:t>It</w:t>
      </w:r>
      <w:r w:rsidR="000159A6">
        <w:rPr>
          <w:lang w:eastAsia="ja-JP"/>
        </w:rPr>
        <w:t xml:space="preserve"> </w:t>
      </w:r>
      <w:r>
        <w:rPr>
          <w:lang w:eastAsia="ja-JP"/>
        </w:rPr>
        <w:t>was</w:t>
      </w:r>
      <w:r w:rsidR="000159A6">
        <w:rPr>
          <w:lang w:eastAsia="ja-JP"/>
        </w:rPr>
        <w:t xml:space="preserve"> </w:t>
      </w:r>
      <w:r>
        <w:rPr>
          <w:lang w:eastAsia="ja-JP"/>
        </w:rPr>
        <w:t>noted</w:t>
      </w:r>
      <w:r w:rsidR="000159A6">
        <w:rPr>
          <w:lang w:eastAsia="ja-JP"/>
        </w:rPr>
        <w:t xml:space="preserve"> </w:t>
      </w:r>
      <w:r>
        <w:rPr>
          <w:lang w:eastAsia="ja-JP"/>
        </w:rPr>
        <w:t>that</w:t>
      </w:r>
      <w:r w:rsidR="000159A6">
        <w:rPr>
          <w:lang w:eastAsia="ja-JP"/>
        </w:rPr>
        <w:t xml:space="preserve"> </w:t>
      </w:r>
      <w:r>
        <w:rPr>
          <w:lang w:eastAsia="ja-JP"/>
        </w:rPr>
        <w:t>the</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r>
        <w:rPr>
          <w:lang w:eastAsia="ja-JP"/>
        </w:rPr>
        <w:t>Grade</w:t>
      </w:r>
      <w:r w:rsidR="000159A6">
        <w:rPr>
          <w:lang w:eastAsia="ja-JP"/>
        </w:rPr>
        <w:t xml:space="preserve"> </w:t>
      </w:r>
      <w:r>
        <w:rPr>
          <w:lang w:eastAsia="ja-JP"/>
        </w:rPr>
        <w:t>3</w:t>
      </w:r>
      <w:r w:rsidR="000159A6">
        <w:rPr>
          <w:lang w:eastAsia="ja-JP"/>
        </w:rPr>
        <w:t xml:space="preserve"> </w:t>
      </w:r>
      <w:r>
        <w:rPr>
          <w:lang w:eastAsia="ja-JP"/>
        </w:rPr>
        <w:t>general</w:t>
      </w:r>
      <w:r w:rsidR="000159A6">
        <w:rPr>
          <w:lang w:eastAsia="ja-JP"/>
        </w:rPr>
        <w:t xml:space="preserve"> </w:t>
      </w:r>
      <w:r>
        <w:rPr>
          <w:lang w:eastAsia="ja-JP"/>
        </w:rPr>
        <w:t>symptoms</w:t>
      </w:r>
      <w:r w:rsidR="000159A6">
        <w:rPr>
          <w:lang w:eastAsia="ja-JP"/>
        </w:rPr>
        <w:t xml:space="preserve"> </w:t>
      </w:r>
      <w:r>
        <w:rPr>
          <w:lang w:eastAsia="ja-JP"/>
        </w:rPr>
        <w:t>increased</w:t>
      </w:r>
      <w:r w:rsidR="000159A6">
        <w:rPr>
          <w:lang w:eastAsia="ja-JP"/>
        </w:rPr>
        <w:t xml:space="preserve"> </w:t>
      </w:r>
      <w:r>
        <w:rPr>
          <w:lang w:eastAsia="ja-JP"/>
        </w:rPr>
        <w:t>with</w:t>
      </w:r>
      <w:r w:rsidR="000159A6">
        <w:rPr>
          <w:lang w:eastAsia="ja-JP"/>
        </w:rPr>
        <w:t xml:space="preserve"> </w:t>
      </w:r>
      <w:r>
        <w:rPr>
          <w:lang w:eastAsia="ja-JP"/>
        </w:rPr>
        <w:t>the</w:t>
      </w:r>
      <w:r w:rsidR="000159A6">
        <w:rPr>
          <w:lang w:eastAsia="ja-JP"/>
        </w:rPr>
        <w:t xml:space="preserve"> </w:t>
      </w:r>
      <w:r>
        <w:rPr>
          <w:lang w:eastAsia="ja-JP"/>
        </w:rPr>
        <w:t>second</w:t>
      </w:r>
      <w:r w:rsidR="000159A6">
        <w:rPr>
          <w:lang w:eastAsia="ja-JP"/>
        </w:rPr>
        <w:t xml:space="preserve"> </w:t>
      </w:r>
      <w:r>
        <w:rPr>
          <w:lang w:eastAsia="ja-JP"/>
        </w:rPr>
        <w:t>dose</w:t>
      </w:r>
      <w:r w:rsidR="000159A6">
        <w:rPr>
          <w:lang w:eastAsia="ja-JP"/>
        </w:rPr>
        <w:t xml:space="preserve"> </w:t>
      </w:r>
      <w:r>
        <w:rPr>
          <w:lang w:eastAsia="ja-JP"/>
        </w:rPr>
        <w:t>of</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(5.7%</w:t>
      </w:r>
      <w:r w:rsidR="000159A6">
        <w:rPr>
          <w:lang w:eastAsia="ja-JP"/>
        </w:rPr>
        <w:t xml:space="preserve"> </w:t>
      </w:r>
      <w:r>
        <w:rPr>
          <w:lang w:eastAsia="ja-JP"/>
        </w:rPr>
        <w:t>to</w:t>
      </w:r>
      <w:r w:rsidR="000159A6">
        <w:rPr>
          <w:lang w:eastAsia="ja-JP"/>
        </w:rPr>
        <w:t xml:space="preserve"> </w:t>
      </w:r>
      <w:r>
        <w:rPr>
          <w:lang w:eastAsia="ja-JP"/>
        </w:rPr>
        <w:t>8.0%).</w:t>
      </w:r>
    </w:p>
    <w:p w14:paraId="79B205CC" w14:textId="7BF4EA28" w:rsidR="00624EB5" w:rsidRDefault="00624EB5" w:rsidP="00541F41">
      <w:pPr>
        <w:rPr>
          <w:lang w:eastAsia="ja-JP"/>
        </w:rPr>
      </w:pPr>
      <w:r>
        <w:rPr>
          <w:lang w:eastAsia="ja-JP"/>
        </w:rPr>
        <w:t>The</w:t>
      </w:r>
      <w:r w:rsidR="000159A6">
        <w:rPr>
          <w:lang w:eastAsia="ja-JP"/>
        </w:rPr>
        <w:t xml:space="preserve"> </w:t>
      </w:r>
      <w:r>
        <w:rPr>
          <w:lang w:eastAsia="ja-JP"/>
        </w:rPr>
        <w:t>safety</w:t>
      </w:r>
      <w:r w:rsidR="000159A6">
        <w:rPr>
          <w:lang w:eastAsia="ja-JP"/>
        </w:rPr>
        <w:t xml:space="preserve"> </w:t>
      </w:r>
      <w:r>
        <w:rPr>
          <w:lang w:eastAsia="ja-JP"/>
        </w:rPr>
        <w:t>data</w:t>
      </w:r>
      <w:r w:rsidR="000159A6">
        <w:rPr>
          <w:lang w:eastAsia="ja-JP"/>
        </w:rPr>
        <w:t xml:space="preserve"> </w:t>
      </w:r>
      <w:r>
        <w:rPr>
          <w:lang w:eastAsia="ja-JP"/>
        </w:rPr>
        <w:t>indicate</w:t>
      </w:r>
      <w:r w:rsidR="000159A6">
        <w:rPr>
          <w:lang w:eastAsia="ja-JP"/>
        </w:rPr>
        <w:t xml:space="preserve"> </w:t>
      </w:r>
      <w:r>
        <w:rPr>
          <w:lang w:eastAsia="ja-JP"/>
        </w:rPr>
        <w:t>that</w:t>
      </w:r>
      <w:r w:rsidR="000159A6">
        <w:rPr>
          <w:lang w:eastAsia="ja-JP"/>
        </w:rPr>
        <w:t xml:space="preserve"> </w:t>
      </w:r>
      <w:r>
        <w:rPr>
          <w:lang w:eastAsia="ja-JP"/>
        </w:rPr>
        <w:t>local</w:t>
      </w:r>
      <w:r w:rsidR="000159A6">
        <w:rPr>
          <w:lang w:eastAsia="ja-JP"/>
        </w:rPr>
        <w:t xml:space="preserve"> </w:t>
      </w:r>
      <w:r>
        <w:rPr>
          <w:lang w:eastAsia="ja-JP"/>
        </w:rPr>
        <w:t>and</w:t>
      </w:r>
      <w:r w:rsidR="000159A6">
        <w:rPr>
          <w:lang w:eastAsia="ja-JP"/>
        </w:rPr>
        <w:t xml:space="preserve"> </w:t>
      </w:r>
      <w:r>
        <w:rPr>
          <w:lang w:eastAsia="ja-JP"/>
        </w:rPr>
        <w:t>general</w:t>
      </w:r>
      <w:r w:rsidR="000159A6">
        <w:rPr>
          <w:lang w:eastAsia="ja-JP"/>
        </w:rPr>
        <w:t xml:space="preserve"> </w:t>
      </w:r>
      <w:r>
        <w:rPr>
          <w:lang w:eastAsia="ja-JP"/>
        </w:rPr>
        <w:t>solicited</w:t>
      </w:r>
      <w:r w:rsidR="000159A6">
        <w:rPr>
          <w:lang w:eastAsia="ja-JP"/>
        </w:rPr>
        <w:t xml:space="preserve"> </w:t>
      </w:r>
      <w:r>
        <w:rPr>
          <w:lang w:eastAsia="ja-JP"/>
        </w:rPr>
        <w:t>symptoms</w:t>
      </w:r>
      <w:r w:rsidR="000159A6">
        <w:rPr>
          <w:lang w:eastAsia="ja-JP"/>
        </w:rPr>
        <w:t xml:space="preserve"> </w:t>
      </w:r>
      <w:r>
        <w:rPr>
          <w:lang w:eastAsia="ja-JP"/>
        </w:rPr>
        <w:t>rate</w:t>
      </w:r>
      <w:r w:rsidR="000159A6">
        <w:rPr>
          <w:lang w:eastAsia="ja-JP"/>
        </w:rPr>
        <w:t xml:space="preserve"> </w:t>
      </w:r>
      <w:r>
        <w:rPr>
          <w:lang w:eastAsia="ja-JP"/>
        </w:rPr>
        <w:t>tends</w:t>
      </w:r>
      <w:r w:rsidR="000159A6">
        <w:rPr>
          <w:lang w:eastAsia="ja-JP"/>
        </w:rPr>
        <w:t xml:space="preserve"> </w:t>
      </w:r>
      <w:r>
        <w:rPr>
          <w:lang w:eastAsia="ja-JP"/>
        </w:rPr>
        <w:t>to</w:t>
      </w:r>
      <w:r w:rsidR="000159A6">
        <w:rPr>
          <w:lang w:eastAsia="ja-JP"/>
        </w:rPr>
        <w:t xml:space="preserve"> </w:t>
      </w:r>
      <w:r>
        <w:rPr>
          <w:lang w:eastAsia="ja-JP"/>
        </w:rPr>
        <w:t>be</w:t>
      </w:r>
      <w:r w:rsidR="000159A6">
        <w:rPr>
          <w:lang w:eastAsia="ja-JP"/>
        </w:rPr>
        <w:t xml:space="preserve"> </w:t>
      </w:r>
      <w:r>
        <w:rPr>
          <w:lang w:eastAsia="ja-JP"/>
        </w:rPr>
        <w:t>higher</w:t>
      </w:r>
      <w:r w:rsidR="000159A6">
        <w:rPr>
          <w:lang w:eastAsia="ja-JP"/>
        </w:rPr>
        <w:t xml:space="preserve"> </w:t>
      </w:r>
      <w:r>
        <w:rPr>
          <w:lang w:eastAsia="ja-JP"/>
        </w:rPr>
        <w:t>in</w:t>
      </w:r>
      <w:r w:rsidR="000159A6">
        <w:rPr>
          <w:lang w:eastAsia="ja-JP"/>
        </w:rPr>
        <w:t xml:space="preserve"> </w:t>
      </w:r>
      <w:r>
        <w:rPr>
          <w:lang w:eastAsia="ja-JP"/>
        </w:rPr>
        <w:t>50</w:t>
      </w:r>
      <w:r w:rsidR="000159A6">
        <w:rPr>
          <w:lang w:eastAsia="ja-JP"/>
        </w:rPr>
        <w:t xml:space="preserve"> </w:t>
      </w:r>
      <w:r>
        <w:rPr>
          <w:lang w:eastAsia="ja-JP"/>
        </w:rPr>
        <w:t>to</w:t>
      </w:r>
      <w:r w:rsidR="000159A6">
        <w:rPr>
          <w:lang w:eastAsia="ja-JP"/>
        </w:rPr>
        <w:t xml:space="preserve"> </w:t>
      </w:r>
      <w:r>
        <w:rPr>
          <w:lang w:eastAsia="ja-JP"/>
        </w:rPr>
        <w:t>69</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group</w:t>
      </w:r>
      <w:r w:rsidR="000159A6">
        <w:rPr>
          <w:lang w:eastAsia="ja-JP"/>
        </w:rPr>
        <w:t xml:space="preserve"> </w:t>
      </w:r>
      <w:r>
        <w:rPr>
          <w:lang w:eastAsia="ja-JP"/>
        </w:rPr>
        <w:t>than</w:t>
      </w:r>
      <w:r w:rsidR="000159A6">
        <w:rPr>
          <w:lang w:eastAsia="ja-JP"/>
        </w:rPr>
        <w:t xml:space="preserve"> </w:t>
      </w:r>
      <w:r>
        <w:rPr>
          <w:lang w:eastAsia="ja-JP"/>
        </w:rPr>
        <w:t>the</w:t>
      </w:r>
      <w:r w:rsidR="000159A6">
        <w:rPr>
          <w:lang w:eastAsia="ja-JP"/>
        </w:rPr>
        <w:t xml:space="preserve"> </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subjects.</w:t>
      </w:r>
    </w:p>
    <w:p w14:paraId="03DE2163" w14:textId="7139E391" w:rsidR="00624EB5" w:rsidRDefault="00624EB5" w:rsidP="00624EB5">
      <w:pPr>
        <w:rPr>
          <w:lang w:eastAsia="ja-JP"/>
        </w:rPr>
      </w:pPr>
      <w:r>
        <w:rPr>
          <w:lang w:eastAsia="ja-JP"/>
        </w:rPr>
        <w:lastRenderedPageBreak/>
        <w:t>The</w:t>
      </w:r>
      <w:r w:rsidR="000159A6">
        <w:rPr>
          <w:lang w:eastAsia="ja-JP"/>
        </w:rPr>
        <w:t xml:space="preserve"> </w:t>
      </w:r>
      <w:r>
        <w:rPr>
          <w:lang w:eastAsia="ja-JP"/>
        </w:rPr>
        <w:t>death</w:t>
      </w:r>
      <w:r w:rsidR="000159A6">
        <w:rPr>
          <w:lang w:eastAsia="ja-JP"/>
        </w:rPr>
        <w:t xml:space="preserve"> </w:t>
      </w:r>
      <w:r>
        <w:rPr>
          <w:lang w:eastAsia="ja-JP"/>
        </w:rPr>
        <w:t>rate</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study</w:t>
      </w:r>
      <w:r w:rsidR="000159A6">
        <w:rPr>
          <w:lang w:eastAsia="ja-JP"/>
        </w:rPr>
        <w:t xml:space="preserve"> </w:t>
      </w:r>
      <w:r>
        <w:rPr>
          <w:lang w:eastAsia="ja-JP"/>
        </w:rPr>
        <w:t>was</w:t>
      </w:r>
      <w:r w:rsidR="000159A6">
        <w:rPr>
          <w:lang w:eastAsia="ja-JP"/>
        </w:rPr>
        <w:t xml:space="preserve"> </w:t>
      </w:r>
      <w:r>
        <w:rPr>
          <w:lang w:eastAsia="ja-JP"/>
        </w:rPr>
        <w:t>comparable</w:t>
      </w:r>
      <w:r w:rsidR="000159A6">
        <w:rPr>
          <w:lang w:eastAsia="ja-JP"/>
        </w:rPr>
        <w:t xml:space="preserve"> </w:t>
      </w:r>
      <w:r>
        <w:rPr>
          <w:lang w:eastAsia="ja-JP"/>
        </w:rPr>
        <w:t>between</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and</w:t>
      </w:r>
      <w:r w:rsidR="000159A6">
        <w:rPr>
          <w:lang w:eastAsia="ja-JP"/>
        </w:rPr>
        <w:t xml:space="preserve"> </w:t>
      </w:r>
      <w:r>
        <w:rPr>
          <w:lang w:eastAsia="ja-JP"/>
        </w:rPr>
        <w:t>placebo</w:t>
      </w:r>
      <w:r w:rsidR="000159A6">
        <w:rPr>
          <w:lang w:eastAsia="ja-JP"/>
        </w:rPr>
        <w:t xml:space="preserve"> </w:t>
      </w:r>
      <w:r>
        <w:rPr>
          <w:lang w:eastAsia="ja-JP"/>
        </w:rPr>
        <w:t>groups</w:t>
      </w:r>
      <w:r w:rsidR="000159A6">
        <w:rPr>
          <w:lang w:eastAsia="ja-JP"/>
        </w:rPr>
        <w:t xml:space="preserve"> </w:t>
      </w:r>
      <w:r>
        <w:rPr>
          <w:lang w:eastAsia="ja-JP"/>
        </w:rPr>
        <w:t>(4.3%</w:t>
      </w:r>
      <w:r w:rsidR="000159A6">
        <w:rPr>
          <w:lang w:eastAsia="ja-JP"/>
        </w:rPr>
        <w:t xml:space="preserve"> </w:t>
      </w:r>
      <w:r>
        <w:rPr>
          <w:lang w:eastAsia="ja-JP"/>
        </w:rPr>
        <w:t>versus</w:t>
      </w:r>
      <w:r w:rsidR="000159A6">
        <w:rPr>
          <w:lang w:eastAsia="ja-JP"/>
        </w:rPr>
        <w:t xml:space="preserve"> </w:t>
      </w:r>
      <w:r>
        <w:rPr>
          <w:lang w:eastAsia="ja-JP"/>
        </w:rPr>
        <w:t>4.6%)</w:t>
      </w:r>
      <w:r w:rsidR="000159A6">
        <w:rPr>
          <w:lang w:eastAsia="ja-JP"/>
        </w:rPr>
        <w:t xml:space="preserve"> </w:t>
      </w:r>
      <w:r>
        <w:rPr>
          <w:lang w:eastAsia="ja-JP"/>
        </w:rPr>
        <w:t>and</w:t>
      </w:r>
      <w:r w:rsidR="000159A6">
        <w:rPr>
          <w:lang w:eastAsia="ja-JP"/>
        </w:rPr>
        <w:t xml:space="preserve"> </w:t>
      </w:r>
      <w:r>
        <w:rPr>
          <w:lang w:eastAsia="ja-JP"/>
        </w:rPr>
        <w:t>rates</w:t>
      </w:r>
      <w:r w:rsidR="000159A6">
        <w:rPr>
          <w:lang w:eastAsia="ja-JP"/>
        </w:rPr>
        <w:t xml:space="preserve"> </w:t>
      </w:r>
      <w:r>
        <w:rPr>
          <w:lang w:eastAsia="ja-JP"/>
        </w:rPr>
        <w:t>were</w:t>
      </w:r>
      <w:r w:rsidR="000159A6">
        <w:rPr>
          <w:lang w:eastAsia="ja-JP"/>
        </w:rPr>
        <w:t xml:space="preserve"> </w:t>
      </w:r>
      <w:r>
        <w:rPr>
          <w:lang w:eastAsia="ja-JP"/>
        </w:rPr>
        <w:t>also</w:t>
      </w:r>
      <w:r w:rsidR="000159A6">
        <w:rPr>
          <w:lang w:eastAsia="ja-JP"/>
        </w:rPr>
        <w:t xml:space="preserve"> </w:t>
      </w:r>
      <w:r>
        <w:rPr>
          <w:lang w:eastAsia="ja-JP"/>
        </w:rPr>
        <w:t>similar</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two</w:t>
      </w:r>
      <w:r w:rsidR="000159A6">
        <w:rPr>
          <w:lang w:eastAsia="ja-JP"/>
        </w:rPr>
        <w:t xml:space="preserve"> </w:t>
      </w:r>
      <w:r>
        <w:rPr>
          <w:lang w:eastAsia="ja-JP"/>
        </w:rPr>
        <w:t>age</w:t>
      </w:r>
      <w:r w:rsidR="000159A6">
        <w:rPr>
          <w:lang w:eastAsia="ja-JP"/>
        </w:rPr>
        <w:t xml:space="preserve"> </w:t>
      </w:r>
      <w:r>
        <w:rPr>
          <w:lang w:eastAsia="ja-JP"/>
        </w:rPr>
        <w:t>groups</w:t>
      </w:r>
      <w:r w:rsidR="000159A6">
        <w:rPr>
          <w:lang w:eastAsia="ja-JP"/>
        </w:rPr>
        <w:t xml:space="preserve"> </w:t>
      </w:r>
      <w:r>
        <w:rPr>
          <w:lang w:eastAsia="ja-JP"/>
        </w:rPr>
        <w:t>(50</w:t>
      </w:r>
      <w:r w:rsidR="000159A6">
        <w:rPr>
          <w:lang w:eastAsia="ja-JP"/>
        </w:rPr>
        <w:t xml:space="preserve"> </w:t>
      </w:r>
      <w:r>
        <w:rPr>
          <w:lang w:eastAsia="ja-JP"/>
        </w:rPr>
        <w:t>to</w:t>
      </w:r>
      <w:r w:rsidR="000159A6">
        <w:rPr>
          <w:lang w:eastAsia="ja-JP"/>
        </w:rPr>
        <w:t xml:space="preserve"> </w:t>
      </w:r>
      <w:r>
        <w:rPr>
          <w:lang w:eastAsia="ja-JP"/>
        </w:rPr>
        <w:t>69</w:t>
      </w:r>
      <w:r w:rsidR="000159A6">
        <w:rPr>
          <w:lang w:eastAsia="ja-JP"/>
        </w:rPr>
        <w:t xml:space="preserve"> </w:t>
      </w:r>
      <w:r>
        <w:rPr>
          <w:lang w:eastAsia="ja-JP"/>
        </w:rPr>
        <w:t>and</w:t>
      </w:r>
      <w:r w:rsidR="000159A6">
        <w:rPr>
          <w:lang w:eastAsia="ja-JP"/>
        </w:rPr>
        <w:t xml:space="preserve"> </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proofErr w:type="gramStart"/>
      <w:r>
        <w:rPr>
          <w:lang w:eastAsia="ja-JP"/>
        </w:rPr>
        <w:t>age</w:t>
      </w:r>
      <w:proofErr w:type="gramEnd"/>
      <w:r>
        <w:rPr>
          <w:lang w:eastAsia="ja-JP"/>
        </w:rPr>
        <w:t>).</w:t>
      </w:r>
      <w:r w:rsidR="000159A6">
        <w:rPr>
          <w:lang w:eastAsia="ja-JP"/>
        </w:rPr>
        <w:t xml:space="preserve"> </w:t>
      </w:r>
      <w:r>
        <w:rPr>
          <w:lang w:eastAsia="ja-JP"/>
        </w:rPr>
        <w:t>Only</w:t>
      </w:r>
      <w:r w:rsidR="000159A6">
        <w:rPr>
          <w:lang w:eastAsia="ja-JP"/>
        </w:rPr>
        <w:t xml:space="preserve"> </w:t>
      </w:r>
      <w:r>
        <w:rPr>
          <w:lang w:eastAsia="ja-JP"/>
        </w:rPr>
        <w:t>one</w:t>
      </w:r>
      <w:r w:rsidR="000159A6">
        <w:rPr>
          <w:lang w:eastAsia="ja-JP"/>
        </w:rPr>
        <w:t xml:space="preserve"> </w:t>
      </w:r>
      <w:r>
        <w:rPr>
          <w:lang w:eastAsia="ja-JP"/>
        </w:rPr>
        <w:t>death</w:t>
      </w:r>
      <w:r w:rsidR="000159A6">
        <w:rPr>
          <w:lang w:eastAsia="ja-JP"/>
        </w:rPr>
        <w:t xml:space="preserve"> </w:t>
      </w:r>
      <w:r>
        <w:rPr>
          <w:lang w:eastAsia="ja-JP"/>
        </w:rPr>
        <w:t>was</w:t>
      </w:r>
      <w:r w:rsidR="000159A6">
        <w:rPr>
          <w:lang w:eastAsia="ja-JP"/>
        </w:rPr>
        <w:t xml:space="preserve"> </w:t>
      </w:r>
      <w:r>
        <w:rPr>
          <w:lang w:eastAsia="ja-JP"/>
        </w:rPr>
        <w:t>deemed</w:t>
      </w:r>
      <w:r w:rsidR="000159A6">
        <w:rPr>
          <w:lang w:eastAsia="ja-JP"/>
        </w:rPr>
        <w:t xml:space="preserve"> </w:t>
      </w:r>
      <w:r>
        <w:rPr>
          <w:lang w:eastAsia="ja-JP"/>
        </w:rPr>
        <w:t>treatment</w:t>
      </w:r>
      <w:r w:rsidR="000159A6">
        <w:rPr>
          <w:lang w:eastAsia="ja-JP"/>
        </w:rPr>
        <w:t xml:space="preserve"> </w:t>
      </w:r>
      <w:r>
        <w:rPr>
          <w:lang w:eastAsia="ja-JP"/>
        </w:rPr>
        <w:t>related</w:t>
      </w:r>
      <w:r w:rsidR="000159A6">
        <w:rPr>
          <w:lang w:eastAsia="ja-JP"/>
        </w:rPr>
        <w:t xml:space="preserve"> </w:t>
      </w:r>
      <w:r>
        <w:rPr>
          <w:lang w:eastAsia="ja-JP"/>
        </w:rPr>
        <w:t>by</w:t>
      </w:r>
      <w:r w:rsidR="000159A6">
        <w:rPr>
          <w:lang w:eastAsia="ja-JP"/>
        </w:rPr>
        <w:t xml:space="preserve"> </w:t>
      </w:r>
      <w:r>
        <w:rPr>
          <w:lang w:eastAsia="ja-JP"/>
        </w:rPr>
        <w:t>an</w:t>
      </w:r>
      <w:r w:rsidR="000159A6">
        <w:rPr>
          <w:lang w:eastAsia="ja-JP"/>
        </w:rPr>
        <w:t xml:space="preserve"> </w:t>
      </w:r>
      <w:r>
        <w:rPr>
          <w:lang w:eastAsia="ja-JP"/>
        </w:rPr>
        <w:t>investigator</w:t>
      </w:r>
      <w:r w:rsidR="000159A6">
        <w:rPr>
          <w:lang w:eastAsia="ja-JP"/>
        </w:rPr>
        <w:t xml:space="preserve"> </w:t>
      </w:r>
      <w:r>
        <w:rPr>
          <w:lang w:eastAsia="ja-JP"/>
        </w:rPr>
        <w:t>(</w:t>
      </w:r>
      <w:proofErr w:type="spellStart"/>
      <w:r>
        <w:rPr>
          <w:lang w:eastAsia="ja-JP"/>
        </w:rPr>
        <w:t>neutropaenic</w:t>
      </w:r>
      <w:proofErr w:type="spellEnd"/>
      <w:r w:rsidR="000159A6">
        <w:rPr>
          <w:lang w:eastAsia="ja-JP"/>
        </w:rPr>
        <w:t xml:space="preserve"> </w:t>
      </w:r>
      <w:r>
        <w:rPr>
          <w:lang w:eastAsia="ja-JP"/>
        </w:rPr>
        <w:t>sepsis</w:t>
      </w:r>
      <w:r w:rsidR="000159A6">
        <w:rPr>
          <w:lang w:eastAsia="ja-JP"/>
        </w:rPr>
        <w:t xml:space="preserve"> </w:t>
      </w:r>
      <w:r>
        <w:rPr>
          <w:lang w:eastAsia="ja-JP"/>
        </w:rPr>
        <w:t>in</w:t>
      </w:r>
      <w:r w:rsidR="000159A6">
        <w:rPr>
          <w:lang w:eastAsia="ja-JP"/>
        </w:rPr>
        <w:t xml:space="preserve"> </w:t>
      </w:r>
      <w:r>
        <w:rPr>
          <w:lang w:eastAsia="ja-JP"/>
        </w:rPr>
        <w:t>a</w:t>
      </w:r>
      <w:r w:rsidR="000159A6">
        <w:rPr>
          <w:lang w:eastAsia="ja-JP"/>
        </w:rPr>
        <w:t xml:space="preserve"> </w:t>
      </w:r>
      <w:r>
        <w:rPr>
          <w:lang w:eastAsia="ja-JP"/>
        </w:rPr>
        <w:t>90</w:t>
      </w:r>
      <w:r w:rsidR="000159A6">
        <w:rPr>
          <w:lang w:eastAsia="ja-JP"/>
        </w:rPr>
        <w:t xml:space="preserve"> </w:t>
      </w:r>
      <w:r>
        <w:rPr>
          <w:lang w:eastAsia="ja-JP"/>
        </w:rPr>
        <w:t>year</w:t>
      </w:r>
      <w:r w:rsidR="000159A6">
        <w:rPr>
          <w:lang w:eastAsia="ja-JP"/>
        </w:rPr>
        <w:t xml:space="preserve"> </w:t>
      </w:r>
      <w:r>
        <w:rPr>
          <w:lang w:eastAsia="ja-JP"/>
        </w:rPr>
        <w:t>old</w:t>
      </w:r>
      <w:r w:rsidR="000159A6">
        <w:rPr>
          <w:lang w:eastAsia="ja-JP"/>
        </w:rPr>
        <w:t xml:space="preserve"> </w:t>
      </w:r>
      <w:r>
        <w:rPr>
          <w:lang w:eastAsia="ja-JP"/>
        </w:rPr>
        <w:t>subject</w:t>
      </w:r>
      <w:r w:rsidR="000159A6">
        <w:rPr>
          <w:lang w:eastAsia="ja-JP"/>
        </w:rPr>
        <w:t xml:space="preserve"> </w:t>
      </w:r>
      <w:r>
        <w:rPr>
          <w:lang w:eastAsia="ja-JP"/>
        </w:rPr>
        <w:t>with</w:t>
      </w:r>
      <w:r w:rsidR="000159A6">
        <w:rPr>
          <w:lang w:eastAsia="ja-JP"/>
        </w:rPr>
        <w:t xml:space="preserve"> </w:t>
      </w:r>
      <w:r w:rsidR="00525235">
        <w:t>acute</w:t>
      </w:r>
      <w:r w:rsidR="000159A6">
        <w:t xml:space="preserve"> </w:t>
      </w:r>
      <w:r w:rsidR="00525235">
        <w:t>myeloid</w:t>
      </w:r>
      <w:r w:rsidR="000159A6">
        <w:t xml:space="preserve"> </w:t>
      </w:r>
      <w:r w:rsidR="00525235">
        <w:t>leukaemia</w:t>
      </w:r>
      <w:r w:rsidR="000159A6">
        <w:rPr>
          <w:lang w:eastAsia="ja-JP"/>
        </w:rPr>
        <w:t xml:space="preserve"> </w:t>
      </w:r>
      <w:r w:rsidR="00525235">
        <w:rPr>
          <w:lang w:eastAsia="ja-JP"/>
        </w:rPr>
        <w:t>(</w:t>
      </w:r>
      <w:r>
        <w:rPr>
          <w:lang w:eastAsia="ja-JP"/>
        </w:rPr>
        <w:t>AML</w:t>
      </w:r>
      <w:r w:rsidR="00525235">
        <w:rPr>
          <w:lang w:eastAsia="ja-JP"/>
        </w:rPr>
        <w:t>)</w:t>
      </w:r>
      <w:r w:rsidR="000159A6">
        <w:rPr>
          <w:lang w:eastAsia="ja-JP"/>
        </w:rPr>
        <w:t xml:space="preserve"> </w:t>
      </w:r>
      <w:r>
        <w:rPr>
          <w:lang w:eastAsia="ja-JP"/>
        </w:rPr>
        <w:t>diagnosed</w:t>
      </w:r>
      <w:r w:rsidR="000159A6">
        <w:rPr>
          <w:lang w:eastAsia="ja-JP"/>
        </w:rPr>
        <w:t xml:space="preserve"> </w:t>
      </w:r>
      <w:r>
        <w:rPr>
          <w:lang w:eastAsia="ja-JP"/>
        </w:rPr>
        <w:t>75</w:t>
      </w:r>
      <w:r w:rsidR="000159A6">
        <w:rPr>
          <w:lang w:eastAsia="ja-JP"/>
        </w:rPr>
        <w:t xml:space="preserve"> </w:t>
      </w:r>
      <w:r>
        <w:rPr>
          <w:lang w:eastAsia="ja-JP"/>
        </w:rPr>
        <w:t>days</w:t>
      </w:r>
      <w:r w:rsidR="000159A6">
        <w:rPr>
          <w:lang w:eastAsia="ja-JP"/>
        </w:rPr>
        <w:t xml:space="preserve"> </w:t>
      </w:r>
      <w:r>
        <w:rPr>
          <w:lang w:eastAsia="ja-JP"/>
        </w:rPr>
        <w:t>post</w:t>
      </w:r>
      <w:r w:rsidR="000159A6">
        <w:rPr>
          <w:lang w:eastAsia="ja-JP"/>
        </w:rPr>
        <w:t xml:space="preserve"> </w:t>
      </w:r>
      <w:r>
        <w:rPr>
          <w:lang w:eastAsia="ja-JP"/>
        </w:rPr>
        <w:t>vaccination).</w:t>
      </w:r>
      <w:r w:rsidR="000159A6">
        <w:rPr>
          <w:lang w:eastAsia="ja-JP"/>
        </w:rPr>
        <w:t xml:space="preserve"> </w:t>
      </w:r>
      <w:r>
        <w:rPr>
          <w:lang w:eastAsia="ja-JP"/>
        </w:rPr>
        <w:t>The</w:t>
      </w:r>
      <w:r w:rsidR="000159A6">
        <w:rPr>
          <w:lang w:eastAsia="ja-JP"/>
        </w:rPr>
        <w:t xml:space="preserve"> </w:t>
      </w:r>
      <w:r>
        <w:rPr>
          <w:lang w:eastAsia="ja-JP"/>
        </w:rPr>
        <w:t>sponsor</w:t>
      </w:r>
      <w:r w:rsidR="000159A6">
        <w:rPr>
          <w:lang w:eastAsia="ja-JP"/>
        </w:rPr>
        <w:t xml:space="preserve"> </w:t>
      </w:r>
      <w:r>
        <w:rPr>
          <w:lang w:eastAsia="ja-JP"/>
        </w:rPr>
        <w:t>has</w:t>
      </w:r>
      <w:r w:rsidR="000159A6">
        <w:rPr>
          <w:lang w:eastAsia="ja-JP"/>
        </w:rPr>
        <w:t xml:space="preserve"> </w:t>
      </w:r>
      <w:r>
        <w:rPr>
          <w:lang w:eastAsia="ja-JP"/>
        </w:rPr>
        <w:t>been</w:t>
      </w:r>
      <w:r w:rsidR="000159A6">
        <w:rPr>
          <w:lang w:eastAsia="ja-JP"/>
        </w:rPr>
        <w:t xml:space="preserve"> </w:t>
      </w:r>
      <w:r>
        <w:rPr>
          <w:lang w:eastAsia="ja-JP"/>
        </w:rPr>
        <w:t>asked</w:t>
      </w:r>
      <w:r w:rsidR="000159A6">
        <w:rPr>
          <w:lang w:eastAsia="ja-JP"/>
        </w:rPr>
        <w:t xml:space="preserve"> </w:t>
      </w:r>
      <w:r>
        <w:rPr>
          <w:lang w:eastAsia="ja-JP"/>
        </w:rPr>
        <w:t>to</w:t>
      </w:r>
      <w:r w:rsidR="000159A6">
        <w:rPr>
          <w:lang w:eastAsia="ja-JP"/>
        </w:rPr>
        <w:t xml:space="preserve"> </w:t>
      </w:r>
      <w:r>
        <w:rPr>
          <w:lang w:eastAsia="ja-JP"/>
        </w:rPr>
        <w:t>comment</w:t>
      </w:r>
      <w:r w:rsidR="000159A6">
        <w:rPr>
          <w:lang w:eastAsia="ja-JP"/>
        </w:rPr>
        <w:t xml:space="preserve"> </w:t>
      </w:r>
      <w:r>
        <w:rPr>
          <w:lang w:eastAsia="ja-JP"/>
        </w:rPr>
        <w:t>on</w:t>
      </w:r>
      <w:r w:rsidR="000159A6">
        <w:rPr>
          <w:lang w:eastAsia="ja-JP"/>
        </w:rPr>
        <w:t xml:space="preserve"> </w:t>
      </w:r>
      <w:r>
        <w:rPr>
          <w:lang w:eastAsia="ja-JP"/>
        </w:rPr>
        <w:t>any</w:t>
      </w:r>
      <w:r w:rsidR="000159A6">
        <w:rPr>
          <w:lang w:eastAsia="ja-JP"/>
        </w:rPr>
        <w:t xml:space="preserve"> </w:t>
      </w:r>
      <w:r>
        <w:rPr>
          <w:lang w:eastAsia="ja-JP"/>
        </w:rPr>
        <w:t>other</w:t>
      </w:r>
      <w:r w:rsidR="000159A6">
        <w:rPr>
          <w:lang w:eastAsia="ja-JP"/>
        </w:rPr>
        <w:t xml:space="preserve"> </w:t>
      </w:r>
      <w:r>
        <w:rPr>
          <w:lang w:eastAsia="ja-JP"/>
        </w:rPr>
        <w:t>such</w:t>
      </w:r>
      <w:r w:rsidR="000159A6">
        <w:rPr>
          <w:lang w:eastAsia="ja-JP"/>
        </w:rPr>
        <w:t xml:space="preserve"> </w:t>
      </w:r>
      <w:r>
        <w:rPr>
          <w:lang w:eastAsia="ja-JP"/>
        </w:rPr>
        <w:t>malignancies.</w:t>
      </w:r>
    </w:p>
    <w:p w14:paraId="4FE4A3C5" w14:textId="20B836B8" w:rsidR="00624EB5" w:rsidRDefault="00624EB5" w:rsidP="00541F41">
      <w:pPr>
        <w:rPr>
          <w:lang w:eastAsia="ja-JP"/>
        </w:rPr>
      </w:pPr>
      <w:r>
        <w:rPr>
          <w:lang w:eastAsia="ja-JP"/>
        </w:rPr>
        <w:t>The</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r>
        <w:rPr>
          <w:lang w:eastAsia="ja-JP"/>
        </w:rPr>
        <w:t>SAEs</w:t>
      </w:r>
      <w:r w:rsidR="000159A6">
        <w:rPr>
          <w:lang w:eastAsia="ja-JP"/>
        </w:rPr>
        <w:t xml:space="preserve"> </w:t>
      </w:r>
      <w:r>
        <w:rPr>
          <w:lang w:eastAsia="ja-JP"/>
        </w:rPr>
        <w:t>(fatal</w:t>
      </w:r>
      <w:r w:rsidR="000159A6">
        <w:rPr>
          <w:lang w:eastAsia="ja-JP"/>
        </w:rPr>
        <w:t xml:space="preserve"> </w:t>
      </w:r>
      <w:r>
        <w:rPr>
          <w:lang w:eastAsia="ja-JP"/>
        </w:rPr>
        <w:t>and</w:t>
      </w:r>
      <w:r w:rsidR="000159A6">
        <w:rPr>
          <w:lang w:eastAsia="ja-JP"/>
        </w:rPr>
        <w:t xml:space="preserve"> </w:t>
      </w:r>
      <w:r>
        <w:rPr>
          <w:lang w:eastAsia="ja-JP"/>
        </w:rPr>
        <w:t>non-fatal)</w:t>
      </w:r>
      <w:r w:rsidR="000159A6">
        <w:rPr>
          <w:lang w:eastAsia="ja-JP"/>
        </w:rPr>
        <w:t xml:space="preserve"> </w:t>
      </w:r>
      <w:r>
        <w:rPr>
          <w:lang w:eastAsia="ja-JP"/>
        </w:rPr>
        <w:t>was</w:t>
      </w:r>
      <w:r w:rsidR="000159A6">
        <w:rPr>
          <w:lang w:eastAsia="ja-JP"/>
        </w:rPr>
        <w:t xml:space="preserve"> </w:t>
      </w:r>
      <w:r>
        <w:rPr>
          <w:lang w:eastAsia="ja-JP"/>
        </w:rPr>
        <w:t>similar</w:t>
      </w:r>
      <w:r w:rsidR="000159A6">
        <w:rPr>
          <w:lang w:eastAsia="ja-JP"/>
        </w:rPr>
        <w:t xml:space="preserve"> </w:t>
      </w:r>
      <w:r>
        <w:rPr>
          <w:lang w:eastAsia="ja-JP"/>
        </w:rPr>
        <w:t>between</w:t>
      </w:r>
      <w:r w:rsidR="000159A6">
        <w:rPr>
          <w:lang w:eastAsia="ja-JP"/>
        </w:rPr>
        <w:t xml:space="preserve"> </w:t>
      </w:r>
      <w:r>
        <w:rPr>
          <w:lang w:eastAsia="ja-JP"/>
        </w:rPr>
        <w:t>groups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main</w:t>
      </w:r>
      <w:r w:rsidR="000159A6">
        <w:rPr>
          <w:lang w:eastAsia="ja-JP"/>
        </w:rPr>
        <w:t xml:space="preserve"> </w:t>
      </w:r>
      <w:r>
        <w:rPr>
          <w:lang w:eastAsia="ja-JP"/>
        </w:rPr>
        <w:t>safety</w:t>
      </w:r>
      <w:r w:rsidR="000159A6">
        <w:rPr>
          <w:lang w:eastAsia="ja-JP"/>
        </w:rPr>
        <w:t xml:space="preserve"> </w:t>
      </w:r>
      <w:r>
        <w:rPr>
          <w:lang w:eastAsia="ja-JP"/>
        </w:rPr>
        <w:t>pool</w:t>
      </w:r>
      <w:r w:rsidR="000159A6">
        <w:rPr>
          <w:lang w:eastAsia="ja-JP"/>
        </w:rPr>
        <w:t xml:space="preserve"> </w:t>
      </w:r>
      <w:r>
        <w:rPr>
          <w:lang w:eastAsia="ja-JP"/>
        </w:rPr>
        <w:t>(12.8%</w:t>
      </w:r>
      <w:r w:rsidR="000159A6">
        <w:rPr>
          <w:lang w:eastAsia="ja-JP"/>
        </w:rPr>
        <w:t xml:space="preserve"> </w:t>
      </w:r>
      <w:r>
        <w:rPr>
          <w:lang w:eastAsia="ja-JP"/>
        </w:rPr>
        <w:t>versus</w:t>
      </w:r>
      <w:r w:rsidR="000159A6">
        <w:rPr>
          <w:lang w:eastAsia="ja-JP"/>
        </w:rPr>
        <w:t xml:space="preserve"> </w:t>
      </w:r>
      <w:r>
        <w:rPr>
          <w:lang w:eastAsia="ja-JP"/>
        </w:rPr>
        <w:t>13.3%,</w:t>
      </w:r>
      <w:r w:rsidR="000159A6">
        <w:rPr>
          <w:lang w:eastAsia="ja-JP"/>
        </w:rPr>
        <w:t xml:space="preserve"> </w:t>
      </w:r>
      <w:r w:rsidR="003E540C">
        <w:t>risk</w:t>
      </w:r>
      <w:r w:rsidR="000159A6">
        <w:t xml:space="preserve"> </w:t>
      </w:r>
      <w:r w:rsidR="003E540C">
        <w:t>ratio</w:t>
      </w:r>
      <w:r w:rsidR="000159A6">
        <w:rPr>
          <w:lang w:eastAsia="ja-JP"/>
        </w:rPr>
        <w:t xml:space="preserve"> </w:t>
      </w:r>
      <w:r w:rsidR="00D51914">
        <w:rPr>
          <w:lang w:eastAsia="ja-JP"/>
        </w:rPr>
        <w:t>(</w:t>
      </w:r>
      <w:r w:rsidRPr="007C3FED">
        <w:rPr>
          <w:lang w:eastAsia="ja-JP"/>
        </w:rPr>
        <w:t>RR</w:t>
      </w:r>
      <w:r w:rsidR="00D51914">
        <w:rPr>
          <w:lang w:eastAsia="ja-JP"/>
        </w:rPr>
        <w:t>)</w:t>
      </w:r>
      <w:r w:rsidR="000159A6">
        <w:rPr>
          <w:lang w:eastAsia="ja-JP"/>
        </w:rPr>
        <w:t xml:space="preserve"> </w:t>
      </w:r>
      <w:r w:rsidRPr="007C3FED">
        <w:rPr>
          <w:lang w:eastAsia="ja-JP"/>
        </w:rPr>
        <w:t>=</w:t>
      </w:r>
      <w:r w:rsidR="000159A6">
        <w:rPr>
          <w:lang w:eastAsia="ja-JP"/>
        </w:rPr>
        <w:t xml:space="preserve"> </w:t>
      </w:r>
      <w:r w:rsidRPr="007C3FED">
        <w:rPr>
          <w:lang w:eastAsia="ja-JP"/>
        </w:rPr>
        <w:t>0.97</w:t>
      </w:r>
      <w:r w:rsidR="000159A6">
        <w:rPr>
          <w:lang w:eastAsia="ja-JP"/>
        </w:rPr>
        <w:t xml:space="preserve"> </w:t>
      </w:r>
      <w:r w:rsidR="004715B4">
        <w:rPr>
          <w:lang w:eastAsia="ja-JP"/>
        </w:rPr>
        <w:t>(</w:t>
      </w:r>
      <w:r>
        <w:rPr>
          <w:lang w:eastAsia="ja-JP"/>
        </w:rPr>
        <w:t>95%</w:t>
      </w:r>
      <w:r w:rsidR="000159A6">
        <w:rPr>
          <w:lang w:eastAsia="ja-JP"/>
        </w:rPr>
        <w:t xml:space="preserve"> </w:t>
      </w:r>
      <w:r>
        <w:rPr>
          <w:lang w:eastAsia="ja-JP"/>
        </w:rPr>
        <w:t>CI:</w:t>
      </w:r>
      <w:r w:rsidR="000159A6">
        <w:rPr>
          <w:lang w:eastAsia="ja-JP"/>
        </w:rPr>
        <w:t xml:space="preserve"> </w:t>
      </w:r>
      <w:r>
        <w:rPr>
          <w:lang w:eastAsia="ja-JP"/>
        </w:rPr>
        <w:t>0.91</w:t>
      </w:r>
      <w:r w:rsidR="000159A6">
        <w:rPr>
          <w:lang w:eastAsia="ja-JP"/>
        </w:rPr>
        <w:t xml:space="preserve"> </w:t>
      </w:r>
      <w:r>
        <w:rPr>
          <w:lang w:eastAsia="ja-JP"/>
        </w:rPr>
        <w:t>to</w:t>
      </w:r>
      <w:r w:rsidR="000159A6">
        <w:rPr>
          <w:lang w:eastAsia="ja-JP"/>
        </w:rPr>
        <w:t xml:space="preserve"> </w:t>
      </w:r>
      <w:r w:rsidRPr="007C3FED">
        <w:rPr>
          <w:lang w:eastAsia="ja-JP"/>
        </w:rPr>
        <w:t>1.03</w:t>
      </w:r>
      <w:r w:rsidR="004715B4">
        <w:rPr>
          <w:lang w:eastAsia="ja-JP"/>
        </w:rPr>
        <w:t>)</w:t>
      </w:r>
      <w:r w:rsidR="000159A6">
        <w:rPr>
          <w:lang w:eastAsia="ja-JP"/>
        </w:rPr>
        <w:t xml:space="preserve"> </w:t>
      </w:r>
      <w:r w:rsidRPr="007C3FED">
        <w:rPr>
          <w:lang w:eastAsia="ja-JP"/>
        </w:rPr>
        <w:t>unadjusted</w:t>
      </w:r>
      <w:r w:rsidR="000159A6">
        <w:rPr>
          <w:lang w:eastAsia="ja-JP"/>
        </w:rPr>
        <w:t xml:space="preserve"> </w:t>
      </w:r>
      <w:r>
        <w:rPr>
          <w:lang w:eastAsia="ja-JP"/>
        </w:rPr>
        <w:t>p</w:t>
      </w:r>
      <w:r w:rsidR="000159A6">
        <w:rPr>
          <w:lang w:eastAsia="ja-JP"/>
        </w:rPr>
        <w:t xml:space="preserve"> </w:t>
      </w:r>
      <w:r>
        <w:rPr>
          <w:lang w:eastAsia="ja-JP"/>
        </w:rPr>
        <w:t>=</w:t>
      </w:r>
      <w:r w:rsidR="000159A6">
        <w:rPr>
          <w:lang w:eastAsia="ja-JP"/>
        </w:rPr>
        <w:t xml:space="preserve"> </w:t>
      </w:r>
      <w:r>
        <w:rPr>
          <w:lang w:eastAsia="ja-JP"/>
        </w:rPr>
        <w:t>0</w:t>
      </w:r>
      <w:r w:rsidRPr="007C3FED">
        <w:rPr>
          <w:lang w:eastAsia="ja-JP"/>
        </w:rPr>
        <w:t>.31</w:t>
      </w:r>
      <w:r>
        <w:rPr>
          <w:lang w:eastAsia="ja-JP"/>
        </w:rPr>
        <w:t>6</w:t>
      </w:r>
      <w:r w:rsidRPr="007C3FED">
        <w:rPr>
          <w:lang w:eastAsia="ja-JP"/>
        </w:rPr>
        <w:t>)</w:t>
      </w:r>
      <w:r w:rsidR="000159A6">
        <w:rPr>
          <w:lang w:eastAsia="ja-JP"/>
        </w:rPr>
        <w:t xml:space="preserve"> </w:t>
      </w:r>
      <w:r>
        <w:rPr>
          <w:lang w:eastAsia="ja-JP"/>
        </w:rPr>
        <w:t>and</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evident</w:t>
      </w:r>
      <w:r w:rsidR="000159A6">
        <w:rPr>
          <w:lang w:eastAsia="ja-JP"/>
        </w:rPr>
        <w:t xml:space="preserve"> </w:t>
      </w:r>
      <w:r>
        <w:rPr>
          <w:lang w:eastAsia="ja-JP"/>
        </w:rPr>
        <w:t>safety</w:t>
      </w:r>
      <w:r w:rsidR="000159A6">
        <w:rPr>
          <w:lang w:eastAsia="ja-JP"/>
        </w:rPr>
        <w:t xml:space="preserve"> </w:t>
      </w:r>
      <w:r>
        <w:rPr>
          <w:lang w:eastAsia="ja-JP"/>
        </w:rPr>
        <w:t>signals.</w:t>
      </w:r>
      <w:r w:rsidR="000159A6">
        <w:rPr>
          <w:lang w:eastAsia="ja-JP"/>
        </w:rPr>
        <w:t xml:space="preserve"> </w:t>
      </w:r>
      <w:r>
        <w:rPr>
          <w:lang w:eastAsia="ja-JP"/>
        </w:rPr>
        <w:t>Rates</w:t>
      </w:r>
      <w:r w:rsidR="000159A6">
        <w:rPr>
          <w:lang w:eastAsia="ja-JP"/>
        </w:rPr>
        <w:t xml:space="preserve"> </w:t>
      </w:r>
      <w:r>
        <w:rPr>
          <w:lang w:eastAsia="ja-JP"/>
        </w:rPr>
        <w:t>were</w:t>
      </w:r>
      <w:r w:rsidR="000159A6">
        <w:rPr>
          <w:lang w:eastAsia="ja-JP"/>
        </w:rPr>
        <w:t xml:space="preserve"> </w:t>
      </w:r>
      <w:r>
        <w:rPr>
          <w:lang w:eastAsia="ja-JP"/>
        </w:rPr>
        <w:t>similar</w:t>
      </w:r>
      <w:r w:rsidR="000159A6">
        <w:rPr>
          <w:lang w:eastAsia="ja-JP"/>
        </w:rPr>
        <w:t xml:space="preserve"> </w:t>
      </w:r>
      <w:r>
        <w:rPr>
          <w:lang w:eastAsia="ja-JP"/>
        </w:rPr>
        <w:t>between</w:t>
      </w:r>
      <w:r w:rsidR="000159A6">
        <w:rPr>
          <w:lang w:eastAsia="ja-JP"/>
        </w:rPr>
        <w:t xml:space="preserve"> </w:t>
      </w:r>
      <w:r>
        <w:rPr>
          <w:lang w:eastAsia="ja-JP"/>
        </w:rPr>
        <w:t>treatment</w:t>
      </w:r>
      <w:r w:rsidR="000159A6">
        <w:rPr>
          <w:lang w:eastAsia="ja-JP"/>
        </w:rPr>
        <w:t xml:space="preserve"> </w:t>
      </w:r>
      <w:r>
        <w:rPr>
          <w:lang w:eastAsia="ja-JP"/>
        </w:rPr>
        <w:t>groups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two</w:t>
      </w:r>
      <w:r w:rsidR="000159A6">
        <w:rPr>
          <w:lang w:eastAsia="ja-JP"/>
        </w:rPr>
        <w:t xml:space="preserve"> </w:t>
      </w:r>
      <w:r>
        <w:rPr>
          <w:lang w:eastAsia="ja-JP"/>
        </w:rPr>
        <w:t>main</w:t>
      </w:r>
      <w:r w:rsidR="000159A6">
        <w:rPr>
          <w:lang w:eastAsia="ja-JP"/>
        </w:rPr>
        <w:t xml:space="preserve"> </w:t>
      </w:r>
      <w:r>
        <w:rPr>
          <w:lang w:eastAsia="ja-JP"/>
        </w:rPr>
        <w:t>age</w:t>
      </w:r>
      <w:r w:rsidR="000159A6">
        <w:rPr>
          <w:lang w:eastAsia="ja-JP"/>
        </w:rPr>
        <w:t xml:space="preserve"> </w:t>
      </w:r>
      <w:r>
        <w:rPr>
          <w:lang w:eastAsia="ja-JP"/>
        </w:rPr>
        <w:t>groups.</w:t>
      </w:r>
    </w:p>
    <w:p w14:paraId="65EAAA73" w14:textId="6A14BB6B" w:rsidR="00624EB5" w:rsidRDefault="00624EB5" w:rsidP="00541F41">
      <w:pPr>
        <w:rPr>
          <w:lang w:eastAsia="ja-JP"/>
        </w:rPr>
      </w:pPr>
      <w:r>
        <w:rPr>
          <w:lang w:eastAsia="ja-JP"/>
        </w:rPr>
        <w:t>In</w:t>
      </w:r>
      <w:r w:rsidR="000159A6">
        <w:rPr>
          <w:lang w:eastAsia="ja-JP"/>
        </w:rPr>
        <w:t xml:space="preserve"> </w:t>
      </w:r>
      <w:r>
        <w:rPr>
          <w:lang w:eastAsia="ja-JP"/>
        </w:rPr>
        <w:t>the</w:t>
      </w:r>
      <w:r w:rsidR="000159A6">
        <w:rPr>
          <w:lang w:eastAsia="ja-JP"/>
        </w:rPr>
        <w:t xml:space="preserve"> </w:t>
      </w:r>
      <w:r>
        <w:rPr>
          <w:lang w:eastAsia="ja-JP"/>
        </w:rPr>
        <w:t>briefing</w:t>
      </w:r>
      <w:r w:rsidR="000159A6">
        <w:rPr>
          <w:lang w:eastAsia="ja-JP"/>
        </w:rPr>
        <w:t xml:space="preserve"> </w:t>
      </w:r>
      <w:r>
        <w:rPr>
          <w:lang w:eastAsia="ja-JP"/>
        </w:rPr>
        <w:t>document</w:t>
      </w:r>
      <w:r w:rsidR="000159A6">
        <w:rPr>
          <w:lang w:eastAsia="ja-JP"/>
        </w:rPr>
        <w:t xml:space="preserve"> </w:t>
      </w:r>
      <w:r>
        <w:rPr>
          <w:lang w:eastAsia="ja-JP"/>
        </w:rPr>
        <w:t>to</w:t>
      </w:r>
      <w:r w:rsidR="000159A6">
        <w:rPr>
          <w:lang w:eastAsia="ja-JP"/>
        </w:rPr>
        <w:t xml:space="preserve"> </w:t>
      </w:r>
      <w:r>
        <w:rPr>
          <w:lang w:eastAsia="ja-JP"/>
        </w:rPr>
        <w:t>the</w:t>
      </w:r>
      <w:r w:rsidR="000159A6">
        <w:rPr>
          <w:lang w:eastAsia="ja-JP"/>
        </w:rPr>
        <w:t xml:space="preserve"> </w:t>
      </w:r>
      <w:r>
        <w:rPr>
          <w:lang w:eastAsia="ja-JP"/>
        </w:rPr>
        <w:t>Vaccines</w:t>
      </w:r>
      <w:r w:rsidR="000159A6">
        <w:rPr>
          <w:lang w:eastAsia="ja-JP"/>
        </w:rPr>
        <w:t xml:space="preserve"> </w:t>
      </w:r>
      <w:r>
        <w:rPr>
          <w:lang w:eastAsia="ja-JP"/>
        </w:rPr>
        <w:t>and</w:t>
      </w:r>
      <w:r w:rsidR="000159A6">
        <w:rPr>
          <w:lang w:eastAsia="ja-JP"/>
        </w:rPr>
        <w:t xml:space="preserve"> </w:t>
      </w:r>
      <w:r>
        <w:rPr>
          <w:lang w:eastAsia="ja-JP"/>
        </w:rPr>
        <w:t>Related</w:t>
      </w:r>
      <w:r w:rsidR="000159A6">
        <w:rPr>
          <w:lang w:eastAsia="ja-JP"/>
        </w:rPr>
        <w:t xml:space="preserve"> </w:t>
      </w:r>
      <w:r>
        <w:rPr>
          <w:lang w:eastAsia="ja-JP"/>
        </w:rPr>
        <w:t>Products</w:t>
      </w:r>
      <w:r w:rsidR="000159A6">
        <w:rPr>
          <w:lang w:eastAsia="ja-JP"/>
        </w:rPr>
        <w:t xml:space="preserve"> </w:t>
      </w:r>
      <w:r>
        <w:rPr>
          <w:lang w:eastAsia="ja-JP"/>
        </w:rPr>
        <w:t>Advisory</w:t>
      </w:r>
      <w:r w:rsidR="000159A6">
        <w:rPr>
          <w:lang w:eastAsia="ja-JP"/>
        </w:rPr>
        <w:t xml:space="preserve"> </w:t>
      </w:r>
      <w:r>
        <w:rPr>
          <w:lang w:eastAsia="ja-JP"/>
        </w:rPr>
        <w:t>Committee</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FDA</w:t>
      </w:r>
      <w:r w:rsidR="000159A6">
        <w:rPr>
          <w:lang w:eastAsia="ja-JP"/>
        </w:rPr>
        <w:t xml:space="preserve"> </w:t>
      </w:r>
      <w:r>
        <w:rPr>
          <w:lang w:eastAsia="ja-JP"/>
        </w:rPr>
        <w:t>(13</w:t>
      </w:r>
      <w:r w:rsidR="000159A6">
        <w:rPr>
          <w:lang w:eastAsia="ja-JP"/>
        </w:rPr>
        <w:t xml:space="preserve"> </w:t>
      </w:r>
      <w:r>
        <w:rPr>
          <w:lang w:eastAsia="ja-JP"/>
        </w:rPr>
        <w:t>September</w:t>
      </w:r>
      <w:r w:rsidR="000159A6">
        <w:rPr>
          <w:lang w:eastAsia="ja-JP"/>
        </w:rPr>
        <w:t xml:space="preserve"> </w:t>
      </w:r>
      <w:r>
        <w:rPr>
          <w:lang w:eastAsia="ja-JP"/>
        </w:rPr>
        <w:t>2017</w:t>
      </w:r>
      <w:r w:rsidR="000159A6">
        <w:rPr>
          <w:lang w:eastAsia="ja-JP"/>
        </w:rPr>
        <w:t xml:space="preserve"> </w:t>
      </w:r>
      <w:r>
        <w:rPr>
          <w:lang w:eastAsia="ja-JP"/>
        </w:rPr>
        <w:t>meeting)</w:t>
      </w:r>
      <w:r w:rsidR="000159A6">
        <w:rPr>
          <w:lang w:eastAsia="ja-JP"/>
        </w:rPr>
        <w:t xml:space="preserve"> </w:t>
      </w:r>
      <w:r>
        <w:rPr>
          <w:lang w:eastAsia="ja-JP"/>
        </w:rPr>
        <w:t>imbalances</w:t>
      </w:r>
      <w:r w:rsidR="000159A6">
        <w:rPr>
          <w:lang w:eastAsia="ja-JP"/>
        </w:rPr>
        <w:t xml:space="preserve"> </w:t>
      </w:r>
      <w:r>
        <w:rPr>
          <w:lang w:eastAsia="ja-JP"/>
        </w:rPr>
        <w:t>in</w:t>
      </w:r>
      <w:r w:rsidR="000159A6">
        <w:rPr>
          <w:lang w:eastAsia="ja-JP"/>
        </w:rPr>
        <w:t xml:space="preserve"> </w:t>
      </w:r>
      <w:r>
        <w:rPr>
          <w:lang w:eastAsia="ja-JP"/>
        </w:rPr>
        <w:t>a</w:t>
      </w:r>
      <w:r w:rsidR="000159A6">
        <w:rPr>
          <w:lang w:eastAsia="ja-JP"/>
        </w:rPr>
        <w:t xml:space="preserve"> </w:t>
      </w:r>
      <w:r>
        <w:rPr>
          <w:lang w:eastAsia="ja-JP"/>
        </w:rPr>
        <w:t>number</w:t>
      </w:r>
      <w:r w:rsidR="000159A6">
        <w:rPr>
          <w:lang w:eastAsia="ja-JP"/>
        </w:rPr>
        <w:t xml:space="preserve"> </w:t>
      </w:r>
      <w:r>
        <w:rPr>
          <w:lang w:eastAsia="ja-JP"/>
        </w:rPr>
        <w:t>of</w:t>
      </w:r>
      <w:r w:rsidR="000159A6">
        <w:rPr>
          <w:lang w:eastAsia="ja-JP"/>
        </w:rPr>
        <w:t xml:space="preserve"> </w:t>
      </w:r>
      <w:r>
        <w:rPr>
          <w:lang w:eastAsia="ja-JP"/>
        </w:rPr>
        <w:t>conditions</w:t>
      </w:r>
      <w:r w:rsidR="000159A6">
        <w:rPr>
          <w:lang w:eastAsia="ja-JP"/>
        </w:rPr>
        <w:t xml:space="preserve"> </w:t>
      </w:r>
      <w:r>
        <w:rPr>
          <w:lang w:eastAsia="ja-JP"/>
        </w:rPr>
        <w:t>were</w:t>
      </w:r>
      <w:r w:rsidR="000159A6">
        <w:rPr>
          <w:lang w:eastAsia="ja-JP"/>
        </w:rPr>
        <w:t xml:space="preserve"> </w:t>
      </w:r>
      <w:r>
        <w:rPr>
          <w:lang w:eastAsia="ja-JP"/>
        </w:rPr>
        <w:t>noted</w:t>
      </w:r>
      <w:r w:rsidR="000159A6">
        <w:rPr>
          <w:lang w:eastAsia="ja-JP"/>
        </w:rPr>
        <w:t xml:space="preserve"> </w:t>
      </w:r>
      <w:r>
        <w:rPr>
          <w:lang w:eastAsia="ja-JP"/>
        </w:rPr>
        <w:t>including</w:t>
      </w:r>
      <w:r w:rsidR="000159A6">
        <w:rPr>
          <w:lang w:eastAsia="ja-JP"/>
        </w:rPr>
        <w:t xml:space="preserve"> </w:t>
      </w:r>
      <w:r>
        <w:t>optic</w:t>
      </w:r>
      <w:r w:rsidR="000159A6">
        <w:t xml:space="preserve"> </w:t>
      </w:r>
      <w:r>
        <w:t>ischaemic</w:t>
      </w:r>
      <w:r w:rsidR="000159A6">
        <w:t xml:space="preserve"> </w:t>
      </w:r>
      <w:r>
        <w:t>neuropathy,</w:t>
      </w:r>
      <w:r w:rsidR="000159A6">
        <w:t xml:space="preserve"> </w:t>
      </w:r>
      <w:r>
        <w:t>temporal</w:t>
      </w:r>
      <w:r w:rsidR="000159A6">
        <w:t xml:space="preserve"> </w:t>
      </w:r>
      <w:r>
        <w:t>arteritis,</w:t>
      </w:r>
      <w:r w:rsidR="000159A6">
        <w:t xml:space="preserve"> </w:t>
      </w:r>
      <w:r>
        <w:t>amyotrophic</w:t>
      </w:r>
      <w:r w:rsidR="000159A6">
        <w:t xml:space="preserve"> </w:t>
      </w:r>
      <w:r>
        <w:t>lateral</w:t>
      </w:r>
      <w:r w:rsidR="000159A6">
        <w:t xml:space="preserve"> </w:t>
      </w:r>
      <w:r>
        <w:t>sclerosis,</w:t>
      </w:r>
      <w:r w:rsidR="000159A6">
        <w:t xml:space="preserve"> </w:t>
      </w:r>
      <w:r>
        <w:t>osteonecrosis</w:t>
      </w:r>
      <w:r w:rsidR="000159A6">
        <w:t xml:space="preserve"> </w:t>
      </w:r>
      <w:r>
        <w:t>and</w:t>
      </w:r>
      <w:r w:rsidR="000159A6">
        <w:t xml:space="preserve"> </w:t>
      </w:r>
      <w:r>
        <w:t>convulsions</w:t>
      </w:r>
      <w:r>
        <w:rPr>
          <w:lang w:eastAsia="ja-JP"/>
        </w:rPr>
        <w:t>.</w:t>
      </w:r>
      <w:r w:rsidR="000159A6">
        <w:rPr>
          <w:lang w:eastAsia="ja-JP"/>
        </w:rPr>
        <w:t xml:space="preserve"> </w:t>
      </w:r>
      <w:r>
        <w:rPr>
          <w:lang w:eastAsia="ja-JP"/>
        </w:rPr>
        <w:t>It</w:t>
      </w:r>
      <w:r w:rsidR="000159A6">
        <w:rPr>
          <w:lang w:eastAsia="ja-JP"/>
        </w:rPr>
        <w:t xml:space="preserve"> </w:t>
      </w:r>
      <w:r>
        <w:rPr>
          <w:lang w:eastAsia="ja-JP"/>
        </w:rPr>
        <w:t>was</w:t>
      </w:r>
      <w:r w:rsidR="000159A6">
        <w:rPr>
          <w:lang w:eastAsia="ja-JP"/>
        </w:rPr>
        <w:t xml:space="preserve"> </w:t>
      </w:r>
      <w:r>
        <w:rPr>
          <w:lang w:eastAsia="ja-JP"/>
        </w:rPr>
        <w:t>also</w:t>
      </w:r>
      <w:r w:rsidR="000159A6">
        <w:rPr>
          <w:lang w:eastAsia="ja-JP"/>
        </w:rPr>
        <w:t xml:space="preserve"> </w:t>
      </w:r>
      <w:r>
        <w:rPr>
          <w:lang w:eastAsia="ja-JP"/>
        </w:rPr>
        <w:t>noted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EU</w:t>
      </w:r>
      <w:r w:rsidR="000159A6">
        <w:rPr>
          <w:lang w:eastAsia="ja-JP"/>
        </w:rPr>
        <w:t xml:space="preserve"> </w:t>
      </w:r>
      <w:r>
        <w:rPr>
          <w:lang w:eastAsia="ja-JP"/>
        </w:rPr>
        <w:t>regulatory</w:t>
      </w:r>
      <w:r w:rsidR="000159A6">
        <w:rPr>
          <w:lang w:eastAsia="ja-JP"/>
        </w:rPr>
        <w:t xml:space="preserve"> </w:t>
      </w:r>
      <w:r>
        <w:rPr>
          <w:lang w:eastAsia="ja-JP"/>
        </w:rPr>
        <w:t>evaluation</w:t>
      </w:r>
      <w:r w:rsidR="000159A6">
        <w:rPr>
          <w:lang w:eastAsia="ja-JP"/>
        </w:rPr>
        <w:t xml:space="preserve"> </w:t>
      </w:r>
      <w:r>
        <w:rPr>
          <w:lang w:eastAsia="ja-JP"/>
        </w:rPr>
        <w:t>that</w:t>
      </w:r>
      <w:r w:rsidR="000159A6">
        <w:rPr>
          <w:lang w:eastAsia="ja-JP"/>
        </w:rPr>
        <w:t xml:space="preserve"> </w:t>
      </w:r>
      <w:r>
        <w:rPr>
          <w:lang w:eastAsia="ja-JP"/>
        </w:rPr>
        <w:t>the</w:t>
      </w:r>
      <w:r w:rsidR="000159A6">
        <w:rPr>
          <w:lang w:eastAsia="ja-JP"/>
        </w:rPr>
        <w:t xml:space="preserve"> </w:t>
      </w:r>
      <w:r>
        <w:rPr>
          <w:lang w:eastAsia="ja-JP"/>
        </w:rPr>
        <w:t>sponsor</w:t>
      </w:r>
      <w:r w:rsidR="000159A6">
        <w:rPr>
          <w:lang w:eastAsia="ja-JP"/>
        </w:rPr>
        <w:t xml:space="preserve"> </w:t>
      </w:r>
      <w:r>
        <w:rPr>
          <w:lang w:eastAsia="ja-JP"/>
        </w:rPr>
        <w:t>has</w:t>
      </w:r>
      <w:r w:rsidR="000159A6">
        <w:rPr>
          <w:lang w:eastAsia="ja-JP"/>
        </w:rPr>
        <w:t xml:space="preserve"> </w:t>
      </w:r>
      <w:r>
        <w:rPr>
          <w:lang w:eastAsia="ja-JP"/>
        </w:rPr>
        <w:t>been</w:t>
      </w:r>
      <w:r w:rsidR="000159A6">
        <w:rPr>
          <w:lang w:eastAsia="ja-JP"/>
        </w:rPr>
        <w:t xml:space="preserve"> </w:t>
      </w:r>
      <w:r>
        <w:rPr>
          <w:lang w:eastAsia="ja-JP"/>
        </w:rPr>
        <w:t>asked</w:t>
      </w:r>
      <w:r w:rsidR="000159A6">
        <w:rPr>
          <w:lang w:eastAsia="ja-JP"/>
        </w:rPr>
        <w:t xml:space="preserve"> </w:t>
      </w:r>
      <w:r>
        <w:rPr>
          <w:lang w:eastAsia="ja-JP"/>
        </w:rPr>
        <w:t>to</w:t>
      </w:r>
      <w:r w:rsidR="000159A6">
        <w:rPr>
          <w:lang w:eastAsia="ja-JP"/>
        </w:rPr>
        <w:t xml:space="preserve"> </w:t>
      </w:r>
      <w:r>
        <w:rPr>
          <w:lang w:eastAsia="ja-JP"/>
        </w:rPr>
        <w:t>comment</w:t>
      </w:r>
      <w:r w:rsidR="000159A6">
        <w:rPr>
          <w:lang w:eastAsia="ja-JP"/>
        </w:rPr>
        <w:t xml:space="preserve"> </w:t>
      </w:r>
      <w:r>
        <w:rPr>
          <w:lang w:eastAsia="ja-JP"/>
        </w:rPr>
        <w:t>on</w:t>
      </w:r>
      <w:r w:rsidR="000159A6">
        <w:rPr>
          <w:lang w:eastAsia="ja-JP"/>
        </w:rPr>
        <w:t xml:space="preserve"> </w:t>
      </w:r>
      <w:r>
        <w:rPr>
          <w:lang w:eastAsia="ja-JP"/>
        </w:rPr>
        <w:t>whether</w:t>
      </w:r>
      <w:r w:rsidR="000159A6">
        <w:rPr>
          <w:lang w:eastAsia="ja-JP"/>
        </w:rPr>
        <w:t xml:space="preserve"> </w:t>
      </w:r>
      <w:r>
        <w:rPr>
          <w:lang w:eastAsia="ja-JP"/>
        </w:rPr>
        <w:t>the</w:t>
      </w:r>
      <w:r w:rsidR="000159A6">
        <w:rPr>
          <w:lang w:eastAsia="ja-JP"/>
        </w:rPr>
        <w:t xml:space="preserve"> </w:t>
      </w:r>
      <w:r>
        <w:rPr>
          <w:lang w:eastAsia="ja-JP"/>
        </w:rPr>
        <w:t>adjuvanted</w:t>
      </w:r>
      <w:r w:rsidR="000159A6">
        <w:rPr>
          <w:lang w:eastAsia="ja-JP"/>
        </w:rPr>
        <w:t xml:space="preserve"> </w:t>
      </w:r>
      <w:r>
        <w:rPr>
          <w:lang w:eastAsia="ja-JP"/>
        </w:rPr>
        <w:t>vaccine</w:t>
      </w:r>
      <w:r w:rsidR="000159A6">
        <w:rPr>
          <w:lang w:eastAsia="ja-JP"/>
        </w:rPr>
        <w:t xml:space="preserve"> </w:t>
      </w:r>
      <w:r>
        <w:rPr>
          <w:lang w:eastAsia="ja-JP"/>
        </w:rPr>
        <w:t>has</w:t>
      </w:r>
      <w:r w:rsidR="000159A6">
        <w:rPr>
          <w:lang w:eastAsia="ja-JP"/>
        </w:rPr>
        <w:t xml:space="preserve"> </w:t>
      </w:r>
      <w:r>
        <w:rPr>
          <w:lang w:eastAsia="ja-JP"/>
        </w:rPr>
        <w:t>shown</w:t>
      </w:r>
      <w:r w:rsidR="000159A6">
        <w:rPr>
          <w:lang w:eastAsia="ja-JP"/>
        </w:rPr>
        <w:t xml:space="preserve"> </w:t>
      </w:r>
      <w:r>
        <w:rPr>
          <w:lang w:eastAsia="ja-JP"/>
        </w:rPr>
        <w:t>any</w:t>
      </w:r>
      <w:r w:rsidR="000159A6">
        <w:rPr>
          <w:lang w:eastAsia="ja-JP"/>
        </w:rPr>
        <w:t xml:space="preserve"> </w:t>
      </w:r>
      <w:r>
        <w:rPr>
          <w:lang w:eastAsia="ja-JP"/>
        </w:rPr>
        <w:t>evidence</w:t>
      </w:r>
      <w:r w:rsidR="000159A6">
        <w:rPr>
          <w:lang w:eastAsia="ja-JP"/>
        </w:rPr>
        <w:t xml:space="preserve"> </w:t>
      </w:r>
      <w:r>
        <w:rPr>
          <w:lang w:eastAsia="ja-JP"/>
        </w:rPr>
        <w:t>of</w:t>
      </w:r>
      <w:r w:rsidR="000159A6">
        <w:rPr>
          <w:lang w:eastAsia="ja-JP"/>
        </w:rPr>
        <w:t xml:space="preserve"> </w:t>
      </w:r>
      <w:r>
        <w:rPr>
          <w:lang w:eastAsia="ja-JP"/>
        </w:rPr>
        <w:t>impact</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rPr>
          <w:lang w:eastAsia="ja-JP"/>
        </w:rPr>
        <w:t>immune</w:t>
      </w:r>
      <w:r w:rsidR="000159A6">
        <w:rPr>
          <w:lang w:eastAsia="ja-JP"/>
        </w:rPr>
        <w:t xml:space="preserve"> </w:t>
      </w:r>
      <w:r>
        <w:rPr>
          <w:lang w:eastAsia="ja-JP"/>
        </w:rPr>
        <w:t>system</w:t>
      </w:r>
      <w:r w:rsidR="000159A6">
        <w:rPr>
          <w:lang w:eastAsia="ja-JP"/>
        </w:rPr>
        <w:t xml:space="preserve"> </w:t>
      </w:r>
      <w:r>
        <w:rPr>
          <w:lang w:eastAsia="ja-JP"/>
        </w:rPr>
        <w:t>that</w:t>
      </w:r>
      <w:r w:rsidR="000159A6">
        <w:rPr>
          <w:lang w:eastAsia="ja-JP"/>
        </w:rPr>
        <w:t xml:space="preserve"> </w:t>
      </w:r>
      <w:r>
        <w:rPr>
          <w:lang w:eastAsia="ja-JP"/>
        </w:rPr>
        <w:t>may</w:t>
      </w:r>
      <w:r w:rsidR="000159A6">
        <w:rPr>
          <w:lang w:eastAsia="ja-JP"/>
        </w:rPr>
        <w:t xml:space="preserve"> </w:t>
      </w:r>
      <w:r>
        <w:rPr>
          <w:lang w:eastAsia="ja-JP"/>
        </w:rPr>
        <w:t>increase</w:t>
      </w:r>
      <w:r w:rsidR="000159A6">
        <w:rPr>
          <w:lang w:eastAsia="ja-JP"/>
        </w:rPr>
        <w:t xml:space="preserve"> </w:t>
      </w:r>
      <w:r>
        <w:rPr>
          <w:lang w:eastAsia="ja-JP"/>
        </w:rPr>
        <w:t>the</w:t>
      </w:r>
      <w:r w:rsidR="000159A6">
        <w:rPr>
          <w:lang w:eastAsia="ja-JP"/>
        </w:rPr>
        <w:t xml:space="preserve"> </w:t>
      </w:r>
      <w:r>
        <w:rPr>
          <w:lang w:eastAsia="ja-JP"/>
        </w:rPr>
        <w:t>risk</w:t>
      </w:r>
      <w:r w:rsidR="000159A6">
        <w:rPr>
          <w:lang w:eastAsia="ja-JP"/>
        </w:rPr>
        <w:t xml:space="preserve"> </w:t>
      </w:r>
      <w:r>
        <w:rPr>
          <w:lang w:eastAsia="ja-JP"/>
        </w:rPr>
        <w:t>of</w:t>
      </w:r>
      <w:r w:rsidR="000159A6">
        <w:rPr>
          <w:lang w:eastAsia="ja-JP"/>
        </w:rPr>
        <w:t xml:space="preserve"> </w:t>
      </w:r>
      <w:r>
        <w:rPr>
          <w:lang w:eastAsia="ja-JP"/>
        </w:rPr>
        <w:t>infections</w:t>
      </w:r>
      <w:r w:rsidR="000159A6">
        <w:rPr>
          <w:lang w:eastAsia="ja-JP"/>
        </w:rPr>
        <w:t xml:space="preserve"> </w:t>
      </w:r>
      <w:r>
        <w:rPr>
          <w:lang w:eastAsia="ja-JP"/>
        </w:rPr>
        <w:t>or</w:t>
      </w:r>
      <w:r w:rsidR="000159A6">
        <w:rPr>
          <w:lang w:eastAsia="ja-JP"/>
        </w:rPr>
        <w:t xml:space="preserve"> </w:t>
      </w:r>
      <w:r>
        <w:rPr>
          <w:lang w:eastAsia="ja-JP"/>
        </w:rPr>
        <w:t>malignancy.</w:t>
      </w:r>
      <w:r w:rsidR="000159A6">
        <w:rPr>
          <w:lang w:eastAsia="ja-JP"/>
        </w:rPr>
        <w:t xml:space="preserve"> </w:t>
      </w:r>
      <w:r>
        <w:rPr>
          <w:lang w:eastAsia="ja-JP"/>
        </w:rPr>
        <w:t>Apart</w:t>
      </w:r>
      <w:r w:rsidR="000159A6">
        <w:rPr>
          <w:lang w:eastAsia="ja-JP"/>
        </w:rPr>
        <w:t xml:space="preserve"> </w:t>
      </w:r>
      <w:r>
        <w:rPr>
          <w:lang w:eastAsia="ja-JP"/>
        </w:rPr>
        <w:t>from</w:t>
      </w:r>
      <w:r w:rsidR="000159A6">
        <w:rPr>
          <w:lang w:eastAsia="ja-JP"/>
        </w:rPr>
        <w:t xml:space="preserve"> </w:t>
      </w:r>
      <w:r>
        <w:rPr>
          <w:lang w:eastAsia="ja-JP"/>
        </w:rPr>
        <w:t>the</w:t>
      </w:r>
      <w:r w:rsidR="000159A6">
        <w:rPr>
          <w:lang w:eastAsia="ja-JP"/>
        </w:rPr>
        <w:t xml:space="preserve"> </w:t>
      </w:r>
      <w:r>
        <w:rPr>
          <w:lang w:eastAsia="ja-JP"/>
        </w:rPr>
        <w:t>finding</w:t>
      </w:r>
      <w:r w:rsidR="000159A6">
        <w:rPr>
          <w:lang w:eastAsia="ja-JP"/>
        </w:rPr>
        <w:t xml:space="preserve"> </w:t>
      </w:r>
      <w:r>
        <w:rPr>
          <w:lang w:eastAsia="ja-JP"/>
        </w:rPr>
        <w:t>on</w:t>
      </w:r>
      <w:r w:rsidR="000159A6">
        <w:rPr>
          <w:lang w:eastAsia="ja-JP"/>
        </w:rPr>
        <w:t xml:space="preserve"> </w:t>
      </w:r>
      <w:r>
        <w:rPr>
          <w:lang w:eastAsia="ja-JP"/>
        </w:rPr>
        <w:t>ovarian</w:t>
      </w:r>
      <w:r w:rsidR="000159A6">
        <w:rPr>
          <w:lang w:eastAsia="ja-JP"/>
        </w:rPr>
        <w:t xml:space="preserve"> </w:t>
      </w:r>
      <w:r>
        <w:rPr>
          <w:lang w:eastAsia="ja-JP"/>
        </w:rPr>
        <w:t>cancer</w:t>
      </w:r>
      <w:r w:rsidR="000159A6">
        <w:rPr>
          <w:lang w:eastAsia="ja-JP"/>
        </w:rPr>
        <w:t xml:space="preserve"> </w:t>
      </w:r>
      <w:r>
        <w:rPr>
          <w:lang w:eastAsia="ja-JP"/>
        </w:rPr>
        <w:t>(0.05%</w:t>
      </w:r>
      <w:r w:rsidR="000159A6">
        <w:rPr>
          <w:lang w:eastAsia="ja-JP"/>
        </w:rPr>
        <w:t xml:space="preserve"> </w:t>
      </w:r>
      <w:r>
        <w:rPr>
          <w:lang w:eastAsia="ja-JP"/>
        </w:rPr>
        <w:t>versus</w:t>
      </w:r>
      <w:r w:rsidR="000159A6">
        <w:rPr>
          <w:lang w:eastAsia="ja-JP"/>
        </w:rPr>
        <w:t xml:space="preserve"> </w:t>
      </w:r>
      <w:r>
        <w:rPr>
          <w:lang w:eastAsia="ja-JP"/>
        </w:rPr>
        <w:t>0%),</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evident</w:t>
      </w:r>
      <w:r w:rsidR="000159A6">
        <w:rPr>
          <w:lang w:eastAsia="ja-JP"/>
        </w:rPr>
        <w:t xml:space="preserve"> </w:t>
      </w:r>
      <w:r>
        <w:rPr>
          <w:lang w:eastAsia="ja-JP"/>
        </w:rPr>
        <w:t>signals</w:t>
      </w:r>
      <w:r w:rsidR="000159A6">
        <w:rPr>
          <w:lang w:eastAsia="ja-JP"/>
        </w:rPr>
        <w:t xml:space="preserve"> </w:t>
      </w:r>
      <w:r>
        <w:rPr>
          <w:lang w:eastAsia="ja-JP"/>
        </w:rPr>
        <w:t>on</w:t>
      </w:r>
      <w:r w:rsidR="000159A6">
        <w:rPr>
          <w:lang w:eastAsia="ja-JP"/>
        </w:rPr>
        <w:t xml:space="preserve"> </w:t>
      </w:r>
      <w:r>
        <w:rPr>
          <w:lang w:eastAsia="ja-JP"/>
        </w:rPr>
        <w:t>SAE</w:t>
      </w:r>
      <w:r w:rsidR="000159A6">
        <w:rPr>
          <w:lang w:eastAsia="ja-JP"/>
        </w:rPr>
        <w:t xml:space="preserve"> </w:t>
      </w:r>
      <w:r>
        <w:rPr>
          <w:lang w:eastAsia="ja-JP"/>
        </w:rPr>
        <w:t>rates.</w:t>
      </w:r>
      <w:r w:rsidR="000159A6">
        <w:rPr>
          <w:lang w:eastAsia="ja-JP"/>
        </w:rPr>
        <w:t xml:space="preserve"> </w:t>
      </w:r>
      <w:r>
        <w:rPr>
          <w:lang w:eastAsia="ja-JP"/>
        </w:rPr>
        <w:t>Nonetheless,</w:t>
      </w:r>
      <w:r w:rsidR="000159A6">
        <w:rPr>
          <w:lang w:eastAsia="ja-JP"/>
        </w:rPr>
        <w:t xml:space="preserve"> </w:t>
      </w:r>
      <w:r>
        <w:rPr>
          <w:lang w:eastAsia="ja-JP"/>
        </w:rPr>
        <w:t>further</w:t>
      </w:r>
      <w:r w:rsidR="000159A6">
        <w:rPr>
          <w:lang w:eastAsia="ja-JP"/>
        </w:rPr>
        <w:t xml:space="preserve"> </w:t>
      </w:r>
      <w:r>
        <w:rPr>
          <w:lang w:eastAsia="ja-JP"/>
        </w:rPr>
        <w:t>discussion</w:t>
      </w:r>
      <w:r w:rsidR="000159A6">
        <w:rPr>
          <w:lang w:eastAsia="ja-JP"/>
        </w:rPr>
        <w:t xml:space="preserve"> </w:t>
      </w:r>
      <w:r>
        <w:rPr>
          <w:lang w:eastAsia="ja-JP"/>
        </w:rPr>
        <w:t>on</w:t>
      </w:r>
      <w:r w:rsidR="000159A6">
        <w:rPr>
          <w:lang w:eastAsia="ja-JP"/>
        </w:rPr>
        <w:t xml:space="preserve"> </w:t>
      </w:r>
      <w:r>
        <w:rPr>
          <w:lang w:eastAsia="ja-JP"/>
        </w:rPr>
        <w:t>these</w:t>
      </w:r>
      <w:r w:rsidR="000159A6">
        <w:rPr>
          <w:lang w:eastAsia="ja-JP"/>
        </w:rPr>
        <w:t xml:space="preserve"> </w:t>
      </w:r>
      <w:r>
        <w:rPr>
          <w:lang w:eastAsia="ja-JP"/>
        </w:rPr>
        <w:t>points</w:t>
      </w:r>
      <w:r w:rsidR="000159A6">
        <w:rPr>
          <w:lang w:eastAsia="ja-JP"/>
        </w:rPr>
        <w:t xml:space="preserve"> </w:t>
      </w:r>
      <w:r>
        <w:rPr>
          <w:lang w:eastAsia="ja-JP"/>
        </w:rPr>
        <w:t>from</w:t>
      </w:r>
      <w:r w:rsidR="000159A6">
        <w:rPr>
          <w:lang w:eastAsia="ja-JP"/>
        </w:rPr>
        <w:t xml:space="preserve"> </w:t>
      </w:r>
      <w:r>
        <w:rPr>
          <w:lang w:eastAsia="ja-JP"/>
        </w:rPr>
        <w:t>the</w:t>
      </w:r>
      <w:r w:rsidR="000159A6">
        <w:rPr>
          <w:lang w:eastAsia="ja-JP"/>
        </w:rPr>
        <w:t xml:space="preserve"> </w:t>
      </w:r>
      <w:r>
        <w:rPr>
          <w:lang w:eastAsia="ja-JP"/>
        </w:rPr>
        <w:t>sponsor</w:t>
      </w:r>
      <w:r w:rsidR="000159A6">
        <w:rPr>
          <w:lang w:eastAsia="ja-JP"/>
        </w:rPr>
        <w:t xml:space="preserve"> </w:t>
      </w:r>
      <w:r>
        <w:rPr>
          <w:lang w:eastAsia="ja-JP"/>
        </w:rPr>
        <w:t>has</w:t>
      </w:r>
      <w:r w:rsidR="000159A6">
        <w:rPr>
          <w:lang w:eastAsia="ja-JP"/>
        </w:rPr>
        <w:t xml:space="preserve"> </w:t>
      </w:r>
      <w:r>
        <w:rPr>
          <w:lang w:eastAsia="ja-JP"/>
        </w:rPr>
        <w:t>been</w:t>
      </w:r>
      <w:r w:rsidR="000159A6">
        <w:rPr>
          <w:lang w:eastAsia="ja-JP"/>
        </w:rPr>
        <w:t xml:space="preserve"> </w:t>
      </w:r>
      <w:r>
        <w:rPr>
          <w:lang w:eastAsia="ja-JP"/>
        </w:rPr>
        <w:t>requested.</w:t>
      </w:r>
    </w:p>
    <w:p w14:paraId="3F60C176" w14:textId="12ED5277" w:rsidR="00624EB5" w:rsidRDefault="00624EB5" w:rsidP="00624EB5">
      <w:pPr>
        <w:rPr>
          <w:lang w:eastAsia="ja-JP"/>
        </w:rPr>
      </w:pPr>
      <w:r>
        <w:t>Data</w:t>
      </w:r>
      <w:r w:rsidR="000159A6">
        <w:t xml:space="preserve"> </w:t>
      </w:r>
      <w:r>
        <w:t>on</w:t>
      </w:r>
      <w:r w:rsidR="000159A6">
        <w:t xml:space="preserve"> </w:t>
      </w:r>
      <w:r>
        <w:t>medically</w:t>
      </w:r>
      <w:r w:rsidR="000159A6">
        <w:t xml:space="preserve"> </w:t>
      </w:r>
      <w:r>
        <w:t>attended</w:t>
      </w:r>
      <w:r w:rsidR="000159A6">
        <w:t xml:space="preserve"> </w:t>
      </w:r>
      <w:r>
        <w:t>visits</w:t>
      </w:r>
      <w:r w:rsidR="000159A6">
        <w:t xml:space="preserve"> </w:t>
      </w:r>
      <w:r>
        <w:t>were</w:t>
      </w:r>
      <w:r w:rsidR="000159A6">
        <w:t xml:space="preserve"> </w:t>
      </w:r>
      <w:r>
        <w:t>stated</w:t>
      </w:r>
      <w:r w:rsidR="000159A6">
        <w:t xml:space="preserve"> </w:t>
      </w:r>
      <w:r>
        <w:t>to</w:t>
      </w:r>
      <w:r w:rsidR="000159A6">
        <w:t xml:space="preserve"> </w:t>
      </w:r>
      <w:r>
        <w:t>have</w:t>
      </w:r>
      <w:r w:rsidR="000159A6">
        <w:t xml:space="preserve"> </w:t>
      </w:r>
      <w:r>
        <w:t>been</w:t>
      </w:r>
      <w:r w:rsidR="000159A6">
        <w:t xml:space="preserve"> </w:t>
      </w:r>
      <w:r>
        <w:t>collected</w:t>
      </w:r>
      <w:r w:rsidR="000159A6">
        <w:t xml:space="preserve"> </w:t>
      </w:r>
      <w:r>
        <w:t>to</w:t>
      </w:r>
      <w:r w:rsidR="000159A6">
        <w:t xml:space="preserve"> </w:t>
      </w:r>
      <w:r>
        <w:t>Month</w:t>
      </w:r>
      <w:r w:rsidR="000159A6">
        <w:t xml:space="preserve"> </w:t>
      </w:r>
      <w:r>
        <w:t>8;</w:t>
      </w:r>
      <w:r w:rsidR="000159A6">
        <w:t xml:space="preserve"> </w:t>
      </w:r>
      <w:r>
        <w:t>however</w:t>
      </w:r>
      <w:r w:rsidR="000159A6">
        <w:t xml:space="preserve"> </w:t>
      </w:r>
      <w:r>
        <w:t>pooled</w:t>
      </w:r>
      <w:r w:rsidR="000159A6">
        <w:t xml:space="preserve"> </w:t>
      </w:r>
      <w:r>
        <w:t>data</w:t>
      </w:r>
      <w:r w:rsidR="000159A6">
        <w:t xml:space="preserve"> </w:t>
      </w:r>
      <w:r>
        <w:t>on</w:t>
      </w:r>
      <w:r w:rsidR="000159A6">
        <w:t xml:space="preserve"> </w:t>
      </w:r>
      <w:r>
        <w:t>associated</w:t>
      </w:r>
      <w:r w:rsidR="000159A6">
        <w:t xml:space="preserve"> </w:t>
      </w:r>
      <w:r>
        <w:t>adverse</w:t>
      </w:r>
      <w:r w:rsidR="000159A6">
        <w:t xml:space="preserve"> </w:t>
      </w:r>
      <w:r>
        <w:t>events</w:t>
      </w:r>
      <w:r w:rsidR="000159A6">
        <w:t xml:space="preserve"> </w:t>
      </w:r>
      <w:r>
        <w:t>could</w:t>
      </w:r>
      <w:r w:rsidR="000159A6">
        <w:t xml:space="preserve"> </w:t>
      </w:r>
      <w:r>
        <w:t>not</w:t>
      </w:r>
      <w:r w:rsidR="000159A6">
        <w:t xml:space="preserve"> </w:t>
      </w:r>
      <w:r>
        <w:t>be</w:t>
      </w:r>
      <w:r w:rsidR="000159A6">
        <w:t xml:space="preserve"> </w:t>
      </w:r>
      <w:r>
        <w:t>located.</w:t>
      </w:r>
      <w:r w:rsidR="000159A6">
        <w:t xml:space="preserve"> </w:t>
      </w:r>
      <w:r>
        <w:t>The</w:t>
      </w:r>
      <w:r w:rsidR="000159A6">
        <w:t xml:space="preserve"> </w:t>
      </w:r>
      <w:r>
        <w:t>sponsor</w:t>
      </w:r>
      <w:r w:rsidR="000159A6">
        <w:t xml:space="preserve"> </w:t>
      </w:r>
      <w:r>
        <w:t>has</w:t>
      </w:r>
      <w:r w:rsidR="000159A6">
        <w:t xml:space="preserve"> </w:t>
      </w:r>
      <w:r>
        <w:t>been</w:t>
      </w:r>
      <w:r w:rsidR="000159A6">
        <w:t xml:space="preserve"> </w:t>
      </w:r>
      <w:r>
        <w:t>asked</w:t>
      </w:r>
      <w:r w:rsidR="000159A6">
        <w:t xml:space="preserve"> </w:t>
      </w:r>
      <w:r>
        <w:t>to</w:t>
      </w:r>
      <w:r w:rsidR="000159A6">
        <w:t xml:space="preserve"> </w:t>
      </w:r>
      <w:r>
        <w:t>discuss</w:t>
      </w:r>
      <w:r w:rsidR="000159A6">
        <w:t xml:space="preserve"> </w:t>
      </w:r>
      <w:r>
        <w:t>these</w:t>
      </w:r>
      <w:r w:rsidR="000159A6">
        <w:t xml:space="preserve"> </w:t>
      </w:r>
      <w:r>
        <w:t>events</w:t>
      </w:r>
      <w:r w:rsidR="000159A6">
        <w:t xml:space="preserve"> </w:t>
      </w:r>
      <w:r>
        <w:t>and</w:t>
      </w:r>
      <w:r w:rsidR="000159A6">
        <w:t xml:space="preserve"> </w:t>
      </w:r>
      <w:r>
        <w:t>comment</w:t>
      </w:r>
      <w:r w:rsidR="000159A6">
        <w:t xml:space="preserve"> </w:t>
      </w:r>
      <w:r>
        <w:t>on</w:t>
      </w:r>
      <w:r w:rsidR="000159A6">
        <w:t xml:space="preserve"> </w:t>
      </w:r>
      <w:r>
        <w:t>any</w:t>
      </w:r>
      <w:r w:rsidR="000159A6">
        <w:t xml:space="preserve"> </w:t>
      </w:r>
      <w:r>
        <w:t>imbalances</w:t>
      </w:r>
      <w:r w:rsidR="000159A6">
        <w:t xml:space="preserve"> </w:t>
      </w:r>
      <w:r>
        <w:t>between</w:t>
      </w:r>
      <w:r w:rsidR="000159A6">
        <w:t xml:space="preserve"> </w:t>
      </w:r>
      <w:r>
        <w:t>the</w:t>
      </w:r>
      <w:r w:rsidR="000159A6">
        <w:t xml:space="preserve"> </w:t>
      </w:r>
      <w:r>
        <w:t>treatment</w:t>
      </w:r>
      <w:r w:rsidR="000159A6">
        <w:t xml:space="preserve"> </w:t>
      </w:r>
      <w:r>
        <w:t>groups.</w:t>
      </w:r>
    </w:p>
    <w:p w14:paraId="4AA4D304" w14:textId="6DD0BEEE" w:rsidR="00624EB5" w:rsidRDefault="00624EB5" w:rsidP="00541F41">
      <w:r>
        <w:rPr>
          <w:lang w:eastAsia="ja-JP"/>
        </w:rPr>
        <w:t>During</w:t>
      </w:r>
      <w:r w:rsidR="000159A6">
        <w:rPr>
          <w:lang w:eastAsia="ja-JP"/>
        </w:rPr>
        <w:t xml:space="preserve"> </w:t>
      </w:r>
      <w:r>
        <w:rPr>
          <w:lang w:eastAsia="ja-JP"/>
        </w:rPr>
        <w:t>the</w:t>
      </w:r>
      <w:r w:rsidR="000159A6">
        <w:rPr>
          <w:lang w:eastAsia="ja-JP"/>
        </w:rPr>
        <w:t xml:space="preserve"> </w:t>
      </w:r>
      <w:r>
        <w:rPr>
          <w:lang w:eastAsia="ja-JP"/>
        </w:rPr>
        <w:t>whole</w:t>
      </w:r>
      <w:r w:rsidR="000159A6">
        <w:rPr>
          <w:lang w:eastAsia="ja-JP"/>
        </w:rPr>
        <w:t xml:space="preserve"> </w:t>
      </w:r>
      <w:r>
        <w:rPr>
          <w:lang w:eastAsia="ja-JP"/>
        </w:rPr>
        <w:t>follow</w:t>
      </w:r>
      <w:r w:rsidR="000159A6">
        <w:rPr>
          <w:lang w:eastAsia="ja-JP"/>
        </w:rPr>
        <w:t xml:space="preserve"> </w:t>
      </w:r>
      <w:r>
        <w:rPr>
          <w:lang w:eastAsia="ja-JP"/>
        </w:rPr>
        <w:t>up</w:t>
      </w:r>
      <w:r w:rsidR="000159A6">
        <w:rPr>
          <w:lang w:eastAsia="ja-JP"/>
        </w:rPr>
        <w:t xml:space="preserve"> </w:t>
      </w:r>
      <w:r>
        <w:rPr>
          <w:lang w:eastAsia="ja-JP"/>
        </w:rPr>
        <w:t>period</w:t>
      </w:r>
      <w:r w:rsidR="000159A6">
        <w:rPr>
          <w:lang w:eastAsia="ja-JP"/>
        </w:rPr>
        <w:t xml:space="preserve"> </w:t>
      </w:r>
      <w:r>
        <w:rPr>
          <w:lang w:eastAsia="ja-JP"/>
        </w:rPr>
        <w:t>the</w:t>
      </w:r>
      <w:r w:rsidR="000159A6">
        <w:rPr>
          <w:lang w:eastAsia="ja-JP"/>
        </w:rPr>
        <w:t xml:space="preserve"> </w:t>
      </w:r>
      <w:r>
        <w:rPr>
          <w:lang w:eastAsia="ja-JP"/>
        </w:rPr>
        <w:t>withdrawal</w:t>
      </w:r>
      <w:r w:rsidR="000159A6">
        <w:rPr>
          <w:lang w:eastAsia="ja-JP"/>
        </w:rPr>
        <w:t xml:space="preserve"> </w:t>
      </w:r>
      <w:r>
        <w:rPr>
          <w:lang w:eastAsia="ja-JP"/>
        </w:rPr>
        <w:t>rate</w:t>
      </w:r>
      <w:r w:rsidR="000159A6">
        <w:rPr>
          <w:lang w:eastAsia="ja-JP"/>
        </w:rPr>
        <w:t xml:space="preserve"> </w:t>
      </w:r>
      <w:r>
        <w:rPr>
          <w:lang w:eastAsia="ja-JP"/>
        </w:rPr>
        <w:t>due</w:t>
      </w:r>
      <w:r w:rsidR="000159A6">
        <w:rPr>
          <w:lang w:eastAsia="ja-JP"/>
        </w:rPr>
        <w:t xml:space="preserve"> </w:t>
      </w:r>
      <w:r>
        <w:rPr>
          <w:lang w:eastAsia="ja-JP"/>
        </w:rPr>
        <w:t>to</w:t>
      </w:r>
      <w:r w:rsidR="000159A6">
        <w:rPr>
          <w:lang w:eastAsia="ja-JP"/>
        </w:rPr>
        <w:t xml:space="preserve"> </w:t>
      </w:r>
      <w:r>
        <w:rPr>
          <w:lang w:eastAsia="ja-JP"/>
        </w:rPr>
        <w:t>non-serious</w:t>
      </w:r>
      <w:r w:rsidR="000159A6">
        <w:rPr>
          <w:lang w:eastAsia="ja-JP"/>
        </w:rPr>
        <w:t xml:space="preserve"> </w:t>
      </w:r>
      <w:r>
        <w:rPr>
          <w:lang w:eastAsia="ja-JP"/>
        </w:rPr>
        <w:t>AEs</w:t>
      </w:r>
      <w:r w:rsidR="000159A6">
        <w:rPr>
          <w:lang w:eastAsia="ja-JP"/>
        </w:rPr>
        <w:t xml:space="preserve"> </w:t>
      </w:r>
      <w:r>
        <w:rPr>
          <w:lang w:eastAsia="ja-JP"/>
        </w:rPr>
        <w:t>was</w:t>
      </w:r>
      <w:r w:rsidR="000159A6">
        <w:rPr>
          <w:lang w:eastAsia="ja-JP"/>
        </w:rPr>
        <w:t xml:space="preserve"> </w:t>
      </w:r>
      <w:r>
        <w:rPr>
          <w:lang w:eastAsia="ja-JP"/>
        </w:rPr>
        <w:t>0.5%</w:t>
      </w:r>
      <w:r w:rsidR="00CD5352">
        <w:rPr>
          <w:lang w:eastAsia="ja-JP"/>
        </w:rPr>
        <w:t> </w:t>
      </w:r>
      <w:r>
        <w:rPr>
          <w:lang w:eastAsia="ja-JP"/>
        </w:rPr>
        <w:t>versus</w:t>
      </w:r>
      <w:r w:rsidR="000159A6">
        <w:rPr>
          <w:lang w:eastAsia="ja-JP"/>
        </w:rPr>
        <w:t xml:space="preserve"> </w:t>
      </w:r>
      <w:r>
        <w:rPr>
          <w:lang w:eastAsia="ja-JP"/>
        </w:rPr>
        <w:t>0.2%</w:t>
      </w:r>
      <w:r w:rsidR="000159A6">
        <w:rPr>
          <w:lang w:eastAsia="ja-JP"/>
        </w:rPr>
        <w:t xml:space="preserve"> </w:t>
      </w:r>
      <w:r>
        <w:rPr>
          <w:lang w:eastAsia="ja-JP"/>
        </w:rPr>
        <w:t>and</w:t>
      </w:r>
      <w:r w:rsidR="000159A6">
        <w:rPr>
          <w:lang w:eastAsia="ja-JP"/>
        </w:rPr>
        <w:t xml:space="preserve"> </w:t>
      </w:r>
      <w:r>
        <w:rPr>
          <w:lang w:eastAsia="ja-JP"/>
        </w:rPr>
        <w:t>due</w:t>
      </w:r>
      <w:r w:rsidR="000159A6">
        <w:rPr>
          <w:lang w:eastAsia="ja-JP"/>
        </w:rPr>
        <w:t xml:space="preserve"> </w:t>
      </w:r>
      <w:r>
        <w:rPr>
          <w:lang w:eastAsia="ja-JP"/>
        </w:rPr>
        <w:t>to</w:t>
      </w:r>
      <w:r w:rsidR="000159A6">
        <w:rPr>
          <w:lang w:eastAsia="ja-JP"/>
        </w:rPr>
        <w:t xml:space="preserve"> </w:t>
      </w:r>
      <w:r>
        <w:rPr>
          <w:lang w:eastAsia="ja-JP"/>
        </w:rPr>
        <w:t>an</w:t>
      </w:r>
      <w:r w:rsidR="000159A6">
        <w:rPr>
          <w:lang w:eastAsia="ja-JP"/>
        </w:rPr>
        <w:t xml:space="preserve"> </w:t>
      </w:r>
      <w:r>
        <w:rPr>
          <w:lang w:eastAsia="ja-JP"/>
        </w:rPr>
        <w:t>SAE</w:t>
      </w:r>
      <w:r w:rsidR="000159A6">
        <w:rPr>
          <w:lang w:eastAsia="ja-JP"/>
        </w:rPr>
        <w:t xml:space="preserve"> </w:t>
      </w:r>
      <w:r>
        <w:rPr>
          <w:lang w:eastAsia="ja-JP"/>
        </w:rPr>
        <w:t>was</w:t>
      </w:r>
      <w:r w:rsidR="000159A6">
        <w:rPr>
          <w:lang w:eastAsia="ja-JP"/>
        </w:rPr>
        <w:t xml:space="preserve"> </w:t>
      </w:r>
      <w:r>
        <w:rPr>
          <w:lang w:eastAsia="ja-JP"/>
        </w:rPr>
        <w:t>4.7%</w:t>
      </w:r>
      <w:r w:rsidR="000159A6">
        <w:rPr>
          <w:lang w:eastAsia="ja-JP"/>
        </w:rPr>
        <w:t xml:space="preserve"> </w:t>
      </w:r>
      <w:r>
        <w:rPr>
          <w:lang w:eastAsia="ja-JP"/>
        </w:rPr>
        <w:t>versus</w:t>
      </w:r>
      <w:r w:rsidR="000159A6">
        <w:rPr>
          <w:lang w:eastAsia="ja-JP"/>
        </w:rPr>
        <w:t xml:space="preserve"> </w:t>
      </w:r>
      <w:r>
        <w:rPr>
          <w:lang w:eastAsia="ja-JP"/>
        </w:rPr>
        <w:t>4.9%.</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a</w:t>
      </w:r>
      <w:r w:rsidR="000159A6">
        <w:rPr>
          <w:lang w:eastAsia="ja-JP"/>
        </w:rPr>
        <w:t xml:space="preserve"> </w:t>
      </w:r>
      <w:r>
        <w:rPr>
          <w:lang w:eastAsia="ja-JP"/>
        </w:rPr>
        <w:t>slightly</w:t>
      </w:r>
      <w:r w:rsidR="000159A6">
        <w:rPr>
          <w:lang w:eastAsia="ja-JP"/>
        </w:rPr>
        <w:t xml:space="preserve"> </w:t>
      </w:r>
      <w:r>
        <w:rPr>
          <w:lang w:eastAsia="ja-JP"/>
        </w:rPr>
        <w:t>higher</w:t>
      </w:r>
      <w:r w:rsidR="000159A6">
        <w:rPr>
          <w:lang w:eastAsia="ja-JP"/>
        </w:rPr>
        <w:t xml:space="preserve"> </w:t>
      </w:r>
      <w:r>
        <w:rPr>
          <w:lang w:eastAsia="ja-JP"/>
        </w:rPr>
        <w:t>withdrawal</w:t>
      </w:r>
      <w:r w:rsidR="000159A6">
        <w:rPr>
          <w:lang w:eastAsia="ja-JP"/>
        </w:rPr>
        <w:t xml:space="preserve"> </w:t>
      </w:r>
      <w:r>
        <w:rPr>
          <w:lang w:eastAsia="ja-JP"/>
        </w:rPr>
        <w:t>rate</w:t>
      </w:r>
      <w:r w:rsidR="000159A6">
        <w:rPr>
          <w:lang w:eastAsia="ja-JP"/>
        </w:rPr>
        <w:t xml:space="preserve"> </w:t>
      </w:r>
      <w:r>
        <w:rPr>
          <w:lang w:eastAsia="ja-JP"/>
        </w:rPr>
        <w:t>for</w:t>
      </w:r>
      <w:r w:rsidR="000159A6">
        <w:rPr>
          <w:lang w:eastAsia="ja-JP"/>
        </w:rPr>
        <w:t xml:space="preserve"> </w:t>
      </w:r>
      <w:r>
        <w:rPr>
          <w:lang w:eastAsia="ja-JP"/>
        </w:rPr>
        <w:t>non-serious</w:t>
      </w:r>
      <w:r w:rsidR="000159A6">
        <w:rPr>
          <w:lang w:eastAsia="ja-JP"/>
        </w:rPr>
        <w:t xml:space="preserve"> </w:t>
      </w:r>
      <w:r>
        <w:rPr>
          <w:lang w:eastAsia="ja-JP"/>
        </w:rPr>
        <w:t>AEs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period</w:t>
      </w:r>
      <w:r w:rsidR="000159A6">
        <w:rPr>
          <w:lang w:eastAsia="ja-JP"/>
        </w:rPr>
        <w:t xml:space="preserve"> </w:t>
      </w:r>
      <w:r>
        <w:rPr>
          <w:lang w:eastAsia="ja-JP"/>
        </w:rPr>
        <w:t>up</w:t>
      </w:r>
      <w:r w:rsidR="000159A6">
        <w:rPr>
          <w:lang w:eastAsia="ja-JP"/>
        </w:rPr>
        <w:t xml:space="preserve"> </w:t>
      </w:r>
      <w:r>
        <w:rPr>
          <w:lang w:eastAsia="ja-JP"/>
        </w:rPr>
        <w:t>to</w:t>
      </w:r>
      <w:r w:rsidR="000159A6">
        <w:rPr>
          <w:lang w:eastAsia="ja-JP"/>
        </w:rPr>
        <w:t xml:space="preserve"> </w:t>
      </w:r>
      <w:r>
        <w:rPr>
          <w:lang w:eastAsia="ja-JP"/>
        </w:rPr>
        <w:t>one</w:t>
      </w:r>
      <w:r w:rsidR="000159A6">
        <w:rPr>
          <w:lang w:eastAsia="ja-JP"/>
        </w:rPr>
        <w:t xml:space="preserve"> </w:t>
      </w:r>
      <w:r>
        <w:rPr>
          <w:lang w:eastAsia="ja-JP"/>
        </w:rPr>
        <w:t>month</w:t>
      </w:r>
      <w:r w:rsidR="000159A6">
        <w:rPr>
          <w:lang w:eastAsia="ja-JP"/>
        </w:rPr>
        <w:t xml:space="preserve"> </w:t>
      </w:r>
      <w:r>
        <w:rPr>
          <w:lang w:eastAsia="ja-JP"/>
        </w:rPr>
        <w:t>post</w:t>
      </w:r>
      <w:r w:rsidR="000159A6">
        <w:rPr>
          <w:lang w:eastAsia="ja-JP"/>
        </w:rPr>
        <w:t xml:space="preserve"> </w:t>
      </w:r>
      <w:r>
        <w:rPr>
          <w:lang w:eastAsia="ja-JP"/>
        </w:rPr>
        <w:t>the</w:t>
      </w:r>
      <w:r w:rsidR="000159A6">
        <w:rPr>
          <w:lang w:eastAsia="ja-JP"/>
        </w:rPr>
        <w:t xml:space="preserve"> </w:t>
      </w:r>
      <w:r>
        <w:rPr>
          <w:lang w:eastAsia="ja-JP"/>
        </w:rPr>
        <w:t>second</w:t>
      </w:r>
      <w:r w:rsidR="000159A6">
        <w:rPr>
          <w:lang w:eastAsia="ja-JP"/>
        </w:rPr>
        <w:t xml:space="preserve"> </w:t>
      </w:r>
      <w:r>
        <w:rPr>
          <w:lang w:eastAsia="ja-JP"/>
        </w:rPr>
        <w:t>vaccine</w:t>
      </w:r>
      <w:r w:rsidR="000159A6">
        <w:rPr>
          <w:lang w:eastAsia="ja-JP"/>
        </w:rPr>
        <w:t xml:space="preserve"> </w:t>
      </w:r>
      <w:r>
        <w:rPr>
          <w:lang w:eastAsia="ja-JP"/>
        </w:rPr>
        <w:t>dose</w:t>
      </w:r>
      <w:r w:rsidR="000159A6">
        <w:rPr>
          <w:lang w:eastAsia="ja-JP"/>
        </w:rPr>
        <w:t xml:space="preserve"> </w:t>
      </w:r>
      <w:r>
        <w:rPr>
          <w:lang w:eastAsia="ja-JP"/>
        </w:rPr>
        <w:t>(0.4%</w:t>
      </w:r>
      <w:r w:rsidR="000159A6">
        <w:rPr>
          <w:lang w:eastAsia="ja-JP"/>
        </w:rPr>
        <w:t xml:space="preserve"> </w:t>
      </w:r>
      <w:r>
        <w:rPr>
          <w:lang w:eastAsia="ja-JP"/>
        </w:rPr>
        <w:t>versus</w:t>
      </w:r>
      <w:r w:rsidR="000159A6">
        <w:rPr>
          <w:lang w:eastAsia="ja-JP"/>
        </w:rPr>
        <w:t xml:space="preserve"> </w:t>
      </w:r>
      <w:r>
        <w:rPr>
          <w:lang w:eastAsia="ja-JP"/>
        </w:rPr>
        <w:t>0.1%).</w:t>
      </w:r>
      <w:r w:rsidR="000159A6">
        <w:rPr>
          <w:lang w:eastAsia="ja-JP"/>
        </w:rPr>
        <w:t xml:space="preserve"> </w:t>
      </w:r>
      <w:r>
        <w:rPr>
          <w:lang w:eastAsia="ja-JP"/>
        </w:rPr>
        <w:t>This</w:t>
      </w:r>
      <w:r w:rsidR="000159A6">
        <w:rPr>
          <w:lang w:eastAsia="ja-JP"/>
        </w:rPr>
        <w:t xml:space="preserve"> </w:t>
      </w:r>
      <w:r>
        <w:rPr>
          <w:lang w:eastAsia="ja-JP"/>
        </w:rPr>
        <w:t>may</w:t>
      </w:r>
      <w:r w:rsidR="000159A6">
        <w:rPr>
          <w:lang w:eastAsia="ja-JP"/>
        </w:rPr>
        <w:t xml:space="preserve"> </w:t>
      </w:r>
      <w:r>
        <w:rPr>
          <w:lang w:eastAsia="ja-JP"/>
        </w:rPr>
        <w:t>be</w:t>
      </w:r>
      <w:r w:rsidR="000159A6">
        <w:rPr>
          <w:lang w:eastAsia="ja-JP"/>
        </w:rPr>
        <w:t xml:space="preserve"> </w:t>
      </w:r>
      <w:r>
        <w:rPr>
          <w:lang w:eastAsia="ja-JP"/>
        </w:rPr>
        <w:t>due</w:t>
      </w:r>
      <w:r w:rsidR="000159A6">
        <w:rPr>
          <w:lang w:eastAsia="ja-JP"/>
        </w:rPr>
        <w:t xml:space="preserve"> </w:t>
      </w:r>
      <w:r>
        <w:rPr>
          <w:lang w:eastAsia="ja-JP"/>
        </w:rPr>
        <w:t>to</w:t>
      </w:r>
      <w:r w:rsidR="000159A6">
        <w:rPr>
          <w:lang w:eastAsia="ja-JP"/>
        </w:rPr>
        <w:t xml:space="preserve"> </w:t>
      </w:r>
      <w:r>
        <w:rPr>
          <w:lang w:eastAsia="ja-JP"/>
        </w:rPr>
        <w:t>the</w:t>
      </w:r>
      <w:r w:rsidR="000159A6">
        <w:rPr>
          <w:lang w:eastAsia="ja-JP"/>
        </w:rPr>
        <w:t xml:space="preserve"> </w:t>
      </w:r>
      <w:r>
        <w:rPr>
          <w:lang w:eastAsia="ja-JP"/>
        </w:rPr>
        <w:t>vaccine’s</w:t>
      </w:r>
      <w:r w:rsidR="000159A6">
        <w:rPr>
          <w:lang w:eastAsia="ja-JP"/>
        </w:rPr>
        <w:t xml:space="preserve"> </w:t>
      </w:r>
      <w:r>
        <w:rPr>
          <w:lang w:eastAsia="ja-JP"/>
        </w:rPr>
        <w:t>reactogenicity.</w:t>
      </w:r>
      <w:r w:rsidR="000159A6">
        <w:rPr>
          <w:lang w:eastAsia="ja-JP"/>
        </w:rPr>
        <w:t xml:space="preserve"> </w:t>
      </w:r>
      <w:r>
        <w:rPr>
          <w:lang w:eastAsia="ja-JP"/>
        </w:rPr>
        <w:t>The</w:t>
      </w:r>
      <w:r w:rsidR="000159A6">
        <w:rPr>
          <w:lang w:eastAsia="ja-JP"/>
        </w:rPr>
        <w:t xml:space="preserve"> </w:t>
      </w:r>
      <w:r>
        <w:rPr>
          <w:lang w:eastAsia="ja-JP"/>
        </w:rPr>
        <w:t>sponsor</w:t>
      </w:r>
      <w:r w:rsidR="000159A6">
        <w:rPr>
          <w:lang w:eastAsia="ja-JP"/>
        </w:rPr>
        <w:t xml:space="preserve"> </w:t>
      </w:r>
      <w:r>
        <w:rPr>
          <w:lang w:eastAsia="ja-JP"/>
        </w:rPr>
        <w:t>has</w:t>
      </w:r>
      <w:r w:rsidR="000159A6">
        <w:rPr>
          <w:lang w:eastAsia="ja-JP"/>
        </w:rPr>
        <w:t xml:space="preserve"> </w:t>
      </w:r>
      <w:r>
        <w:rPr>
          <w:lang w:eastAsia="ja-JP"/>
        </w:rPr>
        <w:t>been</w:t>
      </w:r>
      <w:r w:rsidR="000159A6">
        <w:rPr>
          <w:lang w:eastAsia="ja-JP"/>
        </w:rPr>
        <w:t xml:space="preserve"> </w:t>
      </w:r>
      <w:r>
        <w:rPr>
          <w:lang w:eastAsia="ja-JP"/>
        </w:rPr>
        <w:t>asked</w:t>
      </w:r>
      <w:r w:rsidR="000159A6">
        <w:rPr>
          <w:lang w:eastAsia="ja-JP"/>
        </w:rPr>
        <w:t xml:space="preserve"> </w:t>
      </w:r>
      <w:r>
        <w:rPr>
          <w:lang w:eastAsia="ja-JP"/>
        </w:rPr>
        <w:t>to</w:t>
      </w:r>
      <w:r w:rsidR="000159A6">
        <w:rPr>
          <w:lang w:eastAsia="ja-JP"/>
        </w:rPr>
        <w:t xml:space="preserve"> </w:t>
      </w:r>
      <w:r>
        <w:rPr>
          <w:lang w:eastAsia="ja-JP"/>
        </w:rPr>
        <w:t>comment</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t>type</w:t>
      </w:r>
      <w:r w:rsidR="000159A6">
        <w:t xml:space="preserve"> </w:t>
      </w:r>
      <w:r>
        <w:t>of</w:t>
      </w:r>
      <w:r w:rsidR="000159A6">
        <w:t xml:space="preserve"> </w:t>
      </w:r>
      <w:r>
        <w:t>adverse</w:t>
      </w:r>
      <w:r w:rsidR="000159A6">
        <w:t xml:space="preserve"> </w:t>
      </w:r>
      <w:r>
        <w:t>events</w:t>
      </w:r>
      <w:r w:rsidR="000159A6">
        <w:t xml:space="preserve"> </w:t>
      </w:r>
      <w:r>
        <w:t>leading</w:t>
      </w:r>
      <w:r w:rsidR="000159A6">
        <w:t xml:space="preserve"> </w:t>
      </w:r>
      <w:r>
        <w:t>to</w:t>
      </w:r>
      <w:r w:rsidR="000159A6">
        <w:t xml:space="preserve"> </w:t>
      </w:r>
      <w:r>
        <w:t>premature</w:t>
      </w:r>
      <w:r w:rsidR="000159A6">
        <w:t xml:space="preserve"> </w:t>
      </w:r>
      <w:r>
        <w:t>discontinuation.</w:t>
      </w:r>
    </w:p>
    <w:p w14:paraId="587633F7" w14:textId="581DB945" w:rsidR="00624EB5" w:rsidRDefault="00624EB5" w:rsidP="00541F41">
      <w:pPr>
        <w:rPr>
          <w:lang w:eastAsia="ja-JP"/>
        </w:rPr>
      </w:pP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notable</w:t>
      </w:r>
      <w:r w:rsidR="000159A6">
        <w:rPr>
          <w:lang w:eastAsia="ja-JP"/>
        </w:rPr>
        <w:t xml:space="preserve"> </w:t>
      </w:r>
      <w:r>
        <w:rPr>
          <w:lang w:eastAsia="ja-JP"/>
        </w:rPr>
        <w:t>differences</w:t>
      </w:r>
      <w:r w:rsidR="000159A6">
        <w:rPr>
          <w:lang w:eastAsia="ja-JP"/>
        </w:rPr>
        <w:t xml:space="preserve"> </w:t>
      </w:r>
      <w:r>
        <w:rPr>
          <w:lang w:eastAsia="ja-JP"/>
        </w:rPr>
        <w:t>between</w:t>
      </w:r>
      <w:r w:rsidR="000159A6">
        <w:rPr>
          <w:lang w:eastAsia="ja-JP"/>
        </w:rPr>
        <w:t xml:space="preserve"> </w:t>
      </w:r>
      <w:r>
        <w:rPr>
          <w:lang w:eastAsia="ja-JP"/>
        </w:rPr>
        <w:t>the</w:t>
      </w:r>
      <w:r w:rsidR="000159A6">
        <w:rPr>
          <w:lang w:eastAsia="ja-JP"/>
        </w:rPr>
        <w:t xml:space="preserve"> </w:t>
      </w:r>
      <w:r>
        <w:rPr>
          <w:lang w:eastAsia="ja-JP"/>
        </w:rPr>
        <w:t>HZ/</w:t>
      </w:r>
      <w:proofErr w:type="spellStart"/>
      <w:r>
        <w:rPr>
          <w:lang w:eastAsia="ja-JP"/>
        </w:rPr>
        <w:t>su</w:t>
      </w:r>
      <w:proofErr w:type="spellEnd"/>
      <w:r w:rsidR="000159A6">
        <w:rPr>
          <w:lang w:eastAsia="ja-JP"/>
        </w:rPr>
        <w:t xml:space="preserve"> </w:t>
      </w:r>
      <w:r>
        <w:rPr>
          <w:lang w:eastAsia="ja-JP"/>
        </w:rPr>
        <w:t>and</w:t>
      </w:r>
      <w:r w:rsidR="000159A6">
        <w:rPr>
          <w:lang w:eastAsia="ja-JP"/>
        </w:rPr>
        <w:t xml:space="preserve"> </w:t>
      </w:r>
      <w:r>
        <w:rPr>
          <w:lang w:eastAsia="ja-JP"/>
        </w:rPr>
        <w:t>placebo</w:t>
      </w:r>
      <w:r w:rsidR="000159A6">
        <w:rPr>
          <w:lang w:eastAsia="ja-JP"/>
        </w:rPr>
        <w:t xml:space="preserve"> </w:t>
      </w:r>
      <w:r>
        <w:rPr>
          <w:lang w:eastAsia="ja-JP"/>
        </w:rPr>
        <w:t>groups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rates</w:t>
      </w:r>
      <w:r w:rsidR="000159A6">
        <w:rPr>
          <w:lang w:eastAsia="ja-JP"/>
        </w:rPr>
        <w:t xml:space="preserve"> </w:t>
      </w:r>
      <w:r>
        <w:rPr>
          <w:lang w:eastAsia="ja-JP"/>
        </w:rPr>
        <w:t>of</w:t>
      </w:r>
      <w:r w:rsidR="000159A6">
        <w:rPr>
          <w:lang w:eastAsia="ja-JP"/>
        </w:rPr>
        <w:t xml:space="preserve"> </w:t>
      </w:r>
      <w:proofErr w:type="spellStart"/>
      <w:r>
        <w:rPr>
          <w:lang w:eastAsia="ja-JP"/>
        </w:rPr>
        <w:t>pIMDs</w:t>
      </w:r>
      <w:proofErr w:type="spellEnd"/>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main</w:t>
      </w:r>
      <w:r w:rsidR="000159A6">
        <w:rPr>
          <w:lang w:eastAsia="ja-JP"/>
        </w:rPr>
        <w:t xml:space="preserve"> </w:t>
      </w:r>
      <w:r>
        <w:rPr>
          <w:lang w:eastAsia="ja-JP"/>
        </w:rPr>
        <w:t>safety</w:t>
      </w:r>
      <w:r w:rsidR="000159A6">
        <w:rPr>
          <w:lang w:eastAsia="ja-JP"/>
        </w:rPr>
        <w:t xml:space="preserve"> </w:t>
      </w:r>
      <w:r>
        <w:rPr>
          <w:lang w:eastAsia="ja-JP"/>
        </w:rPr>
        <w:t>pool</w:t>
      </w:r>
      <w:r w:rsidR="000159A6">
        <w:rPr>
          <w:lang w:eastAsia="ja-JP"/>
        </w:rPr>
        <w:t xml:space="preserve"> </w:t>
      </w:r>
      <w:r>
        <w:rPr>
          <w:lang w:eastAsia="ja-JP"/>
        </w:rPr>
        <w:t>(1.2%</w:t>
      </w:r>
      <w:r w:rsidR="000159A6">
        <w:rPr>
          <w:lang w:eastAsia="ja-JP"/>
        </w:rPr>
        <w:t xml:space="preserve"> </w:t>
      </w:r>
      <w:r>
        <w:rPr>
          <w:lang w:eastAsia="ja-JP"/>
        </w:rPr>
        <w:t>versus</w:t>
      </w:r>
      <w:r w:rsidR="000159A6">
        <w:rPr>
          <w:lang w:eastAsia="ja-JP"/>
        </w:rPr>
        <w:t xml:space="preserve"> </w:t>
      </w:r>
      <w:r>
        <w:rPr>
          <w:lang w:eastAsia="ja-JP"/>
        </w:rPr>
        <w:t>1.4%)</w:t>
      </w:r>
      <w:r w:rsidR="000159A6">
        <w:rPr>
          <w:lang w:eastAsia="ja-JP"/>
        </w:rPr>
        <w:t xml:space="preserve"> </w:t>
      </w:r>
      <w:r>
        <w:rPr>
          <w:lang w:eastAsia="ja-JP"/>
        </w:rPr>
        <w:t>and</w:t>
      </w:r>
      <w:r w:rsidR="000159A6">
        <w:rPr>
          <w:lang w:eastAsia="ja-JP"/>
        </w:rPr>
        <w:t xml:space="preserve"> </w:t>
      </w:r>
      <w:r>
        <w:rPr>
          <w:lang w:eastAsia="ja-JP"/>
        </w:rPr>
        <w:t>about</w:t>
      </w:r>
      <w:r w:rsidR="000159A6">
        <w:rPr>
          <w:lang w:eastAsia="ja-JP"/>
        </w:rPr>
        <w:t xml:space="preserve"> </w:t>
      </w:r>
      <w:r>
        <w:rPr>
          <w:lang w:eastAsia="ja-JP"/>
        </w:rPr>
        <w:t>half</w:t>
      </w:r>
      <w:r w:rsidR="000159A6">
        <w:rPr>
          <w:lang w:eastAsia="ja-JP"/>
        </w:rPr>
        <w:t xml:space="preserve"> </w:t>
      </w:r>
      <w:r>
        <w:rPr>
          <w:lang w:eastAsia="ja-JP"/>
        </w:rPr>
        <w:t>the</w:t>
      </w:r>
      <w:r w:rsidR="000159A6">
        <w:rPr>
          <w:lang w:eastAsia="ja-JP"/>
        </w:rPr>
        <w:t xml:space="preserve"> </w:t>
      </w:r>
      <w:r>
        <w:rPr>
          <w:lang w:eastAsia="ja-JP"/>
        </w:rPr>
        <w:t>events</w:t>
      </w:r>
      <w:r w:rsidR="000159A6">
        <w:rPr>
          <w:lang w:eastAsia="ja-JP"/>
        </w:rPr>
        <w:t xml:space="preserve"> </w:t>
      </w:r>
      <w:r>
        <w:rPr>
          <w:lang w:eastAsia="ja-JP"/>
        </w:rPr>
        <w:t>were</w:t>
      </w:r>
      <w:r w:rsidR="000159A6">
        <w:rPr>
          <w:lang w:eastAsia="ja-JP"/>
        </w:rPr>
        <w:t xml:space="preserve"> </w:t>
      </w:r>
      <w:r>
        <w:rPr>
          <w:lang w:eastAsia="ja-JP"/>
        </w:rPr>
        <w:t>reported</w:t>
      </w:r>
      <w:r w:rsidR="000159A6">
        <w:rPr>
          <w:lang w:eastAsia="ja-JP"/>
        </w:rPr>
        <w:t xml:space="preserve"> </w:t>
      </w:r>
      <w:r>
        <w:rPr>
          <w:lang w:eastAsia="ja-JP"/>
        </w:rPr>
        <w:t>over</w:t>
      </w:r>
      <w:r w:rsidR="000159A6">
        <w:rPr>
          <w:lang w:eastAsia="ja-JP"/>
        </w:rPr>
        <w:t xml:space="preserve"> </w:t>
      </w:r>
      <w:r>
        <w:rPr>
          <w:lang w:eastAsia="ja-JP"/>
        </w:rPr>
        <w:t>one</w:t>
      </w:r>
      <w:r w:rsidR="000159A6">
        <w:rPr>
          <w:lang w:eastAsia="ja-JP"/>
        </w:rPr>
        <w:t xml:space="preserve"> </w:t>
      </w:r>
      <w:r>
        <w:rPr>
          <w:lang w:eastAsia="ja-JP"/>
        </w:rPr>
        <w:t>year</w:t>
      </w:r>
      <w:r w:rsidR="000159A6">
        <w:rPr>
          <w:lang w:eastAsia="ja-JP"/>
        </w:rPr>
        <w:t xml:space="preserve"> </w:t>
      </w:r>
      <w:r>
        <w:rPr>
          <w:lang w:eastAsia="ja-JP"/>
        </w:rPr>
        <w:t>post</w:t>
      </w:r>
      <w:r w:rsidR="000159A6">
        <w:rPr>
          <w:lang w:eastAsia="ja-JP"/>
        </w:rPr>
        <w:t xml:space="preserve"> </w:t>
      </w:r>
      <w:r>
        <w:rPr>
          <w:lang w:eastAsia="ja-JP"/>
        </w:rPr>
        <w:t>vaccination.</w:t>
      </w:r>
      <w:r w:rsidR="000159A6">
        <w:rPr>
          <w:lang w:eastAsia="ja-JP"/>
        </w:rPr>
        <w:t xml:space="preserve"> </w:t>
      </w:r>
      <w:r>
        <w:rPr>
          <w:lang w:eastAsia="ja-JP"/>
        </w:rPr>
        <w:t>Such</w:t>
      </w:r>
      <w:r w:rsidR="000159A6">
        <w:rPr>
          <w:lang w:eastAsia="ja-JP"/>
        </w:rPr>
        <w:t xml:space="preserve"> </w:t>
      </w:r>
      <w:r>
        <w:rPr>
          <w:lang w:eastAsia="ja-JP"/>
        </w:rPr>
        <w:t>events</w:t>
      </w:r>
      <w:r w:rsidR="000159A6">
        <w:rPr>
          <w:lang w:eastAsia="ja-JP"/>
        </w:rPr>
        <w:t xml:space="preserve"> </w:t>
      </w:r>
      <w:r>
        <w:rPr>
          <w:lang w:eastAsia="ja-JP"/>
        </w:rPr>
        <w:t>are</w:t>
      </w:r>
      <w:r w:rsidR="000159A6">
        <w:rPr>
          <w:lang w:eastAsia="ja-JP"/>
        </w:rPr>
        <w:t xml:space="preserve"> </w:t>
      </w:r>
      <w:r>
        <w:rPr>
          <w:lang w:eastAsia="ja-JP"/>
        </w:rPr>
        <w:t>rare</w:t>
      </w:r>
      <w:r w:rsidR="000159A6">
        <w:rPr>
          <w:lang w:eastAsia="ja-JP"/>
        </w:rPr>
        <w:t xml:space="preserve"> </w:t>
      </w:r>
      <w:r>
        <w:rPr>
          <w:lang w:eastAsia="ja-JP"/>
        </w:rPr>
        <w:t>and</w:t>
      </w:r>
      <w:r w:rsidR="000159A6">
        <w:rPr>
          <w:lang w:eastAsia="ja-JP"/>
        </w:rPr>
        <w:t xml:space="preserve"> </w:t>
      </w:r>
      <w:r>
        <w:rPr>
          <w:lang w:eastAsia="ja-JP"/>
        </w:rPr>
        <w:t>despite</w:t>
      </w:r>
      <w:r w:rsidR="000159A6">
        <w:rPr>
          <w:lang w:eastAsia="ja-JP"/>
        </w:rPr>
        <w:t xml:space="preserve"> </w:t>
      </w:r>
      <w:r>
        <w:rPr>
          <w:lang w:eastAsia="ja-JP"/>
        </w:rPr>
        <w:t>the</w:t>
      </w:r>
      <w:r w:rsidR="000159A6">
        <w:rPr>
          <w:lang w:eastAsia="ja-JP"/>
        </w:rPr>
        <w:t xml:space="preserve"> </w:t>
      </w:r>
      <w:r>
        <w:rPr>
          <w:lang w:eastAsia="ja-JP"/>
        </w:rPr>
        <w:t>sample</w:t>
      </w:r>
      <w:r w:rsidR="000159A6">
        <w:rPr>
          <w:lang w:eastAsia="ja-JP"/>
        </w:rPr>
        <w:t xml:space="preserve"> </w:t>
      </w:r>
      <w:r>
        <w:rPr>
          <w:lang w:eastAsia="ja-JP"/>
        </w:rPr>
        <w:t>size</w:t>
      </w:r>
      <w:r w:rsidR="000159A6">
        <w:rPr>
          <w:lang w:eastAsia="ja-JP"/>
        </w:rPr>
        <w:t xml:space="preserve"> </w:t>
      </w:r>
      <w:r>
        <w:rPr>
          <w:lang w:eastAsia="ja-JP"/>
        </w:rPr>
        <w:t>of</w:t>
      </w:r>
      <w:r w:rsidR="000159A6">
        <w:rPr>
          <w:lang w:eastAsia="ja-JP"/>
        </w:rPr>
        <w:t xml:space="preserve"> </w:t>
      </w:r>
      <w:r>
        <w:rPr>
          <w:lang w:eastAsia="ja-JP"/>
        </w:rPr>
        <w:t>about</w:t>
      </w:r>
      <w:r w:rsidR="000159A6">
        <w:rPr>
          <w:lang w:eastAsia="ja-JP"/>
        </w:rPr>
        <w:t xml:space="preserve"> </w:t>
      </w:r>
      <w:r>
        <w:rPr>
          <w:lang w:eastAsia="ja-JP"/>
        </w:rPr>
        <w:t>15,000</w:t>
      </w:r>
      <w:r w:rsidR="000159A6">
        <w:rPr>
          <w:lang w:eastAsia="ja-JP"/>
        </w:rPr>
        <w:t xml:space="preserve"> </w:t>
      </w:r>
      <w:r>
        <w:rPr>
          <w:lang w:eastAsia="ja-JP"/>
        </w:rPr>
        <w:t>there</w:t>
      </w:r>
      <w:r w:rsidR="000159A6">
        <w:rPr>
          <w:lang w:eastAsia="ja-JP"/>
        </w:rPr>
        <w:t xml:space="preserve"> </w:t>
      </w:r>
      <w:r>
        <w:rPr>
          <w:lang w:eastAsia="ja-JP"/>
        </w:rPr>
        <w:t>may</w:t>
      </w:r>
      <w:r w:rsidR="000159A6">
        <w:rPr>
          <w:lang w:eastAsia="ja-JP"/>
        </w:rPr>
        <w:t xml:space="preserve"> </w:t>
      </w:r>
      <w:r>
        <w:rPr>
          <w:lang w:eastAsia="ja-JP"/>
        </w:rPr>
        <w:t>be</w:t>
      </w:r>
      <w:r w:rsidR="000159A6">
        <w:rPr>
          <w:lang w:eastAsia="ja-JP"/>
        </w:rPr>
        <w:t xml:space="preserve"> </w:t>
      </w:r>
      <w:r>
        <w:rPr>
          <w:lang w:eastAsia="ja-JP"/>
        </w:rPr>
        <w:t>insufficient</w:t>
      </w:r>
      <w:r w:rsidR="000159A6">
        <w:rPr>
          <w:lang w:eastAsia="ja-JP"/>
        </w:rPr>
        <w:t xml:space="preserve"> </w:t>
      </w:r>
      <w:r>
        <w:rPr>
          <w:lang w:eastAsia="ja-JP"/>
        </w:rPr>
        <w:t>data</w:t>
      </w:r>
      <w:r w:rsidR="000159A6">
        <w:rPr>
          <w:lang w:eastAsia="ja-JP"/>
        </w:rPr>
        <w:t xml:space="preserve"> </w:t>
      </w:r>
      <w:r>
        <w:rPr>
          <w:lang w:eastAsia="ja-JP"/>
        </w:rPr>
        <w:t>to</w:t>
      </w:r>
      <w:r w:rsidR="000159A6">
        <w:rPr>
          <w:lang w:eastAsia="ja-JP"/>
        </w:rPr>
        <w:t xml:space="preserve"> </w:t>
      </w:r>
      <w:r>
        <w:rPr>
          <w:lang w:eastAsia="ja-JP"/>
        </w:rPr>
        <w:t>adequately</w:t>
      </w:r>
      <w:r w:rsidR="000159A6">
        <w:rPr>
          <w:lang w:eastAsia="ja-JP"/>
        </w:rPr>
        <w:t xml:space="preserve"> </w:t>
      </w:r>
      <w:r>
        <w:rPr>
          <w:lang w:eastAsia="ja-JP"/>
        </w:rPr>
        <w:t>detect</w:t>
      </w:r>
      <w:r w:rsidR="000159A6">
        <w:rPr>
          <w:lang w:eastAsia="ja-JP"/>
        </w:rPr>
        <w:t xml:space="preserve"> </w:t>
      </w:r>
      <w:r>
        <w:rPr>
          <w:lang w:eastAsia="ja-JP"/>
        </w:rPr>
        <w:t>such</w:t>
      </w:r>
      <w:r w:rsidR="000159A6">
        <w:rPr>
          <w:lang w:eastAsia="ja-JP"/>
        </w:rPr>
        <w:t xml:space="preserve"> </w:t>
      </w:r>
      <w:r>
        <w:rPr>
          <w:lang w:eastAsia="ja-JP"/>
        </w:rPr>
        <w:t>a</w:t>
      </w:r>
      <w:r w:rsidR="000159A6">
        <w:rPr>
          <w:lang w:eastAsia="ja-JP"/>
        </w:rPr>
        <w:t xml:space="preserve"> </w:t>
      </w:r>
      <w:r>
        <w:rPr>
          <w:lang w:eastAsia="ja-JP"/>
        </w:rPr>
        <w:t>risk.</w:t>
      </w:r>
      <w:r w:rsidR="000159A6">
        <w:rPr>
          <w:lang w:eastAsia="ja-JP"/>
        </w:rPr>
        <w:t xml:space="preserve"> </w:t>
      </w:r>
      <w:r>
        <w:rPr>
          <w:lang w:eastAsia="ja-JP"/>
        </w:rPr>
        <w:t>Pharmacovigilance</w:t>
      </w:r>
      <w:r w:rsidR="000159A6">
        <w:rPr>
          <w:lang w:eastAsia="ja-JP"/>
        </w:rPr>
        <w:t xml:space="preserve"> </w:t>
      </w:r>
      <w:r>
        <w:rPr>
          <w:lang w:eastAsia="ja-JP"/>
        </w:rPr>
        <w:t>surveillance</w:t>
      </w:r>
      <w:r w:rsidR="000159A6">
        <w:rPr>
          <w:lang w:eastAsia="ja-JP"/>
        </w:rPr>
        <w:t xml:space="preserve"> </w:t>
      </w:r>
      <w:r>
        <w:rPr>
          <w:lang w:eastAsia="ja-JP"/>
        </w:rPr>
        <w:t>will</w:t>
      </w:r>
      <w:r w:rsidR="000159A6">
        <w:rPr>
          <w:lang w:eastAsia="ja-JP"/>
        </w:rPr>
        <w:t xml:space="preserve"> </w:t>
      </w:r>
      <w:r>
        <w:rPr>
          <w:lang w:eastAsia="ja-JP"/>
        </w:rPr>
        <w:t>therefore</w:t>
      </w:r>
      <w:r w:rsidR="000159A6">
        <w:rPr>
          <w:lang w:eastAsia="ja-JP"/>
        </w:rPr>
        <w:t xml:space="preserve"> </w:t>
      </w:r>
      <w:r>
        <w:rPr>
          <w:lang w:eastAsia="ja-JP"/>
        </w:rPr>
        <w:t>be</w:t>
      </w:r>
      <w:r w:rsidR="000159A6">
        <w:rPr>
          <w:lang w:eastAsia="ja-JP"/>
        </w:rPr>
        <w:t xml:space="preserve"> </w:t>
      </w:r>
      <w:r>
        <w:rPr>
          <w:lang w:eastAsia="ja-JP"/>
        </w:rPr>
        <w:t>crucial.</w:t>
      </w:r>
    </w:p>
    <w:p w14:paraId="0582CE70" w14:textId="5A6B83AD" w:rsidR="00624EB5" w:rsidRDefault="00624EB5" w:rsidP="00624EB5">
      <w:pPr>
        <w:rPr>
          <w:lang w:eastAsia="ja-JP"/>
        </w:rPr>
      </w:pPr>
      <w:r>
        <w:rPr>
          <w:lang w:eastAsia="ja-JP"/>
        </w:rPr>
        <w:t>There</w:t>
      </w:r>
      <w:r w:rsidR="000159A6">
        <w:rPr>
          <w:lang w:eastAsia="ja-JP"/>
        </w:rPr>
        <w:t xml:space="preserve"> </w:t>
      </w:r>
      <w:r>
        <w:rPr>
          <w:lang w:eastAsia="ja-JP"/>
        </w:rPr>
        <w:t>was</w:t>
      </w:r>
      <w:r w:rsidR="000159A6">
        <w:rPr>
          <w:lang w:eastAsia="ja-JP"/>
        </w:rPr>
        <w:t xml:space="preserve"> </w:t>
      </w:r>
      <w:r>
        <w:rPr>
          <w:lang w:eastAsia="ja-JP"/>
        </w:rPr>
        <w:t>one</w:t>
      </w:r>
      <w:r w:rsidR="000159A6">
        <w:rPr>
          <w:lang w:eastAsia="ja-JP"/>
        </w:rPr>
        <w:t xml:space="preserve"> </w:t>
      </w:r>
      <w:r>
        <w:rPr>
          <w:lang w:eastAsia="ja-JP"/>
        </w:rPr>
        <w:t>report</w:t>
      </w:r>
      <w:r w:rsidR="000159A6">
        <w:rPr>
          <w:lang w:eastAsia="ja-JP"/>
        </w:rPr>
        <w:t xml:space="preserve"> </w:t>
      </w:r>
      <w:r>
        <w:rPr>
          <w:lang w:eastAsia="ja-JP"/>
        </w:rPr>
        <w:t>of</w:t>
      </w:r>
      <w:r w:rsidR="000159A6">
        <w:rPr>
          <w:lang w:eastAsia="ja-JP"/>
        </w:rPr>
        <w:t xml:space="preserve"> </w:t>
      </w:r>
      <w:r>
        <w:rPr>
          <w:lang w:eastAsia="ja-JP"/>
        </w:rPr>
        <w:t>‘anaphylaxis’</w:t>
      </w:r>
      <w:r w:rsidR="000159A6">
        <w:rPr>
          <w:lang w:eastAsia="ja-JP"/>
        </w:rPr>
        <w:t xml:space="preserve"> </w:t>
      </w:r>
      <w:r>
        <w:rPr>
          <w:lang w:eastAsia="ja-JP"/>
        </w:rPr>
        <w:t>which</w:t>
      </w:r>
      <w:r w:rsidR="000159A6">
        <w:rPr>
          <w:lang w:eastAsia="ja-JP"/>
        </w:rPr>
        <w:t xml:space="preserve"> </w:t>
      </w:r>
      <w:r>
        <w:rPr>
          <w:lang w:eastAsia="ja-JP"/>
        </w:rPr>
        <w:t>did</w:t>
      </w:r>
      <w:r w:rsidR="000159A6">
        <w:rPr>
          <w:lang w:eastAsia="ja-JP"/>
        </w:rPr>
        <w:t xml:space="preserve"> </w:t>
      </w:r>
      <w:r>
        <w:rPr>
          <w:lang w:eastAsia="ja-JP"/>
        </w:rPr>
        <w:t>not</w:t>
      </w:r>
      <w:r w:rsidR="000159A6">
        <w:rPr>
          <w:lang w:eastAsia="ja-JP"/>
        </w:rPr>
        <w:t xml:space="preserve"> </w:t>
      </w:r>
      <w:r>
        <w:rPr>
          <w:lang w:eastAsia="ja-JP"/>
        </w:rPr>
        <w:t>require</w:t>
      </w:r>
      <w:r w:rsidR="000159A6">
        <w:rPr>
          <w:lang w:eastAsia="ja-JP"/>
        </w:rPr>
        <w:t xml:space="preserve"> </w:t>
      </w:r>
      <w:r>
        <w:rPr>
          <w:lang w:eastAsia="ja-JP"/>
        </w:rPr>
        <w:t>treatment</w:t>
      </w:r>
      <w:r w:rsidR="000159A6">
        <w:rPr>
          <w:lang w:eastAsia="ja-JP"/>
        </w:rPr>
        <w:t xml:space="preserve"> </w:t>
      </w:r>
      <w:r>
        <w:rPr>
          <w:lang w:eastAsia="ja-JP"/>
        </w:rPr>
        <w:t>and</w:t>
      </w:r>
      <w:r w:rsidR="000159A6">
        <w:rPr>
          <w:lang w:eastAsia="ja-JP"/>
        </w:rPr>
        <w:t xml:space="preserve"> </w:t>
      </w:r>
      <w:r>
        <w:rPr>
          <w:lang w:eastAsia="ja-JP"/>
        </w:rPr>
        <w:t>no</w:t>
      </w:r>
      <w:r w:rsidR="000159A6">
        <w:rPr>
          <w:lang w:eastAsia="ja-JP"/>
        </w:rPr>
        <w:t xml:space="preserve"> </w:t>
      </w:r>
      <w:r>
        <w:rPr>
          <w:lang w:eastAsia="ja-JP"/>
        </w:rPr>
        <w:t>increased</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r>
        <w:rPr>
          <w:lang w:eastAsia="ja-JP"/>
        </w:rPr>
        <w:t>hyper</w:t>
      </w:r>
      <w:r w:rsidR="0096043C">
        <w:rPr>
          <w:lang w:eastAsia="ja-JP"/>
        </w:rPr>
        <w:t>sensitivity</w:t>
      </w:r>
      <w:r w:rsidR="000159A6">
        <w:rPr>
          <w:lang w:eastAsia="ja-JP"/>
        </w:rPr>
        <w:t xml:space="preserve"> </w:t>
      </w:r>
      <w:r>
        <w:rPr>
          <w:lang w:eastAsia="ja-JP"/>
        </w:rPr>
        <w:t>reactions.</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also</w:t>
      </w:r>
      <w:r w:rsidR="000159A6">
        <w:rPr>
          <w:lang w:eastAsia="ja-JP"/>
        </w:rPr>
        <w:t xml:space="preserve"> </w:t>
      </w:r>
      <w:r>
        <w:rPr>
          <w:lang w:eastAsia="ja-JP"/>
        </w:rPr>
        <w:t>no</w:t>
      </w:r>
      <w:r w:rsidR="000159A6">
        <w:rPr>
          <w:lang w:eastAsia="ja-JP"/>
        </w:rPr>
        <w:t xml:space="preserve"> </w:t>
      </w:r>
      <w:r>
        <w:rPr>
          <w:lang w:eastAsia="ja-JP"/>
        </w:rPr>
        <w:t>clinically</w:t>
      </w:r>
      <w:r w:rsidR="000159A6">
        <w:rPr>
          <w:lang w:eastAsia="ja-JP"/>
        </w:rPr>
        <w:t xml:space="preserve"> </w:t>
      </w:r>
      <w:r>
        <w:rPr>
          <w:lang w:eastAsia="ja-JP"/>
        </w:rPr>
        <w:t>relevant</w:t>
      </w:r>
      <w:r w:rsidR="000159A6">
        <w:rPr>
          <w:lang w:eastAsia="ja-JP"/>
        </w:rPr>
        <w:t xml:space="preserve"> </w:t>
      </w:r>
      <w:r>
        <w:rPr>
          <w:lang w:eastAsia="ja-JP"/>
        </w:rPr>
        <w:t>changes</w:t>
      </w:r>
      <w:r w:rsidR="000159A6">
        <w:rPr>
          <w:lang w:eastAsia="ja-JP"/>
        </w:rPr>
        <w:t xml:space="preserve"> </w:t>
      </w:r>
      <w:r>
        <w:rPr>
          <w:lang w:eastAsia="ja-JP"/>
        </w:rPr>
        <w:t>in</w:t>
      </w:r>
      <w:r w:rsidR="000159A6">
        <w:rPr>
          <w:lang w:eastAsia="ja-JP"/>
        </w:rPr>
        <w:t xml:space="preserve"> </w:t>
      </w:r>
      <w:r>
        <w:rPr>
          <w:lang w:eastAsia="ja-JP"/>
        </w:rPr>
        <w:t>laboratory</w:t>
      </w:r>
      <w:r w:rsidR="000159A6">
        <w:rPr>
          <w:lang w:eastAsia="ja-JP"/>
        </w:rPr>
        <w:t xml:space="preserve"> </w:t>
      </w:r>
      <w:r>
        <w:rPr>
          <w:lang w:eastAsia="ja-JP"/>
        </w:rPr>
        <w:t>parameters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studies</w:t>
      </w:r>
      <w:r w:rsidR="000159A6">
        <w:rPr>
          <w:lang w:eastAsia="ja-JP"/>
        </w:rPr>
        <w:t xml:space="preserve"> </w:t>
      </w:r>
      <w:r>
        <w:rPr>
          <w:lang w:eastAsia="ja-JP"/>
        </w:rPr>
        <w:t>where</w:t>
      </w:r>
      <w:r w:rsidR="000159A6">
        <w:rPr>
          <w:lang w:eastAsia="ja-JP"/>
        </w:rPr>
        <w:t xml:space="preserve"> </w:t>
      </w:r>
      <w:r>
        <w:rPr>
          <w:lang w:eastAsia="ja-JP"/>
        </w:rPr>
        <w:t>these</w:t>
      </w:r>
      <w:r w:rsidR="000159A6">
        <w:rPr>
          <w:lang w:eastAsia="ja-JP"/>
        </w:rPr>
        <w:t xml:space="preserve"> </w:t>
      </w:r>
      <w:r>
        <w:rPr>
          <w:lang w:eastAsia="ja-JP"/>
        </w:rPr>
        <w:t>were</w:t>
      </w:r>
      <w:r w:rsidR="000159A6">
        <w:rPr>
          <w:lang w:eastAsia="ja-JP"/>
        </w:rPr>
        <w:t xml:space="preserve"> </w:t>
      </w:r>
      <w:r>
        <w:rPr>
          <w:lang w:eastAsia="ja-JP"/>
        </w:rPr>
        <w:t>assessed.</w:t>
      </w:r>
    </w:p>
    <w:p w14:paraId="600F3879" w14:textId="790C91F2" w:rsidR="00624EB5" w:rsidRDefault="00624EB5" w:rsidP="00624EB5">
      <w:pPr>
        <w:rPr>
          <w:lang w:eastAsia="ja-JP"/>
        </w:rPr>
      </w:pPr>
      <w:r>
        <w:rPr>
          <w:lang w:eastAsia="ja-JP"/>
        </w:rPr>
        <w:t>In</w:t>
      </w:r>
      <w:r w:rsidR="000159A6">
        <w:rPr>
          <w:lang w:eastAsia="ja-JP"/>
        </w:rPr>
        <w:t xml:space="preserve"> </w:t>
      </w:r>
      <w:r>
        <w:rPr>
          <w:lang w:eastAsia="ja-JP"/>
        </w:rPr>
        <w:t>the</w:t>
      </w:r>
      <w:r w:rsidR="000159A6">
        <w:rPr>
          <w:lang w:eastAsia="ja-JP"/>
        </w:rPr>
        <w:t xml:space="preserve"> </w:t>
      </w:r>
      <w:r>
        <w:rPr>
          <w:lang w:eastAsia="ja-JP"/>
        </w:rPr>
        <w:t>small</w:t>
      </w:r>
      <w:r w:rsidR="000159A6">
        <w:rPr>
          <w:lang w:eastAsia="ja-JP"/>
        </w:rPr>
        <w:t xml:space="preserve"> </w:t>
      </w:r>
      <w:r>
        <w:rPr>
          <w:lang w:eastAsia="ja-JP"/>
        </w:rPr>
        <w:t>number</w:t>
      </w:r>
      <w:r w:rsidR="000159A6">
        <w:rPr>
          <w:lang w:eastAsia="ja-JP"/>
        </w:rPr>
        <w:t xml:space="preserve"> </w:t>
      </w:r>
      <w:r>
        <w:rPr>
          <w:lang w:eastAsia="ja-JP"/>
        </w:rPr>
        <w:t>of</w:t>
      </w:r>
      <w:r w:rsidR="000159A6">
        <w:rPr>
          <w:lang w:eastAsia="ja-JP"/>
        </w:rPr>
        <w:t xml:space="preserve"> </w:t>
      </w:r>
      <w:r>
        <w:rPr>
          <w:lang w:eastAsia="ja-JP"/>
        </w:rPr>
        <w:t>adults</w:t>
      </w:r>
      <w:r w:rsidR="000159A6">
        <w:rPr>
          <w:lang w:eastAsia="ja-JP"/>
        </w:rPr>
        <w:t xml:space="preserve"> </w:t>
      </w:r>
      <w:r>
        <w:rPr>
          <w:lang w:eastAsia="ja-JP"/>
        </w:rPr>
        <w:t>with</w:t>
      </w:r>
      <w:r w:rsidR="000159A6">
        <w:rPr>
          <w:lang w:eastAsia="ja-JP"/>
        </w:rPr>
        <w:t xml:space="preserve"> </w:t>
      </w:r>
      <w:r>
        <w:rPr>
          <w:lang w:eastAsia="ja-JP"/>
        </w:rPr>
        <w:t>history</w:t>
      </w:r>
      <w:r w:rsidR="000159A6">
        <w:rPr>
          <w:lang w:eastAsia="ja-JP"/>
        </w:rPr>
        <w:t xml:space="preserve"> </w:t>
      </w:r>
      <w:r>
        <w:rPr>
          <w:lang w:eastAsia="ja-JP"/>
        </w:rPr>
        <w:t>of</w:t>
      </w:r>
      <w:r w:rsidR="000159A6">
        <w:rPr>
          <w:lang w:eastAsia="ja-JP"/>
        </w:rPr>
        <w:t xml:space="preserve"> </w:t>
      </w:r>
      <w:r>
        <w:rPr>
          <w:lang w:eastAsia="ja-JP"/>
        </w:rPr>
        <w:t>HZ,</w:t>
      </w:r>
      <w:r w:rsidR="000159A6">
        <w:rPr>
          <w:lang w:eastAsia="ja-JP"/>
        </w:rPr>
        <w:t xml:space="preserve"> </w:t>
      </w:r>
      <w:r>
        <w:rPr>
          <w:lang w:eastAsia="ja-JP"/>
        </w:rPr>
        <w:t>the</w:t>
      </w:r>
      <w:r w:rsidR="000159A6">
        <w:rPr>
          <w:lang w:eastAsia="ja-JP"/>
        </w:rPr>
        <w:t xml:space="preserve"> </w:t>
      </w:r>
      <w:r>
        <w:rPr>
          <w:lang w:eastAsia="ja-JP"/>
        </w:rPr>
        <w:t>vaccine</w:t>
      </w:r>
      <w:r w:rsidR="000159A6">
        <w:rPr>
          <w:lang w:eastAsia="ja-JP"/>
        </w:rPr>
        <w:t xml:space="preserve"> </w:t>
      </w:r>
      <w:r>
        <w:rPr>
          <w:lang w:eastAsia="ja-JP"/>
        </w:rPr>
        <w:t>was</w:t>
      </w:r>
      <w:r w:rsidR="000159A6">
        <w:rPr>
          <w:lang w:eastAsia="ja-JP"/>
        </w:rPr>
        <w:t xml:space="preserve"> </w:t>
      </w:r>
      <w:r>
        <w:rPr>
          <w:lang w:eastAsia="ja-JP"/>
        </w:rPr>
        <w:t>tolerated</w:t>
      </w:r>
      <w:r w:rsidR="000159A6">
        <w:rPr>
          <w:lang w:eastAsia="ja-JP"/>
        </w:rPr>
        <w:t xml:space="preserve"> </w:t>
      </w:r>
      <w:r>
        <w:rPr>
          <w:lang w:eastAsia="ja-JP"/>
        </w:rPr>
        <w:t>with</w:t>
      </w:r>
      <w:r w:rsidR="000159A6">
        <w:rPr>
          <w:lang w:eastAsia="ja-JP"/>
        </w:rPr>
        <w:t xml:space="preserve"> </w:t>
      </w:r>
      <w:r>
        <w:rPr>
          <w:lang w:eastAsia="ja-JP"/>
        </w:rPr>
        <w:t>no</w:t>
      </w:r>
      <w:r w:rsidR="000159A6">
        <w:rPr>
          <w:lang w:eastAsia="ja-JP"/>
        </w:rPr>
        <w:t xml:space="preserve"> </w:t>
      </w:r>
      <w:r>
        <w:rPr>
          <w:lang w:eastAsia="ja-JP"/>
        </w:rPr>
        <w:t>evident</w:t>
      </w:r>
      <w:r w:rsidR="000159A6">
        <w:rPr>
          <w:lang w:eastAsia="ja-JP"/>
        </w:rPr>
        <w:t xml:space="preserve"> </w:t>
      </w:r>
      <w:r>
        <w:rPr>
          <w:lang w:eastAsia="ja-JP"/>
        </w:rPr>
        <w:t>safety</w:t>
      </w:r>
      <w:r w:rsidR="000159A6">
        <w:rPr>
          <w:lang w:eastAsia="ja-JP"/>
        </w:rPr>
        <w:t xml:space="preserve"> </w:t>
      </w:r>
      <w:r>
        <w:rPr>
          <w:lang w:eastAsia="ja-JP"/>
        </w:rPr>
        <w:t>concerns</w:t>
      </w:r>
      <w:r w:rsidR="000159A6">
        <w:rPr>
          <w:lang w:eastAsia="ja-JP"/>
        </w:rPr>
        <w:t xml:space="preserve"> </w:t>
      </w:r>
      <w:r>
        <w:rPr>
          <w:lang w:eastAsia="ja-JP"/>
        </w:rPr>
        <w:t>although</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no</w:t>
      </w:r>
      <w:r w:rsidR="000159A6">
        <w:rPr>
          <w:lang w:eastAsia="ja-JP"/>
        </w:rPr>
        <w:t xml:space="preserve"> </w:t>
      </w:r>
      <w:r>
        <w:rPr>
          <w:lang w:eastAsia="ja-JP"/>
        </w:rPr>
        <w:t>control</w:t>
      </w:r>
      <w:r w:rsidR="000159A6">
        <w:rPr>
          <w:lang w:eastAsia="ja-JP"/>
        </w:rPr>
        <w:t xml:space="preserve"> </w:t>
      </w:r>
      <w:r>
        <w:rPr>
          <w:lang w:eastAsia="ja-JP"/>
        </w:rPr>
        <w:t>group</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study.</w:t>
      </w:r>
      <w:r w:rsidR="000159A6">
        <w:rPr>
          <w:lang w:eastAsia="ja-JP"/>
        </w:rPr>
        <w:t xml:space="preserve"> </w:t>
      </w:r>
      <w:r>
        <w:rPr>
          <w:lang w:eastAsia="ja-JP"/>
        </w:rPr>
        <w:t>The</w:t>
      </w:r>
      <w:r w:rsidR="000159A6">
        <w:rPr>
          <w:lang w:eastAsia="ja-JP"/>
        </w:rPr>
        <w:t xml:space="preserve"> </w:t>
      </w:r>
      <w:r>
        <w:rPr>
          <w:lang w:eastAsia="ja-JP"/>
        </w:rPr>
        <w:t>product</w:t>
      </w:r>
      <w:r w:rsidR="000159A6">
        <w:rPr>
          <w:lang w:eastAsia="ja-JP"/>
        </w:rPr>
        <w:t xml:space="preserve"> </w:t>
      </w:r>
      <w:r>
        <w:rPr>
          <w:lang w:eastAsia="ja-JP"/>
        </w:rPr>
        <w:t>development</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immunocompromised</w:t>
      </w:r>
      <w:r w:rsidR="000159A6">
        <w:rPr>
          <w:lang w:eastAsia="ja-JP"/>
        </w:rPr>
        <w:t xml:space="preserve"> </w:t>
      </w:r>
      <w:r>
        <w:rPr>
          <w:lang w:eastAsia="ja-JP"/>
        </w:rPr>
        <w:t>population</w:t>
      </w:r>
      <w:r w:rsidR="000159A6">
        <w:rPr>
          <w:lang w:eastAsia="ja-JP"/>
        </w:rPr>
        <w:t xml:space="preserve"> </w:t>
      </w:r>
      <w:r>
        <w:rPr>
          <w:lang w:eastAsia="ja-JP"/>
        </w:rPr>
        <w:t>is</w:t>
      </w:r>
      <w:r w:rsidR="000159A6">
        <w:rPr>
          <w:lang w:eastAsia="ja-JP"/>
        </w:rPr>
        <w:t xml:space="preserve"> </w:t>
      </w:r>
      <w:r>
        <w:rPr>
          <w:lang w:eastAsia="ja-JP"/>
        </w:rPr>
        <w:t>ongoing</w:t>
      </w:r>
      <w:r w:rsidR="000159A6">
        <w:rPr>
          <w:lang w:eastAsia="ja-JP"/>
        </w:rPr>
        <w:t xml:space="preserve"> </w:t>
      </w:r>
      <w:r>
        <w:rPr>
          <w:lang w:eastAsia="ja-JP"/>
        </w:rPr>
        <w:t>and</w:t>
      </w:r>
      <w:r w:rsidR="000159A6">
        <w:rPr>
          <w:lang w:eastAsia="ja-JP"/>
        </w:rPr>
        <w:t xml:space="preserve"> </w:t>
      </w:r>
      <w:r>
        <w:rPr>
          <w:lang w:eastAsia="ja-JP"/>
        </w:rPr>
        <w:t>to</w:t>
      </w:r>
      <w:r w:rsidR="000159A6">
        <w:rPr>
          <w:lang w:eastAsia="ja-JP"/>
        </w:rPr>
        <w:t xml:space="preserve"> </w:t>
      </w:r>
      <w:r>
        <w:rPr>
          <w:lang w:eastAsia="ja-JP"/>
        </w:rPr>
        <w:t>date</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limited</w:t>
      </w:r>
      <w:r w:rsidR="000159A6">
        <w:rPr>
          <w:lang w:eastAsia="ja-JP"/>
        </w:rPr>
        <w:t xml:space="preserve"> </w:t>
      </w:r>
      <w:r>
        <w:rPr>
          <w:lang w:eastAsia="ja-JP"/>
        </w:rPr>
        <w:t>population</w:t>
      </w:r>
      <w:r w:rsidR="000159A6">
        <w:rPr>
          <w:lang w:eastAsia="ja-JP"/>
        </w:rPr>
        <w:t xml:space="preserve"> </w:t>
      </w:r>
      <w:r>
        <w:rPr>
          <w:lang w:eastAsia="ja-JP"/>
        </w:rPr>
        <w:t>of</w:t>
      </w:r>
      <w:r w:rsidR="000159A6">
        <w:rPr>
          <w:lang w:eastAsia="ja-JP"/>
        </w:rPr>
        <w:t xml:space="preserve"> </w:t>
      </w:r>
      <w:r>
        <w:rPr>
          <w:lang w:eastAsia="ja-JP"/>
        </w:rPr>
        <w:t>autologous</w:t>
      </w:r>
      <w:r w:rsidR="000159A6">
        <w:rPr>
          <w:lang w:eastAsia="ja-JP"/>
        </w:rPr>
        <w:t xml:space="preserve"> </w:t>
      </w:r>
      <w:r>
        <w:rPr>
          <w:lang w:eastAsia="ja-JP"/>
        </w:rPr>
        <w:t>HCT</w:t>
      </w:r>
      <w:r w:rsidR="000159A6">
        <w:rPr>
          <w:lang w:eastAsia="ja-JP"/>
        </w:rPr>
        <w:t xml:space="preserve"> </w:t>
      </w:r>
      <w:r>
        <w:rPr>
          <w:lang w:eastAsia="ja-JP"/>
        </w:rPr>
        <w:t>recipients</w:t>
      </w:r>
      <w:r w:rsidR="000159A6">
        <w:rPr>
          <w:lang w:eastAsia="ja-JP"/>
        </w:rPr>
        <w:t xml:space="preserve"> </w:t>
      </w:r>
      <w:r>
        <w:rPr>
          <w:lang w:eastAsia="ja-JP"/>
        </w:rPr>
        <w:t>and</w:t>
      </w:r>
      <w:r w:rsidR="000159A6">
        <w:rPr>
          <w:lang w:eastAsia="ja-JP"/>
        </w:rPr>
        <w:t xml:space="preserve"> </w:t>
      </w:r>
      <w:r>
        <w:rPr>
          <w:lang w:eastAsia="ja-JP"/>
        </w:rPr>
        <w:t>HIV</w:t>
      </w:r>
      <w:r w:rsidR="000159A6">
        <w:rPr>
          <w:lang w:eastAsia="ja-JP"/>
        </w:rPr>
        <w:t xml:space="preserve"> </w:t>
      </w:r>
      <w:r>
        <w:rPr>
          <w:lang w:eastAsia="ja-JP"/>
        </w:rPr>
        <w:t>infected</w:t>
      </w:r>
      <w:r w:rsidR="000159A6">
        <w:rPr>
          <w:lang w:eastAsia="ja-JP"/>
        </w:rPr>
        <w:t xml:space="preserve"> </w:t>
      </w:r>
      <w:r>
        <w:rPr>
          <w:lang w:eastAsia="ja-JP"/>
        </w:rPr>
        <w:t>subjects</w:t>
      </w:r>
      <w:r w:rsidR="000159A6">
        <w:rPr>
          <w:lang w:eastAsia="ja-JP"/>
        </w:rPr>
        <w:t xml:space="preserve"> </w:t>
      </w:r>
      <w:r>
        <w:rPr>
          <w:lang w:eastAsia="ja-JP"/>
        </w:rPr>
        <w:t>no</w:t>
      </w:r>
      <w:r w:rsidR="000159A6">
        <w:rPr>
          <w:lang w:eastAsia="ja-JP"/>
        </w:rPr>
        <w:t xml:space="preserve"> </w:t>
      </w:r>
      <w:r>
        <w:rPr>
          <w:lang w:eastAsia="ja-JP"/>
        </w:rPr>
        <w:t>safety</w:t>
      </w:r>
      <w:r w:rsidR="000159A6">
        <w:rPr>
          <w:lang w:eastAsia="ja-JP"/>
        </w:rPr>
        <w:t xml:space="preserve"> </w:t>
      </w:r>
      <w:r>
        <w:rPr>
          <w:lang w:eastAsia="ja-JP"/>
        </w:rPr>
        <w:t>concerns</w:t>
      </w:r>
      <w:r w:rsidR="000159A6">
        <w:rPr>
          <w:lang w:eastAsia="ja-JP"/>
        </w:rPr>
        <w:t xml:space="preserve"> </w:t>
      </w:r>
      <w:r>
        <w:rPr>
          <w:lang w:eastAsia="ja-JP"/>
        </w:rPr>
        <w:t>were</w:t>
      </w:r>
      <w:r w:rsidR="000159A6">
        <w:rPr>
          <w:lang w:eastAsia="ja-JP"/>
        </w:rPr>
        <w:t xml:space="preserve"> </w:t>
      </w:r>
      <w:r>
        <w:rPr>
          <w:lang w:eastAsia="ja-JP"/>
        </w:rPr>
        <w:t>evident.</w:t>
      </w:r>
      <w:r w:rsidR="000159A6">
        <w:rPr>
          <w:lang w:eastAsia="ja-JP"/>
        </w:rPr>
        <w:t xml:space="preserve"> </w:t>
      </w:r>
      <w:r>
        <w:rPr>
          <w:lang w:eastAsia="ja-JP"/>
        </w:rPr>
        <w:t>Background</w:t>
      </w:r>
      <w:r w:rsidR="000159A6">
        <w:rPr>
          <w:lang w:eastAsia="ja-JP"/>
        </w:rPr>
        <w:t xml:space="preserve"> </w:t>
      </w:r>
      <w:r>
        <w:rPr>
          <w:lang w:eastAsia="ja-JP"/>
        </w:rPr>
        <w:t>medical</w:t>
      </w:r>
      <w:r w:rsidR="000159A6">
        <w:rPr>
          <w:lang w:eastAsia="ja-JP"/>
        </w:rPr>
        <w:t xml:space="preserve"> </w:t>
      </w:r>
      <w:r>
        <w:rPr>
          <w:lang w:eastAsia="ja-JP"/>
        </w:rPr>
        <w:t>history</w:t>
      </w:r>
      <w:r w:rsidR="000159A6">
        <w:rPr>
          <w:lang w:eastAsia="ja-JP"/>
        </w:rPr>
        <w:t xml:space="preserve"> </w:t>
      </w:r>
      <w:r>
        <w:rPr>
          <w:lang w:eastAsia="ja-JP"/>
        </w:rPr>
        <w:t>was</w:t>
      </w:r>
      <w:r w:rsidR="000159A6">
        <w:rPr>
          <w:lang w:eastAsia="ja-JP"/>
        </w:rPr>
        <w:t xml:space="preserve"> </w:t>
      </w:r>
      <w:r>
        <w:rPr>
          <w:lang w:eastAsia="ja-JP"/>
        </w:rPr>
        <w:t>not</w:t>
      </w:r>
      <w:r w:rsidR="000159A6">
        <w:rPr>
          <w:lang w:eastAsia="ja-JP"/>
        </w:rPr>
        <w:t xml:space="preserve"> </w:t>
      </w:r>
      <w:r>
        <w:rPr>
          <w:lang w:eastAsia="ja-JP"/>
        </w:rPr>
        <w:t>discussed</w:t>
      </w:r>
      <w:r w:rsidR="000159A6">
        <w:rPr>
          <w:lang w:eastAsia="ja-JP"/>
        </w:rPr>
        <w:t xml:space="preserve"> </w:t>
      </w:r>
      <w:r>
        <w:rPr>
          <w:lang w:eastAsia="ja-JP"/>
        </w:rPr>
        <w:t>and,</w:t>
      </w:r>
      <w:r w:rsidR="000159A6">
        <w:rPr>
          <w:lang w:eastAsia="ja-JP"/>
        </w:rPr>
        <w:t xml:space="preserve"> </w:t>
      </w:r>
      <w:r>
        <w:rPr>
          <w:lang w:eastAsia="ja-JP"/>
        </w:rPr>
        <w:t>while</w:t>
      </w:r>
      <w:r w:rsidR="000159A6">
        <w:rPr>
          <w:lang w:eastAsia="ja-JP"/>
        </w:rPr>
        <w:t xml:space="preserve"> </w:t>
      </w:r>
      <w:r>
        <w:rPr>
          <w:lang w:eastAsia="ja-JP"/>
        </w:rPr>
        <w:t>subjects</w:t>
      </w:r>
      <w:r w:rsidR="000159A6">
        <w:rPr>
          <w:lang w:eastAsia="ja-JP"/>
        </w:rPr>
        <w:t xml:space="preserve"> </w:t>
      </w:r>
      <w:r>
        <w:rPr>
          <w:lang w:eastAsia="ja-JP"/>
        </w:rPr>
        <w:t>with</w:t>
      </w:r>
      <w:r w:rsidR="000159A6">
        <w:rPr>
          <w:lang w:eastAsia="ja-JP"/>
        </w:rPr>
        <w:t xml:space="preserve"> </w:t>
      </w:r>
      <w:r>
        <w:rPr>
          <w:lang w:eastAsia="ja-JP"/>
        </w:rPr>
        <w:t>immunosuppression</w:t>
      </w:r>
      <w:r w:rsidR="000159A6">
        <w:rPr>
          <w:lang w:eastAsia="ja-JP"/>
        </w:rPr>
        <w:t xml:space="preserve"> </w:t>
      </w:r>
      <w:r>
        <w:rPr>
          <w:lang w:eastAsia="ja-JP"/>
        </w:rPr>
        <w:t>were</w:t>
      </w:r>
      <w:r w:rsidR="000159A6">
        <w:rPr>
          <w:lang w:eastAsia="ja-JP"/>
        </w:rPr>
        <w:t xml:space="preserve"> </w:t>
      </w:r>
      <w:r>
        <w:rPr>
          <w:lang w:eastAsia="ja-JP"/>
        </w:rPr>
        <w:t>excluded,</w:t>
      </w:r>
      <w:r w:rsidR="000159A6">
        <w:rPr>
          <w:lang w:eastAsia="ja-JP"/>
        </w:rPr>
        <w:t xml:space="preserve"> </w:t>
      </w:r>
      <w:r>
        <w:rPr>
          <w:lang w:eastAsia="ja-JP"/>
        </w:rPr>
        <w:t>the</w:t>
      </w:r>
      <w:r w:rsidR="000159A6">
        <w:rPr>
          <w:lang w:eastAsia="ja-JP"/>
        </w:rPr>
        <w:t xml:space="preserve"> </w:t>
      </w:r>
      <w:r w:rsidRPr="00192724">
        <w:rPr>
          <w:lang w:eastAsia="ja-JP"/>
        </w:rPr>
        <w:t>safety</w:t>
      </w:r>
      <w:r w:rsidR="000159A6">
        <w:rPr>
          <w:lang w:eastAsia="ja-JP"/>
        </w:rPr>
        <w:t xml:space="preserve"> </w:t>
      </w:r>
      <w:r w:rsidRPr="00192724">
        <w:rPr>
          <w:lang w:eastAsia="ja-JP"/>
        </w:rPr>
        <w:t>in</w:t>
      </w:r>
      <w:r w:rsidR="000159A6">
        <w:rPr>
          <w:lang w:eastAsia="ja-JP"/>
        </w:rPr>
        <w:t xml:space="preserve"> </w:t>
      </w:r>
      <w:r w:rsidRPr="00192724">
        <w:rPr>
          <w:lang w:eastAsia="ja-JP"/>
        </w:rPr>
        <w:t>elderly</w:t>
      </w:r>
      <w:r w:rsidR="000159A6">
        <w:rPr>
          <w:lang w:eastAsia="ja-JP"/>
        </w:rPr>
        <w:t xml:space="preserve"> </w:t>
      </w:r>
      <w:r w:rsidRPr="00192724">
        <w:rPr>
          <w:lang w:eastAsia="ja-JP"/>
        </w:rPr>
        <w:t>patients</w:t>
      </w:r>
      <w:r w:rsidR="000159A6">
        <w:rPr>
          <w:lang w:eastAsia="ja-JP"/>
        </w:rPr>
        <w:t xml:space="preserve"> </w:t>
      </w:r>
      <w:r w:rsidRPr="00192724">
        <w:rPr>
          <w:lang w:eastAsia="ja-JP"/>
        </w:rPr>
        <w:t>with</w:t>
      </w:r>
      <w:r w:rsidR="000159A6">
        <w:rPr>
          <w:lang w:eastAsia="ja-JP"/>
        </w:rPr>
        <w:t xml:space="preserve"> </w:t>
      </w:r>
      <w:r w:rsidRPr="00192724">
        <w:rPr>
          <w:lang w:eastAsia="ja-JP"/>
        </w:rPr>
        <w:t>pre-existing</w:t>
      </w:r>
      <w:r w:rsidR="000159A6">
        <w:rPr>
          <w:lang w:eastAsia="ja-JP"/>
        </w:rPr>
        <w:t xml:space="preserve"> </w:t>
      </w:r>
      <w:r w:rsidRPr="00192724">
        <w:rPr>
          <w:lang w:eastAsia="ja-JP"/>
        </w:rPr>
        <w:t>immune</w:t>
      </w:r>
      <w:r w:rsidR="000159A6">
        <w:rPr>
          <w:lang w:eastAsia="ja-JP"/>
        </w:rPr>
        <w:t xml:space="preserve"> </w:t>
      </w:r>
      <w:r w:rsidRPr="00192724">
        <w:rPr>
          <w:lang w:eastAsia="ja-JP"/>
        </w:rPr>
        <w:t>mediated</w:t>
      </w:r>
      <w:r w:rsidR="000159A6">
        <w:rPr>
          <w:lang w:eastAsia="ja-JP"/>
        </w:rPr>
        <w:t xml:space="preserve"> </w:t>
      </w:r>
      <w:r w:rsidRPr="00192724">
        <w:rPr>
          <w:lang w:eastAsia="ja-JP"/>
        </w:rPr>
        <w:t>disorders</w:t>
      </w:r>
      <w:r w:rsidR="000159A6">
        <w:rPr>
          <w:lang w:eastAsia="ja-JP"/>
        </w:rPr>
        <w:t xml:space="preserve"> </w:t>
      </w:r>
      <w:r>
        <w:rPr>
          <w:lang w:eastAsia="ja-JP"/>
        </w:rPr>
        <w:t>should</w:t>
      </w:r>
      <w:r w:rsidR="000159A6">
        <w:rPr>
          <w:lang w:eastAsia="ja-JP"/>
        </w:rPr>
        <w:t xml:space="preserve"> </w:t>
      </w:r>
      <w:r>
        <w:rPr>
          <w:lang w:eastAsia="ja-JP"/>
        </w:rPr>
        <w:t>be</w:t>
      </w:r>
      <w:r w:rsidR="000159A6">
        <w:rPr>
          <w:lang w:eastAsia="ja-JP"/>
        </w:rPr>
        <w:t xml:space="preserve"> </w:t>
      </w:r>
      <w:r>
        <w:rPr>
          <w:lang w:eastAsia="ja-JP"/>
        </w:rPr>
        <w:t>further</w:t>
      </w:r>
      <w:r w:rsidR="000159A6">
        <w:rPr>
          <w:lang w:eastAsia="ja-JP"/>
        </w:rPr>
        <w:t xml:space="preserve"> </w:t>
      </w:r>
      <w:r>
        <w:rPr>
          <w:lang w:eastAsia="ja-JP"/>
        </w:rPr>
        <w:t>outlined.</w:t>
      </w:r>
    </w:p>
    <w:p w14:paraId="2441561A" w14:textId="5E325B77" w:rsidR="00624EB5" w:rsidRDefault="00624EB5" w:rsidP="00624EB5">
      <w:pPr>
        <w:rPr>
          <w:lang w:eastAsia="ja-JP"/>
        </w:rPr>
      </w:pPr>
      <w:r>
        <w:rPr>
          <w:lang w:eastAsia="ja-JP"/>
        </w:rPr>
        <w:t>There</w:t>
      </w:r>
      <w:r w:rsidR="000159A6">
        <w:rPr>
          <w:lang w:eastAsia="ja-JP"/>
        </w:rPr>
        <w:t xml:space="preserve"> </w:t>
      </w:r>
      <w:r>
        <w:rPr>
          <w:lang w:eastAsia="ja-JP"/>
        </w:rPr>
        <w:t>are</w:t>
      </w:r>
      <w:r w:rsidR="000159A6">
        <w:rPr>
          <w:lang w:eastAsia="ja-JP"/>
        </w:rPr>
        <w:t xml:space="preserve"> </w:t>
      </w:r>
      <w:r>
        <w:rPr>
          <w:lang w:eastAsia="ja-JP"/>
        </w:rPr>
        <w:t>no</w:t>
      </w:r>
      <w:r w:rsidR="000159A6">
        <w:rPr>
          <w:lang w:eastAsia="ja-JP"/>
        </w:rPr>
        <w:t xml:space="preserve"> </w:t>
      </w:r>
      <w:r>
        <w:rPr>
          <w:lang w:eastAsia="ja-JP"/>
        </w:rPr>
        <w:t>data</w:t>
      </w:r>
      <w:r w:rsidR="000159A6">
        <w:rPr>
          <w:lang w:eastAsia="ja-JP"/>
        </w:rPr>
        <w:t xml:space="preserve"> </w:t>
      </w:r>
      <w:r>
        <w:rPr>
          <w:lang w:eastAsia="ja-JP"/>
        </w:rPr>
        <w:t>in</w:t>
      </w:r>
      <w:r w:rsidR="000159A6">
        <w:rPr>
          <w:lang w:eastAsia="ja-JP"/>
        </w:rPr>
        <w:t xml:space="preserve"> </w:t>
      </w:r>
      <w:r>
        <w:rPr>
          <w:lang w:eastAsia="ja-JP"/>
        </w:rPr>
        <w:t>pregnant</w:t>
      </w:r>
      <w:r w:rsidR="000159A6">
        <w:rPr>
          <w:lang w:eastAsia="ja-JP"/>
        </w:rPr>
        <w:t xml:space="preserve"> </w:t>
      </w:r>
      <w:r>
        <w:rPr>
          <w:lang w:eastAsia="ja-JP"/>
        </w:rPr>
        <w:t>or</w:t>
      </w:r>
      <w:r w:rsidR="000159A6">
        <w:rPr>
          <w:lang w:eastAsia="ja-JP"/>
        </w:rPr>
        <w:t xml:space="preserve"> </w:t>
      </w:r>
      <w:r>
        <w:rPr>
          <w:lang w:eastAsia="ja-JP"/>
        </w:rPr>
        <w:t>lactating</w:t>
      </w:r>
      <w:r w:rsidR="000159A6">
        <w:rPr>
          <w:lang w:eastAsia="ja-JP"/>
        </w:rPr>
        <w:t xml:space="preserve"> </w:t>
      </w:r>
      <w:r>
        <w:rPr>
          <w:lang w:eastAsia="ja-JP"/>
        </w:rPr>
        <w:t>women</w:t>
      </w:r>
      <w:r w:rsidR="000159A6">
        <w:rPr>
          <w:lang w:eastAsia="ja-JP"/>
        </w:rPr>
        <w:t xml:space="preserve"> </w:t>
      </w:r>
      <w:r>
        <w:rPr>
          <w:lang w:eastAsia="ja-JP"/>
        </w:rPr>
        <w:t>and</w:t>
      </w:r>
      <w:r w:rsidR="000159A6">
        <w:rPr>
          <w:lang w:eastAsia="ja-JP"/>
        </w:rPr>
        <w:t xml:space="preserve"> </w:t>
      </w:r>
      <w:r>
        <w:rPr>
          <w:lang w:eastAsia="ja-JP"/>
        </w:rPr>
        <w:t>data</w:t>
      </w:r>
      <w:r w:rsidR="000159A6">
        <w:rPr>
          <w:lang w:eastAsia="ja-JP"/>
        </w:rPr>
        <w:t xml:space="preserve"> </w:t>
      </w:r>
      <w:r>
        <w:rPr>
          <w:lang w:eastAsia="ja-JP"/>
        </w:rPr>
        <w:t>in</w:t>
      </w:r>
      <w:r w:rsidR="000159A6">
        <w:rPr>
          <w:lang w:eastAsia="ja-JP"/>
        </w:rPr>
        <w:t xml:space="preserve"> </w:t>
      </w:r>
      <w:r>
        <w:rPr>
          <w:lang w:eastAsia="ja-JP"/>
        </w:rPr>
        <w:t>adults</w:t>
      </w:r>
      <w:r w:rsidR="000159A6">
        <w:rPr>
          <w:lang w:eastAsia="ja-JP"/>
        </w:rPr>
        <w:t xml:space="preserve"> </w:t>
      </w:r>
      <w:r>
        <w:rPr>
          <w:lang w:eastAsia="ja-JP"/>
        </w:rPr>
        <w:t>under</w:t>
      </w:r>
      <w:r w:rsidR="000159A6">
        <w:rPr>
          <w:lang w:eastAsia="ja-JP"/>
        </w:rPr>
        <w:t xml:space="preserve"> </w:t>
      </w:r>
      <w:r>
        <w:rPr>
          <w:lang w:eastAsia="ja-JP"/>
        </w:rPr>
        <w:t>50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are</w:t>
      </w:r>
      <w:r w:rsidR="000159A6">
        <w:rPr>
          <w:lang w:eastAsia="ja-JP"/>
        </w:rPr>
        <w:t xml:space="preserve"> </w:t>
      </w:r>
      <w:r>
        <w:rPr>
          <w:lang w:eastAsia="ja-JP"/>
        </w:rPr>
        <w:t>limited.</w:t>
      </w:r>
      <w:r w:rsidR="000159A6">
        <w:rPr>
          <w:lang w:eastAsia="ja-JP"/>
        </w:rPr>
        <w:t xml:space="preserve"> </w:t>
      </w:r>
      <w:r>
        <w:rPr>
          <w:lang w:eastAsia="ja-JP"/>
        </w:rPr>
        <w:t>There</w:t>
      </w:r>
      <w:r w:rsidR="000159A6">
        <w:rPr>
          <w:lang w:eastAsia="ja-JP"/>
        </w:rPr>
        <w:t xml:space="preserve"> </w:t>
      </w:r>
      <w:r>
        <w:rPr>
          <w:lang w:eastAsia="ja-JP"/>
        </w:rPr>
        <w:t>are</w:t>
      </w:r>
      <w:r w:rsidR="000159A6">
        <w:rPr>
          <w:lang w:eastAsia="ja-JP"/>
        </w:rPr>
        <w:t xml:space="preserve"> </w:t>
      </w:r>
      <w:r>
        <w:rPr>
          <w:lang w:eastAsia="ja-JP"/>
        </w:rPr>
        <w:t>no</w:t>
      </w:r>
      <w:r w:rsidR="000159A6">
        <w:rPr>
          <w:lang w:eastAsia="ja-JP"/>
        </w:rPr>
        <w:t xml:space="preserve"> </w:t>
      </w:r>
      <w:r>
        <w:rPr>
          <w:lang w:eastAsia="ja-JP"/>
        </w:rPr>
        <w:t>data</w:t>
      </w:r>
      <w:r w:rsidR="000159A6">
        <w:rPr>
          <w:lang w:eastAsia="ja-JP"/>
        </w:rPr>
        <w:t xml:space="preserve"> </w:t>
      </w:r>
      <w:r>
        <w:rPr>
          <w:lang w:eastAsia="ja-JP"/>
        </w:rPr>
        <w:t>as</w:t>
      </w:r>
      <w:r w:rsidR="000159A6">
        <w:rPr>
          <w:lang w:eastAsia="ja-JP"/>
        </w:rPr>
        <w:t xml:space="preserve"> </w:t>
      </w:r>
      <w:r>
        <w:rPr>
          <w:lang w:eastAsia="ja-JP"/>
        </w:rPr>
        <w:t>yet</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rPr>
          <w:lang w:eastAsia="ja-JP"/>
        </w:rPr>
        <w:t>need</w:t>
      </w:r>
      <w:r w:rsidR="000159A6">
        <w:rPr>
          <w:lang w:eastAsia="ja-JP"/>
        </w:rPr>
        <w:t xml:space="preserve"> </w:t>
      </w:r>
      <w:r>
        <w:rPr>
          <w:lang w:eastAsia="ja-JP"/>
        </w:rPr>
        <w:t>for</w:t>
      </w:r>
      <w:r w:rsidR="000159A6">
        <w:rPr>
          <w:lang w:eastAsia="ja-JP"/>
        </w:rPr>
        <w:t xml:space="preserve"> </w:t>
      </w:r>
      <w:r>
        <w:rPr>
          <w:lang w:eastAsia="ja-JP"/>
        </w:rPr>
        <w:t>or</w:t>
      </w:r>
      <w:r w:rsidR="000159A6">
        <w:rPr>
          <w:lang w:eastAsia="ja-JP"/>
        </w:rPr>
        <w:t xml:space="preserve"> </w:t>
      </w:r>
      <w:r>
        <w:rPr>
          <w:lang w:eastAsia="ja-JP"/>
        </w:rPr>
        <w:t>safety</w:t>
      </w:r>
      <w:r w:rsidR="000159A6">
        <w:rPr>
          <w:lang w:eastAsia="ja-JP"/>
        </w:rPr>
        <w:t xml:space="preserve"> </w:t>
      </w:r>
      <w:r>
        <w:rPr>
          <w:lang w:eastAsia="ja-JP"/>
        </w:rPr>
        <w:t>of</w:t>
      </w:r>
      <w:r w:rsidR="000159A6">
        <w:rPr>
          <w:lang w:eastAsia="ja-JP"/>
        </w:rPr>
        <w:t xml:space="preserve"> </w:t>
      </w:r>
      <w:r>
        <w:rPr>
          <w:lang w:eastAsia="ja-JP"/>
        </w:rPr>
        <w:t>a</w:t>
      </w:r>
      <w:r w:rsidR="000159A6">
        <w:rPr>
          <w:lang w:eastAsia="ja-JP"/>
        </w:rPr>
        <w:t xml:space="preserve"> </w:t>
      </w:r>
      <w:r>
        <w:rPr>
          <w:lang w:eastAsia="ja-JP"/>
        </w:rPr>
        <w:t>booster</w:t>
      </w:r>
      <w:r w:rsidR="000159A6">
        <w:rPr>
          <w:lang w:eastAsia="ja-JP"/>
        </w:rPr>
        <w:t xml:space="preserve"> </w:t>
      </w:r>
      <w:r>
        <w:rPr>
          <w:lang w:eastAsia="ja-JP"/>
        </w:rPr>
        <w:t>dose</w:t>
      </w:r>
      <w:r w:rsidR="000159A6">
        <w:rPr>
          <w:lang w:eastAsia="ja-JP"/>
        </w:rPr>
        <w:t xml:space="preserve"> </w:t>
      </w:r>
      <w:r>
        <w:rPr>
          <w:lang w:eastAsia="ja-JP"/>
        </w:rPr>
        <w:t>of</w:t>
      </w:r>
      <w:r w:rsidR="000159A6">
        <w:rPr>
          <w:lang w:eastAsia="ja-JP"/>
        </w:rPr>
        <w:t xml:space="preserve"> </w:t>
      </w:r>
      <w:r>
        <w:rPr>
          <w:lang w:eastAsia="ja-JP"/>
        </w:rPr>
        <w:t>vaccine.</w:t>
      </w:r>
    </w:p>
    <w:p w14:paraId="1B22E1CB" w14:textId="5BBD32F6" w:rsidR="00624EB5" w:rsidRDefault="00624EB5" w:rsidP="00541F41">
      <w:pPr>
        <w:rPr>
          <w:lang w:eastAsia="ja-JP"/>
        </w:rPr>
      </w:pPr>
      <w:r w:rsidRPr="00FE7181">
        <w:rPr>
          <w:lang w:eastAsia="ja-JP"/>
        </w:rPr>
        <w:t>HZ/</w:t>
      </w:r>
      <w:proofErr w:type="spellStart"/>
      <w:r w:rsidRPr="00FE7181">
        <w:rPr>
          <w:lang w:eastAsia="ja-JP"/>
        </w:rPr>
        <w:t>su</w:t>
      </w:r>
      <w:proofErr w:type="spellEnd"/>
      <w:r w:rsidR="000159A6">
        <w:rPr>
          <w:lang w:eastAsia="ja-JP"/>
        </w:rPr>
        <w:t xml:space="preserve"> </w:t>
      </w:r>
      <w:r w:rsidRPr="00FE7181">
        <w:rPr>
          <w:lang w:eastAsia="ja-JP"/>
        </w:rPr>
        <w:t>given</w:t>
      </w:r>
      <w:r w:rsidR="000159A6">
        <w:rPr>
          <w:lang w:eastAsia="ja-JP"/>
        </w:rPr>
        <w:t xml:space="preserve"> </w:t>
      </w:r>
      <w:r w:rsidRPr="00FE7181">
        <w:rPr>
          <w:lang w:eastAsia="ja-JP"/>
        </w:rPr>
        <w:t>with</w:t>
      </w:r>
      <w:r w:rsidR="000159A6">
        <w:rPr>
          <w:lang w:eastAsia="ja-JP"/>
        </w:rPr>
        <w:t xml:space="preserve"> </w:t>
      </w:r>
      <w:proofErr w:type="spellStart"/>
      <w:r w:rsidRPr="00FE7181">
        <w:rPr>
          <w:lang w:eastAsia="ja-JP"/>
        </w:rPr>
        <w:t>quadrivalent</w:t>
      </w:r>
      <w:proofErr w:type="spellEnd"/>
      <w:r w:rsidR="000159A6">
        <w:rPr>
          <w:lang w:eastAsia="ja-JP"/>
        </w:rPr>
        <w:t xml:space="preserve"> </w:t>
      </w:r>
      <w:r>
        <w:rPr>
          <w:lang w:eastAsia="ja-JP"/>
        </w:rPr>
        <w:t>seasonal</w:t>
      </w:r>
      <w:r w:rsidR="000159A6">
        <w:rPr>
          <w:lang w:eastAsia="ja-JP"/>
        </w:rPr>
        <w:t xml:space="preserve"> </w:t>
      </w:r>
      <w:r w:rsidRPr="00FE7181">
        <w:rPr>
          <w:lang w:eastAsia="ja-JP"/>
        </w:rPr>
        <w:t>influenza</w:t>
      </w:r>
      <w:r w:rsidR="000159A6">
        <w:rPr>
          <w:lang w:eastAsia="ja-JP"/>
        </w:rPr>
        <w:t xml:space="preserve"> </w:t>
      </w:r>
      <w:r w:rsidRPr="00FE7181">
        <w:rPr>
          <w:lang w:eastAsia="ja-JP"/>
        </w:rPr>
        <w:t>vaccine</w:t>
      </w:r>
      <w:r w:rsidR="000159A6">
        <w:rPr>
          <w:lang w:eastAsia="ja-JP"/>
        </w:rPr>
        <w:t xml:space="preserve"> </w:t>
      </w:r>
      <w:r w:rsidRPr="00FE7181">
        <w:rPr>
          <w:lang w:eastAsia="ja-JP"/>
        </w:rPr>
        <w:t>increased</w:t>
      </w:r>
      <w:r w:rsidR="000159A6">
        <w:rPr>
          <w:lang w:eastAsia="ja-JP"/>
        </w:rPr>
        <w:t xml:space="preserve"> </w:t>
      </w:r>
      <w:r w:rsidRPr="00FE7181">
        <w:rPr>
          <w:lang w:eastAsia="ja-JP"/>
        </w:rPr>
        <w:t>local</w:t>
      </w:r>
      <w:r w:rsidR="000159A6">
        <w:rPr>
          <w:lang w:eastAsia="ja-JP"/>
        </w:rPr>
        <w:t xml:space="preserve"> </w:t>
      </w:r>
      <w:r w:rsidRPr="00FE7181">
        <w:rPr>
          <w:lang w:eastAsia="ja-JP"/>
        </w:rPr>
        <w:t>and</w:t>
      </w:r>
      <w:r w:rsidR="000159A6">
        <w:rPr>
          <w:lang w:eastAsia="ja-JP"/>
        </w:rPr>
        <w:t xml:space="preserve"> </w:t>
      </w:r>
      <w:r w:rsidRPr="00FE7181">
        <w:rPr>
          <w:lang w:eastAsia="ja-JP"/>
        </w:rPr>
        <w:t>general</w:t>
      </w:r>
      <w:r w:rsidR="000159A6">
        <w:rPr>
          <w:lang w:eastAsia="ja-JP"/>
        </w:rPr>
        <w:t xml:space="preserve"> </w:t>
      </w:r>
      <w:r w:rsidRPr="00FE7181">
        <w:rPr>
          <w:lang w:eastAsia="ja-JP"/>
        </w:rPr>
        <w:t>solicited</w:t>
      </w:r>
      <w:r w:rsidR="000159A6">
        <w:rPr>
          <w:lang w:eastAsia="ja-JP"/>
        </w:rPr>
        <w:t xml:space="preserve"> </w:t>
      </w:r>
      <w:r w:rsidRPr="00FE7181">
        <w:rPr>
          <w:lang w:eastAsia="ja-JP"/>
        </w:rPr>
        <w:t>symptom</w:t>
      </w:r>
      <w:r w:rsidR="000159A6">
        <w:rPr>
          <w:lang w:eastAsia="ja-JP"/>
        </w:rPr>
        <w:t xml:space="preserve"> </w:t>
      </w:r>
      <w:r w:rsidRPr="00FE7181">
        <w:rPr>
          <w:lang w:eastAsia="ja-JP"/>
        </w:rPr>
        <w:t>rates</w:t>
      </w:r>
      <w:r w:rsidR="000159A6">
        <w:rPr>
          <w:lang w:eastAsia="ja-JP"/>
        </w:rPr>
        <w:t xml:space="preserve"> </w:t>
      </w:r>
      <w:r>
        <w:rPr>
          <w:lang w:eastAsia="ja-JP"/>
        </w:rPr>
        <w:t>and</w:t>
      </w:r>
      <w:r w:rsidR="000159A6">
        <w:rPr>
          <w:lang w:eastAsia="ja-JP"/>
        </w:rPr>
        <w:t xml:space="preserve"> </w:t>
      </w:r>
      <w:r>
        <w:rPr>
          <w:lang w:eastAsia="ja-JP"/>
        </w:rPr>
        <w:t>it</w:t>
      </w:r>
      <w:r w:rsidR="000159A6">
        <w:rPr>
          <w:lang w:eastAsia="ja-JP"/>
        </w:rPr>
        <w:t xml:space="preserve"> </w:t>
      </w:r>
      <w:r>
        <w:rPr>
          <w:lang w:eastAsia="ja-JP"/>
        </w:rPr>
        <w:t>is</w:t>
      </w:r>
      <w:r w:rsidR="000159A6">
        <w:rPr>
          <w:lang w:eastAsia="ja-JP"/>
        </w:rPr>
        <w:t xml:space="preserve"> </w:t>
      </w:r>
      <w:r>
        <w:rPr>
          <w:lang w:eastAsia="ja-JP"/>
        </w:rPr>
        <w:t>recommended</w:t>
      </w:r>
      <w:r w:rsidR="000159A6">
        <w:rPr>
          <w:lang w:eastAsia="ja-JP"/>
        </w:rPr>
        <w:t xml:space="preserve"> </w:t>
      </w:r>
      <w:r>
        <w:rPr>
          <w:lang w:eastAsia="ja-JP"/>
        </w:rPr>
        <w:t>that</w:t>
      </w:r>
      <w:r w:rsidR="000159A6">
        <w:rPr>
          <w:lang w:eastAsia="ja-JP"/>
        </w:rPr>
        <w:t xml:space="preserve"> </w:t>
      </w:r>
      <w:r>
        <w:rPr>
          <w:lang w:eastAsia="ja-JP"/>
        </w:rPr>
        <w:t>this</w:t>
      </w:r>
      <w:r w:rsidR="000159A6">
        <w:rPr>
          <w:lang w:eastAsia="ja-JP"/>
        </w:rPr>
        <w:t xml:space="preserve"> </w:t>
      </w:r>
      <w:r>
        <w:rPr>
          <w:lang w:eastAsia="ja-JP"/>
        </w:rPr>
        <w:t>is</w:t>
      </w:r>
      <w:r w:rsidR="000159A6">
        <w:rPr>
          <w:lang w:eastAsia="ja-JP"/>
        </w:rPr>
        <w:t xml:space="preserve"> </w:t>
      </w:r>
      <w:r>
        <w:rPr>
          <w:lang w:eastAsia="ja-JP"/>
        </w:rPr>
        <w:t>noted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PI.</w:t>
      </w:r>
    </w:p>
    <w:p w14:paraId="7BA1521C" w14:textId="1CF73A4C" w:rsidR="00624EB5" w:rsidRPr="00624EB5" w:rsidRDefault="00624EB5" w:rsidP="00624EB5">
      <w:pPr>
        <w:rPr>
          <w:lang w:eastAsia="ja-JP"/>
        </w:rPr>
      </w:pPr>
      <w:r>
        <w:rPr>
          <w:lang w:eastAsia="ja-JP"/>
        </w:rPr>
        <w:t>Subcutaneous</w:t>
      </w:r>
      <w:r w:rsidR="000159A6">
        <w:rPr>
          <w:lang w:eastAsia="ja-JP"/>
        </w:rPr>
        <w:t xml:space="preserve"> </w:t>
      </w:r>
      <w:r>
        <w:rPr>
          <w:lang w:eastAsia="ja-JP"/>
        </w:rPr>
        <w:t>vaccination</w:t>
      </w:r>
      <w:r w:rsidR="000159A6">
        <w:rPr>
          <w:lang w:eastAsia="ja-JP"/>
        </w:rPr>
        <w:t xml:space="preserve"> </w:t>
      </w:r>
      <w:r>
        <w:rPr>
          <w:lang w:eastAsia="ja-JP"/>
        </w:rPr>
        <w:t>leads</w:t>
      </w:r>
      <w:r w:rsidR="000159A6">
        <w:rPr>
          <w:lang w:eastAsia="ja-JP"/>
        </w:rPr>
        <w:t xml:space="preserve"> </w:t>
      </w:r>
      <w:r>
        <w:rPr>
          <w:lang w:eastAsia="ja-JP"/>
        </w:rPr>
        <w:t>to</w:t>
      </w:r>
      <w:r w:rsidR="000159A6">
        <w:rPr>
          <w:lang w:eastAsia="ja-JP"/>
        </w:rPr>
        <w:t xml:space="preserve"> </w:t>
      </w:r>
      <w:r>
        <w:rPr>
          <w:lang w:eastAsia="ja-JP"/>
        </w:rPr>
        <w:t>an</w:t>
      </w:r>
      <w:r w:rsidR="000159A6">
        <w:rPr>
          <w:lang w:eastAsia="ja-JP"/>
        </w:rPr>
        <w:t xml:space="preserve"> </w:t>
      </w:r>
      <w:r>
        <w:rPr>
          <w:lang w:eastAsia="ja-JP"/>
        </w:rPr>
        <w:t>increased</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r>
        <w:rPr>
          <w:lang w:eastAsia="ja-JP"/>
        </w:rPr>
        <w:t>local</w:t>
      </w:r>
      <w:r w:rsidR="000159A6">
        <w:rPr>
          <w:lang w:eastAsia="ja-JP"/>
        </w:rPr>
        <w:t xml:space="preserve"> </w:t>
      </w:r>
      <w:r>
        <w:rPr>
          <w:lang w:eastAsia="ja-JP"/>
        </w:rPr>
        <w:t>reactions</w:t>
      </w:r>
      <w:r w:rsidR="000159A6">
        <w:rPr>
          <w:lang w:eastAsia="ja-JP"/>
        </w:rPr>
        <w:t xml:space="preserve"> </w:t>
      </w:r>
      <w:r>
        <w:rPr>
          <w:lang w:eastAsia="ja-JP"/>
        </w:rPr>
        <w:t>and</w:t>
      </w:r>
      <w:r w:rsidR="000159A6">
        <w:rPr>
          <w:lang w:eastAsia="ja-JP"/>
        </w:rPr>
        <w:t xml:space="preserve"> </w:t>
      </w:r>
      <w:r>
        <w:rPr>
          <w:lang w:eastAsia="ja-JP"/>
        </w:rPr>
        <w:t>should</w:t>
      </w:r>
      <w:r w:rsidR="000159A6">
        <w:rPr>
          <w:lang w:eastAsia="ja-JP"/>
        </w:rPr>
        <w:t xml:space="preserve"> </w:t>
      </w:r>
      <w:r>
        <w:rPr>
          <w:lang w:eastAsia="ja-JP"/>
        </w:rPr>
        <w:t>not</w:t>
      </w:r>
      <w:r w:rsidR="000159A6">
        <w:rPr>
          <w:lang w:eastAsia="ja-JP"/>
        </w:rPr>
        <w:t xml:space="preserve"> </w:t>
      </w:r>
      <w:r>
        <w:rPr>
          <w:lang w:eastAsia="ja-JP"/>
        </w:rPr>
        <w:t>be</w:t>
      </w:r>
      <w:r w:rsidR="000159A6">
        <w:rPr>
          <w:lang w:eastAsia="ja-JP"/>
        </w:rPr>
        <w:t xml:space="preserve"> </w:t>
      </w:r>
      <w:r>
        <w:rPr>
          <w:lang w:eastAsia="ja-JP"/>
        </w:rPr>
        <w:t>undertaken.</w:t>
      </w:r>
    </w:p>
    <w:p w14:paraId="1CA9B510" w14:textId="690197EF" w:rsidR="00605AD4" w:rsidRPr="00C95B23" w:rsidRDefault="00605AD4" w:rsidP="00541F41">
      <w:pPr>
        <w:pStyle w:val="Heading3"/>
        <w:rPr>
          <w:rFonts w:eastAsia="Cambria"/>
        </w:rPr>
      </w:pPr>
      <w:bookmarkStart w:id="196" w:name="_Toc1049818"/>
      <w:r w:rsidRPr="00C95B23">
        <w:rPr>
          <w:rFonts w:eastAsia="Cambria"/>
        </w:rPr>
        <w:lastRenderedPageBreak/>
        <w:t>First</w:t>
      </w:r>
      <w:r w:rsidR="000159A6" w:rsidRPr="00C95B23">
        <w:rPr>
          <w:rFonts w:eastAsia="Cambria"/>
        </w:rPr>
        <w:t xml:space="preserve"> </w:t>
      </w:r>
      <w:r w:rsidR="00541F41">
        <w:rPr>
          <w:rFonts w:eastAsia="Cambria"/>
        </w:rPr>
        <w:t>r</w:t>
      </w:r>
      <w:r w:rsidRPr="00C95B23">
        <w:rPr>
          <w:rFonts w:eastAsia="Cambria"/>
        </w:rPr>
        <w:t>ound</w:t>
      </w:r>
      <w:r w:rsidR="000159A6" w:rsidRPr="00C95B23">
        <w:rPr>
          <w:rFonts w:eastAsia="Cambria"/>
        </w:rPr>
        <w:t xml:space="preserve"> </w:t>
      </w:r>
      <w:r w:rsidR="00541F41">
        <w:rPr>
          <w:rFonts w:eastAsia="Cambria"/>
        </w:rPr>
        <w:t>b</w:t>
      </w:r>
      <w:r w:rsidRPr="00C95B23">
        <w:rPr>
          <w:rFonts w:eastAsia="Cambria"/>
        </w:rPr>
        <w:t>enefit-</w:t>
      </w:r>
      <w:r w:rsidR="00541F41">
        <w:rPr>
          <w:rFonts w:eastAsia="Cambria"/>
        </w:rPr>
        <w:t>r</w:t>
      </w:r>
      <w:r w:rsidRPr="00C95B23">
        <w:rPr>
          <w:rFonts w:eastAsia="Cambria"/>
        </w:rPr>
        <w:t>isk</w:t>
      </w:r>
      <w:r w:rsidR="000159A6" w:rsidRPr="00C95B23">
        <w:rPr>
          <w:rFonts w:eastAsia="Cambria"/>
        </w:rPr>
        <w:t xml:space="preserve"> </w:t>
      </w:r>
      <w:r w:rsidR="00541F41" w:rsidRPr="00541F41">
        <w:rPr>
          <w:rFonts w:eastAsia="Cambria"/>
        </w:rPr>
        <w:t>a</w:t>
      </w:r>
      <w:r w:rsidRPr="00541F41">
        <w:rPr>
          <w:rFonts w:eastAsia="Cambria"/>
        </w:rPr>
        <w:t>ssessment</w:t>
      </w:r>
      <w:bookmarkEnd w:id="196"/>
    </w:p>
    <w:p w14:paraId="1BB846AA" w14:textId="312FBE09" w:rsidR="005C0A6F" w:rsidRPr="00C95B23" w:rsidRDefault="00605AD4" w:rsidP="00541F41">
      <w:pPr>
        <w:pStyle w:val="Heading4"/>
      </w:pPr>
      <w:r w:rsidRPr="00C95B23">
        <w:t>First</w:t>
      </w:r>
      <w:r w:rsidR="000159A6" w:rsidRPr="00C95B23">
        <w:t xml:space="preserve"> </w:t>
      </w:r>
      <w:r w:rsidRPr="00C95B23">
        <w:t>round</w:t>
      </w:r>
      <w:r w:rsidR="000159A6" w:rsidRPr="00C95B23">
        <w:t xml:space="preserve"> </w:t>
      </w:r>
      <w:r w:rsidRPr="00541F41">
        <w:t>assessment</w:t>
      </w:r>
      <w:r w:rsidR="000159A6" w:rsidRPr="00C95B23">
        <w:t xml:space="preserve"> </w:t>
      </w:r>
      <w:r w:rsidRPr="00C95B23">
        <w:t>of</w:t>
      </w:r>
      <w:r w:rsidR="000159A6" w:rsidRPr="00C95B23">
        <w:t xml:space="preserve"> </w:t>
      </w:r>
      <w:r w:rsidRPr="00C95B23">
        <w:t>benefits</w:t>
      </w:r>
    </w:p>
    <w:p w14:paraId="324B7193" w14:textId="1613277F" w:rsidR="003E540C" w:rsidRPr="003E540C" w:rsidRDefault="003E540C" w:rsidP="00541F41">
      <w:r>
        <w:t>Table</w:t>
      </w:r>
      <w:r w:rsidR="000159A6">
        <w:t xml:space="preserve"> </w:t>
      </w:r>
      <w:r>
        <w:t>6,</w:t>
      </w:r>
      <w:r w:rsidR="000159A6">
        <w:t xml:space="preserve"> </w:t>
      </w:r>
      <w:r>
        <w:t>shown</w:t>
      </w:r>
      <w:r w:rsidR="000159A6">
        <w:t xml:space="preserve"> </w:t>
      </w:r>
      <w:r>
        <w:t>below,</w:t>
      </w:r>
      <w:r w:rsidR="000159A6">
        <w:t xml:space="preserve"> </w:t>
      </w:r>
      <w:r>
        <w:t>summarises</w:t>
      </w:r>
      <w:r w:rsidR="000159A6">
        <w:t xml:space="preserve"> </w:t>
      </w:r>
      <w:r>
        <w:t>the</w:t>
      </w:r>
      <w:r w:rsidR="000159A6">
        <w:t xml:space="preserve"> </w:t>
      </w:r>
      <w:r>
        <w:t>benefits</w:t>
      </w:r>
      <w:r w:rsidR="000159A6">
        <w:t xml:space="preserve"> </w:t>
      </w:r>
      <w:r>
        <w:t>of</w:t>
      </w:r>
      <w:r w:rsidR="000159A6">
        <w:t xml:space="preserve"> </w:t>
      </w:r>
      <w:r>
        <w:t>Shingrix</w:t>
      </w:r>
      <w:r w:rsidR="000159A6">
        <w:t xml:space="preserve"> </w:t>
      </w:r>
      <w:r>
        <w:t>r</w:t>
      </w:r>
      <w:r w:rsidRPr="00C049B7">
        <w:t>ecombinant</w:t>
      </w:r>
      <w:r w:rsidR="000159A6">
        <w:t xml:space="preserve"> </w:t>
      </w:r>
      <w:r>
        <w:t>v</w:t>
      </w:r>
      <w:r w:rsidRPr="00C049B7">
        <w:t>aricella</w:t>
      </w:r>
      <w:r w:rsidR="000159A6">
        <w:t xml:space="preserve"> </w:t>
      </w:r>
      <w:r>
        <w:t>z</w:t>
      </w:r>
      <w:r w:rsidRPr="00C049B7">
        <w:t>oster</w:t>
      </w:r>
      <w:r w:rsidR="000159A6">
        <w:t xml:space="preserve"> </w:t>
      </w:r>
      <w:r>
        <w:t>v</w:t>
      </w:r>
      <w:r w:rsidRPr="00C049B7">
        <w:t>irus</w:t>
      </w:r>
      <w:r w:rsidR="000159A6">
        <w:t xml:space="preserve"> </w:t>
      </w:r>
      <w:r w:rsidRPr="00C049B7">
        <w:t>glycoprotein</w:t>
      </w:r>
      <w:r w:rsidR="000159A6">
        <w:t xml:space="preserve"> </w:t>
      </w:r>
      <w:r w:rsidRPr="00C049B7">
        <w:t>E</w:t>
      </w:r>
      <w:r w:rsidR="000159A6">
        <w:t xml:space="preserve"> </w:t>
      </w:r>
      <w:r w:rsidRPr="00C049B7">
        <w:t>antigen</w:t>
      </w:r>
      <w:r w:rsidR="000159A6">
        <w:t xml:space="preserve"> </w:t>
      </w:r>
      <w:r>
        <w:t>(vaccine)</w:t>
      </w:r>
      <w:r w:rsidR="000159A6">
        <w:t xml:space="preserve"> </w:t>
      </w:r>
      <w:r>
        <w:t>for</w:t>
      </w:r>
      <w:r w:rsidR="000159A6">
        <w:t xml:space="preserve"> </w:t>
      </w:r>
      <w:r>
        <w:t>the</w:t>
      </w:r>
      <w:r w:rsidR="000159A6">
        <w:t xml:space="preserve"> </w:t>
      </w:r>
      <w:r>
        <w:t>proposed</w:t>
      </w:r>
      <w:r w:rsidR="000159A6">
        <w:t xml:space="preserve"> </w:t>
      </w:r>
      <w:r>
        <w:t>usage,</w:t>
      </w:r>
      <w:r w:rsidR="000159A6">
        <w:t xml:space="preserve"> </w:t>
      </w:r>
      <w:r>
        <w:t>as</w:t>
      </w:r>
      <w:r w:rsidR="000159A6">
        <w:t xml:space="preserve"> </w:t>
      </w:r>
      <w:r>
        <w:t>evaluated</w:t>
      </w:r>
      <w:r w:rsidR="000159A6">
        <w:t xml:space="preserve"> </w:t>
      </w:r>
      <w:r>
        <w:t>at</w:t>
      </w:r>
      <w:r w:rsidR="000159A6">
        <w:t xml:space="preserve"> </w:t>
      </w:r>
      <w:r>
        <w:t>the</w:t>
      </w:r>
      <w:r w:rsidR="000159A6">
        <w:t xml:space="preserve"> </w:t>
      </w:r>
      <w:r>
        <w:t>first</w:t>
      </w:r>
      <w:r w:rsidR="000159A6">
        <w:t xml:space="preserve"> </w:t>
      </w:r>
      <w:r>
        <w:t>round.</w:t>
      </w:r>
    </w:p>
    <w:p w14:paraId="0A4050E7" w14:textId="44053F02" w:rsidR="00624EB5" w:rsidRPr="00C95B23" w:rsidRDefault="0012170B" w:rsidP="00541F41">
      <w:pPr>
        <w:pStyle w:val="Tabletitle0"/>
      </w:pPr>
      <w:r w:rsidRPr="00C95B23">
        <w:t>Table</w:t>
      </w:r>
      <w:r w:rsidR="000159A6" w:rsidRPr="00C95B23">
        <w:t xml:space="preserve"> </w:t>
      </w:r>
      <w:r w:rsidRPr="00C95B23">
        <w:t>6</w:t>
      </w:r>
      <w:r w:rsidR="00624EB5" w:rsidRPr="00C95B23">
        <w:t>:</w:t>
      </w:r>
      <w:r w:rsidR="000159A6" w:rsidRPr="00C95B23">
        <w:t xml:space="preserve"> </w:t>
      </w:r>
      <w:r w:rsidR="00624EB5" w:rsidRPr="00C95B23">
        <w:t>First</w:t>
      </w:r>
      <w:r w:rsidR="000159A6" w:rsidRPr="00C95B23">
        <w:t xml:space="preserve"> </w:t>
      </w:r>
      <w:r w:rsidR="00624EB5" w:rsidRPr="00C95B23">
        <w:t>round</w:t>
      </w:r>
      <w:r w:rsidR="000159A6" w:rsidRPr="00C95B23">
        <w:t xml:space="preserve"> </w:t>
      </w:r>
      <w:r w:rsidR="00624EB5" w:rsidRPr="00541F41">
        <w:t>assessment</w:t>
      </w:r>
      <w:r w:rsidR="000159A6" w:rsidRPr="00C95B23">
        <w:t xml:space="preserve"> </w:t>
      </w:r>
      <w:r w:rsidR="00624EB5" w:rsidRPr="00C95B23">
        <w:t>of</w:t>
      </w:r>
      <w:r w:rsidR="000159A6" w:rsidRPr="00C95B23">
        <w:t xml:space="preserve"> </w:t>
      </w:r>
      <w:r w:rsidR="00624EB5" w:rsidRPr="00C95B23">
        <w:t>benefits</w:t>
      </w:r>
    </w:p>
    <w:tbl>
      <w:tblPr>
        <w:tblStyle w:val="TableTGAblue"/>
        <w:tblW w:w="0" w:type="auto"/>
        <w:tblLook w:val="04A0" w:firstRow="1" w:lastRow="0" w:firstColumn="1" w:lastColumn="0" w:noHBand="0" w:noVBand="1"/>
        <w:tblDescription w:val="Table 6: First round assessment of benefits"/>
      </w:tblPr>
      <w:tblGrid>
        <w:gridCol w:w="4072"/>
        <w:gridCol w:w="4648"/>
      </w:tblGrid>
      <w:tr w:rsidR="00624EB5" w:rsidRPr="00C37A1D" w14:paraId="733ED2BA" w14:textId="77777777" w:rsidTr="003421E8">
        <w:trPr>
          <w:cnfStyle w:val="100000000000" w:firstRow="1" w:lastRow="0" w:firstColumn="0" w:lastColumn="0" w:oddVBand="0" w:evenVBand="0" w:oddHBand="0" w:evenHBand="0" w:firstRowFirstColumn="0" w:firstRowLastColumn="0" w:lastRowFirstColumn="0" w:lastRowLastColumn="0"/>
        </w:trPr>
        <w:tc>
          <w:tcPr>
            <w:tcW w:w="4111" w:type="dxa"/>
          </w:tcPr>
          <w:p w14:paraId="3BA5F499" w14:textId="77777777" w:rsidR="00624EB5" w:rsidRPr="00C049B7" w:rsidRDefault="00624EB5" w:rsidP="00541F41">
            <w:r w:rsidRPr="003E540C">
              <w:t>Benefits</w:t>
            </w:r>
          </w:p>
        </w:tc>
        <w:tc>
          <w:tcPr>
            <w:tcW w:w="4678" w:type="dxa"/>
          </w:tcPr>
          <w:p w14:paraId="591B0B5B" w14:textId="3C490AF4" w:rsidR="00624EB5" w:rsidRPr="00C049B7" w:rsidRDefault="00624EB5" w:rsidP="00541F41">
            <w:r w:rsidRPr="003E540C">
              <w:t>Strengths</w:t>
            </w:r>
            <w:r w:rsidR="000159A6">
              <w:t xml:space="preserve"> </w:t>
            </w:r>
            <w:r w:rsidRPr="003E540C">
              <w:t>and</w:t>
            </w:r>
            <w:r w:rsidR="000159A6">
              <w:t xml:space="preserve"> </w:t>
            </w:r>
            <w:r w:rsidRPr="003E540C">
              <w:t>Uncertainties</w:t>
            </w:r>
          </w:p>
        </w:tc>
      </w:tr>
      <w:tr w:rsidR="00624EB5" w:rsidRPr="00C37A1D" w14:paraId="7960E411" w14:textId="77777777" w:rsidTr="003421E8">
        <w:tc>
          <w:tcPr>
            <w:tcW w:w="4111" w:type="dxa"/>
          </w:tcPr>
          <w:p w14:paraId="6FDA2ECB" w14:textId="52CDE90B" w:rsidR="0037169B" w:rsidRDefault="00624EB5" w:rsidP="00541F41">
            <w:pPr>
              <w:rPr>
                <w:rFonts w:asciiTheme="minorHAnsi" w:hAnsiTheme="minorHAnsi" w:cstheme="minorHAnsi"/>
              </w:rPr>
            </w:pPr>
            <w:r>
              <w:rPr>
                <w:rFonts w:asciiTheme="minorHAnsi" w:hAnsiTheme="minorHAnsi" w:cstheme="minorHAnsi"/>
              </w:rPr>
              <w:t>High</w:t>
            </w:r>
            <w:r w:rsidR="000159A6">
              <w:rPr>
                <w:rFonts w:asciiTheme="minorHAnsi" w:hAnsiTheme="minorHAnsi" w:cstheme="minorHAnsi"/>
              </w:rPr>
              <w:t xml:space="preserve"> </w:t>
            </w:r>
            <w:r>
              <w:rPr>
                <w:rFonts w:asciiTheme="minorHAnsi" w:hAnsiTheme="minorHAnsi" w:cstheme="minorHAnsi"/>
              </w:rPr>
              <w:t>efficac</w:t>
            </w:r>
            <w:r w:rsidR="0037169B">
              <w:rPr>
                <w:rFonts w:asciiTheme="minorHAnsi" w:hAnsiTheme="minorHAnsi" w:cstheme="minorHAnsi"/>
              </w:rPr>
              <w:t>y</w:t>
            </w:r>
            <w:r w:rsidR="000159A6">
              <w:rPr>
                <w:rFonts w:asciiTheme="minorHAnsi" w:hAnsiTheme="minorHAnsi" w:cstheme="minorHAnsi"/>
              </w:rPr>
              <w:t xml:space="preserve"> </w:t>
            </w:r>
            <w:r w:rsidR="0037169B">
              <w:rPr>
                <w:rFonts w:asciiTheme="minorHAnsi" w:hAnsiTheme="minorHAnsi" w:cstheme="minorHAnsi"/>
              </w:rPr>
              <w:t>against</w:t>
            </w:r>
            <w:r w:rsidR="000159A6">
              <w:rPr>
                <w:rFonts w:asciiTheme="minorHAnsi" w:hAnsiTheme="minorHAnsi" w:cstheme="minorHAnsi"/>
              </w:rPr>
              <w:t xml:space="preserve"> </w:t>
            </w:r>
            <w:r w:rsidR="0037169B">
              <w:rPr>
                <w:rFonts w:asciiTheme="minorHAnsi" w:hAnsiTheme="minorHAnsi" w:cstheme="minorHAnsi"/>
              </w:rPr>
              <w:t>HZ</w:t>
            </w:r>
            <w:r w:rsidR="000159A6">
              <w:rPr>
                <w:rFonts w:asciiTheme="minorHAnsi" w:hAnsiTheme="minorHAnsi" w:cstheme="minorHAnsi"/>
              </w:rPr>
              <w:t xml:space="preserve"> </w:t>
            </w:r>
            <w:r w:rsidR="0037169B">
              <w:rPr>
                <w:rFonts w:asciiTheme="minorHAnsi" w:hAnsiTheme="minorHAnsi" w:cstheme="minorHAnsi"/>
              </w:rPr>
              <w:t>in</w:t>
            </w:r>
            <w:r w:rsidR="000159A6">
              <w:rPr>
                <w:rFonts w:asciiTheme="minorHAnsi" w:hAnsiTheme="minorHAnsi" w:cstheme="minorHAnsi"/>
              </w:rPr>
              <w:t xml:space="preserve"> </w:t>
            </w:r>
            <w:r w:rsidR="0037169B">
              <w:rPr>
                <w:rFonts w:asciiTheme="minorHAnsi" w:hAnsiTheme="minorHAnsi" w:cstheme="minorHAnsi"/>
              </w:rPr>
              <w:t>adults</w:t>
            </w:r>
            <w:r w:rsidR="000159A6">
              <w:rPr>
                <w:rFonts w:asciiTheme="minorHAnsi" w:hAnsiTheme="minorHAnsi" w:cstheme="minorHAnsi"/>
              </w:rPr>
              <w:t xml:space="preserve"> </w:t>
            </w:r>
            <w:r w:rsidR="0037169B">
              <w:rPr>
                <w:rFonts w:asciiTheme="minorHAnsi" w:hAnsiTheme="minorHAnsi" w:cstheme="minorHAnsi"/>
              </w:rPr>
              <w:t>≥</w:t>
            </w:r>
            <w:r w:rsidR="000159A6">
              <w:rPr>
                <w:rFonts w:asciiTheme="minorHAnsi" w:hAnsiTheme="minorHAnsi" w:cstheme="minorHAnsi"/>
              </w:rPr>
              <w:t xml:space="preserve"> </w:t>
            </w:r>
            <w:r w:rsidR="0037169B">
              <w:rPr>
                <w:rFonts w:asciiTheme="minorHAnsi" w:hAnsiTheme="minorHAnsi" w:cstheme="minorHAnsi"/>
              </w:rPr>
              <w:t>50</w:t>
            </w:r>
            <w:r w:rsidR="000159A6">
              <w:rPr>
                <w:rFonts w:asciiTheme="minorHAnsi" w:hAnsiTheme="minorHAnsi" w:cstheme="minorHAnsi"/>
              </w:rPr>
              <w:t xml:space="preserve"> </w:t>
            </w:r>
            <w:r w:rsidR="0037169B">
              <w:rPr>
                <w:rFonts w:asciiTheme="minorHAnsi" w:hAnsiTheme="minorHAnsi" w:cstheme="minorHAnsi"/>
              </w:rPr>
              <w:t>years</w:t>
            </w:r>
          </w:p>
          <w:p w14:paraId="5A839728" w14:textId="696B4E1A" w:rsidR="00624EB5" w:rsidRPr="0037169B" w:rsidRDefault="00624EB5" w:rsidP="00541F41">
            <w:pPr>
              <w:rPr>
                <w:rFonts w:asciiTheme="minorHAnsi" w:hAnsiTheme="minorHAnsi" w:cstheme="minorHAnsi"/>
              </w:rPr>
            </w:pPr>
            <w:r w:rsidRPr="00683A00">
              <w:t>VE</w:t>
            </w:r>
            <w:r w:rsidR="000159A6">
              <w:t xml:space="preserve"> </w:t>
            </w:r>
            <w:r w:rsidRPr="00683A00">
              <w:t>of</w:t>
            </w:r>
            <w:r w:rsidR="000159A6">
              <w:t xml:space="preserve"> </w:t>
            </w:r>
            <w:r w:rsidRPr="00683A00">
              <w:t>97.2%</w:t>
            </w:r>
            <w:r w:rsidR="000159A6">
              <w:t xml:space="preserve"> </w:t>
            </w:r>
            <w:r w:rsidRPr="00683A00">
              <w:t>(95%</w:t>
            </w:r>
            <w:r w:rsidR="000159A6">
              <w:t xml:space="preserve"> </w:t>
            </w:r>
            <w:r w:rsidRPr="00683A00">
              <w:t>CI:</w:t>
            </w:r>
            <w:r w:rsidR="000159A6">
              <w:t xml:space="preserve"> </w:t>
            </w:r>
            <w:r w:rsidRPr="00683A00">
              <w:t>93.7-99.0%).</w:t>
            </w:r>
          </w:p>
        </w:tc>
        <w:tc>
          <w:tcPr>
            <w:tcW w:w="4678" w:type="dxa"/>
          </w:tcPr>
          <w:p w14:paraId="44F12DE6" w14:textId="7BF8ED6A" w:rsidR="00624EB5" w:rsidRPr="00967762" w:rsidRDefault="00624EB5" w:rsidP="00541F41">
            <w:pPr>
              <w:rPr>
                <w:rFonts w:asciiTheme="minorHAnsi" w:hAnsiTheme="minorHAnsi" w:cstheme="minorHAnsi"/>
              </w:rPr>
            </w:pPr>
            <w:r>
              <w:rPr>
                <w:rFonts w:asciiTheme="minorHAnsi" w:hAnsiTheme="minorHAnsi" w:cstheme="minorHAnsi"/>
              </w:rPr>
              <w:t>Strong</w:t>
            </w:r>
            <w:r w:rsidR="000159A6">
              <w:rPr>
                <w:rFonts w:asciiTheme="minorHAnsi" w:hAnsiTheme="minorHAnsi" w:cstheme="minorHAnsi"/>
              </w:rPr>
              <w:t xml:space="preserve"> </w:t>
            </w:r>
            <w:r>
              <w:rPr>
                <w:rFonts w:asciiTheme="minorHAnsi" w:hAnsiTheme="minorHAnsi" w:cstheme="minorHAnsi"/>
              </w:rPr>
              <w:t>and</w:t>
            </w:r>
            <w:r w:rsidR="000159A6">
              <w:rPr>
                <w:rFonts w:asciiTheme="minorHAnsi" w:hAnsiTheme="minorHAnsi" w:cstheme="minorHAnsi"/>
              </w:rPr>
              <w:t xml:space="preserve"> </w:t>
            </w:r>
            <w:r>
              <w:rPr>
                <w:rFonts w:asciiTheme="minorHAnsi" w:hAnsiTheme="minorHAnsi" w:cstheme="minorHAnsi"/>
              </w:rPr>
              <w:t>robust</w:t>
            </w:r>
            <w:r w:rsidR="000159A6">
              <w:rPr>
                <w:rFonts w:asciiTheme="minorHAnsi" w:hAnsiTheme="minorHAnsi" w:cstheme="minorHAnsi"/>
              </w:rPr>
              <w:t xml:space="preserve"> </w:t>
            </w:r>
            <w:r>
              <w:rPr>
                <w:rFonts w:asciiTheme="minorHAnsi" w:hAnsiTheme="minorHAnsi" w:cstheme="minorHAnsi"/>
              </w:rPr>
              <w:t>evidence</w:t>
            </w:r>
            <w:r w:rsidR="000159A6">
              <w:rPr>
                <w:rFonts w:asciiTheme="minorHAnsi" w:hAnsiTheme="minorHAnsi" w:cstheme="minorHAnsi"/>
              </w:rPr>
              <w:t xml:space="preserve"> </w:t>
            </w:r>
            <w:r>
              <w:rPr>
                <w:rFonts w:asciiTheme="minorHAnsi" w:hAnsiTheme="minorHAnsi" w:cstheme="minorHAnsi"/>
              </w:rPr>
              <w:t>from</w:t>
            </w:r>
            <w:r w:rsidR="000159A6">
              <w:rPr>
                <w:rFonts w:asciiTheme="minorHAnsi" w:hAnsiTheme="minorHAnsi" w:cstheme="minorHAnsi"/>
              </w:rPr>
              <w:t xml:space="preserve"> </w:t>
            </w:r>
            <w:r>
              <w:rPr>
                <w:rFonts w:asciiTheme="minorHAnsi" w:hAnsiTheme="minorHAnsi" w:cstheme="minorHAnsi"/>
              </w:rPr>
              <w:t>a</w:t>
            </w:r>
            <w:r w:rsidR="000159A6">
              <w:rPr>
                <w:rFonts w:asciiTheme="minorHAnsi" w:hAnsiTheme="minorHAnsi" w:cstheme="minorHAnsi"/>
              </w:rPr>
              <w:t xml:space="preserve"> </w:t>
            </w:r>
            <w:r>
              <w:rPr>
                <w:rFonts w:asciiTheme="minorHAnsi" w:hAnsiTheme="minorHAnsi" w:cstheme="minorHAnsi"/>
              </w:rPr>
              <w:t>well-designed</w:t>
            </w:r>
            <w:r w:rsidR="000159A6">
              <w:rPr>
                <w:rFonts w:asciiTheme="minorHAnsi" w:hAnsiTheme="minorHAnsi" w:cstheme="minorHAnsi"/>
              </w:rPr>
              <w:t xml:space="preserve"> </w:t>
            </w:r>
            <w:r>
              <w:rPr>
                <w:rFonts w:asciiTheme="minorHAnsi" w:hAnsiTheme="minorHAnsi" w:cstheme="minorHAnsi"/>
              </w:rPr>
              <w:t>and</w:t>
            </w:r>
            <w:r w:rsidR="000159A6">
              <w:rPr>
                <w:rFonts w:asciiTheme="minorHAnsi" w:hAnsiTheme="minorHAnsi" w:cstheme="minorHAnsi"/>
              </w:rPr>
              <w:t xml:space="preserve"> </w:t>
            </w:r>
            <w:r>
              <w:rPr>
                <w:rFonts w:asciiTheme="minorHAnsi" w:hAnsiTheme="minorHAnsi" w:cstheme="minorHAnsi"/>
              </w:rPr>
              <w:t>powered</w:t>
            </w:r>
            <w:r w:rsidR="000159A6">
              <w:rPr>
                <w:rFonts w:asciiTheme="minorHAnsi" w:hAnsiTheme="minorHAnsi" w:cstheme="minorHAnsi"/>
              </w:rPr>
              <w:t xml:space="preserve"> </w:t>
            </w:r>
            <w:r>
              <w:rPr>
                <w:rFonts w:asciiTheme="minorHAnsi" w:hAnsiTheme="minorHAnsi" w:cstheme="minorHAnsi"/>
              </w:rPr>
              <w:t>study</w:t>
            </w:r>
            <w:r w:rsidR="000159A6">
              <w:rPr>
                <w:rFonts w:asciiTheme="minorHAnsi" w:hAnsiTheme="minorHAnsi" w:cstheme="minorHAnsi"/>
              </w:rPr>
              <w:t xml:space="preserve"> </w:t>
            </w:r>
            <w:r>
              <w:rPr>
                <w:rFonts w:asciiTheme="minorHAnsi" w:hAnsiTheme="minorHAnsi" w:cstheme="minorHAnsi"/>
              </w:rPr>
              <w:t>with</w:t>
            </w:r>
            <w:r w:rsidR="000159A6">
              <w:rPr>
                <w:rFonts w:asciiTheme="minorHAnsi" w:hAnsiTheme="minorHAnsi" w:cstheme="minorHAnsi"/>
              </w:rPr>
              <w:t xml:space="preserve"> </w:t>
            </w:r>
            <w:r>
              <w:rPr>
                <w:rFonts w:asciiTheme="minorHAnsi" w:hAnsiTheme="minorHAnsi" w:cstheme="minorHAnsi"/>
              </w:rPr>
              <w:t>a</w:t>
            </w:r>
            <w:r w:rsidR="000159A6">
              <w:rPr>
                <w:rFonts w:asciiTheme="minorHAnsi" w:hAnsiTheme="minorHAnsi" w:cstheme="minorHAnsi"/>
              </w:rPr>
              <w:t xml:space="preserve"> </w:t>
            </w:r>
            <w:r>
              <w:rPr>
                <w:rFonts w:asciiTheme="minorHAnsi" w:hAnsiTheme="minorHAnsi" w:cstheme="minorHAnsi"/>
              </w:rPr>
              <w:t>clear,</w:t>
            </w:r>
            <w:r w:rsidR="000159A6">
              <w:rPr>
                <w:rFonts w:asciiTheme="minorHAnsi" w:hAnsiTheme="minorHAnsi" w:cstheme="minorHAnsi"/>
              </w:rPr>
              <w:t xml:space="preserve"> </w:t>
            </w:r>
            <w:r>
              <w:rPr>
                <w:rFonts w:asciiTheme="minorHAnsi" w:hAnsiTheme="minorHAnsi" w:cstheme="minorHAnsi"/>
              </w:rPr>
              <w:t>well</w:t>
            </w:r>
            <w:r w:rsidR="000159A6">
              <w:rPr>
                <w:rFonts w:asciiTheme="minorHAnsi" w:hAnsiTheme="minorHAnsi" w:cstheme="minorHAnsi"/>
              </w:rPr>
              <w:t xml:space="preserve"> </w:t>
            </w:r>
            <w:r>
              <w:rPr>
                <w:rFonts w:asciiTheme="minorHAnsi" w:hAnsiTheme="minorHAnsi" w:cstheme="minorHAnsi"/>
              </w:rPr>
              <w:t>documented</w:t>
            </w:r>
            <w:r w:rsidR="000159A6">
              <w:rPr>
                <w:rFonts w:asciiTheme="minorHAnsi" w:hAnsiTheme="minorHAnsi" w:cstheme="minorHAnsi"/>
              </w:rPr>
              <w:t xml:space="preserve"> </w:t>
            </w:r>
            <w:r>
              <w:rPr>
                <w:rFonts w:asciiTheme="minorHAnsi" w:hAnsiTheme="minorHAnsi" w:cstheme="minorHAnsi"/>
              </w:rPr>
              <w:t>endpoint.</w:t>
            </w:r>
            <w:r w:rsidR="000159A6">
              <w:rPr>
                <w:rFonts w:asciiTheme="minorHAnsi" w:hAnsiTheme="minorHAnsi" w:cstheme="minorHAnsi"/>
              </w:rPr>
              <w:t xml:space="preserve"> </w:t>
            </w:r>
            <w:r>
              <w:rPr>
                <w:rFonts w:asciiTheme="minorHAnsi" w:hAnsiTheme="minorHAnsi" w:cstheme="minorHAnsi"/>
              </w:rPr>
              <w:t>Results</w:t>
            </w:r>
            <w:r w:rsidR="000159A6">
              <w:rPr>
                <w:rFonts w:asciiTheme="minorHAnsi" w:hAnsiTheme="minorHAnsi" w:cstheme="minorHAnsi"/>
              </w:rPr>
              <w:t xml:space="preserve"> </w:t>
            </w:r>
            <w:r>
              <w:rPr>
                <w:rFonts w:asciiTheme="minorHAnsi" w:hAnsiTheme="minorHAnsi" w:cstheme="minorHAnsi"/>
              </w:rPr>
              <w:t>were</w:t>
            </w:r>
            <w:r w:rsidR="000159A6">
              <w:rPr>
                <w:rFonts w:asciiTheme="minorHAnsi" w:hAnsiTheme="minorHAnsi" w:cstheme="minorHAnsi"/>
              </w:rPr>
              <w:t xml:space="preserve"> </w:t>
            </w:r>
            <w:r>
              <w:rPr>
                <w:rFonts w:asciiTheme="minorHAnsi" w:hAnsiTheme="minorHAnsi" w:cstheme="minorHAnsi"/>
              </w:rPr>
              <w:t>consistent</w:t>
            </w:r>
            <w:r w:rsidR="000159A6">
              <w:rPr>
                <w:rFonts w:asciiTheme="minorHAnsi" w:hAnsiTheme="minorHAnsi" w:cstheme="minorHAnsi"/>
              </w:rPr>
              <w:t xml:space="preserve"> </w:t>
            </w:r>
            <w:r>
              <w:rPr>
                <w:rFonts w:asciiTheme="minorHAnsi" w:hAnsiTheme="minorHAnsi" w:cstheme="minorHAnsi"/>
              </w:rPr>
              <w:t>across</w:t>
            </w:r>
            <w:r w:rsidR="000159A6">
              <w:rPr>
                <w:rFonts w:asciiTheme="minorHAnsi" w:hAnsiTheme="minorHAnsi" w:cstheme="minorHAnsi"/>
              </w:rPr>
              <w:t xml:space="preserve"> </w:t>
            </w:r>
            <w:r>
              <w:rPr>
                <w:rFonts w:asciiTheme="minorHAnsi" w:hAnsiTheme="minorHAnsi" w:cstheme="minorHAnsi"/>
              </w:rPr>
              <w:t>subgroups</w:t>
            </w:r>
            <w:r w:rsidR="000159A6">
              <w:rPr>
                <w:rFonts w:asciiTheme="minorHAnsi" w:hAnsiTheme="minorHAnsi" w:cstheme="minorHAnsi"/>
              </w:rPr>
              <w:t xml:space="preserve"> </w:t>
            </w:r>
            <w:r>
              <w:rPr>
                <w:rFonts w:asciiTheme="minorHAnsi" w:hAnsiTheme="minorHAnsi" w:cstheme="minorHAnsi"/>
              </w:rPr>
              <w:t>and</w:t>
            </w:r>
            <w:r w:rsidR="000159A6">
              <w:rPr>
                <w:rFonts w:asciiTheme="minorHAnsi" w:hAnsiTheme="minorHAnsi" w:cstheme="minorHAnsi"/>
              </w:rPr>
              <w:t xml:space="preserve"> </w:t>
            </w:r>
            <w:r>
              <w:rPr>
                <w:rFonts w:asciiTheme="minorHAnsi" w:hAnsiTheme="minorHAnsi" w:cstheme="minorHAnsi"/>
              </w:rPr>
              <w:t>sensitivity</w:t>
            </w:r>
            <w:r w:rsidR="000159A6">
              <w:rPr>
                <w:rFonts w:asciiTheme="minorHAnsi" w:hAnsiTheme="minorHAnsi" w:cstheme="minorHAnsi"/>
              </w:rPr>
              <w:t xml:space="preserve"> </w:t>
            </w:r>
            <w:r>
              <w:rPr>
                <w:rFonts w:asciiTheme="minorHAnsi" w:hAnsiTheme="minorHAnsi" w:cstheme="minorHAnsi"/>
              </w:rPr>
              <w:t>analyses.</w:t>
            </w:r>
          </w:p>
        </w:tc>
      </w:tr>
      <w:tr w:rsidR="00624EB5" w:rsidRPr="00C37A1D" w14:paraId="7D861BC3" w14:textId="77777777" w:rsidTr="003421E8">
        <w:tc>
          <w:tcPr>
            <w:tcW w:w="4111" w:type="dxa"/>
          </w:tcPr>
          <w:p w14:paraId="0B088FBD" w14:textId="2D6612DA" w:rsidR="00624EB5" w:rsidRDefault="00624EB5" w:rsidP="00541F41">
            <w:pPr>
              <w:rPr>
                <w:rFonts w:asciiTheme="minorHAnsi" w:hAnsiTheme="minorHAnsi" w:cstheme="minorHAnsi"/>
              </w:rPr>
            </w:pPr>
            <w:r>
              <w:rPr>
                <w:rFonts w:asciiTheme="minorHAnsi" w:hAnsiTheme="minorHAnsi" w:cstheme="minorHAnsi"/>
              </w:rPr>
              <w:t>High</w:t>
            </w:r>
            <w:r w:rsidR="000159A6">
              <w:rPr>
                <w:rFonts w:asciiTheme="minorHAnsi" w:hAnsiTheme="minorHAnsi" w:cstheme="minorHAnsi"/>
              </w:rPr>
              <w:t xml:space="preserve"> </w:t>
            </w:r>
            <w:r>
              <w:rPr>
                <w:rFonts w:asciiTheme="minorHAnsi" w:hAnsiTheme="minorHAnsi" w:cstheme="minorHAnsi"/>
              </w:rPr>
              <w:t>efficac</w:t>
            </w:r>
            <w:r w:rsidR="0037169B">
              <w:rPr>
                <w:rFonts w:asciiTheme="minorHAnsi" w:hAnsiTheme="minorHAnsi" w:cstheme="minorHAnsi"/>
              </w:rPr>
              <w:t>y</w:t>
            </w:r>
            <w:r w:rsidR="000159A6">
              <w:rPr>
                <w:rFonts w:asciiTheme="minorHAnsi" w:hAnsiTheme="minorHAnsi" w:cstheme="minorHAnsi"/>
              </w:rPr>
              <w:t xml:space="preserve"> </w:t>
            </w:r>
            <w:r w:rsidR="0037169B">
              <w:rPr>
                <w:rFonts w:asciiTheme="minorHAnsi" w:hAnsiTheme="minorHAnsi" w:cstheme="minorHAnsi"/>
              </w:rPr>
              <w:t>against</w:t>
            </w:r>
            <w:r w:rsidR="000159A6">
              <w:rPr>
                <w:rFonts w:asciiTheme="minorHAnsi" w:hAnsiTheme="minorHAnsi" w:cstheme="minorHAnsi"/>
              </w:rPr>
              <w:t xml:space="preserve"> </w:t>
            </w:r>
            <w:r w:rsidR="0037169B">
              <w:rPr>
                <w:rFonts w:asciiTheme="minorHAnsi" w:hAnsiTheme="minorHAnsi" w:cstheme="minorHAnsi"/>
              </w:rPr>
              <w:t>HZ</w:t>
            </w:r>
            <w:r w:rsidR="000159A6">
              <w:rPr>
                <w:rFonts w:asciiTheme="minorHAnsi" w:hAnsiTheme="minorHAnsi" w:cstheme="minorHAnsi"/>
              </w:rPr>
              <w:t xml:space="preserve"> </w:t>
            </w:r>
            <w:r w:rsidR="0037169B">
              <w:rPr>
                <w:rFonts w:asciiTheme="minorHAnsi" w:hAnsiTheme="minorHAnsi" w:cstheme="minorHAnsi"/>
              </w:rPr>
              <w:t>in</w:t>
            </w:r>
            <w:r w:rsidR="000159A6">
              <w:rPr>
                <w:rFonts w:asciiTheme="minorHAnsi" w:hAnsiTheme="minorHAnsi" w:cstheme="minorHAnsi"/>
              </w:rPr>
              <w:t xml:space="preserve"> </w:t>
            </w:r>
            <w:r w:rsidR="0037169B">
              <w:rPr>
                <w:rFonts w:asciiTheme="minorHAnsi" w:hAnsiTheme="minorHAnsi" w:cstheme="minorHAnsi"/>
              </w:rPr>
              <w:t>adults</w:t>
            </w:r>
            <w:r w:rsidR="000159A6">
              <w:rPr>
                <w:rFonts w:asciiTheme="minorHAnsi" w:hAnsiTheme="minorHAnsi" w:cstheme="minorHAnsi"/>
              </w:rPr>
              <w:t xml:space="preserve"> </w:t>
            </w:r>
            <w:r w:rsidR="0037169B">
              <w:rPr>
                <w:rFonts w:asciiTheme="minorHAnsi" w:hAnsiTheme="minorHAnsi" w:cstheme="minorHAnsi"/>
              </w:rPr>
              <w:t>≥</w:t>
            </w:r>
            <w:r w:rsidR="000159A6">
              <w:rPr>
                <w:rFonts w:asciiTheme="minorHAnsi" w:hAnsiTheme="minorHAnsi" w:cstheme="minorHAnsi"/>
              </w:rPr>
              <w:t xml:space="preserve"> </w:t>
            </w:r>
            <w:r w:rsidR="0037169B">
              <w:rPr>
                <w:rFonts w:asciiTheme="minorHAnsi" w:hAnsiTheme="minorHAnsi" w:cstheme="minorHAnsi"/>
              </w:rPr>
              <w:t>70</w:t>
            </w:r>
            <w:r w:rsidR="000159A6">
              <w:rPr>
                <w:rFonts w:asciiTheme="minorHAnsi" w:hAnsiTheme="minorHAnsi" w:cstheme="minorHAnsi"/>
              </w:rPr>
              <w:t xml:space="preserve"> </w:t>
            </w:r>
            <w:r w:rsidR="0037169B">
              <w:rPr>
                <w:rFonts w:asciiTheme="minorHAnsi" w:hAnsiTheme="minorHAnsi" w:cstheme="minorHAnsi"/>
              </w:rPr>
              <w:t>years</w:t>
            </w:r>
          </w:p>
          <w:p w14:paraId="3C71B3F8" w14:textId="59B999C6" w:rsidR="00624EB5" w:rsidRPr="00683A00" w:rsidRDefault="00624EB5" w:rsidP="00541F41">
            <w:r w:rsidRPr="00683A00">
              <w:t>VE</w:t>
            </w:r>
            <w:r w:rsidR="000159A6">
              <w:t xml:space="preserve"> </w:t>
            </w:r>
            <w:r w:rsidRPr="00683A00">
              <w:t>of</w:t>
            </w:r>
            <w:r w:rsidR="000159A6">
              <w:t xml:space="preserve"> </w:t>
            </w:r>
            <w:r w:rsidRPr="00683A00">
              <w:t>91.3%</w:t>
            </w:r>
            <w:r w:rsidR="000159A6">
              <w:t xml:space="preserve"> </w:t>
            </w:r>
            <w:r w:rsidRPr="00683A00">
              <w:t>(95%</w:t>
            </w:r>
            <w:r w:rsidR="000159A6">
              <w:t xml:space="preserve"> </w:t>
            </w:r>
            <w:r w:rsidRPr="00683A00">
              <w:t>CI:</w:t>
            </w:r>
            <w:r w:rsidR="000159A6">
              <w:t xml:space="preserve"> </w:t>
            </w:r>
            <w:r w:rsidRPr="00683A00">
              <w:t>86.9-94.5%)</w:t>
            </w:r>
          </w:p>
        </w:tc>
        <w:tc>
          <w:tcPr>
            <w:tcW w:w="4678" w:type="dxa"/>
          </w:tcPr>
          <w:p w14:paraId="0C7A3592" w14:textId="0B579F66" w:rsidR="00624EB5" w:rsidRPr="00967762" w:rsidRDefault="00624EB5" w:rsidP="00541F41">
            <w:pPr>
              <w:rPr>
                <w:rFonts w:asciiTheme="minorHAnsi" w:hAnsiTheme="minorHAnsi" w:cstheme="minorHAnsi"/>
              </w:rPr>
            </w:pPr>
            <w:r>
              <w:rPr>
                <w:rFonts w:asciiTheme="minorHAnsi" w:hAnsiTheme="minorHAnsi" w:cstheme="minorHAnsi"/>
              </w:rPr>
              <w:t>Strong</w:t>
            </w:r>
            <w:r w:rsidR="000159A6">
              <w:rPr>
                <w:rFonts w:asciiTheme="minorHAnsi" w:hAnsiTheme="minorHAnsi" w:cstheme="minorHAnsi"/>
              </w:rPr>
              <w:t xml:space="preserve"> </w:t>
            </w:r>
            <w:r>
              <w:rPr>
                <w:rFonts w:asciiTheme="minorHAnsi" w:hAnsiTheme="minorHAnsi" w:cstheme="minorHAnsi"/>
              </w:rPr>
              <w:t>and</w:t>
            </w:r>
            <w:r w:rsidR="000159A6">
              <w:rPr>
                <w:rFonts w:asciiTheme="minorHAnsi" w:hAnsiTheme="minorHAnsi" w:cstheme="minorHAnsi"/>
              </w:rPr>
              <w:t xml:space="preserve"> </w:t>
            </w:r>
            <w:r>
              <w:rPr>
                <w:rFonts w:asciiTheme="minorHAnsi" w:hAnsiTheme="minorHAnsi" w:cstheme="minorHAnsi"/>
              </w:rPr>
              <w:t>robust</w:t>
            </w:r>
            <w:r w:rsidR="000159A6">
              <w:rPr>
                <w:rFonts w:asciiTheme="minorHAnsi" w:hAnsiTheme="minorHAnsi" w:cstheme="minorHAnsi"/>
              </w:rPr>
              <w:t xml:space="preserve"> </w:t>
            </w:r>
            <w:r>
              <w:rPr>
                <w:rFonts w:asciiTheme="minorHAnsi" w:hAnsiTheme="minorHAnsi" w:cstheme="minorHAnsi"/>
              </w:rPr>
              <w:t>evidence</w:t>
            </w:r>
            <w:r w:rsidR="000159A6">
              <w:rPr>
                <w:rFonts w:asciiTheme="minorHAnsi" w:hAnsiTheme="minorHAnsi" w:cstheme="minorHAnsi"/>
              </w:rPr>
              <w:t xml:space="preserve"> </w:t>
            </w:r>
            <w:r>
              <w:rPr>
                <w:rFonts w:asciiTheme="minorHAnsi" w:hAnsiTheme="minorHAnsi" w:cstheme="minorHAnsi"/>
              </w:rPr>
              <w:t>from</w:t>
            </w:r>
            <w:r w:rsidR="000159A6">
              <w:rPr>
                <w:rFonts w:asciiTheme="minorHAnsi" w:hAnsiTheme="minorHAnsi" w:cstheme="minorHAnsi"/>
              </w:rPr>
              <w:t xml:space="preserve"> </w:t>
            </w:r>
            <w:r>
              <w:rPr>
                <w:rFonts w:asciiTheme="minorHAnsi" w:hAnsiTheme="minorHAnsi" w:cstheme="minorHAnsi"/>
              </w:rPr>
              <w:t>well</w:t>
            </w:r>
            <w:r w:rsidR="000159A6">
              <w:rPr>
                <w:rFonts w:asciiTheme="minorHAnsi" w:hAnsiTheme="minorHAnsi" w:cstheme="minorHAnsi"/>
              </w:rPr>
              <w:t xml:space="preserve"> </w:t>
            </w:r>
            <w:r>
              <w:rPr>
                <w:rFonts w:asciiTheme="minorHAnsi" w:hAnsiTheme="minorHAnsi" w:cstheme="minorHAnsi"/>
              </w:rPr>
              <w:t>designed</w:t>
            </w:r>
            <w:r w:rsidR="000159A6">
              <w:rPr>
                <w:rFonts w:asciiTheme="minorHAnsi" w:hAnsiTheme="minorHAnsi" w:cstheme="minorHAnsi"/>
              </w:rPr>
              <w:t xml:space="preserve"> </w:t>
            </w:r>
            <w:r>
              <w:rPr>
                <w:rFonts w:asciiTheme="minorHAnsi" w:hAnsiTheme="minorHAnsi" w:cstheme="minorHAnsi"/>
              </w:rPr>
              <w:t>and</w:t>
            </w:r>
            <w:r w:rsidR="000159A6">
              <w:rPr>
                <w:rFonts w:asciiTheme="minorHAnsi" w:hAnsiTheme="minorHAnsi" w:cstheme="minorHAnsi"/>
              </w:rPr>
              <w:t xml:space="preserve"> </w:t>
            </w:r>
            <w:r>
              <w:rPr>
                <w:rFonts w:asciiTheme="minorHAnsi" w:hAnsiTheme="minorHAnsi" w:cstheme="minorHAnsi"/>
              </w:rPr>
              <w:t>powered</w:t>
            </w:r>
            <w:r w:rsidR="000159A6">
              <w:rPr>
                <w:rFonts w:asciiTheme="minorHAnsi" w:hAnsiTheme="minorHAnsi" w:cstheme="minorHAnsi"/>
              </w:rPr>
              <w:t xml:space="preserve"> </w:t>
            </w:r>
            <w:r>
              <w:rPr>
                <w:rFonts w:asciiTheme="minorHAnsi" w:hAnsiTheme="minorHAnsi" w:cstheme="minorHAnsi"/>
              </w:rPr>
              <w:t>studies</w:t>
            </w:r>
            <w:r w:rsidR="000159A6">
              <w:rPr>
                <w:rFonts w:asciiTheme="minorHAnsi" w:hAnsiTheme="minorHAnsi" w:cstheme="minorHAnsi"/>
              </w:rPr>
              <w:t xml:space="preserve"> </w:t>
            </w:r>
            <w:r>
              <w:rPr>
                <w:rFonts w:asciiTheme="minorHAnsi" w:hAnsiTheme="minorHAnsi" w:cstheme="minorHAnsi"/>
              </w:rPr>
              <w:t>with</w:t>
            </w:r>
            <w:r w:rsidR="000159A6">
              <w:rPr>
                <w:rFonts w:asciiTheme="minorHAnsi" w:hAnsiTheme="minorHAnsi" w:cstheme="minorHAnsi"/>
              </w:rPr>
              <w:t xml:space="preserve"> </w:t>
            </w:r>
            <w:r>
              <w:rPr>
                <w:rFonts w:asciiTheme="minorHAnsi" w:hAnsiTheme="minorHAnsi" w:cstheme="minorHAnsi"/>
              </w:rPr>
              <w:t>a</w:t>
            </w:r>
            <w:r w:rsidR="000159A6">
              <w:rPr>
                <w:rFonts w:asciiTheme="minorHAnsi" w:hAnsiTheme="minorHAnsi" w:cstheme="minorHAnsi"/>
              </w:rPr>
              <w:t xml:space="preserve"> </w:t>
            </w:r>
            <w:r>
              <w:rPr>
                <w:rFonts w:asciiTheme="minorHAnsi" w:hAnsiTheme="minorHAnsi" w:cstheme="minorHAnsi"/>
              </w:rPr>
              <w:t>clear,</w:t>
            </w:r>
            <w:r w:rsidR="000159A6">
              <w:rPr>
                <w:rFonts w:asciiTheme="minorHAnsi" w:hAnsiTheme="minorHAnsi" w:cstheme="minorHAnsi"/>
              </w:rPr>
              <w:t xml:space="preserve"> </w:t>
            </w:r>
            <w:r>
              <w:rPr>
                <w:rFonts w:asciiTheme="minorHAnsi" w:hAnsiTheme="minorHAnsi" w:cstheme="minorHAnsi"/>
              </w:rPr>
              <w:t>well</w:t>
            </w:r>
            <w:r w:rsidR="000159A6">
              <w:rPr>
                <w:rFonts w:asciiTheme="minorHAnsi" w:hAnsiTheme="minorHAnsi" w:cstheme="minorHAnsi"/>
              </w:rPr>
              <w:t xml:space="preserve"> </w:t>
            </w:r>
            <w:r>
              <w:rPr>
                <w:rFonts w:asciiTheme="minorHAnsi" w:hAnsiTheme="minorHAnsi" w:cstheme="minorHAnsi"/>
              </w:rPr>
              <w:t>documented</w:t>
            </w:r>
            <w:r w:rsidR="000159A6">
              <w:rPr>
                <w:rFonts w:asciiTheme="minorHAnsi" w:hAnsiTheme="minorHAnsi" w:cstheme="minorHAnsi"/>
              </w:rPr>
              <w:t xml:space="preserve"> </w:t>
            </w:r>
            <w:r>
              <w:rPr>
                <w:rFonts w:asciiTheme="minorHAnsi" w:hAnsiTheme="minorHAnsi" w:cstheme="minorHAnsi"/>
              </w:rPr>
              <w:t>endpoint.</w:t>
            </w:r>
            <w:r w:rsidR="000159A6">
              <w:rPr>
                <w:rFonts w:asciiTheme="minorHAnsi" w:hAnsiTheme="minorHAnsi" w:cstheme="minorHAnsi"/>
              </w:rPr>
              <w:t xml:space="preserve"> </w:t>
            </w:r>
            <w:r>
              <w:rPr>
                <w:rFonts w:asciiTheme="minorHAnsi" w:hAnsiTheme="minorHAnsi" w:cstheme="minorHAnsi"/>
              </w:rPr>
              <w:t>This</w:t>
            </w:r>
            <w:r w:rsidR="000159A6">
              <w:rPr>
                <w:rFonts w:asciiTheme="minorHAnsi" w:hAnsiTheme="minorHAnsi" w:cstheme="minorHAnsi"/>
              </w:rPr>
              <w:t xml:space="preserve"> </w:t>
            </w:r>
            <w:r>
              <w:rPr>
                <w:rFonts w:asciiTheme="minorHAnsi" w:hAnsiTheme="minorHAnsi" w:cstheme="minorHAnsi"/>
              </w:rPr>
              <w:t>was</w:t>
            </w:r>
            <w:r w:rsidR="000159A6">
              <w:rPr>
                <w:rFonts w:asciiTheme="minorHAnsi" w:hAnsiTheme="minorHAnsi" w:cstheme="minorHAnsi"/>
              </w:rPr>
              <w:t xml:space="preserve"> </w:t>
            </w:r>
            <w:r>
              <w:rPr>
                <w:rFonts w:asciiTheme="minorHAnsi" w:hAnsiTheme="minorHAnsi" w:cstheme="minorHAnsi"/>
              </w:rPr>
              <w:t>the</w:t>
            </w:r>
            <w:r w:rsidR="000159A6">
              <w:rPr>
                <w:rFonts w:asciiTheme="minorHAnsi" w:hAnsiTheme="minorHAnsi" w:cstheme="minorHAnsi"/>
              </w:rPr>
              <w:t xml:space="preserve"> </w:t>
            </w:r>
            <w:r>
              <w:rPr>
                <w:rFonts w:asciiTheme="minorHAnsi" w:hAnsiTheme="minorHAnsi" w:cstheme="minorHAnsi"/>
              </w:rPr>
              <w:t>primary</w:t>
            </w:r>
            <w:r w:rsidR="000159A6">
              <w:rPr>
                <w:rFonts w:asciiTheme="minorHAnsi" w:hAnsiTheme="minorHAnsi" w:cstheme="minorHAnsi"/>
              </w:rPr>
              <w:t xml:space="preserve"> </w:t>
            </w:r>
            <w:r>
              <w:rPr>
                <w:rFonts w:asciiTheme="minorHAnsi" w:hAnsiTheme="minorHAnsi" w:cstheme="minorHAnsi"/>
              </w:rPr>
              <w:t>prespecified</w:t>
            </w:r>
            <w:r w:rsidR="000159A6">
              <w:rPr>
                <w:rFonts w:asciiTheme="minorHAnsi" w:hAnsiTheme="minorHAnsi" w:cstheme="minorHAnsi"/>
              </w:rPr>
              <w:t xml:space="preserve"> </w:t>
            </w:r>
            <w:r>
              <w:rPr>
                <w:rFonts w:asciiTheme="minorHAnsi" w:hAnsiTheme="minorHAnsi" w:cstheme="minorHAnsi"/>
              </w:rPr>
              <w:t>endpoint</w:t>
            </w:r>
            <w:r w:rsidR="000159A6">
              <w:rPr>
                <w:rFonts w:asciiTheme="minorHAnsi" w:hAnsiTheme="minorHAnsi" w:cstheme="minorHAnsi"/>
              </w:rPr>
              <w:t xml:space="preserve"> </w:t>
            </w:r>
            <w:r>
              <w:rPr>
                <w:rFonts w:asciiTheme="minorHAnsi" w:hAnsiTheme="minorHAnsi" w:cstheme="minorHAnsi"/>
              </w:rPr>
              <w:t>of</w:t>
            </w:r>
            <w:r w:rsidR="000159A6">
              <w:rPr>
                <w:rFonts w:asciiTheme="minorHAnsi" w:hAnsiTheme="minorHAnsi" w:cstheme="minorHAnsi"/>
              </w:rPr>
              <w:t xml:space="preserve"> </w:t>
            </w:r>
            <w:r>
              <w:rPr>
                <w:rFonts w:asciiTheme="minorHAnsi" w:hAnsiTheme="minorHAnsi" w:cstheme="minorHAnsi"/>
              </w:rPr>
              <w:t>the</w:t>
            </w:r>
            <w:r w:rsidR="000159A6">
              <w:rPr>
                <w:rFonts w:asciiTheme="minorHAnsi" w:hAnsiTheme="minorHAnsi" w:cstheme="minorHAnsi"/>
              </w:rPr>
              <w:t xml:space="preserve"> </w:t>
            </w:r>
            <w:r>
              <w:rPr>
                <w:rFonts w:asciiTheme="minorHAnsi" w:hAnsiTheme="minorHAnsi" w:cstheme="minorHAnsi"/>
              </w:rPr>
              <w:t>pooled</w:t>
            </w:r>
            <w:r w:rsidR="000159A6">
              <w:rPr>
                <w:rFonts w:asciiTheme="minorHAnsi" w:hAnsiTheme="minorHAnsi" w:cstheme="minorHAnsi"/>
              </w:rPr>
              <w:t xml:space="preserve"> </w:t>
            </w:r>
            <w:r>
              <w:rPr>
                <w:rFonts w:asciiTheme="minorHAnsi" w:hAnsiTheme="minorHAnsi" w:cstheme="minorHAnsi"/>
              </w:rPr>
              <w:t>study</w:t>
            </w:r>
            <w:r w:rsidR="000159A6">
              <w:rPr>
                <w:rFonts w:asciiTheme="minorHAnsi" w:hAnsiTheme="minorHAnsi" w:cstheme="minorHAnsi"/>
              </w:rPr>
              <w:t xml:space="preserve"> </w:t>
            </w:r>
            <w:r>
              <w:rPr>
                <w:rFonts w:asciiTheme="minorHAnsi" w:hAnsiTheme="minorHAnsi" w:cstheme="minorHAnsi"/>
              </w:rPr>
              <w:t>analysis</w:t>
            </w:r>
            <w:r w:rsidR="000159A6">
              <w:rPr>
                <w:rFonts w:asciiTheme="minorHAnsi" w:hAnsiTheme="minorHAnsi" w:cstheme="minorHAnsi"/>
              </w:rPr>
              <w:t xml:space="preserve"> </w:t>
            </w:r>
            <w:r>
              <w:rPr>
                <w:rFonts w:asciiTheme="minorHAnsi" w:hAnsiTheme="minorHAnsi" w:cstheme="minorHAnsi"/>
              </w:rPr>
              <w:t>and</w:t>
            </w:r>
            <w:r w:rsidR="000159A6">
              <w:rPr>
                <w:rFonts w:asciiTheme="minorHAnsi" w:hAnsiTheme="minorHAnsi" w:cstheme="minorHAnsi"/>
              </w:rPr>
              <w:t xml:space="preserve"> </w:t>
            </w:r>
            <w:r>
              <w:rPr>
                <w:rFonts w:asciiTheme="minorHAnsi" w:hAnsiTheme="minorHAnsi" w:cstheme="minorHAnsi"/>
              </w:rPr>
              <w:t>was</w:t>
            </w:r>
            <w:r w:rsidR="000159A6">
              <w:rPr>
                <w:rFonts w:asciiTheme="minorHAnsi" w:hAnsiTheme="minorHAnsi" w:cstheme="minorHAnsi"/>
              </w:rPr>
              <w:t xml:space="preserve"> </w:t>
            </w:r>
            <w:r>
              <w:rPr>
                <w:rFonts w:asciiTheme="minorHAnsi" w:hAnsiTheme="minorHAnsi" w:cstheme="minorHAnsi"/>
              </w:rPr>
              <w:t>supported</w:t>
            </w:r>
            <w:r w:rsidR="000159A6">
              <w:rPr>
                <w:rFonts w:asciiTheme="minorHAnsi" w:hAnsiTheme="minorHAnsi" w:cstheme="minorHAnsi"/>
              </w:rPr>
              <w:t xml:space="preserve"> </w:t>
            </w:r>
            <w:r>
              <w:rPr>
                <w:rFonts w:asciiTheme="minorHAnsi" w:hAnsiTheme="minorHAnsi" w:cstheme="minorHAnsi"/>
              </w:rPr>
              <w:t>by</w:t>
            </w:r>
            <w:r w:rsidR="000159A6">
              <w:rPr>
                <w:rFonts w:asciiTheme="minorHAnsi" w:hAnsiTheme="minorHAnsi" w:cstheme="minorHAnsi"/>
              </w:rPr>
              <w:t xml:space="preserve"> </w:t>
            </w:r>
            <w:r>
              <w:rPr>
                <w:rFonts w:asciiTheme="minorHAnsi" w:hAnsiTheme="minorHAnsi" w:cstheme="minorHAnsi"/>
              </w:rPr>
              <w:t>results</w:t>
            </w:r>
            <w:r w:rsidR="000159A6">
              <w:rPr>
                <w:rFonts w:asciiTheme="minorHAnsi" w:hAnsiTheme="minorHAnsi" w:cstheme="minorHAnsi"/>
              </w:rPr>
              <w:t xml:space="preserve"> </w:t>
            </w:r>
            <w:r>
              <w:rPr>
                <w:rFonts w:asciiTheme="minorHAnsi" w:hAnsiTheme="minorHAnsi" w:cstheme="minorHAnsi"/>
              </w:rPr>
              <w:t>in</w:t>
            </w:r>
            <w:r w:rsidR="000159A6">
              <w:rPr>
                <w:rFonts w:asciiTheme="minorHAnsi" w:hAnsiTheme="minorHAnsi" w:cstheme="minorHAnsi"/>
              </w:rPr>
              <w:t xml:space="preserve"> </w:t>
            </w:r>
            <w:r>
              <w:rPr>
                <w:rFonts w:asciiTheme="minorHAnsi" w:hAnsiTheme="minorHAnsi" w:cstheme="minorHAnsi"/>
              </w:rPr>
              <w:t>the</w:t>
            </w:r>
            <w:r w:rsidR="000159A6">
              <w:rPr>
                <w:rFonts w:asciiTheme="minorHAnsi" w:hAnsiTheme="minorHAnsi" w:cstheme="minorHAnsi"/>
              </w:rPr>
              <w:t xml:space="preserve"> </w:t>
            </w:r>
            <w:r>
              <w:rPr>
                <w:rFonts w:asciiTheme="minorHAnsi" w:hAnsiTheme="minorHAnsi" w:cstheme="minorHAnsi"/>
              </w:rPr>
              <w:t>two</w:t>
            </w:r>
            <w:r w:rsidR="000159A6">
              <w:rPr>
                <w:rFonts w:asciiTheme="minorHAnsi" w:hAnsiTheme="minorHAnsi" w:cstheme="minorHAnsi"/>
              </w:rPr>
              <w:t xml:space="preserve"> </w:t>
            </w:r>
            <w:r>
              <w:rPr>
                <w:rFonts w:asciiTheme="minorHAnsi" w:hAnsiTheme="minorHAnsi" w:cstheme="minorHAnsi"/>
              </w:rPr>
              <w:t>individual</w:t>
            </w:r>
            <w:r w:rsidR="000159A6">
              <w:rPr>
                <w:rFonts w:asciiTheme="minorHAnsi" w:hAnsiTheme="minorHAnsi" w:cstheme="minorHAnsi"/>
              </w:rPr>
              <w:t xml:space="preserve"> </w:t>
            </w:r>
            <w:r>
              <w:rPr>
                <w:rFonts w:asciiTheme="minorHAnsi" w:hAnsiTheme="minorHAnsi" w:cstheme="minorHAnsi"/>
              </w:rPr>
              <w:t>studies.</w:t>
            </w:r>
          </w:p>
        </w:tc>
      </w:tr>
      <w:tr w:rsidR="00624EB5" w:rsidRPr="00C37A1D" w14:paraId="7ECD5B8B" w14:textId="77777777" w:rsidTr="003421E8">
        <w:tc>
          <w:tcPr>
            <w:tcW w:w="4111" w:type="dxa"/>
          </w:tcPr>
          <w:p w14:paraId="614C2069" w14:textId="536FE1FB" w:rsidR="00624EB5" w:rsidRPr="00967762" w:rsidRDefault="00624EB5" w:rsidP="00541F41">
            <w:pPr>
              <w:rPr>
                <w:rFonts w:asciiTheme="minorHAnsi" w:hAnsiTheme="minorHAnsi" w:cstheme="minorHAnsi"/>
              </w:rPr>
            </w:pPr>
            <w:r>
              <w:rPr>
                <w:rFonts w:asciiTheme="minorHAnsi" w:hAnsiTheme="minorHAnsi" w:cstheme="minorHAnsi"/>
              </w:rPr>
              <w:t>High</w:t>
            </w:r>
            <w:r w:rsidR="000159A6">
              <w:rPr>
                <w:rFonts w:asciiTheme="minorHAnsi" w:hAnsiTheme="minorHAnsi" w:cstheme="minorHAnsi"/>
              </w:rPr>
              <w:t xml:space="preserve"> </w:t>
            </w:r>
            <w:r>
              <w:rPr>
                <w:rFonts w:asciiTheme="minorHAnsi" w:hAnsiTheme="minorHAnsi" w:cstheme="minorHAnsi"/>
              </w:rPr>
              <w:t>vaccine</w:t>
            </w:r>
            <w:r w:rsidR="000159A6">
              <w:rPr>
                <w:rFonts w:asciiTheme="minorHAnsi" w:hAnsiTheme="minorHAnsi" w:cstheme="minorHAnsi"/>
              </w:rPr>
              <w:t xml:space="preserve"> </w:t>
            </w:r>
            <w:r>
              <w:rPr>
                <w:rFonts w:asciiTheme="minorHAnsi" w:hAnsiTheme="minorHAnsi" w:cstheme="minorHAnsi"/>
              </w:rPr>
              <w:t>efficacy</w:t>
            </w:r>
            <w:r w:rsidR="000159A6">
              <w:rPr>
                <w:rFonts w:asciiTheme="minorHAnsi" w:hAnsiTheme="minorHAnsi" w:cstheme="minorHAnsi"/>
              </w:rPr>
              <w:t xml:space="preserve"> </w:t>
            </w:r>
            <w:r>
              <w:rPr>
                <w:rFonts w:asciiTheme="minorHAnsi" w:hAnsiTheme="minorHAnsi" w:cstheme="minorHAnsi"/>
              </w:rPr>
              <w:t>against</w:t>
            </w:r>
            <w:r w:rsidR="000159A6">
              <w:rPr>
                <w:rFonts w:asciiTheme="minorHAnsi" w:hAnsiTheme="minorHAnsi" w:cstheme="minorHAnsi"/>
              </w:rPr>
              <w:t xml:space="preserve"> </w:t>
            </w:r>
            <w:r>
              <w:rPr>
                <w:rFonts w:asciiTheme="minorHAnsi" w:hAnsiTheme="minorHAnsi" w:cstheme="minorHAnsi"/>
              </w:rPr>
              <w:t>HZ</w:t>
            </w:r>
            <w:r w:rsidR="000159A6">
              <w:rPr>
                <w:rFonts w:asciiTheme="minorHAnsi" w:hAnsiTheme="minorHAnsi" w:cstheme="minorHAnsi"/>
              </w:rPr>
              <w:t xml:space="preserve"> </w:t>
            </w:r>
            <w:r>
              <w:rPr>
                <w:rFonts w:asciiTheme="minorHAnsi" w:hAnsiTheme="minorHAnsi" w:cstheme="minorHAnsi"/>
              </w:rPr>
              <w:t>across</w:t>
            </w:r>
            <w:r w:rsidR="000159A6">
              <w:rPr>
                <w:rFonts w:asciiTheme="minorHAnsi" w:hAnsiTheme="minorHAnsi" w:cstheme="minorHAnsi"/>
              </w:rPr>
              <w:t xml:space="preserve"> </w:t>
            </w:r>
            <w:r>
              <w:rPr>
                <w:rFonts w:asciiTheme="minorHAnsi" w:hAnsiTheme="minorHAnsi" w:cstheme="minorHAnsi"/>
              </w:rPr>
              <w:t>all</w:t>
            </w:r>
            <w:r w:rsidR="000159A6">
              <w:rPr>
                <w:rFonts w:asciiTheme="minorHAnsi" w:hAnsiTheme="minorHAnsi" w:cstheme="minorHAnsi"/>
              </w:rPr>
              <w:t xml:space="preserve"> </w:t>
            </w:r>
            <w:r>
              <w:rPr>
                <w:rFonts w:asciiTheme="minorHAnsi" w:hAnsiTheme="minorHAnsi" w:cstheme="minorHAnsi"/>
              </w:rPr>
              <w:t>age</w:t>
            </w:r>
            <w:r w:rsidR="000159A6">
              <w:rPr>
                <w:rFonts w:asciiTheme="minorHAnsi" w:hAnsiTheme="minorHAnsi" w:cstheme="minorHAnsi"/>
              </w:rPr>
              <w:t xml:space="preserve"> </w:t>
            </w:r>
            <w:r>
              <w:rPr>
                <w:rFonts w:asciiTheme="minorHAnsi" w:hAnsiTheme="minorHAnsi" w:cstheme="minorHAnsi"/>
              </w:rPr>
              <w:t>groups</w:t>
            </w:r>
            <w:r w:rsidR="000159A6">
              <w:rPr>
                <w:rFonts w:asciiTheme="minorHAnsi" w:hAnsiTheme="minorHAnsi" w:cstheme="minorHAnsi"/>
              </w:rPr>
              <w:t xml:space="preserve"> </w:t>
            </w:r>
            <w:r>
              <w:rPr>
                <w:rFonts w:asciiTheme="minorHAnsi" w:hAnsiTheme="minorHAnsi" w:cstheme="minorHAnsi"/>
              </w:rPr>
              <w:t>(50</w:t>
            </w:r>
            <w:r w:rsidR="000159A6">
              <w:rPr>
                <w:rFonts w:asciiTheme="minorHAnsi" w:hAnsiTheme="minorHAnsi" w:cstheme="minorHAnsi"/>
              </w:rPr>
              <w:t xml:space="preserve"> </w:t>
            </w:r>
            <w:r>
              <w:rPr>
                <w:rFonts w:asciiTheme="minorHAnsi" w:hAnsiTheme="minorHAnsi" w:cstheme="minorHAnsi"/>
              </w:rPr>
              <w:t>to</w:t>
            </w:r>
            <w:r w:rsidR="000159A6">
              <w:rPr>
                <w:rFonts w:asciiTheme="minorHAnsi" w:hAnsiTheme="minorHAnsi" w:cstheme="minorHAnsi"/>
              </w:rPr>
              <w:t xml:space="preserve"> </w:t>
            </w:r>
            <w:r>
              <w:rPr>
                <w:rFonts w:asciiTheme="minorHAnsi" w:hAnsiTheme="minorHAnsi" w:cstheme="minorHAnsi"/>
              </w:rPr>
              <w:t>59,</w:t>
            </w:r>
            <w:r w:rsidR="000159A6">
              <w:rPr>
                <w:rFonts w:asciiTheme="minorHAnsi" w:hAnsiTheme="minorHAnsi" w:cstheme="minorHAnsi"/>
              </w:rPr>
              <w:t xml:space="preserve"> </w:t>
            </w:r>
            <w:r>
              <w:rPr>
                <w:rFonts w:asciiTheme="minorHAnsi" w:hAnsiTheme="minorHAnsi" w:cstheme="minorHAnsi"/>
              </w:rPr>
              <w:t>60</w:t>
            </w:r>
            <w:r w:rsidR="000159A6">
              <w:rPr>
                <w:rFonts w:asciiTheme="minorHAnsi" w:hAnsiTheme="minorHAnsi" w:cstheme="minorHAnsi"/>
              </w:rPr>
              <w:t xml:space="preserve"> </w:t>
            </w:r>
            <w:r>
              <w:rPr>
                <w:rFonts w:asciiTheme="minorHAnsi" w:hAnsiTheme="minorHAnsi" w:cstheme="minorHAnsi"/>
              </w:rPr>
              <w:t>to</w:t>
            </w:r>
            <w:r w:rsidR="000159A6">
              <w:rPr>
                <w:rFonts w:asciiTheme="minorHAnsi" w:hAnsiTheme="minorHAnsi" w:cstheme="minorHAnsi"/>
              </w:rPr>
              <w:t xml:space="preserve"> </w:t>
            </w:r>
            <w:r>
              <w:rPr>
                <w:rFonts w:asciiTheme="minorHAnsi" w:hAnsiTheme="minorHAnsi" w:cstheme="minorHAnsi"/>
              </w:rPr>
              <w:t>69,</w:t>
            </w:r>
            <w:r w:rsidR="000159A6">
              <w:rPr>
                <w:rFonts w:asciiTheme="minorHAnsi" w:hAnsiTheme="minorHAnsi" w:cstheme="minorHAnsi"/>
              </w:rPr>
              <w:t xml:space="preserve"> </w:t>
            </w:r>
            <w:r>
              <w:rPr>
                <w:rFonts w:asciiTheme="minorHAnsi" w:hAnsiTheme="minorHAnsi" w:cstheme="minorHAnsi"/>
              </w:rPr>
              <w:t>70</w:t>
            </w:r>
            <w:r w:rsidR="000159A6">
              <w:rPr>
                <w:rFonts w:asciiTheme="minorHAnsi" w:hAnsiTheme="minorHAnsi" w:cstheme="minorHAnsi"/>
              </w:rPr>
              <w:t xml:space="preserve"> </w:t>
            </w:r>
            <w:r>
              <w:rPr>
                <w:rFonts w:asciiTheme="minorHAnsi" w:hAnsiTheme="minorHAnsi" w:cstheme="minorHAnsi"/>
              </w:rPr>
              <w:t>to</w:t>
            </w:r>
            <w:r w:rsidR="000159A6">
              <w:rPr>
                <w:rFonts w:asciiTheme="minorHAnsi" w:hAnsiTheme="minorHAnsi" w:cstheme="minorHAnsi"/>
              </w:rPr>
              <w:t xml:space="preserve"> </w:t>
            </w:r>
            <w:r>
              <w:rPr>
                <w:rFonts w:asciiTheme="minorHAnsi" w:hAnsiTheme="minorHAnsi" w:cstheme="minorHAnsi"/>
              </w:rPr>
              <w:t>79</w:t>
            </w:r>
            <w:r w:rsidR="000159A6">
              <w:rPr>
                <w:rFonts w:asciiTheme="minorHAnsi" w:hAnsiTheme="minorHAnsi" w:cstheme="minorHAnsi"/>
              </w:rPr>
              <w:t xml:space="preserve"> </w:t>
            </w:r>
            <w:r>
              <w:rPr>
                <w:rFonts w:asciiTheme="minorHAnsi" w:hAnsiTheme="minorHAnsi" w:cstheme="minorHAnsi"/>
              </w:rPr>
              <w:t>and</w:t>
            </w:r>
            <w:r w:rsidR="000159A6">
              <w:rPr>
                <w:rFonts w:asciiTheme="minorHAnsi" w:hAnsiTheme="minorHAnsi" w:cstheme="minorHAnsi"/>
              </w:rPr>
              <w:t xml:space="preserve"> </w:t>
            </w:r>
            <w:r w:rsidR="0037169B">
              <w:rPr>
                <w:rFonts w:cstheme="minorHAnsi"/>
              </w:rPr>
              <w:t>≥</w:t>
            </w:r>
            <w:r w:rsidR="000159A6">
              <w:rPr>
                <w:rFonts w:cstheme="minorHAnsi"/>
              </w:rPr>
              <w:t xml:space="preserve"> </w:t>
            </w:r>
            <w:r>
              <w:rPr>
                <w:rFonts w:asciiTheme="minorHAnsi" w:hAnsiTheme="minorHAnsi" w:cstheme="minorHAnsi"/>
              </w:rPr>
              <w:t>80</w:t>
            </w:r>
            <w:r w:rsidR="000159A6">
              <w:rPr>
                <w:rFonts w:asciiTheme="minorHAnsi" w:hAnsiTheme="minorHAnsi" w:cstheme="minorHAnsi"/>
              </w:rPr>
              <w:t xml:space="preserve"> </w:t>
            </w:r>
            <w:r>
              <w:rPr>
                <w:rFonts w:asciiTheme="minorHAnsi" w:hAnsiTheme="minorHAnsi" w:cstheme="minorHAnsi"/>
              </w:rPr>
              <w:t>years</w:t>
            </w:r>
            <w:r w:rsidR="000159A6">
              <w:rPr>
                <w:rFonts w:asciiTheme="minorHAnsi" w:hAnsiTheme="minorHAnsi" w:cstheme="minorHAnsi"/>
              </w:rPr>
              <w:t xml:space="preserve"> </w:t>
            </w:r>
            <w:r>
              <w:rPr>
                <w:rFonts w:asciiTheme="minorHAnsi" w:hAnsiTheme="minorHAnsi" w:cstheme="minorHAnsi"/>
              </w:rPr>
              <w:t>of</w:t>
            </w:r>
            <w:r w:rsidR="000159A6">
              <w:rPr>
                <w:rFonts w:asciiTheme="minorHAnsi" w:hAnsiTheme="minorHAnsi" w:cstheme="minorHAnsi"/>
              </w:rPr>
              <w:t xml:space="preserve"> </w:t>
            </w:r>
            <w:r>
              <w:rPr>
                <w:rFonts w:asciiTheme="minorHAnsi" w:hAnsiTheme="minorHAnsi" w:cstheme="minorHAnsi"/>
              </w:rPr>
              <w:t>age).</w:t>
            </w:r>
          </w:p>
        </w:tc>
        <w:tc>
          <w:tcPr>
            <w:tcW w:w="4678" w:type="dxa"/>
          </w:tcPr>
          <w:p w14:paraId="7E1D1BCB" w14:textId="2FCC1511" w:rsidR="00624EB5" w:rsidRPr="00967762" w:rsidRDefault="00624EB5" w:rsidP="00541F41">
            <w:pPr>
              <w:rPr>
                <w:rFonts w:asciiTheme="minorHAnsi" w:hAnsiTheme="minorHAnsi" w:cstheme="minorHAnsi"/>
              </w:rPr>
            </w:pPr>
            <w:r>
              <w:rPr>
                <w:rFonts w:asciiTheme="minorHAnsi" w:hAnsiTheme="minorHAnsi" w:cstheme="minorHAnsi"/>
              </w:rPr>
              <w:t>The</w:t>
            </w:r>
            <w:r w:rsidR="000159A6">
              <w:rPr>
                <w:rFonts w:asciiTheme="minorHAnsi" w:hAnsiTheme="minorHAnsi" w:cstheme="minorHAnsi"/>
              </w:rPr>
              <w:t xml:space="preserve"> </w:t>
            </w:r>
            <w:r>
              <w:rPr>
                <w:rFonts w:asciiTheme="minorHAnsi" w:hAnsiTheme="minorHAnsi" w:cstheme="minorHAnsi"/>
              </w:rPr>
              <w:t>secondary</w:t>
            </w:r>
            <w:r w:rsidR="000159A6">
              <w:rPr>
                <w:rFonts w:asciiTheme="minorHAnsi" w:hAnsiTheme="minorHAnsi" w:cstheme="minorHAnsi"/>
              </w:rPr>
              <w:t xml:space="preserve"> </w:t>
            </w:r>
            <w:r>
              <w:rPr>
                <w:rFonts w:asciiTheme="minorHAnsi" w:hAnsiTheme="minorHAnsi" w:cstheme="minorHAnsi"/>
              </w:rPr>
              <w:t>endpoint</w:t>
            </w:r>
            <w:r w:rsidR="000159A6">
              <w:rPr>
                <w:rFonts w:asciiTheme="minorHAnsi" w:hAnsiTheme="minorHAnsi" w:cstheme="minorHAnsi"/>
              </w:rPr>
              <w:t xml:space="preserve"> </w:t>
            </w:r>
            <w:r>
              <w:rPr>
                <w:rFonts w:asciiTheme="minorHAnsi" w:hAnsiTheme="minorHAnsi" w:cstheme="minorHAnsi"/>
              </w:rPr>
              <w:t>data</w:t>
            </w:r>
            <w:r w:rsidR="000159A6">
              <w:rPr>
                <w:rFonts w:asciiTheme="minorHAnsi" w:hAnsiTheme="minorHAnsi" w:cstheme="minorHAnsi"/>
              </w:rPr>
              <w:t xml:space="preserve"> </w:t>
            </w:r>
            <w:r>
              <w:rPr>
                <w:rFonts w:asciiTheme="minorHAnsi" w:hAnsiTheme="minorHAnsi" w:cstheme="minorHAnsi"/>
              </w:rPr>
              <w:t>were</w:t>
            </w:r>
            <w:r w:rsidR="000159A6">
              <w:rPr>
                <w:rFonts w:asciiTheme="minorHAnsi" w:hAnsiTheme="minorHAnsi" w:cstheme="minorHAnsi"/>
              </w:rPr>
              <w:t xml:space="preserve"> </w:t>
            </w:r>
            <w:r>
              <w:rPr>
                <w:rFonts w:asciiTheme="minorHAnsi" w:hAnsiTheme="minorHAnsi" w:cstheme="minorHAnsi"/>
              </w:rPr>
              <w:t>consistent</w:t>
            </w:r>
            <w:r w:rsidR="000159A6">
              <w:rPr>
                <w:rFonts w:asciiTheme="minorHAnsi" w:hAnsiTheme="minorHAnsi" w:cstheme="minorHAnsi"/>
              </w:rPr>
              <w:t xml:space="preserve"> </w:t>
            </w:r>
            <w:r>
              <w:rPr>
                <w:rFonts w:asciiTheme="minorHAnsi" w:hAnsiTheme="minorHAnsi" w:cstheme="minorHAnsi"/>
              </w:rPr>
              <w:t>and</w:t>
            </w:r>
            <w:r w:rsidR="000159A6">
              <w:rPr>
                <w:rFonts w:asciiTheme="minorHAnsi" w:hAnsiTheme="minorHAnsi" w:cstheme="minorHAnsi"/>
              </w:rPr>
              <w:t xml:space="preserve"> </w:t>
            </w:r>
            <w:r>
              <w:rPr>
                <w:rFonts w:asciiTheme="minorHAnsi" w:hAnsiTheme="minorHAnsi" w:cstheme="minorHAnsi"/>
              </w:rPr>
              <w:t>supported</w:t>
            </w:r>
            <w:r w:rsidR="000159A6">
              <w:rPr>
                <w:rFonts w:asciiTheme="minorHAnsi" w:hAnsiTheme="minorHAnsi" w:cstheme="minorHAnsi"/>
              </w:rPr>
              <w:t xml:space="preserve"> </w:t>
            </w:r>
            <w:r>
              <w:rPr>
                <w:rFonts w:asciiTheme="minorHAnsi" w:hAnsiTheme="minorHAnsi" w:cstheme="minorHAnsi"/>
              </w:rPr>
              <w:t>by</w:t>
            </w:r>
            <w:r w:rsidR="000159A6">
              <w:rPr>
                <w:rFonts w:asciiTheme="minorHAnsi" w:hAnsiTheme="minorHAnsi" w:cstheme="minorHAnsi"/>
              </w:rPr>
              <w:t xml:space="preserve"> </w:t>
            </w:r>
            <w:r>
              <w:rPr>
                <w:rFonts w:asciiTheme="minorHAnsi" w:hAnsiTheme="minorHAnsi" w:cstheme="minorHAnsi"/>
              </w:rPr>
              <w:t>the</w:t>
            </w:r>
            <w:r w:rsidR="000159A6">
              <w:rPr>
                <w:rFonts w:asciiTheme="minorHAnsi" w:hAnsiTheme="minorHAnsi" w:cstheme="minorHAnsi"/>
              </w:rPr>
              <w:t xml:space="preserve"> </w:t>
            </w:r>
            <w:r>
              <w:rPr>
                <w:rFonts w:asciiTheme="minorHAnsi" w:hAnsiTheme="minorHAnsi" w:cstheme="minorHAnsi"/>
              </w:rPr>
              <w:t>pooled</w:t>
            </w:r>
            <w:r w:rsidR="000159A6">
              <w:rPr>
                <w:rFonts w:asciiTheme="minorHAnsi" w:hAnsiTheme="minorHAnsi" w:cstheme="minorHAnsi"/>
              </w:rPr>
              <w:t xml:space="preserve"> </w:t>
            </w:r>
            <w:r>
              <w:rPr>
                <w:rFonts w:asciiTheme="minorHAnsi" w:hAnsiTheme="minorHAnsi" w:cstheme="minorHAnsi"/>
              </w:rPr>
              <w:t>data</w:t>
            </w:r>
            <w:r w:rsidR="000159A6">
              <w:rPr>
                <w:rFonts w:asciiTheme="minorHAnsi" w:hAnsiTheme="minorHAnsi" w:cstheme="minorHAnsi"/>
              </w:rPr>
              <w:t xml:space="preserve"> </w:t>
            </w:r>
            <w:r>
              <w:rPr>
                <w:rFonts w:asciiTheme="minorHAnsi" w:hAnsiTheme="minorHAnsi" w:cstheme="minorHAnsi"/>
              </w:rPr>
              <w:t>for</w:t>
            </w:r>
            <w:r w:rsidR="000159A6">
              <w:rPr>
                <w:rFonts w:asciiTheme="minorHAnsi" w:hAnsiTheme="minorHAnsi" w:cstheme="minorHAnsi"/>
              </w:rPr>
              <w:t xml:space="preserve"> </w:t>
            </w:r>
            <w:r>
              <w:rPr>
                <w:rFonts w:asciiTheme="minorHAnsi" w:hAnsiTheme="minorHAnsi" w:cstheme="minorHAnsi"/>
              </w:rPr>
              <w:t>the</w:t>
            </w:r>
            <w:r w:rsidR="000159A6">
              <w:rPr>
                <w:rFonts w:asciiTheme="minorHAnsi" w:hAnsiTheme="minorHAnsi" w:cstheme="minorHAnsi"/>
              </w:rPr>
              <w:t xml:space="preserve"> </w:t>
            </w:r>
            <w:r w:rsidR="0037169B">
              <w:rPr>
                <w:rFonts w:cstheme="minorHAnsi"/>
              </w:rPr>
              <w:t>≥</w:t>
            </w:r>
            <w:r w:rsidR="000159A6">
              <w:rPr>
                <w:rFonts w:cstheme="minorHAnsi"/>
              </w:rPr>
              <w:t xml:space="preserve"> </w:t>
            </w:r>
            <w:r>
              <w:rPr>
                <w:rFonts w:asciiTheme="minorHAnsi" w:hAnsiTheme="minorHAnsi" w:cstheme="minorHAnsi"/>
              </w:rPr>
              <w:t>70</w:t>
            </w:r>
            <w:r w:rsidR="000159A6">
              <w:rPr>
                <w:rFonts w:asciiTheme="minorHAnsi" w:hAnsiTheme="minorHAnsi" w:cstheme="minorHAnsi"/>
              </w:rPr>
              <w:t xml:space="preserve"> </w:t>
            </w:r>
            <w:r>
              <w:rPr>
                <w:rFonts w:asciiTheme="minorHAnsi" w:hAnsiTheme="minorHAnsi" w:cstheme="minorHAnsi"/>
              </w:rPr>
              <w:t>years</w:t>
            </w:r>
            <w:r w:rsidR="000159A6">
              <w:rPr>
                <w:rFonts w:asciiTheme="minorHAnsi" w:hAnsiTheme="minorHAnsi" w:cstheme="minorHAnsi"/>
              </w:rPr>
              <w:t xml:space="preserve"> </w:t>
            </w:r>
            <w:r>
              <w:rPr>
                <w:rFonts w:asciiTheme="minorHAnsi" w:hAnsiTheme="minorHAnsi" w:cstheme="minorHAnsi"/>
              </w:rPr>
              <w:t>of</w:t>
            </w:r>
            <w:r w:rsidR="000159A6">
              <w:rPr>
                <w:rFonts w:asciiTheme="minorHAnsi" w:hAnsiTheme="minorHAnsi" w:cstheme="minorHAnsi"/>
              </w:rPr>
              <w:t xml:space="preserve"> </w:t>
            </w:r>
            <w:r>
              <w:rPr>
                <w:rFonts w:asciiTheme="minorHAnsi" w:hAnsiTheme="minorHAnsi" w:cstheme="minorHAnsi"/>
              </w:rPr>
              <w:t>age</w:t>
            </w:r>
            <w:r w:rsidR="000159A6">
              <w:rPr>
                <w:rFonts w:asciiTheme="minorHAnsi" w:hAnsiTheme="minorHAnsi" w:cstheme="minorHAnsi"/>
              </w:rPr>
              <w:t xml:space="preserve"> </w:t>
            </w:r>
            <w:r>
              <w:rPr>
                <w:rFonts w:asciiTheme="minorHAnsi" w:hAnsiTheme="minorHAnsi" w:cstheme="minorHAnsi"/>
              </w:rPr>
              <w:t>group</w:t>
            </w:r>
            <w:r w:rsidR="000159A6">
              <w:rPr>
                <w:rFonts w:asciiTheme="minorHAnsi" w:hAnsiTheme="minorHAnsi" w:cstheme="minorHAnsi"/>
              </w:rPr>
              <w:t xml:space="preserve"> </w:t>
            </w:r>
            <w:r>
              <w:rPr>
                <w:rFonts w:asciiTheme="minorHAnsi" w:hAnsiTheme="minorHAnsi" w:cstheme="minorHAnsi"/>
              </w:rPr>
              <w:t>which</w:t>
            </w:r>
            <w:r w:rsidR="000159A6">
              <w:rPr>
                <w:rFonts w:asciiTheme="minorHAnsi" w:hAnsiTheme="minorHAnsi" w:cstheme="minorHAnsi"/>
              </w:rPr>
              <w:t xml:space="preserve"> </w:t>
            </w:r>
            <w:r>
              <w:rPr>
                <w:rFonts w:asciiTheme="minorHAnsi" w:hAnsiTheme="minorHAnsi" w:cstheme="minorHAnsi"/>
              </w:rPr>
              <w:t>improved</w:t>
            </w:r>
            <w:r w:rsidR="000159A6">
              <w:rPr>
                <w:rFonts w:asciiTheme="minorHAnsi" w:hAnsiTheme="minorHAnsi" w:cstheme="minorHAnsi"/>
              </w:rPr>
              <w:t xml:space="preserve"> </w:t>
            </w:r>
            <w:r>
              <w:rPr>
                <w:rFonts w:asciiTheme="minorHAnsi" w:hAnsiTheme="minorHAnsi" w:cstheme="minorHAnsi"/>
              </w:rPr>
              <w:t>the</w:t>
            </w:r>
            <w:r w:rsidR="000159A6">
              <w:rPr>
                <w:rFonts w:asciiTheme="minorHAnsi" w:hAnsiTheme="minorHAnsi" w:cstheme="minorHAnsi"/>
              </w:rPr>
              <w:t xml:space="preserve"> </w:t>
            </w:r>
            <w:r>
              <w:rPr>
                <w:rFonts w:asciiTheme="minorHAnsi" w:hAnsiTheme="minorHAnsi" w:cstheme="minorHAnsi"/>
              </w:rPr>
              <w:t>power</w:t>
            </w:r>
            <w:r w:rsidR="000159A6">
              <w:rPr>
                <w:rFonts w:asciiTheme="minorHAnsi" w:hAnsiTheme="minorHAnsi" w:cstheme="minorHAnsi"/>
              </w:rPr>
              <w:t xml:space="preserve"> </w:t>
            </w:r>
            <w:r>
              <w:rPr>
                <w:rFonts w:asciiTheme="minorHAnsi" w:hAnsiTheme="minorHAnsi" w:cstheme="minorHAnsi"/>
              </w:rPr>
              <w:t>of</w:t>
            </w:r>
            <w:r w:rsidR="000159A6">
              <w:rPr>
                <w:rFonts w:asciiTheme="minorHAnsi" w:hAnsiTheme="minorHAnsi" w:cstheme="minorHAnsi"/>
              </w:rPr>
              <w:t xml:space="preserve"> </w:t>
            </w:r>
            <w:r>
              <w:rPr>
                <w:rFonts w:asciiTheme="minorHAnsi" w:hAnsiTheme="minorHAnsi" w:cstheme="minorHAnsi"/>
              </w:rPr>
              <w:t>results.</w:t>
            </w:r>
          </w:p>
        </w:tc>
      </w:tr>
      <w:tr w:rsidR="00624EB5" w:rsidRPr="00C37A1D" w14:paraId="7051D63A" w14:textId="77777777" w:rsidTr="003421E8">
        <w:tc>
          <w:tcPr>
            <w:tcW w:w="4111" w:type="dxa"/>
          </w:tcPr>
          <w:p w14:paraId="2CF9A457" w14:textId="49329CBB" w:rsidR="00624EB5" w:rsidRDefault="00624EB5" w:rsidP="00541F41">
            <w:pPr>
              <w:rPr>
                <w:rFonts w:asciiTheme="minorHAnsi" w:hAnsiTheme="minorHAnsi" w:cstheme="minorHAnsi"/>
              </w:rPr>
            </w:pPr>
            <w:r>
              <w:rPr>
                <w:rFonts w:asciiTheme="minorHAnsi" w:hAnsiTheme="minorHAnsi" w:cstheme="minorHAnsi"/>
              </w:rPr>
              <w:t>High</w:t>
            </w:r>
            <w:r w:rsidR="000159A6">
              <w:rPr>
                <w:rFonts w:asciiTheme="minorHAnsi" w:hAnsiTheme="minorHAnsi" w:cstheme="minorHAnsi"/>
              </w:rPr>
              <w:t xml:space="preserve"> </w:t>
            </w:r>
            <w:r>
              <w:rPr>
                <w:rFonts w:asciiTheme="minorHAnsi" w:hAnsiTheme="minorHAnsi" w:cstheme="minorHAnsi"/>
              </w:rPr>
              <w:t>vaccine</w:t>
            </w:r>
            <w:r w:rsidR="000159A6">
              <w:rPr>
                <w:rFonts w:asciiTheme="minorHAnsi" w:hAnsiTheme="minorHAnsi" w:cstheme="minorHAnsi"/>
              </w:rPr>
              <w:t xml:space="preserve"> </w:t>
            </w:r>
            <w:r>
              <w:rPr>
                <w:rFonts w:asciiTheme="minorHAnsi" w:hAnsiTheme="minorHAnsi" w:cstheme="minorHAnsi"/>
              </w:rPr>
              <w:t>efficacy</w:t>
            </w:r>
            <w:r w:rsidR="000159A6">
              <w:rPr>
                <w:rFonts w:asciiTheme="minorHAnsi" w:hAnsiTheme="minorHAnsi" w:cstheme="minorHAnsi"/>
              </w:rPr>
              <w:t xml:space="preserve"> </w:t>
            </w:r>
            <w:r>
              <w:rPr>
                <w:rFonts w:asciiTheme="minorHAnsi" w:hAnsiTheme="minorHAnsi" w:cstheme="minorHAnsi"/>
              </w:rPr>
              <w:t>against</w:t>
            </w:r>
            <w:r w:rsidR="000159A6">
              <w:rPr>
                <w:rFonts w:asciiTheme="minorHAnsi" w:hAnsiTheme="minorHAnsi" w:cstheme="minorHAnsi"/>
              </w:rPr>
              <w:t xml:space="preserve"> </w:t>
            </w:r>
            <w:r>
              <w:rPr>
                <w:rFonts w:asciiTheme="minorHAnsi" w:hAnsiTheme="minorHAnsi" w:cstheme="minorHAnsi"/>
              </w:rPr>
              <w:t>PHN:</w:t>
            </w:r>
          </w:p>
          <w:p w14:paraId="4DBF05C3" w14:textId="6C9C71A1" w:rsidR="00624EB5" w:rsidRPr="004954D4" w:rsidRDefault="0037169B" w:rsidP="00541F41">
            <w:r>
              <w:t>≥</w:t>
            </w:r>
            <w:r w:rsidR="000159A6">
              <w:t xml:space="preserve"> </w:t>
            </w:r>
            <w:r w:rsidR="00624EB5" w:rsidRPr="004954D4">
              <w:t>50</w:t>
            </w:r>
            <w:r w:rsidR="000159A6">
              <w:t xml:space="preserve"> </w:t>
            </w:r>
            <w:r w:rsidR="00624EB5">
              <w:t>years</w:t>
            </w:r>
            <w:r w:rsidR="000159A6">
              <w:t xml:space="preserve"> </w:t>
            </w:r>
            <w:r w:rsidR="00624EB5">
              <w:t>of</w:t>
            </w:r>
            <w:r w:rsidR="000159A6">
              <w:t xml:space="preserve"> </w:t>
            </w:r>
            <w:r w:rsidR="00624EB5">
              <w:t>age:</w:t>
            </w:r>
            <w:r w:rsidR="000159A6">
              <w:t xml:space="preserve"> </w:t>
            </w:r>
            <w:r w:rsidR="00624EB5">
              <w:t>100%</w:t>
            </w:r>
            <w:r w:rsidR="000159A6">
              <w:t xml:space="preserve"> </w:t>
            </w:r>
            <w:r w:rsidR="00624EB5">
              <w:t>(95%</w:t>
            </w:r>
            <w:r w:rsidR="000159A6">
              <w:t xml:space="preserve"> </w:t>
            </w:r>
            <w:r w:rsidR="00624EB5">
              <w:t>CI:</w:t>
            </w:r>
            <w:r w:rsidR="000159A6">
              <w:t xml:space="preserve"> </w:t>
            </w:r>
            <w:r w:rsidR="00624EB5">
              <w:t>77.1</w:t>
            </w:r>
            <w:r w:rsidR="000159A6">
              <w:t xml:space="preserve"> </w:t>
            </w:r>
            <w:r w:rsidR="00624EB5">
              <w:t>to</w:t>
            </w:r>
            <w:r w:rsidR="000159A6">
              <w:t xml:space="preserve"> </w:t>
            </w:r>
            <w:r w:rsidR="00624EB5" w:rsidRPr="004954D4">
              <w:t>100.0%)</w:t>
            </w:r>
          </w:p>
          <w:p w14:paraId="193E2473" w14:textId="7D2EAD26" w:rsidR="00624EB5" w:rsidRPr="004954D4" w:rsidRDefault="0037169B" w:rsidP="00541F41">
            <w:r>
              <w:t>≥</w:t>
            </w:r>
            <w:r w:rsidR="000159A6">
              <w:t xml:space="preserve"> </w:t>
            </w:r>
            <w:r w:rsidR="00624EB5" w:rsidRPr="004954D4">
              <w:t>70</w:t>
            </w:r>
            <w:r w:rsidR="000159A6">
              <w:t xml:space="preserve"> </w:t>
            </w:r>
            <w:r w:rsidR="00624EB5">
              <w:t>years</w:t>
            </w:r>
            <w:r w:rsidR="000159A6">
              <w:t xml:space="preserve"> </w:t>
            </w:r>
            <w:r w:rsidR="00624EB5">
              <w:t>of</w:t>
            </w:r>
            <w:r w:rsidR="000159A6">
              <w:t xml:space="preserve"> </w:t>
            </w:r>
            <w:r w:rsidR="00624EB5">
              <w:t>age:</w:t>
            </w:r>
            <w:r w:rsidR="000159A6">
              <w:t xml:space="preserve"> </w:t>
            </w:r>
            <w:r w:rsidR="00624EB5">
              <w:t>88.8%</w:t>
            </w:r>
            <w:r w:rsidR="000159A6">
              <w:t xml:space="preserve"> </w:t>
            </w:r>
            <w:r w:rsidR="00624EB5">
              <w:t>(95%</w:t>
            </w:r>
            <w:r w:rsidR="000159A6">
              <w:t xml:space="preserve"> </w:t>
            </w:r>
            <w:r w:rsidR="00624EB5">
              <w:t>CI:</w:t>
            </w:r>
            <w:r w:rsidR="000159A6">
              <w:t xml:space="preserve"> </w:t>
            </w:r>
            <w:r w:rsidR="00624EB5">
              <w:t>68.7</w:t>
            </w:r>
            <w:r w:rsidR="000159A6">
              <w:t xml:space="preserve"> </w:t>
            </w:r>
            <w:r w:rsidR="00624EB5">
              <w:t>to</w:t>
            </w:r>
            <w:r w:rsidR="000159A6">
              <w:t xml:space="preserve"> </w:t>
            </w:r>
            <w:r w:rsidR="00624EB5" w:rsidRPr="004954D4">
              <w:t>97.1%)</w:t>
            </w:r>
          </w:p>
        </w:tc>
        <w:tc>
          <w:tcPr>
            <w:tcW w:w="4678" w:type="dxa"/>
          </w:tcPr>
          <w:p w14:paraId="6834788F" w14:textId="5B8E849D" w:rsidR="00624EB5" w:rsidRPr="00967762" w:rsidRDefault="00624EB5" w:rsidP="00541F41">
            <w:pPr>
              <w:rPr>
                <w:rFonts w:asciiTheme="minorHAnsi" w:hAnsiTheme="minorHAnsi" w:cstheme="minorHAnsi"/>
              </w:rPr>
            </w:pPr>
            <w:r>
              <w:rPr>
                <w:rFonts w:asciiTheme="minorHAnsi" w:hAnsiTheme="minorHAnsi" w:cstheme="minorHAnsi"/>
              </w:rPr>
              <w:t>Study</w:t>
            </w:r>
            <w:r w:rsidR="000159A6">
              <w:rPr>
                <w:rFonts w:asciiTheme="minorHAnsi" w:hAnsiTheme="minorHAnsi" w:cstheme="minorHAnsi"/>
              </w:rPr>
              <w:t xml:space="preserve"> </w:t>
            </w:r>
            <w:r>
              <w:rPr>
                <w:rFonts w:asciiTheme="minorHAnsi" w:hAnsiTheme="minorHAnsi" w:cstheme="minorHAnsi"/>
              </w:rPr>
              <w:t>ZOSTER-006</w:t>
            </w:r>
            <w:r w:rsidR="000159A6">
              <w:rPr>
                <w:rFonts w:asciiTheme="minorHAnsi" w:hAnsiTheme="minorHAnsi" w:cstheme="minorHAnsi"/>
              </w:rPr>
              <w:t xml:space="preserve"> </w:t>
            </w:r>
            <w:r>
              <w:rPr>
                <w:rFonts w:asciiTheme="minorHAnsi" w:hAnsiTheme="minorHAnsi" w:cstheme="minorHAnsi"/>
              </w:rPr>
              <w:t>in</w:t>
            </w:r>
            <w:r w:rsidR="000159A6">
              <w:rPr>
                <w:rFonts w:asciiTheme="minorHAnsi" w:hAnsiTheme="minorHAnsi" w:cstheme="minorHAnsi"/>
              </w:rPr>
              <w:t xml:space="preserve"> </w:t>
            </w:r>
            <w:r w:rsidR="0037169B">
              <w:rPr>
                <w:rFonts w:cstheme="minorHAnsi"/>
              </w:rPr>
              <w:t>≥</w:t>
            </w:r>
            <w:r w:rsidR="000159A6">
              <w:rPr>
                <w:rFonts w:cstheme="minorHAnsi"/>
              </w:rPr>
              <w:t xml:space="preserve"> </w:t>
            </w:r>
            <w:r>
              <w:rPr>
                <w:rFonts w:cstheme="minorHAnsi"/>
              </w:rPr>
              <w:t>50</w:t>
            </w:r>
            <w:r w:rsidR="000159A6">
              <w:rPr>
                <w:rFonts w:cstheme="minorHAnsi"/>
              </w:rPr>
              <w:t xml:space="preserve"> </w:t>
            </w:r>
            <w:r>
              <w:rPr>
                <w:rFonts w:cstheme="minorHAnsi"/>
              </w:rPr>
              <w:t>years</w:t>
            </w:r>
            <w:r w:rsidR="000159A6">
              <w:rPr>
                <w:rFonts w:cstheme="minorHAnsi"/>
              </w:rPr>
              <w:t xml:space="preserve"> </w:t>
            </w:r>
            <w:r>
              <w:rPr>
                <w:rFonts w:cstheme="minorHAnsi"/>
              </w:rPr>
              <w:t>of</w:t>
            </w:r>
            <w:r w:rsidR="000159A6">
              <w:rPr>
                <w:rFonts w:cstheme="minorHAnsi"/>
              </w:rPr>
              <w:t xml:space="preserve"> </w:t>
            </w:r>
            <w:r>
              <w:rPr>
                <w:rFonts w:cstheme="minorHAnsi"/>
              </w:rPr>
              <w:t>age</w:t>
            </w:r>
            <w:r w:rsidR="000159A6">
              <w:rPr>
                <w:rFonts w:cstheme="minorHAnsi"/>
              </w:rPr>
              <w:t xml:space="preserve"> </w:t>
            </w:r>
            <w:r>
              <w:rPr>
                <w:rFonts w:cstheme="minorHAnsi"/>
              </w:rPr>
              <w:t>subjects</w:t>
            </w:r>
            <w:r w:rsidR="000159A6">
              <w:rPr>
                <w:rFonts w:cstheme="minorHAnsi"/>
              </w:rPr>
              <w:t xml:space="preserve"> </w:t>
            </w:r>
            <w:r>
              <w:rPr>
                <w:rFonts w:asciiTheme="minorHAnsi" w:hAnsiTheme="minorHAnsi" w:cstheme="minorHAnsi"/>
              </w:rPr>
              <w:t>was</w:t>
            </w:r>
            <w:r w:rsidR="000159A6">
              <w:rPr>
                <w:rFonts w:asciiTheme="minorHAnsi" w:hAnsiTheme="minorHAnsi" w:cstheme="minorHAnsi"/>
              </w:rPr>
              <w:t xml:space="preserve"> </w:t>
            </w:r>
            <w:r>
              <w:rPr>
                <w:rFonts w:asciiTheme="minorHAnsi" w:hAnsiTheme="minorHAnsi" w:cstheme="minorHAnsi"/>
              </w:rPr>
              <w:t>not</w:t>
            </w:r>
            <w:r w:rsidR="000159A6">
              <w:rPr>
                <w:rFonts w:asciiTheme="minorHAnsi" w:hAnsiTheme="minorHAnsi" w:cstheme="minorHAnsi"/>
              </w:rPr>
              <w:t xml:space="preserve"> </w:t>
            </w:r>
            <w:r>
              <w:rPr>
                <w:rFonts w:asciiTheme="minorHAnsi" w:hAnsiTheme="minorHAnsi" w:cstheme="minorHAnsi"/>
              </w:rPr>
              <w:t>powered</w:t>
            </w:r>
            <w:r w:rsidR="000159A6">
              <w:rPr>
                <w:rFonts w:asciiTheme="minorHAnsi" w:hAnsiTheme="minorHAnsi" w:cstheme="minorHAnsi"/>
              </w:rPr>
              <w:t xml:space="preserve"> </w:t>
            </w:r>
            <w:r>
              <w:rPr>
                <w:rFonts w:asciiTheme="minorHAnsi" w:hAnsiTheme="minorHAnsi" w:cstheme="minorHAnsi"/>
              </w:rPr>
              <w:t>for</w:t>
            </w:r>
            <w:r w:rsidR="000159A6">
              <w:rPr>
                <w:rFonts w:asciiTheme="minorHAnsi" w:hAnsiTheme="minorHAnsi" w:cstheme="minorHAnsi"/>
              </w:rPr>
              <w:t xml:space="preserve"> </w:t>
            </w:r>
            <w:r>
              <w:rPr>
                <w:rFonts w:asciiTheme="minorHAnsi" w:hAnsiTheme="minorHAnsi" w:cstheme="minorHAnsi"/>
              </w:rPr>
              <w:t>the</w:t>
            </w:r>
            <w:r w:rsidR="000159A6">
              <w:rPr>
                <w:rFonts w:asciiTheme="minorHAnsi" w:hAnsiTheme="minorHAnsi" w:cstheme="minorHAnsi"/>
              </w:rPr>
              <w:t xml:space="preserve"> </w:t>
            </w:r>
            <w:r>
              <w:rPr>
                <w:rFonts w:asciiTheme="minorHAnsi" w:hAnsiTheme="minorHAnsi" w:cstheme="minorHAnsi"/>
              </w:rPr>
              <w:t>PHN</w:t>
            </w:r>
            <w:r w:rsidR="000159A6">
              <w:rPr>
                <w:rFonts w:asciiTheme="minorHAnsi" w:hAnsiTheme="minorHAnsi" w:cstheme="minorHAnsi"/>
              </w:rPr>
              <w:t xml:space="preserve"> </w:t>
            </w:r>
            <w:r>
              <w:rPr>
                <w:rFonts w:asciiTheme="minorHAnsi" w:hAnsiTheme="minorHAnsi" w:cstheme="minorHAnsi"/>
              </w:rPr>
              <w:t>secondary</w:t>
            </w:r>
            <w:r w:rsidR="000159A6">
              <w:rPr>
                <w:rFonts w:asciiTheme="minorHAnsi" w:hAnsiTheme="minorHAnsi" w:cstheme="minorHAnsi"/>
              </w:rPr>
              <w:t xml:space="preserve"> </w:t>
            </w:r>
            <w:r>
              <w:rPr>
                <w:rFonts w:asciiTheme="minorHAnsi" w:hAnsiTheme="minorHAnsi" w:cstheme="minorHAnsi"/>
              </w:rPr>
              <w:t>endpoint,</w:t>
            </w:r>
            <w:r w:rsidR="000159A6">
              <w:rPr>
                <w:rFonts w:asciiTheme="minorHAnsi" w:hAnsiTheme="minorHAnsi" w:cstheme="minorHAnsi"/>
              </w:rPr>
              <w:t xml:space="preserve"> </w:t>
            </w:r>
            <w:r>
              <w:rPr>
                <w:rFonts w:asciiTheme="minorHAnsi" w:hAnsiTheme="minorHAnsi" w:cstheme="minorHAnsi"/>
              </w:rPr>
              <w:t>however</w:t>
            </w:r>
            <w:r w:rsidR="000159A6">
              <w:rPr>
                <w:rFonts w:asciiTheme="minorHAnsi" w:hAnsiTheme="minorHAnsi" w:cstheme="minorHAnsi"/>
              </w:rPr>
              <w:t xml:space="preserve"> </w:t>
            </w:r>
            <w:r>
              <w:rPr>
                <w:rFonts w:asciiTheme="minorHAnsi" w:hAnsiTheme="minorHAnsi" w:cstheme="minorHAnsi"/>
              </w:rPr>
              <w:t>in</w:t>
            </w:r>
            <w:r w:rsidR="000159A6">
              <w:rPr>
                <w:rFonts w:asciiTheme="minorHAnsi" w:hAnsiTheme="minorHAnsi" w:cstheme="minorHAnsi"/>
              </w:rPr>
              <w:t xml:space="preserve"> </w:t>
            </w:r>
            <w:r>
              <w:rPr>
                <w:rFonts w:asciiTheme="minorHAnsi" w:hAnsiTheme="minorHAnsi" w:cstheme="minorHAnsi"/>
              </w:rPr>
              <w:t>the</w:t>
            </w:r>
            <w:r w:rsidR="000159A6">
              <w:rPr>
                <w:rFonts w:asciiTheme="minorHAnsi" w:hAnsiTheme="minorHAnsi" w:cstheme="minorHAnsi"/>
              </w:rPr>
              <w:t xml:space="preserve"> </w:t>
            </w:r>
            <w:r w:rsidR="0037169B">
              <w:rPr>
                <w:rFonts w:cstheme="minorHAnsi"/>
              </w:rPr>
              <w:t>≥</w:t>
            </w:r>
            <w:r w:rsidR="000159A6">
              <w:rPr>
                <w:rFonts w:cstheme="minorHAnsi"/>
              </w:rPr>
              <w:t xml:space="preserve"> </w:t>
            </w:r>
            <w:r>
              <w:rPr>
                <w:rFonts w:cstheme="minorHAnsi"/>
              </w:rPr>
              <w:t>70</w:t>
            </w:r>
            <w:r w:rsidR="000159A6">
              <w:rPr>
                <w:rFonts w:cstheme="minorHAnsi"/>
              </w:rPr>
              <w:t xml:space="preserve"> </w:t>
            </w:r>
            <w:r>
              <w:rPr>
                <w:rFonts w:cstheme="minorHAnsi"/>
              </w:rPr>
              <w:t>years</w:t>
            </w:r>
            <w:r w:rsidR="000159A6">
              <w:rPr>
                <w:rFonts w:cstheme="minorHAnsi"/>
              </w:rPr>
              <w:t xml:space="preserve"> </w:t>
            </w:r>
            <w:r>
              <w:rPr>
                <w:rFonts w:cstheme="minorHAnsi"/>
              </w:rPr>
              <w:t>of</w:t>
            </w:r>
            <w:r w:rsidR="000159A6">
              <w:rPr>
                <w:rFonts w:cstheme="minorHAnsi"/>
              </w:rPr>
              <w:t xml:space="preserve"> </w:t>
            </w:r>
            <w:r>
              <w:rPr>
                <w:rFonts w:cstheme="minorHAnsi"/>
              </w:rPr>
              <w:t>age</w:t>
            </w:r>
            <w:r w:rsidR="000159A6">
              <w:rPr>
                <w:rFonts w:cstheme="minorHAnsi"/>
              </w:rPr>
              <w:t xml:space="preserve"> </w:t>
            </w:r>
            <w:r>
              <w:rPr>
                <w:rFonts w:cstheme="minorHAnsi"/>
              </w:rPr>
              <w:t>group</w:t>
            </w:r>
            <w:r w:rsidR="000159A6">
              <w:rPr>
                <w:rFonts w:cstheme="minorHAnsi"/>
              </w:rPr>
              <w:t xml:space="preserve"> </w:t>
            </w:r>
            <w:r>
              <w:rPr>
                <w:rFonts w:cstheme="minorHAnsi"/>
              </w:rPr>
              <w:t>PHN</w:t>
            </w:r>
            <w:r w:rsidR="000159A6">
              <w:rPr>
                <w:rFonts w:cstheme="minorHAnsi"/>
              </w:rPr>
              <w:t xml:space="preserve"> </w:t>
            </w:r>
            <w:r>
              <w:rPr>
                <w:rFonts w:cstheme="minorHAnsi"/>
              </w:rPr>
              <w:t>was</w:t>
            </w:r>
            <w:r w:rsidR="000159A6">
              <w:rPr>
                <w:rFonts w:cstheme="minorHAnsi"/>
              </w:rPr>
              <w:t xml:space="preserve"> </w:t>
            </w:r>
            <w:r>
              <w:rPr>
                <w:rFonts w:cstheme="minorHAnsi"/>
              </w:rPr>
              <w:t>the</w:t>
            </w:r>
            <w:r w:rsidR="000159A6">
              <w:rPr>
                <w:rFonts w:cstheme="minorHAnsi"/>
              </w:rPr>
              <w:t xml:space="preserve"> </w:t>
            </w:r>
            <w:r>
              <w:rPr>
                <w:rFonts w:cstheme="minorHAnsi"/>
              </w:rPr>
              <w:t>primary</w:t>
            </w:r>
            <w:r w:rsidR="000159A6">
              <w:rPr>
                <w:rFonts w:cstheme="minorHAnsi"/>
              </w:rPr>
              <w:t xml:space="preserve"> </w:t>
            </w:r>
            <w:r>
              <w:rPr>
                <w:rFonts w:cstheme="minorHAnsi"/>
              </w:rPr>
              <w:t>endpoint</w:t>
            </w:r>
            <w:r w:rsidR="000159A6">
              <w:rPr>
                <w:rFonts w:cstheme="minorHAnsi"/>
              </w:rPr>
              <w:t xml:space="preserve"> </w:t>
            </w:r>
            <w:r>
              <w:rPr>
                <w:rFonts w:cstheme="minorHAnsi"/>
              </w:rPr>
              <w:t>in</w:t>
            </w:r>
            <w:r w:rsidR="000159A6">
              <w:rPr>
                <w:rFonts w:cstheme="minorHAnsi"/>
              </w:rPr>
              <w:t xml:space="preserve"> </w:t>
            </w:r>
            <w:r>
              <w:rPr>
                <w:rFonts w:asciiTheme="minorHAnsi" w:hAnsiTheme="minorHAnsi" w:cstheme="minorHAnsi"/>
              </w:rPr>
              <w:t>the</w:t>
            </w:r>
            <w:r w:rsidR="000159A6">
              <w:rPr>
                <w:rFonts w:asciiTheme="minorHAnsi" w:hAnsiTheme="minorHAnsi" w:cstheme="minorHAnsi"/>
              </w:rPr>
              <w:t xml:space="preserve"> </w:t>
            </w:r>
            <w:r>
              <w:rPr>
                <w:rFonts w:asciiTheme="minorHAnsi" w:hAnsiTheme="minorHAnsi" w:cstheme="minorHAnsi"/>
              </w:rPr>
              <w:t>pooled</w:t>
            </w:r>
            <w:r w:rsidR="000159A6">
              <w:rPr>
                <w:rFonts w:asciiTheme="minorHAnsi" w:hAnsiTheme="minorHAnsi" w:cstheme="minorHAnsi"/>
              </w:rPr>
              <w:t xml:space="preserve"> </w:t>
            </w:r>
            <w:r>
              <w:rPr>
                <w:rFonts w:asciiTheme="minorHAnsi" w:hAnsiTheme="minorHAnsi" w:cstheme="minorHAnsi"/>
              </w:rPr>
              <w:t>analysis</w:t>
            </w:r>
            <w:r w:rsidR="000159A6">
              <w:rPr>
                <w:rFonts w:asciiTheme="minorHAnsi" w:hAnsiTheme="minorHAnsi" w:cstheme="minorHAnsi"/>
              </w:rPr>
              <w:t xml:space="preserve"> </w:t>
            </w:r>
            <w:r>
              <w:rPr>
                <w:rFonts w:asciiTheme="minorHAnsi" w:hAnsiTheme="minorHAnsi" w:cstheme="minorHAnsi"/>
              </w:rPr>
              <w:t>and</w:t>
            </w:r>
            <w:r w:rsidR="000159A6">
              <w:rPr>
                <w:rFonts w:asciiTheme="minorHAnsi" w:hAnsiTheme="minorHAnsi" w:cstheme="minorHAnsi"/>
              </w:rPr>
              <w:t xml:space="preserve"> </w:t>
            </w:r>
            <w:r>
              <w:rPr>
                <w:rFonts w:asciiTheme="minorHAnsi" w:hAnsiTheme="minorHAnsi" w:cstheme="minorHAnsi"/>
              </w:rPr>
              <w:t>this</w:t>
            </w:r>
            <w:r w:rsidR="000159A6">
              <w:rPr>
                <w:rFonts w:asciiTheme="minorHAnsi" w:hAnsiTheme="minorHAnsi" w:cstheme="minorHAnsi"/>
              </w:rPr>
              <w:t xml:space="preserve"> </w:t>
            </w:r>
            <w:r>
              <w:rPr>
                <w:rFonts w:asciiTheme="minorHAnsi" w:hAnsiTheme="minorHAnsi" w:cstheme="minorHAnsi"/>
              </w:rPr>
              <w:t>result</w:t>
            </w:r>
            <w:r w:rsidR="000159A6">
              <w:rPr>
                <w:rFonts w:asciiTheme="minorHAnsi" w:hAnsiTheme="minorHAnsi" w:cstheme="minorHAnsi"/>
              </w:rPr>
              <w:t xml:space="preserve"> </w:t>
            </w:r>
            <w:r w:rsidRPr="004954D4">
              <w:rPr>
                <w:rFonts w:asciiTheme="minorHAnsi" w:hAnsiTheme="minorHAnsi" w:cstheme="minorHAnsi"/>
              </w:rPr>
              <w:t>is</w:t>
            </w:r>
            <w:r w:rsidR="000159A6">
              <w:rPr>
                <w:rFonts w:asciiTheme="minorHAnsi" w:hAnsiTheme="minorHAnsi" w:cstheme="minorHAnsi"/>
              </w:rPr>
              <w:t xml:space="preserve"> </w:t>
            </w:r>
            <w:r w:rsidRPr="004954D4">
              <w:rPr>
                <w:rFonts w:asciiTheme="minorHAnsi" w:hAnsiTheme="minorHAnsi" w:cstheme="minorHAnsi"/>
              </w:rPr>
              <w:t>robust.</w:t>
            </w:r>
          </w:p>
        </w:tc>
      </w:tr>
      <w:tr w:rsidR="00624EB5" w:rsidRPr="00111D0E" w14:paraId="23445308" w14:textId="77777777" w:rsidTr="003421E8">
        <w:tc>
          <w:tcPr>
            <w:tcW w:w="4111" w:type="dxa"/>
          </w:tcPr>
          <w:p w14:paraId="2195BECB" w14:textId="4AFB49EC" w:rsidR="00624EB5" w:rsidRPr="00503C22" w:rsidRDefault="00624EB5" w:rsidP="00541F41">
            <w:pPr>
              <w:rPr>
                <w:rFonts w:asciiTheme="minorHAnsi" w:hAnsiTheme="minorHAnsi" w:cstheme="minorHAnsi"/>
              </w:rPr>
            </w:pPr>
            <w:r w:rsidRPr="00503C22">
              <w:rPr>
                <w:rFonts w:asciiTheme="minorHAnsi" w:hAnsiTheme="minorHAnsi" w:cstheme="minorHAnsi"/>
              </w:rPr>
              <w:t>No</w:t>
            </w:r>
            <w:r w:rsidR="000159A6">
              <w:rPr>
                <w:rFonts w:asciiTheme="minorHAnsi" w:hAnsiTheme="minorHAnsi" w:cstheme="minorHAnsi"/>
              </w:rPr>
              <w:t xml:space="preserve"> </w:t>
            </w:r>
            <w:r w:rsidRPr="00503C22">
              <w:rPr>
                <w:rFonts w:asciiTheme="minorHAnsi" w:hAnsiTheme="minorHAnsi" w:cstheme="minorHAnsi"/>
              </w:rPr>
              <w:t>major</w:t>
            </w:r>
            <w:r w:rsidR="000159A6">
              <w:rPr>
                <w:rFonts w:asciiTheme="minorHAnsi" w:hAnsiTheme="minorHAnsi" w:cstheme="minorHAnsi"/>
              </w:rPr>
              <w:t xml:space="preserve"> </w:t>
            </w:r>
            <w:r w:rsidRPr="00503C22">
              <w:rPr>
                <w:rFonts w:asciiTheme="minorHAnsi" w:hAnsiTheme="minorHAnsi" w:cstheme="minorHAnsi"/>
              </w:rPr>
              <w:t>safety</w:t>
            </w:r>
            <w:r w:rsidR="000159A6">
              <w:rPr>
                <w:rFonts w:asciiTheme="minorHAnsi" w:hAnsiTheme="minorHAnsi" w:cstheme="minorHAnsi"/>
              </w:rPr>
              <w:t xml:space="preserve"> </w:t>
            </w:r>
            <w:r w:rsidRPr="00503C22">
              <w:rPr>
                <w:rFonts w:asciiTheme="minorHAnsi" w:hAnsiTheme="minorHAnsi" w:cstheme="minorHAnsi"/>
              </w:rPr>
              <w:t>signals</w:t>
            </w:r>
            <w:r w:rsidR="000159A6">
              <w:rPr>
                <w:rFonts w:asciiTheme="minorHAnsi" w:hAnsiTheme="minorHAnsi" w:cstheme="minorHAnsi"/>
              </w:rPr>
              <w:t xml:space="preserve"> </w:t>
            </w:r>
          </w:p>
        </w:tc>
        <w:tc>
          <w:tcPr>
            <w:tcW w:w="4678" w:type="dxa"/>
          </w:tcPr>
          <w:p w14:paraId="54A70514" w14:textId="193D829F" w:rsidR="00624EB5" w:rsidRPr="00111D0E" w:rsidRDefault="00624EB5" w:rsidP="00541F41">
            <w:pPr>
              <w:rPr>
                <w:rFonts w:asciiTheme="minorHAnsi" w:hAnsiTheme="minorHAnsi" w:cstheme="minorHAnsi"/>
                <w:i/>
              </w:rPr>
            </w:pPr>
            <w:r w:rsidRPr="00503C22">
              <w:rPr>
                <w:rFonts w:cstheme="minorHAnsi"/>
              </w:rPr>
              <w:t>The</w:t>
            </w:r>
            <w:r w:rsidR="000159A6">
              <w:rPr>
                <w:rFonts w:cstheme="minorHAnsi"/>
              </w:rPr>
              <w:t xml:space="preserve"> </w:t>
            </w:r>
            <w:r w:rsidRPr="00503C22">
              <w:rPr>
                <w:rFonts w:cstheme="minorHAnsi"/>
              </w:rPr>
              <w:t>safety</w:t>
            </w:r>
            <w:r w:rsidR="000159A6">
              <w:rPr>
                <w:rFonts w:cstheme="minorHAnsi"/>
              </w:rPr>
              <w:t xml:space="preserve"> </w:t>
            </w:r>
            <w:r w:rsidRPr="00503C22">
              <w:rPr>
                <w:rFonts w:cstheme="minorHAnsi"/>
              </w:rPr>
              <w:t>dataset</w:t>
            </w:r>
            <w:r w:rsidR="000159A6">
              <w:rPr>
                <w:rFonts w:cstheme="minorHAnsi"/>
              </w:rPr>
              <w:t xml:space="preserve"> </w:t>
            </w:r>
            <w:r>
              <w:rPr>
                <w:rFonts w:cstheme="minorHAnsi"/>
              </w:rPr>
              <w:t>included</w:t>
            </w:r>
            <w:r w:rsidR="000159A6">
              <w:rPr>
                <w:rFonts w:cstheme="minorHAnsi"/>
              </w:rPr>
              <w:t xml:space="preserve"> </w:t>
            </w:r>
            <w:r>
              <w:rPr>
                <w:rFonts w:cstheme="minorHAnsi"/>
              </w:rPr>
              <w:t>a</w:t>
            </w:r>
            <w:r w:rsidR="000159A6">
              <w:rPr>
                <w:rFonts w:cstheme="minorHAnsi"/>
              </w:rPr>
              <w:t xml:space="preserve"> </w:t>
            </w:r>
            <w:r>
              <w:rPr>
                <w:rFonts w:cstheme="minorHAnsi"/>
              </w:rPr>
              <w:t>broad</w:t>
            </w:r>
            <w:r w:rsidR="000159A6">
              <w:rPr>
                <w:rFonts w:cstheme="minorHAnsi"/>
              </w:rPr>
              <w:t xml:space="preserve"> </w:t>
            </w:r>
            <w:r>
              <w:rPr>
                <w:rFonts w:cstheme="minorHAnsi"/>
              </w:rPr>
              <w:t>population</w:t>
            </w:r>
            <w:r w:rsidR="000159A6">
              <w:rPr>
                <w:rFonts w:cstheme="minorHAnsi"/>
              </w:rPr>
              <w:t xml:space="preserve"> </w:t>
            </w:r>
            <w:r>
              <w:rPr>
                <w:rFonts w:cstheme="minorHAnsi"/>
              </w:rPr>
              <w:t>of</w:t>
            </w:r>
            <w:r w:rsidR="000159A6">
              <w:rPr>
                <w:rFonts w:cstheme="minorHAnsi"/>
              </w:rPr>
              <w:t xml:space="preserve"> </w:t>
            </w:r>
            <w:r w:rsidRPr="00503C22">
              <w:rPr>
                <w:rFonts w:cstheme="minorHAnsi"/>
              </w:rPr>
              <w:t>17,000</w:t>
            </w:r>
            <w:r w:rsidR="000159A6">
              <w:rPr>
                <w:rFonts w:cstheme="minorHAnsi"/>
              </w:rPr>
              <w:t xml:space="preserve"> </w:t>
            </w:r>
            <w:r w:rsidRPr="00503C22">
              <w:rPr>
                <w:rFonts w:cstheme="minorHAnsi"/>
              </w:rPr>
              <w:t>exposed</w:t>
            </w:r>
            <w:r w:rsidR="000159A6">
              <w:rPr>
                <w:rFonts w:cstheme="minorHAnsi"/>
              </w:rPr>
              <w:t xml:space="preserve"> </w:t>
            </w:r>
            <w:r w:rsidRPr="00503C22">
              <w:rPr>
                <w:rFonts w:cstheme="minorHAnsi"/>
              </w:rPr>
              <w:t>subjects</w:t>
            </w:r>
            <w:r w:rsidR="000159A6">
              <w:rPr>
                <w:rFonts w:cstheme="minorHAnsi"/>
              </w:rPr>
              <w:t xml:space="preserve"> </w:t>
            </w:r>
            <w:r w:rsidRPr="00503C22">
              <w:rPr>
                <w:rFonts w:cstheme="minorHAnsi"/>
              </w:rPr>
              <w:t>with</w:t>
            </w:r>
            <w:r w:rsidR="000159A6">
              <w:rPr>
                <w:rFonts w:cstheme="minorHAnsi"/>
              </w:rPr>
              <w:t xml:space="preserve"> </w:t>
            </w:r>
            <w:r w:rsidRPr="00503C22">
              <w:rPr>
                <w:rFonts w:cstheme="minorHAnsi"/>
              </w:rPr>
              <w:t>a</w:t>
            </w:r>
            <w:r w:rsidR="000159A6">
              <w:rPr>
                <w:rFonts w:cstheme="minorHAnsi"/>
              </w:rPr>
              <w:t xml:space="preserve"> </w:t>
            </w:r>
            <w:r w:rsidRPr="00503C22">
              <w:rPr>
                <w:rFonts w:cstheme="minorHAnsi"/>
              </w:rPr>
              <w:t>median</w:t>
            </w:r>
            <w:r w:rsidR="000159A6">
              <w:rPr>
                <w:rFonts w:cstheme="minorHAnsi"/>
              </w:rPr>
              <w:t xml:space="preserve"> </w:t>
            </w:r>
            <w:r w:rsidRPr="00503C22">
              <w:rPr>
                <w:rFonts w:cstheme="minorHAnsi"/>
              </w:rPr>
              <w:t>follow</w:t>
            </w:r>
            <w:r w:rsidR="000159A6">
              <w:rPr>
                <w:rFonts w:cstheme="minorHAnsi"/>
              </w:rPr>
              <w:t xml:space="preserve"> </w:t>
            </w:r>
            <w:r w:rsidRPr="00503C22">
              <w:rPr>
                <w:rFonts w:cstheme="minorHAnsi"/>
              </w:rPr>
              <w:t>up</w:t>
            </w:r>
            <w:r w:rsidR="000159A6">
              <w:rPr>
                <w:rFonts w:cstheme="minorHAnsi"/>
              </w:rPr>
              <w:t xml:space="preserve"> </w:t>
            </w:r>
            <w:r w:rsidRPr="00503C22">
              <w:rPr>
                <w:rFonts w:cstheme="minorHAnsi"/>
              </w:rPr>
              <w:t>time</w:t>
            </w:r>
            <w:r w:rsidR="000159A6">
              <w:rPr>
                <w:rFonts w:cstheme="minorHAnsi"/>
              </w:rPr>
              <w:t xml:space="preserve"> </w:t>
            </w:r>
            <w:r w:rsidRPr="00503C22">
              <w:rPr>
                <w:rFonts w:cstheme="minorHAnsi"/>
              </w:rPr>
              <w:t>of</w:t>
            </w:r>
            <w:r w:rsidR="000159A6">
              <w:rPr>
                <w:rFonts w:cstheme="minorHAnsi"/>
              </w:rPr>
              <w:t xml:space="preserve"> </w:t>
            </w:r>
            <w:r w:rsidRPr="00503C22">
              <w:rPr>
                <w:rFonts w:cstheme="minorHAnsi"/>
              </w:rPr>
              <w:t>at</w:t>
            </w:r>
            <w:r w:rsidR="000159A6">
              <w:rPr>
                <w:rFonts w:cstheme="minorHAnsi"/>
              </w:rPr>
              <w:t xml:space="preserve"> </w:t>
            </w:r>
            <w:r w:rsidRPr="00503C22">
              <w:rPr>
                <w:rFonts w:cstheme="minorHAnsi"/>
              </w:rPr>
              <w:t>least</w:t>
            </w:r>
            <w:r w:rsidR="000159A6">
              <w:rPr>
                <w:rFonts w:cstheme="minorHAnsi"/>
              </w:rPr>
              <w:t xml:space="preserve"> </w:t>
            </w:r>
            <w:r w:rsidRPr="00503C22">
              <w:rPr>
                <w:rFonts w:cstheme="minorHAnsi"/>
              </w:rPr>
              <w:t>3</w:t>
            </w:r>
            <w:r w:rsidR="000159A6">
              <w:rPr>
                <w:rFonts w:cstheme="minorHAnsi"/>
              </w:rPr>
              <w:t xml:space="preserve"> </w:t>
            </w:r>
            <w:r w:rsidRPr="00503C22">
              <w:rPr>
                <w:rFonts w:cstheme="minorHAnsi"/>
              </w:rPr>
              <w:t>years.</w:t>
            </w:r>
            <w:r w:rsidR="000159A6">
              <w:rPr>
                <w:rFonts w:cstheme="minorHAnsi"/>
              </w:rPr>
              <w:t xml:space="preserve"> </w:t>
            </w:r>
            <w:r w:rsidRPr="00503C22">
              <w:rPr>
                <w:rFonts w:cstheme="minorHAnsi"/>
              </w:rPr>
              <w:t>From</w:t>
            </w:r>
            <w:r w:rsidR="000159A6">
              <w:rPr>
                <w:rFonts w:cstheme="minorHAnsi"/>
              </w:rPr>
              <w:t xml:space="preserve"> </w:t>
            </w:r>
            <w:r w:rsidRPr="00503C22">
              <w:rPr>
                <w:rFonts w:cstheme="minorHAnsi"/>
              </w:rPr>
              <w:t>this</w:t>
            </w:r>
            <w:r w:rsidR="000159A6">
              <w:rPr>
                <w:rFonts w:cstheme="minorHAnsi"/>
              </w:rPr>
              <w:t xml:space="preserve"> </w:t>
            </w:r>
            <w:r w:rsidRPr="00503C22">
              <w:rPr>
                <w:rFonts w:cstheme="minorHAnsi"/>
              </w:rPr>
              <w:t>there</w:t>
            </w:r>
            <w:r w:rsidR="000159A6">
              <w:rPr>
                <w:rFonts w:cstheme="minorHAnsi"/>
              </w:rPr>
              <w:t xml:space="preserve"> </w:t>
            </w:r>
            <w:r w:rsidRPr="00503C22">
              <w:rPr>
                <w:rFonts w:cstheme="minorHAnsi"/>
              </w:rPr>
              <w:t>was</w:t>
            </w:r>
            <w:r w:rsidR="000159A6">
              <w:rPr>
                <w:rFonts w:cstheme="minorHAnsi"/>
              </w:rPr>
              <w:t xml:space="preserve"> </w:t>
            </w:r>
            <w:r w:rsidRPr="00503C22">
              <w:rPr>
                <w:rFonts w:cstheme="minorHAnsi"/>
              </w:rPr>
              <w:t>no</w:t>
            </w:r>
            <w:r w:rsidR="000159A6">
              <w:rPr>
                <w:rFonts w:cstheme="minorHAnsi"/>
              </w:rPr>
              <w:t xml:space="preserve"> </w:t>
            </w:r>
            <w:r w:rsidRPr="00503C22">
              <w:rPr>
                <w:rFonts w:cstheme="minorHAnsi"/>
              </w:rPr>
              <w:t>increased</w:t>
            </w:r>
            <w:r w:rsidR="000159A6">
              <w:rPr>
                <w:rFonts w:cstheme="minorHAnsi"/>
              </w:rPr>
              <w:t xml:space="preserve"> </w:t>
            </w:r>
            <w:r w:rsidRPr="00503C22">
              <w:rPr>
                <w:rFonts w:cstheme="minorHAnsi"/>
              </w:rPr>
              <w:t>risk</w:t>
            </w:r>
            <w:r w:rsidR="000159A6">
              <w:rPr>
                <w:rFonts w:cstheme="minorHAnsi"/>
              </w:rPr>
              <w:t xml:space="preserve"> </w:t>
            </w:r>
            <w:r w:rsidRPr="00503C22">
              <w:rPr>
                <w:rFonts w:cstheme="minorHAnsi"/>
              </w:rPr>
              <w:t>of</w:t>
            </w:r>
            <w:r w:rsidR="000159A6">
              <w:rPr>
                <w:rFonts w:cstheme="minorHAnsi"/>
              </w:rPr>
              <w:t xml:space="preserve"> </w:t>
            </w:r>
            <w:r w:rsidRPr="00503C22">
              <w:rPr>
                <w:rFonts w:cstheme="minorHAnsi"/>
              </w:rPr>
              <w:t>death</w:t>
            </w:r>
            <w:r w:rsidRPr="00503C22">
              <w:rPr>
                <w:rFonts w:asciiTheme="minorHAnsi" w:hAnsiTheme="minorHAnsi" w:cstheme="minorHAnsi"/>
              </w:rPr>
              <w:t>,</w:t>
            </w:r>
            <w:r w:rsidR="000159A6">
              <w:rPr>
                <w:rFonts w:asciiTheme="minorHAnsi" w:hAnsiTheme="minorHAnsi" w:cstheme="minorHAnsi"/>
              </w:rPr>
              <w:t xml:space="preserve"> </w:t>
            </w:r>
            <w:r w:rsidRPr="00503C22">
              <w:rPr>
                <w:rFonts w:asciiTheme="minorHAnsi" w:hAnsiTheme="minorHAnsi" w:cstheme="minorHAnsi"/>
              </w:rPr>
              <w:t>SAEs</w:t>
            </w:r>
            <w:r w:rsidR="000159A6">
              <w:rPr>
                <w:rFonts w:asciiTheme="minorHAnsi" w:hAnsiTheme="minorHAnsi" w:cstheme="minorHAnsi"/>
              </w:rPr>
              <w:t xml:space="preserve"> </w:t>
            </w:r>
            <w:r w:rsidRPr="00503C22">
              <w:rPr>
                <w:rFonts w:asciiTheme="minorHAnsi" w:hAnsiTheme="minorHAnsi" w:cstheme="minorHAnsi"/>
              </w:rPr>
              <w:t>or</w:t>
            </w:r>
            <w:r w:rsidR="000159A6">
              <w:rPr>
                <w:rFonts w:asciiTheme="minorHAnsi" w:hAnsiTheme="minorHAnsi" w:cstheme="minorHAnsi"/>
              </w:rPr>
              <w:t xml:space="preserve"> </w:t>
            </w:r>
            <w:proofErr w:type="spellStart"/>
            <w:r w:rsidRPr="00503C22">
              <w:rPr>
                <w:rFonts w:asciiTheme="minorHAnsi" w:hAnsiTheme="minorHAnsi" w:cstheme="minorHAnsi"/>
              </w:rPr>
              <w:t>pIMDs</w:t>
            </w:r>
            <w:proofErr w:type="spellEnd"/>
            <w:r w:rsidRPr="00503C22">
              <w:rPr>
                <w:rFonts w:asciiTheme="minorHAnsi" w:hAnsiTheme="minorHAnsi" w:cstheme="minorHAnsi"/>
              </w:rPr>
              <w:t>.</w:t>
            </w:r>
          </w:p>
        </w:tc>
      </w:tr>
      <w:tr w:rsidR="00624EB5" w:rsidRPr="00637ED9" w14:paraId="2647F0F5" w14:textId="77777777" w:rsidTr="003421E8">
        <w:tc>
          <w:tcPr>
            <w:tcW w:w="4111" w:type="dxa"/>
          </w:tcPr>
          <w:p w14:paraId="3550DAA0" w14:textId="1DA9BBD0" w:rsidR="00624EB5" w:rsidRPr="00637ED9" w:rsidRDefault="00624EB5" w:rsidP="00541F41">
            <w:pPr>
              <w:rPr>
                <w:rFonts w:asciiTheme="minorHAnsi" w:hAnsiTheme="minorHAnsi" w:cstheme="minorHAnsi"/>
              </w:rPr>
            </w:pPr>
            <w:r w:rsidRPr="00637ED9">
              <w:rPr>
                <w:rFonts w:asciiTheme="minorHAnsi" w:hAnsiTheme="minorHAnsi" w:cstheme="minorHAnsi"/>
              </w:rPr>
              <w:t>Non-live</w:t>
            </w:r>
            <w:r w:rsidR="000159A6">
              <w:rPr>
                <w:rFonts w:asciiTheme="minorHAnsi" w:hAnsiTheme="minorHAnsi" w:cstheme="minorHAnsi"/>
              </w:rPr>
              <w:t xml:space="preserve"> </w:t>
            </w:r>
            <w:r w:rsidRPr="00637ED9">
              <w:rPr>
                <w:rFonts w:asciiTheme="minorHAnsi" w:hAnsiTheme="minorHAnsi" w:cstheme="minorHAnsi"/>
              </w:rPr>
              <w:t>vaccine</w:t>
            </w:r>
          </w:p>
        </w:tc>
        <w:tc>
          <w:tcPr>
            <w:tcW w:w="4678" w:type="dxa"/>
          </w:tcPr>
          <w:p w14:paraId="5193BF8C" w14:textId="6DA4A69F" w:rsidR="00624EB5" w:rsidRPr="00637ED9" w:rsidRDefault="00624EB5" w:rsidP="00541F41">
            <w:pPr>
              <w:rPr>
                <w:rFonts w:asciiTheme="minorHAnsi" w:hAnsiTheme="minorHAnsi" w:cstheme="minorHAnsi"/>
              </w:rPr>
            </w:pPr>
            <w:r w:rsidRPr="00637ED9">
              <w:rPr>
                <w:rFonts w:asciiTheme="minorHAnsi" w:hAnsiTheme="minorHAnsi" w:cstheme="minorHAnsi"/>
              </w:rPr>
              <w:t>There</w:t>
            </w:r>
            <w:r w:rsidR="000159A6">
              <w:rPr>
                <w:rFonts w:asciiTheme="minorHAnsi" w:hAnsiTheme="minorHAnsi" w:cstheme="minorHAnsi"/>
              </w:rPr>
              <w:t xml:space="preserve"> </w:t>
            </w:r>
            <w:r w:rsidRPr="00637ED9">
              <w:rPr>
                <w:rFonts w:asciiTheme="minorHAnsi" w:hAnsiTheme="minorHAnsi" w:cstheme="minorHAnsi"/>
              </w:rPr>
              <w:t>is</w:t>
            </w:r>
            <w:r w:rsidR="000159A6">
              <w:rPr>
                <w:rFonts w:asciiTheme="minorHAnsi" w:hAnsiTheme="minorHAnsi" w:cstheme="minorHAnsi"/>
              </w:rPr>
              <w:t xml:space="preserve"> </w:t>
            </w:r>
            <w:r w:rsidRPr="00637ED9">
              <w:rPr>
                <w:rFonts w:asciiTheme="minorHAnsi" w:hAnsiTheme="minorHAnsi" w:cstheme="minorHAnsi"/>
              </w:rPr>
              <w:t>a</w:t>
            </w:r>
            <w:r w:rsidR="000159A6">
              <w:rPr>
                <w:rFonts w:asciiTheme="minorHAnsi" w:hAnsiTheme="minorHAnsi" w:cstheme="minorHAnsi"/>
              </w:rPr>
              <w:t xml:space="preserve"> </w:t>
            </w:r>
            <w:r w:rsidRPr="00637ED9">
              <w:rPr>
                <w:rFonts w:asciiTheme="minorHAnsi" w:hAnsiTheme="minorHAnsi" w:cstheme="minorHAnsi"/>
              </w:rPr>
              <w:t>potential</w:t>
            </w:r>
            <w:r w:rsidR="000159A6">
              <w:rPr>
                <w:rFonts w:asciiTheme="minorHAnsi" w:hAnsiTheme="minorHAnsi" w:cstheme="minorHAnsi"/>
              </w:rPr>
              <w:t xml:space="preserve"> </w:t>
            </w:r>
            <w:r w:rsidRPr="00637ED9">
              <w:rPr>
                <w:rFonts w:asciiTheme="minorHAnsi" w:hAnsiTheme="minorHAnsi" w:cstheme="minorHAnsi"/>
              </w:rPr>
              <w:t>benefit</w:t>
            </w:r>
            <w:r w:rsidR="000159A6">
              <w:rPr>
                <w:rFonts w:asciiTheme="minorHAnsi" w:hAnsiTheme="minorHAnsi" w:cstheme="minorHAnsi"/>
              </w:rPr>
              <w:t xml:space="preserve"> </w:t>
            </w:r>
            <w:r w:rsidRPr="00637ED9">
              <w:rPr>
                <w:rFonts w:asciiTheme="minorHAnsi" w:hAnsiTheme="minorHAnsi" w:cstheme="minorHAnsi"/>
              </w:rPr>
              <w:t>to</w:t>
            </w:r>
            <w:r w:rsidR="000159A6">
              <w:rPr>
                <w:rFonts w:asciiTheme="minorHAnsi" w:hAnsiTheme="minorHAnsi" w:cstheme="minorHAnsi"/>
              </w:rPr>
              <w:t xml:space="preserve"> </w:t>
            </w:r>
            <w:r w:rsidRPr="00637ED9">
              <w:rPr>
                <w:rFonts w:asciiTheme="minorHAnsi" w:hAnsiTheme="minorHAnsi" w:cstheme="minorHAnsi"/>
              </w:rPr>
              <w:t>patients</w:t>
            </w:r>
            <w:r w:rsidR="000159A6">
              <w:rPr>
                <w:rFonts w:asciiTheme="minorHAnsi" w:hAnsiTheme="minorHAnsi" w:cstheme="minorHAnsi"/>
              </w:rPr>
              <w:t xml:space="preserve"> </w:t>
            </w:r>
            <w:r w:rsidRPr="00637ED9">
              <w:rPr>
                <w:rFonts w:asciiTheme="minorHAnsi" w:hAnsiTheme="minorHAnsi" w:cstheme="minorHAnsi"/>
              </w:rPr>
              <w:t>who</w:t>
            </w:r>
            <w:r w:rsidR="000159A6">
              <w:rPr>
                <w:rFonts w:asciiTheme="minorHAnsi" w:hAnsiTheme="minorHAnsi" w:cstheme="minorHAnsi"/>
              </w:rPr>
              <w:t xml:space="preserve"> </w:t>
            </w:r>
            <w:r w:rsidRPr="00637ED9">
              <w:rPr>
                <w:rFonts w:asciiTheme="minorHAnsi" w:hAnsiTheme="minorHAnsi" w:cstheme="minorHAnsi"/>
              </w:rPr>
              <w:t>cannot</w:t>
            </w:r>
            <w:r w:rsidR="000159A6">
              <w:rPr>
                <w:rFonts w:asciiTheme="minorHAnsi" w:hAnsiTheme="minorHAnsi" w:cstheme="minorHAnsi"/>
              </w:rPr>
              <w:t xml:space="preserve"> </w:t>
            </w:r>
            <w:r>
              <w:rPr>
                <w:rFonts w:asciiTheme="minorHAnsi" w:hAnsiTheme="minorHAnsi" w:cstheme="minorHAnsi"/>
              </w:rPr>
              <w:t>be</w:t>
            </w:r>
            <w:r w:rsidR="000159A6">
              <w:rPr>
                <w:rFonts w:asciiTheme="minorHAnsi" w:hAnsiTheme="minorHAnsi" w:cstheme="minorHAnsi"/>
              </w:rPr>
              <w:t xml:space="preserve"> </w:t>
            </w:r>
            <w:r>
              <w:rPr>
                <w:rFonts w:asciiTheme="minorHAnsi" w:hAnsiTheme="minorHAnsi" w:cstheme="minorHAnsi"/>
              </w:rPr>
              <w:t>given</w:t>
            </w:r>
            <w:r w:rsidR="000159A6">
              <w:rPr>
                <w:rFonts w:asciiTheme="minorHAnsi" w:hAnsiTheme="minorHAnsi" w:cstheme="minorHAnsi"/>
              </w:rPr>
              <w:t xml:space="preserve"> </w:t>
            </w:r>
            <w:r w:rsidRPr="00637ED9">
              <w:rPr>
                <w:rFonts w:asciiTheme="minorHAnsi" w:hAnsiTheme="minorHAnsi" w:cstheme="minorHAnsi"/>
              </w:rPr>
              <w:t>live</w:t>
            </w:r>
            <w:r w:rsidR="000159A6">
              <w:rPr>
                <w:rFonts w:asciiTheme="minorHAnsi" w:hAnsiTheme="minorHAnsi" w:cstheme="minorHAnsi"/>
              </w:rPr>
              <w:t xml:space="preserve"> </w:t>
            </w:r>
            <w:r w:rsidRPr="00637ED9">
              <w:rPr>
                <w:rFonts w:asciiTheme="minorHAnsi" w:hAnsiTheme="minorHAnsi" w:cstheme="minorHAnsi"/>
              </w:rPr>
              <w:t>vaccination.</w:t>
            </w:r>
            <w:r w:rsidR="000159A6">
              <w:rPr>
                <w:rFonts w:asciiTheme="minorHAnsi" w:hAnsiTheme="minorHAnsi" w:cstheme="minorHAnsi"/>
              </w:rPr>
              <w:t xml:space="preserve"> </w:t>
            </w:r>
            <w:r w:rsidRPr="00637ED9">
              <w:rPr>
                <w:rFonts w:asciiTheme="minorHAnsi" w:hAnsiTheme="minorHAnsi" w:cstheme="minorHAnsi"/>
              </w:rPr>
              <w:t>Initial</w:t>
            </w:r>
            <w:r w:rsidR="000159A6">
              <w:rPr>
                <w:rFonts w:asciiTheme="minorHAnsi" w:hAnsiTheme="minorHAnsi" w:cstheme="minorHAnsi"/>
              </w:rPr>
              <w:t xml:space="preserve"> </w:t>
            </w:r>
            <w:r w:rsidRPr="00637ED9">
              <w:rPr>
                <w:rFonts w:asciiTheme="minorHAnsi" w:hAnsiTheme="minorHAnsi" w:cstheme="minorHAnsi"/>
              </w:rPr>
              <w:t>data</w:t>
            </w:r>
            <w:r w:rsidR="000159A6">
              <w:rPr>
                <w:rFonts w:asciiTheme="minorHAnsi" w:hAnsiTheme="minorHAnsi" w:cstheme="minorHAnsi"/>
              </w:rPr>
              <w:t xml:space="preserve"> </w:t>
            </w:r>
            <w:r w:rsidRPr="00637ED9">
              <w:rPr>
                <w:rFonts w:asciiTheme="minorHAnsi" w:hAnsiTheme="minorHAnsi" w:cstheme="minorHAnsi"/>
              </w:rPr>
              <w:t>in</w:t>
            </w:r>
            <w:r w:rsidR="000159A6">
              <w:rPr>
                <w:rFonts w:asciiTheme="minorHAnsi" w:hAnsiTheme="minorHAnsi" w:cstheme="minorHAnsi"/>
              </w:rPr>
              <w:t xml:space="preserve"> </w:t>
            </w:r>
            <w:r w:rsidRPr="00637ED9">
              <w:rPr>
                <w:rFonts w:asciiTheme="minorHAnsi" w:hAnsiTheme="minorHAnsi" w:cstheme="minorHAnsi"/>
              </w:rPr>
              <w:t>the</w:t>
            </w:r>
            <w:r w:rsidR="000159A6">
              <w:rPr>
                <w:rFonts w:asciiTheme="minorHAnsi" w:hAnsiTheme="minorHAnsi" w:cstheme="minorHAnsi"/>
              </w:rPr>
              <w:t xml:space="preserve"> </w:t>
            </w:r>
            <w:r w:rsidRPr="00637ED9">
              <w:rPr>
                <w:rFonts w:asciiTheme="minorHAnsi" w:hAnsiTheme="minorHAnsi" w:cstheme="minorHAnsi"/>
              </w:rPr>
              <w:t>immunocompromised</w:t>
            </w:r>
            <w:r w:rsidR="000159A6">
              <w:rPr>
                <w:rFonts w:asciiTheme="minorHAnsi" w:hAnsiTheme="minorHAnsi" w:cstheme="minorHAnsi"/>
              </w:rPr>
              <w:t xml:space="preserve"> </w:t>
            </w:r>
            <w:r w:rsidRPr="00637ED9">
              <w:rPr>
                <w:rFonts w:asciiTheme="minorHAnsi" w:hAnsiTheme="minorHAnsi" w:cstheme="minorHAnsi"/>
              </w:rPr>
              <w:t>population</w:t>
            </w:r>
            <w:r w:rsidR="000159A6">
              <w:rPr>
                <w:rFonts w:asciiTheme="minorHAnsi" w:hAnsiTheme="minorHAnsi" w:cstheme="minorHAnsi"/>
              </w:rPr>
              <w:t xml:space="preserve"> </w:t>
            </w:r>
            <w:r w:rsidRPr="00637ED9">
              <w:rPr>
                <w:rFonts w:asciiTheme="minorHAnsi" w:hAnsiTheme="minorHAnsi" w:cstheme="minorHAnsi"/>
              </w:rPr>
              <w:t>appear</w:t>
            </w:r>
            <w:r w:rsidR="000159A6">
              <w:rPr>
                <w:rFonts w:asciiTheme="minorHAnsi" w:hAnsiTheme="minorHAnsi" w:cstheme="minorHAnsi"/>
              </w:rPr>
              <w:t xml:space="preserve"> </w:t>
            </w:r>
            <w:r w:rsidRPr="00637ED9">
              <w:rPr>
                <w:rFonts w:asciiTheme="minorHAnsi" w:hAnsiTheme="minorHAnsi" w:cstheme="minorHAnsi"/>
              </w:rPr>
              <w:t>positive</w:t>
            </w:r>
            <w:r w:rsidR="000159A6">
              <w:rPr>
                <w:rFonts w:asciiTheme="minorHAnsi" w:hAnsiTheme="minorHAnsi" w:cstheme="minorHAnsi"/>
              </w:rPr>
              <w:t xml:space="preserve"> </w:t>
            </w:r>
            <w:r w:rsidRPr="00637ED9">
              <w:rPr>
                <w:rFonts w:asciiTheme="minorHAnsi" w:hAnsiTheme="minorHAnsi" w:cstheme="minorHAnsi"/>
              </w:rPr>
              <w:t>but</w:t>
            </w:r>
            <w:r w:rsidR="000159A6">
              <w:rPr>
                <w:rFonts w:asciiTheme="minorHAnsi" w:hAnsiTheme="minorHAnsi" w:cstheme="minorHAnsi"/>
              </w:rPr>
              <w:t xml:space="preserve"> </w:t>
            </w:r>
            <w:r w:rsidRPr="00637ED9">
              <w:rPr>
                <w:rFonts w:asciiTheme="minorHAnsi" w:hAnsiTheme="minorHAnsi" w:cstheme="minorHAnsi"/>
              </w:rPr>
              <w:t>development</w:t>
            </w:r>
            <w:r w:rsidR="000159A6">
              <w:rPr>
                <w:rFonts w:asciiTheme="minorHAnsi" w:hAnsiTheme="minorHAnsi" w:cstheme="minorHAnsi"/>
              </w:rPr>
              <w:t xml:space="preserve"> </w:t>
            </w:r>
            <w:r w:rsidRPr="00637ED9">
              <w:rPr>
                <w:rFonts w:asciiTheme="minorHAnsi" w:hAnsiTheme="minorHAnsi" w:cstheme="minorHAnsi"/>
              </w:rPr>
              <w:t>is</w:t>
            </w:r>
            <w:r w:rsidR="000159A6">
              <w:rPr>
                <w:rFonts w:asciiTheme="minorHAnsi" w:hAnsiTheme="minorHAnsi" w:cstheme="minorHAnsi"/>
              </w:rPr>
              <w:t xml:space="preserve"> </w:t>
            </w:r>
            <w:r w:rsidRPr="00637ED9">
              <w:rPr>
                <w:rFonts w:asciiTheme="minorHAnsi" w:hAnsiTheme="minorHAnsi" w:cstheme="minorHAnsi"/>
              </w:rPr>
              <w:t>still</w:t>
            </w:r>
            <w:r w:rsidR="000159A6">
              <w:rPr>
                <w:rFonts w:asciiTheme="minorHAnsi" w:hAnsiTheme="minorHAnsi" w:cstheme="minorHAnsi"/>
              </w:rPr>
              <w:t xml:space="preserve"> </w:t>
            </w:r>
            <w:r w:rsidRPr="00637ED9">
              <w:rPr>
                <w:rFonts w:asciiTheme="minorHAnsi" w:hAnsiTheme="minorHAnsi" w:cstheme="minorHAnsi"/>
              </w:rPr>
              <w:t>ongoing</w:t>
            </w:r>
            <w:r>
              <w:rPr>
                <w:rFonts w:asciiTheme="minorHAnsi" w:hAnsiTheme="minorHAnsi" w:cstheme="minorHAnsi"/>
              </w:rPr>
              <w:t>.</w:t>
            </w:r>
          </w:p>
        </w:tc>
      </w:tr>
    </w:tbl>
    <w:p w14:paraId="1CB85D9F" w14:textId="6165CE96" w:rsidR="005C0A6F" w:rsidRDefault="00605AD4" w:rsidP="00541F41">
      <w:pPr>
        <w:pStyle w:val="Heading4"/>
      </w:pPr>
      <w:r w:rsidRPr="00605AD4">
        <w:t>First</w:t>
      </w:r>
      <w:r w:rsidR="000159A6">
        <w:t xml:space="preserve"> </w:t>
      </w:r>
      <w:r w:rsidRPr="00605AD4">
        <w:t>round</w:t>
      </w:r>
      <w:r w:rsidR="000159A6">
        <w:t xml:space="preserve"> </w:t>
      </w:r>
      <w:r w:rsidRPr="00541F41">
        <w:t>assessment</w:t>
      </w:r>
      <w:r w:rsidR="000159A6">
        <w:t xml:space="preserve"> </w:t>
      </w:r>
      <w:r w:rsidRPr="00605AD4">
        <w:t>of</w:t>
      </w:r>
      <w:r w:rsidR="000159A6">
        <w:t xml:space="preserve"> </w:t>
      </w:r>
      <w:r w:rsidRPr="00605AD4">
        <w:t>risks</w:t>
      </w:r>
    </w:p>
    <w:p w14:paraId="7D383147" w14:textId="2C2B270B" w:rsidR="003E540C" w:rsidRPr="003E540C" w:rsidRDefault="003E540C" w:rsidP="00541F41">
      <w:r>
        <w:t>Table</w:t>
      </w:r>
      <w:r w:rsidR="000159A6">
        <w:t xml:space="preserve"> </w:t>
      </w:r>
      <w:r>
        <w:t>7,</w:t>
      </w:r>
      <w:r w:rsidR="000159A6">
        <w:t xml:space="preserve"> </w:t>
      </w:r>
      <w:r>
        <w:t>shown</w:t>
      </w:r>
      <w:r w:rsidR="000159A6">
        <w:t xml:space="preserve"> </w:t>
      </w:r>
      <w:r>
        <w:t>below,</w:t>
      </w:r>
      <w:r w:rsidR="000159A6">
        <w:t xml:space="preserve"> </w:t>
      </w:r>
      <w:r>
        <w:t>summarises</w:t>
      </w:r>
      <w:r w:rsidR="000159A6">
        <w:t xml:space="preserve"> </w:t>
      </w:r>
      <w:r>
        <w:t>the</w:t>
      </w:r>
      <w:r w:rsidR="000159A6">
        <w:t xml:space="preserve"> </w:t>
      </w:r>
      <w:r>
        <w:t>risks</w:t>
      </w:r>
      <w:r w:rsidR="000159A6">
        <w:t xml:space="preserve"> </w:t>
      </w:r>
      <w:r>
        <w:t>of</w:t>
      </w:r>
      <w:r w:rsidR="000159A6">
        <w:t xml:space="preserve"> </w:t>
      </w:r>
      <w:r>
        <w:t>Shingrix</w:t>
      </w:r>
      <w:r w:rsidR="000159A6">
        <w:t xml:space="preserve"> </w:t>
      </w:r>
      <w:r>
        <w:t>r</w:t>
      </w:r>
      <w:r w:rsidRPr="00F52027">
        <w:t>ecombinant</w:t>
      </w:r>
      <w:r w:rsidR="000159A6">
        <w:t xml:space="preserve"> </w:t>
      </w:r>
      <w:r>
        <w:t>v</w:t>
      </w:r>
      <w:r w:rsidRPr="00F52027">
        <w:t>aricella</w:t>
      </w:r>
      <w:r w:rsidR="000159A6">
        <w:t xml:space="preserve"> </w:t>
      </w:r>
      <w:r>
        <w:t>z</w:t>
      </w:r>
      <w:r w:rsidRPr="00F52027">
        <w:t>oster</w:t>
      </w:r>
      <w:r w:rsidR="000159A6">
        <w:t xml:space="preserve"> </w:t>
      </w:r>
      <w:r>
        <w:t>v</w:t>
      </w:r>
      <w:r w:rsidRPr="00F52027">
        <w:t>irus</w:t>
      </w:r>
      <w:r w:rsidR="000159A6">
        <w:t xml:space="preserve"> </w:t>
      </w:r>
      <w:r w:rsidRPr="00F52027">
        <w:t>glycoprotein</w:t>
      </w:r>
      <w:r w:rsidR="000159A6">
        <w:t xml:space="preserve"> </w:t>
      </w:r>
      <w:r w:rsidRPr="00F52027">
        <w:t>E</w:t>
      </w:r>
      <w:r w:rsidR="000159A6">
        <w:t xml:space="preserve"> </w:t>
      </w:r>
      <w:r w:rsidRPr="00F52027">
        <w:t>antigen</w:t>
      </w:r>
      <w:r w:rsidR="000159A6">
        <w:t xml:space="preserve"> </w:t>
      </w:r>
      <w:r>
        <w:t>(vaccine)</w:t>
      </w:r>
      <w:r w:rsidR="000159A6">
        <w:t xml:space="preserve"> </w:t>
      </w:r>
      <w:r>
        <w:t>for</w:t>
      </w:r>
      <w:r w:rsidR="000159A6">
        <w:t xml:space="preserve"> </w:t>
      </w:r>
      <w:r>
        <w:t>the</w:t>
      </w:r>
      <w:r w:rsidR="000159A6">
        <w:t xml:space="preserve"> </w:t>
      </w:r>
      <w:r>
        <w:t>proposed</w:t>
      </w:r>
      <w:r w:rsidR="000159A6">
        <w:t xml:space="preserve"> </w:t>
      </w:r>
      <w:r>
        <w:t>usage,</w:t>
      </w:r>
      <w:r w:rsidR="000159A6">
        <w:t xml:space="preserve"> </w:t>
      </w:r>
      <w:r>
        <w:t>as</w:t>
      </w:r>
      <w:r w:rsidR="000159A6">
        <w:t xml:space="preserve"> </w:t>
      </w:r>
      <w:r>
        <w:t>evaluated</w:t>
      </w:r>
      <w:r w:rsidR="000159A6">
        <w:t xml:space="preserve"> </w:t>
      </w:r>
      <w:r>
        <w:t>at</w:t>
      </w:r>
      <w:r w:rsidR="000159A6">
        <w:t xml:space="preserve"> </w:t>
      </w:r>
      <w:r>
        <w:t>the</w:t>
      </w:r>
      <w:r w:rsidR="000159A6">
        <w:t xml:space="preserve"> </w:t>
      </w:r>
      <w:r>
        <w:t>first</w:t>
      </w:r>
      <w:r w:rsidR="000159A6">
        <w:t xml:space="preserve"> </w:t>
      </w:r>
      <w:r>
        <w:t>round.</w:t>
      </w:r>
    </w:p>
    <w:p w14:paraId="6C41CCAE" w14:textId="7549AC02" w:rsidR="00624EB5" w:rsidRPr="00C95B23" w:rsidRDefault="0012170B" w:rsidP="00541F41">
      <w:pPr>
        <w:pStyle w:val="Tabletitle0"/>
        <w:pageBreakBefore/>
      </w:pPr>
      <w:r w:rsidRPr="00C95B23">
        <w:lastRenderedPageBreak/>
        <w:t>Table</w:t>
      </w:r>
      <w:r w:rsidR="000159A6" w:rsidRPr="00C95B23">
        <w:t xml:space="preserve"> </w:t>
      </w:r>
      <w:r w:rsidRPr="00C95B23">
        <w:t>7</w:t>
      </w:r>
      <w:r w:rsidR="00624EB5" w:rsidRPr="00C95B23">
        <w:t>:</w:t>
      </w:r>
      <w:r w:rsidR="000159A6" w:rsidRPr="00C95B23">
        <w:t xml:space="preserve"> </w:t>
      </w:r>
      <w:r w:rsidR="00624EB5" w:rsidRPr="00C95B23">
        <w:t>First</w:t>
      </w:r>
      <w:r w:rsidR="000159A6" w:rsidRPr="00C95B23">
        <w:t xml:space="preserve"> </w:t>
      </w:r>
      <w:r w:rsidR="00624EB5" w:rsidRPr="00C95B23">
        <w:t>round</w:t>
      </w:r>
      <w:r w:rsidR="000159A6" w:rsidRPr="00C95B23">
        <w:t xml:space="preserve"> </w:t>
      </w:r>
      <w:r w:rsidR="00624EB5" w:rsidRPr="00C95B23">
        <w:t>assessment</w:t>
      </w:r>
      <w:r w:rsidR="000159A6" w:rsidRPr="00C95B23">
        <w:t xml:space="preserve"> </w:t>
      </w:r>
      <w:r w:rsidR="00624EB5" w:rsidRPr="00C95B23">
        <w:t>of</w:t>
      </w:r>
      <w:r w:rsidR="000159A6" w:rsidRPr="00C95B23">
        <w:t xml:space="preserve"> </w:t>
      </w:r>
      <w:r w:rsidR="00624EB5" w:rsidRPr="00C95B23">
        <w:t>risks</w:t>
      </w:r>
    </w:p>
    <w:tbl>
      <w:tblPr>
        <w:tblStyle w:val="TableTGAblue"/>
        <w:tblW w:w="0" w:type="auto"/>
        <w:tblLook w:val="04A0" w:firstRow="1" w:lastRow="0" w:firstColumn="1" w:lastColumn="0" w:noHBand="0" w:noVBand="1"/>
        <w:tblDescription w:val="Table 7: First round assessment of risks"/>
      </w:tblPr>
      <w:tblGrid>
        <w:gridCol w:w="4355"/>
        <w:gridCol w:w="4365"/>
      </w:tblGrid>
      <w:tr w:rsidR="00624EB5" w:rsidRPr="00F775E1" w14:paraId="065F0A61" w14:textId="77777777" w:rsidTr="00541F41">
        <w:trPr>
          <w:cnfStyle w:val="100000000000" w:firstRow="1" w:lastRow="0" w:firstColumn="0" w:lastColumn="0" w:oddVBand="0" w:evenVBand="0" w:oddHBand="0" w:evenHBand="0" w:firstRowFirstColumn="0" w:firstRowLastColumn="0" w:lastRowFirstColumn="0" w:lastRowLastColumn="0"/>
        </w:trPr>
        <w:tc>
          <w:tcPr>
            <w:tcW w:w="4395" w:type="dxa"/>
          </w:tcPr>
          <w:p w14:paraId="6D0354A7" w14:textId="77777777" w:rsidR="00624EB5" w:rsidRPr="00307F05" w:rsidRDefault="00624EB5" w:rsidP="00541F41">
            <w:r w:rsidRPr="00307F05">
              <w:t>Risks</w:t>
            </w:r>
          </w:p>
        </w:tc>
        <w:tc>
          <w:tcPr>
            <w:tcW w:w="4394" w:type="dxa"/>
          </w:tcPr>
          <w:p w14:paraId="2FDA0F02" w14:textId="2FFF789A" w:rsidR="00624EB5" w:rsidRPr="00307F05" w:rsidRDefault="00624EB5" w:rsidP="00541F41">
            <w:r w:rsidRPr="00307F05">
              <w:t>Strengths</w:t>
            </w:r>
            <w:r w:rsidR="000159A6">
              <w:t xml:space="preserve"> </w:t>
            </w:r>
            <w:r w:rsidRPr="00307F05">
              <w:t>and</w:t>
            </w:r>
            <w:r w:rsidR="000159A6">
              <w:t xml:space="preserve"> </w:t>
            </w:r>
            <w:r w:rsidRPr="00307F05">
              <w:t>Uncertainties</w:t>
            </w:r>
          </w:p>
        </w:tc>
      </w:tr>
      <w:tr w:rsidR="00624EB5" w:rsidRPr="00C37A1D" w14:paraId="6A678D13" w14:textId="77777777" w:rsidTr="00541F41">
        <w:tc>
          <w:tcPr>
            <w:tcW w:w="4395" w:type="dxa"/>
          </w:tcPr>
          <w:p w14:paraId="6AA1764D" w14:textId="240516CC" w:rsidR="00624EB5" w:rsidRPr="00E0575C" w:rsidRDefault="00624EB5" w:rsidP="00541F41">
            <w:pPr>
              <w:rPr>
                <w:rFonts w:asciiTheme="minorHAnsi" w:hAnsiTheme="minorHAnsi" w:cstheme="minorHAnsi"/>
              </w:rPr>
            </w:pPr>
            <w:r>
              <w:rPr>
                <w:rFonts w:asciiTheme="minorHAnsi" w:hAnsiTheme="minorHAnsi" w:cstheme="minorHAnsi"/>
              </w:rPr>
              <w:t>Notable</w:t>
            </w:r>
            <w:r w:rsidR="000159A6">
              <w:rPr>
                <w:rFonts w:asciiTheme="minorHAnsi" w:hAnsiTheme="minorHAnsi" w:cstheme="minorHAnsi"/>
              </w:rPr>
              <w:t xml:space="preserve"> </w:t>
            </w:r>
            <w:r>
              <w:rPr>
                <w:rFonts w:cstheme="minorHAnsi"/>
              </w:rPr>
              <w:t>increase</w:t>
            </w:r>
            <w:r w:rsidR="000159A6">
              <w:rPr>
                <w:rFonts w:cstheme="minorHAnsi"/>
              </w:rPr>
              <w:t xml:space="preserve"> </w:t>
            </w:r>
            <w:r>
              <w:rPr>
                <w:rFonts w:cstheme="minorHAnsi"/>
              </w:rPr>
              <w:t>in</w:t>
            </w:r>
            <w:r w:rsidR="000159A6">
              <w:rPr>
                <w:rFonts w:cstheme="minorHAnsi"/>
              </w:rPr>
              <w:t xml:space="preserve"> </w:t>
            </w:r>
            <w:r>
              <w:rPr>
                <w:rFonts w:cstheme="minorHAnsi"/>
              </w:rPr>
              <w:t>risk</w:t>
            </w:r>
            <w:r w:rsidR="000159A6">
              <w:rPr>
                <w:rFonts w:cstheme="minorHAnsi"/>
              </w:rPr>
              <w:t xml:space="preserve"> </w:t>
            </w:r>
            <w:r>
              <w:rPr>
                <w:rFonts w:cstheme="minorHAnsi"/>
              </w:rPr>
              <w:t>of</w:t>
            </w:r>
            <w:r w:rsidR="000159A6">
              <w:rPr>
                <w:rFonts w:cstheme="minorHAnsi"/>
              </w:rPr>
              <w:t xml:space="preserve"> </w:t>
            </w:r>
            <w:r>
              <w:rPr>
                <w:rFonts w:cstheme="minorHAnsi"/>
              </w:rPr>
              <w:t>solicited</w:t>
            </w:r>
            <w:r w:rsidR="000159A6">
              <w:rPr>
                <w:rFonts w:cstheme="minorHAnsi"/>
              </w:rPr>
              <w:t xml:space="preserve"> </w:t>
            </w:r>
            <w:r>
              <w:rPr>
                <w:rFonts w:cstheme="minorHAnsi"/>
              </w:rPr>
              <w:t>local</w:t>
            </w:r>
            <w:r w:rsidR="000159A6">
              <w:rPr>
                <w:rFonts w:cstheme="minorHAnsi"/>
              </w:rPr>
              <w:t xml:space="preserve"> </w:t>
            </w:r>
            <w:r>
              <w:rPr>
                <w:rFonts w:cstheme="minorHAnsi"/>
              </w:rPr>
              <w:t>and</w:t>
            </w:r>
            <w:r w:rsidR="000159A6">
              <w:rPr>
                <w:rFonts w:cstheme="minorHAnsi"/>
              </w:rPr>
              <w:t xml:space="preserve"> </w:t>
            </w:r>
            <w:r>
              <w:rPr>
                <w:rFonts w:cstheme="minorHAnsi"/>
              </w:rPr>
              <w:t>systemic</w:t>
            </w:r>
            <w:r w:rsidR="000159A6">
              <w:rPr>
                <w:rFonts w:cstheme="minorHAnsi"/>
              </w:rPr>
              <w:t xml:space="preserve"> </w:t>
            </w:r>
            <w:r>
              <w:rPr>
                <w:rFonts w:cstheme="minorHAnsi"/>
              </w:rPr>
              <w:t>symptoms</w:t>
            </w:r>
            <w:r w:rsidR="000159A6">
              <w:rPr>
                <w:rFonts w:asciiTheme="minorHAnsi" w:hAnsiTheme="minorHAnsi" w:cstheme="minorHAnsi"/>
              </w:rPr>
              <w:t xml:space="preserve"> </w:t>
            </w:r>
            <w:r>
              <w:rPr>
                <w:rFonts w:asciiTheme="minorHAnsi" w:hAnsiTheme="minorHAnsi" w:cstheme="minorHAnsi"/>
              </w:rPr>
              <w:t>in</w:t>
            </w:r>
            <w:r w:rsidR="000159A6">
              <w:rPr>
                <w:rFonts w:asciiTheme="minorHAnsi" w:hAnsiTheme="minorHAnsi" w:cstheme="minorHAnsi"/>
              </w:rPr>
              <w:t xml:space="preserve"> </w:t>
            </w:r>
            <w:r>
              <w:rPr>
                <w:rFonts w:asciiTheme="minorHAnsi" w:hAnsiTheme="minorHAnsi" w:cstheme="minorHAnsi"/>
              </w:rPr>
              <w:t>the</w:t>
            </w:r>
            <w:r w:rsidR="000159A6">
              <w:rPr>
                <w:rFonts w:asciiTheme="minorHAnsi" w:hAnsiTheme="minorHAnsi" w:cstheme="minorHAnsi"/>
              </w:rPr>
              <w:t xml:space="preserve"> </w:t>
            </w:r>
            <w:r>
              <w:rPr>
                <w:rFonts w:asciiTheme="minorHAnsi" w:hAnsiTheme="minorHAnsi" w:cstheme="minorHAnsi"/>
              </w:rPr>
              <w:t>week</w:t>
            </w:r>
            <w:r w:rsidR="000159A6">
              <w:rPr>
                <w:rFonts w:asciiTheme="minorHAnsi" w:hAnsiTheme="minorHAnsi" w:cstheme="minorHAnsi"/>
              </w:rPr>
              <w:t xml:space="preserve"> </w:t>
            </w:r>
            <w:r>
              <w:rPr>
                <w:rFonts w:asciiTheme="minorHAnsi" w:hAnsiTheme="minorHAnsi" w:cstheme="minorHAnsi"/>
              </w:rPr>
              <w:t>post</w:t>
            </w:r>
            <w:r w:rsidR="000159A6">
              <w:rPr>
                <w:rFonts w:asciiTheme="minorHAnsi" w:hAnsiTheme="minorHAnsi" w:cstheme="minorHAnsi"/>
              </w:rPr>
              <w:t xml:space="preserve"> </w:t>
            </w:r>
            <w:r>
              <w:rPr>
                <w:rFonts w:asciiTheme="minorHAnsi" w:hAnsiTheme="minorHAnsi" w:cstheme="minorHAnsi"/>
              </w:rPr>
              <w:t>vaccination</w:t>
            </w:r>
            <w:r w:rsidR="00C95B23">
              <w:rPr>
                <w:rFonts w:asciiTheme="minorHAnsi" w:hAnsiTheme="minorHAnsi" w:cstheme="minorHAnsi"/>
              </w:rPr>
              <w:t>.</w:t>
            </w:r>
          </w:p>
        </w:tc>
        <w:tc>
          <w:tcPr>
            <w:tcW w:w="4394" w:type="dxa"/>
          </w:tcPr>
          <w:p w14:paraId="4833309B" w14:textId="2BB6E360" w:rsidR="00624EB5" w:rsidRPr="00E0575C" w:rsidRDefault="00624EB5" w:rsidP="00541F41">
            <w:pPr>
              <w:rPr>
                <w:rFonts w:cstheme="minorHAnsi"/>
              </w:rPr>
            </w:pPr>
            <w:r>
              <w:rPr>
                <w:rFonts w:cstheme="minorHAnsi"/>
              </w:rPr>
              <w:t>Robust</w:t>
            </w:r>
            <w:r w:rsidR="000159A6">
              <w:rPr>
                <w:rFonts w:cstheme="minorHAnsi"/>
              </w:rPr>
              <w:t xml:space="preserve"> </w:t>
            </w:r>
            <w:r>
              <w:rPr>
                <w:rFonts w:cstheme="minorHAnsi"/>
              </w:rPr>
              <w:t>safety</w:t>
            </w:r>
            <w:r w:rsidR="000159A6">
              <w:rPr>
                <w:rFonts w:cstheme="minorHAnsi"/>
              </w:rPr>
              <w:t xml:space="preserve"> </w:t>
            </w:r>
            <w:r>
              <w:rPr>
                <w:rFonts w:cstheme="minorHAnsi"/>
              </w:rPr>
              <w:t>data</w:t>
            </w:r>
            <w:r w:rsidR="000159A6">
              <w:rPr>
                <w:rFonts w:cstheme="minorHAnsi"/>
              </w:rPr>
              <w:t xml:space="preserve"> </w:t>
            </w:r>
            <w:r>
              <w:rPr>
                <w:rFonts w:cstheme="minorHAnsi"/>
              </w:rPr>
              <w:t>obtained</w:t>
            </w:r>
            <w:r w:rsidR="000159A6">
              <w:rPr>
                <w:rFonts w:cstheme="minorHAnsi"/>
              </w:rPr>
              <w:t xml:space="preserve"> </w:t>
            </w:r>
            <w:r>
              <w:rPr>
                <w:rFonts w:cstheme="minorHAnsi"/>
              </w:rPr>
              <w:t>from</w:t>
            </w:r>
            <w:r w:rsidR="000159A6">
              <w:rPr>
                <w:rFonts w:cstheme="minorHAnsi"/>
              </w:rPr>
              <w:t xml:space="preserve"> </w:t>
            </w:r>
            <w:r>
              <w:rPr>
                <w:rFonts w:cstheme="minorHAnsi"/>
              </w:rPr>
              <w:t>the</w:t>
            </w:r>
            <w:r w:rsidR="000159A6">
              <w:rPr>
                <w:rFonts w:cstheme="minorHAnsi"/>
              </w:rPr>
              <w:t xml:space="preserve"> </w:t>
            </w:r>
            <w:r>
              <w:rPr>
                <w:rFonts w:cstheme="minorHAnsi"/>
              </w:rPr>
              <w:t>two</w:t>
            </w:r>
            <w:r w:rsidR="000159A6">
              <w:rPr>
                <w:rFonts w:cstheme="minorHAnsi"/>
              </w:rPr>
              <w:t xml:space="preserve"> </w:t>
            </w:r>
            <w:r>
              <w:rPr>
                <w:rFonts w:cstheme="minorHAnsi"/>
              </w:rPr>
              <w:t>pooled</w:t>
            </w:r>
            <w:r w:rsidR="000159A6">
              <w:rPr>
                <w:rFonts w:cstheme="minorHAnsi"/>
              </w:rPr>
              <w:t xml:space="preserve"> </w:t>
            </w:r>
            <w:r>
              <w:rPr>
                <w:rFonts w:cstheme="minorHAnsi"/>
              </w:rPr>
              <w:t>placebo</w:t>
            </w:r>
            <w:r w:rsidR="000159A6">
              <w:rPr>
                <w:rFonts w:cstheme="minorHAnsi"/>
              </w:rPr>
              <w:t xml:space="preserve"> </w:t>
            </w:r>
            <w:r>
              <w:rPr>
                <w:rFonts w:cstheme="minorHAnsi"/>
              </w:rPr>
              <w:t>controlled</w:t>
            </w:r>
            <w:r w:rsidR="000159A6">
              <w:rPr>
                <w:rFonts w:cstheme="minorHAnsi"/>
              </w:rPr>
              <w:t xml:space="preserve"> </w:t>
            </w:r>
            <w:r>
              <w:rPr>
                <w:rFonts w:cstheme="minorHAnsi"/>
              </w:rPr>
              <w:t>studies</w:t>
            </w:r>
            <w:r w:rsidR="000159A6">
              <w:rPr>
                <w:rFonts w:cstheme="minorHAnsi"/>
              </w:rPr>
              <w:t xml:space="preserve"> </w:t>
            </w:r>
            <w:r>
              <w:rPr>
                <w:rFonts w:cstheme="minorHAnsi"/>
              </w:rPr>
              <w:t>with</w:t>
            </w:r>
            <w:r w:rsidR="000159A6">
              <w:rPr>
                <w:rFonts w:cstheme="minorHAnsi"/>
              </w:rPr>
              <w:t xml:space="preserve"> </w:t>
            </w:r>
            <w:r>
              <w:rPr>
                <w:rFonts w:cstheme="minorHAnsi"/>
              </w:rPr>
              <w:t>thorough</w:t>
            </w:r>
            <w:r w:rsidR="000159A6">
              <w:rPr>
                <w:rFonts w:cstheme="minorHAnsi"/>
              </w:rPr>
              <w:t xml:space="preserve"> </w:t>
            </w:r>
            <w:r>
              <w:rPr>
                <w:rFonts w:cstheme="minorHAnsi"/>
              </w:rPr>
              <w:t>safety</w:t>
            </w:r>
            <w:r w:rsidR="000159A6">
              <w:rPr>
                <w:rFonts w:cstheme="minorHAnsi"/>
              </w:rPr>
              <w:t xml:space="preserve"> </w:t>
            </w:r>
            <w:r>
              <w:rPr>
                <w:rFonts w:cstheme="minorHAnsi"/>
              </w:rPr>
              <w:t>data</w:t>
            </w:r>
            <w:r w:rsidR="000159A6">
              <w:rPr>
                <w:rFonts w:cstheme="minorHAnsi"/>
              </w:rPr>
              <w:t xml:space="preserve"> </w:t>
            </w:r>
            <w:r>
              <w:rPr>
                <w:rFonts w:cstheme="minorHAnsi"/>
              </w:rPr>
              <w:t>collection.</w:t>
            </w:r>
            <w:r w:rsidR="000159A6">
              <w:rPr>
                <w:rFonts w:cstheme="minorHAnsi"/>
              </w:rPr>
              <w:t xml:space="preserve"> </w:t>
            </w:r>
            <w:r>
              <w:rPr>
                <w:rFonts w:cstheme="minorHAnsi"/>
              </w:rPr>
              <w:t>The</w:t>
            </w:r>
            <w:r w:rsidR="000159A6">
              <w:rPr>
                <w:rFonts w:cstheme="minorHAnsi"/>
              </w:rPr>
              <w:t xml:space="preserve"> </w:t>
            </w:r>
            <w:r>
              <w:rPr>
                <w:rFonts w:cstheme="minorHAnsi"/>
              </w:rPr>
              <w:t>diary</w:t>
            </w:r>
            <w:r w:rsidR="000159A6">
              <w:rPr>
                <w:rFonts w:cstheme="minorHAnsi"/>
              </w:rPr>
              <w:t xml:space="preserve"> </w:t>
            </w:r>
            <w:r>
              <w:rPr>
                <w:rFonts w:cstheme="minorHAnsi"/>
              </w:rPr>
              <w:t>card</w:t>
            </w:r>
            <w:r w:rsidR="000159A6">
              <w:rPr>
                <w:rFonts w:cstheme="minorHAnsi"/>
              </w:rPr>
              <w:t xml:space="preserve"> </w:t>
            </w:r>
            <w:r>
              <w:rPr>
                <w:rFonts w:cstheme="minorHAnsi"/>
              </w:rPr>
              <w:t>subset</w:t>
            </w:r>
            <w:r w:rsidR="000159A6">
              <w:rPr>
                <w:rFonts w:cstheme="minorHAnsi"/>
              </w:rPr>
              <w:t xml:space="preserve"> </w:t>
            </w:r>
            <w:r>
              <w:rPr>
                <w:rFonts w:cstheme="minorHAnsi"/>
              </w:rPr>
              <w:t>included</w:t>
            </w:r>
            <w:r w:rsidR="000159A6">
              <w:rPr>
                <w:rFonts w:cstheme="minorHAnsi"/>
              </w:rPr>
              <w:t xml:space="preserve"> </w:t>
            </w:r>
            <w:r>
              <w:rPr>
                <w:rFonts w:cstheme="minorHAnsi"/>
              </w:rPr>
              <w:t>9,764</w:t>
            </w:r>
            <w:r w:rsidR="000159A6">
              <w:rPr>
                <w:rFonts w:cstheme="minorHAnsi"/>
              </w:rPr>
              <w:t xml:space="preserve"> </w:t>
            </w:r>
            <w:r>
              <w:rPr>
                <w:rFonts w:cstheme="minorHAnsi"/>
              </w:rPr>
              <w:t>subjects.</w:t>
            </w:r>
          </w:p>
        </w:tc>
      </w:tr>
      <w:tr w:rsidR="00624EB5" w:rsidRPr="00C37A1D" w14:paraId="4864DFF7" w14:textId="77777777" w:rsidTr="00541F41">
        <w:tc>
          <w:tcPr>
            <w:tcW w:w="4395" w:type="dxa"/>
          </w:tcPr>
          <w:p w14:paraId="7EA1DFB5" w14:textId="19D83CD6" w:rsidR="00624EB5" w:rsidRPr="00E0575C" w:rsidRDefault="00624EB5" w:rsidP="00541F41">
            <w:pPr>
              <w:rPr>
                <w:rFonts w:asciiTheme="minorHAnsi" w:hAnsiTheme="minorHAnsi" w:cstheme="minorHAnsi"/>
              </w:rPr>
            </w:pPr>
            <w:r>
              <w:rPr>
                <w:rFonts w:cstheme="minorHAnsi"/>
              </w:rPr>
              <w:t>Some</w:t>
            </w:r>
            <w:r w:rsidR="000159A6">
              <w:rPr>
                <w:rFonts w:cstheme="minorHAnsi"/>
              </w:rPr>
              <w:t xml:space="preserve"> </w:t>
            </w:r>
            <w:r>
              <w:rPr>
                <w:rFonts w:cstheme="minorHAnsi"/>
              </w:rPr>
              <w:t>increase</w:t>
            </w:r>
            <w:r w:rsidR="000159A6">
              <w:rPr>
                <w:rFonts w:cstheme="minorHAnsi"/>
              </w:rPr>
              <w:t xml:space="preserve"> </w:t>
            </w:r>
            <w:r>
              <w:rPr>
                <w:rFonts w:cstheme="minorHAnsi"/>
              </w:rPr>
              <w:t>in</w:t>
            </w:r>
            <w:r w:rsidR="000159A6">
              <w:rPr>
                <w:rFonts w:cstheme="minorHAnsi"/>
              </w:rPr>
              <w:t xml:space="preserve"> </w:t>
            </w:r>
            <w:r>
              <w:rPr>
                <w:rFonts w:cstheme="minorHAnsi"/>
              </w:rPr>
              <w:t>reactogenicity</w:t>
            </w:r>
            <w:r w:rsidR="000159A6">
              <w:rPr>
                <w:rFonts w:cstheme="minorHAnsi"/>
              </w:rPr>
              <w:t xml:space="preserve"> </w:t>
            </w:r>
            <w:r>
              <w:rPr>
                <w:rFonts w:cstheme="minorHAnsi"/>
              </w:rPr>
              <w:t>(mainly</w:t>
            </w:r>
            <w:r w:rsidR="000159A6">
              <w:rPr>
                <w:rFonts w:cstheme="minorHAnsi"/>
              </w:rPr>
              <w:t xml:space="preserve"> </w:t>
            </w:r>
            <w:r>
              <w:rPr>
                <w:rFonts w:cstheme="minorHAnsi"/>
              </w:rPr>
              <w:t>Grade</w:t>
            </w:r>
            <w:r w:rsidR="000159A6">
              <w:rPr>
                <w:rFonts w:cstheme="minorHAnsi"/>
              </w:rPr>
              <w:t xml:space="preserve"> </w:t>
            </w:r>
            <w:r>
              <w:rPr>
                <w:rFonts w:cstheme="minorHAnsi"/>
              </w:rPr>
              <w:t>3</w:t>
            </w:r>
            <w:r w:rsidR="000159A6">
              <w:rPr>
                <w:rFonts w:cstheme="minorHAnsi"/>
              </w:rPr>
              <w:t xml:space="preserve"> </w:t>
            </w:r>
            <w:r>
              <w:rPr>
                <w:rFonts w:cstheme="minorHAnsi"/>
              </w:rPr>
              <w:t>systemic</w:t>
            </w:r>
            <w:r w:rsidR="000159A6">
              <w:rPr>
                <w:rFonts w:cstheme="minorHAnsi"/>
              </w:rPr>
              <w:t xml:space="preserve"> </w:t>
            </w:r>
            <w:r>
              <w:rPr>
                <w:rFonts w:cstheme="minorHAnsi"/>
              </w:rPr>
              <w:t>events)</w:t>
            </w:r>
            <w:r w:rsidR="000159A6">
              <w:rPr>
                <w:rFonts w:cstheme="minorHAnsi"/>
              </w:rPr>
              <w:t xml:space="preserve"> </w:t>
            </w:r>
            <w:r>
              <w:rPr>
                <w:rFonts w:cstheme="minorHAnsi"/>
              </w:rPr>
              <w:t>with</w:t>
            </w:r>
            <w:r w:rsidR="000159A6">
              <w:rPr>
                <w:rFonts w:cstheme="minorHAnsi"/>
              </w:rPr>
              <w:t xml:space="preserve"> </w:t>
            </w:r>
            <w:r>
              <w:rPr>
                <w:rFonts w:cstheme="minorHAnsi"/>
              </w:rPr>
              <w:t>the</w:t>
            </w:r>
            <w:r w:rsidR="000159A6">
              <w:rPr>
                <w:rFonts w:cstheme="minorHAnsi"/>
              </w:rPr>
              <w:t xml:space="preserve"> </w:t>
            </w:r>
            <w:r>
              <w:rPr>
                <w:rFonts w:cstheme="minorHAnsi"/>
              </w:rPr>
              <w:t>second</w:t>
            </w:r>
            <w:r w:rsidR="000159A6">
              <w:rPr>
                <w:rFonts w:cstheme="minorHAnsi"/>
              </w:rPr>
              <w:t xml:space="preserve"> </w:t>
            </w:r>
            <w:r>
              <w:rPr>
                <w:rFonts w:cstheme="minorHAnsi"/>
              </w:rPr>
              <w:t>dose</w:t>
            </w:r>
            <w:r w:rsidR="000159A6">
              <w:rPr>
                <w:rFonts w:cstheme="minorHAnsi"/>
              </w:rPr>
              <w:t xml:space="preserve"> </w:t>
            </w:r>
            <w:r>
              <w:rPr>
                <w:rFonts w:cstheme="minorHAnsi"/>
              </w:rPr>
              <w:t>of</w:t>
            </w:r>
            <w:r w:rsidR="000159A6">
              <w:rPr>
                <w:rFonts w:cstheme="minorHAnsi"/>
              </w:rPr>
              <w:t xml:space="preserve"> </w:t>
            </w:r>
            <w:r>
              <w:rPr>
                <w:rFonts w:cstheme="minorHAnsi"/>
              </w:rPr>
              <w:t>vaccine</w:t>
            </w:r>
            <w:r w:rsidR="000159A6">
              <w:rPr>
                <w:rFonts w:cstheme="minorHAnsi"/>
              </w:rPr>
              <w:t xml:space="preserve"> </w:t>
            </w:r>
            <w:r>
              <w:rPr>
                <w:rFonts w:cstheme="minorHAnsi"/>
              </w:rPr>
              <w:t>which</w:t>
            </w:r>
            <w:r w:rsidR="000159A6">
              <w:rPr>
                <w:rFonts w:cstheme="minorHAnsi"/>
              </w:rPr>
              <w:t xml:space="preserve"> </w:t>
            </w:r>
            <w:r>
              <w:rPr>
                <w:rFonts w:cstheme="minorHAnsi"/>
              </w:rPr>
              <w:t>may</w:t>
            </w:r>
            <w:r w:rsidR="000159A6">
              <w:rPr>
                <w:rFonts w:cstheme="minorHAnsi"/>
              </w:rPr>
              <w:t xml:space="preserve"> </w:t>
            </w:r>
            <w:r>
              <w:rPr>
                <w:rFonts w:cstheme="minorHAnsi"/>
              </w:rPr>
              <w:t>lead</w:t>
            </w:r>
            <w:r w:rsidR="000159A6">
              <w:rPr>
                <w:rFonts w:cstheme="minorHAnsi"/>
              </w:rPr>
              <w:t xml:space="preserve"> </w:t>
            </w:r>
            <w:r>
              <w:rPr>
                <w:rFonts w:cstheme="minorHAnsi"/>
              </w:rPr>
              <w:t>to</w:t>
            </w:r>
            <w:r w:rsidR="000159A6">
              <w:rPr>
                <w:rFonts w:cstheme="minorHAnsi"/>
              </w:rPr>
              <w:t xml:space="preserve"> </w:t>
            </w:r>
            <w:r>
              <w:rPr>
                <w:rFonts w:cstheme="minorHAnsi"/>
              </w:rPr>
              <w:t>decreased</w:t>
            </w:r>
            <w:r w:rsidR="000159A6">
              <w:rPr>
                <w:rFonts w:cstheme="minorHAnsi"/>
              </w:rPr>
              <w:t xml:space="preserve"> </w:t>
            </w:r>
            <w:r>
              <w:rPr>
                <w:rFonts w:cstheme="minorHAnsi"/>
              </w:rPr>
              <w:t>compliance</w:t>
            </w:r>
            <w:r w:rsidR="000159A6">
              <w:rPr>
                <w:rFonts w:cstheme="minorHAnsi"/>
              </w:rPr>
              <w:t xml:space="preserve"> </w:t>
            </w:r>
            <w:r>
              <w:rPr>
                <w:rFonts w:cstheme="minorHAnsi"/>
              </w:rPr>
              <w:t>with</w:t>
            </w:r>
            <w:r w:rsidR="000159A6">
              <w:rPr>
                <w:rFonts w:cstheme="minorHAnsi"/>
              </w:rPr>
              <w:t xml:space="preserve"> </w:t>
            </w:r>
            <w:r>
              <w:rPr>
                <w:rFonts w:cstheme="minorHAnsi"/>
              </w:rPr>
              <w:t>second</w:t>
            </w:r>
            <w:r w:rsidR="000159A6">
              <w:rPr>
                <w:rFonts w:cstheme="minorHAnsi"/>
              </w:rPr>
              <w:t xml:space="preserve"> </w:t>
            </w:r>
            <w:r>
              <w:rPr>
                <w:rFonts w:cstheme="minorHAnsi"/>
              </w:rPr>
              <w:t>dose.</w:t>
            </w:r>
          </w:p>
        </w:tc>
        <w:tc>
          <w:tcPr>
            <w:tcW w:w="4394" w:type="dxa"/>
          </w:tcPr>
          <w:p w14:paraId="286FB5D2" w14:textId="6DE80D62" w:rsidR="00624EB5" w:rsidRPr="00E0575C" w:rsidRDefault="00624EB5" w:rsidP="00541F41">
            <w:pPr>
              <w:rPr>
                <w:rFonts w:cstheme="minorHAnsi"/>
              </w:rPr>
            </w:pPr>
            <w:r>
              <w:rPr>
                <w:rFonts w:cstheme="minorHAnsi"/>
              </w:rPr>
              <w:t>Robust</w:t>
            </w:r>
            <w:r w:rsidR="000159A6">
              <w:rPr>
                <w:rFonts w:cstheme="minorHAnsi"/>
              </w:rPr>
              <w:t xml:space="preserve"> </w:t>
            </w:r>
            <w:r>
              <w:rPr>
                <w:rFonts w:cstheme="minorHAnsi"/>
              </w:rPr>
              <w:t>safety</w:t>
            </w:r>
            <w:r w:rsidR="000159A6">
              <w:rPr>
                <w:rFonts w:cstheme="minorHAnsi"/>
              </w:rPr>
              <w:t xml:space="preserve"> </w:t>
            </w:r>
            <w:r>
              <w:rPr>
                <w:rFonts w:cstheme="minorHAnsi"/>
              </w:rPr>
              <w:t>data</w:t>
            </w:r>
            <w:r w:rsidR="000159A6">
              <w:rPr>
                <w:rFonts w:cstheme="minorHAnsi"/>
              </w:rPr>
              <w:t xml:space="preserve"> </w:t>
            </w:r>
            <w:r>
              <w:rPr>
                <w:rFonts w:cstheme="minorHAnsi"/>
              </w:rPr>
              <w:t>obtained</w:t>
            </w:r>
            <w:r w:rsidR="000159A6">
              <w:rPr>
                <w:rFonts w:cstheme="minorHAnsi"/>
              </w:rPr>
              <w:t xml:space="preserve"> </w:t>
            </w:r>
            <w:r>
              <w:rPr>
                <w:rFonts w:cstheme="minorHAnsi"/>
              </w:rPr>
              <w:t>from</w:t>
            </w:r>
            <w:r w:rsidR="000159A6">
              <w:rPr>
                <w:rFonts w:cstheme="minorHAnsi"/>
              </w:rPr>
              <w:t xml:space="preserve"> </w:t>
            </w:r>
            <w:r>
              <w:rPr>
                <w:rFonts w:cstheme="minorHAnsi"/>
              </w:rPr>
              <w:t>the</w:t>
            </w:r>
            <w:r w:rsidR="000159A6">
              <w:rPr>
                <w:rFonts w:cstheme="minorHAnsi"/>
              </w:rPr>
              <w:t xml:space="preserve"> </w:t>
            </w:r>
            <w:r>
              <w:rPr>
                <w:rFonts w:cstheme="minorHAnsi"/>
              </w:rPr>
              <w:t>placebo</w:t>
            </w:r>
            <w:r w:rsidR="000159A6">
              <w:rPr>
                <w:rFonts w:cstheme="minorHAnsi"/>
              </w:rPr>
              <w:t xml:space="preserve"> </w:t>
            </w:r>
            <w:r>
              <w:rPr>
                <w:rFonts w:cstheme="minorHAnsi"/>
              </w:rPr>
              <w:t>controlled</w:t>
            </w:r>
            <w:r w:rsidR="000159A6">
              <w:rPr>
                <w:rFonts w:cstheme="minorHAnsi"/>
              </w:rPr>
              <w:t xml:space="preserve"> </w:t>
            </w:r>
            <w:r>
              <w:rPr>
                <w:rFonts w:cstheme="minorHAnsi"/>
              </w:rPr>
              <w:t>studies</w:t>
            </w:r>
            <w:r w:rsidR="000159A6">
              <w:rPr>
                <w:rFonts w:cstheme="minorHAnsi"/>
              </w:rPr>
              <w:t xml:space="preserve"> </w:t>
            </w:r>
            <w:r>
              <w:rPr>
                <w:rFonts w:cstheme="minorHAnsi"/>
              </w:rPr>
              <w:t>with</w:t>
            </w:r>
            <w:r w:rsidR="000159A6">
              <w:rPr>
                <w:rFonts w:cstheme="minorHAnsi"/>
              </w:rPr>
              <w:t xml:space="preserve"> </w:t>
            </w:r>
            <w:r>
              <w:rPr>
                <w:rFonts w:cstheme="minorHAnsi"/>
              </w:rPr>
              <w:t>thorough</w:t>
            </w:r>
            <w:r w:rsidR="000159A6">
              <w:rPr>
                <w:rFonts w:cstheme="minorHAnsi"/>
              </w:rPr>
              <w:t xml:space="preserve"> </w:t>
            </w:r>
            <w:r>
              <w:rPr>
                <w:rFonts w:cstheme="minorHAnsi"/>
              </w:rPr>
              <w:t>safety</w:t>
            </w:r>
            <w:r w:rsidR="000159A6">
              <w:rPr>
                <w:rFonts w:cstheme="minorHAnsi"/>
              </w:rPr>
              <w:t xml:space="preserve"> </w:t>
            </w:r>
            <w:r>
              <w:rPr>
                <w:rFonts w:cstheme="minorHAnsi"/>
              </w:rPr>
              <w:t>data</w:t>
            </w:r>
            <w:r w:rsidR="000159A6">
              <w:rPr>
                <w:rFonts w:cstheme="minorHAnsi"/>
              </w:rPr>
              <w:t xml:space="preserve"> </w:t>
            </w:r>
            <w:r>
              <w:rPr>
                <w:rFonts w:cstheme="minorHAnsi"/>
              </w:rPr>
              <w:t>collection.</w:t>
            </w:r>
            <w:r w:rsidR="000159A6">
              <w:rPr>
                <w:rFonts w:cstheme="minorHAnsi"/>
              </w:rPr>
              <w:t xml:space="preserve"> </w:t>
            </w:r>
            <w:r>
              <w:rPr>
                <w:rFonts w:cstheme="minorHAnsi"/>
              </w:rPr>
              <w:t>Effects</w:t>
            </w:r>
            <w:r w:rsidR="000159A6">
              <w:rPr>
                <w:rFonts w:cstheme="minorHAnsi"/>
              </w:rPr>
              <w:t xml:space="preserve"> </w:t>
            </w:r>
            <w:r>
              <w:rPr>
                <w:rFonts w:cstheme="minorHAnsi"/>
              </w:rPr>
              <w:t>on</w:t>
            </w:r>
            <w:r w:rsidR="000159A6">
              <w:rPr>
                <w:rFonts w:cstheme="minorHAnsi"/>
              </w:rPr>
              <w:t xml:space="preserve"> </w:t>
            </w:r>
            <w:r>
              <w:rPr>
                <w:rFonts w:cstheme="minorHAnsi"/>
              </w:rPr>
              <w:t>compliance</w:t>
            </w:r>
            <w:r w:rsidR="000159A6">
              <w:rPr>
                <w:rFonts w:cstheme="minorHAnsi"/>
              </w:rPr>
              <w:t xml:space="preserve"> </w:t>
            </w:r>
            <w:r>
              <w:rPr>
                <w:rFonts w:cstheme="minorHAnsi"/>
              </w:rPr>
              <w:t>are</w:t>
            </w:r>
            <w:r w:rsidR="000159A6">
              <w:rPr>
                <w:rFonts w:cstheme="minorHAnsi"/>
              </w:rPr>
              <w:t xml:space="preserve"> </w:t>
            </w:r>
            <w:r>
              <w:rPr>
                <w:rFonts w:cstheme="minorHAnsi"/>
              </w:rPr>
              <w:t>unknown.</w:t>
            </w:r>
          </w:p>
        </w:tc>
      </w:tr>
      <w:tr w:rsidR="00624EB5" w:rsidRPr="00C37A1D" w14:paraId="2CD3062E" w14:textId="77777777" w:rsidTr="00541F41">
        <w:tc>
          <w:tcPr>
            <w:tcW w:w="4395" w:type="dxa"/>
          </w:tcPr>
          <w:p w14:paraId="15E4E8BA" w14:textId="5784DFD6" w:rsidR="00624EB5" w:rsidRPr="00E0575C" w:rsidRDefault="00624EB5" w:rsidP="00541F41">
            <w:pPr>
              <w:rPr>
                <w:rFonts w:asciiTheme="minorHAnsi" w:hAnsiTheme="minorHAnsi" w:cstheme="minorHAnsi"/>
              </w:rPr>
            </w:pPr>
            <w:r>
              <w:rPr>
                <w:rFonts w:cstheme="minorHAnsi"/>
              </w:rPr>
              <w:t>Reactogenicity</w:t>
            </w:r>
            <w:r w:rsidR="000159A6">
              <w:rPr>
                <w:rFonts w:cstheme="minorHAnsi"/>
              </w:rPr>
              <w:t xml:space="preserve"> </w:t>
            </w:r>
            <w:r>
              <w:rPr>
                <w:rFonts w:cstheme="minorHAnsi"/>
              </w:rPr>
              <w:t>higher</w:t>
            </w:r>
            <w:r w:rsidR="000159A6">
              <w:rPr>
                <w:rFonts w:cstheme="minorHAnsi"/>
              </w:rPr>
              <w:t xml:space="preserve"> </w:t>
            </w:r>
            <w:r>
              <w:rPr>
                <w:rFonts w:cstheme="minorHAnsi"/>
              </w:rPr>
              <w:t>in</w:t>
            </w:r>
            <w:r w:rsidR="000159A6">
              <w:rPr>
                <w:rFonts w:cstheme="minorHAnsi"/>
              </w:rPr>
              <w:t xml:space="preserve"> </w:t>
            </w:r>
            <w:r>
              <w:rPr>
                <w:rFonts w:cstheme="minorHAnsi"/>
              </w:rPr>
              <w:t>adults</w:t>
            </w:r>
            <w:r w:rsidR="000159A6">
              <w:rPr>
                <w:rFonts w:cstheme="minorHAnsi"/>
              </w:rPr>
              <w:t xml:space="preserve"> </w:t>
            </w:r>
            <w:r>
              <w:rPr>
                <w:rFonts w:cstheme="minorHAnsi"/>
              </w:rPr>
              <w:t>aged</w:t>
            </w:r>
            <w:r w:rsidR="000159A6">
              <w:rPr>
                <w:rFonts w:cstheme="minorHAnsi"/>
              </w:rPr>
              <w:t xml:space="preserve"> </w:t>
            </w:r>
            <w:r>
              <w:rPr>
                <w:rFonts w:cstheme="minorHAnsi"/>
              </w:rPr>
              <w:t>50</w:t>
            </w:r>
            <w:r w:rsidR="000159A6">
              <w:rPr>
                <w:rFonts w:cstheme="minorHAnsi"/>
              </w:rPr>
              <w:t xml:space="preserve"> </w:t>
            </w:r>
            <w:r>
              <w:rPr>
                <w:rFonts w:cstheme="minorHAnsi"/>
              </w:rPr>
              <w:t>to</w:t>
            </w:r>
            <w:r w:rsidR="000159A6">
              <w:rPr>
                <w:rFonts w:cstheme="minorHAnsi"/>
              </w:rPr>
              <w:t xml:space="preserve"> </w:t>
            </w:r>
            <w:r>
              <w:rPr>
                <w:rFonts w:cstheme="minorHAnsi"/>
              </w:rPr>
              <w:t>69</w:t>
            </w:r>
            <w:r w:rsidR="000159A6">
              <w:rPr>
                <w:rFonts w:cstheme="minorHAnsi"/>
              </w:rPr>
              <w:t xml:space="preserve"> </w:t>
            </w:r>
            <w:r>
              <w:rPr>
                <w:rFonts w:cstheme="minorHAnsi"/>
              </w:rPr>
              <w:t>compared</w:t>
            </w:r>
            <w:r w:rsidR="000159A6">
              <w:rPr>
                <w:rFonts w:cstheme="minorHAnsi"/>
              </w:rPr>
              <w:t xml:space="preserve"> </w:t>
            </w:r>
            <w:r>
              <w:rPr>
                <w:rFonts w:cstheme="minorHAnsi"/>
              </w:rPr>
              <w:t>to</w:t>
            </w:r>
            <w:r w:rsidR="000159A6">
              <w:rPr>
                <w:rFonts w:cstheme="minorHAnsi"/>
              </w:rPr>
              <w:t xml:space="preserve"> </w:t>
            </w:r>
            <w:r>
              <w:rPr>
                <w:rFonts w:cstheme="minorHAnsi"/>
              </w:rPr>
              <w:t>those</w:t>
            </w:r>
            <w:r w:rsidR="000159A6">
              <w:rPr>
                <w:rFonts w:cstheme="minorHAnsi"/>
              </w:rPr>
              <w:t xml:space="preserve"> </w:t>
            </w:r>
            <w:r>
              <w:rPr>
                <w:rFonts w:cstheme="minorHAnsi"/>
              </w:rPr>
              <w:t>over</w:t>
            </w:r>
            <w:r w:rsidR="000159A6">
              <w:rPr>
                <w:rFonts w:cstheme="minorHAnsi"/>
              </w:rPr>
              <w:t xml:space="preserve"> </w:t>
            </w:r>
            <w:r>
              <w:rPr>
                <w:rFonts w:cstheme="minorHAnsi"/>
              </w:rPr>
              <w:t>70</w:t>
            </w:r>
            <w:r w:rsidR="000159A6">
              <w:rPr>
                <w:rFonts w:cstheme="minorHAnsi"/>
              </w:rPr>
              <w:t xml:space="preserve"> </w:t>
            </w:r>
            <w:r>
              <w:rPr>
                <w:rFonts w:cstheme="minorHAnsi"/>
              </w:rPr>
              <w:t>years.</w:t>
            </w:r>
          </w:p>
        </w:tc>
        <w:tc>
          <w:tcPr>
            <w:tcW w:w="4394" w:type="dxa"/>
          </w:tcPr>
          <w:p w14:paraId="0BD4F783" w14:textId="7BE2F997" w:rsidR="00624EB5" w:rsidRPr="00E0575C" w:rsidRDefault="00624EB5" w:rsidP="00541F41">
            <w:pPr>
              <w:rPr>
                <w:rFonts w:cstheme="minorHAnsi"/>
              </w:rPr>
            </w:pPr>
            <w:r>
              <w:rPr>
                <w:rFonts w:cstheme="minorHAnsi"/>
              </w:rPr>
              <w:t>Robust</w:t>
            </w:r>
            <w:r w:rsidR="000159A6">
              <w:rPr>
                <w:rFonts w:cstheme="minorHAnsi"/>
              </w:rPr>
              <w:t xml:space="preserve"> </w:t>
            </w:r>
            <w:r>
              <w:rPr>
                <w:rFonts w:cstheme="minorHAnsi"/>
              </w:rPr>
              <w:t>safety</w:t>
            </w:r>
            <w:r w:rsidR="000159A6">
              <w:rPr>
                <w:rFonts w:cstheme="minorHAnsi"/>
              </w:rPr>
              <w:t xml:space="preserve"> </w:t>
            </w:r>
            <w:r>
              <w:rPr>
                <w:rFonts w:cstheme="minorHAnsi"/>
              </w:rPr>
              <w:t>data</w:t>
            </w:r>
            <w:r w:rsidR="000159A6">
              <w:rPr>
                <w:rFonts w:cstheme="minorHAnsi"/>
              </w:rPr>
              <w:t xml:space="preserve"> </w:t>
            </w:r>
            <w:r>
              <w:rPr>
                <w:rFonts w:cstheme="minorHAnsi"/>
              </w:rPr>
              <w:t>obtained</w:t>
            </w:r>
            <w:r w:rsidR="000159A6">
              <w:rPr>
                <w:rFonts w:cstheme="minorHAnsi"/>
              </w:rPr>
              <w:t xml:space="preserve"> </w:t>
            </w:r>
            <w:r>
              <w:rPr>
                <w:rFonts w:cstheme="minorHAnsi"/>
              </w:rPr>
              <w:t>from</w:t>
            </w:r>
            <w:r w:rsidR="000159A6">
              <w:rPr>
                <w:rFonts w:cstheme="minorHAnsi"/>
              </w:rPr>
              <w:t xml:space="preserve"> </w:t>
            </w:r>
            <w:r>
              <w:rPr>
                <w:rFonts w:cstheme="minorHAnsi"/>
              </w:rPr>
              <w:t>the</w:t>
            </w:r>
            <w:r w:rsidR="000159A6">
              <w:rPr>
                <w:rFonts w:cstheme="minorHAnsi"/>
              </w:rPr>
              <w:t xml:space="preserve"> </w:t>
            </w:r>
            <w:r>
              <w:rPr>
                <w:rFonts w:cstheme="minorHAnsi"/>
              </w:rPr>
              <w:t>placebo</w:t>
            </w:r>
            <w:r w:rsidR="000159A6">
              <w:rPr>
                <w:rFonts w:cstheme="minorHAnsi"/>
              </w:rPr>
              <w:t xml:space="preserve"> </w:t>
            </w:r>
            <w:r>
              <w:rPr>
                <w:rFonts w:cstheme="minorHAnsi"/>
              </w:rPr>
              <w:t>controlled</w:t>
            </w:r>
            <w:r w:rsidR="000159A6">
              <w:rPr>
                <w:rFonts w:cstheme="minorHAnsi"/>
              </w:rPr>
              <w:t xml:space="preserve"> </w:t>
            </w:r>
            <w:r>
              <w:rPr>
                <w:rFonts w:cstheme="minorHAnsi"/>
              </w:rPr>
              <w:t>studies</w:t>
            </w:r>
            <w:r w:rsidR="000159A6">
              <w:rPr>
                <w:rFonts w:cstheme="minorHAnsi"/>
              </w:rPr>
              <w:t xml:space="preserve"> </w:t>
            </w:r>
            <w:r>
              <w:rPr>
                <w:rFonts w:cstheme="minorHAnsi"/>
              </w:rPr>
              <w:t>with</w:t>
            </w:r>
            <w:r w:rsidR="000159A6">
              <w:rPr>
                <w:rFonts w:cstheme="minorHAnsi"/>
              </w:rPr>
              <w:t xml:space="preserve"> </w:t>
            </w:r>
            <w:r>
              <w:rPr>
                <w:rFonts w:cstheme="minorHAnsi"/>
              </w:rPr>
              <w:t>thorough</w:t>
            </w:r>
            <w:r w:rsidR="000159A6">
              <w:rPr>
                <w:rFonts w:cstheme="minorHAnsi"/>
              </w:rPr>
              <w:t xml:space="preserve"> </w:t>
            </w:r>
            <w:r>
              <w:rPr>
                <w:rFonts w:cstheme="minorHAnsi"/>
              </w:rPr>
              <w:t>safety</w:t>
            </w:r>
            <w:r w:rsidR="000159A6">
              <w:rPr>
                <w:rFonts w:cstheme="minorHAnsi"/>
              </w:rPr>
              <w:t xml:space="preserve"> </w:t>
            </w:r>
            <w:r>
              <w:rPr>
                <w:rFonts w:cstheme="minorHAnsi"/>
              </w:rPr>
              <w:t>data</w:t>
            </w:r>
            <w:r w:rsidR="000159A6">
              <w:rPr>
                <w:rFonts w:cstheme="minorHAnsi"/>
              </w:rPr>
              <w:t xml:space="preserve"> </w:t>
            </w:r>
            <w:r>
              <w:rPr>
                <w:rFonts w:cstheme="minorHAnsi"/>
              </w:rPr>
              <w:t>collection.</w:t>
            </w:r>
            <w:r w:rsidR="000159A6">
              <w:rPr>
                <w:rFonts w:cstheme="minorHAnsi"/>
              </w:rPr>
              <w:t xml:space="preserve"> </w:t>
            </w:r>
            <w:r>
              <w:rPr>
                <w:rFonts w:cstheme="minorHAnsi"/>
              </w:rPr>
              <w:t>Resultant</w:t>
            </w:r>
            <w:r w:rsidR="000159A6">
              <w:rPr>
                <w:rFonts w:cstheme="minorHAnsi"/>
              </w:rPr>
              <w:t xml:space="preserve"> </w:t>
            </w:r>
            <w:r>
              <w:rPr>
                <w:rFonts w:cstheme="minorHAnsi"/>
              </w:rPr>
              <w:t>effects</w:t>
            </w:r>
            <w:r w:rsidR="000159A6">
              <w:rPr>
                <w:rFonts w:cstheme="minorHAnsi"/>
              </w:rPr>
              <w:t xml:space="preserve"> </w:t>
            </w:r>
            <w:r>
              <w:rPr>
                <w:rFonts w:cstheme="minorHAnsi"/>
              </w:rPr>
              <w:t>on</w:t>
            </w:r>
            <w:r w:rsidR="000159A6">
              <w:rPr>
                <w:rFonts w:cstheme="minorHAnsi"/>
              </w:rPr>
              <w:t xml:space="preserve"> </w:t>
            </w:r>
            <w:r>
              <w:rPr>
                <w:rFonts w:cstheme="minorHAnsi"/>
              </w:rPr>
              <w:t>compliance</w:t>
            </w:r>
            <w:r w:rsidR="000159A6">
              <w:rPr>
                <w:rFonts w:cstheme="minorHAnsi"/>
              </w:rPr>
              <w:t xml:space="preserve"> </w:t>
            </w:r>
            <w:r>
              <w:rPr>
                <w:rFonts w:cstheme="minorHAnsi"/>
              </w:rPr>
              <w:t>are</w:t>
            </w:r>
            <w:r w:rsidR="000159A6">
              <w:rPr>
                <w:rFonts w:cstheme="minorHAnsi"/>
              </w:rPr>
              <w:t xml:space="preserve"> </w:t>
            </w:r>
            <w:r>
              <w:rPr>
                <w:rFonts w:cstheme="minorHAnsi"/>
              </w:rPr>
              <w:t>unknown.</w:t>
            </w:r>
          </w:p>
        </w:tc>
      </w:tr>
      <w:tr w:rsidR="00624EB5" w:rsidRPr="00C37A1D" w14:paraId="34C0D7E6" w14:textId="77777777" w:rsidTr="00541F41">
        <w:tc>
          <w:tcPr>
            <w:tcW w:w="4395" w:type="dxa"/>
          </w:tcPr>
          <w:p w14:paraId="0658059F" w14:textId="0D78F7A5" w:rsidR="00624EB5" w:rsidRPr="00E0575C" w:rsidRDefault="00624EB5" w:rsidP="00541F41">
            <w:pPr>
              <w:rPr>
                <w:rFonts w:asciiTheme="minorHAnsi" w:hAnsiTheme="minorHAnsi" w:cstheme="minorHAnsi"/>
              </w:rPr>
            </w:pPr>
            <w:r w:rsidRPr="00E0575C">
              <w:rPr>
                <w:rFonts w:asciiTheme="minorHAnsi" w:hAnsiTheme="minorHAnsi" w:cstheme="minorHAnsi"/>
              </w:rPr>
              <w:t>No</w:t>
            </w:r>
            <w:r w:rsidR="000159A6">
              <w:rPr>
                <w:rFonts w:asciiTheme="minorHAnsi" w:hAnsiTheme="minorHAnsi" w:cstheme="minorHAnsi"/>
              </w:rPr>
              <w:t xml:space="preserve"> </w:t>
            </w:r>
            <w:r w:rsidRPr="00E0575C">
              <w:rPr>
                <w:rFonts w:asciiTheme="minorHAnsi" w:hAnsiTheme="minorHAnsi" w:cstheme="minorHAnsi"/>
              </w:rPr>
              <w:t>immunological</w:t>
            </w:r>
            <w:r w:rsidR="000159A6">
              <w:rPr>
                <w:rFonts w:asciiTheme="minorHAnsi" w:hAnsiTheme="minorHAnsi" w:cstheme="minorHAnsi"/>
              </w:rPr>
              <w:t xml:space="preserve"> </w:t>
            </w:r>
            <w:r w:rsidRPr="00E0575C">
              <w:rPr>
                <w:rFonts w:asciiTheme="minorHAnsi" w:hAnsiTheme="minorHAnsi" w:cstheme="minorHAnsi"/>
              </w:rPr>
              <w:t>correlates</w:t>
            </w:r>
            <w:r w:rsidR="000159A6">
              <w:rPr>
                <w:rFonts w:asciiTheme="minorHAnsi" w:hAnsiTheme="minorHAnsi" w:cstheme="minorHAnsi"/>
              </w:rPr>
              <w:t xml:space="preserve"> </w:t>
            </w:r>
            <w:r w:rsidRPr="00E0575C">
              <w:rPr>
                <w:rFonts w:asciiTheme="minorHAnsi" w:hAnsiTheme="minorHAnsi" w:cstheme="minorHAnsi"/>
              </w:rPr>
              <w:t>of</w:t>
            </w:r>
            <w:r w:rsidR="000159A6">
              <w:rPr>
                <w:rFonts w:asciiTheme="minorHAnsi" w:hAnsiTheme="minorHAnsi" w:cstheme="minorHAnsi"/>
              </w:rPr>
              <w:t xml:space="preserve"> </w:t>
            </w:r>
            <w:r w:rsidRPr="00E0575C">
              <w:rPr>
                <w:rFonts w:asciiTheme="minorHAnsi" w:hAnsiTheme="minorHAnsi" w:cstheme="minorHAnsi"/>
              </w:rPr>
              <w:t>protection</w:t>
            </w:r>
            <w:r>
              <w:rPr>
                <w:rFonts w:asciiTheme="minorHAnsi" w:hAnsiTheme="minorHAnsi" w:cstheme="minorHAnsi"/>
              </w:rPr>
              <w:t>.</w:t>
            </w:r>
          </w:p>
        </w:tc>
        <w:tc>
          <w:tcPr>
            <w:tcW w:w="4394" w:type="dxa"/>
          </w:tcPr>
          <w:p w14:paraId="44DC1408" w14:textId="5AB17384" w:rsidR="00624EB5" w:rsidRPr="00E0575C" w:rsidRDefault="00624EB5" w:rsidP="00541F41">
            <w:pPr>
              <w:rPr>
                <w:rFonts w:cstheme="minorHAnsi"/>
              </w:rPr>
            </w:pPr>
            <w:r>
              <w:rPr>
                <w:rFonts w:asciiTheme="minorHAnsi" w:hAnsiTheme="minorHAnsi" w:cstheme="minorHAnsi"/>
              </w:rPr>
              <w:t>Supportive</w:t>
            </w:r>
            <w:r w:rsidR="000159A6">
              <w:rPr>
                <w:rFonts w:asciiTheme="minorHAnsi" w:hAnsiTheme="minorHAnsi" w:cstheme="minorHAnsi"/>
              </w:rPr>
              <w:t xml:space="preserve"> </w:t>
            </w:r>
            <w:r>
              <w:rPr>
                <w:rFonts w:asciiTheme="minorHAnsi" w:hAnsiTheme="minorHAnsi" w:cstheme="minorHAnsi"/>
              </w:rPr>
              <w:t>studies</w:t>
            </w:r>
            <w:r w:rsidR="000159A6">
              <w:rPr>
                <w:rFonts w:asciiTheme="minorHAnsi" w:hAnsiTheme="minorHAnsi" w:cstheme="minorHAnsi"/>
              </w:rPr>
              <w:t xml:space="preserve"> </w:t>
            </w:r>
            <w:r>
              <w:rPr>
                <w:rFonts w:asciiTheme="minorHAnsi" w:hAnsiTheme="minorHAnsi" w:cstheme="minorHAnsi"/>
              </w:rPr>
              <w:t>were</w:t>
            </w:r>
            <w:r w:rsidR="000159A6">
              <w:rPr>
                <w:rFonts w:asciiTheme="minorHAnsi" w:hAnsiTheme="minorHAnsi" w:cstheme="minorHAnsi"/>
              </w:rPr>
              <w:t xml:space="preserve"> </w:t>
            </w:r>
            <w:r>
              <w:rPr>
                <w:rFonts w:asciiTheme="minorHAnsi" w:hAnsiTheme="minorHAnsi" w:cstheme="minorHAnsi"/>
              </w:rPr>
              <w:t>based</w:t>
            </w:r>
            <w:r w:rsidR="000159A6">
              <w:rPr>
                <w:rFonts w:asciiTheme="minorHAnsi" w:hAnsiTheme="minorHAnsi" w:cstheme="minorHAnsi"/>
              </w:rPr>
              <w:t xml:space="preserve"> </w:t>
            </w:r>
            <w:r>
              <w:rPr>
                <w:rFonts w:asciiTheme="minorHAnsi" w:hAnsiTheme="minorHAnsi" w:cstheme="minorHAnsi"/>
              </w:rPr>
              <w:t>on</w:t>
            </w:r>
            <w:r w:rsidR="000159A6">
              <w:rPr>
                <w:rFonts w:asciiTheme="minorHAnsi" w:hAnsiTheme="minorHAnsi" w:cstheme="minorHAnsi"/>
              </w:rPr>
              <w:t xml:space="preserve"> </w:t>
            </w:r>
            <w:r>
              <w:rPr>
                <w:rFonts w:asciiTheme="minorHAnsi" w:hAnsiTheme="minorHAnsi" w:cstheme="minorHAnsi"/>
              </w:rPr>
              <w:t>immunological</w:t>
            </w:r>
            <w:r w:rsidR="000159A6">
              <w:rPr>
                <w:rFonts w:asciiTheme="minorHAnsi" w:hAnsiTheme="minorHAnsi" w:cstheme="minorHAnsi"/>
              </w:rPr>
              <w:t xml:space="preserve"> </w:t>
            </w:r>
            <w:r>
              <w:rPr>
                <w:rFonts w:asciiTheme="minorHAnsi" w:hAnsiTheme="minorHAnsi" w:cstheme="minorHAnsi"/>
              </w:rPr>
              <w:t>endpoints.</w:t>
            </w:r>
            <w:r w:rsidR="000159A6">
              <w:rPr>
                <w:rFonts w:asciiTheme="minorHAnsi" w:hAnsiTheme="minorHAnsi" w:cstheme="minorHAnsi"/>
              </w:rPr>
              <w:t xml:space="preserve"> </w:t>
            </w:r>
            <w:r>
              <w:rPr>
                <w:rFonts w:asciiTheme="minorHAnsi" w:hAnsiTheme="minorHAnsi" w:cstheme="minorHAnsi"/>
              </w:rPr>
              <w:t>Drawing</w:t>
            </w:r>
            <w:r w:rsidR="000159A6">
              <w:rPr>
                <w:rFonts w:asciiTheme="minorHAnsi" w:hAnsiTheme="minorHAnsi" w:cstheme="minorHAnsi"/>
              </w:rPr>
              <w:t xml:space="preserve"> </w:t>
            </w:r>
            <w:r>
              <w:rPr>
                <w:rFonts w:asciiTheme="minorHAnsi" w:hAnsiTheme="minorHAnsi" w:cstheme="minorHAnsi"/>
              </w:rPr>
              <w:t>conclusions</w:t>
            </w:r>
            <w:r w:rsidR="000159A6">
              <w:rPr>
                <w:rFonts w:asciiTheme="minorHAnsi" w:hAnsiTheme="minorHAnsi" w:cstheme="minorHAnsi"/>
              </w:rPr>
              <w:t xml:space="preserve"> </w:t>
            </w:r>
            <w:r>
              <w:rPr>
                <w:rFonts w:asciiTheme="minorHAnsi" w:hAnsiTheme="minorHAnsi" w:cstheme="minorHAnsi"/>
              </w:rPr>
              <w:t>on</w:t>
            </w:r>
            <w:r w:rsidR="000159A6">
              <w:rPr>
                <w:rFonts w:asciiTheme="minorHAnsi" w:hAnsiTheme="minorHAnsi" w:cstheme="minorHAnsi"/>
              </w:rPr>
              <w:t xml:space="preserve"> </w:t>
            </w:r>
            <w:r>
              <w:rPr>
                <w:rFonts w:asciiTheme="minorHAnsi" w:hAnsiTheme="minorHAnsi" w:cstheme="minorHAnsi"/>
              </w:rPr>
              <w:t>resultant</w:t>
            </w:r>
            <w:r w:rsidR="000159A6">
              <w:rPr>
                <w:rFonts w:asciiTheme="minorHAnsi" w:hAnsiTheme="minorHAnsi" w:cstheme="minorHAnsi"/>
              </w:rPr>
              <w:t xml:space="preserve"> </w:t>
            </w:r>
            <w:r>
              <w:rPr>
                <w:rFonts w:asciiTheme="minorHAnsi" w:hAnsiTheme="minorHAnsi" w:cstheme="minorHAnsi"/>
              </w:rPr>
              <w:t>efficacy</w:t>
            </w:r>
            <w:r w:rsidR="000159A6">
              <w:rPr>
                <w:rFonts w:asciiTheme="minorHAnsi" w:hAnsiTheme="minorHAnsi" w:cstheme="minorHAnsi"/>
              </w:rPr>
              <w:t xml:space="preserve"> </w:t>
            </w:r>
            <w:r>
              <w:rPr>
                <w:rFonts w:asciiTheme="minorHAnsi" w:hAnsiTheme="minorHAnsi" w:cstheme="minorHAnsi"/>
              </w:rPr>
              <w:t>is</w:t>
            </w:r>
            <w:r w:rsidR="000159A6">
              <w:rPr>
                <w:rFonts w:asciiTheme="minorHAnsi" w:hAnsiTheme="minorHAnsi" w:cstheme="minorHAnsi"/>
              </w:rPr>
              <w:t xml:space="preserve"> </w:t>
            </w:r>
            <w:r>
              <w:rPr>
                <w:rFonts w:asciiTheme="minorHAnsi" w:hAnsiTheme="minorHAnsi" w:cstheme="minorHAnsi"/>
              </w:rPr>
              <w:t>therefore</w:t>
            </w:r>
            <w:r w:rsidR="000159A6">
              <w:rPr>
                <w:rFonts w:asciiTheme="minorHAnsi" w:hAnsiTheme="minorHAnsi" w:cstheme="minorHAnsi"/>
              </w:rPr>
              <w:t xml:space="preserve"> </w:t>
            </w:r>
            <w:r>
              <w:rPr>
                <w:rFonts w:asciiTheme="minorHAnsi" w:hAnsiTheme="minorHAnsi" w:cstheme="minorHAnsi"/>
              </w:rPr>
              <w:t>difficult,</w:t>
            </w:r>
            <w:r w:rsidR="000159A6">
              <w:rPr>
                <w:rFonts w:asciiTheme="minorHAnsi" w:hAnsiTheme="minorHAnsi" w:cstheme="minorHAnsi"/>
              </w:rPr>
              <w:t xml:space="preserve"> </w:t>
            </w:r>
            <w:r>
              <w:rPr>
                <w:rFonts w:asciiTheme="minorHAnsi" w:hAnsiTheme="minorHAnsi" w:cstheme="minorHAnsi"/>
              </w:rPr>
              <w:t>particularly</w:t>
            </w:r>
            <w:r w:rsidR="000159A6">
              <w:rPr>
                <w:rFonts w:asciiTheme="minorHAnsi" w:hAnsiTheme="minorHAnsi" w:cstheme="minorHAnsi"/>
              </w:rPr>
              <w:t xml:space="preserve"> </w:t>
            </w:r>
            <w:r>
              <w:rPr>
                <w:rFonts w:asciiTheme="minorHAnsi" w:hAnsiTheme="minorHAnsi" w:cstheme="minorHAnsi"/>
              </w:rPr>
              <w:t>for</w:t>
            </w:r>
            <w:r w:rsidR="000159A6">
              <w:rPr>
                <w:rFonts w:asciiTheme="minorHAnsi" w:hAnsiTheme="minorHAnsi" w:cstheme="minorHAnsi"/>
              </w:rPr>
              <w:t xml:space="preserve"> </w:t>
            </w:r>
            <w:r>
              <w:rPr>
                <w:rFonts w:asciiTheme="minorHAnsi" w:hAnsiTheme="minorHAnsi" w:cstheme="minorHAnsi"/>
              </w:rPr>
              <w:t>humoral</w:t>
            </w:r>
            <w:r w:rsidR="000159A6">
              <w:rPr>
                <w:rFonts w:asciiTheme="minorHAnsi" w:hAnsiTheme="minorHAnsi" w:cstheme="minorHAnsi"/>
              </w:rPr>
              <w:t xml:space="preserve"> </w:t>
            </w:r>
            <w:r>
              <w:rPr>
                <w:rFonts w:asciiTheme="minorHAnsi" w:hAnsiTheme="minorHAnsi" w:cstheme="minorHAnsi"/>
              </w:rPr>
              <w:t>immunity</w:t>
            </w:r>
            <w:r w:rsidR="000159A6">
              <w:rPr>
                <w:rFonts w:asciiTheme="minorHAnsi" w:hAnsiTheme="minorHAnsi" w:cstheme="minorHAnsi"/>
              </w:rPr>
              <w:t xml:space="preserve"> </w:t>
            </w:r>
            <w:r>
              <w:rPr>
                <w:rFonts w:asciiTheme="minorHAnsi" w:hAnsiTheme="minorHAnsi" w:cstheme="minorHAnsi"/>
              </w:rPr>
              <w:t>endpoints.</w:t>
            </w:r>
            <w:r w:rsidR="000159A6">
              <w:rPr>
                <w:rFonts w:asciiTheme="minorHAnsi" w:hAnsiTheme="minorHAnsi" w:cstheme="minorHAnsi"/>
              </w:rPr>
              <w:t xml:space="preserve"> </w:t>
            </w:r>
            <w:r>
              <w:rPr>
                <w:rFonts w:asciiTheme="minorHAnsi" w:hAnsiTheme="minorHAnsi" w:cstheme="minorHAnsi"/>
              </w:rPr>
              <w:t>This</w:t>
            </w:r>
            <w:r w:rsidR="000159A6">
              <w:rPr>
                <w:rFonts w:asciiTheme="minorHAnsi" w:hAnsiTheme="minorHAnsi" w:cstheme="minorHAnsi"/>
              </w:rPr>
              <w:t xml:space="preserve"> </w:t>
            </w:r>
            <w:r>
              <w:rPr>
                <w:rFonts w:asciiTheme="minorHAnsi" w:hAnsiTheme="minorHAnsi" w:cstheme="minorHAnsi"/>
              </w:rPr>
              <w:t>is</w:t>
            </w:r>
            <w:r w:rsidR="000159A6">
              <w:rPr>
                <w:rFonts w:asciiTheme="minorHAnsi" w:hAnsiTheme="minorHAnsi" w:cstheme="minorHAnsi"/>
              </w:rPr>
              <w:t xml:space="preserve"> </w:t>
            </w:r>
            <w:r>
              <w:rPr>
                <w:rFonts w:asciiTheme="minorHAnsi" w:hAnsiTheme="minorHAnsi" w:cstheme="minorHAnsi"/>
              </w:rPr>
              <w:t>relevant</w:t>
            </w:r>
            <w:r w:rsidR="000159A6">
              <w:rPr>
                <w:rFonts w:asciiTheme="minorHAnsi" w:hAnsiTheme="minorHAnsi" w:cstheme="minorHAnsi"/>
              </w:rPr>
              <w:t xml:space="preserve"> </w:t>
            </w:r>
            <w:r>
              <w:rPr>
                <w:rFonts w:asciiTheme="minorHAnsi" w:hAnsiTheme="minorHAnsi" w:cstheme="minorHAnsi"/>
              </w:rPr>
              <w:t>for</w:t>
            </w:r>
            <w:r w:rsidR="000159A6">
              <w:rPr>
                <w:rFonts w:asciiTheme="minorHAnsi" w:hAnsiTheme="minorHAnsi" w:cstheme="minorHAnsi"/>
              </w:rPr>
              <w:t xml:space="preserve"> </w:t>
            </w:r>
            <w:r>
              <w:rPr>
                <w:rFonts w:asciiTheme="minorHAnsi" w:hAnsiTheme="minorHAnsi" w:cstheme="minorHAnsi"/>
              </w:rPr>
              <w:t>data</w:t>
            </w:r>
            <w:r w:rsidR="000159A6">
              <w:rPr>
                <w:rFonts w:asciiTheme="minorHAnsi" w:hAnsiTheme="minorHAnsi" w:cstheme="minorHAnsi"/>
              </w:rPr>
              <w:t xml:space="preserve"> </w:t>
            </w:r>
            <w:r>
              <w:rPr>
                <w:rFonts w:asciiTheme="minorHAnsi" w:hAnsiTheme="minorHAnsi" w:cstheme="minorHAnsi"/>
              </w:rPr>
              <w:t>on</w:t>
            </w:r>
            <w:r w:rsidR="000159A6">
              <w:rPr>
                <w:rFonts w:asciiTheme="minorHAnsi" w:hAnsiTheme="minorHAnsi" w:cstheme="minorHAnsi"/>
              </w:rPr>
              <w:t xml:space="preserve"> </w:t>
            </w:r>
            <w:r>
              <w:rPr>
                <w:rFonts w:asciiTheme="minorHAnsi" w:hAnsiTheme="minorHAnsi" w:cstheme="minorHAnsi"/>
              </w:rPr>
              <w:t>a</w:t>
            </w:r>
            <w:r w:rsidR="000159A6">
              <w:rPr>
                <w:rFonts w:asciiTheme="minorHAnsi" w:hAnsiTheme="minorHAnsi" w:cstheme="minorHAnsi"/>
              </w:rPr>
              <w:t xml:space="preserve"> </w:t>
            </w:r>
            <w:r>
              <w:rPr>
                <w:rFonts w:asciiTheme="minorHAnsi" w:hAnsiTheme="minorHAnsi" w:cstheme="minorHAnsi"/>
              </w:rPr>
              <w:t>dosing</w:t>
            </w:r>
            <w:r w:rsidR="000159A6">
              <w:rPr>
                <w:rFonts w:asciiTheme="minorHAnsi" w:hAnsiTheme="minorHAnsi" w:cstheme="minorHAnsi"/>
              </w:rPr>
              <w:t xml:space="preserve"> </w:t>
            </w:r>
            <w:r>
              <w:rPr>
                <w:rFonts w:asciiTheme="minorHAnsi" w:hAnsiTheme="minorHAnsi" w:cstheme="minorHAnsi"/>
              </w:rPr>
              <w:t>schedule</w:t>
            </w:r>
            <w:r w:rsidR="000159A6">
              <w:rPr>
                <w:rFonts w:asciiTheme="minorHAnsi" w:hAnsiTheme="minorHAnsi" w:cstheme="minorHAnsi"/>
              </w:rPr>
              <w:t xml:space="preserve"> </w:t>
            </w:r>
            <w:r>
              <w:rPr>
                <w:rFonts w:asciiTheme="minorHAnsi" w:hAnsiTheme="minorHAnsi" w:cstheme="minorHAnsi"/>
              </w:rPr>
              <w:t>other</w:t>
            </w:r>
            <w:r w:rsidR="000159A6">
              <w:rPr>
                <w:rFonts w:asciiTheme="minorHAnsi" w:hAnsiTheme="minorHAnsi" w:cstheme="minorHAnsi"/>
              </w:rPr>
              <w:t xml:space="preserve"> </w:t>
            </w:r>
            <w:r>
              <w:rPr>
                <w:rFonts w:asciiTheme="minorHAnsi" w:hAnsiTheme="minorHAnsi" w:cstheme="minorHAnsi"/>
              </w:rPr>
              <w:t>than</w:t>
            </w:r>
            <w:r w:rsidR="000159A6">
              <w:rPr>
                <w:rFonts w:asciiTheme="minorHAnsi" w:hAnsiTheme="minorHAnsi" w:cstheme="minorHAnsi"/>
              </w:rPr>
              <w:t xml:space="preserve"> </w:t>
            </w:r>
            <w:r>
              <w:rPr>
                <w:rFonts w:asciiTheme="minorHAnsi" w:hAnsiTheme="minorHAnsi" w:cstheme="minorHAnsi"/>
              </w:rPr>
              <w:t>0</w:t>
            </w:r>
            <w:proofErr w:type="gramStart"/>
            <w:r>
              <w:rPr>
                <w:rFonts w:asciiTheme="minorHAnsi" w:hAnsiTheme="minorHAnsi" w:cstheme="minorHAnsi"/>
              </w:rPr>
              <w:t>,2</w:t>
            </w:r>
            <w:proofErr w:type="gramEnd"/>
            <w:r w:rsidR="000159A6">
              <w:rPr>
                <w:rFonts w:asciiTheme="minorHAnsi" w:hAnsiTheme="minorHAnsi" w:cstheme="minorHAnsi"/>
              </w:rPr>
              <w:t xml:space="preserve"> </w:t>
            </w:r>
            <w:r>
              <w:rPr>
                <w:rFonts w:asciiTheme="minorHAnsi" w:hAnsiTheme="minorHAnsi" w:cstheme="minorHAnsi"/>
              </w:rPr>
              <w:t>months.</w:t>
            </w:r>
          </w:p>
        </w:tc>
      </w:tr>
      <w:tr w:rsidR="00624EB5" w:rsidRPr="00C37A1D" w14:paraId="2978F67B" w14:textId="77777777" w:rsidTr="00541F41">
        <w:tc>
          <w:tcPr>
            <w:tcW w:w="4395" w:type="dxa"/>
          </w:tcPr>
          <w:p w14:paraId="32E68BE4" w14:textId="77C1B968" w:rsidR="00624EB5" w:rsidRPr="00E0575C" w:rsidRDefault="00624EB5" w:rsidP="00541F41">
            <w:pPr>
              <w:rPr>
                <w:rFonts w:asciiTheme="minorHAnsi" w:hAnsiTheme="minorHAnsi" w:cstheme="minorHAnsi"/>
              </w:rPr>
            </w:pPr>
            <w:proofErr w:type="gramStart"/>
            <w:r>
              <w:rPr>
                <w:rFonts w:asciiTheme="minorHAnsi" w:hAnsiTheme="minorHAnsi" w:cstheme="minorHAnsi"/>
              </w:rPr>
              <w:t>No</w:t>
            </w:r>
            <w:r w:rsidR="000159A6">
              <w:rPr>
                <w:rFonts w:asciiTheme="minorHAnsi" w:hAnsiTheme="minorHAnsi" w:cstheme="minorHAnsi"/>
              </w:rPr>
              <w:t xml:space="preserve"> </w:t>
            </w:r>
            <w:r>
              <w:rPr>
                <w:rFonts w:asciiTheme="minorHAnsi" w:hAnsiTheme="minorHAnsi" w:cstheme="minorHAnsi"/>
              </w:rPr>
              <w:t>data</w:t>
            </w:r>
            <w:r w:rsidR="000159A6">
              <w:rPr>
                <w:rFonts w:asciiTheme="minorHAnsi" w:hAnsiTheme="minorHAnsi" w:cstheme="minorHAnsi"/>
              </w:rPr>
              <w:t xml:space="preserve"> </w:t>
            </w:r>
            <w:r>
              <w:rPr>
                <w:rFonts w:asciiTheme="minorHAnsi" w:hAnsiTheme="minorHAnsi" w:cstheme="minorHAnsi"/>
              </w:rPr>
              <w:t>on</w:t>
            </w:r>
            <w:r w:rsidR="000159A6">
              <w:rPr>
                <w:rFonts w:asciiTheme="minorHAnsi" w:hAnsiTheme="minorHAnsi" w:cstheme="minorHAnsi"/>
              </w:rPr>
              <w:t xml:space="preserve"> </w:t>
            </w:r>
            <w:r>
              <w:rPr>
                <w:rFonts w:asciiTheme="minorHAnsi" w:hAnsiTheme="minorHAnsi" w:cstheme="minorHAnsi"/>
              </w:rPr>
              <w:t>long</w:t>
            </w:r>
            <w:r w:rsidR="000159A6">
              <w:rPr>
                <w:rFonts w:asciiTheme="minorHAnsi" w:hAnsiTheme="minorHAnsi" w:cstheme="minorHAnsi"/>
              </w:rPr>
              <w:t xml:space="preserve"> </w:t>
            </w:r>
            <w:r>
              <w:rPr>
                <w:rFonts w:asciiTheme="minorHAnsi" w:hAnsiTheme="minorHAnsi" w:cstheme="minorHAnsi"/>
              </w:rPr>
              <w:t>term</w:t>
            </w:r>
            <w:r w:rsidR="000159A6">
              <w:rPr>
                <w:rFonts w:asciiTheme="minorHAnsi" w:hAnsiTheme="minorHAnsi" w:cstheme="minorHAnsi"/>
              </w:rPr>
              <w:t xml:space="preserve"> </w:t>
            </w:r>
            <w:r>
              <w:rPr>
                <w:rFonts w:asciiTheme="minorHAnsi" w:hAnsiTheme="minorHAnsi" w:cstheme="minorHAnsi"/>
              </w:rPr>
              <w:t>(</w:t>
            </w:r>
            <w:r w:rsidR="004715B4">
              <w:rPr>
                <w:rFonts w:asciiTheme="minorHAnsi" w:hAnsiTheme="minorHAnsi" w:cstheme="minorHAnsi"/>
              </w:rPr>
              <w:t>&gt;</w:t>
            </w:r>
            <w:r w:rsidR="000159A6">
              <w:rPr>
                <w:rFonts w:asciiTheme="minorHAnsi" w:hAnsiTheme="minorHAnsi" w:cstheme="minorHAnsi"/>
              </w:rPr>
              <w:t xml:space="preserve"> </w:t>
            </w:r>
            <w:r>
              <w:rPr>
                <w:rFonts w:asciiTheme="minorHAnsi" w:hAnsiTheme="minorHAnsi" w:cstheme="minorHAnsi"/>
              </w:rPr>
              <w:t>4</w:t>
            </w:r>
            <w:r w:rsidR="000159A6">
              <w:rPr>
                <w:rFonts w:asciiTheme="minorHAnsi" w:hAnsiTheme="minorHAnsi" w:cstheme="minorHAnsi"/>
              </w:rPr>
              <w:t xml:space="preserve"> </w:t>
            </w:r>
            <w:r>
              <w:rPr>
                <w:rFonts w:asciiTheme="minorHAnsi" w:hAnsiTheme="minorHAnsi" w:cstheme="minorHAnsi"/>
              </w:rPr>
              <w:t>years)</w:t>
            </w:r>
            <w:r w:rsidR="000159A6">
              <w:rPr>
                <w:rFonts w:asciiTheme="minorHAnsi" w:hAnsiTheme="minorHAnsi" w:cstheme="minorHAnsi"/>
              </w:rPr>
              <w:t xml:space="preserve"> </w:t>
            </w:r>
            <w:r>
              <w:rPr>
                <w:rFonts w:asciiTheme="minorHAnsi" w:hAnsiTheme="minorHAnsi" w:cstheme="minorHAnsi"/>
              </w:rPr>
              <w:t>protection</w:t>
            </w:r>
            <w:r w:rsidR="000159A6">
              <w:rPr>
                <w:rFonts w:asciiTheme="minorHAnsi" w:hAnsiTheme="minorHAnsi" w:cstheme="minorHAnsi"/>
              </w:rPr>
              <w:t xml:space="preserve"> </w:t>
            </w:r>
            <w:r>
              <w:rPr>
                <w:rFonts w:asciiTheme="minorHAnsi" w:hAnsiTheme="minorHAnsi" w:cstheme="minorHAnsi"/>
              </w:rPr>
              <w:t>and</w:t>
            </w:r>
            <w:r w:rsidR="000159A6">
              <w:rPr>
                <w:rFonts w:asciiTheme="minorHAnsi" w:hAnsiTheme="minorHAnsi" w:cstheme="minorHAnsi"/>
              </w:rPr>
              <w:t xml:space="preserve"> </w:t>
            </w:r>
            <w:r>
              <w:rPr>
                <w:rFonts w:asciiTheme="minorHAnsi" w:hAnsiTheme="minorHAnsi" w:cstheme="minorHAnsi"/>
              </w:rPr>
              <w:t>the</w:t>
            </w:r>
            <w:r w:rsidR="000159A6">
              <w:rPr>
                <w:rFonts w:asciiTheme="minorHAnsi" w:hAnsiTheme="minorHAnsi" w:cstheme="minorHAnsi"/>
              </w:rPr>
              <w:t xml:space="preserve"> </w:t>
            </w:r>
            <w:r>
              <w:rPr>
                <w:rFonts w:asciiTheme="minorHAnsi" w:hAnsiTheme="minorHAnsi" w:cstheme="minorHAnsi"/>
              </w:rPr>
              <w:t>need</w:t>
            </w:r>
            <w:r w:rsidR="000159A6">
              <w:rPr>
                <w:rFonts w:asciiTheme="minorHAnsi" w:hAnsiTheme="minorHAnsi" w:cstheme="minorHAnsi"/>
              </w:rPr>
              <w:t xml:space="preserve"> </w:t>
            </w:r>
            <w:r>
              <w:rPr>
                <w:rFonts w:asciiTheme="minorHAnsi" w:hAnsiTheme="minorHAnsi" w:cstheme="minorHAnsi"/>
              </w:rPr>
              <w:t>for</w:t>
            </w:r>
            <w:r w:rsidR="000159A6">
              <w:rPr>
                <w:rFonts w:asciiTheme="minorHAnsi" w:hAnsiTheme="minorHAnsi" w:cstheme="minorHAnsi"/>
              </w:rPr>
              <w:t xml:space="preserve"> </w:t>
            </w:r>
            <w:r>
              <w:rPr>
                <w:rFonts w:asciiTheme="minorHAnsi" w:hAnsiTheme="minorHAnsi" w:cstheme="minorHAnsi"/>
              </w:rPr>
              <w:t>booster</w:t>
            </w:r>
            <w:r w:rsidR="000159A6">
              <w:rPr>
                <w:rFonts w:asciiTheme="minorHAnsi" w:hAnsiTheme="minorHAnsi" w:cstheme="minorHAnsi"/>
              </w:rPr>
              <w:t xml:space="preserve"> </w:t>
            </w:r>
            <w:r>
              <w:rPr>
                <w:rFonts w:asciiTheme="minorHAnsi" w:hAnsiTheme="minorHAnsi" w:cstheme="minorHAnsi"/>
              </w:rPr>
              <w:t>dose</w:t>
            </w:r>
            <w:r w:rsidR="000159A6">
              <w:rPr>
                <w:rFonts w:asciiTheme="minorHAnsi" w:hAnsiTheme="minorHAnsi" w:cstheme="minorHAnsi"/>
              </w:rPr>
              <w:t xml:space="preserve"> </w:t>
            </w:r>
            <w:r>
              <w:rPr>
                <w:rFonts w:asciiTheme="minorHAnsi" w:hAnsiTheme="minorHAnsi" w:cstheme="minorHAnsi"/>
              </w:rPr>
              <w:t>has</w:t>
            </w:r>
            <w:r w:rsidR="000159A6">
              <w:rPr>
                <w:rFonts w:asciiTheme="minorHAnsi" w:hAnsiTheme="minorHAnsi" w:cstheme="minorHAnsi"/>
              </w:rPr>
              <w:t xml:space="preserve"> </w:t>
            </w:r>
            <w:r>
              <w:rPr>
                <w:rFonts w:asciiTheme="minorHAnsi" w:hAnsiTheme="minorHAnsi" w:cstheme="minorHAnsi"/>
              </w:rPr>
              <w:t>not</w:t>
            </w:r>
            <w:r w:rsidR="000159A6">
              <w:rPr>
                <w:rFonts w:asciiTheme="minorHAnsi" w:hAnsiTheme="minorHAnsi" w:cstheme="minorHAnsi"/>
              </w:rPr>
              <w:t xml:space="preserve"> </w:t>
            </w:r>
            <w:r>
              <w:rPr>
                <w:rFonts w:asciiTheme="minorHAnsi" w:hAnsiTheme="minorHAnsi" w:cstheme="minorHAnsi"/>
              </w:rPr>
              <w:t>been</w:t>
            </w:r>
            <w:r w:rsidR="000159A6">
              <w:rPr>
                <w:rFonts w:asciiTheme="minorHAnsi" w:hAnsiTheme="minorHAnsi" w:cstheme="minorHAnsi"/>
              </w:rPr>
              <w:t xml:space="preserve"> </w:t>
            </w:r>
            <w:r>
              <w:rPr>
                <w:rFonts w:asciiTheme="minorHAnsi" w:hAnsiTheme="minorHAnsi" w:cstheme="minorHAnsi"/>
              </w:rPr>
              <w:t>determined.</w:t>
            </w:r>
            <w:proofErr w:type="gramEnd"/>
          </w:p>
        </w:tc>
        <w:tc>
          <w:tcPr>
            <w:tcW w:w="4394" w:type="dxa"/>
          </w:tcPr>
          <w:p w14:paraId="4BD77778" w14:textId="69D06161" w:rsidR="00624EB5" w:rsidRPr="00E0575C" w:rsidRDefault="00624EB5" w:rsidP="00541F41">
            <w:pPr>
              <w:rPr>
                <w:rFonts w:cstheme="minorHAnsi"/>
              </w:rPr>
            </w:pPr>
            <w:r>
              <w:rPr>
                <w:rFonts w:cstheme="minorHAnsi"/>
              </w:rPr>
              <w:t>Pivotal</w:t>
            </w:r>
            <w:r w:rsidR="000159A6">
              <w:rPr>
                <w:rFonts w:cstheme="minorHAnsi"/>
              </w:rPr>
              <w:t xml:space="preserve"> </w:t>
            </w:r>
            <w:r>
              <w:rPr>
                <w:rFonts w:cstheme="minorHAnsi"/>
              </w:rPr>
              <w:t>studies</w:t>
            </w:r>
            <w:r w:rsidR="000159A6">
              <w:rPr>
                <w:rFonts w:cstheme="minorHAnsi"/>
              </w:rPr>
              <w:t xml:space="preserve"> </w:t>
            </w:r>
            <w:r>
              <w:rPr>
                <w:rFonts w:cstheme="minorHAnsi"/>
              </w:rPr>
              <w:t>provided</w:t>
            </w:r>
            <w:r w:rsidR="000159A6">
              <w:rPr>
                <w:rFonts w:cstheme="minorHAnsi"/>
              </w:rPr>
              <w:t xml:space="preserve"> </w:t>
            </w:r>
            <w:r>
              <w:rPr>
                <w:rFonts w:cstheme="minorHAnsi"/>
              </w:rPr>
              <w:t>efficacy</w:t>
            </w:r>
            <w:r w:rsidR="000159A6">
              <w:rPr>
                <w:rFonts w:cstheme="minorHAnsi"/>
              </w:rPr>
              <w:t xml:space="preserve"> </w:t>
            </w:r>
            <w:r>
              <w:rPr>
                <w:rFonts w:cstheme="minorHAnsi"/>
              </w:rPr>
              <w:t>data</w:t>
            </w:r>
            <w:r w:rsidR="000159A6">
              <w:rPr>
                <w:rFonts w:cstheme="minorHAnsi"/>
              </w:rPr>
              <w:t xml:space="preserve"> </w:t>
            </w:r>
            <w:r>
              <w:rPr>
                <w:rFonts w:cstheme="minorHAnsi"/>
              </w:rPr>
              <w:t>to</w:t>
            </w:r>
            <w:r w:rsidR="000159A6">
              <w:rPr>
                <w:rFonts w:cstheme="minorHAnsi"/>
              </w:rPr>
              <w:t xml:space="preserve"> </w:t>
            </w:r>
            <w:r>
              <w:rPr>
                <w:rFonts w:cstheme="minorHAnsi"/>
              </w:rPr>
              <w:t>4</w:t>
            </w:r>
            <w:r w:rsidR="000159A6">
              <w:rPr>
                <w:rFonts w:cstheme="minorHAnsi"/>
              </w:rPr>
              <w:t xml:space="preserve"> </w:t>
            </w:r>
            <w:r>
              <w:rPr>
                <w:rFonts w:cstheme="minorHAnsi"/>
              </w:rPr>
              <w:t>years.</w:t>
            </w:r>
            <w:r w:rsidR="000159A6">
              <w:rPr>
                <w:rFonts w:cstheme="minorHAnsi"/>
              </w:rPr>
              <w:t xml:space="preserve"> </w:t>
            </w:r>
            <w:r>
              <w:rPr>
                <w:rFonts w:cstheme="minorHAnsi"/>
              </w:rPr>
              <w:t>There</w:t>
            </w:r>
            <w:r w:rsidR="000159A6">
              <w:rPr>
                <w:rFonts w:cstheme="minorHAnsi"/>
              </w:rPr>
              <w:t xml:space="preserve"> </w:t>
            </w:r>
            <w:r>
              <w:rPr>
                <w:rFonts w:cstheme="minorHAnsi"/>
              </w:rPr>
              <w:t>are</w:t>
            </w:r>
            <w:r w:rsidR="000159A6">
              <w:rPr>
                <w:rFonts w:cstheme="minorHAnsi"/>
              </w:rPr>
              <w:t xml:space="preserve"> </w:t>
            </w:r>
            <w:r>
              <w:rPr>
                <w:rFonts w:cstheme="minorHAnsi"/>
              </w:rPr>
              <w:t>no</w:t>
            </w:r>
            <w:r w:rsidR="000159A6">
              <w:rPr>
                <w:rFonts w:cstheme="minorHAnsi"/>
              </w:rPr>
              <w:t xml:space="preserve"> </w:t>
            </w:r>
            <w:r>
              <w:rPr>
                <w:rFonts w:cstheme="minorHAnsi"/>
              </w:rPr>
              <w:t>data</w:t>
            </w:r>
            <w:r w:rsidR="000159A6">
              <w:rPr>
                <w:rFonts w:cstheme="minorHAnsi"/>
              </w:rPr>
              <w:t xml:space="preserve"> </w:t>
            </w:r>
            <w:r>
              <w:rPr>
                <w:rFonts w:cstheme="minorHAnsi"/>
              </w:rPr>
              <w:t>at</w:t>
            </w:r>
            <w:r w:rsidR="000159A6">
              <w:rPr>
                <w:rFonts w:cstheme="minorHAnsi"/>
              </w:rPr>
              <w:t xml:space="preserve"> </w:t>
            </w:r>
            <w:r>
              <w:rPr>
                <w:rFonts w:cstheme="minorHAnsi"/>
              </w:rPr>
              <w:t>present</w:t>
            </w:r>
            <w:r w:rsidR="000159A6">
              <w:rPr>
                <w:rFonts w:cstheme="minorHAnsi"/>
              </w:rPr>
              <w:t xml:space="preserve"> </w:t>
            </w:r>
            <w:r>
              <w:rPr>
                <w:rFonts w:cstheme="minorHAnsi"/>
              </w:rPr>
              <w:t>on</w:t>
            </w:r>
            <w:r w:rsidR="000159A6">
              <w:rPr>
                <w:rFonts w:cstheme="minorHAnsi"/>
              </w:rPr>
              <w:t xml:space="preserve"> </w:t>
            </w:r>
            <w:r>
              <w:rPr>
                <w:rFonts w:cstheme="minorHAnsi"/>
              </w:rPr>
              <w:t>the</w:t>
            </w:r>
            <w:r w:rsidR="000159A6">
              <w:rPr>
                <w:rFonts w:cstheme="minorHAnsi"/>
              </w:rPr>
              <w:t xml:space="preserve"> </w:t>
            </w:r>
            <w:r>
              <w:rPr>
                <w:rFonts w:cstheme="minorHAnsi"/>
              </w:rPr>
              <w:t>need</w:t>
            </w:r>
            <w:r w:rsidR="000159A6">
              <w:rPr>
                <w:rFonts w:cstheme="minorHAnsi"/>
              </w:rPr>
              <w:t xml:space="preserve"> </w:t>
            </w:r>
            <w:r>
              <w:rPr>
                <w:rFonts w:cstheme="minorHAnsi"/>
              </w:rPr>
              <w:t>for</w:t>
            </w:r>
            <w:r w:rsidR="000159A6">
              <w:rPr>
                <w:rFonts w:cstheme="minorHAnsi"/>
              </w:rPr>
              <w:t xml:space="preserve"> </w:t>
            </w:r>
            <w:r>
              <w:rPr>
                <w:rFonts w:cstheme="minorHAnsi"/>
              </w:rPr>
              <w:t>booster</w:t>
            </w:r>
            <w:r w:rsidR="000159A6">
              <w:rPr>
                <w:rFonts w:cstheme="minorHAnsi"/>
              </w:rPr>
              <w:t xml:space="preserve"> </w:t>
            </w:r>
            <w:r>
              <w:rPr>
                <w:rFonts w:cstheme="minorHAnsi"/>
              </w:rPr>
              <w:t>dosing.</w:t>
            </w:r>
            <w:r w:rsidR="000159A6">
              <w:rPr>
                <w:rFonts w:cstheme="minorHAnsi"/>
              </w:rPr>
              <w:t xml:space="preserve"> </w:t>
            </w:r>
            <w:r>
              <w:rPr>
                <w:rFonts w:cstheme="minorHAnsi"/>
              </w:rPr>
              <w:t>Long</w:t>
            </w:r>
            <w:r w:rsidR="000159A6">
              <w:rPr>
                <w:rFonts w:cstheme="minorHAnsi"/>
              </w:rPr>
              <w:t xml:space="preserve"> </w:t>
            </w:r>
            <w:r>
              <w:rPr>
                <w:rFonts w:cstheme="minorHAnsi"/>
              </w:rPr>
              <w:t>term</w:t>
            </w:r>
            <w:r w:rsidR="000159A6">
              <w:rPr>
                <w:rFonts w:cstheme="minorHAnsi"/>
              </w:rPr>
              <w:t xml:space="preserve"> </w:t>
            </w:r>
            <w:r>
              <w:rPr>
                <w:rFonts w:cstheme="minorHAnsi"/>
              </w:rPr>
              <w:t>follow</w:t>
            </w:r>
            <w:r w:rsidR="000159A6">
              <w:rPr>
                <w:rFonts w:cstheme="minorHAnsi"/>
              </w:rPr>
              <w:t xml:space="preserve"> </w:t>
            </w:r>
            <w:r>
              <w:rPr>
                <w:rFonts w:cstheme="minorHAnsi"/>
              </w:rPr>
              <w:t>up</w:t>
            </w:r>
            <w:r w:rsidR="000159A6">
              <w:rPr>
                <w:rFonts w:cstheme="minorHAnsi"/>
              </w:rPr>
              <w:t xml:space="preserve"> </w:t>
            </w:r>
            <w:r>
              <w:rPr>
                <w:rFonts w:cstheme="minorHAnsi"/>
              </w:rPr>
              <w:t>is</w:t>
            </w:r>
            <w:r w:rsidR="000159A6">
              <w:rPr>
                <w:rFonts w:cstheme="minorHAnsi"/>
              </w:rPr>
              <w:t xml:space="preserve"> </w:t>
            </w:r>
            <w:r>
              <w:rPr>
                <w:rFonts w:cstheme="minorHAnsi"/>
              </w:rPr>
              <w:t>planned</w:t>
            </w:r>
            <w:r w:rsidR="000159A6">
              <w:rPr>
                <w:rFonts w:cstheme="minorHAnsi"/>
              </w:rPr>
              <w:t xml:space="preserve"> </w:t>
            </w:r>
            <w:r>
              <w:rPr>
                <w:rFonts w:cstheme="minorHAnsi"/>
              </w:rPr>
              <w:t>for</w:t>
            </w:r>
            <w:r w:rsidR="000159A6">
              <w:rPr>
                <w:rFonts w:cstheme="minorHAnsi"/>
              </w:rPr>
              <w:t xml:space="preserve"> </w:t>
            </w:r>
            <w:r w:rsidR="00525235">
              <w:rPr>
                <w:rFonts w:cstheme="minorHAnsi"/>
              </w:rPr>
              <w:t>Studies</w:t>
            </w:r>
            <w:r w:rsidR="000159A6">
              <w:rPr>
                <w:rFonts w:cstheme="minorHAnsi"/>
              </w:rPr>
              <w:t xml:space="preserve"> </w:t>
            </w:r>
            <w:r w:rsidR="00525235">
              <w:rPr>
                <w:rFonts w:cstheme="minorHAnsi"/>
              </w:rPr>
              <w:t>ZOSTER</w:t>
            </w:r>
            <w:r>
              <w:rPr>
                <w:rFonts w:cstheme="minorHAnsi"/>
              </w:rPr>
              <w:t>-006,</w:t>
            </w:r>
            <w:r w:rsidR="000159A6">
              <w:rPr>
                <w:rFonts w:cstheme="minorHAnsi"/>
              </w:rPr>
              <w:t xml:space="preserve"> </w:t>
            </w:r>
            <w:r>
              <w:rPr>
                <w:rFonts w:cstheme="minorHAnsi"/>
              </w:rPr>
              <w:t>ZOSTER-022</w:t>
            </w:r>
            <w:r w:rsidR="000159A6">
              <w:rPr>
                <w:rFonts w:cstheme="minorHAnsi"/>
              </w:rPr>
              <w:t xml:space="preserve"> </w:t>
            </w:r>
            <w:r>
              <w:rPr>
                <w:rFonts w:cstheme="minorHAnsi"/>
              </w:rPr>
              <w:t>and</w:t>
            </w:r>
            <w:r w:rsidR="000159A6">
              <w:rPr>
                <w:rFonts w:cstheme="minorHAnsi"/>
              </w:rPr>
              <w:t xml:space="preserve"> </w:t>
            </w:r>
            <w:r>
              <w:rPr>
                <w:rFonts w:cstheme="minorHAnsi"/>
              </w:rPr>
              <w:t>ZOSTER-003.</w:t>
            </w:r>
          </w:p>
        </w:tc>
      </w:tr>
      <w:tr w:rsidR="00624EB5" w:rsidRPr="00C37A1D" w14:paraId="772A138D" w14:textId="77777777" w:rsidTr="00541F41">
        <w:tc>
          <w:tcPr>
            <w:tcW w:w="4395" w:type="dxa"/>
          </w:tcPr>
          <w:p w14:paraId="0765B2A4" w14:textId="2853703A" w:rsidR="00624EB5" w:rsidRPr="00967762" w:rsidRDefault="00624EB5" w:rsidP="00541F41">
            <w:pPr>
              <w:rPr>
                <w:rFonts w:asciiTheme="minorHAnsi" w:hAnsiTheme="minorHAnsi" w:cstheme="minorHAnsi"/>
              </w:rPr>
            </w:pPr>
            <w:r>
              <w:rPr>
                <w:rFonts w:asciiTheme="minorHAnsi" w:hAnsiTheme="minorHAnsi" w:cstheme="minorHAnsi"/>
              </w:rPr>
              <w:t>Risk</w:t>
            </w:r>
            <w:r w:rsidR="000159A6">
              <w:rPr>
                <w:rFonts w:asciiTheme="minorHAnsi" w:hAnsiTheme="minorHAnsi" w:cstheme="minorHAnsi"/>
              </w:rPr>
              <w:t xml:space="preserve"> </w:t>
            </w:r>
            <w:r>
              <w:rPr>
                <w:rFonts w:asciiTheme="minorHAnsi" w:hAnsiTheme="minorHAnsi" w:cstheme="minorHAnsi"/>
              </w:rPr>
              <w:t>of</w:t>
            </w:r>
            <w:r w:rsidR="000159A6">
              <w:rPr>
                <w:rFonts w:asciiTheme="minorHAnsi" w:hAnsiTheme="minorHAnsi" w:cstheme="minorHAnsi"/>
              </w:rPr>
              <w:t xml:space="preserve"> </w:t>
            </w:r>
            <w:r>
              <w:rPr>
                <w:rFonts w:asciiTheme="minorHAnsi" w:hAnsiTheme="minorHAnsi" w:cstheme="minorHAnsi"/>
              </w:rPr>
              <w:t>very</w:t>
            </w:r>
            <w:r w:rsidR="000159A6">
              <w:rPr>
                <w:rFonts w:asciiTheme="minorHAnsi" w:hAnsiTheme="minorHAnsi" w:cstheme="minorHAnsi"/>
              </w:rPr>
              <w:t xml:space="preserve"> </w:t>
            </w:r>
            <w:r>
              <w:rPr>
                <w:rFonts w:asciiTheme="minorHAnsi" w:hAnsiTheme="minorHAnsi" w:cstheme="minorHAnsi"/>
              </w:rPr>
              <w:t>rare</w:t>
            </w:r>
            <w:r w:rsidR="000159A6">
              <w:rPr>
                <w:rFonts w:asciiTheme="minorHAnsi" w:hAnsiTheme="minorHAnsi" w:cstheme="minorHAnsi"/>
              </w:rPr>
              <w:t xml:space="preserve"> </w:t>
            </w:r>
            <w:r>
              <w:rPr>
                <w:rFonts w:asciiTheme="minorHAnsi" w:hAnsiTheme="minorHAnsi" w:cstheme="minorHAnsi"/>
              </w:rPr>
              <w:t>events</w:t>
            </w:r>
            <w:r w:rsidR="000159A6">
              <w:rPr>
                <w:rFonts w:asciiTheme="minorHAnsi" w:hAnsiTheme="minorHAnsi" w:cstheme="minorHAnsi"/>
              </w:rPr>
              <w:t xml:space="preserve"> </w:t>
            </w:r>
            <w:r>
              <w:rPr>
                <w:rFonts w:asciiTheme="minorHAnsi" w:hAnsiTheme="minorHAnsi" w:cstheme="minorHAnsi"/>
              </w:rPr>
              <w:t>is</w:t>
            </w:r>
            <w:r w:rsidR="000159A6">
              <w:rPr>
                <w:rFonts w:asciiTheme="minorHAnsi" w:hAnsiTheme="minorHAnsi" w:cstheme="minorHAnsi"/>
              </w:rPr>
              <w:t xml:space="preserve"> </w:t>
            </w:r>
            <w:r>
              <w:rPr>
                <w:rFonts w:asciiTheme="minorHAnsi" w:hAnsiTheme="minorHAnsi" w:cstheme="minorHAnsi"/>
              </w:rPr>
              <w:t>not</w:t>
            </w:r>
            <w:r w:rsidR="000159A6">
              <w:rPr>
                <w:rFonts w:asciiTheme="minorHAnsi" w:hAnsiTheme="minorHAnsi" w:cstheme="minorHAnsi"/>
              </w:rPr>
              <w:t xml:space="preserve"> </w:t>
            </w:r>
            <w:r>
              <w:rPr>
                <w:rFonts w:asciiTheme="minorHAnsi" w:hAnsiTheme="minorHAnsi" w:cstheme="minorHAnsi"/>
              </w:rPr>
              <w:t>currently</w:t>
            </w:r>
            <w:r w:rsidR="000159A6">
              <w:rPr>
                <w:rFonts w:asciiTheme="minorHAnsi" w:hAnsiTheme="minorHAnsi" w:cstheme="minorHAnsi"/>
              </w:rPr>
              <w:t xml:space="preserve"> </w:t>
            </w:r>
            <w:r>
              <w:rPr>
                <w:rFonts w:asciiTheme="minorHAnsi" w:hAnsiTheme="minorHAnsi" w:cstheme="minorHAnsi"/>
              </w:rPr>
              <w:t>quantifiable</w:t>
            </w:r>
            <w:r w:rsidR="00C95B23">
              <w:rPr>
                <w:rFonts w:asciiTheme="minorHAnsi" w:hAnsiTheme="minorHAnsi" w:cstheme="minorHAnsi"/>
              </w:rPr>
              <w:t>.</w:t>
            </w:r>
          </w:p>
        </w:tc>
        <w:tc>
          <w:tcPr>
            <w:tcW w:w="4394" w:type="dxa"/>
          </w:tcPr>
          <w:p w14:paraId="6FBD623E" w14:textId="5CCB72B3" w:rsidR="00624EB5" w:rsidRPr="003D51FE" w:rsidRDefault="00624EB5" w:rsidP="00541F41">
            <w:pPr>
              <w:rPr>
                <w:rFonts w:cstheme="minorHAnsi"/>
              </w:rPr>
            </w:pPr>
            <w:r w:rsidRPr="003D51FE">
              <w:rPr>
                <w:rFonts w:cstheme="minorHAnsi"/>
              </w:rPr>
              <w:t>Detection</w:t>
            </w:r>
            <w:r w:rsidR="000159A6">
              <w:rPr>
                <w:rFonts w:cstheme="minorHAnsi"/>
              </w:rPr>
              <w:t xml:space="preserve"> </w:t>
            </w:r>
            <w:r w:rsidRPr="003D51FE">
              <w:rPr>
                <w:rFonts w:cstheme="minorHAnsi"/>
              </w:rPr>
              <w:t>of</w:t>
            </w:r>
            <w:r w:rsidR="000159A6">
              <w:rPr>
                <w:rFonts w:cstheme="minorHAnsi"/>
              </w:rPr>
              <w:t xml:space="preserve"> </w:t>
            </w:r>
            <w:r w:rsidRPr="003D51FE">
              <w:rPr>
                <w:rFonts w:cstheme="minorHAnsi"/>
              </w:rPr>
              <w:t>rare</w:t>
            </w:r>
            <w:r w:rsidR="000159A6">
              <w:rPr>
                <w:rFonts w:cstheme="minorHAnsi"/>
              </w:rPr>
              <w:t xml:space="preserve"> </w:t>
            </w:r>
            <w:r w:rsidRPr="003D51FE">
              <w:rPr>
                <w:rFonts w:cstheme="minorHAnsi"/>
              </w:rPr>
              <w:t>events</w:t>
            </w:r>
            <w:r w:rsidR="000159A6">
              <w:rPr>
                <w:rFonts w:cstheme="minorHAnsi"/>
              </w:rPr>
              <w:t xml:space="preserve"> </w:t>
            </w:r>
            <w:r w:rsidRPr="003D51FE">
              <w:rPr>
                <w:rFonts w:cstheme="minorHAnsi"/>
              </w:rPr>
              <w:t>was</w:t>
            </w:r>
            <w:r w:rsidR="000159A6">
              <w:rPr>
                <w:rFonts w:cstheme="minorHAnsi"/>
              </w:rPr>
              <w:t xml:space="preserve"> </w:t>
            </w:r>
            <w:r w:rsidRPr="003D51FE">
              <w:rPr>
                <w:rFonts w:cstheme="minorHAnsi"/>
              </w:rPr>
              <w:t>limited</w:t>
            </w:r>
            <w:r w:rsidR="000159A6">
              <w:rPr>
                <w:rFonts w:cstheme="minorHAnsi"/>
              </w:rPr>
              <w:t xml:space="preserve"> </w:t>
            </w:r>
            <w:r>
              <w:rPr>
                <w:rFonts w:cstheme="minorHAnsi"/>
              </w:rPr>
              <w:t>by</w:t>
            </w:r>
            <w:r w:rsidR="000159A6">
              <w:rPr>
                <w:rFonts w:cstheme="minorHAnsi"/>
              </w:rPr>
              <w:t xml:space="preserve"> </w:t>
            </w:r>
            <w:r>
              <w:rPr>
                <w:rFonts w:cstheme="minorHAnsi"/>
              </w:rPr>
              <w:t>the</w:t>
            </w:r>
            <w:r w:rsidR="000159A6">
              <w:rPr>
                <w:rFonts w:cstheme="minorHAnsi"/>
              </w:rPr>
              <w:t xml:space="preserve"> </w:t>
            </w:r>
            <w:r>
              <w:rPr>
                <w:rFonts w:cstheme="minorHAnsi"/>
              </w:rPr>
              <w:t>dataset</w:t>
            </w:r>
            <w:r w:rsidR="000159A6">
              <w:rPr>
                <w:rFonts w:cstheme="minorHAnsi"/>
              </w:rPr>
              <w:t xml:space="preserve"> </w:t>
            </w:r>
            <w:r>
              <w:rPr>
                <w:rFonts w:cstheme="minorHAnsi"/>
              </w:rPr>
              <w:t>size</w:t>
            </w:r>
            <w:r w:rsidR="000159A6">
              <w:rPr>
                <w:rFonts w:cstheme="minorHAnsi"/>
              </w:rPr>
              <w:t xml:space="preserve"> </w:t>
            </w:r>
            <w:r>
              <w:rPr>
                <w:rFonts w:cstheme="minorHAnsi"/>
              </w:rPr>
              <w:t>to</w:t>
            </w:r>
            <w:r w:rsidR="000159A6">
              <w:rPr>
                <w:rFonts w:cstheme="minorHAnsi"/>
              </w:rPr>
              <w:t xml:space="preserve"> </w:t>
            </w:r>
            <w:r>
              <w:rPr>
                <w:rFonts w:cstheme="minorHAnsi"/>
              </w:rPr>
              <w:t>1/17,000.</w:t>
            </w:r>
          </w:p>
        </w:tc>
      </w:tr>
      <w:tr w:rsidR="00624EB5" w:rsidRPr="00C37A1D" w14:paraId="7747B1C2" w14:textId="77777777" w:rsidTr="00541F41">
        <w:tc>
          <w:tcPr>
            <w:tcW w:w="4395" w:type="dxa"/>
          </w:tcPr>
          <w:p w14:paraId="4D63DC07" w14:textId="64292BF3" w:rsidR="00624EB5" w:rsidRPr="00967762" w:rsidRDefault="00624EB5" w:rsidP="00541F41">
            <w:pPr>
              <w:rPr>
                <w:rFonts w:asciiTheme="minorHAnsi" w:hAnsiTheme="minorHAnsi" w:cstheme="minorHAnsi"/>
              </w:rPr>
            </w:pPr>
            <w:r>
              <w:rPr>
                <w:rFonts w:asciiTheme="minorHAnsi" w:hAnsiTheme="minorHAnsi" w:cstheme="minorHAnsi"/>
              </w:rPr>
              <w:t>Unknown</w:t>
            </w:r>
            <w:r w:rsidR="000159A6">
              <w:rPr>
                <w:rFonts w:asciiTheme="minorHAnsi" w:hAnsiTheme="minorHAnsi" w:cstheme="minorHAnsi"/>
              </w:rPr>
              <w:t xml:space="preserve"> </w:t>
            </w:r>
            <w:r>
              <w:rPr>
                <w:rFonts w:asciiTheme="minorHAnsi" w:hAnsiTheme="minorHAnsi" w:cstheme="minorHAnsi"/>
              </w:rPr>
              <w:t>risks</w:t>
            </w:r>
            <w:r w:rsidR="000159A6">
              <w:rPr>
                <w:rFonts w:asciiTheme="minorHAnsi" w:hAnsiTheme="minorHAnsi" w:cstheme="minorHAnsi"/>
              </w:rPr>
              <w:t xml:space="preserve"> </w:t>
            </w:r>
            <w:r>
              <w:rPr>
                <w:rFonts w:asciiTheme="minorHAnsi" w:hAnsiTheme="minorHAnsi" w:cstheme="minorHAnsi"/>
              </w:rPr>
              <w:t>in</w:t>
            </w:r>
            <w:r w:rsidR="000159A6">
              <w:rPr>
                <w:rFonts w:asciiTheme="minorHAnsi" w:hAnsiTheme="minorHAnsi" w:cstheme="minorHAnsi"/>
              </w:rPr>
              <w:t xml:space="preserve"> </w:t>
            </w:r>
            <w:r>
              <w:rPr>
                <w:rFonts w:asciiTheme="minorHAnsi" w:hAnsiTheme="minorHAnsi" w:cstheme="minorHAnsi"/>
              </w:rPr>
              <w:t>those</w:t>
            </w:r>
            <w:r w:rsidR="000159A6">
              <w:rPr>
                <w:rFonts w:asciiTheme="minorHAnsi" w:hAnsiTheme="minorHAnsi" w:cstheme="minorHAnsi"/>
              </w:rPr>
              <w:t xml:space="preserve"> </w:t>
            </w:r>
            <w:r>
              <w:rPr>
                <w:rFonts w:asciiTheme="minorHAnsi" w:hAnsiTheme="minorHAnsi" w:cstheme="minorHAnsi"/>
              </w:rPr>
              <w:t>with</w:t>
            </w:r>
            <w:r w:rsidR="000159A6">
              <w:rPr>
                <w:rFonts w:asciiTheme="minorHAnsi" w:hAnsiTheme="minorHAnsi" w:cstheme="minorHAnsi"/>
              </w:rPr>
              <w:t xml:space="preserve"> </w:t>
            </w:r>
            <w:r>
              <w:rPr>
                <w:rFonts w:asciiTheme="minorHAnsi" w:hAnsiTheme="minorHAnsi" w:cstheme="minorHAnsi"/>
              </w:rPr>
              <w:t>pre-existing</w:t>
            </w:r>
            <w:r w:rsidR="000159A6">
              <w:rPr>
                <w:rFonts w:asciiTheme="minorHAnsi" w:hAnsiTheme="minorHAnsi" w:cstheme="minorHAnsi"/>
              </w:rPr>
              <w:t xml:space="preserve"> </w:t>
            </w:r>
            <w:r>
              <w:rPr>
                <w:rFonts w:asciiTheme="minorHAnsi" w:hAnsiTheme="minorHAnsi" w:cstheme="minorHAnsi"/>
              </w:rPr>
              <w:t>immune</w:t>
            </w:r>
            <w:r w:rsidR="000159A6">
              <w:rPr>
                <w:rFonts w:asciiTheme="minorHAnsi" w:hAnsiTheme="minorHAnsi" w:cstheme="minorHAnsi"/>
              </w:rPr>
              <w:t xml:space="preserve"> </w:t>
            </w:r>
            <w:r>
              <w:rPr>
                <w:rFonts w:asciiTheme="minorHAnsi" w:hAnsiTheme="minorHAnsi" w:cstheme="minorHAnsi"/>
              </w:rPr>
              <w:t>conditions</w:t>
            </w:r>
            <w:r w:rsidR="00C95B23">
              <w:rPr>
                <w:rFonts w:asciiTheme="minorHAnsi" w:hAnsiTheme="minorHAnsi" w:cstheme="minorHAnsi"/>
              </w:rPr>
              <w:t>.</w:t>
            </w:r>
          </w:p>
        </w:tc>
        <w:tc>
          <w:tcPr>
            <w:tcW w:w="4394" w:type="dxa"/>
          </w:tcPr>
          <w:p w14:paraId="62632DA9" w14:textId="78154596" w:rsidR="00624EB5" w:rsidRPr="003D51FE" w:rsidRDefault="00624EB5" w:rsidP="00541F41">
            <w:pPr>
              <w:rPr>
                <w:rFonts w:cstheme="minorHAnsi"/>
              </w:rPr>
            </w:pPr>
            <w:r w:rsidRPr="003D51FE">
              <w:rPr>
                <w:rFonts w:cstheme="minorHAnsi"/>
              </w:rPr>
              <w:t>Limited</w:t>
            </w:r>
            <w:r w:rsidR="000159A6">
              <w:rPr>
                <w:rFonts w:cstheme="minorHAnsi"/>
              </w:rPr>
              <w:t xml:space="preserve"> </w:t>
            </w:r>
            <w:r w:rsidRPr="003D51FE">
              <w:rPr>
                <w:rFonts w:cstheme="minorHAnsi"/>
              </w:rPr>
              <w:t>data</w:t>
            </w:r>
            <w:r w:rsidR="000159A6">
              <w:rPr>
                <w:rFonts w:cstheme="minorHAnsi"/>
              </w:rPr>
              <w:t xml:space="preserve"> </w:t>
            </w:r>
            <w:r w:rsidRPr="003D51FE">
              <w:rPr>
                <w:rFonts w:cstheme="minorHAnsi"/>
              </w:rPr>
              <w:t>at</w:t>
            </w:r>
            <w:r w:rsidR="000159A6">
              <w:rPr>
                <w:rFonts w:cstheme="minorHAnsi"/>
              </w:rPr>
              <w:t xml:space="preserve"> </w:t>
            </w:r>
            <w:r w:rsidRPr="003D51FE">
              <w:rPr>
                <w:rFonts w:cstheme="minorHAnsi"/>
              </w:rPr>
              <w:t>present</w:t>
            </w:r>
            <w:r w:rsidR="000159A6">
              <w:rPr>
                <w:rFonts w:cstheme="minorHAnsi"/>
              </w:rPr>
              <w:t xml:space="preserve"> </w:t>
            </w:r>
            <w:r>
              <w:rPr>
                <w:rFonts w:cstheme="minorHAnsi"/>
              </w:rPr>
              <w:t>in</w:t>
            </w:r>
            <w:r w:rsidR="000159A6">
              <w:rPr>
                <w:rFonts w:cstheme="minorHAnsi"/>
              </w:rPr>
              <w:t xml:space="preserve"> </w:t>
            </w:r>
            <w:r>
              <w:rPr>
                <w:rFonts w:cstheme="minorHAnsi"/>
              </w:rPr>
              <w:t>immunocompromised</w:t>
            </w:r>
            <w:r w:rsidR="000159A6">
              <w:rPr>
                <w:rFonts w:cstheme="minorHAnsi"/>
              </w:rPr>
              <w:t xml:space="preserve"> </w:t>
            </w:r>
            <w:r>
              <w:rPr>
                <w:rFonts w:cstheme="minorHAnsi"/>
              </w:rPr>
              <w:t>subjects</w:t>
            </w:r>
            <w:r w:rsidR="000159A6">
              <w:rPr>
                <w:rFonts w:cstheme="minorHAnsi"/>
              </w:rPr>
              <w:t xml:space="preserve"> </w:t>
            </w:r>
            <w:r>
              <w:rPr>
                <w:rFonts w:cstheme="minorHAnsi"/>
              </w:rPr>
              <w:t>who</w:t>
            </w:r>
            <w:r w:rsidR="000159A6">
              <w:rPr>
                <w:rFonts w:cstheme="minorHAnsi"/>
              </w:rPr>
              <w:t xml:space="preserve"> </w:t>
            </w:r>
            <w:r>
              <w:rPr>
                <w:rFonts w:cstheme="minorHAnsi"/>
              </w:rPr>
              <w:t>were</w:t>
            </w:r>
            <w:r w:rsidR="000159A6">
              <w:rPr>
                <w:rFonts w:cstheme="minorHAnsi"/>
              </w:rPr>
              <w:t xml:space="preserve"> </w:t>
            </w:r>
            <w:r>
              <w:rPr>
                <w:rFonts w:cstheme="minorHAnsi"/>
              </w:rPr>
              <w:t>excluded</w:t>
            </w:r>
            <w:r w:rsidR="000159A6">
              <w:rPr>
                <w:rFonts w:cstheme="minorHAnsi"/>
              </w:rPr>
              <w:t xml:space="preserve"> </w:t>
            </w:r>
            <w:r>
              <w:rPr>
                <w:rFonts w:cstheme="minorHAnsi"/>
              </w:rPr>
              <w:t>from</w:t>
            </w:r>
            <w:r w:rsidR="000159A6">
              <w:rPr>
                <w:rFonts w:cstheme="minorHAnsi"/>
              </w:rPr>
              <w:t xml:space="preserve"> </w:t>
            </w:r>
            <w:r>
              <w:rPr>
                <w:rFonts w:cstheme="minorHAnsi"/>
              </w:rPr>
              <w:t>the</w:t>
            </w:r>
            <w:r w:rsidR="000159A6">
              <w:rPr>
                <w:rFonts w:cstheme="minorHAnsi"/>
              </w:rPr>
              <w:t xml:space="preserve"> </w:t>
            </w:r>
            <w:r>
              <w:rPr>
                <w:rFonts w:cstheme="minorHAnsi"/>
              </w:rPr>
              <w:t>pivotal</w:t>
            </w:r>
            <w:r w:rsidR="000159A6">
              <w:rPr>
                <w:rFonts w:cstheme="minorHAnsi"/>
              </w:rPr>
              <w:t xml:space="preserve"> </w:t>
            </w:r>
            <w:r>
              <w:rPr>
                <w:rFonts w:cstheme="minorHAnsi"/>
              </w:rPr>
              <w:t>studies.</w:t>
            </w:r>
            <w:r w:rsidR="000159A6">
              <w:rPr>
                <w:rFonts w:cstheme="minorHAnsi"/>
              </w:rPr>
              <w:t xml:space="preserve"> </w:t>
            </w:r>
            <w:r>
              <w:rPr>
                <w:rFonts w:cstheme="minorHAnsi"/>
              </w:rPr>
              <w:t>The</w:t>
            </w:r>
            <w:r w:rsidR="000159A6">
              <w:rPr>
                <w:rFonts w:cstheme="minorHAnsi"/>
              </w:rPr>
              <w:t xml:space="preserve"> </w:t>
            </w:r>
            <w:r w:rsidRPr="003D51FE">
              <w:rPr>
                <w:rFonts w:cstheme="minorHAnsi"/>
              </w:rPr>
              <w:t>non-live</w:t>
            </w:r>
            <w:r w:rsidR="000159A6">
              <w:rPr>
                <w:rFonts w:cstheme="minorHAnsi"/>
              </w:rPr>
              <w:t xml:space="preserve"> </w:t>
            </w:r>
            <w:r w:rsidRPr="003D51FE">
              <w:rPr>
                <w:rFonts w:cstheme="minorHAnsi"/>
              </w:rPr>
              <w:t>vaccine</w:t>
            </w:r>
            <w:r w:rsidR="000159A6">
              <w:rPr>
                <w:rFonts w:cstheme="minorHAnsi"/>
              </w:rPr>
              <w:t xml:space="preserve"> </w:t>
            </w:r>
            <w:r>
              <w:rPr>
                <w:rFonts w:cstheme="minorHAnsi"/>
              </w:rPr>
              <w:t>has</w:t>
            </w:r>
            <w:r w:rsidR="000159A6">
              <w:rPr>
                <w:rFonts w:cstheme="minorHAnsi"/>
              </w:rPr>
              <w:t xml:space="preserve"> </w:t>
            </w:r>
            <w:r>
              <w:rPr>
                <w:rFonts w:cstheme="minorHAnsi"/>
              </w:rPr>
              <w:t>a</w:t>
            </w:r>
            <w:r w:rsidR="000159A6">
              <w:rPr>
                <w:rFonts w:cstheme="minorHAnsi"/>
              </w:rPr>
              <w:t xml:space="preserve"> </w:t>
            </w:r>
            <w:r>
              <w:rPr>
                <w:rFonts w:cstheme="minorHAnsi"/>
              </w:rPr>
              <w:t>clear</w:t>
            </w:r>
            <w:r w:rsidR="000159A6">
              <w:rPr>
                <w:rFonts w:cstheme="minorHAnsi"/>
              </w:rPr>
              <w:t xml:space="preserve"> </w:t>
            </w:r>
            <w:r>
              <w:rPr>
                <w:rFonts w:cstheme="minorHAnsi"/>
              </w:rPr>
              <w:t>clinical</w:t>
            </w:r>
            <w:r w:rsidR="000159A6">
              <w:rPr>
                <w:rFonts w:cstheme="minorHAnsi"/>
              </w:rPr>
              <w:t xml:space="preserve"> </w:t>
            </w:r>
            <w:r>
              <w:rPr>
                <w:rFonts w:cstheme="minorHAnsi"/>
              </w:rPr>
              <w:t>place</w:t>
            </w:r>
            <w:r w:rsidR="000159A6">
              <w:rPr>
                <w:rFonts w:cstheme="minorHAnsi"/>
              </w:rPr>
              <w:t xml:space="preserve"> </w:t>
            </w:r>
            <w:r>
              <w:rPr>
                <w:rFonts w:cstheme="minorHAnsi"/>
              </w:rPr>
              <w:t>if</w:t>
            </w:r>
            <w:r w:rsidR="000159A6">
              <w:rPr>
                <w:rFonts w:cstheme="minorHAnsi"/>
              </w:rPr>
              <w:t xml:space="preserve"> </w:t>
            </w:r>
            <w:r>
              <w:rPr>
                <w:rFonts w:cstheme="minorHAnsi"/>
              </w:rPr>
              <w:t>safe</w:t>
            </w:r>
            <w:r w:rsidR="000159A6">
              <w:rPr>
                <w:rFonts w:cstheme="minorHAnsi"/>
              </w:rPr>
              <w:t xml:space="preserve"> </w:t>
            </w:r>
            <w:r>
              <w:rPr>
                <w:rFonts w:cstheme="minorHAnsi"/>
              </w:rPr>
              <w:t>and</w:t>
            </w:r>
            <w:r w:rsidR="000159A6">
              <w:rPr>
                <w:rFonts w:cstheme="minorHAnsi"/>
              </w:rPr>
              <w:t xml:space="preserve"> </w:t>
            </w:r>
            <w:r>
              <w:rPr>
                <w:rFonts w:cstheme="minorHAnsi"/>
              </w:rPr>
              <w:t>efficacious</w:t>
            </w:r>
            <w:r w:rsidR="000159A6">
              <w:rPr>
                <w:rFonts w:cstheme="minorHAnsi"/>
              </w:rPr>
              <w:t xml:space="preserve"> </w:t>
            </w:r>
            <w:r>
              <w:rPr>
                <w:rFonts w:cstheme="minorHAnsi"/>
              </w:rPr>
              <w:t>in</w:t>
            </w:r>
            <w:r w:rsidR="000159A6">
              <w:rPr>
                <w:rFonts w:cstheme="minorHAnsi"/>
              </w:rPr>
              <w:t xml:space="preserve"> </w:t>
            </w:r>
            <w:r>
              <w:rPr>
                <w:rFonts w:cstheme="minorHAnsi"/>
              </w:rPr>
              <w:t>this</w:t>
            </w:r>
            <w:r w:rsidR="000159A6">
              <w:rPr>
                <w:rFonts w:cstheme="minorHAnsi"/>
              </w:rPr>
              <w:t xml:space="preserve"> </w:t>
            </w:r>
            <w:r>
              <w:rPr>
                <w:rFonts w:cstheme="minorHAnsi"/>
              </w:rPr>
              <w:t>population.</w:t>
            </w:r>
          </w:p>
        </w:tc>
      </w:tr>
    </w:tbl>
    <w:p w14:paraId="7873F3A1" w14:textId="329C1FD2" w:rsidR="005C0A6F" w:rsidRPr="00C95B23" w:rsidRDefault="00605AD4" w:rsidP="00541F41">
      <w:pPr>
        <w:pStyle w:val="Heading4"/>
      </w:pPr>
      <w:r w:rsidRPr="00C95B23">
        <w:t>First</w:t>
      </w:r>
      <w:r w:rsidR="000159A6" w:rsidRPr="00C95B23">
        <w:t xml:space="preserve"> </w:t>
      </w:r>
      <w:r w:rsidRPr="00C95B23">
        <w:t>round</w:t>
      </w:r>
      <w:r w:rsidR="000159A6" w:rsidRPr="00C95B23">
        <w:t xml:space="preserve"> </w:t>
      </w:r>
      <w:r w:rsidRPr="00541F41">
        <w:t>assessment</w:t>
      </w:r>
      <w:r w:rsidR="000159A6" w:rsidRPr="00C95B23">
        <w:t xml:space="preserve"> </w:t>
      </w:r>
      <w:r w:rsidRPr="00C95B23">
        <w:t>of</w:t>
      </w:r>
      <w:r w:rsidR="000159A6" w:rsidRPr="00C95B23">
        <w:t xml:space="preserve"> </w:t>
      </w:r>
      <w:r w:rsidRPr="00C95B23">
        <w:t>benefit-risk</w:t>
      </w:r>
      <w:r w:rsidR="000159A6" w:rsidRPr="00C95B23">
        <w:t xml:space="preserve"> </w:t>
      </w:r>
      <w:r w:rsidRPr="00C95B23">
        <w:t>balance</w:t>
      </w:r>
    </w:p>
    <w:p w14:paraId="68AA921B" w14:textId="3D0F0DD2" w:rsidR="00624EB5" w:rsidRDefault="00624EB5" w:rsidP="00541F41">
      <w:pPr>
        <w:rPr>
          <w:lang w:eastAsia="ja-JP"/>
        </w:rPr>
      </w:pPr>
      <w:r>
        <w:rPr>
          <w:lang w:eastAsia="ja-JP"/>
        </w:rPr>
        <w:t>Herpes</w:t>
      </w:r>
      <w:r w:rsidR="000159A6">
        <w:rPr>
          <w:lang w:eastAsia="ja-JP"/>
        </w:rPr>
        <w:t xml:space="preserve"> </w:t>
      </w:r>
      <w:r>
        <w:rPr>
          <w:lang w:eastAsia="ja-JP"/>
        </w:rPr>
        <w:t>zoster</w:t>
      </w:r>
      <w:r w:rsidR="000159A6">
        <w:rPr>
          <w:lang w:eastAsia="ja-JP"/>
        </w:rPr>
        <w:t xml:space="preserve"> </w:t>
      </w:r>
      <w:r>
        <w:rPr>
          <w:lang w:eastAsia="ja-JP"/>
        </w:rPr>
        <w:t>and</w:t>
      </w:r>
      <w:r w:rsidR="000159A6">
        <w:rPr>
          <w:lang w:eastAsia="ja-JP"/>
        </w:rPr>
        <w:t xml:space="preserve"> </w:t>
      </w:r>
      <w:r>
        <w:rPr>
          <w:lang w:eastAsia="ja-JP"/>
        </w:rPr>
        <w:t>its</w:t>
      </w:r>
      <w:r w:rsidR="000159A6">
        <w:rPr>
          <w:lang w:eastAsia="ja-JP"/>
        </w:rPr>
        <w:t xml:space="preserve"> </w:t>
      </w:r>
      <w:r>
        <w:rPr>
          <w:lang w:eastAsia="ja-JP"/>
        </w:rPr>
        <w:t>complications,</w:t>
      </w:r>
      <w:r w:rsidR="000159A6">
        <w:rPr>
          <w:lang w:eastAsia="ja-JP"/>
        </w:rPr>
        <w:t xml:space="preserve"> </w:t>
      </w:r>
      <w:r>
        <w:rPr>
          <w:lang w:eastAsia="ja-JP"/>
        </w:rPr>
        <w:t>in</w:t>
      </w:r>
      <w:r w:rsidR="000159A6">
        <w:rPr>
          <w:lang w:eastAsia="ja-JP"/>
        </w:rPr>
        <w:t xml:space="preserve"> </w:t>
      </w:r>
      <w:r>
        <w:rPr>
          <w:lang w:eastAsia="ja-JP"/>
        </w:rPr>
        <w:t>particular</w:t>
      </w:r>
      <w:r w:rsidR="000159A6">
        <w:rPr>
          <w:lang w:eastAsia="ja-JP"/>
        </w:rPr>
        <w:t xml:space="preserve"> </w:t>
      </w:r>
      <w:r>
        <w:rPr>
          <w:lang w:eastAsia="ja-JP"/>
        </w:rPr>
        <w:t>post</w:t>
      </w:r>
      <w:r w:rsidR="000159A6">
        <w:rPr>
          <w:lang w:eastAsia="ja-JP"/>
        </w:rPr>
        <w:t xml:space="preserve"> </w:t>
      </w:r>
      <w:r>
        <w:rPr>
          <w:lang w:eastAsia="ja-JP"/>
        </w:rPr>
        <w:t>herpetic</w:t>
      </w:r>
      <w:r w:rsidR="000159A6">
        <w:rPr>
          <w:lang w:eastAsia="ja-JP"/>
        </w:rPr>
        <w:t xml:space="preserve"> </w:t>
      </w:r>
      <w:r>
        <w:rPr>
          <w:lang w:eastAsia="ja-JP"/>
        </w:rPr>
        <w:t>neuralgia,</w:t>
      </w:r>
      <w:r w:rsidR="000159A6">
        <w:rPr>
          <w:lang w:eastAsia="ja-JP"/>
        </w:rPr>
        <w:t xml:space="preserve"> </w:t>
      </w:r>
      <w:r>
        <w:rPr>
          <w:lang w:eastAsia="ja-JP"/>
        </w:rPr>
        <w:t>can</w:t>
      </w:r>
      <w:r w:rsidR="000159A6">
        <w:rPr>
          <w:lang w:eastAsia="ja-JP"/>
        </w:rPr>
        <w:t xml:space="preserve"> </w:t>
      </w:r>
      <w:r>
        <w:rPr>
          <w:lang w:eastAsia="ja-JP"/>
        </w:rPr>
        <w:t>cause</w:t>
      </w:r>
      <w:r w:rsidR="000159A6">
        <w:rPr>
          <w:lang w:eastAsia="ja-JP"/>
        </w:rPr>
        <w:t xml:space="preserve"> </w:t>
      </w:r>
      <w:r>
        <w:rPr>
          <w:lang w:eastAsia="ja-JP"/>
        </w:rPr>
        <w:t>considerable</w:t>
      </w:r>
      <w:r w:rsidR="000159A6">
        <w:rPr>
          <w:lang w:eastAsia="ja-JP"/>
        </w:rPr>
        <w:t xml:space="preserve"> </w:t>
      </w:r>
      <w:r>
        <w:rPr>
          <w:lang w:eastAsia="ja-JP"/>
        </w:rPr>
        <w:t>morbidity</w:t>
      </w:r>
      <w:r w:rsidR="000159A6">
        <w:rPr>
          <w:lang w:eastAsia="ja-JP"/>
        </w:rPr>
        <w:t xml:space="preserve"> </w:t>
      </w:r>
      <w:r>
        <w:rPr>
          <w:lang w:eastAsia="ja-JP"/>
        </w:rPr>
        <w:t>and</w:t>
      </w:r>
      <w:r w:rsidR="000159A6">
        <w:rPr>
          <w:lang w:eastAsia="ja-JP"/>
        </w:rPr>
        <w:t xml:space="preserve"> </w:t>
      </w:r>
      <w:r>
        <w:rPr>
          <w:lang w:eastAsia="ja-JP"/>
        </w:rPr>
        <w:t>current</w:t>
      </w:r>
      <w:r w:rsidR="000159A6">
        <w:rPr>
          <w:lang w:eastAsia="ja-JP"/>
        </w:rPr>
        <w:t xml:space="preserve"> </w:t>
      </w:r>
      <w:r>
        <w:rPr>
          <w:lang w:eastAsia="ja-JP"/>
        </w:rPr>
        <w:t>treatment</w:t>
      </w:r>
      <w:r w:rsidR="000159A6">
        <w:rPr>
          <w:lang w:eastAsia="ja-JP"/>
        </w:rPr>
        <w:t xml:space="preserve"> </w:t>
      </w:r>
      <w:r>
        <w:rPr>
          <w:lang w:eastAsia="ja-JP"/>
        </w:rPr>
        <w:t>with</w:t>
      </w:r>
      <w:r w:rsidR="000159A6">
        <w:rPr>
          <w:lang w:eastAsia="ja-JP"/>
        </w:rPr>
        <w:t xml:space="preserve"> </w:t>
      </w:r>
      <w:r>
        <w:rPr>
          <w:lang w:eastAsia="ja-JP"/>
        </w:rPr>
        <w:t>antiviral</w:t>
      </w:r>
      <w:r w:rsidR="000159A6">
        <w:rPr>
          <w:lang w:eastAsia="ja-JP"/>
        </w:rPr>
        <w:t xml:space="preserve"> </w:t>
      </w:r>
      <w:r>
        <w:rPr>
          <w:lang w:eastAsia="ja-JP"/>
        </w:rPr>
        <w:t>therapy</w:t>
      </w:r>
      <w:r w:rsidR="000159A6">
        <w:rPr>
          <w:lang w:eastAsia="ja-JP"/>
        </w:rPr>
        <w:t xml:space="preserve"> </w:t>
      </w:r>
      <w:r>
        <w:rPr>
          <w:lang w:eastAsia="ja-JP"/>
        </w:rPr>
        <w:t>is</w:t>
      </w:r>
      <w:r w:rsidR="000159A6">
        <w:rPr>
          <w:lang w:eastAsia="ja-JP"/>
        </w:rPr>
        <w:t xml:space="preserve"> </w:t>
      </w:r>
      <w:r>
        <w:rPr>
          <w:lang w:eastAsia="ja-JP"/>
        </w:rPr>
        <w:t>not</w:t>
      </w:r>
      <w:r w:rsidR="000159A6">
        <w:rPr>
          <w:lang w:eastAsia="ja-JP"/>
        </w:rPr>
        <w:t xml:space="preserve"> </w:t>
      </w:r>
      <w:r>
        <w:rPr>
          <w:lang w:eastAsia="ja-JP"/>
        </w:rPr>
        <w:t>curative.</w:t>
      </w:r>
      <w:r w:rsidR="000159A6">
        <w:rPr>
          <w:lang w:eastAsia="ja-JP"/>
        </w:rPr>
        <w:t xml:space="preserve"> </w:t>
      </w:r>
      <w:r>
        <w:rPr>
          <w:lang w:eastAsia="ja-JP"/>
        </w:rPr>
        <w:t>Consequently,</w:t>
      </w:r>
      <w:r w:rsidR="000159A6">
        <w:rPr>
          <w:lang w:eastAsia="ja-JP"/>
        </w:rPr>
        <w:t xml:space="preserve"> </w:t>
      </w:r>
      <w:r>
        <w:rPr>
          <w:lang w:eastAsia="ja-JP"/>
        </w:rPr>
        <w:t>there</w:t>
      </w:r>
      <w:r w:rsidR="000159A6">
        <w:rPr>
          <w:lang w:eastAsia="ja-JP"/>
        </w:rPr>
        <w:t xml:space="preserve"> </w:t>
      </w:r>
      <w:r>
        <w:rPr>
          <w:lang w:eastAsia="ja-JP"/>
        </w:rPr>
        <w:t>is</w:t>
      </w:r>
      <w:r w:rsidR="000159A6">
        <w:rPr>
          <w:lang w:eastAsia="ja-JP"/>
        </w:rPr>
        <w:t xml:space="preserve"> </w:t>
      </w:r>
      <w:r>
        <w:rPr>
          <w:lang w:eastAsia="ja-JP"/>
        </w:rPr>
        <w:t>a</w:t>
      </w:r>
      <w:r w:rsidR="000159A6">
        <w:rPr>
          <w:lang w:eastAsia="ja-JP"/>
        </w:rPr>
        <w:t xml:space="preserve"> </w:t>
      </w:r>
      <w:r>
        <w:rPr>
          <w:lang w:eastAsia="ja-JP"/>
        </w:rPr>
        <w:t>clear</w:t>
      </w:r>
      <w:r w:rsidR="000159A6">
        <w:rPr>
          <w:lang w:eastAsia="ja-JP"/>
        </w:rPr>
        <w:t xml:space="preserve"> </w:t>
      </w:r>
      <w:r>
        <w:rPr>
          <w:lang w:eastAsia="ja-JP"/>
        </w:rPr>
        <w:t>clinical</w:t>
      </w:r>
      <w:r w:rsidR="000159A6">
        <w:rPr>
          <w:lang w:eastAsia="ja-JP"/>
        </w:rPr>
        <w:t xml:space="preserve"> </w:t>
      </w:r>
      <w:r>
        <w:rPr>
          <w:lang w:eastAsia="ja-JP"/>
        </w:rPr>
        <w:t>place</w:t>
      </w:r>
      <w:r w:rsidR="000159A6">
        <w:rPr>
          <w:lang w:eastAsia="ja-JP"/>
        </w:rPr>
        <w:t xml:space="preserve"> </w:t>
      </w:r>
      <w:r>
        <w:rPr>
          <w:lang w:eastAsia="ja-JP"/>
        </w:rPr>
        <w:t>for</w:t>
      </w:r>
      <w:r w:rsidR="000159A6">
        <w:rPr>
          <w:lang w:eastAsia="ja-JP"/>
        </w:rPr>
        <w:t xml:space="preserve"> </w:t>
      </w:r>
      <w:r>
        <w:rPr>
          <w:lang w:eastAsia="ja-JP"/>
        </w:rPr>
        <w:t>an</w:t>
      </w:r>
      <w:r w:rsidR="000159A6">
        <w:rPr>
          <w:lang w:eastAsia="ja-JP"/>
        </w:rPr>
        <w:t xml:space="preserve"> </w:t>
      </w:r>
      <w:r>
        <w:rPr>
          <w:lang w:eastAsia="ja-JP"/>
        </w:rPr>
        <w:t>efficacious</w:t>
      </w:r>
      <w:r w:rsidR="000159A6">
        <w:rPr>
          <w:lang w:eastAsia="ja-JP"/>
        </w:rPr>
        <w:t xml:space="preserve"> </w:t>
      </w:r>
      <w:r>
        <w:rPr>
          <w:lang w:eastAsia="ja-JP"/>
        </w:rPr>
        <w:t>vaccine</w:t>
      </w:r>
      <w:r w:rsidR="000159A6">
        <w:rPr>
          <w:lang w:eastAsia="ja-JP"/>
        </w:rPr>
        <w:t xml:space="preserve"> </w:t>
      </w:r>
      <w:r>
        <w:rPr>
          <w:lang w:eastAsia="ja-JP"/>
        </w:rPr>
        <w:t>which</w:t>
      </w:r>
      <w:r w:rsidR="000159A6">
        <w:rPr>
          <w:lang w:eastAsia="ja-JP"/>
        </w:rPr>
        <w:t xml:space="preserve"> </w:t>
      </w:r>
      <w:r>
        <w:rPr>
          <w:lang w:eastAsia="ja-JP"/>
        </w:rPr>
        <w:t>can</w:t>
      </w:r>
      <w:r w:rsidR="000159A6">
        <w:rPr>
          <w:lang w:eastAsia="ja-JP"/>
        </w:rPr>
        <w:t xml:space="preserve"> </w:t>
      </w:r>
      <w:r>
        <w:rPr>
          <w:lang w:eastAsia="ja-JP"/>
        </w:rPr>
        <w:t>prevent</w:t>
      </w:r>
      <w:r w:rsidR="000159A6">
        <w:rPr>
          <w:lang w:eastAsia="ja-JP"/>
        </w:rPr>
        <w:t xml:space="preserve"> </w:t>
      </w:r>
      <w:r>
        <w:rPr>
          <w:lang w:eastAsia="ja-JP"/>
        </w:rPr>
        <w:t>these</w:t>
      </w:r>
      <w:r w:rsidR="000159A6">
        <w:rPr>
          <w:lang w:eastAsia="ja-JP"/>
        </w:rPr>
        <w:t xml:space="preserve"> </w:t>
      </w:r>
      <w:r>
        <w:rPr>
          <w:lang w:eastAsia="ja-JP"/>
        </w:rPr>
        <w:t>conditions.</w:t>
      </w:r>
    </w:p>
    <w:p w14:paraId="1E97CDA6" w14:textId="72076B60" w:rsidR="00624EB5" w:rsidRDefault="00624EB5" w:rsidP="00624EB5">
      <w:pPr>
        <w:rPr>
          <w:lang w:eastAsia="ja-JP"/>
        </w:rPr>
      </w:pPr>
      <w:r>
        <w:rPr>
          <w:lang w:eastAsia="ja-JP"/>
        </w:rPr>
        <w:lastRenderedPageBreak/>
        <w:t>The</w:t>
      </w:r>
      <w:r w:rsidR="000159A6">
        <w:rPr>
          <w:lang w:eastAsia="ja-JP"/>
        </w:rPr>
        <w:t xml:space="preserve"> </w:t>
      </w:r>
      <w:r>
        <w:rPr>
          <w:lang w:eastAsia="ja-JP"/>
        </w:rPr>
        <w:t>proposed</w:t>
      </w:r>
      <w:r w:rsidR="000159A6">
        <w:rPr>
          <w:lang w:eastAsia="ja-JP"/>
        </w:rPr>
        <w:t xml:space="preserve"> </w:t>
      </w:r>
      <w:r>
        <w:rPr>
          <w:lang w:eastAsia="ja-JP"/>
        </w:rPr>
        <w:t>vaccine,</w:t>
      </w:r>
      <w:r w:rsidR="000159A6">
        <w:rPr>
          <w:lang w:eastAsia="ja-JP"/>
        </w:rPr>
        <w:t xml:space="preserve"> </w:t>
      </w:r>
      <w:r>
        <w:rPr>
          <w:lang w:eastAsia="ja-JP"/>
        </w:rPr>
        <w:t>Shingrix,</w:t>
      </w:r>
      <w:r w:rsidR="000159A6">
        <w:rPr>
          <w:lang w:eastAsia="ja-JP"/>
        </w:rPr>
        <w:t xml:space="preserve"> </w:t>
      </w:r>
      <w:r>
        <w:rPr>
          <w:lang w:eastAsia="ja-JP"/>
        </w:rPr>
        <w:t>demonstrated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pivotal</w:t>
      </w:r>
      <w:r w:rsidR="000159A6">
        <w:rPr>
          <w:lang w:eastAsia="ja-JP"/>
        </w:rPr>
        <w:t xml:space="preserve"> </w:t>
      </w:r>
      <w:r>
        <w:rPr>
          <w:lang w:eastAsia="ja-JP"/>
        </w:rPr>
        <w:t>studies</w:t>
      </w:r>
      <w:r w:rsidR="000159A6">
        <w:rPr>
          <w:lang w:eastAsia="ja-JP"/>
        </w:rPr>
        <w:t xml:space="preserve"> </w:t>
      </w:r>
      <w:r>
        <w:rPr>
          <w:lang w:eastAsia="ja-JP"/>
        </w:rPr>
        <w:t>a</w:t>
      </w:r>
      <w:r w:rsidR="000159A6">
        <w:rPr>
          <w:lang w:eastAsia="ja-JP"/>
        </w:rPr>
        <w:t xml:space="preserve"> </w:t>
      </w:r>
      <w:r>
        <w:rPr>
          <w:lang w:eastAsia="ja-JP"/>
        </w:rPr>
        <w:t>high</w:t>
      </w:r>
      <w:r w:rsidR="000159A6">
        <w:rPr>
          <w:lang w:eastAsia="ja-JP"/>
        </w:rPr>
        <w:t xml:space="preserve"> </w:t>
      </w:r>
      <w:r>
        <w:rPr>
          <w:lang w:eastAsia="ja-JP"/>
        </w:rPr>
        <w:t>efficacy</w:t>
      </w:r>
      <w:r w:rsidR="000159A6">
        <w:rPr>
          <w:lang w:eastAsia="ja-JP"/>
        </w:rPr>
        <w:t xml:space="preserve"> </w:t>
      </w:r>
      <w:r>
        <w:rPr>
          <w:lang w:eastAsia="ja-JP"/>
        </w:rPr>
        <w:t>against</w:t>
      </w:r>
      <w:r w:rsidR="000159A6">
        <w:rPr>
          <w:lang w:eastAsia="ja-JP"/>
        </w:rPr>
        <w:t xml:space="preserve"> </w:t>
      </w:r>
      <w:r>
        <w:rPr>
          <w:lang w:eastAsia="ja-JP"/>
        </w:rPr>
        <w:t>herpes</w:t>
      </w:r>
      <w:r w:rsidR="000159A6">
        <w:rPr>
          <w:lang w:eastAsia="ja-JP"/>
        </w:rPr>
        <w:t xml:space="preserve"> </w:t>
      </w:r>
      <w:r>
        <w:rPr>
          <w:lang w:eastAsia="ja-JP"/>
        </w:rPr>
        <w:t>zoster</w:t>
      </w:r>
      <w:r w:rsidR="000159A6">
        <w:rPr>
          <w:lang w:eastAsia="ja-JP"/>
        </w:rPr>
        <w:t xml:space="preserve"> </w:t>
      </w:r>
      <w:r>
        <w:rPr>
          <w:lang w:eastAsia="ja-JP"/>
        </w:rPr>
        <w:t>of</w:t>
      </w:r>
      <w:r w:rsidR="000159A6">
        <w:rPr>
          <w:lang w:eastAsia="ja-JP"/>
        </w:rPr>
        <w:t xml:space="preserve"> </w:t>
      </w:r>
      <w:r>
        <w:rPr>
          <w:lang w:eastAsia="ja-JP"/>
        </w:rPr>
        <w:t>about</w:t>
      </w:r>
      <w:r w:rsidR="000159A6">
        <w:rPr>
          <w:lang w:eastAsia="ja-JP"/>
        </w:rPr>
        <w:t xml:space="preserve"> </w:t>
      </w:r>
      <w:r>
        <w:rPr>
          <w:lang w:eastAsia="ja-JP"/>
        </w:rPr>
        <w:t>97%</w:t>
      </w:r>
      <w:r w:rsidR="000159A6">
        <w:rPr>
          <w:lang w:eastAsia="ja-JP"/>
        </w:rPr>
        <w:t xml:space="preserve"> </w:t>
      </w:r>
      <w:r>
        <w:rPr>
          <w:lang w:eastAsia="ja-JP"/>
        </w:rPr>
        <w:t>in</w:t>
      </w:r>
      <w:r w:rsidR="000159A6">
        <w:rPr>
          <w:lang w:eastAsia="ja-JP"/>
        </w:rPr>
        <w:t xml:space="preserve"> </w:t>
      </w:r>
      <w:r>
        <w:rPr>
          <w:lang w:eastAsia="ja-JP"/>
        </w:rPr>
        <w:t>adults</w:t>
      </w:r>
      <w:r w:rsidR="000159A6">
        <w:rPr>
          <w:lang w:eastAsia="ja-JP"/>
        </w:rPr>
        <w:t xml:space="preserve"> </w:t>
      </w:r>
      <w:r>
        <w:rPr>
          <w:lang w:eastAsia="ja-JP"/>
        </w:rPr>
        <w:t>50</w:t>
      </w:r>
      <w:r w:rsidR="000159A6">
        <w:rPr>
          <w:lang w:eastAsia="ja-JP"/>
        </w:rPr>
        <w:t xml:space="preserve"> </w:t>
      </w:r>
      <w:r>
        <w:rPr>
          <w:lang w:eastAsia="ja-JP"/>
        </w:rPr>
        <w:t>years</w:t>
      </w:r>
      <w:r w:rsidR="000159A6">
        <w:rPr>
          <w:lang w:eastAsia="ja-JP"/>
        </w:rPr>
        <w:t xml:space="preserve"> </w:t>
      </w:r>
      <w:r>
        <w:rPr>
          <w:lang w:eastAsia="ja-JP"/>
        </w:rPr>
        <w:t>and</w:t>
      </w:r>
      <w:r w:rsidR="000159A6">
        <w:rPr>
          <w:lang w:eastAsia="ja-JP"/>
        </w:rPr>
        <w:t xml:space="preserve"> </w:t>
      </w:r>
      <w:r>
        <w:rPr>
          <w:lang w:eastAsia="ja-JP"/>
        </w:rPr>
        <w:t>older</w:t>
      </w:r>
      <w:r w:rsidR="000159A6">
        <w:rPr>
          <w:lang w:eastAsia="ja-JP"/>
        </w:rPr>
        <w:t xml:space="preserve"> </w:t>
      </w:r>
      <w:r>
        <w:rPr>
          <w:lang w:eastAsia="ja-JP"/>
        </w:rPr>
        <w:t>and</w:t>
      </w:r>
      <w:r w:rsidR="000159A6">
        <w:rPr>
          <w:lang w:eastAsia="ja-JP"/>
        </w:rPr>
        <w:t xml:space="preserve"> </w:t>
      </w:r>
      <w:r>
        <w:rPr>
          <w:lang w:eastAsia="ja-JP"/>
        </w:rPr>
        <w:t>importantly</w:t>
      </w:r>
      <w:r w:rsidR="000159A6">
        <w:rPr>
          <w:lang w:eastAsia="ja-JP"/>
        </w:rPr>
        <w:t xml:space="preserve"> </w:t>
      </w:r>
      <w:r>
        <w:rPr>
          <w:lang w:eastAsia="ja-JP"/>
        </w:rPr>
        <w:t>a</w:t>
      </w:r>
      <w:r w:rsidR="000159A6">
        <w:rPr>
          <w:lang w:eastAsia="ja-JP"/>
        </w:rPr>
        <w:t xml:space="preserve"> </w:t>
      </w:r>
      <w:r>
        <w:rPr>
          <w:lang w:eastAsia="ja-JP"/>
        </w:rPr>
        <w:t>high</w:t>
      </w:r>
      <w:r w:rsidR="000159A6">
        <w:rPr>
          <w:lang w:eastAsia="ja-JP"/>
        </w:rPr>
        <w:t xml:space="preserve"> </w:t>
      </w:r>
      <w:r>
        <w:rPr>
          <w:lang w:eastAsia="ja-JP"/>
        </w:rPr>
        <w:t>efficacy</w:t>
      </w:r>
      <w:r w:rsidR="000159A6">
        <w:rPr>
          <w:lang w:eastAsia="ja-JP"/>
        </w:rPr>
        <w:t xml:space="preserve"> </w:t>
      </w:r>
      <w:r w:rsidR="54145F12">
        <w:rPr>
          <w:lang w:eastAsia="ja-JP"/>
        </w:rPr>
        <w:t>against</w:t>
      </w:r>
      <w:r w:rsidR="000159A6">
        <w:rPr>
          <w:lang w:eastAsia="ja-JP"/>
        </w:rPr>
        <w:t xml:space="preserve"> </w:t>
      </w:r>
      <w:r w:rsidR="54145F12">
        <w:rPr>
          <w:lang w:eastAsia="ja-JP"/>
        </w:rPr>
        <w:t>herpes</w:t>
      </w:r>
      <w:r w:rsidR="000159A6">
        <w:rPr>
          <w:lang w:eastAsia="ja-JP"/>
        </w:rPr>
        <w:t xml:space="preserve"> </w:t>
      </w:r>
      <w:r w:rsidR="54145F12">
        <w:rPr>
          <w:lang w:eastAsia="ja-JP"/>
        </w:rPr>
        <w:t>zoster</w:t>
      </w:r>
      <w:r w:rsidR="000159A6">
        <w:rPr>
          <w:lang w:eastAsia="ja-JP"/>
        </w:rPr>
        <w:t xml:space="preserve"> </w:t>
      </w:r>
      <w:r>
        <w:rPr>
          <w:lang w:eastAsia="ja-JP"/>
        </w:rPr>
        <w:t>of</w:t>
      </w:r>
      <w:r w:rsidR="000159A6">
        <w:rPr>
          <w:lang w:eastAsia="ja-JP"/>
        </w:rPr>
        <w:t xml:space="preserve"> </w:t>
      </w:r>
      <w:r>
        <w:rPr>
          <w:lang w:eastAsia="ja-JP"/>
        </w:rPr>
        <w:t>about</w:t>
      </w:r>
      <w:r w:rsidR="000159A6">
        <w:rPr>
          <w:lang w:eastAsia="ja-JP"/>
        </w:rPr>
        <w:t xml:space="preserve"> </w:t>
      </w:r>
      <w:r>
        <w:rPr>
          <w:lang w:eastAsia="ja-JP"/>
        </w:rPr>
        <w:t>91%</w:t>
      </w:r>
      <w:r w:rsidR="000159A6">
        <w:rPr>
          <w:lang w:eastAsia="ja-JP"/>
        </w:rPr>
        <w:t xml:space="preserve"> </w:t>
      </w:r>
      <w:r>
        <w:rPr>
          <w:lang w:eastAsia="ja-JP"/>
        </w:rPr>
        <w:t>in</w:t>
      </w:r>
      <w:r w:rsidR="000159A6">
        <w:rPr>
          <w:lang w:eastAsia="ja-JP"/>
        </w:rPr>
        <w:t xml:space="preserve"> </w:t>
      </w:r>
      <w:r>
        <w:rPr>
          <w:lang w:eastAsia="ja-JP"/>
        </w:rPr>
        <w:t>those</w:t>
      </w:r>
      <w:r w:rsidR="000159A6">
        <w:rPr>
          <w:lang w:eastAsia="ja-JP"/>
        </w:rPr>
        <w:t xml:space="preserve"> </w:t>
      </w:r>
      <w:r>
        <w:rPr>
          <w:lang w:eastAsia="ja-JP"/>
        </w:rPr>
        <w:t>aged</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and</w:t>
      </w:r>
      <w:r w:rsidR="000159A6">
        <w:rPr>
          <w:lang w:eastAsia="ja-JP"/>
        </w:rPr>
        <w:t xml:space="preserve"> </w:t>
      </w:r>
      <w:r>
        <w:rPr>
          <w:lang w:eastAsia="ja-JP"/>
        </w:rPr>
        <w:t>older.</w:t>
      </w:r>
      <w:r w:rsidR="000159A6">
        <w:rPr>
          <w:lang w:eastAsia="ja-JP"/>
        </w:rPr>
        <w:t xml:space="preserve"> </w:t>
      </w:r>
      <w:r>
        <w:rPr>
          <w:lang w:eastAsia="ja-JP"/>
        </w:rPr>
        <w:t>The</w:t>
      </w:r>
      <w:r w:rsidR="000159A6">
        <w:rPr>
          <w:lang w:eastAsia="ja-JP"/>
        </w:rPr>
        <w:t xml:space="preserve"> </w:t>
      </w:r>
      <w:r>
        <w:rPr>
          <w:lang w:eastAsia="ja-JP"/>
        </w:rPr>
        <w:t>currently</w:t>
      </w:r>
      <w:r w:rsidR="000159A6">
        <w:rPr>
          <w:lang w:eastAsia="ja-JP"/>
        </w:rPr>
        <w:t xml:space="preserve"> </w:t>
      </w:r>
      <w:r>
        <w:rPr>
          <w:lang w:eastAsia="ja-JP"/>
        </w:rPr>
        <w:t>available</w:t>
      </w:r>
      <w:r w:rsidR="000159A6">
        <w:rPr>
          <w:lang w:eastAsia="ja-JP"/>
        </w:rPr>
        <w:t xml:space="preserve"> </w:t>
      </w:r>
      <w:r>
        <w:rPr>
          <w:lang w:eastAsia="ja-JP"/>
        </w:rPr>
        <w:t>zoster</w:t>
      </w:r>
      <w:r w:rsidR="000159A6">
        <w:rPr>
          <w:lang w:eastAsia="ja-JP"/>
        </w:rPr>
        <w:t xml:space="preserve"> </w:t>
      </w:r>
      <w:r>
        <w:rPr>
          <w:lang w:eastAsia="ja-JP"/>
        </w:rPr>
        <w:t>vaccine,</w:t>
      </w:r>
      <w:r w:rsidR="000159A6">
        <w:rPr>
          <w:lang w:eastAsia="ja-JP"/>
        </w:rPr>
        <w:t xml:space="preserve"> </w:t>
      </w:r>
      <w:r>
        <w:rPr>
          <w:lang w:eastAsia="ja-JP"/>
        </w:rPr>
        <w:t>Zostavax,</w:t>
      </w:r>
      <w:r w:rsidR="000159A6">
        <w:rPr>
          <w:lang w:eastAsia="ja-JP"/>
        </w:rPr>
        <w:t xml:space="preserve"> </w:t>
      </w:r>
      <w:r>
        <w:rPr>
          <w:lang w:eastAsia="ja-JP"/>
        </w:rPr>
        <w:t>has</w:t>
      </w:r>
      <w:r w:rsidR="000159A6">
        <w:rPr>
          <w:lang w:eastAsia="ja-JP"/>
        </w:rPr>
        <w:t xml:space="preserve"> </w:t>
      </w:r>
      <w:r>
        <w:rPr>
          <w:lang w:eastAsia="ja-JP"/>
        </w:rPr>
        <w:t>a</w:t>
      </w:r>
      <w:r w:rsidR="000159A6">
        <w:rPr>
          <w:lang w:eastAsia="ja-JP"/>
        </w:rPr>
        <w:t xml:space="preserve"> </w:t>
      </w:r>
      <w:r>
        <w:rPr>
          <w:lang w:eastAsia="ja-JP"/>
        </w:rPr>
        <w:t>lower</w:t>
      </w:r>
      <w:r w:rsidR="000159A6">
        <w:rPr>
          <w:lang w:eastAsia="ja-JP"/>
        </w:rPr>
        <w:t xml:space="preserve"> </w:t>
      </w:r>
      <w:r>
        <w:rPr>
          <w:lang w:eastAsia="ja-JP"/>
        </w:rPr>
        <w:t>reported</w:t>
      </w:r>
      <w:r w:rsidR="000159A6">
        <w:rPr>
          <w:lang w:eastAsia="ja-JP"/>
        </w:rPr>
        <w:t xml:space="preserve"> </w:t>
      </w:r>
      <w:r>
        <w:rPr>
          <w:lang w:eastAsia="ja-JP"/>
        </w:rPr>
        <w:t>efficacy</w:t>
      </w:r>
      <w:r w:rsidR="000159A6">
        <w:rPr>
          <w:lang w:eastAsia="ja-JP"/>
        </w:rPr>
        <w:t xml:space="preserve"> </w:t>
      </w:r>
      <w:r>
        <w:rPr>
          <w:lang w:eastAsia="ja-JP"/>
        </w:rPr>
        <w:t>particularly</w:t>
      </w:r>
      <w:r w:rsidR="000159A6">
        <w:rPr>
          <w:lang w:eastAsia="ja-JP"/>
        </w:rPr>
        <w:t xml:space="preserve"> </w:t>
      </w:r>
      <w:r>
        <w:rPr>
          <w:lang w:eastAsia="ja-JP"/>
        </w:rPr>
        <w:t>in</w:t>
      </w:r>
      <w:r w:rsidR="000159A6">
        <w:rPr>
          <w:lang w:eastAsia="ja-JP"/>
        </w:rPr>
        <w:t xml:space="preserve"> </w:t>
      </w:r>
      <w:r>
        <w:rPr>
          <w:lang w:eastAsia="ja-JP"/>
        </w:rPr>
        <w:t>those</w:t>
      </w:r>
      <w:r w:rsidR="000159A6">
        <w:rPr>
          <w:lang w:eastAsia="ja-JP"/>
        </w:rPr>
        <w:t xml:space="preserve"> </w:t>
      </w:r>
      <w:r>
        <w:rPr>
          <w:lang w:eastAsia="ja-JP"/>
        </w:rPr>
        <w:t>aged</w:t>
      </w:r>
      <w:r w:rsidR="000159A6">
        <w:rPr>
          <w:lang w:eastAsia="ja-JP"/>
        </w:rPr>
        <w:t xml:space="preserve"> </w:t>
      </w:r>
      <w:r w:rsidR="0037169B">
        <w:rPr>
          <w:lang w:eastAsia="ja-JP"/>
        </w:rPr>
        <w:t>≥</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who</w:t>
      </w:r>
      <w:r w:rsidR="000159A6">
        <w:rPr>
          <w:lang w:eastAsia="ja-JP"/>
        </w:rPr>
        <w:t xml:space="preserve"> </w:t>
      </w:r>
      <w:r>
        <w:rPr>
          <w:lang w:eastAsia="ja-JP"/>
        </w:rPr>
        <w:t>may</w:t>
      </w:r>
      <w:r w:rsidR="000159A6">
        <w:rPr>
          <w:lang w:eastAsia="ja-JP"/>
        </w:rPr>
        <w:t xml:space="preserve"> </w:t>
      </w:r>
      <w:r>
        <w:rPr>
          <w:lang w:eastAsia="ja-JP"/>
        </w:rPr>
        <w:t>be</w:t>
      </w:r>
      <w:r w:rsidR="000159A6">
        <w:rPr>
          <w:lang w:eastAsia="ja-JP"/>
        </w:rPr>
        <w:t xml:space="preserve"> </w:t>
      </w:r>
      <w:r>
        <w:rPr>
          <w:lang w:eastAsia="ja-JP"/>
        </w:rPr>
        <w:t>most</w:t>
      </w:r>
      <w:r w:rsidR="000159A6">
        <w:rPr>
          <w:lang w:eastAsia="ja-JP"/>
        </w:rPr>
        <w:t xml:space="preserve"> </w:t>
      </w:r>
      <w:r>
        <w:rPr>
          <w:lang w:eastAsia="ja-JP"/>
        </w:rPr>
        <w:t>at</w:t>
      </w:r>
      <w:r w:rsidR="000159A6">
        <w:rPr>
          <w:lang w:eastAsia="ja-JP"/>
        </w:rPr>
        <w:t xml:space="preserve"> </w:t>
      </w:r>
      <w:r>
        <w:rPr>
          <w:lang w:eastAsia="ja-JP"/>
        </w:rPr>
        <w:t>risk.</w:t>
      </w:r>
      <w:r w:rsidR="000159A6">
        <w:rPr>
          <w:lang w:eastAsia="ja-JP"/>
        </w:rPr>
        <w:t xml:space="preserve"> </w:t>
      </w:r>
      <w:r>
        <w:rPr>
          <w:lang w:eastAsia="ja-JP"/>
        </w:rPr>
        <w:t>While</w:t>
      </w:r>
      <w:r w:rsidR="000159A6">
        <w:rPr>
          <w:lang w:eastAsia="ja-JP"/>
        </w:rPr>
        <w:t xml:space="preserve"> </w:t>
      </w:r>
      <w:r>
        <w:rPr>
          <w:lang w:eastAsia="ja-JP"/>
        </w:rPr>
        <w:t>there</w:t>
      </w:r>
      <w:r w:rsidR="000159A6">
        <w:rPr>
          <w:lang w:eastAsia="ja-JP"/>
        </w:rPr>
        <w:t xml:space="preserve"> </w:t>
      </w:r>
      <w:r>
        <w:rPr>
          <w:lang w:eastAsia="ja-JP"/>
        </w:rPr>
        <w:t>are</w:t>
      </w:r>
      <w:r w:rsidR="000159A6">
        <w:rPr>
          <w:lang w:eastAsia="ja-JP"/>
        </w:rPr>
        <w:t xml:space="preserve"> </w:t>
      </w:r>
      <w:r>
        <w:rPr>
          <w:lang w:eastAsia="ja-JP"/>
        </w:rPr>
        <w:t>no</w:t>
      </w:r>
      <w:r w:rsidR="000159A6">
        <w:rPr>
          <w:lang w:eastAsia="ja-JP"/>
        </w:rPr>
        <w:t xml:space="preserve"> </w:t>
      </w:r>
      <w:r>
        <w:rPr>
          <w:lang w:eastAsia="ja-JP"/>
        </w:rPr>
        <w:t>head-to-head</w:t>
      </w:r>
      <w:r w:rsidR="000159A6">
        <w:rPr>
          <w:lang w:eastAsia="ja-JP"/>
        </w:rPr>
        <w:t xml:space="preserve"> </w:t>
      </w:r>
      <w:r>
        <w:rPr>
          <w:lang w:eastAsia="ja-JP"/>
        </w:rPr>
        <w:t>comparisons,</w:t>
      </w:r>
      <w:r w:rsidR="000159A6">
        <w:rPr>
          <w:lang w:eastAsia="ja-JP"/>
        </w:rPr>
        <w:t xml:space="preserve"> </w:t>
      </w:r>
      <w:r>
        <w:rPr>
          <w:lang w:eastAsia="ja-JP"/>
        </w:rPr>
        <w:t>the</w:t>
      </w:r>
      <w:r w:rsidR="000159A6">
        <w:rPr>
          <w:lang w:eastAsia="ja-JP"/>
        </w:rPr>
        <w:t xml:space="preserve"> </w:t>
      </w:r>
      <w:r>
        <w:rPr>
          <w:lang w:eastAsia="ja-JP"/>
        </w:rPr>
        <w:t>efficacy</w:t>
      </w:r>
      <w:r w:rsidR="000159A6">
        <w:rPr>
          <w:lang w:eastAsia="ja-JP"/>
        </w:rPr>
        <w:t xml:space="preserve"> </w:t>
      </w:r>
      <w:r>
        <w:rPr>
          <w:lang w:eastAsia="ja-JP"/>
        </w:rPr>
        <w:t>results</w:t>
      </w:r>
      <w:r w:rsidR="000159A6">
        <w:rPr>
          <w:lang w:eastAsia="ja-JP"/>
        </w:rPr>
        <w:t xml:space="preserve"> </w:t>
      </w:r>
      <w:r>
        <w:rPr>
          <w:lang w:eastAsia="ja-JP"/>
        </w:rPr>
        <w:t>in</w:t>
      </w:r>
      <w:r w:rsidR="000159A6">
        <w:rPr>
          <w:lang w:eastAsia="ja-JP"/>
        </w:rPr>
        <w:t xml:space="preserve"> </w:t>
      </w:r>
      <w:r>
        <w:rPr>
          <w:lang w:eastAsia="ja-JP"/>
        </w:rPr>
        <w:t>this</w:t>
      </w:r>
      <w:r w:rsidR="000159A6">
        <w:rPr>
          <w:lang w:eastAsia="ja-JP"/>
        </w:rPr>
        <w:t xml:space="preserve"> </w:t>
      </w:r>
      <w:r>
        <w:rPr>
          <w:lang w:eastAsia="ja-JP"/>
        </w:rPr>
        <w:t>dossier</w:t>
      </w:r>
      <w:r w:rsidR="000159A6">
        <w:rPr>
          <w:lang w:eastAsia="ja-JP"/>
        </w:rPr>
        <w:t xml:space="preserve"> </w:t>
      </w:r>
      <w:r>
        <w:rPr>
          <w:lang w:eastAsia="ja-JP"/>
        </w:rPr>
        <w:t>for</w:t>
      </w:r>
      <w:r w:rsidR="000159A6">
        <w:rPr>
          <w:lang w:eastAsia="ja-JP"/>
        </w:rPr>
        <w:t xml:space="preserve"> </w:t>
      </w:r>
      <w:r>
        <w:rPr>
          <w:lang w:eastAsia="ja-JP"/>
        </w:rPr>
        <w:t>Shingrix</w:t>
      </w:r>
      <w:r w:rsidR="000159A6">
        <w:rPr>
          <w:lang w:eastAsia="ja-JP"/>
        </w:rPr>
        <w:t xml:space="preserve"> </w:t>
      </w:r>
      <w:r>
        <w:rPr>
          <w:lang w:eastAsia="ja-JP"/>
        </w:rPr>
        <w:t>are</w:t>
      </w:r>
      <w:r w:rsidR="000159A6">
        <w:rPr>
          <w:lang w:eastAsia="ja-JP"/>
        </w:rPr>
        <w:t xml:space="preserve"> </w:t>
      </w:r>
      <w:r>
        <w:rPr>
          <w:lang w:eastAsia="ja-JP"/>
        </w:rPr>
        <w:t>compelling.</w:t>
      </w:r>
    </w:p>
    <w:p w14:paraId="155E03A4" w14:textId="78ADA161" w:rsidR="00624EB5" w:rsidRDefault="00624EB5" w:rsidP="00541F41">
      <w:pPr>
        <w:rPr>
          <w:lang w:eastAsia="ja-JP"/>
        </w:rPr>
      </w:pPr>
      <w:r>
        <w:rPr>
          <w:lang w:eastAsia="ja-JP"/>
        </w:rPr>
        <w:t>Although</w:t>
      </w:r>
      <w:r w:rsidR="000159A6">
        <w:rPr>
          <w:lang w:eastAsia="ja-JP"/>
        </w:rPr>
        <w:t xml:space="preserve"> </w:t>
      </w:r>
      <w:r>
        <w:rPr>
          <w:lang w:eastAsia="ja-JP"/>
        </w:rPr>
        <w:t>the</w:t>
      </w:r>
      <w:r w:rsidR="000159A6">
        <w:rPr>
          <w:lang w:eastAsia="ja-JP"/>
        </w:rPr>
        <w:t xml:space="preserve"> </w:t>
      </w:r>
      <w:r>
        <w:rPr>
          <w:lang w:eastAsia="ja-JP"/>
        </w:rPr>
        <w:t>study</w:t>
      </w:r>
      <w:r w:rsidR="000159A6">
        <w:rPr>
          <w:lang w:eastAsia="ja-JP"/>
        </w:rPr>
        <w:t xml:space="preserve"> </w:t>
      </w:r>
      <w:r>
        <w:rPr>
          <w:lang w:eastAsia="ja-JP"/>
        </w:rPr>
        <w:t>was</w:t>
      </w:r>
      <w:r w:rsidR="000159A6">
        <w:rPr>
          <w:lang w:eastAsia="ja-JP"/>
        </w:rPr>
        <w:t xml:space="preserve"> </w:t>
      </w:r>
      <w:r>
        <w:rPr>
          <w:lang w:eastAsia="ja-JP"/>
        </w:rPr>
        <w:t>not</w:t>
      </w:r>
      <w:r w:rsidR="000159A6">
        <w:rPr>
          <w:lang w:eastAsia="ja-JP"/>
        </w:rPr>
        <w:t xml:space="preserve"> </w:t>
      </w:r>
      <w:r>
        <w:rPr>
          <w:lang w:eastAsia="ja-JP"/>
        </w:rPr>
        <w:t>powered</w:t>
      </w:r>
      <w:r w:rsidR="000159A6">
        <w:rPr>
          <w:lang w:eastAsia="ja-JP"/>
        </w:rPr>
        <w:t xml:space="preserve"> </w:t>
      </w:r>
      <w:r>
        <w:rPr>
          <w:lang w:eastAsia="ja-JP"/>
        </w:rPr>
        <w:t>for</w:t>
      </w:r>
      <w:r w:rsidR="000159A6">
        <w:rPr>
          <w:lang w:eastAsia="ja-JP"/>
        </w:rPr>
        <w:t xml:space="preserve"> </w:t>
      </w:r>
      <w:r>
        <w:rPr>
          <w:lang w:eastAsia="ja-JP"/>
        </w:rPr>
        <w:t>this</w:t>
      </w:r>
      <w:r w:rsidR="000159A6">
        <w:rPr>
          <w:lang w:eastAsia="ja-JP"/>
        </w:rPr>
        <w:t xml:space="preserve"> </w:t>
      </w:r>
      <w:r>
        <w:rPr>
          <w:lang w:eastAsia="ja-JP"/>
        </w:rPr>
        <w:t>endpoint,</w:t>
      </w:r>
      <w:r w:rsidR="000159A6">
        <w:rPr>
          <w:lang w:eastAsia="ja-JP"/>
        </w:rPr>
        <w:t xml:space="preserve"> </w:t>
      </w:r>
      <w:r>
        <w:rPr>
          <w:lang w:eastAsia="ja-JP"/>
        </w:rPr>
        <w:t>Shingrix</w:t>
      </w:r>
      <w:r w:rsidR="000159A6">
        <w:rPr>
          <w:lang w:eastAsia="ja-JP"/>
        </w:rPr>
        <w:t xml:space="preserve"> </w:t>
      </w:r>
      <w:r>
        <w:rPr>
          <w:lang w:eastAsia="ja-JP"/>
        </w:rPr>
        <w:t>demonstrated</w:t>
      </w:r>
      <w:r w:rsidR="000159A6">
        <w:rPr>
          <w:lang w:eastAsia="ja-JP"/>
        </w:rPr>
        <w:t xml:space="preserve"> </w:t>
      </w:r>
      <w:r>
        <w:rPr>
          <w:lang w:eastAsia="ja-JP"/>
        </w:rPr>
        <w:t>efficacy</w:t>
      </w:r>
      <w:r w:rsidR="000159A6">
        <w:rPr>
          <w:lang w:eastAsia="ja-JP"/>
        </w:rPr>
        <w:t xml:space="preserve"> </w:t>
      </w:r>
      <w:r>
        <w:rPr>
          <w:lang w:eastAsia="ja-JP"/>
        </w:rPr>
        <w:t>against</w:t>
      </w:r>
      <w:r w:rsidR="000159A6">
        <w:rPr>
          <w:lang w:eastAsia="ja-JP"/>
        </w:rPr>
        <w:t xml:space="preserve"> </w:t>
      </w:r>
      <w:r>
        <w:rPr>
          <w:lang w:eastAsia="ja-JP"/>
        </w:rPr>
        <w:t>post</w:t>
      </w:r>
      <w:r w:rsidR="000159A6">
        <w:rPr>
          <w:lang w:eastAsia="ja-JP"/>
        </w:rPr>
        <w:t xml:space="preserve"> </w:t>
      </w:r>
      <w:r>
        <w:rPr>
          <w:lang w:eastAsia="ja-JP"/>
        </w:rPr>
        <w:t>herpetic</w:t>
      </w:r>
      <w:r w:rsidR="000159A6">
        <w:rPr>
          <w:lang w:eastAsia="ja-JP"/>
        </w:rPr>
        <w:t xml:space="preserve"> </w:t>
      </w:r>
      <w:r>
        <w:rPr>
          <w:lang w:eastAsia="ja-JP"/>
        </w:rPr>
        <w:t>neuralgia</w:t>
      </w:r>
      <w:r w:rsidR="000159A6">
        <w:rPr>
          <w:lang w:eastAsia="ja-JP"/>
        </w:rPr>
        <w:t xml:space="preserve"> </w:t>
      </w:r>
      <w:r>
        <w:rPr>
          <w:lang w:eastAsia="ja-JP"/>
        </w:rPr>
        <w:t>of</w:t>
      </w:r>
      <w:r w:rsidR="000159A6">
        <w:rPr>
          <w:lang w:eastAsia="ja-JP"/>
        </w:rPr>
        <w:t xml:space="preserve"> </w:t>
      </w:r>
      <w:r>
        <w:rPr>
          <w:lang w:eastAsia="ja-JP"/>
        </w:rPr>
        <w:t>100%</w:t>
      </w:r>
      <w:r w:rsidR="000159A6">
        <w:rPr>
          <w:lang w:eastAsia="ja-JP"/>
        </w:rPr>
        <w:t xml:space="preserve"> </w:t>
      </w:r>
      <w:r>
        <w:rPr>
          <w:lang w:eastAsia="ja-JP"/>
        </w:rPr>
        <w:t>in</w:t>
      </w:r>
      <w:r w:rsidR="000159A6">
        <w:rPr>
          <w:lang w:eastAsia="ja-JP"/>
        </w:rPr>
        <w:t xml:space="preserve"> </w:t>
      </w:r>
      <w:r>
        <w:rPr>
          <w:lang w:eastAsia="ja-JP"/>
        </w:rPr>
        <w:t>those</w:t>
      </w:r>
      <w:r w:rsidR="000159A6">
        <w:rPr>
          <w:lang w:eastAsia="ja-JP"/>
        </w:rPr>
        <w:t xml:space="preserve"> </w:t>
      </w:r>
      <w:r>
        <w:rPr>
          <w:lang w:eastAsia="ja-JP"/>
        </w:rPr>
        <w:t>aged</w:t>
      </w:r>
      <w:r w:rsidR="000159A6">
        <w:rPr>
          <w:lang w:eastAsia="ja-JP"/>
        </w:rPr>
        <w:t xml:space="preserve"> </w:t>
      </w:r>
      <w:r w:rsidR="0037169B">
        <w:rPr>
          <w:lang w:eastAsia="ja-JP"/>
        </w:rPr>
        <w:t>≥</w:t>
      </w:r>
      <w:r w:rsidR="000159A6">
        <w:rPr>
          <w:lang w:eastAsia="ja-JP"/>
        </w:rPr>
        <w:t xml:space="preserve"> </w:t>
      </w:r>
      <w:r>
        <w:rPr>
          <w:lang w:eastAsia="ja-JP"/>
        </w:rPr>
        <w:t>50</w:t>
      </w:r>
      <w:r w:rsidR="000159A6">
        <w:rPr>
          <w:lang w:eastAsia="ja-JP"/>
        </w:rPr>
        <w:t xml:space="preserve"> </w:t>
      </w:r>
      <w:r>
        <w:rPr>
          <w:lang w:eastAsia="ja-JP"/>
        </w:rPr>
        <w:t>years</w:t>
      </w:r>
      <w:r w:rsidR="000159A6">
        <w:rPr>
          <w:lang w:eastAsia="ja-JP"/>
        </w:rPr>
        <w:t xml:space="preserve"> </w:t>
      </w:r>
      <w:r>
        <w:rPr>
          <w:lang w:eastAsia="ja-JP"/>
        </w:rPr>
        <w:t>of</w:t>
      </w:r>
      <w:r w:rsidR="000159A6">
        <w:rPr>
          <w:lang w:eastAsia="ja-JP"/>
        </w:rPr>
        <w:t xml:space="preserve"> </w:t>
      </w:r>
      <w:r>
        <w:rPr>
          <w:lang w:eastAsia="ja-JP"/>
        </w:rPr>
        <w:t>age.</w:t>
      </w:r>
      <w:r w:rsidR="000159A6">
        <w:rPr>
          <w:lang w:eastAsia="ja-JP"/>
        </w:rPr>
        <w:t xml:space="preserve"> </w:t>
      </w:r>
      <w:r>
        <w:rPr>
          <w:lang w:eastAsia="ja-JP"/>
        </w:rPr>
        <w:t>From</w:t>
      </w:r>
      <w:r w:rsidR="000159A6">
        <w:rPr>
          <w:lang w:eastAsia="ja-JP"/>
        </w:rPr>
        <w:t xml:space="preserve"> </w:t>
      </w:r>
      <w:r>
        <w:rPr>
          <w:lang w:eastAsia="ja-JP"/>
        </w:rPr>
        <w:t>pre-specified</w:t>
      </w:r>
      <w:r w:rsidR="000159A6">
        <w:rPr>
          <w:lang w:eastAsia="ja-JP"/>
        </w:rPr>
        <w:t xml:space="preserve"> </w:t>
      </w:r>
      <w:r>
        <w:rPr>
          <w:lang w:eastAsia="ja-JP"/>
        </w:rPr>
        <w:t>pooled</w:t>
      </w:r>
      <w:r w:rsidR="000159A6">
        <w:rPr>
          <w:lang w:eastAsia="ja-JP"/>
        </w:rPr>
        <w:t xml:space="preserve"> </w:t>
      </w:r>
      <w:r>
        <w:rPr>
          <w:lang w:eastAsia="ja-JP"/>
        </w:rPr>
        <w:t>data</w:t>
      </w:r>
      <w:r w:rsidR="000159A6">
        <w:rPr>
          <w:lang w:eastAsia="ja-JP"/>
        </w:rPr>
        <w:t xml:space="preserve"> </w:t>
      </w:r>
      <w:r>
        <w:rPr>
          <w:lang w:eastAsia="ja-JP"/>
        </w:rPr>
        <w:t>analysis,</w:t>
      </w:r>
      <w:r w:rsidR="000159A6">
        <w:rPr>
          <w:lang w:eastAsia="ja-JP"/>
        </w:rPr>
        <w:t xml:space="preserve"> </w:t>
      </w:r>
      <w:r>
        <w:rPr>
          <w:lang w:eastAsia="ja-JP"/>
        </w:rPr>
        <w:t>the</w:t>
      </w:r>
      <w:r w:rsidR="000159A6">
        <w:rPr>
          <w:lang w:eastAsia="ja-JP"/>
        </w:rPr>
        <w:t xml:space="preserve"> </w:t>
      </w:r>
      <w:r>
        <w:rPr>
          <w:lang w:eastAsia="ja-JP"/>
        </w:rPr>
        <w:t>efficacy</w:t>
      </w:r>
      <w:r w:rsidR="000159A6">
        <w:rPr>
          <w:lang w:eastAsia="ja-JP"/>
        </w:rPr>
        <w:t xml:space="preserve"> </w:t>
      </w:r>
      <w:r>
        <w:rPr>
          <w:lang w:eastAsia="ja-JP"/>
        </w:rPr>
        <w:t>against</w:t>
      </w:r>
      <w:r w:rsidR="000159A6">
        <w:rPr>
          <w:lang w:eastAsia="ja-JP"/>
        </w:rPr>
        <w:t xml:space="preserve"> </w:t>
      </w:r>
      <w:r>
        <w:rPr>
          <w:lang w:eastAsia="ja-JP"/>
        </w:rPr>
        <w:t>PHN</w:t>
      </w:r>
      <w:r w:rsidR="000159A6">
        <w:rPr>
          <w:lang w:eastAsia="ja-JP"/>
        </w:rPr>
        <w:t xml:space="preserve"> </w:t>
      </w:r>
      <w:r>
        <w:rPr>
          <w:lang w:eastAsia="ja-JP"/>
        </w:rPr>
        <w:t>in</w:t>
      </w:r>
      <w:r w:rsidR="000159A6">
        <w:rPr>
          <w:lang w:eastAsia="ja-JP"/>
        </w:rPr>
        <w:t xml:space="preserve"> </w:t>
      </w:r>
      <w:r>
        <w:rPr>
          <w:lang w:eastAsia="ja-JP"/>
        </w:rPr>
        <w:t>those</w:t>
      </w:r>
      <w:r w:rsidR="000159A6">
        <w:rPr>
          <w:lang w:eastAsia="ja-JP"/>
        </w:rPr>
        <w:t xml:space="preserve"> </w:t>
      </w:r>
      <w:r>
        <w:rPr>
          <w:lang w:eastAsia="ja-JP"/>
        </w:rPr>
        <w:t>aged</w:t>
      </w:r>
      <w:r w:rsidR="000159A6">
        <w:rPr>
          <w:lang w:eastAsia="ja-JP"/>
        </w:rPr>
        <w:t xml:space="preserve"> </w:t>
      </w:r>
      <w:r>
        <w:rPr>
          <w:lang w:eastAsia="ja-JP"/>
        </w:rPr>
        <w:t>70</w:t>
      </w:r>
      <w:r w:rsidR="000159A6">
        <w:rPr>
          <w:lang w:eastAsia="ja-JP"/>
        </w:rPr>
        <w:t xml:space="preserve"> </w:t>
      </w:r>
      <w:r>
        <w:rPr>
          <w:lang w:eastAsia="ja-JP"/>
        </w:rPr>
        <w:t>years</w:t>
      </w:r>
      <w:r w:rsidR="000159A6">
        <w:rPr>
          <w:lang w:eastAsia="ja-JP"/>
        </w:rPr>
        <w:t xml:space="preserve"> </w:t>
      </w:r>
      <w:r>
        <w:rPr>
          <w:lang w:eastAsia="ja-JP"/>
        </w:rPr>
        <w:t>and</w:t>
      </w:r>
      <w:r w:rsidR="000159A6">
        <w:rPr>
          <w:lang w:eastAsia="ja-JP"/>
        </w:rPr>
        <w:t xml:space="preserve"> </w:t>
      </w:r>
      <w:r>
        <w:rPr>
          <w:lang w:eastAsia="ja-JP"/>
        </w:rPr>
        <w:t>older</w:t>
      </w:r>
      <w:r w:rsidR="000159A6">
        <w:rPr>
          <w:lang w:eastAsia="ja-JP"/>
        </w:rPr>
        <w:t xml:space="preserve"> </w:t>
      </w:r>
      <w:r>
        <w:rPr>
          <w:lang w:eastAsia="ja-JP"/>
        </w:rPr>
        <w:t>was</w:t>
      </w:r>
      <w:r w:rsidR="000159A6">
        <w:rPr>
          <w:lang w:eastAsia="ja-JP"/>
        </w:rPr>
        <w:t xml:space="preserve"> </w:t>
      </w:r>
      <w:r>
        <w:rPr>
          <w:lang w:eastAsia="ja-JP"/>
        </w:rPr>
        <w:t>robustly</w:t>
      </w:r>
      <w:r w:rsidR="000159A6">
        <w:rPr>
          <w:lang w:eastAsia="ja-JP"/>
        </w:rPr>
        <w:t xml:space="preserve"> </w:t>
      </w:r>
      <w:r>
        <w:rPr>
          <w:lang w:eastAsia="ja-JP"/>
        </w:rPr>
        <w:t>demonstrated</w:t>
      </w:r>
      <w:r w:rsidR="000159A6">
        <w:rPr>
          <w:lang w:eastAsia="ja-JP"/>
        </w:rPr>
        <w:t xml:space="preserve"> </w:t>
      </w:r>
      <w:r>
        <w:rPr>
          <w:lang w:eastAsia="ja-JP"/>
        </w:rPr>
        <w:t>at</w:t>
      </w:r>
      <w:r w:rsidR="000159A6">
        <w:rPr>
          <w:lang w:eastAsia="ja-JP"/>
        </w:rPr>
        <w:t xml:space="preserve"> </w:t>
      </w:r>
      <w:r>
        <w:rPr>
          <w:lang w:eastAsia="ja-JP"/>
        </w:rPr>
        <w:t>approximately</w:t>
      </w:r>
      <w:r w:rsidR="000159A6">
        <w:rPr>
          <w:lang w:eastAsia="ja-JP"/>
        </w:rPr>
        <w:t xml:space="preserve"> </w:t>
      </w:r>
      <w:r>
        <w:rPr>
          <w:lang w:eastAsia="ja-JP"/>
        </w:rPr>
        <w:t>88%.</w:t>
      </w:r>
      <w:r w:rsidR="000159A6">
        <w:rPr>
          <w:lang w:eastAsia="ja-JP"/>
        </w:rPr>
        <w:t xml:space="preserve"> </w:t>
      </w:r>
      <w:r>
        <w:rPr>
          <w:lang w:eastAsia="ja-JP"/>
        </w:rPr>
        <w:t>In</w:t>
      </w:r>
      <w:r w:rsidR="000159A6">
        <w:rPr>
          <w:lang w:eastAsia="ja-JP"/>
        </w:rPr>
        <w:t xml:space="preserve"> </w:t>
      </w:r>
      <w:r>
        <w:rPr>
          <w:lang w:eastAsia="ja-JP"/>
        </w:rPr>
        <w:t>adults</w:t>
      </w:r>
      <w:r w:rsidR="000159A6">
        <w:rPr>
          <w:lang w:eastAsia="ja-JP"/>
        </w:rPr>
        <w:t xml:space="preserve"> </w:t>
      </w:r>
      <w:r>
        <w:rPr>
          <w:lang w:eastAsia="ja-JP"/>
        </w:rPr>
        <w:t>50</w:t>
      </w:r>
      <w:r w:rsidR="000159A6">
        <w:rPr>
          <w:lang w:eastAsia="ja-JP"/>
        </w:rPr>
        <w:t xml:space="preserve"> </w:t>
      </w:r>
      <w:r>
        <w:rPr>
          <w:lang w:eastAsia="ja-JP"/>
        </w:rPr>
        <w:t>years</w:t>
      </w:r>
      <w:r w:rsidR="000159A6">
        <w:rPr>
          <w:lang w:eastAsia="ja-JP"/>
        </w:rPr>
        <w:t xml:space="preserve"> </w:t>
      </w:r>
      <w:r>
        <w:rPr>
          <w:lang w:eastAsia="ja-JP"/>
        </w:rPr>
        <w:t>and</w:t>
      </w:r>
      <w:r w:rsidR="000159A6">
        <w:rPr>
          <w:lang w:eastAsia="ja-JP"/>
        </w:rPr>
        <w:t xml:space="preserve"> </w:t>
      </w:r>
      <w:r>
        <w:rPr>
          <w:lang w:eastAsia="ja-JP"/>
        </w:rPr>
        <w:t>over,</w:t>
      </w:r>
      <w:r w:rsidR="000159A6">
        <w:rPr>
          <w:lang w:eastAsia="ja-JP"/>
        </w:rPr>
        <w:t xml:space="preserve"> </w:t>
      </w:r>
      <w:r>
        <w:rPr>
          <w:lang w:eastAsia="ja-JP"/>
        </w:rPr>
        <w:t>the</w:t>
      </w:r>
      <w:r w:rsidR="000159A6">
        <w:rPr>
          <w:lang w:eastAsia="ja-JP"/>
        </w:rPr>
        <w:t xml:space="preserve"> </w:t>
      </w:r>
      <w:r>
        <w:rPr>
          <w:lang w:eastAsia="ja-JP"/>
        </w:rPr>
        <w:t>efficacy</w:t>
      </w:r>
      <w:r w:rsidR="000159A6">
        <w:rPr>
          <w:lang w:eastAsia="ja-JP"/>
        </w:rPr>
        <w:t xml:space="preserve"> </w:t>
      </w:r>
      <w:r>
        <w:rPr>
          <w:lang w:eastAsia="ja-JP"/>
        </w:rPr>
        <w:t>against</w:t>
      </w:r>
      <w:r w:rsidR="000159A6">
        <w:rPr>
          <w:lang w:eastAsia="ja-JP"/>
        </w:rPr>
        <w:t xml:space="preserve"> </w:t>
      </w:r>
      <w:r>
        <w:rPr>
          <w:lang w:eastAsia="ja-JP"/>
        </w:rPr>
        <w:t>PHN</w:t>
      </w:r>
      <w:r w:rsidR="000159A6">
        <w:rPr>
          <w:lang w:eastAsia="ja-JP"/>
        </w:rPr>
        <w:t xml:space="preserve"> </w:t>
      </w:r>
      <w:r>
        <w:rPr>
          <w:lang w:eastAsia="ja-JP"/>
        </w:rPr>
        <w:t>in</w:t>
      </w:r>
      <w:r w:rsidR="000159A6">
        <w:rPr>
          <w:lang w:eastAsia="ja-JP"/>
        </w:rPr>
        <w:t xml:space="preserve"> </w:t>
      </w:r>
      <w:r>
        <w:rPr>
          <w:lang w:eastAsia="ja-JP"/>
        </w:rPr>
        <w:t>those</w:t>
      </w:r>
      <w:r w:rsidR="000159A6">
        <w:rPr>
          <w:lang w:eastAsia="ja-JP"/>
        </w:rPr>
        <w:t xml:space="preserve"> </w:t>
      </w:r>
      <w:r>
        <w:rPr>
          <w:lang w:eastAsia="ja-JP"/>
        </w:rPr>
        <w:t>with</w:t>
      </w:r>
      <w:r w:rsidR="000159A6">
        <w:rPr>
          <w:lang w:eastAsia="ja-JP"/>
        </w:rPr>
        <w:t xml:space="preserve"> </w:t>
      </w:r>
      <w:r>
        <w:rPr>
          <w:lang w:eastAsia="ja-JP"/>
        </w:rPr>
        <w:t>confirmed</w:t>
      </w:r>
      <w:r w:rsidR="000159A6">
        <w:rPr>
          <w:lang w:eastAsia="ja-JP"/>
        </w:rPr>
        <w:t xml:space="preserve"> </w:t>
      </w:r>
      <w:r>
        <w:rPr>
          <w:lang w:eastAsia="ja-JP"/>
        </w:rPr>
        <w:t>HZ</w:t>
      </w:r>
      <w:r w:rsidR="000159A6">
        <w:rPr>
          <w:lang w:eastAsia="ja-JP"/>
        </w:rPr>
        <w:t xml:space="preserve"> </w:t>
      </w:r>
      <w:r>
        <w:rPr>
          <w:lang w:eastAsia="ja-JP"/>
        </w:rPr>
        <w:t>was</w:t>
      </w:r>
      <w:r w:rsidR="000159A6">
        <w:rPr>
          <w:lang w:eastAsia="ja-JP"/>
        </w:rPr>
        <w:t xml:space="preserve"> </w:t>
      </w:r>
      <w:r>
        <w:rPr>
          <w:lang w:eastAsia="ja-JP"/>
        </w:rPr>
        <w:t>not</w:t>
      </w:r>
      <w:r w:rsidR="000159A6">
        <w:rPr>
          <w:lang w:eastAsia="ja-JP"/>
        </w:rPr>
        <w:t xml:space="preserve"> </w:t>
      </w:r>
      <w:r>
        <w:rPr>
          <w:lang w:eastAsia="ja-JP"/>
        </w:rPr>
        <w:t>demonstrated</w:t>
      </w:r>
      <w:r w:rsidR="000159A6">
        <w:rPr>
          <w:lang w:eastAsia="ja-JP"/>
        </w:rPr>
        <w:t xml:space="preserve"> </w:t>
      </w:r>
      <w:r>
        <w:rPr>
          <w:lang w:eastAsia="ja-JP"/>
        </w:rPr>
        <w:t>(VE</w:t>
      </w:r>
      <w:r w:rsidR="000159A6">
        <w:rPr>
          <w:lang w:eastAsia="ja-JP"/>
        </w:rPr>
        <w:t xml:space="preserve"> </w:t>
      </w:r>
      <w:r>
        <w:rPr>
          <w:lang w:eastAsia="ja-JP"/>
        </w:rPr>
        <w:t>of</w:t>
      </w:r>
      <w:r w:rsidR="000159A6">
        <w:rPr>
          <w:lang w:eastAsia="ja-JP"/>
        </w:rPr>
        <w:t xml:space="preserve"> </w:t>
      </w:r>
      <w:r>
        <w:rPr>
          <w:lang w:eastAsia="ja-JP"/>
        </w:rPr>
        <w:t>0.29%)</w:t>
      </w:r>
      <w:r w:rsidR="000159A6">
        <w:rPr>
          <w:lang w:eastAsia="ja-JP"/>
        </w:rPr>
        <w:t xml:space="preserve"> </w:t>
      </w:r>
      <w:r>
        <w:rPr>
          <w:lang w:eastAsia="ja-JP"/>
        </w:rPr>
        <w:t>and,</w:t>
      </w:r>
      <w:r w:rsidR="000159A6">
        <w:rPr>
          <w:lang w:eastAsia="ja-JP"/>
        </w:rPr>
        <w:t xml:space="preserve"> </w:t>
      </w:r>
      <w:r>
        <w:rPr>
          <w:lang w:eastAsia="ja-JP"/>
        </w:rPr>
        <w:t>while</w:t>
      </w:r>
      <w:r w:rsidR="000159A6">
        <w:rPr>
          <w:lang w:eastAsia="ja-JP"/>
        </w:rPr>
        <w:t xml:space="preserve"> </w:t>
      </w:r>
      <w:r>
        <w:rPr>
          <w:lang w:eastAsia="ja-JP"/>
        </w:rPr>
        <w:t>this</w:t>
      </w:r>
      <w:r w:rsidR="000159A6">
        <w:rPr>
          <w:lang w:eastAsia="ja-JP"/>
        </w:rPr>
        <w:t xml:space="preserve"> </w:t>
      </w:r>
      <w:r>
        <w:rPr>
          <w:lang w:eastAsia="ja-JP"/>
        </w:rPr>
        <w:t>may</w:t>
      </w:r>
      <w:r w:rsidR="000159A6">
        <w:rPr>
          <w:lang w:eastAsia="ja-JP"/>
        </w:rPr>
        <w:t xml:space="preserve"> </w:t>
      </w:r>
      <w:r>
        <w:rPr>
          <w:lang w:eastAsia="ja-JP"/>
        </w:rPr>
        <w:t>be</w:t>
      </w:r>
      <w:r w:rsidR="000159A6">
        <w:rPr>
          <w:lang w:eastAsia="ja-JP"/>
        </w:rPr>
        <w:t xml:space="preserve"> </w:t>
      </w:r>
      <w:r>
        <w:rPr>
          <w:lang w:eastAsia="ja-JP"/>
        </w:rPr>
        <w:t>a</w:t>
      </w:r>
      <w:r w:rsidR="000159A6">
        <w:rPr>
          <w:lang w:eastAsia="ja-JP"/>
        </w:rPr>
        <w:t xml:space="preserve"> </w:t>
      </w:r>
      <w:r>
        <w:rPr>
          <w:lang w:eastAsia="ja-JP"/>
        </w:rPr>
        <w:t>result</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very</w:t>
      </w:r>
      <w:r w:rsidR="000159A6">
        <w:rPr>
          <w:lang w:eastAsia="ja-JP"/>
        </w:rPr>
        <w:t xml:space="preserve"> </w:t>
      </w:r>
      <w:r>
        <w:rPr>
          <w:lang w:eastAsia="ja-JP"/>
        </w:rPr>
        <w:t>small</w:t>
      </w:r>
      <w:r w:rsidR="000159A6">
        <w:rPr>
          <w:lang w:eastAsia="ja-JP"/>
        </w:rPr>
        <w:t xml:space="preserve"> </w:t>
      </w:r>
      <w:r>
        <w:rPr>
          <w:lang w:eastAsia="ja-JP"/>
        </w:rPr>
        <w:t>sample</w:t>
      </w:r>
      <w:r w:rsidR="000159A6">
        <w:rPr>
          <w:lang w:eastAsia="ja-JP"/>
        </w:rPr>
        <w:t xml:space="preserve"> </w:t>
      </w:r>
      <w:r>
        <w:rPr>
          <w:lang w:eastAsia="ja-JP"/>
        </w:rPr>
        <w:t>size</w:t>
      </w:r>
      <w:r w:rsidR="000159A6">
        <w:rPr>
          <w:lang w:eastAsia="ja-JP"/>
        </w:rPr>
        <w:t xml:space="preserve"> </w:t>
      </w:r>
      <w:r>
        <w:rPr>
          <w:lang w:eastAsia="ja-JP"/>
        </w:rPr>
        <w:t>leading</w:t>
      </w:r>
      <w:r w:rsidR="000159A6">
        <w:rPr>
          <w:lang w:eastAsia="ja-JP"/>
        </w:rPr>
        <w:t xml:space="preserve"> </w:t>
      </w:r>
      <w:r>
        <w:rPr>
          <w:lang w:eastAsia="ja-JP"/>
        </w:rPr>
        <w:t>to</w:t>
      </w:r>
      <w:r w:rsidR="000159A6">
        <w:rPr>
          <w:lang w:eastAsia="ja-JP"/>
        </w:rPr>
        <w:t xml:space="preserve"> </w:t>
      </w:r>
      <w:r>
        <w:rPr>
          <w:lang w:eastAsia="ja-JP"/>
        </w:rPr>
        <w:t>inadequate</w:t>
      </w:r>
      <w:r w:rsidR="000159A6">
        <w:rPr>
          <w:lang w:eastAsia="ja-JP"/>
        </w:rPr>
        <w:t xml:space="preserve"> </w:t>
      </w:r>
      <w:r>
        <w:rPr>
          <w:lang w:eastAsia="ja-JP"/>
        </w:rPr>
        <w:t>power,</w:t>
      </w:r>
      <w:r w:rsidR="000159A6">
        <w:rPr>
          <w:lang w:eastAsia="ja-JP"/>
        </w:rPr>
        <w:t xml:space="preserve"> </w:t>
      </w:r>
      <w:r>
        <w:rPr>
          <w:lang w:eastAsia="ja-JP"/>
        </w:rPr>
        <w:t>it</w:t>
      </w:r>
      <w:r w:rsidR="000159A6">
        <w:rPr>
          <w:lang w:eastAsia="ja-JP"/>
        </w:rPr>
        <w:t xml:space="preserve"> </w:t>
      </w:r>
      <w:r>
        <w:rPr>
          <w:lang w:eastAsia="ja-JP"/>
        </w:rPr>
        <w:t>is</w:t>
      </w:r>
      <w:r w:rsidR="000159A6">
        <w:rPr>
          <w:lang w:eastAsia="ja-JP"/>
        </w:rPr>
        <w:t xml:space="preserve"> </w:t>
      </w:r>
      <w:r>
        <w:rPr>
          <w:lang w:eastAsia="ja-JP"/>
        </w:rPr>
        <w:t>recommended</w:t>
      </w:r>
      <w:r w:rsidR="000159A6">
        <w:rPr>
          <w:lang w:eastAsia="ja-JP"/>
        </w:rPr>
        <w:t xml:space="preserve"> </w:t>
      </w:r>
      <w:r>
        <w:rPr>
          <w:lang w:eastAsia="ja-JP"/>
        </w:rPr>
        <w:t>that</w:t>
      </w:r>
      <w:r w:rsidR="000159A6">
        <w:rPr>
          <w:lang w:eastAsia="ja-JP"/>
        </w:rPr>
        <w:t xml:space="preserve"> </w:t>
      </w:r>
      <w:r>
        <w:rPr>
          <w:lang w:eastAsia="ja-JP"/>
        </w:rPr>
        <w:t>this</w:t>
      </w:r>
      <w:r w:rsidR="000159A6">
        <w:rPr>
          <w:lang w:eastAsia="ja-JP"/>
        </w:rPr>
        <w:t xml:space="preserve"> </w:t>
      </w:r>
      <w:r>
        <w:rPr>
          <w:lang w:eastAsia="ja-JP"/>
        </w:rPr>
        <w:t>potential</w:t>
      </w:r>
      <w:r w:rsidR="000159A6">
        <w:rPr>
          <w:lang w:eastAsia="ja-JP"/>
        </w:rPr>
        <w:t xml:space="preserve"> </w:t>
      </w:r>
      <w:r>
        <w:rPr>
          <w:lang w:eastAsia="ja-JP"/>
        </w:rPr>
        <w:t>risk</w:t>
      </w:r>
      <w:r w:rsidR="000159A6">
        <w:rPr>
          <w:lang w:eastAsia="ja-JP"/>
        </w:rPr>
        <w:t xml:space="preserve"> </w:t>
      </w:r>
      <w:r>
        <w:rPr>
          <w:lang w:eastAsia="ja-JP"/>
        </w:rPr>
        <w:t>be</w:t>
      </w:r>
      <w:r w:rsidR="000159A6">
        <w:rPr>
          <w:lang w:eastAsia="ja-JP"/>
        </w:rPr>
        <w:t xml:space="preserve"> </w:t>
      </w:r>
      <w:r>
        <w:rPr>
          <w:lang w:eastAsia="ja-JP"/>
        </w:rPr>
        <w:t>monitored</w:t>
      </w:r>
      <w:r w:rsidR="000159A6">
        <w:rPr>
          <w:lang w:eastAsia="ja-JP"/>
        </w:rPr>
        <w:t xml:space="preserve"> </w:t>
      </w:r>
      <w:r>
        <w:rPr>
          <w:lang w:eastAsia="ja-JP"/>
        </w:rPr>
        <w:t>post-marketing.</w:t>
      </w:r>
      <w:r w:rsidR="000159A6">
        <w:rPr>
          <w:lang w:eastAsia="ja-JP"/>
        </w:rPr>
        <w:t xml:space="preserve"> </w:t>
      </w:r>
      <w:r>
        <w:rPr>
          <w:lang w:eastAsia="ja-JP"/>
        </w:rPr>
        <w:t>As</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no</w:t>
      </w:r>
      <w:r w:rsidR="000159A6">
        <w:rPr>
          <w:lang w:eastAsia="ja-JP"/>
        </w:rPr>
        <w:t xml:space="preserve"> </w:t>
      </w:r>
      <w:r>
        <w:rPr>
          <w:lang w:eastAsia="ja-JP"/>
        </w:rPr>
        <w:t>decreased</w:t>
      </w:r>
      <w:r w:rsidR="000159A6">
        <w:rPr>
          <w:lang w:eastAsia="ja-JP"/>
        </w:rPr>
        <w:t xml:space="preserve"> </w:t>
      </w:r>
      <w:r>
        <w:rPr>
          <w:lang w:eastAsia="ja-JP"/>
        </w:rPr>
        <w:t>risk</w:t>
      </w:r>
      <w:r w:rsidR="000159A6">
        <w:rPr>
          <w:lang w:eastAsia="ja-JP"/>
        </w:rPr>
        <w:t xml:space="preserve"> </w:t>
      </w:r>
      <w:r>
        <w:rPr>
          <w:lang w:eastAsia="ja-JP"/>
        </w:rPr>
        <w:t>of</w:t>
      </w:r>
      <w:r w:rsidR="000159A6">
        <w:rPr>
          <w:lang w:eastAsia="ja-JP"/>
        </w:rPr>
        <w:t xml:space="preserve"> </w:t>
      </w:r>
      <w:r>
        <w:rPr>
          <w:lang w:eastAsia="ja-JP"/>
        </w:rPr>
        <w:t>PHN</w:t>
      </w:r>
      <w:r w:rsidR="000159A6">
        <w:rPr>
          <w:lang w:eastAsia="ja-JP"/>
        </w:rPr>
        <w:t xml:space="preserve"> </w:t>
      </w:r>
      <w:r>
        <w:rPr>
          <w:lang w:eastAsia="ja-JP"/>
        </w:rPr>
        <w:t>in</w:t>
      </w:r>
      <w:r w:rsidR="000159A6">
        <w:rPr>
          <w:lang w:eastAsia="ja-JP"/>
        </w:rPr>
        <w:t xml:space="preserve"> </w:t>
      </w:r>
      <w:r>
        <w:rPr>
          <w:lang w:eastAsia="ja-JP"/>
        </w:rPr>
        <w:t>those</w:t>
      </w:r>
      <w:r w:rsidR="000159A6">
        <w:rPr>
          <w:lang w:eastAsia="ja-JP"/>
        </w:rPr>
        <w:t xml:space="preserve"> </w:t>
      </w:r>
      <w:r>
        <w:rPr>
          <w:lang w:eastAsia="ja-JP"/>
        </w:rPr>
        <w:t>with</w:t>
      </w:r>
      <w:r w:rsidR="000159A6">
        <w:rPr>
          <w:lang w:eastAsia="ja-JP"/>
        </w:rPr>
        <w:t xml:space="preserve"> </w:t>
      </w:r>
      <w:r>
        <w:rPr>
          <w:lang w:eastAsia="ja-JP"/>
        </w:rPr>
        <w:t>confirmed</w:t>
      </w:r>
      <w:r w:rsidR="000159A6">
        <w:rPr>
          <w:lang w:eastAsia="ja-JP"/>
        </w:rPr>
        <w:t xml:space="preserve"> </w:t>
      </w:r>
      <w:r>
        <w:rPr>
          <w:lang w:eastAsia="ja-JP"/>
        </w:rPr>
        <w:t>HZ,</w:t>
      </w:r>
      <w:r w:rsidR="000159A6">
        <w:rPr>
          <w:lang w:eastAsia="ja-JP"/>
        </w:rPr>
        <w:t xml:space="preserve"> </w:t>
      </w:r>
      <w:r>
        <w:rPr>
          <w:lang w:eastAsia="ja-JP"/>
        </w:rPr>
        <w:t>it</w:t>
      </w:r>
      <w:r w:rsidR="000159A6">
        <w:rPr>
          <w:lang w:eastAsia="ja-JP"/>
        </w:rPr>
        <w:t xml:space="preserve"> </w:t>
      </w:r>
      <w:r>
        <w:rPr>
          <w:lang w:eastAsia="ja-JP"/>
        </w:rPr>
        <w:t>is</w:t>
      </w:r>
      <w:r w:rsidR="000159A6">
        <w:rPr>
          <w:lang w:eastAsia="ja-JP"/>
        </w:rPr>
        <w:t xml:space="preserve"> </w:t>
      </w:r>
      <w:r>
        <w:rPr>
          <w:lang w:eastAsia="ja-JP"/>
        </w:rPr>
        <w:t>concluded</w:t>
      </w:r>
      <w:r w:rsidR="000159A6">
        <w:rPr>
          <w:lang w:eastAsia="ja-JP"/>
        </w:rPr>
        <w:t xml:space="preserve"> </w:t>
      </w:r>
      <w:r>
        <w:rPr>
          <w:lang w:eastAsia="ja-JP"/>
        </w:rPr>
        <w:t>that</w:t>
      </w:r>
      <w:r w:rsidR="000159A6">
        <w:rPr>
          <w:lang w:eastAsia="ja-JP"/>
        </w:rPr>
        <w:t xml:space="preserve"> </w:t>
      </w:r>
      <w:r>
        <w:rPr>
          <w:lang w:eastAsia="ja-JP"/>
        </w:rPr>
        <w:t>the</w:t>
      </w:r>
      <w:r w:rsidR="000159A6">
        <w:rPr>
          <w:lang w:eastAsia="ja-JP"/>
        </w:rPr>
        <w:t xml:space="preserve"> </w:t>
      </w:r>
      <w:r>
        <w:rPr>
          <w:lang w:eastAsia="ja-JP"/>
        </w:rPr>
        <w:t>vaccine</w:t>
      </w:r>
      <w:r w:rsidR="000159A6">
        <w:rPr>
          <w:lang w:eastAsia="ja-JP"/>
        </w:rPr>
        <w:t xml:space="preserve"> </w:t>
      </w:r>
      <w:r>
        <w:rPr>
          <w:lang w:eastAsia="ja-JP"/>
        </w:rPr>
        <w:t>efficacy</w:t>
      </w:r>
      <w:r w:rsidR="000159A6">
        <w:rPr>
          <w:lang w:eastAsia="ja-JP"/>
        </w:rPr>
        <w:t xml:space="preserve"> </w:t>
      </w:r>
      <w:r>
        <w:rPr>
          <w:lang w:eastAsia="ja-JP"/>
        </w:rPr>
        <w:t>in</w:t>
      </w:r>
      <w:r w:rsidR="000159A6">
        <w:rPr>
          <w:lang w:eastAsia="ja-JP"/>
        </w:rPr>
        <w:t xml:space="preserve"> </w:t>
      </w:r>
      <w:r>
        <w:rPr>
          <w:lang w:eastAsia="ja-JP"/>
        </w:rPr>
        <w:t>preventing</w:t>
      </w:r>
      <w:r w:rsidR="000159A6">
        <w:rPr>
          <w:lang w:eastAsia="ja-JP"/>
        </w:rPr>
        <w:t xml:space="preserve"> </w:t>
      </w:r>
      <w:r>
        <w:rPr>
          <w:lang w:eastAsia="ja-JP"/>
        </w:rPr>
        <w:t>PHN</w:t>
      </w:r>
      <w:r w:rsidR="000159A6">
        <w:rPr>
          <w:lang w:eastAsia="ja-JP"/>
        </w:rPr>
        <w:t xml:space="preserve"> </w:t>
      </w:r>
      <w:r>
        <w:rPr>
          <w:lang w:eastAsia="ja-JP"/>
        </w:rPr>
        <w:t>is</w:t>
      </w:r>
      <w:r w:rsidR="000159A6">
        <w:rPr>
          <w:lang w:eastAsia="ja-JP"/>
        </w:rPr>
        <w:t xml:space="preserve"> </w:t>
      </w:r>
      <w:r>
        <w:rPr>
          <w:lang w:eastAsia="ja-JP"/>
        </w:rPr>
        <w:t>very</w:t>
      </w:r>
      <w:r w:rsidR="000159A6">
        <w:rPr>
          <w:lang w:eastAsia="ja-JP"/>
        </w:rPr>
        <w:t xml:space="preserve"> </w:t>
      </w:r>
      <w:r>
        <w:rPr>
          <w:lang w:eastAsia="ja-JP"/>
        </w:rPr>
        <w:t>likely</w:t>
      </w:r>
      <w:r w:rsidR="000159A6">
        <w:rPr>
          <w:lang w:eastAsia="ja-JP"/>
        </w:rPr>
        <w:t xml:space="preserve"> </w:t>
      </w:r>
      <w:r>
        <w:rPr>
          <w:lang w:eastAsia="ja-JP"/>
        </w:rPr>
        <w:t>due</w:t>
      </w:r>
      <w:r w:rsidR="000159A6">
        <w:rPr>
          <w:lang w:eastAsia="ja-JP"/>
        </w:rPr>
        <w:t xml:space="preserve"> </w:t>
      </w:r>
      <w:r>
        <w:rPr>
          <w:lang w:eastAsia="ja-JP"/>
        </w:rPr>
        <w:t>the</w:t>
      </w:r>
      <w:r w:rsidR="000159A6">
        <w:rPr>
          <w:lang w:eastAsia="ja-JP"/>
        </w:rPr>
        <w:t xml:space="preserve"> </w:t>
      </w:r>
      <w:r>
        <w:rPr>
          <w:lang w:eastAsia="ja-JP"/>
        </w:rPr>
        <w:t>effect</w:t>
      </w:r>
      <w:r w:rsidR="000159A6">
        <w:rPr>
          <w:lang w:eastAsia="ja-JP"/>
        </w:rPr>
        <w:t xml:space="preserve"> </w:t>
      </w:r>
      <w:r>
        <w:rPr>
          <w:lang w:eastAsia="ja-JP"/>
        </w:rPr>
        <w:t>against</w:t>
      </w:r>
      <w:r w:rsidR="000159A6">
        <w:rPr>
          <w:lang w:eastAsia="ja-JP"/>
        </w:rPr>
        <w:t xml:space="preserve"> </w:t>
      </w:r>
      <w:r>
        <w:rPr>
          <w:lang w:eastAsia="ja-JP"/>
        </w:rPr>
        <w:t>HZ.</w:t>
      </w:r>
    </w:p>
    <w:p w14:paraId="23CA30BB" w14:textId="77EA01D4" w:rsidR="00624EB5" w:rsidRDefault="00624EB5" w:rsidP="00624EB5">
      <w:pPr>
        <w:rPr>
          <w:lang w:eastAsia="ja-JP"/>
        </w:rPr>
      </w:pPr>
      <w:r>
        <w:rPr>
          <w:lang w:eastAsia="ja-JP"/>
        </w:rPr>
        <w:t>The</w:t>
      </w:r>
      <w:r w:rsidR="000159A6">
        <w:rPr>
          <w:lang w:eastAsia="ja-JP"/>
        </w:rPr>
        <w:t xml:space="preserve"> </w:t>
      </w:r>
      <w:r>
        <w:rPr>
          <w:lang w:eastAsia="ja-JP"/>
        </w:rPr>
        <w:t>vaccine</w:t>
      </w:r>
      <w:r w:rsidR="000159A6">
        <w:rPr>
          <w:lang w:eastAsia="ja-JP"/>
        </w:rPr>
        <w:t xml:space="preserve"> </w:t>
      </w:r>
      <w:r>
        <w:rPr>
          <w:lang w:eastAsia="ja-JP"/>
        </w:rPr>
        <w:t>was</w:t>
      </w:r>
      <w:r w:rsidR="000159A6">
        <w:rPr>
          <w:lang w:eastAsia="ja-JP"/>
        </w:rPr>
        <w:t xml:space="preserve"> </w:t>
      </w:r>
      <w:r>
        <w:rPr>
          <w:lang w:eastAsia="ja-JP"/>
        </w:rPr>
        <w:t>noted</w:t>
      </w:r>
      <w:r w:rsidR="000159A6">
        <w:rPr>
          <w:lang w:eastAsia="ja-JP"/>
        </w:rPr>
        <w:t xml:space="preserve"> </w:t>
      </w:r>
      <w:r>
        <w:rPr>
          <w:lang w:eastAsia="ja-JP"/>
        </w:rPr>
        <w:t>to</w:t>
      </w:r>
      <w:r w:rsidR="000159A6">
        <w:rPr>
          <w:lang w:eastAsia="ja-JP"/>
        </w:rPr>
        <w:t xml:space="preserve"> </w:t>
      </w:r>
      <w:r>
        <w:rPr>
          <w:lang w:eastAsia="ja-JP"/>
        </w:rPr>
        <w:t>have</w:t>
      </w:r>
      <w:r w:rsidR="000159A6">
        <w:rPr>
          <w:lang w:eastAsia="ja-JP"/>
        </w:rPr>
        <w:t xml:space="preserve"> </w:t>
      </w:r>
      <w:r>
        <w:rPr>
          <w:lang w:eastAsia="ja-JP"/>
        </w:rPr>
        <w:t>high</w:t>
      </w:r>
      <w:r w:rsidR="000159A6">
        <w:rPr>
          <w:lang w:eastAsia="ja-JP"/>
        </w:rPr>
        <w:t xml:space="preserve"> </w:t>
      </w:r>
      <w:r>
        <w:rPr>
          <w:lang w:eastAsia="ja-JP"/>
        </w:rPr>
        <w:t>reactogenicity</w:t>
      </w:r>
      <w:r w:rsidR="000159A6">
        <w:rPr>
          <w:lang w:eastAsia="ja-JP"/>
        </w:rPr>
        <w:t xml:space="preserve"> </w:t>
      </w:r>
      <w:r>
        <w:rPr>
          <w:lang w:eastAsia="ja-JP"/>
        </w:rPr>
        <w:t>with</w:t>
      </w:r>
      <w:r w:rsidR="000159A6">
        <w:rPr>
          <w:lang w:eastAsia="ja-JP"/>
        </w:rPr>
        <w:t xml:space="preserve"> </w:t>
      </w:r>
      <w:r>
        <w:rPr>
          <w:lang w:eastAsia="ja-JP"/>
        </w:rPr>
        <w:t>local</w:t>
      </w:r>
      <w:r w:rsidR="000159A6">
        <w:rPr>
          <w:lang w:eastAsia="ja-JP"/>
        </w:rPr>
        <w:t xml:space="preserve"> </w:t>
      </w:r>
      <w:r>
        <w:rPr>
          <w:lang w:eastAsia="ja-JP"/>
        </w:rPr>
        <w:t>injection</w:t>
      </w:r>
      <w:r w:rsidR="000159A6">
        <w:rPr>
          <w:lang w:eastAsia="ja-JP"/>
        </w:rPr>
        <w:t xml:space="preserve"> </w:t>
      </w:r>
      <w:r>
        <w:rPr>
          <w:lang w:eastAsia="ja-JP"/>
        </w:rPr>
        <w:t>site</w:t>
      </w:r>
      <w:r w:rsidR="000159A6">
        <w:rPr>
          <w:lang w:eastAsia="ja-JP"/>
        </w:rPr>
        <w:t xml:space="preserve"> </w:t>
      </w:r>
      <w:r>
        <w:rPr>
          <w:lang w:eastAsia="ja-JP"/>
        </w:rPr>
        <w:t>reactions</w:t>
      </w:r>
      <w:r w:rsidR="000159A6">
        <w:rPr>
          <w:lang w:eastAsia="ja-JP"/>
        </w:rPr>
        <w:t xml:space="preserve"> </w:t>
      </w:r>
      <w:r>
        <w:rPr>
          <w:lang w:eastAsia="ja-JP"/>
        </w:rPr>
        <w:t>and</w:t>
      </w:r>
      <w:r w:rsidR="000159A6">
        <w:rPr>
          <w:lang w:eastAsia="ja-JP"/>
        </w:rPr>
        <w:t xml:space="preserve"> </w:t>
      </w:r>
      <w:r>
        <w:rPr>
          <w:lang w:eastAsia="ja-JP"/>
        </w:rPr>
        <w:t>general</w:t>
      </w:r>
      <w:r w:rsidR="000159A6">
        <w:rPr>
          <w:lang w:eastAsia="ja-JP"/>
        </w:rPr>
        <w:t xml:space="preserve"> </w:t>
      </w:r>
      <w:r>
        <w:rPr>
          <w:lang w:eastAsia="ja-JP"/>
        </w:rPr>
        <w:t>symptoms</w:t>
      </w:r>
      <w:r w:rsidR="000159A6">
        <w:rPr>
          <w:lang w:eastAsia="ja-JP"/>
        </w:rPr>
        <w:t xml:space="preserve"> </w:t>
      </w:r>
      <w:r>
        <w:rPr>
          <w:lang w:eastAsia="ja-JP"/>
        </w:rPr>
        <w:t>such</w:t>
      </w:r>
      <w:r w:rsidR="000159A6">
        <w:rPr>
          <w:lang w:eastAsia="ja-JP"/>
        </w:rPr>
        <w:t xml:space="preserve"> </w:t>
      </w:r>
      <w:r>
        <w:rPr>
          <w:lang w:eastAsia="ja-JP"/>
        </w:rPr>
        <w:t>fatigue,</w:t>
      </w:r>
      <w:r w:rsidR="000159A6">
        <w:rPr>
          <w:lang w:eastAsia="ja-JP"/>
        </w:rPr>
        <w:t xml:space="preserve"> </w:t>
      </w:r>
      <w:r>
        <w:rPr>
          <w:lang w:eastAsia="ja-JP"/>
        </w:rPr>
        <w:t>headache</w:t>
      </w:r>
      <w:r w:rsidR="000159A6">
        <w:rPr>
          <w:lang w:eastAsia="ja-JP"/>
        </w:rPr>
        <w:t xml:space="preserve"> </w:t>
      </w:r>
      <w:r>
        <w:rPr>
          <w:lang w:eastAsia="ja-JP"/>
        </w:rPr>
        <w:t>and</w:t>
      </w:r>
      <w:r w:rsidR="000159A6">
        <w:rPr>
          <w:lang w:eastAsia="ja-JP"/>
        </w:rPr>
        <w:t xml:space="preserve"> </w:t>
      </w:r>
      <w:r>
        <w:rPr>
          <w:lang w:eastAsia="ja-JP"/>
        </w:rPr>
        <w:t>myalgia.</w:t>
      </w:r>
      <w:r w:rsidR="000159A6">
        <w:rPr>
          <w:lang w:eastAsia="ja-JP"/>
        </w:rPr>
        <w:t xml:space="preserve"> </w:t>
      </w:r>
      <w:r>
        <w:rPr>
          <w:lang w:eastAsia="ja-JP"/>
        </w:rPr>
        <w:t>It</w:t>
      </w:r>
      <w:r w:rsidR="000159A6">
        <w:rPr>
          <w:lang w:eastAsia="ja-JP"/>
        </w:rPr>
        <w:t xml:space="preserve"> </w:t>
      </w:r>
      <w:r>
        <w:rPr>
          <w:lang w:eastAsia="ja-JP"/>
        </w:rPr>
        <w:t>is</w:t>
      </w:r>
      <w:r w:rsidR="000159A6">
        <w:rPr>
          <w:lang w:eastAsia="ja-JP"/>
        </w:rPr>
        <w:t xml:space="preserve"> </w:t>
      </w:r>
      <w:r>
        <w:rPr>
          <w:lang w:eastAsia="ja-JP"/>
        </w:rPr>
        <w:t>possible</w:t>
      </w:r>
      <w:r w:rsidR="000159A6">
        <w:rPr>
          <w:lang w:eastAsia="ja-JP"/>
        </w:rPr>
        <w:t xml:space="preserve"> </w:t>
      </w:r>
      <w:r>
        <w:rPr>
          <w:lang w:eastAsia="ja-JP"/>
        </w:rPr>
        <w:t>that</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clinical</w:t>
      </w:r>
      <w:r w:rsidR="000159A6">
        <w:rPr>
          <w:lang w:eastAsia="ja-JP"/>
        </w:rPr>
        <w:t xml:space="preserve"> </w:t>
      </w:r>
      <w:r>
        <w:rPr>
          <w:lang w:eastAsia="ja-JP"/>
        </w:rPr>
        <w:t>practice</w:t>
      </w:r>
      <w:r w:rsidR="000159A6">
        <w:rPr>
          <w:lang w:eastAsia="ja-JP"/>
        </w:rPr>
        <w:t xml:space="preserve"> </w:t>
      </w:r>
      <w:r>
        <w:rPr>
          <w:lang w:eastAsia="ja-JP"/>
        </w:rPr>
        <w:t>setting,</w:t>
      </w:r>
      <w:r w:rsidR="000159A6">
        <w:rPr>
          <w:lang w:eastAsia="ja-JP"/>
        </w:rPr>
        <w:t xml:space="preserve"> </w:t>
      </w:r>
      <w:r>
        <w:rPr>
          <w:lang w:eastAsia="ja-JP"/>
        </w:rPr>
        <w:t>this</w:t>
      </w:r>
      <w:r w:rsidR="000159A6">
        <w:rPr>
          <w:lang w:eastAsia="ja-JP"/>
        </w:rPr>
        <w:t xml:space="preserve"> </w:t>
      </w:r>
      <w:r>
        <w:rPr>
          <w:lang w:eastAsia="ja-JP"/>
        </w:rPr>
        <w:t>reactogenicity</w:t>
      </w:r>
      <w:r w:rsidR="000159A6">
        <w:rPr>
          <w:lang w:eastAsia="ja-JP"/>
        </w:rPr>
        <w:t xml:space="preserve"> </w:t>
      </w:r>
      <w:r>
        <w:rPr>
          <w:lang w:eastAsia="ja-JP"/>
        </w:rPr>
        <w:t>could</w:t>
      </w:r>
      <w:r w:rsidR="000159A6">
        <w:rPr>
          <w:lang w:eastAsia="ja-JP"/>
        </w:rPr>
        <w:t xml:space="preserve"> </w:t>
      </w:r>
      <w:r>
        <w:rPr>
          <w:lang w:eastAsia="ja-JP"/>
        </w:rPr>
        <w:t>interfere</w:t>
      </w:r>
      <w:r w:rsidR="000159A6">
        <w:rPr>
          <w:lang w:eastAsia="ja-JP"/>
        </w:rPr>
        <w:t xml:space="preserve"> </w:t>
      </w:r>
      <w:r>
        <w:rPr>
          <w:lang w:eastAsia="ja-JP"/>
        </w:rPr>
        <w:t>with</w:t>
      </w:r>
      <w:r w:rsidR="000159A6">
        <w:rPr>
          <w:lang w:eastAsia="ja-JP"/>
        </w:rPr>
        <w:t xml:space="preserve"> </w:t>
      </w:r>
      <w:r>
        <w:rPr>
          <w:lang w:eastAsia="ja-JP"/>
        </w:rPr>
        <w:t>second</w:t>
      </w:r>
      <w:r w:rsidR="000159A6">
        <w:rPr>
          <w:lang w:eastAsia="ja-JP"/>
        </w:rPr>
        <w:t xml:space="preserve"> </w:t>
      </w:r>
      <w:r>
        <w:rPr>
          <w:lang w:eastAsia="ja-JP"/>
        </w:rPr>
        <w:t>dose</w:t>
      </w:r>
      <w:r w:rsidR="000159A6">
        <w:rPr>
          <w:lang w:eastAsia="ja-JP"/>
        </w:rPr>
        <w:t xml:space="preserve"> </w:t>
      </w:r>
      <w:r>
        <w:rPr>
          <w:lang w:eastAsia="ja-JP"/>
        </w:rPr>
        <w:t>compliance.</w:t>
      </w:r>
      <w:r w:rsidR="000159A6">
        <w:rPr>
          <w:lang w:eastAsia="ja-JP"/>
        </w:rPr>
        <w:t xml:space="preserve"> </w:t>
      </w:r>
      <w:r>
        <w:rPr>
          <w:lang w:eastAsia="ja-JP"/>
        </w:rPr>
        <w:t>As</w:t>
      </w:r>
      <w:r w:rsidR="000159A6">
        <w:rPr>
          <w:lang w:eastAsia="ja-JP"/>
        </w:rPr>
        <w:t xml:space="preserve"> </w:t>
      </w:r>
      <w:r>
        <w:rPr>
          <w:lang w:eastAsia="ja-JP"/>
        </w:rPr>
        <w:t>the</w:t>
      </w:r>
      <w:r w:rsidR="000159A6">
        <w:rPr>
          <w:lang w:eastAsia="ja-JP"/>
        </w:rPr>
        <w:t xml:space="preserve"> </w:t>
      </w:r>
      <w:r>
        <w:rPr>
          <w:lang w:eastAsia="ja-JP"/>
        </w:rPr>
        <w:t>reactions</w:t>
      </w:r>
      <w:r w:rsidR="000159A6">
        <w:rPr>
          <w:lang w:eastAsia="ja-JP"/>
        </w:rPr>
        <w:t xml:space="preserve"> </w:t>
      </w:r>
      <w:r>
        <w:rPr>
          <w:lang w:eastAsia="ja-JP"/>
        </w:rPr>
        <w:t>subsided</w:t>
      </w:r>
      <w:r w:rsidR="000159A6">
        <w:rPr>
          <w:lang w:eastAsia="ja-JP"/>
        </w:rPr>
        <w:t xml:space="preserve"> </w:t>
      </w:r>
      <w:r>
        <w:rPr>
          <w:lang w:eastAsia="ja-JP"/>
        </w:rPr>
        <w:t>in</w:t>
      </w:r>
      <w:r w:rsidR="000159A6">
        <w:rPr>
          <w:lang w:eastAsia="ja-JP"/>
        </w:rPr>
        <w:t xml:space="preserve"> </w:t>
      </w:r>
      <w:r>
        <w:rPr>
          <w:lang w:eastAsia="ja-JP"/>
        </w:rPr>
        <w:t>a</w:t>
      </w:r>
      <w:r w:rsidR="000159A6">
        <w:rPr>
          <w:lang w:eastAsia="ja-JP"/>
        </w:rPr>
        <w:t xml:space="preserve"> </w:t>
      </w:r>
      <w:r>
        <w:rPr>
          <w:lang w:eastAsia="ja-JP"/>
        </w:rPr>
        <w:t>couple</w:t>
      </w:r>
      <w:r w:rsidR="000159A6">
        <w:rPr>
          <w:lang w:eastAsia="ja-JP"/>
        </w:rPr>
        <w:t xml:space="preserve"> </w:t>
      </w:r>
      <w:r>
        <w:rPr>
          <w:lang w:eastAsia="ja-JP"/>
        </w:rPr>
        <w:t>of</w:t>
      </w:r>
      <w:r w:rsidR="000159A6">
        <w:rPr>
          <w:lang w:eastAsia="ja-JP"/>
        </w:rPr>
        <w:t xml:space="preserve"> </w:t>
      </w:r>
      <w:r>
        <w:rPr>
          <w:lang w:eastAsia="ja-JP"/>
        </w:rPr>
        <w:t>days</w:t>
      </w:r>
      <w:r w:rsidR="000159A6">
        <w:rPr>
          <w:lang w:eastAsia="ja-JP"/>
        </w:rPr>
        <w:t xml:space="preserve"> </w:t>
      </w:r>
      <w:r>
        <w:rPr>
          <w:lang w:eastAsia="ja-JP"/>
        </w:rPr>
        <w:t>and</w:t>
      </w:r>
      <w:r w:rsidR="000159A6">
        <w:rPr>
          <w:lang w:eastAsia="ja-JP"/>
        </w:rPr>
        <w:t xml:space="preserve"> </w:t>
      </w:r>
      <w:r>
        <w:rPr>
          <w:lang w:eastAsia="ja-JP"/>
        </w:rPr>
        <w:t>are</w:t>
      </w:r>
      <w:r w:rsidR="000159A6">
        <w:rPr>
          <w:lang w:eastAsia="ja-JP"/>
        </w:rPr>
        <w:t xml:space="preserve"> </w:t>
      </w:r>
      <w:r>
        <w:rPr>
          <w:lang w:eastAsia="ja-JP"/>
        </w:rPr>
        <w:t>to</w:t>
      </w:r>
      <w:r w:rsidR="000159A6">
        <w:rPr>
          <w:lang w:eastAsia="ja-JP"/>
        </w:rPr>
        <w:t xml:space="preserve"> </w:t>
      </w:r>
      <w:r>
        <w:rPr>
          <w:lang w:eastAsia="ja-JP"/>
        </w:rPr>
        <w:t>some</w:t>
      </w:r>
      <w:r w:rsidR="000159A6">
        <w:rPr>
          <w:lang w:eastAsia="ja-JP"/>
        </w:rPr>
        <w:t xml:space="preserve"> </w:t>
      </w:r>
      <w:r>
        <w:rPr>
          <w:lang w:eastAsia="ja-JP"/>
        </w:rPr>
        <w:t>extent</w:t>
      </w:r>
      <w:r w:rsidR="000159A6">
        <w:rPr>
          <w:lang w:eastAsia="ja-JP"/>
        </w:rPr>
        <w:t xml:space="preserve"> </w:t>
      </w:r>
      <w:r>
        <w:rPr>
          <w:lang w:eastAsia="ja-JP"/>
        </w:rPr>
        <w:t>treatable,</w:t>
      </w:r>
      <w:r w:rsidR="000159A6">
        <w:rPr>
          <w:lang w:eastAsia="ja-JP"/>
        </w:rPr>
        <w:t xml:space="preserve"> </w:t>
      </w:r>
      <w:r>
        <w:rPr>
          <w:lang w:eastAsia="ja-JP"/>
        </w:rPr>
        <w:t>it</w:t>
      </w:r>
      <w:r w:rsidR="000159A6">
        <w:rPr>
          <w:lang w:eastAsia="ja-JP"/>
        </w:rPr>
        <w:t xml:space="preserve"> </w:t>
      </w:r>
      <w:r>
        <w:rPr>
          <w:lang w:eastAsia="ja-JP"/>
        </w:rPr>
        <w:t>is</w:t>
      </w:r>
      <w:r w:rsidR="000159A6">
        <w:rPr>
          <w:lang w:eastAsia="ja-JP"/>
        </w:rPr>
        <w:t xml:space="preserve"> </w:t>
      </w:r>
      <w:r>
        <w:rPr>
          <w:lang w:eastAsia="ja-JP"/>
        </w:rPr>
        <w:t>anticipated</w:t>
      </w:r>
      <w:r w:rsidR="000159A6">
        <w:rPr>
          <w:lang w:eastAsia="ja-JP"/>
        </w:rPr>
        <w:t xml:space="preserve"> </w:t>
      </w:r>
      <w:r>
        <w:rPr>
          <w:lang w:eastAsia="ja-JP"/>
        </w:rPr>
        <w:t>that</w:t>
      </w:r>
      <w:r w:rsidR="000159A6">
        <w:rPr>
          <w:lang w:eastAsia="ja-JP"/>
        </w:rPr>
        <w:t xml:space="preserve"> </w:t>
      </w:r>
      <w:r>
        <w:rPr>
          <w:lang w:eastAsia="ja-JP"/>
        </w:rPr>
        <w:t>this</w:t>
      </w:r>
      <w:r w:rsidR="000159A6">
        <w:rPr>
          <w:lang w:eastAsia="ja-JP"/>
        </w:rPr>
        <w:t xml:space="preserve"> </w:t>
      </w:r>
      <w:r>
        <w:rPr>
          <w:lang w:eastAsia="ja-JP"/>
        </w:rPr>
        <w:t>risk</w:t>
      </w:r>
      <w:r w:rsidR="000159A6">
        <w:rPr>
          <w:lang w:eastAsia="ja-JP"/>
        </w:rPr>
        <w:t xml:space="preserve"> </w:t>
      </w:r>
      <w:r>
        <w:rPr>
          <w:lang w:eastAsia="ja-JP"/>
        </w:rPr>
        <w:t>should</w:t>
      </w:r>
      <w:r w:rsidR="000159A6">
        <w:rPr>
          <w:lang w:eastAsia="ja-JP"/>
        </w:rPr>
        <w:t xml:space="preserve"> </w:t>
      </w:r>
      <w:r>
        <w:rPr>
          <w:lang w:eastAsia="ja-JP"/>
        </w:rPr>
        <w:t>be</w:t>
      </w:r>
      <w:r w:rsidR="000159A6">
        <w:rPr>
          <w:lang w:eastAsia="ja-JP"/>
        </w:rPr>
        <w:t xml:space="preserve"> </w:t>
      </w:r>
      <w:r>
        <w:rPr>
          <w:lang w:eastAsia="ja-JP"/>
        </w:rPr>
        <w:t>manageable.</w:t>
      </w:r>
      <w:r w:rsidR="000159A6">
        <w:rPr>
          <w:lang w:eastAsia="ja-JP"/>
        </w:rPr>
        <w:t xml:space="preserve"> </w:t>
      </w:r>
      <w:r>
        <w:rPr>
          <w:lang w:eastAsia="ja-JP"/>
        </w:rPr>
        <w:t>It</w:t>
      </w:r>
      <w:r w:rsidR="000159A6">
        <w:rPr>
          <w:lang w:eastAsia="ja-JP"/>
        </w:rPr>
        <w:t xml:space="preserve"> </w:t>
      </w:r>
      <w:r>
        <w:rPr>
          <w:lang w:eastAsia="ja-JP"/>
        </w:rPr>
        <w:t>is</w:t>
      </w:r>
      <w:r w:rsidR="000159A6">
        <w:rPr>
          <w:lang w:eastAsia="ja-JP"/>
        </w:rPr>
        <w:t xml:space="preserve"> </w:t>
      </w:r>
      <w:r>
        <w:rPr>
          <w:lang w:eastAsia="ja-JP"/>
        </w:rPr>
        <w:t>recommended</w:t>
      </w:r>
      <w:r w:rsidR="000159A6">
        <w:rPr>
          <w:lang w:eastAsia="ja-JP"/>
        </w:rPr>
        <w:t xml:space="preserve"> </w:t>
      </w:r>
      <w:r>
        <w:rPr>
          <w:lang w:eastAsia="ja-JP"/>
        </w:rPr>
        <w:t>that</w:t>
      </w:r>
      <w:r w:rsidR="000159A6">
        <w:rPr>
          <w:lang w:eastAsia="ja-JP"/>
        </w:rPr>
        <w:t xml:space="preserve"> </w:t>
      </w:r>
      <w:r>
        <w:rPr>
          <w:lang w:eastAsia="ja-JP"/>
        </w:rPr>
        <w:t>the</w:t>
      </w:r>
      <w:r w:rsidR="000159A6">
        <w:rPr>
          <w:lang w:eastAsia="ja-JP"/>
        </w:rPr>
        <w:t xml:space="preserve"> </w:t>
      </w:r>
      <w:r>
        <w:rPr>
          <w:lang w:eastAsia="ja-JP"/>
        </w:rPr>
        <w:t>vaccine’s</w:t>
      </w:r>
      <w:r w:rsidR="000159A6">
        <w:rPr>
          <w:lang w:eastAsia="ja-JP"/>
        </w:rPr>
        <w:t xml:space="preserve"> </w:t>
      </w:r>
      <w:r>
        <w:rPr>
          <w:lang w:eastAsia="ja-JP"/>
        </w:rPr>
        <w:t>reactogenicity</w:t>
      </w:r>
      <w:r w:rsidR="000159A6">
        <w:rPr>
          <w:lang w:eastAsia="ja-JP"/>
        </w:rPr>
        <w:t xml:space="preserve"> </w:t>
      </w:r>
      <w:r>
        <w:rPr>
          <w:lang w:eastAsia="ja-JP"/>
        </w:rPr>
        <w:t>be</w:t>
      </w:r>
      <w:r w:rsidR="000159A6">
        <w:rPr>
          <w:lang w:eastAsia="ja-JP"/>
        </w:rPr>
        <w:t xml:space="preserve"> </w:t>
      </w:r>
      <w:r>
        <w:rPr>
          <w:lang w:eastAsia="ja-JP"/>
        </w:rPr>
        <w:t>further</w:t>
      </w:r>
      <w:r w:rsidR="000159A6">
        <w:rPr>
          <w:lang w:eastAsia="ja-JP"/>
        </w:rPr>
        <w:t xml:space="preserve"> </w:t>
      </w:r>
      <w:r>
        <w:rPr>
          <w:lang w:eastAsia="ja-JP"/>
        </w:rPr>
        <w:t>outlined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PI.</w:t>
      </w:r>
    </w:p>
    <w:p w14:paraId="27CD2485" w14:textId="27BAF018" w:rsidR="00624EB5" w:rsidRDefault="00624EB5" w:rsidP="00541F41">
      <w:pPr>
        <w:rPr>
          <w:lang w:eastAsia="ja-JP"/>
        </w:rPr>
      </w:pP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major</w:t>
      </w:r>
      <w:r w:rsidR="000159A6">
        <w:rPr>
          <w:lang w:eastAsia="ja-JP"/>
        </w:rPr>
        <w:t xml:space="preserve"> </w:t>
      </w:r>
      <w:r>
        <w:rPr>
          <w:lang w:eastAsia="ja-JP"/>
        </w:rPr>
        <w:t>safety</w:t>
      </w:r>
      <w:r w:rsidR="000159A6">
        <w:rPr>
          <w:lang w:eastAsia="ja-JP"/>
        </w:rPr>
        <w:t xml:space="preserve"> </w:t>
      </w:r>
      <w:r>
        <w:rPr>
          <w:lang w:eastAsia="ja-JP"/>
        </w:rPr>
        <w:t>concerns</w:t>
      </w:r>
      <w:r w:rsidR="000159A6">
        <w:rPr>
          <w:lang w:eastAsia="ja-JP"/>
        </w:rPr>
        <w:t xml:space="preserve"> </w:t>
      </w:r>
      <w:r>
        <w:rPr>
          <w:lang w:eastAsia="ja-JP"/>
        </w:rPr>
        <w:t>although</w:t>
      </w:r>
      <w:r w:rsidR="000159A6">
        <w:rPr>
          <w:lang w:eastAsia="ja-JP"/>
        </w:rPr>
        <w:t xml:space="preserve"> </w:t>
      </w:r>
      <w:r>
        <w:rPr>
          <w:lang w:eastAsia="ja-JP"/>
        </w:rPr>
        <w:t>the</w:t>
      </w:r>
      <w:r w:rsidR="000159A6">
        <w:rPr>
          <w:lang w:eastAsia="ja-JP"/>
        </w:rPr>
        <w:t xml:space="preserve"> </w:t>
      </w:r>
      <w:r>
        <w:rPr>
          <w:lang w:eastAsia="ja-JP"/>
        </w:rPr>
        <w:t>database</w:t>
      </w:r>
      <w:r w:rsidR="000159A6">
        <w:rPr>
          <w:lang w:eastAsia="ja-JP"/>
        </w:rPr>
        <w:t xml:space="preserve"> </w:t>
      </w:r>
      <w:r>
        <w:rPr>
          <w:lang w:eastAsia="ja-JP"/>
        </w:rPr>
        <w:t>size</w:t>
      </w:r>
      <w:r w:rsidR="000159A6">
        <w:rPr>
          <w:lang w:eastAsia="ja-JP"/>
        </w:rPr>
        <w:t xml:space="preserve"> </w:t>
      </w:r>
      <w:r>
        <w:rPr>
          <w:lang w:eastAsia="ja-JP"/>
        </w:rPr>
        <w:t>of</w:t>
      </w:r>
      <w:r w:rsidR="000159A6">
        <w:rPr>
          <w:lang w:eastAsia="ja-JP"/>
        </w:rPr>
        <w:t xml:space="preserve"> </w:t>
      </w:r>
      <w:r>
        <w:rPr>
          <w:lang w:eastAsia="ja-JP"/>
        </w:rPr>
        <w:t>some</w:t>
      </w:r>
      <w:r w:rsidR="000159A6">
        <w:rPr>
          <w:lang w:eastAsia="ja-JP"/>
        </w:rPr>
        <w:t xml:space="preserve"> </w:t>
      </w:r>
      <w:r>
        <w:rPr>
          <w:lang w:eastAsia="ja-JP"/>
        </w:rPr>
        <w:t>15,000</w:t>
      </w:r>
      <w:r w:rsidR="000159A6">
        <w:rPr>
          <w:lang w:eastAsia="ja-JP"/>
        </w:rPr>
        <w:t xml:space="preserve"> </w:t>
      </w:r>
      <w:r>
        <w:rPr>
          <w:lang w:eastAsia="ja-JP"/>
        </w:rPr>
        <w:t>recipients</w:t>
      </w:r>
      <w:r w:rsidR="000159A6">
        <w:rPr>
          <w:lang w:eastAsia="ja-JP"/>
        </w:rPr>
        <w:t xml:space="preserve"> </w:t>
      </w:r>
      <w:r>
        <w:rPr>
          <w:lang w:eastAsia="ja-JP"/>
        </w:rPr>
        <w:t>limits</w:t>
      </w:r>
      <w:r w:rsidR="000159A6">
        <w:rPr>
          <w:lang w:eastAsia="ja-JP"/>
        </w:rPr>
        <w:t xml:space="preserve"> </w:t>
      </w:r>
      <w:r>
        <w:rPr>
          <w:lang w:eastAsia="ja-JP"/>
        </w:rPr>
        <w:t>its</w:t>
      </w:r>
      <w:r w:rsidR="000159A6">
        <w:rPr>
          <w:lang w:eastAsia="ja-JP"/>
        </w:rPr>
        <w:t xml:space="preserve"> </w:t>
      </w:r>
      <w:r>
        <w:rPr>
          <w:lang w:eastAsia="ja-JP"/>
        </w:rPr>
        <w:t>ability</w:t>
      </w:r>
      <w:r w:rsidR="000159A6">
        <w:rPr>
          <w:lang w:eastAsia="ja-JP"/>
        </w:rPr>
        <w:t xml:space="preserve"> </w:t>
      </w:r>
      <w:r>
        <w:rPr>
          <w:lang w:eastAsia="ja-JP"/>
        </w:rPr>
        <w:t>to</w:t>
      </w:r>
      <w:r w:rsidR="000159A6">
        <w:rPr>
          <w:lang w:eastAsia="ja-JP"/>
        </w:rPr>
        <w:t xml:space="preserve"> </w:t>
      </w:r>
      <w:r>
        <w:rPr>
          <w:lang w:eastAsia="ja-JP"/>
        </w:rPr>
        <w:t>detect</w:t>
      </w:r>
      <w:r w:rsidR="000159A6">
        <w:rPr>
          <w:lang w:eastAsia="ja-JP"/>
        </w:rPr>
        <w:t xml:space="preserve"> </w:t>
      </w:r>
      <w:r>
        <w:rPr>
          <w:lang w:eastAsia="ja-JP"/>
        </w:rPr>
        <w:t>very</w:t>
      </w:r>
      <w:r w:rsidR="000159A6">
        <w:rPr>
          <w:lang w:eastAsia="ja-JP"/>
        </w:rPr>
        <w:t xml:space="preserve"> </w:t>
      </w:r>
      <w:r>
        <w:rPr>
          <w:lang w:eastAsia="ja-JP"/>
        </w:rPr>
        <w:t>rare</w:t>
      </w:r>
      <w:r w:rsidR="000159A6">
        <w:rPr>
          <w:lang w:eastAsia="ja-JP"/>
        </w:rPr>
        <w:t xml:space="preserve"> </w:t>
      </w:r>
      <w:r>
        <w:rPr>
          <w:lang w:eastAsia="ja-JP"/>
        </w:rPr>
        <w:t>conditions.</w:t>
      </w:r>
      <w:r w:rsidR="000159A6">
        <w:rPr>
          <w:lang w:eastAsia="ja-JP"/>
        </w:rPr>
        <w:t xml:space="preserve"> </w:t>
      </w:r>
      <w:r>
        <w:rPr>
          <w:lang w:eastAsia="ja-JP"/>
        </w:rPr>
        <w:t>The</w:t>
      </w:r>
      <w:r w:rsidR="000159A6">
        <w:rPr>
          <w:lang w:eastAsia="ja-JP"/>
        </w:rPr>
        <w:t xml:space="preserve"> </w:t>
      </w:r>
      <w:r>
        <w:rPr>
          <w:lang w:eastAsia="ja-JP"/>
        </w:rPr>
        <w:t>risk</w:t>
      </w:r>
      <w:r w:rsidR="000159A6">
        <w:rPr>
          <w:lang w:eastAsia="ja-JP"/>
        </w:rPr>
        <w:t xml:space="preserve"> </w:t>
      </w:r>
      <w:r>
        <w:rPr>
          <w:lang w:eastAsia="ja-JP"/>
        </w:rPr>
        <w:t>of</w:t>
      </w:r>
      <w:r w:rsidR="000159A6">
        <w:rPr>
          <w:lang w:eastAsia="ja-JP"/>
        </w:rPr>
        <w:t xml:space="preserve"> </w:t>
      </w:r>
      <w:r>
        <w:rPr>
          <w:lang w:eastAsia="ja-JP"/>
        </w:rPr>
        <w:t>hypersensitivity</w:t>
      </w:r>
      <w:r w:rsidR="000159A6">
        <w:rPr>
          <w:lang w:eastAsia="ja-JP"/>
        </w:rPr>
        <w:t xml:space="preserve"> </w:t>
      </w:r>
      <w:r>
        <w:rPr>
          <w:lang w:eastAsia="ja-JP"/>
        </w:rPr>
        <w:t>is</w:t>
      </w:r>
      <w:r w:rsidR="000159A6">
        <w:rPr>
          <w:lang w:eastAsia="ja-JP"/>
        </w:rPr>
        <w:t xml:space="preserve"> </w:t>
      </w:r>
      <w:r>
        <w:rPr>
          <w:lang w:eastAsia="ja-JP"/>
        </w:rPr>
        <w:t>consistent</w:t>
      </w:r>
      <w:r w:rsidR="000159A6">
        <w:rPr>
          <w:lang w:eastAsia="ja-JP"/>
        </w:rPr>
        <w:t xml:space="preserve"> </w:t>
      </w:r>
      <w:r>
        <w:rPr>
          <w:lang w:eastAsia="ja-JP"/>
        </w:rPr>
        <w:t>with</w:t>
      </w:r>
      <w:r w:rsidR="000159A6">
        <w:rPr>
          <w:lang w:eastAsia="ja-JP"/>
        </w:rPr>
        <w:t xml:space="preserve"> </w:t>
      </w:r>
      <w:r>
        <w:rPr>
          <w:lang w:eastAsia="ja-JP"/>
        </w:rPr>
        <w:t>other</w:t>
      </w:r>
      <w:r w:rsidR="000159A6">
        <w:rPr>
          <w:lang w:eastAsia="ja-JP"/>
        </w:rPr>
        <w:t xml:space="preserve"> </w:t>
      </w:r>
      <w:r>
        <w:rPr>
          <w:lang w:eastAsia="ja-JP"/>
        </w:rPr>
        <w:t>vaccines.</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no</w:t>
      </w:r>
      <w:r w:rsidR="000159A6">
        <w:rPr>
          <w:lang w:eastAsia="ja-JP"/>
        </w:rPr>
        <w:t xml:space="preserve"> </w:t>
      </w:r>
      <w:r>
        <w:rPr>
          <w:lang w:eastAsia="ja-JP"/>
        </w:rPr>
        <w:t>increased</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r>
        <w:rPr>
          <w:lang w:eastAsia="ja-JP"/>
        </w:rPr>
        <w:t>potential</w:t>
      </w:r>
      <w:r w:rsidR="000159A6">
        <w:rPr>
          <w:lang w:eastAsia="ja-JP"/>
        </w:rPr>
        <w:t xml:space="preserve"> </w:t>
      </w:r>
      <w:r>
        <w:rPr>
          <w:lang w:eastAsia="ja-JP"/>
        </w:rPr>
        <w:t>immune</w:t>
      </w:r>
      <w:r w:rsidR="000159A6">
        <w:rPr>
          <w:lang w:eastAsia="ja-JP"/>
        </w:rPr>
        <w:t xml:space="preserve"> </w:t>
      </w:r>
      <w:r>
        <w:rPr>
          <w:lang w:eastAsia="ja-JP"/>
        </w:rPr>
        <w:t>mediated</w:t>
      </w:r>
      <w:r w:rsidR="000159A6">
        <w:rPr>
          <w:lang w:eastAsia="ja-JP"/>
        </w:rPr>
        <w:t xml:space="preserve"> </w:t>
      </w:r>
      <w:r>
        <w:rPr>
          <w:lang w:eastAsia="ja-JP"/>
        </w:rPr>
        <w:t>disorders</w:t>
      </w:r>
      <w:r w:rsidR="000159A6">
        <w:rPr>
          <w:lang w:eastAsia="ja-JP"/>
        </w:rPr>
        <w:t xml:space="preserve"> </w:t>
      </w:r>
      <w:r>
        <w:rPr>
          <w:lang w:eastAsia="ja-JP"/>
        </w:rPr>
        <w:t>after</w:t>
      </w:r>
      <w:r w:rsidR="000159A6">
        <w:rPr>
          <w:lang w:eastAsia="ja-JP"/>
        </w:rPr>
        <w:t xml:space="preserve"> </w:t>
      </w:r>
      <w:r>
        <w:rPr>
          <w:lang w:eastAsia="ja-JP"/>
        </w:rPr>
        <w:t>a</w:t>
      </w:r>
      <w:r w:rsidR="000159A6">
        <w:rPr>
          <w:lang w:eastAsia="ja-JP"/>
        </w:rPr>
        <w:t xml:space="preserve"> </w:t>
      </w:r>
      <w:r>
        <w:rPr>
          <w:lang w:eastAsia="ja-JP"/>
        </w:rPr>
        <w:t>median</w:t>
      </w:r>
      <w:r w:rsidR="000159A6">
        <w:rPr>
          <w:lang w:eastAsia="ja-JP"/>
        </w:rPr>
        <w:t xml:space="preserve"> </w:t>
      </w:r>
      <w:r>
        <w:rPr>
          <w:lang w:eastAsia="ja-JP"/>
        </w:rPr>
        <w:t>safety</w:t>
      </w:r>
      <w:r w:rsidR="000159A6">
        <w:rPr>
          <w:lang w:eastAsia="ja-JP"/>
        </w:rPr>
        <w:t xml:space="preserve"> </w:t>
      </w:r>
      <w:r>
        <w:rPr>
          <w:lang w:eastAsia="ja-JP"/>
        </w:rPr>
        <w:t>follow</w:t>
      </w:r>
      <w:r w:rsidR="000159A6">
        <w:rPr>
          <w:lang w:eastAsia="ja-JP"/>
        </w:rPr>
        <w:t xml:space="preserve"> </w:t>
      </w:r>
      <w:r>
        <w:rPr>
          <w:lang w:eastAsia="ja-JP"/>
        </w:rPr>
        <w:t>period</w:t>
      </w:r>
      <w:r w:rsidR="000159A6">
        <w:rPr>
          <w:lang w:eastAsia="ja-JP"/>
        </w:rPr>
        <w:t xml:space="preserve"> </w:t>
      </w:r>
      <w:r>
        <w:rPr>
          <w:lang w:eastAsia="ja-JP"/>
        </w:rPr>
        <w:t>of</w:t>
      </w:r>
      <w:r w:rsidR="000159A6">
        <w:rPr>
          <w:lang w:eastAsia="ja-JP"/>
        </w:rPr>
        <w:t xml:space="preserve"> </w:t>
      </w:r>
      <w:r>
        <w:rPr>
          <w:lang w:eastAsia="ja-JP"/>
        </w:rPr>
        <w:t>about</w:t>
      </w:r>
      <w:r w:rsidR="000159A6">
        <w:rPr>
          <w:lang w:eastAsia="ja-JP"/>
        </w:rPr>
        <w:t xml:space="preserve"> </w:t>
      </w:r>
      <w:r w:rsidRPr="006A0BF6">
        <w:rPr>
          <w:lang w:eastAsia="ja-JP"/>
        </w:rPr>
        <w:t>3</w:t>
      </w:r>
      <w:r w:rsidR="000159A6">
        <w:rPr>
          <w:lang w:eastAsia="ja-JP"/>
        </w:rPr>
        <w:t xml:space="preserve"> </w:t>
      </w:r>
      <w:r w:rsidRPr="006A0BF6">
        <w:rPr>
          <w:lang w:eastAsia="ja-JP"/>
        </w:rPr>
        <w:t>years</w:t>
      </w:r>
      <w:r w:rsidR="000159A6">
        <w:rPr>
          <w:lang w:eastAsia="ja-JP"/>
        </w:rPr>
        <w:t xml:space="preserve"> </w:t>
      </w:r>
      <w:r w:rsidRPr="006A0BF6">
        <w:rPr>
          <w:lang w:eastAsia="ja-JP"/>
        </w:rPr>
        <w:t>t</w:t>
      </w:r>
      <w:r>
        <w:rPr>
          <w:lang w:eastAsia="ja-JP"/>
        </w:rPr>
        <w:t>hat</w:t>
      </w:r>
      <w:r w:rsidR="000159A6">
        <w:rPr>
          <w:lang w:eastAsia="ja-JP"/>
        </w:rPr>
        <w:t xml:space="preserve"> </w:t>
      </w:r>
      <w:r>
        <w:rPr>
          <w:lang w:eastAsia="ja-JP"/>
        </w:rPr>
        <w:t>should</w:t>
      </w:r>
      <w:r w:rsidR="000159A6">
        <w:rPr>
          <w:lang w:eastAsia="ja-JP"/>
        </w:rPr>
        <w:t xml:space="preserve"> </w:t>
      </w:r>
      <w:r>
        <w:rPr>
          <w:lang w:eastAsia="ja-JP"/>
        </w:rPr>
        <w:t>be</w:t>
      </w:r>
      <w:r w:rsidR="000159A6">
        <w:rPr>
          <w:lang w:eastAsia="ja-JP"/>
        </w:rPr>
        <w:t xml:space="preserve"> </w:t>
      </w:r>
      <w:r>
        <w:rPr>
          <w:lang w:eastAsia="ja-JP"/>
        </w:rPr>
        <w:t>sufficient</w:t>
      </w:r>
      <w:r w:rsidR="000159A6">
        <w:rPr>
          <w:lang w:eastAsia="ja-JP"/>
        </w:rPr>
        <w:t xml:space="preserve"> </w:t>
      </w:r>
      <w:r>
        <w:rPr>
          <w:lang w:eastAsia="ja-JP"/>
        </w:rPr>
        <w:t>to</w:t>
      </w:r>
      <w:r w:rsidR="000159A6">
        <w:rPr>
          <w:lang w:eastAsia="ja-JP"/>
        </w:rPr>
        <w:t xml:space="preserve"> </w:t>
      </w:r>
      <w:r>
        <w:rPr>
          <w:lang w:eastAsia="ja-JP"/>
        </w:rPr>
        <w:t>capture</w:t>
      </w:r>
      <w:r w:rsidR="000159A6">
        <w:rPr>
          <w:lang w:eastAsia="ja-JP"/>
        </w:rPr>
        <w:t xml:space="preserve"> </w:t>
      </w:r>
      <w:r>
        <w:rPr>
          <w:lang w:eastAsia="ja-JP"/>
        </w:rPr>
        <w:t>events.</w:t>
      </w:r>
      <w:r w:rsidR="000159A6">
        <w:rPr>
          <w:lang w:eastAsia="ja-JP"/>
        </w:rPr>
        <w:t xml:space="preserve"> </w:t>
      </w:r>
      <w:r>
        <w:rPr>
          <w:lang w:eastAsia="ja-JP"/>
        </w:rPr>
        <w:t>Nevertheless</w:t>
      </w:r>
      <w:r w:rsidR="000159A6">
        <w:rPr>
          <w:lang w:eastAsia="ja-JP"/>
        </w:rPr>
        <w:t xml:space="preserve"> </w:t>
      </w:r>
      <w:r>
        <w:rPr>
          <w:lang w:eastAsia="ja-JP"/>
        </w:rPr>
        <w:t>pharmacovigilance</w:t>
      </w:r>
      <w:r w:rsidR="000159A6">
        <w:rPr>
          <w:lang w:eastAsia="ja-JP"/>
        </w:rPr>
        <w:t xml:space="preserve"> </w:t>
      </w:r>
      <w:r>
        <w:rPr>
          <w:lang w:eastAsia="ja-JP"/>
        </w:rPr>
        <w:t>surveillance</w:t>
      </w:r>
      <w:r w:rsidR="000159A6">
        <w:rPr>
          <w:lang w:eastAsia="ja-JP"/>
        </w:rPr>
        <w:t xml:space="preserve"> </w:t>
      </w:r>
      <w:r>
        <w:rPr>
          <w:lang w:eastAsia="ja-JP"/>
        </w:rPr>
        <w:t>of</w:t>
      </w:r>
      <w:r w:rsidR="000159A6">
        <w:rPr>
          <w:lang w:eastAsia="ja-JP"/>
        </w:rPr>
        <w:t xml:space="preserve"> </w:t>
      </w:r>
      <w:r>
        <w:rPr>
          <w:lang w:eastAsia="ja-JP"/>
        </w:rPr>
        <w:t>such</w:t>
      </w:r>
      <w:r w:rsidR="000159A6">
        <w:rPr>
          <w:lang w:eastAsia="ja-JP"/>
        </w:rPr>
        <w:t xml:space="preserve"> </w:t>
      </w:r>
      <w:r>
        <w:rPr>
          <w:lang w:eastAsia="ja-JP"/>
        </w:rPr>
        <w:t>conditions</w:t>
      </w:r>
      <w:r w:rsidR="000159A6">
        <w:rPr>
          <w:lang w:eastAsia="ja-JP"/>
        </w:rPr>
        <w:t xml:space="preserve"> </w:t>
      </w:r>
      <w:r>
        <w:rPr>
          <w:lang w:eastAsia="ja-JP"/>
        </w:rPr>
        <w:t>will</w:t>
      </w:r>
      <w:r w:rsidR="000159A6">
        <w:rPr>
          <w:lang w:eastAsia="ja-JP"/>
        </w:rPr>
        <w:t xml:space="preserve"> </w:t>
      </w:r>
      <w:r>
        <w:rPr>
          <w:lang w:eastAsia="ja-JP"/>
        </w:rPr>
        <w:t>be</w:t>
      </w:r>
      <w:r w:rsidR="000159A6">
        <w:rPr>
          <w:lang w:eastAsia="ja-JP"/>
        </w:rPr>
        <w:t xml:space="preserve"> </w:t>
      </w:r>
      <w:r>
        <w:rPr>
          <w:lang w:eastAsia="ja-JP"/>
        </w:rPr>
        <w:t>important.</w:t>
      </w:r>
    </w:p>
    <w:p w14:paraId="649CF780" w14:textId="4EA731AD" w:rsidR="00624EB5" w:rsidRDefault="00624EB5" w:rsidP="00541F41">
      <w:pPr>
        <w:rPr>
          <w:lang w:eastAsia="ja-JP"/>
        </w:rPr>
      </w:pPr>
      <w:r>
        <w:rPr>
          <w:lang w:eastAsia="ja-JP"/>
        </w:rPr>
        <w:t>The</w:t>
      </w:r>
      <w:r w:rsidR="000159A6">
        <w:rPr>
          <w:lang w:eastAsia="ja-JP"/>
        </w:rPr>
        <w:t xml:space="preserve"> </w:t>
      </w:r>
      <w:r>
        <w:rPr>
          <w:lang w:eastAsia="ja-JP"/>
        </w:rPr>
        <w:t>background</w:t>
      </w:r>
      <w:r w:rsidR="000159A6">
        <w:rPr>
          <w:lang w:eastAsia="ja-JP"/>
        </w:rPr>
        <w:t xml:space="preserve"> </w:t>
      </w:r>
      <w:r>
        <w:rPr>
          <w:lang w:eastAsia="ja-JP"/>
        </w:rPr>
        <w:t>morbidity</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trial</w:t>
      </w:r>
      <w:r w:rsidR="000159A6">
        <w:rPr>
          <w:lang w:eastAsia="ja-JP"/>
        </w:rPr>
        <w:t xml:space="preserve"> </w:t>
      </w:r>
      <w:r>
        <w:rPr>
          <w:lang w:eastAsia="ja-JP"/>
        </w:rPr>
        <w:t>population</w:t>
      </w:r>
      <w:r w:rsidR="000159A6">
        <w:rPr>
          <w:lang w:eastAsia="ja-JP"/>
        </w:rPr>
        <w:t xml:space="preserve"> </w:t>
      </w:r>
      <w:r>
        <w:rPr>
          <w:lang w:eastAsia="ja-JP"/>
        </w:rPr>
        <w:t>was</w:t>
      </w:r>
      <w:r w:rsidR="000159A6">
        <w:rPr>
          <w:lang w:eastAsia="ja-JP"/>
        </w:rPr>
        <w:t xml:space="preserve"> </w:t>
      </w:r>
      <w:r>
        <w:rPr>
          <w:lang w:eastAsia="ja-JP"/>
        </w:rPr>
        <w:t>not</w:t>
      </w:r>
      <w:r w:rsidR="000159A6">
        <w:rPr>
          <w:lang w:eastAsia="ja-JP"/>
        </w:rPr>
        <w:t xml:space="preserve"> </w:t>
      </w:r>
      <w:r>
        <w:rPr>
          <w:lang w:eastAsia="ja-JP"/>
        </w:rPr>
        <w:t>discussed</w:t>
      </w:r>
      <w:r w:rsidR="000159A6">
        <w:rPr>
          <w:lang w:eastAsia="ja-JP"/>
        </w:rPr>
        <w:t xml:space="preserve"> </w:t>
      </w:r>
      <w:r>
        <w:rPr>
          <w:lang w:eastAsia="ja-JP"/>
        </w:rPr>
        <w:t>and</w:t>
      </w:r>
      <w:r w:rsidR="000159A6">
        <w:rPr>
          <w:lang w:eastAsia="ja-JP"/>
        </w:rPr>
        <w:t xml:space="preserve"> </w:t>
      </w:r>
      <w:r>
        <w:rPr>
          <w:lang w:eastAsia="ja-JP"/>
        </w:rPr>
        <w:t>so</w:t>
      </w:r>
      <w:r w:rsidR="000159A6">
        <w:rPr>
          <w:lang w:eastAsia="ja-JP"/>
        </w:rPr>
        <w:t xml:space="preserve"> </w:t>
      </w:r>
      <w:r>
        <w:rPr>
          <w:lang w:eastAsia="ja-JP"/>
        </w:rPr>
        <w:t>has</w:t>
      </w:r>
      <w:r w:rsidR="000159A6">
        <w:rPr>
          <w:lang w:eastAsia="ja-JP"/>
        </w:rPr>
        <w:t xml:space="preserve"> </w:t>
      </w:r>
      <w:r>
        <w:rPr>
          <w:lang w:eastAsia="ja-JP"/>
        </w:rPr>
        <w:t>been</w:t>
      </w:r>
      <w:r w:rsidR="000159A6">
        <w:rPr>
          <w:lang w:eastAsia="ja-JP"/>
        </w:rPr>
        <w:t xml:space="preserve"> </w:t>
      </w:r>
      <w:r>
        <w:rPr>
          <w:lang w:eastAsia="ja-JP"/>
        </w:rPr>
        <w:t>questioned.</w:t>
      </w:r>
      <w:r w:rsidR="000159A6">
        <w:rPr>
          <w:lang w:eastAsia="ja-JP"/>
        </w:rPr>
        <w:t xml:space="preserve"> </w:t>
      </w:r>
      <w:r>
        <w:rPr>
          <w:lang w:eastAsia="ja-JP"/>
        </w:rPr>
        <w:t>This</w:t>
      </w:r>
      <w:r w:rsidR="000159A6">
        <w:rPr>
          <w:lang w:eastAsia="ja-JP"/>
        </w:rPr>
        <w:t xml:space="preserve"> </w:t>
      </w:r>
      <w:r>
        <w:rPr>
          <w:lang w:eastAsia="ja-JP"/>
        </w:rPr>
        <w:t>will</w:t>
      </w:r>
      <w:r w:rsidR="000159A6">
        <w:rPr>
          <w:lang w:eastAsia="ja-JP"/>
        </w:rPr>
        <w:t xml:space="preserve"> </w:t>
      </w:r>
      <w:r>
        <w:rPr>
          <w:lang w:eastAsia="ja-JP"/>
        </w:rPr>
        <w:t>be</w:t>
      </w:r>
      <w:r w:rsidR="000159A6">
        <w:rPr>
          <w:lang w:eastAsia="ja-JP"/>
        </w:rPr>
        <w:t xml:space="preserve"> </w:t>
      </w:r>
      <w:r>
        <w:rPr>
          <w:lang w:eastAsia="ja-JP"/>
        </w:rPr>
        <w:t>necessary</w:t>
      </w:r>
      <w:r w:rsidR="000159A6">
        <w:rPr>
          <w:lang w:eastAsia="ja-JP"/>
        </w:rPr>
        <w:t xml:space="preserve"> </w:t>
      </w:r>
      <w:r>
        <w:rPr>
          <w:lang w:eastAsia="ja-JP"/>
        </w:rPr>
        <w:t>to</w:t>
      </w:r>
      <w:r w:rsidR="000159A6">
        <w:rPr>
          <w:lang w:eastAsia="ja-JP"/>
        </w:rPr>
        <w:t xml:space="preserve"> </w:t>
      </w:r>
      <w:r>
        <w:rPr>
          <w:lang w:eastAsia="ja-JP"/>
        </w:rPr>
        <w:t>ensure</w:t>
      </w:r>
      <w:r w:rsidR="000159A6">
        <w:rPr>
          <w:lang w:eastAsia="ja-JP"/>
        </w:rPr>
        <w:t xml:space="preserve"> </w:t>
      </w:r>
      <w:r>
        <w:rPr>
          <w:lang w:eastAsia="ja-JP"/>
        </w:rPr>
        <w:t>the</w:t>
      </w:r>
      <w:r w:rsidR="000159A6">
        <w:rPr>
          <w:lang w:eastAsia="ja-JP"/>
        </w:rPr>
        <w:t xml:space="preserve"> </w:t>
      </w:r>
      <w:r>
        <w:rPr>
          <w:lang w:eastAsia="ja-JP"/>
        </w:rPr>
        <w:t>trial</w:t>
      </w:r>
      <w:r w:rsidR="000159A6">
        <w:rPr>
          <w:lang w:eastAsia="ja-JP"/>
        </w:rPr>
        <w:t xml:space="preserve"> </w:t>
      </w:r>
      <w:r>
        <w:rPr>
          <w:lang w:eastAsia="ja-JP"/>
        </w:rPr>
        <w:t>population</w:t>
      </w:r>
      <w:r w:rsidR="000159A6">
        <w:rPr>
          <w:lang w:eastAsia="ja-JP"/>
        </w:rPr>
        <w:t xml:space="preserve"> </w:t>
      </w:r>
      <w:r>
        <w:rPr>
          <w:lang w:eastAsia="ja-JP"/>
        </w:rPr>
        <w:t>represents</w:t>
      </w:r>
      <w:r w:rsidR="000159A6">
        <w:rPr>
          <w:lang w:eastAsia="ja-JP"/>
        </w:rPr>
        <w:t xml:space="preserve"> </w:t>
      </w:r>
      <w:r>
        <w:rPr>
          <w:lang w:eastAsia="ja-JP"/>
        </w:rPr>
        <w:t>the</w:t>
      </w:r>
      <w:r w:rsidR="000159A6">
        <w:rPr>
          <w:lang w:eastAsia="ja-JP"/>
        </w:rPr>
        <w:t xml:space="preserve"> </w:t>
      </w:r>
      <w:r>
        <w:rPr>
          <w:lang w:eastAsia="ja-JP"/>
        </w:rPr>
        <w:t>elderly</w:t>
      </w:r>
      <w:r w:rsidR="000159A6">
        <w:rPr>
          <w:lang w:eastAsia="ja-JP"/>
        </w:rPr>
        <w:t xml:space="preserve"> </w:t>
      </w:r>
      <w:r>
        <w:rPr>
          <w:lang w:eastAsia="ja-JP"/>
        </w:rPr>
        <w:t>population</w:t>
      </w:r>
      <w:r w:rsidR="000159A6">
        <w:rPr>
          <w:lang w:eastAsia="ja-JP"/>
        </w:rPr>
        <w:t xml:space="preserve"> </w:t>
      </w:r>
      <w:r>
        <w:rPr>
          <w:lang w:eastAsia="ja-JP"/>
        </w:rPr>
        <w:t>in</w:t>
      </w:r>
      <w:r w:rsidR="000159A6">
        <w:rPr>
          <w:lang w:eastAsia="ja-JP"/>
        </w:rPr>
        <w:t xml:space="preserve"> </w:t>
      </w:r>
      <w:r>
        <w:rPr>
          <w:lang w:eastAsia="ja-JP"/>
        </w:rPr>
        <w:t>Australia</w:t>
      </w:r>
      <w:r w:rsidR="000159A6">
        <w:rPr>
          <w:lang w:eastAsia="ja-JP"/>
        </w:rPr>
        <w:t xml:space="preserve"> </w:t>
      </w:r>
      <w:r>
        <w:rPr>
          <w:lang w:eastAsia="ja-JP"/>
        </w:rPr>
        <w:t>who</w:t>
      </w:r>
      <w:r w:rsidR="000159A6">
        <w:rPr>
          <w:lang w:eastAsia="ja-JP"/>
        </w:rPr>
        <w:t xml:space="preserve"> </w:t>
      </w:r>
      <w:r>
        <w:rPr>
          <w:lang w:eastAsia="ja-JP"/>
        </w:rPr>
        <w:t>would</w:t>
      </w:r>
      <w:r w:rsidR="000159A6">
        <w:rPr>
          <w:lang w:eastAsia="ja-JP"/>
        </w:rPr>
        <w:t xml:space="preserve"> </w:t>
      </w:r>
      <w:r>
        <w:rPr>
          <w:lang w:eastAsia="ja-JP"/>
        </w:rPr>
        <w:t>receive</w:t>
      </w:r>
      <w:r w:rsidR="000159A6">
        <w:rPr>
          <w:lang w:eastAsia="ja-JP"/>
        </w:rPr>
        <w:t xml:space="preserve"> </w:t>
      </w:r>
      <w:r>
        <w:rPr>
          <w:lang w:eastAsia="ja-JP"/>
        </w:rPr>
        <w:t>the</w:t>
      </w:r>
      <w:r w:rsidR="000159A6">
        <w:rPr>
          <w:lang w:eastAsia="ja-JP"/>
        </w:rPr>
        <w:t xml:space="preserve"> </w:t>
      </w:r>
      <w:r>
        <w:rPr>
          <w:lang w:eastAsia="ja-JP"/>
        </w:rPr>
        <w:t>vaccine</w:t>
      </w:r>
      <w:r w:rsidR="000159A6">
        <w:rPr>
          <w:lang w:eastAsia="ja-JP"/>
        </w:rPr>
        <w:t xml:space="preserve"> </w:t>
      </w:r>
      <w:r>
        <w:rPr>
          <w:lang w:eastAsia="ja-JP"/>
        </w:rPr>
        <w:t>and</w:t>
      </w:r>
      <w:r w:rsidR="000159A6">
        <w:rPr>
          <w:lang w:eastAsia="ja-JP"/>
        </w:rPr>
        <w:t xml:space="preserve"> </w:t>
      </w:r>
      <w:r>
        <w:rPr>
          <w:lang w:eastAsia="ja-JP"/>
        </w:rPr>
        <w:t>to</w:t>
      </w:r>
      <w:r w:rsidR="000159A6">
        <w:rPr>
          <w:lang w:eastAsia="ja-JP"/>
        </w:rPr>
        <w:t xml:space="preserve"> </w:t>
      </w:r>
      <w:r>
        <w:rPr>
          <w:lang w:eastAsia="ja-JP"/>
        </w:rPr>
        <w:t>determine</w:t>
      </w:r>
      <w:r w:rsidR="000159A6">
        <w:rPr>
          <w:lang w:eastAsia="ja-JP"/>
        </w:rPr>
        <w:t xml:space="preserve"> </w:t>
      </w:r>
      <w:r>
        <w:rPr>
          <w:lang w:eastAsia="ja-JP"/>
        </w:rPr>
        <w:t>if</w:t>
      </w:r>
      <w:r w:rsidR="000159A6">
        <w:rPr>
          <w:lang w:eastAsia="ja-JP"/>
        </w:rPr>
        <w:t xml:space="preserve"> </w:t>
      </w:r>
      <w:r>
        <w:rPr>
          <w:lang w:eastAsia="ja-JP"/>
        </w:rPr>
        <w:t>there</w:t>
      </w:r>
      <w:r w:rsidR="000159A6">
        <w:rPr>
          <w:lang w:eastAsia="ja-JP"/>
        </w:rPr>
        <w:t xml:space="preserve"> </w:t>
      </w:r>
      <w:r>
        <w:rPr>
          <w:lang w:eastAsia="ja-JP"/>
        </w:rPr>
        <w:t>are</w:t>
      </w:r>
      <w:r w:rsidR="000159A6">
        <w:rPr>
          <w:lang w:eastAsia="ja-JP"/>
        </w:rPr>
        <w:t xml:space="preserve"> </w:t>
      </w:r>
      <w:r>
        <w:rPr>
          <w:lang w:eastAsia="ja-JP"/>
        </w:rPr>
        <w:t>any</w:t>
      </w:r>
      <w:r w:rsidR="000159A6">
        <w:rPr>
          <w:lang w:eastAsia="ja-JP"/>
        </w:rPr>
        <w:t xml:space="preserve"> </w:t>
      </w:r>
      <w:r>
        <w:rPr>
          <w:lang w:eastAsia="ja-JP"/>
        </w:rPr>
        <w:t>safety</w:t>
      </w:r>
      <w:r w:rsidR="000159A6">
        <w:rPr>
          <w:lang w:eastAsia="ja-JP"/>
        </w:rPr>
        <w:t xml:space="preserve"> </w:t>
      </w:r>
      <w:r>
        <w:rPr>
          <w:lang w:eastAsia="ja-JP"/>
        </w:rPr>
        <w:t>data</w:t>
      </w:r>
      <w:r w:rsidR="000159A6">
        <w:rPr>
          <w:lang w:eastAsia="ja-JP"/>
        </w:rPr>
        <w:t xml:space="preserve"> </w:t>
      </w:r>
      <w:r>
        <w:rPr>
          <w:lang w:eastAsia="ja-JP"/>
        </w:rPr>
        <w:t>on</w:t>
      </w:r>
      <w:r w:rsidR="000159A6">
        <w:rPr>
          <w:lang w:eastAsia="ja-JP"/>
        </w:rPr>
        <w:t xml:space="preserve"> </w:t>
      </w:r>
      <w:r>
        <w:rPr>
          <w:lang w:eastAsia="ja-JP"/>
        </w:rPr>
        <w:t>subjects</w:t>
      </w:r>
      <w:r w:rsidR="000159A6">
        <w:rPr>
          <w:lang w:eastAsia="ja-JP"/>
        </w:rPr>
        <w:t xml:space="preserve"> </w:t>
      </w:r>
      <w:r>
        <w:rPr>
          <w:lang w:eastAsia="ja-JP"/>
        </w:rPr>
        <w:t>with</w:t>
      </w:r>
      <w:r w:rsidR="000159A6">
        <w:rPr>
          <w:lang w:eastAsia="ja-JP"/>
        </w:rPr>
        <w:t xml:space="preserve"> </w:t>
      </w:r>
      <w:r>
        <w:rPr>
          <w:lang w:eastAsia="ja-JP"/>
        </w:rPr>
        <w:t>immune</w:t>
      </w:r>
      <w:r w:rsidR="000159A6">
        <w:rPr>
          <w:lang w:eastAsia="ja-JP"/>
        </w:rPr>
        <w:t xml:space="preserve"> </w:t>
      </w:r>
      <w:r>
        <w:rPr>
          <w:lang w:eastAsia="ja-JP"/>
        </w:rPr>
        <w:t>mediated</w:t>
      </w:r>
      <w:r w:rsidR="000159A6">
        <w:rPr>
          <w:lang w:eastAsia="ja-JP"/>
        </w:rPr>
        <w:t xml:space="preserve"> </w:t>
      </w:r>
      <w:r>
        <w:rPr>
          <w:lang w:eastAsia="ja-JP"/>
        </w:rPr>
        <w:t>disorders.</w:t>
      </w:r>
      <w:r w:rsidR="000159A6">
        <w:rPr>
          <w:lang w:eastAsia="ja-JP"/>
        </w:rPr>
        <w:t xml:space="preserve"> </w:t>
      </w:r>
      <w:r>
        <w:rPr>
          <w:lang w:eastAsia="ja-JP"/>
        </w:rPr>
        <w:t>The</w:t>
      </w:r>
      <w:r w:rsidR="000159A6">
        <w:rPr>
          <w:lang w:eastAsia="ja-JP"/>
        </w:rPr>
        <w:t xml:space="preserve"> </w:t>
      </w:r>
      <w:r>
        <w:rPr>
          <w:lang w:eastAsia="ja-JP"/>
        </w:rPr>
        <w:t>vaccine</w:t>
      </w:r>
      <w:r w:rsidR="000159A6">
        <w:rPr>
          <w:lang w:eastAsia="ja-JP"/>
        </w:rPr>
        <w:t xml:space="preserve"> </w:t>
      </w:r>
      <w:r>
        <w:rPr>
          <w:lang w:eastAsia="ja-JP"/>
        </w:rPr>
        <w:t>has</w:t>
      </w:r>
      <w:r w:rsidR="000159A6">
        <w:rPr>
          <w:lang w:eastAsia="ja-JP"/>
        </w:rPr>
        <w:t xml:space="preserve"> </w:t>
      </w:r>
      <w:r>
        <w:rPr>
          <w:lang w:eastAsia="ja-JP"/>
        </w:rPr>
        <w:t>high</w:t>
      </w:r>
      <w:r w:rsidR="000159A6">
        <w:rPr>
          <w:lang w:eastAsia="ja-JP"/>
        </w:rPr>
        <w:t xml:space="preserve"> </w:t>
      </w:r>
      <w:r>
        <w:rPr>
          <w:lang w:eastAsia="ja-JP"/>
        </w:rPr>
        <w:t>immunogenicity</w:t>
      </w:r>
      <w:r w:rsidR="000159A6">
        <w:rPr>
          <w:lang w:eastAsia="ja-JP"/>
        </w:rPr>
        <w:t xml:space="preserve"> </w:t>
      </w:r>
      <w:r>
        <w:rPr>
          <w:lang w:eastAsia="ja-JP"/>
        </w:rPr>
        <w:t>and</w:t>
      </w:r>
      <w:r w:rsidR="000159A6">
        <w:rPr>
          <w:lang w:eastAsia="ja-JP"/>
        </w:rPr>
        <w:t xml:space="preserve"> </w:t>
      </w:r>
      <w:r>
        <w:rPr>
          <w:lang w:eastAsia="ja-JP"/>
        </w:rPr>
        <w:t>this</w:t>
      </w:r>
      <w:r w:rsidR="000159A6">
        <w:rPr>
          <w:lang w:eastAsia="ja-JP"/>
        </w:rPr>
        <w:t xml:space="preserve"> </w:t>
      </w:r>
      <w:r>
        <w:rPr>
          <w:lang w:eastAsia="ja-JP"/>
        </w:rPr>
        <w:t>might</w:t>
      </w:r>
      <w:r w:rsidR="000159A6">
        <w:rPr>
          <w:lang w:eastAsia="ja-JP"/>
        </w:rPr>
        <w:t xml:space="preserve"> </w:t>
      </w:r>
      <w:r>
        <w:rPr>
          <w:lang w:eastAsia="ja-JP"/>
        </w:rPr>
        <w:t>impact</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rPr>
          <w:lang w:eastAsia="ja-JP"/>
        </w:rPr>
        <w:t>elderly</w:t>
      </w:r>
      <w:r w:rsidR="000159A6">
        <w:rPr>
          <w:lang w:eastAsia="ja-JP"/>
        </w:rPr>
        <w:t xml:space="preserve"> </w:t>
      </w:r>
      <w:r>
        <w:rPr>
          <w:lang w:eastAsia="ja-JP"/>
        </w:rPr>
        <w:t>population</w:t>
      </w:r>
      <w:r w:rsidR="000159A6">
        <w:rPr>
          <w:lang w:eastAsia="ja-JP"/>
        </w:rPr>
        <w:t xml:space="preserve"> </w:t>
      </w:r>
      <w:r>
        <w:rPr>
          <w:lang w:eastAsia="ja-JP"/>
        </w:rPr>
        <w:t>with</w:t>
      </w:r>
      <w:r w:rsidR="000159A6">
        <w:rPr>
          <w:lang w:eastAsia="ja-JP"/>
        </w:rPr>
        <w:t xml:space="preserve"> </w:t>
      </w:r>
      <w:proofErr w:type="spellStart"/>
      <w:r>
        <w:rPr>
          <w:lang w:eastAsia="ja-JP"/>
        </w:rPr>
        <w:t>pIMDs</w:t>
      </w:r>
      <w:proofErr w:type="spellEnd"/>
      <w:r>
        <w:rPr>
          <w:lang w:eastAsia="ja-JP"/>
        </w:rPr>
        <w:t>.</w:t>
      </w:r>
      <w:r w:rsidR="000159A6">
        <w:rPr>
          <w:lang w:eastAsia="ja-JP"/>
        </w:rPr>
        <w:t xml:space="preserve"> </w:t>
      </w:r>
      <w:r>
        <w:rPr>
          <w:lang w:eastAsia="ja-JP"/>
        </w:rPr>
        <w:t>This</w:t>
      </w:r>
      <w:r w:rsidR="000159A6">
        <w:rPr>
          <w:lang w:eastAsia="ja-JP"/>
        </w:rPr>
        <w:t xml:space="preserve"> </w:t>
      </w:r>
      <w:r>
        <w:rPr>
          <w:lang w:eastAsia="ja-JP"/>
        </w:rPr>
        <w:t>should</w:t>
      </w:r>
      <w:r w:rsidR="000159A6">
        <w:rPr>
          <w:lang w:eastAsia="ja-JP"/>
        </w:rPr>
        <w:t xml:space="preserve"> </w:t>
      </w:r>
      <w:r>
        <w:rPr>
          <w:lang w:eastAsia="ja-JP"/>
        </w:rPr>
        <w:t>be</w:t>
      </w:r>
      <w:r w:rsidR="000159A6">
        <w:rPr>
          <w:lang w:eastAsia="ja-JP"/>
        </w:rPr>
        <w:t xml:space="preserve"> </w:t>
      </w:r>
      <w:r>
        <w:rPr>
          <w:lang w:eastAsia="ja-JP"/>
        </w:rPr>
        <w:t>discussed</w:t>
      </w:r>
      <w:r w:rsidR="000159A6">
        <w:rPr>
          <w:lang w:eastAsia="ja-JP"/>
        </w:rPr>
        <w:t xml:space="preserve"> </w:t>
      </w:r>
      <w:r>
        <w:rPr>
          <w:lang w:eastAsia="ja-JP"/>
        </w:rPr>
        <w:t>and</w:t>
      </w:r>
      <w:r w:rsidR="000159A6">
        <w:rPr>
          <w:lang w:eastAsia="ja-JP"/>
        </w:rPr>
        <w:t xml:space="preserve"> </w:t>
      </w:r>
      <w:r>
        <w:rPr>
          <w:lang w:eastAsia="ja-JP"/>
        </w:rPr>
        <w:t>consideration</w:t>
      </w:r>
      <w:r w:rsidR="000159A6">
        <w:rPr>
          <w:lang w:eastAsia="ja-JP"/>
        </w:rPr>
        <w:t xml:space="preserve"> </w:t>
      </w:r>
      <w:r>
        <w:rPr>
          <w:lang w:eastAsia="ja-JP"/>
        </w:rPr>
        <w:t>given</w:t>
      </w:r>
      <w:r w:rsidR="000159A6">
        <w:rPr>
          <w:lang w:eastAsia="ja-JP"/>
        </w:rPr>
        <w:t xml:space="preserve"> </w:t>
      </w:r>
      <w:r>
        <w:rPr>
          <w:lang w:eastAsia="ja-JP"/>
        </w:rPr>
        <w:t>to</w:t>
      </w:r>
      <w:r w:rsidR="000159A6">
        <w:rPr>
          <w:lang w:eastAsia="ja-JP"/>
        </w:rPr>
        <w:t xml:space="preserve"> </w:t>
      </w:r>
      <w:r>
        <w:rPr>
          <w:lang w:eastAsia="ja-JP"/>
        </w:rPr>
        <w:t>conducting</w:t>
      </w:r>
      <w:r w:rsidR="000159A6">
        <w:rPr>
          <w:lang w:eastAsia="ja-JP"/>
        </w:rPr>
        <w:t xml:space="preserve"> </w:t>
      </w:r>
      <w:r>
        <w:rPr>
          <w:lang w:eastAsia="ja-JP"/>
        </w:rPr>
        <w:t>further</w:t>
      </w:r>
      <w:r w:rsidR="000159A6">
        <w:rPr>
          <w:lang w:eastAsia="ja-JP"/>
        </w:rPr>
        <w:t xml:space="preserve"> </w:t>
      </w:r>
      <w:r>
        <w:rPr>
          <w:lang w:eastAsia="ja-JP"/>
        </w:rPr>
        <w:t>efficacy</w:t>
      </w:r>
      <w:r w:rsidR="000159A6">
        <w:rPr>
          <w:lang w:eastAsia="ja-JP"/>
        </w:rPr>
        <w:t xml:space="preserve"> </w:t>
      </w:r>
      <w:r>
        <w:rPr>
          <w:lang w:eastAsia="ja-JP"/>
        </w:rPr>
        <w:t>and</w:t>
      </w:r>
      <w:r w:rsidR="000159A6">
        <w:rPr>
          <w:lang w:eastAsia="ja-JP"/>
        </w:rPr>
        <w:t xml:space="preserve"> </w:t>
      </w:r>
      <w:r>
        <w:rPr>
          <w:lang w:eastAsia="ja-JP"/>
        </w:rPr>
        <w:t>safety</w:t>
      </w:r>
      <w:r w:rsidR="000159A6">
        <w:rPr>
          <w:lang w:eastAsia="ja-JP"/>
        </w:rPr>
        <w:t xml:space="preserve"> </w:t>
      </w:r>
      <w:r>
        <w:rPr>
          <w:lang w:eastAsia="ja-JP"/>
        </w:rPr>
        <w:t>studies</w:t>
      </w:r>
      <w:r w:rsidR="000159A6">
        <w:rPr>
          <w:lang w:eastAsia="ja-JP"/>
        </w:rPr>
        <w:t xml:space="preserve"> </w:t>
      </w:r>
      <w:r>
        <w:rPr>
          <w:lang w:eastAsia="ja-JP"/>
        </w:rPr>
        <w:t>in</w:t>
      </w:r>
      <w:r w:rsidR="000159A6">
        <w:rPr>
          <w:lang w:eastAsia="ja-JP"/>
        </w:rPr>
        <w:t xml:space="preserve"> </w:t>
      </w:r>
      <w:r>
        <w:rPr>
          <w:lang w:eastAsia="ja-JP"/>
        </w:rPr>
        <w:t>this</w:t>
      </w:r>
      <w:r w:rsidR="000159A6">
        <w:rPr>
          <w:lang w:eastAsia="ja-JP"/>
        </w:rPr>
        <w:t xml:space="preserve"> </w:t>
      </w:r>
      <w:r>
        <w:rPr>
          <w:lang w:eastAsia="ja-JP"/>
        </w:rPr>
        <w:t>population.</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interim,</w:t>
      </w:r>
      <w:r w:rsidR="000159A6">
        <w:rPr>
          <w:lang w:eastAsia="ja-JP"/>
        </w:rPr>
        <w:t xml:space="preserve"> </w:t>
      </w:r>
      <w:r>
        <w:rPr>
          <w:lang w:eastAsia="ja-JP"/>
        </w:rPr>
        <w:t>it</w:t>
      </w:r>
      <w:r w:rsidR="000159A6">
        <w:rPr>
          <w:lang w:eastAsia="ja-JP"/>
        </w:rPr>
        <w:t xml:space="preserve"> </w:t>
      </w:r>
      <w:r>
        <w:rPr>
          <w:lang w:eastAsia="ja-JP"/>
        </w:rPr>
        <w:t>is</w:t>
      </w:r>
      <w:r w:rsidR="000159A6">
        <w:rPr>
          <w:lang w:eastAsia="ja-JP"/>
        </w:rPr>
        <w:t xml:space="preserve"> </w:t>
      </w:r>
      <w:r>
        <w:rPr>
          <w:lang w:eastAsia="ja-JP"/>
        </w:rPr>
        <w:t>recommended</w:t>
      </w:r>
      <w:r w:rsidR="000159A6">
        <w:rPr>
          <w:lang w:eastAsia="ja-JP"/>
        </w:rPr>
        <w:t xml:space="preserve"> </w:t>
      </w:r>
      <w:r>
        <w:rPr>
          <w:lang w:eastAsia="ja-JP"/>
        </w:rPr>
        <w:t>to</w:t>
      </w:r>
      <w:r w:rsidR="000159A6">
        <w:rPr>
          <w:lang w:eastAsia="ja-JP"/>
        </w:rPr>
        <w:t xml:space="preserve"> </w:t>
      </w:r>
      <w:r>
        <w:rPr>
          <w:lang w:eastAsia="ja-JP"/>
        </w:rPr>
        <w:t>include</w:t>
      </w:r>
      <w:r w:rsidR="000159A6">
        <w:rPr>
          <w:lang w:eastAsia="ja-JP"/>
        </w:rPr>
        <w:t xml:space="preserve"> </w:t>
      </w:r>
      <w:r>
        <w:rPr>
          <w:lang w:eastAsia="ja-JP"/>
        </w:rPr>
        <w:t>precautionary</w:t>
      </w:r>
      <w:r w:rsidR="000159A6">
        <w:rPr>
          <w:lang w:eastAsia="ja-JP"/>
        </w:rPr>
        <w:t xml:space="preserve"> </w:t>
      </w:r>
      <w:r>
        <w:rPr>
          <w:lang w:eastAsia="ja-JP"/>
        </w:rPr>
        <w:t>wording</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PI</w:t>
      </w:r>
      <w:r w:rsidR="000159A6">
        <w:rPr>
          <w:lang w:eastAsia="ja-JP"/>
        </w:rPr>
        <w:t xml:space="preserve"> </w:t>
      </w:r>
      <w:r>
        <w:rPr>
          <w:lang w:eastAsia="ja-JP"/>
        </w:rPr>
        <w:t>and</w:t>
      </w:r>
      <w:r w:rsidR="000159A6">
        <w:rPr>
          <w:lang w:eastAsia="ja-JP"/>
        </w:rPr>
        <w:t xml:space="preserve"> </w:t>
      </w:r>
      <w:r>
        <w:rPr>
          <w:lang w:eastAsia="ja-JP"/>
        </w:rPr>
        <w:t>implement</w:t>
      </w:r>
      <w:r w:rsidR="000159A6">
        <w:rPr>
          <w:lang w:eastAsia="ja-JP"/>
        </w:rPr>
        <w:t xml:space="preserve"> </w:t>
      </w:r>
      <w:r>
        <w:rPr>
          <w:lang w:eastAsia="ja-JP"/>
        </w:rPr>
        <w:t>pharmacovigilance</w:t>
      </w:r>
      <w:r w:rsidR="000159A6">
        <w:rPr>
          <w:lang w:eastAsia="ja-JP"/>
        </w:rPr>
        <w:t xml:space="preserve"> </w:t>
      </w:r>
      <w:r>
        <w:rPr>
          <w:lang w:eastAsia="ja-JP"/>
        </w:rPr>
        <w:t>monitoring.</w:t>
      </w:r>
    </w:p>
    <w:p w14:paraId="3DCB3989" w14:textId="34AE3DF6" w:rsidR="00624EB5" w:rsidRDefault="00624EB5" w:rsidP="00541F41">
      <w:pPr>
        <w:rPr>
          <w:lang w:eastAsia="ja-JP"/>
        </w:rPr>
      </w:pPr>
      <w:r>
        <w:rPr>
          <w:lang w:eastAsia="ja-JP"/>
        </w:rPr>
        <w:t>The</w:t>
      </w:r>
      <w:r w:rsidR="000159A6">
        <w:rPr>
          <w:lang w:eastAsia="ja-JP"/>
        </w:rPr>
        <w:t xml:space="preserve"> </w:t>
      </w:r>
      <w:r>
        <w:rPr>
          <w:lang w:eastAsia="ja-JP"/>
        </w:rPr>
        <w:t>product</w:t>
      </w:r>
      <w:r w:rsidR="000159A6">
        <w:rPr>
          <w:lang w:eastAsia="ja-JP"/>
        </w:rPr>
        <w:t xml:space="preserve"> </w:t>
      </w:r>
      <w:r>
        <w:rPr>
          <w:lang w:eastAsia="ja-JP"/>
        </w:rPr>
        <w:t>development</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immunocompromised</w:t>
      </w:r>
      <w:r w:rsidR="000159A6">
        <w:rPr>
          <w:lang w:eastAsia="ja-JP"/>
        </w:rPr>
        <w:t xml:space="preserve"> </w:t>
      </w:r>
      <w:r>
        <w:rPr>
          <w:lang w:eastAsia="ja-JP"/>
        </w:rPr>
        <w:t>population</w:t>
      </w:r>
      <w:r w:rsidR="000159A6">
        <w:rPr>
          <w:lang w:eastAsia="ja-JP"/>
        </w:rPr>
        <w:t xml:space="preserve"> </w:t>
      </w:r>
      <w:r>
        <w:rPr>
          <w:lang w:eastAsia="ja-JP"/>
        </w:rPr>
        <w:t>is</w:t>
      </w:r>
      <w:r w:rsidR="000159A6">
        <w:rPr>
          <w:lang w:eastAsia="ja-JP"/>
        </w:rPr>
        <w:t xml:space="preserve"> </w:t>
      </w:r>
      <w:r>
        <w:rPr>
          <w:lang w:eastAsia="ja-JP"/>
        </w:rPr>
        <w:t>ongoing</w:t>
      </w:r>
      <w:r w:rsidR="000159A6">
        <w:rPr>
          <w:lang w:eastAsia="ja-JP"/>
        </w:rPr>
        <w:t xml:space="preserve"> </w:t>
      </w:r>
      <w:r>
        <w:rPr>
          <w:lang w:eastAsia="ja-JP"/>
        </w:rPr>
        <w:t>and</w:t>
      </w:r>
      <w:r w:rsidR="000159A6">
        <w:rPr>
          <w:lang w:eastAsia="ja-JP"/>
        </w:rPr>
        <w:t xml:space="preserve"> </w:t>
      </w:r>
      <w:r>
        <w:rPr>
          <w:lang w:eastAsia="ja-JP"/>
        </w:rPr>
        <w:t>to</w:t>
      </w:r>
      <w:r w:rsidR="000159A6">
        <w:rPr>
          <w:lang w:eastAsia="ja-JP"/>
        </w:rPr>
        <w:t xml:space="preserve"> </w:t>
      </w:r>
      <w:r>
        <w:rPr>
          <w:lang w:eastAsia="ja-JP"/>
        </w:rPr>
        <w:t>date</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limited</w:t>
      </w:r>
      <w:r w:rsidR="000159A6">
        <w:rPr>
          <w:lang w:eastAsia="ja-JP"/>
        </w:rPr>
        <w:t xml:space="preserve"> </w:t>
      </w:r>
      <w:r>
        <w:rPr>
          <w:lang w:eastAsia="ja-JP"/>
        </w:rPr>
        <w:t>population</w:t>
      </w:r>
      <w:r w:rsidR="000159A6">
        <w:rPr>
          <w:lang w:eastAsia="ja-JP"/>
        </w:rPr>
        <w:t xml:space="preserve"> </w:t>
      </w:r>
      <w:r>
        <w:rPr>
          <w:lang w:eastAsia="ja-JP"/>
        </w:rPr>
        <w:t>of</w:t>
      </w:r>
      <w:r w:rsidR="000159A6">
        <w:rPr>
          <w:lang w:eastAsia="ja-JP"/>
        </w:rPr>
        <w:t xml:space="preserve"> </w:t>
      </w:r>
      <w:r>
        <w:rPr>
          <w:lang w:eastAsia="ja-JP"/>
        </w:rPr>
        <w:t>autologous</w:t>
      </w:r>
      <w:r w:rsidR="000159A6">
        <w:rPr>
          <w:lang w:eastAsia="ja-JP"/>
        </w:rPr>
        <w:t xml:space="preserve"> </w:t>
      </w:r>
      <w:r>
        <w:rPr>
          <w:lang w:eastAsia="ja-JP"/>
        </w:rPr>
        <w:t>HCT</w:t>
      </w:r>
      <w:r w:rsidR="000159A6">
        <w:rPr>
          <w:lang w:eastAsia="ja-JP"/>
        </w:rPr>
        <w:t xml:space="preserve"> </w:t>
      </w:r>
      <w:r>
        <w:rPr>
          <w:lang w:eastAsia="ja-JP"/>
        </w:rPr>
        <w:t>recipients</w:t>
      </w:r>
      <w:r w:rsidR="000159A6">
        <w:rPr>
          <w:lang w:eastAsia="ja-JP"/>
        </w:rPr>
        <w:t xml:space="preserve"> </w:t>
      </w:r>
      <w:r>
        <w:rPr>
          <w:lang w:eastAsia="ja-JP"/>
        </w:rPr>
        <w:t>and</w:t>
      </w:r>
      <w:r w:rsidR="000159A6">
        <w:rPr>
          <w:lang w:eastAsia="ja-JP"/>
        </w:rPr>
        <w:t xml:space="preserve"> </w:t>
      </w:r>
      <w:r>
        <w:rPr>
          <w:lang w:eastAsia="ja-JP"/>
        </w:rPr>
        <w:t>HIV</w:t>
      </w:r>
      <w:r w:rsidR="000159A6">
        <w:rPr>
          <w:lang w:eastAsia="ja-JP"/>
        </w:rPr>
        <w:t xml:space="preserve"> </w:t>
      </w:r>
      <w:r>
        <w:rPr>
          <w:lang w:eastAsia="ja-JP"/>
        </w:rPr>
        <w:t>infected</w:t>
      </w:r>
      <w:r w:rsidR="000159A6">
        <w:rPr>
          <w:lang w:eastAsia="ja-JP"/>
        </w:rPr>
        <w:t xml:space="preserve"> </w:t>
      </w:r>
      <w:r>
        <w:rPr>
          <w:lang w:eastAsia="ja-JP"/>
        </w:rPr>
        <w:t>subjects</w:t>
      </w:r>
      <w:r w:rsidR="000159A6">
        <w:rPr>
          <w:lang w:eastAsia="ja-JP"/>
        </w:rPr>
        <w:t xml:space="preserve"> </w:t>
      </w:r>
      <w:r>
        <w:rPr>
          <w:lang w:eastAsia="ja-JP"/>
        </w:rPr>
        <w:t>no</w:t>
      </w:r>
      <w:r w:rsidR="000159A6">
        <w:rPr>
          <w:lang w:eastAsia="ja-JP"/>
        </w:rPr>
        <w:t xml:space="preserve"> </w:t>
      </w:r>
      <w:r>
        <w:rPr>
          <w:lang w:eastAsia="ja-JP"/>
        </w:rPr>
        <w:t>safety</w:t>
      </w:r>
      <w:r w:rsidR="000159A6">
        <w:rPr>
          <w:lang w:eastAsia="ja-JP"/>
        </w:rPr>
        <w:t xml:space="preserve"> </w:t>
      </w:r>
      <w:r>
        <w:rPr>
          <w:lang w:eastAsia="ja-JP"/>
        </w:rPr>
        <w:t>concerns</w:t>
      </w:r>
      <w:r w:rsidR="000159A6">
        <w:rPr>
          <w:lang w:eastAsia="ja-JP"/>
        </w:rPr>
        <w:t xml:space="preserve"> </w:t>
      </w:r>
      <w:r>
        <w:rPr>
          <w:lang w:eastAsia="ja-JP"/>
        </w:rPr>
        <w:t>were</w:t>
      </w:r>
      <w:r w:rsidR="000159A6">
        <w:rPr>
          <w:lang w:eastAsia="ja-JP"/>
        </w:rPr>
        <w:t xml:space="preserve"> </w:t>
      </w:r>
      <w:r>
        <w:rPr>
          <w:lang w:eastAsia="ja-JP"/>
        </w:rPr>
        <w:t>evident.</w:t>
      </w:r>
      <w:r w:rsidR="000159A6">
        <w:rPr>
          <w:lang w:eastAsia="ja-JP"/>
        </w:rPr>
        <w:t xml:space="preserve"> </w:t>
      </w:r>
      <w:r>
        <w:rPr>
          <w:lang w:eastAsia="ja-JP"/>
        </w:rPr>
        <w:t>Zostavax</w:t>
      </w:r>
      <w:r w:rsidR="000159A6">
        <w:rPr>
          <w:lang w:eastAsia="ja-JP"/>
        </w:rPr>
        <w:t xml:space="preserve"> </w:t>
      </w:r>
      <w:r>
        <w:rPr>
          <w:lang w:eastAsia="ja-JP"/>
        </w:rPr>
        <w:t>is</w:t>
      </w:r>
      <w:r w:rsidR="000159A6">
        <w:rPr>
          <w:lang w:eastAsia="ja-JP"/>
        </w:rPr>
        <w:t xml:space="preserve"> </w:t>
      </w:r>
      <w:r>
        <w:rPr>
          <w:lang w:eastAsia="ja-JP"/>
        </w:rPr>
        <w:t>a</w:t>
      </w:r>
      <w:r w:rsidR="000159A6">
        <w:rPr>
          <w:lang w:eastAsia="ja-JP"/>
        </w:rPr>
        <w:t xml:space="preserve"> </w:t>
      </w:r>
      <w:r>
        <w:rPr>
          <w:lang w:eastAsia="ja-JP"/>
        </w:rPr>
        <w:t>live</w:t>
      </w:r>
      <w:r w:rsidR="000159A6">
        <w:rPr>
          <w:lang w:eastAsia="ja-JP"/>
        </w:rPr>
        <w:t xml:space="preserve"> </w:t>
      </w:r>
      <w:r>
        <w:rPr>
          <w:lang w:eastAsia="ja-JP"/>
        </w:rPr>
        <w:t>attenuated</w:t>
      </w:r>
      <w:r w:rsidR="000159A6">
        <w:rPr>
          <w:lang w:eastAsia="ja-JP"/>
        </w:rPr>
        <w:t xml:space="preserve"> </w:t>
      </w:r>
      <w:r>
        <w:rPr>
          <w:lang w:eastAsia="ja-JP"/>
        </w:rPr>
        <w:t>vaccine</w:t>
      </w:r>
      <w:r w:rsidR="000159A6">
        <w:rPr>
          <w:lang w:eastAsia="ja-JP"/>
        </w:rPr>
        <w:t xml:space="preserve"> </w:t>
      </w:r>
      <w:r>
        <w:rPr>
          <w:lang w:eastAsia="ja-JP"/>
        </w:rPr>
        <w:t>and</w:t>
      </w:r>
      <w:r w:rsidR="000159A6">
        <w:rPr>
          <w:lang w:eastAsia="ja-JP"/>
        </w:rPr>
        <w:t xml:space="preserve"> </w:t>
      </w:r>
      <w:r>
        <w:rPr>
          <w:lang w:eastAsia="ja-JP"/>
        </w:rPr>
        <w:t>so</w:t>
      </w:r>
      <w:r w:rsidR="000159A6">
        <w:rPr>
          <w:lang w:eastAsia="ja-JP"/>
        </w:rPr>
        <w:t xml:space="preserve"> </w:t>
      </w:r>
      <w:r>
        <w:rPr>
          <w:lang w:eastAsia="ja-JP"/>
        </w:rPr>
        <w:t>is</w:t>
      </w:r>
      <w:r w:rsidR="000159A6">
        <w:rPr>
          <w:lang w:eastAsia="ja-JP"/>
        </w:rPr>
        <w:t xml:space="preserve"> </w:t>
      </w:r>
      <w:r>
        <w:rPr>
          <w:lang w:eastAsia="ja-JP"/>
        </w:rPr>
        <w:t>contraindicated</w:t>
      </w:r>
      <w:r w:rsidR="000159A6">
        <w:rPr>
          <w:lang w:eastAsia="ja-JP"/>
        </w:rPr>
        <w:t xml:space="preserve"> </w:t>
      </w:r>
      <w:r>
        <w:rPr>
          <w:lang w:eastAsia="ja-JP"/>
        </w:rPr>
        <w:t>in</w:t>
      </w:r>
      <w:r w:rsidR="000159A6">
        <w:rPr>
          <w:lang w:eastAsia="ja-JP"/>
        </w:rPr>
        <w:t xml:space="preserve"> </w:t>
      </w:r>
      <w:r>
        <w:rPr>
          <w:lang w:eastAsia="ja-JP"/>
        </w:rPr>
        <w:t>immunocompromised</w:t>
      </w:r>
      <w:r w:rsidR="000159A6">
        <w:rPr>
          <w:lang w:eastAsia="ja-JP"/>
        </w:rPr>
        <w:t xml:space="preserve"> </w:t>
      </w:r>
      <w:r>
        <w:rPr>
          <w:lang w:eastAsia="ja-JP"/>
        </w:rPr>
        <w:t>patients.</w:t>
      </w:r>
      <w:r w:rsidR="000159A6">
        <w:rPr>
          <w:lang w:eastAsia="ja-JP"/>
        </w:rPr>
        <w:t xml:space="preserve"> </w:t>
      </w:r>
      <w:r>
        <w:rPr>
          <w:lang w:eastAsia="ja-JP"/>
        </w:rPr>
        <w:t>Should</w:t>
      </w:r>
      <w:r w:rsidR="000159A6">
        <w:rPr>
          <w:lang w:eastAsia="ja-JP"/>
        </w:rPr>
        <w:t xml:space="preserve"> </w:t>
      </w:r>
      <w:r>
        <w:rPr>
          <w:lang w:eastAsia="ja-JP"/>
        </w:rPr>
        <w:t>favourable</w:t>
      </w:r>
      <w:r w:rsidR="000159A6">
        <w:rPr>
          <w:lang w:eastAsia="ja-JP"/>
        </w:rPr>
        <w:t xml:space="preserve"> </w:t>
      </w:r>
      <w:r>
        <w:rPr>
          <w:lang w:eastAsia="ja-JP"/>
        </w:rPr>
        <w:t>efficacy</w:t>
      </w:r>
      <w:r w:rsidR="000159A6">
        <w:rPr>
          <w:lang w:eastAsia="ja-JP"/>
        </w:rPr>
        <w:t xml:space="preserve"> </w:t>
      </w:r>
      <w:r>
        <w:rPr>
          <w:lang w:eastAsia="ja-JP"/>
        </w:rPr>
        <w:t>and</w:t>
      </w:r>
      <w:r w:rsidR="000159A6">
        <w:rPr>
          <w:lang w:eastAsia="ja-JP"/>
        </w:rPr>
        <w:t xml:space="preserve"> </w:t>
      </w:r>
      <w:r>
        <w:rPr>
          <w:lang w:eastAsia="ja-JP"/>
        </w:rPr>
        <w:t>safety</w:t>
      </w:r>
      <w:r w:rsidR="000159A6">
        <w:rPr>
          <w:lang w:eastAsia="ja-JP"/>
        </w:rPr>
        <w:t xml:space="preserve"> </w:t>
      </w:r>
      <w:r>
        <w:rPr>
          <w:lang w:eastAsia="ja-JP"/>
        </w:rPr>
        <w:t>data</w:t>
      </w:r>
      <w:r w:rsidR="000159A6">
        <w:rPr>
          <w:lang w:eastAsia="ja-JP"/>
        </w:rPr>
        <w:t xml:space="preserve"> </w:t>
      </w:r>
      <w:r>
        <w:rPr>
          <w:lang w:eastAsia="ja-JP"/>
        </w:rPr>
        <w:t>become</w:t>
      </w:r>
      <w:r w:rsidR="000159A6">
        <w:rPr>
          <w:lang w:eastAsia="ja-JP"/>
        </w:rPr>
        <w:t xml:space="preserve"> </w:t>
      </w:r>
      <w:r>
        <w:rPr>
          <w:lang w:eastAsia="ja-JP"/>
        </w:rPr>
        <w:t>available,</w:t>
      </w:r>
      <w:r w:rsidR="000159A6">
        <w:rPr>
          <w:lang w:eastAsia="ja-JP"/>
        </w:rPr>
        <w:t xml:space="preserve"> </w:t>
      </w:r>
      <w:r>
        <w:rPr>
          <w:lang w:eastAsia="ja-JP"/>
        </w:rPr>
        <w:t>Shingrix,</w:t>
      </w:r>
      <w:r w:rsidR="000159A6">
        <w:rPr>
          <w:lang w:eastAsia="ja-JP"/>
        </w:rPr>
        <w:t xml:space="preserve"> </w:t>
      </w:r>
      <w:r>
        <w:rPr>
          <w:lang w:eastAsia="ja-JP"/>
        </w:rPr>
        <w:t>being</w:t>
      </w:r>
      <w:r w:rsidR="000159A6">
        <w:rPr>
          <w:lang w:eastAsia="ja-JP"/>
        </w:rPr>
        <w:t xml:space="preserve"> </w:t>
      </w:r>
      <w:r>
        <w:rPr>
          <w:lang w:eastAsia="ja-JP"/>
        </w:rPr>
        <w:t>a</w:t>
      </w:r>
      <w:r w:rsidR="000159A6">
        <w:rPr>
          <w:lang w:eastAsia="ja-JP"/>
        </w:rPr>
        <w:t xml:space="preserve"> </w:t>
      </w:r>
      <w:r>
        <w:rPr>
          <w:lang w:eastAsia="ja-JP"/>
        </w:rPr>
        <w:t>non-live</w:t>
      </w:r>
      <w:r w:rsidR="000159A6">
        <w:rPr>
          <w:lang w:eastAsia="ja-JP"/>
        </w:rPr>
        <w:t xml:space="preserve"> </w:t>
      </w:r>
      <w:r>
        <w:rPr>
          <w:lang w:eastAsia="ja-JP"/>
        </w:rPr>
        <w:t>vaccine</w:t>
      </w:r>
      <w:r w:rsidR="000159A6">
        <w:rPr>
          <w:lang w:eastAsia="ja-JP"/>
        </w:rPr>
        <w:t xml:space="preserve"> </w:t>
      </w:r>
      <w:r>
        <w:rPr>
          <w:lang w:eastAsia="ja-JP"/>
        </w:rPr>
        <w:t>will</w:t>
      </w:r>
      <w:r w:rsidR="000159A6">
        <w:rPr>
          <w:lang w:eastAsia="ja-JP"/>
        </w:rPr>
        <w:t xml:space="preserve"> </w:t>
      </w:r>
      <w:r>
        <w:rPr>
          <w:lang w:eastAsia="ja-JP"/>
        </w:rPr>
        <w:t>have</w:t>
      </w:r>
      <w:r w:rsidR="000159A6">
        <w:rPr>
          <w:lang w:eastAsia="ja-JP"/>
        </w:rPr>
        <w:t xml:space="preserve"> </w:t>
      </w:r>
      <w:r>
        <w:rPr>
          <w:lang w:eastAsia="ja-JP"/>
        </w:rPr>
        <w:t>an</w:t>
      </w:r>
      <w:r w:rsidR="000159A6">
        <w:rPr>
          <w:lang w:eastAsia="ja-JP"/>
        </w:rPr>
        <w:t xml:space="preserve"> </w:t>
      </w:r>
      <w:r>
        <w:rPr>
          <w:lang w:eastAsia="ja-JP"/>
        </w:rPr>
        <w:t>obvious</w:t>
      </w:r>
      <w:r w:rsidR="000159A6">
        <w:rPr>
          <w:lang w:eastAsia="ja-JP"/>
        </w:rPr>
        <w:t xml:space="preserve"> </w:t>
      </w:r>
      <w:r>
        <w:rPr>
          <w:lang w:eastAsia="ja-JP"/>
        </w:rPr>
        <w:t>clinical</w:t>
      </w:r>
      <w:r w:rsidR="000159A6">
        <w:rPr>
          <w:lang w:eastAsia="ja-JP"/>
        </w:rPr>
        <w:t xml:space="preserve"> </w:t>
      </w:r>
      <w:r>
        <w:rPr>
          <w:lang w:eastAsia="ja-JP"/>
        </w:rPr>
        <w:t>place</w:t>
      </w:r>
      <w:r w:rsidR="000159A6">
        <w:rPr>
          <w:lang w:eastAsia="ja-JP"/>
        </w:rPr>
        <w:t xml:space="preserve"> </w:t>
      </w:r>
      <w:r>
        <w:rPr>
          <w:lang w:eastAsia="ja-JP"/>
        </w:rPr>
        <w:t>for</w:t>
      </w:r>
      <w:r w:rsidR="000159A6">
        <w:rPr>
          <w:lang w:eastAsia="ja-JP"/>
        </w:rPr>
        <w:t xml:space="preserve"> </w:t>
      </w:r>
      <w:r>
        <w:rPr>
          <w:lang w:eastAsia="ja-JP"/>
        </w:rPr>
        <w:t>immunocompromised</w:t>
      </w:r>
      <w:r w:rsidR="000159A6">
        <w:rPr>
          <w:lang w:eastAsia="ja-JP"/>
        </w:rPr>
        <w:t xml:space="preserve"> </w:t>
      </w:r>
      <w:r>
        <w:rPr>
          <w:lang w:eastAsia="ja-JP"/>
        </w:rPr>
        <w:t>subjects.</w:t>
      </w:r>
    </w:p>
    <w:p w14:paraId="58AF6137" w14:textId="5267395E" w:rsidR="00624EB5" w:rsidRDefault="00624EB5" w:rsidP="00624EB5">
      <w:pPr>
        <w:rPr>
          <w:lang w:eastAsia="ja-JP"/>
        </w:rPr>
      </w:pPr>
      <w:r>
        <w:rPr>
          <w:lang w:eastAsia="ja-JP"/>
        </w:rPr>
        <w:t>There</w:t>
      </w:r>
      <w:r w:rsidR="000159A6">
        <w:rPr>
          <w:lang w:eastAsia="ja-JP"/>
        </w:rPr>
        <w:t xml:space="preserve"> </w:t>
      </w:r>
      <w:r>
        <w:rPr>
          <w:lang w:eastAsia="ja-JP"/>
        </w:rPr>
        <w:t>are</w:t>
      </w:r>
      <w:r w:rsidR="000159A6">
        <w:rPr>
          <w:lang w:eastAsia="ja-JP"/>
        </w:rPr>
        <w:t xml:space="preserve"> </w:t>
      </w:r>
      <w:r>
        <w:rPr>
          <w:lang w:eastAsia="ja-JP"/>
        </w:rPr>
        <w:t>several</w:t>
      </w:r>
      <w:r w:rsidR="000159A6">
        <w:rPr>
          <w:lang w:eastAsia="ja-JP"/>
        </w:rPr>
        <w:t xml:space="preserve"> </w:t>
      </w:r>
      <w:r>
        <w:rPr>
          <w:lang w:eastAsia="ja-JP"/>
        </w:rPr>
        <w:t>areas</w:t>
      </w:r>
      <w:r w:rsidR="000159A6">
        <w:rPr>
          <w:lang w:eastAsia="ja-JP"/>
        </w:rPr>
        <w:t xml:space="preserve"> </w:t>
      </w:r>
      <w:r>
        <w:rPr>
          <w:lang w:eastAsia="ja-JP"/>
        </w:rPr>
        <w:t>where</w:t>
      </w:r>
      <w:r w:rsidR="000159A6">
        <w:rPr>
          <w:lang w:eastAsia="ja-JP"/>
        </w:rPr>
        <w:t xml:space="preserve"> </w:t>
      </w:r>
      <w:r>
        <w:rPr>
          <w:lang w:eastAsia="ja-JP"/>
        </w:rPr>
        <w:t>data</w:t>
      </w:r>
      <w:r w:rsidR="000159A6">
        <w:rPr>
          <w:lang w:eastAsia="ja-JP"/>
        </w:rPr>
        <w:t xml:space="preserve"> </w:t>
      </w:r>
      <w:r>
        <w:rPr>
          <w:lang w:eastAsia="ja-JP"/>
        </w:rPr>
        <w:t>are</w:t>
      </w:r>
      <w:r w:rsidR="000159A6">
        <w:rPr>
          <w:lang w:eastAsia="ja-JP"/>
        </w:rPr>
        <w:t xml:space="preserve"> </w:t>
      </w:r>
      <w:r>
        <w:rPr>
          <w:lang w:eastAsia="ja-JP"/>
        </w:rPr>
        <w:t>limited</w:t>
      </w:r>
      <w:r w:rsidR="000159A6">
        <w:rPr>
          <w:lang w:eastAsia="ja-JP"/>
        </w:rPr>
        <w:t xml:space="preserve"> </w:t>
      </w:r>
      <w:r>
        <w:rPr>
          <w:lang w:eastAsia="ja-JP"/>
        </w:rPr>
        <w:t>or</w:t>
      </w:r>
      <w:r w:rsidR="000159A6">
        <w:rPr>
          <w:lang w:eastAsia="ja-JP"/>
        </w:rPr>
        <w:t xml:space="preserve"> </w:t>
      </w:r>
      <w:r>
        <w:rPr>
          <w:lang w:eastAsia="ja-JP"/>
        </w:rPr>
        <w:t>lacking.</w:t>
      </w:r>
      <w:r w:rsidR="000159A6">
        <w:rPr>
          <w:lang w:eastAsia="ja-JP"/>
        </w:rPr>
        <w:t xml:space="preserve"> </w:t>
      </w:r>
      <w:r>
        <w:rPr>
          <w:lang w:eastAsia="ja-JP"/>
        </w:rPr>
        <w:t>These</w:t>
      </w:r>
      <w:r w:rsidR="000159A6">
        <w:rPr>
          <w:lang w:eastAsia="ja-JP"/>
        </w:rPr>
        <w:t xml:space="preserve"> </w:t>
      </w:r>
      <w:r>
        <w:rPr>
          <w:lang w:eastAsia="ja-JP"/>
        </w:rPr>
        <w:t>include:</w:t>
      </w:r>
    </w:p>
    <w:p w14:paraId="77271162" w14:textId="047C6193" w:rsidR="00624EB5" w:rsidRPr="00E021B7" w:rsidRDefault="00624EB5" w:rsidP="00541F41">
      <w:pPr>
        <w:pStyle w:val="ListBullet"/>
      </w:pPr>
      <w:r w:rsidRPr="00E021B7">
        <w:t>the</w:t>
      </w:r>
      <w:r w:rsidR="000159A6" w:rsidRPr="00E021B7">
        <w:t xml:space="preserve"> </w:t>
      </w:r>
      <w:r w:rsidRPr="00E021B7">
        <w:t>effect</w:t>
      </w:r>
      <w:r w:rsidR="000159A6" w:rsidRPr="00E021B7">
        <w:t xml:space="preserve"> </w:t>
      </w:r>
      <w:r w:rsidRPr="00E021B7">
        <w:t>of</w:t>
      </w:r>
      <w:r w:rsidR="000159A6" w:rsidRPr="00E021B7">
        <w:t xml:space="preserve"> </w:t>
      </w:r>
      <w:r w:rsidRPr="00E021B7">
        <w:t>giving</w:t>
      </w:r>
      <w:r w:rsidR="000159A6" w:rsidRPr="00E021B7">
        <w:t xml:space="preserve"> </w:t>
      </w:r>
      <w:r w:rsidRPr="00E021B7">
        <w:t>the</w:t>
      </w:r>
      <w:r w:rsidR="000159A6" w:rsidRPr="00E021B7">
        <w:t xml:space="preserve"> </w:t>
      </w:r>
      <w:r w:rsidRPr="00E021B7">
        <w:t>vaccine</w:t>
      </w:r>
      <w:r w:rsidR="000159A6" w:rsidRPr="00E021B7">
        <w:t xml:space="preserve"> </w:t>
      </w:r>
      <w:r w:rsidRPr="00E021B7">
        <w:t>to</w:t>
      </w:r>
      <w:r w:rsidR="000159A6" w:rsidRPr="00E021B7">
        <w:t xml:space="preserve"> </w:t>
      </w:r>
      <w:r w:rsidRPr="00E021B7">
        <w:t>VZV</w:t>
      </w:r>
      <w:r w:rsidR="000159A6" w:rsidRPr="00E021B7">
        <w:t xml:space="preserve"> </w:t>
      </w:r>
      <w:r w:rsidRPr="00E021B7">
        <w:t>naïve</w:t>
      </w:r>
      <w:r w:rsidR="000159A6" w:rsidRPr="00E021B7">
        <w:t xml:space="preserve"> </w:t>
      </w:r>
      <w:r w:rsidRPr="00E021B7">
        <w:t>adults</w:t>
      </w:r>
    </w:p>
    <w:p w14:paraId="1E053B15" w14:textId="29E7F115" w:rsidR="00624EB5" w:rsidRPr="00E021B7" w:rsidRDefault="00624EB5" w:rsidP="00E021B7">
      <w:pPr>
        <w:pStyle w:val="ListBullet"/>
      </w:pPr>
      <w:r w:rsidRPr="00E021B7">
        <w:t>data</w:t>
      </w:r>
      <w:r w:rsidR="000159A6" w:rsidRPr="00E021B7">
        <w:t xml:space="preserve"> </w:t>
      </w:r>
      <w:r w:rsidRPr="00E021B7">
        <w:t>on</w:t>
      </w:r>
      <w:r w:rsidR="000159A6" w:rsidRPr="00E021B7">
        <w:t xml:space="preserve"> </w:t>
      </w:r>
      <w:r w:rsidRPr="00E021B7">
        <w:t>immunological</w:t>
      </w:r>
      <w:r w:rsidR="000159A6" w:rsidRPr="00E021B7">
        <w:t xml:space="preserve"> </w:t>
      </w:r>
      <w:r w:rsidRPr="00E021B7">
        <w:t>correlates</w:t>
      </w:r>
      <w:r w:rsidR="000159A6" w:rsidRPr="00E021B7">
        <w:t xml:space="preserve"> </w:t>
      </w:r>
      <w:r w:rsidRPr="00E021B7">
        <w:t>of</w:t>
      </w:r>
      <w:r w:rsidR="000159A6" w:rsidRPr="00E021B7">
        <w:t xml:space="preserve"> </w:t>
      </w:r>
      <w:r w:rsidRPr="00E021B7">
        <w:t>protection</w:t>
      </w:r>
    </w:p>
    <w:p w14:paraId="0C97A4F6" w14:textId="04D4540A" w:rsidR="00624EB5" w:rsidRPr="00E021B7" w:rsidRDefault="00624EB5" w:rsidP="00E021B7">
      <w:pPr>
        <w:pStyle w:val="ListBullet"/>
      </w:pPr>
      <w:r w:rsidRPr="00E021B7">
        <w:t>co-administration</w:t>
      </w:r>
      <w:r w:rsidR="000159A6" w:rsidRPr="00E021B7">
        <w:t xml:space="preserve"> </w:t>
      </w:r>
      <w:r w:rsidRPr="00E021B7">
        <w:t>with</w:t>
      </w:r>
      <w:r w:rsidR="000159A6" w:rsidRPr="00E021B7">
        <w:t xml:space="preserve"> </w:t>
      </w:r>
      <w:r w:rsidRPr="00E021B7">
        <w:t>pneumococcal</w:t>
      </w:r>
      <w:r w:rsidR="000159A6" w:rsidRPr="00E021B7">
        <w:t xml:space="preserve"> </w:t>
      </w:r>
      <w:r w:rsidRPr="00E021B7">
        <w:t>vaccine</w:t>
      </w:r>
      <w:r w:rsidR="000159A6" w:rsidRPr="00E021B7">
        <w:t xml:space="preserve"> </w:t>
      </w:r>
      <w:r w:rsidRPr="00E021B7">
        <w:t>and</w:t>
      </w:r>
      <w:r w:rsidR="000159A6" w:rsidRPr="00E021B7">
        <w:t xml:space="preserve"> </w:t>
      </w:r>
      <w:r w:rsidRPr="00E021B7">
        <w:t>co-administration</w:t>
      </w:r>
      <w:r w:rsidR="000159A6" w:rsidRPr="00E021B7">
        <w:t xml:space="preserve"> </w:t>
      </w:r>
      <w:r w:rsidRPr="00E021B7">
        <w:t>with</w:t>
      </w:r>
      <w:r w:rsidR="000159A6" w:rsidRPr="00E021B7">
        <w:t xml:space="preserve"> </w:t>
      </w:r>
      <w:r w:rsidRPr="00E021B7">
        <w:t>other</w:t>
      </w:r>
      <w:r w:rsidR="000159A6" w:rsidRPr="00E021B7">
        <w:t xml:space="preserve"> </w:t>
      </w:r>
      <w:r w:rsidRPr="00E021B7">
        <w:t>adjuvanted</w:t>
      </w:r>
      <w:r w:rsidR="000159A6" w:rsidRPr="00E021B7">
        <w:t xml:space="preserve"> </w:t>
      </w:r>
      <w:r w:rsidRPr="00E021B7">
        <w:t>vaccines</w:t>
      </w:r>
    </w:p>
    <w:p w14:paraId="2212A87E" w14:textId="604FDF21" w:rsidR="00624EB5" w:rsidRPr="00E021B7" w:rsidRDefault="00624EB5" w:rsidP="00E021B7">
      <w:pPr>
        <w:pStyle w:val="ListBullet"/>
      </w:pPr>
      <w:r w:rsidRPr="00E021B7">
        <w:t>ability</w:t>
      </w:r>
      <w:r w:rsidR="000159A6" w:rsidRPr="00E021B7">
        <w:t xml:space="preserve"> </w:t>
      </w:r>
      <w:r w:rsidRPr="00E021B7">
        <w:t>to</w:t>
      </w:r>
      <w:r w:rsidR="000159A6" w:rsidRPr="00E021B7">
        <w:t xml:space="preserve"> </w:t>
      </w:r>
      <w:r w:rsidRPr="00E021B7">
        <w:t>give</w:t>
      </w:r>
      <w:r w:rsidR="000159A6" w:rsidRPr="00E021B7">
        <w:t xml:space="preserve"> </w:t>
      </w:r>
      <w:r w:rsidRPr="00E021B7">
        <w:t>to</w:t>
      </w:r>
      <w:r w:rsidR="000159A6" w:rsidRPr="00E021B7">
        <w:t xml:space="preserve"> </w:t>
      </w:r>
      <w:r w:rsidRPr="00E021B7">
        <w:t>adults</w:t>
      </w:r>
      <w:r w:rsidR="000159A6" w:rsidRPr="00E021B7">
        <w:t xml:space="preserve"> </w:t>
      </w:r>
      <w:r w:rsidRPr="00E021B7">
        <w:t>who</w:t>
      </w:r>
      <w:r w:rsidR="000159A6" w:rsidRPr="00E021B7">
        <w:t xml:space="preserve"> </w:t>
      </w:r>
      <w:r w:rsidRPr="00E021B7">
        <w:t>have</w:t>
      </w:r>
      <w:r w:rsidR="000159A6" w:rsidRPr="00E021B7">
        <w:t xml:space="preserve"> </w:t>
      </w:r>
      <w:r w:rsidRPr="00E021B7">
        <w:t>received</w:t>
      </w:r>
      <w:r w:rsidR="000159A6" w:rsidRPr="00E021B7">
        <w:t xml:space="preserve"> </w:t>
      </w:r>
      <w:r w:rsidRPr="00E021B7">
        <w:t>Zostavax</w:t>
      </w:r>
    </w:p>
    <w:p w14:paraId="142BE53E" w14:textId="00400F25" w:rsidR="00624EB5" w:rsidRPr="00E021B7" w:rsidRDefault="00624EB5" w:rsidP="00E021B7">
      <w:pPr>
        <w:pStyle w:val="ListBullet"/>
      </w:pPr>
      <w:r w:rsidRPr="00E021B7">
        <w:t>the</w:t>
      </w:r>
      <w:r w:rsidR="000159A6" w:rsidRPr="00E021B7">
        <w:t xml:space="preserve"> </w:t>
      </w:r>
      <w:r w:rsidRPr="00E021B7">
        <w:t>duration</w:t>
      </w:r>
      <w:r w:rsidR="000159A6" w:rsidRPr="00E021B7">
        <w:t xml:space="preserve"> </w:t>
      </w:r>
      <w:r w:rsidRPr="00E021B7">
        <w:t>of</w:t>
      </w:r>
      <w:r w:rsidR="000159A6" w:rsidRPr="00E021B7">
        <w:t xml:space="preserve"> </w:t>
      </w:r>
      <w:r w:rsidRPr="00E021B7">
        <w:t>protection</w:t>
      </w:r>
      <w:r w:rsidR="000159A6" w:rsidRPr="00E021B7">
        <w:t xml:space="preserve"> </w:t>
      </w:r>
      <w:r w:rsidRPr="00E021B7">
        <w:t>beyond</w:t>
      </w:r>
      <w:r w:rsidR="000159A6" w:rsidRPr="00E021B7">
        <w:t xml:space="preserve"> </w:t>
      </w:r>
      <w:r w:rsidRPr="00E021B7">
        <w:t>4</w:t>
      </w:r>
      <w:r w:rsidR="000159A6" w:rsidRPr="00E021B7">
        <w:t xml:space="preserve"> </w:t>
      </w:r>
      <w:r w:rsidRPr="00E021B7">
        <w:t>to</w:t>
      </w:r>
      <w:r w:rsidR="000159A6" w:rsidRPr="00E021B7">
        <w:t xml:space="preserve"> </w:t>
      </w:r>
      <w:r w:rsidRPr="00E021B7">
        <w:t>6</w:t>
      </w:r>
      <w:r w:rsidR="000159A6" w:rsidRPr="00E021B7">
        <w:t xml:space="preserve"> </w:t>
      </w:r>
      <w:r w:rsidRPr="00E021B7">
        <w:t>years</w:t>
      </w:r>
      <w:r w:rsidR="000159A6" w:rsidRPr="00E021B7">
        <w:t xml:space="preserve"> </w:t>
      </w:r>
      <w:r w:rsidRPr="00E021B7">
        <w:t>and</w:t>
      </w:r>
      <w:r w:rsidR="000159A6" w:rsidRPr="00E021B7">
        <w:t xml:space="preserve"> </w:t>
      </w:r>
      <w:r w:rsidRPr="00E021B7">
        <w:t>the</w:t>
      </w:r>
      <w:r w:rsidR="000159A6" w:rsidRPr="00E021B7">
        <w:t xml:space="preserve"> </w:t>
      </w:r>
      <w:r w:rsidRPr="00E021B7">
        <w:t>need</w:t>
      </w:r>
      <w:r w:rsidR="000159A6" w:rsidRPr="00E021B7">
        <w:t xml:space="preserve"> </w:t>
      </w:r>
      <w:r w:rsidRPr="00E021B7">
        <w:t>for</w:t>
      </w:r>
      <w:r w:rsidR="000159A6" w:rsidRPr="00E021B7">
        <w:t xml:space="preserve"> </w:t>
      </w:r>
      <w:r w:rsidRPr="00E021B7">
        <w:t>booster</w:t>
      </w:r>
      <w:r w:rsidR="000159A6" w:rsidRPr="00E021B7">
        <w:t xml:space="preserve"> </w:t>
      </w:r>
      <w:r w:rsidRPr="00E021B7">
        <w:t>vaccination</w:t>
      </w:r>
    </w:p>
    <w:p w14:paraId="1918EFCE" w14:textId="615BD1F4" w:rsidR="00624EB5" w:rsidRPr="00624EB5" w:rsidRDefault="00624EB5" w:rsidP="00541F41">
      <w:pPr>
        <w:pStyle w:val="ListBullet"/>
      </w:pPr>
      <w:proofErr w:type="gramStart"/>
      <w:r w:rsidRPr="00E021B7">
        <w:t>evidence</w:t>
      </w:r>
      <w:proofErr w:type="gramEnd"/>
      <w:r w:rsidR="000159A6">
        <w:t xml:space="preserve"> </w:t>
      </w:r>
      <w:r w:rsidRPr="00624EB5">
        <w:t>in</w:t>
      </w:r>
      <w:r w:rsidR="000159A6">
        <w:t xml:space="preserve"> </w:t>
      </w:r>
      <w:r w:rsidRPr="00624EB5">
        <w:t>the</w:t>
      </w:r>
      <w:r w:rsidR="000159A6">
        <w:t xml:space="preserve"> </w:t>
      </w:r>
      <w:r w:rsidRPr="00624EB5">
        <w:t>immunocompromised</w:t>
      </w:r>
      <w:r w:rsidR="000159A6">
        <w:t xml:space="preserve"> </w:t>
      </w:r>
      <w:r w:rsidRPr="00541F41">
        <w:t>population</w:t>
      </w:r>
      <w:r w:rsidRPr="00624EB5">
        <w:t>.</w:t>
      </w:r>
    </w:p>
    <w:p w14:paraId="35B83BD4" w14:textId="34FEEB33" w:rsidR="00624EB5" w:rsidRDefault="00624EB5" w:rsidP="00624EB5">
      <w:pPr>
        <w:rPr>
          <w:lang w:eastAsia="ja-JP"/>
        </w:rPr>
      </w:pPr>
      <w:r>
        <w:rPr>
          <w:lang w:eastAsia="ja-JP"/>
        </w:rPr>
        <w:lastRenderedPageBreak/>
        <w:t>These</w:t>
      </w:r>
      <w:r w:rsidR="000159A6">
        <w:rPr>
          <w:lang w:eastAsia="ja-JP"/>
        </w:rPr>
        <w:t xml:space="preserve"> </w:t>
      </w:r>
      <w:r>
        <w:rPr>
          <w:lang w:eastAsia="ja-JP"/>
        </w:rPr>
        <w:t>issues</w:t>
      </w:r>
      <w:r w:rsidR="000159A6">
        <w:rPr>
          <w:lang w:eastAsia="ja-JP"/>
        </w:rPr>
        <w:t xml:space="preserve"> </w:t>
      </w:r>
      <w:r>
        <w:rPr>
          <w:lang w:eastAsia="ja-JP"/>
        </w:rPr>
        <w:t>have</w:t>
      </w:r>
      <w:r w:rsidR="000159A6">
        <w:rPr>
          <w:lang w:eastAsia="ja-JP"/>
        </w:rPr>
        <w:t xml:space="preserve"> </w:t>
      </w:r>
      <w:r>
        <w:rPr>
          <w:lang w:eastAsia="ja-JP"/>
        </w:rPr>
        <w:t>been</w:t>
      </w:r>
      <w:r w:rsidR="000159A6">
        <w:rPr>
          <w:lang w:eastAsia="ja-JP"/>
        </w:rPr>
        <w:t xml:space="preserve"> </w:t>
      </w:r>
      <w:r>
        <w:rPr>
          <w:lang w:eastAsia="ja-JP"/>
        </w:rPr>
        <w:t>covered</w:t>
      </w:r>
      <w:r w:rsidR="000159A6">
        <w:rPr>
          <w:lang w:eastAsia="ja-JP"/>
        </w:rPr>
        <w:t xml:space="preserve"> </w:t>
      </w:r>
      <w:r>
        <w:rPr>
          <w:lang w:eastAsia="ja-JP"/>
        </w:rPr>
        <w:t>by</w:t>
      </w:r>
      <w:r w:rsidR="000159A6">
        <w:rPr>
          <w:lang w:eastAsia="ja-JP"/>
        </w:rPr>
        <w:t xml:space="preserve"> </w:t>
      </w:r>
      <w:r>
        <w:rPr>
          <w:lang w:eastAsia="ja-JP"/>
        </w:rPr>
        <w:t>conduct</w:t>
      </w:r>
      <w:r w:rsidR="000159A6">
        <w:rPr>
          <w:lang w:eastAsia="ja-JP"/>
        </w:rPr>
        <w:t xml:space="preserve"> </w:t>
      </w:r>
      <w:r>
        <w:rPr>
          <w:lang w:eastAsia="ja-JP"/>
        </w:rPr>
        <w:t>of</w:t>
      </w:r>
      <w:r w:rsidR="000159A6">
        <w:rPr>
          <w:lang w:eastAsia="ja-JP"/>
        </w:rPr>
        <w:t xml:space="preserve"> </w:t>
      </w:r>
      <w:r>
        <w:rPr>
          <w:lang w:eastAsia="ja-JP"/>
        </w:rPr>
        <w:t>further</w:t>
      </w:r>
      <w:r w:rsidR="000159A6">
        <w:rPr>
          <w:lang w:eastAsia="ja-JP"/>
        </w:rPr>
        <w:t xml:space="preserve"> </w:t>
      </w:r>
      <w:r>
        <w:rPr>
          <w:lang w:eastAsia="ja-JP"/>
        </w:rPr>
        <w:t>studies,</w:t>
      </w:r>
      <w:r w:rsidR="000159A6">
        <w:rPr>
          <w:lang w:eastAsia="ja-JP"/>
        </w:rPr>
        <w:t xml:space="preserve"> </w:t>
      </w:r>
      <w:r>
        <w:rPr>
          <w:lang w:eastAsia="ja-JP"/>
        </w:rPr>
        <w:t>appropriate</w:t>
      </w:r>
      <w:r w:rsidR="000159A6">
        <w:rPr>
          <w:lang w:eastAsia="ja-JP"/>
        </w:rPr>
        <w:t xml:space="preserve"> </w:t>
      </w:r>
      <w:r>
        <w:rPr>
          <w:lang w:eastAsia="ja-JP"/>
        </w:rPr>
        <w:t>wording</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PI</w:t>
      </w:r>
      <w:r w:rsidR="000159A6">
        <w:rPr>
          <w:lang w:eastAsia="ja-JP"/>
        </w:rPr>
        <w:t xml:space="preserve"> </w:t>
      </w:r>
      <w:r>
        <w:rPr>
          <w:lang w:eastAsia="ja-JP"/>
        </w:rPr>
        <w:t>or</w:t>
      </w:r>
      <w:r w:rsidR="000159A6">
        <w:rPr>
          <w:lang w:eastAsia="ja-JP"/>
        </w:rPr>
        <w:t xml:space="preserve"> </w:t>
      </w:r>
      <w:r>
        <w:rPr>
          <w:lang w:eastAsia="ja-JP"/>
        </w:rPr>
        <w:t>questions</w:t>
      </w:r>
      <w:r w:rsidR="000159A6">
        <w:rPr>
          <w:lang w:eastAsia="ja-JP"/>
        </w:rPr>
        <w:t xml:space="preserve"> </w:t>
      </w:r>
      <w:r>
        <w:rPr>
          <w:lang w:eastAsia="ja-JP"/>
        </w:rPr>
        <w:t>(see</w:t>
      </w:r>
      <w:r w:rsidR="000159A6">
        <w:rPr>
          <w:lang w:eastAsia="ja-JP"/>
        </w:rPr>
        <w:t xml:space="preserve"> </w:t>
      </w:r>
      <w:r>
        <w:rPr>
          <w:lang w:eastAsia="ja-JP"/>
        </w:rPr>
        <w:t>below).</w:t>
      </w:r>
    </w:p>
    <w:p w14:paraId="71AFF684" w14:textId="22300829" w:rsidR="00624EB5" w:rsidRDefault="00624EB5" w:rsidP="00541F41">
      <w:pPr>
        <w:rPr>
          <w:lang w:eastAsia="ja-JP"/>
        </w:rPr>
      </w:pPr>
      <w:r>
        <w:rPr>
          <w:lang w:eastAsia="ja-JP"/>
        </w:rPr>
        <w:t>In</w:t>
      </w:r>
      <w:r w:rsidR="000159A6">
        <w:rPr>
          <w:lang w:eastAsia="ja-JP"/>
        </w:rPr>
        <w:t xml:space="preserve"> </w:t>
      </w:r>
      <w:r>
        <w:rPr>
          <w:lang w:eastAsia="ja-JP"/>
        </w:rPr>
        <w:t>summary,</w:t>
      </w:r>
      <w:r w:rsidR="000159A6">
        <w:rPr>
          <w:lang w:eastAsia="ja-JP"/>
        </w:rPr>
        <w:t xml:space="preserve"> </w:t>
      </w:r>
      <w:r>
        <w:rPr>
          <w:lang w:eastAsia="ja-JP"/>
        </w:rPr>
        <w:t>an</w:t>
      </w:r>
      <w:r w:rsidR="000159A6">
        <w:rPr>
          <w:lang w:eastAsia="ja-JP"/>
        </w:rPr>
        <w:t xml:space="preserve"> </w:t>
      </w:r>
      <w:r>
        <w:rPr>
          <w:lang w:eastAsia="ja-JP"/>
        </w:rPr>
        <w:t>efficacious</w:t>
      </w:r>
      <w:r w:rsidR="000159A6">
        <w:rPr>
          <w:lang w:eastAsia="ja-JP"/>
        </w:rPr>
        <w:t xml:space="preserve"> </w:t>
      </w:r>
      <w:r>
        <w:rPr>
          <w:lang w:eastAsia="ja-JP"/>
        </w:rPr>
        <w:t>and</w:t>
      </w:r>
      <w:r w:rsidR="000159A6">
        <w:rPr>
          <w:lang w:eastAsia="ja-JP"/>
        </w:rPr>
        <w:t xml:space="preserve"> </w:t>
      </w:r>
      <w:r>
        <w:rPr>
          <w:lang w:eastAsia="ja-JP"/>
        </w:rPr>
        <w:t>safe</w:t>
      </w:r>
      <w:r w:rsidR="000159A6">
        <w:rPr>
          <w:lang w:eastAsia="ja-JP"/>
        </w:rPr>
        <w:t xml:space="preserve"> </w:t>
      </w:r>
      <w:r>
        <w:rPr>
          <w:lang w:eastAsia="ja-JP"/>
        </w:rPr>
        <w:t>vaccine</w:t>
      </w:r>
      <w:r w:rsidR="000159A6">
        <w:rPr>
          <w:lang w:eastAsia="ja-JP"/>
        </w:rPr>
        <w:t xml:space="preserve"> </w:t>
      </w:r>
      <w:r>
        <w:rPr>
          <w:lang w:eastAsia="ja-JP"/>
        </w:rPr>
        <w:t>against</w:t>
      </w:r>
      <w:r w:rsidR="000159A6">
        <w:rPr>
          <w:lang w:eastAsia="ja-JP"/>
        </w:rPr>
        <w:t xml:space="preserve"> </w:t>
      </w:r>
      <w:r>
        <w:rPr>
          <w:lang w:eastAsia="ja-JP"/>
        </w:rPr>
        <w:t>HZ</w:t>
      </w:r>
      <w:r w:rsidR="000159A6">
        <w:rPr>
          <w:lang w:eastAsia="ja-JP"/>
        </w:rPr>
        <w:t xml:space="preserve"> </w:t>
      </w:r>
      <w:r>
        <w:rPr>
          <w:lang w:eastAsia="ja-JP"/>
        </w:rPr>
        <w:t>and</w:t>
      </w:r>
      <w:r w:rsidR="000159A6">
        <w:rPr>
          <w:lang w:eastAsia="ja-JP"/>
        </w:rPr>
        <w:t xml:space="preserve"> </w:t>
      </w:r>
      <w:r>
        <w:rPr>
          <w:lang w:eastAsia="ja-JP"/>
        </w:rPr>
        <w:t>PHN</w:t>
      </w:r>
      <w:r w:rsidR="000159A6">
        <w:rPr>
          <w:lang w:eastAsia="ja-JP"/>
        </w:rPr>
        <w:t xml:space="preserve"> </w:t>
      </w:r>
      <w:r>
        <w:rPr>
          <w:lang w:eastAsia="ja-JP"/>
        </w:rPr>
        <w:t>has</w:t>
      </w:r>
      <w:r w:rsidR="000159A6">
        <w:rPr>
          <w:lang w:eastAsia="ja-JP"/>
        </w:rPr>
        <w:t xml:space="preserve"> </w:t>
      </w:r>
      <w:r>
        <w:rPr>
          <w:lang w:eastAsia="ja-JP"/>
        </w:rPr>
        <w:t>an</w:t>
      </w:r>
      <w:r w:rsidR="000159A6">
        <w:rPr>
          <w:lang w:eastAsia="ja-JP"/>
        </w:rPr>
        <w:t xml:space="preserve"> </w:t>
      </w:r>
      <w:r>
        <w:rPr>
          <w:lang w:eastAsia="ja-JP"/>
        </w:rPr>
        <w:t>evident</w:t>
      </w:r>
      <w:r w:rsidR="000159A6">
        <w:rPr>
          <w:lang w:eastAsia="ja-JP"/>
        </w:rPr>
        <w:t xml:space="preserve"> </w:t>
      </w:r>
      <w:r>
        <w:rPr>
          <w:lang w:eastAsia="ja-JP"/>
        </w:rPr>
        <w:t>clinical</w:t>
      </w:r>
      <w:r w:rsidR="000159A6">
        <w:rPr>
          <w:lang w:eastAsia="ja-JP"/>
        </w:rPr>
        <w:t xml:space="preserve"> </w:t>
      </w:r>
      <w:r>
        <w:rPr>
          <w:lang w:eastAsia="ja-JP"/>
        </w:rPr>
        <w:t>place</w:t>
      </w:r>
      <w:r w:rsidR="000159A6">
        <w:rPr>
          <w:lang w:eastAsia="ja-JP"/>
        </w:rPr>
        <w:t xml:space="preserve"> </w:t>
      </w:r>
      <w:r>
        <w:rPr>
          <w:lang w:eastAsia="ja-JP"/>
        </w:rPr>
        <w:t>for</w:t>
      </w:r>
      <w:r w:rsidR="000159A6">
        <w:rPr>
          <w:lang w:eastAsia="ja-JP"/>
        </w:rPr>
        <w:t xml:space="preserve"> </w:t>
      </w:r>
      <w:r>
        <w:rPr>
          <w:lang w:eastAsia="ja-JP"/>
        </w:rPr>
        <w:t>morbidity</w:t>
      </w:r>
      <w:r w:rsidR="000159A6">
        <w:rPr>
          <w:lang w:eastAsia="ja-JP"/>
        </w:rPr>
        <w:t xml:space="preserve"> </w:t>
      </w:r>
      <w:r>
        <w:rPr>
          <w:lang w:eastAsia="ja-JP"/>
        </w:rPr>
        <w:t>prevention.</w:t>
      </w:r>
      <w:r w:rsidR="000159A6">
        <w:rPr>
          <w:lang w:eastAsia="ja-JP"/>
        </w:rPr>
        <w:t xml:space="preserve"> </w:t>
      </w:r>
      <w:r>
        <w:rPr>
          <w:lang w:eastAsia="ja-JP"/>
        </w:rPr>
        <w:t>Shingrix</w:t>
      </w:r>
      <w:r w:rsidR="000159A6">
        <w:rPr>
          <w:lang w:eastAsia="ja-JP"/>
        </w:rPr>
        <w:t xml:space="preserve"> </w:t>
      </w:r>
      <w:r>
        <w:rPr>
          <w:lang w:eastAsia="ja-JP"/>
        </w:rPr>
        <w:t>was</w:t>
      </w:r>
      <w:r w:rsidR="000159A6">
        <w:rPr>
          <w:lang w:eastAsia="ja-JP"/>
        </w:rPr>
        <w:t xml:space="preserve"> </w:t>
      </w:r>
      <w:r>
        <w:rPr>
          <w:lang w:eastAsia="ja-JP"/>
        </w:rPr>
        <w:t>found</w:t>
      </w:r>
      <w:r w:rsidR="000159A6">
        <w:rPr>
          <w:lang w:eastAsia="ja-JP"/>
        </w:rPr>
        <w:t xml:space="preserve"> </w:t>
      </w:r>
      <w:r>
        <w:rPr>
          <w:lang w:eastAsia="ja-JP"/>
        </w:rPr>
        <w:t>to</w:t>
      </w:r>
      <w:r w:rsidR="000159A6">
        <w:rPr>
          <w:lang w:eastAsia="ja-JP"/>
        </w:rPr>
        <w:t xml:space="preserve"> </w:t>
      </w:r>
      <w:r>
        <w:rPr>
          <w:lang w:eastAsia="ja-JP"/>
        </w:rPr>
        <w:t>have</w:t>
      </w:r>
      <w:r w:rsidR="000159A6">
        <w:rPr>
          <w:lang w:eastAsia="ja-JP"/>
        </w:rPr>
        <w:t xml:space="preserve"> </w:t>
      </w:r>
      <w:r>
        <w:rPr>
          <w:lang w:eastAsia="ja-JP"/>
        </w:rPr>
        <w:t>high</w:t>
      </w:r>
      <w:r w:rsidR="000159A6">
        <w:rPr>
          <w:lang w:eastAsia="ja-JP"/>
        </w:rPr>
        <w:t xml:space="preserve"> </w:t>
      </w:r>
      <w:r>
        <w:rPr>
          <w:lang w:eastAsia="ja-JP"/>
        </w:rPr>
        <w:t>efficacy</w:t>
      </w:r>
      <w:r w:rsidR="000159A6">
        <w:rPr>
          <w:lang w:eastAsia="ja-JP"/>
        </w:rPr>
        <w:t xml:space="preserve"> </w:t>
      </w:r>
      <w:r>
        <w:rPr>
          <w:lang w:eastAsia="ja-JP"/>
        </w:rPr>
        <w:t>against</w:t>
      </w:r>
      <w:r w:rsidR="000159A6">
        <w:rPr>
          <w:lang w:eastAsia="ja-JP"/>
        </w:rPr>
        <w:t xml:space="preserve"> </w:t>
      </w:r>
      <w:r>
        <w:rPr>
          <w:lang w:eastAsia="ja-JP"/>
        </w:rPr>
        <w:t>herpes</w:t>
      </w:r>
      <w:r w:rsidR="000159A6">
        <w:rPr>
          <w:lang w:eastAsia="ja-JP"/>
        </w:rPr>
        <w:t xml:space="preserve"> </w:t>
      </w:r>
      <w:r>
        <w:rPr>
          <w:lang w:eastAsia="ja-JP"/>
        </w:rPr>
        <w:t>zoster,</w:t>
      </w:r>
      <w:r w:rsidR="000159A6">
        <w:rPr>
          <w:lang w:eastAsia="ja-JP"/>
        </w:rPr>
        <w:t xml:space="preserve"> </w:t>
      </w:r>
      <w:r>
        <w:rPr>
          <w:lang w:eastAsia="ja-JP"/>
        </w:rPr>
        <w:t>and</w:t>
      </w:r>
      <w:r w:rsidR="000159A6">
        <w:rPr>
          <w:lang w:eastAsia="ja-JP"/>
        </w:rPr>
        <w:t xml:space="preserve"> </w:t>
      </w:r>
      <w:r>
        <w:rPr>
          <w:lang w:eastAsia="ja-JP"/>
        </w:rPr>
        <w:t>consequently</w:t>
      </w:r>
      <w:r w:rsidR="000159A6">
        <w:rPr>
          <w:lang w:eastAsia="ja-JP"/>
        </w:rPr>
        <w:t xml:space="preserve"> </w:t>
      </w:r>
      <w:r>
        <w:rPr>
          <w:lang w:eastAsia="ja-JP"/>
        </w:rPr>
        <w:t>its</w:t>
      </w:r>
      <w:r w:rsidR="000159A6">
        <w:rPr>
          <w:lang w:eastAsia="ja-JP"/>
        </w:rPr>
        <w:t xml:space="preserve"> </w:t>
      </w:r>
      <w:r>
        <w:rPr>
          <w:lang w:eastAsia="ja-JP"/>
        </w:rPr>
        <w:t>complication</w:t>
      </w:r>
      <w:r w:rsidR="000159A6">
        <w:rPr>
          <w:lang w:eastAsia="ja-JP"/>
        </w:rPr>
        <w:t xml:space="preserve"> </w:t>
      </w:r>
      <w:r>
        <w:rPr>
          <w:lang w:eastAsia="ja-JP"/>
        </w:rPr>
        <w:t>of</w:t>
      </w:r>
      <w:r w:rsidR="000159A6">
        <w:rPr>
          <w:lang w:eastAsia="ja-JP"/>
        </w:rPr>
        <w:t xml:space="preserve"> </w:t>
      </w:r>
      <w:r>
        <w:rPr>
          <w:lang w:eastAsia="ja-JP"/>
        </w:rPr>
        <w:t>post</w:t>
      </w:r>
      <w:r w:rsidR="000159A6">
        <w:rPr>
          <w:lang w:eastAsia="ja-JP"/>
        </w:rPr>
        <w:t xml:space="preserve"> </w:t>
      </w:r>
      <w:r>
        <w:rPr>
          <w:lang w:eastAsia="ja-JP"/>
        </w:rPr>
        <w:t>herpetic</w:t>
      </w:r>
      <w:r w:rsidR="000159A6">
        <w:rPr>
          <w:lang w:eastAsia="ja-JP"/>
        </w:rPr>
        <w:t xml:space="preserve"> </w:t>
      </w:r>
      <w:r>
        <w:rPr>
          <w:lang w:eastAsia="ja-JP"/>
        </w:rPr>
        <w:t>neuralgia,</w:t>
      </w:r>
      <w:r w:rsidR="000159A6">
        <w:rPr>
          <w:lang w:eastAsia="ja-JP"/>
        </w:rPr>
        <w:t xml:space="preserve"> </w:t>
      </w:r>
      <w:r>
        <w:rPr>
          <w:lang w:eastAsia="ja-JP"/>
        </w:rPr>
        <w:t>across</w:t>
      </w:r>
      <w:r w:rsidR="000159A6">
        <w:rPr>
          <w:lang w:eastAsia="ja-JP"/>
        </w:rPr>
        <w:t xml:space="preserve"> </w:t>
      </w:r>
      <w:r>
        <w:rPr>
          <w:lang w:eastAsia="ja-JP"/>
        </w:rPr>
        <w:t>the</w:t>
      </w:r>
      <w:r w:rsidR="000159A6">
        <w:rPr>
          <w:lang w:eastAsia="ja-JP"/>
        </w:rPr>
        <w:t xml:space="preserve"> </w:t>
      </w:r>
      <w:r>
        <w:rPr>
          <w:lang w:eastAsia="ja-JP"/>
        </w:rPr>
        <w:t>adult</w:t>
      </w:r>
      <w:r w:rsidR="000159A6">
        <w:rPr>
          <w:lang w:eastAsia="ja-JP"/>
        </w:rPr>
        <w:t xml:space="preserve"> </w:t>
      </w:r>
      <w:r>
        <w:rPr>
          <w:lang w:eastAsia="ja-JP"/>
        </w:rPr>
        <w:t>population</w:t>
      </w:r>
      <w:r w:rsidR="000159A6">
        <w:rPr>
          <w:lang w:eastAsia="ja-JP"/>
        </w:rPr>
        <w:t xml:space="preserve"> </w:t>
      </w:r>
      <w:r>
        <w:rPr>
          <w:lang w:eastAsia="ja-JP"/>
        </w:rPr>
        <w:t>aged</w:t>
      </w:r>
      <w:r w:rsidR="000159A6">
        <w:rPr>
          <w:lang w:eastAsia="ja-JP"/>
        </w:rPr>
        <w:t xml:space="preserve"> </w:t>
      </w:r>
      <w:r>
        <w:rPr>
          <w:lang w:eastAsia="ja-JP"/>
        </w:rPr>
        <w:t>50</w:t>
      </w:r>
      <w:r w:rsidR="000159A6">
        <w:rPr>
          <w:lang w:eastAsia="ja-JP"/>
        </w:rPr>
        <w:t xml:space="preserve"> </w:t>
      </w:r>
      <w:r>
        <w:rPr>
          <w:lang w:eastAsia="ja-JP"/>
        </w:rPr>
        <w:t>years</w:t>
      </w:r>
      <w:r w:rsidR="000159A6">
        <w:rPr>
          <w:lang w:eastAsia="ja-JP"/>
        </w:rPr>
        <w:t xml:space="preserve"> </w:t>
      </w:r>
      <w:r>
        <w:rPr>
          <w:lang w:eastAsia="ja-JP"/>
        </w:rPr>
        <w:t>and</w:t>
      </w:r>
      <w:r w:rsidR="000159A6">
        <w:rPr>
          <w:lang w:eastAsia="ja-JP"/>
        </w:rPr>
        <w:t xml:space="preserve"> </w:t>
      </w:r>
      <w:r>
        <w:rPr>
          <w:lang w:eastAsia="ja-JP"/>
        </w:rPr>
        <w:t>older.</w:t>
      </w:r>
      <w:r w:rsidR="000159A6">
        <w:rPr>
          <w:lang w:eastAsia="ja-JP"/>
        </w:rPr>
        <w:t xml:space="preserve"> </w:t>
      </w:r>
      <w:r>
        <w:rPr>
          <w:lang w:eastAsia="ja-JP"/>
        </w:rPr>
        <w:t>The</w:t>
      </w:r>
      <w:r w:rsidR="000159A6">
        <w:rPr>
          <w:lang w:eastAsia="ja-JP"/>
        </w:rPr>
        <w:t xml:space="preserve"> </w:t>
      </w:r>
      <w:r>
        <w:rPr>
          <w:lang w:eastAsia="ja-JP"/>
        </w:rPr>
        <w:t>vaccine</w:t>
      </w:r>
      <w:r w:rsidR="000159A6">
        <w:rPr>
          <w:lang w:eastAsia="ja-JP"/>
        </w:rPr>
        <w:t xml:space="preserve"> </w:t>
      </w:r>
      <w:r>
        <w:rPr>
          <w:lang w:eastAsia="ja-JP"/>
        </w:rPr>
        <w:t>was</w:t>
      </w:r>
      <w:r w:rsidR="000159A6">
        <w:rPr>
          <w:lang w:eastAsia="ja-JP"/>
        </w:rPr>
        <w:t xml:space="preserve"> </w:t>
      </w:r>
      <w:r>
        <w:rPr>
          <w:lang w:eastAsia="ja-JP"/>
        </w:rPr>
        <w:t>notably</w:t>
      </w:r>
      <w:r w:rsidR="000159A6">
        <w:rPr>
          <w:lang w:eastAsia="ja-JP"/>
        </w:rPr>
        <w:t xml:space="preserve"> </w:t>
      </w:r>
      <w:r>
        <w:rPr>
          <w:lang w:eastAsia="ja-JP"/>
        </w:rPr>
        <w:t>reactogenic,</w:t>
      </w:r>
      <w:r w:rsidR="000159A6">
        <w:rPr>
          <w:lang w:eastAsia="ja-JP"/>
        </w:rPr>
        <w:t xml:space="preserve"> </w:t>
      </w:r>
      <w:r>
        <w:rPr>
          <w:lang w:eastAsia="ja-JP"/>
        </w:rPr>
        <w:t>however</w:t>
      </w:r>
      <w:r w:rsidR="000159A6">
        <w:rPr>
          <w:lang w:eastAsia="ja-JP"/>
        </w:rPr>
        <w:t xml:space="preserve"> </w:t>
      </w:r>
      <w:r>
        <w:rPr>
          <w:lang w:eastAsia="ja-JP"/>
        </w:rPr>
        <w:t>such</w:t>
      </w:r>
      <w:r w:rsidR="000159A6">
        <w:rPr>
          <w:lang w:eastAsia="ja-JP"/>
        </w:rPr>
        <w:t xml:space="preserve"> </w:t>
      </w:r>
      <w:r>
        <w:rPr>
          <w:lang w:eastAsia="ja-JP"/>
        </w:rPr>
        <w:t>effects</w:t>
      </w:r>
      <w:r w:rsidR="000159A6">
        <w:rPr>
          <w:lang w:eastAsia="ja-JP"/>
        </w:rPr>
        <w:t xml:space="preserve"> </w:t>
      </w:r>
      <w:r>
        <w:rPr>
          <w:lang w:eastAsia="ja-JP"/>
        </w:rPr>
        <w:t>should</w:t>
      </w:r>
      <w:r w:rsidR="000159A6">
        <w:rPr>
          <w:lang w:eastAsia="ja-JP"/>
        </w:rPr>
        <w:t xml:space="preserve"> </w:t>
      </w:r>
      <w:r>
        <w:rPr>
          <w:lang w:eastAsia="ja-JP"/>
        </w:rPr>
        <w:t>be</w:t>
      </w:r>
      <w:r w:rsidR="000159A6">
        <w:rPr>
          <w:lang w:eastAsia="ja-JP"/>
        </w:rPr>
        <w:t xml:space="preserve"> </w:t>
      </w:r>
      <w:r>
        <w:rPr>
          <w:lang w:eastAsia="ja-JP"/>
        </w:rPr>
        <w:t>manageable</w:t>
      </w:r>
      <w:r w:rsidR="000159A6">
        <w:rPr>
          <w:lang w:eastAsia="ja-JP"/>
        </w:rPr>
        <w:t xml:space="preserve"> </w:t>
      </w:r>
      <w:r>
        <w:rPr>
          <w:lang w:eastAsia="ja-JP"/>
        </w:rPr>
        <w:t>and</w:t>
      </w:r>
      <w:r w:rsidR="000159A6">
        <w:rPr>
          <w:lang w:eastAsia="ja-JP"/>
        </w:rPr>
        <w:t xml:space="preserve"> </w:t>
      </w:r>
      <w:r>
        <w:rPr>
          <w:lang w:eastAsia="ja-JP"/>
        </w:rPr>
        <w:t>there</w:t>
      </w:r>
      <w:r w:rsidR="000159A6">
        <w:rPr>
          <w:lang w:eastAsia="ja-JP"/>
        </w:rPr>
        <w:t xml:space="preserve"> </w:t>
      </w:r>
      <w:r>
        <w:rPr>
          <w:lang w:eastAsia="ja-JP"/>
        </w:rPr>
        <w:t>were</w:t>
      </w:r>
      <w:r w:rsidR="000159A6">
        <w:rPr>
          <w:lang w:eastAsia="ja-JP"/>
        </w:rPr>
        <w:t xml:space="preserve"> </w:t>
      </w:r>
      <w:r>
        <w:rPr>
          <w:lang w:eastAsia="ja-JP"/>
        </w:rPr>
        <w:t>no</w:t>
      </w:r>
      <w:r w:rsidR="000159A6">
        <w:rPr>
          <w:lang w:eastAsia="ja-JP"/>
        </w:rPr>
        <w:t xml:space="preserve"> </w:t>
      </w:r>
      <w:r>
        <w:rPr>
          <w:lang w:eastAsia="ja-JP"/>
        </w:rPr>
        <w:t>evident</w:t>
      </w:r>
      <w:r w:rsidR="000159A6">
        <w:rPr>
          <w:lang w:eastAsia="ja-JP"/>
        </w:rPr>
        <w:t xml:space="preserve"> </w:t>
      </w:r>
      <w:r>
        <w:rPr>
          <w:lang w:eastAsia="ja-JP"/>
        </w:rPr>
        <w:t>major</w:t>
      </w:r>
      <w:r w:rsidR="000159A6">
        <w:rPr>
          <w:lang w:eastAsia="ja-JP"/>
        </w:rPr>
        <w:t xml:space="preserve"> </w:t>
      </w:r>
      <w:r>
        <w:rPr>
          <w:lang w:eastAsia="ja-JP"/>
        </w:rPr>
        <w:t>safety</w:t>
      </w:r>
      <w:r w:rsidR="000159A6">
        <w:rPr>
          <w:lang w:eastAsia="ja-JP"/>
        </w:rPr>
        <w:t xml:space="preserve"> </w:t>
      </w:r>
      <w:r>
        <w:rPr>
          <w:lang w:eastAsia="ja-JP"/>
        </w:rPr>
        <w:t>signals</w:t>
      </w:r>
      <w:r w:rsidR="000159A6">
        <w:rPr>
          <w:lang w:eastAsia="ja-JP"/>
        </w:rPr>
        <w:t xml:space="preserve"> </w:t>
      </w:r>
      <w:r>
        <w:rPr>
          <w:lang w:eastAsia="ja-JP"/>
        </w:rPr>
        <w:t>or</w:t>
      </w:r>
      <w:r w:rsidR="000159A6">
        <w:rPr>
          <w:lang w:eastAsia="ja-JP"/>
        </w:rPr>
        <w:t xml:space="preserve"> </w:t>
      </w:r>
      <w:r>
        <w:rPr>
          <w:lang w:eastAsia="ja-JP"/>
        </w:rPr>
        <w:t>concerns</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data</w:t>
      </w:r>
      <w:r w:rsidR="000159A6">
        <w:rPr>
          <w:lang w:eastAsia="ja-JP"/>
        </w:rPr>
        <w:t xml:space="preserve"> </w:t>
      </w:r>
      <w:r>
        <w:rPr>
          <w:lang w:eastAsia="ja-JP"/>
        </w:rPr>
        <w:t>presented.</w:t>
      </w:r>
    </w:p>
    <w:p w14:paraId="0489EE85" w14:textId="35BF8CF3" w:rsidR="00624EB5" w:rsidRDefault="00624EB5" w:rsidP="00541F41">
      <w:pPr>
        <w:rPr>
          <w:lang w:eastAsia="ja-JP"/>
        </w:rPr>
      </w:pPr>
      <w:r>
        <w:rPr>
          <w:lang w:eastAsia="ja-JP"/>
        </w:rPr>
        <w:t>The</w:t>
      </w:r>
      <w:r w:rsidR="000159A6">
        <w:rPr>
          <w:lang w:eastAsia="ja-JP"/>
        </w:rPr>
        <w:t xml:space="preserve"> </w:t>
      </w:r>
      <w:r>
        <w:rPr>
          <w:lang w:eastAsia="ja-JP"/>
        </w:rPr>
        <w:t>vaccination</w:t>
      </w:r>
      <w:r w:rsidR="000159A6">
        <w:rPr>
          <w:lang w:eastAsia="ja-JP"/>
        </w:rPr>
        <w:t xml:space="preserve"> </w:t>
      </w:r>
      <w:r>
        <w:rPr>
          <w:lang w:eastAsia="ja-JP"/>
        </w:rPr>
        <w:t>schedule</w:t>
      </w:r>
      <w:r w:rsidR="000159A6">
        <w:rPr>
          <w:lang w:eastAsia="ja-JP"/>
        </w:rPr>
        <w:t xml:space="preserve"> </w:t>
      </w:r>
      <w:r>
        <w:rPr>
          <w:lang w:eastAsia="ja-JP"/>
        </w:rPr>
        <w:t>assessed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efficacy</w:t>
      </w:r>
      <w:r w:rsidR="000159A6">
        <w:rPr>
          <w:lang w:eastAsia="ja-JP"/>
        </w:rPr>
        <w:t xml:space="preserve"> </w:t>
      </w:r>
      <w:r>
        <w:rPr>
          <w:lang w:eastAsia="ja-JP"/>
        </w:rPr>
        <w:t>trials</w:t>
      </w:r>
      <w:r w:rsidR="000159A6">
        <w:rPr>
          <w:lang w:eastAsia="ja-JP"/>
        </w:rPr>
        <w:t xml:space="preserve"> </w:t>
      </w:r>
      <w:r>
        <w:rPr>
          <w:lang w:eastAsia="ja-JP"/>
        </w:rPr>
        <w:t>was</w:t>
      </w:r>
      <w:r w:rsidR="000159A6">
        <w:rPr>
          <w:lang w:eastAsia="ja-JP"/>
        </w:rPr>
        <w:t xml:space="preserve"> </w:t>
      </w:r>
      <w:r>
        <w:rPr>
          <w:lang w:eastAsia="ja-JP"/>
        </w:rPr>
        <w:t>0</w:t>
      </w:r>
      <w:r w:rsidR="000159A6">
        <w:rPr>
          <w:lang w:eastAsia="ja-JP"/>
        </w:rPr>
        <w:t xml:space="preserve"> </w:t>
      </w:r>
      <w:r w:rsidR="003E540C">
        <w:rPr>
          <w:lang w:eastAsia="ja-JP"/>
        </w:rPr>
        <w:t>and</w:t>
      </w:r>
      <w:r w:rsidR="000159A6">
        <w:rPr>
          <w:lang w:eastAsia="ja-JP"/>
        </w:rPr>
        <w:t xml:space="preserve"> </w:t>
      </w:r>
      <w:r>
        <w:rPr>
          <w:lang w:eastAsia="ja-JP"/>
        </w:rPr>
        <w:t>2</w:t>
      </w:r>
      <w:r w:rsidR="000159A6">
        <w:rPr>
          <w:lang w:eastAsia="ja-JP"/>
        </w:rPr>
        <w:t xml:space="preserve"> </w:t>
      </w:r>
      <w:r>
        <w:rPr>
          <w:lang w:eastAsia="ja-JP"/>
        </w:rPr>
        <w:t>months.</w:t>
      </w:r>
      <w:r w:rsidR="000159A6">
        <w:rPr>
          <w:lang w:eastAsia="ja-JP"/>
        </w:rPr>
        <w:t xml:space="preserve"> </w:t>
      </w:r>
      <w:r>
        <w:rPr>
          <w:lang w:eastAsia="ja-JP"/>
        </w:rPr>
        <w:t>Based</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rPr>
          <w:lang w:eastAsia="ja-JP"/>
        </w:rPr>
        <w:t>findings</w:t>
      </w:r>
      <w:r w:rsidR="000159A6">
        <w:rPr>
          <w:lang w:eastAsia="ja-JP"/>
        </w:rPr>
        <w:t xml:space="preserve"> </w:t>
      </w:r>
      <w:r>
        <w:rPr>
          <w:lang w:eastAsia="ja-JP"/>
        </w:rPr>
        <w:t>of</w:t>
      </w:r>
      <w:r w:rsidR="000159A6">
        <w:rPr>
          <w:lang w:eastAsia="ja-JP"/>
        </w:rPr>
        <w:t xml:space="preserve"> </w:t>
      </w:r>
      <w:r>
        <w:rPr>
          <w:lang w:eastAsia="ja-JP"/>
        </w:rPr>
        <w:t>an</w:t>
      </w:r>
      <w:r w:rsidR="000159A6">
        <w:rPr>
          <w:lang w:eastAsia="ja-JP"/>
        </w:rPr>
        <w:t xml:space="preserve"> </w:t>
      </w:r>
      <w:r>
        <w:rPr>
          <w:lang w:eastAsia="ja-JP"/>
        </w:rPr>
        <w:t>immunogenicity</w:t>
      </w:r>
      <w:r w:rsidR="000159A6">
        <w:rPr>
          <w:lang w:eastAsia="ja-JP"/>
        </w:rPr>
        <w:t xml:space="preserve"> </w:t>
      </w:r>
      <w:r>
        <w:rPr>
          <w:lang w:eastAsia="ja-JP"/>
        </w:rPr>
        <w:t>study,</w:t>
      </w:r>
      <w:r w:rsidR="000159A6">
        <w:rPr>
          <w:lang w:eastAsia="ja-JP"/>
        </w:rPr>
        <w:t xml:space="preserve"> </w:t>
      </w:r>
      <w:r>
        <w:rPr>
          <w:lang w:eastAsia="ja-JP"/>
        </w:rPr>
        <w:t>it</w:t>
      </w:r>
      <w:r w:rsidR="000159A6">
        <w:rPr>
          <w:lang w:eastAsia="ja-JP"/>
        </w:rPr>
        <w:t xml:space="preserve"> </w:t>
      </w:r>
      <w:r>
        <w:rPr>
          <w:lang w:eastAsia="ja-JP"/>
        </w:rPr>
        <w:t>has</w:t>
      </w:r>
      <w:r w:rsidR="000159A6">
        <w:rPr>
          <w:lang w:eastAsia="ja-JP"/>
        </w:rPr>
        <w:t xml:space="preserve"> </w:t>
      </w:r>
      <w:r>
        <w:rPr>
          <w:lang w:eastAsia="ja-JP"/>
        </w:rPr>
        <w:t>been</w:t>
      </w:r>
      <w:r w:rsidR="000159A6">
        <w:rPr>
          <w:lang w:eastAsia="ja-JP"/>
        </w:rPr>
        <w:t xml:space="preserve"> </w:t>
      </w:r>
      <w:r>
        <w:rPr>
          <w:lang w:eastAsia="ja-JP"/>
        </w:rPr>
        <w:t>proposed</w:t>
      </w:r>
      <w:r w:rsidR="000159A6">
        <w:rPr>
          <w:lang w:eastAsia="ja-JP"/>
        </w:rPr>
        <w:t xml:space="preserve"> </w:t>
      </w:r>
      <w:r>
        <w:rPr>
          <w:lang w:eastAsia="ja-JP"/>
        </w:rPr>
        <w:t>to</w:t>
      </w:r>
      <w:r w:rsidR="000159A6">
        <w:rPr>
          <w:lang w:eastAsia="ja-JP"/>
        </w:rPr>
        <w:t xml:space="preserve"> </w:t>
      </w:r>
      <w:r>
        <w:rPr>
          <w:lang w:eastAsia="ja-JP"/>
        </w:rPr>
        <w:t>allow</w:t>
      </w:r>
      <w:r w:rsidR="000159A6">
        <w:rPr>
          <w:lang w:eastAsia="ja-JP"/>
        </w:rPr>
        <w:t xml:space="preserve"> </w:t>
      </w:r>
      <w:r>
        <w:rPr>
          <w:lang w:eastAsia="ja-JP"/>
        </w:rPr>
        <w:t>the</w:t>
      </w:r>
      <w:r w:rsidR="000159A6">
        <w:rPr>
          <w:lang w:eastAsia="ja-JP"/>
        </w:rPr>
        <w:t xml:space="preserve"> </w:t>
      </w:r>
      <w:r>
        <w:rPr>
          <w:lang w:eastAsia="ja-JP"/>
        </w:rPr>
        <w:t>period</w:t>
      </w:r>
      <w:r w:rsidR="000159A6">
        <w:rPr>
          <w:lang w:eastAsia="ja-JP"/>
        </w:rPr>
        <w:t xml:space="preserve"> </w:t>
      </w:r>
      <w:r>
        <w:rPr>
          <w:lang w:eastAsia="ja-JP"/>
        </w:rPr>
        <w:t>between</w:t>
      </w:r>
      <w:r w:rsidR="000159A6">
        <w:rPr>
          <w:lang w:eastAsia="ja-JP"/>
        </w:rPr>
        <w:t xml:space="preserve"> </w:t>
      </w:r>
      <w:r>
        <w:rPr>
          <w:lang w:eastAsia="ja-JP"/>
        </w:rPr>
        <w:t>doses</w:t>
      </w:r>
      <w:r w:rsidR="000159A6">
        <w:rPr>
          <w:lang w:eastAsia="ja-JP"/>
        </w:rPr>
        <w:t xml:space="preserve"> </w:t>
      </w:r>
      <w:r>
        <w:rPr>
          <w:lang w:eastAsia="ja-JP"/>
        </w:rPr>
        <w:t>to</w:t>
      </w:r>
      <w:r w:rsidR="000159A6">
        <w:rPr>
          <w:lang w:eastAsia="ja-JP"/>
        </w:rPr>
        <w:t xml:space="preserve"> </w:t>
      </w:r>
      <w:r>
        <w:rPr>
          <w:lang w:eastAsia="ja-JP"/>
        </w:rPr>
        <w:t>extend</w:t>
      </w:r>
      <w:r w:rsidR="000159A6">
        <w:rPr>
          <w:lang w:eastAsia="ja-JP"/>
        </w:rPr>
        <w:t xml:space="preserve"> </w:t>
      </w:r>
      <w:r>
        <w:rPr>
          <w:lang w:eastAsia="ja-JP"/>
        </w:rPr>
        <w:t>to</w:t>
      </w:r>
      <w:r w:rsidR="000159A6">
        <w:rPr>
          <w:lang w:eastAsia="ja-JP"/>
        </w:rPr>
        <w:t xml:space="preserve"> </w:t>
      </w:r>
      <w:r>
        <w:rPr>
          <w:lang w:eastAsia="ja-JP"/>
        </w:rPr>
        <w:t>6</w:t>
      </w:r>
      <w:r w:rsidR="000159A6">
        <w:rPr>
          <w:lang w:eastAsia="ja-JP"/>
        </w:rPr>
        <w:t xml:space="preserve"> </w:t>
      </w:r>
      <w:r>
        <w:rPr>
          <w:lang w:eastAsia="ja-JP"/>
        </w:rPr>
        <w:t>months.</w:t>
      </w:r>
      <w:r w:rsidR="000159A6">
        <w:rPr>
          <w:lang w:eastAsia="ja-JP"/>
        </w:rPr>
        <w:t xml:space="preserve"> </w:t>
      </w:r>
      <w:r>
        <w:rPr>
          <w:lang w:eastAsia="ja-JP"/>
        </w:rPr>
        <w:t>This</w:t>
      </w:r>
      <w:r w:rsidR="000159A6">
        <w:rPr>
          <w:lang w:eastAsia="ja-JP"/>
        </w:rPr>
        <w:t xml:space="preserve"> </w:t>
      </w:r>
      <w:r>
        <w:rPr>
          <w:lang w:eastAsia="ja-JP"/>
        </w:rPr>
        <w:t>recommendation</w:t>
      </w:r>
      <w:r w:rsidR="000159A6">
        <w:rPr>
          <w:lang w:eastAsia="ja-JP"/>
        </w:rPr>
        <w:t xml:space="preserve"> </w:t>
      </w:r>
      <w:r>
        <w:rPr>
          <w:lang w:eastAsia="ja-JP"/>
        </w:rPr>
        <w:t>was</w:t>
      </w:r>
      <w:r w:rsidR="000159A6">
        <w:rPr>
          <w:lang w:eastAsia="ja-JP"/>
        </w:rPr>
        <w:t xml:space="preserve"> </w:t>
      </w:r>
      <w:r>
        <w:rPr>
          <w:lang w:eastAsia="ja-JP"/>
        </w:rPr>
        <w:t>based</w:t>
      </w:r>
      <w:r w:rsidR="000159A6">
        <w:rPr>
          <w:lang w:eastAsia="ja-JP"/>
        </w:rPr>
        <w:t xml:space="preserve"> </w:t>
      </w:r>
      <w:r>
        <w:rPr>
          <w:lang w:eastAsia="ja-JP"/>
        </w:rPr>
        <w:t>on</w:t>
      </w:r>
      <w:r w:rsidR="000159A6">
        <w:rPr>
          <w:lang w:eastAsia="ja-JP"/>
        </w:rPr>
        <w:t xml:space="preserve"> </w:t>
      </w:r>
      <w:r>
        <w:rPr>
          <w:lang w:eastAsia="ja-JP"/>
        </w:rPr>
        <w:t>humoral</w:t>
      </w:r>
      <w:r w:rsidR="000159A6">
        <w:rPr>
          <w:lang w:eastAsia="ja-JP"/>
        </w:rPr>
        <w:t xml:space="preserve"> </w:t>
      </w:r>
      <w:r>
        <w:rPr>
          <w:lang w:eastAsia="ja-JP"/>
        </w:rPr>
        <w:t>immunogenicity</w:t>
      </w:r>
      <w:r w:rsidR="000159A6">
        <w:rPr>
          <w:lang w:eastAsia="ja-JP"/>
        </w:rPr>
        <w:t xml:space="preserve"> </w:t>
      </w:r>
      <w:r>
        <w:rPr>
          <w:lang w:eastAsia="ja-JP"/>
        </w:rPr>
        <w:t>data</w:t>
      </w:r>
      <w:r w:rsidR="000159A6">
        <w:rPr>
          <w:lang w:eastAsia="ja-JP"/>
        </w:rPr>
        <w:t xml:space="preserve"> </w:t>
      </w:r>
      <w:r>
        <w:rPr>
          <w:lang w:eastAsia="ja-JP"/>
        </w:rPr>
        <w:t>rather</w:t>
      </w:r>
      <w:r w:rsidR="000159A6">
        <w:rPr>
          <w:lang w:eastAsia="ja-JP"/>
        </w:rPr>
        <w:t xml:space="preserve"> </w:t>
      </w:r>
      <w:r>
        <w:rPr>
          <w:lang w:eastAsia="ja-JP"/>
        </w:rPr>
        <w:t>than</w:t>
      </w:r>
      <w:r w:rsidR="000159A6">
        <w:rPr>
          <w:lang w:eastAsia="ja-JP"/>
        </w:rPr>
        <w:t xml:space="preserve"> </w:t>
      </w:r>
      <w:r>
        <w:rPr>
          <w:lang w:eastAsia="ja-JP"/>
        </w:rPr>
        <w:t>the</w:t>
      </w:r>
      <w:r w:rsidR="000159A6">
        <w:rPr>
          <w:lang w:eastAsia="ja-JP"/>
        </w:rPr>
        <w:t xml:space="preserve"> </w:t>
      </w:r>
      <w:r>
        <w:rPr>
          <w:lang w:eastAsia="ja-JP"/>
        </w:rPr>
        <w:t>more</w:t>
      </w:r>
      <w:r w:rsidR="000159A6">
        <w:rPr>
          <w:lang w:eastAsia="ja-JP"/>
        </w:rPr>
        <w:t xml:space="preserve"> </w:t>
      </w:r>
      <w:r>
        <w:rPr>
          <w:lang w:eastAsia="ja-JP"/>
        </w:rPr>
        <w:t>relevant</w:t>
      </w:r>
      <w:r w:rsidR="000159A6">
        <w:rPr>
          <w:lang w:eastAsia="ja-JP"/>
        </w:rPr>
        <w:t xml:space="preserve"> </w:t>
      </w:r>
      <w:r>
        <w:rPr>
          <w:lang w:eastAsia="ja-JP"/>
        </w:rPr>
        <w:t>cell</w:t>
      </w:r>
      <w:r w:rsidR="000159A6">
        <w:rPr>
          <w:lang w:eastAsia="ja-JP"/>
        </w:rPr>
        <w:t xml:space="preserve"> </w:t>
      </w:r>
      <w:r>
        <w:rPr>
          <w:lang w:eastAsia="ja-JP"/>
        </w:rPr>
        <w:t>mediated</w:t>
      </w:r>
      <w:r w:rsidR="000159A6">
        <w:rPr>
          <w:lang w:eastAsia="ja-JP"/>
        </w:rPr>
        <w:t xml:space="preserve"> </w:t>
      </w:r>
      <w:r>
        <w:rPr>
          <w:lang w:eastAsia="ja-JP"/>
        </w:rPr>
        <w:t>immune</w:t>
      </w:r>
      <w:r w:rsidR="000159A6">
        <w:rPr>
          <w:lang w:eastAsia="ja-JP"/>
        </w:rPr>
        <w:t xml:space="preserve"> </w:t>
      </w:r>
      <w:r>
        <w:rPr>
          <w:lang w:eastAsia="ja-JP"/>
        </w:rPr>
        <w:t>responses.</w:t>
      </w:r>
      <w:r w:rsidR="000159A6">
        <w:rPr>
          <w:lang w:eastAsia="ja-JP"/>
        </w:rPr>
        <w:t xml:space="preserve"> </w:t>
      </w:r>
      <w:r>
        <w:rPr>
          <w:lang w:eastAsia="ja-JP"/>
        </w:rPr>
        <w:t>As</w:t>
      </w:r>
      <w:r w:rsidR="000159A6">
        <w:rPr>
          <w:lang w:eastAsia="ja-JP"/>
        </w:rPr>
        <w:t xml:space="preserve"> </w:t>
      </w:r>
      <w:r>
        <w:rPr>
          <w:lang w:eastAsia="ja-JP"/>
        </w:rPr>
        <w:t>there</w:t>
      </w:r>
      <w:r w:rsidR="000159A6">
        <w:rPr>
          <w:lang w:eastAsia="ja-JP"/>
        </w:rPr>
        <w:t xml:space="preserve"> </w:t>
      </w:r>
      <w:r>
        <w:rPr>
          <w:lang w:eastAsia="ja-JP"/>
        </w:rPr>
        <w:t>are</w:t>
      </w:r>
      <w:r w:rsidR="000159A6">
        <w:rPr>
          <w:lang w:eastAsia="ja-JP"/>
        </w:rPr>
        <w:t xml:space="preserve"> </w:t>
      </w:r>
      <w:r>
        <w:rPr>
          <w:lang w:eastAsia="ja-JP"/>
        </w:rPr>
        <w:t>no</w:t>
      </w:r>
      <w:r w:rsidR="000159A6">
        <w:rPr>
          <w:lang w:eastAsia="ja-JP"/>
        </w:rPr>
        <w:t xml:space="preserve"> </w:t>
      </w:r>
      <w:r>
        <w:rPr>
          <w:lang w:eastAsia="ja-JP"/>
        </w:rPr>
        <w:t>correlates</w:t>
      </w:r>
      <w:r w:rsidR="000159A6">
        <w:rPr>
          <w:lang w:eastAsia="ja-JP"/>
        </w:rPr>
        <w:t xml:space="preserve"> </w:t>
      </w:r>
      <w:r>
        <w:rPr>
          <w:lang w:eastAsia="ja-JP"/>
        </w:rPr>
        <w:t>of</w:t>
      </w:r>
      <w:r w:rsidR="000159A6">
        <w:rPr>
          <w:lang w:eastAsia="ja-JP"/>
        </w:rPr>
        <w:t xml:space="preserve"> </w:t>
      </w:r>
      <w:r>
        <w:rPr>
          <w:lang w:eastAsia="ja-JP"/>
        </w:rPr>
        <w:t>protection</w:t>
      </w:r>
      <w:r w:rsidR="000159A6">
        <w:rPr>
          <w:lang w:eastAsia="ja-JP"/>
        </w:rPr>
        <w:t xml:space="preserve"> </w:t>
      </w:r>
      <w:proofErr w:type="gramStart"/>
      <w:r>
        <w:rPr>
          <w:lang w:eastAsia="ja-JP"/>
        </w:rPr>
        <w:t>nor</w:t>
      </w:r>
      <w:proofErr w:type="gramEnd"/>
      <w:r w:rsidR="000159A6">
        <w:rPr>
          <w:lang w:eastAsia="ja-JP"/>
        </w:rPr>
        <w:t xml:space="preserve"> </w:t>
      </w:r>
      <w:r>
        <w:rPr>
          <w:lang w:eastAsia="ja-JP"/>
        </w:rPr>
        <w:t>specific</w:t>
      </w:r>
      <w:r w:rsidR="000159A6">
        <w:rPr>
          <w:lang w:eastAsia="ja-JP"/>
        </w:rPr>
        <w:t xml:space="preserve"> </w:t>
      </w:r>
      <w:r>
        <w:rPr>
          <w:lang w:eastAsia="ja-JP"/>
        </w:rPr>
        <w:t>efficacy</w:t>
      </w:r>
      <w:r w:rsidR="000159A6">
        <w:rPr>
          <w:lang w:eastAsia="ja-JP"/>
        </w:rPr>
        <w:t xml:space="preserve"> </w:t>
      </w:r>
      <w:r>
        <w:rPr>
          <w:lang w:eastAsia="ja-JP"/>
        </w:rPr>
        <w:t>data</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rPr>
          <w:lang w:eastAsia="ja-JP"/>
        </w:rPr>
        <w:t>0</w:t>
      </w:r>
      <w:r w:rsidR="000159A6">
        <w:rPr>
          <w:lang w:eastAsia="ja-JP"/>
        </w:rPr>
        <w:t xml:space="preserve"> </w:t>
      </w:r>
      <w:r w:rsidR="003E540C">
        <w:rPr>
          <w:lang w:eastAsia="ja-JP"/>
        </w:rPr>
        <w:t>and</w:t>
      </w:r>
      <w:r w:rsidR="000159A6">
        <w:rPr>
          <w:lang w:eastAsia="ja-JP"/>
        </w:rPr>
        <w:t xml:space="preserve"> </w:t>
      </w:r>
      <w:r>
        <w:rPr>
          <w:lang w:eastAsia="ja-JP"/>
        </w:rPr>
        <w:t>6</w:t>
      </w:r>
      <w:r w:rsidR="000159A6">
        <w:rPr>
          <w:lang w:eastAsia="ja-JP"/>
        </w:rPr>
        <w:t xml:space="preserve"> </w:t>
      </w:r>
      <w:r>
        <w:rPr>
          <w:lang w:eastAsia="ja-JP"/>
        </w:rPr>
        <w:t>month</w:t>
      </w:r>
      <w:r w:rsidR="000159A6">
        <w:rPr>
          <w:lang w:eastAsia="ja-JP"/>
        </w:rPr>
        <w:t xml:space="preserve"> </w:t>
      </w:r>
      <w:r>
        <w:rPr>
          <w:lang w:eastAsia="ja-JP"/>
        </w:rPr>
        <w:t>schedule,</w:t>
      </w:r>
      <w:r w:rsidR="000159A6">
        <w:rPr>
          <w:lang w:eastAsia="ja-JP"/>
        </w:rPr>
        <w:t xml:space="preserve"> </w:t>
      </w:r>
      <w:r>
        <w:rPr>
          <w:lang w:eastAsia="ja-JP"/>
        </w:rPr>
        <w:t>the</w:t>
      </w:r>
      <w:r w:rsidR="000159A6">
        <w:rPr>
          <w:lang w:eastAsia="ja-JP"/>
        </w:rPr>
        <w:t xml:space="preserve"> </w:t>
      </w:r>
      <w:r>
        <w:rPr>
          <w:lang w:eastAsia="ja-JP"/>
        </w:rPr>
        <w:t>evaluator</w:t>
      </w:r>
      <w:r w:rsidR="000159A6">
        <w:rPr>
          <w:lang w:eastAsia="ja-JP"/>
        </w:rPr>
        <w:t xml:space="preserve"> </w:t>
      </w:r>
      <w:r>
        <w:rPr>
          <w:lang w:eastAsia="ja-JP"/>
        </w:rPr>
        <w:t>does</w:t>
      </w:r>
      <w:r w:rsidR="000159A6">
        <w:rPr>
          <w:lang w:eastAsia="ja-JP"/>
        </w:rPr>
        <w:t xml:space="preserve"> </w:t>
      </w:r>
      <w:r>
        <w:rPr>
          <w:lang w:eastAsia="ja-JP"/>
        </w:rPr>
        <w:t>not</w:t>
      </w:r>
      <w:r w:rsidR="000159A6">
        <w:rPr>
          <w:lang w:eastAsia="ja-JP"/>
        </w:rPr>
        <w:t xml:space="preserve"> </w:t>
      </w:r>
      <w:r>
        <w:rPr>
          <w:lang w:eastAsia="ja-JP"/>
        </w:rPr>
        <w:t>endorse</w:t>
      </w:r>
      <w:r w:rsidR="000159A6">
        <w:rPr>
          <w:lang w:eastAsia="ja-JP"/>
        </w:rPr>
        <w:t xml:space="preserve"> </w:t>
      </w:r>
      <w:r>
        <w:rPr>
          <w:lang w:eastAsia="ja-JP"/>
        </w:rPr>
        <w:t>a</w:t>
      </w:r>
      <w:r w:rsidR="000159A6">
        <w:rPr>
          <w:lang w:eastAsia="ja-JP"/>
        </w:rPr>
        <w:t xml:space="preserve"> </w:t>
      </w:r>
      <w:r>
        <w:rPr>
          <w:lang w:eastAsia="ja-JP"/>
        </w:rPr>
        <w:t>schedule</w:t>
      </w:r>
      <w:r w:rsidR="000159A6">
        <w:rPr>
          <w:lang w:eastAsia="ja-JP"/>
        </w:rPr>
        <w:t xml:space="preserve"> </w:t>
      </w:r>
      <w:r>
        <w:rPr>
          <w:lang w:eastAsia="ja-JP"/>
        </w:rPr>
        <w:t>other</w:t>
      </w:r>
      <w:r w:rsidR="000159A6">
        <w:rPr>
          <w:lang w:eastAsia="ja-JP"/>
        </w:rPr>
        <w:t xml:space="preserve"> </w:t>
      </w:r>
      <w:r>
        <w:rPr>
          <w:lang w:eastAsia="ja-JP"/>
        </w:rPr>
        <w:t>than</w:t>
      </w:r>
      <w:r w:rsidR="000159A6">
        <w:rPr>
          <w:lang w:eastAsia="ja-JP"/>
        </w:rPr>
        <w:t xml:space="preserve"> </w:t>
      </w:r>
      <w:r>
        <w:rPr>
          <w:lang w:eastAsia="ja-JP"/>
        </w:rPr>
        <w:t>0</w:t>
      </w:r>
      <w:r w:rsidR="000159A6">
        <w:rPr>
          <w:lang w:eastAsia="ja-JP"/>
        </w:rPr>
        <w:t xml:space="preserve"> </w:t>
      </w:r>
      <w:r w:rsidR="003E540C">
        <w:rPr>
          <w:lang w:eastAsia="ja-JP"/>
        </w:rPr>
        <w:t>and</w:t>
      </w:r>
      <w:r w:rsidR="000159A6">
        <w:rPr>
          <w:lang w:eastAsia="ja-JP"/>
        </w:rPr>
        <w:t xml:space="preserve"> </w:t>
      </w:r>
      <w:r>
        <w:rPr>
          <w:lang w:eastAsia="ja-JP"/>
        </w:rPr>
        <w:t>2</w:t>
      </w:r>
      <w:r w:rsidR="000159A6">
        <w:rPr>
          <w:lang w:eastAsia="ja-JP"/>
        </w:rPr>
        <w:t xml:space="preserve"> </w:t>
      </w:r>
      <w:r>
        <w:rPr>
          <w:lang w:eastAsia="ja-JP"/>
        </w:rPr>
        <w:t>months.</w:t>
      </w:r>
    </w:p>
    <w:p w14:paraId="20EBFF95" w14:textId="2503FF97" w:rsidR="00624EB5" w:rsidRDefault="00624EB5" w:rsidP="00624EB5">
      <w:pPr>
        <w:rPr>
          <w:lang w:eastAsia="ja-JP"/>
        </w:rPr>
      </w:pPr>
      <w:r>
        <w:rPr>
          <w:lang w:eastAsia="ja-JP"/>
        </w:rPr>
        <w:t>The</w:t>
      </w:r>
      <w:r w:rsidR="000159A6">
        <w:rPr>
          <w:lang w:eastAsia="ja-JP"/>
        </w:rPr>
        <w:t xml:space="preserve"> </w:t>
      </w:r>
      <w:r>
        <w:rPr>
          <w:lang w:eastAsia="ja-JP"/>
        </w:rPr>
        <w:t>proposed</w:t>
      </w:r>
      <w:r w:rsidR="000159A6">
        <w:rPr>
          <w:lang w:eastAsia="ja-JP"/>
        </w:rPr>
        <w:t xml:space="preserve"> </w:t>
      </w:r>
      <w:r>
        <w:rPr>
          <w:lang w:eastAsia="ja-JP"/>
        </w:rPr>
        <w:t>indication</w:t>
      </w:r>
      <w:r w:rsidR="000159A6">
        <w:rPr>
          <w:lang w:eastAsia="ja-JP"/>
        </w:rPr>
        <w:t xml:space="preserve"> </w:t>
      </w:r>
      <w:r>
        <w:rPr>
          <w:lang w:eastAsia="ja-JP"/>
        </w:rPr>
        <w:t>includes</w:t>
      </w:r>
      <w:r w:rsidR="000159A6">
        <w:rPr>
          <w:lang w:eastAsia="ja-JP"/>
        </w:rPr>
        <w:t xml:space="preserve"> </w:t>
      </w:r>
      <w:r>
        <w:rPr>
          <w:lang w:eastAsia="ja-JP"/>
        </w:rPr>
        <w:t>the</w:t>
      </w:r>
      <w:r w:rsidR="000159A6">
        <w:rPr>
          <w:lang w:eastAsia="ja-JP"/>
        </w:rPr>
        <w:t xml:space="preserve"> </w:t>
      </w:r>
      <w:r>
        <w:rPr>
          <w:lang w:eastAsia="ja-JP"/>
        </w:rPr>
        <w:t>prevention</w:t>
      </w:r>
      <w:r w:rsidR="000159A6">
        <w:rPr>
          <w:lang w:eastAsia="ja-JP"/>
        </w:rPr>
        <w:t xml:space="preserve"> </w:t>
      </w:r>
      <w:r>
        <w:rPr>
          <w:lang w:eastAsia="ja-JP"/>
        </w:rPr>
        <w:t>of</w:t>
      </w:r>
      <w:r w:rsidR="000159A6">
        <w:rPr>
          <w:lang w:eastAsia="ja-JP"/>
        </w:rPr>
        <w:t xml:space="preserve"> </w:t>
      </w:r>
      <w:r w:rsidR="000D0435">
        <w:rPr>
          <w:lang w:eastAsia="ja-JP"/>
        </w:rPr>
        <w:t>HZ</w:t>
      </w:r>
      <w:r w:rsidR="000159A6">
        <w:rPr>
          <w:lang w:eastAsia="ja-JP"/>
        </w:rPr>
        <w:t xml:space="preserve"> </w:t>
      </w:r>
      <w:r w:rsidR="000D0435">
        <w:rPr>
          <w:lang w:eastAsia="ja-JP"/>
        </w:rPr>
        <w:t>related</w:t>
      </w:r>
      <w:r w:rsidR="000159A6">
        <w:rPr>
          <w:lang w:eastAsia="ja-JP"/>
        </w:rPr>
        <w:t xml:space="preserve"> </w:t>
      </w:r>
      <w:r>
        <w:rPr>
          <w:lang w:eastAsia="ja-JP"/>
        </w:rPr>
        <w:t>complications</w:t>
      </w:r>
      <w:r w:rsidR="000159A6">
        <w:rPr>
          <w:lang w:eastAsia="ja-JP"/>
        </w:rPr>
        <w:t xml:space="preserve"> </w:t>
      </w:r>
      <w:r>
        <w:rPr>
          <w:lang w:eastAsia="ja-JP"/>
        </w:rPr>
        <w:t>other</w:t>
      </w:r>
      <w:r w:rsidR="000159A6">
        <w:rPr>
          <w:lang w:eastAsia="ja-JP"/>
        </w:rPr>
        <w:t xml:space="preserve"> </w:t>
      </w:r>
      <w:r>
        <w:rPr>
          <w:lang w:eastAsia="ja-JP"/>
        </w:rPr>
        <w:t>than</w:t>
      </w:r>
      <w:r w:rsidR="000159A6">
        <w:rPr>
          <w:lang w:eastAsia="ja-JP"/>
        </w:rPr>
        <w:t xml:space="preserve"> </w:t>
      </w:r>
      <w:r>
        <w:rPr>
          <w:lang w:eastAsia="ja-JP"/>
        </w:rPr>
        <w:t>PHN.</w:t>
      </w:r>
      <w:r w:rsidR="000159A6">
        <w:rPr>
          <w:lang w:eastAsia="ja-JP"/>
        </w:rPr>
        <w:t xml:space="preserve"> </w:t>
      </w:r>
      <w:r>
        <w:rPr>
          <w:lang w:eastAsia="ja-JP"/>
        </w:rPr>
        <w:t>The</w:t>
      </w:r>
      <w:r w:rsidR="000159A6">
        <w:rPr>
          <w:lang w:eastAsia="ja-JP"/>
        </w:rPr>
        <w:t xml:space="preserve"> </w:t>
      </w:r>
      <w:r>
        <w:rPr>
          <w:lang w:eastAsia="ja-JP"/>
        </w:rPr>
        <w:t>data</w:t>
      </w:r>
      <w:r w:rsidR="000159A6">
        <w:rPr>
          <w:lang w:eastAsia="ja-JP"/>
        </w:rPr>
        <w:t xml:space="preserve"> </w:t>
      </w:r>
      <w:r>
        <w:rPr>
          <w:lang w:eastAsia="ja-JP"/>
        </w:rPr>
        <w:t>on</w:t>
      </w:r>
      <w:r w:rsidR="000159A6">
        <w:rPr>
          <w:lang w:eastAsia="ja-JP"/>
        </w:rPr>
        <w:t xml:space="preserve"> </w:t>
      </w:r>
      <w:r>
        <w:rPr>
          <w:lang w:eastAsia="ja-JP"/>
        </w:rPr>
        <w:t>complications</w:t>
      </w:r>
      <w:r w:rsidR="000159A6">
        <w:rPr>
          <w:lang w:eastAsia="ja-JP"/>
        </w:rPr>
        <w:t xml:space="preserve"> </w:t>
      </w:r>
      <w:r>
        <w:rPr>
          <w:lang w:eastAsia="ja-JP"/>
        </w:rPr>
        <w:t>other</w:t>
      </w:r>
      <w:r w:rsidR="000159A6">
        <w:rPr>
          <w:lang w:eastAsia="ja-JP"/>
        </w:rPr>
        <w:t xml:space="preserve"> </w:t>
      </w:r>
      <w:r>
        <w:rPr>
          <w:lang w:eastAsia="ja-JP"/>
        </w:rPr>
        <w:t>than</w:t>
      </w:r>
      <w:r w:rsidR="000159A6">
        <w:rPr>
          <w:lang w:eastAsia="ja-JP"/>
        </w:rPr>
        <w:t xml:space="preserve"> </w:t>
      </w:r>
      <w:r>
        <w:rPr>
          <w:lang w:eastAsia="ja-JP"/>
        </w:rPr>
        <w:t>PHN</w:t>
      </w:r>
      <w:r w:rsidR="000159A6">
        <w:rPr>
          <w:lang w:eastAsia="ja-JP"/>
        </w:rPr>
        <w:t xml:space="preserve"> </w:t>
      </w:r>
      <w:r>
        <w:rPr>
          <w:lang w:eastAsia="ja-JP"/>
        </w:rPr>
        <w:t>were</w:t>
      </w:r>
      <w:r w:rsidR="000159A6">
        <w:rPr>
          <w:lang w:eastAsia="ja-JP"/>
        </w:rPr>
        <w:t xml:space="preserve"> </w:t>
      </w:r>
      <w:r>
        <w:rPr>
          <w:lang w:eastAsia="ja-JP"/>
        </w:rPr>
        <w:t>very</w:t>
      </w:r>
      <w:r w:rsidR="000159A6">
        <w:rPr>
          <w:lang w:eastAsia="ja-JP"/>
        </w:rPr>
        <w:t xml:space="preserve"> </w:t>
      </w:r>
      <w:r>
        <w:rPr>
          <w:lang w:eastAsia="ja-JP"/>
        </w:rPr>
        <w:t>limited</w:t>
      </w:r>
      <w:r w:rsidR="000159A6">
        <w:rPr>
          <w:lang w:eastAsia="ja-JP"/>
        </w:rPr>
        <w:t xml:space="preserve"> </w:t>
      </w:r>
      <w:r>
        <w:rPr>
          <w:lang w:eastAsia="ja-JP"/>
        </w:rPr>
        <w:t>and</w:t>
      </w:r>
      <w:r w:rsidR="000159A6">
        <w:rPr>
          <w:lang w:eastAsia="ja-JP"/>
        </w:rPr>
        <w:t xml:space="preserve"> </w:t>
      </w:r>
      <w:r>
        <w:rPr>
          <w:lang w:eastAsia="ja-JP"/>
        </w:rPr>
        <w:t>based</w:t>
      </w:r>
      <w:r w:rsidR="000159A6">
        <w:rPr>
          <w:lang w:eastAsia="ja-JP"/>
        </w:rPr>
        <w:t xml:space="preserve"> </w:t>
      </w:r>
      <w:r>
        <w:rPr>
          <w:lang w:eastAsia="ja-JP"/>
        </w:rPr>
        <w:t>on</w:t>
      </w:r>
      <w:r w:rsidR="000159A6">
        <w:rPr>
          <w:lang w:eastAsia="ja-JP"/>
        </w:rPr>
        <w:t xml:space="preserve"> </w:t>
      </w:r>
      <w:r>
        <w:rPr>
          <w:lang w:eastAsia="ja-JP"/>
        </w:rPr>
        <w:t>post-hoc</w:t>
      </w:r>
      <w:r w:rsidR="000159A6">
        <w:rPr>
          <w:lang w:eastAsia="ja-JP"/>
        </w:rPr>
        <w:t xml:space="preserve"> </w:t>
      </w:r>
      <w:r>
        <w:rPr>
          <w:lang w:eastAsia="ja-JP"/>
        </w:rPr>
        <w:t>analyses.</w:t>
      </w:r>
      <w:r w:rsidR="000159A6">
        <w:rPr>
          <w:lang w:eastAsia="ja-JP"/>
        </w:rPr>
        <w:t xml:space="preserve"> </w:t>
      </w:r>
      <w:r>
        <w:rPr>
          <w:lang w:eastAsia="ja-JP"/>
        </w:rPr>
        <w:t>As</w:t>
      </w:r>
      <w:r w:rsidR="000159A6">
        <w:rPr>
          <w:lang w:eastAsia="ja-JP"/>
        </w:rPr>
        <w:t xml:space="preserve"> </w:t>
      </w:r>
      <w:r>
        <w:rPr>
          <w:lang w:eastAsia="ja-JP"/>
        </w:rPr>
        <w:t>such,</w:t>
      </w:r>
      <w:r w:rsidR="000159A6">
        <w:rPr>
          <w:lang w:eastAsia="ja-JP"/>
        </w:rPr>
        <w:t xml:space="preserve"> </w:t>
      </w:r>
      <w:r>
        <w:rPr>
          <w:lang w:eastAsia="ja-JP"/>
        </w:rPr>
        <w:t>the</w:t>
      </w:r>
      <w:r w:rsidR="000159A6">
        <w:rPr>
          <w:lang w:eastAsia="ja-JP"/>
        </w:rPr>
        <w:t xml:space="preserve"> </w:t>
      </w:r>
      <w:r>
        <w:rPr>
          <w:lang w:eastAsia="ja-JP"/>
        </w:rPr>
        <w:t>evaluator</w:t>
      </w:r>
      <w:r w:rsidR="000159A6">
        <w:rPr>
          <w:lang w:eastAsia="ja-JP"/>
        </w:rPr>
        <w:t xml:space="preserve"> </w:t>
      </w:r>
      <w:r>
        <w:rPr>
          <w:lang w:eastAsia="ja-JP"/>
        </w:rPr>
        <w:t>does</w:t>
      </w:r>
      <w:r w:rsidR="000159A6">
        <w:rPr>
          <w:lang w:eastAsia="ja-JP"/>
        </w:rPr>
        <w:t xml:space="preserve"> </w:t>
      </w:r>
      <w:r>
        <w:rPr>
          <w:lang w:eastAsia="ja-JP"/>
        </w:rPr>
        <w:t>not</w:t>
      </w:r>
      <w:r w:rsidR="000159A6">
        <w:rPr>
          <w:lang w:eastAsia="ja-JP"/>
        </w:rPr>
        <w:t xml:space="preserve"> </w:t>
      </w:r>
      <w:r>
        <w:rPr>
          <w:lang w:eastAsia="ja-JP"/>
        </w:rPr>
        <w:t>support</w:t>
      </w:r>
      <w:r w:rsidR="000159A6">
        <w:rPr>
          <w:lang w:eastAsia="ja-JP"/>
        </w:rPr>
        <w:t xml:space="preserve"> </w:t>
      </w:r>
      <w:r>
        <w:rPr>
          <w:lang w:eastAsia="ja-JP"/>
        </w:rPr>
        <w:t>its</w:t>
      </w:r>
      <w:r w:rsidR="000159A6">
        <w:rPr>
          <w:lang w:eastAsia="ja-JP"/>
        </w:rPr>
        <w:t xml:space="preserve"> </w:t>
      </w:r>
      <w:r>
        <w:rPr>
          <w:lang w:eastAsia="ja-JP"/>
        </w:rPr>
        <w:t>inclusion</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indication.</w:t>
      </w:r>
    </w:p>
    <w:p w14:paraId="03593BB9" w14:textId="0C727356" w:rsidR="00624EB5" w:rsidRPr="00624EB5" w:rsidRDefault="00624EB5" w:rsidP="00624EB5">
      <w:pPr>
        <w:rPr>
          <w:lang w:eastAsia="ja-JP"/>
        </w:rPr>
      </w:pPr>
      <w:r>
        <w:rPr>
          <w:lang w:eastAsia="ja-JP"/>
        </w:rPr>
        <w:t>Hence,</w:t>
      </w:r>
      <w:r w:rsidR="000159A6">
        <w:rPr>
          <w:lang w:eastAsia="ja-JP"/>
        </w:rPr>
        <w:t xml:space="preserve"> </w:t>
      </w:r>
      <w:r>
        <w:rPr>
          <w:lang w:eastAsia="ja-JP"/>
        </w:rPr>
        <w:t>the</w:t>
      </w:r>
      <w:r w:rsidR="000159A6">
        <w:rPr>
          <w:lang w:eastAsia="ja-JP"/>
        </w:rPr>
        <w:t xml:space="preserve"> </w:t>
      </w:r>
      <w:r>
        <w:rPr>
          <w:lang w:eastAsia="ja-JP"/>
        </w:rPr>
        <w:t>benefit-risk</w:t>
      </w:r>
      <w:r w:rsidR="000159A6">
        <w:rPr>
          <w:lang w:eastAsia="ja-JP"/>
        </w:rPr>
        <w:t xml:space="preserve"> </w:t>
      </w:r>
      <w:r>
        <w:rPr>
          <w:lang w:eastAsia="ja-JP"/>
        </w:rPr>
        <w:t>balance</w:t>
      </w:r>
      <w:r w:rsidR="000159A6">
        <w:rPr>
          <w:lang w:eastAsia="ja-JP"/>
        </w:rPr>
        <w:t xml:space="preserve"> </w:t>
      </w:r>
      <w:r>
        <w:rPr>
          <w:lang w:eastAsia="ja-JP"/>
        </w:rPr>
        <w:t>of</w:t>
      </w:r>
      <w:r w:rsidR="000159A6">
        <w:rPr>
          <w:lang w:eastAsia="ja-JP"/>
        </w:rPr>
        <w:t xml:space="preserve"> </w:t>
      </w:r>
      <w:r>
        <w:rPr>
          <w:lang w:eastAsia="ja-JP"/>
        </w:rPr>
        <w:t>Shingrix</w:t>
      </w:r>
      <w:r w:rsidR="000159A6">
        <w:rPr>
          <w:lang w:eastAsia="ja-JP"/>
        </w:rPr>
        <w:t xml:space="preserve"> </w:t>
      </w:r>
      <w:r>
        <w:rPr>
          <w:lang w:eastAsia="ja-JP"/>
        </w:rPr>
        <w:t>is</w:t>
      </w:r>
      <w:r w:rsidR="000159A6">
        <w:rPr>
          <w:lang w:eastAsia="ja-JP"/>
        </w:rPr>
        <w:t xml:space="preserve"> </w:t>
      </w:r>
      <w:r>
        <w:rPr>
          <w:lang w:eastAsia="ja-JP"/>
        </w:rPr>
        <w:t>unfavourable</w:t>
      </w:r>
      <w:r w:rsidR="000159A6">
        <w:rPr>
          <w:lang w:eastAsia="ja-JP"/>
        </w:rPr>
        <w:t xml:space="preserve"> </w:t>
      </w:r>
      <w:r>
        <w:rPr>
          <w:lang w:eastAsia="ja-JP"/>
        </w:rPr>
        <w:t>for</w:t>
      </w:r>
      <w:r w:rsidR="000159A6">
        <w:rPr>
          <w:lang w:eastAsia="ja-JP"/>
        </w:rPr>
        <w:t xml:space="preserve"> </w:t>
      </w:r>
      <w:r>
        <w:rPr>
          <w:lang w:eastAsia="ja-JP"/>
        </w:rPr>
        <w:t>the</w:t>
      </w:r>
      <w:r w:rsidR="000159A6">
        <w:rPr>
          <w:lang w:eastAsia="ja-JP"/>
        </w:rPr>
        <w:t xml:space="preserve"> </w:t>
      </w:r>
      <w:r>
        <w:rPr>
          <w:lang w:eastAsia="ja-JP"/>
        </w:rPr>
        <w:t>proposed</w:t>
      </w:r>
      <w:r w:rsidR="000159A6">
        <w:rPr>
          <w:lang w:eastAsia="ja-JP"/>
        </w:rPr>
        <w:t xml:space="preserve"> </w:t>
      </w:r>
      <w:r>
        <w:rPr>
          <w:lang w:eastAsia="ja-JP"/>
        </w:rPr>
        <w:t>usage,</w:t>
      </w:r>
      <w:r w:rsidR="000159A6">
        <w:rPr>
          <w:lang w:eastAsia="ja-JP"/>
        </w:rPr>
        <w:t xml:space="preserve"> </w:t>
      </w:r>
      <w:r>
        <w:rPr>
          <w:lang w:eastAsia="ja-JP"/>
        </w:rPr>
        <w:t>but</w:t>
      </w:r>
      <w:r w:rsidR="000159A6">
        <w:rPr>
          <w:lang w:eastAsia="ja-JP"/>
        </w:rPr>
        <w:t xml:space="preserve"> </w:t>
      </w:r>
      <w:r>
        <w:rPr>
          <w:lang w:eastAsia="ja-JP"/>
        </w:rPr>
        <w:t>would</w:t>
      </w:r>
      <w:r w:rsidR="000159A6">
        <w:rPr>
          <w:lang w:eastAsia="ja-JP"/>
        </w:rPr>
        <w:t xml:space="preserve"> </w:t>
      </w:r>
      <w:r>
        <w:rPr>
          <w:lang w:eastAsia="ja-JP"/>
        </w:rPr>
        <w:t>become</w:t>
      </w:r>
      <w:r w:rsidR="000159A6">
        <w:rPr>
          <w:lang w:eastAsia="ja-JP"/>
        </w:rPr>
        <w:t xml:space="preserve"> </w:t>
      </w:r>
      <w:r>
        <w:rPr>
          <w:lang w:eastAsia="ja-JP"/>
        </w:rPr>
        <w:t>favourable</w:t>
      </w:r>
      <w:r w:rsidR="000159A6">
        <w:rPr>
          <w:lang w:eastAsia="ja-JP"/>
        </w:rPr>
        <w:t xml:space="preserve"> </w:t>
      </w:r>
      <w:r>
        <w:rPr>
          <w:lang w:eastAsia="ja-JP"/>
        </w:rPr>
        <w:t>if</w:t>
      </w:r>
      <w:r w:rsidR="000159A6">
        <w:rPr>
          <w:lang w:eastAsia="ja-JP"/>
        </w:rPr>
        <w:t xml:space="preserve"> </w:t>
      </w:r>
      <w:r>
        <w:rPr>
          <w:lang w:eastAsia="ja-JP"/>
        </w:rPr>
        <w:t>the</w:t>
      </w:r>
      <w:r w:rsidR="000159A6">
        <w:rPr>
          <w:lang w:eastAsia="ja-JP"/>
        </w:rPr>
        <w:t xml:space="preserve"> </w:t>
      </w:r>
      <w:r>
        <w:rPr>
          <w:lang w:eastAsia="ja-JP"/>
        </w:rPr>
        <w:t>changes</w:t>
      </w:r>
      <w:r w:rsidR="000159A6">
        <w:rPr>
          <w:lang w:eastAsia="ja-JP"/>
        </w:rPr>
        <w:t xml:space="preserve"> </w:t>
      </w:r>
      <w:r>
        <w:rPr>
          <w:lang w:eastAsia="ja-JP"/>
        </w:rPr>
        <w:t>recommended</w:t>
      </w:r>
      <w:r w:rsidR="000159A6">
        <w:rPr>
          <w:lang w:eastAsia="ja-JP"/>
        </w:rPr>
        <w:t xml:space="preserve"> </w:t>
      </w:r>
      <w:r>
        <w:rPr>
          <w:lang w:eastAsia="ja-JP"/>
        </w:rPr>
        <w:t>are</w:t>
      </w:r>
      <w:r w:rsidR="000159A6">
        <w:rPr>
          <w:lang w:eastAsia="ja-JP"/>
        </w:rPr>
        <w:t xml:space="preserve"> </w:t>
      </w:r>
      <w:r>
        <w:rPr>
          <w:lang w:eastAsia="ja-JP"/>
        </w:rPr>
        <w:t>adopted</w:t>
      </w:r>
      <w:r w:rsidR="000159A6">
        <w:rPr>
          <w:lang w:eastAsia="ja-JP"/>
        </w:rPr>
        <w:t xml:space="preserve"> </w:t>
      </w:r>
      <w:r>
        <w:rPr>
          <w:lang w:eastAsia="ja-JP"/>
        </w:rPr>
        <w:t>and</w:t>
      </w:r>
      <w:r w:rsidR="000159A6">
        <w:rPr>
          <w:lang w:eastAsia="ja-JP"/>
        </w:rPr>
        <w:t xml:space="preserve"> </w:t>
      </w:r>
      <w:r>
        <w:rPr>
          <w:lang w:eastAsia="ja-JP"/>
        </w:rPr>
        <w:t>the</w:t>
      </w:r>
      <w:r w:rsidR="000159A6">
        <w:rPr>
          <w:lang w:eastAsia="ja-JP"/>
        </w:rPr>
        <w:t xml:space="preserve"> </w:t>
      </w:r>
      <w:r>
        <w:rPr>
          <w:lang w:eastAsia="ja-JP"/>
        </w:rPr>
        <w:t>questions</w:t>
      </w:r>
      <w:r w:rsidR="000159A6">
        <w:rPr>
          <w:lang w:eastAsia="ja-JP"/>
        </w:rPr>
        <w:t xml:space="preserve"> </w:t>
      </w:r>
      <w:r>
        <w:rPr>
          <w:lang w:eastAsia="ja-JP"/>
        </w:rPr>
        <w:t>are</w:t>
      </w:r>
      <w:r w:rsidR="000159A6">
        <w:rPr>
          <w:lang w:eastAsia="ja-JP"/>
        </w:rPr>
        <w:t xml:space="preserve"> </w:t>
      </w:r>
      <w:r>
        <w:rPr>
          <w:lang w:eastAsia="ja-JP"/>
        </w:rPr>
        <w:t>satisfactorily</w:t>
      </w:r>
      <w:r w:rsidR="000159A6">
        <w:rPr>
          <w:lang w:eastAsia="ja-JP"/>
        </w:rPr>
        <w:t xml:space="preserve"> </w:t>
      </w:r>
      <w:r>
        <w:rPr>
          <w:lang w:eastAsia="ja-JP"/>
        </w:rPr>
        <w:t>answered.</w:t>
      </w:r>
    </w:p>
    <w:p w14:paraId="5C5F810C" w14:textId="2C15E8D1" w:rsidR="005C0A6F" w:rsidRPr="00E021B7" w:rsidRDefault="00605AD4" w:rsidP="00541F41">
      <w:pPr>
        <w:pStyle w:val="Heading3"/>
        <w:rPr>
          <w:rFonts w:eastAsia="Cambria"/>
        </w:rPr>
      </w:pPr>
      <w:bookmarkStart w:id="197" w:name="_Toc1049819"/>
      <w:r w:rsidRPr="00E021B7">
        <w:rPr>
          <w:rFonts w:eastAsia="Cambria"/>
        </w:rPr>
        <w:t>First</w:t>
      </w:r>
      <w:r w:rsidR="000159A6" w:rsidRPr="00E021B7">
        <w:rPr>
          <w:rFonts w:eastAsia="Cambria"/>
        </w:rPr>
        <w:t xml:space="preserve"> </w:t>
      </w:r>
      <w:r w:rsidR="00541F41">
        <w:rPr>
          <w:rFonts w:eastAsia="Cambria"/>
        </w:rPr>
        <w:t>r</w:t>
      </w:r>
      <w:r w:rsidRPr="00E021B7">
        <w:rPr>
          <w:rFonts w:eastAsia="Cambria"/>
        </w:rPr>
        <w:t>ound</w:t>
      </w:r>
      <w:r w:rsidR="000159A6" w:rsidRPr="00E021B7">
        <w:rPr>
          <w:rFonts w:eastAsia="Cambria"/>
        </w:rPr>
        <w:t xml:space="preserve"> </w:t>
      </w:r>
      <w:r w:rsidR="00541F41">
        <w:rPr>
          <w:rFonts w:eastAsia="Cambria"/>
        </w:rPr>
        <w:t>r</w:t>
      </w:r>
      <w:r w:rsidRPr="00E021B7">
        <w:rPr>
          <w:rFonts w:eastAsia="Cambria"/>
        </w:rPr>
        <w:t>ecommendation</w:t>
      </w:r>
      <w:r w:rsidR="000159A6" w:rsidRPr="00E021B7">
        <w:rPr>
          <w:rFonts w:eastAsia="Cambria"/>
        </w:rPr>
        <w:t xml:space="preserve"> </w:t>
      </w:r>
      <w:r w:rsidR="00541F41">
        <w:rPr>
          <w:rFonts w:eastAsia="Cambria"/>
        </w:rPr>
        <w:t>r</w:t>
      </w:r>
      <w:r w:rsidRPr="00E021B7">
        <w:rPr>
          <w:rFonts w:eastAsia="Cambria"/>
        </w:rPr>
        <w:t>egarding</w:t>
      </w:r>
      <w:r w:rsidR="000159A6" w:rsidRPr="00E021B7">
        <w:rPr>
          <w:rFonts w:eastAsia="Cambria"/>
        </w:rPr>
        <w:t xml:space="preserve"> </w:t>
      </w:r>
      <w:r w:rsidR="00541F41" w:rsidRPr="00541F41">
        <w:rPr>
          <w:rFonts w:eastAsia="Cambria"/>
        </w:rPr>
        <w:t>a</w:t>
      </w:r>
      <w:r w:rsidRPr="00541F41">
        <w:rPr>
          <w:rFonts w:eastAsia="Cambria"/>
        </w:rPr>
        <w:t>uthorisation</w:t>
      </w:r>
      <w:bookmarkEnd w:id="197"/>
    </w:p>
    <w:p w14:paraId="6E837B21" w14:textId="0A423658" w:rsidR="00624EB5" w:rsidRDefault="00624EB5" w:rsidP="00541F41">
      <w:pPr>
        <w:rPr>
          <w:lang w:eastAsia="ja-JP"/>
        </w:rPr>
      </w:pPr>
      <w:r>
        <w:rPr>
          <w:lang w:eastAsia="ja-JP"/>
        </w:rPr>
        <w:t>Approval</w:t>
      </w:r>
      <w:r w:rsidR="000159A6">
        <w:rPr>
          <w:lang w:eastAsia="ja-JP"/>
        </w:rPr>
        <w:t xml:space="preserve"> </w:t>
      </w:r>
      <w:r>
        <w:rPr>
          <w:lang w:eastAsia="ja-JP"/>
        </w:rPr>
        <w:t>of</w:t>
      </w:r>
      <w:r w:rsidR="000159A6">
        <w:rPr>
          <w:lang w:eastAsia="ja-JP"/>
        </w:rPr>
        <w:t xml:space="preserve"> </w:t>
      </w:r>
      <w:r>
        <w:rPr>
          <w:lang w:eastAsia="ja-JP"/>
        </w:rPr>
        <w:t>Shingrix</w:t>
      </w:r>
      <w:r w:rsidR="000159A6">
        <w:rPr>
          <w:lang w:eastAsia="ja-JP"/>
        </w:rPr>
        <w:t xml:space="preserve"> </w:t>
      </w:r>
      <w:r>
        <w:rPr>
          <w:lang w:eastAsia="ja-JP"/>
        </w:rPr>
        <w:t>is</w:t>
      </w:r>
      <w:r w:rsidR="000159A6">
        <w:rPr>
          <w:lang w:eastAsia="ja-JP"/>
        </w:rPr>
        <w:t xml:space="preserve"> </w:t>
      </w:r>
      <w:r>
        <w:rPr>
          <w:lang w:eastAsia="ja-JP"/>
        </w:rPr>
        <w:t>not</w:t>
      </w:r>
      <w:r w:rsidR="000159A6">
        <w:rPr>
          <w:lang w:eastAsia="ja-JP"/>
        </w:rPr>
        <w:t xml:space="preserve"> </w:t>
      </w:r>
      <w:r>
        <w:rPr>
          <w:lang w:eastAsia="ja-JP"/>
        </w:rPr>
        <w:t>recommended</w:t>
      </w:r>
      <w:r w:rsidR="000159A6">
        <w:rPr>
          <w:lang w:eastAsia="ja-JP"/>
        </w:rPr>
        <w:t xml:space="preserve"> </w:t>
      </w:r>
      <w:r>
        <w:rPr>
          <w:lang w:eastAsia="ja-JP"/>
        </w:rPr>
        <w:t>for</w:t>
      </w:r>
      <w:r w:rsidR="000159A6">
        <w:rPr>
          <w:lang w:eastAsia="ja-JP"/>
        </w:rPr>
        <w:t xml:space="preserve"> </w:t>
      </w:r>
      <w:r>
        <w:rPr>
          <w:lang w:eastAsia="ja-JP"/>
        </w:rPr>
        <w:t>the</w:t>
      </w:r>
      <w:r w:rsidR="000159A6">
        <w:rPr>
          <w:lang w:eastAsia="ja-JP"/>
        </w:rPr>
        <w:t xml:space="preserve"> </w:t>
      </w:r>
      <w:r>
        <w:rPr>
          <w:lang w:eastAsia="ja-JP"/>
        </w:rPr>
        <w:t>following</w:t>
      </w:r>
      <w:r w:rsidR="000159A6">
        <w:rPr>
          <w:lang w:eastAsia="ja-JP"/>
        </w:rPr>
        <w:t xml:space="preserve"> </w:t>
      </w:r>
      <w:r>
        <w:rPr>
          <w:lang w:eastAsia="ja-JP"/>
        </w:rPr>
        <w:t>proposed</w:t>
      </w:r>
      <w:r w:rsidR="000159A6">
        <w:rPr>
          <w:lang w:eastAsia="ja-JP"/>
        </w:rPr>
        <w:t xml:space="preserve"> </w:t>
      </w:r>
      <w:r>
        <w:rPr>
          <w:lang w:eastAsia="ja-JP"/>
        </w:rPr>
        <w:t>indication:</w:t>
      </w:r>
    </w:p>
    <w:p w14:paraId="1B3DB92C" w14:textId="5FCD98A7" w:rsidR="00624EB5" w:rsidRPr="0039239E" w:rsidRDefault="00624EB5" w:rsidP="00624EB5">
      <w:pPr>
        <w:ind w:left="720"/>
        <w:rPr>
          <w:i/>
          <w:lang w:eastAsia="ja-JP"/>
        </w:rPr>
      </w:pPr>
      <w:r w:rsidRPr="0039239E">
        <w:rPr>
          <w:i/>
          <w:lang w:eastAsia="ja-JP"/>
        </w:rPr>
        <w:t>Shingrix</w:t>
      </w:r>
      <w:r w:rsidR="000159A6">
        <w:rPr>
          <w:i/>
          <w:lang w:eastAsia="ja-JP"/>
        </w:rPr>
        <w:t xml:space="preserve"> </w:t>
      </w:r>
      <w:r w:rsidRPr="0039239E">
        <w:rPr>
          <w:i/>
          <w:lang w:eastAsia="ja-JP"/>
        </w:rPr>
        <w:t>is</w:t>
      </w:r>
      <w:r w:rsidR="000159A6">
        <w:rPr>
          <w:i/>
          <w:lang w:eastAsia="ja-JP"/>
        </w:rPr>
        <w:t xml:space="preserve"> </w:t>
      </w:r>
      <w:r w:rsidRPr="0039239E">
        <w:rPr>
          <w:i/>
          <w:lang w:eastAsia="ja-JP"/>
        </w:rPr>
        <w:t>indicated</w:t>
      </w:r>
      <w:r w:rsidR="000159A6">
        <w:rPr>
          <w:i/>
          <w:lang w:eastAsia="ja-JP"/>
        </w:rPr>
        <w:t xml:space="preserve"> </w:t>
      </w:r>
      <w:r w:rsidRPr="0039239E">
        <w:rPr>
          <w:i/>
          <w:lang w:eastAsia="ja-JP"/>
        </w:rPr>
        <w:t>for</w:t>
      </w:r>
      <w:r w:rsidR="000159A6">
        <w:rPr>
          <w:i/>
          <w:lang w:eastAsia="ja-JP"/>
        </w:rPr>
        <w:t xml:space="preserve"> </w:t>
      </w:r>
      <w:r w:rsidRPr="0039239E">
        <w:rPr>
          <w:i/>
          <w:lang w:eastAsia="ja-JP"/>
        </w:rPr>
        <w:t>the</w:t>
      </w:r>
      <w:r w:rsidR="000159A6">
        <w:rPr>
          <w:i/>
          <w:lang w:eastAsia="ja-JP"/>
        </w:rPr>
        <w:t xml:space="preserve"> </w:t>
      </w:r>
      <w:r w:rsidRPr="0039239E">
        <w:rPr>
          <w:i/>
          <w:lang w:eastAsia="ja-JP"/>
        </w:rPr>
        <w:t>prevention</w:t>
      </w:r>
      <w:r w:rsidR="000159A6">
        <w:rPr>
          <w:i/>
          <w:lang w:eastAsia="ja-JP"/>
        </w:rPr>
        <w:t xml:space="preserve"> </w:t>
      </w:r>
      <w:r w:rsidRPr="0039239E">
        <w:rPr>
          <w:i/>
          <w:lang w:eastAsia="ja-JP"/>
        </w:rPr>
        <w:t>of</w:t>
      </w:r>
      <w:r w:rsidR="000159A6">
        <w:rPr>
          <w:i/>
          <w:lang w:eastAsia="ja-JP"/>
        </w:rPr>
        <w:t xml:space="preserve"> </w:t>
      </w:r>
      <w:r w:rsidRPr="0039239E">
        <w:rPr>
          <w:i/>
          <w:lang w:eastAsia="ja-JP"/>
        </w:rPr>
        <w:t>herpes</w:t>
      </w:r>
      <w:r w:rsidR="000159A6">
        <w:rPr>
          <w:i/>
          <w:lang w:eastAsia="ja-JP"/>
        </w:rPr>
        <w:t xml:space="preserve"> </w:t>
      </w:r>
      <w:r w:rsidRPr="0039239E">
        <w:rPr>
          <w:i/>
          <w:lang w:eastAsia="ja-JP"/>
        </w:rPr>
        <w:t>zoster</w:t>
      </w:r>
      <w:r w:rsidR="000159A6">
        <w:rPr>
          <w:i/>
          <w:lang w:eastAsia="ja-JP"/>
        </w:rPr>
        <w:t xml:space="preserve"> </w:t>
      </w:r>
      <w:r w:rsidRPr="0039239E">
        <w:rPr>
          <w:i/>
          <w:lang w:eastAsia="ja-JP"/>
        </w:rPr>
        <w:t>(HZ)</w:t>
      </w:r>
      <w:r w:rsidR="000159A6">
        <w:rPr>
          <w:i/>
          <w:lang w:eastAsia="ja-JP"/>
        </w:rPr>
        <w:t xml:space="preserve"> </w:t>
      </w:r>
      <w:r w:rsidRPr="0039239E">
        <w:rPr>
          <w:i/>
          <w:lang w:eastAsia="ja-JP"/>
        </w:rPr>
        <w:t>and</w:t>
      </w:r>
      <w:r w:rsidR="000159A6">
        <w:rPr>
          <w:i/>
          <w:lang w:eastAsia="ja-JP"/>
        </w:rPr>
        <w:t xml:space="preserve"> </w:t>
      </w:r>
      <w:r w:rsidR="000D0435">
        <w:rPr>
          <w:i/>
          <w:lang w:eastAsia="ja-JP"/>
        </w:rPr>
        <w:t>HZ</w:t>
      </w:r>
      <w:r w:rsidR="000159A6">
        <w:rPr>
          <w:i/>
          <w:lang w:eastAsia="ja-JP"/>
        </w:rPr>
        <w:t xml:space="preserve"> </w:t>
      </w:r>
      <w:r w:rsidR="000D0435">
        <w:rPr>
          <w:i/>
          <w:lang w:eastAsia="ja-JP"/>
        </w:rPr>
        <w:t>related</w:t>
      </w:r>
      <w:r w:rsidR="000159A6">
        <w:rPr>
          <w:i/>
          <w:lang w:eastAsia="ja-JP"/>
        </w:rPr>
        <w:t xml:space="preserve"> </w:t>
      </w:r>
      <w:r w:rsidRPr="0039239E">
        <w:rPr>
          <w:i/>
          <w:lang w:eastAsia="ja-JP"/>
        </w:rPr>
        <w:t>complications,</w:t>
      </w:r>
      <w:r w:rsidR="000159A6">
        <w:rPr>
          <w:i/>
          <w:lang w:eastAsia="ja-JP"/>
        </w:rPr>
        <w:t xml:space="preserve"> </w:t>
      </w:r>
      <w:r w:rsidRPr="0039239E">
        <w:rPr>
          <w:i/>
          <w:lang w:eastAsia="ja-JP"/>
        </w:rPr>
        <w:t>such</w:t>
      </w:r>
      <w:r w:rsidR="000159A6">
        <w:rPr>
          <w:i/>
          <w:lang w:eastAsia="ja-JP"/>
        </w:rPr>
        <w:t xml:space="preserve"> </w:t>
      </w:r>
      <w:r w:rsidRPr="0039239E">
        <w:rPr>
          <w:i/>
          <w:lang w:eastAsia="ja-JP"/>
        </w:rPr>
        <w:t>as</w:t>
      </w:r>
      <w:r w:rsidR="000159A6">
        <w:rPr>
          <w:i/>
          <w:lang w:eastAsia="ja-JP"/>
        </w:rPr>
        <w:t xml:space="preserve"> </w:t>
      </w:r>
      <w:r w:rsidR="000E6841">
        <w:rPr>
          <w:i/>
          <w:lang w:eastAsia="ja-JP"/>
        </w:rPr>
        <w:t>post</w:t>
      </w:r>
      <w:r w:rsidR="000159A6">
        <w:rPr>
          <w:i/>
          <w:lang w:eastAsia="ja-JP"/>
        </w:rPr>
        <w:t xml:space="preserve"> </w:t>
      </w:r>
      <w:r w:rsidR="000E6841">
        <w:rPr>
          <w:i/>
          <w:lang w:eastAsia="ja-JP"/>
        </w:rPr>
        <w:t>herpetic</w:t>
      </w:r>
      <w:r w:rsidR="000159A6">
        <w:rPr>
          <w:i/>
          <w:lang w:eastAsia="ja-JP"/>
        </w:rPr>
        <w:t xml:space="preserve"> </w:t>
      </w:r>
      <w:r w:rsidRPr="0039239E">
        <w:rPr>
          <w:i/>
          <w:lang w:eastAsia="ja-JP"/>
        </w:rPr>
        <w:t>neuralgia</w:t>
      </w:r>
      <w:r w:rsidR="000159A6">
        <w:rPr>
          <w:i/>
          <w:lang w:eastAsia="ja-JP"/>
        </w:rPr>
        <w:t xml:space="preserve"> </w:t>
      </w:r>
      <w:r w:rsidRPr="0039239E">
        <w:rPr>
          <w:i/>
          <w:lang w:eastAsia="ja-JP"/>
        </w:rPr>
        <w:t>(PHN),</w:t>
      </w:r>
      <w:r w:rsidR="000159A6">
        <w:rPr>
          <w:i/>
          <w:lang w:eastAsia="ja-JP"/>
        </w:rPr>
        <w:t xml:space="preserve"> </w:t>
      </w:r>
      <w:r w:rsidRPr="0039239E">
        <w:rPr>
          <w:i/>
          <w:lang w:eastAsia="ja-JP"/>
        </w:rPr>
        <w:t>in</w:t>
      </w:r>
      <w:r w:rsidR="000159A6">
        <w:rPr>
          <w:i/>
          <w:lang w:eastAsia="ja-JP"/>
        </w:rPr>
        <w:t xml:space="preserve"> </w:t>
      </w:r>
      <w:r w:rsidRPr="0039239E">
        <w:rPr>
          <w:i/>
          <w:lang w:eastAsia="ja-JP"/>
        </w:rPr>
        <w:t>adults</w:t>
      </w:r>
      <w:r w:rsidR="000159A6">
        <w:rPr>
          <w:i/>
          <w:lang w:eastAsia="ja-JP"/>
        </w:rPr>
        <w:t xml:space="preserve"> </w:t>
      </w:r>
      <w:r w:rsidRPr="0039239E">
        <w:rPr>
          <w:i/>
          <w:lang w:eastAsia="ja-JP"/>
        </w:rPr>
        <w:t>50</w:t>
      </w:r>
      <w:r w:rsidR="000159A6">
        <w:rPr>
          <w:i/>
          <w:lang w:eastAsia="ja-JP"/>
        </w:rPr>
        <w:t xml:space="preserve"> </w:t>
      </w:r>
      <w:r w:rsidRPr="0039239E">
        <w:rPr>
          <w:i/>
          <w:lang w:eastAsia="ja-JP"/>
        </w:rPr>
        <w:t>years</w:t>
      </w:r>
      <w:r w:rsidR="000159A6">
        <w:rPr>
          <w:i/>
          <w:lang w:eastAsia="ja-JP"/>
        </w:rPr>
        <w:t xml:space="preserve"> </w:t>
      </w:r>
      <w:r w:rsidRPr="0039239E">
        <w:rPr>
          <w:i/>
          <w:lang w:eastAsia="ja-JP"/>
        </w:rPr>
        <w:t>of</w:t>
      </w:r>
      <w:r w:rsidR="000159A6">
        <w:rPr>
          <w:i/>
          <w:lang w:eastAsia="ja-JP"/>
        </w:rPr>
        <w:t xml:space="preserve"> </w:t>
      </w:r>
      <w:r w:rsidRPr="0039239E">
        <w:rPr>
          <w:i/>
          <w:lang w:eastAsia="ja-JP"/>
        </w:rPr>
        <w:t>age</w:t>
      </w:r>
      <w:r w:rsidR="000159A6">
        <w:rPr>
          <w:i/>
          <w:lang w:eastAsia="ja-JP"/>
        </w:rPr>
        <w:t xml:space="preserve"> </w:t>
      </w:r>
      <w:r w:rsidRPr="0039239E">
        <w:rPr>
          <w:i/>
          <w:lang w:eastAsia="ja-JP"/>
        </w:rPr>
        <w:t>or</w:t>
      </w:r>
      <w:r w:rsidR="000159A6">
        <w:rPr>
          <w:i/>
          <w:lang w:eastAsia="ja-JP"/>
        </w:rPr>
        <w:t xml:space="preserve"> </w:t>
      </w:r>
      <w:r w:rsidRPr="0039239E">
        <w:rPr>
          <w:i/>
          <w:lang w:eastAsia="ja-JP"/>
        </w:rPr>
        <w:t>older</w:t>
      </w:r>
      <w:r w:rsidRPr="0039239E">
        <w:rPr>
          <w:i/>
          <w:iCs/>
          <w:lang w:eastAsia="ja-JP"/>
        </w:rPr>
        <w:t>.</w:t>
      </w:r>
    </w:p>
    <w:p w14:paraId="0FCAF10C" w14:textId="2A0E8225" w:rsidR="00624EB5" w:rsidRDefault="00624EB5" w:rsidP="00541F41">
      <w:pPr>
        <w:rPr>
          <w:lang w:eastAsia="ja-JP"/>
        </w:rPr>
      </w:pPr>
      <w:r>
        <w:rPr>
          <w:lang w:eastAsia="ja-JP"/>
        </w:rPr>
        <w:t>Approval</w:t>
      </w:r>
      <w:r w:rsidR="000159A6">
        <w:rPr>
          <w:lang w:eastAsia="ja-JP"/>
        </w:rPr>
        <w:t xml:space="preserve"> </w:t>
      </w:r>
      <w:r>
        <w:rPr>
          <w:lang w:eastAsia="ja-JP"/>
        </w:rPr>
        <w:t>is</w:t>
      </w:r>
      <w:r w:rsidR="000159A6">
        <w:rPr>
          <w:lang w:eastAsia="ja-JP"/>
        </w:rPr>
        <w:t xml:space="preserve"> </w:t>
      </w:r>
      <w:r>
        <w:rPr>
          <w:lang w:eastAsia="ja-JP"/>
        </w:rPr>
        <w:t>recommended</w:t>
      </w:r>
      <w:r w:rsidR="000159A6">
        <w:rPr>
          <w:lang w:eastAsia="ja-JP"/>
        </w:rPr>
        <w:t xml:space="preserve"> </w:t>
      </w:r>
      <w:r>
        <w:rPr>
          <w:lang w:eastAsia="ja-JP"/>
        </w:rPr>
        <w:t>for</w:t>
      </w:r>
      <w:r w:rsidR="000159A6">
        <w:rPr>
          <w:lang w:eastAsia="ja-JP"/>
        </w:rPr>
        <w:t xml:space="preserve"> </w:t>
      </w:r>
      <w:r>
        <w:rPr>
          <w:lang w:eastAsia="ja-JP"/>
        </w:rPr>
        <w:t>a</w:t>
      </w:r>
      <w:r w:rsidR="000159A6">
        <w:rPr>
          <w:lang w:eastAsia="ja-JP"/>
        </w:rPr>
        <w:t xml:space="preserve"> </w:t>
      </w:r>
      <w:r>
        <w:rPr>
          <w:lang w:eastAsia="ja-JP"/>
        </w:rPr>
        <w:t>revised</w:t>
      </w:r>
      <w:r w:rsidR="000159A6">
        <w:rPr>
          <w:lang w:eastAsia="ja-JP"/>
        </w:rPr>
        <w:t xml:space="preserve"> </w:t>
      </w:r>
      <w:r>
        <w:rPr>
          <w:lang w:eastAsia="ja-JP"/>
        </w:rPr>
        <w:t>indication</w:t>
      </w:r>
      <w:r w:rsidR="000159A6">
        <w:rPr>
          <w:lang w:eastAsia="ja-JP"/>
        </w:rPr>
        <w:t xml:space="preserve"> </w:t>
      </w:r>
      <w:r>
        <w:rPr>
          <w:lang w:eastAsia="ja-JP"/>
        </w:rPr>
        <w:t>which</w:t>
      </w:r>
      <w:r w:rsidR="000159A6">
        <w:rPr>
          <w:lang w:eastAsia="ja-JP"/>
        </w:rPr>
        <w:t xml:space="preserve"> </w:t>
      </w:r>
      <w:r>
        <w:rPr>
          <w:lang w:eastAsia="ja-JP"/>
        </w:rPr>
        <w:t>removes</w:t>
      </w:r>
      <w:r w:rsidR="000159A6">
        <w:rPr>
          <w:lang w:eastAsia="ja-JP"/>
        </w:rPr>
        <w:t xml:space="preserve"> </w:t>
      </w:r>
      <w:r w:rsidR="000D0435">
        <w:rPr>
          <w:lang w:eastAsia="ja-JP"/>
        </w:rPr>
        <w:t>HZ</w:t>
      </w:r>
      <w:r w:rsidR="000159A6">
        <w:rPr>
          <w:lang w:eastAsia="ja-JP"/>
        </w:rPr>
        <w:t xml:space="preserve"> </w:t>
      </w:r>
      <w:r w:rsidR="000D0435">
        <w:rPr>
          <w:lang w:eastAsia="ja-JP"/>
        </w:rPr>
        <w:t>related</w:t>
      </w:r>
      <w:r w:rsidR="000159A6">
        <w:rPr>
          <w:lang w:eastAsia="ja-JP"/>
        </w:rPr>
        <w:t xml:space="preserve"> </w:t>
      </w:r>
      <w:r>
        <w:rPr>
          <w:lang w:eastAsia="ja-JP"/>
        </w:rPr>
        <w:t>complications</w:t>
      </w:r>
      <w:r w:rsidR="000159A6">
        <w:rPr>
          <w:lang w:eastAsia="ja-JP"/>
        </w:rPr>
        <w:t xml:space="preserve"> </w:t>
      </w:r>
      <w:r>
        <w:rPr>
          <w:lang w:eastAsia="ja-JP"/>
        </w:rPr>
        <w:t>other</w:t>
      </w:r>
      <w:r w:rsidR="000159A6">
        <w:rPr>
          <w:lang w:eastAsia="ja-JP"/>
        </w:rPr>
        <w:t xml:space="preserve"> </w:t>
      </w:r>
      <w:r>
        <w:rPr>
          <w:lang w:eastAsia="ja-JP"/>
        </w:rPr>
        <w:t>than</w:t>
      </w:r>
      <w:r w:rsidR="000159A6">
        <w:rPr>
          <w:lang w:eastAsia="ja-JP"/>
        </w:rPr>
        <w:t xml:space="preserve"> </w:t>
      </w:r>
      <w:r>
        <w:rPr>
          <w:lang w:eastAsia="ja-JP"/>
        </w:rPr>
        <w:t>PHN.</w:t>
      </w:r>
      <w:r w:rsidR="000159A6">
        <w:rPr>
          <w:lang w:eastAsia="ja-JP"/>
        </w:rPr>
        <w:t xml:space="preserve"> </w:t>
      </w:r>
      <w:r>
        <w:rPr>
          <w:lang w:eastAsia="ja-JP"/>
        </w:rPr>
        <w:t>A</w:t>
      </w:r>
      <w:r w:rsidR="000159A6">
        <w:rPr>
          <w:lang w:eastAsia="ja-JP"/>
        </w:rPr>
        <w:t xml:space="preserve"> </w:t>
      </w:r>
      <w:r>
        <w:rPr>
          <w:lang w:eastAsia="ja-JP"/>
        </w:rPr>
        <w:t>suggestion</w:t>
      </w:r>
      <w:r w:rsidR="000159A6">
        <w:rPr>
          <w:lang w:eastAsia="ja-JP"/>
        </w:rPr>
        <w:t xml:space="preserve"> </w:t>
      </w:r>
      <w:r>
        <w:rPr>
          <w:lang w:eastAsia="ja-JP"/>
        </w:rPr>
        <w:t>is</w:t>
      </w:r>
      <w:r w:rsidR="000159A6">
        <w:rPr>
          <w:lang w:eastAsia="ja-JP"/>
        </w:rPr>
        <w:t xml:space="preserve"> </w:t>
      </w:r>
      <w:r>
        <w:rPr>
          <w:lang w:eastAsia="ja-JP"/>
        </w:rPr>
        <w:t>as</w:t>
      </w:r>
      <w:r w:rsidR="000159A6">
        <w:rPr>
          <w:lang w:eastAsia="ja-JP"/>
        </w:rPr>
        <w:t xml:space="preserve"> </w:t>
      </w:r>
      <w:r>
        <w:rPr>
          <w:lang w:eastAsia="ja-JP"/>
        </w:rPr>
        <w:t>follows:</w:t>
      </w:r>
    </w:p>
    <w:p w14:paraId="7CCEFA79" w14:textId="336DDDFF" w:rsidR="00624EB5" w:rsidRPr="0039239E" w:rsidRDefault="00624EB5" w:rsidP="00624EB5">
      <w:pPr>
        <w:ind w:left="720"/>
        <w:rPr>
          <w:i/>
          <w:lang w:eastAsia="ja-JP"/>
        </w:rPr>
      </w:pPr>
      <w:r w:rsidRPr="0039239E">
        <w:rPr>
          <w:i/>
          <w:lang w:eastAsia="ja-JP"/>
        </w:rPr>
        <w:t>Shingrix</w:t>
      </w:r>
      <w:r w:rsidR="000159A6">
        <w:rPr>
          <w:i/>
          <w:lang w:eastAsia="ja-JP"/>
        </w:rPr>
        <w:t xml:space="preserve"> </w:t>
      </w:r>
      <w:r w:rsidRPr="0039239E">
        <w:rPr>
          <w:i/>
          <w:lang w:eastAsia="ja-JP"/>
        </w:rPr>
        <w:t>is</w:t>
      </w:r>
      <w:r w:rsidR="000159A6">
        <w:rPr>
          <w:i/>
          <w:lang w:eastAsia="ja-JP"/>
        </w:rPr>
        <w:t xml:space="preserve"> </w:t>
      </w:r>
      <w:r w:rsidRPr="0039239E">
        <w:rPr>
          <w:i/>
          <w:lang w:eastAsia="ja-JP"/>
        </w:rPr>
        <w:t>indicated</w:t>
      </w:r>
      <w:r w:rsidR="000159A6">
        <w:rPr>
          <w:i/>
          <w:lang w:eastAsia="ja-JP"/>
        </w:rPr>
        <w:t xml:space="preserve"> </w:t>
      </w:r>
      <w:r w:rsidRPr="0039239E">
        <w:rPr>
          <w:i/>
          <w:lang w:eastAsia="ja-JP"/>
        </w:rPr>
        <w:t>for</w:t>
      </w:r>
      <w:r w:rsidR="000159A6">
        <w:rPr>
          <w:i/>
          <w:lang w:eastAsia="ja-JP"/>
        </w:rPr>
        <w:t xml:space="preserve"> </w:t>
      </w:r>
      <w:r w:rsidRPr="0039239E">
        <w:rPr>
          <w:i/>
          <w:lang w:eastAsia="ja-JP"/>
        </w:rPr>
        <w:t>the</w:t>
      </w:r>
      <w:r w:rsidR="000159A6">
        <w:rPr>
          <w:i/>
          <w:lang w:eastAsia="ja-JP"/>
        </w:rPr>
        <w:t xml:space="preserve"> </w:t>
      </w:r>
      <w:r w:rsidRPr="0039239E">
        <w:rPr>
          <w:i/>
          <w:lang w:eastAsia="ja-JP"/>
        </w:rPr>
        <w:t>prevention</w:t>
      </w:r>
      <w:r w:rsidR="000159A6">
        <w:rPr>
          <w:i/>
          <w:lang w:eastAsia="ja-JP"/>
        </w:rPr>
        <w:t xml:space="preserve"> </w:t>
      </w:r>
      <w:r w:rsidRPr="0039239E">
        <w:rPr>
          <w:i/>
          <w:lang w:eastAsia="ja-JP"/>
        </w:rPr>
        <w:t>of</w:t>
      </w:r>
      <w:r w:rsidR="000159A6">
        <w:rPr>
          <w:i/>
          <w:lang w:eastAsia="ja-JP"/>
        </w:rPr>
        <w:t xml:space="preserve"> </w:t>
      </w:r>
      <w:r w:rsidRPr="0039239E">
        <w:rPr>
          <w:i/>
          <w:lang w:eastAsia="ja-JP"/>
        </w:rPr>
        <w:t>herpes</w:t>
      </w:r>
      <w:r w:rsidR="000159A6">
        <w:rPr>
          <w:i/>
          <w:lang w:eastAsia="ja-JP"/>
        </w:rPr>
        <w:t xml:space="preserve"> </w:t>
      </w:r>
      <w:r w:rsidRPr="0039239E">
        <w:rPr>
          <w:i/>
          <w:lang w:eastAsia="ja-JP"/>
        </w:rPr>
        <w:t>zoster</w:t>
      </w:r>
      <w:r w:rsidR="000159A6">
        <w:rPr>
          <w:i/>
          <w:lang w:eastAsia="ja-JP"/>
        </w:rPr>
        <w:t xml:space="preserve"> </w:t>
      </w:r>
      <w:r w:rsidRPr="0039239E">
        <w:rPr>
          <w:i/>
          <w:lang w:eastAsia="ja-JP"/>
        </w:rPr>
        <w:t>and</w:t>
      </w:r>
      <w:r w:rsidR="000159A6">
        <w:rPr>
          <w:i/>
          <w:lang w:eastAsia="ja-JP"/>
        </w:rPr>
        <w:t xml:space="preserve"> </w:t>
      </w:r>
      <w:r w:rsidR="000E6841">
        <w:rPr>
          <w:i/>
          <w:lang w:eastAsia="ja-JP"/>
        </w:rPr>
        <w:t>post</w:t>
      </w:r>
      <w:r w:rsidR="000159A6">
        <w:rPr>
          <w:i/>
          <w:lang w:eastAsia="ja-JP"/>
        </w:rPr>
        <w:t xml:space="preserve"> </w:t>
      </w:r>
      <w:r w:rsidR="000E6841">
        <w:rPr>
          <w:i/>
          <w:lang w:eastAsia="ja-JP"/>
        </w:rPr>
        <w:t>herpetic</w:t>
      </w:r>
      <w:r w:rsidR="000159A6">
        <w:rPr>
          <w:i/>
          <w:lang w:eastAsia="ja-JP"/>
        </w:rPr>
        <w:t xml:space="preserve"> </w:t>
      </w:r>
      <w:r>
        <w:rPr>
          <w:i/>
          <w:lang w:eastAsia="ja-JP"/>
        </w:rPr>
        <w:t>neuralgia</w:t>
      </w:r>
      <w:r w:rsidR="000159A6">
        <w:rPr>
          <w:i/>
          <w:lang w:eastAsia="ja-JP"/>
        </w:rPr>
        <w:t xml:space="preserve"> </w:t>
      </w:r>
      <w:r w:rsidRPr="0039239E">
        <w:rPr>
          <w:i/>
          <w:lang w:eastAsia="ja-JP"/>
        </w:rPr>
        <w:t>in</w:t>
      </w:r>
      <w:r w:rsidR="000159A6">
        <w:rPr>
          <w:i/>
          <w:lang w:eastAsia="ja-JP"/>
        </w:rPr>
        <w:t xml:space="preserve"> </w:t>
      </w:r>
      <w:r w:rsidRPr="0039239E">
        <w:rPr>
          <w:i/>
          <w:lang w:eastAsia="ja-JP"/>
        </w:rPr>
        <w:t>adults</w:t>
      </w:r>
      <w:r w:rsidR="000159A6">
        <w:rPr>
          <w:i/>
          <w:lang w:eastAsia="ja-JP"/>
        </w:rPr>
        <w:t xml:space="preserve"> </w:t>
      </w:r>
      <w:r w:rsidRPr="0039239E">
        <w:rPr>
          <w:i/>
          <w:lang w:eastAsia="ja-JP"/>
        </w:rPr>
        <w:t>50</w:t>
      </w:r>
      <w:r w:rsidR="000159A6">
        <w:rPr>
          <w:i/>
          <w:lang w:eastAsia="ja-JP"/>
        </w:rPr>
        <w:t xml:space="preserve"> </w:t>
      </w:r>
      <w:r w:rsidRPr="0039239E">
        <w:rPr>
          <w:i/>
          <w:lang w:eastAsia="ja-JP"/>
        </w:rPr>
        <w:t>years</w:t>
      </w:r>
      <w:r w:rsidR="000159A6">
        <w:rPr>
          <w:i/>
          <w:lang w:eastAsia="ja-JP"/>
        </w:rPr>
        <w:t xml:space="preserve"> </w:t>
      </w:r>
      <w:r w:rsidRPr="0039239E">
        <w:rPr>
          <w:i/>
          <w:lang w:eastAsia="ja-JP"/>
        </w:rPr>
        <w:t>of</w:t>
      </w:r>
      <w:r w:rsidR="000159A6">
        <w:rPr>
          <w:i/>
          <w:lang w:eastAsia="ja-JP"/>
        </w:rPr>
        <w:t xml:space="preserve"> </w:t>
      </w:r>
      <w:r w:rsidRPr="0039239E">
        <w:rPr>
          <w:i/>
          <w:lang w:eastAsia="ja-JP"/>
        </w:rPr>
        <w:t>age</w:t>
      </w:r>
      <w:r w:rsidR="000159A6">
        <w:rPr>
          <w:i/>
          <w:lang w:eastAsia="ja-JP"/>
        </w:rPr>
        <w:t xml:space="preserve"> </w:t>
      </w:r>
      <w:r w:rsidRPr="0039239E">
        <w:rPr>
          <w:i/>
          <w:lang w:eastAsia="ja-JP"/>
        </w:rPr>
        <w:t>or</w:t>
      </w:r>
      <w:r w:rsidR="000159A6">
        <w:rPr>
          <w:i/>
          <w:lang w:eastAsia="ja-JP"/>
        </w:rPr>
        <w:t xml:space="preserve"> </w:t>
      </w:r>
      <w:r w:rsidRPr="0039239E">
        <w:rPr>
          <w:i/>
          <w:lang w:eastAsia="ja-JP"/>
        </w:rPr>
        <w:t>older</w:t>
      </w:r>
      <w:r w:rsidRPr="0039239E">
        <w:rPr>
          <w:i/>
          <w:iCs/>
          <w:lang w:eastAsia="ja-JP"/>
        </w:rPr>
        <w:t>.</w:t>
      </w:r>
    </w:p>
    <w:p w14:paraId="026A4EBC" w14:textId="2632F67F" w:rsidR="00624EB5" w:rsidRPr="00624EB5" w:rsidRDefault="00624EB5" w:rsidP="00541F41">
      <w:r w:rsidRPr="00307F05">
        <w:t>This</w:t>
      </w:r>
      <w:r w:rsidR="000159A6">
        <w:t xml:space="preserve"> </w:t>
      </w:r>
      <w:r w:rsidRPr="00307F05">
        <w:t>recommendation</w:t>
      </w:r>
      <w:r w:rsidR="000159A6">
        <w:t xml:space="preserve"> </w:t>
      </w:r>
      <w:r w:rsidRPr="00307F05">
        <w:t>is</w:t>
      </w:r>
      <w:r w:rsidR="000159A6">
        <w:t xml:space="preserve"> </w:t>
      </w:r>
      <w:r w:rsidRPr="00307F05">
        <w:t>subject</w:t>
      </w:r>
      <w:r w:rsidR="000159A6">
        <w:t xml:space="preserve"> </w:t>
      </w:r>
      <w:r w:rsidRPr="00307F05">
        <w:t>to</w:t>
      </w:r>
      <w:r w:rsidR="000159A6">
        <w:t xml:space="preserve"> </w:t>
      </w:r>
      <w:r w:rsidRPr="00307F05">
        <w:t>satisfactory</w:t>
      </w:r>
      <w:r w:rsidR="000159A6">
        <w:t xml:space="preserve"> </w:t>
      </w:r>
      <w:r w:rsidRPr="00307F05">
        <w:t>responses</w:t>
      </w:r>
      <w:r w:rsidR="000159A6">
        <w:t xml:space="preserve"> </w:t>
      </w:r>
      <w:r w:rsidRPr="00307F05">
        <w:t>to</w:t>
      </w:r>
      <w:r w:rsidR="000159A6">
        <w:t xml:space="preserve"> </w:t>
      </w:r>
      <w:r w:rsidRPr="00307F05">
        <w:t>the</w:t>
      </w:r>
      <w:r w:rsidR="000159A6">
        <w:t xml:space="preserve"> </w:t>
      </w:r>
      <w:r w:rsidRPr="00307F05">
        <w:t>questions</w:t>
      </w:r>
      <w:r w:rsidR="000159A6">
        <w:t xml:space="preserve"> </w:t>
      </w:r>
      <w:r w:rsidRPr="00307F05">
        <w:t>and</w:t>
      </w:r>
      <w:r w:rsidR="000159A6">
        <w:t xml:space="preserve"> </w:t>
      </w:r>
      <w:r w:rsidRPr="00307F05">
        <w:t>the</w:t>
      </w:r>
      <w:r w:rsidR="000159A6">
        <w:t xml:space="preserve"> </w:t>
      </w:r>
      <w:r w:rsidRPr="00307F05">
        <w:t>comments</w:t>
      </w:r>
      <w:r w:rsidR="000159A6">
        <w:t xml:space="preserve"> </w:t>
      </w:r>
      <w:r w:rsidRPr="00307F05">
        <w:t>on</w:t>
      </w:r>
      <w:r w:rsidR="000159A6">
        <w:t xml:space="preserve"> </w:t>
      </w:r>
      <w:r w:rsidRPr="00307F05">
        <w:t>the</w:t>
      </w:r>
      <w:r w:rsidR="000159A6">
        <w:t xml:space="preserve"> </w:t>
      </w:r>
      <w:r w:rsidRPr="00307F05">
        <w:t>draft</w:t>
      </w:r>
      <w:r w:rsidR="000159A6">
        <w:t xml:space="preserve"> </w:t>
      </w:r>
      <w:r w:rsidRPr="00307F05">
        <w:t>PI</w:t>
      </w:r>
      <w:r w:rsidR="000159A6">
        <w:t xml:space="preserve"> </w:t>
      </w:r>
      <w:r w:rsidRPr="00307F05">
        <w:t>and</w:t>
      </w:r>
      <w:r w:rsidR="000159A6">
        <w:t xml:space="preserve"> </w:t>
      </w:r>
      <w:r w:rsidRPr="00307F05">
        <w:t>CMI</w:t>
      </w:r>
      <w:r>
        <w:t>.</w:t>
      </w:r>
    </w:p>
    <w:p w14:paraId="05BC4814" w14:textId="4C19F44A" w:rsidR="00605AD4" w:rsidRPr="00605AD4" w:rsidRDefault="00605AD4" w:rsidP="00541F41">
      <w:pPr>
        <w:pStyle w:val="Heading3"/>
        <w:rPr>
          <w:rFonts w:eastAsia="Cambria"/>
        </w:rPr>
      </w:pPr>
      <w:bookmarkStart w:id="198" w:name="_Toc1049820"/>
      <w:r w:rsidRPr="00605AD4">
        <w:rPr>
          <w:rFonts w:eastAsia="Cambria"/>
        </w:rPr>
        <w:t>Second</w:t>
      </w:r>
      <w:r w:rsidR="000159A6">
        <w:rPr>
          <w:rFonts w:eastAsia="Cambria"/>
        </w:rPr>
        <w:t xml:space="preserve"> </w:t>
      </w:r>
      <w:r w:rsidR="00541F41">
        <w:rPr>
          <w:rFonts w:eastAsia="Cambria"/>
        </w:rPr>
        <w:t>r</w:t>
      </w:r>
      <w:r w:rsidRPr="00605AD4">
        <w:rPr>
          <w:rFonts w:eastAsia="Cambria"/>
        </w:rPr>
        <w:t>ound</w:t>
      </w:r>
      <w:r w:rsidR="000159A6">
        <w:rPr>
          <w:rFonts w:eastAsia="Cambria"/>
        </w:rPr>
        <w:t xml:space="preserve"> </w:t>
      </w:r>
      <w:r w:rsidR="00541F41" w:rsidRPr="00541F41">
        <w:rPr>
          <w:rFonts w:eastAsia="Cambria"/>
        </w:rPr>
        <w:t>e</w:t>
      </w:r>
      <w:r w:rsidRPr="00541F41">
        <w:rPr>
          <w:rFonts w:eastAsia="Cambria"/>
        </w:rPr>
        <w:t>valuation</w:t>
      </w:r>
      <w:bookmarkEnd w:id="198"/>
    </w:p>
    <w:p w14:paraId="141323BD" w14:textId="7BD543FC" w:rsidR="006136D7" w:rsidRPr="00605AD4" w:rsidRDefault="00500337" w:rsidP="00541F41">
      <w:r w:rsidRPr="00500337">
        <w:t>For</w:t>
      </w:r>
      <w:r w:rsidR="000159A6">
        <w:t xml:space="preserve"> </w:t>
      </w:r>
      <w:r w:rsidRPr="00500337">
        <w:t>details</w:t>
      </w:r>
      <w:r w:rsidR="000159A6">
        <w:t xml:space="preserve"> </w:t>
      </w:r>
      <w:r w:rsidRPr="00500337">
        <w:t>of</w:t>
      </w:r>
      <w:r w:rsidR="000159A6">
        <w:t xml:space="preserve"> </w:t>
      </w:r>
      <w:r w:rsidRPr="00500337">
        <w:t>the</w:t>
      </w:r>
      <w:r w:rsidR="000159A6">
        <w:t xml:space="preserve"> </w:t>
      </w:r>
      <w:r w:rsidRPr="00500337">
        <w:t>second</w:t>
      </w:r>
      <w:r w:rsidR="000159A6">
        <w:t xml:space="preserve"> </w:t>
      </w:r>
      <w:r w:rsidRPr="00500337">
        <w:t>round</w:t>
      </w:r>
      <w:r w:rsidR="000159A6">
        <w:t xml:space="preserve"> </w:t>
      </w:r>
      <w:r w:rsidRPr="00500337">
        <w:t>evaluation</w:t>
      </w:r>
      <w:r w:rsidR="000159A6">
        <w:t xml:space="preserve"> </w:t>
      </w:r>
      <w:r w:rsidRPr="00500337">
        <w:t>including</w:t>
      </w:r>
      <w:r w:rsidR="000159A6">
        <w:t xml:space="preserve"> </w:t>
      </w:r>
      <w:r w:rsidRPr="00500337">
        <w:t>the</w:t>
      </w:r>
      <w:r w:rsidR="000159A6">
        <w:t xml:space="preserve"> </w:t>
      </w:r>
      <w:r w:rsidRPr="00500337">
        <w:t>issues</w:t>
      </w:r>
      <w:r w:rsidR="000159A6">
        <w:t xml:space="preserve"> </w:t>
      </w:r>
      <w:r w:rsidRPr="00500337">
        <w:t>raised</w:t>
      </w:r>
      <w:r w:rsidR="000159A6">
        <w:t xml:space="preserve"> </w:t>
      </w:r>
      <w:r w:rsidRPr="00500337">
        <w:t>by</w:t>
      </w:r>
      <w:r w:rsidR="000159A6">
        <w:t xml:space="preserve"> </w:t>
      </w:r>
      <w:r w:rsidRPr="00500337">
        <w:t>the</w:t>
      </w:r>
      <w:r w:rsidR="000159A6">
        <w:t xml:space="preserve"> </w:t>
      </w:r>
      <w:r w:rsidRPr="00500337">
        <w:t>evaluator</w:t>
      </w:r>
      <w:r w:rsidR="000159A6">
        <w:t xml:space="preserve"> </w:t>
      </w:r>
      <w:r w:rsidRPr="00500337">
        <w:t>(Clinical</w:t>
      </w:r>
      <w:r w:rsidR="000159A6">
        <w:t xml:space="preserve"> </w:t>
      </w:r>
      <w:r w:rsidRPr="00500337">
        <w:t>questions),</w:t>
      </w:r>
      <w:r w:rsidR="000159A6">
        <w:t xml:space="preserve"> </w:t>
      </w:r>
      <w:r w:rsidRPr="00500337">
        <w:t>the</w:t>
      </w:r>
      <w:r w:rsidR="000159A6">
        <w:t xml:space="preserve"> </w:t>
      </w:r>
      <w:r w:rsidRPr="00500337">
        <w:t>sponsor’s</w:t>
      </w:r>
      <w:r w:rsidR="000159A6">
        <w:t xml:space="preserve"> </w:t>
      </w:r>
      <w:r w:rsidRPr="00500337">
        <w:t>responses</w:t>
      </w:r>
      <w:r w:rsidR="000159A6">
        <w:t xml:space="preserve"> </w:t>
      </w:r>
      <w:r w:rsidRPr="00500337">
        <w:t>and</w:t>
      </w:r>
      <w:r w:rsidR="000159A6">
        <w:t xml:space="preserve"> </w:t>
      </w:r>
      <w:r w:rsidRPr="00500337">
        <w:t>the</w:t>
      </w:r>
      <w:r w:rsidR="000159A6">
        <w:t xml:space="preserve"> </w:t>
      </w:r>
      <w:r w:rsidRPr="00500337">
        <w:t>evaluation</w:t>
      </w:r>
      <w:r w:rsidR="000159A6">
        <w:t xml:space="preserve"> </w:t>
      </w:r>
      <w:r w:rsidRPr="00500337">
        <w:t>of</w:t>
      </w:r>
      <w:r w:rsidR="000159A6">
        <w:t xml:space="preserve"> </w:t>
      </w:r>
      <w:r w:rsidRPr="00500337">
        <w:t>these</w:t>
      </w:r>
      <w:r w:rsidR="000159A6">
        <w:t xml:space="preserve"> </w:t>
      </w:r>
      <w:r w:rsidRPr="00500337">
        <w:t>responses</w:t>
      </w:r>
      <w:r w:rsidR="000159A6">
        <w:t xml:space="preserve"> </w:t>
      </w:r>
      <w:r w:rsidRPr="00500337">
        <w:t>please</w:t>
      </w:r>
      <w:r w:rsidR="000159A6">
        <w:t xml:space="preserve"> </w:t>
      </w:r>
      <w:r w:rsidRPr="00500337">
        <w:t>see</w:t>
      </w:r>
      <w:r w:rsidR="000159A6">
        <w:t xml:space="preserve"> </w:t>
      </w:r>
      <w:r w:rsidRPr="00500337">
        <w:t>Attachment</w:t>
      </w:r>
      <w:r w:rsidR="000159A6">
        <w:t xml:space="preserve"> </w:t>
      </w:r>
      <w:r w:rsidRPr="00500337">
        <w:t>2.</w:t>
      </w:r>
    </w:p>
    <w:p w14:paraId="1552AAFB" w14:textId="00CAA064" w:rsidR="005C0A6F" w:rsidRDefault="00605AD4" w:rsidP="00541F41">
      <w:pPr>
        <w:pStyle w:val="Heading3"/>
        <w:rPr>
          <w:rFonts w:eastAsia="Cambria"/>
        </w:rPr>
      </w:pPr>
      <w:bookmarkStart w:id="199" w:name="_Toc1049821"/>
      <w:r w:rsidRPr="00605AD4">
        <w:rPr>
          <w:rFonts w:eastAsia="Cambria"/>
        </w:rPr>
        <w:t>Second</w:t>
      </w:r>
      <w:r w:rsidR="000159A6">
        <w:rPr>
          <w:rFonts w:eastAsia="Cambria"/>
        </w:rPr>
        <w:t xml:space="preserve"> </w:t>
      </w:r>
      <w:r w:rsidR="00541F41">
        <w:rPr>
          <w:rFonts w:eastAsia="Cambria"/>
        </w:rPr>
        <w:t>r</w:t>
      </w:r>
      <w:r w:rsidRPr="00605AD4">
        <w:rPr>
          <w:rFonts w:eastAsia="Cambria"/>
        </w:rPr>
        <w:t>ound</w:t>
      </w:r>
      <w:r w:rsidR="000159A6">
        <w:rPr>
          <w:rFonts w:eastAsia="Cambria"/>
        </w:rPr>
        <w:t xml:space="preserve"> </w:t>
      </w:r>
      <w:r w:rsidR="00541F41">
        <w:rPr>
          <w:rFonts w:eastAsia="Cambria"/>
        </w:rPr>
        <w:t>b</w:t>
      </w:r>
      <w:r w:rsidRPr="00605AD4">
        <w:rPr>
          <w:rFonts w:eastAsia="Cambria"/>
        </w:rPr>
        <w:t>enefit-</w:t>
      </w:r>
      <w:r w:rsidR="00541F41">
        <w:rPr>
          <w:rFonts w:eastAsia="Cambria"/>
        </w:rPr>
        <w:t>r</w:t>
      </w:r>
      <w:r w:rsidRPr="00605AD4">
        <w:rPr>
          <w:rFonts w:eastAsia="Cambria"/>
        </w:rPr>
        <w:t>isk</w:t>
      </w:r>
      <w:r w:rsidR="000159A6">
        <w:rPr>
          <w:rFonts w:eastAsia="Cambria"/>
        </w:rPr>
        <w:t xml:space="preserve"> </w:t>
      </w:r>
      <w:r w:rsidR="00541F41" w:rsidRPr="00541F41">
        <w:rPr>
          <w:rFonts w:eastAsia="Cambria"/>
        </w:rPr>
        <w:t>a</w:t>
      </w:r>
      <w:r w:rsidRPr="00541F41">
        <w:rPr>
          <w:rFonts w:eastAsia="Cambria"/>
        </w:rPr>
        <w:t>ssessment</w:t>
      </w:r>
      <w:bookmarkEnd w:id="199"/>
    </w:p>
    <w:p w14:paraId="7C846A6F" w14:textId="740DE912" w:rsidR="00624EB5" w:rsidRPr="00E021B7" w:rsidRDefault="00624EB5" w:rsidP="00541F41">
      <w:pPr>
        <w:pStyle w:val="Heading4"/>
      </w:pPr>
      <w:bookmarkStart w:id="200" w:name="_Toc272414709"/>
      <w:bookmarkStart w:id="201" w:name="_Toc290888575"/>
      <w:bookmarkStart w:id="202" w:name="_Toc416353792"/>
      <w:bookmarkStart w:id="203" w:name="_Toc421005334"/>
      <w:bookmarkStart w:id="204" w:name="_Toc432079207"/>
      <w:bookmarkStart w:id="205" w:name="_Toc432080780"/>
      <w:bookmarkStart w:id="206" w:name="_Toc507578090"/>
      <w:bookmarkStart w:id="207" w:name="_Toc523409076"/>
      <w:r w:rsidRPr="00E021B7">
        <w:t>Second</w:t>
      </w:r>
      <w:r w:rsidR="000159A6" w:rsidRPr="00E021B7">
        <w:t xml:space="preserve"> </w:t>
      </w:r>
      <w:r w:rsidRPr="00E021B7">
        <w:t>round</w:t>
      </w:r>
      <w:r w:rsidR="000159A6" w:rsidRPr="00E021B7">
        <w:t xml:space="preserve"> </w:t>
      </w:r>
      <w:r w:rsidRPr="00541F41">
        <w:t>assessment</w:t>
      </w:r>
      <w:r w:rsidR="000159A6" w:rsidRPr="00E021B7">
        <w:t xml:space="preserve"> </w:t>
      </w:r>
      <w:r w:rsidRPr="00E021B7">
        <w:t>of</w:t>
      </w:r>
      <w:r w:rsidR="000159A6" w:rsidRPr="00E021B7">
        <w:t xml:space="preserve"> </w:t>
      </w:r>
      <w:r w:rsidRPr="00E021B7">
        <w:t>benefits</w:t>
      </w:r>
      <w:bookmarkEnd w:id="200"/>
      <w:bookmarkEnd w:id="201"/>
      <w:bookmarkEnd w:id="202"/>
      <w:bookmarkEnd w:id="203"/>
      <w:bookmarkEnd w:id="204"/>
      <w:bookmarkEnd w:id="205"/>
      <w:bookmarkEnd w:id="206"/>
      <w:bookmarkEnd w:id="207"/>
    </w:p>
    <w:p w14:paraId="0F17589E" w14:textId="3F77956A" w:rsidR="00624EB5" w:rsidRDefault="00624EB5" w:rsidP="00541F41">
      <w:pPr>
        <w:rPr>
          <w:lang w:eastAsia="ja-JP"/>
        </w:rPr>
      </w:pPr>
      <w:r>
        <w:rPr>
          <w:lang w:eastAsia="ja-JP"/>
        </w:rPr>
        <w:t>Following</w:t>
      </w:r>
      <w:r w:rsidR="000159A6">
        <w:rPr>
          <w:lang w:eastAsia="ja-JP"/>
        </w:rPr>
        <w:t xml:space="preserve"> </w:t>
      </w:r>
      <w:r>
        <w:rPr>
          <w:lang w:eastAsia="ja-JP"/>
        </w:rPr>
        <w:t>evaluation</w:t>
      </w:r>
      <w:r w:rsidR="000159A6">
        <w:rPr>
          <w:lang w:eastAsia="ja-JP"/>
        </w:rPr>
        <w:t xml:space="preserve"> </w:t>
      </w:r>
      <w:r>
        <w:rPr>
          <w:lang w:eastAsia="ja-JP"/>
        </w:rPr>
        <w:t>of</w:t>
      </w:r>
      <w:r w:rsidR="000159A6">
        <w:rPr>
          <w:lang w:eastAsia="ja-JP"/>
        </w:rPr>
        <w:t xml:space="preserve"> </w:t>
      </w:r>
      <w:r>
        <w:rPr>
          <w:lang w:eastAsia="ja-JP"/>
        </w:rPr>
        <w:t>clinical</w:t>
      </w:r>
      <w:r w:rsidR="000159A6">
        <w:rPr>
          <w:lang w:eastAsia="ja-JP"/>
        </w:rPr>
        <w:t xml:space="preserve"> </w:t>
      </w:r>
      <w:r>
        <w:rPr>
          <w:lang w:eastAsia="ja-JP"/>
        </w:rPr>
        <w:t>data</w:t>
      </w:r>
      <w:r w:rsidR="000159A6">
        <w:rPr>
          <w:lang w:eastAsia="ja-JP"/>
        </w:rPr>
        <w:t xml:space="preserve"> </w:t>
      </w:r>
      <w:r>
        <w:rPr>
          <w:lang w:eastAsia="ja-JP"/>
        </w:rPr>
        <w:t>provided</w:t>
      </w:r>
      <w:r w:rsidR="000159A6">
        <w:rPr>
          <w:lang w:eastAsia="ja-JP"/>
        </w:rPr>
        <w:t xml:space="preserve"> </w:t>
      </w:r>
      <w:r>
        <w:rPr>
          <w:lang w:eastAsia="ja-JP"/>
        </w:rPr>
        <w:t>in</w:t>
      </w:r>
      <w:r w:rsidR="000159A6">
        <w:rPr>
          <w:lang w:eastAsia="ja-JP"/>
        </w:rPr>
        <w:t xml:space="preserve"> </w:t>
      </w:r>
      <w:r>
        <w:rPr>
          <w:lang w:eastAsia="ja-JP"/>
        </w:rPr>
        <w:t>response</w:t>
      </w:r>
      <w:r w:rsidR="000159A6">
        <w:rPr>
          <w:lang w:eastAsia="ja-JP"/>
        </w:rPr>
        <w:t xml:space="preserve"> </w:t>
      </w:r>
      <w:r>
        <w:rPr>
          <w:lang w:eastAsia="ja-JP"/>
        </w:rPr>
        <w:t>to</w:t>
      </w:r>
      <w:r w:rsidR="000159A6">
        <w:rPr>
          <w:lang w:eastAsia="ja-JP"/>
        </w:rPr>
        <w:t xml:space="preserve"> </w:t>
      </w:r>
      <w:r>
        <w:rPr>
          <w:lang w:eastAsia="ja-JP"/>
        </w:rPr>
        <w:t>the</w:t>
      </w:r>
      <w:r w:rsidR="000159A6">
        <w:rPr>
          <w:lang w:eastAsia="ja-JP"/>
        </w:rPr>
        <w:t xml:space="preserve"> </w:t>
      </w:r>
      <w:r>
        <w:rPr>
          <w:lang w:eastAsia="ja-JP"/>
        </w:rPr>
        <w:t>first</w:t>
      </w:r>
      <w:r w:rsidR="000159A6">
        <w:rPr>
          <w:lang w:eastAsia="ja-JP"/>
        </w:rPr>
        <w:t xml:space="preserve"> </w:t>
      </w:r>
      <w:r>
        <w:rPr>
          <w:lang w:eastAsia="ja-JP"/>
        </w:rPr>
        <w:t>round</w:t>
      </w:r>
      <w:r w:rsidR="000159A6">
        <w:rPr>
          <w:lang w:eastAsia="ja-JP"/>
        </w:rPr>
        <w:t xml:space="preserve"> </w:t>
      </w:r>
      <w:r>
        <w:rPr>
          <w:lang w:eastAsia="ja-JP"/>
        </w:rPr>
        <w:t>evaluation,</w:t>
      </w:r>
      <w:r w:rsidR="000159A6">
        <w:rPr>
          <w:lang w:eastAsia="ja-JP"/>
        </w:rPr>
        <w:t xml:space="preserve"> </w:t>
      </w:r>
      <w:r>
        <w:rPr>
          <w:lang w:eastAsia="ja-JP"/>
        </w:rPr>
        <w:t>there</w:t>
      </w:r>
      <w:r w:rsidR="000159A6">
        <w:rPr>
          <w:lang w:eastAsia="ja-JP"/>
        </w:rPr>
        <w:t xml:space="preserve"> </w:t>
      </w:r>
      <w:r>
        <w:rPr>
          <w:lang w:eastAsia="ja-JP"/>
        </w:rPr>
        <w:t>are</w:t>
      </w:r>
      <w:r w:rsidR="000159A6">
        <w:rPr>
          <w:lang w:eastAsia="ja-JP"/>
        </w:rPr>
        <w:t xml:space="preserve"> </w:t>
      </w:r>
      <w:r>
        <w:rPr>
          <w:lang w:eastAsia="ja-JP"/>
        </w:rPr>
        <w:t>no</w:t>
      </w:r>
      <w:r w:rsidR="000159A6">
        <w:rPr>
          <w:lang w:eastAsia="ja-JP"/>
        </w:rPr>
        <w:t xml:space="preserve"> </w:t>
      </w:r>
      <w:r>
        <w:rPr>
          <w:lang w:eastAsia="ja-JP"/>
        </w:rPr>
        <w:t>changes</w:t>
      </w:r>
      <w:r w:rsidR="000159A6">
        <w:rPr>
          <w:lang w:eastAsia="ja-JP"/>
        </w:rPr>
        <w:t xml:space="preserve"> </w:t>
      </w:r>
      <w:r>
        <w:rPr>
          <w:lang w:eastAsia="ja-JP"/>
        </w:rPr>
        <w:t>to</w:t>
      </w:r>
      <w:r w:rsidR="000159A6">
        <w:rPr>
          <w:lang w:eastAsia="ja-JP"/>
        </w:rPr>
        <w:t xml:space="preserve"> </w:t>
      </w:r>
      <w:r>
        <w:rPr>
          <w:lang w:eastAsia="ja-JP"/>
        </w:rPr>
        <w:t>the</w:t>
      </w:r>
      <w:r w:rsidR="000159A6">
        <w:rPr>
          <w:lang w:eastAsia="ja-JP"/>
        </w:rPr>
        <w:t xml:space="preserve"> </w:t>
      </w:r>
      <w:r>
        <w:rPr>
          <w:lang w:eastAsia="ja-JP"/>
        </w:rPr>
        <w:t>benefits</w:t>
      </w:r>
      <w:r w:rsidR="000159A6">
        <w:rPr>
          <w:lang w:eastAsia="ja-JP"/>
        </w:rPr>
        <w:t xml:space="preserve"> </w:t>
      </w:r>
      <w:r>
        <w:rPr>
          <w:lang w:eastAsia="ja-JP"/>
        </w:rPr>
        <w:t>of</w:t>
      </w:r>
      <w:r w:rsidR="000159A6">
        <w:rPr>
          <w:lang w:eastAsia="ja-JP"/>
        </w:rPr>
        <w:t xml:space="preserve"> </w:t>
      </w:r>
      <w:r>
        <w:rPr>
          <w:lang w:eastAsia="ja-JP"/>
        </w:rPr>
        <w:t>Shingrix</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proposed</w:t>
      </w:r>
      <w:r w:rsidR="000159A6">
        <w:rPr>
          <w:lang w:eastAsia="ja-JP"/>
        </w:rPr>
        <w:t xml:space="preserve"> </w:t>
      </w:r>
      <w:r>
        <w:rPr>
          <w:lang w:eastAsia="ja-JP"/>
        </w:rPr>
        <w:t>usage</w:t>
      </w:r>
      <w:r w:rsidR="000159A6">
        <w:rPr>
          <w:lang w:eastAsia="ja-JP"/>
        </w:rPr>
        <w:t xml:space="preserve"> </w:t>
      </w:r>
      <w:r>
        <w:rPr>
          <w:lang w:eastAsia="ja-JP"/>
        </w:rPr>
        <w:t>as</w:t>
      </w:r>
      <w:r w:rsidR="000159A6">
        <w:rPr>
          <w:lang w:eastAsia="ja-JP"/>
        </w:rPr>
        <w:t xml:space="preserve"> </w:t>
      </w:r>
      <w:r>
        <w:rPr>
          <w:lang w:eastAsia="ja-JP"/>
        </w:rPr>
        <w:t>listed</w:t>
      </w:r>
      <w:r w:rsidR="000159A6">
        <w:rPr>
          <w:lang w:eastAsia="ja-JP"/>
        </w:rPr>
        <w:t xml:space="preserve"> </w:t>
      </w:r>
      <w:r>
        <w:rPr>
          <w:lang w:eastAsia="ja-JP"/>
        </w:rPr>
        <w:t>the</w:t>
      </w:r>
      <w:r w:rsidR="000159A6">
        <w:rPr>
          <w:lang w:eastAsia="ja-JP"/>
        </w:rPr>
        <w:t xml:space="preserve"> </w:t>
      </w:r>
      <w:r>
        <w:rPr>
          <w:lang w:eastAsia="ja-JP"/>
        </w:rPr>
        <w:t>first</w:t>
      </w:r>
      <w:r w:rsidR="000159A6">
        <w:rPr>
          <w:lang w:eastAsia="ja-JP"/>
        </w:rPr>
        <w:t xml:space="preserve"> </w:t>
      </w:r>
      <w:r>
        <w:rPr>
          <w:lang w:eastAsia="ja-JP"/>
        </w:rPr>
        <w:t>round</w:t>
      </w:r>
      <w:r w:rsidR="000159A6">
        <w:rPr>
          <w:lang w:eastAsia="ja-JP"/>
        </w:rPr>
        <w:t xml:space="preserve"> </w:t>
      </w:r>
      <w:r>
        <w:rPr>
          <w:lang w:eastAsia="ja-JP"/>
        </w:rPr>
        <w:t>assessment</w:t>
      </w:r>
      <w:r w:rsidR="000159A6">
        <w:rPr>
          <w:lang w:eastAsia="ja-JP"/>
        </w:rPr>
        <w:t xml:space="preserve"> </w:t>
      </w:r>
      <w:r>
        <w:rPr>
          <w:lang w:eastAsia="ja-JP"/>
        </w:rPr>
        <w:t>of</w:t>
      </w:r>
      <w:r w:rsidR="000159A6">
        <w:rPr>
          <w:lang w:eastAsia="ja-JP"/>
        </w:rPr>
        <w:t xml:space="preserve"> </w:t>
      </w:r>
      <w:r>
        <w:rPr>
          <w:lang w:eastAsia="ja-JP"/>
        </w:rPr>
        <w:t>benefits.</w:t>
      </w:r>
    </w:p>
    <w:p w14:paraId="1F9F78A0" w14:textId="130DE60A" w:rsidR="00624EB5" w:rsidRPr="00E021B7" w:rsidRDefault="00624EB5" w:rsidP="00541F41">
      <w:pPr>
        <w:pStyle w:val="Heading4"/>
      </w:pPr>
      <w:bookmarkStart w:id="208" w:name="_Toc272414710"/>
      <w:bookmarkStart w:id="209" w:name="_Toc290888576"/>
      <w:bookmarkStart w:id="210" w:name="_Toc416353793"/>
      <w:bookmarkStart w:id="211" w:name="_Toc421005335"/>
      <w:bookmarkStart w:id="212" w:name="_Toc432079208"/>
      <w:bookmarkStart w:id="213" w:name="_Toc432080781"/>
      <w:bookmarkStart w:id="214" w:name="_Toc507578091"/>
      <w:bookmarkStart w:id="215" w:name="_Toc523409077"/>
      <w:r w:rsidRPr="00E021B7">
        <w:lastRenderedPageBreak/>
        <w:t>Second</w:t>
      </w:r>
      <w:r w:rsidR="000159A6" w:rsidRPr="00E021B7">
        <w:t xml:space="preserve"> </w:t>
      </w:r>
      <w:r w:rsidRPr="00E021B7">
        <w:t>round</w:t>
      </w:r>
      <w:r w:rsidR="000159A6" w:rsidRPr="00E021B7">
        <w:t xml:space="preserve"> </w:t>
      </w:r>
      <w:r w:rsidRPr="00541F41">
        <w:t>assessment</w:t>
      </w:r>
      <w:r w:rsidR="000159A6" w:rsidRPr="00E021B7">
        <w:t xml:space="preserve"> </w:t>
      </w:r>
      <w:r w:rsidRPr="00E021B7">
        <w:t>of</w:t>
      </w:r>
      <w:r w:rsidR="000159A6" w:rsidRPr="00E021B7">
        <w:t xml:space="preserve"> </w:t>
      </w:r>
      <w:r w:rsidRPr="00E021B7">
        <w:t>risks</w:t>
      </w:r>
      <w:bookmarkEnd w:id="208"/>
      <w:bookmarkEnd w:id="209"/>
      <w:bookmarkEnd w:id="210"/>
      <w:bookmarkEnd w:id="211"/>
      <w:bookmarkEnd w:id="212"/>
      <w:bookmarkEnd w:id="213"/>
      <w:bookmarkEnd w:id="214"/>
      <w:bookmarkEnd w:id="215"/>
    </w:p>
    <w:p w14:paraId="4D76E158" w14:textId="70937DD8" w:rsidR="00624EB5" w:rsidRDefault="00624EB5" w:rsidP="00541F41">
      <w:r>
        <w:rPr>
          <w:lang w:eastAsia="ja-JP"/>
        </w:rPr>
        <w:t>The</w:t>
      </w:r>
      <w:r w:rsidR="000159A6">
        <w:rPr>
          <w:lang w:eastAsia="ja-JP"/>
        </w:rPr>
        <w:t xml:space="preserve"> </w:t>
      </w:r>
      <w:r>
        <w:rPr>
          <w:lang w:eastAsia="ja-JP"/>
        </w:rPr>
        <w:t>clinical</w:t>
      </w:r>
      <w:r w:rsidR="000159A6">
        <w:rPr>
          <w:lang w:eastAsia="ja-JP"/>
        </w:rPr>
        <w:t xml:space="preserve"> </w:t>
      </w:r>
      <w:r>
        <w:rPr>
          <w:lang w:eastAsia="ja-JP"/>
        </w:rPr>
        <w:t>data</w:t>
      </w:r>
      <w:r w:rsidR="000159A6">
        <w:rPr>
          <w:lang w:eastAsia="ja-JP"/>
        </w:rPr>
        <w:t xml:space="preserve"> </w:t>
      </w:r>
      <w:r>
        <w:rPr>
          <w:lang w:eastAsia="ja-JP"/>
        </w:rPr>
        <w:t>provided</w:t>
      </w:r>
      <w:r w:rsidR="000159A6">
        <w:rPr>
          <w:lang w:eastAsia="ja-JP"/>
        </w:rPr>
        <w:t xml:space="preserve"> </w:t>
      </w:r>
      <w:r>
        <w:rPr>
          <w:lang w:eastAsia="ja-JP"/>
        </w:rPr>
        <w:t>in</w:t>
      </w:r>
      <w:r w:rsidR="000159A6">
        <w:rPr>
          <w:lang w:eastAsia="ja-JP"/>
        </w:rPr>
        <w:t xml:space="preserve"> </w:t>
      </w:r>
      <w:r>
        <w:rPr>
          <w:lang w:eastAsia="ja-JP"/>
        </w:rPr>
        <w:t>response</w:t>
      </w:r>
      <w:r w:rsidR="000159A6">
        <w:rPr>
          <w:lang w:eastAsia="ja-JP"/>
        </w:rPr>
        <w:t xml:space="preserve"> </w:t>
      </w:r>
      <w:r>
        <w:rPr>
          <w:lang w:eastAsia="ja-JP"/>
        </w:rPr>
        <w:t>to</w:t>
      </w:r>
      <w:r w:rsidR="000159A6">
        <w:rPr>
          <w:lang w:eastAsia="ja-JP"/>
        </w:rPr>
        <w:t xml:space="preserve"> </w:t>
      </w:r>
      <w:r>
        <w:rPr>
          <w:lang w:eastAsia="ja-JP"/>
        </w:rPr>
        <w:t>the</w:t>
      </w:r>
      <w:r w:rsidR="000159A6">
        <w:rPr>
          <w:lang w:eastAsia="ja-JP"/>
        </w:rPr>
        <w:t xml:space="preserve"> </w:t>
      </w:r>
      <w:r>
        <w:rPr>
          <w:lang w:eastAsia="ja-JP"/>
        </w:rPr>
        <w:t>first</w:t>
      </w:r>
      <w:r w:rsidR="000159A6">
        <w:rPr>
          <w:lang w:eastAsia="ja-JP"/>
        </w:rPr>
        <w:t xml:space="preserve"> </w:t>
      </w:r>
      <w:r>
        <w:rPr>
          <w:lang w:eastAsia="ja-JP"/>
        </w:rPr>
        <w:t>round</w:t>
      </w:r>
      <w:r w:rsidR="000159A6">
        <w:rPr>
          <w:lang w:eastAsia="ja-JP"/>
        </w:rPr>
        <w:t xml:space="preserve"> </w:t>
      </w:r>
      <w:r>
        <w:rPr>
          <w:lang w:eastAsia="ja-JP"/>
        </w:rPr>
        <w:t>evaluation</w:t>
      </w:r>
      <w:r w:rsidR="000159A6">
        <w:rPr>
          <w:lang w:eastAsia="ja-JP"/>
        </w:rPr>
        <w:t xml:space="preserve"> </w:t>
      </w:r>
      <w:r>
        <w:rPr>
          <w:lang w:eastAsia="ja-JP"/>
        </w:rPr>
        <w:t>included</w:t>
      </w:r>
      <w:r w:rsidR="000159A6">
        <w:rPr>
          <w:lang w:eastAsia="ja-JP"/>
        </w:rPr>
        <w:t xml:space="preserve"> </w:t>
      </w:r>
      <w:r>
        <w:rPr>
          <w:lang w:eastAsia="ja-JP"/>
        </w:rPr>
        <w:t>data</w:t>
      </w:r>
      <w:r w:rsidR="000159A6">
        <w:rPr>
          <w:lang w:eastAsia="ja-JP"/>
        </w:rPr>
        <w:t xml:space="preserve"> </w:t>
      </w:r>
      <w:r>
        <w:rPr>
          <w:lang w:eastAsia="ja-JP"/>
        </w:rPr>
        <w:t>on</w:t>
      </w:r>
      <w:r w:rsidR="000159A6">
        <w:rPr>
          <w:lang w:eastAsia="ja-JP"/>
        </w:rPr>
        <w:t xml:space="preserve"> </w:t>
      </w:r>
      <w:r>
        <w:rPr>
          <w:lang w:eastAsia="ja-JP"/>
        </w:rPr>
        <w:t>immunological</w:t>
      </w:r>
      <w:r w:rsidR="000159A6">
        <w:rPr>
          <w:lang w:eastAsia="ja-JP"/>
        </w:rPr>
        <w:t xml:space="preserve"> </w:t>
      </w:r>
      <w:r>
        <w:rPr>
          <w:lang w:eastAsia="ja-JP"/>
        </w:rPr>
        <w:t>correlates</w:t>
      </w:r>
      <w:r w:rsidR="000159A6">
        <w:rPr>
          <w:lang w:eastAsia="ja-JP"/>
        </w:rPr>
        <w:t xml:space="preserve"> </w:t>
      </w:r>
      <w:r>
        <w:rPr>
          <w:lang w:eastAsia="ja-JP"/>
        </w:rPr>
        <w:t>of</w:t>
      </w:r>
      <w:r w:rsidR="000159A6">
        <w:rPr>
          <w:lang w:eastAsia="ja-JP"/>
        </w:rPr>
        <w:t xml:space="preserve"> </w:t>
      </w:r>
      <w:r>
        <w:rPr>
          <w:lang w:eastAsia="ja-JP"/>
        </w:rPr>
        <w:t>protection.</w:t>
      </w:r>
      <w:r w:rsidR="000159A6">
        <w:rPr>
          <w:lang w:eastAsia="ja-JP"/>
        </w:rPr>
        <w:t xml:space="preserve"> </w:t>
      </w:r>
      <w:r>
        <w:rPr>
          <w:lang w:eastAsia="ja-JP"/>
        </w:rPr>
        <w:t>These</w:t>
      </w:r>
      <w:r w:rsidR="000159A6">
        <w:rPr>
          <w:lang w:eastAsia="ja-JP"/>
        </w:rPr>
        <w:t xml:space="preserve"> </w:t>
      </w:r>
      <w:r>
        <w:rPr>
          <w:lang w:eastAsia="ja-JP"/>
        </w:rPr>
        <w:t>data</w:t>
      </w:r>
      <w:r w:rsidR="000159A6">
        <w:rPr>
          <w:lang w:eastAsia="ja-JP"/>
        </w:rPr>
        <w:t xml:space="preserve"> </w:t>
      </w:r>
      <w:r>
        <w:t>indicated</w:t>
      </w:r>
      <w:r w:rsidR="000159A6">
        <w:t xml:space="preserve"> </w:t>
      </w:r>
      <w:r>
        <w:t>a</w:t>
      </w:r>
      <w:r w:rsidR="000159A6">
        <w:t xml:space="preserve"> </w:t>
      </w:r>
      <w:r>
        <w:t>correlation</w:t>
      </w:r>
      <w:r w:rsidR="000159A6">
        <w:t xml:space="preserve"> </w:t>
      </w:r>
      <w:r>
        <w:t>between</w:t>
      </w:r>
      <w:r w:rsidR="000159A6">
        <w:t xml:space="preserve"> </w:t>
      </w:r>
      <w:r>
        <w:t>the</w:t>
      </w:r>
      <w:r w:rsidR="000159A6">
        <w:t xml:space="preserve"> </w:t>
      </w:r>
      <w:proofErr w:type="gramStart"/>
      <w:r>
        <w:t>gE</w:t>
      </w:r>
      <w:proofErr w:type="gramEnd"/>
      <w:r w:rsidR="000159A6">
        <w:t xml:space="preserve"> </w:t>
      </w:r>
      <w:r>
        <w:t>ELISA</w:t>
      </w:r>
      <w:r w:rsidR="000159A6">
        <w:t xml:space="preserve"> </w:t>
      </w:r>
      <w:r>
        <w:t>antibody</w:t>
      </w:r>
      <w:r w:rsidR="000159A6">
        <w:t xml:space="preserve"> </w:t>
      </w:r>
      <w:r>
        <w:t>level</w:t>
      </w:r>
      <w:r w:rsidR="000159A6">
        <w:t xml:space="preserve"> </w:t>
      </w:r>
      <w:r>
        <w:t>and</w:t>
      </w:r>
      <w:r w:rsidR="000159A6">
        <w:t xml:space="preserve"> </w:t>
      </w:r>
      <w:r>
        <w:t>the</w:t>
      </w:r>
      <w:r w:rsidR="000159A6">
        <w:t xml:space="preserve"> </w:t>
      </w:r>
      <w:r>
        <w:t>protection</w:t>
      </w:r>
      <w:r w:rsidR="000159A6">
        <w:t xml:space="preserve"> </w:t>
      </w:r>
      <w:r>
        <w:t>against</w:t>
      </w:r>
      <w:r w:rsidR="000159A6">
        <w:t xml:space="preserve"> </w:t>
      </w:r>
      <w:r>
        <w:t>HZ</w:t>
      </w:r>
      <w:r w:rsidR="000159A6">
        <w:t xml:space="preserve"> </w:t>
      </w:r>
      <w:r>
        <w:t>in</w:t>
      </w:r>
      <w:r w:rsidR="000159A6">
        <w:t xml:space="preserve"> </w:t>
      </w:r>
      <w:r>
        <w:t>adults</w:t>
      </w:r>
      <w:r w:rsidR="000159A6">
        <w:t xml:space="preserve"> </w:t>
      </w:r>
      <w:r w:rsidR="0037169B">
        <w:t>≥</w:t>
      </w:r>
      <w:r w:rsidR="000159A6">
        <w:t xml:space="preserve"> </w:t>
      </w:r>
      <w:r>
        <w:t>50</w:t>
      </w:r>
      <w:r w:rsidR="000159A6">
        <w:t xml:space="preserve"> </w:t>
      </w:r>
      <w:r>
        <w:t>years</w:t>
      </w:r>
      <w:r w:rsidR="000159A6">
        <w:t xml:space="preserve"> </w:t>
      </w:r>
      <w:r>
        <w:t>of</w:t>
      </w:r>
      <w:r w:rsidR="000159A6">
        <w:t xml:space="preserve"> </w:t>
      </w:r>
      <w:r>
        <w:t>age.</w:t>
      </w:r>
      <w:r w:rsidR="000159A6">
        <w:t xml:space="preserve"> </w:t>
      </w:r>
      <w:r>
        <w:t>Consequently,</w:t>
      </w:r>
      <w:r w:rsidR="000159A6">
        <w:t xml:space="preserve"> </w:t>
      </w:r>
      <w:r>
        <w:t>the</w:t>
      </w:r>
      <w:r w:rsidR="000159A6">
        <w:t xml:space="preserve"> </w:t>
      </w:r>
      <w:r>
        <w:t>immunological</w:t>
      </w:r>
      <w:r w:rsidR="000159A6">
        <w:t xml:space="preserve"> </w:t>
      </w:r>
      <w:r>
        <w:t>data</w:t>
      </w:r>
      <w:r w:rsidR="000159A6">
        <w:t xml:space="preserve"> </w:t>
      </w:r>
      <w:r>
        <w:t>from</w:t>
      </w:r>
      <w:r w:rsidR="000159A6">
        <w:t xml:space="preserve"> </w:t>
      </w:r>
      <w:r>
        <w:t>the</w:t>
      </w:r>
      <w:r w:rsidR="000159A6">
        <w:t xml:space="preserve"> </w:t>
      </w:r>
      <w:r>
        <w:t>dosing</w:t>
      </w:r>
      <w:r w:rsidR="000159A6">
        <w:t xml:space="preserve"> </w:t>
      </w:r>
      <w:r>
        <w:t>schedule</w:t>
      </w:r>
      <w:r w:rsidR="000159A6">
        <w:t xml:space="preserve"> </w:t>
      </w:r>
      <w:r>
        <w:t>Study</w:t>
      </w:r>
      <w:r w:rsidR="000159A6">
        <w:t xml:space="preserve"> </w:t>
      </w:r>
      <w:r>
        <w:t>ZOSTER-026</w:t>
      </w:r>
      <w:r w:rsidR="000159A6">
        <w:t xml:space="preserve"> </w:t>
      </w:r>
      <w:r>
        <w:t>is</w:t>
      </w:r>
      <w:r w:rsidR="000159A6">
        <w:t xml:space="preserve"> </w:t>
      </w:r>
      <w:r>
        <w:t>more</w:t>
      </w:r>
      <w:r w:rsidR="000159A6">
        <w:t xml:space="preserve"> </w:t>
      </w:r>
      <w:r>
        <w:t>clinically</w:t>
      </w:r>
      <w:r w:rsidR="000159A6">
        <w:t xml:space="preserve"> </w:t>
      </w:r>
      <w:r>
        <w:t>relevant.</w:t>
      </w:r>
    </w:p>
    <w:p w14:paraId="35F25093" w14:textId="3D9D340C" w:rsidR="00624EB5" w:rsidRDefault="00624EB5" w:rsidP="00541F41">
      <w:pPr>
        <w:rPr>
          <w:lang w:eastAsia="ja-JP"/>
        </w:rPr>
      </w:pPr>
      <w:r>
        <w:rPr>
          <w:lang w:eastAsia="ja-JP"/>
        </w:rPr>
        <w:t>Apart</w:t>
      </w:r>
      <w:r w:rsidR="000159A6">
        <w:rPr>
          <w:lang w:eastAsia="ja-JP"/>
        </w:rPr>
        <w:t xml:space="preserve"> </w:t>
      </w:r>
      <w:r>
        <w:rPr>
          <w:lang w:eastAsia="ja-JP"/>
        </w:rPr>
        <w:t>from</w:t>
      </w:r>
      <w:r w:rsidR="000159A6">
        <w:rPr>
          <w:lang w:eastAsia="ja-JP"/>
        </w:rPr>
        <w:t xml:space="preserve"> </w:t>
      </w:r>
      <w:r>
        <w:rPr>
          <w:lang w:eastAsia="ja-JP"/>
        </w:rPr>
        <w:t>this,</w:t>
      </w:r>
      <w:r w:rsidR="000159A6">
        <w:rPr>
          <w:lang w:eastAsia="ja-JP"/>
        </w:rPr>
        <w:t xml:space="preserve"> </w:t>
      </w:r>
      <w:r>
        <w:rPr>
          <w:lang w:eastAsia="ja-JP"/>
        </w:rPr>
        <w:t>there</w:t>
      </w:r>
      <w:r w:rsidR="000159A6">
        <w:rPr>
          <w:lang w:eastAsia="ja-JP"/>
        </w:rPr>
        <w:t xml:space="preserve"> </w:t>
      </w:r>
      <w:r>
        <w:rPr>
          <w:lang w:eastAsia="ja-JP"/>
        </w:rPr>
        <w:t>are</w:t>
      </w:r>
      <w:r w:rsidR="000159A6">
        <w:rPr>
          <w:lang w:eastAsia="ja-JP"/>
        </w:rPr>
        <w:t xml:space="preserve"> </w:t>
      </w:r>
      <w:r>
        <w:rPr>
          <w:lang w:eastAsia="ja-JP"/>
        </w:rPr>
        <w:t>no</w:t>
      </w:r>
      <w:r w:rsidR="000159A6">
        <w:rPr>
          <w:lang w:eastAsia="ja-JP"/>
        </w:rPr>
        <w:t xml:space="preserve"> </w:t>
      </w:r>
      <w:r>
        <w:rPr>
          <w:lang w:eastAsia="ja-JP"/>
        </w:rPr>
        <w:t>other</w:t>
      </w:r>
      <w:r w:rsidR="000159A6">
        <w:rPr>
          <w:lang w:eastAsia="ja-JP"/>
        </w:rPr>
        <w:t xml:space="preserve"> </w:t>
      </w:r>
      <w:r>
        <w:rPr>
          <w:lang w:eastAsia="ja-JP"/>
        </w:rPr>
        <w:t>changes</w:t>
      </w:r>
      <w:r w:rsidR="000159A6">
        <w:rPr>
          <w:lang w:eastAsia="ja-JP"/>
        </w:rPr>
        <w:t xml:space="preserve"> </w:t>
      </w:r>
      <w:r>
        <w:rPr>
          <w:lang w:eastAsia="ja-JP"/>
        </w:rPr>
        <w:t>to</w:t>
      </w:r>
      <w:r w:rsidR="000159A6">
        <w:rPr>
          <w:lang w:eastAsia="ja-JP"/>
        </w:rPr>
        <w:t xml:space="preserve"> </w:t>
      </w:r>
      <w:r>
        <w:rPr>
          <w:lang w:eastAsia="ja-JP"/>
        </w:rPr>
        <w:t>the</w:t>
      </w:r>
      <w:r w:rsidR="000159A6">
        <w:rPr>
          <w:lang w:eastAsia="ja-JP"/>
        </w:rPr>
        <w:t xml:space="preserve"> </w:t>
      </w:r>
      <w:r>
        <w:rPr>
          <w:lang w:eastAsia="ja-JP"/>
        </w:rPr>
        <w:t>risks</w:t>
      </w:r>
      <w:r w:rsidR="000159A6">
        <w:rPr>
          <w:lang w:eastAsia="ja-JP"/>
        </w:rPr>
        <w:t xml:space="preserve"> </w:t>
      </w:r>
      <w:r>
        <w:rPr>
          <w:lang w:eastAsia="ja-JP"/>
        </w:rPr>
        <w:t>of</w:t>
      </w:r>
      <w:r w:rsidR="000159A6">
        <w:rPr>
          <w:lang w:eastAsia="ja-JP"/>
        </w:rPr>
        <w:t xml:space="preserve"> </w:t>
      </w:r>
      <w:r>
        <w:rPr>
          <w:lang w:eastAsia="ja-JP"/>
        </w:rPr>
        <w:t>Shingrix</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proposed</w:t>
      </w:r>
      <w:r w:rsidR="000159A6">
        <w:rPr>
          <w:lang w:eastAsia="ja-JP"/>
        </w:rPr>
        <w:t xml:space="preserve"> </w:t>
      </w:r>
      <w:r>
        <w:rPr>
          <w:lang w:eastAsia="ja-JP"/>
        </w:rPr>
        <w:t>usage</w:t>
      </w:r>
      <w:r w:rsidR="000159A6">
        <w:rPr>
          <w:lang w:eastAsia="ja-JP"/>
        </w:rPr>
        <w:t xml:space="preserve"> </w:t>
      </w:r>
      <w:r>
        <w:rPr>
          <w:lang w:eastAsia="ja-JP"/>
        </w:rPr>
        <w:t>as</w:t>
      </w:r>
      <w:r w:rsidR="000159A6">
        <w:rPr>
          <w:lang w:eastAsia="ja-JP"/>
        </w:rPr>
        <w:t xml:space="preserve"> </w:t>
      </w:r>
      <w:r>
        <w:rPr>
          <w:lang w:eastAsia="ja-JP"/>
        </w:rPr>
        <w:t>listed</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f</w:t>
      </w:r>
      <w:r w:rsidR="0037169B">
        <w:rPr>
          <w:lang w:eastAsia="ja-JP"/>
        </w:rPr>
        <w:t>irst</w:t>
      </w:r>
      <w:r w:rsidR="000159A6">
        <w:rPr>
          <w:lang w:eastAsia="ja-JP"/>
        </w:rPr>
        <w:t xml:space="preserve"> </w:t>
      </w:r>
      <w:r w:rsidR="0037169B">
        <w:rPr>
          <w:lang w:eastAsia="ja-JP"/>
        </w:rPr>
        <w:t>round</w:t>
      </w:r>
      <w:r w:rsidR="000159A6">
        <w:rPr>
          <w:lang w:eastAsia="ja-JP"/>
        </w:rPr>
        <w:t xml:space="preserve"> </w:t>
      </w:r>
      <w:r w:rsidR="0037169B">
        <w:rPr>
          <w:lang w:eastAsia="ja-JP"/>
        </w:rPr>
        <w:t>assessment</w:t>
      </w:r>
      <w:r w:rsidR="000159A6">
        <w:rPr>
          <w:lang w:eastAsia="ja-JP"/>
        </w:rPr>
        <w:t xml:space="preserve"> </w:t>
      </w:r>
      <w:r w:rsidR="0037169B">
        <w:rPr>
          <w:lang w:eastAsia="ja-JP"/>
        </w:rPr>
        <w:t>of</w:t>
      </w:r>
      <w:r w:rsidR="000159A6">
        <w:rPr>
          <w:lang w:eastAsia="ja-JP"/>
        </w:rPr>
        <w:t xml:space="preserve"> </w:t>
      </w:r>
      <w:r w:rsidR="0037169B">
        <w:rPr>
          <w:lang w:eastAsia="ja-JP"/>
        </w:rPr>
        <w:t>risks.</w:t>
      </w:r>
    </w:p>
    <w:p w14:paraId="722D82AB" w14:textId="77010A0F" w:rsidR="00624EB5" w:rsidRPr="00E021B7" w:rsidRDefault="00624EB5" w:rsidP="00541F41">
      <w:pPr>
        <w:pStyle w:val="Heading4"/>
      </w:pPr>
      <w:bookmarkStart w:id="216" w:name="_Toc272414711"/>
      <w:bookmarkStart w:id="217" w:name="_Toc290888577"/>
      <w:bookmarkStart w:id="218" w:name="_Toc416353794"/>
      <w:bookmarkStart w:id="219" w:name="_Toc421005336"/>
      <w:bookmarkStart w:id="220" w:name="_Toc432079209"/>
      <w:bookmarkStart w:id="221" w:name="_Toc432080782"/>
      <w:bookmarkStart w:id="222" w:name="_Toc507578092"/>
      <w:bookmarkStart w:id="223" w:name="_Toc523409078"/>
      <w:r w:rsidRPr="00E021B7">
        <w:t>Second</w:t>
      </w:r>
      <w:r w:rsidR="000159A6" w:rsidRPr="00E021B7">
        <w:t xml:space="preserve"> </w:t>
      </w:r>
      <w:r w:rsidRPr="00E021B7">
        <w:t>round</w:t>
      </w:r>
      <w:r w:rsidR="000159A6" w:rsidRPr="00E021B7">
        <w:t xml:space="preserve"> </w:t>
      </w:r>
      <w:r w:rsidRPr="00E021B7">
        <w:t>assessment</w:t>
      </w:r>
      <w:r w:rsidR="000159A6" w:rsidRPr="00E021B7">
        <w:t xml:space="preserve"> </w:t>
      </w:r>
      <w:r w:rsidRPr="00E021B7">
        <w:t>of</w:t>
      </w:r>
      <w:r w:rsidR="000159A6" w:rsidRPr="00E021B7">
        <w:t xml:space="preserve"> </w:t>
      </w:r>
      <w:r w:rsidRPr="00E021B7">
        <w:t>benefit-</w:t>
      </w:r>
      <w:r w:rsidRPr="00541F41">
        <w:t>risk</w:t>
      </w:r>
      <w:r w:rsidR="000159A6" w:rsidRPr="00E021B7">
        <w:t xml:space="preserve"> </w:t>
      </w:r>
      <w:bookmarkEnd w:id="216"/>
      <w:bookmarkEnd w:id="217"/>
      <w:bookmarkEnd w:id="218"/>
      <w:bookmarkEnd w:id="219"/>
      <w:r w:rsidRPr="00E021B7">
        <w:t>balance</w:t>
      </w:r>
      <w:bookmarkEnd w:id="220"/>
      <w:bookmarkEnd w:id="221"/>
      <w:bookmarkEnd w:id="222"/>
      <w:bookmarkEnd w:id="223"/>
    </w:p>
    <w:p w14:paraId="5F889E7F" w14:textId="4F6A9F37" w:rsidR="00624EB5" w:rsidRDefault="00624EB5" w:rsidP="00541F41">
      <w:pPr>
        <w:rPr>
          <w:lang w:eastAsia="ja-JP"/>
        </w:rPr>
      </w:pPr>
      <w:r>
        <w:rPr>
          <w:lang w:eastAsia="ja-JP"/>
        </w:rPr>
        <w:t>Following</w:t>
      </w:r>
      <w:r w:rsidR="000159A6">
        <w:rPr>
          <w:lang w:eastAsia="ja-JP"/>
        </w:rPr>
        <w:t xml:space="preserve"> </w:t>
      </w:r>
      <w:r>
        <w:rPr>
          <w:lang w:eastAsia="ja-JP"/>
        </w:rPr>
        <w:t>the</w:t>
      </w:r>
      <w:r w:rsidR="000159A6">
        <w:rPr>
          <w:lang w:eastAsia="ja-JP"/>
        </w:rPr>
        <w:t xml:space="preserve"> </w:t>
      </w:r>
      <w:r>
        <w:rPr>
          <w:lang w:eastAsia="ja-JP"/>
        </w:rPr>
        <w:t>first</w:t>
      </w:r>
      <w:r w:rsidR="000159A6">
        <w:rPr>
          <w:lang w:eastAsia="ja-JP"/>
        </w:rPr>
        <w:t xml:space="preserve"> </w:t>
      </w:r>
      <w:r>
        <w:rPr>
          <w:lang w:eastAsia="ja-JP"/>
        </w:rPr>
        <w:t>round</w:t>
      </w:r>
      <w:r w:rsidR="000159A6">
        <w:rPr>
          <w:lang w:eastAsia="ja-JP"/>
        </w:rPr>
        <w:t xml:space="preserve"> </w:t>
      </w:r>
      <w:r>
        <w:rPr>
          <w:lang w:eastAsia="ja-JP"/>
        </w:rPr>
        <w:t>evaluation,</w:t>
      </w:r>
      <w:r w:rsidR="000159A6">
        <w:rPr>
          <w:lang w:eastAsia="ja-JP"/>
        </w:rPr>
        <w:t xml:space="preserve"> </w:t>
      </w:r>
      <w:r>
        <w:rPr>
          <w:lang w:eastAsia="ja-JP"/>
        </w:rPr>
        <w:t>the</w:t>
      </w:r>
      <w:r w:rsidR="000159A6">
        <w:rPr>
          <w:lang w:eastAsia="ja-JP"/>
        </w:rPr>
        <w:t xml:space="preserve"> </w:t>
      </w:r>
      <w:r>
        <w:rPr>
          <w:lang w:eastAsia="ja-JP"/>
        </w:rPr>
        <w:t>sponsor</w:t>
      </w:r>
      <w:r w:rsidR="000159A6">
        <w:rPr>
          <w:lang w:eastAsia="ja-JP"/>
        </w:rPr>
        <w:t xml:space="preserve"> </w:t>
      </w:r>
      <w:r>
        <w:rPr>
          <w:lang w:eastAsia="ja-JP"/>
        </w:rPr>
        <w:t>has</w:t>
      </w:r>
      <w:r w:rsidR="000159A6">
        <w:rPr>
          <w:lang w:eastAsia="ja-JP"/>
        </w:rPr>
        <w:t xml:space="preserve"> </w:t>
      </w:r>
      <w:r>
        <w:rPr>
          <w:lang w:eastAsia="ja-JP"/>
        </w:rPr>
        <w:t>satisfactorily</w:t>
      </w:r>
      <w:r w:rsidR="000159A6">
        <w:rPr>
          <w:lang w:eastAsia="ja-JP"/>
        </w:rPr>
        <w:t xml:space="preserve"> </w:t>
      </w:r>
      <w:r>
        <w:rPr>
          <w:lang w:eastAsia="ja-JP"/>
        </w:rPr>
        <w:t>answered</w:t>
      </w:r>
      <w:r w:rsidR="000159A6">
        <w:rPr>
          <w:lang w:eastAsia="ja-JP"/>
        </w:rPr>
        <w:t xml:space="preserve"> </w:t>
      </w:r>
      <w:r>
        <w:rPr>
          <w:lang w:eastAsia="ja-JP"/>
        </w:rPr>
        <w:t>most</w:t>
      </w:r>
      <w:r w:rsidR="000159A6">
        <w:rPr>
          <w:lang w:eastAsia="ja-JP"/>
        </w:rPr>
        <w:t xml:space="preserve"> </w:t>
      </w:r>
      <w:r>
        <w:rPr>
          <w:lang w:eastAsia="ja-JP"/>
        </w:rPr>
        <w:t>questions.</w:t>
      </w:r>
      <w:r w:rsidR="000159A6">
        <w:rPr>
          <w:lang w:eastAsia="ja-JP"/>
        </w:rPr>
        <w:t xml:space="preserve"> </w:t>
      </w:r>
      <w:r>
        <w:rPr>
          <w:lang w:eastAsia="ja-JP"/>
        </w:rPr>
        <w:t>Further</w:t>
      </w:r>
      <w:r w:rsidR="000159A6">
        <w:rPr>
          <w:lang w:eastAsia="ja-JP"/>
        </w:rPr>
        <w:t xml:space="preserve"> </w:t>
      </w:r>
      <w:r>
        <w:rPr>
          <w:lang w:eastAsia="ja-JP"/>
        </w:rPr>
        <w:t>clinical</w:t>
      </w:r>
      <w:r w:rsidR="000159A6">
        <w:rPr>
          <w:lang w:eastAsia="ja-JP"/>
        </w:rPr>
        <w:t xml:space="preserve"> </w:t>
      </w:r>
      <w:r>
        <w:rPr>
          <w:lang w:eastAsia="ja-JP"/>
        </w:rPr>
        <w:t>data</w:t>
      </w:r>
      <w:r w:rsidR="000159A6">
        <w:rPr>
          <w:lang w:eastAsia="ja-JP"/>
        </w:rPr>
        <w:t xml:space="preserve"> </w:t>
      </w:r>
      <w:r>
        <w:rPr>
          <w:lang w:eastAsia="ja-JP"/>
        </w:rPr>
        <w:t>was</w:t>
      </w:r>
      <w:r w:rsidR="000159A6">
        <w:rPr>
          <w:lang w:eastAsia="ja-JP"/>
        </w:rPr>
        <w:t xml:space="preserve"> </w:t>
      </w:r>
      <w:r>
        <w:rPr>
          <w:lang w:eastAsia="ja-JP"/>
        </w:rPr>
        <w:t>presented</w:t>
      </w:r>
      <w:r w:rsidR="000159A6">
        <w:rPr>
          <w:lang w:eastAsia="ja-JP"/>
        </w:rPr>
        <w:t xml:space="preserve"> </w:t>
      </w:r>
      <w:r>
        <w:rPr>
          <w:lang w:eastAsia="ja-JP"/>
        </w:rPr>
        <w:t>and</w:t>
      </w:r>
      <w:r w:rsidR="000159A6">
        <w:rPr>
          <w:lang w:eastAsia="ja-JP"/>
        </w:rPr>
        <w:t xml:space="preserve"> </w:t>
      </w:r>
      <w:r>
        <w:rPr>
          <w:lang w:eastAsia="ja-JP"/>
        </w:rPr>
        <w:t>relevant</w:t>
      </w:r>
      <w:r w:rsidR="000159A6">
        <w:rPr>
          <w:lang w:eastAsia="ja-JP"/>
        </w:rPr>
        <w:t xml:space="preserve"> </w:t>
      </w:r>
      <w:r>
        <w:rPr>
          <w:lang w:eastAsia="ja-JP"/>
        </w:rPr>
        <w:t>findings</w:t>
      </w:r>
      <w:r w:rsidR="000159A6">
        <w:rPr>
          <w:lang w:eastAsia="ja-JP"/>
        </w:rPr>
        <w:t xml:space="preserve"> </w:t>
      </w:r>
      <w:r>
        <w:rPr>
          <w:lang w:eastAsia="ja-JP"/>
        </w:rPr>
        <w:t>include:</w:t>
      </w:r>
    </w:p>
    <w:p w14:paraId="29CD1251" w14:textId="65385F89" w:rsidR="00624EB5" w:rsidRDefault="00624EB5" w:rsidP="00541F41">
      <w:pPr>
        <w:pStyle w:val="ListBullet"/>
        <w:rPr>
          <w:lang w:eastAsia="ja-JP"/>
        </w:rPr>
      </w:pPr>
      <w:r>
        <w:rPr>
          <w:lang w:eastAsia="ja-JP"/>
        </w:rPr>
        <w:t>No</w:t>
      </w:r>
      <w:r w:rsidR="000159A6">
        <w:rPr>
          <w:lang w:eastAsia="ja-JP"/>
        </w:rPr>
        <w:t xml:space="preserve"> </w:t>
      </w:r>
      <w:r>
        <w:rPr>
          <w:lang w:eastAsia="ja-JP"/>
        </w:rPr>
        <w:t>evident</w:t>
      </w:r>
      <w:r w:rsidR="000159A6">
        <w:rPr>
          <w:lang w:eastAsia="ja-JP"/>
        </w:rPr>
        <w:t xml:space="preserve"> </w:t>
      </w:r>
      <w:r>
        <w:rPr>
          <w:lang w:eastAsia="ja-JP"/>
        </w:rPr>
        <w:t>features,</w:t>
      </w:r>
      <w:r w:rsidR="000159A6">
        <w:rPr>
          <w:lang w:eastAsia="ja-JP"/>
        </w:rPr>
        <w:t xml:space="preserve"> </w:t>
      </w:r>
      <w:r>
        <w:rPr>
          <w:lang w:eastAsia="ja-JP"/>
        </w:rPr>
        <w:t>clinically</w:t>
      </w:r>
      <w:r w:rsidR="000159A6">
        <w:rPr>
          <w:lang w:eastAsia="ja-JP"/>
        </w:rPr>
        <w:t xml:space="preserve"> </w:t>
      </w:r>
      <w:r>
        <w:rPr>
          <w:lang w:eastAsia="ja-JP"/>
        </w:rPr>
        <w:t>or</w:t>
      </w:r>
      <w:r w:rsidR="000159A6">
        <w:rPr>
          <w:lang w:eastAsia="ja-JP"/>
        </w:rPr>
        <w:t xml:space="preserve"> </w:t>
      </w:r>
      <w:r w:rsidRPr="00541F41">
        <w:t>immunologically</w:t>
      </w:r>
      <w:r>
        <w:rPr>
          <w:lang w:eastAsia="ja-JP"/>
        </w:rPr>
        <w:t>,</w:t>
      </w:r>
      <w:r w:rsidR="000159A6">
        <w:rPr>
          <w:lang w:eastAsia="ja-JP"/>
        </w:rPr>
        <w:t xml:space="preserve"> </w:t>
      </w:r>
      <w:r>
        <w:rPr>
          <w:lang w:eastAsia="ja-JP"/>
        </w:rPr>
        <w:t>in</w:t>
      </w:r>
      <w:r w:rsidR="000159A6">
        <w:rPr>
          <w:lang w:eastAsia="ja-JP"/>
        </w:rPr>
        <w:t xml:space="preserve"> </w:t>
      </w:r>
      <w:r>
        <w:rPr>
          <w:lang w:eastAsia="ja-JP"/>
        </w:rPr>
        <w:t>subjects</w:t>
      </w:r>
      <w:r w:rsidR="000159A6">
        <w:rPr>
          <w:lang w:eastAsia="ja-JP"/>
        </w:rPr>
        <w:t xml:space="preserve"> </w:t>
      </w:r>
      <w:r>
        <w:rPr>
          <w:lang w:eastAsia="ja-JP"/>
        </w:rPr>
        <w:t>with</w:t>
      </w:r>
      <w:r w:rsidR="000159A6">
        <w:rPr>
          <w:lang w:eastAsia="ja-JP"/>
        </w:rPr>
        <w:t xml:space="preserve"> </w:t>
      </w:r>
      <w:r>
        <w:rPr>
          <w:lang w:eastAsia="ja-JP"/>
        </w:rPr>
        <w:t>breakthrough</w:t>
      </w:r>
      <w:r w:rsidR="000159A6">
        <w:rPr>
          <w:lang w:eastAsia="ja-JP"/>
        </w:rPr>
        <w:t xml:space="preserve"> </w:t>
      </w:r>
      <w:r>
        <w:rPr>
          <w:lang w:eastAsia="ja-JP"/>
        </w:rPr>
        <w:t>HZ.</w:t>
      </w:r>
    </w:p>
    <w:p w14:paraId="6943DC11" w14:textId="75F89DFF" w:rsidR="00624EB5" w:rsidRDefault="00624EB5" w:rsidP="004F7493">
      <w:pPr>
        <w:pStyle w:val="ListBullet"/>
        <w:rPr>
          <w:lang w:eastAsia="ja-JP"/>
        </w:rPr>
      </w:pPr>
      <w:r>
        <w:rPr>
          <w:lang w:eastAsia="ja-JP"/>
        </w:rPr>
        <w:t>Efficacy</w:t>
      </w:r>
      <w:r w:rsidR="000159A6">
        <w:rPr>
          <w:lang w:eastAsia="ja-JP"/>
        </w:rPr>
        <w:t xml:space="preserve"> </w:t>
      </w:r>
      <w:r>
        <w:rPr>
          <w:lang w:eastAsia="ja-JP"/>
        </w:rPr>
        <w:t>against</w:t>
      </w:r>
      <w:r w:rsidR="000159A6">
        <w:rPr>
          <w:lang w:eastAsia="ja-JP"/>
        </w:rPr>
        <w:t xml:space="preserve"> </w:t>
      </w:r>
      <w:r>
        <w:rPr>
          <w:lang w:eastAsia="ja-JP"/>
        </w:rPr>
        <w:t>PHN</w:t>
      </w:r>
      <w:r w:rsidR="000159A6">
        <w:rPr>
          <w:lang w:eastAsia="ja-JP"/>
        </w:rPr>
        <w:t xml:space="preserve"> </w:t>
      </w:r>
      <w:r>
        <w:rPr>
          <w:lang w:eastAsia="ja-JP"/>
        </w:rPr>
        <w:t>was</w:t>
      </w:r>
      <w:r w:rsidR="000159A6">
        <w:rPr>
          <w:lang w:eastAsia="ja-JP"/>
        </w:rPr>
        <w:t xml:space="preserve"> </w:t>
      </w:r>
      <w:r>
        <w:rPr>
          <w:lang w:eastAsia="ja-JP"/>
        </w:rPr>
        <w:t>maintained</w:t>
      </w:r>
      <w:r w:rsidR="000159A6">
        <w:rPr>
          <w:lang w:eastAsia="ja-JP"/>
        </w:rPr>
        <w:t xml:space="preserve"> </w:t>
      </w:r>
      <w:r>
        <w:rPr>
          <w:lang w:eastAsia="ja-JP"/>
        </w:rPr>
        <w:t>across</w:t>
      </w:r>
      <w:r w:rsidR="000159A6">
        <w:rPr>
          <w:lang w:eastAsia="ja-JP"/>
        </w:rPr>
        <w:t xml:space="preserve"> </w:t>
      </w:r>
      <w:r>
        <w:rPr>
          <w:lang w:eastAsia="ja-JP"/>
        </w:rPr>
        <w:t>differing</w:t>
      </w:r>
      <w:r w:rsidR="000159A6">
        <w:rPr>
          <w:lang w:eastAsia="ja-JP"/>
        </w:rPr>
        <w:t xml:space="preserve"> </w:t>
      </w:r>
      <w:r>
        <w:rPr>
          <w:lang w:eastAsia="ja-JP"/>
        </w:rPr>
        <w:t>definitions</w:t>
      </w:r>
      <w:r w:rsidR="000159A6">
        <w:rPr>
          <w:lang w:eastAsia="ja-JP"/>
        </w:rPr>
        <w:t xml:space="preserve"> </w:t>
      </w:r>
      <w:r>
        <w:rPr>
          <w:lang w:eastAsia="ja-JP"/>
        </w:rPr>
        <w:t>of</w:t>
      </w:r>
      <w:r w:rsidR="000159A6">
        <w:rPr>
          <w:lang w:eastAsia="ja-JP"/>
        </w:rPr>
        <w:t xml:space="preserve"> </w:t>
      </w:r>
      <w:r>
        <w:rPr>
          <w:lang w:eastAsia="ja-JP"/>
        </w:rPr>
        <w:t>PHN</w:t>
      </w:r>
      <w:r w:rsidR="000159A6">
        <w:rPr>
          <w:lang w:eastAsia="ja-JP"/>
        </w:rPr>
        <w:t xml:space="preserve"> </w:t>
      </w:r>
      <w:r>
        <w:rPr>
          <w:lang w:eastAsia="ja-JP"/>
        </w:rPr>
        <w:t>pain</w:t>
      </w:r>
      <w:r w:rsidR="000159A6">
        <w:rPr>
          <w:lang w:eastAsia="ja-JP"/>
        </w:rPr>
        <w:t xml:space="preserve"> </w:t>
      </w:r>
      <w:r>
        <w:rPr>
          <w:lang w:eastAsia="ja-JP"/>
        </w:rPr>
        <w:t>duration.</w:t>
      </w:r>
    </w:p>
    <w:p w14:paraId="04A58517" w14:textId="096D9EC3" w:rsidR="00624EB5" w:rsidRDefault="00624EB5" w:rsidP="004F7493">
      <w:pPr>
        <w:pStyle w:val="ListBullet"/>
        <w:rPr>
          <w:lang w:eastAsia="ja-JP"/>
        </w:rPr>
      </w:pPr>
      <w:r>
        <w:rPr>
          <w:lang w:eastAsia="ja-JP"/>
        </w:rPr>
        <w:t>Efficacy</w:t>
      </w:r>
      <w:r w:rsidR="000159A6">
        <w:rPr>
          <w:lang w:eastAsia="ja-JP"/>
        </w:rPr>
        <w:t xml:space="preserve"> </w:t>
      </w:r>
      <w:r>
        <w:rPr>
          <w:lang w:eastAsia="ja-JP"/>
        </w:rPr>
        <w:t>against</w:t>
      </w:r>
      <w:r w:rsidR="000159A6">
        <w:rPr>
          <w:lang w:eastAsia="ja-JP"/>
        </w:rPr>
        <w:t xml:space="preserve"> </w:t>
      </w:r>
      <w:r>
        <w:rPr>
          <w:lang w:eastAsia="ja-JP"/>
        </w:rPr>
        <w:t>HZ</w:t>
      </w:r>
      <w:r w:rsidR="000159A6">
        <w:rPr>
          <w:lang w:eastAsia="ja-JP"/>
        </w:rPr>
        <w:t xml:space="preserve"> </w:t>
      </w:r>
      <w:r>
        <w:rPr>
          <w:lang w:eastAsia="ja-JP"/>
        </w:rPr>
        <w:t>was</w:t>
      </w:r>
      <w:r w:rsidR="000159A6">
        <w:rPr>
          <w:lang w:eastAsia="ja-JP"/>
        </w:rPr>
        <w:t xml:space="preserve"> </w:t>
      </w:r>
      <w:r>
        <w:rPr>
          <w:lang w:eastAsia="ja-JP"/>
        </w:rPr>
        <w:t>maintained</w:t>
      </w:r>
      <w:r w:rsidR="000159A6">
        <w:rPr>
          <w:lang w:eastAsia="ja-JP"/>
        </w:rPr>
        <w:t xml:space="preserve"> </w:t>
      </w:r>
      <w:r>
        <w:rPr>
          <w:lang w:eastAsia="ja-JP"/>
        </w:rPr>
        <w:t>over</w:t>
      </w:r>
      <w:r w:rsidR="000159A6">
        <w:rPr>
          <w:lang w:eastAsia="ja-JP"/>
        </w:rPr>
        <w:t xml:space="preserve"> </w:t>
      </w:r>
      <w:r>
        <w:rPr>
          <w:lang w:eastAsia="ja-JP"/>
        </w:rPr>
        <w:t>4</w:t>
      </w:r>
      <w:r w:rsidR="000159A6">
        <w:rPr>
          <w:lang w:eastAsia="ja-JP"/>
        </w:rPr>
        <w:t xml:space="preserve"> </w:t>
      </w:r>
      <w:r>
        <w:rPr>
          <w:lang w:eastAsia="ja-JP"/>
        </w:rPr>
        <w:t>years,</w:t>
      </w:r>
      <w:r w:rsidR="000159A6">
        <w:rPr>
          <w:lang w:eastAsia="ja-JP"/>
        </w:rPr>
        <w:t xml:space="preserve"> </w:t>
      </w:r>
      <w:r>
        <w:rPr>
          <w:lang w:eastAsia="ja-JP"/>
        </w:rPr>
        <w:t>although</w:t>
      </w:r>
      <w:r w:rsidR="000159A6">
        <w:rPr>
          <w:lang w:eastAsia="ja-JP"/>
        </w:rPr>
        <w:t xml:space="preserve"> </w:t>
      </w:r>
      <w:r>
        <w:rPr>
          <w:lang w:eastAsia="ja-JP"/>
        </w:rPr>
        <w:t>maintenance</w:t>
      </w:r>
      <w:r w:rsidR="000159A6">
        <w:rPr>
          <w:lang w:eastAsia="ja-JP"/>
        </w:rPr>
        <w:t xml:space="preserve"> </w:t>
      </w:r>
      <w:r>
        <w:rPr>
          <w:lang w:eastAsia="ja-JP"/>
        </w:rPr>
        <w:t>of</w:t>
      </w:r>
      <w:r w:rsidR="000159A6">
        <w:rPr>
          <w:lang w:eastAsia="ja-JP"/>
        </w:rPr>
        <w:t xml:space="preserve"> </w:t>
      </w:r>
      <w:r>
        <w:rPr>
          <w:lang w:eastAsia="ja-JP"/>
        </w:rPr>
        <w:t>efficacy</w:t>
      </w:r>
      <w:r w:rsidR="000159A6">
        <w:rPr>
          <w:lang w:eastAsia="ja-JP"/>
        </w:rPr>
        <w:t xml:space="preserve"> </w:t>
      </w:r>
      <w:r>
        <w:rPr>
          <w:lang w:eastAsia="ja-JP"/>
        </w:rPr>
        <w:t>against</w:t>
      </w:r>
      <w:r w:rsidR="000159A6">
        <w:rPr>
          <w:lang w:eastAsia="ja-JP"/>
        </w:rPr>
        <w:t xml:space="preserve"> </w:t>
      </w:r>
      <w:r>
        <w:rPr>
          <w:lang w:eastAsia="ja-JP"/>
        </w:rPr>
        <w:t>PHN</w:t>
      </w:r>
      <w:r w:rsidR="000159A6">
        <w:rPr>
          <w:lang w:eastAsia="ja-JP"/>
        </w:rPr>
        <w:t xml:space="preserve"> </w:t>
      </w:r>
      <w:r>
        <w:rPr>
          <w:lang w:eastAsia="ja-JP"/>
        </w:rPr>
        <w:t>could</w:t>
      </w:r>
      <w:r w:rsidR="000159A6">
        <w:rPr>
          <w:lang w:eastAsia="ja-JP"/>
        </w:rPr>
        <w:t xml:space="preserve"> </w:t>
      </w:r>
      <w:r>
        <w:rPr>
          <w:lang w:eastAsia="ja-JP"/>
        </w:rPr>
        <w:t>not</w:t>
      </w:r>
      <w:r w:rsidR="000159A6">
        <w:rPr>
          <w:lang w:eastAsia="ja-JP"/>
        </w:rPr>
        <w:t xml:space="preserve"> </w:t>
      </w:r>
      <w:r>
        <w:rPr>
          <w:lang w:eastAsia="ja-JP"/>
        </w:rPr>
        <w:t>be</w:t>
      </w:r>
      <w:r w:rsidR="000159A6">
        <w:rPr>
          <w:lang w:eastAsia="ja-JP"/>
        </w:rPr>
        <w:t xml:space="preserve"> </w:t>
      </w:r>
      <w:r>
        <w:rPr>
          <w:lang w:eastAsia="ja-JP"/>
        </w:rPr>
        <w:t>determined</w:t>
      </w:r>
      <w:r w:rsidR="000159A6">
        <w:rPr>
          <w:lang w:eastAsia="ja-JP"/>
        </w:rPr>
        <w:t xml:space="preserve"> </w:t>
      </w:r>
      <w:r>
        <w:rPr>
          <w:lang w:eastAsia="ja-JP"/>
        </w:rPr>
        <w:t>due</w:t>
      </w:r>
      <w:r w:rsidR="000159A6">
        <w:rPr>
          <w:lang w:eastAsia="ja-JP"/>
        </w:rPr>
        <w:t xml:space="preserve"> </w:t>
      </w:r>
      <w:r>
        <w:rPr>
          <w:lang w:eastAsia="ja-JP"/>
        </w:rPr>
        <w:t>to</w:t>
      </w:r>
      <w:r w:rsidR="000159A6">
        <w:rPr>
          <w:lang w:eastAsia="ja-JP"/>
        </w:rPr>
        <w:t xml:space="preserve"> </w:t>
      </w:r>
      <w:r>
        <w:rPr>
          <w:lang w:eastAsia="ja-JP"/>
        </w:rPr>
        <w:t>low</w:t>
      </w:r>
      <w:r w:rsidR="000159A6">
        <w:rPr>
          <w:lang w:eastAsia="ja-JP"/>
        </w:rPr>
        <w:t xml:space="preserve"> </w:t>
      </w:r>
      <w:r>
        <w:rPr>
          <w:lang w:eastAsia="ja-JP"/>
        </w:rPr>
        <w:t>case</w:t>
      </w:r>
      <w:r w:rsidR="000159A6">
        <w:rPr>
          <w:lang w:eastAsia="ja-JP"/>
        </w:rPr>
        <w:t xml:space="preserve"> </w:t>
      </w:r>
      <w:r>
        <w:rPr>
          <w:lang w:eastAsia="ja-JP"/>
        </w:rPr>
        <w:t>numbers.</w:t>
      </w:r>
    </w:p>
    <w:p w14:paraId="0505E1A9" w14:textId="12948503" w:rsidR="00624EB5" w:rsidRDefault="00624EB5" w:rsidP="004F7493">
      <w:pPr>
        <w:pStyle w:val="ListBullet"/>
        <w:rPr>
          <w:lang w:eastAsia="ja-JP"/>
        </w:rPr>
      </w:pPr>
      <w:r>
        <w:rPr>
          <w:lang w:eastAsia="ja-JP"/>
        </w:rPr>
        <w:t>No</w:t>
      </w:r>
      <w:r w:rsidR="000159A6">
        <w:rPr>
          <w:lang w:eastAsia="ja-JP"/>
        </w:rPr>
        <w:t xml:space="preserve"> </w:t>
      </w:r>
      <w:r>
        <w:rPr>
          <w:lang w:eastAsia="ja-JP"/>
        </w:rPr>
        <w:t>notable</w:t>
      </w:r>
      <w:r w:rsidR="000159A6">
        <w:rPr>
          <w:lang w:eastAsia="ja-JP"/>
        </w:rPr>
        <w:t xml:space="preserve"> </w:t>
      </w:r>
      <w:r>
        <w:rPr>
          <w:lang w:eastAsia="ja-JP"/>
        </w:rPr>
        <w:t>safety</w:t>
      </w:r>
      <w:r w:rsidR="000159A6">
        <w:rPr>
          <w:lang w:eastAsia="ja-JP"/>
        </w:rPr>
        <w:t xml:space="preserve"> </w:t>
      </w:r>
      <w:r>
        <w:rPr>
          <w:lang w:eastAsia="ja-JP"/>
        </w:rPr>
        <w:t>signals</w:t>
      </w:r>
      <w:r w:rsidR="000159A6">
        <w:rPr>
          <w:lang w:eastAsia="ja-JP"/>
        </w:rPr>
        <w:t xml:space="preserve"> </w:t>
      </w:r>
      <w:r>
        <w:rPr>
          <w:lang w:eastAsia="ja-JP"/>
        </w:rPr>
        <w:t>when</w:t>
      </w:r>
      <w:r w:rsidR="000159A6">
        <w:rPr>
          <w:lang w:eastAsia="ja-JP"/>
        </w:rPr>
        <w:t xml:space="preserve"> </w:t>
      </w:r>
      <w:r>
        <w:rPr>
          <w:lang w:eastAsia="ja-JP"/>
        </w:rPr>
        <w:t>medically</w:t>
      </w:r>
      <w:r w:rsidR="000159A6">
        <w:rPr>
          <w:lang w:eastAsia="ja-JP"/>
        </w:rPr>
        <w:t xml:space="preserve"> </w:t>
      </w:r>
      <w:r>
        <w:rPr>
          <w:lang w:eastAsia="ja-JP"/>
        </w:rPr>
        <w:t>attended</w:t>
      </w:r>
      <w:r w:rsidR="000159A6">
        <w:rPr>
          <w:lang w:eastAsia="ja-JP"/>
        </w:rPr>
        <w:t xml:space="preserve"> </w:t>
      </w:r>
      <w:r>
        <w:rPr>
          <w:lang w:eastAsia="ja-JP"/>
        </w:rPr>
        <w:t>visits</w:t>
      </w:r>
      <w:r w:rsidR="000159A6">
        <w:rPr>
          <w:lang w:eastAsia="ja-JP"/>
        </w:rPr>
        <w:t xml:space="preserve"> </w:t>
      </w:r>
      <w:r>
        <w:rPr>
          <w:lang w:eastAsia="ja-JP"/>
        </w:rPr>
        <w:t>up</w:t>
      </w:r>
      <w:r w:rsidR="000159A6">
        <w:rPr>
          <w:lang w:eastAsia="ja-JP"/>
        </w:rPr>
        <w:t xml:space="preserve"> </w:t>
      </w:r>
      <w:r>
        <w:rPr>
          <w:lang w:eastAsia="ja-JP"/>
        </w:rPr>
        <w:t>to</w:t>
      </w:r>
      <w:r w:rsidR="000159A6">
        <w:rPr>
          <w:lang w:eastAsia="ja-JP"/>
        </w:rPr>
        <w:t xml:space="preserve"> </w:t>
      </w:r>
      <w:r>
        <w:rPr>
          <w:lang w:eastAsia="ja-JP"/>
        </w:rPr>
        <w:t>Month</w:t>
      </w:r>
      <w:r w:rsidR="000159A6">
        <w:rPr>
          <w:lang w:eastAsia="ja-JP"/>
        </w:rPr>
        <w:t xml:space="preserve"> </w:t>
      </w:r>
      <w:r>
        <w:rPr>
          <w:lang w:eastAsia="ja-JP"/>
        </w:rPr>
        <w:t>8</w:t>
      </w:r>
      <w:r w:rsidR="000159A6">
        <w:rPr>
          <w:lang w:eastAsia="ja-JP"/>
        </w:rPr>
        <w:t xml:space="preserve"> </w:t>
      </w:r>
      <w:r>
        <w:rPr>
          <w:lang w:eastAsia="ja-JP"/>
        </w:rPr>
        <w:t>were</w:t>
      </w:r>
      <w:r w:rsidR="000159A6">
        <w:rPr>
          <w:lang w:eastAsia="ja-JP"/>
        </w:rPr>
        <w:t xml:space="preserve"> </w:t>
      </w:r>
      <w:r>
        <w:rPr>
          <w:lang w:eastAsia="ja-JP"/>
        </w:rPr>
        <w:t>analysed</w:t>
      </w:r>
      <w:r w:rsidR="000159A6">
        <w:rPr>
          <w:lang w:eastAsia="ja-JP"/>
        </w:rPr>
        <w:t xml:space="preserve"> </w:t>
      </w:r>
      <w:r>
        <w:rPr>
          <w:lang w:eastAsia="ja-JP"/>
        </w:rPr>
        <w:t>or</w:t>
      </w:r>
      <w:r w:rsidR="000159A6">
        <w:rPr>
          <w:lang w:eastAsia="ja-JP"/>
        </w:rPr>
        <w:t xml:space="preserve"> </w:t>
      </w:r>
      <w:r>
        <w:rPr>
          <w:lang w:eastAsia="ja-JP"/>
        </w:rPr>
        <w:t>when</w:t>
      </w:r>
      <w:r w:rsidR="000159A6">
        <w:rPr>
          <w:lang w:eastAsia="ja-JP"/>
        </w:rPr>
        <w:t xml:space="preserve"> </w:t>
      </w:r>
      <w:r>
        <w:rPr>
          <w:lang w:eastAsia="ja-JP"/>
        </w:rPr>
        <w:t>AEs</w:t>
      </w:r>
      <w:r w:rsidR="000159A6">
        <w:rPr>
          <w:lang w:eastAsia="ja-JP"/>
        </w:rPr>
        <w:t xml:space="preserve"> </w:t>
      </w:r>
      <w:r>
        <w:rPr>
          <w:lang w:eastAsia="ja-JP"/>
        </w:rPr>
        <w:t>leading</w:t>
      </w:r>
      <w:r w:rsidR="000159A6">
        <w:rPr>
          <w:lang w:eastAsia="ja-JP"/>
        </w:rPr>
        <w:t xml:space="preserve"> </w:t>
      </w:r>
      <w:r>
        <w:rPr>
          <w:lang w:eastAsia="ja-JP"/>
        </w:rPr>
        <w:t>to</w:t>
      </w:r>
      <w:r w:rsidR="000159A6">
        <w:rPr>
          <w:lang w:eastAsia="ja-JP"/>
        </w:rPr>
        <w:t xml:space="preserve"> </w:t>
      </w:r>
      <w:r>
        <w:rPr>
          <w:lang w:eastAsia="ja-JP"/>
        </w:rPr>
        <w:t>vaccine</w:t>
      </w:r>
      <w:r w:rsidR="000159A6">
        <w:rPr>
          <w:lang w:eastAsia="ja-JP"/>
        </w:rPr>
        <w:t xml:space="preserve"> </w:t>
      </w:r>
      <w:r>
        <w:rPr>
          <w:lang w:eastAsia="ja-JP"/>
        </w:rPr>
        <w:t>discontinuation</w:t>
      </w:r>
      <w:r w:rsidR="000159A6">
        <w:rPr>
          <w:lang w:eastAsia="ja-JP"/>
        </w:rPr>
        <w:t xml:space="preserve"> </w:t>
      </w:r>
      <w:r>
        <w:rPr>
          <w:lang w:eastAsia="ja-JP"/>
        </w:rPr>
        <w:t>or</w:t>
      </w:r>
      <w:r w:rsidR="000159A6">
        <w:rPr>
          <w:lang w:eastAsia="ja-JP"/>
        </w:rPr>
        <w:t xml:space="preserve"> </w:t>
      </w:r>
      <w:r>
        <w:rPr>
          <w:lang w:eastAsia="ja-JP"/>
        </w:rPr>
        <w:t>study</w:t>
      </w:r>
      <w:r w:rsidR="000159A6">
        <w:rPr>
          <w:lang w:eastAsia="ja-JP"/>
        </w:rPr>
        <w:t xml:space="preserve"> </w:t>
      </w:r>
      <w:r>
        <w:rPr>
          <w:lang w:eastAsia="ja-JP"/>
        </w:rPr>
        <w:t>withdrawal</w:t>
      </w:r>
      <w:r w:rsidR="000159A6">
        <w:rPr>
          <w:lang w:eastAsia="ja-JP"/>
        </w:rPr>
        <w:t xml:space="preserve"> </w:t>
      </w:r>
      <w:r>
        <w:rPr>
          <w:lang w:eastAsia="ja-JP"/>
        </w:rPr>
        <w:t>were</w:t>
      </w:r>
      <w:r w:rsidR="000159A6">
        <w:rPr>
          <w:lang w:eastAsia="ja-JP"/>
        </w:rPr>
        <w:t xml:space="preserve"> </w:t>
      </w:r>
      <w:r>
        <w:rPr>
          <w:lang w:eastAsia="ja-JP"/>
        </w:rPr>
        <w:t>assessed.</w:t>
      </w:r>
    </w:p>
    <w:p w14:paraId="3147F139" w14:textId="7D2CBF9A" w:rsidR="00624EB5" w:rsidRDefault="00624EB5" w:rsidP="004F7493">
      <w:pPr>
        <w:pStyle w:val="ListBullet"/>
        <w:rPr>
          <w:lang w:eastAsia="ja-JP"/>
        </w:rPr>
      </w:pPr>
      <w:r>
        <w:rPr>
          <w:lang w:eastAsia="ja-JP"/>
        </w:rPr>
        <w:t>Data</w:t>
      </w:r>
      <w:r w:rsidR="000159A6">
        <w:rPr>
          <w:lang w:eastAsia="ja-JP"/>
        </w:rPr>
        <w:t xml:space="preserve"> </w:t>
      </w:r>
      <w:r>
        <w:rPr>
          <w:lang w:eastAsia="ja-JP"/>
        </w:rPr>
        <w:t>did</w:t>
      </w:r>
      <w:r w:rsidR="000159A6">
        <w:rPr>
          <w:lang w:eastAsia="ja-JP"/>
        </w:rPr>
        <w:t xml:space="preserve"> </w:t>
      </w:r>
      <w:r>
        <w:rPr>
          <w:lang w:eastAsia="ja-JP"/>
        </w:rPr>
        <w:t>not</w:t>
      </w:r>
      <w:r w:rsidR="000159A6">
        <w:rPr>
          <w:lang w:eastAsia="ja-JP"/>
        </w:rPr>
        <w:t xml:space="preserve"> </w:t>
      </w:r>
      <w:r>
        <w:rPr>
          <w:lang w:eastAsia="ja-JP"/>
        </w:rPr>
        <w:t>indicate</w:t>
      </w:r>
      <w:r w:rsidR="000159A6">
        <w:rPr>
          <w:lang w:eastAsia="ja-JP"/>
        </w:rPr>
        <w:t xml:space="preserve"> </w:t>
      </w:r>
      <w:r>
        <w:rPr>
          <w:lang w:eastAsia="ja-JP"/>
        </w:rPr>
        <w:t>an</w:t>
      </w:r>
      <w:r w:rsidR="000159A6">
        <w:rPr>
          <w:lang w:eastAsia="ja-JP"/>
        </w:rPr>
        <w:t xml:space="preserve"> </w:t>
      </w:r>
      <w:r>
        <w:rPr>
          <w:lang w:eastAsia="ja-JP"/>
        </w:rPr>
        <w:t>increased</w:t>
      </w:r>
      <w:r w:rsidR="000159A6">
        <w:rPr>
          <w:lang w:eastAsia="ja-JP"/>
        </w:rPr>
        <w:t xml:space="preserve"> </w:t>
      </w:r>
      <w:r>
        <w:rPr>
          <w:lang w:eastAsia="ja-JP"/>
        </w:rPr>
        <w:t>risk</w:t>
      </w:r>
      <w:r w:rsidR="000159A6">
        <w:rPr>
          <w:lang w:eastAsia="ja-JP"/>
        </w:rPr>
        <w:t xml:space="preserve"> </w:t>
      </w:r>
      <w:r>
        <w:rPr>
          <w:lang w:eastAsia="ja-JP"/>
        </w:rPr>
        <w:t>of</w:t>
      </w:r>
      <w:r w:rsidR="000159A6">
        <w:rPr>
          <w:lang w:eastAsia="ja-JP"/>
        </w:rPr>
        <w:t xml:space="preserve"> </w:t>
      </w:r>
      <w:r>
        <w:rPr>
          <w:lang w:eastAsia="ja-JP"/>
        </w:rPr>
        <w:t>serious</w:t>
      </w:r>
      <w:r w:rsidR="000159A6">
        <w:rPr>
          <w:lang w:eastAsia="ja-JP"/>
        </w:rPr>
        <w:t xml:space="preserve"> </w:t>
      </w:r>
      <w:r>
        <w:rPr>
          <w:lang w:eastAsia="ja-JP"/>
        </w:rPr>
        <w:t>infections</w:t>
      </w:r>
      <w:r w:rsidR="000159A6">
        <w:rPr>
          <w:lang w:eastAsia="ja-JP"/>
        </w:rPr>
        <w:t xml:space="preserve"> </w:t>
      </w:r>
      <w:r>
        <w:rPr>
          <w:lang w:eastAsia="ja-JP"/>
        </w:rPr>
        <w:t>or</w:t>
      </w:r>
      <w:r w:rsidR="000159A6">
        <w:rPr>
          <w:lang w:eastAsia="ja-JP"/>
        </w:rPr>
        <w:t xml:space="preserve"> </w:t>
      </w:r>
      <w:r>
        <w:rPr>
          <w:lang w:eastAsia="ja-JP"/>
        </w:rPr>
        <w:t>neoplasms.</w:t>
      </w:r>
    </w:p>
    <w:p w14:paraId="4E09BDF9" w14:textId="1C52260D" w:rsidR="00624EB5" w:rsidRDefault="00624EB5" w:rsidP="004F7493">
      <w:pPr>
        <w:pStyle w:val="ListBullet"/>
        <w:rPr>
          <w:lang w:eastAsia="ja-JP"/>
        </w:rPr>
      </w:pPr>
      <w:r>
        <w:rPr>
          <w:lang w:eastAsia="ja-JP"/>
        </w:rPr>
        <w:t>Baseline</w:t>
      </w:r>
      <w:r w:rsidR="000159A6">
        <w:rPr>
          <w:lang w:eastAsia="ja-JP"/>
        </w:rPr>
        <w:t xml:space="preserve"> </w:t>
      </w:r>
      <w:r>
        <w:rPr>
          <w:lang w:eastAsia="ja-JP"/>
        </w:rPr>
        <w:t>morbidity</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trial</w:t>
      </w:r>
      <w:r w:rsidR="000159A6">
        <w:rPr>
          <w:lang w:eastAsia="ja-JP"/>
        </w:rPr>
        <w:t xml:space="preserve"> </w:t>
      </w:r>
      <w:r>
        <w:rPr>
          <w:lang w:eastAsia="ja-JP"/>
        </w:rPr>
        <w:t>population</w:t>
      </w:r>
      <w:r w:rsidR="000159A6">
        <w:rPr>
          <w:lang w:eastAsia="ja-JP"/>
        </w:rPr>
        <w:t xml:space="preserve"> </w:t>
      </w:r>
      <w:r>
        <w:rPr>
          <w:lang w:eastAsia="ja-JP"/>
        </w:rPr>
        <w:t>was</w:t>
      </w:r>
      <w:r w:rsidR="000159A6">
        <w:rPr>
          <w:lang w:eastAsia="ja-JP"/>
        </w:rPr>
        <w:t xml:space="preserve"> </w:t>
      </w:r>
      <w:r>
        <w:rPr>
          <w:lang w:eastAsia="ja-JP"/>
        </w:rPr>
        <w:t>balanced</w:t>
      </w:r>
      <w:r w:rsidR="000159A6">
        <w:rPr>
          <w:lang w:eastAsia="ja-JP"/>
        </w:rPr>
        <w:t xml:space="preserve"> </w:t>
      </w:r>
      <w:r>
        <w:rPr>
          <w:lang w:eastAsia="ja-JP"/>
        </w:rPr>
        <w:t>between</w:t>
      </w:r>
      <w:r w:rsidR="000159A6">
        <w:rPr>
          <w:lang w:eastAsia="ja-JP"/>
        </w:rPr>
        <w:t xml:space="preserve"> </w:t>
      </w:r>
      <w:r>
        <w:rPr>
          <w:lang w:eastAsia="ja-JP"/>
        </w:rPr>
        <w:t>treatment</w:t>
      </w:r>
      <w:r w:rsidR="000159A6">
        <w:rPr>
          <w:lang w:eastAsia="ja-JP"/>
        </w:rPr>
        <w:t xml:space="preserve"> </w:t>
      </w:r>
      <w:r>
        <w:rPr>
          <w:lang w:eastAsia="ja-JP"/>
        </w:rPr>
        <w:t>groups</w:t>
      </w:r>
      <w:r w:rsidR="000159A6">
        <w:rPr>
          <w:lang w:eastAsia="ja-JP"/>
        </w:rPr>
        <w:t xml:space="preserve"> </w:t>
      </w:r>
      <w:r>
        <w:rPr>
          <w:lang w:eastAsia="ja-JP"/>
        </w:rPr>
        <w:t>and</w:t>
      </w:r>
      <w:r w:rsidR="000159A6">
        <w:rPr>
          <w:lang w:eastAsia="ja-JP"/>
        </w:rPr>
        <w:t xml:space="preserve"> </w:t>
      </w:r>
      <w:r>
        <w:rPr>
          <w:lang w:eastAsia="ja-JP"/>
        </w:rPr>
        <w:t>vaccine</w:t>
      </w:r>
      <w:r w:rsidR="000159A6">
        <w:rPr>
          <w:lang w:eastAsia="ja-JP"/>
        </w:rPr>
        <w:t xml:space="preserve"> </w:t>
      </w:r>
      <w:r>
        <w:rPr>
          <w:lang w:eastAsia="ja-JP"/>
        </w:rPr>
        <w:t>efficacy</w:t>
      </w:r>
      <w:r w:rsidR="000159A6">
        <w:rPr>
          <w:lang w:eastAsia="ja-JP"/>
        </w:rPr>
        <w:t xml:space="preserve"> </w:t>
      </w:r>
      <w:r>
        <w:rPr>
          <w:lang w:eastAsia="ja-JP"/>
        </w:rPr>
        <w:t>was</w:t>
      </w:r>
      <w:r w:rsidR="000159A6">
        <w:rPr>
          <w:lang w:eastAsia="ja-JP"/>
        </w:rPr>
        <w:t xml:space="preserve"> </w:t>
      </w:r>
      <w:r>
        <w:rPr>
          <w:lang w:eastAsia="ja-JP"/>
        </w:rPr>
        <w:t>consistently</w:t>
      </w:r>
      <w:r w:rsidR="000159A6">
        <w:rPr>
          <w:lang w:eastAsia="ja-JP"/>
        </w:rPr>
        <w:t xml:space="preserve"> </w:t>
      </w:r>
      <w:r>
        <w:rPr>
          <w:lang w:eastAsia="ja-JP"/>
        </w:rPr>
        <w:t>high</w:t>
      </w:r>
      <w:r w:rsidR="000159A6">
        <w:rPr>
          <w:lang w:eastAsia="ja-JP"/>
        </w:rPr>
        <w:t xml:space="preserve"> </w:t>
      </w:r>
      <w:r>
        <w:rPr>
          <w:lang w:eastAsia="ja-JP"/>
        </w:rPr>
        <w:t>across</w:t>
      </w:r>
      <w:r w:rsidR="000159A6">
        <w:rPr>
          <w:lang w:eastAsia="ja-JP"/>
        </w:rPr>
        <w:t xml:space="preserve"> </w:t>
      </w:r>
      <w:r>
        <w:rPr>
          <w:lang w:eastAsia="ja-JP"/>
        </w:rPr>
        <w:t>the</w:t>
      </w:r>
      <w:r w:rsidR="000159A6">
        <w:rPr>
          <w:lang w:eastAsia="ja-JP"/>
        </w:rPr>
        <w:t xml:space="preserve"> </w:t>
      </w:r>
      <w:r>
        <w:rPr>
          <w:lang w:eastAsia="ja-JP"/>
        </w:rPr>
        <w:t>main</w:t>
      </w:r>
      <w:r w:rsidR="000159A6">
        <w:rPr>
          <w:lang w:eastAsia="ja-JP"/>
        </w:rPr>
        <w:t xml:space="preserve"> </w:t>
      </w:r>
      <w:r>
        <w:rPr>
          <w:lang w:eastAsia="ja-JP"/>
        </w:rPr>
        <w:t>disease</w:t>
      </w:r>
      <w:r w:rsidR="000159A6">
        <w:rPr>
          <w:lang w:eastAsia="ja-JP"/>
        </w:rPr>
        <w:t xml:space="preserve"> </w:t>
      </w:r>
      <w:r>
        <w:rPr>
          <w:lang w:eastAsia="ja-JP"/>
        </w:rPr>
        <w:t>subgroups</w:t>
      </w:r>
      <w:r w:rsidR="000159A6">
        <w:rPr>
          <w:lang w:eastAsia="ja-JP"/>
        </w:rPr>
        <w:t xml:space="preserve"> </w:t>
      </w:r>
      <w:r>
        <w:rPr>
          <w:lang w:eastAsia="ja-JP"/>
        </w:rPr>
        <w:t>assessed.</w:t>
      </w:r>
    </w:p>
    <w:p w14:paraId="5C1176AE" w14:textId="1C520578" w:rsidR="00624EB5" w:rsidRDefault="00624EB5" w:rsidP="00541F41">
      <w:pPr>
        <w:pStyle w:val="ListBullet"/>
        <w:rPr>
          <w:lang w:eastAsia="ja-JP"/>
        </w:rPr>
      </w:pPr>
      <w:r>
        <w:rPr>
          <w:lang w:eastAsia="ja-JP"/>
        </w:rPr>
        <w:t>In</w:t>
      </w:r>
      <w:r w:rsidR="000159A6">
        <w:rPr>
          <w:lang w:eastAsia="ja-JP"/>
        </w:rPr>
        <w:t xml:space="preserve"> </w:t>
      </w:r>
      <w:r>
        <w:rPr>
          <w:lang w:eastAsia="ja-JP"/>
        </w:rPr>
        <w:t>subjects</w:t>
      </w:r>
      <w:r w:rsidR="000159A6">
        <w:rPr>
          <w:lang w:eastAsia="ja-JP"/>
        </w:rPr>
        <w:t xml:space="preserve"> </w:t>
      </w:r>
      <w:r>
        <w:rPr>
          <w:lang w:eastAsia="ja-JP"/>
        </w:rPr>
        <w:t>with</w:t>
      </w:r>
      <w:r w:rsidR="000159A6">
        <w:rPr>
          <w:lang w:eastAsia="ja-JP"/>
        </w:rPr>
        <w:t xml:space="preserve"> </w:t>
      </w:r>
      <w:r>
        <w:rPr>
          <w:lang w:eastAsia="ja-JP"/>
        </w:rPr>
        <w:t>a</w:t>
      </w:r>
      <w:r w:rsidR="000159A6">
        <w:rPr>
          <w:lang w:eastAsia="ja-JP"/>
        </w:rPr>
        <w:t xml:space="preserve"> </w:t>
      </w:r>
      <w:r>
        <w:rPr>
          <w:lang w:eastAsia="ja-JP"/>
        </w:rPr>
        <w:t>pre-existing</w:t>
      </w:r>
      <w:r w:rsidR="000159A6">
        <w:rPr>
          <w:lang w:eastAsia="ja-JP"/>
        </w:rPr>
        <w:t xml:space="preserve"> </w:t>
      </w:r>
      <w:proofErr w:type="spellStart"/>
      <w:r>
        <w:rPr>
          <w:lang w:eastAsia="ja-JP"/>
        </w:rPr>
        <w:t>pIMD</w:t>
      </w:r>
      <w:proofErr w:type="spellEnd"/>
      <w:r>
        <w:rPr>
          <w:lang w:eastAsia="ja-JP"/>
        </w:rPr>
        <w:t>,</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no</w:t>
      </w:r>
      <w:r w:rsidR="000159A6">
        <w:rPr>
          <w:lang w:eastAsia="ja-JP"/>
        </w:rPr>
        <w:t xml:space="preserve"> </w:t>
      </w:r>
      <w:r>
        <w:rPr>
          <w:lang w:eastAsia="ja-JP"/>
        </w:rPr>
        <w:t>increased</w:t>
      </w:r>
      <w:r w:rsidR="000159A6">
        <w:rPr>
          <w:lang w:eastAsia="ja-JP"/>
        </w:rPr>
        <w:t xml:space="preserve"> </w:t>
      </w:r>
      <w:r>
        <w:rPr>
          <w:lang w:eastAsia="ja-JP"/>
        </w:rPr>
        <w:t>rate</w:t>
      </w:r>
      <w:r w:rsidR="000159A6">
        <w:rPr>
          <w:lang w:eastAsia="ja-JP"/>
        </w:rPr>
        <w:t xml:space="preserve"> </w:t>
      </w:r>
      <w:r>
        <w:rPr>
          <w:lang w:eastAsia="ja-JP"/>
        </w:rPr>
        <w:t>of</w:t>
      </w:r>
      <w:r w:rsidR="000159A6">
        <w:rPr>
          <w:lang w:eastAsia="ja-JP"/>
        </w:rPr>
        <w:t xml:space="preserve"> </w:t>
      </w:r>
      <w:r>
        <w:rPr>
          <w:lang w:eastAsia="ja-JP"/>
        </w:rPr>
        <w:t>exacerbation</w:t>
      </w:r>
      <w:r w:rsidR="000159A6">
        <w:rPr>
          <w:lang w:eastAsia="ja-JP"/>
        </w:rPr>
        <w:t xml:space="preserve"> </w:t>
      </w:r>
      <w:r>
        <w:rPr>
          <w:lang w:eastAsia="ja-JP"/>
        </w:rPr>
        <w:t>or</w:t>
      </w:r>
      <w:r w:rsidR="000159A6">
        <w:rPr>
          <w:lang w:eastAsia="ja-JP"/>
        </w:rPr>
        <w:t xml:space="preserve"> </w:t>
      </w:r>
      <w:r>
        <w:rPr>
          <w:lang w:eastAsia="ja-JP"/>
        </w:rPr>
        <w:t>of</w:t>
      </w:r>
      <w:r w:rsidR="000159A6">
        <w:rPr>
          <w:lang w:eastAsia="ja-JP"/>
        </w:rPr>
        <w:t xml:space="preserve"> </w:t>
      </w:r>
      <w:r>
        <w:rPr>
          <w:lang w:eastAsia="ja-JP"/>
        </w:rPr>
        <w:t>a</w:t>
      </w:r>
      <w:r w:rsidR="000159A6">
        <w:rPr>
          <w:lang w:eastAsia="ja-JP"/>
        </w:rPr>
        <w:t xml:space="preserve"> </w:t>
      </w:r>
      <w:r>
        <w:rPr>
          <w:lang w:eastAsia="ja-JP"/>
        </w:rPr>
        <w:t>new</w:t>
      </w:r>
      <w:r w:rsidR="000159A6">
        <w:rPr>
          <w:lang w:eastAsia="ja-JP"/>
        </w:rPr>
        <w:t xml:space="preserve"> </w:t>
      </w:r>
      <w:r>
        <w:rPr>
          <w:lang w:eastAsia="ja-JP"/>
        </w:rPr>
        <w:t>onset</w:t>
      </w:r>
      <w:r w:rsidR="000159A6">
        <w:rPr>
          <w:lang w:eastAsia="ja-JP"/>
        </w:rPr>
        <w:t xml:space="preserve"> </w:t>
      </w:r>
      <w:proofErr w:type="spellStart"/>
      <w:r>
        <w:rPr>
          <w:lang w:eastAsia="ja-JP"/>
        </w:rPr>
        <w:t>pIMD</w:t>
      </w:r>
      <w:proofErr w:type="spellEnd"/>
      <w:r>
        <w:rPr>
          <w:lang w:eastAsia="ja-JP"/>
        </w:rPr>
        <w:t>.</w:t>
      </w:r>
      <w:r w:rsidR="000159A6">
        <w:rPr>
          <w:lang w:eastAsia="ja-JP"/>
        </w:rPr>
        <w:t xml:space="preserve"> </w:t>
      </w:r>
      <w:r>
        <w:rPr>
          <w:lang w:eastAsia="ja-JP"/>
        </w:rPr>
        <w:t>There</w:t>
      </w:r>
      <w:r w:rsidR="000159A6">
        <w:rPr>
          <w:lang w:eastAsia="ja-JP"/>
        </w:rPr>
        <w:t xml:space="preserve"> </w:t>
      </w:r>
      <w:r>
        <w:rPr>
          <w:lang w:eastAsia="ja-JP"/>
        </w:rPr>
        <w:t>was</w:t>
      </w:r>
      <w:r w:rsidR="000159A6">
        <w:rPr>
          <w:lang w:eastAsia="ja-JP"/>
        </w:rPr>
        <w:t xml:space="preserve"> </w:t>
      </w:r>
      <w:r>
        <w:rPr>
          <w:lang w:eastAsia="ja-JP"/>
        </w:rPr>
        <w:t>a</w:t>
      </w:r>
      <w:r w:rsidR="000159A6">
        <w:rPr>
          <w:lang w:eastAsia="ja-JP"/>
        </w:rPr>
        <w:t xml:space="preserve"> </w:t>
      </w:r>
      <w:r>
        <w:rPr>
          <w:lang w:eastAsia="ja-JP"/>
        </w:rPr>
        <w:t>possible</w:t>
      </w:r>
      <w:r w:rsidR="000159A6">
        <w:rPr>
          <w:lang w:eastAsia="ja-JP"/>
        </w:rPr>
        <w:t xml:space="preserve"> </w:t>
      </w:r>
      <w:r>
        <w:rPr>
          <w:lang w:eastAsia="ja-JP"/>
        </w:rPr>
        <w:t>increase</w:t>
      </w:r>
      <w:r w:rsidR="000159A6">
        <w:rPr>
          <w:lang w:eastAsia="ja-JP"/>
        </w:rPr>
        <w:t xml:space="preserve"> </w:t>
      </w:r>
      <w:r>
        <w:rPr>
          <w:lang w:eastAsia="ja-JP"/>
        </w:rPr>
        <w:t>risk</w:t>
      </w:r>
      <w:r w:rsidR="000159A6">
        <w:rPr>
          <w:lang w:eastAsia="ja-JP"/>
        </w:rPr>
        <w:t xml:space="preserve"> </w:t>
      </w:r>
      <w:r>
        <w:rPr>
          <w:lang w:eastAsia="ja-JP"/>
        </w:rPr>
        <w:t>of</w:t>
      </w:r>
      <w:r w:rsidR="000159A6">
        <w:rPr>
          <w:lang w:eastAsia="ja-JP"/>
        </w:rPr>
        <w:t xml:space="preserve"> </w:t>
      </w:r>
      <w:r>
        <w:rPr>
          <w:lang w:eastAsia="ja-JP"/>
        </w:rPr>
        <w:t>gout</w:t>
      </w:r>
      <w:r w:rsidR="000159A6">
        <w:rPr>
          <w:lang w:eastAsia="ja-JP"/>
        </w:rPr>
        <w:t xml:space="preserve"> </w:t>
      </w:r>
      <w:r>
        <w:rPr>
          <w:lang w:eastAsia="ja-JP"/>
        </w:rPr>
        <w:t>post</w:t>
      </w:r>
      <w:r w:rsidR="000159A6">
        <w:rPr>
          <w:lang w:eastAsia="ja-JP"/>
        </w:rPr>
        <w:t xml:space="preserve"> </w:t>
      </w:r>
      <w:r>
        <w:rPr>
          <w:lang w:eastAsia="ja-JP"/>
        </w:rPr>
        <w:t>vaccination.</w:t>
      </w:r>
    </w:p>
    <w:p w14:paraId="0F30F43C" w14:textId="18F972AD" w:rsidR="00624EB5" w:rsidRDefault="00624EB5" w:rsidP="00541F41">
      <w:pPr>
        <w:rPr>
          <w:lang w:eastAsia="ja-JP"/>
        </w:rPr>
      </w:pPr>
      <w:r w:rsidRPr="00A20854">
        <w:rPr>
          <w:lang w:eastAsia="ja-JP"/>
        </w:rPr>
        <w:t>As</w:t>
      </w:r>
      <w:r w:rsidR="000159A6">
        <w:rPr>
          <w:lang w:eastAsia="ja-JP"/>
        </w:rPr>
        <w:t xml:space="preserve"> </w:t>
      </w:r>
      <w:r w:rsidRPr="00A20854">
        <w:rPr>
          <w:lang w:eastAsia="ja-JP"/>
        </w:rPr>
        <w:t>previously</w:t>
      </w:r>
      <w:r w:rsidR="000159A6">
        <w:rPr>
          <w:lang w:eastAsia="ja-JP"/>
        </w:rPr>
        <w:t xml:space="preserve"> </w:t>
      </w:r>
      <w:r w:rsidRPr="00A20854">
        <w:rPr>
          <w:lang w:eastAsia="ja-JP"/>
        </w:rPr>
        <w:t>discussed,</w:t>
      </w:r>
      <w:r w:rsidR="000159A6">
        <w:rPr>
          <w:lang w:eastAsia="ja-JP"/>
        </w:rPr>
        <w:t xml:space="preserve"> </w:t>
      </w:r>
      <w:r w:rsidRPr="00A20854">
        <w:rPr>
          <w:lang w:eastAsia="ja-JP"/>
        </w:rPr>
        <w:t>pharmacovigilance</w:t>
      </w:r>
      <w:r w:rsidR="000159A6">
        <w:rPr>
          <w:lang w:eastAsia="ja-JP"/>
        </w:rPr>
        <w:t xml:space="preserve"> </w:t>
      </w:r>
      <w:r w:rsidRPr="00A20854">
        <w:rPr>
          <w:lang w:eastAsia="ja-JP"/>
        </w:rPr>
        <w:t>surveillance</w:t>
      </w:r>
      <w:r w:rsidR="000159A6">
        <w:rPr>
          <w:lang w:eastAsia="ja-JP"/>
        </w:rPr>
        <w:t xml:space="preserve"> </w:t>
      </w:r>
      <w:r w:rsidRPr="00A20854">
        <w:rPr>
          <w:lang w:eastAsia="ja-JP"/>
        </w:rPr>
        <w:t>of</w:t>
      </w:r>
      <w:r w:rsidR="000159A6">
        <w:rPr>
          <w:lang w:eastAsia="ja-JP"/>
        </w:rPr>
        <w:t xml:space="preserve"> </w:t>
      </w:r>
      <w:proofErr w:type="spellStart"/>
      <w:r w:rsidRPr="00A20854">
        <w:rPr>
          <w:lang w:eastAsia="ja-JP"/>
        </w:rPr>
        <w:t>pIMDs</w:t>
      </w:r>
      <w:proofErr w:type="spellEnd"/>
      <w:r w:rsidR="000159A6">
        <w:rPr>
          <w:lang w:eastAsia="ja-JP"/>
        </w:rPr>
        <w:t xml:space="preserve"> </w:t>
      </w:r>
      <w:r w:rsidRPr="00A20854">
        <w:rPr>
          <w:lang w:eastAsia="ja-JP"/>
        </w:rPr>
        <w:t>will</w:t>
      </w:r>
      <w:r w:rsidR="000159A6">
        <w:rPr>
          <w:lang w:eastAsia="ja-JP"/>
        </w:rPr>
        <w:t xml:space="preserve"> </w:t>
      </w:r>
      <w:r w:rsidRPr="00A20854">
        <w:rPr>
          <w:lang w:eastAsia="ja-JP"/>
        </w:rPr>
        <w:t>be</w:t>
      </w:r>
      <w:r w:rsidR="000159A6">
        <w:rPr>
          <w:lang w:eastAsia="ja-JP"/>
        </w:rPr>
        <w:t xml:space="preserve"> </w:t>
      </w:r>
      <w:r w:rsidRPr="00A20854">
        <w:rPr>
          <w:lang w:eastAsia="ja-JP"/>
        </w:rPr>
        <w:t>important</w:t>
      </w:r>
      <w:r w:rsidR="000159A6">
        <w:rPr>
          <w:lang w:eastAsia="ja-JP"/>
        </w:rPr>
        <w:t xml:space="preserve"> </w:t>
      </w:r>
      <w:r>
        <w:rPr>
          <w:lang w:eastAsia="ja-JP"/>
        </w:rPr>
        <w:t>and</w:t>
      </w:r>
      <w:r w:rsidR="000159A6">
        <w:rPr>
          <w:lang w:eastAsia="ja-JP"/>
        </w:rPr>
        <w:t xml:space="preserve"> </w:t>
      </w:r>
      <w:r>
        <w:rPr>
          <w:lang w:eastAsia="ja-JP"/>
        </w:rPr>
        <w:t>s</w:t>
      </w:r>
      <w:r w:rsidRPr="00A20854">
        <w:rPr>
          <w:lang w:eastAsia="ja-JP"/>
        </w:rPr>
        <w:t>afety</w:t>
      </w:r>
      <w:r w:rsidR="000159A6">
        <w:rPr>
          <w:lang w:eastAsia="ja-JP"/>
        </w:rPr>
        <w:t xml:space="preserve"> </w:t>
      </w:r>
      <w:r w:rsidRPr="00A20854">
        <w:rPr>
          <w:lang w:eastAsia="ja-JP"/>
        </w:rPr>
        <w:t>assessment</w:t>
      </w:r>
      <w:r w:rsidR="000159A6">
        <w:rPr>
          <w:lang w:eastAsia="ja-JP"/>
        </w:rPr>
        <w:t xml:space="preserve"> </w:t>
      </w:r>
      <w:r w:rsidRPr="00A20854">
        <w:rPr>
          <w:lang w:eastAsia="ja-JP"/>
        </w:rPr>
        <w:t>in</w:t>
      </w:r>
      <w:r w:rsidR="000159A6">
        <w:rPr>
          <w:lang w:eastAsia="ja-JP"/>
        </w:rPr>
        <w:t xml:space="preserve"> </w:t>
      </w:r>
      <w:r w:rsidRPr="00A20854">
        <w:rPr>
          <w:lang w:eastAsia="ja-JP"/>
        </w:rPr>
        <w:t>frail</w:t>
      </w:r>
      <w:r w:rsidR="000159A6">
        <w:rPr>
          <w:lang w:eastAsia="ja-JP"/>
        </w:rPr>
        <w:t xml:space="preserve"> </w:t>
      </w:r>
      <w:r w:rsidRPr="00A20854">
        <w:rPr>
          <w:lang w:eastAsia="ja-JP"/>
        </w:rPr>
        <w:t>elderly</w:t>
      </w:r>
      <w:r w:rsidR="000159A6">
        <w:rPr>
          <w:lang w:eastAsia="ja-JP"/>
        </w:rPr>
        <w:t xml:space="preserve"> </w:t>
      </w:r>
      <w:r w:rsidRPr="00A20854">
        <w:rPr>
          <w:lang w:eastAsia="ja-JP"/>
        </w:rPr>
        <w:t>adults</w:t>
      </w:r>
      <w:r w:rsidR="000159A6">
        <w:rPr>
          <w:lang w:eastAsia="ja-JP"/>
        </w:rPr>
        <w:t xml:space="preserve"> </w:t>
      </w:r>
      <w:r w:rsidRPr="00A20854">
        <w:rPr>
          <w:lang w:eastAsia="ja-JP"/>
        </w:rPr>
        <w:t>and</w:t>
      </w:r>
      <w:r w:rsidR="000159A6">
        <w:rPr>
          <w:lang w:eastAsia="ja-JP"/>
        </w:rPr>
        <w:t xml:space="preserve"> </w:t>
      </w:r>
      <w:r>
        <w:rPr>
          <w:lang w:eastAsia="ja-JP"/>
        </w:rPr>
        <w:t>in</w:t>
      </w:r>
      <w:r w:rsidR="000159A6">
        <w:rPr>
          <w:lang w:eastAsia="ja-JP"/>
        </w:rPr>
        <w:t xml:space="preserve"> </w:t>
      </w:r>
      <w:r w:rsidRPr="00A20854">
        <w:rPr>
          <w:lang w:eastAsia="ja-JP"/>
        </w:rPr>
        <w:t>those</w:t>
      </w:r>
      <w:r w:rsidR="000159A6">
        <w:rPr>
          <w:lang w:eastAsia="ja-JP"/>
        </w:rPr>
        <w:t xml:space="preserve"> </w:t>
      </w:r>
      <w:r w:rsidRPr="00A20854">
        <w:rPr>
          <w:lang w:eastAsia="ja-JP"/>
        </w:rPr>
        <w:t>with</w:t>
      </w:r>
      <w:r w:rsidR="000159A6">
        <w:rPr>
          <w:lang w:eastAsia="ja-JP"/>
        </w:rPr>
        <w:t xml:space="preserve"> </w:t>
      </w:r>
      <w:r w:rsidRPr="00A20854">
        <w:rPr>
          <w:lang w:eastAsia="ja-JP"/>
        </w:rPr>
        <w:t>immune</w:t>
      </w:r>
      <w:r w:rsidR="000159A6">
        <w:rPr>
          <w:lang w:eastAsia="ja-JP"/>
        </w:rPr>
        <w:t xml:space="preserve"> </w:t>
      </w:r>
      <w:r w:rsidRPr="00A20854">
        <w:rPr>
          <w:lang w:eastAsia="ja-JP"/>
        </w:rPr>
        <w:t>mediated</w:t>
      </w:r>
      <w:r w:rsidR="000159A6">
        <w:rPr>
          <w:lang w:eastAsia="ja-JP"/>
        </w:rPr>
        <w:t xml:space="preserve"> </w:t>
      </w:r>
      <w:r w:rsidRPr="00A20854">
        <w:rPr>
          <w:lang w:eastAsia="ja-JP"/>
        </w:rPr>
        <w:t>disorders</w:t>
      </w:r>
      <w:r w:rsidR="000159A6">
        <w:rPr>
          <w:lang w:eastAsia="ja-JP"/>
        </w:rPr>
        <w:t xml:space="preserve"> </w:t>
      </w:r>
      <w:r>
        <w:rPr>
          <w:lang w:eastAsia="ja-JP"/>
        </w:rPr>
        <w:t>should</w:t>
      </w:r>
      <w:r w:rsidR="000159A6">
        <w:rPr>
          <w:lang w:eastAsia="ja-JP"/>
        </w:rPr>
        <w:t xml:space="preserve"> </w:t>
      </w:r>
      <w:r>
        <w:rPr>
          <w:lang w:eastAsia="ja-JP"/>
        </w:rPr>
        <w:t>be</w:t>
      </w:r>
      <w:r w:rsidR="000159A6">
        <w:rPr>
          <w:lang w:eastAsia="ja-JP"/>
        </w:rPr>
        <w:t xml:space="preserve"> </w:t>
      </w:r>
      <w:r>
        <w:rPr>
          <w:lang w:eastAsia="ja-JP"/>
        </w:rPr>
        <w:t>examined</w:t>
      </w:r>
      <w:r w:rsidR="000159A6">
        <w:rPr>
          <w:lang w:eastAsia="ja-JP"/>
        </w:rPr>
        <w:t xml:space="preserve"> </w:t>
      </w:r>
      <w:r>
        <w:rPr>
          <w:lang w:eastAsia="ja-JP"/>
        </w:rPr>
        <w:t>in</w:t>
      </w:r>
      <w:r w:rsidR="000159A6">
        <w:rPr>
          <w:lang w:eastAsia="ja-JP"/>
        </w:rPr>
        <w:t xml:space="preserve"> </w:t>
      </w:r>
      <w:r>
        <w:rPr>
          <w:lang w:eastAsia="ja-JP"/>
        </w:rPr>
        <w:t>further</w:t>
      </w:r>
      <w:r w:rsidR="000159A6">
        <w:rPr>
          <w:lang w:eastAsia="ja-JP"/>
        </w:rPr>
        <w:t xml:space="preserve"> </w:t>
      </w:r>
      <w:r>
        <w:rPr>
          <w:lang w:eastAsia="ja-JP"/>
        </w:rPr>
        <w:t>studies</w:t>
      </w:r>
      <w:r w:rsidRPr="00A20854">
        <w:rPr>
          <w:lang w:eastAsia="ja-JP"/>
        </w:rPr>
        <w:t>.</w:t>
      </w:r>
    </w:p>
    <w:p w14:paraId="26D6D8F3" w14:textId="758B0337" w:rsidR="00624EB5" w:rsidRDefault="00624EB5" w:rsidP="00541F41">
      <w:r>
        <w:rPr>
          <w:lang w:eastAsia="ja-JP"/>
        </w:rPr>
        <w:t>The</w:t>
      </w:r>
      <w:r w:rsidR="000159A6">
        <w:rPr>
          <w:lang w:eastAsia="ja-JP"/>
        </w:rPr>
        <w:t xml:space="preserve"> </w:t>
      </w:r>
      <w:r>
        <w:rPr>
          <w:lang w:eastAsia="ja-JP"/>
        </w:rPr>
        <w:t>data</w:t>
      </w:r>
      <w:r w:rsidR="000159A6">
        <w:rPr>
          <w:lang w:eastAsia="ja-JP"/>
        </w:rPr>
        <w:t xml:space="preserve"> </w:t>
      </w:r>
      <w:r>
        <w:rPr>
          <w:lang w:eastAsia="ja-JP"/>
        </w:rPr>
        <w:t>presented</w:t>
      </w:r>
      <w:r w:rsidR="000159A6">
        <w:rPr>
          <w:lang w:eastAsia="ja-JP"/>
        </w:rPr>
        <w:t xml:space="preserve"> </w:t>
      </w:r>
      <w:r>
        <w:rPr>
          <w:lang w:eastAsia="ja-JP"/>
        </w:rPr>
        <w:t>on</w:t>
      </w:r>
      <w:r w:rsidR="000159A6">
        <w:rPr>
          <w:lang w:eastAsia="ja-JP"/>
        </w:rPr>
        <w:t xml:space="preserve"> </w:t>
      </w:r>
      <w:r>
        <w:rPr>
          <w:lang w:eastAsia="ja-JP"/>
        </w:rPr>
        <w:t>immunological</w:t>
      </w:r>
      <w:r w:rsidR="000159A6">
        <w:rPr>
          <w:lang w:eastAsia="ja-JP"/>
        </w:rPr>
        <w:t xml:space="preserve"> </w:t>
      </w:r>
      <w:r>
        <w:rPr>
          <w:lang w:eastAsia="ja-JP"/>
        </w:rPr>
        <w:t>correlates</w:t>
      </w:r>
      <w:r w:rsidR="000159A6">
        <w:rPr>
          <w:lang w:eastAsia="ja-JP"/>
        </w:rPr>
        <w:t xml:space="preserve"> </w:t>
      </w:r>
      <w:r>
        <w:rPr>
          <w:lang w:eastAsia="ja-JP"/>
        </w:rPr>
        <w:t>of</w:t>
      </w:r>
      <w:r w:rsidR="000159A6">
        <w:rPr>
          <w:lang w:eastAsia="ja-JP"/>
        </w:rPr>
        <w:t xml:space="preserve"> </w:t>
      </w:r>
      <w:r>
        <w:rPr>
          <w:lang w:eastAsia="ja-JP"/>
        </w:rPr>
        <w:t>protection</w:t>
      </w:r>
      <w:r w:rsidR="000159A6">
        <w:rPr>
          <w:lang w:eastAsia="ja-JP"/>
        </w:rPr>
        <w:t xml:space="preserve"> </w:t>
      </w:r>
      <w:r>
        <w:t>indicated</w:t>
      </w:r>
      <w:r w:rsidR="000159A6">
        <w:t xml:space="preserve"> </w:t>
      </w:r>
      <w:r>
        <w:t>a</w:t>
      </w:r>
      <w:r w:rsidR="000159A6">
        <w:t xml:space="preserve"> </w:t>
      </w:r>
      <w:r>
        <w:t>correlation</w:t>
      </w:r>
      <w:r w:rsidR="000159A6">
        <w:t xml:space="preserve"> </w:t>
      </w:r>
      <w:r>
        <w:t>between</w:t>
      </w:r>
      <w:r w:rsidR="000159A6">
        <w:t xml:space="preserve"> </w:t>
      </w:r>
      <w:r>
        <w:t>the</w:t>
      </w:r>
      <w:r w:rsidR="000159A6">
        <w:t xml:space="preserve"> </w:t>
      </w:r>
      <w:proofErr w:type="gramStart"/>
      <w:r>
        <w:t>gE</w:t>
      </w:r>
      <w:proofErr w:type="gramEnd"/>
      <w:r w:rsidR="000159A6">
        <w:t xml:space="preserve"> </w:t>
      </w:r>
      <w:r>
        <w:t>ELISA</w:t>
      </w:r>
      <w:r w:rsidR="000159A6">
        <w:t xml:space="preserve"> </w:t>
      </w:r>
      <w:r>
        <w:t>antibody</w:t>
      </w:r>
      <w:r w:rsidR="000159A6">
        <w:t xml:space="preserve"> </w:t>
      </w:r>
      <w:r>
        <w:t>level</w:t>
      </w:r>
      <w:r w:rsidR="000159A6">
        <w:t xml:space="preserve"> </w:t>
      </w:r>
      <w:r>
        <w:t>and</w:t>
      </w:r>
      <w:r w:rsidR="000159A6">
        <w:t xml:space="preserve"> </w:t>
      </w:r>
      <w:r>
        <w:t>the</w:t>
      </w:r>
      <w:r w:rsidR="000159A6">
        <w:t xml:space="preserve"> </w:t>
      </w:r>
      <w:r>
        <w:t>protection</w:t>
      </w:r>
      <w:r w:rsidR="000159A6">
        <w:t xml:space="preserve"> </w:t>
      </w:r>
      <w:r>
        <w:t>against</w:t>
      </w:r>
      <w:r w:rsidR="000159A6">
        <w:t xml:space="preserve"> </w:t>
      </w:r>
      <w:r>
        <w:t>HZ</w:t>
      </w:r>
      <w:r w:rsidR="000159A6">
        <w:t xml:space="preserve"> </w:t>
      </w:r>
      <w:r>
        <w:t>in</w:t>
      </w:r>
      <w:r w:rsidR="000159A6">
        <w:t xml:space="preserve"> </w:t>
      </w:r>
      <w:r>
        <w:t>adults</w:t>
      </w:r>
      <w:r w:rsidR="000159A6">
        <w:t xml:space="preserve"> </w:t>
      </w:r>
      <w:r w:rsidR="0037169B">
        <w:t>≥</w:t>
      </w:r>
      <w:r w:rsidR="000159A6">
        <w:t xml:space="preserve"> </w:t>
      </w:r>
      <w:r>
        <w:t>50</w:t>
      </w:r>
      <w:r w:rsidR="000159A6">
        <w:t xml:space="preserve"> </w:t>
      </w:r>
      <w:r>
        <w:t>years</w:t>
      </w:r>
      <w:r w:rsidR="000159A6">
        <w:t xml:space="preserve"> </w:t>
      </w:r>
      <w:r>
        <w:t>of</w:t>
      </w:r>
      <w:r w:rsidR="000159A6">
        <w:t xml:space="preserve"> </w:t>
      </w:r>
      <w:r>
        <w:t>age.</w:t>
      </w:r>
      <w:r w:rsidR="000159A6">
        <w:t xml:space="preserve"> </w:t>
      </w:r>
      <w:r>
        <w:t>Following</w:t>
      </w:r>
      <w:r w:rsidR="000159A6">
        <w:t xml:space="preserve"> </w:t>
      </w:r>
      <w:r>
        <w:t>on</w:t>
      </w:r>
      <w:r w:rsidR="000159A6">
        <w:t xml:space="preserve"> </w:t>
      </w:r>
      <w:r>
        <w:t>from</w:t>
      </w:r>
      <w:r w:rsidR="000159A6">
        <w:t xml:space="preserve"> </w:t>
      </w:r>
      <w:r>
        <w:t>this,</w:t>
      </w:r>
      <w:r w:rsidR="000159A6">
        <w:t xml:space="preserve"> </w:t>
      </w:r>
      <w:r>
        <w:t>as</w:t>
      </w:r>
      <w:r w:rsidR="000159A6">
        <w:t xml:space="preserve"> </w:t>
      </w:r>
      <w:r>
        <w:rPr>
          <w:lang w:eastAsia="ja-JP"/>
        </w:rPr>
        <w:t>non-inferiority</w:t>
      </w:r>
      <w:r w:rsidR="000159A6">
        <w:rPr>
          <w:lang w:eastAsia="ja-JP"/>
        </w:rPr>
        <w:t xml:space="preserve"> </w:t>
      </w:r>
      <w:r>
        <w:rPr>
          <w:lang w:eastAsia="ja-JP"/>
        </w:rPr>
        <w:t>of</w:t>
      </w:r>
      <w:r w:rsidR="000159A6">
        <w:rPr>
          <w:lang w:eastAsia="ja-JP"/>
        </w:rPr>
        <w:t xml:space="preserve"> </w:t>
      </w:r>
      <w:r>
        <w:rPr>
          <w:lang w:eastAsia="ja-JP"/>
        </w:rPr>
        <w:t>the</w:t>
      </w:r>
      <w:r w:rsidR="000159A6">
        <w:rPr>
          <w:lang w:eastAsia="ja-JP"/>
        </w:rPr>
        <w:t xml:space="preserve"> </w:t>
      </w:r>
      <w:r>
        <w:rPr>
          <w:lang w:eastAsia="ja-JP"/>
        </w:rPr>
        <w:t>humoral</w:t>
      </w:r>
      <w:r w:rsidR="000159A6">
        <w:rPr>
          <w:lang w:eastAsia="ja-JP"/>
        </w:rPr>
        <w:t xml:space="preserve"> </w:t>
      </w:r>
      <w:r>
        <w:rPr>
          <w:lang w:eastAsia="ja-JP"/>
        </w:rPr>
        <w:t>immune</w:t>
      </w:r>
      <w:r w:rsidR="000159A6">
        <w:rPr>
          <w:lang w:eastAsia="ja-JP"/>
        </w:rPr>
        <w:t xml:space="preserve"> </w:t>
      </w:r>
      <w:r>
        <w:rPr>
          <w:lang w:eastAsia="ja-JP"/>
        </w:rPr>
        <w:t>response</w:t>
      </w:r>
      <w:r w:rsidR="000159A6">
        <w:rPr>
          <w:lang w:eastAsia="ja-JP"/>
        </w:rPr>
        <w:t xml:space="preserve"> </w:t>
      </w:r>
      <w:r>
        <w:rPr>
          <w:lang w:eastAsia="ja-JP"/>
        </w:rPr>
        <w:t>with</w:t>
      </w:r>
      <w:r w:rsidR="000159A6">
        <w:rPr>
          <w:lang w:eastAsia="ja-JP"/>
        </w:rPr>
        <w:t xml:space="preserve"> </w:t>
      </w:r>
      <w:r>
        <w:rPr>
          <w:lang w:eastAsia="ja-JP"/>
        </w:rPr>
        <w:t>the</w:t>
      </w:r>
      <w:r w:rsidR="000159A6">
        <w:rPr>
          <w:lang w:eastAsia="ja-JP"/>
        </w:rPr>
        <w:t xml:space="preserve"> </w:t>
      </w:r>
      <w:r>
        <w:rPr>
          <w:lang w:eastAsia="ja-JP"/>
        </w:rPr>
        <w:t>0</w:t>
      </w:r>
      <w:r w:rsidR="000159A6">
        <w:rPr>
          <w:lang w:eastAsia="ja-JP"/>
        </w:rPr>
        <w:t xml:space="preserve"> </w:t>
      </w:r>
      <w:r w:rsidR="003E540C">
        <w:rPr>
          <w:lang w:eastAsia="ja-JP"/>
        </w:rPr>
        <w:t>and</w:t>
      </w:r>
      <w:r w:rsidR="000159A6">
        <w:rPr>
          <w:lang w:eastAsia="ja-JP"/>
        </w:rPr>
        <w:t xml:space="preserve"> </w:t>
      </w:r>
      <w:r>
        <w:rPr>
          <w:lang w:eastAsia="ja-JP"/>
        </w:rPr>
        <w:t>6</w:t>
      </w:r>
      <w:r w:rsidR="000159A6">
        <w:rPr>
          <w:lang w:eastAsia="ja-JP"/>
        </w:rPr>
        <w:t xml:space="preserve"> </w:t>
      </w:r>
      <w:r>
        <w:rPr>
          <w:lang w:eastAsia="ja-JP"/>
        </w:rPr>
        <w:t>month</w:t>
      </w:r>
      <w:r w:rsidR="000159A6">
        <w:rPr>
          <w:lang w:eastAsia="ja-JP"/>
        </w:rPr>
        <w:t xml:space="preserve"> </w:t>
      </w:r>
      <w:r>
        <w:rPr>
          <w:lang w:eastAsia="ja-JP"/>
        </w:rPr>
        <w:t>dosing</w:t>
      </w:r>
      <w:r w:rsidR="000159A6">
        <w:rPr>
          <w:lang w:eastAsia="ja-JP"/>
        </w:rPr>
        <w:t xml:space="preserve"> </w:t>
      </w:r>
      <w:r>
        <w:rPr>
          <w:lang w:eastAsia="ja-JP"/>
        </w:rPr>
        <w:t>schedule</w:t>
      </w:r>
      <w:r w:rsidR="000159A6">
        <w:rPr>
          <w:lang w:eastAsia="ja-JP"/>
        </w:rPr>
        <w:t xml:space="preserve"> </w:t>
      </w:r>
      <w:r>
        <w:rPr>
          <w:lang w:eastAsia="ja-JP"/>
        </w:rPr>
        <w:t>was</w:t>
      </w:r>
      <w:r w:rsidR="000159A6">
        <w:rPr>
          <w:lang w:eastAsia="ja-JP"/>
        </w:rPr>
        <w:t xml:space="preserve"> </w:t>
      </w:r>
      <w:r>
        <w:rPr>
          <w:lang w:eastAsia="ja-JP"/>
        </w:rPr>
        <w:t>demonstrated</w:t>
      </w:r>
      <w:r w:rsidR="000159A6">
        <w:rPr>
          <w:lang w:eastAsia="ja-JP"/>
        </w:rPr>
        <w:t xml:space="preserve"> </w:t>
      </w:r>
      <w:r>
        <w:rPr>
          <w:lang w:eastAsia="ja-JP"/>
        </w:rPr>
        <w:t>to</w:t>
      </w:r>
      <w:r w:rsidR="000159A6">
        <w:rPr>
          <w:lang w:eastAsia="ja-JP"/>
        </w:rPr>
        <w:t xml:space="preserve"> </w:t>
      </w:r>
      <w:r>
        <w:rPr>
          <w:lang w:eastAsia="ja-JP"/>
        </w:rPr>
        <w:t>the</w:t>
      </w:r>
      <w:r w:rsidR="000159A6">
        <w:rPr>
          <w:lang w:eastAsia="ja-JP"/>
        </w:rPr>
        <w:t xml:space="preserve"> </w:t>
      </w:r>
      <w:r>
        <w:rPr>
          <w:lang w:eastAsia="ja-JP"/>
        </w:rPr>
        <w:t>0</w:t>
      </w:r>
      <w:r w:rsidR="000159A6">
        <w:rPr>
          <w:lang w:eastAsia="ja-JP"/>
        </w:rPr>
        <w:t xml:space="preserve"> </w:t>
      </w:r>
      <w:r w:rsidR="003E540C">
        <w:rPr>
          <w:lang w:eastAsia="ja-JP"/>
        </w:rPr>
        <w:t>and</w:t>
      </w:r>
      <w:r w:rsidR="000159A6">
        <w:rPr>
          <w:lang w:eastAsia="ja-JP"/>
        </w:rPr>
        <w:t xml:space="preserve"> </w:t>
      </w:r>
      <w:r>
        <w:rPr>
          <w:lang w:eastAsia="ja-JP"/>
        </w:rPr>
        <w:t>2</w:t>
      </w:r>
      <w:r w:rsidR="000159A6">
        <w:rPr>
          <w:lang w:eastAsia="ja-JP"/>
        </w:rPr>
        <w:t xml:space="preserve"> </w:t>
      </w:r>
      <w:r>
        <w:rPr>
          <w:lang w:eastAsia="ja-JP"/>
        </w:rPr>
        <w:t>month</w:t>
      </w:r>
      <w:r w:rsidR="000159A6">
        <w:rPr>
          <w:lang w:eastAsia="ja-JP"/>
        </w:rPr>
        <w:t xml:space="preserve"> </w:t>
      </w:r>
      <w:r>
        <w:rPr>
          <w:lang w:eastAsia="ja-JP"/>
        </w:rPr>
        <w:t>schedule</w:t>
      </w:r>
      <w:r w:rsidR="000159A6">
        <w:rPr>
          <w:lang w:eastAsia="ja-JP"/>
        </w:rPr>
        <w:t xml:space="preserve"> </w:t>
      </w:r>
      <w:r>
        <w:rPr>
          <w:lang w:eastAsia="ja-JP"/>
        </w:rPr>
        <w:t>in</w:t>
      </w:r>
      <w:r w:rsidR="000159A6">
        <w:rPr>
          <w:lang w:eastAsia="ja-JP"/>
        </w:rPr>
        <w:t xml:space="preserve"> </w:t>
      </w:r>
      <w:r w:rsidR="00525235">
        <w:rPr>
          <w:lang w:eastAsia="ja-JP"/>
        </w:rPr>
        <w:t>Study</w:t>
      </w:r>
      <w:r w:rsidR="000159A6">
        <w:rPr>
          <w:lang w:eastAsia="ja-JP"/>
        </w:rPr>
        <w:t xml:space="preserve"> </w:t>
      </w:r>
      <w:r w:rsidR="00525235">
        <w:rPr>
          <w:lang w:eastAsia="ja-JP"/>
        </w:rPr>
        <w:t>ZOSTER</w:t>
      </w:r>
      <w:r>
        <w:rPr>
          <w:lang w:eastAsia="ja-JP"/>
        </w:rPr>
        <w:t>-026,</w:t>
      </w:r>
      <w:r w:rsidR="000159A6">
        <w:rPr>
          <w:lang w:eastAsia="ja-JP"/>
        </w:rPr>
        <w:t xml:space="preserve"> </w:t>
      </w:r>
      <w:r>
        <w:rPr>
          <w:lang w:eastAsia="ja-JP"/>
        </w:rPr>
        <w:t>it</w:t>
      </w:r>
      <w:r w:rsidR="000159A6">
        <w:rPr>
          <w:lang w:eastAsia="ja-JP"/>
        </w:rPr>
        <w:t xml:space="preserve"> </w:t>
      </w:r>
      <w:r>
        <w:rPr>
          <w:lang w:eastAsia="ja-JP"/>
        </w:rPr>
        <w:t>is</w:t>
      </w:r>
      <w:r w:rsidR="000159A6">
        <w:rPr>
          <w:lang w:eastAsia="ja-JP"/>
        </w:rPr>
        <w:t xml:space="preserve"> </w:t>
      </w:r>
      <w:r>
        <w:rPr>
          <w:lang w:eastAsia="ja-JP"/>
        </w:rPr>
        <w:t>agreed</w:t>
      </w:r>
      <w:r w:rsidR="000159A6">
        <w:rPr>
          <w:lang w:eastAsia="ja-JP"/>
        </w:rPr>
        <w:t xml:space="preserve"> </w:t>
      </w:r>
      <w:r>
        <w:rPr>
          <w:lang w:eastAsia="ja-JP"/>
        </w:rPr>
        <w:t>that</w:t>
      </w:r>
      <w:r w:rsidR="000159A6">
        <w:rPr>
          <w:lang w:eastAsia="ja-JP"/>
        </w:rPr>
        <w:t xml:space="preserve"> </w:t>
      </w:r>
      <w:r>
        <w:rPr>
          <w:lang w:eastAsia="ja-JP"/>
        </w:rPr>
        <w:t>the</w:t>
      </w:r>
      <w:r w:rsidR="000159A6">
        <w:rPr>
          <w:lang w:eastAsia="ja-JP"/>
        </w:rPr>
        <w:t xml:space="preserve"> </w:t>
      </w:r>
      <w:r>
        <w:rPr>
          <w:lang w:eastAsia="ja-JP"/>
        </w:rPr>
        <w:t>dosing</w:t>
      </w:r>
      <w:r w:rsidR="000159A6">
        <w:rPr>
          <w:lang w:eastAsia="ja-JP"/>
        </w:rPr>
        <w:t xml:space="preserve"> </w:t>
      </w:r>
      <w:r>
        <w:rPr>
          <w:lang w:eastAsia="ja-JP"/>
        </w:rPr>
        <w:t>interval</w:t>
      </w:r>
      <w:r w:rsidR="000159A6">
        <w:rPr>
          <w:lang w:eastAsia="ja-JP"/>
        </w:rPr>
        <w:t xml:space="preserve"> </w:t>
      </w:r>
      <w:r>
        <w:rPr>
          <w:lang w:eastAsia="ja-JP"/>
        </w:rPr>
        <w:t>may</w:t>
      </w:r>
      <w:r w:rsidR="000159A6">
        <w:rPr>
          <w:lang w:eastAsia="ja-JP"/>
        </w:rPr>
        <w:t xml:space="preserve"> </w:t>
      </w:r>
      <w:r>
        <w:rPr>
          <w:lang w:eastAsia="ja-JP"/>
        </w:rPr>
        <w:t>be</w:t>
      </w:r>
      <w:r w:rsidR="000159A6">
        <w:rPr>
          <w:lang w:eastAsia="ja-JP"/>
        </w:rPr>
        <w:t xml:space="preserve"> </w:t>
      </w:r>
      <w:r>
        <w:rPr>
          <w:lang w:eastAsia="ja-JP"/>
        </w:rPr>
        <w:t>extended</w:t>
      </w:r>
      <w:r w:rsidR="000159A6">
        <w:rPr>
          <w:lang w:eastAsia="ja-JP"/>
        </w:rPr>
        <w:t xml:space="preserve"> </w:t>
      </w:r>
      <w:r>
        <w:rPr>
          <w:lang w:eastAsia="ja-JP"/>
        </w:rPr>
        <w:t>to</w:t>
      </w:r>
      <w:r w:rsidR="000159A6">
        <w:rPr>
          <w:lang w:eastAsia="ja-JP"/>
        </w:rPr>
        <w:t xml:space="preserve"> </w:t>
      </w:r>
      <w:r>
        <w:rPr>
          <w:lang w:eastAsia="ja-JP"/>
        </w:rPr>
        <w:t>a</w:t>
      </w:r>
      <w:r w:rsidR="000159A6">
        <w:rPr>
          <w:lang w:eastAsia="ja-JP"/>
        </w:rPr>
        <w:t xml:space="preserve"> </w:t>
      </w:r>
      <w:r>
        <w:rPr>
          <w:lang w:eastAsia="ja-JP"/>
        </w:rPr>
        <w:t>maximum</w:t>
      </w:r>
      <w:r w:rsidR="000159A6">
        <w:rPr>
          <w:lang w:eastAsia="ja-JP"/>
        </w:rPr>
        <w:t xml:space="preserve"> </w:t>
      </w:r>
      <w:r>
        <w:rPr>
          <w:lang w:eastAsia="ja-JP"/>
        </w:rPr>
        <w:t>of</w:t>
      </w:r>
      <w:r w:rsidR="000159A6">
        <w:rPr>
          <w:lang w:eastAsia="ja-JP"/>
        </w:rPr>
        <w:t xml:space="preserve"> </w:t>
      </w:r>
      <w:r>
        <w:rPr>
          <w:lang w:eastAsia="ja-JP"/>
        </w:rPr>
        <w:t>6</w:t>
      </w:r>
      <w:r w:rsidR="000159A6">
        <w:rPr>
          <w:lang w:eastAsia="ja-JP"/>
        </w:rPr>
        <w:t xml:space="preserve"> </w:t>
      </w:r>
      <w:r>
        <w:rPr>
          <w:lang w:eastAsia="ja-JP"/>
        </w:rPr>
        <w:t>months.</w:t>
      </w:r>
      <w:r w:rsidR="000159A6">
        <w:rPr>
          <w:lang w:eastAsia="ja-JP"/>
        </w:rPr>
        <w:t xml:space="preserve"> </w:t>
      </w:r>
      <w:r>
        <w:t>As</w:t>
      </w:r>
      <w:r w:rsidR="000159A6">
        <w:t xml:space="preserve"> </w:t>
      </w:r>
      <w:r>
        <w:t>mentioned</w:t>
      </w:r>
      <w:r w:rsidR="000159A6">
        <w:t xml:space="preserve"> </w:t>
      </w:r>
      <w:r>
        <w:t>by</w:t>
      </w:r>
      <w:r w:rsidR="000159A6">
        <w:t xml:space="preserve"> </w:t>
      </w:r>
      <w:r>
        <w:t>the</w:t>
      </w:r>
      <w:r w:rsidR="000159A6">
        <w:t xml:space="preserve"> </w:t>
      </w:r>
      <w:r>
        <w:t>sponsor,</w:t>
      </w:r>
      <w:r w:rsidR="000159A6">
        <w:t xml:space="preserve"> </w:t>
      </w:r>
      <w:r>
        <w:t>the</w:t>
      </w:r>
      <w:r w:rsidR="000159A6">
        <w:t xml:space="preserve"> </w:t>
      </w:r>
      <w:r>
        <w:t>data</w:t>
      </w:r>
      <w:r w:rsidR="000159A6">
        <w:t xml:space="preserve"> </w:t>
      </w:r>
      <w:r>
        <w:t>presented</w:t>
      </w:r>
      <w:r w:rsidR="000159A6">
        <w:t xml:space="preserve"> </w:t>
      </w:r>
      <w:r>
        <w:t>on</w:t>
      </w:r>
      <w:r w:rsidR="000159A6">
        <w:t xml:space="preserve"> </w:t>
      </w:r>
      <w:r>
        <w:t>correlates</w:t>
      </w:r>
      <w:r w:rsidR="000159A6">
        <w:t xml:space="preserve"> </w:t>
      </w:r>
      <w:r>
        <w:t>of</w:t>
      </w:r>
      <w:r w:rsidR="000159A6">
        <w:t xml:space="preserve"> </w:t>
      </w:r>
      <w:r>
        <w:t>protection</w:t>
      </w:r>
      <w:r w:rsidR="000159A6">
        <w:t xml:space="preserve"> </w:t>
      </w:r>
      <w:r>
        <w:t>can</w:t>
      </w:r>
      <w:r w:rsidR="000159A6">
        <w:t xml:space="preserve"> </w:t>
      </w:r>
      <w:r>
        <w:t>only</w:t>
      </w:r>
      <w:r w:rsidR="000159A6">
        <w:t xml:space="preserve"> </w:t>
      </w:r>
      <w:r>
        <w:t>be</w:t>
      </w:r>
      <w:r w:rsidR="000159A6">
        <w:t xml:space="preserve"> </w:t>
      </w:r>
      <w:r>
        <w:t>applied</w:t>
      </w:r>
      <w:r w:rsidR="000159A6">
        <w:t xml:space="preserve"> </w:t>
      </w:r>
      <w:r>
        <w:t>to</w:t>
      </w:r>
      <w:r w:rsidR="000159A6">
        <w:t xml:space="preserve"> </w:t>
      </w:r>
      <w:r>
        <w:t>the</w:t>
      </w:r>
      <w:r w:rsidR="000159A6">
        <w:t xml:space="preserve"> </w:t>
      </w:r>
      <w:r>
        <w:t>population</w:t>
      </w:r>
      <w:r w:rsidR="000159A6">
        <w:t xml:space="preserve"> </w:t>
      </w:r>
      <w:r>
        <w:t>studied</w:t>
      </w:r>
      <w:r w:rsidR="000159A6">
        <w:t xml:space="preserve"> </w:t>
      </w:r>
      <w:r>
        <w:t>and</w:t>
      </w:r>
      <w:r w:rsidR="000159A6">
        <w:t xml:space="preserve"> </w:t>
      </w:r>
      <w:r>
        <w:t>with</w:t>
      </w:r>
      <w:r w:rsidR="000159A6">
        <w:t xml:space="preserve"> </w:t>
      </w:r>
      <w:r>
        <w:t>this</w:t>
      </w:r>
      <w:r w:rsidR="000159A6">
        <w:t xml:space="preserve"> </w:t>
      </w:r>
      <w:r>
        <w:t>particular</w:t>
      </w:r>
      <w:r w:rsidR="000159A6">
        <w:t xml:space="preserve"> </w:t>
      </w:r>
      <w:r>
        <w:t>vaccine</w:t>
      </w:r>
      <w:r w:rsidR="000159A6">
        <w:t xml:space="preserve"> </w:t>
      </w:r>
      <w:r w:rsidR="00A759A4">
        <w:t>and</w:t>
      </w:r>
      <w:r w:rsidR="000159A6">
        <w:t xml:space="preserve"> </w:t>
      </w:r>
      <w:r w:rsidR="00A759A4">
        <w:t>using</w:t>
      </w:r>
      <w:r w:rsidR="000159A6">
        <w:t xml:space="preserve"> </w:t>
      </w:r>
      <w:r w:rsidR="00A759A4">
        <w:t>the</w:t>
      </w:r>
      <w:r w:rsidR="000159A6">
        <w:t xml:space="preserve"> </w:t>
      </w:r>
      <w:r w:rsidR="00A759A4">
        <w:t>sponsor’s</w:t>
      </w:r>
      <w:r w:rsidR="000159A6">
        <w:t xml:space="preserve"> </w:t>
      </w:r>
      <w:r w:rsidR="00A759A4">
        <w:t>proprietary</w:t>
      </w:r>
      <w:r w:rsidR="000159A6">
        <w:t xml:space="preserve"> </w:t>
      </w:r>
      <w:r w:rsidR="00A759A4">
        <w:t>testing</w:t>
      </w:r>
      <w:r>
        <w:t>.</w:t>
      </w:r>
    </w:p>
    <w:p w14:paraId="1CE15185" w14:textId="5FBF7089" w:rsidR="00624EB5" w:rsidRDefault="00624EB5" w:rsidP="004F7493">
      <w:pPr>
        <w:rPr>
          <w:lang w:eastAsia="ja-JP"/>
        </w:rPr>
      </w:pPr>
      <w:r>
        <w:rPr>
          <w:lang w:eastAsia="ja-JP"/>
        </w:rPr>
        <w:t>The</w:t>
      </w:r>
      <w:r w:rsidR="000159A6">
        <w:rPr>
          <w:lang w:eastAsia="ja-JP"/>
        </w:rPr>
        <w:t xml:space="preserve"> </w:t>
      </w:r>
      <w:r>
        <w:rPr>
          <w:lang w:eastAsia="ja-JP"/>
        </w:rPr>
        <w:t>indication</w:t>
      </w:r>
      <w:r w:rsidR="000159A6">
        <w:rPr>
          <w:lang w:eastAsia="ja-JP"/>
        </w:rPr>
        <w:t xml:space="preserve"> </w:t>
      </w:r>
      <w:r>
        <w:rPr>
          <w:lang w:eastAsia="ja-JP"/>
        </w:rPr>
        <w:t>has</w:t>
      </w:r>
      <w:r w:rsidR="000159A6">
        <w:rPr>
          <w:lang w:eastAsia="ja-JP"/>
        </w:rPr>
        <w:t xml:space="preserve"> </w:t>
      </w:r>
      <w:r>
        <w:rPr>
          <w:lang w:eastAsia="ja-JP"/>
        </w:rPr>
        <w:t>been</w:t>
      </w:r>
      <w:r w:rsidR="000159A6">
        <w:rPr>
          <w:lang w:eastAsia="ja-JP"/>
        </w:rPr>
        <w:t xml:space="preserve"> </w:t>
      </w:r>
      <w:r>
        <w:rPr>
          <w:lang w:eastAsia="ja-JP"/>
        </w:rPr>
        <w:t>satisfactorily</w:t>
      </w:r>
      <w:r w:rsidR="000159A6">
        <w:rPr>
          <w:lang w:eastAsia="ja-JP"/>
        </w:rPr>
        <w:t xml:space="preserve"> </w:t>
      </w:r>
      <w:r>
        <w:rPr>
          <w:lang w:eastAsia="ja-JP"/>
        </w:rPr>
        <w:t>reworded</w:t>
      </w:r>
      <w:r w:rsidR="000159A6">
        <w:rPr>
          <w:lang w:eastAsia="ja-JP"/>
        </w:rPr>
        <w:t xml:space="preserve"> </w:t>
      </w:r>
      <w:r>
        <w:rPr>
          <w:lang w:eastAsia="ja-JP"/>
        </w:rPr>
        <w:t>and</w:t>
      </w:r>
      <w:r w:rsidR="000159A6">
        <w:rPr>
          <w:lang w:eastAsia="ja-JP"/>
        </w:rPr>
        <w:t xml:space="preserve"> </w:t>
      </w:r>
      <w:r w:rsidR="000D0435">
        <w:rPr>
          <w:lang w:eastAsia="ja-JP"/>
        </w:rPr>
        <w:t>HZ</w:t>
      </w:r>
      <w:r w:rsidR="000159A6">
        <w:rPr>
          <w:lang w:eastAsia="ja-JP"/>
        </w:rPr>
        <w:t xml:space="preserve"> </w:t>
      </w:r>
      <w:r w:rsidR="000D0435">
        <w:rPr>
          <w:lang w:eastAsia="ja-JP"/>
        </w:rPr>
        <w:t>related</w:t>
      </w:r>
      <w:r w:rsidR="000159A6">
        <w:rPr>
          <w:lang w:eastAsia="ja-JP"/>
        </w:rPr>
        <w:t xml:space="preserve"> </w:t>
      </w:r>
      <w:r>
        <w:rPr>
          <w:lang w:eastAsia="ja-JP"/>
        </w:rPr>
        <w:t>complications</w:t>
      </w:r>
      <w:r w:rsidR="000159A6">
        <w:rPr>
          <w:lang w:eastAsia="ja-JP"/>
        </w:rPr>
        <w:t xml:space="preserve"> </w:t>
      </w:r>
      <w:r>
        <w:rPr>
          <w:lang w:eastAsia="ja-JP"/>
        </w:rPr>
        <w:t>other</w:t>
      </w:r>
      <w:r w:rsidR="000159A6">
        <w:rPr>
          <w:lang w:eastAsia="ja-JP"/>
        </w:rPr>
        <w:t xml:space="preserve"> </w:t>
      </w:r>
      <w:r>
        <w:rPr>
          <w:lang w:eastAsia="ja-JP"/>
        </w:rPr>
        <w:t>than</w:t>
      </w:r>
      <w:r w:rsidR="000159A6">
        <w:rPr>
          <w:lang w:eastAsia="ja-JP"/>
        </w:rPr>
        <w:t xml:space="preserve"> </w:t>
      </w:r>
      <w:r>
        <w:rPr>
          <w:lang w:eastAsia="ja-JP"/>
        </w:rPr>
        <w:t>PHN</w:t>
      </w:r>
      <w:r w:rsidR="000159A6">
        <w:rPr>
          <w:lang w:eastAsia="ja-JP"/>
        </w:rPr>
        <w:t xml:space="preserve"> </w:t>
      </w:r>
      <w:r>
        <w:rPr>
          <w:lang w:eastAsia="ja-JP"/>
        </w:rPr>
        <w:t>have</w:t>
      </w:r>
      <w:r w:rsidR="000159A6">
        <w:rPr>
          <w:lang w:eastAsia="ja-JP"/>
        </w:rPr>
        <w:t xml:space="preserve"> </w:t>
      </w:r>
      <w:r>
        <w:rPr>
          <w:lang w:eastAsia="ja-JP"/>
        </w:rPr>
        <w:t>been</w:t>
      </w:r>
      <w:r w:rsidR="000159A6">
        <w:rPr>
          <w:lang w:eastAsia="ja-JP"/>
        </w:rPr>
        <w:t xml:space="preserve"> </w:t>
      </w:r>
      <w:r>
        <w:rPr>
          <w:lang w:eastAsia="ja-JP"/>
        </w:rPr>
        <w:t>deleted.</w:t>
      </w:r>
    </w:p>
    <w:p w14:paraId="10D3E366" w14:textId="445FF41A" w:rsidR="00624EB5" w:rsidRDefault="00624EB5" w:rsidP="00541F41">
      <w:pPr>
        <w:rPr>
          <w:lang w:eastAsia="ja-JP"/>
        </w:rPr>
      </w:pPr>
      <w:r>
        <w:rPr>
          <w:lang w:eastAsia="ja-JP"/>
        </w:rPr>
        <w:t>There</w:t>
      </w:r>
      <w:r w:rsidR="000159A6">
        <w:rPr>
          <w:lang w:eastAsia="ja-JP"/>
        </w:rPr>
        <w:t xml:space="preserve"> </w:t>
      </w:r>
      <w:r>
        <w:rPr>
          <w:lang w:eastAsia="ja-JP"/>
        </w:rPr>
        <w:t>still</w:t>
      </w:r>
      <w:r w:rsidR="000159A6">
        <w:rPr>
          <w:lang w:eastAsia="ja-JP"/>
        </w:rPr>
        <w:t xml:space="preserve"> </w:t>
      </w:r>
      <w:r>
        <w:rPr>
          <w:lang w:eastAsia="ja-JP"/>
        </w:rPr>
        <w:t>remain</w:t>
      </w:r>
      <w:r w:rsidR="000159A6">
        <w:rPr>
          <w:lang w:eastAsia="ja-JP"/>
        </w:rPr>
        <w:t xml:space="preserve"> </w:t>
      </w:r>
      <w:r>
        <w:rPr>
          <w:lang w:eastAsia="ja-JP"/>
        </w:rPr>
        <w:t>several</w:t>
      </w:r>
      <w:r w:rsidR="000159A6">
        <w:rPr>
          <w:lang w:eastAsia="ja-JP"/>
        </w:rPr>
        <w:t xml:space="preserve"> </w:t>
      </w:r>
      <w:r>
        <w:rPr>
          <w:lang w:eastAsia="ja-JP"/>
        </w:rPr>
        <w:t>areas</w:t>
      </w:r>
      <w:r w:rsidR="000159A6">
        <w:rPr>
          <w:lang w:eastAsia="ja-JP"/>
        </w:rPr>
        <w:t xml:space="preserve"> </w:t>
      </w:r>
      <w:r>
        <w:rPr>
          <w:lang w:eastAsia="ja-JP"/>
        </w:rPr>
        <w:t>where</w:t>
      </w:r>
      <w:r w:rsidR="000159A6">
        <w:rPr>
          <w:lang w:eastAsia="ja-JP"/>
        </w:rPr>
        <w:t xml:space="preserve"> </w:t>
      </w:r>
      <w:r>
        <w:rPr>
          <w:lang w:eastAsia="ja-JP"/>
        </w:rPr>
        <w:t>data</w:t>
      </w:r>
      <w:r w:rsidR="000159A6">
        <w:rPr>
          <w:lang w:eastAsia="ja-JP"/>
        </w:rPr>
        <w:t xml:space="preserve"> </w:t>
      </w:r>
      <w:r>
        <w:rPr>
          <w:lang w:eastAsia="ja-JP"/>
        </w:rPr>
        <w:t>are</w:t>
      </w:r>
      <w:r w:rsidR="000159A6">
        <w:rPr>
          <w:lang w:eastAsia="ja-JP"/>
        </w:rPr>
        <w:t xml:space="preserve"> </w:t>
      </w:r>
      <w:r>
        <w:rPr>
          <w:lang w:eastAsia="ja-JP"/>
        </w:rPr>
        <w:t>limited</w:t>
      </w:r>
      <w:r w:rsidR="000159A6">
        <w:rPr>
          <w:lang w:eastAsia="ja-JP"/>
        </w:rPr>
        <w:t xml:space="preserve"> </w:t>
      </w:r>
      <w:r>
        <w:rPr>
          <w:lang w:eastAsia="ja-JP"/>
        </w:rPr>
        <w:t>or</w:t>
      </w:r>
      <w:r w:rsidR="000159A6">
        <w:rPr>
          <w:lang w:eastAsia="ja-JP"/>
        </w:rPr>
        <w:t xml:space="preserve"> </w:t>
      </w:r>
      <w:r>
        <w:rPr>
          <w:lang w:eastAsia="ja-JP"/>
        </w:rPr>
        <w:t>lacking.</w:t>
      </w:r>
      <w:r w:rsidR="000159A6">
        <w:rPr>
          <w:lang w:eastAsia="ja-JP"/>
        </w:rPr>
        <w:t xml:space="preserve"> </w:t>
      </w:r>
      <w:r>
        <w:rPr>
          <w:lang w:eastAsia="ja-JP"/>
        </w:rPr>
        <w:t>These</w:t>
      </w:r>
      <w:r w:rsidR="000159A6">
        <w:rPr>
          <w:lang w:eastAsia="ja-JP"/>
        </w:rPr>
        <w:t xml:space="preserve"> </w:t>
      </w:r>
      <w:r>
        <w:rPr>
          <w:lang w:eastAsia="ja-JP"/>
        </w:rPr>
        <w:t>include:</w:t>
      </w:r>
    </w:p>
    <w:p w14:paraId="37AB923A" w14:textId="41AD21A2" w:rsidR="00624EB5" w:rsidRDefault="00624EB5" w:rsidP="00541F41">
      <w:pPr>
        <w:pStyle w:val="ListBullet"/>
        <w:rPr>
          <w:lang w:eastAsia="ja-JP"/>
        </w:rPr>
      </w:pPr>
      <w:r>
        <w:rPr>
          <w:lang w:eastAsia="ja-JP"/>
        </w:rPr>
        <w:t>co-administration</w:t>
      </w:r>
      <w:r w:rsidR="000159A6">
        <w:rPr>
          <w:lang w:eastAsia="ja-JP"/>
        </w:rPr>
        <w:t xml:space="preserve"> </w:t>
      </w:r>
      <w:r>
        <w:rPr>
          <w:lang w:eastAsia="ja-JP"/>
        </w:rPr>
        <w:t>with</w:t>
      </w:r>
      <w:r w:rsidR="000159A6">
        <w:rPr>
          <w:lang w:eastAsia="ja-JP"/>
        </w:rPr>
        <w:t xml:space="preserve"> </w:t>
      </w:r>
      <w:r>
        <w:rPr>
          <w:lang w:eastAsia="ja-JP"/>
        </w:rPr>
        <w:t>pneumococcal</w:t>
      </w:r>
      <w:r w:rsidR="000159A6">
        <w:rPr>
          <w:lang w:eastAsia="ja-JP"/>
        </w:rPr>
        <w:t xml:space="preserve"> </w:t>
      </w:r>
      <w:r>
        <w:rPr>
          <w:lang w:eastAsia="ja-JP"/>
        </w:rPr>
        <w:t>vaccine</w:t>
      </w:r>
      <w:r w:rsidR="000159A6">
        <w:rPr>
          <w:lang w:eastAsia="ja-JP"/>
        </w:rPr>
        <w:t xml:space="preserve"> </w:t>
      </w:r>
      <w:r>
        <w:rPr>
          <w:lang w:eastAsia="ja-JP"/>
        </w:rPr>
        <w:t>and</w:t>
      </w:r>
      <w:r w:rsidR="000159A6">
        <w:rPr>
          <w:lang w:eastAsia="ja-JP"/>
        </w:rPr>
        <w:t xml:space="preserve"> </w:t>
      </w:r>
      <w:r>
        <w:rPr>
          <w:lang w:eastAsia="ja-JP"/>
        </w:rPr>
        <w:t>or</w:t>
      </w:r>
      <w:r w:rsidR="000159A6">
        <w:rPr>
          <w:lang w:eastAsia="ja-JP"/>
        </w:rPr>
        <w:t xml:space="preserve"> </w:t>
      </w:r>
      <w:r>
        <w:rPr>
          <w:lang w:eastAsia="ja-JP"/>
        </w:rPr>
        <w:t>with</w:t>
      </w:r>
      <w:r w:rsidR="000159A6">
        <w:rPr>
          <w:lang w:eastAsia="ja-JP"/>
        </w:rPr>
        <w:t xml:space="preserve"> </w:t>
      </w:r>
      <w:r>
        <w:rPr>
          <w:lang w:eastAsia="ja-JP"/>
        </w:rPr>
        <w:t>other</w:t>
      </w:r>
      <w:r w:rsidR="000159A6">
        <w:rPr>
          <w:lang w:eastAsia="ja-JP"/>
        </w:rPr>
        <w:t xml:space="preserve"> </w:t>
      </w:r>
      <w:proofErr w:type="spellStart"/>
      <w:r w:rsidRPr="00541F41">
        <w:t>adjuvanted</w:t>
      </w:r>
      <w:proofErr w:type="spellEnd"/>
      <w:r w:rsidR="000159A6">
        <w:rPr>
          <w:lang w:eastAsia="ja-JP"/>
        </w:rPr>
        <w:t xml:space="preserve"> </w:t>
      </w:r>
      <w:r>
        <w:rPr>
          <w:lang w:eastAsia="ja-JP"/>
        </w:rPr>
        <w:t>vaccines</w:t>
      </w:r>
    </w:p>
    <w:p w14:paraId="5E1123BF" w14:textId="063AE206" w:rsidR="00624EB5" w:rsidRDefault="00624EB5" w:rsidP="004F7493">
      <w:pPr>
        <w:pStyle w:val="ListBullet"/>
        <w:rPr>
          <w:lang w:eastAsia="ja-JP"/>
        </w:rPr>
      </w:pPr>
      <w:r>
        <w:rPr>
          <w:lang w:eastAsia="ja-JP"/>
        </w:rPr>
        <w:t>ability</w:t>
      </w:r>
      <w:r w:rsidR="000159A6">
        <w:rPr>
          <w:lang w:eastAsia="ja-JP"/>
        </w:rPr>
        <w:t xml:space="preserve"> </w:t>
      </w:r>
      <w:r>
        <w:rPr>
          <w:lang w:eastAsia="ja-JP"/>
        </w:rPr>
        <w:t>to</w:t>
      </w:r>
      <w:r w:rsidR="000159A6">
        <w:rPr>
          <w:lang w:eastAsia="ja-JP"/>
        </w:rPr>
        <w:t xml:space="preserve"> </w:t>
      </w:r>
      <w:r>
        <w:rPr>
          <w:lang w:eastAsia="ja-JP"/>
        </w:rPr>
        <w:t>give</w:t>
      </w:r>
      <w:r w:rsidR="000159A6">
        <w:rPr>
          <w:lang w:eastAsia="ja-JP"/>
        </w:rPr>
        <w:t xml:space="preserve"> </w:t>
      </w:r>
      <w:r>
        <w:rPr>
          <w:lang w:eastAsia="ja-JP"/>
        </w:rPr>
        <w:t>to</w:t>
      </w:r>
      <w:r w:rsidR="000159A6">
        <w:rPr>
          <w:lang w:eastAsia="ja-JP"/>
        </w:rPr>
        <w:t xml:space="preserve"> </w:t>
      </w:r>
      <w:r>
        <w:rPr>
          <w:lang w:eastAsia="ja-JP"/>
        </w:rPr>
        <w:t>adults</w:t>
      </w:r>
      <w:r w:rsidR="000159A6">
        <w:rPr>
          <w:lang w:eastAsia="ja-JP"/>
        </w:rPr>
        <w:t xml:space="preserve"> </w:t>
      </w:r>
      <w:r>
        <w:rPr>
          <w:lang w:eastAsia="ja-JP"/>
        </w:rPr>
        <w:t>who</w:t>
      </w:r>
      <w:r w:rsidR="000159A6">
        <w:rPr>
          <w:lang w:eastAsia="ja-JP"/>
        </w:rPr>
        <w:t xml:space="preserve"> </w:t>
      </w:r>
      <w:r>
        <w:rPr>
          <w:lang w:eastAsia="ja-JP"/>
        </w:rPr>
        <w:t>have</w:t>
      </w:r>
      <w:r w:rsidR="000159A6">
        <w:rPr>
          <w:lang w:eastAsia="ja-JP"/>
        </w:rPr>
        <w:t xml:space="preserve"> </w:t>
      </w:r>
      <w:r>
        <w:rPr>
          <w:lang w:eastAsia="ja-JP"/>
        </w:rPr>
        <w:t>received</w:t>
      </w:r>
      <w:r w:rsidR="000159A6">
        <w:rPr>
          <w:lang w:eastAsia="ja-JP"/>
        </w:rPr>
        <w:t xml:space="preserve"> </w:t>
      </w:r>
      <w:r>
        <w:rPr>
          <w:lang w:eastAsia="ja-JP"/>
        </w:rPr>
        <w:t>Zostavax</w:t>
      </w:r>
    </w:p>
    <w:p w14:paraId="51AD76CF" w14:textId="589FB5BA" w:rsidR="00624EB5" w:rsidRDefault="00624EB5" w:rsidP="004F7493">
      <w:pPr>
        <w:pStyle w:val="ListBullet"/>
        <w:rPr>
          <w:lang w:eastAsia="ja-JP"/>
        </w:rPr>
      </w:pPr>
      <w:r>
        <w:rPr>
          <w:lang w:eastAsia="ja-JP"/>
        </w:rPr>
        <w:t>the</w:t>
      </w:r>
      <w:r w:rsidR="000159A6">
        <w:rPr>
          <w:lang w:eastAsia="ja-JP"/>
        </w:rPr>
        <w:t xml:space="preserve"> </w:t>
      </w:r>
      <w:r>
        <w:rPr>
          <w:lang w:eastAsia="ja-JP"/>
        </w:rPr>
        <w:t>duration</w:t>
      </w:r>
      <w:r w:rsidR="000159A6">
        <w:rPr>
          <w:lang w:eastAsia="ja-JP"/>
        </w:rPr>
        <w:t xml:space="preserve"> </w:t>
      </w:r>
      <w:r>
        <w:rPr>
          <w:lang w:eastAsia="ja-JP"/>
        </w:rPr>
        <w:t>of</w:t>
      </w:r>
      <w:r w:rsidR="000159A6">
        <w:rPr>
          <w:lang w:eastAsia="ja-JP"/>
        </w:rPr>
        <w:t xml:space="preserve"> </w:t>
      </w:r>
      <w:r>
        <w:rPr>
          <w:lang w:eastAsia="ja-JP"/>
        </w:rPr>
        <w:t>protection</w:t>
      </w:r>
      <w:r w:rsidR="000159A6">
        <w:rPr>
          <w:lang w:eastAsia="ja-JP"/>
        </w:rPr>
        <w:t xml:space="preserve"> </w:t>
      </w:r>
      <w:r>
        <w:rPr>
          <w:lang w:eastAsia="ja-JP"/>
        </w:rPr>
        <w:t>beyond</w:t>
      </w:r>
      <w:r w:rsidR="000159A6">
        <w:rPr>
          <w:lang w:eastAsia="ja-JP"/>
        </w:rPr>
        <w:t xml:space="preserve"> </w:t>
      </w:r>
      <w:r>
        <w:rPr>
          <w:lang w:eastAsia="ja-JP"/>
        </w:rPr>
        <w:t>4</w:t>
      </w:r>
      <w:r w:rsidR="000159A6">
        <w:rPr>
          <w:lang w:eastAsia="ja-JP"/>
        </w:rPr>
        <w:t xml:space="preserve"> </w:t>
      </w:r>
      <w:r>
        <w:rPr>
          <w:lang w:eastAsia="ja-JP"/>
        </w:rPr>
        <w:t>years</w:t>
      </w:r>
      <w:r w:rsidR="000159A6">
        <w:rPr>
          <w:lang w:eastAsia="ja-JP"/>
        </w:rPr>
        <w:t xml:space="preserve"> </w:t>
      </w:r>
      <w:r>
        <w:rPr>
          <w:lang w:eastAsia="ja-JP"/>
        </w:rPr>
        <w:t>and</w:t>
      </w:r>
      <w:r w:rsidR="000159A6">
        <w:rPr>
          <w:lang w:eastAsia="ja-JP"/>
        </w:rPr>
        <w:t xml:space="preserve"> </w:t>
      </w:r>
      <w:r>
        <w:rPr>
          <w:lang w:eastAsia="ja-JP"/>
        </w:rPr>
        <w:t>the</w:t>
      </w:r>
      <w:r w:rsidR="000159A6">
        <w:rPr>
          <w:lang w:eastAsia="ja-JP"/>
        </w:rPr>
        <w:t xml:space="preserve"> </w:t>
      </w:r>
      <w:r>
        <w:rPr>
          <w:lang w:eastAsia="ja-JP"/>
        </w:rPr>
        <w:t>need</w:t>
      </w:r>
      <w:r w:rsidR="000159A6">
        <w:rPr>
          <w:lang w:eastAsia="ja-JP"/>
        </w:rPr>
        <w:t xml:space="preserve"> </w:t>
      </w:r>
      <w:r>
        <w:rPr>
          <w:lang w:eastAsia="ja-JP"/>
        </w:rPr>
        <w:t>for</w:t>
      </w:r>
      <w:r w:rsidR="000159A6">
        <w:rPr>
          <w:lang w:eastAsia="ja-JP"/>
        </w:rPr>
        <w:t xml:space="preserve"> </w:t>
      </w:r>
      <w:r>
        <w:rPr>
          <w:lang w:eastAsia="ja-JP"/>
        </w:rPr>
        <w:t>booster</w:t>
      </w:r>
      <w:r w:rsidR="000159A6">
        <w:rPr>
          <w:lang w:eastAsia="ja-JP"/>
        </w:rPr>
        <w:t xml:space="preserve"> </w:t>
      </w:r>
      <w:r>
        <w:rPr>
          <w:lang w:eastAsia="ja-JP"/>
        </w:rPr>
        <w:t>vaccination</w:t>
      </w:r>
    </w:p>
    <w:p w14:paraId="7E0D6BB9" w14:textId="2B6942A5" w:rsidR="00624EB5" w:rsidRDefault="00624EB5" w:rsidP="00541F41">
      <w:pPr>
        <w:pStyle w:val="ListBullet"/>
        <w:rPr>
          <w:lang w:eastAsia="ja-JP"/>
        </w:rPr>
      </w:pPr>
      <w:proofErr w:type="gramStart"/>
      <w:r>
        <w:rPr>
          <w:lang w:eastAsia="ja-JP"/>
        </w:rPr>
        <w:t>efficacy</w:t>
      </w:r>
      <w:proofErr w:type="gramEnd"/>
      <w:r w:rsidR="000159A6">
        <w:rPr>
          <w:lang w:eastAsia="ja-JP"/>
        </w:rPr>
        <w:t xml:space="preserve"> </w:t>
      </w:r>
      <w:r>
        <w:rPr>
          <w:lang w:eastAsia="ja-JP"/>
        </w:rPr>
        <w:t>and</w:t>
      </w:r>
      <w:r w:rsidR="000159A6">
        <w:rPr>
          <w:lang w:eastAsia="ja-JP"/>
        </w:rPr>
        <w:t xml:space="preserve"> </w:t>
      </w:r>
      <w:r>
        <w:rPr>
          <w:lang w:eastAsia="ja-JP"/>
        </w:rPr>
        <w:t>safety</w:t>
      </w:r>
      <w:r w:rsidR="000159A6">
        <w:rPr>
          <w:lang w:eastAsia="ja-JP"/>
        </w:rPr>
        <w:t xml:space="preserve"> </w:t>
      </w:r>
      <w:r>
        <w:rPr>
          <w:lang w:eastAsia="ja-JP"/>
        </w:rPr>
        <w:t>in</w:t>
      </w:r>
      <w:r w:rsidR="000159A6">
        <w:rPr>
          <w:lang w:eastAsia="ja-JP"/>
        </w:rPr>
        <w:t xml:space="preserve"> </w:t>
      </w:r>
      <w:r>
        <w:rPr>
          <w:lang w:eastAsia="ja-JP"/>
        </w:rPr>
        <w:t>immunocompromised</w:t>
      </w:r>
      <w:r w:rsidR="000159A6">
        <w:rPr>
          <w:lang w:eastAsia="ja-JP"/>
        </w:rPr>
        <w:t xml:space="preserve"> </w:t>
      </w:r>
      <w:r w:rsidRPr="00541F41">
        <w:t>patients</w:t>
      </w:r>
      <w:r>
        <w:rPr>
          <w:lang w:eastAsia="ja-JP"/>
        </w:rPr>
        <w:t>.</w:t>
      </w:r>
    </w:p>
    <w:p w14:paraId="72BDC33D" w14:textId="3A4FC82F" w:rsidR="00624EB5" w:rsidRDefault="00624EB5" w:rsidP="00541F41">
      <w:pPr>
        <w:rPr>
          <w:lang w:eastAsia="ja-JP"/>
        </w:rPr>
      </w:pPr>
      <w:r>
        <w:rPr>
          <w:lang w:eastAsia="ja-JP"/>
        </w:rPr>
        <w:t>These</w:t>
      </w:r>
      <w:r w:rsidR="000159A6">
        <w:rPr>
          <w:lang w:eastAsia="ja-JP"/>
        </w:rPr>
        <w:t xml:space="preserve"> </w:t>
      </w:r>
      <w:r>
        <w:rPr>
          <w:lang w:eastAsia="ja-JP"/>
        </w:rPr>
        <w:t>issues</w:t>
      </w:r>
      <w:r w:rsidR="000159A6">
        <w:rPr>
          <w:lang w:eastAsia="ja-JP"/>
        </w:rPr>
        <w:t xml:space="preserve"> </w:t>
      </w:r>
      <w:r>
        <w:rPr>
          <w:lang w:eastAsia="ja-JP"/>
        </w:rPr>
        <w:t>have</w:t>
      </w:r>
      <w:r w:rsidR="000159A6">
        <w:rPr>
          <w:lang w:eastAsia="ja-JP"/>
        </w:rPr>
        <w:t xml:space="preserve"> </w:t>
      </w:r>
      <w:r>
        <w:rPr>
          <w:lang w:eastAsia="ja-JP"/>
        </w:rPr>
        <w:t>been</w:t>
      </w:r>
      <w:r w:rsidR="000159A6">
        <w:rPr>
          <w:lang w:eastAsia="ja-JP"/>
        </w:rPr>
        <w:t xml:space="preserve"> </w:t>
      </w:r>
      <w:r>
        <w:rPr>
          <w:lang w:eastAsia="ja-JP"/>
        </w:rPr>
        <w:t>covered</w:t>
      </w:r>
      <w:r w:rsidR="000159A6">
        <w:rPr>
          <w:lang w:eastAsia="ja-JP"/>
        </w:rPr>
        <w:t xml:space="preserve"> </w:t>
      </w:r>
      <w:r>
        <w:rPr>
          <w:lang w:eastAsia="ja-JP"/>
        </w:rPr>
        <w:t>by</w:t>
      </w:r>
      <w:r w:rsidR="000159A6">
        <w:rPr>
          <w:lang w:eastAsia="ja-JP"/>
        </w:rPr>
        <w:t xml:space="preserve"> </w:t>
      </w:r>
      <w:r>
        <w:rPr>
          <w:lang w:eastAsia="ja-JP"/>
        </w:rPr>
        <w:t>planned</w:t>
      </w:r>
      <w:r w:rsidR="000159A6">
        <w:rPr>
          <w:lang w:eastAsia="ja-JP"/>
        </w:rPr>
        <w:t xml:space="preserve"> </w:t>
      </w:r>
      <w:r>
        <w:rPr>
          <w:lang w:eastAsia="ja-JP"/>
        </w:rPr>
        <w:t>studies</w:t>
      </w:r>
      <w:r w:rsidR="000159A6">
        <w:rPr>
          <w:lang w:eastAsia="ja-JP"/>
        </w:rPr>
        <w:t xml:space="preserve"> </w:t>
      </w:r>
      <w:r>
        <w:rPr>
          <w:lang w:eastAsia="ja-JP"/>
        </w:rPr>
        <w:t>and</w:t>
      </w:r>
      <w:r w:rsidR="000159A6">
        <w:rPr>
          <w:lang w:eastAsia="ja-JP"/>
        </w:rPr>
        <w:t xml:space="preserve"> </w:t>
      </w:r>
      <w:r>
        <w:rPr>
          <w:lang w:eastAsia="ja-JP"/>
        </w:rPr>
        <w:t>appropriate</w:t>
      </w:r>
      <w:r w:rsidR="000159A6">
        <w:rPr>
          <w:lang w:eastAsia="ja-JP"/>
        </w:rPr>
        <w:t xml:space="preserve"> </w:t>
      </w:r>
      <w:r>
        <w:rPr>
          <w:lang w:eastAsia="ja-JP"/>
        </w:rPr>
        <w:t>wording</w:t>
      </w:r>
      <w:r w:rsidR="000159A6">
        <w:rPr>
          <w:lang w:eastAsia="ja-JP"/>
        </w:rPr>
        <w:t xml:space="preserve"> </w:t>
      </w:r>
      <w:r>
        <w:rPr>
          <w:lang w:eastAsia="ja-JP"/>
        </w:rPr>
        <w:t>in</w:t>
      </w:r>
      <w:r w:rsidR="000159A6">
        <w:rPr>
          <w:lang w:eastAsia="ja-JP"/>
        </w:rPr>
        <w:t xml:space="preserve"> </w:t>
      </w:r>
      <w:r>
        <w:rPr>
          <w:lang w:eastAsia="ja-JP"/>
        </w:rPr>
        <w:t>the</w:t>
      </w:r>
      <w:r w:rsidR="000159A6">
        <w:rPr>
          <w:lang w:eastAsia="ja-JP"/>
        </w:rPr>
        <w:t xml:space="preserve"> </w:t>
      </w:r>
      <w:r>
        <w:rPr>
          <w:lang w:eastAsia="ja-JP"/>
        </w:rPr>
        <w:t>draft</w:t>
      </w:r>
      <w:r w:rsidR="000159A6">
        <w:rPr>
          <w:lang w:eastAsia="ja-JP"/>
        </w:rPr>
        <w:t xml:space="preserve"> </w:t>
      </w:r>
      <w:r>
        <w:rPr>
          <w:lang w:eastAsia="ja-JP"/>
        </w:rPr>
        <w:t>PI.</w:t>
      </w:r>
    </w:p>
    <w:p w14:paraId="2C77DC72" w14:textId="32D11AEB" w:rsidR="00624EB5" w:rsidRDefault="00624EB5" w:rsidP="004F7493">
      <w:pPr>
        <w:rPr>
          <w:lang w:eastAsia="ja-JP"/>
        </w:rPr>
      </w:pPr>
      <w:r>
        <w:rPr>
          <w:lang w:eastAsia="ja-JP"/>
        </w:rPr>
        <w:lastRenderedPageBreak/>
        <w:t>The</w:t>
      </w:r>
      <w:r w:rsidR="000159A6">
        <w:rPr>
          <w:lang w:eastAsia="ja-JP"/>
        </w:rPr>
        <w:t xml:space="preserve"> </w:t>
      </w:r>
      <w:r>
        <w:rPr>
          <w:lang w:eastAsia="ja-JP"/>
        </w:rPr>
        <w:t>PI</w:t>
      </w:r>
      <w:r w:rsidR="000159A6">
        <w:rPr>
          <w:lang w:eastAsia="ja-JP"/>
        </w:rPr>
        <w:t xml:space="preserve"> </w:t>
      </w:r>
      <w:r>
        <w:rPr>
          <w:lang w:eastAsia="ja-JP"/>
        </w:rPr>
        <w:t>has</w:t>
      </w:r>
      <w:r w:rsidR="000159A6">
        <w:rPr>
          <w:lang w:eastAsia="ja-JP"/>
        </w:rPr>
        <w:t xml:space="preserve"> </w:t>
      </w:r>
      <w:r>
        <w:rPr>
          <w:lang w:eastAsia="ja-JP"/>
        </w:rPr>
        <w:t>been</w:t>
      </w:r>
      <w:r w:rsidR="000159A6">
        <w:rPr>
          <w:lang w:eastAsia="ja-JP"/>
        </w:rPr>
        <w:t xml:space="preserve"> </w:t>
      </w:r>
      <w:r>
        <w:rPr>
          <w:lang w:eastAsia="ja-JP"/>
        </w:rPr>
        <w:t>updated</w:t>
      </w:r>
      <w:r w:rsidR="000159A6">
        <w:rPr>
          <w:lang w:eastAsia="ja-JP"/>
        </w:rPr>
        <w:t xml:space="preserve"> </w:t>
      </w:r>
      <w:r>
        <w:rPr>
          <w:lang w:eastAsia="ja-JP"/>
        </w:rPr>
        <w:t>taking</w:t>
      </w:r>
      <w:r w:rsidR="000159A6">
        <w:rPr>
          <w:lang w:eastAsia="ja-JP"/>
        </w:rPr>
        <w:t xml:space="preserve"> </w:t>
      </w:r>
      <w:r>
        <w:rPr>
          <w:lang w:eastAsia="ja-JP"/>
        </w:rPr>
        <w:t>into</w:t>
      </w:r>
      <w:r w:rsidR="000159A6">
        <w:rPr>
          <w:lang w:eastAsia="ja-JP"/>
        </w:rPr>
        <w:t xml:space="preserve"> </w:t>
      </w:r>
      <w:r>
        <w:rPr>
          <w:lang w:eastAsia="ja-JP"/>
        </w:rPr>
        <w:t>account</w:t>
      </w:r>
      <w:r w:rsidR="000159A6">
        <w:rPr>
          <w:lang w:eastAsia="ja-JP"/>
        </w:rPr>
        <w:t xml:space="preserve"> </w:t>
      </w:r>
      <w:r>
        <w:rPr>
          <w:lang w:eastAsia="ja-JP"/>
        </w:rPr>
        <w:t>the</w:t>
      </w:r>
      <w:r w:rsidR="000159A6">
        <w:rPr>
          <w:lang w:eastAsia="ja-JP"/>
        </w:rPr>
        <w:t xml:space="preserve"> </w:t>
      </w:r>
      <w:r>
        <w:rPr>
          <w:lang w:eastAsia="ja-JP"/>
        </w:rPr>
        <w:t>majority</w:t>
      </w:r>
      <w:r w:rsidR="000159A6">
        <w:rPr>
          <w:lang w:eastAsia="ja-JP"/>
        </w:rPr>
        <w:t xml:space="preserve"> </w:t>
      </w:r>
      <w:r>
        <w:rPr>
          <w:lang w:eastAsia="ja-JP"/>
        </w:rPr>
        <w:t>of</w:t>
      </w:r>
      <w:r w:rsidR="000159A6">
        <w:rPr>
          <w:lang w:eastAsia="ja-JP"/>
        </w:rPr>
        <w:t xml:space="preserve"> </w:t>
      </w:r>
      <w:r>
        <w:rPr>
          <w:lang w:eastAsia="ja-JP"/>
        </w:rPr>
        <w:t>comments</w:t>
      </w:r>
      <w:r w:rsidR="000159A6">
        <w:rPr>
          <w:lang w:eastAsia="ja-JP"/>
        </w:rPr>
        <w:t xml:space="preserve"> </w:t>
      </w:r>
      <w:r>
        <w:rPr>
          <w:lang w:eastAsia="ja-JP"/>
        </w:rPr>
        <w:t>made</w:t>
      </w:r>
      <w:r w:rsidR="000159A6">
        <w:rPr>
          <w:lang w:eastAsia="ja-JP"/>
        </w:rPr>
        <w:t xml:space="preserve"> </w:t>
      </w:r>
      <w:r>
        <w:rPr>
          <w:lang w:eastAsia="ja-JP"/>
        </w:rPr>
        <w:t>after</w:t>
      </w:r>
      <w:r w:rsidR="000159A6">
        <w:rPr>
          <w:lang w:eastAsia="ja-JP"/>
        </w:rPr>
        <w:t xml:space="preserve"> </w:t>
      </w:r>
      <w:r>
        <w:rPr>
          <w:lang w:eastAsia="ja-JP"/>
        </w:rPr>
        <w:t>the</w:t>
      </w:r>
      <w:r w:rsidR="000159A6">
        <w:rPr>
          <w:lang w:eastAsia="ja-JP"/>
        </w:rPr>
        <w:t xml:space="preserve"> </w:t>
      </w:r>
      <w:r>
        <w:rPr>
          <w:lang w:eastAsia="ja-JP"/>
        </w:rPr>
        <w:t>first</w:t>
      </w:r>
      <w:r w:rsidR="000159A6">
        <w:rPr>
          <w:lang w:eastAsia="ja-JP"/>
        </w:rPr>
        <w:t xml:space="preserve"> </w:t>
      </w:r>
      <w:r>
        <w:rPr>
          <w:lang w:eastAsia="ja-JP"/>
        </w:rPr>
        <w:t>round</w:t>
      </w:r>
      <w:r w:rsidR="000159A6">
        <w:rPr>
          <w:lang w:eastAsia="ja-JP"/>
        </w:rPr>
        <w:t xml:space="preserve"> </w:t>
      </w:r>
      <w:r>
        <w:rPr>
          <w:lang w:eastAsia="ja-JP"/>
        </w:rPr>
        <w:t>evaluation.</w:t>
      </w:r>
      <w:r w:rsidR="000159A6">
        <w:rPr>
          <w:lang w:eastAsia="ja-JP"/>
        </w:rPr>
        <w:t xml:space="preserve"> </w:t>
      </w:r>
      <w:r>
        <w:rPr>
          <w:lang w:eastAsia="ja-JP"/>
        </w:rPr>
        <w:t>There</w:t>
      </w:r>
      <w:r w:rsidR="000159A6">
        <w:rPr>
          <w:lang w:eastAsia="ja-JP"/>
        </w:rPr>
        <w:t xml:space="preserve"> </w:t>
      </w:r>
      <w:r>
        <w:rPr>
          <w:lang w:eastAsia="ja-JP"/>
        </w:rPr>
        <w:t>remain</w:t>
      </w:r>
      <w:r w:rsidR="000159A6">
        <w:rPr>
          <w:lang w:eastAsia="ja-JP"/>
        </w:rPr>
        <w:t xml:space="preserve"> </w:t>
      </w:r>
      <w:r>
        <w:rPr>
          <w:lang w:eastAsia="ja-JP"/>
        </w:rPr>
        <w:t>a</w:t>
      </w:r>
      <w:r w:rsidR="000159A6">
        <w:rPr>
          <w:lang w:eastAsia="ja-JP"/>
        </w:rPr>
        <w:t xml:space="preserve"> </w:t>
      </w:r>
      <w:r>
        <w:rPr>
          <w:lang w:eastAsia="ja-JP"/>
        </w:rPr>
        <w:t>few</w:t>
      </w:r>
      <w:r w:rsidR="000159A6">
        <w:rPr>
          <w:lang w:eastAsia="ja-JP"/>
        </w:rPr>
        <w:t xml:space="preserve"> </w:t>
      </w:r>
      <w:r>
        <w:rPr>
          <w:lang w:eastAsia="ja-JP"/>
        </w:rPr>
        <w:t>points</w:t>
      </w:r>
      <w:r w:rsidR="000159A6">
        <w:rPr>
          <w:lang w:eastAsia="ja-JP"/>
        </w:rPr>
        <w:t xml:space="preserve"> </w:t>
      </w:r>
      <w:r>
        <w:rPr>
          <w:lang w:eastAsia="ja-JP"/>
        </w:rPr>
        <w:t>to</w:t>
      </w:r>
      <w:r w:rsidR="000159A6">
        <w:rPr>
          <w:lang w:eastAsia="ja-JP"/>
        </w:rPr>
        <w:t xml:space="preserve"> </w:t>
      </w:r>
      <w:r>
        <w:rPr>
          <w:lang w:eastAsia="ja-JP"/>
        </w:rPr>
        <w:t>be</w:t>
      </w:r>
      <w:r w:rsidR="000159A6">
        <w:rPr>
          <w:lang w:eastAsia="ja-JP"/>
        </w:rPr>
        <w:t xml:space="preserve"> </w:t>
      </w:r>
      <w:r>
        <w:rPr>
          <w:lang w:eastAsia="ja-JP"/>
        </w:rPr>
        <w:t>addressed.</w:t>
      </w:r>
    </w:p>
    <w:p w14:paraId="5F09F1F0" w14:textId="36EF1FF2" w:rsidR="00624EB5" w:rsidRDefault="00624EB5" w:rsidP="00541F41">
      <w:pPr>
        <w:rPr>
          <w:lang w:eastAsia="ja-JP"/>
        </w:rPr>
      </w:pPr>
      <w:r>
        <w:rPr>
          <w:lang w:eastAsia="ja-JP"/>
        </w:rPr>
        <w:t>In</w:t>
      </w:r>
      <w:r w:rsidR="000159A6">
        <w:rPr>
          <w:lang w:eastAsia="ja-JP"/>
        </w:rPr>
        <w:t xml:space="preserve"> </w:t>
      </w:r>
      <w:r>
        <w:rPr>
          <w:lang w:eastAsia="ja-JP"/>
        </w:rPr>
        <w:t>conclusion,</w:t>
      </w:r>
      <w:r w:rsidR="000159A6">
        <w:rPr>
          <w:lang w:eastAsia="ja-JP"/>
        </w:rPr>
        <w:t xml:space="preserve"> </w:t>
      </w:r>
      <w:r>
        <w:rPr>
          <w:lang w:eastAsia="ja-JP"/>
        </w:rPr>
        <w:t>following</w:t>
      </w:r>
      <w:r w:rsidR="000159A6">
        <w:rPr>
          <w:lang w:eastAsia="ja-JP"/>
        </w:rPr>
        <w:t xml:space="preserve"> </w:t>
      </w:r>
      <w:r>
        <w:rPr>
          <w:lang w:eastAsia="ja-JP"/>
        </w:rPr>
        <w:t>the</w:t>
      </w:r>
      <w:r w:rsidR="000159A6">
        <w:rPr>
          <w:lang w:eastAsia="ja-JP"/>
        </w:rPr>
        <w:t xml:space="preserve"> </w:t>
      </w:r>
      <w:r>
        <w:rPr>
          <w:lang w:eastAsia="ja-JP"/>
        </w:rPr>
        <w:t>second</w:t>
      </w:r>
      <w:r w:rsidR="000159A6">
        <w:rPr>
          <w:lang w:eastAsia="ja-JP"/>
        </w:rPr>
        <w:t xml:space="preserve"> </w:t>
      </w:r>
      <w:r>
        <w:rPr>
          <w:lang w:eastAsia="ja-JP"/>
        </w:rPr>
        <w:t>round</w:t>
      </w:r>
      <w:r w:rsidR="000159A6">
        <w:rPr>
          <w:lang w:eastAsia="ja-JP"/>
        </w:rPr>
        <w:t xml:space="preserve"> </w:t>
      </w:r>
      <w:r>
        <w:rPr>
          <w:lang w:eastAsia="ja-JP"/>
        </w:rPr>
        <w:t>evaluation</w:t>
      </w:r>
      <w:r w:rsidR="000159A6">
        <w:rPr>
          <w:lang w:eastAsia="ja-JP"/>
        </w:rPr>
        <w:t xml:space="preserve"> </w:t>
      </w:r>
      <w:r>
        <w:rPr>
          <w:lang w:eastAsia="ja-JP"/>
        </w:rPr>
        <w:t>the</w:t>
      </w:r>
      <w:r w:rsidR="000159A6">
        <w:rPr>
          <w:lang w:eastAsia="ja-JP"/>
        </w:rPr>
        <w:t xml:space="preserve"> </w:t>
      </w:r>
      <w:r>
        <w:rPr>
          <w:lang w:eastAsia="ja-JP"/>
        </w:rPr>
        <w:t>benefit-risk</w:t>
      </w:r>
      <w:r w:rsidR="000159A6">
        <w:rPr>
          <w:lang w:eastAsia="ja-JP"/>
        </w:rPr>
        <w:t xml:space="preserve"> </w:t>
      </w:r>
      <w:r>
        <w:rPr>
          <w:lang w:eastAsia="ja-JP"/>
        </w:rPr>
        <w:t>balance</w:t>
      </w:r>
      <w:r w:rsidR="000159A6">
        <w:rPr>
          <w:lang w:eastAsia="ja-JP"/>
        </w:rPr>
        <w:t xml:space="preserve"> </w:t>
      </w:r>
      <w:r>
        <w:rPr>
          <w:lang w:eastAsia="ja-JP"/>
        </w:rPr>
        <w:t>of</w:t>
      </w:r>
      <w:r w:rsidR="000159A6">
        <w:rPr>
          <w:lang w:eastAsia="ja-JP"/>
        </w:rPr>
        <w:t xml:space="preserve"> </w:t>
      </w:r>
      <w:r>
        <w:rPr>
          <w:lang w:eastAsia="ja-JP"/>
        </w:rPr>
        <w:t>Shingrix</w:t>
      </w:r>
      <w:r w:rsidR="000159A6">
        <w:rPr>
          <w:lang w:eastAsia="ja-JP"/>
        </w:rPr>
        <w:t xml:space="preserve"> </w:t>
      </w:r>
      <w:r>
        <w:rPr>
          <w:lang w:eastAsia="ja-JP"/>
        </w:rPr>
        <w:t>is</w:t>
      </w:r>
      <w:r w:rsidR="000159A6">
        <w:rPr>
          <w:lang w:eastAsia="ja-JP"/>
        </w:rPr>
        <w:t xml:space="preserve"> </w:t>
      </w:r>
      <w:r>
        <w:rPr>
          <w:lang w:eastAsia="ja-JP"/>
        </w:rPr>
        <w:t>favourable</w:t>
      </w:r>
      <w:r w:rsidR="000159A6">
        <w:rPr>
          <w:lang w:eastAsia="ja-JP"/>
        </w:rPr>
        <w:t xml:space="preserve"> </w:t>
      </w:r>
      <w:r>
        <w:rPr>
          <w:lang w:eastAsia="ja-JP"/>
        </w:rPr>
        <w:t>for</w:t>
      </w:r>
      <w:r w:rsidR="000159A6">
        <w:rPr>
          <w:lang w:eastAsia="ja-JP"/>
        </w:rPr>
        <w:t xml:space="preserve"> </w:t>
      </w:r>
      <w:r>
        <w:rPr>
          <w:lang w:eastAsia="ja-JP"/>
        </w:rPr>
        <w:t>revised</w:t>
      </w:r>
      <w:r w:rsidR="000159A6">
        <w:rPr>
          <w:lang w:eastAsia="ja-JP"/>
        </w:rPr>
        <w:t xml:space="preserve"> </w:t>
      </w:r>
      <w:r>
        <w:rPr>
          <w:lang w:eastAsia="ja-JP"/>
        </w:rPr>
        <w:t>proposed</w:t>
      </w:r>
      <w:r w:rsidR="000159A6">
        <w:rPr>
          <w:lang w:eastAsia="ja-JP"/>
        </w:rPr>
        <w:t xml:space="preserve"> </w:t>
      </w:r>
      <w:r>
        <w:rPr>
          <w:lang w:eastAsia="ja-JP"/>
        </w:rPr>
        <w:t>usage.</w:t>
      </w:r>
    </w:p>
    <w:p w14:paraId="5815BB73" w14:textId="1C0379D1" w:rsidR="00624EB5" w:rsidRDefault="00624EB5" w:rsidP="00541F41">
      <w:pPr>
        <w:pStyle w:val="Heading4"/>
      </w:pPr>
      <w:bookmarkStart w:id="224" w:name="_Toc523409079"/>
      <w:r>
        <w:t>Second</w:t>
      </w:r>
      <w:r w:rsidR="000159A6">
        <w:t xml:space="preserve"> </w:t>
      </w:r>
      <w:r>
        <w:t>round</w:t>
      </w:r>
      <w:r w:rsidR="000159A6">
        <w:t xml:space="preserve"> </w:t>
      </w:r>
      <w:r>
        <w:t>recommendation</w:t>
      </w:r>
      <w:r w:rsidR="000159A6">
        <w:t xml:space="preserve"> </w:t>
      </w:r>
      <w:r>
        <w:t>regarding</w:t>
      </w:r>
      <w:r w:rsidR="000159A6">
        <w:t xml:space="preserve"> </w:t>
      </w:r>
      <w:r w:rsidRPr="00541F41">
        <w:t>authorisation</w:t>
      </w:r>
      <w:bookmarkEnd w:id="224"/>
    </w:p>
    <w:p w14:paraId="09F07880" w14:textId="7EE17F61" w:rsidR="00624EB5" w:rsidRDefault="00624EB5" w:rsidP="00541F41">
      <w:pPr>
        <w:rPr>
          <w:lang w:eastAsia="ja-JP"/>
        </w:rPr>
      </w:pPr>
      <w:r>
        <w:rPr>
          <w:lang w:eastAsia="ja-JP"/>
        </w:rPr>
        <w:t>Approval</w:t>
      </w:r>
      <w:r w:rsidR="000159A6">
        <w:rPr>
          <w:lang w:eastAsia="ja-JP"/>
        </w:rPr>
        <w:t xml:space="preserve"> </w:t>
      </w:r>
      <w:r>
        <w:rPr>
          <w:lang w:eastAsia="ja-JP"/>
        </w:rPr>
        <w:t>of</w:t>
      </w:r>
      <w:r w:rsidR="000159A6">
        <w:rPr>
          <w:lang w:eastAsia="ja-JP"/>
        </w:rPr>
        <w:t xml:space="preserve"> </w:t>
      </w:r>
      <w:r>
        <w:rPr>
          <w:lang w:eastAsia="ja-JP"/>
        </w:rPr>
        <w:t>Shingrix</w:t>
      </w:r>
      <w:r w:rsidR="000159A6">
        <w:rPr>
          <w:lang w:eastAsia="ja-JP"/>
        </w:rPr>
        <w:t xml:space="preserve"> </w:t>
      </w:r>
      <w:r>
        <w:rPr>
          <w:lang w:eastAsia="ja-JP"/>
        </w:rPr>
        <w:t>is</w:t>
      </w:r>
      <w:r w:rsidR="000159A6">
        <w:rPr>
          <w:lang w:eastAsia="ja-JP"/>
        </w:rPr>
        <w:t xml:space="preserve"> </w:t>
      </w:r>
      <w:r>
        <w:rPr>
          <w:lang w:eastAsia="ja-JP"/>
        </w:rPr>
        <w:t>recommended</w:t>
      </w:r>
      <w:r w:rsidR="000159A6">
        <w:rPr>
          <w:lang w:eastAsia="ja-JP"/>
        </w:rPr>
        <w:t xml:space="preserve"> </w:t>
      </w:r>
      <w:r>
        <w:rPr>
          <w:lang w:eastAsia="ja-JP"/>
        </w:rPr>
        <w:t>for</w:t>
      </w:r>
      <w:r w:rsidR="000159A6">
        <w:rPr>
          <w:lang w:eastAsia="ja-JP"/>
        </w:rPr>
        <w:t xml:space="preserve"> </w:t>
      </w:r>
      <w:r>
        <w:rPr>
          <w:lang w:eastAsia="ja-JP"/>
        </w:rPr>
        <w:t>a</w:t>
      </w:r>
      <w:r w:rsidR="000159A6">
        <w:rPr>
          <w:lang w:eastAsia="ja-JP"/>
        </w:rPr>
        <w:t xml:space="preserve"> </w:t>
      </w:r>
      <w:r>
        <w:rPr>
          <w:lang w:eastAsia="ja-JP"/>
        </w:rPr>
        <w:t>revised</w:t>
      </w:r>
      <w:r w:rsidR="000159A6">
        <w:rPr>
          <w:lang w:eastAsia="ja-JP"/>
        </w:rPr>
        <w:t xml:space="preserve"> </w:t>
      </w:r>
      <w:r>
        <w:rPr>
          <w:lang w:eastAsia="ja-JP"/>
        </w:rPr>
        <w:t>indication:</w:t>
      </w:r>
    </w:p>
    <w:p w14:paraId="4D6CD8EF" w14:textId="65AE9A07" w:rsidR="00624EB5" w:rsidRDefault="00624EB5" w:rsidP="00624EB5">
      <w:pPr>
        <w:ind w:left="720"/>
        <w:rPr>
          <w:lang w:eastAsia="ja-JP"/>
        </w:rPr>
      </w:pPr>
      <w:r w:rsidRPr="00395AC1">
        <w:rPr>
          <w:i/>
          <w:lang w:eastAsia="ja-JP"/>
        </w:rPr>
        <w:t>Shingrix</w:t>
      </w:r>
      <w:r w:rsidR="000159A6">
        <w:rPr>
          <w:i/>
          <w:lang w:eastAsia="ja-JP"/>
        </w:rPr>
        <w:t xml:space="preserve"> </w:t>
      </w:r>
      <w:r w:rsidRPr="00395AC1">
        <w:rPr>
          <w:i/>
          <w:lang w:eastAsia="ja-JP"/>
        </w:rPr>
        <w:t>is</w:t>
      </w:r>
      <w:r w:rsidR="000159A6">
        <w:rPr>
          <w:i/>
          <w:lang w:eastAsia="ja-JP"/>
        </w:rPr>
        <w:t xml:space="preserve"> </w:t>
      </w:r>
      <w:r w:rsidRPr="00395AC1">
        <w:rPr>
          <w:i/>
          <w:lang w:eastAsia="ja-JP"/>
        </w:rPr>
        <w:t>indicated</w:t>
      </w:r>
      <w:r w:rsidR="000159A6">
        <w:rPr>
          <w:i/>
          <w:lang w:eastAsia="ja-JP"/>
        </w:rPr>
        <w:t xml:space="preserve"> </w:t>
      </w:r>
      <w:r w:rsidRPr="00395AC1">
        <w:rPr>
          <w:i/>
          <w:lang w:eastAsia="ja-JP"/>
        </w:rPr>
        <w:t>for</w:t>
      </w:r>
      <w:r w:rsidR="000159A6">
        <w:rPr>
          <w:i/>
          <w:lang w:eastAsia="ja-JP"/>
        </w:rPr>
        <w:t xml:space="preserve"> </w:t>
      </w:r>
      <w:r w:rsidRPr="00395AC1">
        <w:rPr>
          <w:i/>
          <w:lang w:eastAsia="ja-JP"/>
        </w:rPr>
        <w:t>the</w:t>
      </w:r>
      <w:r w:rsidR="000159A6">
        <w:rPr>
          <w:i/>
          <w:lang w:eastAsia="ja-JP"/>
        </w:rPr>
        <w:t xml:space="preserve"> </w:t>
      </w:r>
      <w:r w:rsidRPr="00395AC1">
        <w:rPr>
          <w:i/>
          <w:lang w:eastAsia="ja-JP"/>
        </w:rPr>
        <w:t>prevention</w:t>
      </w:r>
      <w:r w:rsidR="000159A6">
        <w:rPr>
          <w:i/>
          <w:lang w:eastAsia="ja-JP"/>
        </w:rPr>
        <w:t xml:space="preserve"> </w:t>
      </w:r>
      <w:r w:rsidRPr="00395AC1">
        <w:rPr>
          <w:i/>
          <w:lang w:eastAsia="ja-JP"/>
        </w:rPr>
        <w:t>of</w:t>
      </w:r>
      <w:r w:rsidR="000159A6">
        <w:rPr>
          <w:i/>
          <w:lang w:eastAsia="ja-JP"/>
        </w:rPr>
        <w:t xml:space="preserve"> </w:t>
      </w:r>
      <w:r w:rsidRPr="00395AC1">
        <w:rPr>
          <w:i/>
          <w:lang w:eastAsia="ja-JP"/>
        </w:rPr>
        <w:t>herpes</w:t>
      </w:r>
      <w:r w:rsidR="000159A6">
        <w:rPr>
          <w:i/>
          <w:lang w:eastAsia="ja-JP"/>
        </w:rPr>
        <w:t xml:space="preserve"> </w:t>
      </w:r>
      <w:r w:rsidRPr="00395AC1">
        <w:rPr>
          <w:i/>
          <w:lang w:eastAsia="ja-JP"/>
        </w:rPr>
        <w:t>zoster</w:t>
      </w:r>
      <w:r w:rsidR="000159A6">
        <w:rPr>
          <w:i/>
          <w:lang w:eastAsia="ja-JP"/>
        </w:rPr>
        <w:t xml:space="preserve"> </w:t>
      </w:r>
      <w:r w:rsidRPr="00395AC1">
        <w:rPr>
          <w:i/>
          <w:lang w:eastAsia="ja-JP"/>
        </w:rPr>
        <w:t>and</w:t>
      </w:r>
      <w:r w:rsidR="000159A6">
        <w:rPr>
          <w:i/>
          <w:lang w:eastAsia="ja-JP"/>
        </w:rPr>
        <w:t xml:space="preserve"> </w:t>
      </w:r>
      <w:r w:rsidR="000E6841">
        <w:rPr>
          <w:i/>
          <w:lang w:eastAsia="ja-JP"/>
        </w:rPr>
        <w:t>post</w:t>
      </w:r>
      <w:r w:rsidR="000159A6">
        <w:rPr>
          <w:i/>
          <w:lang w:eastAsia="ja-JP"/>
        </w:rPr>
        <w:t xml:space="preserve"> </w:t>
      </w:r>
      <w:r w:rsidR="000E6841">
        <w:rPr>
          <w:i/>
          <w:lang w:eastAsia="ja-JP"/>
        </w:rPr>
        <w:t>herpetic</w:t>
      </w:r>
      <w:r w:rsidR="000159A6">
        <w:rPr>
          <w:i/>
          <w:lang w:eastAsia="ja-JP"/>
        </w:rPr>
        <w:t xml:space="preserve"> </w:t>
      </w:r>
      <w:r w:rsidRPr="00395AC1">
        <w:rPr>
          <w:i/>
          <w:lang w:eastAsia="ja-JP"/>
        </w:rPr>
        <w:t>neuralgia</w:t>
      </w:r>
      <w:r w:rsidR="000159A6">
        <w:rPr>
          <w:i/>
          <w:lang w:eastAsia="ja-JP"/>
        </w:rPr>
        <w:t xml:space="preserve"> </w:t>
      </w:r>
      <w:r w:rsidRPr="00395AC1">
        <w:rPr>
          <w:i/>
          <w:lang w:eastAsia="ja-JP"/>
        </w:rPr>
        <w:t>in</w:t>
      </w:r>
      <w:r w:rsidR="000159A6">
        <w:rPr>
          <w:i/>
          <w:lang w:eastAsia="ja-JP"/>
        </w:rPr>
        <w:t xml:space="preserve"> </w:t>
      </w:r>
      <w:r w:rsidRPr="00395AC1">
        <w:rPr>
          <w:i/>
          <w:lang w:eastAsia="ja-JP"/>
        </w:rPr>
        <w:t>adults</w:t>
      </w:r>
      <w:r w:rsidR="000159A6">
        <w:rPr>
          <w:i/>
          <w:lang w:eastAsia="ja-JP"/>
        </w:rPr>
        <w:t xml:space="preserve"> </w:t>
      </w:r>
      <w:r w:rsidRPr="00395AC1">
        <w:rPr>
          <w:i/>
          <w:lang w:eastAsia="ja-JP"/>
        </w:rPr>
        <w:t>50</w:t>
      </w:r>
      <w:r w:rsidR="000159A6">
        <w:rPr>
          <w:i/>
          <w:lang w:eastAsia="ja-JP"/>
        </w:rPr>
        <w:t xml:space="preserve"> </w:t>
      </w:r>
      <w:r w:rsidRPr="00395AC1">
        <w:rPr>
          <w:i/>
          <w:lang w:eastAsia="ja-JP"/>
        </w:rPr>
        <w:t>years</w:t>
      </w:r>
      <w:r w:rsidR="000159A6">
        <w:rPr>
          <w:i/>
          <w:lang w:eastAsia="ja-JP"/>
        </w:rPr>
        <w:t xml:space="preserve"> </w:t>
      </w:r>
      <w:r w:rsidRPr="00395AC1">
        <w:rPr>
          <w:i/>
          <w:lang w:eastAsia="ja-JP"/>
        </w:rPr>
        <w:t>of</w:t>
      </w:r>
      <w:r w:rsidR="000159A6">
        <w:rPr>
          <w:i/>
          <w:lang w:eastAsia="ja-JP"/>
        </w:rPr>
        <w:t xml:space="preserve"> </w:t>
      </w:r>
      <w:r w:rsidRPr="00395AC1">
        <w:rPr>
          <w:i/>
          <w:lang w:eastAsia="ja-JP"/>
        </w:rPr>
        <w:t>age</w:t>
      </w:r>
      <w:r w:rsidR="000159A6">
        <w:rPr>
          <w:i/>
          <w:lang w:eastAsia="ja-JP"/>
        </w:rPr>
        <w:t xml:space="preserve"> </w:t>
      </w:r>
      <w:r w:rsidRPr="00395AC1">
        <w:rPr>
          <w:i/>
          <w:lang w:eastAsia="ja-JP"/>
        </w:rPr>
        <w:t>or</w:t>
      </w:r>
      <w:r w:rsidR="000159A6">
        <w:rPr>
          <w:i/>
          <w:lang w:eastAsia="ja-JP"/>
        </w:rPr>
        <w:t xml:space="preserve"> </w:t>
      </w:r>
      <w:r w:rsidRPr="00395AC1">
        <w:rPr>
          <w:i/>
          <w:lang w:eastAsia="ja-JP"/>
        </w:rPr>
        <w:t>older</w:t>
      </w:r>
      <w:r>
        <w:rPr>
          <w:lang w:eastAsia="ja-JP"/>
        </w:rPr>
        <w:t>.</w:t>
      </w:r>
    </w:p>
    <w:p w14:paraId="0ECCDC9A" w14:textId="73510CD9" w:rsidR="00624EB5" w:rsidRPr="00624EB5" w:rsidRDefault="00624EB5" w:rsidP="00541F41">
      <w:pPr>
        <w:rPr>
          <w:lang w:eastAsia="ja-JP"/>
        </w:rPr>
      </w:pPr>
      <w:r>
        <w:rPr>
          <w:lang w:eastAsia="ja-JP"/>
        </w:rPr>
        <w:t>This</w:t>
      </w:r>
      <w:r w:rsidR="000159A6">
        <w:rPr>
          <w:lang w:eastAsia="ja-JP"/>
        </w:rPr>
        <w:t xml:space="preserve"> </w:t>
      </w:r>
      <w:r>
        <w:rPr>
          <w:lang w:eastAsia="ja-JP"/>
        </w:rPr>
        <w:t>recommendation</w:t>
      </w:r>
      <w:r w:rsidR="000159A6">
        <w:rPr>
          <w:lang w:eastAsia="ja-JP"/>
        </w:rPr>
        <w:t xml:space="preserve"> </w:t>
      </w:r>
      <w:r>
        <w:rPr>
          <w:lang w:eastAsia="ja-JP"/>
        </w:rPr>
        <w:t>is</w:t>
      </w:r>
      <w:r w:rsidR="000159A6">
        <w:rPr>
          <w:lang w:eastAsia="ja-JP"/>
        </w:rPr>
        <w:t xml:space="preserve"> </w:t>
      </w:r>
      <w:r>
        <w:rPr>
          <w:lang w:eastAsia="ja-JP"/>
        </w:rPr>
        <w:t>subject</w:t>
      </w:r>
      <w:r w:rsidR="000159A6">
        <w:rPr>
          <w:lang w:eastAsia="ja-JP"/>
        </w:rPr>
        <w:t xml:space="preserve"> </w:t>
      </w:r>
      <w:r>
        <w:rPr>
          <w:lang w:eastAsia="ja-JP"/>
        </w:rPr>
        <w:t>to</w:t>
      </w:r>
      <w:r w:rsidR="000159A6">
        <w:rPr>
          <w:lang w:eastAsia="ja-JP"/>
        </w:rPr>
        <w:t xml:space="preserve"> </w:t>
      </w:r>
      <w:r>
        <w:rPr>
          <w:lang w:eastAsia="ja-JP"/>
        </w:rPr>
        <w:t>satisfactory</w:t>
      </w:r>
      <w:r w:rsidR="000159A6">
        <w:rPr>
          <w:lang w:eastAsia="ja-JP"/>
        </w:rPr>
        <w:t xml:space="preserve"> </w:t>
      </w:r>
      <w:r>
        <w:rPr>
          <w:lang w:eastAsia="ja-JP"/>
        </w:rPr>
        <w:t>responses</w:t>
      </w:r>
      <w:r w:rsidR="000159A6">
        <w:rPr>
          <w:lang w:eastAsia="ja-JP"/>
        </w:rPr>
        <w:t xml:space="preserve"> </w:t>
      </w:r>
      <w:r>
        <w:rPr>
          <w:lang w:eastAsia="ja-JP"/>
        </w:rPr>
        <w:t>to</w:t>
      </w:r>
      <w:r w:rsidR="000159A6">
        <w:rPr>
          <w:lang w:eastAsia="ja-JP"/>
        </w:rPr>
        <w:t xml:space="preserve"> </w:t>
      </w:r>
      <w:r>
        <w:rPr>
          <w:lang w:eastAsia="ja-JP"/>
        </w:rPr>
        <w:t>the</w:t>
      </w:r>
      <w:r w:rsidR="000159A6">
        <w:rPr>
          <w:lang w:eastAsia="ja-JP"/>
        </w:rPr>
        <w:t xml:space="preserve"> </w:t>
      </w:r>
      <w:r>
        <w:rPr>
          <w:lang w:eastAsia="ja-JP"/>
        </w:rPr>
        <w:t>remaining</w:t>
      </w:r>
      <w:r w:rsidR="000159A6">
        <w:rPr>
          <w:lang w:eastAsia="ja-JP"/>
        </w:rPr>
        <w:t xml:space="preserve"> </w:t>
      </w:r>
      <w:r>
        <w:rPr>
          <w:lang w:eastAsia="ja-JP"/>
        </w:rPr>
        <w:t>points</w:t>
      </w:r>
      <w:r w:rsidR="000159A6">
        <w:rPr>
          <w:lang w:eastAsia="ja-JP"/>
        </w:rPr>
        <w:t xml:space="preserve"> </w:t>
      </w:r>
      <w:r>
        <w:rPr>
          <w:lang w:eastAsia="ja-JP"/>
        </w:rPr>
        <w:t>on</w:t>
      </w:r>
      <w:r w:rsidR="000159A6">
        <w:rPr>
          <w:lang w:eastAsia="ja-JP"/>
        </w:rPr>
        <w:t xml:space="preserve"> </w:t>
      </w:r>
      <w:r>
        <w:rPr>
          <w:lang w:eastAsia="ja-JP"/>
        </w:rPr>
        <w:t>the</w:t>
      </w:r>
      <w:r w:rsidR="000159A6">
        <w:rPr>
          <w:lang w:eastAsia="ja-JP"/>
        </w:rPr>
        <w:t xml:space="preserve"> </w:t>
      </w:r>
      <w:r>
        <w:rPr>
          <w:lang w:eastAsia="ja-JP"/>
        </w:rPr>
        <w:t>draft</w:t>
      </w:r>
      <w:r w:rsidR="000159A6">
        <w:rPr>
          <w:lang w:eastAsia="ja-JP"/>
        </w:rPr>
        <w:t xml:space="preserve"> </w:t>
      </w:r>
      <w:r>
        <w:rPr>
          <w:lang w:eastAsia="ja-JP"/>
        </w:rPr>
        <w:t>PI.</w:t>
      </w:r>
    </w:p>
    <w:p w14:paraId="188F092A" w14:textId="366F8104" w:rsidR="008E7846" w:rsidRPr="00E41208" w:rsidRDefault="008E7846" w:rsidP="00541F41">
      <w:pPr>
        <w:pStyle w:val="Heading2"/>
      </w:pPr>
      <w:bookmarkStart w:id="225" w:name="_Toc1049822"/>
      <w:r w:rsidRPr="00E41208">
        <w:t>V</w:t>
      </w:r>
      <w:r w:rsidR="00500337">
        <w:t>I</w:t>
      </w:r>
      <w:r w:rsidRPr="00E41208">
        <w:t>.</w:t>
      </w:r>
      <w:r w:rsidR="000159A6">
        <w:t xml:space="preserve"> </w:t>
      </w:r>
      <w:r w:rsidRPr="00541F41">
        <w:t>Pharmacovigilance</w:t>
      </w:r>
      <w:r w:rsidR="000159A6">
        <w:t xml:space="preserve"> </w:t>
      </w:r>
      <w:r>
        <w:t>f</w:t>
      </w:r>
      <w:r w:rsidRPr="00E41208">
        <w:t>indings</w:t>
      </w:r>
      <w:bookmarkEnd w:id="142"/>
      <w:bookmarkEnd w:id="143"/>
      <w:bookmarkEnd w:id="225"/>
    </w:p>
    <w:p w14:paraId="215FE1FF" w14:textId="087E882A" w:rsidR="008E7846" w:rsidRDefault="00386150" w:rsidP="00541F41">
      <w:pPr>
        <w:pStyle w:val="Heading3"/>
        <w:rPr>
          <w:lang w:eastAsia="en-AU"/>
        </w:rPr>
      </w:pPr>
      <w:bookmarkStart w:id="226" w:name="_Toc247691526"/>
      <w:bookmarkStart w:id="227" w:name="_Toc314842509"/>
      <w:bookmarkStart w:id="228" w:name="_Toc1049823"/>
      <w:r>
        <w:rPr>
          <w:lang w:eastAsia="en-AU"/>
        </w:rPr>
        <w:t>Risk</w:t>
      </w:r>
      <w:r w:rsidR="000159A6">
        <w:rPr>
          <w:lang w:eastAsia="en-AU"/>
        </w:rPr>
        <w:t xml:space="preserve"> </w:t>
      </w:r>
      <w:r w:rsidRPr="00541F41">
        <w:t>m</w:t>
      </w:r>
      <w:r w:rsidR="008E7846" w:rsidRPr="00541F41">
        <w:t>anagement</w:t>
      </w:r>
      <w:r w:rsidR="000159A6">
        <w:rPr>
          <w:lang w:eastAsia="en-AU"/>
        </w:rPr>
        <w:t xml:space="preserve"> </w:t>
      </w:r>
      <w:r>
        <w:rPr>
          <w:lang w:eastAsia="en-AU"/>
        </w:rPr>
        <w:t>p</w:t>
      </w:r>
      <w:r w:rsidR="008E7846">
        <w:rPr>
          <w:lang w:eastAsia="en-AU"/>
        </w:rPr>
        <w:t>lan</w:t>
      </w:r>
      <w:bookmarkEnd w:id="226"/>
      <w:bookmarkEnd w:id="227"/>
      <w:bookmarkEnd w:id="228"/>
    </w:p>
    <w:p w14:paraId="2210DC71" w14:textId="3AC46C45" w:rsidR="00456765" w:rsidRDefault="00456765" w:rsidP="00541F41">
      <w:pPr>
        <w:pStyle w:val="Heading4"/>
        <w:rPr>
          <w:lang w:eastAsia="en-AU"/>
        </w:rPr>
      </w:pPr>
      <w:bookmarkStart w:id="229" w:name="_Toc247691527"/>
      <w:bookmarkStart w:id="230" w:name="_Toc314842510"/>
      <w:r w:rsidRPr="00541F41">
        <w:t>Summary</w:t>
      </w:r>
      <w:r w:rsidR="000159A6">
        <w:rPr>
          <w:lang w:eastAsia="en-AU"/>
        </w:rPr>
        <w:t xml:space="preserve"> </w:t>
      </w:r>
      <w:r>
        <w:rPr>
          <w:lang w:eastAsia="en-AU"/>
        </w:rPr>
        <w:t>of</w:t>
      </w:r>
      <w:r w:rsidR="000159A6">
        <w:rPr>
          <w:lang w:eastAsia="en-AU"/>
        </w:rPr>
        <w:t xml:space="preserve"> </w:t>
      </w:r>
      <w:r>
        <w:rPr>
          <w:lang w:eastAsia="en-AU"/>
        </w:rPr>
        <w:t>RMP</w:t>
      </w:r>
      <w:r w:rsidR="000159A6">
        <w:rPr>
          <w:lang w:eastAsia="en-AU"/>
        </w:rPr>
        <w:t xml:space="preserve"> </w:t>
      </w:r>
      <w:r>
        <w:rPr>
          <w:lang w:eastAsia="en-AU"/>
        </w:rPr>
        <w:t>evaluation</w:t>
      </w:r>
      <w:r>
        <w:rPr>
          <w:rStyle w:val="FootnoteReference"/>
          <w:lang w:eastAsia="en-AU"/>
        </w:rPr>
        <w:footnoteReference w:id="11"/>
      </w:r>
    </w:p>
    <w:p w14:paraId="5089D3C3" w14:textId="31B1BF57" w:rsidR="00D34A85" w:rsidRPr="0054629A" w:rsidRDefault="0048276A" w:rsidP="00541F41">
      <w:pPr>
        <w:pStyle w:val="ListBullet"/>
      </w:pPr>
      <w:bookmarkStart w:id="231" w:name="_Toc477354123"/>
      <w:r>
        <w:t>The</w:t>
      </w:r>
      <w:r w:rsidR="000159A6">
        <w:t xml:space="preserve"> </w:t>
      </w:r>
      <w:r>
        <w:t>sponsor</w:t>
      </w:r>
      <w:r w:rsidR="000159A6">
        <w:t xml:space="preserve"> </w:t>
      </w:r>
      <w:r w:rsidR="00D34A85" w:rsidRPr="0054629A">
        <w:t>submitted</w:t>
      </w:r>
      <w:r w:rsidR="000159A6">
        <w:t xml:space="preserve"> </w:t>
      </w:r>
      <w:r w:rsidR="00D34A85" w:rsidRPr="0054629A">
        <w:t>EU-RMP</w:t>
      </w:r>
      <w:r w:rsidR="000159A6">
        <w:t xml:space="preserve"> </w:t>
      </w:r>
      <w:r w:rsidR="00D34A85" w:rsidRPr="0054629A">
        <w:t>version</w:t>
      </w:r>
      <w:r w:rsidR="000159A6">
        <w:t xml:space="preserve"> </w:t>
      </w:r>
      <w:r w:rsidR="00D34A85" w:rsidRPr="001D74F5">
        <w:t>0.0</w:t>
      </w:r>
      <w:r w:rsidR="000159A6">
        <w:t xml:space="preserve"> </w:t>
      </w:r>
      <w:r w:rsidR="00D34A85" w:rsidRPr="001D74F5">
        <w:t>(date</w:t>
      </w:r>
      <w:r w:rsidR="000159A6">
        <w:t xml:space="preserve"> </w:t>
      </w:r>
      <w:r w:rsidR="00D34A85" w:rsidRPr="001D74F5">
        <w:t>17</w:t>
      </w:r>
      <w:r w:rsidR="000159A6">
        <w:t xml:space="preserve"> </w:t>
      </w:r>
      <w:r w:rsidR="00D34A85" w:rsidRPr="001D74F5">
        <w:t>October</w:t>
      </w:r>
      <w:r w:rsidR="000159A6">
        <w:t xml:space="preserve"> </w:t>
      </w:r>
      <w:r w:rsidR="00D34A85" w:rsidRPr="001D74F5">
        <w:t>2016</w:t>
      </w:r>
      <w:r w:rsidR="00D34A85" w:rsidRPr="002433C6">
        <w:t>;</w:t>
      </w:r>
      <w:r w:rsidR="000159A6">
        <w:t xml:space="preserve"> </w:t>
      </w:r>
      <w:r w:rsidR="0037169B">
        <w:t>data</w:t>
      </w:r>
      <w:r w:rsidR="000159A6">
        <w:t xml:space="preserve"> </w:t>
      </w:r>
      <w:r w:rsidR="0037169B">
        <w:t>lock</w:t>
      </w:r>
      <w:r w:rsidR="000159A6">
        <w:t xml:space="preserve"> </w:t>
      </w:r>
      <w:r w:rsidR="0037169B">
        <w:t>point</w:t>
      </w:r>
      <w:r w:rsidR="000159A6">
        <w:t xml:space="preserve"> </w:t>
      </w:r>
      <w:r w:rsidR="0037169B">
        <w:t>(</w:t>
      </w:r>
      <w:r w:rsidR="00D34A85" w:rsidRPr="002433C6">
        <w:t>DLP</w:t>
      </w:r>
      <w:r w:rsidR="0037169B">
        <w:t>)</w:t>
      </w:r>
      <w:r w:rsidR="000159A6">
        <w:t xml:space="preserve"> </w:t>
      </w:r>
      <w:r w:rsidR="00D34A85" w:rsidRPr="002433C6">
        <w:t>12</w:t>
      </w:r>
      <w:r w:rsidR="000159A6">
        <w:t xml:space="preserve"> </w:t>
      </w:r>
      <w:r w:rsidR="00D34A85" w:rsidRPr="002433C6">
        <w:t>October</w:t>
      </w:r>
      <w:r w:rsidR="000159A6">
        <w:t xml:space="preserve"> </w:t>
      </w:r>
      <w:r w:rsidR="00D34A85" w:rsidRPr="002433C6">
        <w:t>2015)</w:t>
      </w:r>
      <w:r w:rsidR="000159A6">
        <w:t xml:space="preserve"> </w:t>
      </w:r>
      <w:r w:rsidR="00D34A85" w:rsidRPr="002433C6">
        <w:t>and</w:t>
      </w:r>
      <w:r w:rsidR="000159A6">
        <w:t xml:space="preserve"> </w:t>
      </w:r>
      <w:r w:rsidR="00D34A85" w:rsidRPr="002433C6">
        <w:t>ASA</w:t>
      </w:r>
      <w:r w:rsidR="000159A6">
        <w:t xml:space="preserve"> </w:t>
      </w:r>
      <w:r w:rsidR="00D34A85" w:rsidRPr="002433C6">
        <w:t>version</w:t>
      </w:r>
      <w:r w:rsidR="000159A6">
        <w:t xml:space="preserve"> </w:t>
      </w:r>
      <w:r w:rsidR="00D34A85" w:rsidRPr="002433C6">
        <w:t>1.0</w:t>
      </w:r>
      <w:r w:rsidR="000159A6">
        <w:t xml:space="preserve"> </w:t>
      </w:r>
      <w:r w:rsidR="00D34A85" w:rsidRPr="002433C6">
        <w:t>(April</w:t>
      </w:r>
      <w:r w:rsidR="000159A6">
        <w:t xml:space="preserve"> </w:t>
      </w:r>
      <w:r w:rsidR="00D34A85" w:rsidRPr="002433C6">
        <w:t>2017)</w:t>
      </w:r>
      <w:r w:rsidR="000159A6">
        <w:t xml:space="preserve"> </w:t>
      </w:r>
      <w:r w:rsidR="00D34A85" w:rsidRPr="002433C6">
        <w:t>in</w:t>
      </w:r>
      <w:r w:rsidR="000159A6">
        <w:t xml:space="preserve"> </w:t>
      </w:r>
      <w:r w:rsidR="00D34A85" w:rsidRPr="002433C6">
        <w:t>support</w:t>
      </w:r>
      <w:r w:rsidR="000159A6">
        <w:t xml:space="preserve"> </w:t>
      </w:r>
      <w:r w:rsidR="00D34A85" w:rsidRPr="002433C6">
        <w:t>of</w:t>
      </w:r>
      <w:r w:rsidR="000159A6">
        <w:t xml:space="preserve"> </w:t>
      </w:r>
      <w:r w:rsidR="00D34A85" w:rsidRPr="002433C6">
        <w:t>this</w:t>
      </w:r>
      <w:r w:rsidR="000159A6">
        <w:t xml:space="preserve"> </w:t>
      </w:r>
      <w:r w:rsidR="00D34A85" w:rsidRPr="002433C6">
        <w:t>application.</w:t>
      </w:r>
      <w:r w:rsidR="000159A6">
        <w:t xml:space="preserve"> </w:t>
      </w:r>
      <w:r w:rsidR="00D34A85" w:rsidRPr="002433C6">
        <w:t>At</w:t>
      </w:r>
      <w:r w:rsidR="000159A6">
        <w:t xml:space="preserve"> </w:t>
      </w:r>
      <w:r>
        <w:t>the</w:t>
      </w:r>
      <w:r w:rsidR="000159A6">
        <w:t xml:space="preserve"> </w:t>
      </w:r>
      <w:r>
        <w:t>second</w:t>
      </w:r>
      <w:r w:rsidR="000159A6">
        <w:t xml:space="preserve"> </w:t>
      </w:r>
      <w:r>
        <w:t>round</w:t>
      </w:r>
      <w:r w:rsidR="00D34A85" w:rsidRPr="002433C6">
        <w:t>,</w:t>
      </w:r>
      <w:r w:rsidR="000159A6">
        <w:t xml:space="preserve"> </w:t>
      </w:r>
      <w:r w:rsidR="00D34A85" w:rsidRPr="002433C6">
        <w:t>the</w:t>
      </w:r>
      <w:r w:rsidR="000159A6">
        <w:t xml:space="preserve"> </w:t>
      </w:r>
      <w:r w:rsidR="00D34A85" w:rsidRPr="002433C6">
        <w:t>sponsor</w:t>
      </w:r>
      <w:r w:rsidR="000159A6">
        <w:t xml:space="preserve"> </w:t>
      </w:r>
      <w:r w:rsidR="00D34A85" w:rsidRPr="002433C6">
        <w:t>submitted</w:t>
      </w:r>
      <w:r w:rsidR="000159A6">
        <w:t xml:space="preserve"> </w:t>
      </w:r>
      <w:r w:rsidR="00D34A85" w:rsidRPr="002433C6">
        <w:t>an</w:t>
      </w:r>
      <w:r w:rsidR="000159A6">
        <w:t xml:space="preserve"> </w:t>
      </w:r>
      <w:r w:rsidR="00D34A85" w:rsidRPr="002433C6">
        <w:t>updated</w:t>
      </w:r>
      <w:r w:rsidR="000159A6">
        <w:t xml:space="preserve"> </w:t>
      </w:r>
      <w:r w:rsidR="00D34A85" w:rsidRPr="002433C6">
        <w:t>EU-RMP</w:t>
      </w:r>
      <w:r w:rsidR="000159A6">
        <w:t xml:space="preserve"> </w:t>
      </w:r>
      <w:r w:rsidR="00D34A85" w:rsidRPr="002433C6">
        <w:t>version</w:t>
      </w:r>
      <w:r w:rsidR="000159A6">
        <w:t xml:space="preserve"> </w:t>
      </w:r>
      <w:r w:rsidR="00D34A85" w:rsidRPr="002433C6">
        <w:t>0.3</w:t>
      </w:r>
      <w:r w:rsidR="000159A6">
        <w:t xml:space="preserve"> </w:t>
      </w:r>
      <w:r w:rsidR="00D34A85" w:rsidRPr="002433C6">
        <w:t>(dated</w:t>
      </w:r>
      <w:r w:rsidR="000159A6">
        <w:t xml:space="preserve"> </w:t>
      </w:r>
      <w:r w:rsidR="00D34A85" w:rsidRPr="002433C6">
        <w:t>19</w:t>
      </w:r>
      <w:r w:rsidR="000159A6">
        <w:t xml:space="preserve"> </w:t>
      </w:r>
      <w:r w:rsidR="00D34A85" w:rsidRPr="002433C6">
        <w:t>December</w:t>
      </w:r>
      <w:r w:rsidR="000159A6">
        <w:t xml:space="preserve"> </w:t>
      </w:r>
      <w:r w:rsidR="00D34A85" w:rsidRPr="002433C6">
        <w:t>2017;</w:t>
      </w:r>
      <w:r w:rsidR="000159A6">
        <w:t xml:space="preserve"> </w:t>
      </w:r>
      <w:r w:rsidR="00D34A85" w:rsidRPr="002433C6">
        <w:t>DLP</w:t>
      </w:r>
      <w:r w:rsidR="000159A6">
        <w:t xml:space="preserve"> </w:t>
      </w:r>
      <w:r w:rsidR="00D34A85" w:rsidRPr="002433C6">
        <w:t>12</w:t>
      </w:r>
      <w:r w:rsidR="000159A6">
        <w:t xml:space="preserve"> </w:t>
      </w:r>
      <w:r w:rsidR="00D34A85" w:rsidRPr="002433C6">
        <w:t>October</w:t>
      </w:r>
      <w:r w:rsidR="000159A6">
        <w:t xml:space="preserve"> </w:t>
      </w:r>
      <w:r w:rsidR="00D34A85" w:rsidRPr="002433C6">
        <w:t>2015).</w:t>
      </w:r>
    </w:p>
    <w:p w14:paraId="436C0468" w14:textId="5048DA14" w:rsidR="0048276A" w:rsidRDefault="00D34A85" w:rsidP="00C049B7">
      <w:pPr>
        <w:pStyle w:val="ListBullet"/>
      </w:pPr>
      <w:r w:rsidRPr="00B365E5">
        <w:t>The</w:t>
      </w:r>
      <w:r w:rsidR="000159A6">
        <w:t xml:space="preserve"> </w:t>
      </w:r>
      <w:r w:rsidRPr="00B365E5">
        <w:t>proposed</w:t>
      </w:r>
      <w:r w:rsidR="000159A6">
        <w:t xml:space="preserve"> </w:t>
      </w:r>
      <w:r w:rsidRPr="00B365E5">
        <w:t>Summary</w:t>
      </w:r>
      <w:r w:rsidR="000159A6">
        <w:t xml:space="preserve"> </w:t>
      </w:r>
      <w:r w:rsidRPr="00B365E5">
        <w:t>of</w:t>
      </w:r>
      <w:r w:rsidR="000159A6">
        <w:t xml:space="preserve"> </w:t>
      </w:r>
      <w:r w:rsidRPr="00B365E5">
        <w:t>Safety</w:t>
      </w:r>
      <w:r w:rsidR="000159A6">
        <w:t xml:space="preserve"> </w:t>
      </w:r>
      <w:r w:rsidRPr="00B365E5">
        <w:t>Concerns</w:t>
      </w:r>
      <w:r w:rsidR="000159A6">
        <w:t xml:space="preserve"> </w:t>
      </w:r>
      <w:r w:rsidRPr="00B365E5">
        <w:t>and</w:t>
      </w:r>
      <w:r w:rsidR="000159A6">
        <w:t xml:space="preserve"> </w:t>
      </w:r>
      <w:r w:rsidRPr="00B365E5">
        <w:t>their</w:t>
      </w:r>
      <w:r w:rsidR="000159A6">
        <w:t xml:space="preserve"> </w:t>
      </w:r>
      <w:r w:rsidRPr="00B365E5">
        <w:t>associated</w:t>
      </w:r>
      <w:r w:rsidR="000159A6">
        <w:t xml:space="preserve"> </w:t>
      </w:r>
      <w:r w:rsidRPr="00B365E5">
        <w:t>risk</w:t>
      </w:r>
      <w:r w:rsidR="000159A6">
        <w:t xml:space="preserve"> </w:t>
      </w:r>
      <w:r w:rsidRPr="00B365E5">
        <w:t>monitoring</w:t>
      </w:r>
      <w:r w:rsidR="000159A6">
        <w:t xml:space="preserve"> </w:t>
      </w:r>
      <w:r w:rsidRPr="00B365E5">
        <w:t>and</w:t>
      </w:r>
      <w:r w:rsidR="000159A6">
        <w:t xml:space="preserve"> </w:t>
      </w:r>
      <w:r w:rsidRPr="00B365E5">
        <w:t>mitigation</w:t>
      </w:r>
      <w:r w:rsidR="000159A6">
        <w:t xml:space="preserve"> </w:t>
      </w:r>
      <w:r w:rsidRPr="00B365E5">
        <w:t>strategies</w:t>
      </w:r>
      <w:r w:rsidR="000159A6">
        <w:t xml:space="preserve"> </w:t>
      </w:r>
      <w:r w:rsidRPr="00B365E5">
        <w:t>are</w:t>
      </w:r>
      <w:r w:rsidR="000159A6">
        <w:t xml:space="preserve"> </w:t>
      </w:r>
      <w:r w:rsidRPr="00B365E5">
        <w:t>summarised</w:t>
      </w:r>
      <w:r w:rsidR="000159A6">
        <w:t xml:space="preserve"> </w:t>
      </w:r>
      <w:r w:rsidRPr="00B365E5">
        <w:t>below</w:t>
      </w:r>
      <w:r>
        <w:t>,</w:t>
      </w:r>
      <w:r w:rsidR="000159A6">
        <w:t xml:space="preserve"> </w:t>
      </w:r>
      <w:r>
        <w:t>with</w:t>
      </w:r>
      <w:r w:rsidR="000159A6">
        <w:t xml:space="preserve"> </w:t>
      </w:r>
      <w:r>
        <w:t>changes</w:t>
      </w:r>
      <w:r w:rsidR="000159A6">
        <w:t xml:space="preserve"> </w:t>
      </w:r>
      <w:r>
        <w:t>made</w:t>
      </w:r>
      <w:r w:rsidR="000159A6">
        <w:t xml:space="preserve"> </w:t>
      </w:r>
      <w:r>
        <w:t>in</w:t>
      </w:r>
      <w:r w:rsidR="000159A6">
        <w:t xml:space="preserve"> </w:t>
      </w:r>
      <w:r w:rsidR="0048276A">
        <w:t>the</w:t>
      </w:r>
      <w:r w:rsidR="000159A6">
        <w:t xml:space="preserve"> </w:t>
      </w:r>
      <w:r w:rsidR="0048276A">
        <w:t>second</w:t>
      </w:r>
      <w:r w:rsidR="000159A6">
        <w:t xml:space="preserve"> </w:t>
      </w:r>
      <w:r w:rsidR="0048276A">
        <w:t>round</w:t>
      </w:r>
      <w:r w:rsidR="000159A6">
        <w:t xml:space="preserve"> </w:t>
      </w:r>
      <w:r>
        <w:t>evaluation</w:t>
      </w:r>
      <w:r w:rsidR="000159A6">
        <w:t xml:space="preserve"> </w:t>
      </w:r>
      <w:r>
        <w:t>in</w:t>
      </w:r>
      <w:r w:rsidR="000159A6">
        <w:t xml:space="preserve"> </w:t>
      </w:r>
      <w:r>
        <w:t>bold</w:t>
      </w:r>
      <w:r w:rsidR="000159A6">
        <w:t xml:space="preserve"> </w:t>
      </w:r>
      <w:r>
        <w:t>italics</w:t>
      </w:r>
      <w:r w:rsidR="000159A6">
        <w:t xml:space="preserve"> </w:t>
      </w:r>
      <w:r>
        <w:t>(additions)</w:t>
      </w:r>
      <w:r w:rsidR="000159A6">
        <w:t xml:space="preserve"> </w:t>
      </w:r>
      <w:r>
        <w:t>and</w:t>
      </w:r>
      <w:r w:rsidR="000159A6">
        <w:t xml:space="preserve"> </w:t>
      </w:r>
      <w:r>
        <w:t>strikethrough</w:t>
      </w:r>
      <w:r w:rsidR="000159A6">
        <w:t xml:space="preserve"> </w:t>
      </w:r>
      <w:r>
        <w:t>(deletion).</w:t>
      </w:r>
    </w:p>
    <w:p w14:paraId="7D3CAC23" w14:textId="1E2CF2E9" w:rsidR="0048276A" w:rsidRPr="0048276A" w:rsidRDefault="0048276A" w:rsidP="00541F41">
      <w:pPr>
        <w:pStyle w:val="Tabletitle0"/>
      </w:pPr>
      <w:r w:rsidRPr="0048276A">
        <w:t>T</w:t>
      </w:r>
      <w:r w:rsidR="005B2FA5">
        <w:t>able</w:t>
      </w:r>
      <w:r w:rsidR="000159A6">
        <w:t xml:space="preserve"> </w:t>
      </w:r>
      <w:r w:rsidR="005B2FA5">
        <w:t>8:</w:t>
      </w:r>
      <w:r w:rsidR="000159A6">
        <w:t xml:space="preserve"> </w:t>
      </w:r>
      <w:r>
        <w:t>Summary</w:t>
      </w:r>
      <w:r w:rsidR="000159A6">
        <w:t xml:space="preserve"> </w:t>
      </w:r>
      <w:r>
        <w:t>of</w:t>
      </w:r>
      <w:r w:rsidR="000159A6">
        <w:t xml:space="preserve"> </w:t>
      </w:r>
      <w:r>
        <w:t>safety</w:t>
      </w:r>
      <w:r w:rsidR="000159A6">
        <w:t xml:space="preserve"> </w:t>
      </w:r>
      <w:r w:rsidRPr="00541F41">
        <w:t>concerns</w:t>
      </w:r>
    </w:p>
    <w:tbl>
      <w:tblPr>
        <w:tblStyle w:val="TableTGAblue"/>
        <w:tblW w:w="0" w:type="auto"/>
        <w:tblLook w:val="04A0" w:firstRow="1" w:lastRow="0" w:firstColumn="1" w:lastColumn="0" w:noHBand="0" w:noVBand="1"/>
        <w:tblDescription w:val="Table 8: Summary of safety concerns"/>
      </w:tblPr>
      <w:tblGrid>
        <w:gridCol w:w="1477"/>
        <w:gridCol w:w="3317"/>
        <w:gridCol w:w="872"/>
        <w:gridCol w:w="1091"/>
        <w:gridCol w:w="872"/>
        <w:gridCol w:w="1091"/>
      </w:tblGrid>
      <w:tr w:rsidR="00D34A85" w:rsidRPr="00B365E5" w14:paraId="5C2AF6C7" w14:textId="77777777" w:rsidTr="00541F41">
        <w:trPr>
          <w:cnfStyle w:val="100000000000" w:firstRow="1" w:lastRow="0" w:firstColumn="0" w:lastColumn="0" w:oddVBand="0" w:evenVBand="0" w:oddHBand="0" w:evenHBand="0" w:firstRowFirstColumn="0" w:firstRowLastColumn="0" w:lastRowFirstColumn="0" w:lastRowLastColumn="0"/>
          <w:trHeight w:val="130"/>
        </w:trPr>
        <w:tc>
          <w:tcPr>
            <w:tcW w:w="0" w:type="auto"/>
            <w:gridSpan w:val="2"/>
            <w:vMerge w:val="restart"/>
          </w:tcPr>
          <w:p w14:paraId="680FB8C4" w14:textId="270972D0" w:rsidR="00D34A85" w:rsidRPr="00B365E5" w:rsidRDefault="00D34A85" w:rsidP="00D34A85">
            <w:pPr>
              <w:pStyle w:val="Tabletext"/>
              <w:ind w:left="0" w:right="0"/>
              <w:rPr>
                <w:b w:val="0"/>
              </w:rPr>
            </w:pPr>
            <w:r w:rsidRPr="00B365E5">
              <w:t>Summary</w:t>
            </w:r>
            <w:r w:rsidR="000159A6">
              <w:t xml:space="preserve"> </w:t>
            </w:r>
            <w:r w:rsidRPr="00B365E5">
              <w:t>of</w:t>
            </w:r>
            <w:r w:rsidR="000159A6">
              <w:t xml:space="preserve"> </w:t>
            </w:r>
            <w:r w:rsidRPr="00B365E5">
              <w:t>safety</w:t>
            </w:r>
            <w:r w:rsidR="000159A6">
              <w:t xml:space="preserve"> </w:t>
            </w:r>
            <w:r w:rsidRPr="00B365E5">
              <w:t>concerns</w:t>
            </w:r>
          </w:p>
        </w:tc>
        <w:tc>
          <w:tcPr>
            <w:tcW w:w="0" w:type="auto"/>
            <w:gridSpan w:val="2"/>
          </w:tcPr>
          <w:p w14:paraId="7E65C274" w14:textId="77777777" w:rsidR="00D34A85" w:rsidRPr="00B365E5" w:rsidRDefault="00D34A85" w:rsidP="00D34A85">
            <w:pPr>
              <w:pStyle w:val="Tabletext"/>
              <w:ind w:left="0" w:right="0"/>
              <w:rPr>
                <w:b w:val="0"/>
                <w:sz w:val="18"/>
              </w:rPr>
            </w:pPr>
            <w:r w:rsidRPr="00B365E5">
              <w:rPr>
                <w:sz w:val="18"/>
              </w:rPr>
              <w:t>Pharmacovigilance</w:t>
            </w:r>
          </w:p>
        </w:tc>
        <w:tc>
          <w:tcPr>
            <w:tcW w:w="0" w:type="auto"/>
            <w:gridSpan w:val="2"/>
          </w:tcPr>
          <w:p w14:paraId="3F20C39D" w14:textId="2FE57A2B" w:rsidR="00D34A85" w:rsidRPr="00B365E5" w:rsidRDefault="00D34A85" w:rsidP="00D34A85">
            <w:pPr>
              <w:pStyle w:val="Tabletext"/>
              <w:ind w:left="0" w:right="0"/>
              <w:rPr>
                <w:b w:val="0"/>
                <w:sz w:val="18"/>
              </w:rPr>
            </w:pPr>
            <w:r w:rsidRPr="00B365E5">
              <w:rPr>
                <w:sz w:val="18"/>
              </w:rPr>
              <w:t>Risk</w:t>
            </w:r>
            <w:r w:rsidR="000159A6">
              <w:rPr>
                <w:sz w:val="18"/>
              </w:rPr>
              <w:t xml:space="preserve"> </w:t>
            </w:r>
            <w:r w:rsidRPr="00B365E5">
              <w:rPr>
                <w:sz w:val="18"/>
              </w:rPr>
              <w:t>Minimisation</w:t>
            </w:r>
          </w:p>
        </w:tc>
      </w:tr>
      <w:tr w:rsidR="00D34A85" w:rsidRPr="00B365E5" w14:paraId="6C2057EA" w14:textId="77777777" w:rsidTr="00541F41">
        <w:trPr>
          <w:cnfStyle w:val="100000000000" w:firstRow="1" w:lastRow="0" w:firstColumn="0" w:lastColumn="0" w:oddVBand="0" w:evenVBand="0" w:oddHBand="0" w:evenHBand="0" w:firstRowFirstColumn="0" w:firstRowLastColumn="0" w:lastRowFirstColumn="0" w:lastRowLastColumn="0"/>
          <w:trHeight w:val="149"/>
        </w:trPr>
        <w:tc>
          <w:tcPr>
            <w:tcW w:w="0" w:type="auto"/>
            <w:gridSpan w:val="2"/>
            <w:vMerge/>
          </w:tcPr>
          <w:p w14:paraId="21FE6292" w14:textId="77777777" w:rsidR="00D34A85" w:rsidRPr="00B365E5" w:rsidRDefault="00D34A85" w:rsidP="00D34A85">
            <w:pPr>
              <w:pStyle w:val="Tabletext"/>
              <w:ind w:left="0" w:right="0"/>
              <w:rPr>
                <w:b w:val="0"/>
              </w:rPr>
            </w:pPr>
          </w:p>
        </w:tc>
        <w:tc>
          <w:tcPr>
            <w:tcW w:w="0" w:type="auto"/>
          </w:tcPr>
          <w:p w14:paraId="3990514E" w14:textId="77777777" w:rsidR="00D34A85" w:rsidRPr="00B365E5" w:rsidRDefault="00D34A85" w:rsidP="00D34A85">
            <w:pPr>
              <w:pStyle w:val="Tabletext"/>
              <w:ind w:left="0" w:right="0"/>
              <w:rPr>
                <w:sz w:val="18"/>
              </w:rPr>
            </w:pPr>
            <w:r w:rsidRPr="00B365E5">
              <w:rPr>
                <w:sz w:val="18"/>
              </w:rPr>
              <w:t>Routine</w:t>
            </w:r>
          </w:p>
        </w:tc>
        <w:tc>
          <w:tcPr>
            <w:tcW w:w="0" w:type="auto"/>
          </w:tcPr>
          <w:p w14:paraId="0BEB2983" w14:textId="77777777" w:rsidR="00D34A85" w:rsidRPr="00B365E5" w:rsidRDefault="00D34A85" w:rsidP="00D34A85">
            <w:pPr>
              <w:pStyle w:val="Tabletext"/>
              <w:ind w:left="0" w:right="0"/>
              <w:rPr>
                <w:sz w:val="18"/>
              </w:rPr>
            </w:pPr>
            <w:r w:rsidRPr="00B365E5">
              <w:rPr>
                <w:sz w:val="18"/>
              </w:rPr>
              <w:t>Additional</w:t>
            </w:r>
          </w:p>
        </w:tc>
        <w:tc>
          <w:tcPr>
            <w:tcW w:w="0" w:type="auto"/>
          </w:tcPr>
          <w:p w14:paraId="086C1A73" w14:textId="77777777" w:rsidR="00D34A85" w:rsidRPr="00B365E5" w:rsidRDefault="00D34A85" w:rsidP="00D34A85">
            <w:pPr>
              <w:pStyle w:val="Tabletext"/>
              <w:ind w:left="0" w:right="0"/>
              <w:rPr>
                <w:sz w:val="18"/>
              </w:rPr>
            </w:pPr>
            <w:r w:rsidRPr="00B365E5">
              <w:rPr>
                <w:sz w:val="18"/>
              </w:rPr>
              <w:t>Routine</w:t>
            </w:r>
          </w:p>
        </w:tc>
        <w:tc>
          <w:tcPr>
            <w:tcW w:w="0" w:type="auto"/>
          </w:tcPr>
          <w:p w14:paraId="7FE4696D" w14:textId="77777777" w:rsidR="00D34A85" w:rsidRPr="00B365E5" w:rsidRDefault="00D34A85" w:rsidP="00D34A85">
            <w:pPr>
              <w:pStyle w:val="Tabletext"/>
              <w:ind w:left="0" w:right="0"/>
              <w:rPr>
                <w:sz w:val="18"/>
              </w:rPr>
            </w:pPr>
            <w:r w:rsidRPr="00B365E5">
              <w:rPr>
                <w:sz w:val="18"/>
              </w:rPr>
              <w:t>Additional</w:t>
            </w:r>
          </w:p>
        </w:tc>
      </w:tr>
      <w:tr w:rsidR="00D34A85" w:rsidRPr="00B365E5" w14:paraId="1BE61DEC" w14:textId="77777777" w:rsidTr="00E021B7">
        <w:trPr>
          <w:trHeight w:val="783"/>
        </w:trPr>
        <w:tc>
          <w:tcPr>
            <w:tcW w:w="0" w:type="auto"/>
          </w:tcPr>
          <w:p w14:paraId="52114A7F" w14:textId="17DC72C3" w:rsidR="00D34A85" w:rsidRPr="00B365E5" w:rsidRDefault="00D34A85" w:rsidP="00D34A85">
            <w:pPr>
              <w:pStyle w:val="Tabletext"/>
              <w:ind w:left="0" w:right="0"/>
              <w:rPr>
                <w:b/>
              </w:rPr>
            </w:pPr>
            <w:r w:rsidRPr="00B365E5">
              <w:rPr>
                <w:b/>
              </w:rPr>
              <w:t>Important</w:t>
            </w:r>
            <w:r w:rsidR="000159A6">
              <w:rPr>
                <w:b/>
              </w:rPr>
              <w:t xml:space="preserve"> </w:t>
            </w:r>
            <w:r w:rsidRPr="00B365E5">
              <w:rPr>
                <w:b/>
              </w:rPr>
              <w:t>identified</w:t>
            </w:r>
            <w:r w:rsidR="000159A6">
              <w:rPr>
                <w:b/>
              </w:rPr>
              <w:t xml:space="preserve"> </w:t>
            </w:r>
            <w:r w:rsidRPr="00B365E5">
              <w:rPr>
                <w:b/>
              </w:rPr>
              <w:t>risks</w:t>
            </w:r>
          </w:p>
        </w:tc>
        <w:tc>
          <w:tcPr>
            <w:tcW w:w="0" w:type="auto"/>
          </w:tcPr>
          <w:p w14:paraId="0E55C313" w14:textId="77777777" w:rsidR="00D34A85" w:rsidRPr="00B365E5" w:rsidRDefault="00D34A85" w:rsidP="00D34A85">
            <w:pPr>
              <w:pStyle w:val="Tabletext"/>
              <w:ind w:left="0" w:right="0"/>
            </w:pPr>
            <w:r>
              <w:t>Nil</w:t>
            </w:r>
          </w:p>
        </w:tc>
        <w:tc>
          <w:tcPr>
            <w:tcW w:w="0" w:type="auto"/>
          </w:tcPr>
          <w:p w14:paraId="12720473" w14:textId="77777777" w:rsidR="00D34A85" w:rsidRPr="00B365E5" w:rsidRDefault="00D34A85" w:rsidP="00D34A85">
            <w:pPr>
              <w:pStyle w:val="Tabletext"/>
              <w:ind w:left="0" w:right="0"/>
              <w:jc w:val="center"/>
            </w:pPr>
          </w:p>
        </w:tc>
        <w:tc>
          <w:tcPr>
            <w:tcW w:w="0" w:type="auto"/>
          </w:tcPr>
          <w:p w14:paraId="0C0CC4F0" w14:textId="77777777" w:rsidR="00D34A85" w:rsidRPr="00B365E5" w:rsidRDefault="00D34A85" w:rsidP="00D34A85">
            <w:pPr>
              <w:pStyle w:val="Tabletext"/>
              <w:ind w:left="0" w:right="0"/>
              <w:jc w:val="center"/>
            </w:pPr>
          </w:p>
        </w:tc>
        <w:tc>
          <w:tcPr>
            <w:tcW w:w="0" w:type="auto"/>
          </w:tcPr>
          <w:p w14:paraId="68F41818" w14:textId="77777777" w:rsidR="00D34A85" w:rsidRPr="00B365E5" w:rsidRDefault="00D34A85" w:rsidP="00D34A85">
            <w:pPr>
              <w:pStyle w:val="Tabletext"/>
              <w:ind w:left="0" w:right="0"/>
              <w:jc w:val="center"/>
            </w:pPr>
          </w:p>
        </w:tc>
        <w:tc>
          <w:tcPr>
            <w:tcW w:w="0" w:type="auto"/>
          </w:tcPr>
          <w:p w14:paraId="5FEDA8F4" w14:textId="77777777" w:rsidR="00D34A85" w:rsidRPr="00B365E5" w:rsidRDefault="00D34A85" w:rsidP="00D34A85">
            <w:pPr>
              <w:pStyle w:val="Tabletext"/>
              <w:ind w:left="0" w:right="0"/>
              <w:jc w:val="center"/>
            </w:pPr>
          </w:p>
        </w:tc>
      </w:tr>
      <w:tr w:rsidR="00D34A85" w:rsidRPr="00B365E5" w14:paraId="71966B55" w14:textId="77777777" w:rsidTr="00E021B7">
        <w:trPr>
          <w:trHeight w:val="635"/>
        </w:trPr>
        <w:tc>
          <w:tcPr>
            <w:tcW w:w="0" w:type="auto"/>
            <w:vMerge w:val="restart"/>
          </w:tcPr>
          <w:p w14:paraId="4E10B5D9" w14:textId="623D377E" w:rsidR="00D34A85" w:rsidRPr="00B365E5" w:rsidRDefault="00D34A85" w:rsidP="00D34A85">
            <w:pPr>
              <w:pStyle w:val="Tabletext"/>
              <w:ind w:left="0" w:right="0"/>
              <w:rPr>
                <w:b/>
              </w:rPr>
            </w:pPr>
            <w:r w:rsidRPr="00B365E5">
              <w:rPr>
                <w:b/>
              </w:rPr>
              <w:t>Important</w:t>
            </w:r>
            <w:r w:rsidR="000159A6">
              <w:rPr>
                <w:b/>
              </w:rPr>
              <w:t xml:space="preserve"> </w:t>
            </w:r>
            <w:r w:rsidRPr="00B365E5">
              <w:rPr>
                <w:b/>
              </w:rPr>
              <w:t>potential</w:t>
            </w:r>
            <w:r w:rsidR="000159A6">
              <w:rPr>
                <w:b/>
              </w:rPr>
              <w:t xml:space="preserve"> </w:t>
            </w:r>
            <w:r w:rsidRPr="00B365E5">
              <w:rPr>
                <w:b/>
              </w:rPr>
              <w:lastRenderedPageBreak/>
              <w:t>risks</w:t>
            </w:r>
          </w:p>
        </w:tc>
        <w:tc>
          <w:tcPr>
            <w:tcW w:w="0" w:type="auto"/>
          </w:tcPr>
          <w:p w14:paraId="3601FFFD" w14:textId="65F39FCB" w:rsidR="00D34A85" w:rsidRPr="00B365E5" w:rsidDel="001D74F5" w:rsidRDefault="00D34A85" w:rsidP="00D34A85">
            <w:pPr>
              <w:autoSpaceDE w:val="0"/>
              <w:autoSpaceDN w:val="0"/>
              <w:adjustRightInd w:val="0"/>
              <w:ind w:left="0" w:right="0"/>
              <w:rPr>
                <w:rFonts w:eastAsia="ArialNarrow"/>
                <w:snapToGrid w:val="0"/>
                <w:kern w:val="16"/>
                <w:sz w:val="20"/>
                <w:szCs w:val="24"/>
              </w:rPr>
            </w:pPr>
            <w:r w:rsidRPr="00DC7C19">
              <w:rPr>
                <w:rFonts w:eastAsia="ArialNarrow"/>
                <w:strike/>
                <w:snapToGrid w:val="0"/>
                <w:kern w:val="16"/>
                <w:sz w:val="20"/>
                <w:szCs w:val="24"/>
              </w:rPr>
              <w:lastRenderedPageBreak/>
              <w:t>Risk</w:t>
            </w:r>
            <w:r w:rsidR="000159A6">
              <w:rPr>
                <w:rFonts w:eastAsia="ArialNarrow"/>
                <w:strike/>
                <w:snapToGrid w:val="0"/>
                <w:kern w:val="16"/>
                <w:sz w:val="20"/>
                <w:szCs w:val="24"/>
              </w:rPr>
              <w:t xml:space="preserve"> </w:t>
            </w:r>
            <w:r w:rsidRPr="00DC7C19">
              <w:rPr>
                <w:rFonts w:eastAsia="ArialNarrow"/>
                <w:strike/>
                <w:snapToGrid w:val="0"/>
                <w:kern w:val="16"/>
                <w:sz w:val="20"/>
                <w:szCs w:val="24"/>
              </w:rPr>
              <w:t>of</w:t>
            </w:r>
            <w:r w:rsidR="000159A6">
              <w:rPr>
                <w:rFonts w:eastAsia="ArialNarrow"/>
                <w:strike/>
                <w:snapToGrid w:val="0"/>
                <w:kern w:val="16"/>
                <w:sz w:val="20"/>
                <w:szCs w:val="24"/>
              </w:rPr>
              <w:t xml:space="preserve"> </w:t>
            </w:r>
            <w:r w:rsidRPr="00DC7C19">
              <w:rPr>
                <w:rFonts w:eastAsia="ArialNarrow"/>
                <w:strike/>
                <w:snapToGrid w:val="0"/>
                <w:kern w:val="16"/>
                <w:sz w:val="20"/>
                <w:szCs w:val="24"/>
              </w:rPr>
              <w:t>hypersensitivity</w:t>
            </w:r>
            <w:r w:rsidR="000159A6">
              <w:rPr>
                <w:rFonts w:eastAsia="ArialNarrow"/>
                <w:strike/>
                <w:snapToGrid w:val="0"/>
                <w:kern w:val="16"/>
                <w:sz w:val="20"/>
                <w:szCs w:val="24"/>
              </w:rPr>
              <w:t xml:space="preserve"> </w:t>
            </w:r>
            <w:r w:rsidRPr="00DC7C19">
              <w:rPr>
                <w:rFonts w:eastAsia="ArialNarrow"/>
                <w:strike/>
                <w:snapToGrid w:val="0"/>
                <w:kern w:val="16"/>
                <w:sz w:val="20"/>
                <w:szCs w:val="24"/>
              </w:rPr>
              <w:t>reactions</w:t>
            </w:r>
            <w:r w:rsidR="000159A6">
              <w:rPr>
                <w:rFonts w:eastAsia="ArialNarrow"/>
                <w:strike/>
                <w:snapToGrid w:val="0"/>
                <w:kern w:val="16"/>
                <w:sz w:val="20"/>
                <w:szCs w:val="24"/>
              </w:rPr>
              <w:t xml:space="preserve"> </w:t>
            </w:r>
            <w:r w:rsidRPr="00DC7C19">
              <w:rPr>
                <w:rFonts w:eastAsia="ArialNarrow"/>
                <w:strike/>
                <w:snapToGrid w:val="0"/>
                <w:kern w:val="16"/>
                <w:sz w:val="20"/>
                <w:szCs w:val="24"/>
              </w:rPr>
              <w:t>(including</w:t>
            </w:r>
            <w:r w:rsidR="000159A6">
              <w:rPr>
                <w:rFonts w:eastAsia="ArialNarrow"/>
                <w:strike/>
                <w:snapToGrid w:val="0"/>
                <w:kern w:val="16"/>
                <w:sz w:val="20"/>
                <w:szCs w:val="24"/>
              </w:rPr>
              <w:t xml:space="preserve"> </w:t>
            </w:r>
            <w:r w:rsidRPr="00DC7C19">
              <w:rPr>
                <w:rFonts w:eastAsia="ArialNarrow"/>
                <w:strike/>
                <w:snapToGrid w:val="0"/>
                <w:kern w:val="16"/>
                <w:sz w:val="20"/>
                <w:szCs w:val="24"/>
              </w:rPr>
              <w:t>anaphylaxis)</w:t>
            </w:r>
          </w:p>
        </w:tc>
        <w:tc>
          <w:tcPr>
            <w:tcW w:w="0" w:type="auto"/>
          </w:tcPr>
          <w:p w14:paraId="43A5342B" w14:textId="77777777" w:rsidR="00D34A85" w:rsidRPr="00DC7C19" w:rsidDel="001D74F5" w:rsidRDefault="00D34A85" w:rsidP="00D34A85">
            <w:pPr>
              <w:pStyle w:val="Tabletext"/>
              <w:ind w:left="0" w:right="0"/>
              <w:jc w:val="center"/>
              <w:rPr>
                <w:strike/>
              </w:rPr>
            </w:pPr>
            <w:r w:rsidRPr="00DC7C19">
              <w:rPr>
                <w:strike/>
              </w:rPr>
              <w:sym w:font="Wingdings" w:char="F0FC"/>
            </w:r>
          </w:p>
        </w:tc>
        <w:tc>
          <w:tcPr>
            <w:tcW w:w="0" w:type="auto"/>
          </w:tcPr>
          <w:p w14:paraId="7E76FEB5" w14:textId="77777777" w:rsidR="00D34A85" w:rsidRPr="00B365E5" w:rsidDel="001D74F5" w:rsidRDefault="00D34A85" w:rsidP="00D34A85">
            <w:pPr>
              <w:pStyle w:val="Tabletext"/>
              <w:ind w:left="0" w:right="0"/>
              <w:jc w:val="center"/>
            </w:pPr>
          </w:p>
        </w:tc>
        <w:tc>
          <w:tcPr>
            <w:tcW w:w="0" w:type="auto"/>
          </w:tcPr>
          <w:p w14:paraId="1C599560" w14:textId="77777777" w:rsidR="00D34A85" w:rsidRPr="00DC7C19" w:rsidDel="001D74F5" w:rsidRDefault="00D34A85" w:rsidP="00D34A85">
            <w:pPr>
              <w:pStyle w:val="Tabletext"/>
              <w:ind w:left="0" w:right="0"/>
              <w:jc w:val="center"/>
              <w:rPr>
                <w:strike/>
              </w:rPr>
            </w:pPr>
            <w:r w:rsidRPr="00DC7C19">
              <w:rPr>
                <w:strike/>
              </w:rPr>
              <w:sym w:font="Wingdings" w:char="F0FC"/>
            </w:r>
          </w:p>
        </w:tc>
        <w:tc>
          <w:tcPr>
            <w:tcW w:w="0" w:type="auto"/>
          </w:tcPr>
          <w:p w14:paraId="73279C2D" w14:textId="77777777" w:rsidR="00D34A85" w:rsidRPr="00B365E5" w:rsidDel="001D74F5" w:rsidRDefault="00D34A85" w:rsidP="00D34A85">
            <w:pPr>
              <w:pStyle w:val="Tabletext"/>
              <w:ind w:left="0" w:right="0"/>
              <w:jc w:val="center"/>
            </w:pPr>
          </w:p>
        </w:tc>
      </w:tr>
      <w:tr w:rsidR="00D34A85" w:rsidRPr="00B365E5" w14:paraId="6E6CEF67" w14:textId="77777777" w:rsidTr="00E021B7">
        <w:trPr>
          <w:trHeight w:val="563"/>
        </w:trPr>
        <w:tc>
          <w:tcPr>
            <w:tcW w:w="0" w:type="auto"/>
            <w:vMerge/>
          </w:tcPr>
          <w:p w14:paraId="5DDC951F" w14:textId="77777777" w:rsidR="00D34A85" w:rsidRPr="00B365E5" w:rsidRDefault="00D34A85" w:rsidP="00D34A85">
            <w:pPr>
              <w:pStyle w:val="Tabletext"/>
              <w:ind w:left="0" w:right="0"/>
              <w:rPr>
                <w:b/>
              </w:rPr>
            </w:pPr>
          </w:p>
        </w:tc>
        <w:tc>
          <w:tcPr>
            <w:tcW w:w="0" w:type="auto"/>
          </w:tcPr>
          <w:p w14:paraId="683D0A2B" w14:textId="6F7E2BDC" w:rsidR="00D34A85" w:rsidRPr="00D34A85" w:rsidRDefault="00D34A85" w:rsidP="00D34A85">
            <w:pPr>
              <w:ind w:left="0" w:right="0"/>
              <w:rPr>
                <w:sz w:val="20"/>
                <w:szCs w:val="20"/>
              </w:rPr>
            </w:pPr>
            <w:r w:rsidRPr="00D34A85">
              <w:rPr>
                <w:b/>
                <w:i/>
                <w:sz w:val="20"/>
                <w:szCs w:val="20"/>
              </w:rPr>
              <w:t>Risk</w:t>
            </w:r>
            <w:r w:rsidR="000159A6">
              <w:rPr>
                <w:b/>
                <w:i/>
                <w:sz w:val="20"/>
                <w:szCs w:val="20"/>
              </w:rPr>
              <w:t xml:space="preserve"> </w:t>
            </w:r>
            <w:r w:rsidRPr="00D34A85">
              <w:rPr>
                <w:b/>
                <w:i/>
                <w:sz w:val="20"/>
                <w:szCs w:val="20"/>
              </w:rPr>
              <w:t>of</w:t>
            </w:r>
            <w:r w:rsidR="000159A6">
              <w:rPr>
                <w:sz w:val="20"/>
                <w:szCs w:val="20"/>
              </w:rPr>
              <w:t xml:space="preserve"> </w:t>
            </w:r>
            <w:r w:rsidRPr="00D34A85">
              <w:rPr>
                <w:sz w:val="20"/>
                <w:szCs w:val="20"/>
              </w:rPr>
              <w:t>potential</w:t>
            </w:r>
            <w:r w:rsidR="000159A6">
              <w:rPr>
                <w:sz w:val="20"/>
                <w:szCs w:val="20"/>
              </w:rPr>
              <w:t xml:space="preserve"> </w:t>
            </w:r>
            <w:r w:rsidRPr="00D34A85">
              <w:rPr>
                <w:sz w:val="20"/>
                <w:szCs w:val="20"/>
              </w:rPr>
              <w:t>Immune</w:t>
            </w:r>
            <w:r w:rsidR="000159A6">
              <w:rPr>
                <w:sz w:val="20"/>
                <w:szCs w:val="20"/>
              </w:rPr>
              <w:t xml:space="preserve"> </w:t>
            </w:r>
            <w:r w:rsidRPr="00D34A85">
              <w:rPr>
                <w:sz w:val="20"/>
                <w:szCs w:val="20"/>
              </w:rPr>
              <w:t>Mediated</w:t>
            </w:r>
            <w:r w:rsidR="000159A6">
              <w:rPr>
                <w:sz w:val="20"/>
                <w:szCs w:val="20"/>
              </w:rPr>
              <w:t xml:space="preserve"> </w:t>
            </w:r>
            <w:r w:rsidRPr="00D34A85">
              <w:rPr>
                <w:sz w:val="20"/>
                <w:szCs w:val="20"/>
              </w:rPr>
              <w:t>Disorders</w:t>
            </w:r>
            <w:r w:rsidR="000159A6">
              <w:rPr>
                <w:sz w:val="20"/>
                <w:szCs w:val="20"/>
              </w:rPr>
              <w:t xml:space="preserve"> </w:t>
            </w:r>
            <w:r w:rsidRPr="00D34A85">
              <w:rPr>
                <w:sz w:val="20"/>
                <w:szCs w:val="20"/>
              </w:rPr>
              <w:t>(</w:t>
            </w:r>
            <w:proofErr w:type="spellStart"/>
            <w:r w:rsidRPr="00D34A85">
              <w:rPr>
                <w:sz w:val="20"/>
                <w:szCs w:val="20"/>
              </w:rPr>
              <w:t>pMIDs</w:t>
            </w:r>
            <w:proofErr w:type="spellEnd"/>
            <w:r w:rsidRPr="00D34A85">
              <w:rPr>
                <w:sz w:val="20"/>
                <w:szCs w:val="20"/>
              </w:rPr>
              <w:t>)</w:t>
            </w:r>
            <w:r w:rsidR="000159A6">
              <w:rPr>
                <w:sz w:val="20"/>
                <w:szCs w:val="20"/>
              </w:rPr>
              <w:t xml:space="preserve"> </w:t>
            </w:r>
            <w:r w:rsidRPr="00D34A85">
              <w:rPr>
                <w:b/>
                <w:i/>
                <w:sz w:val="20"/>
                <w:szCs w:val="20"/>
              </w:rPr>
              <w:t>following</w:t>
            </w:r>
            <w:r w:rsidR="000159A6">
              <w:rPr>
                <w:b/>
                <w:i/>
                <w:sz w:val="20"/>
                <w:szCs w:val="20"/>
              </w:rPr>
              <w:t xml:space="preserve"> </w:t>
            </w:r>
            <w:r w:rsidRPr="00D34A85">
              <w:rPr>
                <w:b/>
                <w:i/>
                <w:sz w:val="20"/>
                <w:szCs w:val="20"/>
              </w:rPr>
              <w:t>vaccination</w:t>
            </w:r>
          </w:p>
        </w:tc>
        <w:tc>
          <w:tcPr>
            <w:tcW w:w="0" w:type="auto"/>
          </w:tcPr>
          <w:p w14:paraId="121BC590" w14:textId="77777777" w:rsidR="00D34A85" w:rsidRPr="00B365E5" w:rsidRDefault="00D34A85" w:rsidP="00D34A85">
            <w:pPr>
              <w:pStyle w:val="Tabletext"/>
              <w:ind w:left="0" w:right="0"/>
              <w:jc w:val="center"/>
            </w:pPr>
            <w:r w:rsidRPr="00B365E5">
              <w:sym w:font="Wingdings" w:char="F0FC"/>
            </w:r>
          </w:p>
        </w:tc>
        <w:tc>
          <w:tcPr>
            <w:tcW w:w="0" w:type="auto"/>
          </w:tcPr>
          <w:p w14:paraId="1B0035B7" w14:textId="77777777" w:rsidR="00D34A85" w:rsidRPr="00B365E5" w:rsidRDefault="00D34A85" w:rsidP="00D34A85">
            <w:pPr>
              <w:pStyle w:val="Tabletext"/>
              <w:ind w:left="0" w:right="0"/>
              <w:jc w:val="center"/>
            </w:pPr>
            <w:r w:rsidRPr="00B365E5">
              <w:sym w:font="Wingdings" w:char="F0FC"/>
            </w:r>
          </w:p>
        </w:tc>
        <w:tc>
          <w:tcPr>
            <w:tcW w:w="0" w:type="auto"/>
          </w:tcPr>
          <w:p w14:paraId="50B4D2E7" w14:textId="77777777" w:rsidR="00D34A85" w:rsidRPr="00B365E5" w:rsidRDefault="00D34A85" w:rsidP="00D34A85">
            <w:pPr>
              <w:pStyle w:val="Tabletext"/>
              <w:ind w:left="0" w:right="0"/>
              <w:jc w:val="center"/>
            </w:pPr>
            <w:r w:rsidRPr="00B365E5">
              <w:t>–</w:t>
            </w:r>
          </w:p>
        </w:tc>
        <w:tc>
          <w:tcPr>
            <w:tcW w:w="0" w:type="auto"/>
          </w:tcPr>
          <w:p w14:paraId="6345A317" w14:textId="77777777" w:rsidR="00D34A85" w:rsidRPr="00B365E5" w:rsidRDefault="00D34A85" w:rsidP="00D34A85">
            <w:pPr>
              <w:pStyle w:val="Tabletext"/>
              <w:ind w:left="0" w:right="0"/>
              <w:jc w:val="center"/>
            </w:pPr>
            <w:r w:rsidRPr="00B365E5">
              <w:t>–</w:t>
            </w:r>
          </w:p>
        </w:tc>
      </w:tr>
      <w:tr w:rsidR="00D34A85" w:rsidRPr="00B365E5" w14:paraId="62F50537" w14:textId="77777777" w:rsidTr="00E021B7">
        <w:trPr>
          <w:trHeight w:val="177"/>
        </w:trPr>
        <w:tc>
          <w:tcPr>
            <w:tcW w:w="0" w:type="auto"/>
            <w:vMerge w:val="restart"/>
          </w:tcPr>
          <w:p w14:paraId="60BE1D75" w14:textId="10A8CC4B" w:rsidR="00D34A85" w:rsidRPr="00B365E5" w:rsidRDefault="00D34A85" w:rsidP="00D34A85">
            <w:pPr>
              <w:pStyle w:val="Tabletext"/>
              <w:ind w:left="0" w:right="0"/>
              <w:rPr>
                <w:b/>
              </w:rPr>
            </w:pPr>
            <w:r w:rsidRPr="00B365E5">
              <w:rPr>
                <w:b/>
              </w:rPr>
              <w:lastRenderedPageBreak/>
              <w:t>Missing</w:t>
            </w:r>
            <w:r w:rsidR="000159A6">
              <w:rPr>
                <w:b/>
              </w:rPr>
              <w:t xml:space="preserve"> </w:t>
            </w:r>
            <w:r w:rsidRPr="00B365E5">
              <w:rPr>
                <w:b/>
              </w:rPr>
              <w:t>information</w:t>
            </w:r>
          </w:p>
        </w:tc>
        <w:tc>
          <w:tcPr>
            <w:tcW w:w="0" w:type="auto"/>
          </w:tcPr>
          <w:p w14:paraId="25912F6B" w14:textId="3AF8A504" w:rsidR="00D34A85" w:rsidRPr="00B365E5" w:rsidRDefault="00D34A85" w:rsidP="00D34A85">
            <w:pPr>
              <w:autoSpaceDE w:val="0"/>
              <w:autoSpaceDN w:val="0"/>
              <w:adjustRightInd w:val="0"/>
              <w:ind w:left="0" w:right="0"/>
              <w:rPr>
                <w:rFonts w:eastAsia="ArialNarrow"/>
                <w:snapToGrid w:val="0"/>
                <w:kern w:val="16"/>
                <w:sz w:val="20"/>
                <w:szCs w:val="24"/>
              </w:rPr>
            </w:pPr>
            <w:r w:rsidRPr="00B365E5">
              <w:rPr>
                <w:rFonts w:eastAsia="ArialNarrow"/>
                <w:snapToGrid w:val="0"/>
                <w:kern w:val="16"/>
                <w:sz w:val="20"/>
                <w:szCs w:val="24"/>
              </w:rPr>
              <w:t>Long-term</w:t>
            </w:r>
            <w:r w:rsidR="000159A6">
              <w:rPr>
                <w:rFonts w:eastAsia="ArialNarrow"/>
                <w:snapToGrid w:val="0"/>
                <w:kern w:val="16"/>
                <w:sz w:val="20"/>
                <w:szCs w:val="24"/>
              </w:rPr>
              <w:t xml:space="preserve"> </w:t>
            </w:r>
            <w:r w:rsidRPr="00B365E5">
              <w:rPr>
                <w:rFonts w:eastAsia="ArialNarrow"/>
                <w:snapToGrid w:val="0"/>
                <w:kern w:val="16"/>
                <w:sz w:val="20"/>
                <w:szCs w:val="24"/>
              </w:rPr>
              <w:t>efficacy</w:t>
            </w:r>
            <w:r w:rsidR="000159A6">
              <w:rPr>
                <w:rFonts w:eastAsia="ArialNarrow"/>
                <w:snapToGrid w:val="0"/>
                <w:kern w:val="16"/>
                <w:sz w:val="20"/>
                <w:szCs w:val="24"/>
              </w:rPr>
              <w:t xml:space="preserve"> </w:t>
            </w:r>
            <w:r w:rsidRPr="00B365E5">
              <w:rPr>
                <w:rFonts w:eastAsia="ArialNarrow"/>
                <w:snapToGrid w:val="0"/>
                <w:kern w:val="16"/>
                <w:sz w:val="20"/>
                <w:szCs w:val="24"/>
              </w:rPr>
              <w:t>and</w:t>
            </w:r>
            <w:r w:rsidR="000159A6">
              <w:rPr>
                <w:rFonts w:eastAsia="ArialNarrow"/>
                <w:snapToGrid w:val="0"/>
                <w:kern w:val="16"/>
                <w:sz w:val="20"/>
                <w:szCs w:val="24"/>
              </w:rPr>
              <w:t xml:space="preserve"> </w:t>
            </w:r>
            <w:r w:rsidRPr="00B365E5">
              <w:rPr>
                <w:rFonts w:eastAsia="ArialNarrow"/>
                <w:snapToGrid w:val="0"/>
                <w:kern w:val="16"/>
                <w:sz w:val="20"/>
                <w:szCs w:val="24"/>
              </w:rPr>
              <w:t>assessment</w:t>
            </w:r>
            <w:r w:rsidR="000159A6">
              <w:rPr>
                <w:rFonts w:eastAsia="ArialNarrow"/>
                <w:snapToGrid w:val="0"/>
                <w:kern w:val="16"/>
                <w:sz w:val="20"/>
                <w:szCs w:val="24"/>
              </w:rPr>
              <w:t xml:space="preserve"> </w:t>
            </w:r>
            <w:r w:rsidRPr="00B365E5">
              <w:rPr>
                <w:rFonts w:eastAsia="ArialNarrow"/>
                <w:snapToGrid w:val="0"/>
                <w:kern w:val="16"/>
                <w:sz w:val="20"/>
                <w:szCs w:val="24"/>
              </w:rPr>
              <w:t>of</w:t>
            </w:r>
            <w:r w:rsidR="000159A6">
              <w:rPr>
                <w:rFonts w:eastAsia="ArialNarrow"/>
                <w:snapToGrid w:val="0"/>
                <w:kern w:val="16"/>
                <w:sz w:val="20"/>
                <w:szCs w:val="24"/>
              </w:rPr>
              <w:t xml:space="preserve"> </w:t>
            </w:r>
            <w:r w:rsidRPr="00B365E5">
              <w:rPr>
                <w:rFonts w:eastAsia="ArialNarrow"/>
                <w:snapToGrid w:val="0"/>
                <w:kern w:val="16"/>
                <w:sz w:val="20"/>
                <w:szCs w:val="24"/>
              </w:rPr>
              <w:t>the</w:t>
            </w:r>
            <w:r w:rsidR="000159A6">
              <w:rPr>
                <w:rFonts w:eastAsia="ArialNarrow"/>
                <w:snapToGrid w:val="0"/>
                <w:kern w:val="16"/>
                <w:sz w:val="20"/>
                <w:szCs w:val="24"/>
              </w:rPr>
              <w:t xml:space="preserve"> </w:t>
            </w:r>
            <w:r w:rsidRPr="00B365E5">
              <w:rPr>
                <w:rFonts w:eastAsia="ArialNarrow"/>
                <w:snapToGrid w:val="0"/>
                <w:kern w:val="16"/>
                <w:sz w:val="20"/>
                <w:szCs w:val="24"/>
              </w:rPr>
              <w:t>need</w:t>
            </w:r>
            <w:r w:rsidR="000159A6">
              <w:rPr>
                <w:rFonts w:eastAsia="ArialNarrow"/>
                <w:snapToGrid w:val="0"/>
                <w:kern w:val="16"/>
                <w:sz w:val="20"/>
                <w:szCs w:val="24"/>
              </w:rPr>
              <w:t xml:space="preserve"> </w:t>
            </w:r>
            <w:r w:rsidRPr="00B365E5">
              <w:rPr>
                <w:rFonts w:eastAsia="ArialNarrow"/>
                <w:snapToGrid w:val="0"/>
                <w:kern w:val="16"/>
                <w:sz w:val="20"/>
                <w:szCs w:val="24"/>
              </w:rPr>
              <w:t>for</w:t>
            </w:r>
            <w:r w:rsidR="000159A6">
              <w:rPr>
                <w:rFonts w:eastAsia="ArialNarrow"/>
                <w:snapToGrid w:val="0"/>
                <w:kern w:val="16"/>
                <w:sz w:val="20"/>
                <w:szCs w:val="24"/>
              </w:rPr>
              <w:t xml:space="preserve"> </w:t>
            </w:r>
            <w:r w:rsidRPr="00B365E5">
              <w:rPr>
                <w:rFonts w:eastAsia="ArialNarrow"/>
                <w:snapToGrid w:val="0"/>
                <w:kern w:val="16"/>
                <w:sz w:val="20"/>
                <w:szCs w:val="24"/>
              </w:rPr>
              <w:t>additional</w:t>
            </w:r>
            <w:r w:rsidR="000159A6">
              <w:rPr>
                <w:rFonts w:eastAsia="ArialNarrow"/>
                <w:snapToGrid w:val="0"/>
                <w:kern w:val="16"/>
                <w:sz w:val="20"/>
                <w:szCs w:val="24"/>
              </w:rPr>
              <w:t xml:space="preserve"> </w:t>
            </w:r>
            <w:r w:rsidRPr="00B365E5">
              <w:rPr>
                <w:rFonts w:eastAsia="ArialNarrow"/>
                <w:snapToGrid w:val="0"/>
                <w:kern w:val="16"/>
                <w:sz w:val="20"/>
                <w:szCs w:val="24"/>
              </w:rPr>
              <w:t>doses</w:t>
            </w:r>
            <w:r w:rsidR="000159A6">
              <w:rPr>
                <w:rFonts w:eastAsia="ArialNarrow"/>
                <w:snapToGrid w:val="0"/>
                <w:kern w:val="16"/>
                <w:sz w:val="20"/>
                <w:szCs w:val="24"/>
              </w:rPr>
              <w:t xml:space="preserve"> </w:t>
            </w:r>
            <w:r w:rsidRPr="00B365E5">
              <w:rPr>
                <w:rFonts w:eastAsia="ArialNarrow"/>
                <w:snapToGrid w:val="0"/>
                <w:kern w:val="16"/>
                <w:sz w:val="20"/>
                <w:szCs w:val="24"/>
              </w:rPr>
              <w:t>in</w:t>
            </w:r>
            <w:r w:rsidR="000159A6">
              <w:rPr>
                <w:rFonts w:eastAsia="ArialNarrow"/>
                <w:snapToGrid w:val="0"/>
                <w:kern w:val="16"/>
                <w:sz w:val="20"/>
                <w:szCs w:val="24"/>
              </w:rPr>
              <w:t xml:space="preserve"> </w:t>
            </w:r>
            <w:r w:rsidRPr="00B365E5">
              <w:rPr>
                <w:rFonts w:eastAsia="ArialNarrow"/>
                <w:snapToGrid w:val="0"/>
                <w:kern w:val="16"/>
                <w:sz w:val="20"/>
                <w:szCs w:val="24"/>
              </w:rPr>
              <w:t>adults</w:t>
            </w:r>
            <w:r w:rsidR="000159A6">
              <w:rPr>
                <w:rFonts w:eastAsia="ArialNarrow"/>
                <w:snapToGrid w:val="0"/>
                <w:kern w:val="16"/>
                <w:sz w:val="20"/>
                <w:szCs w:val="24"/>
              </w:rPr>
              <w:t xml:space="preserve"> </w:t>
            </w:r>
            <w:r w:rsidRPr="00B365E5">
              <w:rPr>
                <w:rFonts w:eastAsia="ArialNarrow"/>
                <w:snapToGrid w:val="0"/>
                <w:kern w:val="16"/>
                <w:sz w:val="20"/>
                <w:szCs w:val="24"/>
              </w:rPr>
              <w:t>50</w:t>
            </w:r>
            <w:r w:rsidR="000159A6">
              <w:rPr>
                <w:rFonts w:eastAsia="ArialNarrow"/>
                <w:snapToGrid w:val="0"/>
                <w:kern w:val="16"/>
                <w:sz w:val="20"/>
                <w:szCs w:val="24"/>
              </w:rPr>
              <w:t xml:space="preserve"> </w:t>
            </w:r>
            <w:r w:rsidRPr="00B365E5">
              <w:rPr>
                <w:rFonts w:eastAsia="ArialNarrow"/>
                <w:snapToGrid w:val="0"/>
                <w:kern w:val="16"/>
                <w:sz w:val="20"/>
                <w:szCs w:val="24"/>
              </w:rPr>
              <w:t>years</w:t>
            </w:r>
            <w:r w:rsidR="000159A6">
              <w:rPr>
                <w:rFonts w:eastAsia="ArialNarrow"/>
                <w:snapToGrid w:val="0"/>
                <w:kern w:val="16"/>
                <w:sz w:val="20"/>
                <w:szCs w:val="24"/>
              </w:rPr>
              <w:t xml:space="preserve"> </w:t>
            </w:r>
            <w:r w:rsidRPr="00B365E5">
              <w:rPr>
                <w:rFonts w:eastAsia="ArialNarrow"/>
                <w:snapToGrid w:val="0"/>
                <w:kern w:val="16"/>
                <w:sz w:val="20"/>
                <w:szCs w:val="24"/>
              </w:rPr>
              <w:t>of</w:t>
            </w:r>
            <w:r w:rsidR="000159A6">
              <w:rPr>
                <w:rFonts w:eastAsia="ArialNarrow"/>
                <w:snapToGrid w:val="0"/>
                <w:kern w:val="16"/>
                <w:sz w:val="20"/>
                <w:szCs w:val="24"/>
              </w:rPr>
              <w:t xml:space="preserve"> </w:t>
            </w:r>
            <w:r w:rsidRPr="00B365E5">
              <w:rPr>
                <w:rFonts w:eastAsia="ArialNarrow"/>
                <w:snapToGrid w:val="0"/>
                <w:kern w:val="16"/>
                <w:sz w:val="20"/>
                <w:szCs w:val="24"/>
              </w:rPr>
              <w:t>age</w:t>
            </w:r>
            <w:r w:rsidR="000159A6">
              <w:rPr>
                <w:rFonts w:eastAsia="ArialNarrow"/>
                <w:snapToGrid w:val="0"/>
                <w:kern w:val="16"/>
                <w:sz w:val="20"/>
                <w:szCs w:val="24"/>
              </w:rPr>
              <w:t xml:space="preserve"> </w:t>
            </w:r>
            <w:r w:rsidRPr="00B365E5">
              <w:rPr>
                <w:rFonts w:eastAsia="ArialNarrow"/>
                <w:snapToGrid w:val="0"/>
                <w:kern w:val="16"/>
                <w:sz w:val="20"/>
                <w:szCs w:val="24"/>
              </w:rPr>
              <w:t>and</w:t>
            </w:r>
            <w:r w:rsidR="000159A6">
              <w:rPr>
                <w:rFonts w:eastAsia="ArialNarrow"/>
                <w:snapToGrid w:val="0"/>
                <w:kern w:val="16"/>
                <w:sz w:val="20"/>
                <w:szCs w:val="24"/>
              </w:rPr>
              <w:t xml:space="preserve"> </w:t>
            </w:r>
            <w:r w:rsidRPr="00B365E5">
              <w:rPr>
                <w:rFonts w:eastAsia="ArialNarrow"/>
                <w:snapToGrid w:val="0"/>
                <w:kern w:val="16"/>
                <w:sz w:val="20"/>
                <w:szCs w:val="24"/>
              </w:rPr>
              <w:t>older.</w:t>
            </w:r>
          </w:p>
        </w:tc>
        <w:tc>
          <w:tcPr>
            <w:tcW w:w="0" w:type="auto"/>
          </w:tcPr>
          <w:p w14:paraId="7FE67FE6" w14:textId="77777777" w:rsidR="00D34A85" w:rsidRPr="00B365E5" w:rsidRDefault="00D34A85" w:rsidP="00D34A85">
            <w:pPr>
              <w:pStyle w:val="Tabletext"/>
              <w:ind w:left="0" w:right="0"/>
              <w:jc w:val="center"/>
            </w:pPr>
            <w:r w:rsidRPr="00B365E5">
              <w:sym w:font="Wingdings" w:char="F0FC"/>
            </w:r>
          </w:p>
        </w:tc>
        <w:tc>
          <w:tcPr>
            <w:tcW w:w="0" w:type="auto"/>
          </w:tcPr>
          <w:p w14:paraId="27213B77" w14:textId="77777777" w:rsidR="00D34A85" w:rsidRPr="00B365E5" w:rsidRDefault="00D34A85" w:rsidP="00D34A85">
            <w:pPr>
              <w:pStyle w:val="Tabletext"/>
              <w:ind w:left="0" w:right="0"/>
              <w:jc w:val="center"/>
            </w:pPr>
            <w:r w:rsidRPr="00B365E5">
              <w:sym w:font="Wingdings" w:char="F0FC"/>
            </w:r>
          </w:p>
        </w:tc>
        <w:tc>
          <w:tcPr>
            <w:tcW w:w="0" w:type="auto"/>
          </w:tcPr>
          <w:p w14:paraId="2871167E" w14:textId="77777777" w:rsidR="00D34A85" w:rsidRPr="00B365E5" w:rsidRDefault="00D34A85" w:rsidP="00D34A85">
            <w:pPr>
              <w:pStyle w:val="Tabletext"/>
              <w:ind w:left="0" w:right="0"/>
              <w:jc w:val="center"/>
            </w:pPr>
            <w:r w:rsidRPr="00B365E5">
              <w:t>–</w:t>
            </w:r>
          </w:p>
        </w:tc>
        <w:tc>
          <w:tcPr>
            <w:tcW w:w="0" w:type="auto"/>
          </w:tcPr>
          <w:p w14:paraId="5DC08DE7" w14:textId="77777777" w:rsidR="00D34A85" w:rsidRPr="00B365E5" w:rsidRDefault="00D34A85" w:rsidP="00D34A85">
            <w:pPr>
              <w:pStyle w:val="Tabletext"/>
              <w:ind w:left="0" w:right="0"/>
              <w:jc w:val="center"/>
            </w:pPr>
            <w:r w:rsidRPr="00B365E5">
              <w:t>–</w:t>
            </w:r>
          </w:p>
        </w:tc>
      </w:tr>
      <w:tr w:rsidR="00D34A85" w:rsidRPr="00B365E5" w14:paraId="24B38B7B" w14:textId="77777777" w:rsidTr="00E021B7">
        <w:trPr>
          <w:trHeight w:val="139"/>
        </w:trPr>
        <w:tc>
          <w:tcPr>
            <w:tcW w:w="0" w:type="auto"/>
            <w:vMerge/>
          </w:tcPr>
          <w:p w14:paraId="15AD2FA8" w14:textId="77777777" w:rsidR="00D34A85" w:rsidRPr="00B365E5" w:rsidRDefault="00D34A85" w:rsidP="00D34A85">
            <w:pPr>
              <w:pStyle w:val="Tabletext"/>
              <w:ind w:left="0" w:right="0"/>
            </w:pPr>
          </w:p>
        </w:tc>
        <w:tc>
          <w:tcPr>
            <w:tcW w:w="0" w:type="auto"/>
          </w:tcPr>
          <w:p w14:paraId="2480D271" w14:textId="3D170EE0" w:rsidR="00D34A85" w:rsidRPr="00B365E5" w:rsidRDefault="00D34A85" w:rsidP="00D34A85">
            <w:pPr>
              <w:autoSpaceDE w:val="0"/>
              <w:autoSpaceDN w:val="0"/>
              <w:adjustRightInd w:val="0"/>
              <w:ind w:left="0" w:right="0"/>
              <w:rPr>
                <w:rFonts w:eastAsia="ArialNarrow"/>
                <w:snapToGrid w:val="0"/>
                <w:kern w:val="16"/>
                <w:sz w:val="20"/>
                <w:szCs w:val="24"/>
              </w:rPr>
            </w:pPr>
            <w:r w:rsidRPr="00B365E5">
              <w:rPr>
                <w:rFonts w:eastAsia="ArialNarrow"/>
                <w:snapToGrid w:val="0"/>
                <w:kern w:val="16"/>
                <w:sz w:val="20"/>
                <w:szCs w:val="24"/>
              </w:rPr>
              <w:t>Long-term</w:t>
            </w:r>
            <w:r w:rsidR="000159A6">
              <w:rPr>
                <w:rFonts w:eastAsia="ArialNarrow"/>
                <w:snapToGrid w:val="0"/>
                <w:kern w:val="16"/>
                <w:sz w:val="20"/>
                <w:szCs w:val="24"/>
              </w:rPr>
              <w:t xml:space="preserve"> </w:t>
            </w:r>
            <w:r w:rsidRPr="00B365E5">
              <w:rPr>
                <w:rFonts w:eastAsia="ArialNarrow"/>
                <w:snapToGrid w:val="0"/>
                <w:kern w:val="16"/>
                <w:sz w:val="20"/>
                <w:szCs w:val="24"/>
              </w:rPr>
              <w:t>immunogenicity</w:t>
            </w:r>
            <w:r w:rsidR="000159A6">
              <w:rPr>
                <w:rFonts w:eastAsia="ArialNarrow"/>
                <w:snapToGrid w:val="0"/>
                <w:kern w:val="16"/>
                <w:sz w:val="20"/>
                <w:szCs w:val="24"/>
              </w:rPr>
              <w:t xml:space="preserve"> </w:t>
            </w:r>
            <w:r w:rsidRPr="00B365E5">
              <w:rPr>
                <w:rFonts w:eastAsia="ArialNarrow"/>
                <w:snapToGrid w:val="0"/>
                <w:kern w:val="16"/>
                <w:sz w:val="20"/>
                <w:szCs w:val="24"/>
              </w:rPr>
              <w:t>in</w:t>
            </w:r>
            <w:r w:rsidR="000159A6">
              <w:rPr>
                <w:rFonts w:eastAsia="ArialNarrow"/>
                <w:snapToGrid w:val="0"/>
                <w:kern w:val="16"/>
                <w:sz w:val="20"/>
                <w:szCs w:val="24"/>
              </w:rPr>
              <w:t xml:space="preserve"> </w:t>
            </w:r>
            <w:r w:rsidRPr="00B365E5">
              <w:rPr>
                <w:rFonts w:eastAsia="ArialNarrow"/>
                <w:snapToGrid w:val="0"/>
                <w:kern w:val="16"/>
                <w:sz w:val="20"/>
                <w:szCs w:val="24"/>
              </w:rPr>
              <w:t>adults</w:t>
            </w:r>
            <w:r w:rsidR="000159A6">
              <w:rPr>
                <w:rFonts w:eastAsia="ArialNarrow"/>
                <w:snapToGrid w:val="0"/>
                <w:kern w:val="16"/>
                <w:sz w:val="20"/>
                <w:szCs w:val="24"/>
              </w:rPr>
              <w:t xml:space="preserve"> </w:t>
            </w:r>
            <w:r w:rsidRPr="00B365E5">
              <w:rPr>
                <w:rFonts w:eastAsia="ArialNarrow"/>
                <w:snapToGrid w:val="0"/>
                <w:kern w:val="16"/>
                <w:sz w:val="20"/>
                <w:szCs w:val="24"/>
              </w:rPr>
              <w:t>50</w:t>
            </w:r>
            <w:r w:rsidR="000159A6">
              <w:rPr>
                <w:rFonts w:eastAsia="ArialNarrow"/>
                <w:snapToGrid w:val="0"/>
                <w:kern w:val="16"/>
                <w:sz w:val="20"/>
                <w:szCs w:val="24"/>
              </w:rPr>
              <w:t xml:space="preserve"> </w:t>
            </w:r>
            <w:r w:rsidRPr="00B365E5">
              <w:rPr>
                <w:rFonts w:eastAsia="ArialNarrow"/>
                <w:snapToGrid w:val="0"/>
                <w:kern w:val="16"/>
                <w:sz w:val="20"/>
                <w:szCs w:val="24"/>
              </w:rPr>
              <w:t>years</w:t>
            </w:r>
            <w:r w:rsidR="000159A6">
              <w:rPr>
                <w:rFonts w:eastAsia="ArialNarrow"/>
                <w:snapToGrid w:val="0"/>
                <w:kern w:val="16"/>
                <w:sz w:val="20"/>
                <w:szCs w:val="24"/>
              </w:rPr>
              <w:t xml:space="preserve"> </w:t>
            </w:r>
            <w:r w:rsidRPr="00B365E5">
              <w:rPr>
                <w:rFonts w:eastAsia="ArialNarrow"/>
                <w:snapToGrid w:val="0"/>
                <w:kern w:val="16"/>
                <w:sz w:val="20"/>
                <w:szCs w:val="24"/>
              </w:rPr>
              <w:t>of</w:t>
            </w:r>
            <w:r w:rsidR="000159A6">
              <w:rPr>
                <w:rFonts w:eastAsia="ArialNarrow"/>
                <w:snapToGrid w:val="0"/>
                <w:kern w:val="16"/>
                <w:sz w:val="20"/>
                <w:szCs w:val="24"/>
              </w:rPr>
              <w:t xml:space="preserve"> </w:t>
            </w:r>
            <w:r w:rsidRPr="00B365E5">
              <w:rPr>
                <w:rFonts w:eastAsia="ArialNarrow"/>
                <w:snapToGrid w:val="0"/>
                <w:kern w:val="16"/>
                <w:sz w:val="20"/>
                <w:szCs w:val="24"/>
              </w:rPr>
              <w:t>age</w:t>
            </w:r>
            <w:r w:rsidR="000159A6">
              <w:rPr>
                <w:rFonts w:eastAsia="ArialNarrow"/>
                <w:snapToGrid w:val="0"/>
                <w:kern w:val="16"/>
                <w:sz w:val="20"/>
                <w:szCs w:val="24"/>
              </w:rPr>
              <w:t xml:space="preserve"> </w:t>
            </w:r>
            <w:r w:rsidRPr="00B365E5">
              <w:rPr>
                <w:rFonts w:eastAsia="ArialNarrow"/>
                <w:snapToGrid w:val="0"/>
                <w:kern w:val="16"/>
                <w:sz w:val="20"/>
                <w:szCs w:val="24"/>
              </w:rPr>
              <w:t>and</w:t>
            </w:r>
            <w:r w:rsidR="000159A6">
              <w:rPr>
                <w:rFonts w:eastAsia="ArialNarrow"/>
                <w:snapToGrid w:val="0"/>
                <w:kern w:val="16"/>
                <w:sz w:val="20"/>
                <w:szCs w:val="24"/>
              </w:rPr>
              <w:t xml:space="preserve"> </w:t>
            </w:r>
            <w:r w:rsidRPr="00B365E5">
              <w:rPr>
                <w:rFonts w:eastAsia="ArialNarrow"/>
                <w:snapToGrid w:val="0"/>
                <w:kern w:val="16"/>
                <w:sz w:val="20"/>
                <w:szCs w:val="24"/>
              </w:rPr>
              <w:t>older.</w:t>
            </w:r>
          </w:p>
        </w:tc>
        <w:tc>
          <w:tcPr>
            <w:tcW w:w="0" w:type="auto"/>
          </w:tcPr>
          <w:p w14:paraId="45C24D4C" w14:textId="77777777" w:rsidR="00D34A85" w:rsidRPr="00B365E5" w:rsidRDefault="00D34A85" w:rsidP="00D34A85">
            <w:pPr>
              <w:pStyle w:val="Tabletext"/>
              <w:ind w:left="0" w:right="0"/>
              <w:jc w:val="center"/>
            </w:pPr>
            <w:r w:rsidRPr="00B365E5">
              <w:sym w:font="Wingdings" w:char="F0FC"/>
            </w:r>
          </w:p>
        </w:tc>
        <w:tc>
          <w:tcPr>
            <w:tcW w:w="0" w:type="auto"/>
          </w:tcPr>
          <w:p w14:paraId="75A15146" w14:textId="77777777" w:rsidR="00D34A85" w:rsidRPr="00B365E5" w:rsidRDefault="00D34A85" w:rsidP="00D34A85">
            <w:pPr>
              <w:pStyle w:val="Tabletext"/>
              <w:ind w:left="0" w:right="0"/>
              <w:jc w:val="center"/>
            </w:pPr>
            <w:r w:rsidRPr="00B365E5">
              <w:sym w:font="Wingdings" w:char="F0FC"/>
            </w:r>
          </w:p>
        </w:tc>
        <w:tc>
          <w:tcPr>
            <w:tcW w:w="0" w:type="auto"/>
          </w:tcPr>
          <w:p w14:paraId="72D959CF" w14:textId="77777777" w:rsidR="00D34A85" w:rsidRPr="00B365E5" w:rsidRDefault="00D34A85" w:rsidP="00D34A85">
            <w:pPr>
              <w:pStyle w:val="Tabletext"/>
              <w:ind w:left="0" w:right="0"/>
              <w:jc w:val="center"/>
            </w:pPr>
            <w:r w:rsidRPr="00B365E5">
              <w:t>–</w:t>
            </w:r>
          </w:p>
        </w:tc>
        <w:tc>
          <w:tcPr>
            <w:tcW w:w="0" w:type="auto"/>
          </w:tcPr>
          <w:p w14:paraId="1091BE86" w14:textId="77777777" w:rsidR="00D34A85" w:rsidRPr="00B365E5" w:rsidRDefault="00D34A85" w:rsidP="00D34A85">
            <w:pPr>
              <w:pStyle w:val="Tabletext"/>
              <w:ind w:left="0" w:right="0"/>
              <w:jc w:val="center"/>
            </w:pPr>
            <w:r w:rsidRPr="00B365E5">
              <w:t>–</w:t>
            </w:r>
          </w:p>
        </w:tc>
      </w:tr>
      <w:tr w:rsidR="00D34A85" w:rsidRPr="00B365E5" w14:paraId="0CF8A771" w14:textId="77777777" w:rsidTr="00E021B7">
        <w:trPr>
          <w:trHeight w:val="139"/>
        </w:trPr>
        <w:tc>
          <w:tcPr>
            <w:tcW w:w="0" w:type="auto"/>
            <w:vMerge/>
          </w:tcPr>
          <w:p w14:paraId="49BFF860" w14:textId="77777777" w:rsidR="00D34A85" w:rsidRPr="00B365E5" w:rsidRDefault="00D34A85" w:rsidP="00D34A85">
            <w:pPr>
              <w:pStyle w:val="Tabletext"/>
              <w:ind w:left="0" w:right="0"/>
            </w:pPr>
          </w:p>
        </w:tc>
        <w:tc>
          <w:tcPr>
            <w:tcW w:w="0" w:type="auto"/>
          </w:tcPr>
          <w:p w14:paraId="777E740C" w14:textId="084DFBC4" w:rsidR="00D34A85" w:rsidRPr="00D34A85" w:rsidRDefault="00D34A85" w:rsidP="00D34A85">
            <w:pPr>
              <w:autoSpaceDE w:val="0"/>
              <w:autoSpaceDN w:val="0"/>
              <w:adjustRightInd w:val="0"/>
              <w:ind w:left="0" w:right="0"/>
              <w:rPr>
                <w:rFonts w:eastAsia="ArialNarrow"/>
                <w:b/>
                <w:i/>
                <w:snapToGrid w:val="0"/>
                <w:kern w:val="16"/>
                <w:sz w:val="20"/>
                <w:szCs w:val="24"/>
              </w:rPr>
            </w:pPr>
            <w:r w:rsidRPr="00D34A85">
              <w:rPr>
                <w:rFonts w:eastAsia="ArialNarrow"/>
                <w:b/>
                <w:i/>
                <w:snapToGrid w:val="0"/>
                <w:kern w:val="16"/>
                <w:sz w:val="20"/>
                <w:szCs w:val="24"/>
              </w:rPr>
              <w:t>Use</w:t>
            </w:r>
            <w:r w:rsidR="000159A6">
              <w:rPr>
                <w:rFonts w:eastAsia="ArialNarrow"/>
                <w:b/>
                <w:i/>
                <w:snapToGrid w:val="0"/>
                <w:kern w:val="16"/>
                <w:sz w:val="20"/>
                <w:szCs w:val="24"/>
              </w:rPr>
              <w:t xml:space="preserve"> </w:t>
            </w:r>
            <w:r w:rsidRPr="00D34A85">
              <w:rPr>
                <w:rFonts w:eastAsia="ArialNarrow"/>
                <w:b/>
                <w:i/>
                <w:snapToGrid w:val="0"/>
                <w:kern w:val="16"/>
                <w:sz w:val="20"/>
                <w:szCs w:val="24"/>
              </w:rPr>
              <w:t>of</w:t>
            </w:r>
            <w:r w:rsidR="000159A6">
              <w:rPr>
                <w:rFonts w:eastAsia="ArialNarrow"/>
                <w:b/>
                <w:i/>
                <w:snapToGrid w:val="0"/>
                <w:kern w:val="16"/>
                <w:sz w:val="20"/>
                <w:szCs w:val="24"/>
              </w:rPr>
              <w:t xml:space="preserve"> </w:t>
            </w:r>
            <w:r w:rsidRPr="00D34A85">
              <w:rPr>
                <w:rFonts w:eastAsia="ArialNarrow"/>
                <w:b/>
                <w:i/>
                <w:snapToGrid w:val="0"/>
                <w:kern w:val="16"/>
                <w:sz w:val="20"/>
                <w:szCs w:val="24"/>
              </w:rPr>
              <w:t>vaccine</w:t>
            </w:r>
            <w:r w:rsidR="000159A6">
              <w:rPr>
                <w:rFonts w:eastAsia="ArialNarrow"/>
                <w:b/>
                <w:i/>
                <w:snapToGrid w:val="0"/>
                <w:kern w:val="16"/>
                <w:sz w:val="20"/>
                <w:szCs w:val="24"/>
              </w:rPr>
              <w:t xml:space="preserve"> </w:t>
            </w:r>
            <w:r w:rsidRPr="00D34A85">
              <w:rPr>
                <w:rFonts w:eastAsia="ArialNarrow"/>
                <w:b/>
                <w:i/>
                <w:snapToGrid w:val="0"/>
                <w:kern w:val="16"/>
                <w:sz w:val="20"/>
                <w:szCs w:val="24"/>
              </w:rPr>
              <w:t>in</w:t>
            </w:r>
            <w:r w:rsidR="000159A6">
              <w:rPr>
                <w:rFonts w:eastAsia="ArialNarrow"/>
                <w:b/>
                <w:i/>
                <w:snapToGrid w:val="0"/>
                <w:kern w:val="16"/>
                <w:sz w:val="20"/>
                <w:szCs w:val="24"/>
              </w:rPr>
              <w:t xml:space="preserve"> </w:t>
            </w:r>
            <w:r w:rsidRPr="00D34A85">
              <w:rPr>
                <w:rFonts w:eastAsia="ArialNarrow"/>
                <w:b/>
                <w:i/>
                <w:snapToGrid w:val="0"/>
                <w:kern w:val="16"/>
                <w:sz w:val="20"/>
                <w:szCs w:val="24"/>
              </w:rPr>
              <w:t>frail</w:t>
            </w:r>
            <w:r w:rsidR="000159A6">
              <w:rPr>
                <w:rFonts w:eastAsia="ArialNarrow"/>
                <w:b/>
                <w:i/>
                <w:snapToGrid w:val="0"/>
                <w:kern w:val="16"/>
                <w:sz w:val="20"/>
                <w:szCs w:val="24"/>
              </w:rPr>
              <w:t xml:space="preserve"> </w:t>
            </w:r>
            <w:r w:rsidRPr="00D34A85">
              <w:rPr>
                <w:rFonts w:eastAsia="ArialNarrow"/>
                <w:b/>
                <w:i/>
                <w:snapToGrid w:val="0"/>
                <w:kern w:val="16"/>
                <w:sz w:val="20"/>
                <w:szCs w:val="24"/>
              </w:rPr>
              <w:t>adults</w:t>
            </w:r>
            <w:r w:rsidR="000159A6">
              <w:rPr>
                <w:rFonts w:eastAsia="ArialNarrow"/>
                <w:b/>
                <w:i/>
                <w:snapToGrid w:val="0"/>
                <w:kern w:val="16"/>
                <w:sz w:val="20"/>
                <w:szCs w:val="24"/>
              </w:rPr>
              <w:t xml:space="preserve"> </w:t>
            </w:r>
            <w:r w:rsidRPr="00D34A85">
              <w:rPr>
                <w:rFonts w:eastAsia="ArialNarrow"/>
                <w:b/>
                <w:i/>
                <w:snapToGrid w:val="0"/>
                <w:kern w:val="16"/>
                <w:sz w:val="20"/>
                <w:szCs w:val="24"/>
              </w:rPr>
              <w:t>50</w:t>
            </w:r>
            <w:r w:rsidR="000159A6">
              <w:rPr>
                <w:rFonts w:eastAsia="ArialNarrow"/>
                <w:b/>
                <w:i/>
                <w:snapToGrid w:val="0"/>
                <w:kern w:val="16"/>
                <w:sz w:val="20"/>
                <w:szCs w:val="24"/>
              </w:rPr>
              <w:t xml:space="preserve"> </w:t>
            </w:r>
            <w:r w:rsidRPr="00D34A85">
              <w:rPr>
                <w:rFonts w:eastAsia="ArialNarrow"/>
                <w:b/>
                <w:i/>
                <w:snapToGrid w:val="0"/>
                <w:kern w:val="16"/>
                <w:sz w:val="20"/>
                <w:szCs w:val="24"/>
              </w:rPr>
              <w:t>years</w:t>
            </w:r>
            <w:r w:rsidR="000159A6">
              <w:rPr>
                <w:rFonts w:eastAsia="ArialNarrow"/>
                <w:b/>
                <w:i/>
                <w:snapToGrid w:val="0"/>
                <w:kern w:val="16"/>
                <w:sz w:val="20"/>
                <w:szCs w:val="24"/>
              </w:rPr>
              <w:t xml:space="preserve"> </w:t>
            </w:r>
            <w:r w:rsidRPr="00D34A85">
              <w:rPr>
                <w:rFonts w:eastAsia="ArialNarrow"/>
                <w:b/>
                <w:i/>
                <w:snapToGrid w:val="0"/>
                <w:kern w:val="16"/>
                <w:sz w:val="20"/>
                <w:szCs w:val="24"/>
              </w:rPr>
              <w:t>of</w:t>
            </w:r>
            <w:r w:rsidR="000159A6">
              <w:rPr>
                <w:rFonts w:eastAsia="ArialNarrow"/>
                <w:b/>
                <w:i/>
                <w:snapToGrid w:val="0"/>
                <w:kern w:val="16"/>
                <w:sz w:val="20"/>
                <w:szCs w:val="24"/>
              </w:rPr>
              <w:t xml:space="preserve"> </w:t>
            </w:r>
            <w:r w:rsidRPr="00D34A85">
              <w:rPr>
                <w:rFonts w:eastAsia="ArialNarrow"/>
                <w:b/>
                <w:i/>
                <w:snapToGrid w:val="0"/>
                <w:kern w:val="16"/>
                <w:sz w:val="20"/>
                <w:szCs w:val="24"/>
              </w:rPr>
              <w:t>age</w:t>
            </w:r>
            <w:r w:rsidR="000159A6">
              <w:rPr>
                <w:rFonts w:eastAsia="ArialNarrow"/>
                <w:b/>
                <w:i/>
                <w:snapToGrid w:val="0"/>
                <w:kern w:val="16"/>
                <w:sz w:val="20"/>
                <w:szCs w:val="24"/>
              </w:rPr>
              <w:t xml:space="preserve"> </w:t>
            </w:r>
            <w:r w:rsidRPr="00D34A85">
              <w:rPr>
                <w:rFonts w:eastAsia="ArialNarrow"/>
                <w:b/>
                <w:i/>
                <w:snapToGrid w:val="0"/>
                <w:kern w:val="16"/>
                <w:sz w:val="20"/>
                <w:szCs w:val="24"/>
              </w:rPr>
              <w:t>or</w:t>
            </w:r>
            <w:r w:rsidR="000159A6">
              <w:rPr>
                <w:rFonts w:eastAsia="ArialNarrow"/>
                <w:b/>
                <w:i/>
                <w:snapToGrid w:val="0"/>
                <w:kern w:val="16"/>
                <w:sz w:val="20"/>
                <w:szCs w:val="24"/>
              </w:rPr>
              <w:t xml:space="preserve"> </w:t>
            </w:r>
            <w:r w:rsidRPr="00D34A85">
              <w:rPr>
                <w:rFonts w:eastAsia="ArialNarrow"/>
                <w:b/>
                <w:i/>
                <w:snapToGrid w:val="0"/>
                <w:kern w:val="16"/>
                <w:sz w:val="20"/>
                <w:szCs w:val="24"/>
              </w:rPr>
              <w:t>older</w:t>
            </w:r>
          </w:p>
        </w:tc>
        <w:tc>
          <w:tcPr>
            <w:tcW w:w="0" w:type="auto"/>
          </w:tcPr>
          <w:p w14:paraId="416013FF"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25D8C481"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38A16035"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2FC976A9" w14:textId="77777777" w:rsidR="00D34A85" w:rsidRPr="00D34A85" w:rsidRDefault="00D34A85" w:rsidP="00D34A85">
            <w:pPr>
              <w:pStyle w:val="Tabletext"/>
              <w:ind w:left="0" w:right="0"/>
              <w:jc w:val="center"/>
              <w:rPr>
                <w:b/>
                <w:i/>
              </w:rPr>
            </w:pPr>
            <w:r w:rsidRPr="00D34A85">
              <w:rPr>
                <w:b/>
                <w:i/>
              </w:rPr>
              <w:t>–</w:t>
            </w:r>
          </w:p>
        </w:tc>
      </w:tr>
      <w:tr w:rsidR="00D34A85" w:rsidRPr="00B365E5" w14:paraId="54002697" w14:textId="77777777" w:rsidTr="00E021B7">
        <w:trPr>
          <w:trHeight w:val="139"/>
        </w:trPr>
        <w:tc>
          <w:tcPr>
            <w:tcW w:w="0" w:type="auto"/>
            <w:vMerge/>
          </w:tcPr>
          <w:p w14:paraId="1A87D3C6" w14:textId="77777777" w:rsidR="00D34A85" w:rsidRPr="00B365E5" w:rsidRDefault="00D34A85" w:rsidP="00D34A85">
            <w:pPr>
              <w:pStyle w:val="Tabletext"/>
              <w:ind w:left="0" w:right="0"/>
            </w:pPr>
          </w:p>
        </w:tc>
        <w:tc>
          <w:tcPr>
            <w:tcW w:w="0" w:type="auto"/>
          </w:tcPr>
          <w:p w14:paraId="64D35A62" w14:textId="59EA539F" w:rsidR="00D34A85" w:rsidRPr="00D34A85" w:rsidRDefault="00D34A85" w:rsidP="00D34A85">
            <w:pPr>
              <w:autoSpaceDE w:val="0"/>
              <w:autoSpaceDN w:val="0"/>
              <w:adjustRightInd w:val="0"/>
              <w:ind w:left="0" w:right="0"/>
              <w:rPr>
                <w:rFonts w:eastAsia="ArialNarrow"/>
                <w:b/>
                <w:i/>
                <w:snapToGrid w:val="0"/>
                <w:kern w:val="16"/>
                <w:sz w:val="20"/>
                <w:szCs w:val="24"/>
              </w:rPr>
            </w:pPr>
            <w:r w:rsidRPr="00D34A85">
              <w:rPr>
                <w:rFonts w:eastAsia="ArialNarrow"/>
                <w:b/>
                <w:i/>
                <w:snapToGrid w:val="0"/>
                <w:kern w:val="16"/>
                <w:sz w:val="20"/>
                <w:szCs w:val="24"/>
              </w:rPr>
              <w:t>Use</w:t>
            </w:r>
            <w:r w:rsidR="000159A6">
              <w:rPr>
                <w:rFonts w:eastAsia="ArialNarrow"/>
                <w:b/>
                <w:i/>
                <w:snapToGrid w:val="0"/>
                <w:kern w:val="16"/>
                <w:sz w:val="20"/>
                <w:szCs w:val="24"/>
              </w:rPr>
              <w:t xml:space="preserve"> </w:t>
            </w:r>
            <w:r w:rsidRPr="00D34A85">
              <w:rPr>
                <w:rFonts w:eastAsia="ArialNarrow"/>
                <w:b/>
                <w:i/>
                <w:snapToGrid w:val="0"/>
                <w:kern w:val="16"/>
                <w:sz w:val="20"/>
                <w:szCs w:val="24"/>
              </w:rPr>
              <w:t>of</w:t>
            </w:r>
            <w:r w:rsidR="000159A6">
              <w:rPr>
                <w:rFonts w:eastAsia="ArialNarrow"/>
                <w:b/>
                <w:i/>
                <w:snapToGrid w:val="0"/>
                <w:kern w:val="16"/>
                <w:sz w:val="20"/>
                <w:szCs w:val="24"/>
              </w:rPr>
              <w:t xml:space="preserve"> </w:t>
            </w:r>
            <w:r w:rsidRPr="00D34A85">
              <w:rPr>
                <w:rFonts w:eastAsia="ArialNarrow"/>
                <w:b/>
                <w:i/>
                <w:snapToGrid w:val="0"/>
                <w:kern w:val="16"/>
                <w:sz w:val="20"/>
                <w:szCs w:val="24"/>
              </w:rPr>
              <w:t>vaccine</w:t>
            </w:r>
            <w:r w:rsidR="000159A6">
              <w:rPr>
                <w:rFonts w:eastAsia="ArialNarrow"/>
                <w:b/>
                <w:i/>
                <w:snapToGrid w:val="0"/>
                <w:kern w:val="16"/>
                <w:sz w:val="20"/>
                <w:szCs w:val="24"/>
              </w:rPr>
              <w:t xml:space="preserve"> </w:t>
            </w:r>
            <w:r w:rsidRPr="00D34A85">
              <w:rPr>
                <w:rFonts w:eastAsia="ArialNarrow"/>
                <w:b/>
                <w:i/>
                <w:snapToGrid w:val="0"/>
                <w:kern w:val="16"/>
                <w:sz w:val="20"/>
                <w:szCs w:val="24"/>
              </w:rPr>
              <w:t>in</w:t>
            </w:r>
            <w:r w:rsidR="000159A6">
              <w:rPr>
                <w:rFonts w:eastAsia="ArialNarrow"/>
                <w:b/>
                <w:i/>
                <w:snapToGrid w:val="0"/>
                <w:kern w:val="16"/>
                <w:sz w:val="20"/>
                <w:szCs w:val="24"/>
              </w:rPr>
              <w:t xml:space="preserve"> </w:t>
            </w:r>
            <w:r w:rsidRPr="00D34A85">
              <w:rPr>
                <w:rFonts w:eastAsia="ArialNarrow"/>
                <w:b/>
                <w:i/>
                <w:snapToGrid w:val="0"/>
                <w:kern w:val="16"/>
                <w:sz w:val="20"/>
                <w:szCs w:val="24"/>
              </w:rPr>
              <w:t>immunocompromised</w:t>
            </w:r>
            <w:r w:rsidR="000159A6">
              <w:rPr>
                <w:rFonts w:eastAsia="ArialNarrow"/>
                <w:b/>
                <w:i/>
                <w:snapToGrid w:val="0"/>
                <w:kern w:val="16"/>
                <w:sz w:val="20"/>
                <w:szCs w:val="24"/>
              </w:rPr>
              <w:t xml:space="preserve"> </w:t>
            </w:r>
            <w:r w:rsidRPr="00D34A85">
              <w:rPr>
                <w:rFonts w:eastAsia="ArialNarrow"/>
                <w:b/>
                <w:i/>
                <w:snapToGrid w:val="0"/>
                <w:kern w:val="16"/>
                <w:sz w:val="20"/>
                <w:szCs w:val="24"/>
              </w:rPr>
              <w:t>adults</w:t>
            </w:r>
          </w:p>
        </w:tc>
        <w:tc>
          <w:tcPr>
            <w:tcW w:w="0" w:type="auto"/>
          </w:tcPr>
          <w:p w14:paraId="5DB3F811"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4BB62364"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0B3E2647" w14:textId="77777777" w:rsidR="00D34A85" w:rsidRPr="00D34A85" w:rsidRDefault="00D34A85" w:rsidP="00D34A85">
            <w:pPr>
              <w:pStyle w:val="Tabletext"/>
              <w:ind w:left="0" w:right="0"/>
              <w:jc w:val="center"/>
              <w:rPr>
                <w:b/>
                <w:i/>
              </w:rPr>
            </w:pPr>
            <w:r w:rsidRPr="00D34A85">
              <w:rPr>
                <w:b/>
                <w:i/>
              </w:rPr>
              <w:t>–</w:t>
            </w:r>
          </w:p>
        </w:tc>
        <w:tc>
          <w:tcPr>
            <w:tcW w:w="0" w:type="auto"/>
          </w:tcPr>
          <w:p w14:paraId="50B3D435" w14:textId="77777777" w:rsidR="00D34A85" w:rsidRPr="00D34A85" w:rsidRDefault="00D34A85" w:rsidP="00D34A85">
            <w:pPr>
              <w:pStyle w:val="Tabletext"/>
              <w:ind w:left="0" w:right="0"/>
              <w:jc w:val="center"/>
              <w:rPr>
                <w:b/>
                <w:i/>
              </w:rPr>
            </w:pPr>
            <w:r w:rsidRPr="00D34A85">
              <w:rPr>
                <w:b/>
                <w:i/>
              </w:rPr>
              <w:t>–</w:t>
            </w:r>
          </w:p>
        </w:tc>
      </w:tr>
      <w:tr w:rsidR="00D34A85" w:rsidRPr="00B365E5" w14:paraId="0E43C2CB" w14:textId="77777777" w:rsidTr="00E021B7">
        <w:trPr>
          <w:trHeight w:val="139"/>
        </w:trPr>
        <w:tc>
          <w:tcPr>
            <w:tcW w:w="0" w:type="auto"/>
            <w:vMerge/>
          </w:tcPr>
          <w:p w14:paraId="39C15866" w14:textId="77777777" w:rsidR="00D34A85" w:rsidRPr="00B365E5" w:rsidRDefault="00D34A85" w:rsidP="00D34A85">
            <w:pPr>
              <w:pStyle w:val="Tabletext"/>
              <w:ind w:left="0" w:right="0"/>
            </w:pPr>
          </w:p>
        </w:tc>
        <w:tc>
          <w:tcPr>
            <w:tcW w:w="0" w:type="auto"/>
          </w:tcPr>
          <w:p w14:paraId="27748BBE" w14:textId="5D2EE097" w:rsidR="00D34A85" w:rsidRPr="00D34A85" w:rsidRDefault="00D34A85" w:rsidP="00D34A85">
            <w:pPr>
              <w:autoSpaceDE w:val="0"/>
              <w:autoSpaceDN w:val="0"/>
              <w:adjustRightInd w:val="0"/>
              <w:ind w:left="0" w:right="0"/>
              <w:rPr>
                <w:rFonts w:eastAsia="ArialNarrow"/>
                <w:b/>
                <w:i/>
                <w:snapToGrid w:val="0"/>
                <w:kern w:val="16"/>
                <w:sz w:val="20"/>
                <w:szCs w:val="24"/>
              </w:rPr>
            </w:pPr>
            <w:r w:rsidRPr="00D34A85">
              <w:rPr>
                <w:rFonts w:eastAsia="ArialNarrow"/>
                <w:b/>
                <w:i/>
                <w:snapToGrid w:val="0"/>
                <w:kern w:val="16"/>
                <w:sz w:val="20"/>
                <w:szCs w:val="24"/>
              </w:rPr>
              <w:t>Use</w:t>
            </w:r>
            <w:r w:rsidR="000159A6">
              <w:rPr>
                <w:rFonts w:eastAsia="ArialNarrow"/>
                <w:b/>
                <w:i/>
                <w:snapToGrid w:val="0"/>
                <w:kern w:val="16"/>
                <w:sz w:val="20"/>
                <w:szCs w:val="24"/>
              </w:rPr>
              <w:t xml:space="preserve"> </w:t>
            </w:r>
            <w:r w:rsidRPr="00D34A85">
              <w:rPr>
                <w:rFonts w:eastAsia="ArialNarrow"/>
                <w:b/>
                <w:i/>
                <w:snapToGrid w:val="0"/>
                <w:kern w:val="16"/>
                <w:sz w:val="20"/>
                <w:szCs w:val="24"/>
              </w:rPr>
              <w:t>of</w:t>
            </w:r>
            <w:r w:rsidR="000159A6">
              <w:rPr>
                <w:rFonts w:eastAsia="ArialNarrow"/>
                <w:b/>
                <w:i/>
                <w:snapToGrid w:val="0"/>
                <w:kern w:val="16"/>
                <w:sz w:val="20"/>
                <w:szCs w:val="24"/>
              </w:rPr>
              <w:t xml:space="preserve"> </w:t>
            </w:r>
            <w:r w:rsidRPr="00D34A85">
              <w:rPr>
                <w:rFonts w:eastAsia="ArialNarrow"/>
                <w:b/>
                <w:i/>
                <w:snapToGrid w:val="0"/>
                <w:kern w:val="16"/>
                <w:sz w:val="20"/>
                <w:szCs w:val="24"/>
              </w:rPr>
              <w:t>vaccine</w:t>
            </w:r>
            <w:r w:rsidR="000159A6">
              <w:rPr>
                <w:rFonts w:eastAsia="ArialNarrow"/>
                <w:b/>
                <w:i/>
                <w:snapToGrid w:val="0"/>
                <w:kern w:val="16"/>
                <w:sz w:val="20"/>
                <w:szCs w:val="24"/>
              </w:rPr>
              <w:t xml:space="preserve"> </w:t>
            </w:r>
            <w:r w:rsidRPr="00D34A85">
              <w:rPr>
                <w:rFonts w:eastAsia="ArialNarrow"/>
                <w:b/>
                <w:i/>
                <w:snapToGrid w:val="0"/>
                <w:kern w:val="16"/>
                <w:sz w:val="20"/>
                <w:szCs w:val="24"/>
              </w:rPr>
              <w:t>in</w:t>
            </w:r>
            <w:r w:rsidR="000159A6">
              <w:rPr>
                <w:rFonts w:eastAsia="ArialNarrow"/>
                <w:b/>
                <w:i/>
                <w:snapToGrid w:val="0"/>
                <w:kern w:val="16"/>
                <w:sz w:val="20"/>
                <w:szCs w:val="24"/>
              </w:rPr>
              <w:t xml:space="preserve"> </w:t>
            </w:r>
            <w:r w:rsidRPr="00D34A85">
              <w:rPr>
                <w:rFonts w:eastAsia="ArialNarrow"/>
                <w:b/>
                <w:i/>
                <w:snapToGrid w:val="0"/>
                <w:kern w:val="16"/>
                <w:sz w:val="20"/>
                <w:szCs w:val="24"/>
              </w:rPr>
              <w:t>adults</w:t>
            </w:r>
            <w:r w:rsidR="000159A6">
              <w:rPr>
                <w:rFonts w:eastAsia="ArialNarrow"/>
                <w:b/>
                <w:i/>
                <w:snapToGrid w:val="0"/>
                <w:kern w:val="16"/>
                <w:sz w:val="20"/>
                <w:szCs w:val="24"/>
              </w:rPr>
              <w:t xml:space="preserve"> </w:t>
            </w:r>
            <w:r w:rsidRPr="00D34A85">
              <w:rPr>
                <w:rFonts w:eastAsia="ArialNarrow"/>
                <w:b/>
                <w:i/>
                <w:snapToGrid w:val="0"/>
                <w:kern w:val="16"/>
                <w:sz w:val="20"/>
                <w:szCs w:val="24"/>
              </w:rPr>
              <w:t>with</w:t>
            </w:r>
            <w:r w:rsidR="000159A6">
              <w:rPr>
                <w:rFonts w:eastAsia="ArialNarrow"/>
                <w:b/>
                <w:i/>
                <w:snapToGrid w:val="0"/>
                <w:kern w:val="16"/>
                <w:sz w:val="20"/>
                <w:szCs w:val="24"/>
              </w:rPr>
              <w:t xml:space="preserve"> </w:t>
            </w:r>
            <w:r w:rsidRPr="00D34A85">
              <w:rPr>
                <w:rFonts w:eastAsia="ArialNarrow"/>
                <w:b/>
                <w:i/>
                <w:snapToGrid w:val="0"/>
                <w:kern w:val="16"/>
                <w:sz w:val="20"/>
                <w:szCs w:val="24"/>
              </w:rPr>
              <w:t>pre-existing</w:t>
            </w:r>
            <w:r w:rsidR="000159A6">
              <w:rPr>
                <w:rFonts w:eastAsia="ArialNarrow"/>
                <w:b/>
                <w:i/>
                <w:snapToGrid w:val="0"/>
                <w:kern w:val="16"/>
                <w:sz w:val="20"/>
                <w:szCs w:val="24"/>
              </w:rPr>
              <w:t xml:space="preserve"> </w:t>
            </w:r>
            <w:proofErr w:type="spellStart"/>
            <w:r w:rsidRPr="00D34A85">
              <w:rPr>
                <w:rFonts w:eastAsia="ArialNarrow"/>
                <w:b/>
                <w:i/>
                <w:snapToGrid w:val="0"/>
                <w:kern w:val="16"/>
                <w:sz w:val="20"/>
                <w:szCs w:val="24"/>
              </w:rPr>
              <w:t>pIMD</w:t>
            </w:r>
            <w:proofErr w:type="spellEnd"/>
          </w:p>
        </w:tc>
        <w:tc>
          <w:tcPr>
            <w:tcW w:w="0" w:type="auto"/>
          </w:tcPr>
          <w:p w14:paraId="70EAF3CB"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37B7478B"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1C9EC656" w14:textId="77777777" w:rsidR="00D34A85" w:rsidRPr="00D34A85" w:rsidRDefault="00D34A85" w:rsidP="00D34A85">
            <w:pPr>
              <w:pStyle w:val="Tabletext"/>
              <w:ind w:left="0" w:right="0"/>
              <w:jc w:val="center"/>
              <w:rPr>
                <w:b/>
                <w:i/>
              </w:rPr>
            </w:pPr>
            <w:r w:rsidRPr="00D34A85">
              <w:rPr>
                <w:b/>
                <w:i/>
              </w:rPr>
              <w:t>–</w:t>
            </w:r>
          </w:p>
        </w:tc>
        <w:tc>
          <w:tcPr>
            <w:tcW w:w="0" w:type="auto"/>
          </w:tcPr>
          <w:p w14:paraId="38F118B4" w14:textId="77777777" w:rsidR="00D34A85" w:rsidRPr="00D34A85" w:rsidRDefault="00D34A85" w:rsidP="00D34A85">
            <w:pPr>
              <w:pStyle w:val="Tabletext"/>
              <w:ind w:left="0" w:right="0"/>
              <w:jc w:val="center"/>
              <w:rPr>
                <w:b/>
                <w:i/>
              </w:rPr>
            </w:pPr>
            <w:r w:rsidRPr="00D34A85">
              <w:rPr>
                <w:b/>
                <w:i/>
              </w:rPr>
              <w:t>–</w:t>
            </w:r>
          </w:p>
        </w:tc>
      </w:tr>
      <w:tr w:rsidR="00D34A85" w:rsidRPr="00B365E5" w14:paraId="71532D09" w14:textId="77777777" w:rsidTr="00E021B7">
        <w:trPr>
          <w:trHeight w:val="139"/>
        </w:trPr>
        <w:tc>
          <w:tcPr>
            <w:tcW w:w="0" w:type="auto"/>
            <w:vMerge/>
          </w:tcPr>
          <w:p w14:paraId="68C493A7" w14:textId="77777777" w:rsidR="00D34A85" w:rsidRPr="00B365E5" w:rsidRDefault="00D34A85" w:rsidP="00D34A85">
            <w:pPr>
              <w:pStyle w:val="Tabletext"/>
              <w:ind w:left="0" w:right="0"/>
            </w:pPr>
          </w:p>
        </w:tc>
        <w:tc>
          <w:tcPr>
            <w:tcW w:w="0" w:type="auto"/>
          </w:tcPr>
          <w:p w14:paraId="128B848C" w14:textId="4D91F65D" w:rsidR="00D34A85" w:rsidRPr="00D34A85" w:rsidRDefault="00D34A85" w:rsidP="00D34A85">
            <w:pPr>
              <w:autoSpaceDE w:val="0"/>
              <w:autoSpaceDN w:val="0"/>
              <w:adjustRightInd w:val="0"/>
              <w:ind w:left="0" w:right="0"/>
              <w:rPr>
                <w:rFonts w:eastAsia="ArialNarrow"/>
                <w:b/>
                <w:i/>
                <w:snapToGrid w:val="0"/>
                <w:kern w:val="16"/>
                <w:sz w:val="20"/>
                <w:szCs w:val="24"/>
              </w:rPr>
            </w:pPr>
            <w:r w:rsidRPr="00D34A85">
              <w:rPr>
                <w:rFonts w:eastAsia="ArialNarrow"/>
                <w:b/>
                <w:i/>
                <w:snapToGrid w:val="0"/>
                <w:kern w:val="16"/>
                <w:sz w:val="20"/>
                <w:szCs w:val="24"/>
              </w:rPr>
              <w:t>Use</w:t>
            </w:r>
            <w:r w:rsidR="000159A6">
              <w:rPr>
                <w:rFonts w:eastAsia="ArialNarrow"/>
                <w:b/>
                <w:i/>
                <w:snapToGrid w:val="0"/>
                <w:kern w:val="16"/>
                <w:sz w:val="20"/>
                <w:szCs w:val="24"/>
              </w:rPr>
              <w:t xml:space="preserve"> </w:t>
            </w:r>
            <w:r w:rsidRPr="00D34A85">
              <w:rPr>
                <w:rFonts w:eastAsia="ArialNarrow"/>
                <w:b/>
                <w:i/>
                <w:snapToGrid w:val="0"/>
                <w:kern w:val="16"/>
                <w:sz w:val="20"/>
                <w:szCs w:val="24"/>
              </w:rPr>
              <w:t>of</w:t>
            </w:r>
            <w:r w:rsidR="000159A6">
              <w:rPr>
                <w:rFonts w:eastAsia="ArialNarrow"/>
                <w:b/>
                <w:i/>
                <w:snapToGrid w:val="0"/>
                <w:kern w:val="16"/>
                <w:sz w:val="20"/>
                <w:szCs w:val="24"/>
              </w:rPr>
              <w:t xml:space="preserve"> </w:t>
            </w:r>
            <w:r w:rsidRPr="00D34A85">
              <w:rPr>
                <w:rFonts w:eastAsia="ArialNarrow"/>
                <w:b/>
                <w:i/>
                <w:snapToGrid w:val="0"/>
                <w:kern w:val="16"/>
                <w:sz w:val="20"/>
                <w:szCs w:val="24"/>
              </w:rPr>
              <w:t>vaccine</w:t>
            </w:r>
            <w:r w:rsidR="000159A6">
              <w:rPr>
                <w:rFonts w:eastAsia="ArialNarrow"/>
                <w:b/>
                <w:i/>
                <w:snapToGrid w:val="0"/>
                <w:kern w:val="16"/>
                <w:sz w:val="20"/>
                <w:szCs w:val="24"/>
              </w:rPr>
              <w:t xml:space="preserve"> </w:t>
            </w:r>
            <w:r w:rsidRPr="00D34A85">
              <w:rPr>
                <w:rFonts w:eastAsia="ArialNarrow"/>
                <w:b/>
                <w:i/>
                <w:snapToGrid w:val="0"/>
                <w:kern w:val="16"/>
                <w:sz w:val="20"/>
                <w:szCs w:val="24"/>
              </w:rPr>
              <w:t>in</w:t>
            </w:r>
            <w:r w:rsidR="000159A6">
              <w:rPr>
                <w:rFonts w:eastAsia="ArialNarrow"/>
                <w:b/>
                <w:i/>
                <w:snapToGrid w:val="0"/>
                <w:kern w:val="16"/>
                <w:sz w:val="20"/>
                <w:szCs w:val="24"/>
              </w:rPr>
              <w:t xml:space="preserve"> </w:t>
            </w:r>
            <w:r w:rsidRPr="00D34A85">
              <w:rPr>
                <w:rFonts w:eastAsia="ArialNarrow"/>
                <w:b/>
                <w:i/>
                <w:snapToGrid w:val="0"/>
                <w:kern w:val="16"/>
                <w:sz w:val="20"/>
                <w:szCs w:val="24"/>
              </w:rPr>
              <w:t>adults</w:t>
            </w:r>
            <w:r w:rsidR="000159A6">
              <w:rPr>
                <w:rFonts w:eastAsia="ArialNarrow"/>
                <w:b/>
                <w:i/>
                <w:snapToGrid w:val="0"/>
                <w:kern w:val="16"/>
                <w:sz w:val="20"/>
                <w:szCs w:val="24"/>
              </w:rPr>
              <w:t xml:space="preserve"> </w:t>
            </w:r>
            <w:r w:rsidRPr="00D34A85">
              <w:rPr>
                <w:rFonts w:eastAsia="ArialNarrow"/>
                <w:b/>
                <w:i/>
                <w:snapToGrid w:val="0"/>
                <w:kern w:val="16"/>
                <w:sz w:val="20"/>
                <w:szCs w:val="24"/>
              </w:rPr>
              <w:t>50</w:t>
            </w:r>
            <w:r w:rsidR="000159A6">
              <w:rPr>
                <w:rFonts w:eastAsia="ArialNarrow"/>
                <w:b/>
                <w:i/>
                <w:snapToGrid w:val="0"/>
                <w:kern w:val="16"/>
                <w:sz w:val="20"/>
                <w:szCs w:val="24"/>
              </w:rPr>
              <w:t xml:space="preserve"> </w:t>
            </w:r>
            <w:r w:rsidRPr="00D34A85">
              <w:rPr>
                <w:rFonts w:eastAsia="ArialNarrow"/>
                <w:b/>
                <w:i/>
                <w:snapToGrid w:val="0"/>
                <w:kern w:val="16"/>
                <w:sz w:val="20"/>
                <w:szCs w:val="24"/>
              </w:rPr>
              <w:t>years</w:t>
            </w:r>
            <w:r w:rsidR="000159A6">
              <w:rPr>
                <w:rFonts w:eastAsia="ArialNarrow"/>
                <w:b/>
                <w:i/>
                <w:snapToGrid w:val="0"/>
                <w:kern w:val="16"/>
                <w:sz w:val="20"/>
                <w:szCs w:val="24"/>
              </w:rPr>
              <w:t xml:space="preserve"> </w:t>
            </w:r>
            <w:r w:rsidRPr="00D34A85">
              <w:rPr>
                <w:rFonts w:eastAsia="ArialNarrow"/>
                <w:b/>
                <w:i/>
                <w:snapToGrid w:val="0"/>
                <w:kern w:val="16"/>
                <w:sz w:val="20"/>
                <w:szCs w:val="24"/>
              </w:rPr>
              <w:t>of</w:t>
            </w:r>
            <w:r w:rsidR="000159A6">
              <w:rPr>
                <w:rFonts w:eastAsia="ArialNarrow"/>
                <w:b/>
                <w:i/>
                <w:snapToGrid w:val="0"/>
                <w:kern w:val="16"/>
                <w:sz w:val="20"/>
                <w:szCs w:val="24"/>
              </w:rPr>
              <w:t xml:space="preserve"> </w:t>
            </w:r>
            <w:r w:rsidRPr="00D34A85">
              <w:rPr>
                <w:rFonts w:eastAsia="ArialNarrow"/>
                <w:b/>
                <w:i/>
                <w:snapToGrid w:val="0"/>
                <w:kern w:val="16"/>
                <w:sz w:val="20"/>
                <w:szCs w:val="24"/>
              </w:rPr>
              <w:t>age</w:t>
            </w:r>
            <w:r w:rsidR="000159A6">
              <w:rPr>
                <w:rFonts w:eastAsia="ArialNarrow"/>
                <w:b/>
                <w:i/>
                <w:snapToGrid w:val="0"/>
                <w:kern w:val="16"/>
                <w:sz w:val="20"/>
                <w:szCs w:val="24"/>
              </w:rPr>
              <w:t xml:space="preserve"> </w:t>
            </w:r>
            <w:r w:rsidRPr="00D34A85">
              <w:rPr>
                <w:rFonts w:eastAsia="ArialNarrow"/>
                <w:b/>
                <w:i/>
                <w:snapToGrid w:val="0"/>
                <w:kern w:val="16"/>
                <w:sz w:val="20"/>
                <w:szCs w:val="24"/>
              </w:rPr>
              <w:t>or</w:t>
            </w:r>
            <w:r w:rsidR="000159A6">
              <w:rPr>
                <w:rFonts w:eastAsia="ArialNarrow"/>
                <w:b/>
                <w:i/>
                <w:snapToGrid w:val="0"/>
                <w:kern w:val="16"/>
                <w:sz w:val="20"/>
                <w:szCs w:val="24"/>
              </w:rPr>
              <w:t xml:space="preserve"> </w:t>
            </w:r>
            <w:r w:rsidRPr="00D34A85">
              <w:rPr>
                <w:rFonts w:eastAsia="ArialNarrow"/>
                <w:b/>
                <w:i/>
                <w:snapToGrid w:val="0"/>
                <w:kern w:val="16"/>
                <w:sz w:val="20"/>
                <w:szCs w:val="24"/>
              </w:rPr>
              <w:t>older</w:t>
            </w:r>
            <w:r w:rsidR="000159A6">
              <w:rPr>
                <w:rFonts w:eastAsia="ArialNarrow"/>
                <w:b/>
                <w:i/>
                <w:snapToGrid w:val="0"/>
                <w:kern w:val="16"/>
                <w:sz w:val="20"/>
                <w:szCs w:val="24"/>
              </w:rPr>
              <w:t xml:space="preserve"> </w:t>
            </w:r>
            <w:r w:rsidRPr="00D34A85">
              <w:rPr>
                <w:rFonts w:eastAsia="ArialNarrow"/>
                <w:b/>
                <w:i/>
                <w:snapToGrid w:val="0"/>
                <w:kern w:val="16"/>
                <w:sz w:val="20"/>
                <w:szCs w:val="24"/>
              </w:rPr>
              <w:t>with</w:t>
            </w:r>
            <w:r w:rsidR="000159A6">
              <w:rPr>
                <w:rFonts w:eastAsia="ArialNarrow"/>
                <w:b/>
                <w:i/>
                <w:snapToGrid w:val="0"/>
                <w:kern w:val="16"/>
                <w:sz w:val="20"/>
                <w:szCs w:val="24"/>
              </w:rPr>
              <w:t xml:space="preserve"> </w:t>
            </w:r>
            <w:r w:rsidRPr="00D34A85">
              <w:rPr>
                <w:rFonts w:eastAsia="ArialNarrow"/>
                <w:b/>
                <w:i/>
                <w:snapToGrid w:val="0"/>
                <w:kern w:val="16"/>
                <w:sz w:val="20"/>
                <w:szCs w:val="24"/>
              </w:rPr>
              <w:t>a</w:t>
            </w:r>
            <w:r w:rsidR="000159A6">
              <w:rPr>
                <w:rFonts w:eastAsia="ArialNarrow"/>
                <w:b/>
                <w:i/>
                <w:snapToGrid w:val="0"/>
                <w:kern w:val="16"/>
                <w:sz w:val="20"/>
                <w:szCs w:val="24"/>
              </w:rPr>
              <w:t xml:space="preserve"> </w:t>
            </w:r>
            <w:r w:rsidRPr="00D34A85">
              <w:rPr>
                <w:rFonts w:eastAsia="ArialNarrow"/>
                <w:b/>
                <w:i/>
                <w:snapToGrid w:val="0"/>
                <w:kern w:val="16"/>
                <w:sz w:val="20"/>
                <w:szCs w:val="24"/>
              </w:rPr>
              <w:t>history</w:t>
            </w:r>
            <w:r w:rsidR="000159A6">
              <w:rPr>
                <w:rFonts w:eastAsia="ArialNarrow"/>
                <w:b/>
                <w:i/>
                <w:snapToGrid w:val="0"/>
                <w:kern w:val="16"/>
                <w:sz w:val="20"/>
                <w:szCs w:val="24"/>
              </w:rPr>
              <w:t xml:space="preserve"> </w:t>
            </w:r>
            <w:r w:rsidRPr="00D34A85">
              <w:rPr>
                <w:rFonts w:eastAsia="ArialNarrow"/>
                <w:b/>
                <w:i/>
                <w:snapToGrid w:val="0"/>
                <w:kern w:val="16"/>
                <w:sz w:val="20"/>
                <w:szCs w:val="24"/>
              </w:rPr>
              <w:t>of</w:t>
            </w:r>
            <w:r w:rsidR="000159A6">
              <w:rPr>
                <w:rFonts w:eastAsia="ArialNarrow"/>
                <w:b/>
                <w:i/>
                <w:snapToGrid w:val="0"/>
                <w:kern w:val="16"/>
                <w:sz w:val="20"/>
                <w:szCs w:val="24"/>
              </w:rPr>
              <w:t xml:space="preserve"> </w:t>
            </w:r>
            <w:r w:rsidRPr="00D34A85">
              <w:rPr>
                <w:rFonts w:eastAsia="ArialNarrow"/>
                <w:b/>
                <w:i/>
                <w:snapToGrid w:val="0"/>
                <w:kern w:val="16"/>
                <w:sz w:val="20"/>
                <w:szCs w:val="24"/>
              </w:rPr>
              <w:t>HZ</w:t>
            </w:r>
          </w:p>
        </w:tc>
        <w:tc>
          <w:tcPr>
            <w:tcW w:w="0" w:type="auto"/>
          </w:tcPr>
          <w:p w14:paraId="64EB8978"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4083019A"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022D1B0D"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4CE2DFDA" w14:textId="77777777" w:rsidR="00D34A85" w:rsidRPr="00D34A85" w:rsidRDefault="00D34A85" w:rsidP="00D34A85">
            <w:pPr>
              <w:pStyle w:val="Tabletext"/>
              <w:ind w:left="0" w:right="0"/>
              <w:jc w:val="center"/>
              <w:rPr>
                <w:b/>
                <w:i/>
              </w:rPr>
            </w:pPr>
            <w:r w:rsidRPr="00D34A85">
              <w:rPr>
                <w:b/>
                <w:i/>
              </w:rPr>
              <w:t>–</w:t>
            </w:r>
          </w:p>
        </w:tc>
      </w:tr>
      <w:tr w:rsidR="00D34A85" w:rsidRPr="00B365E5" w14:paraId="38638631" w14:textId="77777777" w:rsidTr="00E021B7">
        <w:trPr>
          <w:trHeight w:val="139"/>
        </w:trPr>
        <w:tc>
          <w:tcPr>
            <w:tcW w:w="0" w:type="auto"/>
            <w:vMerge/>
          </w:tcPr>
          <w:p w14:paraId="11812D8C" w14:textId="77777777" w:rsidR="00D34A85" w:rsidRPr="00B365E5" w:rsidRDefault="00D34A85" w:rsidP="00D34A85">
            <w:pPr>
              <w:pStyle w:val="Tabletext"/>
              <w:ind w:left="0" w:right="0"/>
            </w:pPr>
          </w:p>
        </w:tc>
        <w:tc>
          <w:tcPr>
            <w:tcW w:w="0" w:type="auto"/>
          </w:tcPr>
          <w:p w14:paraId="7DE2E6DE" w14:textId="5EDDA380" w:rsidR="00D34A85" w:rsidRPr="00D34A85" w:rsidRDefault="00D34A85" w:rsidP="00D34A85">
            <w:pPr>
              <w:autoSpaceDE w:val="0"/>
              <w:autoSpaceDN w:val="0"/>
              <w:adjustRightInd w:val="0"/>
              <w:ind w:left="0" w:right="0"/>
              <w:rPr>
                <w:rFonts w:eastAsia="ArialNarrow"/>
                <w:b/>
                <w:i/>
                <w:snapToGrid w:val="0"/>
                <w:kern w:val="16"/>
                <w:sz w:val="20"/>
                <w:szCs w:val="24"/>
              </w:rPr>
            </w:pPr>
            <w:r w:rsidRPr="00D34A85">
              <w:rPr>
                <w:rFonts w:eastAsia="ArialNarrow"/>
                <w:b/>
                <w:i/>
                <w:snapToGrid w:val="0"/>
                <w:kern w:val="16"/>
                <w:sz w:val="20"/>
                <w:szCs w:val="24"/>
              </w:rPr>
              <w:t>Effectiveness</w:t>
            </w:r>
            <w:r w:rsidR="000159A6">
              <w:rPr>
                <w:rFonts w:eastAsia="ArialNarrow"/>
                <w:b/>
                <w:i/>
                <w:snapToGrid w:val="0"/>
                <w:kern w:val="16"/>
                <w:sz w:val="20"/>
                <w:szCs w:val="24"/>
              </w:rPr>
              <w:t xml:space="preserve"> </w:t>
            </w:r>
            <w:r w:rsidRPr="00D34A85">
              <w:rPr>
                <w:rFonts w:eastAsia="ArialNarrow"/>
                <w:b/>
                <w:i/>
                <w:snapToGrid w:val="0"/>
                <w:kern w:val="16"/>
                <w:sz w:val="20"/>
                <w:szCs w:val="24"/>
              </w:rPr>
              <w:t>of</w:t>
            </w:r>
            <w:r w:rsidR="000159A6">
              <w:rPr>
                <w:rFonts w:eastAsia="ArialNarrow"/>
                <w:b/>
                <w:i/>
                <w:snapToGrid w:val="0"/>
                <w:kern w:val="16"/>
                <w:sz w:val="20"/>
                <w:szCs w:val="24"/>
              </w:rPr>
              <w:t xml:space="preserve"> </w:t>
            </w:r>
            <w:r w:rsidRPr="00D34A85">
              <w:rPr>
                <w:rFonts w:eastAsia="ArialNarrow"/>
                <w:b/>
                <w:i/>
                <w:snapToGrid w:val="0"/>
                <w:kern w:val="16"/>
                <w:sz w:val="20"/>
                <w:szCs w:val="24"/>
              </w:rPr>
              <w:t>vaccine</w:t>
            </w:r>
            <w:r w:rsidR="000159A6">
              <w:rPr>
                <w:rFonts w:eastAsia="ArialNarrow"/>
                <w:b/>
                <w:i/>
                <w:snapToGrid w:val="0"/>
                <w:kern w:val="16"/>
                <w:sz w:val="20"/>
                <w:szCs w:val="24"/>
              </w:rPr>
              <w:t xml:space="preserve"> </w:t>
            </w:r>
            <w:r w:rsidRPr="00D34A85">
              <w:rPr>
                <w:rFonts w:eastAsia="ArialNarrow"/>
                <w:b/>
                <w:i/>
                <w:snapToGrid w:val="0"/>
                <w:kern w:val="16"/>
                <w:sz w:val="20"/>
                <w:szCs w:val="24"/>
              </w:rPr>
              <w:t>in</w:t>
            </w:r>
            <w:r w:rsidR="000159A6">
              <w:rPr>
                <w:rFonts w:eastAsia="ArialNarrow"/>
                <w:b/>
                <w:i/>
                <w:snapToGrid w:val="0"/>
                <w:kern w:val="16"/>
                <w:sz w:val="20"/>
                <w:szCs w:val="24"/>
              </w:rPr>
              <w:t xml:space="preserve"> </w:t>
            </w:r>
            <w:r w:rsidRPr="00D34A85">
              <w:rPr>
                <w:rFonts w:eastAsia="ArialNarrow"/>
                <w:b/>
                <w:i/>
                <w:snapToGrid w:val="0"/>
                <w:kern w:val="16"/>
                <w:sz w:val="20"/>
                <w:szCs w:val="24"/>
              </w:rPr>
              <w:t>preventing</w:t>
            </w:r>
            <w:r w:rsidR="000159A6">
              <w:rPr>
                <w:rFonts w:eastAsia="ArialNarrow"/>
                <w:b/>
                <w:i/>
                <w:snapToGrid w:val="0"/>
                <w:kern w:val="16"/>
                <w:sz w:val="20"/>
                <w:szCs w:val="24"/>
              </w:rPr>
              <w:t xml:space="preserve"> </w:t>
            </w:r>
            <w:r w:rsidRPr="00D34A85">
              <w:rPr>
                <w:rFonts w:eastAsia="ArialNarrow"/>
                <w:b/>
                <w:i/>
                <w:snapToGrid w:val="0"/>
                <w:kern w:val="16"/>
                <w:sz w:val="20"/>
                <w:szCs w:val="24"/>
              </w:rPr>
              <w:t>HZ,</w:t>
            </w:r>
            <w:r w:rsidR="000159A6">
              <w:rPr>
                <w:rFonts w:eastAsia="ArialNarrow"/>
                <w:b/>
                <w:i/>
                <w:snapToGrid w:val="0"/>
                <w:kern w:val="16"/>
                <w:sz w:val="20"/>
                <w:szCs w:val="24"/>
              </w:rPr>
              <w:t xml:space="preserve"> </w:t>
            </w:r>
            <w:r w:rsidRPr="00D34A85">
              <w:rPr>
                <w:rFonts w:eastAsia="ArialNarrow"/>
                <w:b/>
                <w:i/>
                <w:snapToGrid w:val="0"/>
                <w:kern w:val="16"/>
                <w:sz w:val="20"/>
                <w:szCs w:val="24"/>
              </w:rPr>
              <w:t>PHN</w:t>
            </w:r>
            <w:r w:rsidR="000159A6">
              <w:rPr>
                <w:rFonts w:eastAsia="ArialNarrow"/>
                <w:b/>
                <w:i/>
                <w:snapToGrid w:val="0"/>
                <w:kern w:val="16"/>
                <w:sz w:val="20"/>
                <w:szCs w:val="24"/>
              </w:rPr>
              <w:t xml:space="preserve"> </w:t>
            </w:r>
            <w:r w:rsidRPr="00D34A85">
              <w:rPr>
                <w:rFonts w:eastAsia="ArialNarrow"/>
                <w:b/>
                <w:i/>
                <w:snapToGrid w:val="0"/>
                <w:kern w:val="16"/>
                <w:sz w:val="20"/>
                <w:szCs w:val="24"/>
              </w:rPr>
              <w:t>and</w:t>
            </w:r>
            <w:r w:rsidR="000159A6">
              <w:rPr>
                <w:rFonts w:eastAsia="ArialNarrow"/>
                <w:b/>
                <w:i/>
                <w:snapToGrid w:val="0"/>
                <w:kern w:val="16"/>
                <w:sz w:val="20"/>
                <w:szCs w:val="24"/>
              </w:rPr>
              <w:t xml:space="preserve"> </w:t>
            </w:r>
            <w:r w:rsidR="000D0435">
              <w:rPr>
                <w:rFonts w:eastAsia="ArialNarrow"/>
                <w:b/>
                <w:i/>
                <w:snapToGrid w:val="0"/>
                <w:kern w:val="16"/>
                <w:sz w:val="20"/>
                <w:szCs w:val="24"/>
              </w:rPr>
              <w:t>HZ</w:t>
            </w:r>
            <w:r w:rsidR="000159A6">
              <w:rPr>
                <w:rFonts w:eastAsia="ArialNarrow"/>
                <w:b/>
                <w:i/>
                <w:snapToGrid w:val="0"/>
                <w:kern w:val="16"/>
                <w:sz w:val="20"/>
                <w:szCs w:val="24"/>
              </w:rPr>
              <w:t xml:space="preserve"> </w:t>
            </w:r>
            <w:r w:rsidR="000D0435">
              <w:rPr>
                <w:rFonts w:eastAsia="ArialNarrow"/>
                <w:b/>
                <w:i/>
                <w:snapToGrid w:val="0"/>
                <w:kern w:val="16"/>
                <w:sz w:val="20"/>
                <w:szCs w:val="24"/>
              </w:rPr>
              <w:t>related</w:t>
            </w:r>
            <w:r w:rsidR="000159A6">
              <w:rPr>
                <w:rFonts w:eastAsia="ArialNarrow"/>
                <w:b/>
                <w:i/>
                <w:snapToGrid w:val="0"/>
                <w:kern w:val="16"/>
                <w:sz w:val="20"/>
                <w:szCs w:val="24"/>
              </w:rPr>
              <w:t xml:space="preserve"> </w:t>
            </w:r>
            <w:r w:rsidRPr="00D34A85">
              <w:rPr>
                <w:rFonts w:eastAsia="ArialNarrow"/>
                <w:b/>
                <w:i/>
                <w:snapToGrid w:val="0"/>
                <w:kern w:val="16"/>
                <w:sz w:val="20"/>
                <w:szCs w:val="24"/>
              </w:rPr>
              <w:t>complications</w:t>
            </w:r>
          </w:p>
        </w:tc>
        <w:tc>
          <w:tcPr>
            <w:tcW w:w="0" w:type="auto"/>
          </w:tcPr>
          <w:p w14:paraId="08D5AD6F"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29803B90" w14:textId="77777777" w:rsidR="00D34A85" w:rsidRPr="00D34A85" w:rsidRDefault="00D34A85" w:rsidP="00D34A85">
            <w:pPr>
              <w:pStyle w:val="Tabletext"/>
              <w:ind w:left="0" w:right="0"/>
              <w:jc w:val="center"/>
              <w:rPr>
                <w:b/>
                <w:i/>
              </w:rPr>
            </w:pPr>
            <w:r w:rsidRPr="00D34A85">
              <w:rPr>
                <w:b/>
                <w:i/>
              </w:rPr>
              <w:sym w:font="Wingdings" w:char="F0FC"/>
            </w:r>
          </w:p>
        </w:tc>
        <w:tc>
          <w:tcPr>
            <w:tcW w:w="0" w:type="auto"/>
          </w:tcPr>
          <w:p w14:paraId="6295DDA7" w14:textId="77777777" w:rsidR="00D34A85" w:rsidRPr="00D34A85" w:rsidRDefault="00D34A85" w:rsidP="00D34A85">
            <w:pPr>
              <w:pStyle w:val="Tabletext"/>
              <w:ind w:left="0" w:right="0"/>
              <w:jc w:val="center"/>
              <w:rPr>
                <w:b/>
                <w:i/>
              </w:rPr>
            </w:pPr>
            <w:r w:rsidRPr="00D34A85">
              <w:rPr>
                <w:b/>
                <w:i/>
              </w:rPr>
              <w:t>–</w:t>
            </w:r>
          </w:p>
        </w:tc>
        <w:tc>
          <w:tcPr>
            <w:tcW w:w="0" w:type="auto"/>
          </w:tcPr>
          <w:p w14:paraId="617447F6" w14:textId="77777777" w:rsidR="00D34A85" w:rsidRPr="00D34A85" w:rsidRDefault="00D34A85" w:rsidP="00D34A85">
            <w:pPr>
              <w:pStyle w:val="Tabletext"/>
              <w:ind w:left="0" w:right="0"/>
              <w:jc w:val="center"/>
              <w:rPr>
                <w:b/>
                <w:i/>
              </w:rPr>
            </w:pPr>
            <w:r w:rsidRPr="00D34A85">
              <w:rPr>
                <w:b/>
                <w:i/>
              </w:rPr>
              <w:t>–</w:t>
            </w:r>
          </w:p>
        </w:tc>
      </w:tr>
    </w:tbl>
    <w:p w14:paraId="70BE961E" w14:textId="3875E2FB" w:rsidR="00D34A85" w:rsidRPr="00D34A85" w:rsidRDefault="00D34A85" w:rsidP="00D34A85">
      <w:pPr>
        <w:pStyle w:val="ListBullet"/>
      </w:pPr>
      <w:r w:rsidRPr="00D34A85">
        <w:t>Additional</w:t>
      </w:r>
      <w:r w:rsidR="000159A6">
        <w:t xml:space="preserve"> </w:t>
      </w:r>
      <w:r w:rsidRPr="00D34A85">
        <w:t>pharmacovigilance</w:t>
      </w:r>
      <w:r w:rsidR="000159A6">
        <w:t xml:space="preserve"> </w:t>
      </w:r>
      <w:r w:rsidRPr="00D34A85">
        <w:t>is</w:t>
      </w:r>
      <w:r w:rsidR="000159A6">
        <w:t xml:space="preserve"> </w:t>
      </w:r>
      <w:r w:rsidRPr="00D34A85">
        <w:t>underway,</w:t>
      </w:r>
      <w:r w:rsidR="000159A6">
        <w:t xml:space="preserve"> </w:t>
      </w:r>
      <w:r w:rsidRPr="00D34A85">
        <w:t>in</w:t>
      </w:r>
      <w:r w:rsidR="000159A6">
        <w:t xml:space="preserve"> </w:t>
      </w:r>
      <w:r w:rsidRPr="00D34A85">
        <w:t>the</w:t>
      </w:r>
      <w:r w:rsidR="000159A6">
        <w:t xml:space="preserve"> </w:t>
      </w:r>
      <w:r w:rsidRPr="00D34A85">
        <w:t>form</w:t>
      </w:r>
      <w:r w:rsidR="000159A6">
        <w:t xml:space="preserve"> </w:t>
      </w:r>
      <w:r w:rsidRPr="00D34A85">
        <w:t>of</w:t>
      </w:r>
      <w:r w:rsidR="000159A6">
        <w:t xml:space="preserve"> </w:t>
      </w:r>
      <w:r w:rsidRPr="00D34A85">
        <w:t>enhanced</w:t>
      </w:r>
      <w:r w:rsidR="000159A6">
        <w:t xml:space="preserve"> </w:t>
      </w:r>
      <w:r w:rsidRPr="00D34A85">
        <w:t>surveillance,</w:t>
      </w:r>
      <w:r w:rsidR="000159A6">
        <w:t xml:space="preserve"> </w:t>
      </w:r>
      <w:r w:rsidRPr="00D34A85">
        <w:t>long</w:t>
      </w:r>
      <w:r w:rsidR="000159A6">
        <w:t xml:space="preserve"> </w:t>
      </w:r>
      <w:r w:rsidRPr="00D34A85">
        <w:t>term</w:t>
      </w:r>
      <w:r w:rsidR="000159A6">
        <w:t xml:space="preserve"> </w:t>
      </w:r>
      <w:r w:rsidRPr="00D34A85">
        <w:t>extensions</w:t>
      </w:r>
      <w:r w:rsidR="000159A6">
        <w:t xml:space="preserve"> </w:t>
      </w:r>
      <w:r w:rsidRPr="00D34A85">
        <w:t>(to</w:t>
      </w:r>
      <w:r w:rsidR="000159A6">
        <w:t xml:space="preserve"> </w:t>
      </w:r>
      <w:r w:rsidRPr="00D34A85">
        <w:t>10</w:t>
      </w:r>
      <w:r w:rsidR="000159A6">
        <w:t xml:space="preserve"> </w:t>
      </w:r>
      <w:r w:rsidRPr="00D34A85">
        <w:t>years)</w:t>
      </w:r>
      <w:r w:rsidR="000159A6">
        <w:t xml:space="preserve"> </w:t>
      </w:r>
      <w:r w:rsidRPr="00D34A85">
        <w:t>and</w:t>
      </w:r>
      <w:r w:rsidR="000159A6">
        <w:t xml:space="preserve"> </w:t>
      </w:r>
      <w:r w:rsidRPr="00D34A85">
        <w:t>retrospective</w:t>
      </w:r>
      <w:r w:rsidR="000159A6">
        <w:t xml:space="preserve"> </w:t>
      </w:r>
      <w:r w:rsidRPr="00D34A85">
        <w:t>analysis</w:t>
      </w:r>
      <w:r w:rsidR="000159A6">
        <w:t xml:space="preserve"> </w:t>
      </w:r>
      <w:r w:rsidRPr="00D34A85">
        <w:t>of</w:t>
      </w:r>
      <w:r w:rsidR="000159A6">
        <w:t xml:space="preserve"> </w:t>
      </w:r>
      <w:r w:rsidRPr="00D34A85">
        <w:t>earlier</w:t>
      </w:r>
      <w:r w:rsidR="000159A6">
        <w:t xml:space="preserve"> </w:t>
      </w:r>
      <w:r w:rsidRPr="00D34A85">
        <w:t>clinical</w:t>
      </w:r>
      <w:r w:rsidR="000159A6">
        <w:t xml:space="preserve"> </w:t>
      </w:r>
      <w:r w:rsidRPr="00D34A85">
        <w:t>trials,</w:t>
      </w:r>
      <w:r w:rsidR="000159A6">
        <w:t xml:space="preserve"> </w:t>
      </w:r>
      <w:r w:rsidRPr="00D34A85">
        <w:t>and</w:t>
      </w:r>
      <w:r w:rsidR="000159A6">
        <w:t xml:space="preserve"> </w:t>
      </w:r>
      <w:r w:rsidRPr="00D34A85">
        <w:t>nine</w:t>
      </w:r>
      <w:r w:rsidR="000159A6">
        <w:t xml:space="preserve"> </w:t>
      </w:r>
      <w:r w:rsidRPr="00D34A85">
        <w:t>new</w:t>
      </w:r>
      <w:r w:rsidR="000159A6">
        <w:t xml:space="preserve"> </w:t>
      </w:r>
      <w:r w:rsidRPr="00D34A85">
        <w:t>studies.</w:t>
      </w:r>
      <w:r w:rsidR="000159A6">
        <w:t xml:space="preserve"> </w:t>
      </w:r>
      <w:r w:rsidRPr="00D34A85">
        <w:t>The</w:t>
      </w:r>
      <w:r w:rsidR="000159A6">
        <w:t xml:space="preserve"> </w:t>
      </w:r>
      <w:r w:rsidRPr="00D34A85">
        <w:t>studi</w:t>
      </w:r>
      <w:r w:rsidRPr="00440509">
        <w:t>e</w:t>
      </w:r>
      <w:r w:rsidRPr="00D34A85">
        <w:t>s</w:t>
      </w:r>
      <w:r w:rsidR="000159A6">
        <w:t xml:space="preserve"> </w:t>
      </w:r>
      <w:r w:rsidRPr="00D34A85">
        <w:t>in</w:t>
      </w:r>
      <w:r w:rsidR="000159A6">
        <w:t xml:space="preserve"> </w:t>
      </w:r>
      <w:r w:rsidRPr="00D34A85">
        <w:t>immunocompromised</w:t>
      </w:r>
      <w:r w:rsidR="000159A6">
        <w:t xml:space="preserve"> </w:t>
      </w:r>
      <w:r w:rsidRPr="00D34A85">
        <w:t>adults</w:t>
      </w:r>
      <w:r w:rsidR="000159A6">
        <w:t xml:space="preserve"> </w:t>
      </w:r>
      <w:r w:rsidRPr="00D34A85">
        <w:t>involve</w:t>
      </w:r>
      <w:r w:rsidR="000159A6">
        <w:t xml:space="preserve"> </w:t>
      </w:r>
      <w:r w:rsidRPr="00D34A85">
        <w:t>haematopoietic</w:t>
      </w:r>
      <w:r w:rsidR="000159A6">
        <w:t xml:space="preserve"> </w:t>
      </w:r>
      <w:r w:rsidRPr="00D34A85">
        <w:t>cell</w:t>
      </w:r>
      <w:r w:rsidR="000159A6">
        <w:t xml:space="preserve"> </w:t>
      </w:r>
      <w:r w:rsidRPr="00D34A85">
        <w:t>transplant</w:t>
      </w:r>
      <w:r w:rsidR="000159A6">
        <w:t xml:space="preserve"> </w:t>
      </w:r>
      <w:r w:rsidRPr="00D34A85">
        <w:t>recipients,</w:t>
      </w:r>
      <w:r w:rsidR="000159A6">
        <w:t xml:space="preserve"> </w:t>
      </w:r>
      <w:r w:rsidRPr="00D34A85">
        <w:t>and</w:t>
      </w:r>
      <w:r w:rsidR="000159A6">
        <w:t xml:space="preserve"> </w:t>
      </w:r>
      <w:r w:rsidRPr="00D34A85">
        <w:t>patients</w:t>
      </w:r>
      <w:r w:rsidR="000159A6">
        <w:t xml:space="preserve"> </w:t>
      </w:r>
      <w:r w:rsidRPr="00D34A85">
        <w:t>with</w:t>
      </w:r>
      <w:r w:rsidR="000159A6">
        <w:t xml:space="preserve"> </w:t>
      </w:r>
      <w:r w:rsidRPr="00D34A85">
        <w:t>a</w:t>
      </w:r>
      <w:r w:rsidR="000159A6">
        <w:t xml:space="preserve"> </w:t>
      </w:r>
      <w:r w:rsidRPr="00D34A85">
        <w:t>haematological</w:t>
      </w:r>
      <w:r w:rsidR="000159A6">
        <w:t xml:space="preserve"> </w:t>
      </w:r>
      <w:r w:rsidRPr="00D34A85">
        <w:t>malignancy,</w:t>
      </w:r>
      <w:r w:rsidR="000159A6">
        <w:t xml:space="preserve"> </w:t>
      </w:r>
      <w:r w:rsidRPr="00D34A85">
        <w:t>a</w:t>
      </w:r>
      <w:r w:rsidR="000159A6">
        <w:t xml:space="preserve"> </w:t>
      </w:r>
      <w:r w:rsidRPr="00D34A85">
        <w:t>renal</w:t>
      </w:r>
      <w:r w:rsidR="000159A6">
        <w:t xml:space="preserve"> </w:t>
      </w:r>
      <w:r w:rsidRPr="00D34A85">
        <w:t>transplant</w:t>
      </w:r>
      <w:r w:rsidR="000159A6">
        <w:t xml:space="preserve"> </w:t>
      </w:r>
      <w:r w:rsidRPr="00D34A85">
        <w:t>or</w:t>
      </w:r>
      <w:r w:rsidR="000159A6">
        <w:t xml:space="preserve"> </w:t>
      </w:r>
      <w:r w:rsidRPr="00D34A85">
        <w:t>a</w:t>
      </w:r>
      <w:r w:rsidR="000159A6">
        <w:t xml:space="preserve"> </w:t>
      </w:r>
      <w:r w:rsidRPr="00D34A85">
        <w:t>solid</w:t>
      </w:r>
      <w:r w:rsidR="000159A6">
        <w:t xml:space="preserve"> </w:t>
      </w:r>
      <w:r w:rsidRPr="00D34A85">
        <w:t>tumour</w:t>
      </w:r>
      <w:r w:rsidR="000159A6">
        <w:t xml:space="preserve"> </w:t>
      </w:r>
      <w:r w:rsidRPr="00D34A85">
        <w:t>treated</w:t>
      </w:r>
      <w:r w:rsidR="000159A6">
        <w:t xml:space="preserve"> </w:t>
      </w:r>
      <w:r w:rsidRPr="00D34A85">
        <w:t>with</w:t>
      </w:r>
      <w:r w:rsidR="000159A6">
        <w:t xml:space="preserve"> </w:t>
      </w:r>
      <w:r w:rsidRPr="00D34A85">
        <w:t>chemotherapy.</w:t>
      </w:r>
    </w:p>
    <w:p w14:paraId="50BBB190" w14:textId="7DE8C847" w:rsidR="00D34A85" w:rsidRPr="00D34A85" w:rsidRDefault="00D34A85" w:rsidP="00440509">
      <w:pPr>
        <w:pStyle w:val="ListBullet2"/>
      </w:pPr>
      <w:r>
        <w:t>Additional</w:t>
      </w:r>
      <w:r w:rsidR="000159A6">
        <w:t xml:space="preserve"> </w:t>
      </w:r>
      <w:r>
        <w:t>pharmacovigilance</w:t>
      </w:r>
      <w:r w:rsidR="000159A6">
        <w:t xml:space="preserve"> </w:t>
      </w:r>
      <w:r>
        <w:t>studies</w:t>
      </w:r>
      <w:r w:rsidR="000159A6">
        <w:t xml:space="preserve"> </w:t>
      </w:r>
      <w:r>
        <w:t>that</w:t>
      </w:r>
      <w:r w:rsidR="000159A6">
        <w:t xml:space="preserve"> </w:t>
      </w:r>
      <w:r>
        <w:t>are</w:t>
      </w:r>
      <w:r w:rsidR="000159A6">
        <w:t xml:space="preserve"> </w:t>
      </w:r>
      <w:r>
        <w:t>s</w:t>
      </w:r>
      <w:r w:rsidRPr="008D36B0">
        <w:t>ubject</w:t>
      </w:r>
      <w:r w:rsidR="000159A6">
        <w:t xml:space="preserve"> </w:t>
      </w:r>
      <w:r w:rsidRPr="008D36B0">
        <w:t>to</w:t>
      </w:r>
      <w:r w:rsidR="000159A6">
        <w:t xml:space="preserve"> </w:t>
      </w:r>
      <w:r w:rsidRPr="00C90B30">
        <w:t>feasibility</w:t>
      </w:r>
      <w:r w:rsidR="000159A6">
        <w:t xml:space="preserve"> </w:t>
      </w:r>
      <w:r w:rsidRPr="00C90B30">
        <w:t>assessments</w:t>
      </w:r>
      <w:r w:rsidR="000159A6">
        <w:t xml:space="preserve"> </w:t>
      </w:r>
      <w:r>
        <w:t>are</w:t>
      </w:r>
      <w:r w:rsidR="000159A6">
        <w:t xml:space="preserve"> </w:t>
      </w:r>
      <w:r>
        <w:t>a</w:t>
      </w:r>
      <w:r w:rsidR="000159A6">
        <w:t xml:space="preserve"> </w:t>
      </w:r>
      <w:r w:rsidRPr="00C90B30">
        <w:t>study</w:t>
      </w:r>
      <w:r w:rsidR="000159A6">
        <w:t xml:space="preserve"> </w:t>
      </w:r>
      <w:r w:rsidRPr="00C90B30">
        <w:t>on</w:t>
      </w:r>
      <w:r w:rsidR="000159A6">
        <w:t xml:space="preserve"> </w:t>
      </w:r>
      <w:r w:rsidRPr="00440509">
        <w:t>immunogenicity</w:t>
      </w:r>
      <w:r w:rsidRPr="00C90B30">
        <w:t>,</w:t>
      </w:r>
      <w:r w:rsidR="000159A6">
        <w:t xml:space="preserve"> </w:t>
      </w:r>
      <w:proofErr w:type="spellStart"/>
      <w:r w:rsidRPr="00C90B30">
        <w:t>reactogenicity</w:t>
      </w:r>
      <w:proofErr w:type="spellEnd"/>
      <w:r w:rsidR="000159A6">
        <w:t xml:space="preserve"> </w:t>
      </w:r>
      <w:r w:rsidRPr="00C90B30">
        <w:t>and</w:t>
      </w:r>
      <w:r w:rsidR="000159A6">
        <w:t xml:space="preserve"> </w:t>
      </w:r>
      <w:r w:rsidRPr="00C90B30">
        <w:t>safety</w:t>
      </w:r>
      <w:r w:rsidR="000159A6">
        <w:t xml:space="preserve"> </w:t>
      </w:r>
      <w:r w:rsidRPr="00C90B30">
        <w:t>in</w:t>
      </w:r>
      <w:r w:rsidR="000159A6">
        <w:t xml:space="preserve"> </w:t>
      </w:r>
      <w:r w:rsidRPr="00C90B30">
        <w:t>adults</w:t>
      </w:r>
      <w:r w:rsidR="000159A6">
        <w:t xml:space="preserve"> </w:t>
      </w:r>
      <w:r w:rsidRPr="00C90B30">
        <w:t>with</w:t>
      </w:r>
      <w:r w:rsidR="000159A6">
        <w:t xml:space="preserve"> </w:t>
      </w:r>
      <w:r w:rsidRPr="00C90B30">
        <w:t>pre-existing</w:t>
      </w:r>
      <w:r w:rsidR="000159A6">
        <w:t xml:space="preserve"> </w:t>
      </w:r>
      <w:proofErr w:type="spellStart"/>
      <w:r w:rsidRPr="00C90B30">
        <w:t>pIMDs</w:t>
      </w:r>
      <w:proofErr w:type="spellEnd"/>
      <w:r w:rsidRPr="00C90B30">
        <w:t>,</w:t>
      </w:r>
      <w:r w:rsidR="000159A6">
        <w:t xml:space="preserve"> </w:t>
      </w:r>
      <w:r w:rsidRPr="00C90B30">
        <w:t>and</w:t>
      </w:r>
      <w:r w:rsidR="000159A6">
        <w:t xml:space="preserve"> </w:t>
      </w:r>
      <w:r w:rsidRPr="00C90B30">
        <w:t>also</w:t>
      </w:r>
      <w:r w:rsidR="000159A6">
        <w:t xml:space="preserve"> </w:t>
      </w:r>
      <w:r w:rsidRPr="00C90B30">
        <w:t>an</w:t>
      </w:r>
      <w:r w:rsidR="000159A6">
        <w:t xml:space="preserve"> </w:t>
      </w:r>
      <w:r w:rsidRPr="00C90B30">
        <w:t>observational</w:t>
      </w:r>
      <w:r w:rsidR="000159A6">
        <w:t xml:space="preserve"> </w:t>
      </w:r>
      <w:r w:rsidRPr="008D36B0">
        <w:t>study</w:t>
      </w:r>
      <w:r w:rsidR="000159A6">
        <w:t xml:space="preserve"> </w:t>
      </w:r>
      <w:r w:rsidRPr="008D36B0">
        <w:t>in</w:t>
      </w:r>
      <w:r w:rsidR="000159A6">
        <w:t xml:space="preserve"> </w:t>
      </w:r>
      <w:r w:rsidRPr="008D36B0">
        <w:t>the</w:t>
      </w:r>
      <w:r w:rsidR="000159A6">
        <w:t xml:space="preserve"> </w:t>
      </w:r>
      <w:r w:rsidRPr="008D36B0">
        <w:t>US</w:t>
      </w:r>
      <w:r w:rsidR="000159A6">
        <w:t xml:space="preserve"> </w:t>
      </w:r>
      <w:r w:rsidRPr="008D36B0">
        <w:t>to</w:t>
      </w:r>
      <w:r w:rsidR="000159A6">
        <w:t xml:space="preserve"> </w:t>
      </w:r>
      <w:r w:rsidRPr="008D36B0">
        <w:t>estimate</w:t>
      </w:r>
      <w:r w:rsidR="000159A6">
        <w:t xml:space="preserve"> </w:t>
      </w:r>
      <w:r w:rsidRPr="008D36B0">
        <w:t>effectiveness</w:t>
      </w:r>
      <w:r w:rsidR="000159A6">
        <w:t xml:space="preserve"> </w:t>
      </w:r>
      <w:r w:rsidRPr="008D36B0">
        <w:t>in</w:t>
      </w:r>
      <w:r w:rsidR="000159A6">
        <w:t xml:space="preserve"> </w:t>
      </w:r>
      <w:r w:rsidRPr="008D36B0">
        <w:t>preventing</w:t>
      </w:r>
      <w:r w:rsidR="000159A6">
        <w:t xml:space="preserve"> </w:t>
      </w:r>
      <w:r w:rsidRPr="008D36B0">
        <w:t>HZ,</w:t>
      </w:r>
      <w:r w:rsidR="000159A6">
        <w:t xml:space="preserve"> </w:t>
      </w:r>
      <w:r w:rsidRPr="008D36B0">
        <w:t>PHN</w:t>
      </w:r>
      <w:r w:rsidR="000159A6">
        <w:t xml:space="preserve"> </w:t>
      </w:r>
      <w:r w:rsidRPr="008D36B0">
        <w:t>and</w:t>
      </w:r>
      <w:r w:rsidR="000159A6">
        <w:t xml:space="preserve"> </w:t>
      </w:r>
      <w:r w:rsidR="000D0435">
        <w:t>HZ</w:t>
      </w:r>
      <w:r w:rsidR="000159A6">
        <w:t xml:space="preserve"> </w:t>
      </w:r>
      <w:r w:rsidR="000D0435">
        <w:t>related</w:t>
      </w:r>
      <w:r w:rsidR="000159A6">
        <w:t xml:space="preserve"> </w:t>
      </w:r>
      <w:r w:rsidRPr="008D36B0">
        <w:t>complications.</w:t>
      </w:r>
    </w:p>
    <w:p w14:paraId="75277135" w14:textId="456D12F6" w:rsidR="00D34A85" w:rsidRPr="006F03CC" w:rsidRDefault="00D34A85" w:rsidP="00440509">
      <w:pPr>
        <w:pStyle w:val="ListBullet"/>
      </w:pPr>
      <w:r w:rsidRPr="006F03CC">
        <w:t>Routine</w:t>
      </w:r>
      <w:r w:rsidR="000159A6">
        <w:t xml:space="preserve"> </w:t>
      </w:r>
      <w:r w:rsidRPr="006F03CC">
        <w:t>risk</w:t>
      </w:r>
      <w:r w:rsidR="000159A6">
        <w:t xml:space="preserve"> </w:t>
      </w:r>
      <w:r w:rsidRPr="006F03CC">
        <w:t>minimisation</w:t>
      </w:r>
      <w:r w:rsidR="000159A6">
        <w:t xml:space="preserve"> </w:t>
      </w:r>
      <w:r w:rsidRPr="006F03CC">
        <w:t>has</w:t>
      </w:r>
      <w:r w:rsidR="000159A6">
        <w:t xml:space="preserve"> </w:t>
      </w:r>
      <w:r w:rsidRPr="006F03CC">
        <w:t>been</w:t>
      </w:r>
      <w:r w:rsidR="000159A6">
        <w:t xml:space="preserve"> </w:t>
      </w:r>
      <w:r w:rsidRPr="006F03CC">
        <w:t>proposed</w:t>
      </w:r>
      <w:r w:rsidR="000159A6">
        <w:t xml:space="preserve"> </w:t>
      </w:r>
      <w:r w:rsidRPr="006F03CC">
        <w:t>by</w:t>
      </w:r>
      <w:r w:rsidR="000159A6">
        <w:t xml:space="preserve"> </w:t>
      </w:r>
      <w:r w:rsidRPr="006F03CC">
        <w:t>the</w:t>
      </w:r>
      <w:r w:rsidR="000159A6">
        <w:t xml:space="preserve"> </w:t>
      </w:r>
      <w:r w:rsidRPr="006F03CC">
        <w:t>sponsor</w:t>
      </w:r>
      <w:r w:rsidR="000159A6">
        <w:t xml:space="preserve"> </w:t>
      </w:r>
      <w:r w:rsidRPr="006F03CC">
        <w:t>to</w:t>
      </w:r>
      <w:r w:rsidR="000159A6">
        <w:t xml:space="preserve"> </w:t>
      </w:r>
      <w:r w:rsidRPr="006F03CC">
        <w:t>mitigate</w:t>
      </w:r>
      <w:r w:rsidR="000159A6">
        <w:t xml:space="preserve"> </w:t>
      </w:r>
      <w:r>
        <w:t>two</w:t>
      </w:r>
      <w:r w:rsidR="000159A6">
        <w:t xml:space="preserve"> </w:t>
      </w:r>
      <w:r>
        <w:t>areas</w:t>
      </w:r>
      <w:r w:rsidR="000159A6">
        <w:t xml:space="preserve"> </w:t>
      </w:r>
      <w:r>
        <w:t>of</w:t>
      </w:r>
      <w:r w:rsidR="000159A6">
        <w:t xml:space="preserve"> </w:t>
      </w:r>
      <w:r>
        <w:t>missing</w:t>
      </w:r>
      <w:r w:rsidR="000159A6">
        <w:t xml:space="preserve"> </w:t>
      </w:r>
      <w:r>
        <w:t>information</w:t>
      </w:r>
      <w:r w:rsidR="000159A6">
        <w:t xml:space="preserve"> </w:t>
      </w:r>
      <w:r>
        <w:t>(use</w:t>
      </w:r>
      <w:r w:rsidR="000159A6">
        <w:t xml:space="preserve"> </w:t>
      </w:r>
      <w:r>
        <w:t>in</w:t>
      </w:r>
      <w:r w:rsidR="000159A6">
        <w:t xml:space="preserve"> </w:t>
      </w:r>
      <w:r>
        <w:t>frail</w:t>
      </w:r>
      <w:r w:rsidR="000159A6">
        <w:t xml:space="preserve"> </w:t>
      </w:r>
      <w:r>
        <w:t>adults,</w:t>
      </w:r>
      <w:r w:rsidR="000159A6">
        <w:t xml:space="preserve"> </w:t>
      </w:r>
      <w:r>
        <w:t>and</w:t>
      </w:r>
      <w:r w:rsidR="000159A6">
        <w:t xml:space="preserve"> </w:t>
      </w:r>
      <w:r>
        <w:t>use</w:t>
      </w:r>
      <w:r w:rsidR="000159A6">
        <w:t xml:space="preserve"> </w:t>
      </w:r>
      <w:r>
        <w:t>in</w:t>
      </w:r>
      <w:r w:rsidR="000159A6">
        <w:t xml:space="preserve"> </w:t>
      </w:r>
      <w:r>
        <w:t>adults</w:t>
      </w:r>
      <w:r w:rsidR="000159A6">
        <w:t xml:space="preserve"> </w:t>
      </w:r>
      <w:r w:rsidRPr="00440509">
        <w:t>with</w:t>
      </w:r>
      <w:r w:rsidR="000159A6">
        <w:t xml:space="preserve"> </w:t>
      </w:r>
      <w:r>
        <w:t>a</w:t>
      </w:r>
      <w:r w:rsidR="000159A6">
        <w:t xml:space="preserve"> </w:t>
      </w:r>
      <w:r>
        <w:t>history</w:t>
      </w:r>
      <w:r w:rsidR="000159A6">
        <w:t xml:space="preserve"> </w:t>
      </w:r>
      <w:r>
        <w:t>of</w:t>
      </w:r>
      <w:r w:rsidR="000159A6">
        <w:t xml:space="preserve"> </w:t>
      </w:r>
      <w:r>
        <w:t>HZ).</w:t>
      </w:r>
    </w:p>
    <w:p w14:paraId="181372B2" w14:textId="43B7435E" w:rsidR="005C0A6F" w:rsidRPr="00E021B7" w:rsidRDefault="00456765" w:rsidP="00440509">
      <w:pPr>
        <w:pStyle w:val="Heading4"/>
      </w:pPr>
      <w:r w:rsidRPr="00E021B7">
        <w:t>New</w:t>
      </w:r>
      <w:r w:rsidR="000159A6" w:rsidRPr="00E021B7">
        <w:t xml:space="preserve"> </w:t>
      </w:r>
      <w:r w:rsidRPr="00E021B7">
        <w:t>and</w:t>
      </w:r>
      <w:r w:rsidR="000159A6" w:rsidRPr="00E021B7">
        <w:t xml:space="preserve"> </w:t>
      </w:r>
      <w:r w:rsidRPr="00440509">
        <w:t>outstanding</w:t>
      </w:r>
      <w:r w:rsidR="000159A6" w:rsidRPr="00E021B7">
        <w:t xml:space="preserve"> </w:t>
      </w:r>
      <w:r w:rsidRPr="00E021B7">
        <w:t>recommendations</w:t>
      </w:r>
      <w:r w:rsidR="000159A6" w:rsidRPr="00E021B7">
        <w:t xml:space="preserve"> </w:t>
      </w:r>
      <w:r w:rsidRPr="00E021B7">
        <w:t>from</w:t>
      </w:r>
      <w:r w:rsidR="000159A6" w:rsidRPr="00E021B7">
        <w:t xml:space="preserve"> </w:t>
      </w:r>
      <w:r w:rsidRPr="00E021B7">
        <w:t>second</w:t>
      </w:r>
      <w:r w:rsidR="000159A6" w:rsidRPr="00E021B7">
        <w:t xml:space="preserve"> </w:t>
      </w:r>
      <w:r w:rsidRPr="00E021B7">
        <w:t>round</w:t>
      </w:r>
      <w:r w:rsidR="000159A6" w:rsidRPr="00E021B7">
        <w:t xml:space="preserve"> </w:t>
      </w:r>
      <w:r w:rsidRPr="00E021B7">
        <w:t>evaluation</w:t>
      </w:r>
      <w:bookmarkEnd w:id="231"/>
    </w:p>
    <w:p w14:paraId="337C2C6E" w14:textId="05CA5280" w:rsidR="00D34A85" w:rsidRPr="00D34A85" w:rsidRDefault="00D34A85" w:rsidP="00440509">
      <w:r w:rsidRPr="00D34A85">
        <w:t>The</w:t>
      </w:r>
      <w:r w:rsidR="000159A6">
        <w:t xml:space="preserve"> </w:t>
      </w:r>
      <w:r w:rsidRPr="00D34A85">
        <w:t>recommendations</w:t>
      </w:r>
      <w:r w:rsidR="000159A6">
        <w:t xml:space="preserve"> </w:t>
      </w:r>
      <w:r w:rsidRPr="00D34A85">
        <w:t>made</w:t>
      </w:r>
      <w:r w:rsidR="000159A6">
        <w:t xml:space="preserve"> </w:t>
      </w:r>
      <w:r w:rsidRPr="00D34A85">
        <w:t>in</w:t>
      </w:r>
      <w:r w:rsidR="000159A6">
        <w:t xml:space="preserve"> </w:t>
      </w:r>
      <w:r w:rsidRPr="00D34A85">
        <w:t>the</w:t>
      </w:r>
      <w:r w:rsidR="000159A6">
        <w:t xml:space="preserve"> </w:t>
      </w:r>
      <w:r w:rsidR="0048276A">
        <w:t>first</w:t>
      </w:r>
      <w:r w:rsidR="000159A6">
        <w:t xml:space="preserve"> </w:t>
      </w:r>
      <w:r w:rsidR="0048276A">
        <w:t>round</w:t>
      </w:r>
      <w:r w:rsidR="000159A6">
        <w:t xml:space="preserve"> </w:t>
      </w:r>
      <w:r w:rsidRPr="00D34A85">
        <w:t>evaluation,</w:t>
      </w:r>
      <w:r w:rsidR="000159A6">
        <w:t xml:space="preserve"> </w:t>
      </w:r>
      <w:r w:rsidRPr="00D34A85">
        <w:t>along</w:t>
      </w:r>
      <w:r w:rsidR="000159A6">
        <w:t xml:space="preserve"> </w:t>
      </w:r>
      <w:r w:rsidRPr="00D34A85">
        <w:t>with</w:t>
      </w:r>
      <w:r w:rsidR="000159A6">
        <w:t xml:space="preserve"> </w:t>
      </w:r>
      <w:r w:rsidRPr="00D34A85">
        <w:t>consid</w:t>
      </w:r>
      <w:r w:rsidR="00641638">
        <w:t>eration</w:t>
      </w:r>
      <w:r w:rsidR="000159A6">
        <w:t xml:space="preserve"> </w:t>
      </w:r>
      <w:r w:rsidR="00641638">
        <w:t>of</w:t>
      </w:r>
      <w:r w:rsidR="000159A6">
        <w:t xml:space="preserve"> </w:t>
      </w:r>
      <w:r w:rsidR="00641638">
        <w:t>the</w:t>
      </w:r>
      <w:r w:rsidR="000159A6">
        <w:t xml:space="preserve"> </w:t>
      </w:r>
      <w:r w:rsidR="0048276A">
        <w:t>sponsor’s</w:t>
      </w:r>
      <w:r w:rsidR="000159A6">
        <w:t xml:space="preserve"> </w:t>
      </w:r>
      <w:r w:rsidR="00641638">
        <w:t>response</w:t>
      </w:r>
      <w:r w:rsidRPr="00D34A85">
        <w:t>.</w:t>
      </w:r>
    </w:p>
    <w:p w14:paraId="0EF4DEA0" w14:textId="267DEC5E" w:rsidR="00D34A85" w:rsidRPr="00D34A85" w:rsidRDefault="0037169B" w:rsidP="00440509">
      <w:pPr>
        <w:pStyle w:val="ListBullet"/>
      </w:pPr>
      <w:r>
        <w:t>Recommendation</w:t>
      </w:r>
      <w:r w:rsidR="000159A6">
        <w:t xml:space="preserve"> </w:t>
      </w:r>
      <w:r>
        <w:t>14.</w:t>
      </w:r>
      <w:r w:rsidR="000159A6">
        <w:t xml:space="preserve"> </w:t>
      </w:r>
      <w:r>
        <w:t>(</w:t>
      </w:r>
      <w:r w:rsidR="00D34A85" w:rsidRPr="00D34A85">
        <w:t>New</w:t>
      </w:r>
      <w:r w:rsidR="000159A6">
        <w:t xml:space="preserve"> </w:t>
      </w:r>
      <w:r w:rsidR="00D34A85" w:rsidRPr="00D34A85">
        <w:t>recommendation</w:t>
      </w:r>
      <w:r>
        <w:t>)</w:t>
      </w:r>
      <w:r w:rsidR="000159A6">
        <w:t xml:space="preserve"> </w:t>
      </w:r>
      <w:r w:rsidR="00D34A85" w:rsidRPr="00D34A85">
        <w:t>It</w:t>
      </w:r>
      <w:r w:rsidR="000159A6">
        <w:t xml:space="preserve"> </w:t>
      </w:r>
      <w:r w:rsidR="00D34A85" w:rsidRPr="00D34A85">
        <w:t>is</w:t>
      </w:r>
      <w:r w:rsidR="000159A6">
        <w:t xml:space="preserve"> </w:t>
      </w:r>
      <w:r w:rsidR="00D34A85" w:rsidRPr="00D34A85">
        <w:t>recommended</w:t>
      </w:r>
      <w:r w:rsidR="000159A6">
        <w:t xml:space="preserve"> </w:t>
      </w:r>
      <w:r w:rsidR="00D34A85" w:rsidRPr="00D34A85">
        <w:t>to</w:t>
      </w:r>
      <w:r w:rsidR="000159A6">
        <w:t xml:space="preserve"> </w:t>
      </w:r>
      <w:r w:rsidR="00D34A85" w:rsidRPr="00D34A85">
        <w:t>the</w:t>
      </w:r>
      <w:r w:rsidR="000159A6">
        <w:t xml:space="preserve"> </w:t>
      </w:r>
      <w:r w:rsidR="00D34A85" w:rsidRPr="00D34A85">
        <w:t>delegate</w:t>
      </w:r>
      <w:r w:rsidR="000159A6">
        <w:t xml:space="preserve"> </w:t>
      </w:r>
      <w:r w:rsidR="00D34A85" w:rsidRPr="00D34A85">
        <w:t>that</w:t>
      </w:r>
      <w:r w:rsidR="000159A6">
        <w:t xml:space="preserve"> </w:t>
      </w:r>
      <w:r w:rsidR="00D34A85" w:rsidRPr="00D34A85">
        <w:t>the</w:t>
      </w:r>
      <w:r w:rsidR="000159A6">
        <w:t xml:space="preserve"> </w:t>
      </w:r>
      <w:r w:rsidR="00D34A85" w:rsidRPr="00D34A85">
        <w:t>PI</w:t>
      </w:r>
      <w:r w:rsidR="000159A6">
        <w:t xml:space="preserve"> </w:t>
      </w:r>
      <w:r w:rsidR="00D34A85" w:rsidRPr="00D34A85">
        <w:t>include</w:t>
      </w:r>
      <w:r w:rsidR="000159A6">
        <w:t xml:space="preserve"> </w:t>
      </w:r>
      <w:r w:rsidR="00D34A85" w:rsidRPr="00D34A85">
        <w:t>a</w:t>
      </w:r>
      <w:r w:rsidR="000159A6">
        <w:t xml:space="preserve"> </w:t>
      </w:r>
      <w:r w:rsidR="00D34A85" w:rsidRPr="00D34A85">
        <w:t>precaution</w:t>
      </w:r>
      <w:r w:rsidR="000159A6">
        <w:t xml:space="preserve"> </w:t>
      </w:r>
      <w:r w:rsidR="00D34A85" w:rsidRPr="00D34A85">
        <w:t>statement</w:t>
      </w:r>
      <w:r w:rsidR="000159A6">
        <w:t xml:space="preserve"> </w:t>
      </w:r>
      <w:r w:rsidR="00D34A85" w:rsidRPr="00D34A85">
        <w:t>such</w:t>
      </w:r>
      <w:r w:rsidR="000159A6">
        <w:t xml:space="preserve"> </w:t>
      </w:r>
      <w:r w:rsidR="00D34A85" w:rsidRPr="00D34A85">
        <w:t>as</w:t>
      </w:r>
      <w:r w:rsidR="000159A6">
        <w:t xml:space="preserve"> </w:t>
      </w:r>
      <w:r w:rsidR="00D34A85" w:rsidRPr="00D34A85">
        <w:t>‘There</w:t>
      </w:r>
      <w:r w:rsidR="000159A6">
        <w:t xml:space="preserve"> </w:t>
      </w:r>
      <w:r w:rsidR="00D34A85" w:rsidRPr="00D34A85">
        <w:t>are</w:t>
      </w:r>
      <w:r w:rsidR="000159A6">
        <w:t xml:space="preserve"> </w:t>
      </w:r>
      <w:r w:rsidR="00D34A85" w:rsidRPr="00D34A85">
        <w:t>limited</w:t>
      </w:r>
      <w:r w:rsidR="000159A6">
        <w:t xml:space="preserve"> </w:t>
      </w:r>
      <w:r w:rsidR="00D34A85" w:rsidRPr="00D34A85">
        <w:t>data</w:t>
      </w:r>
      <w:r w:rsidR="000159A6">
        <w:t xml:space="preserve"> </w:t>
      </w:r>
      <w:r w:rsidR="00D34A85" w:rsidRPr="00D34A85">
        <w:t>to</w:t>
      </w:r>
      <w:r w:rsidR="000159A6">
        <w:t xml:space="preserve"> </w:t>
      </w:r>
      <w:r w:rsidR="00D34A85" w:rsidRPr="00D34A85">
        <w:t>support</w:t>
      </w:r>
      <w:r w:rsidR="000159A6">
        <w:t xml:space="preserve"> </w:t>
      </w:r>
      <w:r w:rsidR="00D34A85" w:rsidRPr="00D34A85">
        <w:t>the</w:t>
      </w:r>
      <w:r w:rsidR="000159A6">
        <w:t xml:space="preserve"> </w:t>
      </w:r>
      <w:r w:rsidR="00D34A85" w:rsidRPr="00D34A85">
        <w:t>use</w:t>
      </w:r>
      <w:r w:rsidR="000159A6">
        <w:t xml:space="preserve"> </w:t>
      </w:r>
      <w:r w:rsidR="00D34A85" w:rsidRPr="00D34A85">
        <w:t>of</w:t>
      </w:r>
      <w:r w:rsidR="000159A6">
        <w:t xml:space="preserve"> </w:t>
      </w:r>
      <w:proofErr w:type="spellStart"/>
      <w:r w:rsidR="00D34A85" w:rsidRPr="00440509">
        <w:t>Shingrix</w:t>
      </w:r>
      <w:proofErr w:type="spellEnd"/>
      <w:r w:rsidR="000159A6">
        <w:t xml:space="preserve"> </w:t>
      </w:r>
      <w:r w:rsidR="00D34A85" w:rsidRPr="00D34A85">
        <w:t>in</w:t>
      </w:r>
      <w:r w:rsidR="000159A6">
        <w:t xml:space="preserve"> </w:t>
      </w:r>
      <w:r w:rsidR="00D34A85" w:rsidRPr="00D34A85">
        <w:t>individuals</w:t>
      </w:r>
      <w:r w:rsidR="000159A6">
        <w:t xml:space="preserve"> </w:t>
      </w:r>
      <w:r w:rsidR="00D34A85" w:rsidRPr="00D34A85">
        <w:t>with</w:t>
      </w:r>
      <w:r w:rsidR="000159A6">
        <w:t xml:space="preserve"> </w:t>
      </w:r>
      <w:r w:rsidR="00D34A85" w:rsidRPr="00D34A85">
        <w:t>a</w:t>
      </w:r>
      <w:r w:rsidR="000159A6">
        <w:t xml:space="preserve"> </w:t>
      </w:r>
      <w:r w:rsidR="00D34A85" w:rsidRPr="00D34A85">
        <w:t>history</w:t>
      </w:r>
      <w:r w:rsidR="000159A6">
        <w:t xml:space="preserve"> </w:t>
      </w:r>
      <w:r w:rsidR="00D34A85" w:rsidRPr="00D34A85">
        <w:t>of</w:t>
      </w:r>
      <w:r w:rsidR="000159A6">
        <w:t xml:space="preserve"> </w:t>
      </w:r>
      <w:r w:rsidR="00D34A85" w:rsidRPr="00D34A85">
        <w:t>HZ</w:t>
      </w:r>
      <w:r w:rsidR="000159A6">
        <w:t xml:space="preserve"> </w:t>
      </w:r>
      <w:r w:rsidR="00D34A85" w:rsidRPr="00D34A85">
        <w:t>and</w:t>
      </w:r>
      <w:r w:rsidR="000159A6">
        <w:t xml:space="preserve"> </w:t>
      </w:r>
      <w:r w:rsidR="00D34A85" w:rsidRPr="00D34A85">
        <w:t>in</w:t>
      </w:r>
      <w:r w:rsidR="000159A6">
        <w:t xml:space="preserve"> </w:t>
      </w:r>
      <w:r w:rsidR="00D34A85" w:rsidRPr="00D34A85">
        <w:t>frail</w:t>
      </w:r>
      <w:r w:rsidR="000159A6">
        <w:t xml:space="preserve"> </w:t>
      </w:r>
      <w:r w:rsidR="00D34A85" w:rsidRPr="00D34A85">
        <w:t>individuals</w:t>
      </w:r>
      <w:r w:rsidR="000159A6">
        <w:t xml:space="preserve"> </w:t>
      </w:r>
      <w:r w:rsidR="00D34A85" w:rsidRPr="00D34A85">
        <w:t>including</w:t>
      </w:r>
      <w:r w:rsidR="000159A6">
        <w:t xml:space="preserve"> </w:t>
      </w:r>
      <w:r w:rsidR="00D34A85" w:rsidRPr="00D34A85">
        <w:t>those</w:t>
      </w:r>
      <w:r w:rsidR="000159A6">
        <w:t xml:space="preserve"> </w:t>
      </w:r>
      <w:r w:rsidR="00D34A85" w:rsidRPr="00D34A85">
        <w:t>with</w:t>
      </w:r>
      <w:r w:rsidR="000159A6">
        <w:t xml:space="preserve"> </w:t>
      </w:r>
      <w:r w:rsidR="00D34A85" w:rsidRPr="00D34A85">
        <w:t>multiple</w:t>
      </w:r>
      <w:r w:rsidR="000159A6">
        <w:t xml:space="preserve"> </w:t>
      </w:r>
      <w:r w:rsidR="00D34A85" w:rsidRPr="00D34A85">
        <w:t>comorbidities’</w:t>
      </w:r>
      <w:r w:rsidR="000159A6">
        <w:t xml:space="preserve"> </w:t>
      </w:r>
      <w:r w:rsidR="00D34A85" w:rsidRPr="00D34A85">
        <w:t>as</w:t>
      </w:r>
      <w:r w:rsidR="000159A6">
        <w:t xml:space="preserve"> </w:t>
      </w:r>
      <w:r w:rsidR="00D34A85" w:rsidRPr="00D34A85">
        <w:t>routine</w:t>
      </w:r>
      <w:r w:rsidR="000159A6">
        <w:t xml:space="preserve"> </w:t>
      </w:r>
      <w:r w:rsidR="00D34A85" w:rsidRPr="00D34A85">
        <w:t>risk</w:t>
      </w:r>
      <w:r w:rsidR="000159A6">
        <w:t xml:space="preserve"> </w:t>
      </w:r>
      <w:r w:rsidR="00D34A85" w:rsidRPr="00D34A85">
        <w:t>minimisation</w:t>
      </w:r>
      <w:r w:rsidR="000159A6">
        <w:t xml:space="preserve"> </w:t>
      </w:r>
      <w:r w:rsidR="00D34A85" w:rsidRPr="00D34A85">
        <w:t>for</w:t>
      </w:r>
      <w:r w:rsidR="000159A6">
        <w:t xml:space="preserve"> </w:t>
      </w:r>
      <w:r w:rsidR="00D34A85" w:rsidRPr="00D34A85">
        <w:t>the</w:t>
      </w:r>
      <w:r w:rsidR="000159A6">
        <w:t xml:space="preserve"> </w:t>
      </w:r>
      <w:r w:rsidR="00D34A85" w:rsidRPr="00D34A85">
        <w:t>safety</w:t>
      </w:r>
      <w:r w:rsidR="000159A6">
        <w:t xml:space="preserve"> </w:t>
      </w:r>
      <w:r w:rsidR="00D34A85" w:rsidRPr="00D34A85">
        <w:t>concerns</w:t>
      </w:r>
      <w:r w:rsidR="000159A6">
        <w:t xml:space="preserve"> </w:t>
      </w:r>
      <w:r w:rsidR="00D34A85" w:rsidRPr="00D34A85">
        <w:t>for</w:t>
      </w:r>
      <w:r w:rsidR="000159A6">
        <w:t xml:space="preserve"> </w:t>
      </w:r>
      <w:r w:rsidR="00D34A85" w:rsidRPr="00D34A85">
        <w:t>the</w:t>
      </w:r>
      <w:r w:rsidR="000159A6">
        <w:t xml:space="preserve"> </w:t>
      </w:r>
      <w:r w:rsidR="00D34A85" w:rsidRPr="00D34A85">
        <w:t>two</w:t>
      </w:r>
      <w:r w:rsidR="000159A6">
        <w:t xml:space="preserve"> </w:t>
      </w:r>
      <w:r w:rsidR="00D34A85" w:rsidRPr="00D34A85">
        <w:t>groups</w:t>
      </w:r>
      <w:r w:rsidR="000159A6">
        <w:t xml:space="preserve"> </w:t>
      </w:r>
      <w:r w:rsidR="00D34A85" w:rsidRPr="00D34A85">
        <w:t>mentioned.</w:t>
      </w:r>
    </w:p>
    <w:p w14:paraId="463649AF" w14:textId="3F54323A" w:rsidR="00D34A85" w:rsidRPr="00D34A85" w:rsidRDefault="00D34A85" w:rsidP="00641638">
      <w:pPr>
        <w:pStyle w:val="ListBullet"/>
      </w:pPr>
      <w:r w:rsidRPr="00D34A85">
        <w:lastRenderedPageBreak/>
        <w:t>Recommendation</w:t>
      </w:r>
      <w:r w:rsidR="000159A6">
        <w:t xml:space="preserve"> </w:t>
      </w:r>
      <w:r w:rsidRPr="00D34A85">
        <w:t>15.</w:t>
      </w:r>
      <w:r w:rsidR="000159A6">
        <w:t xml:space="preserve"> </w:t>
      </w:r>
      <w:r w:rsidRPr="00D34A85">
        <w:t>When</w:t>
      </w:r>
      <w:r w:rsidR="000159A6">
        <w:t xml:space="preserve"> </w:t>
      </w:r>
      <w:r w:rsidRPr="00D34A85">
        <w:t>available</w:t>
      </w:r>
      <w:r w:rsidR="000159A6">
        <w:t xml:space="preserve"> </w:t>
      </w:r>
      <w:r w:rsidRPr="00D34A85">
        <w:t>a</w:t>
      </w:r>
      <w:r w:rsidR="000159A6">
        <w:t xml:space="preserve"> </w:t>
      </w:r>
      <w:r w:rsidRPr="00D34A85">
        <w:t>revised</w:t>
      </w:r>
      <w:r w:rsidR="000159A6">
        <w:t xml:space="preserve"> </w:t>
      </w:r>
      <w:r w:rsidRPr="00D34A85">
        <w:t>EU-RMP</w:t>
      </w:r>
      <w:r w:rsidR="000159A6">
        <w:t xml:space="preserve"> </w:t>
      </w:r>
      <w:r w:rsidRPr="00D34A85">
        <w:t>that</w:t>
      </w:r>
      <w:r w:rsidR="000159A6">
        <w:t xml:space="preserve"> </w:t>
      </w:r>
      <w:r w:rsidRPr="00D34A85">
        <w:t>considers</w:t>
      </w:r>
      <w:r w:rsidR="000159A6">
        <w:t xml:space="preserve"> </w:t>
      </w:r>
      <w:r w:rsidRPr="00D34A85">
        <w:t>the</w:t>
      </w:r>
      <w:r w:rsidR="000159A6">
        <w:t xml:space="preserve"> </w:t>
      </w:r>
      <w:r w:rsidRPr="00D34A85">
        <w:t>outcome</w:t>
      </w:r>
      <w:r w:rsidR="000159A6">
        <w:t xml:space="preserve"> </w:t>
      </w:r>
      <w:r w:rsidRPr="00D34A85">
        <w:t>of</w:t>
      </w:r>
      <w:r w:rsidR="000159A6">
        <w:t xml:space="preserve"> </w:t>
      </w:r>
      <w:r w:rsidRPr="00D34A85">
        <w:t>each</w:t>
      </w:r>
      <w:r w:rsidR="000159A6">
        <w:t xml:space="preserve"> </w:t>
      </w:r>
      <w:r w:rsidRPr="00D34A85">
        <w:t>pharmacovigilance</w:t>
      </w:r>
      <w:r w:rsidR="000159A6">
        <w:t xml:space="preserve"> </w:t>
      </w:r>
      <w:r w:rsidRPr="00D34A85">
        <w:t>study</w:t>
      </w:r>
      <w:r w:rsidR="000159A6">
        <w:t xml:space="preserve"> </w:t>
      </w:r>
      <w:r w:rsidRPr="00D34A85">
        <w:t>should</w:t>
      </w:r>
      <w:r w:rsidR="000159A6">
        <w:t xml:space="preserve"> </w:t>
      </w:r>
      <w:r w:rsidRPr="00D34A85">
        <w:t>be</w:t>
      </w:r>
      <w:r w:rsidR="000159A6">
        <w:t xml:space="preserve"> </w:t>
      </w:r>
      <w:r w:rsidRPr="00D34A85">
        <w:t>submitted</w:t>
      </w:r>
      <w:r w:rsidR="000159A6">
        <w:t xml:space="preserve"> </w:t>
      </w:r>
      <w:r w:rsidRPr="00D34A85">
        <w:t>to</w:t>
      </w:r>
      <w:r w:rsidR="000159A6">
        <w:t xml:space="preserve"> </w:t>
      </w:r>
      <w:r w:rsidRPr="00D34A85">
        <w:t>the</w:t>
      </w:r>
      <w:r w:rsidR="000159A6">
        <w:t xml:space="preserve"> </w:t>
      </w:r>
      <w:r w:rsidRPr="00D34A85">
        <w:t>TGA</w:t>
      </w:r>
      <w:r w:rsidR="000159A6">
        <w:t xml:space="preserve"> </w:t>
      </w:r>
      <w:r w:rsidRPr="00D34A85">
        <w:t>for</w:t>
      </w:r>
      <w:r w:rsidR="000159A6">
        <w:t xml:space="preserve"> </w:t>
      </w:r>
      <w:r w:rsidRPr="00D34A85">
        <w:t>review.</w:t>
      </w:r>
    </w:p>
    <w:p w14:paraId="40BDD508" w14:textId="675D9181" w:rsidR="00D34A85" w:rsidRPr="00D34A85" w:rsidRDefault="00D34A85" w:rsidP="00440509">
      <w:pPr>
        <w:pStyle w:val="ListBullet"/>
      </w:pPr>
      <w:r w:rsidRPr="00D34A85">
        <w:t>Recommendation</w:t>
      </w:r>
      <w:r w:rsidR="000159A6">
        <w:t xml:space="preserve"> </w:t>
      </w:r>
      <w:r w:rsidRPr="00D34A85">
        <w:t>16.</w:t>
      </w:r>
      <w:r w:rsidR="000159A6">
        <w:t xml:space="preserve"> </w:t>
      </w:r>
      <w:r w:rsidRPr="00D34A85">
        <w:t>When</w:t>
      </w:r>
      <w:r w:rsidR="000159A6">
        <w:t xml:space="preserve"> </w:t>
      </w:r>
      <w:r w:rsidRPr="00D34A85">
        <w:t>available</w:t>
      </w:r>
      <w:r w:rsidR="000159A6">
        <w:t xml:space="preserve"> </w:t>
      </w:r>
      <w:r w:rsidRPr="00D34A85">
        <w:t>an</w:t>
      </w:r>
      <w:r w:rsidR="000159A6">
        <w:t xml:space="preserve"> </w:t>
      </w:r>
      <w:r w:rsidRPr="00D34A85">
        <w:t>updated</w:t>
      </w:r>
      <w:r w:rsidR="000159A6">
        <w:t xml:space="preserve"> </w:t>
      </w:r>
      <w:r w:rsidRPr="00D34A85">
        <w:t>ASA</w:t>
      </w:r>
      <w:r w:rsidR="000159A6">
        <w:t xml:space="preserve"> </w:t>
      </w:r>
      <w:r w:rsidRPr="00D34A85">
        <w:t>that</w:t>
      </w:r>
      <w:r w:rsidR="000159A6">
        <w:t xml:space="preserve"> </w:t>
      </w:r>
      <w:r w:rsidRPr="00D34A85">
        <w:t>considers</w:t>
      </w:r>
      <w:r w:rsidR="000159A6">
        <w:t xml:space="preserve"> </w:t>
      </w:r>
      <w:r w:rsidRPr="00D34A85">
        <w:t>the</w:t>
      </w:r>
      <w:r w:rsidR="000159A6">
        <w:t xml:space="preserve"> </w:t>
      </w:r>
      <w:r w:rsidRPr="00D34A85">
        <w:t>changes</w:t>
      </w:r>
      <w:r w:rsidR="000159A6">
        <w:t xml:space="preserve"> </w:t>
      </w:r>
      <w:r w:rsidRPr="00D34A85">
        <w:t>made</w:t>
      </w:r>
      <w:r w:rsidR="000159A6">
        <w:t xml:space="preserve"> </w:t>
      </w:r>
      <w:r w:rsidRPr="00D34A85">
        <w:t>to</w:t>
      </w:r>
      <w:r w:rsidR="000159A6">
        <w:t xml:space="preserve"> </w:t>
      </w:r>
      <w:r w:rsidRPr="00D34A85">
        <w:t>the</w:t>
      </w:r>
      <w:r w:rsidR="000159A6">
        <w:t xml:space="preserve"> </w:t>
      </w:r>
      <w:r w:rsidRPr="00D34A85">
        <w:t>EU-RMP</w:t>
      </w:r>
      <w:r w:rsidR="000159A6">
        <w:t xml:space="preserve"> </w:t>
      </w:r>
      <w:r w:rsidRPr="00D34A85">
        <w:t>(final</w:t>
      </w:r>
      <w:r w:rsidR="000159A6">
        <w:t xml:space="preserve"> </w:t>
      </w:r>
      <w:r w:rsidRPr="00D34A85">
        <w:t>approved</w:t>
      </w:r>
      <w:r w:rsidR="000159A6">
        <w:t xml:space="preserve"> </w:t>
      </w:r>
      <w:r w:rsidRPr="00D34A85">
        <w:t>version)</w:t>
      </w:r>
      <w:r w:rsidR="000159A6">
        <w:t xml:space="preserve"> </w:t>
      </w:r>
      <w:r w:rsidRPr="00D34A85">
        <w:t>should</w:t>
      </w:r>
      <w:r w:rsidR="000159A6">
        <w:t xml:space="preserve"> </w:t>
      </w:r>
      <w:r w:rsidRPr="00D34A85">
        <w:t>be</w:t>
      </w:r>
      <w:r w:rsidR="000159A6">
        <w:t xml:space="preserve"> </w:t>
      </w:r>
      <w:r w:rsidRPr="00D34A85">
        <w:t>submitted</w:t>
      </w:r>
      <w:r w:rsidR="000159A6">
        <w:t xml:space="preserve"> </w:t>
      </w:r>
      <w:r w:rsidRPr="00D34A85">
        <w:t>to</w:t>
      </w:r>
      <w:r w:rsidR="000159A6">
        <w:t xml:space="preserve"> </w:t>
      </w:r>
      <w:r w:rsidRPr="00D34A85">
        <w:t>the</w:t>
      </w:r>
      <w:r w:rsidR="000159A6">
        <w:t xml:space="preserve"> </w:t>
      </w:r>
      <w:r w:rsidRPr="00D34A85">
        <w:t>TGA</w:t>
      </w:r>
      <w:r w:rsidR="000159A6">
        <w:t xml:space="preserve"> </w:t>
      </w:r>
      <w:r w:rsidRPr="00D34A85">
        <w:t>for</w:t>
      </w:r>
      <w:r w:rsidR="000159A6">
        <w:t xml:space="preserve"> </w:t>
      </w:r>
      <w:r w:rsidRPr="00D34A85">
        <w:t>review.</w:t>
      </w:r>
      <w:r w:rsidR="000159A6">
        <w:t xml:space="preserve"> </w:t>
      </w:r>
      <w:r w:rsidRPr="00D34A85">
        <w:t>The</w:t>
      </w:r>
      <w:r w:rsidR="000159A6">
        <w:t xml:space="preserve"> </w:t>
      </w:r>
      <w:r w:rsidRPr="00D34A85">
        <w:t>updated</w:t>
      </w:r>
      <w:r w:rsidR="000159A6">
        <w:t xml:space="preserve"> </w:t>
      </w:r>
      <w:r w:rsidRPr="00D34A85">
        <w:t>ASA</w:t>
      </w:r>
      <w:r w:rsidR="000159A6">
        <w:t xml:space="preserve"> </w:t>
      </w:r>
      <w:r w:rsidRPr="00D34A85">
        <w:t>should</w:t>
      </w:r>
      <w:r w:rsidR="000159A6">
        <w:t xml:space="preserve"> </w:t>
      </w:r>
      <w:r w:rsidRPr="00D34A85">
        <w:t>address</w:t>
      </w:r>
      <w:r w:rsidR="000159A6">
        <w:t xml:space="preserve"> </w:t>
      </w:r>
      <w:r w:rsidRPr="00D34A85">
        <w:t>the</w:t>
      </w:r>
      <w:r w:rsidR="000159A6">
        <w:t xml:space="preserve"> </w:t>
      </w:r>
      <w:r w:rsidRPr="00D34A85">
        <w:t>generalisability</w:t>
      </w:r>
      <w:r w:rsidR="000159A6">
        <w:t xml:space="preserve"> </w:t>
      </w:r>
      <w:r w:rsidRPr="00D34A85">
        <w:t>of</w:t>
      </w:r>
      <w:r w:rsidR="000159A6">
        <w:t xml:space="preserve"> </w:t>
      </w:r>
      <w:r w:rsidRPr="00D34A85">
        <w:t>the</w:t>
      </w:r>
      <w:r w:rsidR="000159A6">
        <w:t xml:space="preserve"> </w:t>
      </w:r>
      <w:r w:rsidRPr="00D34A85">
        <w:t>pharmacovigilance</w:t>
      </w:r>
      <w:r w:rsidR="000159A6">
        <w:t xml:space="preserve"> </w:t>
      </w:r>
      <w:r w:rsidRPr="00D34A85">
        <w:t>studies</w:t>
      </w:r>
      <w:r w:rsidR="000159A6">
        <w:t xml:space="preserve"> </w:t>
      </w:r>
      <w:r w:rsidRPr="00D34A85">
        <w:t>to</w:t>
      </w:r>
      <w:r w:rsidR="000159A6">
        <w:t xml:space="preserve"> </w:t>
      </w:r>
      <w:r w:rsidRPr="00D34A85">
        <w:t>the</w:t>
      </w:r>
      <w:r w:rsidR="000159A6">
        <w:t xml:space="preserve"> </w:t>
      </w:r>
      <w:r w:rsidRPr="00D34A85">
        <w:t>Australian</w:t>
      </w:r>
      <w:r w:rsidR="000159A6">
        <w:t xml:space="preserve"> </w:t>
      </w:r>
      <w:r w:rsidRPr="00D34A85">
        <w:t>population.</w:t>
      </w:r>
    </w:p>
    <w:p w14:paraId="223287D5" w14:textId="62F1C598" w:rsidR="005C0A6F" w:rsidRPr="00E021B7" w:rsidRDefault="00456765" w:rsidP="00440509">
      <w:pPr>
        <w:pStyle w:val="Heading4"/>
      </w:pPr>
      <w:bookmarkStart w:id="232" w:name="_Toc477354124"/>
      <w:r w:rsidRPr="00E021B7">
        <w:t>Proposed</w:t>
      </w:r>
      <w:r w:rsidR="000159A6" w:rsidRPr="00E021B7">
        <w:t xml:space="preserve"> </w:t>
      </w:r>
      <w:r w:rsidRPr="00440509">
        <w:t>wording</w:t>
      </w:r>
      <w:r w:rsidR="000159A6" w:rsidRPr="00E021B7">
        <w:t xml:space="preserve"> </w:t>
      </w:r>
      <w:r w:rsidRPr="00E021B7">
        <w:t>for</w:t>
      </w:r>
      <w:r w:rsidR="000159A6" w:rsidRPr="00E021B7">
        <w:t xml:space="preserve"> </w:t>
      </w:r>
      <w:r w:rsidRPr="00E021B7">
        <w:t>conditions</w:t>
      </w:r>
      <w:r w:rsidR="000159A6" w:rsidRPr="00E021B7">
        <w:t xml:space="preserve"> </w:t>
      </w:r>
      <w:r w:rsidRPr="00E021B7">
        <w:t>of</w:t>
      </w:r>
      <w:r w:rsidR="000159A6" w:rsidRPr="00E021B7">
        <w:t xml:space="preserve"> </w:t>
      </w:r>
      <w:r w:rsidRPr="00E021B7">
        <w:t>registration</w:t>
      </w:r>
      <w:bookmarkEnd w:id="232"/>
    </w:p>
    <w:p w14:paraId="5B6B1812" w14:textId="379E5C4B" w:rsidR="00641638" w:rsidRPr="00641638" w:rsidRDefault="00641638" w:rsidP="00440509">
      <w:r w:rsidRPr="00641638">
        <w:t>Any</w:t>
      </w:r>
      <w:r w:rsidR="000159A6">
        <w:t xml:space="preserve"> </w:t>
      </w:r>
      <w:r w:rsidRPr="00641638">
        <w:t>changes</w:t>
      </w:r>
      <w:r w:rsidR="000159A6">
        <w:t xml:space="preserve"> </w:t>
      </w:r>
      <w:r w:rsidRPr="00641638">
        <w:t>to</w:t>
      </w:r>
      <w:r w:rsidR="000159A6">
        <w:t xml:space="preserve"> </w:t>
      </w:r>
      <w:r w:rsidRPr="00641638">
        <w:t>which</w:t>
      </w:r>
      <w:r w:rsidR="000159A6">
        <w:t xml:space="preserve"> </w:t>
      </w:r>
      <w:r w:rsidRPr="00641638">
        <w:t>the</w:t>
      </w:r>
      <w:r w:rsidR="000159A6">
        <w:t xml:space="preserve"> </w:t>
      </w:r>
      <w:r w:rsidRPr="00641638">
        <w:t>sponsor</w:t>
      </w:r>
      <w:r w:rsidR="000159A6">
        <w:t xml:space="preserve"> </w:t>
      </w:r>
      <w:r w:rsidRPr="00641638">
        <w:t>has</w:t>
      </w:r>
      <w:r w:rsidR="000159A6">
        <w:t xml:space="preserve"> </w:t>
      </w:r>
      <w:r w:rsidRPr="00641638">
        <w:t>agreed</w:t>
      </w:r>
      <w:r w:rsidR="000159A6">
        <w:t xml:space="preserve"> </w:t>
      </w:r>
      <w:r w:rsidRPr="00641638">
        <w:t>should</w:t>
      </w:r>
      <w:r w:rsidR="000159A6">
        <w:t xml:space="preserve"> </w:t>
      </w:r>
      <w:r w:rsidRPr="00641638">
        <w:t>be</w:t>
      </w:r>
      <w:r w:rsidR="000159A6">
        <w:t xml:space="preserve"> </w:t>
      </w:r>
      <w:r w:rsidRPr="00641638">
        <w:t>included</w:t>
      </w:r>
      <w:r w:rsidR="000159A6">
        <w:t xml:space="preserve"> </w:t>
      </w:r>
      <w:r w:rsidRPr="00641638">
        <w:t>in</w:t>
      </w:r>
      <w:r w:rsidR="000159A6">
        <w:t xml:space="preserve"> </w:t>
      </w:r>
      <w:r w:rsidRPr="00641638">
        <w:t>a</w:t>
      </w:r>
      <w:r w:rsidR="000159A6">
        <w:t xml:space="preserve"> </w:t>
      </w:r>
      <w:r w:rsidRPr="00641638">
        <w:t>revised</w:t>
      </w:r>
      <w:r w:rsidR="000159A6">
        <w:t xml:space="preserve"> </w:t>
      </w:r>
      <w:r w:rsidRPr="00641638">
        <w:t>RMP</w:t>
      </w:r>
      <w:r w:rsidR="000159A6">
        <w:t xml:space="preserve"> </w:t>
      </w:r>
      <w:r w:rsidRPr="00641638">
        <w:t>and</w:t>
      </w:r>
      <w:r w:rsidR="000159A6">
        <w:t xml:space="preserve"> </w:t>
      </w:r>
      <w:r w:rsidRPr="00641638">
        <w:t>ASA.</w:t>
      </w:r>
      <w:r w:rsidR="000159A6">
        <w:t xml:space="preserve"> </w:t>
      </w:r>
      <w:r w:rsidRPr="00641638">
        <w:t>However,</w:t>
      </w:r>
      <w:r w:rsidR="000159A6">
        <w:t xml:space="preserve"> </w:t>
      </w:r>
      <w:r w:rsidRPr="00641638">
        <w:t>irrespective</w:t>
      </w:r>
      <w:r w:rsidR="000159A6">
        <w:t xml:space="preserve"> </w:t>
      </w:r>
      <w:r w:rsidRPr="00641638">
        <w:t>of</w:t>
      </w:r>
      <w:r w:rsidR="000159A6">
        <w:t xml:space="preserve"> </w:t>
      </w:r>
      <w:r w:rsidRPr="00641638">
        <w:t>whether</w:t>
      </w:r>
      <w:r w:rsidR="000159A6">
        <w:t xml:space="preserve"> </w:t>
      </w:r>
      <w:r w:rsidRPr="00641638">
        <w:t>or</w:t>
      </w:r>
      <w:r w:rsidR="000159A6">
        <w:t xml:space="preserve"> </w:t>
      </w:r>
      <w:r w:rsidRPr="00641638">
        <w:t>not</w:t>
      </w:r>
      <w:r w:rsidR="000159A6">
        <w:t xml:space="preserve"> </w:t>
      </w:r>
      <w:r w:rsidRPr="00641638">
        <w:t>they</w:t>
      </w:r>
      <w:r w:rsidR="000159A6">
        <w:t xml:space="preserve"> </w:t>
      </w:r>
      <w:r w:rsidRPr="00641638">
        <w:t>are</w:t>
      </w:r>
      <w:r w:rsidR="000159A6">
        <w:t xml:space="preserve"> </w:t>
      </w:r>
      <w:r w:rsidRPr="00641638">
        <w:t>included</w:t>
      </w:r>
      <w:r w:rsidR="000159A6">
        <w:t xml:space="preserve"> </w:t>
      </w:r>
      <w:r w:rsidRPr="00641638">
        <w:t>in</w:t>
      </w:r>
      <w:r w:rsidR="000159A6">
        <w:t xml:space="preserve"> </w:t>
      </w:r>
      <w:r w:rsidRPr="00641638">
        <w:t>the</w:t>
      </w:r>
      <w:r w:rsidR="000159A6">
        <w:t xml:space="preserve"> </w:t>
      </w:r>
      <w:r w:rsidRPr="00641638">
        <w:t>currently</w:t>
      </w:r>
      <w:r w:rsidR="000159A6">
        <w:t xml:space="preserve"> </w:t>
      </w:r>
      <w:r w:rsidRPr="00641638">
        <w:t>available</w:t>
      </w:r>
      <w:r w:rsidR="000159A6">
        <w:t xml:space="preserve"> </w:t>
      </w:r>
      <w:r w:rsidRPr="00641638">
        <w:t>version</w:t>
      </w:r>
      <w:r w:rsidR="000159A6">
        <w:t xml:space="preserve"> </w:t>
      </w:r>
      <w:r w:rsidRPr="00641638">
        <w:t>of</w:t>
      </w:r>
      <w:r w:rsidR="000159A6">
        <w:t xml:space="preserve"> </w:t>
      </w:r>
      <w:r w:rsidRPr="00641638">
        <w:t>the</w:t>
      </w:r>
      <w:r w:rsidR="000159A6">
        <w:t xml:space="preserve"> </w:t>
      </w:r>
      <w:r w:rsidRPr="00641638">
        <w:t>RMP</w:t>
      </w:r>
      <w:r w:rsidR="000159A6">
        <w:t xml:space="preserve"> </w:t>
      </w:r>
      <w:r w:rsidRPr="00641638">
        <w:t>document,</w:t>
      </w:r>
      <w:r w:rsidR="000159A6">
        <w:t xml:space="preserve"> </w:t>
      </w:r>
      <w:r w:rsidRPr="00641638">
        <w:t>the</w:t>
      </w:r>
      <w:r w:rsidR="000159A6">
        <w:t xml:space="preserve"> </w:t>
      </w:r>
      <w:r w:rsidRPr="00641638">
        <w:t>agreed</w:t>
      </w:r>
      <w:r w:rsidR="000159A6">
        <w:t xml:space="preserve"> </w:t>
      </w:r>
      <w:r w:rsidRPr="00641638">
        <w:t>changes</w:t>
      </w:r>
      <w:r w:rsidR="000159A6">
        <w:t xml:space="preserve"> </w:t>
      </w:r>
      <w:r w:rsidRPr="00641638">
        <w:t>become</w:t>
      </w:r>
      <w:r w:rsidR="000159A6">
        <w:t xml:space="preserve"> </w:t>
      </w:r>
      <w:r w:rsidRPr="00641638">
        <w:t>part</w:t>
      </w:r>
      <w:r w:rsidR="000159A6">
        <w:t xml:space="preserve"> </w:t>
      </w:r>
      <w:r w:rsidRPr="00641638">
        <w:t>of</w:t>
      </w:r>
      <w:r w:rsidR="000159A6">
        <w:t xml:space="preserve"> </w:t>
      </w:r>
      <w:r w:rsidRPr="00641638">
        <w:t>the</w:t>
      </w:r>
      <w:r w:rsidR="000159A6">
        <w:t xml:space="preserve"> </w:t>
      </w:r>
      <w:r w:rsidRPr="00641638">
        <w:t>risk</w:t>
      </w:r>
      <w:r w:rsidR="000159A6">
        <w:t xml:space="preserve"> </w:t>
      </w:r>
      <w:r w:rsidRPr="00641638">
        <w:t>management</w:t>
      </w:r>
      <w:r w:rsidR="000159A6">
        <w:t xml:space="preserve"> </w:t>
      </w:r>
      <w:r w:rsidRPr="00641638">
        <w:t>system.</w:t>
      </w:r>
    </w:p>
    <w:p w14:paraId="1D32F037" w14:textId="0AAA7BB1" w:rsidR="00641638" w:rsidRPr="00544314" w:rsidRDefault="00641638" w:rsidP="00440509">
      <w:r w:rsidRPr="00544314">
        <w:t>The</w:t>
      </w:r>
      <w:r w:rsidR="000159A6">
        <w:t xml:space="preserve"> </w:t>
      </w:r>
      <w:r w:rsidRPr="00544314">
        <w:t>suggested</w:t>
      </w:r>
      <w:r w:rsidR="000159A6">
        <w:t xml:space="preserve"> </w:t>
      </w:r>
      <w:r w:rsidRPr="00544314">
        <w:t>wording</w:t>
      </w:r>
      <w:r w:rsidR="000159A6">
        <w:t xml:space="preserve"> </w:t>
      </w:r>
      <w:r w:rsidRPr="00544314">
        <w:t>is:</w:t>
      </w:r>
    </w:p>
    <w:p w14:paraId="0D0CB9B2" w14:textId="7525A99D" w:rsidR="00641638" w:rsidRPr="00641638" w:rsidRDefault="00641638" w:rsidP="00641638">
      <w:pPr>
        <w:ind w:left="720"/>
      </w:pPr>
      <w:r w:rsidRPr="00641638">
        <w:t>The</w:t>
      </w:r>
      <w:r w:rsidR="000159A6">
        <w:t xml:space="preserve"> </w:t>
      </w:r>
      <w:r w:rsidRPr="00641638">
        <w:t>Shingrix</w:t>
      </w:r>
      <w:r w:rsidR="000159A6">
        <w:t xml:space="preserve"> </w:t>
      </w:r>
      <w:r w:rsidRPr="00641638">
        <w:t>EU-Risk</w:t>
      </w:r>
      <w:r w:rsidR="000159A6">
        <w:t xml:space="preserve"> </w:t>
      </w:r>
      <w:r w:rsidRPr="00641638">
        <w:t>Management</w:t>
      </w:r>
      <w:r w:rsidR="000159A6">
        <w:t xml:space="preserve"> </w:t>
      </w:r>
      <w:r w:rsidRPr="00641638">
        <w:t>Plan</w:t>
      </w:r>
      <w:r w:rsidR="000159A6">
        <w:t xml:space="preserve"> </w:t>
      </w:r>
      <w:r w:rsidRPr="00641638">
        <w:t>(RMP)</w:t>
      </w:r>
      <w:r w:rsidR="000159A6">
        <w:t xml:space="preserve"> </w:t>
      </w:r>
      <w:r w:rsidRPr="00641638">
        <w:t>(version</w:t>
      </w:r>
      <w:r w:rsidR="000159A6">
        <w:t xml:space="preserve"> </w:t>
      </w:r>
      <w:r w:rsidRPr="00641638">
        <w:t>0.3,</w:t>
      </w:r>
      <w:r w:rsidR="000159A6">
        <w:t xml:space="preserve"> </w:t>
      </w:r>
      <w:r w:rsidRPr="00641638">
        <w:t>dated</w:t>
      </w:r>
      <w:r w:rsidR="000159A6">
        <w:t xml:space="preserve"> </w:t>
      </w:r>
      <w:r w:rsidRPr="00641638">
        <w:t>19</w:t>
      </w:r>
      <w:r w:rsidR="000159A6">
        <w:t xml:space="preserve"> </w:t>
      </w:r>
      <w:r w:rsidRPr="00641638">
        <w:t>December</w:t>
      </w:r>
      <w:r w:rsidR="000159A6">
        <w:t xml:space="preserve"> </w:t>
      </w:r>
      <w:r w:rsidRPr="00641638">
        <w:t>2017,</w:t>
      </w:r>
      <w:r w:rsidR="000159A6">
        <w:t xml:space="preserve"> </w:t>
      </w:r>
      <w:r w:rsidRPr="00641638">
        <w:t>data</w:t>
      </w:r>
      <w:r w:rsidR="000159A6">
        <w:t xml:space="preserve"> </w:t>
      </w:r>
      <w:r w:rsidRPr="00641638">
        <w:t>lock</w:t>
      </w:r>
      <w:r w:rsidR="000159A6">
        <w:t xml:space="preserve"> </w:t>
      </w:r>
      <w:r w:rsidRPr="00641638">
        <w:t>point</w:t>
      </w:r>
      <w:r w:rsidR="000159A6">
        <w:t xml:space="preserve"> </w:t>
      </w:r>
      <w:r w:rsidRPr="00641638">
        <w:t>12</w:t>
      </w:r>
      <w:r w:rsidR="000159A6">
        <w:t xml:space="preserve"> </w:t>
      </w:r>
      <w:r w:rsidRPr="00641638">
        <w:t>October</w:t>
      </w:r>
      <w:r w:rsidR="000159A6">
        <w:t xml:space="preserve"> </w:t>
      </w:r>
      <w:r w:rsidRPr="00641638">
        <w:t>2015),</w:t>
      </w:r>
      <w:r w:rsidR="000159A6">
        <w:t xml:space="preserve"> </w:t>
      </w:r>
      <w:r w:rsidRPr="00641638">
        <w:t>with</w:t>
      </w:r>
      <w:r w:rsidR="000159A6">
        <w:t xml:space="preserve"> </w:t>
      </w:r>
      <w:r w:rsidRPr="00641638">
        <w:t>Australian</w:t>
      </w:r>
      <w:r w:rsidR="000159A6">
        <w:t xml:space="preserve"> </w:t>
      </w:r>
      <w:r w:rsidRPr="00641638">
        <w:t>Specific</w:t>
      </w:r>
      <w:r w:rsidR="000159A6">
        <w:t xml:space="preserve"> </w:t>
      </w:r>
      <w:r w:rsidRPr="00641638">
        <w:t>Annex</w:t>
      </w:r>
      <w:r w:rsidR="000159A6">
        <w:t xml:space="preserve"> </w:t>
      </w:r>
      <w:r w:rsidRPr="00641638">
        <w:t>(version</w:t>
      </w:r>
      <w:r w:rsidR="000159A6">
        <w:t xml:space="preserve"> </w:t>
      </w:r>
      <w:r w:rsidRPr="00641638">
        <w:t>1,</w:t>
      </w:r>
      <w:r w:rsidR="000159A6">
        <w:t xml:space="preserve"> </w:t>
      </w:r>
      <w:r w:rsidRPr="00641638">
        <w:t>dated</w:t>
      </w:r>
      <w:r w:rsidR="000159A6">
        <w:t xml:space="preserve"> </w:t>
      </w:r>
      <w:r w:rsidRPr="00641638">
        <w:t>April</w:t>
      </w:r>
      <w:r w:rsidR="000159A6">
        <w:t xml:space="preserve"> </w:t>
      </w:r>
      <w:r w:rsidRPr="00641638">
        <w:t>2017),</w:t>
      </w:r>
      <w:r w:rsidR="000159A6">
        <w:t xml:space="preserve"> </w:t>
      </w:r>
      <w:r w:rsidRPr="00641638">
        <w:t>included</w:t>
      </w:r>
      <w:r w:rsidR="000159A6">
        <w:t xml:space="preserve"> </w:t>
      </w:r>
      <w:r w:rsidRPr="00641638">
        <w:t>with</w:t>
      </w:r>
      <w:r w:rsidR="000159A6">
        <w:t xml:space="preserve"> </w:t>
      </w:r>
      <w:r w:rsidRPr="00641638">
        <w:t>submission</w:t>
      </w:r>
      <w:r w:rsidR="000159A6">
        <w:t xml:space="preserve"> </w:t>
      </w:r>
      <w:r w:rsidRPr="00641638">
        <w:t>PM-2017-01784-1-2,</w:t>
      </w:r>
      <w:r w:rsidR="000159A6">
        <w:t xml:space="preserve"> </w:t>
      </w:r>
      <w:r w:rsidRPr="00641638">
        <w:t>and</w:t>
      </w:r>
      <w:r w:rsidR="000159A6">
        <w:t xml:space="preserve"> </w:t>
      </w:r>
      <w:r w:rsidRPr="00641638">
        <w:t>any</w:t>
      </w:r>
      <w:r w:rsidR="000159A6">
        <w:t xml:space="preserve"> </w:t>
      </w:r>
      <w:r w:rsidRPr="00641638">
        <w:t>subsequent</w:t>
      </w:r>
      <w:r w:rsidR="000159A6">
        <w:t xml:space="preserve"> </w:t>
      </w:r>
      <w:r w:rsidRPr="00641638">
        <w:t>revisions,</w:t>
      </w:r>
      <w:r w:rsidR="000159A6">
        <w:t xml:space="preserve"> </w:t>
      </w:r>
      <w:r w:rsidRPr="00641638">
        <w:t>as</w:t>
      </w:r>
      <w:r w:rsidR="000159A6">
        <w:t xml:space="preserve"> </w:t>
      </w:r>
      <w:r w:rsidRPr="00641638">
        <w:t>agreed</w:t>
      </w:r>
      <w:r w:rsidR="000159A6">
        <w:t xml:space="preserve"> </w:t>
      </w:r>
      <w:r w:rsidRPr="00641638">
        <w:t>with</w:t>
      </w:r>
      <w:r w:rsidR="000159A6">
        <w:t xml:space="preserve"> </w:t>
      </w:r>
      <w:r w:rsidRPr="00641638">
        <w:t>the</w:t>
      </w:r>
      <w:r w:rsidR="000159A6">
        <w:t xml:space="preserve"> </w:t>
      </w:r>
      <w:r w:rsidRPr="00641638">
        <w:t>TGA</w:t>
      </w:r>
      <w:r w:rsidR="000159A6">
        <w:t xml:space="preserve"> </w:t>
      </w:r>
      <w:r w:rsidRPr="00641638">
        <w:t>will</w:t>
      </w:r>
      <w:r w:rsidR="000159A6">
        <w:t xml:space="preserve"> </w:t>
      </w:r>
      <w:r w:rsidRPr="00641638">
        <w:t>be</w:t>
      </w:r>
      <w:r w:rsidR="000159A6">
        <w:t xml:space="preserve"> </w:t>
      </w:r>
      <w:r w:rsidRPr="00641638">
        <w:t>implemented</w:t>
      </w:r>
      <w:r w:rsidR="000159A6">
        <w:t xml:space="preserve"> </w:t>
      </w:r>
      <w:r w:rsidRPr="00641638">
        <w:t>in</w:t>
      </w:r>
      <w:r w:rsidR="000159A6">
        <w:t xml:space="preserve"> </w:t>
      </w:r>
      <w:r w:rsidRPr="00641638">
        <w:t>Australia.</w:t>
      </w:r>
    </w:p>
    <w:p w14:paraId="166FC8B0" w14:textId="249B1E1B" w:rsidR="00641638" w:rsidRPr="006207B7" w:rsidRDefault="00641638" w:rsidP="00641638">
      <w:r w:rsidRPr="006207B7">
        <w:t>The</w:t>
      </w:r>
      <w:r w:rsidR="000159A6">
        <w:t xml:space="preserve"> </w:t>
      </w:r>
      <w:r w:rsidRPr="006207B7">
        <w:t>following</w:t>
      </w:r>
      <w:r w:rsidR="000159A6">
        <w:t xml:space="preserve"> </w:t>
      </w:r>
      <w:r w:rsidRPr="006207B7">
        <w:t>wording</w:t>
      </w:r>
      <w:r w:rsidR="000159A6">
        <w:t xml:space="preserve"> </w:t>
      </w:r>
      <w:r w:rsidRPr="006207B7">
        <w:t>is</w:t>
      </w:r>
      <w:r w:rsidR="000159A6">
        <w:t xml:space="preserve"> </w:t>
      </w:r>
      <w:r w:rsidRPr="006207B7">
        <w:t>recommended</w:t>
      </w:r>
      <w:r w:rsidR="000159A6">
        <w:t xml:space="preserve"> </w:t>
      </w:r>
      <w:r w:rsidRPr="006207B7">
        <w:t>for</w:t>
      </w:r>
      <w:r w:rsidR="000159A6">
        <w:t xml:space="preserve"> </w:t>
      </w:r>
      <w:r w:rsidRPr="006207B7">
        <w:t>the</w:t>
      </w:r>
      <w:r w:rsidR="000159A6">
        <w:t xml:space="preserve"> </w:t>
      </w:r>
      <w:r w:rsidRPr="006207B7">
        <w:t>PSUR</w:t>
      </w:r>
      <w:r w:rsidR="000159A6">
        <w:t xml:space="preserve"> </w:t>
      </w:r>
      <w:r w:rsidRPr="006207B7">
        <w:t>requirement:</w:t>
      </w:r>
    </w:p>
    <w:p w14:paraId="5BEBD741" w14:textId="3C550713" w:rsidR="00641638" w:rsidRPr="00641638" w:rsidRDefault="00641638" w:rsidP="00641638">
      <w:pPr>
        <w:ind w:left="720"/>
      </w:pPr>
      <w:r w:rsidRPr="00641638">
        <w:t>An</w:t>
      </w:r>
      <w:r w:rsidR="000159A6">
        <w:t xml:space="preserve"> </w:t>
      </w:r>
      <w:r w:rsidRPr="00641638">
        <w:t>obligatory</w:t>
      </w:r>
      <w:r w:rsidR="000159A6">
        <w:t xml:space="preserve"> </w:t>
      </w:r>
      <w:r w:rsidRPr="00641638">
        <w:t>component</w:t>
      </w:r>
      <w:r w:rsidR="000159A6">
        <w:t xml:space="preserve"> </w:t>
      </w:r>
      <w:r w:rsidRPr="00641638">
        <w:t>of</w:t>
      </w:r>
      <w:r w:rsidR="000159A6">
        <w:t xml:space="preserve"> </w:t>
      </w:r>
      <w:r w:rsidRPr="00641638">
        <w:t>risk</w:t>
      </w:r>
      <w:r w:rsidR="000159A6">
        <w:t xml:space="preserve"> </w:t>
      </w:r>
      <w:r w:rsidRPr="00641638">
        <w:t>management</w:t>
      </w:r>
      <w:r w:rsidR="000159A6">
        <w:t xml:space="preserve"> </w:t>
      </w:r>
      <w:r w:rsidRPr="00641638">
        <w:t>plans</w:t>
      </w:r>
      <w:r w:rsidR="000159A6">
        <w:t xml:space="preserve"> </w:t>
      </w:r>
      <w:r w:rsidRPr="00641638">
        <w:t>is</w:t>
      </w:r>
      <w:r w:rsidR="000159A6">
        <w:t xml:space="preserve"> </w:t>
      </w:r>
      <w:r w:rsidRPr="00641638">
        <w:t>routine</w:t>
      </w:r>
      <w:r w:rsidR="000159A6">
        <w:t xml:space="preserve"> </w:t>
      </w:r>
      <w:r w:rsidRPr="00641638">
        <w:t>pharmacovigilance.</w:t>
      </w:r>
      <w:r w:rsidR="000159A6">
        <w:t xml:space="preserve"> </w:t>
      </w:r>
      <w:r w:rsidRPr="00641638">
        <w:t>Routine</w:t>
      </w:r>
      <w:r w:rsidR="000159A6">
        <w:t xml:space="preserve"> </w:t>
      </w:r>
      <w:r w:rsidRPr="00641638">
        <w:t>pharmacovigilance</w:t>
      </w:r>
      <w:r w:rsidR="000159A6">
        <w:t xml:space="preserve"> </w:t>
      </w:r>
      <w:r w:rsidRPr="00641638">
        <w:t>includes</w:t>
      </w:r>
      <w:r w:rsidR="000159A6">
        <w:t xml:space="preserve"> </w:t>
      </w:r>
      <w:r w:rsidRPr="00641638">
        <w:t>the</w:t>
      </w:r>
      <w:r w:rsidR="000159A6">
        <w:t xml:space="preserve"> </w:t>
      </w:r>
      <w:r w:rsidRPr="00641638">
        <w:t>submission</w:t>
      </w:r>
      <w:r w:rsidR="000159A6">
        <w:t xml:space="preserve"> </w:t>
      </w:r>
      <w:r w:rsidRPr="00641638">
        <w:t>of</w:t>
      </w:r>
      <w:r w:rsidR="000159A6">
        <w:t xml:space="preserve"> </w:t>
      </w:r>
      <w:r w:rsidRPr="00641638">
        <w:t>Periodic</w:t>
      </w:r>
      <w:r w:rsidR="000159A6">
        <w:t xml:space="preserve"> </w:t>
      </w:r>
      <w:r w:rsidRPr="00641638">
        <w:t>Safety</w:t>
      </w:r>
      <w:r w:rsidR="000159A6">
        <w:t xml:space="preserve"> </w:t>
      </w:r>
      <w:r w:rsidRPr="00641638">
        <w:t>Update</w:t>
      </w:r>
      <w:r w:rsidR="000159A6">
        <w:t xml:space="preserve"> </w:t>
      </w:r>
      <w:r w:rsidRPr="00641638">
        <w:t>Reports</w:t>
      </w:r>
      <w:r w:rsidR="000159A6">
        <w:t xml:space="preserve"> </w:t>
      </w:r>
      <w:r w:rsidRPr="00641638">
        <w:t>(PSURs).</w:t>
      </w:r>
      <w:r w:rsidR="000159A6">
        <w:t xml:space="preserve"> </w:t>
      </w:r>
      <w:r w:rsidRPr="00641638">
        <w:t>Reports</w:t>
      </w:r>
      <w:r w:rsidR="000159A6">
        <w:t xml:space="preserve"> </w:t>
      </w:r>
      <w:r w:rsidRPr="00641638">
        <w:t>are</w:t>
      </w:r>
      <w:r w:rsidR="000159A6">
        <w:t xml:space="preserve"> </w:t>
      </w:r>
      <w:r w:rsidRPr="00641638">
        <w:t>to</w:t>
      </w:r>
      <w:r w:rsidR="000159A6">
        <w:t xml:space="preserve"> </w:t>
      </w:r>
      <w:r w:rsidRPr="00641638">
        <w:t>be</w:t>
      </w:r>
      <w:r w:rsidR="000159A6">
        <w:t xml:space="preserve"> </w:t>
      </w:r>
      <w:r w:rsidRPr="00641638">
        <w:t>provided</w:t>
      </w:r>
      <w:r w:rsidR="000159A6">
        <w:t xml:space="preserve"> </w:t>
      </w:r>
      <w:r w:rsidRPr="00641638">
        <w:t>in</w:t>
      </w:r>
      <w:r w:rsidR="000159A6">
        <w:t xml:space="preserve"> </w:t>
      </w:r>
      <w:r w:rsidRPr="00641638">
        <w:t>line</w:t>
      </w:r>
      <w:r w:rsidR="000159A6">
        <w:t xml:space="preserve"> </w:t>
      </w:r>
      <w:r w:rsidRPr="00641638">
        <w:t>with</w:t>
      </w:r>
      <w:r w:rsidR="000159A6">
        <w:t xml:space="preserve"> </w:t>
      </w:r>
      <w:r w:rsidRPr="00641638">
        <w:t>the</w:t>
      </w:r>
      <w:r w:rsidR="000159A6">
        <w:t xml:space="preserve"> </w:t>
      </w:r>
      <w:r w:rsidRPr="00641638">
        <w:t>current</w:t>
      </w:r>
      <w:r w:rsidR="000159A6">
        <w:t xml:space="preserve"> </w:t>
      </w:r>
      <w:r w:rsidRPr="00641638">
        <w:t>published</w:t>
      </w:r>
      <w:r w:rsidR="000159A6">
        <w:t xml:space="preserve"> </w:t>
      </w:r>
      <w:r w:rsidRPr="00641638">
        <w:t>list</w:t>
      </w:r>
      <w:r w:rsidR="000159A6">
        <w:t xml:space="preserve"> </w:t>
      </w:r>
      <w:r w:rsidRPr="00641638">
        <w:t>of</w:t>
      </w:r>
      <w:r w:rsidR="000159A6">
        <w:t xml:space="preserve"> </w:t>
      </w:r>
      <w:r w:rsidRPr="00641638">
        <w:t>EU</w:t>
      </w:r>
      <w:r w:rsidR="000159A6">
        <w:t xml:space="preserve"> </w:t>
      </w:r>
      <w:r w:rsidRPr="00641638">
        <w:t>reference</w:t>
      </w:r>
      <w:r w:rsidR="000159A6">
        <w:t xml:space="preserve"> </w:t>
      </w:r>
      <w:r w:rsidRPr="00641638">
        <w:t>dates</w:t>
      </w:r>
      <w:r w:rsidR="000159A6">
        <w:t xml:space="preserve"> </w:t>
      </w:r>
      <w:r w:rsidRPr="00641638">
        <w:t>and</w:t>
      </w:r>
      <w:r w:rsidR="000159A6">
        <w:t xml:space="preserve"> </w:t>
      </w:r>
      <w:r w:rsidRPr="00641638">
        <w:t>frequency</w:t>
      </w:r>
      <w:r w:rsidR="000159A6">
        <w:t xml:space="preserve"> </w:t>
      </w:r>
      <w:r w:rsidRPr="00641638">
        <w:t>of</w:t>
      </w:r>
      <w:r w:rsidR="000159A6">
        <w:t xml:space="preserve"> </w:t>
      </w:r>
      <w:r w:rsidRPr="00641638">
        <w:t>submission</w:t>
      </w:r>
      <w:r w:rsidR="000159A6">
        <w:t xml:space="preserve"> </w:t>
      </w:r>
      <w:r w:rsidRPr="00641638">
        <w:t>of</w:t>
      </w:r>
      <w:r w:rsidR="000159A6">
        <w:t xml:space="preserve"> </w:t>
      </w:r>
      <w:r w:rsidRPr="00641638">
        <w:t>PSURs</w:t>
      </w:r>
      <w:r w:rsidR="000159A6">
        <w:t xml:space="preserve"> </w:t>
      </w:r>
      <w:r w:rsidRPr="00641638">
        <w:t>until</w:t>
      </w:r>
      <w:r w:rsidR="000159A6">
        <w:t xml:space="preserve"> </w:t>
      </w:r>
      <w:r w:rsidRPr="00641638">
        <w:t>the</w:t>
      </w:r>
      <w:r w:rsidR="000159A6">
        <w:t xml:space="preserve"> </w:t>
      </w:r>
      <w:r w:rsidRPr="00641638">
        <w:t>period</w:t>
      </w:r>
      <w:r w:rsidR="000159A6">
        <w:t xml:space="preserve"> </w:t>
      </w:r>
      <w:r w:rsidRPr="00641638">
        <w:t>covered</w:t>
      </w:r>
      <w:r w:rsidR="000159A6">
        <w:t xml:space="preserve"> </w:t>
      </w:r>
      <w:r w:rsidRPr="00641638">
        <w:t>by</w:t>
      </w:r>
      <w:r w:rsidR="000159A6">
        <w:t xml:space="preserve"> </w:t>
      </w:r>
      <w:r w:rsidRPr="00641638">
        <w:t>such</w:t>
      </w:r>
      <w:r w:rsidR="000159A6">
        <w:t xml:space="preserve"> </w:t>
      </w:r>
      <w:r w:rsidRPr="00641638">
        <w:t>reports</w:t>
      </w:r>
      <w:r w:rsidR="000159A6">
        <w:t xml:space="preserve"> </w:t>
      </w:r>
      <w:r w:rsidRPr="00641638">
        <w:t>is</w:t>
      </w:r>
      <w:r w:rsidR="000159A6">
        <w:t xml:space="preserve"> </w:t>
      </w:r>
      <w:r w:rsidRPr="00641638">
        <w:t>not</w:t>
      </w:r>
      <w:r w:rsidR="000159A6">
        <w:t xml:space="preserve"> </w:t>
      </w:r>
      <w:r w:rsidRPr="00641638">
        <w:t>less</w:t>
      </w:r>
      <w:r w:rsidR="000159A6">
        <w:t xml:space="preserve"> </w:t>
      </w:r>
      <w:r w:rsidRPr="00641638">
        <w:t>than</w:t>
      </w:r>
      <w:r w:rsidR="000159A6">
        <w:t xml:space="preserve"> </w:t>
      </w:r>
      <w:r w:rsidRPr="00641638">
        <w:t>three</w:t>
      </w:r>
      <w:r w:rsidR="000159A6">
        <w:t xml:space="preserve"> </w:t>
      </w:r>
      <w:r w:rsidRPr="00641638">
        <w:t>years</w:t>
      </w:r>
      <w:r w:rsidR="000159A6">
        <w:t xml:space="preserve"> </w:t>
      </w:r>
      <w:r w:rsidRPr="00641638">
        <w:t>from</w:t>
      </w:r>
      <w:r w:rsidR="000159A6">
        <w:t xml:space="preserve"> </w:t>
      </w:r>
      <w:r w:rsidRPr="00641638">
        <w:t>the</w:t>
      </w:r>
      <w:r w:rsidR="000159A6">
        <w:t xml:space="preserve"> </w:t>
      </w:r>
      <w:r w:rsidRPr="00641638">
        <w:t>date</w:t>
      </w:r>
      <w:r w:rsidR="000159A6">
        <w:t xml:space="preserve"> </w:t>
      </w:r>
      <w:r w:rsidRPr="00641638">
        <w:t>of</w:t>
      </w:r>
      <w:r w:rsidR="000159A6">
        <w:t xml:space="preserve"> </w:t>
      </w:r>
      <w:r w:rsidRPr="00641638">
        <w:t>this</w:t>
      </w:r>
      <w:r w:rsidR="000159A6">
        <w:t xml:space="preserve"> </w:t>
      </w:r>
      <w:r w:rsidRPr="00641638">
        <w:t>approval</w:t>
      </w:r>
      <w:r w:rsidR="000159A6">
        <w:t xml:space="preserve"> </w:t>
      </w:r>
      <w:r w:rsidRPr="00641638">
        <w:t>letter.</w:t>
      </w:r>
    </w:p>
    <w:p w14:paraId="7D0C46B2" w14:textId="41EFFE4A" w:rsidR="00641638" w:rsidRPr="00641638" w:rsidRDefault="00641638" w:rsidP="00641638">
      <w:pPr>
        <w:ind w:left="720"/>
      </w:pPr>
      <w:r w:rsidRPr="00641638">
        <w:t>The</w:t>
      </w:r>
      <w:r w:rsidR="000159A6">
        <w:t xml:space="preserve"> </w:t>
      </w:r>
      <w:r w:rsidRPr="00641638">
        <w:t>reports</w:t>
      </w:r>
      <w:r w:rsidR="000159A6">
        <w:t xml:space="preserve"> </w:t>
      </w:r>
      <w:r w:rsidRPr="00641638">
        <w:t>are</w:t>
      </w:r>
      <w:r w:rsidR="000159A6">
        <w:t xml:space="preserve"> </w:t>
      </w:r>
      <w:r w:rsidRPr="00641638">
        <w:t>to</w:t>
      </w:r>
      <w:r w:rsidR="000159A6">
        <w:t xml:space="preserve"> </w:t>
      </w:r>
      <w:r w:rsidRPr="00641638">
        <w:t>at</w:t>
      </w:r>
      <w:r w:rsidR="000159A6">
        <w:t xml:space="preserve"> </w:t>
      </w:r>
      <w:r w:rsidRPr="00641638">
        <w:t>least</w:t>
      </w:r>
      <w:r w:rsidR="000159A6">
        <w:t xml:space="preserve"> </w:t>
      </w:r>
      <w:r w:rsidRPr="00641638">
        <w:t>meet</w:t>
      </w:r>
      <w:r w:rsidR="000159A6">
        <w:t xml:space="preserve"> </w:t>
      </w:r>
      <w:r w:rsidRPr="00641638">
        <w:t>the</w:t>
      </w:r>
      <w:r w:rsidR="000159A6">
        <w:t xml:space="preserve"> </w:t>
      </w:r>
      <w:r w:rsidRPr="00641638">
        <w:t>requirements</w:t>
      </w:r>
      <w:r w:rsidR="000159A6">
        <w:t xml:space="preserve"> </w:t>
      </w:r>
      <w:r w:rsidRPr="00641638">
        <w:t>for</w:t>
      </w:r>
      <w:r w:rsidR="000159A6">
        <w:t xml:space="preserve"> </w:t>
      </w:r>
      <w:r w:rsidRPr="00641638">
        <w:t>PSURs</w:t>
      </w:r>
      <w:r w:rsidR="000159A6">
        <w:t xml:space="preserve"> </w:t>
      </w:r>
      <w:r w:rsidRPr="00641638">
        <w:t>as</w:t>
      </w:r>
      <w:r w:rsidR="000159A6">
        <w:t xml:space="preserve"> </w:t>
      </w:r>
      <w:r w:rsidRPr="00641638">
        <w:t>described</w:t>
      </w:r>
      <w:r w:rsidR="000159A6">
        <w:t xml:space="preserve"> </w:t>
      </w:r>
      <w:r w:rsidRPr="00641638">
        <w:t>in</w:t>
      </w:r>
      <w:r w:rsidR="000159A6">
        <w:t xml:space="preserve"> </w:t>
      </w:r>
      <w:r w:rsidRPr="00641638">
        <w:t>the</w:t>
      </w:r>
      <w:r w:rsidR="000159A6">
        <w:t xml:space="preserve"> </w:t>
      </w:r>
      <w:r w:rsidRPr="00641638">
        <w:t>European</w:t>
      </w:r>
      <w:r w:rsidR="000159A6">
        <w:t xml:space="preserve"> </w:t>
      </w:r>
      <w:r w:rsidRPr="00641638">
        <w:t>Medicines</w:t>
      </w:r>
      <w:r w:rsidR="000159A6">
        <w:t xml:space="preserve"> </w:t>
      </w:r>
      <w:r w:rsidRPr="00641638">
        <w:t>Agency’s</w:t>
      </w:r>
      <w:r w:rsidR="000159A6">
        <w:t xml:space="preserve"> </w:t>
      </w:r>
      <w:r w:rsidRPr="00641638">
        <w:t>Guideline</w:t>
      </w:r>
      <w:r w:rsidR="000159A6">
        <w:t xml:space="preserve"> </w:t>
      </w:r>
      <w:r w:rsidRPr="00641638">
        <w:t>on</w:t>
      </w:r>
      <w:r w:rsidR="000159A6">
        <w:t xml:space="preserve"> </w:t>
      </w:r>
      <w:r w:rsidRPr="00641638">
        <w:t>good</w:t>
      </w:r>
      <w:r w:rsidR="000159A6">
        <w:t xml:space="preserve"> </w:t>
      </w:r>
      <w:r w:rsidRPr="00641638">
        <w:t>pharmacovigilance</w:t>
      </w:r>
      <w:r w:rsidR="000159A6">
        <w:t xml:space="preserve"> </w:t>
      </w:r>
      <w:r w:rsidRPr="00641638">
        <w:t>practices</w:t>
      </w:r>
      <w:r w:rsidR="000159A6">
        <w:t xml:space="preserve"> </w:t>
      </w:r>
      <w:r w:rsidRPr="00641638">
        <w:t>(GVP)</w:t>
      </w:r>
      <w:r w:rsidR="000159A6">
        <w:t xml:space="preserve"> </w:t>
      </w:r>
      <w:r w:rsidRPr="00641638">
        <w:t>Module</w:t>
      </w:r>
      <w:r w:rsidR="000159A6">
        <w:t xml:space="preserve"> </w:t>
      </w:r>
      <w:r w:rsidRPr="00641638">
        <w:t>VII-Periodic</w:t>
      </w:r>
      <w:r w:rsidR="000159A6">
        <w:t xml:space="preserve"> </w:t>
      </w:r>
      <w:r w:rsidRPr="00641638">
        <w:t>Safety</w:t>
      </w:r>
      <w:r w:rsidR="000159A6">
        <w:t xml:space="preserve"> </w:t>
      </w:r>
      <w:r w:rsidRPr="00641638">
        <w:t>Update</w:t>
      </w:r>
      <w:r w:rsidR="000159A6">
        <w:t xml:space="preserve"> </w:t>
      </w:r>
      <w:r w:rsidRPr="00641638">
        <w:t>Report</w:t>
      </w:r>
      <w:r w:rsidR="000159A6">
        <w:t xml:space="preserve"> </w:t>
      </w:r>
      <w:r w:rsidRPr="00641638">
        <w:t>(Rev</w:t>
      </w:r>
      <w:r w:rsidR="000159A6">
        <w:t xml:space="preserve"> </w:t>
      </w:r>
      <w:r w:rsidRPr="00641638">
        <w:t>1),</w:t>
      </w:r>
      <w:r w:rsidR="000159A6">
        <w:t xml:space="preserve"> </w:t>
      </w:r>
      <w:r w:rsidRPr="00641638">
        <w:t>Part</w:t>
      </w:r>
      <w:r w:rsidR="000159A6">
        <w:t xml:space="preserve"> </w:t>
      </w:r>
      <w:r w:rsidRPr="00641638">
        <w:t>VII.B</w:t>
      </w:r>
      <w:r w:rsidR="000159A6">
        <w:t xml:space="preserve"> </w:t>
      </w:r>
      <w:r w:rsidRPr="00641638">
        <w:t>Structures</w:t>
      </w:r>
      <w:r w:rsidR="000159A6">
        <w:t xml:space="preserve"> </w:t>
      </w:r>
      <w:r w:rsidRPr="00641638">
        <w:t>and</w:t>
      </w:r>
      <w:r w:rsidR="000159A6">
        <w:t xml:space="preserve"> </w:t>
      </w:r>
      <w:r w:rsidRPr="00641638">
        <w:t>processes.</w:t>
      </w:r>
      <w:r w:rsidR="000159A6">
        <w:t xml:space="preserve"> </w:t>
      </w:r>
      <w:r w:rsidRPr="00641638">
        <w:t>Note</w:t>
      </w:r>
      <w:r w:rsidR="000159A6">
        <w:t xml:space="preserve"> </w:t>
      </w:r>
      <w:r w:rsidRPr="00641638">
        <w:t>that</w:t>
      </w:r>
      <w:r w:rsidR="000159A6">
        <w:t xml:space="preserve"> </w:t>
      </w:r>
      <w:r w:rsidRPr="00641638">
        <w:t>submission</w:t>
      </w:r>
      <w:r w:rsidR="000159A6">
        <w:t xml:space="preserve"> </w:t>
      </w:r>
      <w:r w:rsidRPr="00641638">
        <w:t>of</w:t>
      </w:r>
      <w:r w:rsidR="000159A6">
        <w:t xml:space="preserve"> </w:t>
      </w:r>
      <w:r w:rsidRPr="00641638">
        <w:t>a</w:t>
      </w:r>
      <w:r w:rsidR="000159A6">
        <w:t xml:space="preserve"> </w:t>
      </w:r>
      <w:r w:rsidRPr="00641638">
        <w:t>PSUR</w:t>
      </w:r>
      <w:r w:rsidR="000159A6">
        <w:t xml:space="preserve"> </w:t>
      </w:r>
      <w:r w:rsidRPr="00641638">
        <w:t>does</w:t>
      </w:r>
      <w:r w:rsidR="000159A6">
        <w:t xml:space="preserve"> </w:t>
      </w:r>
      <w:r w:rsidRPr="00641638">
        <w:t>not</w:t>
      </w:r>
      <w:r w:rsidR="000159A6">
        <w:t xml:space="preserve"> </w:t>
      </w:r>
      <w:r w:rsidRPr="00641638">
        <w:t>constitute</w:t>
      </w:r>
      <w:r w:rsidR="000159A6">
        <w:t xml:space="preserve"> </w:t>
      </w:r>
      <w:r w:rsidRPr="00641638">
        <w:t>an</w:t>
      </w:r>
      <w:r w:rsidR="000159A6">
        <w:t xml:space="preserve"> </w:t>
      </w:r>
      <w:r w:rsidRPr="00641638">
        <w:t>application</w:t>
      </w:r>
      <w:r w:rsidR="000159A6">
        <w:t xml:space="preserve"> </w:t>
      </w:r>
      <w:r w:rsidRPr="00641638">
        <w:t>to</w:t>
      </w:r>
      <w:r w:rsidR="000159A6">
        <w:t xml:space="preserve"> </w:t>
      </w:r>
      <w:r w:rsidRPr="00641638">
        <w:t>vary</w:t>
      </w:r>
      <w:r w:rsidR="000159A6">
        <w:t xml:space="preserve"> </w:t>
      </w:r>
      <w:r w:rsidRPr="00641638">
        <w:t>the</w:t>
      </w:r>
      <w:r w:rsidR="000159A6">
        <w:t xml:space="preserve"> </w:t>
      </w:r>
      <w:r w:rsidRPr="00641638">
        <w:t>registration.</w:t>
      </w:r>
      <w:r w:rsidR="000159A6">
        <w:t xml:space="preserve"> </w:t>
      </w:r>
      <w:r w:rsidRPr="00641638">
        <w:t>Each</w:t>
      </w:r>
      <w:r w:rsidR="000159A6">
        <w:t xml:space="preserve"> </w:t>
      </w:r>
      <w:r w:rsidRPr="00641638">
        <w:t>report</w:t>
      </w:r>
      <w:r w:rsidR="000159A6">
        <w:t xml:space="preserve"> </w:t>
      </w:r>
      <w:r w:rsidRPr="00641638">
        <w:t>must</w:t>
      </w:r>
      <w:r w:rsidR="000159A6">
        <w:t xml:space="preserve"> </w:t>
      </w:r>
      <w:r w:rsidRPr="00641638">
        <w:t>have</w:t>
      </w:r>
      <w:r w:rsidR="000159A6">
        <w:t xml:space="preserve"> </w:t>
      </w:r>
      <w:r w:rsidRPr="00641638">
        <w:t>been</w:t>
      </w:r>
      <w:r w:rsidR="000159A6">
        <w:t xml:space="preserve"> </w:t>
      </w:r>
      <w:r w:rsidRPr="00641638">
        <w:t>prepared</w:t>
      </w:r>
      <w:r w:rsidR="000159A6">
        <w:t xml:space="preserve"> </w:t>
      </w:r>
      <w:r w:rsidRPr="00641638">
        <w:t>within</w:t>
      </w:r>
      <w:r w:rsidR="000159A6">
        <w:t xml:space="preserve"> </w:t>
      </w:r>
      <w:r w:rsidRPr="00641638">
        <w:t>ninety</w:t>
      </w:r>
      <w:r w:rsidR="000159A6">
        <w:t xml:space="preserve"> </w:t>
      </w:r>
      <w:r w:rsidRPr="00641638">
        <w:t>calendar</w:t>
      </w:r>
      <w:r w:rsidR="000159A6">
        <w:t xml:space="preserve"> </w:t>
      </w:r>
      <w:r w:rsidRPr="00641638">
        <w:t>days</w:t>
      </w:r>
      <w:r w:rsidR="000159A6">
        <w:t xml:space="preserve"> </w:t>
      </w:r>
      <w:r w:rsidRPr="00641638">
        <w:t>of</w:t>
      </w:r>
      <w:r w:rsidR="000159A6">
        <w:t xml:space="preserve"> </w:t>
      </w:r>
      <w:r w:rsidRPr="00641638">
        <w:t>the</w:t>
      </w:r>
      <w:r w:rsidR="000159A6">
        <w:t xml:space="preserve"> </w:t>
      </w:r>
      <w:r w:rsidRPr="00641638">
        <w:t>data</w:t>
      </w:r>
      <w:r w:rsidR="000159A6">
        <w:t xml:space="preserve"> </w:t>
      </w:r>
      <w:r w:rsidRPr="00641638">
        <w:t>lock</w:t>
      </w:r>
      <w:r w:rsidR="000159A6">
        <w:t xml:space="preserve"> </w:t>
      </w:r>
      <w:r w:rsidRPr="00641638">
        <w:t>point</w:t>
      </w:r>
      <w:r w:rsidR="000159A6">
        <w:t xml:space="preserve"> </w:t>
      </w:r>
      <w:r w:rsidRPr="00641638">
        <w:t>for</w:t>
      </w:r>
      <w:r w:rsidR="000159A6">
        <w:t xml:space="preserve"> </w:t>
      </w:r>
      <w:r w:rsidRPr="00641638">
        <w:t>that</w:t>
      </w:r>
      <w:r w:rsidR="000159A6">
        <w:t xml:space="preserve"> </w:t>
      </w:r>
      <w:r w:rsidRPr="00641638">
        <w:t>report.</w:t>
      </w:r>
    </w:p>
    <w:p w14:paraId="54D75980" w14:textId="7C39A5CC" w:rsidR="00641638" w:rsidRPr="00E0609F" w:rsidRDefault="00641638" w:rsidP="00440509">
      <w:r w:rsidRPr="00641638">
        <w:t>As</w:t>
      </w:r>
      <w:r w:rsidR="000159A6">
        <w:t xml:space="preserve"> </w:t>
      </w:r>
      <w:r w:rsidRPr="00641638">
        <w:t>Shingrix</w:t>
      </w:r>
      <w:r w:rsidR="000159A6">
        <w:t xml:space="preserve"> </w:t>
      </w:r>
      <w:r w:rsidRPr="00E0609F">
        <w:t>is</w:t>
      </w:r>
      <w:r w:rsidR="000159A6">
        <w:t xml:space="preserve"> </w:t>
      </w:r>
      <w:r w:rsidRPr="00E0609F">
        <w:t>a</w:t>
      </w:r>
      <w:r w:rsidR="000159A6">
        <w:t xml:space="preserve"> </w:t>
      </w:r>
      <w:r w:rsidRPr="00E0609F">
        <w:t>new</w:t>
      </w:r>
      <w:r w:rsidR="000159A6">
        <w:t xml:space="preserve"> </w:t>
      </w:r>
      <w:r w:rsidRPr="00E0609F">
        <w:t>biological</w:t>
      </w:r>
      <w:r w:rsidR="000159A6">
        <w:t xml:space="preserve"> </w:t>
      </w:r>
      <w:r w:rsidRPr="00E0609F">
        <w:t>entity</w:t>
      </w:r>
      <w:r w:rsidR="000159A6">
        <w:t xml:space="preserve"> </w:t>
      </w:r>
      <w:r w:rsidRPr="00E0609F">
        <w:t>it</w:t>
      </w:r>
      <w:r w:rsidR="000159A6">
        <w:t xml:space="preserve"> </w:t>
      </w:r>
      <w:r w:rsidRPr="00E0609F">
        <w:t>should</w:t>
      </w:r>
      <w:r w:rsidR="000159A6">
        <w:t xml:space="preserve"> </w:t>
      </w:r>
      <w:r w:rsidRPr="00E0609F">
        <w:t>be</w:t>
      </w:r>
      <w:r w:rsidR="000159A6">
        <w:t xml:space="preserve"> </w:t>
      </w:r>
      <w:r w:rsidRPr="00E0609F">
        <w:t>included</w:t>
      </w:r>
      <w:r w:rsidR="000159A6">
        <w:t xml:space="preserve"> </w:t>
      </w:r>
      <w:r w:rsidRPr="00E0609F">
        <w:t>in</w:t>
      </w:r>
      <w:r w:rsidR="000159A6">
        <w:t xml:space="preserve"> </w:t>
      </w:r>
      <w:r w:rsidRPr="00E0609F">
        <w:t>the</w:t>
      </w:r>
      <w:r w:rsidR="000159A6">
        <w:t xml:space="preserve"> </w:t>
      </w:r>
      <w:r w:rsidRPr="00E0609F">
        <w:t>Black</w:t>
      </w:r>
      <w:r w:rsidR="000159A6">
        <w:t xml:space="preserve"> </w:t>
      </w:r>
      <w:r w:rsidRPr="00E0609F">
        <w:t>Triangle</w:t>
      </w:r>
      <w:r w:rsidR="000159A6">
        <w:t xml:space="preserve"> </w:t>
      </w:r>
      <w:r w:rsidRPr="00E0609F">
        <w:t>Scheme</w:t>
      </w:r>
      <w:r w:rsidR="000159A6">
        <w:t xml:space="preserve"> </w:t>
      </w:r>
      <w:r w:rsidRPr="00E0609F">
        <w:t>as</w:t>
      </w:r>
      <w:r w:rsidR="000159A6">
        <w:t xml:space="preserve"> </w:t>
      </w:r>
      <w:r w:rsidRPr="00E0609F">
        <w:t>a</w:t>
      </w:r>
      <w:r w:rsidR="000159A6">
        <w:t xml:space="preserve"> </w:t>
      </w:r>
      <w:r w:rsidRPr="00E0609F">
        <w:t>condition</w:t>
      </w:r>
      <w:r w:rsidR="000159A6">
        <w:t xml:space="preserve"> </w:t>
      </w:r>
      <w:r w:rsidRPr="00E0609F">
        <w:t>of</w:t>
      </w:r>
      <w:r w:rsidR="000159A6">
        <w:t xml:space="preserve"> </w:t>
      </w:r>
      <w:r w:rsidRPr="00E0609F">
        <w:t>registration.</w:t>
      </w:r>
      <w:r w:rsidR="000159A6">
        <w:t xml:space="preserve"> </w:t>
      </w:r>
      <w:r w:rsidRPr="00E0609F">
        <w:t>The</w:t>
      </w:r>
      <w:r w:rsidR="000159A6">
        <w:t xml:space="preserve"> </w:t>
      </w:r>
      <w:r w:rsidRPr="00E0609F">
        <w:t>following</w:t>
      </w:r>
      <w:r w:rsidR="000159A6">
        <w:t xml:space="preserve"> </w:t>
      </w:r>
      <w:r w:rsidRPr="00E0609F">
        <w:t>wording</w:t>
      </w:r>
      <w:r w:rsidR="000159A6">
        <w:t xml:space="preserve"> </w:t>
      </w:r>
      <w:r w:rsidRPr="00E0609F">
        <w:t>is</w:t>
      </w:r>
      <w:r w:rsidR="000159A6">
        <w:t xml:space="preserve"> </w:t>
      </w:r>
      <w:r w:rsidRPr="00E0609F">
        <w:t>recommended</w:t>
      </w:r>
      <w:r w:rsidR="000159A6">
        <w:t xml:space="preserve"> </w:t>
      </w:r>
      <w:r w:rsidRPr="00E0609F">
        <w:t>for</w:t>
      </w:r>
      <w:r w:rsidR="000159A6">
        <w:t xml:space="preserve"> </w:t>
      </w:r>
      <w:r w:rsidRPr="00E0609F">
        <w:t>the</w:t>
      </w:r>
      <w:r w:rsidR="000159A6">
        <w:t xml:space="preserve"> </w:t>
      </w:r>
      <w:r w:rsidRPr="00E0609F">
        <w:t>condition</w:t>
      </w:r>
      <w:r w:rsidR="000159A6">
        <w:t xml:space="preserve"> </w:t>
      </w:r>
      <w:r w:rsidRPr="00E0609F">
        <w:t>of</w:t>
      </w:r>
      <w:r w:rsidR="000159A6">
        <w:t xml:space="preserve"> </w:t>
      </w:r>
      <w:r w:rsidRPr="00E0609F">
        <w:t>registration:</w:t>
      </w:r>
    </w:p>
    <w:p w14:paraId="3DEA09BB" w14:textId="562028CB" w:rsidR="00641638" w:rsidRPr="00641638" w:rsidRDefault="00733CE8" w:rsidP="00641638">
      <w:pPr>
        <w:ind w:left="720"/>
      </w:pPr>
      <w:r>
        <w:t>‘</w:t>
      </w:r>
      <w:r w:rsidR="00641638" w:rsidRPr="00641638">
        <w:t>Shingrix</w:t>
      </w:r>
      <w:r w:rsidR="000159A6">
        <w:t xml:space="preserve"> </w:t>
      </w:r>
      <w:r w:rsidR="00641638" w:rsidRPr="00641638">
        <w:t>(</w:t>
      </w:r>
      <w:r w:rsidR="0037169B" w:rsidRPr="00641638">
        <w:t>recombinant</w:t>
      </w:r>
      <w:r w:rsidR="000159A6">
        <w:t xml:space="preserve"> </w:t>
      </w:r>
      <w:r w:rsidR="0037169B" w:rsidRPr="00641638">
        <w:t>varicella</w:t>
      </w:r>
      <w:r w:rsidR="000159A6">
        <w:t xml:space="preserve"> </w:t>
      </w:r>
      <w:r w:rsidR="0037169B" w:rsidRPr="00641638">
        <w:t>zoster</w:t>
      </w:r>
      <w:r w:rsidR="000159A6">
        <w:t xml:space="preserve"> </w:t>
      </w:r>
      <w:r w:rsidR="0037169B" w:rsidRPr="00641638">
        <w:t>virus</w:t>
      </w:r>
      <w:r w:rsidR="000159A6">
        <w:t xml:space="preserve"> </w:t>
      </w:r>
      <w:r w:rsidR="0037169B" w:rsidRPr="00641638">
        <w:t>glycoprotein</w:t>
      </w:r>
      <w:r w:rsidR="000159A6">
        <w:t xml:space="preserve"> </w:t>
      </w:r>
      <w:r w:rsidR="0037169B">
        <w:t>E</w:t>
      </w:r>
      <w:r w:rsidR="000159A6">
        <w:t xml:space="preserve"> </w:t>
      </w:r>
      <w:r w:rsidR="0037169B" w:rsidRPr="00641638">
        <w:t>antigen</w:t>
      </w:r>
      <w:r w:rsidR="00641638" w:rsidRPr="00641638">
        <w:t>)</w:t>
      </w:r>
      <w:r w:rsidR="000159A6">
        <w:t xml:space="preserve"> </w:t>
      </w:r>
      <w:r w:rsidR="00641638" w:rsidRPr="00641638">
        <w:t>is</w:t>
      </w:r>
      <w:r w:rsidR="000159A6">
        <w:t xml:space="preserve"> </w:t>
      </w:r>
      <w:r w:rsidR="00641638" w:rsidRPr="00641638">
        <w:t>to</w:t>
      </w:r>
      <w:r w:rsidR="000159A6">
        <w:t xml:space="preserve"> </w:t>
      </w:r>
      <w:r w:rsidR="00641638" w:rsidRPr="00641638">
        <w:t>be</w:t>
      </w:r>
      <w:r w:rsidR="000159A6">
        <w:t xml:space="preserve"> </w:t>
      </w:r>
      <w:r w:rsidR="00641638" w:rsidRPr="00641638">
        <w:t>included</w:t>
      </w:r>
      <w:r w:rsidR="000159A6">
        <w:t xml:space="preserve"> </w:t>
      </w:r>
      <w:r w:rsidR="00641638" w:rsidRPr="00641638">
        <w:t>in</w:t>
      </w:r>
      <w:r w:rsidR="000159A6">
        <w:t xml:space="preserve"> </w:t>
      </w:r>
      <w:r w:rsidR="00641638" w:rsidRPr="00641638">
        <w:t>the</w:t>
      </w:r>
      <w:r w:rsidR="000159A6">
        <w:t xml:space="preserve"> </w:t>
      </w:r>
      <w:r w:rsidR="00641638" w:rsidRPr="00641638">
        <w:t>Black</w:t>
      </w:r>
      <w:r w:rsidR="000159A6">
        <w:t xml:space="preserve"> </w:t>
      </w:r>
      <w:r w:rsidR="00641638" w:rsidRPr="00641638">
        <w:t>Triangle</w:t>
      </w:r>
      <w:r w:rsidR="000159A6">
        <w:t xml:space="preserve"> </w:t>
      </w:r>
      <w:r w:rsidR="00641638" w:rsidRPr="00641638">
        <w:t>Scheme.</w:t>
      </w:r>
      <w:r w:rsidR="000159A6">
        <w:t xml:space="preserve"> </w:t>
      </w:r>
      <w:r w:rsidR="00641638" w:rsidRPr="00641638">
        <w:t>The</w:t>
      </w:r>
      <w:r w:rsidR="000159A6">
        <w:t xml:space="preserve"> </w:t>
      </w:r>
      <w:r w:rsidR="00641638" w:rsidRPr="00641638">
        <w:t>PI</w:t>
      </w:r>
      <w:r w:rsidR="000159A6">
        <w:t xml:space="preserve"> </w:t>
      </w:r>
      <w:r w:rsidR="00641638" w:rsidRPr="00641638">
        <w:t>and</w:t>
      </w:r>
      <w:r w:rsidR="000159A6">
        <w:t xml:space="preserve"> </w:t>
      </w:r>
      <w:r w:rsidR="00641638" w:rsidRPr="00641638">
        <w:t>CMI</w:t>
      </w:r>
      <w:r w:rsidR="000159A6">
        <w:t xml:space="preserve"> </w:t>
      </w:r>
      <w:r w:rsidR="00641638" w:rsidRPr="00641638">
        <w:t>for</w:t>
      </w:r>
      <w:r w:rsidR="000159A6">
        <w:t xml:space="preserve"> </w:t>
      </w:r>
      <w:r w:rsidR="00641638" w:rsidRPr="00641638">
        <w:t>Shingrix</w:t>
      </w:r>
      <w:r w:rsidR="000159A6">
        <w:t xml:space="preserve"> </w:t>
      </w:r>
      <w:r w:rsidR="00641638" w:rsidRPr="00641638">
        <w:t>must</w:t>
      </w:r>
      <w:r w:rsidR="000159A6">
        <w:t xml:space="preserve"> </w:t>
      </w:r>
      <w:r w:rsidR="00641638" w:rsidRPr="00641638">
        <w:t>include</w:t>
      </w:r>
      <w:r w:rsidR="000159A6">
        <w:t xml:space="preserve"> </w:t>
      </w:r>
      <w:r w:rsidR="00641638" w:rsidRPr="00641638">
        <w:t>the</w:t>
      </w:r>
      <w:r w:rsidR="000159A6">
        <w:t xml:space="preserve"> </w:t>
      </w:r>
      <w:r w:rsidR="00641638" w:rsidRPr="00641638">
        <w:t>black</w:t>
      </w:r>
      <w:r w:rsidR="000159A6">
        <w:t xml:space="preserve"> </w:t>
      </w:r>
      <w:r w:rsidR="00641638" w:rsidRPr="00641638">
        <w:t>triangle</w:t>
      </w:r>
      <w:r w:rsidR="000159A6">
        <w:t xml:space="preserve"> </w:t>
      </w:r>
      <w:r w:rsidR="00641638" w:rsidRPr="00641638">
        <w:t>symbol</w:t>
      </w:r>
      <w:r w:rsidR="000159A6">
        <w:t xml:space="preserve"> </w:t>
      </w:r>
      <w:r w:rsidR="00641638" w:rsidRPr="00641638">
        <w:t>and</w:t>
      </w:r>
      <w:r w:rsidR="000159A6">
        <w:t xml:space="preserve"> </w:t>
      </w:r>
      <w:r w:rsidR="00641638" w:rsidRPr="00641638">
        <w:t>mandatory</w:t>
      </w:r>
      <w:r w:rsidR="000159A6">
        <w:t xml:space="preserve"> </w:t>
      </w:r>
      <w:r w:rsidR="00641638" w:rsidRPr="00641638">
        <w:t>accompanying</w:t>
      </w:r>
      <w:r w:rsidR="000159A6">
        <w:t xml:space="preserve"> </w:t>
      </w:r>
      <w:r w:rsidR="00641638" w:rsidRPr="00641638">
        <w:t>text</w:t>
      </w:r>
      <w:r w:rsidR="000159A6">
        <w:t xml:space="preserve"> </w:t>
      </w:r>
      <w:r w:rsidR="00641638" w:rsidRPr="00641638">
        <w:t>for</w:t>
      </w:r>
      <w:r w:rsidR="000159A6">
        <w:t xml:space="preserve"> </w:t>
      </w:r>
      <w:r w:rsidR="00641638" w:rsidRPr="00641638">
        <w:t>five</w:t>
      </w:r>
      <w:r w:rsidR="000159A6">
        <w:t xml:space="preserve"> </w:t>
      </w:r>
      <w:r w:rsidR="00641638" w:rsidRPr="00641638">
        <w:t>years,</w:t>
      </w:r>
      <w:r w:rsidR="000159A6">
        <w:t xml:space="preserve"> </w:t>
      </w:r>
      <w:r w:rsidR="00641638" w:rsidRPr="00641638">
        <w:t>which</w:t>
      </w:r>
      <w:r w:rsidR="000159A6">
        <w:t xml:space="preserve"> </w:t>
      </w:r>
      <w:r w:rsidR="00641638" w:rsidRPr="00641638">
        <w:t>starts</w:t>
      </w:r>
      <w:r w:rsidR="000159A6">
        <w:t xml:space="preserve"> </w:t>
      </w:r>
      <w:r w:rsidR="00641638" w:rsidRPr="00641638">
        <w:t>from</w:t>
      </w:r>
      <w:r w:rsidR="000159A6">
        <w:t xml:space="preserve"> </w:t>
      </w:r>
      <w:r w:rsidR="00641638" w:rsidRPr="00641638">
        <w:t>the</w:t>
      </w:r>
      <w:r w:rsidR="000159A6">
        <w:t xml:space="preserve"> </w:t>
      </w:r>
      <w:r w:rsidR="00641638" w:rsidRPr="00641638">
        <w:t>date</w:t>
      </w:r>
      <w:r w:rsidR="000159A6">
        <w:t xml:space="preserve"> </w:t>
      </w:r>
      <w:r w:rsidR="00641638" w:rsidRPr="00641638">
        <w:t>that</w:t>
      </w:r>
      <w:r w:rsidR="000159A6">
        <w:t xml:space="preserve"> </w:t>
      </w:r>
      <w:r w:rsidR="00641638" w:rsidRPr="00641638">
        <w:t>the</w:t>
      </w:r>
      <w:r w:rsidR="000159A6">
        <w:t xml:space="preserve"> </w:t>
      </w:r>
      <w:r w:rsidR="00641638" w:rsidRPr="00641638">
        <w:t>sponsor</w:t>
      </w:r>
      <w:r w:rsidR="000159A6">
        <w:t xml:space="preserve"> </w:t>
      </w:r>
      <w:r w:rsidR="00641638" w:rsidRPr="00641638">
        <w:t>notifies</w:t>
      </w:r>
      <w:r w:rsidR="000159A6">
        <w:t xml:space="preserve"> </w:t>
      </w:r>
      <w:r w:rsidR="00641638" w:rsidRPr="00641638">
        <w:t>the</w:t>
      </w:r>
      <w:r w:rsidR="000159A6">
        <w:t xml:space="preserve"> </w:t>
      </w:r>
      <w:r w:rsidR="00641638" w:rsidRPr="00641638">
        <w:t>TGA</w:t>
      </w:r>
      <w:r w:rsidR="000159A6">
        <w:t xml:space="preserve"> </w:t>
      </w:r>
      <w:r w:rsidR="00641638" w:rsidRPr="00641638">
        <w:t>of</w:t>
      </w:r>
      <w:r w:rsidR="000159A6">
        <w:t xml:space="preserve"> </w:t>
      </w:r>
      <w:r w:rsidR="00641638" w:rsidRPr="00641638">
        <w:t>supply</w:t>
      </w:r>
      <w:r w:rsidR="000159A6">
        <w:t xml:space="preserve"> </w:t>
      </w:r>
      <w:r w:rsidR="00641638" w:rsidRPr="00641638">
        <w:t>of</w:t>
      </w:r>
      <w:r w:rsidR="000159A6">
        <w:t xml:space="preserve"> </w:t>
      </w:r>
      <w:r w:rsidR="00641638" w:rsidRPr="00641638">
        <w:t>the</w:t>
      </w:r>
      <w:r w:rsidR="000159A6">
        <w:t xml:space="preserve"> </w:t>
      </w:r>
      <w:r w:rsidR="00641638" w:rsidRPr="00641638">
        <w:t>product.</w:t>
      </w:r>
    </w:p>
    <w:p w14:paraId="563A9379" w14:textId="3BA6EF2F" w:rsidR="00641638" w:rsidRPr="00E021B7" w:rsidRDefault="00641638" w:rsidP="00440509">
      <w:pPr>
        <w:pStyle w:val="Heading4"/>
      </w:pPr>
      <w:bookmarkStart w:id="233" w:name="_Toc509407411"/>
      <w:r w:rsidRPr="00E021B7">
        <w:t>Other</w:t>
      </w:r>
      <w:r w:rsidR="000159A6" w:rsidRPr="00E021B7">
        <w:t xml:space="preserve"> </w:t>
      </w:r>
      <w:r w:rsidRPr="00E021B7">
        <w:t>advice</w:t>
      </w:r>
      <w:r w:rsidR="000159A6" w:rsidRPr="00E021B7">
        <w:t xml:space="preserve"> </w:t>
      </w:r>
      <w:r w:rsidRPr="00E021B7">
        <w:t>to</w:t>
      </w:r>
      <w:r w:rsidR="000159A6" w:rsidRPr="00E021B7">
        <w:t xml:space="preserve"> </w:t>
      </w:r>
      <w:r w:rsidRPr="00E021B7">
        <w:t>the</w:t>
      </w:r>
      <w:r w:rsidR="000159A6" w:rsidRPr="00E021B7">
        <w:t xml:space="preserve"> </w:t>
      </w:r>
      <w:r w:rsidRPr="00440509">
        <w:t>Delegate</w:t>
      </w:r>
      <w:bookmarkEnd w:id="233"/>
    </w:p>
    <w:p w14:paraId="57A0A5D1" w14:textId="19F2091E" w:rsidR="00641638" w:rsidRPr="00641638" w:rsidRDefault="00641638" w:rsidP="00641638">
      <w:r w:rsidRPr="00641638">
        <w:t>The</w:t>
      </w:r>
      <w:r w:rsidR="000159A6">
        <w:t xml:space="preserve"> </w:t>
      </w:r>
      <w:r w:rsidRPr="00641638">
        <w:t>attention</w:t>
      </w:r>
      <w:r w:rsidR="000159A6">
        <w:t xml:space="preserve"> </w:t>
      </w:r>
      <w:r w:rsidRPr="00641638">
        <w:t>of</w:t>
      </w:r>
      <w:r w:rsidR="000159A6">
        <w:t xml:space="preserve"> </w:t>
      </w:r>
      <w:r w:rsidRPr="00641638">
        <w:t>the</w:t>
      </w:r>
      <w:r w:rsidR="000159A6">
        <w:t xml:space="preserve"> </w:t>
      </w:r>
      <w:r w:rsidRPr="00641638">
        <w:t>Delegate</w:t>
      </w:r>
      <w:r w:rsidR="000159A6">
        <w:t xml:space="preserve"> </w:t>
      </w:r>
      <w:r w:rsidRPr="00641638">
        <w:t>is</w:t>
      </w:r>
      <w:r w:rsidR="000159A6">
        <w:t xml:space="preserve"> </w:t>
      </w:r>
      <w:r w:rsidRPr="00641638">
        <w:t>drawn</w:t>
      </w:r>
      <w:r w:rsidR="000159A6">
        <w:t xml:space="preserve"> </w:t>
      </w:r>
      <w:r w:rsidRPr="00641638">
        <w:t>to</w:t>
      </w:r>
      <w:r w:rsidR="000159A6">
        <w:t xml:space="preserve"> </w:t>
      </w:r>
      <w:r w:rsidRPr="00641638">
        <w:t>the</w:t>
      </w:r>
      <w:r w:rsidR="000159A6">
        <w:t xml:space="preserve"> </w:t>
      </w:r>
      <w:r w:rsidRPr="00641638">
        <w:t>following</w:t>
      </w:r>
      <w:r w:rsidR="000159A6">
        <w:t xml:space="preserve"> </w:t>
      </w:r>
      <w:r w:rsidRPr="00641638">
        <w:t>matters.</w:t>
      </w:r>
    </w:p>
    <w:p w14:paraId="1BA57A67" w14:textId="124F0B7A" w:rsidR="00641638" w:rsidRPr="00641638" w:rsidRDefault="00641638" w:rsidP="00440509">
      <w:r w:rsidRPr="00641638">
        <w:t>The</w:t>
      </w:r>
      <w:r w:rsidR="000159A6">
        <w:t xml:space="preserve"> </w:t>
      </w:r>
      <w:r w:rsidRPr="00641638">
        <w:t>sponsor</w:t>
      </w:r>
      <w:r w:rsidR="000159A6">
        <w:t xml:space="preserve"> </w:t>
      </w:r>
      <w:r w:rsidRPr="00641638">
        <w:t>has</w:t>
      </w:r>
      <w:r w:rsidR="000159A6">
        <w:t xml:space="preserve"> </w:t>
      </w:r>
      <w:r w:rsidRPr="00641638">
        <w:t>advised</w:t>
      </w:r>
      <w:r w:rsidR="000159A6">
        <w:t xml:space="preserve"> </w:t>
      </w:r>
      <w:r w:rsidRPr="00641638">
        <w:t>that</w:t>
      </w:r>
      <w:r w:rsidR="000159A6">
        <w:t xml:space="preserve"> </w:t>
      </w:r>
      <w:r w:rsidRPr="00641638">
        <w:t>it</w:t>
      </w:r>
      <w:r w:rsidR="000159A6">
        <w:t xml:space="preserve"> </w:t>
      </w:r>
      <w:r w:rsidRPr="00641638">
        <w:t>does</w:t>
      </w:r>
      <w:r w:rsidR="000159A6">
        <w:t xml:space="preserve"> </w:t>
      </w:r>
      <w:r w:rsidRPr="00641638">
        <w:t>not</w:t>
      </w:r>
      <w:r w:rsidR="000159A6">
        <w:t xml:space="preserve"> </w:t>
      </w:r>
      <w:r w:rsidRPr="00641638">
        <w:t>agree</w:t>
      </w:r>
      <w:r w:rsidR="000159A6">
        <w:t xml:space="preserve"> </w:t>
      </w:r>
      <w:r w:rsidRPr="00641638">
        <w:t>to</w:t>
      </w:r>
      <w:r w:rsidR="000159A6">
        <w:t xml:space="preserve"> </w:t>
      </w:r>
      <w:r w:rsidRPr="00641638">
        <w:t>the</w:t>
      </w:r>
      <w:r w:rsidR="000159A6">
        <w:t xml:space="preserve"> </w:t>
      </w:r>
      <w:r w:rsidRPr="00641638">
        <w:t>addition</w:t>
      </w:r>
      <w:r w:rsidR="000159A6">
        <w:t xml:space="preserve"> </w:t>
      </w:r>
      <w:r w:rsidRPr="00641638">
        <w:t>of</w:t>
      </w:r>
      <w:r w:rsidR="000159A6">
        <w:t xml:space="preserve"> </w:t>
      </w:r>
      <w:r w:rsidRPr="00641638">
        <w:t>a</w:t>
      </w:r>
      <w:r w:rsidR="000159A6">
        <w:t xml:space="preserve"> </w:t>
      </w:r>
      <w:r w:rsidRPr="00641638">
        <w:t>statement</w:t>
      </w:r>
      <w:r w:rsidR="000159A6">
        <w:t xml:space="preserve"> </w:t>
      </w:r>
      <w:r w:rsidRPr="00641638">
        <w:t>referring</w:t>
      </w:r>
      <w:r w:rsidR="000159A6">
        <w:t xml:space="preserve"> </w:t>
      </w:r>
      <w:r w:rsidRPr="00641638">
        <w:t>to</w:t>
      </w:r>
      <w:r w:rsidR="000159A6">
        <w:t xml:space="preserve"> </w:t>
      </w:r>
      <w:r w:rsidRPr="00641638">
        <w:t>‘official</w:t>
      </w:r>
      <w:r w:rsidR="000159A6">
        <w:t xml:space="preserve"> </w:t>
      </w:r>
      <w:r w:rsidRPr="00641638">
        <w:t>guidelines’</w:t>
      </w:r>
      <w:r w:rsidR="000159A6">
        <w:t xml:space="preserve"> </w:t>
      </w:r>
      <w:r w:rsidRPr="00641638">
        <w:t>within</w:t>
      </w:r>
      <w:r w:rsidR="000159A6">
        <w:t xml:space="preserve"> </w:t>
      </w:r>
      <w:r w:rsidRPr="00641638">
        <w:t>the</w:t>
      </w:r>
      <w:r w:rsidR="000159A6">
        <w:t xml:space="preserve"> </w:t>
      </w:r>
      <w:r w:rsidRPr="00641638">
        <w:t>indication</w:t>
      </w:r>
      <w:r w:rsidR="000159A6">
        <w:t xml:space="preserve"> </w:t>
      </w:r>
      <w:r w:rsidRPr="00641638">
        <w:t>section</w:t>
      </w:r>
      <w:r w:rsidR="000159A6">
        <w:t xml:space="preserve"> </w:t>
      </w:r>
      <w:r w:rsidRPr="00641638">
        <w:t>of</w:t>
      </w:r>
      <w:r w:rsidR="000159A6">
        <w:t xml:space="preserve"> </w:t>
      </w:r>
      <w:r w:rsidRPr="00641638">
        <w:t>the</w:t>
      </w:r>
      <w:r w:rsidR="000159A6">
        <w:t xml:space="preserve"> </w:t>
      </w:r>
      <w:r w:rsidRPr="00641638">
        <w:t>PI.</w:t>
      </w:r>
      <w:r w:rsidR="000159A6">
        <w:t xml:space="preserve"> </w:t>
      </w:r>
      <w:r w:rsidRPr="00641638">
        <w:t>The</w:t>
      </w:r>
      <w:r w:rsidR="000159A6">
        <w:t xml:space="preserve"> </w:t>
      </w:r>
      <w:r w:rsidRPr="00641638">
        <w:t>sponsor</w:t>
      </w:r>
      <w:r w:rsidR="000159A6">
        <w:t xml:space="preserve"> </w:t>
      </w:r>
      <w:r w:rsidRPr="00641638">
        <w:t>advises</w:t>
      </w:r>
      <w:r w:rsidR="000159A6">
        <w:t xml:space="preserve"> </w:t>
      </w:r>
      <w:r w:rsidRPr="00641638">
        <w:t>that</w:t>
      </w:r>
      <w:r w:rsidR="000159A6">
        <w:t xml:space="preserve"> </w:t>
      </w:r>
      <w:r w:rsidRPr="00641638">
        <w:t>its</w:t>
      </w:r>
      <w:r w:rsidR="000159A6">
        <w:t xml:space="preserve"> </w:t>
      </w:r>
      <w:r w:rsidRPr="00641638">
        <w:t>position</w:t>
      </w:r>
      <w:r w:rsidR="000159A6">
        <w:t xml:space="preserve"> </w:t>
      </w:r>
      <w:r w:rsidRPr="00641638">
        <w:t>has</w:t>
      </w:r>
      <w:r w:rsidR="000159A6">
        <w:t xml:space="preserve"> </w:t>
      </w:r>
      <w:r w:rsidRPr="00641638">
        <w:t>previously</w:t>
      </w:r>
      <w:r w:rsidR="000159A6">
        <w:t xml:space="preserve"> </w:t>
      </w:r>
      <w:r w:rsidRPr="00641638">
        <w:t>been</w:t>
      </w:r>
      <w:r w:rsidR="000159A6">
        <w:t xml:space="preserve"> </w:t>
      </w:r>
      <w:r w:rsidRPr="00641638">
        <w:t>discussed</w:t>
      </w:r>
      <w:r w:rsidR="000159A6">
        <w:t xml:space="preserve"> </w:t>
      </w:r>
      <w:r w:rsidRPr="00641638">
        <w:t>with</w:t>
      </w:r>
      <w:r w:rsidR="000159A6">
        <w:t xml:space="preserve"> </w:t>
      </w:r>
      <w:r w:rsidRPr="00641638">
        <w:t>the</w:t>
      </w:r>
      <w:r w:rsidR="000159A6">
        <w:t xml:space="preserve"> </w:t>
      </w:r>
      <w:r w:rsidRPr="00641638">
        <w:t>TGA</w:t>
      </w:r>
      <w:r w:rsidR="000159A6">
        <w:t xml:space="preserve"> </w:t>
      </w:r>
      <w:r w:rsidRPr="00641638">
        <w:t>for</w:t>
      </w:r>
      <w:r w:rsidR="000159A6">
        <w:t xml:space="preserve"> </w:t>
      </w:r>
      <w:r w:rsidRPr="00641638">
        <w:t>other</w:t>
      </w:r>
      <w:r w:rsidR="000159A6">
        <w:t xml:space="preserve"> </w:t>
      </w:r>
      <w:r w:rsidRPr="00641638">
        <w:t>vaccines.</w:t>
      </w:r>
      <w:r w:rsidR="000159A6">
        <w:t xml:space="preserve"> </w:t>
      </w:r>
      <w:r w:rsidRPr="00641638">
        <w:t>The</w:t>
      </w:r>
      <w:r w:rsidR="000159A6">
        <w:t xml:space="preserve"> </w:t>
      </w:r>
      <w:r w:rsidRPr="00641638">
        <w:t>sponsor’s</w:t>
      </w:r>
      <w:r w:rsidR="000159A6">
        <w:t xml:space="preserve"> </w:t>
      </w:r>
      <w:r w:rsidRPr="00641638">
        <w:t>view</w:t>
      </w:r>
      <w:r w:rsidR="000159A6">
        <w:t xml:space="preserve"> </w:t>
      </w:r>
      <w:r w:rsidRPr="00641638">
        <w:t>is</w:t>
      </w:r>
      <w:r w:rsidR="000159A6">
        <w:t xml:space="preserve"> </w:t>
      </w:r>
      <w:r w:rsidRPr="00641638">
        <w:t>that</w:t>
      </w:r>
      <w:r w:rsidR="000159A6">
        <w:t xml:space="preserve"> </w:t>
      </w:r>
      <w:r w:rsidRPr="00641638">
        <w:t>the</w:t>
      </w:r>
      <w:r w:rsidR="000159A6">
        <w:t xml:space="preserve"> </w:t>
      </w:r>
      <w:r w:rsidRPr="00641638">
        <w:t>indication</w:t>
      </w:r>
      <w:r w:rsidR="000159A6">
        <w:t xml:space="preserve"> </w:t>
      </w:r>
      <w:r w:rsidRPr="00641638">
        <w:t>should</w:t>
      </w:r>
      <w:r w:rsidR="000159A6">
        <w:t xml:space="preserve"> </w:t>
      </w:r>
      <w:r w:rsidRPr="00641638">
        <w:t>be</w:t>
      </w:r>
      <w:r w:rsidR="000159A6">
        <w:t xml:space="preserve"> </w:t>
      </w:r>
      <w:r w:rsidRPr="00641638">
        <w:t>based</w:t>
      </w:r>
      <w:r w:rsidR="000159A6">
        <w:t xml:space="preserve"> </w:t>
      </w:r>
      <w:r w:rsidRPr="00641638">
        <w:t>only</w:t>
      </w:r>
      <w:r w:rsidR="000159A6">
        <w:t xml:space="preserve"> </w:t>
      </w:r>
      <w:r w:rsidRPr="00641638">
        <w:t>on</w:t>
      </w:r>
      <w:r w:rsidR="000159A6">
        <w:t xml:space="preserve"> </w:t>
      </w:r>
      <w:r w:rsidRPr="00641638">
        <w:t>data</w:t>
      </w:r>
      <w:r w:rsidR="000159A6">
        <w:t xml:space="preserve"> </w:t>
      </w:r>
      <w:r w:rsidRPr="00641638">
        <w:t>it</w:t>
      </w:r>
      <w:r w:rsidR="000159A6">
        <w:t xml:space="preserve"> </w:t>
      </w:r>
      <w:r w:rsidRPr="00641638">
        <w:t>holds,</w:t>
      </w:r>
      <w:r w:rsidR="000159A6">
        <w:t xml:space="preserve"> </w:t>
      </w:r>
      <w:r w:rsidRPr="00641638">
        <w:t>and</w:t>
      </w:r>
      <w:r w:rsidR="000159A6">
        <w:t xml:space="preserve"> </w:t>
      </w:r>
      <w:r w:rsidRPr="00641638">
        <w:t>notes</w:t>
      </w:r>
      <w:r w:rsidR="000159A6">
        <w:t xml:space="preserve"> </w:t>
      </w:r>
      <w:r w:rsidRPr="00641638">
        <w:t>that</w:t>
      </w:r>
      <w:r w:rsidR="000159A6">
        <w:t xml:space="preserve"> </w:t>
      </w:r>
      <w:r w:rsidRPr="00641638">
        <w:t>the</w:t>
      </w:r>
      <w:r w:rsidR="000159A6">
        <w:t xml:space="preserve"> </w:t>
      </w:r>
      <w:r w:rsidRPr="00641638">
        <w:t>Australian</w:t>
      </w:r>
      <w:r w:rsidR="000159A6">
        <w:t xml:space="preserve"> </w:t>
      </w:r>
      <w:r w:rsidRPr="00641638">
        <w:t>Immunisation</w:t>
      </w:r>
      <w:r w:rsidR="000159A6">
        <w:t xml:space="preserve"> </w:t>
      </w:r>
      <w:r w:rsidRPr="00641638">
        <w:t>Handbook</w:t>
      </w:r>
      <w:r w:rsidR="000159A6">
        <w:t xml:space="preserve"> </w:t>
      </w:r>
      <w:r w:rsidRPr="00641638">
        <w:t>or</w:t>
      </w:r>
      <w:r w:rsidR="000159A6">
        <w:t xml:space="preserve"> </w:t>
      </w:r>
      <w:r w:rsidRPr="00641638">
        <w:t>other</w:t>
      </w:r>
      <w:r w:rsidR="000159A6">
        <w:t xml:space="preserve"> </w:t>
      </w:r>
      <w:r w:rsidRPr="00641638">
        <w:t>official</w:t>
      </w:r>
      <w:r w:rsidR="000159A6">
        <w:t xml:space="preserve"> </w:t>
      </w:r>
      <w:r w:rsidRPr="00641638">
        <w:t>guidelines</w:t>
      </w:r>
      <w:r w:rsidR="000159A6">
        <w:t xml:space="preserve"> </w:t>
      </w:r>
      <w:r w:rsidRPr="00641638">
        <w:t>are</w:t>
      </w:r>
      <w:r w:rsidR="000159A6">
        <w:t xml:space="preserve"> </w:t>
      </w:r>
      <w:r w:rsidRPr="00641638">
        <w:t>outside</w:t>
      </w:r>
      <w:r w:rsidR="000159A6">
        <w:t xml:space="preserve"> </w:t>
      </w:r>
      <w:r w:rsidRPr="00641638">
        <w:t>the</w:t>
      </w:r>
      <w:r w:rsidR="000159A6">
        <w:t xml:space="preserve"> </w:t>
      </w:r>
      <w:r w:rsidRPr="00641638">
        <w:t>control</w:t>
      </w:r>
      <w:r w:rsidR="000159A6">
        <w:t xml:space="preserve"> </w:t>
      </w:r>
      <w:r w:rsidRPr="00641638">
        <w:t>of</w:t>
      </w:r>
      <w:r w:rsidR="000159A6">
        <w:t xml:space="preserve"> </w:t>
      </w:r>
      <w:r w:rsidRPr="00641638">
        <w:t>the</w:t>
      </w:r>
      <w:r w:rsidR="000159A6">
        <w:t xml:space="preserve"> </w:t>
      </w:r>
      <w:r w:rsidRPr="00641638">
        <w:t>sponsor</w:t>
      </w:r>
      <w:r w:rsidR="000159A6">
        <w:t xml:space="preserve"> </w:t>
      </w:r>
      <w:r w:rsidRPr="00641638">
        <w:t>and</w:t>
      </w:r>
      <w:r w:rsidR="000159A6">
        <w:t xml:space="preserve"> </w:t>
      </w:r>
      <w:r w:rsidRPr="00641638">
        <w:t>could</w:t>
      </w:r>
      <w:r w:rsidR="000159A6">
        <w:t xml:space="preserve"> </w:t>
      </w:r>
      <w:r w:rsidRPr="00641638">
        <w:t>potentially</w:t>
      </w:r>
      <w:r w:rsidR="000159A6">
        <w:t xml:space="preserve"> </w:t>
      </w:r>
      <w:r w:rsidRPr="00641638">
        <w:t>recommend</w:t>
      </w:r>
      <w:r w:rsidR="000159A6">
        <w:t xml:space="preserve"> </w:t>
      </w:r>
      <w:r w:rsidRPr="00641638">
        <w:t>use</w:t>
      </w:r>
      <w:r w:rsidR="000159A6">
        <w:t xml:space="preserve"> </w:t>
      </w:r>
      <w:r w:rsidRPr="00641638">
        <w:t>of</w:t>
      </w:r>
      <w:r w:rsidR="000159A6">
        <w:t xml:space="preserve"> </w:t>
      </w:r>
      <w:r w:rsidRPr="00641638">
        <w:t>the</w:t>
      </w:r>
      <w:r w:rsidR="000159A6">
        <w:t xml:space="preserve"> </w:t>
      </w:r>
      <w:r w:rsidRPr="00641638">
        <w:t>vaccine</w:t>
      </w:r>
      <w:r w:rsidR="000159A6">
        <w:t xml:space="preserve"> </w:t>
      </w:r>
      <w:r w:rsidRPr="00641638">
        <w:t>for</w:t>
      </w:r>
      <w:r w:rsidR="000159A6">
        <w:t xml:space="preserve"> </w:t>
      </w:r>
      <w:r w:rsidRPr="00641638">
        <w:t>populations</w:t>
      </w:r>
      <w:r w:rsidR="000159A6">
        <w:t xml:space="preserve"> </w:t>
      </w:r>
      <w:r w:rsidRPr="00641638">
        <w:t>for</w:t>
      </w:r>
      <w:r w:rsidR="000159A6">
        <w:t xml:space="preserve"> </w:t>
      </w:r>
      <w:r w:rsidRPr="00641638">
        <w:t>which</w:t>
      </w:r>
      <w:r w:rsidR="000159A6">
        <w:t xml:space="preserve"> </w:t>
      </w:r>
      <w:r w:rsidRPr="00641638">
        <w:t>the</w:t>
      </w:r>
      <w:r w:rsidR="000159A6">
        <w:t xml:space="preserve"> </w:t>
      </w:r>
      <w:r w:rsidRPr="00641638">
        <w:t>sponsor</w:t>
      </w:r>
      <w:r w:rsidR="000159A6">
        <w:t xml:space="preserve"> </w:t>
      </w:r>
      <w:r w:rsidRPr="00641638">
        <w:t>does</w:t>
      </w:r>
      <w:r w:rsidR="000159A6">
        <w:t xml:space="preserve"> </w:t>
      </w:r>
      <w:r w:rsidRPr="00641638">
        <w:t>not</w:t>
      </w:r>
      <w:r w:rsidR="000159A6">
        <w:t xml:space="preserve"> </w:t>
      </w:r>
      <w:r w:rsidRPr="00641638">
        <w:t>hold</w:t>
      </w:r>
      <w:r w:rsidR="000159A6">
        <w:t xml:space="preserve"> </w:t>
      </w:r>
      <w:r w:rsidRPr="00641638">
        <w:t>data.</w:t>
      </w:r>
    </w:p>
    <w:p w14:paraId="60FB64B8" w14:textId="1575F684" w:rsidR="00641638" w:rsidRPr="00641638" w:rsidRDefault="00641638" w:rsidP="00641638">
      <w:r w:rsidRPr="00641638">
        <w:lastRenderedPageBreak/>
        <w:t>The</w:t>
      </w:r>
      <w:r w:rsidR="000159A6">
        <w:t xml:space="preserve"> </w:t>
      </w:r>
      <w:r w:rsidRPr="00641638">
        <w:t>sponsor</w:t>
      </w:r>
      <w:r w:rsidR="000159A6">
        <w:t xml:space="preserve"> </w:t>
      </w:r>
      <w:r w:rsidRPr="00641638">
        <w:t>has</w:t>
      </w:r>
      <w:r w:rsidR="000159A6">
        <w:t xml:space="preserve"> </w:t>
      </w:r>
      <w:r w:rsidRPr="00641638">
        <w:t>advised</w:t>
      </w:r>
      <w:r w:rsidR="000159A6">
        <w:t xml:space="preserve"> </w:t>
      </w:r>
      <w:r w:rsidRPr="00641638">
        <w:t>that</w:t>
      </w:r>
      <w:r w:rsidR="000159A6">
        <w:t xml:space="preserve"> </w:t>
      </w:r>
      <w:r w:rsidRPr="00641638">
        <w:t>it</w:t>
      </w:r>
      <w:r w:rsidR="000159A6">
        <w:t xml:space="preserve"> </w:t>
      </w:r>
      <w:r w:rsidRPr="00641638">
        <w:t>does</w:t>
      </w:r>
      <w:r w:rsidR="000159A6">
        <w:t xml:space="preserve"> </w:t>
      </w:r>
      <w:r w:rsidRPr="00641638">
        <w:t>not</w:t>
      </w:r>
      <w:r w:rsidR="000159A6">
        <w:t xml:space="preserve"> </w:t>
      </w:r>
      <w:r w:rsidRPr="00641638">
        <w:t>agree</w:t>
      </w:r>
      <w:r w:rsidR="000159A6">
        <w:t xml:space="preserve"> </w:t>
      </w:r>
      <w:r w:rsidRPr="00641638">
        <w:t>to</w:t>
      </w:r>
      <w:r w:rsidR="000159A6">
        <w:t xml:space="preserve"> </w:t>
      </w:r>
      <w:r w:rsidRPr="00641638">
        <w:t>the</w:t>
      </w:r>
      <w:r w:rsidR="000159A6">
        <w:t xml:space="preserve"> </w:t>
      </w:r>
      <w:r w:rsidRPr="00641638">
        <w:t>inclusion</w:t>
      </w:r>
      <w:r w:rsidR="000159A6">
        <w:t xml:space="preserve"> </w:t>
      </w:r>
      <w:r w:rsidRPr="00641638">
        <w:t>in</w:t>
      </w:r>
      <w:r w:rsidR="000159A6">
        <w:t xml:space="preserve"> </w:t>
      </w:r>
      <w:r w:rsidRPr="00641638">
        <w:t>the</w:t>
      </w:r>
      <w:r w:rsidR="000159A6">
        <w:t xml:space="preserve"> </w:t>
      </w:r>
      <w:r w:rsidRPr="00641638">
        <w:t>PI</w:t>
      </w:r>
      <w:r w:rsidR="000159A6">
        <w:t xml:space="preserve"> </w:t>
      </w:r>
      <w:r w:rsidRPr="00641638">
        <w:t>of</w:t>
      </w:r>
      <w:r w:rsidR="000159A6">
        <w:t xml:space="preserve"> </w:t>
      </w:r>
      <w:r w:rsidRPr="00641638">
        <w:t>information</w:t>
      </w:r>
      <w:r w:rsidR="000159A6">
        <w:t xml:space="preserve"> </w:t>
      </w:r>
      <w:r w:rsidRPr="00641638">
        <w:t>on</w:t>
      </w:r>
      <w:r w:rsidR="000159A6">
        <w:t xml:space="preserve"> </w:t>
      </w:r>
      <w:proofErr w:type="spellStart"/>
      <w:r w:rsidRPr="00641638">
        <w:t>pIMDs</w:t>
      </w:r>
      <w:proofErr w:type="spellEnd"/>
      <w:r w:rsidR="000159A6">
        <w:t xml:space="preserve"> </w:t>
      </w:r>
      <w:r w:rsidRPr="00641638">
        <w:t>as</w:t>
      </w:r>
      <w:r w:rsidR="000159A6">
        <w:t xml:space="preserve"> </w:t>
      </w:r>
      <w:r w:rsidRPr="00641638">
        <w:t>adverse</w:t>
      </w:r>
      <w:r w:rsidR="000159A6">
        <w:t xml:space="preserve"> </w:t>
      </w:r>
      <w:r w:rsidRPr="00641638">
        <w:t>events.</w:t>
      </w:r>
      <w:r w:rsidR="000159A6">
        <w:t xml:space="preserve"> </w:t>
      </w:r>
      <w:r w:rsidRPr="00641638">
        <w:t>Comparable</w:t>
      </w:r>
      <w:r w:rsidR="000159A6">
        <w:t xml:space="preserve"> </w:t>
      </w:r>
      <w:r w:rsidRPr="00641638">
        <w:t>regulatory</w:t>
      </w:r>
      <w:r w:rsidR="000159A6">
        <w:t xml:space="preserve"> </w:t>
      </w:r>
      <w:r w:rsidRPr="00641638">
        <w:t>authorities</w:t>
      </w:r>
      <w:r w:rsidR="000159A6">
        <w:t xml:space="preserve"> </w:t>
      </w:r>
      <w:r w:rsidRPr="00641638">
        <w:t>(the</w:t>
      </w:r>
      <w:r w:rsidR="000159A6">
        <w:t xml:space="preserve"> </w:t>
      </w:r>
      <w:r w:rsidRPr="00641638">
        <w:t>FDA</w:t>
      </w:r>
      <w:r w:rsidR="000159A6">
        <w:t xml:space="preserve"> </w:t>
      </w:r>
      <w:r w:rsidRPr="00641638">
        <w:t>and</w:t>
      </w:r>
      <w:r w:rsidR="000159A6">
        <w:t xml:space="preserve"> </w:t>
      </w:r>
      <w:r w:rsidRPr="00641638">
        <w:t>Health</w:t>
      </w:r>
      <w:r w:rsidR="000159A6">
        <w:t xml:space="preserve"> </w:t>
      </w:r>
      <w:r w:rsidRPr="00641638">
        <w:t>Canada)</w:t>
      </w:r>
      <w:r w:rsidR="000159A6">
        <w:t xml:space="preserve"> </w:t>
      </w:r>
      <w:r w:rsidRPr="00641638">
        <w:t>have</w:t>
      </w:r>
      <w:r w:rsidR="000159A6">
        <w:t xml:space="preserve"> </w:t>
      </w:r>
      <w:r w:rsidRPr="00641638">
        <w:t>included</w:t>
      </w:r>
      <w:r w:rsidR="000159A6">
        <w:t xml:space="preserve"> </w:t>
      </w:r>
      <w:r w:rsidRPr="00641638">
        <w:t>brief</w:t>
      </w:r>
      <w:r w:rsidR="000159A6">
        <w:t xml:space="preserve"> </w:t>
      </w:r>
      <w:r w:rsidRPr="00641638">
        <w:t>information</w:t>
      </w:r>
      <w:r w:rsidR="000159A6">
        <w:t xml:space="preserve"> </w:t>
      </w:r>
      <w:r w:rsidRPr="00641638">
        <w:t>on</w:t>
      </w:r>
      <w:r w:rsidR="000159A6">
        <w:t xml:space="preserve"> </w:t>
      </w:r>
      <w:proofErr w:type="spellStart"/>
      <w:r w:rsidRPr="00641638">
        <w:t>pIMDs</w:t>
      </w:r>
      <w:proofErr w:type="spellEnd"/>
      <w:r w:rsidR="000159A6">
        <w:t xml:space="preserve"> </w:t>
      </w:r>
      <w:r w:rsidRPr="00641638">
        <w:t>in</w:t>
      </w:r>
      <w:r w:rsidR="000159A6">
        <w:t xml:space="preserve"> </w:t>
      </w:r>
      <w:r w:rsidRPr="00641638">
        <w:t>the</w:t>
      </w:r>
      <w:r w:rsidR="000159A6">
        <w:t xml:space="preserve"> </w:t>
      </w:r>
      <w:r w:rsidRPr="00641638">
        <w:t>adverse</w:t>
      </w:r>
      <w:r w:rsidR="000159A6">
        <w:t xml:space="preserve"> </w:t>
      </w:r>
      <w:r w:rsidRPr="00641638">
        <w:t>events</w:t>
      </w:r>
      <w:r w:rsidR="000159A6">
        <w:t xml:space="preserve"> </w:t>
      </w:r>
      <w:r w:rsidRPr="00641638">
        <w:t>section</w:t>
      </w:r>
      <w:r w:rsidR="000159A6">
        <w:t xml:space="preserve"> </w:t>
      </w:r>
      <w:r w:rsidRPr="00641638">
        <w:t>of</w:t>
      </w:r>
      <w:r w:rsidR="000159A6">
        <w:t xml:space="preserve"> </w:t>
      </w:r>
      <w:r w:rsidRPr="00641638">
        <w:t>the</w:t>
      </w:r>
      <w:r w:rsidR="000159A6">
        <w:t xml:space="preserve"> </w:t>
      </w:r>
      <w:r w:rsidRPr="00641638">
        <w:t>prescribing</w:t>
      </w:r>
      <w:r w:rsidR="000159A6">
        <w:t xml:space="preserve"> </w:t>
      </w:r>
      <w:r w:rsidRPr="00641638">
        <w:t>information.</w:t>
      </w:r>
    </w:p>
    <w:p w14:paraId="64F2EF80" w14:textId="1CA58508" w:rsidR="00641638" w:rsidRPr="00641638" w:rsidRDefault="00641638" w:rsidP="00440509">
      <w:r w:rsidRPr="00641638">
        <w:t>From</w:t>
      </w:r>
      <w:r w:rsidR="000159A6">
        <w:t xml:space="preserve"> </w:t>
      </w:r>
      <w:r w:rsidRPr="00641638">
        <w:t>the</w:t>
      </w:r>
      <w:r w:rsidR="000159A6">
        <w:t xml:space="preserve"> </w:t>
      </w:r>
      <w:r w:rsidRPr="00641638">
        <w:t>enhanced</w:t>
      </w:r>
      <w:r w:rsidR="000159A6">
        <w:t xml:space="preserve"> </w:t>
      </w:r>
      <w:r w:rsidRPr="00641638">
        <w:t>pharmacovigilance</w:t>
      </w:r>
      <w:r w:rsidR="000159A6">
        <w:t xml:space="preserve"> </w:t>
      </w:r>
      <w:r w:rsidRPr="00641638">
        <w:t>undertaken</w:t>
      </w:r>
      <w:r w:rsidR="000159A6">
        <w:t xml:space="preserve"> </w:t>
      </w:r>
      <w:r w:rsidRPr="00641638">
        <w:t>to</w:t>
      </w:r>
      <w:r w:rsidR="000159A6">
        <w:t xml:space="preserve"> </w:t>
      </w:r>
      <w:r w:rsidRPr="00641638">
        <w:t>date</w:t>
      </w:r>
      <w:r w:rsidR="000159A6">
        <w:t xml:space="preserve"> </w:t>
      </w:r>
      <w:r w:rsidRPr="00641638">
        <w:t>on</w:t>
      </w:r>
      <w:r w:rsidR="000159A6">
        <w:t xml:space="preserve"> </w:t>
      </w:r>
      <w:proofErr w:type="spellStart"/>
      <w:r w:rsidRPr="00641638">
        <w:t>pIMDs</w:t>
      </w:r>
      <w:proofErr w:type="spellEnd"/>
      <w:r w:rsidRPr="00641638">
        <w:t>,</w:t>
      </w:r>
      <w:r w:rsidR="000159A6">
        <w:t xml:space="preserve"> </w:t>
      </w:r>
      <w:r w:rsidRPr="00641638">
        <w:t>the</w:t>
      </w:r>
      <w:r w:rsidR="000159A6">
        <w:t xml:space="preserve"> </w:t>
      </w:r>
      <w:r w:rsidRPr="00641638">
        <w:t>sponsor</w:t>
      </w:r>
      <w:r w:rsidR="000159A6">
        <w:t xml:space="preserve"> </w:t>
      </w:r>
      <w:r w:rsidRPr="00641638">
        <w:t>has</w:t>
      </w:r>
      <w:r w:rsidR="000159A6">
        <w:t xml:space="preserve"> </w:t>
      </w:r>
      <w:r w:rsidRPr="00641638">
        <w:t>identified</w:t>
      </w:r>
      <w:r w:rsidR="000159A6">
        <w:t xml:space="preserve"> </w:t>
      </w:r>
      <w:r w:rsidRPr="00641638">
        <w:t>gout</w:t>
      </w:r>
      <w:r w:rsidR="000159A6">
        <w:t xml:space="preserve"> </w:t>
      </w:r>
      <w:r w:rsidRPr="00641638">
        <w:t>as</w:t>
      </w:r>
      <w:r w:rsidR="000159A6">
        <w:t xml:space="preserve"> </w:t>
      </w:r>
      <w:r w:rsidRPr="00641638">
        <w:t>one</w:t>
      </w:r>
      <w:r w:rsidR="000159A6">
        <w:t xml:space="preserve"> </w:t>
      </w:r>
      <w:r w:rsidRPr="00641638">
        <w:t>of</w:t>
      </w:r>
      <w:r w:rsidR="000159A6">
        <w:t xml:space="preserve"> </w:t>
      </w:r>
      <w:r w:rsidRPr="00641638">
        <w:t>the</w:t>
      </w:r>
      <w:r w:rsidR="000159A6">
        <w:t xml:space="preserve"> </w:t>
      </w:r>
      <w:r w:rsidRPr="00641638">
        <w:t>14</w:t>
      </w:r>
      <w:r w:rsidR="000159A6">
        <w:t xml:space="preserve"> </w:t>
      </w:r>
      <w:r w:rsidRPr="00641638">
        <w:t>disorders</w:t>
      </w:r>
      <w:r w:rsidR="000159A6">
        <w:t xml:space="preserve"> </w:t>
      </w:r>
      <w:r w:rsidRPr="00641638">
        <w:t>to</w:t>
      </w:r>
      <w:r w:rsidR="000159A6">
        <w:t xml:space="preserve"> </w:t>
      </w:r>
      <w:r w:rsidRPr="00641638">
        <w:t>be</w:t>
      </w:r>
      <w:r w:rsidR="000159A6">
        <w:t xml:space="preserve"> </w:t>
      </w:r>
      <w:r w:rsidRPr="00641638">
        <w:t>further</w:t>
      </w:r>
      <w:r w:rsidR="000159A6">
        <w:t xml:space="preserve"> </w:t>
      </w:r>
      <w:r w:rsidRPr="00641638">
        <w:t>characterised</w:t>
      </w:r>
      <w:r w:rsidR="000159A6">
        <w:t xml:space="preserve"> </w:t>
      </w:r>
      <w:r w:rsidRPr="00641638">
        <w:t>in</w:t>
      </w:r>
      <w:r w:rsidR="000159A6">
        <w:t xml:space="preserve"> </w:t>
      </w:r>
      <w:r w:rsidRPr="00641638">
        <w:t>the</w:t>
      </w:r>
      <w:r w:rsidR="000159A6">
        <w:t xml:space="preserve"> </w:t>
      </w:r>
      <w:r w:rsidRPr="00641638">
        <w:t>target</w:t>
      </w:r>
      <w:r w:rsidR="000159A6">
        <w:t xml:space="preserve"> </w:t>
      </w:r>
      <w:r w:rsidRPr="00641638">
        <w:t>population.</w:t>
      </w:r>
      <w:r w:rsidR="000159A6">
        <w:t xml:space="preserve"> </w:t>
      </w:r>
      <w:r w:rsidRPr="00641638">
        <w:t>The</w:t>
      </w:r>
      <w:r w:rsidR="000159A6">
        <w:t xml:space="preserve"> </w:t>
      </w:r>
      <w:r w:rsidRPr="00641638">
        <w:t>US</w:t>
      </w:r>
      <w:r w:rsidR="000159A6">
        <w:t xml:space="preserve"> </w:t>
      </w:r>
      <w:r w:rsidRPr="00641638">
        <w:t>prescribing</w:t>
      </w:r>
      <w:r w:rsidR="000159A6">
        <w:t xml:space="preserve"> </w:t>
      </w:r>
      <w:r w:rsidRPr="00641638">
        <w:t>information</w:t>
      </w:r>
      <w:r w:rsidR="000159A6">
        <w:t xml:space="preserve"> </w:t>
      </w:r>
      <w:r w:rsidRPr="00641638">
        <w:t>specifically</w:t>
      </w:r>
      <w:r w:rsidR="000159A6">
        <w:t xml:space="preserve"> </w:t>
      </w:r>
      <w:r w:rsidRPr="00641638">
        <w:t>mentions</w:t>
      </w:r>
      <w:r w:rsidR="000159A6">
        <w:t xml:space="preserve"> </w:t>
      </w:r>
      <w:r w:rsidRPr="00641638">
        <w:t>gout</w:t>
      </w:r>
      <w:r w:rsidR="000159A6">
        <w:t xml:space="preserve"> </w:t>
      </w:r>
      <w:r w:rsidRPr="00641638">
        <w:t>as</w:t>
      </w:r>
      <w:r w:rsidR="000159A6">
        <w:t xml:space="preserve"> </w:t>
      </w:r>
      <w:r w:rsidRPr="00641638">
        <w:t>an</w:t>
      </w:r>
      <w:r w:rsidR="000159A6">
        <w:t xml:space="preserve"> </w:t>
      </w:r>
      <w:r w:rsidRPr="00641638">
        <w:t>unsolicited</w:t>
      </w:r>
      <w:r w:rsidR="000159A6">
        <w:t xml:space="preserve"> </w:t>
      </w:r>
      <w:r w:rsidRPr="00641638">
        <w:t>adverse</w:t>
      </w:r>
      <w:r w:rsidR="000159A6">
        <w:t xml:space="preserve"> </w:t>
      </w:r>
      <w:r w:rsidRPr="00641638">
        <w:t>event.</w:t>
      </w:r>
    </w:p>
    <w:p w14:paraId="5C748A86" w14:textId="2688D381" w:rsidR="00641638" w:rsidRPr="00641638" w:rsidRDefault="00641638" w:rsidP="00641638">
      <w:r w:rsidRPr="00641638">
        <w:t>The</w:t>
      </w:r>
      <w:r w:rsidR="000159A6">
        <w:t xml:space="preserve"> </w:t>
      </w:r>
      <w:r w:rsidRPr="00641638">
        <w:t>PI</w:t>
      </w:r>
      <w:r w:rsidR="000159A6">
        <w:t xml:space="preserve"> </w:t>
      </w:r>
      <w:r w:rsidRPr="00641638">
        <w:t>does</w:t>
      </w:r>
      <w:r w:rsidR="000159A6">
        <w:t xml:space="preserve"> </w:t>
      </w:r>
      <w:r w:rsidRPr="00641638">
        <w:t>not</w:t>
      </w:r>
      <w:r w:rsidR="000159A6">
        <w:t xml:space="preserve"> </w:t>
      </w:r>
      <w:r w:rsidRPr="00641638">
        <w:t>mention</w:t>
      </w:r>
      <w:r w:rsidR="000159A6">
        <w:t xml:space="preserve"> </w:t>
      </w:r>
      <w:r w:rsidRPr="00641638">
        <w:t>that</w:t>
      </w:r>
      <w:r w:rsidR="000159A6">
        <w:t xml:space="preserve"> </w:t>
      </w:r>
      <w:r w:rsidRPr="00641638">
        <w:t>the</w:t>
      </w:r>
      <w:r w:rsidR="000159A6">
        <w:t xml:space="preserve"> </w:t>
      </w:r>
      <w:r w:rsidRPr="00641638">
        <w:t>vaccine</w:t>
      </w:r>
      <w:r w:rsidR="000159A6">
        <w:t xml:space="preserve"> </w:t>
      </w:r>
      <w:r w:rsidRPr="00641638">
        <w:t>provides</w:t>
      </w:r>
      <w:r w:rsidR="000159A6">
        <w:t xml:space="preserve"> </w:t>
      </w:r>
      <w:r w:rsidRPr="00641638">
        <w:t>an</w:t>
      </w:r>
      <w:r w:rsidR="000159A6">
        <w:t xml:space="preserve"> </w:t>
      </w:r>
      <w:r w:rsidRPr="00641638">
        <w:t>unknown</w:t>
      </w:r>
      <w:r w:rsidR="000159A6">
        <w:t xml:space="preserve"> </w:t>
      </w:r>
      <w:r w:rsidRPr="00641638">
        <w:t>duration</w:t>
      </w:r>
      <w:r w:rsidR="000159A6">
        <w:t xml:space="preserve"> </w:t>
      </w:r>
      <w:r w:rsidRPr="00641638">
        <w:t>of</w:t>
      </w:r>
      <w:r w:rsidR="000159A6">
        <w:t xml:space="preserve"> </w:t>
      </w:r>
      <w:r w:rsidRPr="00641638">
        <w:t>protection.</w:t>
      </w:r>
    </w:p>
    <w:p w14:paraId="6555C2E6" w14:textId="1780DDF5" w:rsidR="008E7846" w:rsidRPr="00E021B7" w:rsidRDefault="008E7846" w:rsidP="00440509">
      <w:pPr>
        <w:pStyle w:val="Heading2"/>
      </w:pPr>
      <w:bookmarkStart w:id="234" w:name="_Toc1049824"/>
      <w:r w:rsidRPr="00E021B7">
        <w:t>V</w:t>
      </w:r>
      <w:r w:rsidR="00456765" w:rsidRPr="00E021B7">
        <w:t>I</w:t>
      </w:r>
      <w:r w:rsidRPr="00E021B7">
        <w:t>I.</w:t>
      </w:r>
      <w:r w:rsidR="000159A6" w:rsidRPr="00E021B7">
        <w:t xml:space="preserve"> </w:t>
      </w:r>
      <w:r w:rsidRPr="00E021B7">
        <w:t>Overall</w:t>
      </w:r>
      <w:r w:rsidR="000159A6" w:rsidRPr="00E021B7">
        <w:t xml:space="preserve"> </w:t>
      </w:r>
      <w:r w:rsidRPr="00440509">
        <w:t>conclusion</w:t>
      </w:r>
      <w:r w:rsidR="000159A6" w:rsidRPr="00E021B7">
        <w:t xml:space="preserve"> </w:t>
      </w:r>
      <w:r w:rsidRPr="00E021B7">
        <w:t>and</w:t>
      </w:r>
      <w:r w:rsidR="000159A6" w:rsidRPr="00E021B7">
        <w:t xml:space="preserve"> </w:t>
      </w:r>
      <w:r w:rsidRPr="00E021B7">
        <w:t>risk/benefit</w:t>
      </w:r>
      <w:r w:rsidR="000159A6" w:rsidRPr="00E021B7">
        <w:t xml:space="preserve"> </w:t>
      </w:r>
      <w:r w:rsidRPr="00E021B7">
        <w:t>assessment</w:t>
      </w:r>
      <w:bookmarkEnd w:id="144"/>
      <w:bookmarkEnd w:id="229"/>
      <w:bookmarkEnd w:id="230"/>
      <w:bookmarkEnd w:id="234"/>
    </w:p>
    <w:p w14:paraId="36744528" w14:textId="0E907B2C" w:rsidR="008E7846" w:rsidRDefault="008E7846" w:rsidP="008E7846">
      <w:bookmarkStart w:id="235" w:name="_Toc247691528"/>
      <w:r>
        <w:t>The</w:t>
      </w:r>
      <w:r w:rsidR="000159A6">
        <w:t xml:space="preserve"> </w:t>
      </w:r>
      <w:r>
        <w:t>submission</w:t>
      </w:r>
      <w:r w:rsidR="000159A6">
        <w:t xml:space="preserve"> </w:t>
      </w:r>
      <w:r>
        <w:t>was</w:t>
      </w:r>
      <w:r w:rsidR="000159A6">
        <w:t xml:space="preserve"> </w:t>
      </w:r>
      <w:r>
        <w:t>summarised</w:t>
      </w:r>
      <w:r w:rsidR="000159A6">
        <w:t xml:space="preserve"> </w:t>
      </w:r>
      <w:r>
        <w:t>in</w:t>
      </w:r>
      <w:r w:rsidR="000159A6">
        <w:t xml:space="preserve"> </w:t>
      </w:r>
      <w:r>
        <w:t>the</w:t>
      </w:r>
      <w:r w:rsidR="000159A6">
        <w:t xml:space="preserve"> </w:t>
      </w:r>
      <w:r>
        <w:t>following</w:t>
      </w:r>
      <w:r w:rsidR="000159A6">
        <w:t xml:space="preserve"> </w:t>
      </w:r>
      <w:r w:rsidRPr="00EF5C48">
        <w:t>Delegate’s</w:t>
      </w:r>
      <w:r w:rsidR="000159A6">
        <w:t xml:space="preserve"> </w:t>
      </w:r>
      <w:r>
        <w:t>overview</w:t>
      </w:r>
      <w:r w:rsidR="000159A6">
        <w:t xml:space="preserve"> </w:t>
      </w:r>
      <w:r w:rsidRPr="00EF5C48">
        <w:t>and</w:t>
      </w:r>
      <w:r w:rsidR="000159A6">
        <w:t xml:space="preserve"> </w:t>
      </w:r>
      <w:r w:rsidRPr="00EF5C48">
        <w:t>recommendation</w:t>
      </w:r>
      <w:r>
        <w:t>s:</w:t>
      </w:r>
    </w:p>
    <w:p w14:paraId="62E696CE" w14:textId="77777777" w:rsidR="00F666D2" w:rsidRPr="00E021B7" w:rsidRDefault="00F666D2" w:rsidP="00440509">
      <w:pPr>
        <w:pStyle w:val="Heading3"/>
      </w:pPr>
      <w:bookmarkStart w:id="236" w:name="_Toc1049825"/>
      <w:r w:rsidRPr="00440509">
        <w:t>Introduction</w:t>
      </w:r>
      <w:bookmarkEnd w:id="236"/>
    </w:p>
    <w:p w14:paraId="1B9CA066" w14:textId="6E134A50" w:rsidR="00F666D2" w:rsidRPr="00F666D2" w:rsidRDefault="00F666D2" w:rsidP="00440509">
      <w:r w:rsidRPr="00F666D2">
        <w:t>This</w:t>
      </w:r>
      <w:r w:rsidR="000159A6">
        <w:t xml:space="preserve"> </w:t>
      </w:r>
      <w:r w:rsidRPr="00F666D2">
        <w:t>is</w:t>
      </w:r>
      <w:r w:rsidR="000159A6">
        <w:t xml:space="preserve"> </w:t>
      </w:r>
      <w:r w:rsidRPr="00F666D2">
        <w:t>a</w:t>
      </w:r>
      <w:r w:rsidR="000159A6">
        <w:t xml:space="preserve"> </w:t>
      </w:r>
      <w:r w:rsidRPr="00F666D2">
        <w:t>submission</w:t>
      </w:r>
      <w:r w:rsidR="000159A6">
        <w:t xml:space="preserve"> </w:t>
      </w:r>
      <w:r w:rsidRPr="00F666D2">
        <w:t>seeking</w:t>
      </w:r>
      <w:r w:rsidR="000159A6">
        <w:t xml:space="preserve"> </w:t>
      </w:r>
      <w:r w:rsidRPr="00F666D2">
        <w:t>registration</w:t>
      </w:r>
      <w:r w:rsidR="000159A6">
        <w:t xml:space="preserve"> </w:t>
      </w:r>
      <w:r w:rsidRPr="00F666D2">
        <w:t>of</w:t>
      </w:r>
      <w:r w:rsidR="000159A6">
        <w:t xml:space="preserve"> </w:t>
      </w:r>
      <w:r w:rsidRPr="00F666D2">
        <w:t>a</w:t>
      </w:r>
      <w:r w:rsidR="000159A6">
        <w:t xml:space="preserve"> </w:t>
      </w:r>
      <w:r w:rsidRPr="00F666D2">
        <w:t>new</w:t>
      </w:r>
      <w:r w:rsidR="000159A6">
        <w:t xml:space="preserve"> </w:t>
      </w:r>
      <w:r w:rsidRPr="00F666D2">
        <w:t>vaccine</w:t>
      </w:r>
      <w:r w:rsidR="000159A6">
        <w:t xml:space="preserve"> </w:t>
      </w:r>
      <w:r w:rsidR="00FF12AA">
        <w:t>Shingrix</w:t>
      </w:r>
      <w:r w:rsidRPr="00F666D2">
        <w:t>.</w:t>
      </w:r>
      <w:r w:rsidR="000159A6">
        <w:t xml:space="preserve"> </w:t>
      </w:r>
      <w:r w:rsidR="00FF12AA">
        <w:t>Shingrix</w:t>
      </w:r>
      <w:r w:rsidR="000159A6">
        <w:t xml:space="preserve"> </w:t>
      </w:r>
      <w:r w:rsidRPr="00F666D2">
        <w:t>is</w:t>
      </w:r>
      <w:r w:rsidR="000159A6">
        <w:t xml:space="preserve"> </w:t>
      </w:r>
      <w:r w:rsidRPr="00F666D2">
        <w:t>a</w:t>
      </w:r>
      <w:r w:rsidR="000159A6">
        <w:t xml:space="preserve"> </w:t>
      </w:r>
      <w:r w:rsidRPr="00F666D2">
        <w:t>non-live</w:t>
      </w:r>
      <w:r w:rsidR="000159A6">
        <w:t xml:space="preserve"> </w:t>
      </w:r>
      <w:r w:rsidRPr="00F666D2">
        <w:t>subunit</w:t>
      </w:r>
      <w:r w:rsidR="000159A6">
        <w:t xml:space="preserve"> </w:t>
      </w:r>
      <w:r w:rsidRPr="00F666D2">
        <w:t>vaccine</w:t>
      </w:r>
      <w:r w:rsidR="000159A6">
        <w:t xml:space="preserve"> </w:t>
      </w:r>
      <w:r w:rsidRPr="00F666D2">
        <w:t>consisting</w:t>
      </w:r>
      <w:r w:rsidR="000159A6">
        <w:t xml:space="preserve"> </w:t>
      </w:r>
      <w:r w:rsidRPr="00F666D2">
        <w:t>of</w:t>
      </w:r>
      <w:r w:rsidR="000159A6">
        <w:t xml:space="preserve"> </w:t>
      </w:r>
      <w:r w:rsidRPr="00F666D2">
        <w:t>50μg</w:t>
      </w:r>
      <w:r w:rsidR="000159A6">
        <w:t xml:space="preserve"> </w:t>
      </w:r>
      <w:r w:rsidRPr="00F666D2">
        <w:t>of</w:t>
      </w:r>
      <w:r w:rsidR="000159A6">
        <w:t xml:space="preserve"> </w:t>
      </w:r>
      <w:r w:rsidRPr="00F666D2">
        <w:t>the</w:t>
      </w:r>
      <w:r w:rsidR="000159A6">
        <w:t xml:space="preserve"> </w:t>
      </w:r>
      <w:r w:rsidRPr="00F666D2">
        <w:t>recombinant</w:t>
      </w:r>
      <w:r w:rsidR="000159A6">
        <w:t xml:space="preserve"> </w:t>
      </w:r>
      <w:r w:rsidRPr="00F666D2">
        <w:t>subunit</w:t>
      </w:r>
      <w:r w:rsidR="000159A6">
        <w:t xml:space="preserve"> </w:t>
      </w:r>
      <w:r w:rsidRPr="00F666D2">
        <w:t>varicella</w:t>
      </w:r>
      <w:r w:rsidR="000159A6">
        <w:t xml:space="preserve"> </w:t>
      </w:r>
      <w:r w:rsidRPr="00F666D2">
        <w:t>zoster</w:t>
      </w:r>
      <w:r w:rsidR="000159A6">
        <w:t xml:space="preserve"> </w:t>
      </w:r>
      <w:r w:rsidRPr="00F666D2">
        <w:t>virus</w:t>
      </w:r>
      <w:r w:rsidR="000159A6">
        <w:t xml:space="preserve"> </w:t>
      </w:r>
      <w:r w:rsidRPr="00F666D2">
        <w:t>(VZV)</w:t>
      </w:r>
      <w:r w:rsidR="000159A6">
        <w:t xml:space="preserve"> </w:t>
      </w:r>
      <w:r w:rsidRPr="00F666D2">
        <w:t>glycoprotein</w:t>
      </w:r>
      <w:r w:rsidR="000159A6">
        <w:t xml:space="preserve"> </w:t>
      </w:r>
      <w:r w:rsidRPr="00F666D2">
        <w:t>E</w:t>
      </w:r>
      <w:r w:rsidR="000159A6">
        <w:t xml:space="preserve"> </w:t>
      </w:r>
      <w:r w:rsidRPr="00F666D2">
        <w:t>(</w:t>
      </w:r>
      <w:proofErr w:type="gramStart"/>
      <w:r w:rsidRPr="00F666D2">
        <w:t>gE</w:t>
      </w:r>
      <w:proofErr w:type="gramEnd"/>
      <w:r w:rsidRPr="00F666D2">
        <w:t>)</w:t>
      </w:r>
      <w:r w:rsidR="000159A6">
        <w:t xml:space="preserve"> </w:t>
      </w:r>
      <w:r w:rsidRPr="00F666D2">
        <w:t>antigen</w:t>
      </w:r>
      <w:r w:rsidR="000159A6">
        <w:t xml:space="preserve"> </w:t>
      </w:r>
      <w:r w:rsidRPr="00F666D2">
        <w:t>and</w:t>
      </w:r>
      <w:r w:rsidR="000159A6">
        <w:t xml:space="preserve"> </w:t>
      </w:r>
      <w:r w:rsidRPr="00F666D2">
        <w:t>the</w:t>
      </w:r>
      <w:r w:rsidR="000159A6">
        <w:t xml:space="preserve"> </w:t>
      </w:r>
      <w:r w:rsidR="00503D1B">
        <w:t>AS01</w:t>
      </w:r>
      <w:r w:rsidR="00503D1B" w:rsidRPr="00570F2D">
        <w:rPr>
          <w:vertAlign w:val="subscript"/>
        </w:rPr>
        <w:t>B</w:t>
      </w:r>
      <w:r w:rsidR="000159A6">
        <w:t xml:space="preserve"> </w:t>
      </w:r>
      <w:r w:rsidRPr="00F666D2">
        <w:t>adjuvant</w:t>
      </w:r>
      <w:r w:rsidR="000159A6">
        <w:t xml:space="preserve"> </w:t>
      </w:r>
      <w:r w:rsidRPr="00F666D2">
        <w:t>system.</w:t>
      </w:r>
      <w:r w:rsidR="000159A6">
        <w:t xml:space="preserve"> </w:t>
      </w:r>
      <w:r w:rsidRPr="00F666D2">
        <w:t>The</w:t>
      </w:r>
      <w:r w:rsidR="000159A6">
        <w:t xml:space="preserve"> </w:t>
      </w:r>
      <w:proofErr w:type="gramStart"/>
      <w:r w:rsidRPr="00F666D2">
        <w:t>gE</w:t>
      </w:r>
      <w:proofErr w:type="gramEnd"/>
      <w:r w:rsidR="000159A6">
        <w:t xml:space="preserve"> </w:t>
      </w:r>
      <w:r w:rsidRPr="00F666D2">
        <w:t>antigen</w:t>
      </w:r>
      <w:r w:rsidR="000159A6">
        <w:t xml:space="preserve"> </w:t>
      </w:r>
      <w:r w:rsidRPr="00F666D2">
        <w:t>is</w:t>
      </w:r>
      <w:r w:rsidR="000159A6">
        <w:t xml:space="preserve"> </w:t>
      </w:r>
      <w:r w:rsidRPr="00F666D2">
        <w:t>produced</w:t>
      </w:r>
      <w:r w:rsidR="000159A6">
        <w:t xml:space="preserve"> </w:t>
      </w:r>
      <w:r w:rsidRPr="00F666D2">
        <w:t>by</w:t>
      </w:r>
      <w:r w:rsidR="000159A6">
        <w:t xml:space="preserve"> </w:t>
      </w:r>
      <w:r w:rsidRPr="00F666D2">
        <w:t>recombinant</w:t>
      </w:r>
      <w:r w:rsidR="000159A6">
        <w:t xml:space="preserve"> </w:t>
      </w:r>
      <w:r w:rsidRPr="00F666D2">
        <w:t>DNA</w:t>
      </w:r>
      <w:r w:rsidR="000159A6">
        <w:t xml:space="preserve"> </w:t>
      </w:r>
      <w:r w:rsidRPr="00F666D2">
        <w:t>technology</w:t>
      </w:r>
      <w:r w:rsidR="000159A6">
        <w:t xml:space="preserve"> </w:t>
      </w:r>
      <w:r w:rsidRPr="00F666D2">
        <w:t>in</w:t>
      </w:r>
      <w:r w:rsidR="000159A6">
        <w:t xml:space="preserve"> </w:t>
      </w:r>
      <w:r w:rsidR="0037169B">
        <w:t>CHO</w:t>
      </w:r>
      <w:r w:rsidR="000159A6">
        <w:t xml:space="preserve"> </w:t>
      </w:r>
      <w:r w:rsidR="0037169B">
        <w:t>cells</w:t>
      </w:r>
      <w:r w:rsidRPr="00F666D2">
        <w:t>.</w:t>
      </w:r>
      <w:r w:rsidR="000159A6">
        <w:t xml:space="preserve"> </w:t>
      </w:r>
      <w:r w:rsidR="00503D1B">
        <w:t>AS01</w:t>
      </w:r>
      <w:r w:rsidR="00503D1B" w:rsidRPr="00570F2D">
        <w:rPr>
          <w:vertAlign w:val="subscript"/>
        </w:rPr>
        <w:t>B</w:t>
      </w:r>
      <w:r w:rsidR="000159A6">
        <w:t xml:space="preserve"> </w:t>
      </w:r>
      <w:r w:rsidRPr="00F666D2">
        <w:t>is</w:t>
      </w:r>
      <w:r w:rsidR="000159A6">
        <w:t xml:space="preserve"> </w:t>
      </w:r>
      <w:r w:rsidRPr="00F666D2">
        <w:t>a</w:t>
      </w:r>
      <w:r w:rsidR="000159A6">
        <w:t xml:space="preserve"> </w:t>
      </w:r>
      <w:r w:rsidRPr="00F666D2">
        <w:t>new</w:t>
      </w:r>
      <w:r w:rsidR="000159A6">
        <w:t xml:space="preserve"> </w:t>
      </w:r>
      <w:r w:rsidRPr="00F666D2">
        <w:t>adjuvant</w:t>
      </w:r>
      <w:r w:rsidR="000159A6">
        <w:t xml:space="preserve"> </w:t>
      </w:r>
      <w:r w:rsidRPr="00F666D2">
        <w:t>that</w:t>
      </w:r>
      <w:r w:rsidR="000159A6">
        <w:t xml:space="preserve"> </w:t>
      </w:r>
      <w:r w:rsidRPr="00F666D2">
        <w:t>is</w:t>
      </w:r>
      <w:r w:rsidR="000159A6">
        <w:t xml:space="preserve"> </w:t>
      </w:r>
      <w:r w:rsidRPr="00F666D2">
        <w:t>not</w:t>
      </w:r>
      <w:r w:rsidR="000159A6">
        <w:t xml:space="preserve"> </w:t>
      </w:r>
      <w:r w:rsidRPr="00F666D2">
        <w:t>included</w:t>
      </w:r>
      <w:r w:rsidR="000159A6">
        <w:t xml:space="preserve"> </w:t>
      </w:r>
      <w:r w:rsidRPr="00F666D2">
        <w:t>in</w:t>
      </w:r>
      <w:r w:rsidR="000159A6">
        <w:t xml:space="preserve"> </w:t>
      </w:r>
      <w:r w:rsidRPr="00F666D2">
        <w:t>any</w:t>
      </w:r>
      <w:r w:rsidR="000159A6">
        <w:t xml:space="preserve"> </w:t>
      </w:r>
      <w:r w:rsidRPr="00F666D2">
        <w:t>licensed</w:t>
      </w:r>
      <w:r w:rsidR="000159A6">
        <w:t xml:space="preserve"> </w:t>
      </w:r>
      <w:r w:rsidRPr="00F666D2">
        <w:t>vaccine.</w:t>
      </w:r>
      <w:r w:rsidR="000159A6">
        <w:t xml:space="preserve"> </w:t>
      </w:r>
      <w:r w:rsidR="00FF12AA">
        <w:t>Shingrix</w:t>
      </w:r>
      <w:r w:rsidR="000159A6">
        <w:t xml:space="preserve"> </w:t>
      </w:r>
      <w:r w:rsidRPr="00F666D2">
        <w:t>will</w:t>
      </w:r>
      <w:r w:rsidR="000159A6">
        <w:t xml:space="preserve"> </w:t>
      </w:r>
      <w:r w:rsidRPr="00F666D2">
        <w:t>be</w:t>
      </w:r>
      <w:r w:rsidR="000159A6">
        <w:t xml:space="preserve"> </w:t>
      </w:r>
      <w:r w:rsidRPr="00F666D2">
        <w:t>available</w:t>
      </w:r>
      <w:r w:rsidR="000159A6">
        <w:t xml:space="preserve"> </w:t>
      </w:r>
      <w:r w:rsidRPr="00F666D2">
        <w:t>as</w:t>
      </w:r>
      <w:r w:rsidR="000159A6">
        <w:t xml:space="preserve"> </w:t>
      </w:r>
      <w:r w:rsidRPr="00F666D2">
        <w:t>a</w:t>
      </w:r>
      <w:r w:rsidR="000159A6">
        <w:t xml:space="preserve"> </w:t>
      </w:r>
      <w:r w:rsidRPr="00F666D2">
        <w:t>powder</w:t>
      </w:r>
      <w:r w:rsidR="000159A6">
        <w:t xml:space="preserve"> </w:t>
      </w:r>
      <w:r w:rsidRPr="00F666D2">
        <w:t>and</w:t>
      </w:r>
      <w:r w:rsidR="000159A6">
        <w:t xml:space="preserve"> </w:t>
      </w:r>
      <w:r w:rsidRPr="00F666D2">
        <w:t>suspension</w:t>
      </w:r>
      <w:r w:rsidR="000159A6">
        <w:t xml:space="preserve"> </w:t>
      </w:r>
      <w:r w:rsidRPr="00F666D2">
        <w:t>liquid</w:t>
      </w:r>
      <w:r w:rsidR="000159A6">
        <w:t xml:space="preserve"> </w:t>
      </w:r>
      <w:r w:rsidRPr="00F666D2">
        <w:t>to</w:t>
      </w:r>
      <w:r w:rsidR="000159A6">
        <w:t xml:space="preserve"> </w:t>
      </w:r>
      <w:r w:rsidRPr="00F666D2">
        <w:t>be</w:t>
      </w:r>
      <w:r w:rsidR="000159A6">
        <w:t xml:space="preserve"> </w:t>
      </w:r>
      <w:r w:rsidRPr="00F666D2">
        <w:t>made</w:t>
      </w:r>
      <w:r w:rsidR="000159A6">
        <w:t xml:space="preserve"> </w:t>
      </w:r>
      <w:r w:rsidRPr="00F666D2">
        <w:t>into</w:t>
      </w:r>
      <w:r w:rsidR="000159A6">
        <w:t xml:space="preserve"> </w:t>
      </w:r>
      <w:r w:rsidRPr="00F666D2">
        <w:t>a</w:t>
      </w:r>
      <w:r w:rsidR="000159A6">
        <w:t xml:space="preserve"> </w:t>
      </w:r>
      <w:r w:rsidRPr="00F666D2">
        <w:t>suspension</w:t>
      </w:r>
      <w:r w:rsidR="000159A6">
        <w:t xml:space="preserve"> </w:t>
      </w:r>
      <w:r w:rsidRPr="00F666D2">
        <w:t>for</w:t>
      </w:r>
      <w:r w:rsidR="000159A6">
        <w:t xml:space="preserve"> </w:t>
      </w:r>
      <w:r w:rsidRPr="00F666D2">
        <w:t>injection.</w:t>
      </w:r>
      <w:r w:rsidR="000159A6">
        <w:t xml:space="preserve"> </w:t>
      </w:r>
      <w:r w:rsidRPr="00F666D2">
        <w:t>The</w:t>
      </w:r>
      <w:r w:rsidR="000159A6">
        <w:t xml:space="preserve"> </w:t>
      </w:r>
      <w:r w:rsidRPr="00F666D2">
        <w:t>active</w:t>
      </w:r>
      <w:r w:rsidR="000159A6">
        <w:t xml:space="preserve"> </w:t>
      </w:r>
      <w:r w:rsidRPr="00F666D2">
        <w:t>substance</w:t>
      </w:r>
      <w:r w:rsidR="000159A6">
        <w:t xml:space="preserve"> </w:t>
      </w:r>
      <w:r w:rsidRPr="00F666D2">
        <w:t>of</w:t>
      </w:r>
      <w:r w:rsidR="000159A6">
        <w:t xml:space="preserve"> </w:t>
      </w:r>
      <w:r w:rsidR="00FF12AA">
        <w:t>Shingrix</w:t>
      </w:r>
      <w:r w:rsidR="000159A6">
        <w:t xml:space="preserve"> </w:t>
      </w:r>
      <w:r w:rsidRPr="00F666D2">
        <w:t>is</w:t>
      </w:r>
      <w:r w:rsidR="000159A6">
        <w:t xml:space="preserve"> </w:t>
      </w:r>
      <w:r w:rsidRPr="00F666D2">
        <w:t>varicella</w:t>
      </w:r>
      <w:r w:rsidR="000159A6">
        <w:t xml:space="preserve"> </w:t>
      </w:r>
      <w:r w:rsidRPr="00F666D2">
        <w:t>zoster</w:t>
      </w:r>
      <w:r w:rsidR="000159A6">
        <w:t xml:space="preserve"> </w:t>
      </w:r>
      <w:r w:rsidRPr="00F666D2">
        <w:t>virus</w:t>
      </w:r>
      <w:r w:rsidR="000159A6">
        <w:t xml:space="preserve"> </w:t>
      </w:r>
      <w:r w:rsidRPr="00F666D2">
        <w:t>glycoprotein</w:t>
      </w:r>
      <w:r w:rsidR="000159A6">
        <w:t xml:space="preserve"> </w:t>
      </w:r>
      <w:r w:rsidRPr="00F666D2">
        <w:t>E</w:t>
      </w:r>
      <w:r w:rsidR="000159A6">
        <w:t xml:space="preserve"> </w:t>
      </w:r>
      <w:r w:rsidRPr="00F666D2">
        <w:t>antigen</w:t>
      </w:r>
      <w:r w:rsidR="000159A6">
        <w:t xml:space="preserve"> </w:t>
      </w:r>
      <w:r w:rsidRPr="00F666D2">
        <w:t>(VZV</w:t>
      </w:r>
      <w:r w:rsidR="000159A6">
        <w:t xml:space="preserve"> </w:t>
      </w:r>
      <w:proofErr w:type="gramStart"/>
      <w:r w:rsidRPr="00F666D2">
        <w:t>gE</w:t>
      </w:r>
      <w:proofErr w:type="gramEnd"/>
      <w:r w:rsidRPr="00F666D2">
        <w:t>)</w:t>
      </w:r>
      <w:r w:rsidR="000159A6">
        <w:t xml:space="preserve"> </w:t>
      </w:r>
      <w:r w:rsidRPr="00F666D2">
        <w:t>(ATC</w:t>
      </w:r>
      <w:r w:rsidR="000159A6">
        <w:t xml:space="preserve"> </w:t>
      </w:r>
      <w:r w:rsidRPr="00F666D2">
        <w:t>code:</w:t>
      </w:r>
      <w:r w:rsidR="000159A6">
        <w:t xml:space="preserve"> </w:t>
      </w:r>
      <w:r w:rsidRPr="00F666D2">
        <w:t>J07BK03).</w:t>
      </w:r>
      <w:r w:rsidR="000159A6">
        <w:t xml:space="preserve"> </w:t>
      </w:r>
      <w:r w:rsidRPr="00F666D2">
        <w:t>In</w:t>
      </w:r>
      <w:r w:rsidR="000159A6">
        <w:t xml:space="preserve"> </w:t>
      </w:r>
      <w:r w:rsidR="00FF12AA">
        <w:t>Shingrix</w:t>
      </w:r>
      <w:r w:rsidRPr="00F666D2">
        <w:t>,</w:t>
      </w:r>
      <w:r w:rsidR="000159A6">
        <w:t xml:space="preserve"> </w:t>
      </w:r>
      <w:r w:rsidRPr="00F666D2">
        <w:t>VZV</w:t>
      </w:r>
      <w:r w:rsidR="000159A6">
        <w:t xml:space="preserve"> </w:t>
      </w:r>
      <w:proofErr w:type="gramStart"/>
      <w:r w:rsidRPr="00F666D2">
        <w:t>gE</w:t>
      </w:r>
      <w:proofErr w:type="gramEnd"/>
      <w:r w:rsidR="000159A6">
        <w:t xml:space="preserve"> </w:t>
      </w:r>
      <w:r w:rsidRPr="00F666D2">
        <w:t>is</w:t>
      </w:r>
      <w:r w:rsidR="000159A6">
        <w:t xml:space="preserve"> </w:t>
      </w:r>
      <w:r w:rsidRPr="00F666D2">
        <w:t>combined</w:t>
      </w:r>
      <w:r w:rsidR="000159A6">
        <w:t xml:space="preserve"> </w:t>
      </w:r>
      <w:r w:rsidRPr="00F666D2">
        <w:t>with</w:t>
      </w:r>
      <w:r w:rsidR="000159A6">
        <w:t xml:space="preserve"> </w:t>
      </w:r>
      <w:r w:rsidRPr="00F666D2">
        <w:t>an</w:t>
      </w:r>
      <w:r w:rsidR="000159A6">
        <w:t xml:space="preserve"> </w:t>
      </w:r>
      <w:r w:rsidRPr="00F666D2">
        <w:t>adjuvant</w:t>
      </w:r>
      <w:r w:rsidR="000159A6">
        <w:t xml:space="preserve"> </w:t>
      </w:r>
      <w:r w:rsidRPr="00F666D2">
        <w:t>(</w:t>
      </w:r>
      <w:r w:rsidR="00503D1B">
        <w:t>AS01</w:t>
      </w:r>
      <w:r w:rsidR="00503D1B" w:rsidRPr="00570F2D">
        <w:rPr>
          <w:vertAlign w:val="subscript"/>
        </w:rPr>
        <w:t>B</w:t>
      </w:r>
      <w:r w:rsidRPr="00F666D2">
        <w:t>),</w:t>
      </w:r>
      <w:r w:rsidR="000159A6">
        <w:t xml:space="preserve"> </w:t>
      </w:r>
      <w:r w:rsidRPr="00F666D2">
        <w:t>and</w:t>
      </w:r>
      <w:r w:rsidR="000159A6">
        <w:t xml:space="preserve"> </w:t>
      </w:r>
      <w:r w:rsidRPr="00F666D2">
        <w:t>is</w:t>
      </w:r>
      <w:r w:rsidR="000159A6">
        <w:t xml:space="preserve"> </w:t>
      </w:r>
      <w:r w:rsidRPr="00F666D2">
        <w:t>designed</w:t>
      </w:r>
      <w:r w:rsidR="000159A6">
        <w:t xml:space="preserve"> </w:t>
      </w:r>
      <w:r w:rsidRPr="00F666D2">
        <w:t>to</w:t>
      </w:r>
      <w:r w:rsidR="000159A6">
        <w:t xml:space="preserve"> </w:t>
      </w:r>
      <w:r w:rsidRPr="00F666D2">
        <w:t>induce</w:t>
      </w:r>
      <w:r w:rsidR="000159A6">
        <w:t xml:space="preserve"> </w:t>
      </w:r>
      <w:r w:rsidR="000D0435">
        <w:t>antigen</w:t>
      </w:r>
      <w:r w:rsidR="000159A6">
        <w:t xml:space="preserve"> </w:t>
      </w:r>
      <w:r w:rsidR="000D0435">
        <w:t>specific</w:t>
      </w:r>
      <w:r w:rsidR="000159A6">
        <w:t xml:space="preserve"> </w:t>
      </w:r>
      <w:r w:rsidRPr="00F666D2">
        <w:t>cellular</w:t>
      </w:r>
      <w:r w:rsidR="000159A6">
        <w:t xml:space="preserve"> </w:t>
      </w:r>
      <w:r w:rsidRPr="00F666D2">
        <w:t>and</w:t>
      </w:r>
      <w:r w:rsidR="000159A6">
        <w:t xml:space="preserve"> </w:t>
      </w:r>
      <w:r w:rsidRPr="00F666D2">
        <w:t>humoral</w:t>
      </w:r>
      <w:r w:rsidR="000159A6">
        <w:t xml:space="preserve"> </w:t>
      </w:r>
      <w:r w:rsidRPr="00F666D2">
        <w:t>immune</w:t>
      </w:r>
      <w:r w:rsidR="000159A6">
        <w:t xml:space="preserve"> </w:t>
      </w:r>
      <w:r w:rsidRPr="00F666D2">
        <w:t>responses</w:t>
      </w:r>
      <w:r w:rsidR="000159A6">
        <w:t xml:space="preserve"> </w:t>
      </w:r>
      <w:r w:rsidRPr="00F666D2">
        <w:t>in</w:t>
      </w:r>
      <w:r w:rsidR="000159A6">
        <w:t xml:space="preserve"> </w:t>
      </w:r>
      <w:r w:rsidRPr="00F666D2">
        <w:t>individuals</w:t>
      </w:r>
      <w:r w:rsidR="000159A6">
        <w:t xml:space="preserve"> </w:t>
      </w:r>
      <w:r w:rsidRPr="00F666D2">
        <w:t>with</w:t>
      </w:r>
      <w:r w:rsidR="000159A6">
        <w:t xml:space="preserve"> </w:t>
      </w:r>
      <w:r w:rsidRPr="00F666D2">
        <w:t>pre-existing</w:t>
      </w:r>
      <w:r w:rsidR="000159A6">
        <w:t xml:space="preserve"> </w:t>
      </w:r>
      <w:r w:rsidRPr="00F666D2">
        <w:t>immunity</w:t>
      </w:r>
      <w:r w:rsidR="000159A6">
        <w:t xml:space="preserve"> </w:t>
      </w:r>
      <w:r w:rsidRPr="00F666D2">
        <w:t>against</w:t>
      </w:r>
      <w:r w:rsidR="000159A6">
        <w:t xml:space="preserve"> </w:t>
      </w:r>
      <w:r w:rsidRPr="00F666D2">
        <w:t>varicella</w:t>
      </w:r>
      <w:r w:rsidR="000159A6">
        <w:t xml:space="preserve"> </w:t>
      </w:r>
      <w:r w:rsidRPr="00F666D2">
        <w:t>zoster</w:t>
      </w:r>
      <w:r w:rsidR="000159A6">
        <w:t xml:space="preserve"> </w:t>
      </w:r>
      <w:r w:rsidRPr="00F666D2">
        <w:t>virus.</w:t>
      </w:r>
      <w:r w:rsidR="000159A6">
        <w:t xml:space="preserve"> </w:t>
      </w:r>
      <w:r w:rsidRPr="00F666D2">
        <w:t>In</w:t>
      </w:r>
      <w:r w:rsidR="000159A6">
        <w:t xml:space="preserve"> </w:t>
      </w:r>
      <w:r w:rsidRPr="00F666D2">
        <w:t>this</w:t>
      </w:r>
      <w:r w:rsidR="000159A6">
        <w:t xml:space="preserve"> </w:t>
      </w:r>
      <w:r w:rsidRPr="00F666D2">
        <w:t>Overview,</w:t>
      </w:r>
      <w:r w:rsidR="000159A6">
        <w:t xml:space="preserve"> </w:t>
      </w:r>
      <w:r w:rsidRPr="00F666D2">
        <w:t>the</w:t>
      </w:r>
      <w:r w:rsidR="000159A6">
        <w:t xml:space="preserve"> </w:t>
      </w:r>
      <w:r w:rsidR="0048276A">
        <w:t>h</w:t>
      </w:r>
      <w:r w:rsidR="0048276A" w:rsidRPr="00F666D2">
        <w:t>erpes</w:t>
      </w:r>
      <w:r w:rsidR="000159A6">
        <w:t xml:space="preserve"> </w:t>
      </w:r>
      <w:r w:rsidR="0048276A">
        <w:t>z</w:t>
      </w:r>
      <w:r w:rsidRPr="00F666D2">
        <w:t>oster</w:t>
      </w:r>
      <w:r w:rsidR="000159A6">
        <w:t xml:space="preserve"> </w:t>
      </w:r>
      <w:r w:rsidRPr="00F666D2">
        <w:t>vaccine</w:t>
      </w:r>
      <w:r w:rsidR="000159A6">
        <w:t xml:space="preserve"> </w:t>
      </w:r>
      <w:r w:rsidRPr="00F666D2">
        <w:t>is</w:t>
      </w:r>
      <w:r w:rsidR="000159A6">
        <w:t xml:space="preserve"> </w:t>
      </w:r>
      <w:r w:rsidRPr="00F666D2">
        <w:t>referred</w:t>
      </w:r>
      <w:r w:rsidR="000159A6">
        <w:t xml:space="preserve"> </w:t>
      </w:r>
      <w:r w:rsidRPr="00F666D2">
        <w:t>to</w:t>
      </w:r>
      <w:r w:rsidR="000159A6">
        <w:t xml:space="preserve"> </w:t>
      </w:r>
      <w:r w:rsidRPr="00F666D2">
        <w:t>as</w:t>
      </w:r>
      <w:r w:rsidR="000159A6">
        <w:t xml:space="preserve"> </w:t>
      </w:r>
      <w:r w:rsidRPr="00F666D2">
        <w:t>HZ/</w:t>
      </w:r>
      <w:proofErr w:type="spellStart"/>
      <w:r w:rsidRPr="00F666D2">
        <w:t>su</w:t>
      </w:r>
      <w:proofErr w:type="spellEnd"/>
      <w:r w:rsidR="000159A6">
        <w:t xml:space="preserve"> </w:t>
      </w:r>
      <w:r w:rsidRPr="00F666D2">
        <w:t>and</w:t>
      </w:r>
      <w:r w:rsidR="000159A6">
        <w:t xml:space="preserve"> </w:t>
      </w:r>
      <w:r w:rsidRPr="00F666D2">
        <w:t>i</w:t>
      </w:r>
      <w:r w:rsidR="0037169B">
        <w:t>n</w:t>
      </w:r>
      <w:r w:rsidR="000159A6">
        <w:t xml:space="preserve"> </w:t>
      </w:r>
      <w:r w:rsidR="0037169B">
        <w:t>early</w:t>
      </w:r>
      <w:r w:rsidR="000159A6">
        <w:t xml:space="preserve"> </w:t>
      </w:r>
      <w:r w:rsidR="0037169B">
        <w:t>studies</w:t>
      </w:r>
      <w:r w:rsidR="000159A6">
        <w:t xml:space="preserve"> </w:t>
      </w:r>
      <w:r w:rsidR="0037169B">
        <w:t>as</w:t>
      </w:r>
      <w:r w:rsidR="000159A6">
        <w:t xml:space="preserve"> </w:t>
      </w:r>
      <w:r w:rsidR="0037169B">
        <w:t>gE/</w:t>
      </w:r>
      <w:r w:rsidR="000E6841">
        <w:t>AS01</w:t>
      </w:r>
      <w:r w:rsidR="000E6841" w:rsidRPr="00C049B7">
        <w:rPr>
          <w:vertAlign w:val="subscript"/>
        </w:rPr>
        <w:t>B</w:t>
      </w:r>
      <w:r w:rsidRPr="00F666D2">
        <w:t>.</w:t>
      </w:r>
    </w:p>
    <w:p w14:paraId="0906A63A" w14:textId="17EAF095" w:rsidR="00F666D2" w:rsidRPr="00E021B7" w:rsidRDefault="00F666D2" w:rsidP="00440509">
      <w:pPr>
        <w:pStyle w:val="Heading4"/>
      </w:pPr>
      <w:bookmarkStart w:id="237" w:name="_Toc493837805"/>
      <w:r w:rsidRPr="00E021B7">
        <w:t>Overseas</w:t>
      </w:r>
      <w:r w:rsidR="000159A6" w:rsidRPr="00E021B7">
        <w:t xml:space="preserve"> </w:t>
      </w:r>
      <w:r w:rsidR="00440509">
        <w:t>r</w:t>
      </w:r>
      <w:r w:rsidRPr="00E021B7">
        <w:t>egulatory</w:t>
      </w:r>
      <w:r w:rsidR="000159A6" w:rsidRPr="00E021B7">
        <w:t xml:space="preserve"> </w:t>
      </w:r>
      <w:r w:rsidR="00440509" w:rsidRPr="00440509">
        <w:t>s</w:t>
      </w:r>
      <w:r w:rsidRPr="00440509">
        <w:t>tatus</w:t>
      </w:r>
      <w:bookmarkEnd w:id="237"/>
    </w:p>
    <w:p w14:paraId="66F07383" w14:textId="3272C95F" w:rsidR="00FF12AA" w:rsidRPr="0037169B" w:rsidRDefault="00F666D2" w:rsidP="00440509">
      <w:r w:rsidRPr="0037169B">
        <w:t>The</w:t>
      </w:r>
      <w:r w:rsidR="000159A6">
        <w:t xml:space="preserve"> </w:t>
      </w:r>
      <w:r w:rsidRPr="0037169B">
        <w:t>sponsor</w:t>
      </w:r>
      <w:r w:rsidR="000159A6">
        <w:t xml:space="preserve"> </w:t>
      </w:r>
      <w:r w:rsidRPr="0037169B">
        <w:t>stated</w:t>
      </w:r>
      <w:r w:rsidR="000159A6">
        <w:t xml:space="preserve"> </w:t>
      </w:r>
      <w:r w:rsidRPr="0037169B">
        <w:t>that</w:t>
      </w:r>
      <w:r w:rsidR="000159A6">
        <w:t xml:space="preserve"> </w:t>
      </w:r>
      <w:r w:rsidRPr="0037169B">
        <w:t>the</w:t>
      </w:r>
      <w:r w:rsidR="000159A6">
        <w:t xml:space="preserve"> </w:t>
      </w:r>
      <w:r w:rsidRPr="0037169B">
        <w:t>application</w:t>
      </w:r>
      <w:r w:rsidR="000159A6">
        <w:t xml:space="preserve"> </w:t>
      </w:r>
      <w:r w:rsidRPr="0037169B">
        <w:t>submitted</w:t>
      </w:r>
      <w:r w:rsidR="000159A6">
        <w:t xml:space="preserve"> </w:t>
      </w:r>
      <w:r w:rsidRPr="0037169B">
        <w:t>to</w:t>
      </w:r>
      <w:r w:rsidR="000159A6">
        <w:t xml:space="preserve"> </w:t>
      </w:r>
      <w:r w:rsidRPr="0037169B">
        <w:t>the</w:t>
      </w:r>
      <w:r w:rsidR="000159A6">
        <w:t xml:space="preserve"> </w:t>
      </w:r>
      <w:r w:rsidRPr="0037169B">
        <w:t>TGA</w:t>
      </w:r>
      <w:r w:rsidR="000159A6">
        <w:t xml:space="preserve"> </w:t>
      </w:r>
      <w:r w:rsidRPr="0037169B">
        <w:t>is</w:t>
      </w:r>
      <w:r w:rsidR="000159A6">
        <w:t xml:space="preserve"> </w:t>
      </w:r>
      <w:r w:rsidRPr="0037169B">
        <w:t>based</w:t>
      </w:r>
      <w:r w:rsidR="000159A6">
        <w:t xml:space="preserve"> </w:t>
      </w:r>
      <w:r w:rsidRPr="0037169B">
        <w:t>on</w:t>
      </w:r>
      <w:r w:rsidR="000159A6">
        <w:t xml:space="preserve"> </w:t>
      </w:r>
      <w:r w:rsidRPr="0037169B">
        <w:t>the</w:t>
      </w:r>
      <w:r w:rsidR="000159A6">
        <w:t xml:space="preserve"> </w:t>
      </w:r>
      <w:r w:rsidRPr="0037169B">
        <w:t>same</w:t>
      </w:r>
      <w:r w:rsidR="000159A6">
        <w:t xml:space="preserve"> </w:t>
      </w:r>
      <w:r w:rsidRPr="0037169B">
        <w:t>data</w:t>
      </w:r>
      <w:r w:rsidR="000159A6">
        <w:t xml:space="preserve"> </w:t>
      </w:r>
      <w:r w:rsidRPr="0037169B">
        <w:t>provided</w:t>
      </w:r>
      <w:r w:rsidR="000159A6">
        <w:t xml:space="preserve"> </w:t>
      </w:r>
      <w:r w:rsidRPr="0037169B">
        <w:t>to</w:t>
      </w:r>
      <w:r w:rsidR="000159A6">
        <w:t xml:space="preserve"> </w:t>
      </w:r>
      <w:r w:rsidRPr="0037169B">
        <w:t>the</w:t>
      </w:r>
      <w:r w:rsidR="000159A6">
        <w:t xml:space="preserve"> </w:t>
      </w:r>
      <w:r w:rsidRPr="0037169B">
        <w:t>EU,</w:t>
      </w:r>
      <w:r w:rsidR="000159A6">
        <w:t xml:space="preserve"> </w:t>
      </w:r>
      <w:r w:rsidRPr="0037169B">
        <w:t>USA</w:t>
      </w:r>
      <w:r w:rsidR="000159A6">
        <w:t xml:space="preserve"> </w:t>
      </w:r>
      <w:r w:rsidRPr="0037169B">
        <w:t>and</w:t>
      </w:r>
      <w:r w:rsidR="000159A6">
        <w:t xml:space="preserve"> </w:t>
      </w:r>
      <w:r w:rsidRPr="0037169B">
        <w:t>Canada.</w:t>
      </w:r>
      <w:r w:rsidR="000159A6">
        <w:t xml:space="preserve"> </w:t>
      </w:r>
      <w:r w:rsidRPr="0037169B">
        <w:t>The</w:t>
      </w:r>
      <w:r w:rsidR="000159A6">
        <w:t xml:space="preserve"> </w:t>
      </w:r>
      <w:r w:rsidRPr="0037169B">
        <w:t>vaccine</w:t>
      </w:r>
      <w:r w:rsidR="000159A6">
        <w:t xml:space="preserve"> </w:t>
      </w:r>
      <w:r w:rsidRPr="0037169B">
        <w:t>has</w:t>
      </w:r>
      <w:r w:rsidR="000159A6">
        <w:t xml:space="preserve"> </w:t>
      </w:r>
      <w:r w:rsidRPr="0037169B">
        <w:t>now</w:t>
      </w:r>
      <w:r w:rsidR="000159A6">
        <w:t xml:space="preserve"> </w:t>
      </w:r>
      <w:r w:rsidRPr="0037169B">
        <w:t>been</w:t>
      </w:r>
      <w:r w:rsidR="000159A6">
        <w:t xml:space="preserve"> </w:t>
      </w:r>
      <w:r w:rsidRPr="0037169B">
        <w:t>approved</w:t>
      </w:r>
      <w:r w:rsidR="000159A6">
        <w:t xml:space="preserve"> </w:t>
      </w:r>
      <w:r w:rsidRPr="0037169B">
        <w:t>by</w:t>
      </w:r>
      <w:r w:rsidR="000159A6">
        <w:t xml:space="preserve"> </w:t>
      </w:r>
      <w:r w:rsidRPr="0037169B">
        <w:t>the</w:t>
      </w:r>
      <w:r w:rsidR="000159A6">
        <w:t xml:space="preserve"> </w:t>
      </w:r>
      <w:r w:rsidRPr="0037169B">
        <w:t>FDA,</w:t>
      </w:r>
      <w:r w:rsidR="000159A6">
        <w:t xml:space="preserve"> </w:t>
      </w:r>
      <w:r w:rsidRPr="0037169B">
        <w:t>Health</w:t>
      </w:r>
      <w:r w:rsidR="000159A6">
        <w:t xml:space="preserve"> </w:t>
      </w:r>
      <w:r w:rsidRPr="0037169B">
        <w:t>Canada,</w:t>
      </w:r>
      <w:r w:rsidR="000159A6">
        <w:t xml:space="preserve"> </w:t>
      </w:r>
      <w:r w:rsidRPr="0037169B">
        <w:t>and</w:t>
      </w:r>
      <w:r w:rsidR="000159A6">
        <w:t xml:space="preserve"> </w:t>
      </w:r>
      <w:r w:rsidRPr="0037169B">
        <w:t>the</w:t>
      </w:r>
      <w:r w:rsidR="000159A6">
        <w:t xml:space="preserve"> </w:t>
      </w:r>
      <w:r w:rsidRPr="0037169B">
        <w:t>EMA</w:t>
      </w:r>
      <w:r w:rsidR="000159A6">
        <w:t xml:space="preserve"> </w:t>
      </w:r>
      <w:r w:rsidRPr="0037169B">
        <w:t>(28</w:t>
      </w:r>
      <w:r w:rsidR="000159A6">
        <w:t xml:space="preserve"> </w:t>
      </w:r>
      <w:r w:rsidRPr="0037169B">
        <w:t>March</w:t>
      </w:r>
      <w:r w:rsidR="000159A6">
        <w:t xml:space="preserve"> </w:t>
      </w:r>
      <w:r w:rsidRPr="0037169B">
        <w:t>2018)</w:t>
      </w:r>
      <w:r w:rsidR="000159A6">
        <w:t xml:space="preserve"> </w:t>
      </w:r>
      <w:r w:rsidR="00D169E2">
        <w:t>and</w:t>
      </w:r>
      <w:r w:rsidR="000159A6">
        <w:t xml:space="preserve"> </w:t>
      </w:r>
      <w:r w:rsidR="00D169E2">
        <w:t>in</w:t>
      </w:r>
      <w:r w:rsidR="000159A6">
        <w:t xml:space="preserve"> </w:t>
      </w:r>
      <w:r w:rsidR="00D169E2">
        <w:t>Japan</w:t>
      </w:r>
      <w:r w:rsidR="000159A6">
        <w:t xml:space="preserve"> </w:t>
      </w:r>
      <w:r w:rsidR="00D169E2">
        <w:t>(23</w:t>
      </w:r>
      <w:r w:rsidR="000159A6">
        <w:t xml:space="preserve"> </w:t>
      </w:r>
      <w:r w:rsidR="00D169E2">
        <w:t>March</w:t>
      </w:r>
      <w:r w:rsidR="000159A6">
        <w:t xml:space="preserve"> </w:t>
      </w:r>
      <w:r w:rsidR="00D169E2">
        <w:t>2018)</w:t>
      </w:r>
      <w:r w:rsidR="00FF12AA" w:rsidRPr="0037169B">
        <w:t>.</w:t>
      </w:r>
      <w:r w:rsidR="000159A6">
        <w:t xml:space="preserve"> </w:t>
      </w:r>
      <w:r w:rsidR="0037169B">
        <w:t>For</w:t>
      </w:r>
      <w:r w:rsidR="000159A6">
        <w:t xml:space="preserve"> </w:t>
      </w:r>
      <w:r w:rsidR="0037169B">
        <w:t>details</w:t>
      </w:r>
      <w:r w:rsidR="000159A6">
        <w:t xml:space="preserve"> </w:t>
      </w:r>
      <w:r w:rsidR="0037169B">
        <w:t>see</w:t>
      </w:r>
      <w:r w:rsidR="000159A6">
        <w:t xml:space="preserve"> </w:t>
      </w:r>
      <w:r w:rsidR="0037169B">
        <w:t>Table</w:t>
      </w:r>
      <w:r w:rsidR="000159A6">
        <w:t xml:space="preserve"> </w:t>
      </w:r>
      <w:r w:rsidR="0037169B">
        <w:t>1</w:t>
      </w:r>
      <w:r w:rsidR="0048276A">
        <w:t>,</w:t>
      </w:r>
      <w:r w:rsidR="000159A6">
        <w:t xml:space="preserve"> </w:t>
      </w:r>
      <w:r w:rsidR="0048276A">
        <w:t>above</w:t>
      </w:r>
      <w:r w:rsidR="0037169B">
        <w:t>.</w:t>
      </w:r>
    </w:p>
    <w:p w14:paraId="54DE4AA2" w14:textId="77777777" w:rsidR="008E7846" w:rsidRPr="00E021B7" w:rsidRDefault="008E7846" w:rsidP="00440509">
      <w:pPr>
        <w:pStyle w:val="Heading3"/>
      </w:pPr>
      <w:bookmarkStart w:id="238" w:name="_Toc314842511"/>
      <w:bookmarkStart w:id="239" w:name="_Toc1049826"/>
      <w:r w:rsidRPr="00440509">
        <w:t>Quality</w:t>
      </w:r>
      <w:bookmarkEnd w:id="235"/>
      <w:bookmarkEnd w:id="238"/>
      <w:bookmarkEnd w:id="239"/>
    </w:p>
    <w:p w14:paraId="2235E7D4" w14:textId="2A4A9D14" w:rsidR="00730F8A" w:rsidRDefault="0037169B" w:rsidP="00440509">
      <w:bookmarkStart w:id="240" w:name="_Toc507600003"/>
      <w:r>
        <w:t>The</w:t>
      </w:r>
      <w:r w:rsidR="000159A6">
        <w:t xml:space="preserve"> </w:t>
      </w:r>
      <w:r>
        <w:t>quality</w:t>
      </w:r>
      <w:r w:rsidR="000159A6">
        <w:t xml:space="preserve"> </w:t>
      </w:r>
      <w:r>
        <w:t>e</w:t>
      </w:r>
      <w:r w:rsidR="00F666D2" w:rsidRPr="00F666D2">
        <w:t>valuations</w:t>
      </w:r>
      <w:bookmarkEnd w:id="240"/>
      <w:r w:rsidR="000159A6">
        <w:t xml:space="preserve"> </w:t>
      </w:r>
      <w:r w:rsidR="00F666D2" w:rsidRPr="00F666D2">
        <w:t>consist</w:t>
      </w:r>
      <w:r w:rsidR="000159A6">
        <w:t xml:space="preserve"> </w:t>
      </w:r>
      <w:r w:rsidR="00F666D2" w:rsidRPr="00F666D2">
        <w:t>of</w:t>
      </w:r>
      <w:r w:rsidR="000159A6">
        <w:t xml:space="preserve"> </w:t>
      </w:r>
      <w:r w:rsidR="00F666D2" w:rsidRPr="00F666D2">
        <w:t>the</w:t>
      </w:r>
      <w:r w:rsidR="000159A6">
        <w:t xml:space="preserve"> </w:t>
      </w:r>
      <w:r w:rsidR="00F666D2" w:rsidRPr="00F666D2">
        <w:t>following</w:t>
      </w:r>
      <w:r w:rsidR="000159A6">
        <w:t xml:space="preserve"> </w:t>
      </w:r>
      <w:r w:rsidR="00F666D2" w:rsidRPr="00F666D2">
        <w:t>aspects</w:t>
      </w:r>
      <w:r>
        <w:t>:</w:t>
      </w:r>
      <w:r w:rsidR="000159A6">
        <w:t xml:space="preserve"> </w:t>
      </w:r>
      <w:r w:rsidR="0048276A">
        <w:t>primary</w:t>
      </w:r>
      <w:r w:rsidR="000159A6">
        <w:t xml:space="preserve"> </w:t>
      </w:r>
      <w:r w:rsidR="0048276A">
        <w:t>evaluation</w:t>
      </w:r>
      <w:r w:rsidR="00F666D2">
        <w:t>,</w:t>
      </w:r>
      <w:r w:rsidR="000159A6">
        <w:t xml:space="preserve"> </w:t>
      </w:r>
      <w:r w:rsidR="0048276A">
        <w:t>infectious</w:t>
      </w:r>
      <w:r w:rsidR="000159A6">
        <w:t xml:space="preserve"> </w:t>
      </w:r>
      <w:r w:rsidR="00F666D2">
        <w:t>disease/viral</w:t>
      </w:r>
      <w:r w:rsidR="000159A6">
        <w:t xml:space="preserve"> </w:t>
      </w:r>
      <w:r w:rsidR="00F666D2">
        <w:t>safety,</w:t>
      </w:r>
      <w:r w:rsidR="000159A6">
        <w:t xml:space="preserve"> </w:t>
      </w:r>
      <w:r w:rsidR="0048276A">
        <w:t>container</w:t>
      </w:r>
      <w:r w:rsidR="000159A6">
        <w:t xml:space="preserve"> </w:t>
      </w:r>
      <w:r w:rsidR="0048276A">
        <w:t>safety</w:t>
      </w:r>
      <w:r w:rsidR="00F666D2">
        <w:t>,</w:t>
      </w:r>
      <w:r w:rsidR="000159A6">
        <w:t xml:space="preserve"> </w:t>
      </w:r>
      <w:r w:rsidR="0048276A">
        <w:t>microbiology</w:t>
      </w:r>
      <w:r w:rsidR="000159A6">
        <w:t xml:space="preserve"> </w:t>
      </w:r>
      <w:r w:rsidR="00F666D2">
        <w:t>(</w:t>
      </w:r>
      <w:r w:rsidR="0048276A">
        <w:t>sterility</w:t>
      </w:r>
      <w:r w:rsidR="00F666D2">
        <w:t>)</w:t>
      </w:r>
      <w:r w:rsidR="000159A6">
        <w:t xml:space="preserve"> </w:t>
      </w:r>
      <w:r w:rsidR="005C0A6F">
        <w:t>and</w:t>
      </w:r>
      <w:r w:rsidR="000159A6">
        <w:t xml:space="preserve"> </w:t>
      </w:r>
      <w:r w:rsidR="0048276A">
        <w:t>endotoxins</w:t>
      </w:r>
      <w:r w:rsidR="005C0A6F">
        <w:t>.</w:t>
      </w:r>
    </w:p>
    <w:p w14:paraId="28A8489F" w14:textId="6D04BBD2" w:rsidR="005C0A6F" w:rsidRPr="005C0A6F" w:rsidRDefault="005C0A6F" w:rsidP="005C0A6F">
      <w:r w:rsidRPr="005C0A6F">
        <w:t>All</w:t>
      </w:r>
      <w:r w:rsidR="000159A6">
        <w:t xml:space="preserve"> </w:t>
      </w:r>
      <w:r w:rsidRPr="005C0A6F">
        <w:t>the</w:t>
      </w:r>
      <w:r w:rsidR="000159A6">
        <w:t xml:space="preserve"> </w:t>
      </w:r>
      <w:r w:rsidRPr="005C0A6F">
        <w:t>above</w:t>
      </w:r>
      <w:r w:rsidR="000159A6">
        <w:t xml:space="preserve"> </w:t>
      </w:r>
      <w:r w:rsidRPr="005C0A6F">
        <w:t>evaluations</w:t>
      </w:r>
      <w:r w:rsidR="000159A6">
        <w:t xml:space="preserve"> </w:t>
      </w:r>
      <w:r w:rsidRPr="005C0A6F">
        <w:t>are</w:t>
      </w:r>
      <w:r w:rsidR="000159A6">
        <w:t xml:space="preserve"> </w:t>
      </w:r>
      <w:r w:rsidRPr="005C0A6F">
        <w:t>completed.</w:t>
      </w:r>
      <w:r w:rsidR="000159A6">
        <w:t xml:space="preserve"> </w:t>
      </w:r>
      <w:r w:rsidRPr="005C0A6F">
        <w:t>There</w:t>
      </w:r>
      <w:r w:rsidR="000159A6">
        <w:t xml:space="preserve"> </w:t>
      </w:r>
      <w:r w:rsidRPr="005C0A6F">
        <w:t>are</w:t>
      </w:r>
      <w:r w:rsidR="000159A6">
        <w:t xml:space="preserve"> </w:t>
      </w:r>
      <w:r w:rsidRPr="005C0A6F">
        <w:t>no</w:t>
      </w:r>
      <w:r w:rsidR="000159A6">
        <w:t xml:space="preserve"> </w:t>
      </w:r>
      <w:r w:rsidRPr="005C0A6F">
        <w:t>outstanding</w:t>
      </w:r>
      <w:r w:rsidR="000159A6">
        <w:t xml:space="preserve"> </w:t>
      </w:r>
      <w:r w:rsidRPr="005C0A6F">
        <w:t>quality</w:t>
      </w:r>
      <w:r w:rsidR="000159A6">
        <w:t xml:space="preserve"> </w:t>
      </w:r>
      <w:r w:rsidRPr="005C0A6F">
        <w:t>issues</w:t>
      </w:r>
      <w:r w:rsidR="000159A6">
        <w:t xml:space="preserve"> </w:t>
      </w:r>
      <w:r w:rsidRPr="005C0A6F">
        <w:t>in</w:t>
      </w:r>
      <w:r w:rsidR="000159A6">
        <w:t xml:space="preserve"> </w:t>
      </w:r>
      <w:r w:rsidRPr="005C0A6F">
        <w:t>regards</w:t>
      </w:r>
      <w:r w:rsidR="000159A6">
        <w:t xml:space="preserve"> </w:t>
      </w:r>
      <w:r w:rsidRPr="005C0A6F">
        <w:t>to</w:t>
      </w:r>
      <w:r w:rsidR="000159A6">
        <w:t xml:space="preserve"> </w:t>
      </w:r>
      <w:r w:rsidRPr="005C0A6F">
        <w:t>approval</w:t>
      </w:r>
      <w:r w:rsidR="000159A6">
        <w:t xml:space="preserve"> </w:t>
      </w:r>
      <w:r w:rsidRPr="005C0A6F">
        <w:t>of</w:t>
      </w:r>
      <w:r w:rsidR="000159A6">
        <w:t xml:space="preserve"> </w:t>
      </w:r>
      <w:r w:rsidR="00FF12AA">
        <w:t>Shingrix</w:t>
      </w:r>
      <w:r w:rsidRPr="005C0A6F">
        <w:t>.</w:t>
      </w:r>
      <w:r w:rsidR="000159A6">
        <w:t xml:space="preserve"> </w:t>
      </w:r>
      <w:r w:rsidRPr="005C0A6F">
        <w:t>Conditions</w:t>
      </w:r>
      <w:r w:rsidR="000159A6">
        <w:t xml:space="preserve"> </w:t>
      </w:r>
      <w:r w:rsidR="0037169B" w:rsidRPr="005C0A6F">
        <w:t>of</w:t>
      </w:r>
      <w:r w:rsidR="000159A6">
        <w:t xml:space="preserve"> </w:t>
      </w:r>
      <w:r w:rsidR="0037169B" w:rsidRPr="005C0A6F">
        <w:t>registration</w:t>
      </w:r>
      <w:r w:rsidR="000159A6">
        <w:t xml:space="preserve"> </w:t>
      </w:r>
      <w:r w:rsidR="0037169B" w:rsidRPr="005C0A6F">
        <w:t>from</w:t>
      </w:r>
      <w:r w:rsidR="000159A6">
        <w:t xml:space="preserve"> </w:t>
      </w:r>
      <w:r w:rsidR="0037169B" w:rsidRPr="005C0A6F">
        <w:t>quality</w:t>
      </w:r>
      <w:r w:rsidR="000159A6">
        <w:t xml:space="preserve"> </w:t>
      </w:r>
      <w:r w:rsidRPr="005C0A6F">
        <w:t>aspects</w:t>
      </w:r>
      <w:r w:rsidR="000159A6">
        <w:t xml:space="preserve"> </w:t>
      </w:r>
      <w:r w:rsidR="0037169B">
        <w:t>were</w:t>
      </w:r>
      <w:r w:rsidR="000159A6">
        <w:t xml:space="preserve"> </w:t>
      </w:r>
      <w:r w:rsidR="0037169B">
        <w:t>provided.</w:t>
      </w:r>
    </w:p>
    <w:p w14:paraId="6F3F8C3E" w14:textId="77777777" w:rsidR="008E7846" w:rsidRPr="00E021B7" w:rsidRDefault="008E7846" w:rsidP="00440509">
      <w:pPr>
        <w:pStyle w:val="Heading3"/>
      </w:pPr>
      <w:bookmarkStart w:id="241" w:name="_Toc314842512"/>
      <w:bookmarkStart w:id="242" w:name="_Toc1049827"/>
      <w:r w:rsidRPr="00440509">
        <w:t>Nonclinical</w:t>
      </w:r>
      <w:bookmarkEnd w:id="241"/>
      <w:bookmarkEnd w:id="242"/>
    </w:p>
    <w:p w14:paraId="7A27260B" w14:textId="287888DF" w:rsidR="00FF12AA" w:rsidRDefault="005C0A6F" w:rsidP="00440509">
      <w:r w:rsidRPr="005C0A6F">
        <w:t>The</w:t>
      </w:r>
      <w:r w:rsidR="000159A6">
        <w:t xml:space="preserve"> </w:t>
      </w:r>
      <w:r w:rsidRPr="005C0A6F">
        <w:t>nonclinical</w:t>
      </w:r>
      <w:r w:rsidR="000159A6">
        <w:t xml:space="preserve"> </w:t>
      </w:r>
      <w:r w:rsidRPr="005C0A6F">
        <w:t>data</w:t>
      </w:r>
      <w:r w:rsidR="000159A6">
        <w:t xml:space="preserve"> </w:t>
      </w:r>
      <w:r w:rsidRPr="005C0A6F">
        <w:t>provided</w:t>
      </w:r>
      <w:r w:rsidR="000159A6">
        <w:t xml:space="preserve"> </w:t>
      </w:r>
      <w:r w:rsidRPr="005C0A6F">
        <w:t>are</w:t>
      </w:r>
      <w:r w:rsidR="000159A6">
        <w:t xml:space="preserve"> </w:t>
      </w:r>
      <w:r w:rsidRPr="005C0A6F">
        <w:t>satisfactory.</w:t>
      </w:r>
      <w:r w:rsidR="000159A6">
        <w:t xml:space="preserve"> </w:t>
      </w:r>
      <w:r w:rsidRPr="005C0A6F">
        <w:t>The</w:t>
      </w:r>
      <w:r w:rsidR="000159A6">
        <w:t xml:space="preserve"> </w:t>
      </w:r>
      <w:r w:rsidRPr="005C0A6F">
        <w:t>primary</w:t>
      </w:r>
      <w:r w:rsidR="000159A6">
        <w:t xml:space="preserve"> </w:t>
      </w:r>
      <w:r w:rsidRPr="005C0A6F">
        <w:t>pharmacology</w:t>
      </w:r>
      <w:r w:rsidR="000159A6">
        <w:t xml:space="preserve"> </w:t>
      </w:r>
      <w:r w:rsidRPr="005C0A6F">
        <w:t>studies</w:t>
      </w:r>
      <w:r w:rsidR="000159A6">
        <w:t xml:space="preserve"> </w:t>
      </w:r>
      <w:r w:rsidRPr="005C0A6F">
        <w:t>adequately</w:t>
      </w:r>
      <w:r w:rsidR="000159A6">
        <w:t xml:space="preserve"> </w:t>
      </w:r>
      <w:r w:rsidRPr="005C0A6F">
        <w:t>demonstrated</w:t>
      </w:r>
      <w:r w:rsidR="000159A6">
        <w:t xml:space="preserve"> </w:t>
      </w:r>
      <w:proofErr w:type="spellStart"/>
      <w:r w:rsidRPr="005C0A6F">
        <w:t>sero</w:t>
      </w:r>
      <w:proofErr w:type="spellEnd"/>
      <w:r w:rsidRPr="005C0A6F">
        <w:t>-conversion</w:t>
      </w:r>
      <w:r w:rsidR="000159A6">
        <w:t xml:space="preserve"> </w:t>
      </w:r>
      <w:r w:rsidRPr="005C0A6F">
        <w:t>of</w:t>
      </w:r>
      <w:r w:rsidR="000159A6">
        <w:t xml:space="preserve"> </w:t>
      </w:r>
      <w:r w:rsidRPr="005C0A6F">
        <w:t>animals</w:t>
      </w:r>
      <w:r w:rsidR="000159A6">
        <w:t xml:space="preserve"> </w:t>
      </w:r>
      <w:r w:rsidRPr="005C0A6F">
        <w:t>to</w:t>
      </w:r>
      <w:r w:rsidR="000159A6">
        <w:t xml:space="preserve"> </w:t>
      </w:r>
      <w:r w:rsidRPr="005C0A6F">
        <w:t>virus</w:t>
      </w:r>
      <w:r w:rsidR="000159A6">
        <w:t xml:space="preserve"> </w:t>
      </w:r>
      <w:r w:rsidRPr="005C0A6F">
        <w:t>antigen</w:t>
      </w:r>
      <w:r w:rsidR="000159A6">
        <w:t xml:space="preserve"> </w:t>
      </w:r>
      <w:r w:rsidRPr="005C0A6F">
        <w:t>present</w:t>
      </w:r>
      <w:r w:rsidR="000159A6">
        <w:t xml:space="preserve"> </w:t>
      </w:r>
      <w:r w:rsidRPr="005C0A6F">
        <w:t>in</w:t>
      </w:r>
      <w:r w:rsidR="000159A6">
        <w:t xml:space="preserve"> </w:t>
      </w:r>
      <w:r w:rsidRPr="005C0A6F">
        <w:t>the</w:t>
      </w:r>
      <w:r w:rsidR="000159A6">
        <w:t xml:space="preserve"> </w:t>
      </w:r>
      <w:r w:rsidRPr="005C0A6F">
        <w:t>vaccine</w:t>
      </w:r>
      <w:r w:rsidR="000159A6">
        <w:t xml:space="preserve"> </w:t>
      </w:r>
      <w:r w:rsidRPr="005C0A6F">
        <w:t>tested</w:t>
      </w:r>
      <w:r w:rsidR="000159A6">
        <w:t xml:space="preserve"> </w:t>
      </w:r>
      <w:r w:rsidRPr="005C0A6F">
        <w:t>in</w:t>
      </w:r>
      <w:r w:rsidR="000159A6">
        <w:t xml:space="preserve"> </w:t>
      </w:r>
      <w:r w:rsidRPr="005C0A6F">
        <w:t>presence</w:t>
      </w:r>
      <w:r w:rsidR="000159A6">
        <w:t xml:space="preserve"> </w:t>
      </w:r>
      <w:r w:rsidRPr="005C0A6F">
        <w:t>of</w:t>
      </w:r>
      <w:r w:rsidR="000159A6">
        <w:t xml:space="preserve"> </w:t>
      </w:r>
      <w:r w:rsidRPr="005C0A6F">
        <w:t>the</w:t>
      </w:r>
      <w:r w:rsidR="000159A6">
        <w:t xml:space="preserve"> </w:t>
      </w:r>
      <w:r w:rsidR="00503D1B">
        <w:t>AS01</w:t>
      </w:r>
      <w:r w:rsidR="00503D1B" w:rsidRPr="00570F2D">
        <w:rPr>
          <w:vertAlign w:val="subscript"/>
        </w:rPr>
        <w:t>B</w:t>
      </w:r>
      <w:r w:rsidR="000159A6">
        <w:t xml:space="preserve"> </w:t>
      </w:r>
      <w:r w:rsidRPr="005C0A6F">
        <w:t>adjuvant.</w:t>
      </w:r>
      <w:r w:rsidR="000159A6">
        <w:t xml:space="preserve"> </w:t>
      </w:r>
      <w:r w:rsidRPr="005C0A6F">
        <w:t>However,</w:t>
      </w:r>
      <w:r w:rsidR="000159A6">
        <w:t xml:space="preserve"> </w:t>
      </w:r>
      <w:r w:rsidRPr="005C0A6F">
        <w:t>due</w:t>
      </w:r>
      <w:r w:rsidR="000159A6">
        <w:t xml:space="preserve"> </w:t>
      </w:r>
      <w:r w:rsidRPr="005C0A6F">
        <w:t>to</w:t>
      </w:r>
      <w:r w:rsidR="000159A6">
        <w:t xml:space="preserve"> </w:t>
      </w:r>
      <w:r w:rsidRPr="005C0A6F">
        <w:t>the</w:t>
      </w:r>
      <w:r w:rsidR="000159A6">
        <w:t xml:space="preserve"> </w:t>
      </w:r>
      <w:r w:rsidRPr="005C0A6F">
        <w:t>limitation</w:t>
      </w:r>
      <w:r w:rsidR="000159A6">
        <w:t xml:space="preserve"> </w:t>
      </w:r>
      <w:r w:rsidRPr="005C0A6F">
        <w:t>of</w:t>
      </w:r>
      <w:r w:rsidR="000159A6">
        <w:t xml:space="preserve"> </w:t>
      </w:r>
      <w:r w:rsidRPr="005C0A6F">
        <w:t>an</w:t>
      </w:r>
      <w:r w:rsidR="000159A6">
        <w:t xml:space="preserve"> </w:t>
      </w:r>
      <w:r w:rsidRPr="005C0A6F">
        <w:t>adequate</w:t>
      </w:r>
      <w:r w:rsidR="000159A6">
        <w:t xml:space="preserve"> </w:t>
      </w:r>
      <w:r w:rsidRPr="005C0A6F">
        <w:t>animal</w:t>
      </w:r>
      <w:r w:rsidR="000159A6">
        <w:t xml:space="preserve"> </w:t>
      </w:r>
      <w:r w:rsidRPr="005C0A6F">
        <w:t>model</w:t>
      </w:r>
      <w:r w:rsidR="000159A6">
        <w:t xml:space="preserve"> </w:t>
      </w:r>
      <w:r w:rsidRPr="005C0A6F">
        <w:t>to</w:t>
      </w:r>
      <w:r w:rsidR="000159A6">
        <w:t xml:space="preserve"> </w:t>
      </w:r>
      <w:r w:rsidRPr="005C0A6F">
        <w:t>determine</w:t>
      </w:r>
      <w:r w:rsidR="000159A6">
        <w:t xml:space="preserve"> </w:t>
      </w:r>
      <w:r w:rsidRPr="005C0A6F">
        <w:t>the</w:t>
      </w:r>
      <w:r w:rsidR="000159A6">
        <w:t xml:space="preserve"> </w:t>
      </w:r>
      <w:r w:rsidRPr="005C0A6F">
        <w:t>efficacy</w:t>
      </w:r>
      <w:r w:rsidR="000159A6">
        <w:t xml:space="preserve"> </w:t>
      </w:r>
      <w:r w:rsidRPr="005C0A6F">
        <w:t>of</w:t>
      </w:r>
      <w:r w:rsidR="000159A6">
        <w:t xml:space="preserve"> </w:t>
      </w:r>
      <w:r w:rsidRPr="005C0A6F">
        <w:t>the</w:t>
      </w:r>
      <w:r w:rsidR="000159A6">
        <w:t xml:space="preserve"> </w:t>
      </w:r>
      <w:r w:rsidRPr="005C0A6F">
        <w:t>vaccine,</w:t>
      </w:r>
      <w:r w:rsidR="000159A6">
        <w:t xml:space="preserve"> </w:t>
      </w:r>
      <w:r w:rsidRPr="005C0A6F">
        <w:t>protection</w:t>
      </w:r>
      <w:r w:rsidR="000159A6">
        <w:t xml:space="preserve"> </w:t>
      </w:r>
      <w:r w:rsidRPr="005C0A6F">
        <w:t>against</w:t>
      </w:r>
      <w:r w:rsidR="000159A6">
        <w:t xml:space="preserve"> </w:t>
      </w:r>
      <w:r w:rsidRPr="005C0A6F">
        <w:t>HZ</w:t>
      </w:r>
      <w:r w:rsidR="000159A6">
        <w:t xml:space="preserve"> </w:t>
      </w:r>
      <w:r w:rsidRPr="005C0A6F">
        <w:t>would</w:t>
      </w:r>
      <w:r w:rsidR="000159A6">
        <w:t xml:space="preserve"> </w:t>
      </w:r>
      <w:r w:rsidRPr="005C0A6F">
        <w:t>need</w:t>
      </w:r>
      <w:r w:rsidR="000159A6">
        <w:t xml:space="preserve"> </w:t>
      </w:r>
      <w:r w:rsidRPr="005C0A6F">
        <w:t>to</w:t>
      </w:r>
      <w:r w:rsidR="000159A6">
        <w:t xml:space="preserve"> </w:t>
      </w:r>
      <w:r w:rsidRPr="005C0A6F">
        <w:t>be</w:t>
      </w:r>
      <w:r w:rsidR="000159A6">
        <w:t xml:space="preserve"> </w:t>
      </w:r>
      <w:r w:rsidRPr="005C0A6F">
        <w:t>established</w:t>
      </w:r>
      <w:r w:rsidR="000159A6">
        <w:t xml:space="preserve"> </w:t>
      </w:r>
      <w:r w:rsidRPr="005C0A6F">
        <w:t>by</w:t>
      </w:r>
      <w:r w:rsidR="000159A6">
        <w:t xml:space="preserve"> </w:t>
      </w:r>
      <w:r w:rsidRPr="005C0A6F">
        <w:t>clinical</w:t>
      </w:r>
      <w:r w:rsidR="000159A6">
        <w:t xml:space="preserve"> </w:t>
      </w:r>
      <w:r w:rsidRPr="005C0A6F">
        <w:t>studies</w:t>
      </w:r>
      <w:r w:rsidR="00FF12AA">
        <w:t>.</w:t>
      </w:r>
    </w:p>
    <w:p w14:paraId="4902C247" w14:textId="3EF155DF" w:rsidR="005C0A6F" w:rsidRPr="005C0A6F" w:rsidRDefault="005C0A6F" w:rsidP="005C0A6F">
      <w:r w:rsidRPr="005C0A6F">
        <w:lastRenderedPageBreak/>
        <w:t>There</w:t>
      </w:r>
      <w:r w:rsidR="000159A6">
        <w:t xml:space="preserve"> </w:t>
      </w:r>
      <w:r w:rsidRPr="005C0A6F">
        <w:t>were</w:t>
      </w:r>
      <w:r w:rsidR="000159A6">
        <w:t xml:space="preserve"> </w:t>
      </w:r>
      <w:r w:rsidRPr="005C0A6F">
        <w:t>adequate</w:t>
      </w:r>
      <w:r w:rsidR="000159A6">
        <w:t xml:space="preserve"> </w:t>
      </w:r>
      <w:r w:rsidRPr="005C0A6F">
        <w:t>repeat</w:t>
      </w:r>
      <w:r w:rsidR="000159A6">
        <w:t xml:space="preserve"> </w:t>
      </w:r>
      <w:r w:rsidRPr="005C0A6F">
        <w:t>dose</w:t>
      </w:r>
      <w:r w:rsidR="000159A6">
        <w:t xml:space="preserve"> </w:t>
      </w:r>
      <w:r w:rsidRPr="005C0A6F">
        <w:t>toxicity</w:t>
      </w:r>
      <w:r w:rsidR="000159A6">
        <w:t xml:space="preserve"> </w:t>
      </w:r>
      <w:r w:rsidRPr="005C0A6F">
        <w:t>and</w:t>
      </w:r>
      <w:r w:rsidR="000159A6">
        <w:t xml:space="preserve"> </w:t>
      </w:r>
      <w:r w:rsidRPr="005C0A6F">
        <w:t>local</w:t>
      </w:r>
      <w:r w:rsidR="000159A6">
        <w:t xml:space="preserve"> </w:t>
      </w:r>
      <w:r w:rsidRPr="005C0A6F">
        <w:t>tolerance</w:t>
      </w:r>
      <w:r w:rsidR="000159A6">
        <w:t xml:space="preserve"> </w:t>
      </w:r>
      <w:r w:rsidRPr="005C0A6F">
        <w:t>studies</w:t>
      </w:r>
      <w:r w:rsidR="000159A6">
        <w:t xml:space="preserve"> </w:t>
      </w:r>
      <w:r w:rsidRPr="005C0A6F">
        <w:t>with</w:t>
      </w:r>
      <w:r w:rsidR="000159A6">
        <w:t xml:space="preserve"> </w:t>
      </w:r>
      <w:r w:rsidR="00FF12AA">
        <w:t>Shingrix</w:t>
      </w:r>
      <w:r w:rsidR="000159A6">
        <w:t xml:space="preserve"> </w:t>
      </w:r>
      <w:r w:rsidRPr="005C0A6F">
        <w:t>and</w:t>
      </w:r>
      <w:r w:rsidR="000159A6">
        <w:t xml:space="preserve"> </w:t>
      </w:r>
      <w:r w:rsidRPr="005C0A6F">
        <w:t>the</w:t>
      </w:r>
      <w:r w:rsidR="000159A6">
        <w:t xml:space="preserve"> </w:t>
      </w:r>
      <w:r w:rsidRPr="005C0A6F">
        <w:t>adjuvant</w:t>
      </w:r>
      <w:r w:rsidR="000159A6">
        <w:t xml:space="preserve"> </w:t>
      </w:r>
      <w:r w:rsidRPr="005C0A6F">
        <w:t>did</w:t>
      </w:r>
      <w:r w:rsidR="000159A6">
        <w:t xml:space="preserve"> </w:t>
      </w:r>
      <w:r w:rsidRPr="005C0A6F">
        <w:t>not</w:t>
      </w:r>
      <w:r w:rsidR="000159A6">
        <w:t xml:space="preserve"> </w:t>
      </w:r>
      <w:r w:rsidRPr="005C0A6F">
        <w:t>raise</w:t>
      </w:r>
      <w:r w:rsidR="000159A6">
        <w:t xml:space="preserve"> </w:t>
      </w:r>
      <w:r w:rsidRPr="005C0A6F">
        <w:t>safety</w:t>
      </w:r>
      <w:r w:rsidR="000159A6">
        <w:t xml:space="preserve"> </w:t>
      </w:r>
      <w:r w:rsidRPr="005C0A6F">
        <w:t>issues.</w:t>
      </w:r>
      <w:r w:rsidR="000159A6">
        <w:t xml:space="preserve"> </w:t>
      </w:r>
      <w:r w:rsidRPr="005C0A6F">
        <w:t>Studies</w:t>
      </w:r>
      <w:r w:rsidR="000159A6">
        <w:t xml:space="preserve"> </w:t>
      </w:r>
      <w:r w:rsidRPr="005C0A6F">
        <w:t>in</w:t>
      </w:r>
      <w:r w:rsidR="000159A6">
        <w:t xml:space="preserve"> </w:t>
      </w:r>
      <w:r w:rsidRPr="005C0A6F">
        <w:t>rats</w:t>
      </w:r>
      <w:r w:rsidR="000159A6">
        <w:t xml:space="preserve"> </w:t>
      </w:r>
      <w:r w:rsidRPr="005C0A6F">
        <w:t>and</w:t>
      </w:r>
      <w:r w:rsidR="000159A6">
        <w:t xml:space="preserve"> </w:t>
      </w:r>
      <w:r w:rsidRPr="005C0A6F">
        <w:t>rabbits</w:t>
      </w:r>
      <w:r w:rsidR="000159A6">
        <w:t xml:space="preserve"> </w:t>
      </w:r>
      <w:r w:rsidRPr="005C0A6F">
        <w:t>showed</w:t>
      </w:r>
      <w:r w:rsidR="000159A6">
        <w:t xml:space="preserve"> </w:t>
      </w:r>
      <w:r w:rsidRPr="005C0A6F">
        <w:t>no</w:t>
      </w:r>
      <w:r w:rsidR="000159A6">
        <w:t xml:space="preserve"> </w:t>
      </w:r>
      <w:r w:rsidRPr="005C0A6F">
        <w:t>reproductive</w:t>
      </w:r>
      <w:r w:rsidR="000159A6">
        <w:t xml:space="preserve"> </w:t>
      </w:r>
      <w:r w:rsidRPr="005C0A6F">
        <w:t>toxicity.</w:t>
      </w:r>
      <w:r w:rsidR="000159A6">
        <w:t xml:space="preserve"> </w:t>
      </w:r>
      <w:r w:rsidRPr="005C0A6F">
        <w:t>An</w:t>
      </w:r>
      <w:r w:rsidR="000159A6">
        <w:t xml:space="preserve"> </w:t>
      </w:r>
      <w:r w:rsidRPr="005C0A6F">
        <w:t>Australian</w:t>
      </w:r>
      <w:r w:rsidR="000159A6">
        <w:t xml:space="preserve"> </w:t>
      </w:r>
      <w:r w:rsidRPr="005C0A6F">
        <w:t>Pregnancy</w:t>
      </w:r>
      <w:r w:rsidR="000159A6">
        <w:t xml:space="preserve"> </w:t>
      </w:r>
      <w:r w:rsidRPr="005C0A6F">
        <w:t>Category</w:t>
      </w:r>
      <w:r w:rsidR="000159A6">
        <w:t xml:space="preserve"> </w:t>
      </w:r>
      <w:r w:rsidRPr="005C0A6F">
        <w:t>B2</w:t>
      </w:r>
      <w:r w:rsidR="000159A6">
        <w:t xml:space="preserve"> </w:t>
      </w:r>
      <w:r w:rsidRPr="005C0A6F">
        <w:t>is</w:t>
      </w:r>
      <w:r w:rsidR="000159A6">
        <w:t xml:space="preserve"> </w:t>
      </w:r>
      <w:r w:rsidRPr="005C0A6F">
        <w:t>recommended.</w:t>
      </w:r>
      <w:r w:rsidR="00991939">
        <w:rPr>
          <w:vertAlign w:val="superscript"/>
        </w:rPr>
        <w:fldChar w:fldCharType="begin"/>
      </w:r>
      <w:r w:rsidR="00991939">
        <w:rPr>
          <w:vertAlign w:val="superscript"/>
        </w:rPr>
        <w:instrText xml:space="preserve"> NOTEREF _Ref532208269 \h </w:instrText>
      </w:r>
      <w:r w:rsidR="00991939">
        <w:rPr>
          <w:vertAlign w:val="superscript"/>
        </w:rPr>
      </w:r>
      <w:r w:rsidR="00991939">
        <w:rPr>
          <w:vertAlign w:val="superscript"/>
        </w:rPr>
        <w:fldChar w:fldCharType="separate"/>
      </w:r>
      <w:r w:rsidR="00991939">
        <w:rPr>
          <w:vertAlign w:val="superscript"/>
        </w:rPr>
        <w:t>5</w:t>
      </w:r>
      <w:r w:rsidR="00991939">
        <w:rPr>
          <w:vertAlign w:val="superscript"/>
        </w:rPr>
        <w:fldChar w:fldCharType="end"/>
      </w:r>
    </w:p>
    <w:p w14:paraId="56B8DA2D" w14:textId="0F9D6D04" w:rsidR="00FF12AA" w:rsidRDefault="005C0A6F" w:rsidP="00440509">
      <w:r w:rsidRPr="005C0A6F">
        <w:t>There</w:t>
      </w:r>
      <w:r w:rsidR="000159A6">
        <w:t xml:space="preserve"> </w:t>
      </w:r>
      <w:r w:rsidRPr="005C0A6F">
        <w:t>are</w:t>
      </w:r>
      <w:r w:rsidR="000159A6">
        <w:t xml:space="preserve"> </w:t>
      </w:r>
      <w:r w:rsidRPr="005C0A6F">
        <w:t>no</w:t>
      </w:r>
      <w:r w:rsidR="000159A6">
        <w:t xml:space="preserve"> </w:t>
      </w:r>
      <w:r w:rsidRPr="005C0A6F">
        <w:t>nonclinical</w:t>
      </w:r>
      <w:r w:rsidR="000159A6">
        <w:t xml:space="preserve"> </w:t>
      </w:r>
      <w:r w:rsidRPr="005C0A6F">
        <w:t>objections</w:t>
      </w:r>
      <w:r w:rsidR="000159A6">
        <w:t xml:space="preserve"> </w:t>
      </w:r>
      <w:r w:rsidRPr="005C0A6F">
        <w:t>to</w:t>
      </w:r>
      <w:r w:rsidR="000159A6">
        <w:t xml:space="preserve"> </w:t>
      </w:r>
      <w:r w:rsidRPr="005C0A6F">
        <w:t>the</w:t>
      </w:r>
      <w:r w:rsidR="000159A6">
        <w:t xml:space="preserve"> </w:t>
      </w:r>
      <w:r w:rsidRPr="005C0A6F">
        <w:t>vaccine</w:t>
      </w:r>
      <w:r w:rsidR="000159A6">
        <w:t xml:space="preserve"> </w:t>
      </w:r>
      <w:r w:rsidRPr="005C0A6F">
        <w:t>registration</w:t>
      </w:r>
      <w:r w:rsidR="000159A6">
        <w:t xml:space="preserve"> </w:t>
      </w:r>
      <w:r w:rsidRPr="005C0A6F">
        <w:t>provided</w:t>
      </w:r>
      <w:r w:rsidR="000159A6">
        <w:t xml:space="preserve"> </w:t>
      </w:r>
      <w:r w:rsidRPr="005C0A6F">
        <w:t>protection</w:t>
      </w:r>
      <w:r w:rsidR="000159A6">
        <w:t xml:space="preserve"> </w:t>
      </w:r>
      <w:r w:rsidRPr="005C0A6F">
        <w:t>against</w:t>
      </w:r>
      <w:r w:rsidR="000159A6">
        <w:t xml:space="preserve"> </w:t>
      </w:r>
      <w:r w:rsidRPr="005C0A6F">
        <w:t>HZ</w:t>
      </w:r>
      <w:r w:rsidR="000159A6">
        <w:t xml:space="preserve"> </w:t>
      </w:r>
      <w:r w:rsidRPr="005C0A6F">
        <w:t>is</w:t>
      </w:r>
      <w:r w:rsidR="000159A6">
        <w:t xml:space="preserve"> </w:t>
      </w:r>
      <w:r w:rsidRPr="005C0A6F">
        <w:t>demonstrated</w:t>
      </w:r>
      <w:r w:rsidR="000159A6">
        <w:t xml:space="preserve"> </w:t>
      </w:r>
      <w:r w:rsidRPr="005C0A6F">
        <w:t>by</w:t>
      </w:r>
      <w:r w:rsidR="000159A6">
        <w:t xml:space="preserve"> </w:t>
      </w:r>
      <w:r w:rsidRPr="005C0A6F">
        <w:t>clinical</w:t>
      </w:r>
      <w:r w:rsidR="000159A6">
        <w:t xml:space="preserve"> </w:t>
      </w:r>
      <w:r w:rsidRPr="005C0A6F">
        <w:t>data</w:t>
      </w:r>
      <w:r w:rsidR="00FF12AA">
        <w:t>.</w:t>
      </w:r>
    </w:p>
    <w:p w14:paraId="7BC38295" w14:textId="77777777" w:rsidR="008E7846" w:rsidRPr="00E021B7" w:rsidRDefault="008E7846" w:rsidP="00440509">
      <w:pPr>
        <w:pStyle w:val="Heading3"/>
      </w:pPr>
      <w:bookmarkStart w:id="243" w:name="_Toc247691530"/>
      <w:bookmarkStart w:id="244" w:name="_Toc314842513"/>
      <w:bookmarkStart w:id="245" w:name="_Toc1049828"/>
      <w:r w:rsidRPr="00440509">
        <w:t>Clinical</w:t>
      </w:r>
      <w:bookmarkEnd w:id="243"/>
      <w:bookmarkEnd w:id="244"/>
      <w:bookmarkEnd w:id="245"/>
    </w:p>
    <w:p w14:paraId="1FA3D4D9" w14:textId="25010AEE" w:rsidR="00FF12AA" w:rsidRDefault="005C0A6F" w:rsidP="005C0A6F">
      <w:bookmarkStart w:id="246" w:name="_Toc314842514"/>
      <w:r w:rsidRPr="005C0A6F">
        <w:t>The</w:t>
      </w:r>
      <w:r w:rsidR="000159A6">
        <w:t xml:space="preserve"> </w:t>
      </w:r>
      <w:r w:rsidRPr="005C0A6F">
        <w:t>clinical</w:t>
      </w:r>
      <w:r w:rsidR="000159A6">
        <w:t xml:space="preserve"> </w:t>
      </w:r>
      <w:r w:rsidRPr="005C0A6F">
        <w:t>dossier</w:t>
      </w:r>
      <w:r w:rsidR="000159A6">
        <w:t xml:space="preserve"> </w:t>
      </w:r>
      <w:r w:rsidRPr="005C0A6F">
        <w:t>included</w:t>
      </w:r>
      <w:r w:rsidR="000159A6">
        <w:t xml:space="preserve"> </w:t>
      </w:r>
      <w:r w:rsidRPr="005C0A6F">
        <w:t>data</w:t>
      </w:r>
      <w:r w:rsidR="000159A6">
        <w:t xml:space="preserve"> </w:t>
      </w:r>
      <w:r w:rsidRPr="005C0A6F">
        <w:t>from</w:t>
      </w:r>
      <w:r w:rsidR="000159A6">
        <w:t xml:space="preserve"> </w:t>
      </w:r>
      <w:r w:rsidRPr="005C0A6F">
        <w:t>19</w:t>
      </w:r>
      <w:r w:rsidR="000159A6">
        <w:t xml:space="preserve"> </w:t>
      </w:r>
      <w:r w:rsidRPr="005C0A6F">
        <w:t>clinical</w:t>
      </w:r>
      <w:r w:rsidR="000159A6">
        <w:t xml:space="preserve"> </w:t>
      </w:r>
      <w:r w:rsidRPr="005C0A6F">
        <w:t>studies.</w:t>
      </w:r>
      <w:r w:rsidR="000159A6">
        <w:t xml:space="preserve"> </w:t>
      </w:r>
      <w:r w:rsidRPr="005C0A6F">
        <w:t>There</w:t>
      </w:r>
      <w:r w:rsidR="000159A6">
        <w:t xml:space="preserve"> </w:t>
      </w:r>
      <w:r w:rsidRPr="005C0A6F">
        <w:t>were</w:t>
      </w:r>
      <w:r w:rsidR="000159A6">
        <w:t xml:space="preserve"> </w:t>
      </w:r>
      <w:r w:rsidRPr="005C0A6F">
        <w:t>two</w:t>
      </w:r>
      <w:r w:rsidR="000159A6">
        <w:t xml:space="preserve"> </w:t>
      </w:r>
      <w:r w:rsidRPr="005C0A6F">
        <w:t>pivotal</w:t>
      </w:r>
      <w:r w:rsidR="000159A6">
        <w:t xml:space="preserve"> </w:t>
      </w:r>
      <w:r w:rsidRPr="005C0A6F">
        <w:t>efficacy</w:t>
      </w:r>
      <w:r w:rsidR="000159A6">
        <w:t xml:space="preserve"> </w:t>
      </w:r>
      <w:r w:rsidRPr="005C0A6F">
        <w:t>studies,</w:t>
      </w:r>
      <w:r w:rsidR="000159A6">
        <w:t xml:space="preserve"> </w:t>
      </w:r>
      <w:r w:rsidR="0037169B">
        <w:t>Studies</w:t>
      </w:r>
      <w:r w:rsidR="000159A6">
        <w:t xml:space="preserve"> </w:t>
      </w:r>
      <w:r w:rsidR="0037169B" w:rsidRPr="005C0A6F">
        <w:t>ZOSTER</w:t>
      </w:r>
      <w:r w:rsidRPr="005C0A6F">
        <w:t>-006</w:t>
      </w:r>
      <w:r w:rsidR="000159A6">
        <w:t xml:space="preserve"> </w:t>
      </w:r>
      <w:r w:rsidRPr="005C0A6F">
        <w:t>and</w:t>
      </w:r>
      <w:r w:rsidR="000159A6">
        <w:t xml:space="preserve"> </w:t>
      </w:r>
      <w:r w:rsidR="0037169B">
        <w:t>ZOSTER</w:t>
      </w:r>
      <w:r w:rsidRPr="005C0A6F">
        <w:t>-022.</w:t>
      </w:r>
      <w:r w:rsidR="000159A6">
        <w:t xml:space="preserve"> </w:t>
      </w:r>
      <w:r w:rsidRPr="005C0A6F">
        <w:t>Other</w:t>
      </w:r>
      <w:r w:rsidR="000159A6">
        <w:t xml:space="preserve"> </w:t>
      </w:r>
      <w:r w:rsidRPr="005C0A6F">
        <w:t>studies</w:t>
      </w:r>
      <w:r w:rsidR="000159A6">
        <w:t xml:space="preserve"> </w:t>
      </w:r>
      <w:r w:rsidRPr="005C0A6F">
        <w:t>provided</w:t>
      </w:r>
      <w:r w:rsidR="000159A6">
        <w:t xml:space="preserve"> </w:t>
      </w:r>
      <w:r w:rsidRPr="005C0A6F">
        <w:t>immunogenicity</w:t>
      </w:r>
      <w:r w:rsidR="000159A6">
        <w:t xml:space="preserve"> </w:t>
      </w:r>
      <w:r w:rsidRPr="005C0A6F">
        <w:t>but</w:t>
      </w:r>
      <w:r w:rsidR="000159A6">
        <w:t xml:space="preserve"> </w:t>
      </w:r>
      <w:r w:rsidRPr="005C0A6F">
        <w:t>no</w:t>
      </w:r>
      <w:r w:rsidR="000159A6">
        <w:t xml:space="preserve"> </w:t>
      </w:r>
      <w:r w:rsidRPr="005C0A6F">
        <w:t>efficacy</w:t>
      </w:r>
      <w:r w:rsidR="000159A6">
        <w:t xml:space="preserve"> </w:t>
      </w:r>
      <w:r w:rsidRPr="005C0A6F">
        <w:t>data</w:t>
      </w:r>
      <w:r w:rsidR="00FF12AA">
        <w:t>.</w:t>
      </w:r>
    </w:p>
    <w:p w14:paraId="692299E7" w14:textId="093CD84F" w:rsidR="005C0A6F" w:rsidRDefault="005C0A6F" w:rsidP="00440509">
      <w:r w:rsidRPr="005C0A6F">
        <w:t>The</w:t>
      </w:r>
      <w:r w:rsidR="000159A6">
        <w:t xml:space="preserve"> </w:t>
      </w:r>
      <w:r w:rsidRPr="005C0A6F">
        <w:t>19</w:t>
      </w:r>
      <w:r w:rsidR="000159A6">
        <w:t xml:space="preserve"> </w:t>
      </w:r>
      <w:r w:rsidRPr="005C0A6F">
        <w:t>clinical</w:t>
      </w:r>
      <w:r w:rsidR="000159A6">
        <w:t xml:space="preserve"> </w:t>
      </w:r>
      <w:r w:rsidRPr="005C0A6F">
        <w:t>studies</w:t>
      </w:r>
      <w:r w:rsidR="000159A6">
        <w:t xml:space="preserve"> </w:t>
      </w:r>
      <w:r w:rsidRPr="005C0A6F">
        <w:t>included</w:t>
      </w:r>
      <w:r w:rsidR="000159A6">
        <w:t xml:space="preserve"> </w:t>
      </w:r>
      <w:r w:rsidRPr="005C0A6F">
        <w:t>are</w:t>
      </w:r>
      <w:r w:rsidR="000159A6">
        <w:t xml:space="preserve"> </w:t>
      </w:r>
      <w:r w:rsidRPr="005C0A6F">
        <w:t>as</w:t>
      </w:r>
      <w:r w:rsidR="000159A6">
        <w:t xml:space="preserve"> </w:t>
      </w:r>
      <w:r w:rsidRPr="005C0A6F">
        <w:t>follows:</w:t>
      </w:r>
    </w:p>
    <w:p w14:paraId="29FC3A14" w14:textId="0EBE4DAC" w:rsidR="005C0A6F" w:rsidRDefault="005C0A6F" w:rsidP="00440509">
      <w:pPr>
        <w:pStyle w:val="ListBullet"/>
      </w:pPr>
      <w:r w:rsidRPr="005C0A6F">
        <w:t>Phase</w:t>
      </w:r>
      <w:r w:rsidR="000159A6">
        <w:t xml:space="preserve"> </w:t>
      </w:r>
      <w:r w:rsidRPr="005C0A6F">
        <w:t>I</w:t>
      </w:r>
      <w:r w:rsidR="000159A6">
        <w:t xml:space="preserve"> </w:t>
      </w:r>
      <w:r w:rsidRPr="00440509">
        <w:t>studies</w:t>
      </w:r>
      <w:r w:rsidRPr="005C0A6F">
        <w:t>:</w:t>
      </w:r>
    </w:p>
    <w:p w14:paraId="2B1CE35A" w14:textId="3A33F5B4" w:rsidR="005C0A6F" w:rsidRDefault="0037169B" w:rsidP="005C0A6F">
      <w:pPr>
        <w:pStyle w:val="ListBullet2"/>
      </w:pPr>
      <w:r>
        <w:t>Study</w:t>
      </w:r>
      <w:r w:rsidR="000159A6">
        <w:t xml:space="preserve"> </w:t>
      </w:r>
      <w:r w:rsidR="005C0A6F" w:rsidRPr="005C0A6F">
        <w:t>EXPLO-CRD-004</w:t>
      </w:r>
      <w:r w:rsidR="000159A6">
        <w:t xml:space="preserve"> </w:t>
      </w:r>
      <w:r w:rsidR="005C0A6F" w:rsidRPr="005C0A6F">
        <w:t>-</w:t>
      </w:r>
      <w:r w:rsidR="000159A6">
        <w:t xml:space="preserve"> </w:t>
      </w:r>
      <w:r>
        <w:t>Phase</w:t>
      </w:r>
      <w:r w:rsidR="000159A6">
        <w:t xml:space="preserve"> </w:t>
      </w:r>
      <w:r w:rsidR="005C0A6F" w:rsidRPr="005C0A6F">
        <w:t>I/II</w:t>
      </w:r>
      <w:r w:rsidR="000159A6">
        <w:t xml:space="preserve"> </w:t>
      </w:r>
      <w:r w:rsidR="005C0A6F" w:rsidRPr="005C0A6F">
        <w:t>explorato</w:t>
      </w:r>
      <w:r w:rsidR="005C0A6F">
        <w:t>ry</w:t>
      </w:r>
      <w:r w:rsidR="000159A6">
        <w:t xml:space="preserve"> </w:t>
      </w:r>
      <w:r w:rsidR="005C0A6F">
        <w:t>study</w:t>
      </w:r>
      <w:r w:rsidR="000159A6">
        <w:t xml:space="preserve"> </w:t>
      </w:r>
      <w:r w:rsidR="005C0A6F">
        <w:t>with</w:t>
      </w:r>
      <w:r w:rsidR="000159A6">
        <w:t xml:space="preserve"> </w:t>
      </w:r>
      <w:r w:rsidR="005C0A6F">
        <w:t>varicella</w:t>
      </w:r>
      <w:r w:rsidR="000159A6">
        <w:t xml:space="preserve"> </w:t>
      </w:r>
      <w:r w:rsidR="005C0A6F">
        <w:t>vaccine</w:t>
      </w:r>
    </w:p>
    <w:p w14:paraId="2806BE9F" w14:textId="7EDC085A" w:rsidR="005C0A6F" w:rsidRDefault="0037169B" w:rsidP="00440509">
      <w:pPr>
        <w:pStyle w:val="ListBullet2"/>
      </w:pPr>
      <w:r>
        <w:t>Study</w:t>
      </w:r>
      <w:r w:rsidR="000159A6">
        <w:t xml:space="preserve"> </w:t>
      </w:r>
      <w:r w:rsidRPr="00440509">
        <w:t>ZOSTER</w:t>
      </w:r>
      <w:r w:rsidR="005C0A6F" w:rsidRPr="005C0A6F">
        <w:t>-018,</w:t>
      </w:r>
      <w:r w:rsidR="000159A6">
        <w:t xml:space="preserve"> </w:t>
      </w:r>
      <w:r w:rsidR="005C0A6F" w:rsidRPr="005C0A6F">
        <w:t>-019</w:t>
      </w:r>
      <w:r w:rsidR="000159A6">
        <w:t xml:space="preserve"> </w:t>
      </w:r>
      <w:r w:rsidR="005C0A6F" w:rsidRPr="005C0A6F">
        <w:t>-</w:t>
      </w:r>
      <w:r w:rsidR="000159A6">
        <w:t xml:space="preserve"> </w:t>
      </w:r>
      <w:r>
        <w:t>Phase</w:t>
      </w:r>
      <w:r w:rsidR="000159A6">
        <w:t xml:space="preserve"> </w:t>
      </w:r>
      <w:r w:rsidR="005C0A6F" w:rsidRPr="005C0A6F">
        <w:t>I/II</w:t>
      </w:r>
      <w:r w:rsidR="000159A6">
        <w:t xml:space="preserve"> </w:t>
      </w:r>
      <w:r w:rsidR="005C0A6F" w:rsidRPr="005C0A6F">
        <w:t>ext</w:t>
      </w:r>
      <w:r w:rsidR="005C0A6F">
        <w:t>ension</w:t>
      </w:r>
      <w:r w:rsidR="000159A6">
        <w:t xml:space="preserve"> </w:t>
      </w:r>
      <w:r w:rsidR="005C0A6F">
        <w:t>studies</w:t>
      </w:r>
      <w:r w:rsidR="000159A6">
        <w:t xml:space="preserve"> </w:t>
      </w:r>
      <w:r w:rsidR="005C0A6F">
        <w:t>of</w:t>
      </w:r>
      <w:r w:rsidR="000159A6">
        <w:t xml:space="preserve"> </w:t>
      </w:r>
      <w:r>
        <w:t>Study</w:t>
      </w:r>
      <w:r w:rsidR="000159A6">
        <w:t xml:space="preserve"> </w:t>
      </w:r>
      <w:r w:rsidR="005C0A6F">
        <w:t>EXPLO-CRD-004</w:t>
      </w:r>
    </w:p>
    <w:p w14:paraId="7058FCB6" w14:textId="3292E35A" w:rsidR="005C0A6F" w:rsidRDefault="0037169B" w:rsidP="005C0A6F">
      <w:pPr>
        <w:pStyle w:val="ListBullet2"/>
      </w:pPr>
      <w:r>
        <w:t>Study</w:t>
      </w:r>
      <w:r w:rsidR="000159A6">
        <w:t xml:space="preserve"> </w:t>
      </w:r>
      <w:r>
        <w:t>ZOSTER</w:t>
      </w:r>
      <w:r w:rsidR="005C0A6F" w:rsidRPr="005C0A6F">
        <w:t>-023</w:t>
      </w:r>
      <w:r w:rsidR="000159A6">
        <w:t xml:space="preserve"> </w:t>
      </w:r>
      <w:r w:rsidR="005C0A6F" w:rsidRPr="005C0A6F">
        <w:t>-</w:t>
      </w:r>
      <w:r w:rsidR="000159A6">
        <w:t xml:space="preserve"> </w:t>
      </w:r>
      <w:r>
        <w:t>Phase</w:t>
      </w:r>
      <w:r w:rsidR="000159A6">
        <w:t xml:space="preserve"> </w:t>
      </w:r>
      <w:r w:rsidR="005C0A6F" w:rsidRPr="005C0A6F">
        <w:t>I</w:t>
      </w:r>
      <w:r w:rsidR="000159A6">
        <w:t xml:space="preserve"> </w:t>
      </w:r>
      <w:r w:rsidR="005C0A6F" w:rsidRPr="005C0A6F">
        <w:t>study</w:t>
      </w:r>
      <w:r w:rsidR="000159A6">
        <w:t xml:space="preserve"> </w:t>
      </w:r>
      <w:r w:rsidR="005C0A6F" w:rsidRPr="005C0A6F">
        <w:t>in</w:t>
      </w:r>
      <w:r w:rsidR="000159A6">
        <w:t xml:space="preserve"> </w:t>
      </w:r>
      <w:r w:rsidR="005C0A6F" w:rsidRPr="005C0A6F">
        <w:t>adults</w:t>
      </w:r>
      <w:r w:rsidR="000159A6">
        <w:t xml:space="preserve"> </w:t>
      </w:r>
      <w:r w:rsidR="005C0A6F" w:rsidRPr="005C0A6F">
        <w:t>of</w:t>
      </w:r>
      <w:r w:rsidR="000159A6">
        <w:t xml:space="preserve"> </w:t>
      </w:r>
      <w:r w:rsidR="005C0A6F" w:rsidRPr="005C0A6F">
        <w:t>Japanese</w:t>
      </w:r>
      <w:r w:rsidR="000159A6">
        <w:t xml:space="preserve"> </w:t>
      </w:r>
      <w:r w:rsidR="005C0A6F" w:rsidRPr="005C0A6F">
        <w:t>ethnic</w:t>
      </w:r>
      <w:r w:rsidR="000159A6">
        <w:t xml:space="preserve"> </w:t>
      </w:r>
      <w:r w:rsidR="005C0A6F" w:rsidRPr="005C0A6F">
        <w:t>origin</w:t>
      </w:r>
    </w:p>
    <w:p w14:paraId="09807166" w14:textId="1C01B2F2" w:rsidR="005C0A6F" w:rsidRPr="005C0A6F" w:rsidRDefault="005C0A6F" w:rsidP="005C0A6F">
      <w:pPr>
        <w:pStyle w:val="ListBullet"/>
      </w:pPr>
      <w:r w:rsidRPr="005C0A6F">
        <w:t>Phase</w:t>
      </w:r>
      <w:r w:rsidR="000159A6">
        <w:t xml:space="preserve"> </w:t>
      </w:r>
      <w:r w:rsidRPr="005C0A6F">
        <w:t>II</w:t>
      </w:r>
      <w:r w:rsidR="000159A6">
        <w:t xml:space="preserve"> </w:t>
      </w:r>
      <w:r w:rsidRPr="005C0A6F">
        <w:t>studies:</w:t>
      </w:r>
    </w:p>
    <w:p w14:paraId="23501163" w14:textId="4A607D56" w:rsidR="005C0A6F" w:rsidRDefault="0037169B" w:rsidP="005C0A6F">
      <w:pPr>
        <w:pStyle w:val="ListBullet2"/>
      </w:pPr>
      <w:r>
        <w:t>Study</w:t>
      </w:r>
      <w:r w:rsidR="000159A6">
        <w:t xml:space="preserve"> </w:t>
      </w:r>
      <w:r>
        <w:t>ZOSTER</w:t>
      </w:r>
      <w:r w:rsidR="005C0A6F" w:rsidRPr="005C0A6F">
        <w:t>-003</w:t>
      </w:r>
      <w:r w:rsidR="000159A6">
        <w:t xml:space="preserve"> </w:t>
      </w:r>
      <w:r w:rsidR="005C0A6F">
        <w:t>-</w:t>
      </w:r>
      <w:r w:rsidR="000159A6">
        <w:t xml:space="preserve"> </w:t>
      </w:r>
      <w:r w:rsidR="005C0A6F">
        <w:t>antigen</w:t>
      </w:r>
      <w:r w:rsidR="000159A6">
        <w:t xml:space="preserve"> </w:t>
      </w:r>
      <w:r w:rsidR="005C0A6F">
        <w:t>dose</w:t>
      </w:r>
      <w:r w:rsidR="000159A6">
        <w:t xml:space="preserve"> </w:t>
      </w:r>
      <w:r w:rsidR="005C0A6F">
        <w:t>selection</w:t>
      </w:r>
      <w:r w:rsidR="000159A6">
        <w:t xml:space="preserve"> </w:t>
      </w:r>
      <w:r w:rsidR="005C0A6F">
        <w:t>study</w:t>
      </w:r>
    </w:p>
    <w:p w14:paraId="7520615A" w14:textId="4BB163E2" w:rsidR="005C0A6F" w:rsidRDefault="0037169B" w:rsidP="005C0A6F">
      <w:pPr>
        <w:pStyle w:val="ListBullet2"/>
      </w:pPr>
      <w:r>
        <w:t>Study</w:t>
      </w:r>
      <w:r w:rsidR="000159A6">
        <w:t xml:space="preserve"> </w:t>
      </w:r>
      <w:r>
        <w:t>ZOSTER</w:t>
      </w:r>
      <w:r w:rsidR="005C0A6F" w:rsidRPr="005C0A6F">
        <w:t>-011,</w:t>
      </w:r>
      <w:r w:rsidR="000159A6">
        <w:t xml:space="preserve"> </w:t>
      </w:r>
      <w:r w:rsidR="005C0A6F" w:rsidRPr="005C0A6F">
        <w:t>-012,</w:t>
      </w:r>
      <w:r w:rsidR="000159A6">
        <w:t xml:space="preserve"> </w:t>
      </w:r>
      <w:r w:rsidR="005C0A6F" w:rsidRPr="005C0A6F">
        <w:t>-013</w:t>
      </w:r>
      <w:r w:rsidR="000159A6">
        <w:t xml:space="preserve"> </w:t>
      </w:r>
      <w:r w:rsidR="005C0A6F" w:rsidRPr="005C0A6F">
        <w:t>-</w:t>
      </w:r>
      <w:r w:rsidR="000159A6">
        <w:t xml:space="preserve"> </w:t>
      </w:r>
      <w:r w:rsidR="005C0A6F" w:rsidRPr="005C0A6F">
        <w:t>extension</w:t>
      </w:r>
      <w:r w:rsidR="000159A6">
        <w:t xml:space="preserve"> </w:t>
      </w:r>
      <w:r w:rsidR="005C0A6F" w:rsidRPr="005C0A6F">
        <w:t>studies</w:t>
      </w:r>
      <w:r w:rsidR="000159A6">
        <w:t xml:space="preserve"> </w:t>
      </w:r>
      <w:r w:rsidR="005C0A6F" w:rsidRPr="005C0A6F">
        <w:t>of</w:t>
      </w:r>
      <w:r w:rsidR="000159A6">
        <w:t xml:space="preserve"> </w:t>
      </w:r>
      <w:r>
        <w:t>Study</w:t>
      </w:r>
      <w:r w:rsidR="000159A6">
        <w:t xml:space="preserve"> </w:t>
      </w:r>
      <w:r>
        <w:t>ZOSTER</w:t>
      </w:r>
      <w:r w:rsidR="005C0A6F" w:rsidRPr="005C0A6F">
        <w:t>-003</w:t>
      </w:r>
      <w:r w:rsidR="000159A6">
        <w:t xml:space="preserve"> </w:t>
      </w:r>
      <w:r w:rsidR="005C0A6F" w:rsidRPr="005C0A6F">
        <w:t>for</w:t>
      </w:r>
      <w:r w:rsidR="000159A6">
        <w:t xml:space="preserve"> </w:t>
      </w:r>
      <w:r w:rsidR="005C0A6F" w:rsidRPr="005C0A6F">
        <w:t>years</w:t>
      </w:r>
      <w:r w:rsidR="000159A6">
        <w:t xml:space="preserve"> </w:t>
      </w:r>
      <w:r w:rsidR="005C0A6F" w:rsidRPr="005C0A6F">
        <w:t>1,</w:t>
      </w:r>
      <w:r w:rsidR="000159A6">
        <w:t xml:space="preserve"> </w:t>
      </w:r>
      <w:r w:rsidR="005C0A6F" w:rsidRPr="005C0A6F">
        <w:t>2</w:t>
      </w:r>
      <w:r w:rsidR="000159A6">
        <w:t xml:space="preserve"> </w:t>
      </w:r>
      <w:r w:rsidR="005C0A6F" w:rsidRPr="005C0A6F">
        <w:t>and</w:t>
      </w:r>
      <w:r w:rsidR="000159A6">
        <w:t xml:space="preserve"> </w:t>
      </w:r>
      <w:r w:rsidR="005C0A6F" w:rsidRPr="005C0A6F">
        <w:t>3</w:t>
      </w:r>
    </w:p>
    <w:p w14:paraId="3673172A" w14:textId="26A032C5" w:rsidR="005C0A6F" w:rsidRDefault="0037169B" w:rsidP="005C0A6F">
      <w:pPr>
        <w:pStyle w:val="ListBullet2"/>
      </w:pPr>
      <w:r>
        <w:t>Study</w:t>
      </w:r>
      <w:r w:rsidR="000159A6">
        <w:t xml:space="preserve"> </w:t>
      </w:r>
      <w:r>
        <w:t>ZOSTER</w:t>
      </w:r>
      <w:r w:rsidR="005C0A6F" w:rsidRPr="005C0A6F">
        <w:t>-024</w:t>
      </w:r>
      <w:r w:rsidR="000159A6">
        <w:t xml:space="preserve"> </w:t>
      </w:r>
      <w:r w:rsidR="005C0A6F" w:rsidRPr="005C0A6F">
        <w:t>-</w:t>
      </w:r>
      <w:r w:rsidR="000159A6">
        <w:t xml:space="preserve"> </w:t>
      </w:r>
      <w:r w:rsidR="005C0A6F" w:rsidRPr="005C0A6F">
        <w:t>extension</w:t>
      </w:r>
      <w:r w:rsidR="000159A6">
        <w:t xml:space="preserve"> </w:t>
      </w:r>
      <w:r w:rsidR="005C0A6F" w:rsidRPr="005C0A6F">
        <w:t>study</w:t>
      </w:r>
      <w:r w:rsidR="000159A6">
        <w:t xml:space="preserve"> </w:t>
      </w:r>
      <w:r w:rsidR="005C0A6F" w:rsidRPr="005C0A6F">
        <w:t>of</w:t>
      </w:r>
      <w:r w:rsidR="000159A6">
        <w:t xml:space="preserve"> </w:t>
      </w:r>
      <w:r>
        <w:t>Study</w:t>
      </w:r>
      <w:r w:rsidR="000159A6">
        <w:t xml:space="preserve"> </w:t>
      </w:r>
      <w:r>
        <w:t>ZOSTER</w:t>
      </w:r>
      <w:r w:rsidR="005C0A6F" w:rsidRPr="005C0A6F">
        <w:t>-003</w:t>
      </w:r>
      <w:r w:rsidR="000159A6">
        <w:t xml:space="preserve"> </w:t>
      </w:r>
      <w:r w:rsidR="005C0A6F" w:rsidRPr="005C0A6F">
        <w:t>to</w:t>
      </w:r>
      <w:r w:rsidR="000159A6">
        <w:t xml:space="preserve"> </w:t>
      </w:r>
      <w:r w:rsidR="005C0A6F" w:rsidRPr="005C0A6F">
        <w:t>year</w:t>
      </w:r>
      <w:r w:rsidR="000159A6">
        <w:t xml:space="preserve"> </w:t>
      </w:r>
      <w:r w:rsidR="005C0A6F" w:rsidRPr="005C0A6F">
        <w:t>6</w:t>
      </w:r>
    </w:p>
    <w:p w14:paraId="5C77AEEF" w14:textId="20F11521" w:rsidR="005C0A6F" w:rsidRDefault="0037169B" w:rsidP="005C0A6F">
      <w:pPr>
        <w:pStyle w:val="ListBullet2"/>
      </w:pPr>
      <w:r>
        <w:t>Study</w:t>
      </w:r>
      <w:r w:rsidR="000159A6">
        <w:t xml:space="preserve"> </w:t>
      </w:r>
      <w:r>
        <w:t>ZOSTER</w:t>
      </w:r>
      <w:r w:rsidR="005C0A6F" w:rsidRPr="005C0A6F">
        <w:t>-010</w:t>
      </w:r>
      <w:r w:rsidR="000159A6">
        <w:t xml:space="preserve"> </w:t>
      </w:r>
      <w:r w:rsidR="005C0A6F" w:rsidRPr="005C0A6F">
        <w:t>-</w:t>
      </w:r>
      <w:r w:rsidR="000159A6">
        <w:t xml:space="preserve"> </w:t>
      </w:r>
      <w:r w:rsidR="005C0A6F" w:rsidRPr="005C0A6F">
        <w:t>adjuvant</w:t>
      </w:r>
      <w:r w:rsidR="000159A6">
        <w:t xml:space="preserve"> </w:t>
      </w:r>
      <w:r w:rsidR="005C0A6F" w:rsidRPr="005C0A6F">
        <w:t>dose</w:t>
      </w:r>
      <w:r w:rsidR="000159A6">
        <w:t xml:space="preserve"> </w:t>
      </w:r>
      <w:r w:rsidR="005C0A6F" w:rsidRPr="005C0A6F">
        <w:t>selection</w:t>
      </w:r>
      <w:r w:rsidR="000159A6">
        <w:t xml:space="preserve"> </w:t>
      </w:r>
      <w:r w:rsidR="005C0A6F" w:rsidRPr="005C0A6F">
        <w:t>study</w:t>
      </w:r>
    </w:p>
    <w:p w14:paraId="1474E6D9" w14:textId="05724DBB" w:rsidR="005C0A6F" w:rsidRPr="005C0A6F" w:rsidRDefault="005C0A6F" w:rsidP="005C0A6F">
      <w:pPr>
        <w:pStyle w:val="ListBullet"/>
      </w:pPr>
      <w:r w:rsidRPr="005C0A6F">
        <w:t>Phase</w:t>
      </w:r>
      <w:r w:rsidR="000159A6">
        <w:t xml:space="preserve"> </w:t>
      </w:r>
      <w:r w:rsidRPr="005C0A6F">
        <w:t>III</w:t>
      </w:r>
      <w:r w:rsidR="000159A6">
        <w:t xml:space="preserve"> </w:t>
      </w:r>
      <w:r w:rsidRPr="005C0A6F">
        <w:t>studies</w:t>
      </w:r>
      <w:r w:rsidR="000159A6">
        <w:t xml:space="preserve"> </w:t>
      </w:r>
      <w:r w:rsidRPr="005C0A6F">
        <w:t>in</w:t>
      </w:r>
      <w:r w:rsidR="000159A6">
        <w:t xml:space="preserve"> </w:t>
      </w:r>
      <w:r w:rsidRPr="005C0A6F">
        <w:t>healthy</w:t>
      </w:r>
      <w:r w:rsidR="000159A6">
        <w:t xml:space="preserve"> </w:t>
      </w:r>
      <w:r w:rsidRPr="005C0A6F">
        <w:t>adults</w:t>
      </w:r>
    </w:p>
    <w:p w14:paraId="290B8D5E" w14:textId="0059382D" w:rsidR="005C0A6F" w:rsidRDefault="0037169B" w:rsidP="005C0A6F">
      <w:pPr>
        <w:pStyle w:val="ListBullet2"/>
      </w:pPr>
      <w:r>
        <w:t>Study</w:t>
      </w:r>
      <w:r w:rsidR="000159A6">
        <w:t xml:space="preserve"> </w:t>
      </w:r>
      <w:r>
        <w:t>ZOSTER</w:t>
      </w:r>
      <w:r w:rsidR="005C0A6F" w:rsidRPr="005C0A6F">
        <w:t>-006</w:t>
      </w:r>
      <w:r w:rsidR="000159A6">
        <w:t xml:space="preserve"> </w:t>
      </w:r>
      <w:r w:rsidR="005C0A6F" w:rsidRPr="005C0A6F">
        <w:t>-</w:t>
      </w:r>
      <w:r w:rsidR="000159A6">
        <w:t xml:space="preserve"> </w:t>
      </w:r>
      <w:r w:rsidR="005C0A6F" w:rsidRPr="005C0A6F">
        <w:t>pivotal</w:t>
      </w:r>
      <w:r w:rsidR="000159A6">
        <w:t xml:space="preserve"> </w:t>
      </w:r>
      <w:r w:rsidR="005C0A6F" w:rsidRPr="005C0A6F">
        <w:t>efficacy</w:t>
      </w:r>
      <w:r w:rsidR="000159A6">
        <w:t xml:space="preserve"> </w:t>
      </w:r>
      <w:r w:rsidR="005C0A6F" w:rsidRPr="005C0A6F">
        <w:t>and</w:t>
      </w:r>
      <w:r w:rsidR="000159A6">
        <w:t xml:space="preserve"> </w:t>
      </w:r>
      <w:r w:rsidR="005C0A6F" w:rsidRPr="005C0A6F">
        <w:t>safety</w:t>
      </w:r>
      <w:r w:rsidR="000159A6">
        <w:t xml:space="preserve"> </w:t>
      </w:r>
      <w:r w:rsidR="005C0A6F" w:rsidRPr="005C0A6F">
        <w:t>in</w:t>
      </w:r>
      <w:r w:rsidR="000159A6">
        <w:t xml:space="preserve"> </w:t>
      </w:r>
      <w:r>
        <w:t>≥</w:t>
      </w:r>
      <w:r w:rsidR="000159A6">
        <w:t xml:space="preserve"> </w:t>
      </w:r>
      <w:r w:rsidR="005C0A6F" w:rsidRPr="005C0A6F">
        <w:t>50</w:t>
      </w:r>
      <w:r w:rsidR="000159A6">
        <w:t xml:space="preserve"> </w:t>
      </w:r>
      <w:r w:rsidR="005C0A6F" w:rsidRPr="005C0A6F">
        <w:t>year</w:t>
      </w:r>
      <w:r w:rsidR="000159A6">
        <w:t xml:space="preserve"> </w:t>
      </w:r>
      <w:r w:rsidR="005C0A6F" w:rsidRPr="005C0A6F">
        <w:t>olds</w:t>
      </w:r>
    </w:p>
    <w:p w14:paraId="4AEBA3B3" w14:textId="6A522223" w:rsidR="005C0A6F" w:rsidRDefault="0037169B" w:rsidP="005C0A6F">
      <w:pPr>
        <w:pStyle w:val="ListBullet2"/>
      </w:pPr>
      <w:r>
        <w:t>Study</w:t>
      </w:r>
      <w:r w:rsidR="000159A6">
        <w:t xml:space="preserve"> </w:t>
      </w:r>
      <w:r>
        <w:t>ZOSTER</w:t>
      </w:r>
      <w:r w:rsidR="005C0A6F" w:rsidRPr="005C0A6F">
        <w:t>-022</w:t>
      </w:r>
      <w:r w:rsidR="000159A6">
        <w:t xml:space="preserve"> </w:t>
      </w:r>
      <w:r w:rsidR="005C0A6F" w:rsidRPr="005C0A6F">
        <w:t>-</w:t>
      </w:r>
      <w:r w:rsidR="000159A6">
        <w:t xml:space="preserve"> </w:t>
      </w:r>
      <w:r w:rsidR="005C0A6F" w:rsidRPr="005C0A6F">
        <w:t>pivotal</w:t>
      </w:r>
      <w:r w:rsidR="000159A6">
        <w:t xml:space="preserve"> </w:t>
      </w:r>
      <w:r w:rsidR="005C0A6F" w:rsidRPr="005C0A6F">
        <w:t>efficacy</w:t>
      </w:r>
      <w:r w:rsidR="000159A6">
        <w:t xml:space="preserve"> </w:t>
      </w:r>
      <w:r w:rsidR="005C0A6F" w:rsidRPr="005C0A6F">
        <w:t>and</w:t>
      </w:r>
      <w:r w:rsidR="000159A6">
        <w:t xml:space="preserve"> </w:t>
      </w:r>
      <w:r w:rsidR="005C0A6F" w:rsidRPr="005C0A6F">
        <w:t>safety</w:t>
      </w:r>
      <w:r w:rsidR="000159A6">
        <w:t xml:space="preserve"> </w:t>
      </w:r>
      <w:r w:rsidR="005C0A6F" w:rsidRPr="005C0A6F">
        <w:t>in</w:t>
      </w:r>
      <w:r w:rsidR="000159A6">
        <w:t xml:space="preserve"> </w:t>
      </w:r>
      <w:r>
        <w:t>≥</w:t>
      </w:r>
      <w:r w:rsidR="000159A6">
        <w:t xml:space="preserve"> </w:t>
      </w:r>
      <w:r w:rsidR="005C0A6F" w:rsidRPr="005C0A6F">
        <w:t>70</w:t>
      </w:r>
      <w:r w:rsidR="000159A6">
        <w:t xml:space="preserve"> </w:t>
      </w:r>
      <w:r w:rsidR="005C0A6F" w:rsidRPr="005C0A6F">
        <w:t>year</w:t>
      </w:r>
      <w:r w:rsidR="000159A6">
        <w:t xml:space="preserve"> </w:t>
      </w:r>
      <w:r w:rsidR="005C0A6F" w:rsidRPr="005C0A6F">
        <w:t>olds</w:t>
      </w:r>
    </w:p>
    <w:p w14:paraId="5345A816" w14:textId="4757B6D6" w:rsidR="005C0A6F" w:rsidRDefault="0037169B" w:rsidP="005C0A6F">
      <w:pPr>
        <w:pStyle w:val="ListBullet2"/>
      </w:pPr>
      <w:r>
        <w:t>Study</w:t>
      </w:r>
      <w:r w:rsidR="000159A6">
        <w:t xml:space="preserve"> </w:t>
      </w:r>
      <w:r>
        <w:t>ZOSTER</w:t>
      </w:r>
      <w:r w:rsidR="005C0A6F" w:rsidRPr="005C0A6F">
        <w:t>-004</w:t>
      </w:r>
      <w:r w:rsidR="000159A6">
        <w:t xml:space="preserve"> </w:t>
      </w:r>
      <w:r w:rsidR="005C0A6F" w:rsidRPr="005C0A6F">
        <w:t>-</w:t>
      </w:r>
      <w:r w:rsidR="000159A6">
        <w:t xml:space="preserve"> </w:t>
      </w:r>
      <w:r w:rsidR="005C0A6F" w:rsidRPr="005C0A6F">
        <w:t>co-administration</w:t>
      </w:r>
      <w:r w:rsidR="000159A6">
        <w:t xml:space="preserve"> </w:t>
      </w:r>
      <w:r w:rsidR="005C0A6F" w:rsidRPr="005C0A6F">
        <w:t>with</w:t>
      </w:r>
      <w:r w:rsidR="000159A6">
        <w:t xml:space="preserve"> </w:t>
      </w:r>
      <w:r w:rsidR="005C0A6F" w:rsidRPr="005C0A6F">
        <w:t>influenza</w:t>
      </w:r>
      <w:r w:rsidR="000159A6">
        <w:t xml:space="preserve"> </w:t>
      </w:r>
      <w:r w:rsidR="005C0A6F" w:rsidRPr="005C0A6F">
        <w:t>vaccine</w:t>
      </w:r>
    </w:p>
    <w:p w14:paraId="0AF537D6" w14:textId="43385A63" w:rsidR="005C0A6F" w:rsidRDefault="0037169B" w:rsidP="005C0A6F">
      <w:pPr>
        <w:pStyle w:val="ListBullet2"/>
      </w:pPr>
      <w:r>
        <w:t>Study</w:t>
      </w:r>
      <w:r w:rsidR="000159A6">
        <w:t xml:space="preserve"> </w:t>
      </w:r>
      <w:r>
        <w:t>ZOSTER</w:t>
      </w:r>
      <w:r w:rsidR="005C0A6F" w:rsidRPr="005C0A6F">
        <w:t>-007</w:t>
      </w:r>
      <w:r w:rsidR="000159A6">
        <w:t xml:space="preserve"> </w:t>
      </w:r>
      <w:r w:rsidR="005C0A6F" w:rsidRPr="005C0A6F">
        <w:t>-</w:t>
      </w:r>
      <w:r w:rsidR="000159A6">
        <w:t xml:space="preserve"> </w:t>
      </w:r>
      <w:r w:rsidR="005C0A6F" w:rsidRPr="005C0A6F">
        <w:t>lot-to-lot</w:t>
      </w:r>
      <w:r w:rsidR="000159A6">
        <w:t xml:space="preserve"> </w:t>
      </w:r>
      <w:r w:rsidR="005C0A6F" w:rsidRPr="005C0A6F">
        <w:t>consistency</w:t>
      </w:r>
      <w:r w:rsidR="000159A6">
        <w:t xml:space="preserve"> </w:t>
      </w:r>
      <w:r w:rsidR="005C0A6F" w:rsidRPr="005C0A6F">
        <w:t>study</w:t>
      </w:r>
    </w:p>
    <w:p w14:paraId="45CECD8F" w14:textId="199A262A" w:rsidR="005C0A6F" w:rsidRDefault="0037169B" w:rsidP="005C0A6F">
      <w:pPr>
        <w:pStyle w:val="ListBullet2"/>
      </w:pPr>
      <w:r>
        <w:t>Study</w:t>
      </w:r>
      <w:r w:rsidR="000159A6">
        <w:t xml:space="preserve"> </w:t>
      </w:r>
      <w:r>
        <w:t>ZOSTER</w:t>
      </w:r>
      <w:r w:rsidR="005C0A6F" w:rsidRPr="005C0A6F">
        <w:t>-026</w:t>
      </w:r>
      <w:r w:rsidR="000159A6">
        <w:t xml:space="preserve"> </w:t>
      </w:r>
      <w:r w:rsidR="005C0A6F" w:rsidRPr="005C0A6F">
        <w:t>-</w:t>
      </w:r>
      <w:r w:rsidR="000159A6">
        <w:t xml:space="preserve"> </w:t>
      </w:r>
      <w:r w:rsidR="005C0A6F" w:rsidRPr="005C0A6F">
        <w:t>schedule</w:t>
      </w:r>
      <w:r w:rsidR="000159A6">
        <w:t xml:space="preserve"> </w:t>
      </w:r>
      <w:r w:rsidR="005C0A6F" w:rsidRPr="005C0A6F">
        <w:t>comparison</w:t>
      </w:r>
      <w:r w:rsidR="000159A6">
        <w:t xml:space="preserve"> </w:t>
      </w:r>
      <w:r w:rsidR="005C0A6F" w:rsidRPr="005C0A6F">
        <w:t>study</w:t>
      </w:r>
    </w:p>
    <w:p w14:paraId="33213806" w14:textId="65458964" w:rsidR="005C0A6F" w:rsidRDefault="0037169B" w:rsidP="005C0A6F">
      <w:pPr>
        <w:pStyle w:val="ListBullet2"/>
      </w:pPr>
      <w:r>
        <w:t>Study</w:t>
      </w:r>
      <w:r w:rsidR="000159A6">
        <w:t xml:space="preserve"> </w:t>
      </w:r>
      <w:r>
        <w:t>ZOSTER</w:t>
      </w:r>
      <w:r w:rsidR="005C0A6F" w:rsidRPr="005C0A6F">
        <w:t>-032</w:t>
      </w:r>
      <w:r w:rsidR="000159A6">
        <w:t xml:space="preserve"> </w:t>
      </w:r>
      <w:r w:rsidR="005C0A6F" w:rsidRPr="005C0A6F">
        <w:t>-</w:t>
      </w:r>
      <w:r w:rsidR="000159A6">
        <w:t xml:space="preserve"> </w:t>
      </w:r>
      <w:r w:rsidR="005C0A6F" w:rsidRPr="005C0A6F">
        <w:t>route</w:t>
      </w:r>
      <w:r w:rsidR="000159A6">
        <w:t xml:space="preserve"> </w:t>
      </w:r>
      <w:r w:rsidR="005C0A6F" w:rsidRPr="005C0A6F">
        <w:t>of</w:t>
      </w:r>
      <w:r w:rsidR="000159A6">
        <w:t xml:space="preserve"> </w:t>
      </w:r>
      <w:r w:rsidR="005C0A6F" w:rsidRPr="005C0A6F">
        <w:t>administration</w:t>
      </w:r>
      <w:r w:rsidR="000159A6">
        <w:t xml:space="preserve"> </w:t>
      </w:r>
      <w:r w:rsidR="005C0A6F" w:rsidRPr="005C0A6F">
        <w:t>study</w:t>
      </w:r>
      <w:r w:rsidR="000159A6">
        <w:t xml:space="preserve"> </w:t>
      </w:r>
      <w:r w:rsidR="005C0A6F" w:rsidRPr="005C0A6F">
        <w:t>(SC</w:t>
      </w:r>
      <w:r w:rsidR="000159A6">
        <w:t xml:space="preserve"> </w:t>
      </w:r>
      <w:r w:rsidR="008D4538">
        <w:t>versus</w:t>
      </w:r>
      <w:r w:rsidR="000159A6">
        <w:t xml:space="preserve"> </w:t>
      </w:r>
      <w:r w:rsidR="005C0A6F" w:rsidRPr="005C0A6F">
        <w:t>IM)</w:t>
      </w:r>
    </w:p>
    <w:p w14:paraId="0BCBA69E" w14:textId="1CC71E38" w:rsidR="005C0A6F" w:rsidRDefault="0037169B" w:rsidP="005C0A6F">
      <w:pPr>
        <w:pStyle w:val="ListBullet2"/>
      </w:pPr>
      <w:r>
        <w:t>Study</w:t>
      </w:r>
      <w:r w:rsidR="000159A6">
        <w:t xml:space="preserve"> </w:t>
      </w:r>
      <w:r>
        <w:t>ZOSTER</w:t>
      </w:r>
      <w:r w:rsidR="000159A6">
        <w:t xml:space="preserve"> </w:t>
      </w:r>
      <w:r w:rsidR="005C0A6F" w:rsidRPr="005C0A6F">
        <w:t>033</w:t>
      </w:r>
      <w:r w:rsidR="000159A6">
        <w:t xml:space="preserve"> </w:t>
      </w:r>
      <w:r w:rsidR="005C0A6F" w:rsidRPr="005C0A6F">
        <w:t>-</w:t>
      </w:r>
      <w:r w:rsidR="000159A6">
        <w:t xml:space="preserve"> </w:t>
      </w:r>
      <w:r w:rsidR="005C0A6F" w:rsidRPr="005C0A6F">
        <w:t>adults</w:t>
      </w:r>
      <w:r w:rsidR="000159A6">
        <w:t xml:space="preserve"> </w:t>
      </w:r>
      <w:r w:rsidR="005C0A6F" w:rsidRPr="005C0A6F">
        <w:t>with</w:t>
      </w:r>
      <w:r w:rsidR="000159A6">
        <w:t xml:space="preserve"> </w:t>
      </w:r>
      <w:r w:rsidR="005C0A6F" w:rsidRPr="005C0A6F">
        <w:t>previous</w:t>
      </w:r>
      <w:r w:rsidR="000159A6">
        <w:t xml:space="preserve"> </w:t>
      </w:r>
      <w:r w:rsidR="005C0A6F" w:rsidRPr="005C0A6F">
        <w:t>HZ</w:t>
      </w:r>
    </w:p>
    <w:p w14:paraId="74472709" w14:textId="54A45C69" w:rsidR="005C0A6F" w:rsidRPr="005C0A6F" w:rsidRDefault="005C0A6F" w:rsidP="00440509">
      <w:pPr>
        <w:pStyle w:val="ListBullet"/>
      </w:pPr>
      <w:r w:rsidRPr="005C0A6F">
        <w:t>Phase</w:t>
      </w:r>
      <w:r w:rsidR="000159A6">
        <w:t xml:space="preserve"> </w:t>
      </w:r>
      <w:r w:rsidRPr="005C0A6F">
        <w:t>I/II</w:t>
      </w:r>
      <w:r w:rsidR="000159A6">
        <w:t xml:space="preserve"> </w:t>
      </w:r>
      <w:r w:rsidRPr="005C0A6F">
        <w:t>in</w:t>
      </w:r>
      <w:r w:rsidR="000159A6">
        <w:t xml:space="preserve"> </w:t>
      </w:r>
      <w:r w:rsidRPr="00440509">
        <w:t>immunocompromised</w:t>
      </w:r>
      <w:r w:rsidR="000159A6">
        <w:t xml:space="preserve"> </w:t>
      </w:r>
      <w:r w:rsidRPr="005C0A6F">
        <w:t>adults</w:t>
      </w:r>
    </w:p>
    <w:p w14:paraId="0FD1AE4F" w14:textId="65C08997" w:rsidR="005C0A6F" w:rsidRDefault="0037169B" w:rsidP="005C0A6F">
      <w:pPr>
        <w:pStyle w:val="ListBullet2"/>
      </w:pPr>
      <w:r>
        <w:t>Study</w:t>
      </w:r>
      <w:r w:rsidR="000159A6">
        <w:t xml:space="preserve"> </w:t>
      </w:r>
      <w:r>
        <w:t>ZOSTER</w:t>
      </w:r>
      <w:r w:rsidR="005C0A6F" w:rsidRPr="005C0A6F">
        <w:t>-001</w:t>
      </w:r>
      <w:r w:rsidR="000159A6">
        <w:t xml:space="preserve"> </w:t>
      </w:r>
      <w:r w:rsidR="005C0A6F" w:rsidRPr="005C0A6F">
        <w:t>-</w:t>
      </w:r>
      <w:r w:rsidR="000159A6">
        <w:t xml:space="preserve"> </w:t>
      </w:r>
      <w:r w:rsidR="005C0A6F" w:rsidRPr="005C0A6F">
        <w:t>autologous</w:t>
      </w:r>
      <w:r w:rsidR="000159A6">
        <w:t xml:space="preserve"> </w:t>
      </w:r>
      <w:r w:rsidR="005C0A6F" w:rsidRPr="005C0A6F">
        <w:t>haematopoietic</w:t>
      </w:r>
      <w:r w:rsidR="000159A6">
        <w:t xml:space="preserve"> </w:t>
      </w:r>
      <w:r w:rsidR="005C0A6F" w:rsidRPr="005C0A6F">
        <w:t>stem</w:t>
      </w:r>
      <w:r w:rsidR="000159A6">
        <w:t xml:space="preserve"> </w:t>
      </w:r>
      <w:r w:rsidR="005C0A6F" w:rsidRPr="005C0A6F">
        <w:t>cell</w:t>
      </w:r>
      <w:r w:rsidR="000159A6">
        <w:t xml:space="preserve"> </w:t>
      </w:r>
      <w:r w:rsidR="005C0A6F" w:rsidRPr="005C0A6F">
        <w:t>transplant</w:t>
      </w:r>
      <w:r w:rsidR="000159A6">
        <w:t xml:space="preserve"> </w:t>
      </w:r>
      <w:r w:rsidR="005C0A6F" w:rsidRPr="005C0A6F">
        <w:t>recipients</w:t>
      </w:r>
    </w:p>
    <w:p w14:paraId="619F2D89" w14:textId="0D1365C1" w:rsidR="005C0A6F" w:rsidRDefault="0037169B" w:rsidP="00440509">
      <w:pPr>
        <w:pStyle w:val="ListBullet2"/>
      </w:pPr>
      <w:r>
        <w:t>Study</w:t>
      </w:r>
      <w:r w:rsidR="000159A6">
        <w:t xml:space="preserve"> </w:t>
      </w:r>
      <w:r>
        <w:t>ZOSTER</w:t>
      </w:r>
      <w:r w:rsidR="005C0A6F" w:rsidRPr="005C0A6F">
        <w:t>-015</w:t>
      </w:r>
      <w:r w:rsidR="000159A6">
        <w:t xml:space="preserve"> </w:t>
      </w:r>
      <w:r w:rsidR="005C0A6F" w:rsidRPr="005C0A6F">
        <w:t>-</w:t>
      </w:r>
      <w:r w:rsidR="000159A6">
        <w:t xml:space="preserve"> </w:t>
      </w:r>
      <w:r w:rsidR="005C0A6F" w:rsidRPr="005C0A6F">
        <w:t>HIV</w:t>
      </w:r>
      <w:r w:rsidR="000159A6">
        <w:t xml:space="preserve"> </w:t>
      </w:r>
      <w:r w:rsidR="005C0A6F" w:rsidRPr="005C0A6F">
        <w:t>infected</w:t>
      </w:r>
      <w:r w:rsidR="000159A6">
        <w:t xml:space="preserve"> </w:t>
      </w:r>
      <w:r w:rsidR="005C0A6F" w:rsidRPr="005C0A6F">
        <w:t>adults</w:t>
      </w:r>
    </w:p>
    <w:p w14:paraId="5095959F" w14:textId="686B8854" w:rsidR="00FF12AA" w:rsidRDefault="005C0A6F" w:rsidP="00440509">
      <w:r w:rsidRPr="005C0A6F">
        <w:t>The</w:t>
      </w:r>
      <w:r w:rsidR="000159A6">
        <w:t xml:space="preserve"> </w:t>
      </w:r>
      <w:r w:rsidRPr="005C0A6F">
        <w:t>detailed</w:t>
      </w:r>
      <w:r w:rsidR="000159A6">
        <w:t xml:space="preserve"> </w:t>
      </w:r>
      <w:r w:rsidRPr="005C0A6F">
        <w:t>evaluation</w:t>
      </w:r>
      <w:r w:rsidR="000159A6">
        <w:t xml:space="preserve"> </w:t>
      </w:r>
      <w:r w:rsidRPr="005C0A6F">
        <w:t>of</w:t>
      </w:r>
      <w:r w:rsidR="000159A6">
        <w:t xml:space="preserve"> </w:t>
      </w:r>
      <w:r w:rsidRPr="005C0A6F">
        <w:t>those</w:t>
      </w:r>
      <w:r w:rsidR="000159A6">
        <w:t xml:space="preserve"> </w:t>
      </w:r>
      <w:r w:rsidRPr="005C0A6F">
        <w:t>studies</w:t>
      </w:r>
      <w:r w:rsidR="000159A6">
        <w:t xml:space="preserve"> </w:t>
      </w:r>
      <w:r w:rsidRPr="005C0A6F">
        <w:t>can</w:t>
      </w:r>
      <w:r w:rsidR="000159A6">
        <w:t xml:space="preserve"> </w:t>
      </w:r>
      <w:r w:rsidRPr="005C0A6F">
        <w:t>be</w:t>
      </w:r>
      <w:r w:rsidR="000159A6">
        <w:t xml:space="preserve"> </w:t>
      </w:r>
      <w:r w:rsidRPr="005C0A6F">
        <w:t>found</w:t>
      </w:r>
      <w:r w:rsidR="000159A6">
        <w:t xml:space="preserve"> </w:t>
      </w:r>
      <w:r w:rsidRPr="005C0A6F">
        <w:t>in</w:t>
      </w:r>
      <w:r w:rsidR="000159A6">
        <w:t xml:space="preserve"> </w:t>
      </w:r>
      <w:r w:rsidRPr="005C0A6F">
        <w:t>the</w:t>
      </w:r>
      <w:r w:rsidR="000159A6">
        <w:t xml:space="preserve"> </w:t>
      </w:r>
      <w:r w:rsidRPr="005C0A6F">
        <w:t>CER</w:t>
      </w:r>
      <w:r w:rsidR="000159A6">
        <w:t xml:space="preserve"> </w:t>
      </w:r>
      <w:r w:rsidRPr="005C0A6F">
        <w:t>while</w:t>
      </w:r>
      <w:r w:rsidR="000159A6">
        <w:t xml:space="preserve"> </w:t>
      </w:r>
      <w:r w:rsidRPr="005C0A6F">
        <w:t>a</w:t>
      </w:r>
      <w:r w:rsidR="000159A6">
        <w:t xml:space="preserve"> </w:t>
      </w:r>
      <w:r w:rsidRPr="005C0A6F">
        <w:t>brief</w:t>
      </w:r>
      <w:r w:rsidR="000159A6">
        <w:t xml:space="preserve"> </w:t>
      </w:r>
      <w:r w:rsidRPr="005C0A6F">
        <w:t>discussion</w:t>
      </w:r>
      <w:r w:rsidR="000159A6">
        <w:t xml:space="preserve"> </w:t>
      </w:r>
      <w:r w:rsidRPr="005C0A6F">
        <w:t>of</w:t>
      </w:r>
      <w:r w:rsidR="000159A6">
        <w:t xml:space="preserve"> </w:t>
      </w:r>
      <w:r w:rsidRPr="005C0A6F">
        <w:t>some</w:t>
      </w:r>
      <w:r w:rsidR="000159A6">
        <w:t xml:space="preserve"> </w:t>
      </w:r>
      <w:r w:rsidRPr="005C0A6F">
        <w:t>studies</w:t>
      </w:r>
      <w:r w:rsidR="000159A6">
        <w:t xml:space="preserve"> </w:t>
      </w:r>
      <w:r w:rsidRPr="005C0A6F">
        <w:t>is</w:t>
      </w:r>
      <w:r w:rsidR="000159A6">
        <w:t xml:space="preserve"> </w:t>
      </w:r>
      <w:r w:rsidRPr="005C0A6F">
        <w:t>included</w:t>
      </w:r>
      <w:r w:rsidR="000159A6">
        <w:t xml:space="preserve"> </w:t>
      </w:r>
      <w:r w:rsidRPr="005C0A6F">
        <w:t>in</w:t>
      </w:r>
      <w:r w:rsidR="000159A6">
        <w:t xml:space="preserve"> </w:t>
      </w:r>
      <w:r w:rsidRPr="005C0A6F">
        <w:t>this</w:t>
      </w:r>
      <w:r w:rsidR="000159A6">
        <w:t xml:space="preserve"> </w:t>
      </w:r>
      <w:r w:rsidRPr="005C0A6F">
        <w:t>Overview</w:t>
      </w:r>
      <w:r w:rsidR="00FF12AA">
        <w:t>.</w:t>
      </w:r>
    </w:p>
    <w:p w14:paraId="73583E39" w14:textId="38484EAD" w:rsidR="005C0A6F" w:rsidRPr="00E021B7" w:rsidRDefault="005C0A6F" w:rsidP="00440509">
      <w:pPr>
        <w:pStyle w:val="Heading4"/>
      </w:pPr>
      <w:bookmarkStart w:id="247" w:name="_Toc480093773"/>
      <w:r w:rsidRPr="00E021B7">
        <w:t>Studies</w:t>
      </w:r>
      <w:r w:rsidR="000159A6" w:rsidRPr="00E021B7">
        <w:t xml:space="preserve"> </w:t>
      </w:r>
      <w:r w:rsidRPr="00440509">
        <w:t>relating</w:t>
      </w:r>
      <w:r w:rsidR="000159A6" w:rsidRPr="00E021B7">
        <w:t xml:space="preserve"> </w:t>
      </w:r>
      <w:r w:rsidRPr="00E021B7">
        <w:t>to</w:t>
      </w:r>
      <w:r w:rsidR="000159A6" w:rsidRPr="00E021B7">
        <w:t xml:space="preserve"> </w:t>
      </w:r>
      <w:r w:rsidRPr="00E021B7">
        <w:t>selection</w:t>
      </w:r>
      <w:r w:rsidR="000159A6" w:rsidRPr="00E021B7">
        <w:t xml:space="preserve"> </w:t>
      </w:r>
      <w:r w:rsidRPr="00E021B7">
        <w:t>of</w:t>
      </w:r>
      <w:r w:rsidR="000159A6" w:rsidRPr="00E021B7">
        <w:t xml:space="preserve"> </w:t>
      </w:r>
      <w:r w:rsidRPr="00E021B7">
        <w:t>dose,</w:t>
      </w:r>
      <w:r w:rsidR="000159A6" w:rsidRPr="00E021B7">
        <w:t xml:space="preserve"> </w:t>
      </w:r>
      <w:r w:rsidRPr="00E021B7">
        <w:t>dosing</w:t>
      </w:r>
      <w:r w:rsidR="000159A6" w:rsidRPr="00E021B7">
        <w:t xml:space="preserve"> </w:t>
      </w:r>
      <w:r w:rsidRPr="00E021B7">
        <w:t>schedule,</w:t>
      </w:r>
      <w:r w:rsidR="000159A6" w:rsidRPr="00E021B7">
        <w:t xml:space="preserve"> </w:t>
      </w:r>
      <w:r w:rsidRPr="00E021B7">
        <w:t>and</w:t>
      </w:r>
      <w:r w:rsidR="000159A6" w:rsidRPr="00E021B7">
        <w:t xml:space="preserve"> </w:t>
      </w:r>
      <w:r w:rsidRPr="00E021B7">
        <w:t>administration</w:t>
      </w:r>
      <w:r w:rsidR="000159A6" w:rsidRPr="00E021B7">
        <w:t xml:space="preserve"> </w:t>
      </w:r>
      <w:r w:rsidRPr="00E021B7">
        <w:t>route</w:t>
      </w:r>
    </w:p>
    <w:p w14:paraId="3D2FA375" w14:textId="7A2DE973" w:rsidR="005C0A6F" w:rsidRPr="00E021B7" w:rsidRDefault="0037169B" w:rsidP="00440509">
      <w:pPr>
        <w:pStyle w:val="Heading5"/>
      </w:pPr>
      <w:r w:rsidRPr="00E021B7">
        <w:t>Study</w:t>
      </w:r>
      <w:r w:rsidR="000159A6" w:rsidRPr="00E021B7">
        <w:t xml:space="preserve"> </w:t>
      </w:r>
      <w:r w:rsidRPr="00E021B7">
        <w:t>ZOSTER</w:t>
      </w:r>
      <w:r w:rsidR="005C0A6F" w:rsidRPr="00E021B7">
        <w:t>-003</w:t>
      </w:r>
    </w:p>
    <w:p w14:paraId="59CD6184" w14:textId="031B21F0" w:rsidR="00FF12AA" w:rsidRDefault="005C0A6F" w:rsidP="00440509">
      <w:r w:rsidRPr="005C0A6F">
        <w:t>Similar</w:t>
      </w:r>
      <w:r w:rsidR="000159A6">
        <w:t xml:space="preserve"> </w:t>
      </w:r>
      <w:r w:rsidRPr="005C0A6F">
        <w:t>CMI</w:t>
      </w:r>
      <w:r w:rsidR="000159A6">
        <w:t xml:space="preserve"> </w:t>
      </w:r>
      <w:r w:rsidRPr="005C0A6F">
        <w:t>responses</w:t>
      </w:r>
      <w:r w:rsidR="000159A6">
        <w:t xml:space="preserve"> </w:t>
      </w:r>
      <w:r w:rsidRPr="005C0A6F">
        <w:t>and</w:t>
      </w:r>
      <w:r w:rsidR="000159A6">
        <w:t xml:space="preserve"> </w:t>
      </w:r>
      <w:r w:rsidRPr="005C0A6F">
        <w:t>reactogenicity</w:t>
      </w:r>
      <w:r w:rsidR="000159A6">
        <w:t xml:space="preserve"> </w:t>
      </w:r>
      <w:r w:rsidRPr="005C0A6F">
        <w:t>were</w:t>
      </w:r>
      <w:r w:rsidR="000159A6">
        <w:t xml:space="preserve"> </w:t>
      </w:r>
      <w:r w:rsidRPr="005C0A6F">
        <w:t>found</w:t>
      </w:r>
      <w:r w:rsidR="000159A6">
        <w:t xml:space="preserve"> </w:t>
      </w:r>
      <w:r w:rsidRPr="005C0A6F">
        <w:t>with</w:t>
      </w:r>
      <w:r w:rsidR="000159A6">
        <w:t xml:space="preserve"> </w:t>
      </w:r>
      <w:r w:rsidRPr="005C0A6F">
        <w:t>the</w:t>
      </w:r>
      <w:r w:rsidR="000159A6">
        <w:t xml:space="preserve"> </w:t>
      </w:r>
      <w:r w:rsidRPr="005C0A6F">
        <w:t>50</w:t>
      </w:r>
      <w:r w:rsidR="000159A6">
        <w:t xml:space="preserve"> </w:t>
      </w:r>
      <w:r w:rsidRPr="005C0A6F">
        <w:t>µg</w:t>
      </w:r>
      <w:r w:rsidR="000159A6">
        <w:t xml:space="preserve"> </w:t>
      </w:r>
      <w:r w:rsidRPr="005C0A6F">
        <w:t>an</w:t>
      </w:r>
      <w:r>
        <w:t>d</w:t>
      </w:r>
      <w:r w:rsidR="000159A6">
        <w:t xml:space="preserve"> </w:t>
      </w:r>
      <w:r>
        <w:t>100</w:t>
      </w:r>
      <w:r w:rsidRPr="005C0A6F">
        <w:t>µg</w:t>
      </w:r>
      <w:r w:rsidR="000159A6">
        <w:t xml:space="preserve"> </w:t>
      </w:r>
      <w:r w:rsidRPr="005C0A6F">
        <w:t>antigen</w:t>
      </w:r>
      <w:r w:rsidR="000159A6">
        <w:t xml:space="preserve"> </w:t>
      </w:r>
      <w:r w:rsidRPr="005C0A6F">
        <w:t>doses.</w:t>
      </w:r>
      <w:r w:rsidR="000159A6">
        <w:t xml:space="preserve"> </w:t>
      </w:r>
      <w:r w:rsidRPr="005C0A6F">
        <w:t>The</w:t>
      </w:r>
      <w:r w:rsidR="000159A6">
        <w:t xml:space="preserve"> </w:t>
      </w:r>
      <w:r w:rsidRPr="005C0A6F">
        <w:t>25</w:t>
      </w:r>
      <w:r w:rsidR="000159A6">
        <w:t xml:space="preserve"> </w:t>
      </w:r>
      <w:r w:rsidRPr="005C0A6F">
        <w:t>µg</w:t>
      </w:r>
      <w:r w:rsidR="000159A6">
        <w:t xml:space="preserve"> </w:t>
      </w:r>
      <w:r w:rsidRPr="005C0A6F">
        <w:t>dose</w:t>
      </w:r>
      <w:r w:rsidR="000159A6">
        <w:t xml:space="preserve"> </w:t>
      </w:r>
      <w:r w:rsidRPr="005C0A6F">
        <w:t>was</w:t>
      </w:r>
      <w:r w:rsidR="000159A6">
        <w:t xml:space="preserve"> </w:t>
      </w:r>
      <w:r w:rsidRPr="005C0A6F">
        <w:t>inferior</w:t>
      </w:r>
      <w:r w:rsidR="000159A6">
        <w:t xml:space="preserve"> </w:t>
      </w:r>
      <w:r w:rsidRPr="005C0A6F">
        <w:t>to</w:t>
      </w:r>
      <w:r w:rsidR="000159A6">
        <w:t xml:space="preserve"> </w:t>
      </w:r>
      <w:r w:rsidRPr="005C0A6F">
        <w:t>the</w:t>
      </w:r>
      <w:r w:rsidR="000159A6">
        <w:t xml:space="preserve"> </w:t>
      </w:r>
      <w:r w:rsidRPr="005C0A6F">
        <w:t>higher</w:t>
      </w:r>
      <w:r w:rsidR="000159A6">
        <w:t xml:space="preserve"> </w:t>
      </w:r>
      <w:r w:rsidRPr="005C0A6F">
        <w:t>doses</w:t>
      </w:r>
      <w:r w:rsidR="000159A6">
        <w:t xml:space="preserve"> </w:t>
      </w:r>
      <w:r w:rsidRPr="005C0A6F">
        <w:t>in</w:t>
      </w:r>
      <w:r w:rsidR="000159A6">
        <w:t xml:space="preserve"> </w:t>
      </w:r>
      <w:r w:rsidRPr="005C0A6F">
        <w:t>terms</w:t>
      </w:r>
      <w:r w:rsidR="000159A6">
        <w:t xml:space="preserve"> </w:t>
      </w:r>
      <w:r w:rsidRPr="005C0A6F">
        <w:t>of</w:t>
      </w:r>
      <w:r w:rsidR="000159A6">
        <w:t xml:space="preserve"> </w:t>
      </w:r>
      <w:r w:rsidRPr="005C0A6F">
        <w:t>CMI</w:t>
      </w:r>
      <w:r w:rsidR="000159A6">
        <w:t xml:space="preserve"> </w:t>
      </w:r>
      <w:r w:rsidRPr="005C0A6F">
        <w:t>response.</w:t>
      </w:r>
      <w:r w:rsidR="000159A6">
        <w:t xml:space="preserve"> </w:t>
      </w:r>
      <w:r w:rsidRPr="005C0A6F">
        <w:t>Therefore</w:t>
      </w:r>
      <w:r w:rsidR="000159A6">
        <w:t xml:space="preserve"> </w:t>
      </w:r>
      <w:r w:rsidRPr="005C0A6F">
        <w:t>the</w:t>
      </w:r>
      <w:r w:rsidR="000159A6">
        <w:t xml:space="preserve"> </w:t>
      </w:r>
      <w:r w:rsidRPr="005C0A6F">
        <w:t>50</w:t>
      </w:r>
      <w:r w:rsidR="000159A6">
        <w:t xml:space="preserve"> </w:t>
      </w:r>
      <w:r w:rsidRPr="005C0A6F">
        <w:t>µg</w:t>
      </w:r>
      <w:r w:rsidR="000159A6">
        <w:t xml:space="preserve"> </w:t>
      </w:r>
      <w:r w:rsidRPr="005C0A6F">
        <w:t>was</w:t>
      </w:r>
      <w:r w:rsidR="000159A6">
        <w:t xml:space="preserve"> </w:t>
      </w:r>
      <w:r w:rsidRPr="005C0A6F">
        <w:t>selected</w:t>
      </w:r>
      <w:r w:rsidR="000159A6">
        <w:t xml:space="preserve"> </w:t>
      </w:r>
      <w:r w:rsidRPr="005C0A6F">
        <w:t>for</w:t>
      </w:r>
      <w:r w:rsidR="000159A6">
        <w:t xml:space="preserve"> </w:t>
      </w:r>
      <w:r w:rsidRPr="005C0A6F">
        <w:t>further</w:t>
      </w:r>
      <w:r w:rsidR="000159A6">
        <w:t xml:space="preserve"> </w:t>
      </w:r>
      <w:r w:rsidRPr="005C0A6F">
        <w:t>development</w:t>
      </w:r>
      <w:r w:rsidR="00FF12AA">
        <w:t>.</w:t>
      </w:r>
    </w:p>
    <w:p w14:paraId="4D543D32" w14:textId="4A52A699" w:rsidR="005C0A6F" w:rsidRPr="00E021B7" w:rsidRDefault="0037169B" w:rsidP="00E021B7">
      <w:pPr>
        <w:pStyle w:val="Heading5"/>
      </w:pPr>
      <w:r w:rsidRPr="00E021B7">
        <w:lastRenderedPageBreak/>
        <w:t>Study</w:t>
      </w:r>
      <w:r w:rsidR="000159A6" w:rsidRPr="00E021B7">
        <w:t xml:space="preserve"> </w:t>
      </w:r>
      <w:r w:rsidRPr="00E021B7">
        <w:t>ZOSTER</w:t>
      </w:r>
      <w:r w:rsidR="005C0A6F" w:rsidRPr="00E021B7">
        <w:t>-010</w:t>
      </w:r>
    </w:p>
    <w:p w14:paraId="3935303E" w14:textId="0DA152D6" w:rsidR="00FF12AA" w:rsidRDefault="005C0A6F" w:rsidP="00440509">
      <w:r>
        <w:t>T</w:t>
      </w:r>
      <w:r w:rsidRPr="005C0A6F">
        <w:t>he</w:t>
      </w:r>
      <w:r w:rsidR="000159A6">
        <w:t xml:space="preserve"> </w:t>
      </w:r>
      <w:r w:rsidRPr="005C0A6F">
        <w:t>presence</w:t>
      </w:r>
      <w:r w:rsidR="000159A6">
        <w:t xml:space="preserve"> </w:t>
      </w:r>
      <w:r w:rsidRPr="005C0A6F">
        <w:t>of</w:t>
      </w:r>
      <w:r w:rsidR="000159A6">
        <w:t xml:space="preserve"> </w:t>
      </w:r>
      <w:r w:rsidR="00503D1B">
        <w:t>AS01</w:t>
      </w:r>
      <w:r w:rsidR="00503D1B" w:rsidRPr="00570F2D">
        <w:rPr>
          <w:vertAlign w:val="subscript"/>
        </w:rPr>
        <w:t>B</w:t>
      </w:r>
      <w:r w:rsidR="000159A6">
        <w:t xml:space="preserve"> </w:t>
      </w:r>
      <w:r w:rsidRPr="005C0A6F">
        <w:t>adjuvant</w:t>
      </w:r>
      <w:r w:rsidR="000159A6">
        <w:t xml:space="preserve"> </w:t>
      </w:r>
      <w:r w:rsidRPr="005C0A6F">
        <w:t>resulted</w:t>
      </w:r>
      <w:r w:rsidR="000159A6">
        <w:t xml:space="preserve"> </w:t>
      </w:r>
      <w:r w:rsidRPr="005C0A6F">
        <w:t>in</w:t>
      </w:r>
      <w:r w:rsidR="000159A6">
        <w:t xml:space="preserve"> </w:t>
      </w:r>
      <w:r w:rsidRPr="005C0A6F">
        <w:t>a</w:t>
      </w:r>
      <w:r w:rsidR="000159A6">
        <w:t xml:space="preserve"> </w:t>
      </w:r>
      <w:r w:rsidRPr="005C0A6F">
        <w:t>superior</w:t>
      </w:r>
      <w:r w:rsidR="000159A6">
        <w:t xml:space="preserve"> </w:t>
      </w:r>
      <w:r w:rsidRPr="005C0A6F">
        <w:t>immune</w:t>
      </w:r>
      <w:r w:rsidR="000159A6">
        <w:t xml:space="preserve"> </w:t>
      </w:r>
      <w:r w:rsidRPr="005C0A6F">
        <w:t>response</w:t>
      </w:r>
      <w:r w:rsidR="000159A6">
        <w:t xml:space="preserve"> </w:t>
      </w:r>
      <w:r w:rsidRPr="005C0A6F">
        <w:t>but</w:t>
      </w:r>
      <w:r w:rsidR="000159A6">
        <w:t xml:space="preserve"> </w:t>
      </w:r>
      <w:r w:rsidRPr="005C0A6F">
        <w:t>also</w:t>
      </w:r>
      <w:r w:rsidR="000159A6">
        <w:t xml:space="preserve"> </w:t>
      </w:r>
      <w:r w:rsidRPr="005C0A6F">
        <w:t>increased</w:t>
      </w:r>
      <w:r w:rsidR="000159A6">
        <w:t xml:space="preserve"> </w:t>
      </w:r>
      <w:r w:rsidRPr="005C0A6F">
        <w:t>reactogenicity.</w:t>
      </w:r>
      <w:r w:rsidR="000159A6">
        <w:t xml:space="preserve"> </w:t>
      </w:r>
      <w:r w:rsidRPr="005C0A6F">
        <w:t>The</w:t>
      </w:r>
      <w:r w:rsidR="000159A6">
        <w:t xml:space="preserve"> </w:t>
      </w:r>
      <w:r w:rsidRPr="005C0A6F">
        <w:t>full</w:t>
      </w:r>
      <w:r w:rsidR="000159A6">
        <w:t xml:space="preserve"> </w:t>
      </w:r>
      <w:r w:rsidRPr="005C0A6F">
        <w:t>dose</w:t>
      </w:r>
      <w:r w:rsidR="000159A6">
        <w:t xml:space="preserve"> </w:t>
      </w:r>
      <w:r w:rsidR="00503D1B">
        <w:t>AS01</w:t>
      </w:r>
      <w:r w:rsidR="00503D1B" w:rsidRPr="00570F2D">
        <w:rPr>
          <w:vertAlign w:val="subscript"/>
        </w:rPr>
        <w:t>B</w:t>
      </w:r>
      <w:r w:rsidR="000159A6">
        <w:t xml:space="preserve"> </w:t>
      </w:r>
      <w:r w:rsidRPr="005C0A6F">
        <w:t>resulted</w:t>
      </w:r>
      <w:r w:rsidR="000159A6">
        <w:t xml:space="preserve"> </w:t>
      </w:r>
      <w:r w:rsidRPr="005C0A6F">
        <w:t>in</w:t>
      </w:r>
      <w:r w:rsidR="000159A6">
        <w:t xml:space="preserve"> </w:t>
      </w:r>
      <w:r w:rsidRPr="005C0A6F">
        <w:t>an</w:t>
      </w:r>
      <w:r w:rsidR="000159A6">
        <w:t xml:space="preserve"> </w:t>
      </w:r>
      <w:r w:rsidRPr="005C0A6F">
        <w:t>increased</w:t>
      </w:r>
      <w:r w:rsidR="000159A6">
        <w:t xml:space="preserve"> </w:t>
      </w:r>
      <w:r w:rsidRPr="005C0A6F">
        <w:t>immune</w:t>
      </w:r>
      <w:r w:rsidR="000159A6">
        <w:t xml:space="preserve"> </w:t>
      </w:r>
      <w:r w:rsidRPr="005C0A6F">
        <w:t>response</w:t>
      </w:r>
      <w:r w:rsidR="000159A6">
        <w:t xml:space="preserve"> </w:t>
      </w:r>
      <w:r w:rsidRPr="005C0A6F">
        <w:t>(CMI</w:t>
      </w:r>
      <w:r w:rsidR="000159A6">
        <w:t xml:space="preserve"> </w:t>
      </w:r>
      <w:r w:rsidRPr="005C0A6F">
        <w:t>and</w:t>
      </w:r>
      <w:r w:rsidR="000159A6">
        <w:t xml:space="preserve"> </w:t>
      </w:r>
      <w:r w:rsidRPr="005C0A6F">
        <w:t>humoral)</w:t>
      </w:r>
      <w:r w:rsidR="000159A6">
        <w:t xml:space="preserve"> </w:t>
      </w:r>
      <w:r w:rsidRPr="005C0A6F">
        <w:t>compared</w:t>
      </w:r>
      <w:r w:rsidR="000159A6">
        <w:t xml:space="preserve"> </w:t>
      </w:r>
      <w:r w:rsidRPr="005C0A6F">
        <w:t>to</w:t>
      </w:r>
      <w:r w:rsidR="000159A6">
        <w:t xml:space="preserve"> </w:t>
      </w:r>
      <w:r w:rsidRPr="005C0A6F">
        <w:t>half</w:t>
      </w:r>
      <w:r w:rsidR="000159A6">
        <w:t xml:space="preserve"> </w:t>
      </w:r>
      <w:r w:rsidRPr="005C0A6F">
        <w:t>strength</w:t>
      </w:r>
      <w:r w:rsidR="000159A6">
        <w:t xml:space="preserve"> </w:t>
      </w:r>
      <w:r w:rsidRPr="005C0A6F">
        <w:t>dose</w:t>
      </w:r>
      <w:r w:rsidR="000159A6">
        <w:t xml:space="preserve"> </w:t>
      </w:r>
      <w:r w:rsidRPr="005C0A6F">
        <w:t>and</w:t>
      </w:r>
      <w:r w:rsidR="000159A6">
        <w:t xml:space="preserve"> </w:t>
      </w:r>
      <w:r w:rsidRPr="005C0A6F">
        <w:t>was</w:t>
      </w:r>
      <w:r w:rsidR="000159A6">
        <w:t xml:space="preserve"> </w:t>
      </w:r>
      <w:r w:rsidRPr="005C0A6F">
        <w:t>selected</w:t>
      </w:r>
      <w:r w:rsidR="000159A6">
        <w:t xml:space="preserve"> </w:t>
      </w:r>
      <w:r w:rsidRPr="005C0A6F">
        <w:t>for</w:t>
      </w:r>
      <w:r w:rsidR="000159A6">
        <w:t xml:space="preserve"> </w:t>
      </w:r>
      <w:r w:rsidRPr="005C0A6F">
        <w:t>further</w:t>
      </w:r>
      <w:r w:rsidR="000159A6">
        <w:t xml:space="preserve"> </w:t>
      </w:r>
      <w:r w:rsidRPr="005C0A6F">
        <w:t>development</w:t>
      </w:r>
      <w:r w:rsidR="00FF12AA">
        <w:t>.</w:t>
      </w:r>
    </w:p>
    <w:p w14:paraId="748AA797" w14:textId="198DF73E" w:rsidR="005C0A6F" w:rsidRPr="00E021B7" w:rsidRDefault="0037169B" w:rsidP="00E021B7">
      <w:pPr>
        <w:pStyle w:val="Heading5"/>
      </w:pPr>
      <w:r w:rsidRPr="00E021B7">
        <w:t>Study</w:t>
      </w:r>
      <w:r w:rsidR="000159A6" w:rsidRPr="00E021B7">
        <w:t xml:space="preserve"> </w:t>
      </w:r>
      <w:r w:rsidRPr="00E021B7">
        <w:t>ZOSTER</w:t>
      </w:r>
      <w:r w:rsidR="005C0A6F" w:rsidRPr="00E021B7">
        <w:t>-026</w:t>
      </w:r>
    </w:p>
    <w:p w14:paraId="1DCD2D73" w14:textId="0D4AD38E" w:rsidR="00FF12AA" w:rsidRDefault="005C0A6F" w:rsidP="00440509">
      <w:r>
        <w:t>A</w:t>
      </w:r>
      <w:r w:rsidRPr="005C0A6F">
        <w:t>n</w:t>
      </w:r>
      <w:r w:rsidR="000159A6">
        <w:t xml:space="preserve"> </w:t>
      </w:r>
      <w:r w:rsidRPr="005C0A6F">
        <w:t>open</w:t>
      </w:r>
      <w:r w:rsidR="000159A6">
        <w:t xml:space="preserve"> </w:t>
      </w:r>
      <w:r w:rsidRPr="005C0A6F">
        <w:t>label,</w:t>
      </w:r>
      <w:r w:rsidR="000159A6">
        <w:t xml:space="preserve"> </w:t>
      </w:r>
      <w:r w:rsidRPr="005C0A6F">
        <w:t>randomised,</w:t>
      </w:r>
      <w:r w:rsidR="000159A6">
        <w:t xml:space="preserve"> </w:t>
      </w:r>
      <w:r w:rsidRPr="005C0A6F">
        <w:t>parallel</w:t>
      </w:r>
      <w:r w:rsidR="000159A6">
        <w:t xml:space="preserve"> </w:t>
      </w:r>
      <w:r w:rsidRPr="005C0A6F">
        <w:t>group</w:t>
      </w:r>
      <w:r w:rsidR="000159A6">
        <w:t xml:space="preserve"> </w:t>
      </w:r>
      <w:r w:rsidRPr="005C0A6F">
        <w:t>immunogenicity</w:t>
      </w:r>
      <w:r w:rsidR="000159A6">
        <w:t xml:space="preserve"> </w:t>
      </w:r>
      <w:r w:rsidRPr="005C0A6F">
        <w:t>study,</w:t>
      </w:r>
      <w:r w:rsidR="000159A6">
        <w:t xml:space="preserve"> </w:t>
      </w:r>
      <w:r w:rsidRPr="005C0A6F">
        <w:t>assessed</w:t>
      </w:r>
      <w:r w:rsidR="000159A6">
        <w:t xml:space="preserve"> </w:t>
      </w:r>
      <w:r w:rsidRPr="005C0A6F">
        <w:t>two</w:t>
      </w:r>
      <w:r w:rsidR="000159A6">
        <w:t xml:space="preserve"> </w:t>
      </w:r>
      <w:r w:rsidRPr="005C0A6F">
        <w:t>vaccination</w:t>
      </w:r>
      <w:r w:rsidR="000159A6">
        <w:t xml:space="preserve"> </w:t>
      </w:r>
      <w:r w:rsidRPr="005C0A6F">
        <w:t>intervals</w:t>
      </w:r>
      <w:r w:rsidR="000159A6">
        <w:t xml:space="preserve"> </w:t>
      </w:r>
      <w:r w:rsidRPr="005C0A6F">
        <w:t>longer</w:t>
      </w:r>
      <w:r w:rsidR="000159A6">
        <w:t xml:space="preserve"> </w:t>
      </w:r>
      <w:r w:rsidRPr="005C0A6F">
        <w:t>than</w:t>
      </w:r>
      <w:r w:rsidR="000159A6">
        <w:t xml:space="preserve"> </w:t>
      </w:r>
      <w:r w:rsidRPr="005C0A6F">
        <w:t>2</w:t>
      </w:r>
      <w:r w:rsidR="000159A6">
        <w:t xml:space="preserve"> </w:t>
      </w:r>
      <w:r w:rsidRPr="005C0A6F">
        <w:t>months</w:t>
      </w:r>
      <w:r w:rsidR="000159A6">
        <w:t xml:space="preserve"> </w:t>
      </w:r>
      <w:r w:rsidRPr="005C0A6F">
        <w:t>(0</w:t>
      </w:r>
      <w:r w:rsidR="000159A6">
        <w:t xml:space="preserve"> </w:t>
      </w:r>
      <w:r w:rsidR="0048276A">
        <w:t>and</w:t>
      </w:r>
      <w:r w:rsidR="000159A6">
        <w:t xml:space="preserve"> </w:t>
      </w:r>
      <w:r w:rsidRPr="005C0A6F">
        <w:t>6</w:t>
      </w:r>
      <w:r w:rsidR="000159A6">
        <w:t xml:space="preserve"> </w:t>
      </w:r>
      <w:r w:rsidR="0048276A">
        <w:t>months;</w:t>
      </w:r>
      <w:r w:rsidR="000159A6">
        <w:t xml:space="preserve"> </w:t>
      </w:r>
      <w:r w:rsidRPr="005C0A6F">
        <w:t>and</w:t>
      </w:r>
      <w:r w:rsidR="000159A6">
        <w:t xml:space="preserve"> </w:t>
      </w:r>
      <w:r w:rsidRPr="005C0A6F">
        <w:t>0</w:t>
      </w:r>
      <w:r w:rsidR="000159A6">
        <w:t xml:space="preserve"> </w:t>
      </w:r>
      <w:r w:rsidR="0048276A">
        <w:t>and</w:t>
      </w:r>
      <w:r w:rsidR="000159A6">
        <w:t xml:space="preserve"> </w:t>
      </w:r>
      <w:r w:rsidRPr="005C0A6F">
        <w:t>12</w:t>
      </w:r>
      <w:r w:rsidR="000159A6">
        <w:t xml:space="preserve"> </w:t>
      </w:r>
      <w:r w:rsidRPr="005C0A6F">
        <w:t>months)</w:t>
      </w:r>
      <w:r w:rsidR="000159A6">
        <w:t xml:space="preserve"> </w:t>
      </w:r>
      <w:r w:rsidRPr="005C0A6F">
        <w:t>in</w:t>
      </w:r>
      <w:r w:rsidR="000159A6">
        <w:t xml:space="preserve"> </w:t>
      </w:r>
      <w:r w:rsidRPr="005C0A6F">
        <w:t>354</w:t>
      </w:r>
      <w:r w:rsidR="000159A6">
        <w:t xml:space="preserve"> </w:t>
      </w:r>
      <w:proofErr w:type="gramStart"/>
      <w:r w:rsidRPr="005C0A6F">
        <w:t>adults</w:t>
      </w:r>
      <w:proofErr w:type="gramEnd"/>
      <w:r w:rsidR="000159A6">
        <w:t xml:space="preserve"> </w:t>
      </w:r>
      <w:r w:rsidR="0037169B">
        <w:t>≥</w:t>
      </w:r>
      <w:r w:rsidR="000159A6">
        <w:t xml:space="preserve"> </w:t>
      </w:r>
      <w:r w:rsidRPr="005C0A6F">
        <w:t>50</w:t>
      </w:r>
      <w:r w:rsidR="000159A6">
        <w:t xml:space="preserve"> </w:t>
      </w:r>
      <w:r w:rsidRPr="005C0A6F">
        <w:t>years</w:t>
      </w:r>
      <w:r w:rsidR="000159A6">
        <w:t xml:space="preserve"> </w:t>
      </w:r>
      <w:r w:rsidRPr="005C0A6F">
        <w:t>of</w:t>
      </w:r>
      <w:r w:rsidR="000159A6">
        <w:t xml:space="preserve"> </w:t>
      </w:r>
      <w:r w:rsidRPr="005C0A6F">
        <w:t>age.</w:t>
      </w:r>
      <w:r w:rsidR="000159A6">
        <w:t xml:space="preserve"> </w:t>
      </w:r>
      <w:r w:rsidRPr="005C0A6F">
        <w:t>As</w:t>
      </w:r>
      <w:r w:rsidR="000159A6">
        <w:t xml:space="preserve"> </w:t>
      </w:r>
      <w:r w:rsidRPr="005C0A6F">
        <w:t>measured</w:t>
      </w:r>
      <w:r w:rsidR="000159A6">
        <w:t xml:space="preserve"> </w:t>
      </w:r>
      <w:r w:rsidRPr="005C0A6F">
        <w:t>by</w:t>
      </w:r>
      <w:r w:rsidR="000159A6">
        <w:t xml:space="preserve"> </w:t>
      </w:r>
      <w:r w:rsidRPr="005C0A6F">
        <w:t>the</w:t>
      </w:r>
      <w:r w:rsidR="000159A6">
        <w:t xml:space="preserve"> </w:t>
      </w:r>
      <w:r w:rsidRPr="005C0A6F">
        <w:t>anti-gE</w:t>
      </w:r>
      <w:r w:rsidR="000159A6">
        <w:t xml:space="preserve"> </w:t>
      </w:r>
      <w:r w:rsidRPr="005C0A6F">
        <w:t>antibody</w:t>
      </w:r>
      <w:r w:rsidR="000159A6">
        <w:t xml:space="preserve"> </w:t>
      </w:r>
      <w:r w:rsidRPr="005C0A6F">
        <w:t>GMC</w:t>
      </w:r>
      <w:r w:rsidR="000159A6">
        <w:t xml:space="preserve"> </w:t>
      </w:r>
      <w:r w:rsidRPr="005C0A6F">
        <w:t>ratio</w:t>
      </w:r>
      <w:r w:rsidR="000159A6">
        <w:t xml:space="preserve"> </w:t>
      </w:r>
      <w:r w:rsidRPr="005C0A6F">
        <w:t>one</w:t>
      </w:r>
      <w:r w:rsidR="000159A6">
        <w:t xml:space="preserve"> </w:t>
      </w:r>
      <w:r w:rsidRPr="005C0A6F">
        <w:t>month</w:t>
      </w:r>
      <w:r w:rsidR="000159A6">
        <w:t xml:space="preserve"> </w:t>
      </w:r>
      <w:r w:rsidRPr="005C0A6F">
        <w:t>post</w:t>
      </w:r>
      <w:r w:rsidR="000159A6">
        <w:t xml:space="preserve"> </w:t>
      </w:r>
      <w:r w:rsidR="0048276A">
        <w:t>second</w:t>
      </w:r>
      <w:r w:rsidR="000159A6">
        <w:t xml:space="preserve"> </w:t>
      </w:r>
      <w:r w:rsidRPr="005C0A6F">
        <w:t>vaccination,</w:t>
      </w:r>
      <w:r w:rsidR="000159A6">
        <w:t xml:space="preserve"> </w:t>
      </w:r>
      <w:r w:rsidRPr="005C0A6F">
        <w:t>the</w:t>
      </w:r>
      <w:r w:rsidR="000159A6">
        <w:t xml:space="preserve"> </w:t>
      </w:r>
      <w:r w:rsidRPr="005C0A6F">
        <w:t>0</w:t>
      </w:r>
      <w:r w:rsidR="000159A6">
        <w:t xml:space="preserve"> </w:t>
      </w:r>
      <w:r w:rsidR="0048276A">
        <w:t>and</w:t>
      </w:r>
      <w:r w:rsidR="000159A6">
        <w:t xml:space="preserve"> </w:t>
      </w:r>
      <w:r w:rsidRPr="005C0A6F">
        <w:t>6</w:t>
      </w:r>
      <w:r w:rsidR="000159A6">
        <w:t xml:space="preserve"> </w:t>
      </w:r>
      <w:r w:rsidRPr="005C0A6F">
        <w:t>month</w:t>
      </w:r>
      <w:r w:rsidR="000159A6">
        <w:t xml:space="preserve"> </w:t>
      </w:r>
      <w:r w:rsidRPr="005C0A6F">
        <w:t>schedule</w:t>
      </w:r>
      <w:r w:rsidR="000159A6">
        <w:t xml:space="preserve"> </w:t>
      </w:r>
      <w:r w:rsidRPr="005C0A6F">
        <w:t>was</w:t>
      </w:r>
      <w:r w:rsidR="000159A6">
        <w:t xml:space="preserve"> </w:t>
      </w:r>
      <w:r w:rsidRPr="005C0A6F">
        <w:t>found</w:t>
      </w:r>
      <w:r w:rsidR="000159A6">
        <w:t xml:space="preserve"> </w:t>
      </w:r>
      <w:r w:rsidRPr="005C0A6F">
        <w:t>to</w:t>
      </w:r>
      <w:r w:rsidR="000159A6">
        <w:t xml:space="preserve"> </w:t>
      </w:r>
      <w:r w:rsidRPr="005C0A6F">
        <w:t>be</w:t>
      </w:r>
      <w:r w:rsidR="000159A6">
        <w:t xml:space="preserve"> </w:t>
      </w:r>
      <w:r w:rsidRPr="005C0A6F">
        <w:t>non-inferior</w:t>
      </w:r>
      <w:r w:rsidR="000159A6">
        <w:t xml:space="preserve"> </w:t>
      </w:r>
      <w:r w:rsidRPr="005C0A6F">
        <w:t>to</w:t>
      </w:r>
      <w:r w:rsidR="000159A6">
        <w:t xml:space="preserve"> </w:t>
      </w:r>
      <w:r w:rsidRPr="005C0A6F">
        <w:t>the</w:t>
      </w:r>
      <w:r w:rsidR="000159A6">
        <w:t xml:space="preserve"> </w:t>
      </w:r>
      <w:r w:rsidRPr="005C0A6F">
        <w:t>0</w:t>
      </w:r>
      <w:r w:rsidR="000159A6">
        <w:t xml:space="preserve"> </w:t>
      </w:r>
      <w:r w:rsidR="0048276A">
        <w:t>and</w:t>
      </w:r>
      <w:r w:rsidRPr="005C0A6F">
        <w:t>2</w:t>
      </w:r>
      <w:r w:rsidR="000159A6">
        <w:t xml:space="preserve"> </w:t>
      </w:r>
      <w:r w:rsidRPr="005C0A6F">
        <w:t>month</w:t>
      </w:r>
      <w:r w:rsidR="000159A6">
        <w:t xml:space="preserve"> </w:t>
      </w:r>
      <w:r w:rsidRPr="005C0A6F">
        <w:t>schedule,</w:t>
      </w:r>
      <w:r w:rsidR="000159A6">
        <w:t xml:space="preserve"> </w:t>
      </w:r>
      <w:r w:rsidRPr="005C0A6F">
        <w:t>however</w:t>
      </w:r>
      <w:r w:rsidR="000159A6">
        <w:t xml:space="preserve"> </w:t>
      </w:r>
      <w:r w:rsidRPr="005C0A6F">
        <w:t>the</w:t>
      </w:r>
      <w:r w:rsidR="000159A6">
        <w:t xml:space="preserve"> </w:t>
      </w:r>
      <w:r w:rsidRPr="005C0A6F">
        <w:t>0,12</w:t>
      </w:r>
      <w:r w:rsidR="000159A6">
        <w:t xml:space="preserve"> </w:t>
      </w:r>
      <w:r w:rsidRPr="005C0A6F">
        <w:t>month</w:t>
      </w:r>
      <w:r w:rsidR="000159A6">
        <w:t xml:space="preserve"> </w:t>
      </w:r>
      <w:r w:rsidRPr="005C0A6F">
        <w:t>vaccination</w:t>
      </w:r>
      <w:r w:rsidR="000159A6">
        <w:t xml:space="preserve"> </w:t>
      </w:r>
      <w:r w:rsidRPr="005C0A6F">
        <w:t>interval</w:t>
      </w:r>
      <w:r w:rsidR="000159A6">
        <w:t xml:space="preserve"> </w:t>
      </w:r>
      <w:r w:rsidRPr="005C0A6F">
        <w:t>did</w:t>
      </w:r>
      <w:r w:rsidR="000159A6">
        <w:t xml:space="preserve"> </w:t>
      </w:r>
      <w:r w:rsidRPr="005C0A6F">
        <w:t>not</w:t>
      </w:r>
      <w:r w:rsidR="000159A6">
        <w:t xml:space="preserve"> </w:t>
      </w:r>
      <w:r w:rsidRPr="005C0A6F">
        <w:t>meet</w:t>
      </w:r>
      <w:r w:rsidR="000159A6">
        <w:t xml:space="preserve"> </w:t>
      </w:r>
      <w:r w:rsidRPr="005C0A6F">
        <w:t>the</w:t>
      </w:r>
      <w:r w:rsidR="000159A6">
        <w:t xml:space="preserve"> </w:t>
      </w:r>
      <w:r w:rsidRPr="005C0A6F">
        <w:t>non-inferiority</w:t>
      </w:r>
      <w:r w:rsidR="000159A6">
        <w:t xml:space="preserve"> </w:t>
      </w:r>
      <w:r w:rsidRPr="005C0A6F">
        <w:t>criterion</w:t>
      </w:r>
      <w:r w:rsidR="000159A6">
        <w:t xml:space="preserve"> </w:t>
      </w:r>
      <w:r w:rsidRPr="005C0A6F">
        <w:t>(GMC</w:t>
      </w:r>
      <w:r w:rsidR="000159A6">
        <w:t xml:space="preserve"> </w:t>
      </w:r>
      <w:r w:rsidRPr="005C0A6F">
        <w:t>ratio</w:t>
      </w:r>
      <w:r w:rsidR="000159A6">
        <w:t xml:space="preserve"> </w:t>
      </w:r>
      <w:r w:rsidRPr="005C0A6F">
        <w:t>UL</w:t>
      </w:r>
      <w:r w:rsidR="000159A6">
        <w:t xml:space="preserve"> </w:t>
      </w:r>
      <w:r w:rsidRPr="005C0A6F">
        <w:t>of</w:t>
      </w:r>
      <w:r w:rsidR="000159A6">
        <w:t xml:space="preserve"> </w:t>
      </w:r>
      <w:r w:rsidRPr="005C0A6F">
        <w:t>the</w:t>
      </w:r>
      <w:r w:rsidR="000159A6">
        <w:t xml:space="preserve"> </w:t>
      </w:r>
      <w:r w:rsidRPr="005C0A6F">
        <w:t>97.5%</w:t>
      </w:r>
      <w:r w:rsidR="000159A6">
        <w:t xml:space="preserve"> </w:t>
      </w:r>
      <w:r w:rsidRPr="005C0A6F">
        <w:t>CI</w:t>
      </w:r>
      <w:r w:rsidR="000159A6">
        <w:t xml:space="preserve"> </w:t>
      </w:r>
      <w:r w:rsidR="0037169B">
        <w:t>&lt;</w:t>
      </w:r>
      <w:r w:rsidR="000159A6">
        <w:t xml:space="preserve"> </w:t>
      </w:r>
      <w:r w:rsidRPr="005C0A6F">
        <w:t>1.5)</w:t>
      </w:r>
      <w:r w:rsidR="00FF12AA">
        <w:t>.</w:t>
      </w:r>
    </w:p>
    <w:p w14:paraId="1C48A2A4" w14:textId="75065664" w:rsidR="005C0A6F" w:rsidRDefault="005C0A6F" w:rsidP="00440509">
      <w:r w:rsidRPr="005C0A6F">
        <w:t>Nonetheless,</w:t>
      </w:r>
      <w:r w:rsidR="000159A6">
        <w:t xml:space="preserve"> </w:t>
      </w:r>
      <w:r w:rsidRPr="005C0A6F">
        <w:t>due</w:t>
      </w:r>
      <w:r w:rsidR="000159A6">
        <w:t xml:space="preserve"> </w:t>
      </w:r>
      <w:r w:rsidRPr="005C0A6F">
        <w:t>to</w:t>
      </w:r>
      <w:r w:rsidR="000159A6">
        <w:t xml:space="preserve"> </w:t>
      </w:r>
      <w:r w:rsidRPr="005C0A6F">
        <w:t>the</w:t>
      </w:r>
      <w:r w:rsidR="000159A6">
        <w:t xml:space="preserve"> </w:t>
      </w:r>
      <w:r w:rsidRPr="005C0A6F">
        <w:t>lack</w:t>
      </w:r>
      <w:r w:rsidR="000159A6">
        <w:t xml:space="preserve"> </w:t>
      </w:r>
      <w:r w:rsidRPr="005C0A6F">
        <w:t>of</w:t>
      </w:r>
      <w:r w:rsidR="000159A6">
        <w:t xml:space="preserve"> </w:t>
      </w:r>
      <w:r w:rsidRPr="005C0A6F">
        <w:t>correlates</w:t>
      </w:r>
      <w:r w:rsidR="000159A6">
        <w:t xml:space="preserve"> </w:t>
      </w:r>
      <w:r w:rsidRPr="005C0A6F">
        <w:t>of</w:t>
      </w:r>
      <w:r w:rsidR="000159A6">
        <w:t xml:space="preserve"> </w:t>
      </w:r>
      <w:r w:rsidRPr="005C0A6F">
        <w:t>protection</w:t>
      </w:r>
      <w:r w:rsidR="000159A6">
        <w:t xml:space="preserve"> </w:t>
      </w:r>
      <w:r w:rsidRPr="005C0A6F">
        <w:t>and</w:t>
      </w:r>
      <w:r w:rsidR="000159A6">
        <w:t xml:space="preserve"> </w:t>
      </w:r>
      <w:r w:rsidRPr="005C0A6F">
        <w:t>lack</w:t>
      </w:r>
      <w:r w:rsidR="000159A6">
        <w:t xml:space="preserve"> </w:t>
      </w:r>
      <w:r w:rsidRPr="005C0A6F">
        <w:t>of</w:t>
      </w:r>
      <w:r w:rsidR="000159A6">
        <w:t xml:space="preserve"> </w:t>
      </w:r>
      <w:r w:rsidRPr="005C0A6F">
        <w:t>CMI</w:t>
      </w:r>
      <w:r w:rsidR="000159A6">
        <w:t xml:space="preserve"> </w:t>
      </w:r>
      <w:r w:rsidRPr="005C0A6F">
        <w:t>data,</w:t>
      </w:r>
      <w:r w:rsidR="000159A6">
        <w:t xml:space="preserve"> </w:t>
      </w:r>
      <w:r w:rsidRPr="005C0A6F">
        <w:t>the</w:t>
      </w:r>
      <w:r w:rsidR="000159A6">
        <w:t xml:space="preserve"> </w:t>
      </w:r>
      <w:r w:rsidRPr="005C0A6F">
        <w:t>0</w:t>
      </w:r>
      <w:r w:rsidR="000159A6">
        <w:t xml:space="preserve"> </w:t>
      </w:r>
      <w:r w:rsidR="0048276A">
        <w:t>and</w:t>
      </w:r>
      <w:r w:rsidR="000159A6">
        <w:t xml:space="preserve"> </w:t>
      </w:r>
      <w:r w:rsidRPr="005C0A6F">
        <w:t>6</w:t>
      </w:r>
      <w:r w:rsidR="000159A6">
        <w:t xml:space="preserve"> </w:t>
      </w:r>
      <w:r w:rsidRPr="005C0A6F">
        <w:t>month</w:t>
      </w:r>
      <w:r w:rsidR="000159A6">
        <w:t xml:space="preserve"> </w:t>
      </w:r>
      <w:r w:rsidRPr="005C0A6F">
        <w:t>schedule</w:t>
      </w:r>
      <w:r w:rsidR="000159A6">
        <w:t xml:space="preserve"> </w:t>
      </w:r>
      <w:r w:rsidRPr="005C0A6F">
        <w:t>is</w:t>
      </w:r>
      <w:r w:rsidR="000159A6">
        <w:t xml:space="preserve"> </w:t>
      </w:r>
      <w:r w:rsidRPr="005C0A6F">
        <w:t>not</w:t>
      </w:r>
      <w:r w:rsidR="000159A6">
        <w:t xml:space="preserve"> </w:t>
      </w:r>
      <w:r w:rsidRPr="005C0A6F">
        <w:t>supported</w:t>
      </w:r>
      <w:r w:rsidR="000159A6">
        <w:t xml:space="preserve"> </w:t>
      </w:r>
      <w:r w:rsidRPr="005C0A6F">
        <w:t>by</w:t>
      </w:r>
      <w:r w:rsidR="000159A6">
        <w:t xml:space="preserve"> </w:t>
      </w:r>
      <w:r w:rsidRPr="005C0A6F">
        <w:t>the</w:t>
      </w:r>
      <w:r w:rsidR="000159A6">
        <w:t xml:space="preserve"> </w:t>
      </w:r>
      <w:r w:rsidRPr="005C0A6F">
        <w:t>clinical</w:t>
      </w:r>
      <w:r w:rsidR="000159A6">
        <w:t xml:space="preserve"> </w:t>
      </w:r>
      <w:r w:rsidRPr="005C0A6F">
        <w:t>evaluator.</w:t>
      </w:r>
      <w:r w:rsidR="000159A6">
        <w:t xml:space="preserve"> </w:t>
      </w:r>
      <w:r w:rsidRPr="005C0A6F">
        <w:t>The</w:t>
      </w:r>
      <w:r w:rsidR="000159A6">
        <w:t xml:space="preserve"> </w:t>
      </w:r>
      <w:r w:rsidRPr="005C0A6F">
        <w:t>0</w:t>
      </w:r>
      <w:r w:rsidR="000159A6">
        <w:t xml:space="preserve"> </w:t>
      </w:r>
      <w:r w:rsidR="0048276A">
        <w:t>and</w:t>
      </w:r>
      <w:r w:rsidR="000159A6">
        <w:t xml:space="preserve"> </w:t>
      </w:r>
      <w:r w:rsidRPr="005C0A6F">
        <w:t>12</w:t>
      </w:r>
      <w:r w:rsidR="000159A6">
        <w:t xml:space="preserve"> </w:t>
      </w:r>
      <w:r w:rsidRPr="005C0A6F">
        <w:t>month</w:t>
      </w:r>
      <w:r w:rsidR="000159A6">
        <w:t xml:space="preserve"> </w:t>
      </w:r>
      <w:r w:rsidRPr="005C0A6F">
        <w:t>schedule</w:t>
      </w:r>
      <w:r w:rsidR="000159A6">
        <w:t xml:space="preserve"> </w:t>
      </w:r>
      <w:r w:rsidRPr="005C0A6F">
        <w:t>did</w:t>
      </w:r>
      <w:r w:rsidR="000159A6">
        <w:t xml:space="preserve"> </w:t>
      </w:r>
      <w:r w:rsidRPr="005C0A6F">
        <w:t>not</w:t>
      </w:r>
      <w:r w:rsidR="000159A6">
        <w:t xml:space="preserve"> </w:t>
      </w:r>
      <w:r w:rsidRPr="005C0A6F">
        <w:t>meet</w:t>
      </w:r>
      <w:r w:rsidR="000159A6">
        <w:t xml:space="preserve"> </w:t>
      </w:r>
      <w:r w:rsidRPr="005C0A6F">
        <w:t>non-inferiority</w:t>
      </w:r>
      <w:r w:rsidR="000159A6">
        <w:t xml:space="preserve"> </w:t>
      </w:r>
      <w:r w:rsidRPr="005C0A6F">
        <w:t>criteria.</w:t>
      </w:r>
    </w:p>
    <w:p w14:paraId="12E914FA" w14:textId="77777777" w:rsidR="005C0A6F" w:rsidRPr="00E021B7" w:rsidRDefault="0037169B" w:rsidP="00440509">
      <w:pPr>
        <w:pStyle w:val="Heading5"/>
      </w:pPr>
      <w:r w:rsidRPr="00440509">
        <w:t>StudyZOSTER</w:t>
      </w:r>
      <w:r w:rsidR="005C0A6F" w:rsidRPr="00E021B7">
        <w:t>-032</w:t>
      </w:r>
    </w:p>
    <w:p w14:paraId="26536C85" w14:textId="5FE6290D" w:rsidR="005C0A6F" w:rsidRDefault="005C0A6F" w:rsidP="005C0A6F">
      <w:r>
        <w:t>S</w:t>
      </w:r>
      <w:r w:rsidRPr="005C0A6F">
        <w:t>ubcutaneous</w:t>
      </w:r>
      <w:r w:rsidR="000159A6">
        <w:t xml:space="preserve"> </w:t>
      </w:r>
      <w:r w:rsidRPr="005C0A6F">
        <w:t>administration</w:t>
      </w:r>
      <w:r w:rsidR="000159A6">
        <w:t xml:space="preserve"> </w:t>
      </w:r>
      <w:r w:rsidRPr="005C0A6F">
        <w:t>was</w:t>
      </w:r>
      <w:r w:rsidR="000159A6">
        <w:t xml:space="preserve"> </w:t>
      </w:r>
      <w:r w:rsidRPr="005C0A6F">
        <w:t>associated</w:t>
      </w:r>
      <w:r w:rsidR="000159A6">
        <w:t xml:space="preserve"> </w:t>
      </w:r>
      <w:r w:rsidRPr="005C0A6F">
        <w:t>with</w:t>
      </w:r>
      <w:r w:rsidR="000159A6">
        <w:t xml:space="preserve"> </w:t>
      </w:r>
      <w:r w:rsidRPr="005C0A6F">
        <w:t>high</w:t>
      </w:r>
      <w:r w:rsidR="000159A6">
        <w:t xml:space="preserve"> </w:t>
      </w:r>
      <w:r w:rsidRPr="005C0A6F">
        <w:t>local</w:t>
      </w:r>
      <w:r w:rsidR="000159A6">
        <w:t xml:space="preserve"> </w:t>
      </w:r>
      <w:r w:rsidRPr="005C0A6F">
        <w:t>reactogenicity</w:t>
      </w:r>
      <w:r w:rsidR="000159A6">
        <w:t xml:space="preserve"> </w:t>
      </w:r>
      <w:r w:rsidRPr="005C0A6F">
        <w:t>and</w:t>
      </w:r>
      <w:r w:rsidR="000159A6">
        <w:t xml:space="preserve"> </w:t>
      </w:r>
      <w:r w:rsidRPr="005C0A6F">
        <w:t>development</w:t>
      </w:r>
      <w:r w:rsidR="000159A6">
        <w:t xml:space="preserve"> </w:t>
      </w:r>
      <w:r w:rsidRPr="005C0A6F">
        <w:t>was</w:t>
      </w:r>
      <w:r w:rsidR="000159A6">
        <w:t xml:space="preserve"> </w:t>
      </w:r>
      <w:r w:rsidRPr="005C0A6F">
        <w:t>ceased.</w:t>
      </w:r>
      <w:r w:rsidR="000159A6">
        <w:t xml:space="preserve"> </w:t>
      </w:r>
      <w:r w:rsidRPr="005C0A6F">
        <w:t>IM</w:t>
      </w:r>
      <w:r w:rsidR="000159A6">
        <w:t xml:space="preserve"> </w:t>
      </w:r>
      <w:r w:rsidRPr="005C0A6F">
        <w:t>route</w:t>
      </w:r>
      <w:r w:rsidR="000159A6">
        <w:t xml:space="preserve"> </w:t>
      </w:r>
      <w:r w:rsidRPr="005C0A6F">
        <w:t>was</w:t>
      </w:r>
      <w:r w:rsidR="000159A6">
        <w:t xml:space="preserve"> </w:t>
      </w:r>
      <w:r w:rsidRPr="005C0A6F">
        <w:t>selected.</w:t>
      </w:r>
    </w:p>
    <w:p w14:paraId="5913D6EA" w14:textId="0139AE47" w:rsidR="005C0A6F" w:rsidRDefault="005C0A6F" w:rsidP="00440509">
      <w:r w:rsidRPr="005C0A6F">
        <w:t>Based</w:t>
      </w:r>
      <w:r w:rsidR="000159A6">
        <w:t xml:space="preserve"> </w:t>
      </w:r>
      <w:r w:rsidRPr="005C0A6F">
        <w:t>on</w:t>
      </w:r>
      <w:r w:rsidR="000159A6">
        <w:t xml:space="preserve"> </w:t>
      </w:r>
      <w:r w:rsidRPr="005C0A6F">
        <w:t>the</w:t>
      </w:r>
      <w:r w:rsidR="000159A6">
        <w:t xml:space="preserve"> </w:t>
      </w:r>
      <w:r w:rsidRPr="005C0A6F">
        <w:t>above</w:t>
      </w:r>
      <w:r w:rsidR="000159A6">
        <w:t xml:space="preserve"> </w:t>
      </w:r>
      <w:r w:rsidRPr="005C0A6F">
        <w:t>data,</w:t>
      </w:r>
      <w:r w:rsidR="000159A6">
        <w:t xml:space="preserve"> </w:t>
      </w:r>
      <w:r w:rsidRPr="005C0A6F">
        <w:t>the</w:t>
      </w:r>
      <w:r w:rsidR="000159A6">
        <w:t xml:space="preserve"> </w:t>
      </w:r>
      <w:r w:rsidRPr="005C0A6F">
        <w:t>clinical</w:t>
      </w:r>
      <w:r w:rsidR="000159A6">
        <w:t xml:space="preserve"> </w:t>
      </w:r>
      <w:r w:rsidRPr="005C0A6F">
        <w:t>evaluator</w:t>
      </w:r>
      <w:r w:rsidR="000159A6">
        <w:t xml:space="preserve"> </w:t>
      </w:r>
      <w:r w:rsidRPr="005C0A6F">
        <w:t>considers</w:t>
      </w:r>
      <w:r w:rsidR="000159A6">
        <w:t xml:space="preserve"> </w:t>
      </w:r>
      <w:r w:rsidRPr="005C0A6F">
        <w:t>the</w:t>
      </w:r>
      <w:r w:rsidR="000159A6">
        <w:t xml:space="preserve"> </w:t>
      </w:r>
      <w:r w:rsidRPr="005C0A6F">
        <w:t>selected</w:t>
      </w:r>
      <w:r w:rsidR="000159A6">
        <w:t xml:space="preserve"> </w:t>
      </w:r>
      <w:r w:rsidRPr="005C0A6F">
        <w:t>dosing</w:t>
      </w:r>
      <w:r w:rsidR="000159A6">
        <w:t xml:space="preserve"> </w:t>
      </w:r>
      <w:r w:rsidRPr="005C0A6F">
        <w:t>schedule/</w:t>
      </w:r>
      <w:r w:rsidR="000159A6">
        <w:t xml:space="preserve"> </w:t>
      </w:r>
      <w:r w:rsidRPr="005C0A6F">
        <w:t>route</w:t>
      </w:r>
      <w:r w:rsidR="000159A6">
        <w:t xml:space="preserve"> </w:t>
      </w:r>
      <w:r w:rsidRPr="005C0A6F">
        <w:t>for</w:t>
      </w:r>
      <w:r w:rsidR="000159A6">
        <w:t xml:space="preserve"> </w:t>
      </w:r>
      <w:r w:rsidRPr="005C0A6F">
        <w:t>use</w:t>
      </w:r>
      <w:r w:rsidR="000159A6">
        <w:t xml:space="preserve"> </w:t>
      </w:r>
      <w:r w:rsidRPr="005C0A6F">
        <w:t>in</w:t>
      </w:r>
      <w:r w:rsidR="000159A6">
        <w:t xml:space="preserve"> </w:t>
      </w:r>
      <w:r w:rsidRPr="005C0A6F">
        <w:t>Phase</w:t>
      </w:r>
      <w:r w:rsidR="000159A6">
        <w:t xml:space="preserve"> </w:t>
      </w:r>
      <w:r w:rsidRPr="005C0A6F">
        <w:t>III</w:t>
      </w:r>
      <w:r w:rsidR="000159A6">
        <w:t xml:space="preserve"> </w:t>
      </w:r>
      <w:r w:rsidRPr="005C0A6F">
        <w:t>program</w:t>
      </w:r>
      <w:r w:rsidR="000159A6">
        <w:t xml:space="preserve"> </w:t>
      </w:r>
      <w:r w:rsidRPr="005C0A6F">
        <w:t>are</w:t>
      </w:r>
      <w:r w:rsidR="000159A6">
        <w:t xml:space="preserve"> </w:t>
      </w:r>
      <w:r w:rsidRPr="005C0A6F">
        <w:t>justified:</w:t>
      </w:r>
      <w:r w:rsidR="000159A6">
        <w:t xml:space="preserve"> </w:t>
      </w:r>
      <w:r w:rsidRPr="005C0A6F">
        <w:t>two</w:t>
      </w:r>
      <w:r w:rsidR="000159A6">
        <w:t xml:space="preserve"> </w:t>
      </w:r>
      <w:r w:rsidRPr="005C0A6F">
        <w:t>doses</w:t>
      </w:r>
      <w:r w:rsidR="000159A6">
        <w:t xml:space="preserve"> </w:t>
      </w:r>
      <w:r w:rsidRPr="005C0A6F">
        <w:t>of</w:t>
      </w:r>
      <w:r w:rsidR="000159A6">
        <w:t xml:space="preserve"> </w:t>
      </w:r>
      <w:r w:rsidRPr="005C0A6F">
        <w:t>HZ/</w:t>
      </w:r>
      <w:proofErr w:type="spellStart"/>
      <w:r w:rsidRPr="005C0A6F">
        <w:t>su</w:t>
      </w:r>
      <w:proofErr w:type="spellEnd"/>
      <w:r w:rsidRPr="005C0A6F">
        <w:t>,</w:t>
      </w:r>
      <w:r w:rsidR="000159A6">
        <w:t xml:space="preserve"> </w:t>
      </w:r>
      <w:r w:rsidRPr="005C0A6F">
        <w:t>IM</w:t>
      </w:r>
      <w:r w:rsidR="000159A6">
        <w:t xml:space="preserve"> </w:t>
      </w:r>
      <w:r w:rsidRPr="005C0A6F">
        <w:t>injection,</w:t>
      </w:r>
      <w:r w:rsidR="000159A6">
        <w:t xml:space="preserve"> </w:t>
      </w:r>
      <w:r w:rsidRPr="005C0A6F">
        <w:t>two</w:t>
      </w:r>
      <w:r w:rsidR="000159A6">
        <w:t xml:space="preserve"> </w:t>
      </w:r>
      <w:r w:rsidRPr="005C0A6F">
        <w:t>months</w:t>
      </w:r>
      <w:r w:rsidR="000159A6">
        <w:t xml:space="preserve"> </w:t>
      </w:r>
      <w:r w:rsidRPr="005C0A6F">
        <w:t>apart.</w:t>
      </w:r>
    </w:p>
    <w:p w14:paraId="1E4634E2" w14:textId="77777777" w:rsidR="0037169B" w:rsidRPr="00E021B7" w:rsidRDefault="0037169B" w:rsidP="00E021B7">
      <w:pPr>
        <w:pStyle w:val="Heading4"/>
      </w:pPr>
      <w:r w:rsidRPr="00E021B7">
        <w:t>Efficacy</w:t>
      </w:r>
    </w:p>
    <w:p w14:paraId="6D17F991" w14:textId="55D1466C" w:rsidR="005C0A6F" w:rsidRPr="00E021B7" w:rsidRDefault="005C0A6F" w:rsidP="00440509">
      <w:pPr>
        <w:pStyle w:val="Heading5"/>
      </w:pPr>
      <w:r w:rsidRPr="00E021B7">
        <w:t>Pivotal</w:t>
      </w:r>
      <w:r w:rsidR="000159A6" w:rsidRPr="00E021B7">
        <w:t xml:space="preserve"> </w:t>
      </w:r>
      <w:r w:rsidRPr="00E021B7">
        <w:t>stu</w:t>
      </w:r>
      <w:r w:rsidR="0037169B" w:rsidRPr="00E021B7">
        <w:t>dies</w:t>
      </w:r>
      <w:r w:rsidR="000159A6" w:rsidRPr="00E021B7">
        <w:t xml:space="preserve"> </w:t>
      </w:r>
      <w:r w:rsidR="0037169B" w:rsidRPr="00440509">
        <w:t>assessing</w:t>
      </w:r>
      <w:r w:rsidR="000159A6" w:rsidRPr="00E021B7">
        <w:t xml:space="preserve"> </w:t>
      </w:r>
      <w:r w:rsidR="0037169B" w:rsidRPr="00E021B7">
        <w:t>vaccine</w:t>
      </w:r>
      <w:r w:rsidR="000159A6" w:rsidRPr="00E021B7">
        <w:t xml:space="preserve"> </w:t>
      </w:r>
      <w:r w:rsidR="0037169B" w:rsidRPr="00E021B7">
        <w:t>efficacy</w:t>
      </w:r>
    </w:p>
    <w:p w14:paraId="2DA46BBD" w14:textId="1D14AB27" w:rsidR="005C0A6F" w:rsidRDefault="005C0A6F" w:rsidP="00440509">
      <w:r w:rsidRPr="005C0A6F">
        <w:t>The</w:t>
      </w:r>
      <w:r w:rsidR="000159A6">
        <w:t xml:space="preserve"> </w:t>
      </w:r>
      <w:r w:rsidRPr="005C0A6F">
        <w:t>assessment</w:t>
      </w:r>
      <w:r w:rsidR="000159A6">
        <w:t xml:space="preserve"> </w:t>
      </w:r>
      <w:r w:rsidRPr="005C0A6F">
        <w:t>of</w:t>
      </w:r>
      <w:r w:rsidR="000159A6">
        <w:t xml:space="preserve"> </w:t>
      </w:r>
      <w:r w:rsidRPr="005C0A6F">
        <w:t>VE</w:t>
      </w:r>
      <w:r w:rsidR="000159A6">
        <w:t xml:space="preserve"> </w:t>
      </w:r>
      <w:r w:rsidRPr="005C0A6F">
        <w:t>was</w:t>
      </w:r>
      <w:r w:rsidR="000159A6">
        <w:t xml:space="preserve"> </w:t>
      </w:r>
      <w:r w:rsidRPr="005C0A6F">
        <w:t>based</w:t>
      </w:r>
      <w:r w:rsidR="000159A6">
        <w:t xml:space="preserve"> </w:t>
      </w:r>
      <w:r w:rsidRPr="005C0A6F">
        <w:t>on</w:t>
      </w:r>
      <w:r w:rsidR="000159A6">
        <w:t xml:space="preserve"> </w:t>
      </w:r>
      <w:r w:rsidRPr="005C0A6F">
        <w:t>two</w:t>
      </w:r>
      <w:r w:rsidR="000159A6">
        <w:t xml:space="preserve"> </w:t>
      </w:r>
      <w:r w:rsidRPr="005C0A6F">
        <w:t>pivotal</w:t>
      </w:r>
      <w:r w:rsidR="000159A6">
        <w:t xml:space="preserve"> </w:t>
      </w:r>
      <w:r w:rsidRPr="005C0A6F">
        <w:t>Phase</w:t>
      </w:r>
      <w:r w:rsidR="000159A6">
        <w:t xml:space="preserve"> </w:t>
      </w:r>
      <w:r w:rsidRPr="005C0A6F">
        <w:t>III</w:t>
      </w:r>
      <w:r w:rsidR="000159A6">
        <w:t xml:space="preserve"> </w:t>
      </w:r>
      <w:r w:rsidRPr="005C0A6F">
        <w:t>studies:</w:t>
      </w:r>
      <w:r w:rsidR="000159A6">
        <w:t xml:space="preserve"> </w:t>
      </w:r>
      <w:r w:rsidR="0037169B">
        <w:t>Studies</w:t>
      </w:r>
      <w:r w:rsidR="000159A6">
        <w:t xml:space="preserve"> </w:t>
      </w:r>
      <w:r w:rsidR="0037169B">
        <w:t>ZOSTER</w:t>
      </w:r>
      <w:r w:rsidRPr="005C0A6F">
        <w:t>-006</w:t>
      </w:r>
      <w:r w:rsidR="000159A6">
        <w:t xml:space="preserve"> </w:t>
      </w:r>
      <w:r w:rsidRPr="005C0A6F">
        <w:t>and</w:t>
      </w:r>
      <w:r w:rsidR="000159A6">
        <w:t xml:space="preserve"> </w:t>
      </w:r>
      <w:r w:rsidR="0037169B">
        <w:t>ZOSTER</w:t>
      </w:r>
      <w:r w:rsidRPr="005C0A6F">
        <w:t>-022.</w:t>
      </w:r>
      <w:r w:rsidR="000159A6">
        <w:t xml:space="preserve"> </w:t>
      </w:r>
      <w:r w:rsidRPr="005C0A6F">
        <w:t>These</w:t>
      </w:r>
      <w:r w:rsidR="000159A6">
        <w:t xml:space="preserve"> </w:t>
      </w:r>
      <w:r w:rsidRPr="005C0A6F">
        <w:t>were</w:t>
      </w:r>
      <w:r w:rsidR="000159A6">
        <w:t xml:space="preserve"> </w:t>
      </w:r>
      <w:r w:rsidRPr="005C0A6F">
        <w:t>large</w:t>
      </w:r>
      <w:r w:rsidR="000159A6">
        <w:t xml:space="preserve"> </w:t>
      </w:r>
      <w:r w:rsidRPr="005C0A6F">
        <w:t>scale,</w:t>
      </w:r>
      <w:r w:rsidR="000159A6">
        <w:t xml:space="preserve"> </w:t>
      </w:r>
      <w:r w:rsidRPr="005C0A6F">
        <w:t>randomised,</w:t>
      </w:r>
      <w:r w:rsidR="000159A6">
        <w:t xml:space="preserve"> </w:t>
      </w:r>
      <w:r w:rsidRPr="005C0A6F">
        <w:t>observer</w:t>
      </w:r>
      <w:r w:rsidR="000159A6">
        <w:t xml:space="preserve"> </w:t>
      </w:r>
      <w:r w:rsidRPr="005C0A6F">
        <w:t>blind,</w:t>
      </w:r>
      <w:r w:rsidR="000159A6">
        <w:t xml:space="preserve"> </w:t>
      </w:r>
      <w:r w:rsidRPr="005C0A6F">
        <w:t>placebo</w:t>
      </w:r>
      <w:r w:rsidR="000159A6">
        <w:t xml:space="preserve"> </w:t>
      </w:r>
      <w:r w:rsidRPr="005C0A6F">
        <w:t>controlled,</w:t>
      </w:r>
      <w:r w:rsidR="000159A6">
        <w:t xml:space="preserve"> </w:t>
      </w:r>
      <w:r w:rsidRPr="005C0A6F">
        <w:t>multicentre</w:t>
      </w:r>
      <w:r w:rsidR="000159A6">
        <w:t xml:space="preserve"> </w:t>
      </w:r>
      <w:r w:rsidRPr="005C0A6F">
        <w:t>studies.</w:t>
      </w:r>
      <w:r w:rsidR="000159A6">
        <w:t xml:space="preserve"> </w:t>
      </w:r>
      <w:r w:rsidRPr="005C0A6F">
        <w:t>The</w:t>
      </w:r>
      <w:r w:rsidR="000159A6">
        <w:t xml:space="preserve"> </w:t>
      </w:r>
      <w:r w:rsidRPr="005C0A6F">
        <w:t>primary</w:t>
      </w:r>
      <w:r w:rsidR="000159A6">
        <w:t xml:space="preserve"> </w:t>
      </w:r>
      <w:r w:rsidRPr="005C0A6F">
        <w:t>objective</w:t>
      </w:r>
      <w:r w:rsidR="000159A6">
        <w:t xml:space="preserve"> </w:t>
      </w:r>
      <w:r w:rsidRPr="005C0A6F">
        <w:t>of</w:t>
      </w:r>
      <w:r w:rsidR="000159A6">
        <w:t xml:space="preserve"> </w:t>
      </w:r>
      <w:r w:rsidRPr="005C0A6F">
        <w:t>the</w:t>
      </w:r>
      <w:r w:rsidR="000159A6">
        <w:t xml:space="preserve"> </w:t>
      </w:r>
      <w:r w:rsidRPr="005C0A6F">
        <w:t>studies</w:t>
      </w:r>
      <w:r w:rsidR="000159A6">
        <w:t xml:space="preserve"> </w:t>
      </w:r>
      <w:r w:rsidRPr="005C0A6F">
        <w:t>was</w:t>
      </w:r>
      <w:r w:rsidR="000159A6">
        <w:t xml:space="preserve"> </w:t>
      </w:r>
      <w:r w:rsidRPr="005C0A6F">
        <w:t>to</w:t>
      </w:r>
      <w:r w:rsidR="000159A6">
        <w:t xml:space="preserve"> </w:t>
      </w:r>
      <w:r w:rsidRPr="005C0A6F">
        <w:t>evaluate</w:t>
      </w:r>
      <w:r w:rsidR="000159A6">
        <w:t xml:space="preserve"> </w:t>
      </w:r>
      <w:r w:rsidRPr="005C0A6F">
        <w:t>VE</w:t>
      </w:r>
      <w:r w:rsidR="000159A6">
        <w:t xml:space="preserve"> </w:t>
      </w:r>
      <w:r w:rsidRPr="005C0A6F">
        <w:t>compared</w:t>
      </w:r>
      <w:r w:rsidR="000159A6">
        <w:t xml:space="preserve"> </w:t>
      </w:r>
      <w:r w:rsidRPr="005C0A6F">
        <w:t>to</w:t>
      </w:r>
      <w:r w:rsidR="000159A6">
        <w:t xml:space="preserve"> </w:t>
      </w:r>
      <w:r w:rsidRPr="005C0A6F">
        <w:t>placebo</w:t>
      </w:r>
      <w:r w:rsidR="000159A6">
        <w:t xml:space="preserve"> </w:t>
      </w:r>
      <w:r w:rsidRPr="005C0A6F">
        <w:t>in</w:t>
      </w:r>
      <w:r w:rsidR="000159A6">
        <w:t xml:space="preserve"> </w:t>
      </w:r>
      <w:r w:rsidRPr="005C0A6F">
        <w:t>preventing</w:t>
      </w:r>
      <w:r w:rsidR="000159A6">
        <w:t xml:space="preserve"> </w:t>
      </w:r>
      <w:r w:rsidRPr="005C0A6F">
        <w:t>HZ</w:t>
      </w:r>
      <w:r w:rsidR="000159A6">
        <w:t xml:space="preserve"> </w:t>
      </w:r>
      <w:r w:rsidRPr="005C0A6F">
        <w:t>in</w:t>
      </w:r>
      <w:r w:rsidR="000159A6">
        <w:t xml:space="preserve"> </w:t>
      </w:r>
      <w:proofErr w:type="gramStart"/>
      <w:r w:rsidRPr="005C0A6F">
        <w:t>adults</w:t>
      </w:r>
      <w:proofErr w:type="gramEnd"/>
      <w:r w:rsidR="000159A6">
        <w:t xml:space="preserve"> </w:t>
      </w:r>
      <w:r w:rsidR="0037169B">
        <w:t>≥</w:t>
      </w:r>
      <w:r w:rsidR="000159A6">
        <w:t xml:space="preserve"> </w:t>
      </w:r>
      <w:r w:rsidRPr="005C0A6F">
        <w:t>50</w:t>
      </w:r>
      <w:r w:rsidR="000159A6">
        <w:t xml:space="preserve"> </w:t>
      </w:r>
      <w:r w:rsidRPr="005C0A6F">
        <w:t>and</w:t>
      </w:r>
      <w:r w:rsidR="000159A6">
        <w:t xml:space="preserve"> </w:t>
      </w:r>
      <w:r w:rsidR="0037169B">
        <w:t>≥</w:t>
      </w:r>
      <w:r w:rsidR="000159A6">
        <w:t xml:space="preserve"> </w:t>
      </w:r>
      <w:r w:rsidRPr="005C0A6F">
        <w:t>70</w:t>
      </w:r>
      <w:r w:rsidR="000159A6">
        <w:t xml:space="preserve"> </w:t>
      </w:r>
      <w:r w:rsidRPr="005C0A6F">
        <w:t>years</w:t>
      </w:r>
      <w:r w:rsidR="000159A6">
        <w:t xml:space="preserve"> </w:t>
      </w:r>
      <w:r w:rsidRPr="005C0A6F">
        <w:t>of</w:t>
      </w:r>
      <w:r w:rsidR="000159A6">
        <w:t xml:space="preserve"> </w:t>
      </w:r>
      <w:r w:rsidRPr="005C0A6F">
        <w:t>age,</w:t>
      </w:r>
      <w:r w:rsidR="000159A6">
        <w:t xml:space="preserve"> </w:t>
      </w:r>
      <w:r w:rsidRPr="005C0A6F">
        <w:t>respectively.</w:t>
      </w:r>
      <w:r w:rsidR="000159A6">
        <w:t xml:space="preserve"> </w:t>
      </w:r>
      <w:r w:rsidRPr="005C0A6F">
        <w:t>Both</w:t>
      </w:r>
      <w:r w:rsidR="000159A6">
        <w:t xml:space="preserve"> </w:t>
      </w:r>
      <w:r w:rsidRPr="005C0A6F">
        <w:t>studies</w:t>
      </w:r>
      <w:r w:rsidR="000159A6">
        <w:t xml:space="preserve"> </w:t>
      </w:r>
      <w:r w:rsidRPr="005C0A6F">
        <w:t>had</w:t>
      </w:r>
      <w:r w:rsidR="000159A6">
        <w:t xml:space="preserve"> </w:t>
      </w:r>
      <w:r w:rsidRPr="005C0A6F">
        <w:t>the</w:t>
      </w:r>
      <w:r w:rsidR="000159A6">
        <w:t xml:space="preserve"> </w:t>
      </w:r>
      <w:r w:rsidRPr="005C0A6F">
        <w:t>same</w:t>
      </w:r>
      <w:r w:rsidR="000159A6">
        <w:t xml:space="preserve"> </w:t>
      </w:r>
      <w:r w:rsidRPr="005C0A6F">
        <w:t>design</w:t>
      </w:r>
      <w:r w:rsidR="000159A6">
        <w:t xml:space="preserve"> </w:t>
      </w:r>
      <w:r w:rsidRPr="005C0A6F">
        <w:t>and</w:t>
      </w:r>
      <w:r w:rsidR="000159A6">
        <w:t xml:space="preserve"> </w:t>
      </w:r>
      <w:r w:rsidRPr="005C0A6F">
        <w:t>subjects</w:t>
      </w:r>
      <w:r w:rsidR="000159A6">
        <w:t xml:space="preserve"> </w:t>
      </w:r>
      <w:r w:rsidRPr="005C0A6F">
        <w:t>were</w:t>
      </w:r>
      <w:r w:rsidR="000159A6">
        <w:t xml:space="preserve"> </w:t>
      </w:r>
      <w:r w:rsidRPr="005C0A6F">
        <w:t>randomised</w:t>
      </w:r>
      <w:r w:rsidR="000159A6">
        <w:t xml:space="preserve"> </w:t>
      </w:r>
      <w:r w:rsidRPr="005C0A6F">
        <w:t>to</w:t>
      </w:r>
      <w:r w:rsidR="000159A6">
        <w:t xml:space="preserve"> </w:t>
      </w:r>
      <w:r w:rsidRPr="005C0A6F">
        <w:t>receive</w:t>
      </w:r>
      <w:r w:rsidR="000159A6">
        <w:t xml:space="preserve"> </w:t>
      </w:r>
      <w:r w:rsidRPr="005C0A6F">
        <w:t>two</w:t>
      </w:r>
      <w:r w:rsidR="000159A6">
        <w:t xml:space="preserve"> </w:t>
      </w:r>
      <w:r w:rsidRPr="005C0A6F">
        <w:t>doses</w:t>
      </w:r>
      <w:r w:rsidR="000159A6">
        <w:t xml:space="preserve"> </w:t>
      </w:r>
      <w:r w:rsidRPr="005C0A6F">
        <w:t>of</w:t>
      </w:r>
      <w:r w:rsidR="000159A6">
        <w:t xml:space="preserve"> </w:t>
      </w:r>
      <w:r w:rsidRPr="005C0A6F">
        <w:t>IM</w:t>
      </w:r>
      <w:r w:rsidR="000159A6">
        <w:t xml:space="preserve"> </w:t>
      </w:r>
      <w:proofErr w:type="spellStart"/>
      <w:r w:rsidRPr="005C0A6F">
        <w:t>Shingrix</w:t>
      </w:r>
      <w:proofErr w:type="spellEnd"/>
      <w:r w:rsidR="000159A6">
        <w:t xml:space="preserve"> </w:t>
      </w:r>
      <w:r w:rsidRPr="005C0A6F">
        <w:t>(HZ/</w:t>
      </w:r>
      <w:proofErr w:type="spellStart"/>
      <w:r w:rsidRPr="005C0A6F">
        <w:t>su</w:t>
      </w:r>
      <w:proofErr w:type="spellEnd"/>
      <w:r w:rsidRPr="005C0A6F">
        <w:t>)</w:t>
      </w:r>
      <w:r w:rsidR="000159A6">
        <w:t xml:space="preserve"> </w:t>
      </w:r>
      <w:r w:rsidRPr="005C0A6F">
        <w:t>or</w:t>
      </w:r>
      <w:r w:rsidR="000159A6">
        <w:t xml:space="preserve"> </w:t>
      </w:r>
      <w:r w:rsidRPr="005C0A6F">
        <w:t>saline</w:t>
      </w:r>
      <w:r w:rsidR="000159A6">
        <w:t xml:space="preserve"> </w:t>
      </w:r>
      <w:r w:rsidRPr="005C0A6F">
        <w:t>placebo</w:t>
      </w:r>
      <w:r w:rsidR="000159A6">
        <w:t xml:space="preserve"> </w:t>
      </w:r>
      <w:r w:rsidRPr="005C0A6F">
        <w:t>two</w:t>
      </w:r>
      <w:r w:rsidR="000159A6">
        <w:t xml:space="preserve"> </w:t>
      </w:r>
      <w:r w:rsidRPr="005C0A6F">
        <w:t>months</w:t>
      </w:r>
      <w:r w:rsidR="000159A6">
        <w:t xml:space="preserve"> </w:t>
      </w:r>
      <w:r w:rsidRPr="005C0A6F">
        <w:t>apart.</w:t>
      </w:r>
      <w:r w:rsidR="000159A6">
        <w:t xml:space="preserve"> </w:t>
      </w:r>
      <w:r w:rsidRPr="005C0A6F">
        <w:t>Stratification</w:t>
      </w:r>
      <w:r w:rsidR="000159A6">
        <w:t xml:space="preserve"> </w:t>
      </w:r>
      <w:r w:rsidRPr="005C0A6F">
        <w:t>by</w:t>
      </w:r>
      <w:r w:rsidR="000159A6">
        <w:t xml:space="preserve"> </w:t>
      </w:r>
      <w:r w:rsidRPr="005C0A6F">
        <w:t>age</w:t>
      </w:r>
      <w:r w:rsidR="000159A6">
        <w:t xml:space="preserve"> </w:t>
      </w:r>
      <w:r w:rsidRPr="005C0A6F">
        <w:t>was</w:t>
      </w:r>
      <w:r w:rsidR="000159A6">
        <w:t xml:space="preserve"> </w:t>
      </w:r>
      <w:r w:rsidRPr="005C0A6F">
        <w:t>undertaken</w:t>
      </w:r>
      <w:r w:rsidR="000159A6">
        <w:t xml:space="preserve"> </w:t>
      </w:r>
      <w:r w:rsidRPr="005C0A6F">
        <w:t>to</w:t>
      </w:r>
      <w:r w:rsidR="000159A6">
        <w:t xml:space="preserve"> </w:t>
      </w:r>
      <w:r w:rsidRPr="005C0A6F">
        <w:t>achieve</w:t>
      </w:r>
      <w:r w:rsidR="000159A6">
        <w:t xml:space="preserve"> </w:t>
      </w:r>
      <w:r w:rsidRPr="005C0A6F">
        <w:t>comparable</w:t>
      </w:r>
      <w:r w:rsidR="000159A6">
        <w:t xml:space="preserve"> </w:t>
      </w:r>
      <w:r w:rsidRPr="005C0A6F">
        <w:t>numbers</w:t>
      </w:r>
      <w:r w:rsidR="000159A6">
        <w:t xml:space="preserve"> </w:t>
      </w:r>
      <w:r w:rsidRPr="005C0A6F">
        <w:t>of</w:t>
      </w:r>
      <w:r w:rsidR="000159A6">
        <w:t xml:space="preserve"> </w:t>
      </w:r>
      <w:r w:rsidRPr="005C0A6F">
        <w:t>HZ</w:t>
      </w:r>
      <w:r w:rsidR="000159A6">
        <w:t xml:space="preserve"> </w:t>
      </w:r>
      <w:r w:rsidRPr="005C0A6F">
        <w:t>cases</w:t>
      </w:r>
      <w:r w:rsidR="000159A6">
        <w:t xml:space="preserve"> </w:t>
      </w:r>
      <w:r w:rsidRPr="005C0A6F">
        <w:t>i</w:t>
      </w:r>
      <w:r w:rsidR="0037169B">
        <w:t>n</w:t>
      </w:r>
      <w:r w:rsidR="000159A6">
        <w:t xml:space="preserve"> </w:t>
      </w:r>
      <w:r w:rsidR="0037169B">
        <w:t>the</w:t>
      </w:r>
      <w:r w:rsidR="000159A6">
        <w:t xml:space="preserve"> </w:t>
      </w:r>
      <w:r w:rsidR="0037169B">
        <w:t>three</w:t>
      </w:r>
      <w:r w:rsidR="000159A6">
        <w:t xml:space="preserve"> </w:t>
      </w:r>
      <w:r w:rsidR="0037169B">
        <w:t>main</w:t>
      </w:r>
      <w:r w:rsidR="000159A6">
        <w:t xml:space="preserve"> </w:t>
      </w:r>
      <w:r w:rsidR="0037169B">
        <w:t>age</w:t>
      </w:r>
      <w:r w:rsidR="000159A6">
        <w:t xml:space="preserve"> </w:t>
      </w:r>
      <w:r w:rsidR="0037169B">
        <w:t>strata</w:t>
      </w:r>
      <w:r w:rsidR="000159A6">
        <w:t xml:space="preserve"> </w:t>
      </w:r>
      <w:r w:rsidR="0037169B">
        <w:t>(50</w:t>
      </w:r>
      <w:r w:rsidR="000159A6">
        <w:t xml:space="preserve"> </w:t>
      </w:r>
      <w:r w:rsidR="0037169B">
        <w:t>to</w:t>
      </w:r>
      <w:r w:rsidR="000159A6">
        <w:t xml:space="preserve"> </w:t>
      </w:r>
      <w:r w:rsidRPr="005C0A6F">
        <w:t>59</w:t>
      </w:r>
      <w:r w:rsidR="000159A6">
        <w:t xml:space="preserve"> </w:t>
      </w:r>
      <w:r w:rsidR="0037169B">
        <w:t>years</w:t>
      </w:r>
      <w:r w:rsidR="000159A6">
        <w:t xml:space="preserve"> </w:t>
      </w:r>
      <w:r w:rsidR="0037169B">
        <w:t>of</w:t>
      </w:r>
      <w:r w:rsidR="000159A6">
        <w:t xml:space="preserve"> </w:t>
      </w:r>
      <w:r w:rsidR="0037169B">
        <w:t>age</w:t>
      </w:r>
      <w:r w:rsidRPr="005C0A6F">
        <w:t>,</w:t>
      </w:r>
      <w:r w:rsidR="000159A6">
        <w:t xml:space="preserve"> </w:t>
      </w:r>
      <w:r w:rsidR="0037169B">
        <w:t>60</w:t>
      </w:r>
      <w:r w:rsidR="000159A6">
        <w:t xml:space="preserve"> </w:t>
      </w:r>
      <w:r w:rsidR="0037169B">
        <w:t>to</w:t>
      </w:r>
      <w:r w:rsidR="000159A6">
        <w:t xml:space="preserve"> </w:t>
      </w:r>
      <w:r w:rsidR="0037169B">
        <w:t>69</w:t>
      </w:r>
      <w:r w:rsidR="000159A6">
        <w:t xml:space="preserve"> </w:t>
      </w:r>
      <w:r w:rsidR="0037169B">
        <w:t>years</w:t>
      </w:r>
      <w:r w:rsidR="000159A6">
        <w:t xml:space="preserve"> </w:t>
      </w:r>
      <w:r w:rsidR="0037169B">
        <w:t>of</w:t>
      </w:r>
      <w:r w:rsidR="000159A6">
        <w:t xml:space="preserve"> </w:t>
      </w:r>
      <w:r w:rsidR="0037169B">
        <w:t>age</w:t>
      </w:r>
      <w:r w:rsidRPr="005C0A6F">
        <w:t>,</w:t>
      </w:r>
      <w:r w:rsidR="000159A6">
        <w:t xml:space="preserve"> </w:t>
      </w:r>
      <w:r w:rsidR="0037169B">
        <w:t>≥</w:t>
      </w:r>
      <w:r w:rsidR="000159A6">
        <w:t xml:space="preserve"> </w:t>
      </w:r>
      <w:r w:rsidRPr="005C0A6F">
        <w:t>70</w:t>
      </w:r>
      <w:r w:rsidR="000159A6">
        <w:t xml:space="preserve"> </w:t>
      </w:r>
      <w:r w:rsidR="0037169B">
        <w:t>years</w:t>
      </w:r>
      <w:r w:rsidR="000159A6">
        <w:t xml:space="preserve"> </w:t>
      </w:r>
      <w:r w:rsidR="0037169B">
        <w:t>of</w:t>
      </w:r>
      <w:r w:rsidR="000159A6">
        <w:t xml:space="preserve"> </w:t>
      </w:r>
      <w:r w:rsidR="0037169B">
        <w:t>age</w:t>
      </w:r>
      <w:r w:rsidRPr="005C0A6F">
        <w:t>).</w:t>
      </w:r>
    </w:p>
    <w:p w14:paraId="7088970C" w14:textId="6F02A53C" w:rsidR="00FF12AA" w:rsidRDefault="005C0A6F" w:rsidP="005C0A6F">
      <w:r w:rsidRPr="005C0A6F">
        <w:t>Eligibility</w:t>
      </w:r>
      <w:r w:rsidR="000159A6">
        <w:t xml:space="preserve"> </w:t>
      </w:r>
      <w:r w:rsidRPr="005C0A6F">
        <w:t>criteria</w:t>
      </w:r>
      <w:r w:rsidR="000159A6">
        <w:t xml:space="preserve"> </w:t>
      </w:r>
      <w:r w:rsidRPr="005C0A6F">
        <w:t>for</w:t>
      </w:r>
      <w:r w:rsidR="000159A6">
        <w:t xml:space="preserve"> </w:t>
      </w:r>
      <w:r w:rsidRPr="005C0A6F">
        <w:t>enrolment</w:t>
      </w:r>
      <w:r w:rsidR="000159A6">
        <w:t xml:space="preserve"> </w:t>
      </w:r>
      <w:r w:rsidRPr="005C0A6F">
        <w:t>were</w:t>
      </w:r>
      <w:r w:rsidR="000159A6">
        <w:t xml:space="preserve"> </w:t>
      </w:r>
      <w:r w:rsidRPr="005C0A6F">
        <w:t>detailed</w:t>
      </w:r>
      <w:r w:rsidR="000159A6">
        <w:t xml:space="preserve"> </w:t>
      </w:r>
      <w:r w:rsidRPr="005C0A6F">
        <w:t>in</w:t>
      </w:r>
      <w:r w:rsidR="000159A6">
        <w:t xml:space="preserve"> </w:t>
      </w:r>
      <w:r w:rsidRPr="005C0A6F">
        <w:t>the</w:t>
      </w:r>
      <w:r w:rsidR="000159A6">
        <w:t xml:space="preserve"> </w:t>
      </w:r>
      <w:r w:rsidRPr="005C0A6F">
        <w:t>CER.</w:t>
      </w:r>
      <w:r w:rsidR="000159A6">
        <w:t xml:space="preserve"> </w:t>
      </w:r>
      <w:r w:rsidRPr="005C0A6F">
        <w:t>It</w:t>
      </w:r>
      <w:r w:rsidR="000159A6">
        <w:t xml:space="preserve"> </w:t>
      </w:r>
      <w:r w:rsidRPr="005C0A6F">
        <w:t>is</w:t>
      </w:r>
      <w:r w:rsidR="000159A6">
        <w:t xml:space="preserve"> </w:t>
      </w:r>
      <w:r w:rsidRPr="005C0A6F">
        <w:t>noted</w:t>
      </w:r>
      <w:r w:rsidR="000159A6">
        <w:t xml:space="preserve"> </w:t>
      </w:r>
      <w:r w:rsidRPr="005C0A6F">
        <w:t>that</w:t>
      </w:r>
      <w:r w:rsidR="000159A6">
        <w:t xml:space="preserve"> </w:t>
      </w:r>
      <w:r w:rsidRPr="005C0A6F">
        <w:t>the</w:t>
      </w:r>
      <w:r w:rsidR="000159A6">
        <w:t xml:space="preserve"> </w:t>
      </w:r>
      <w:r w:rsidRPr="005C0A6F">
        <w:t>studies</w:t>
      </w:r>
      <w:r w:rsidR="000159A6">
        <w:t xml:space="preserve"> </w:t>
      </w:r>
      <w:r w:rsidRPr="005C0A6F">
        <w:t>excluded,</w:t>
      </w:r>
      <w:r w:rsidR="000159A6">
        <w:t xml:space="preserve"> </w:t>
      </w:r>
      <w:r w:rsidRPr="005C0A6F">
        <w:t>among</w:t>
      </w:r>
      <w:r w:rsidR="000159A6">
        <w:t xml:space="preserve"> </w:t>
      </w:r>
      <w:r w:rsidRPr="005C0A6F">
        <w:t>other,</w:t>
      </w:r>
      <w:r w:rsidR="000159A6">
        <w:t xml:space="preserve"> </w:t>
      </w:r>
      <w:r w:rsidRPr="005C0A6F">
        <w:t>subjects</w:t>
      </w:r>
      <w:r w:rsidR="000159A6">
        <w:t xml:space="preserve"> </w:t>
      </w:r>
      <w:r w:rsidRPr="005C0A6F">
        <w:t>who</w:t>
      </w:r>
      <w:r w:rsidR="000159A6">
        <w:t xml:space="preserve"> </w:t>
      </w:r>
      <w:r w:rsidRPr="005C0A6F">
        <w:t>were</w:t>
      </w:r>
      <w:r w:rsidR="000159A6">
        <w:t xml:space="preserve"> </w:t>
      </w:r>
      <w:r w:rsidRPr="005C0A6F">
        <w:t>immunocompromised,</w:t>
      </w:r>
      <w:r w:rsidR="000159A6">
        <w:t xml:space="preserve"> </w:t>
      </w:r>
      <w:r w:rsidRPr="005C0A6F">
        <w:t>had</w:t>
      </w:r>
      <w:r w:rsidR="000159A6">
        <w:t xml:space="preserve"> </w:t>
      </w:r>
      <w:r w:rsidRPr="005C0A6F">
        <w:t>a</w:t>
      </w:r>
      <w:r w:rsidR="000159A6">
        <w:t xml:space="preserve"> </w:t>
      </w:r>
      <w:r w:rsidRPr="005C0A6F">
        <w:t>his</w:t>
      </w:r>
      <w:r w:rsidRPr="00440509">
        <w:t>t</w:t>
      </w:r>
      <w:r w:rsidRPr="005C0A6F">
        <w:t>ory</w:t>
      </w:r>
      <w:r w:rsidR="000159A6">
        <w:t xml:space="preserve"> </w:t>
      </w:r>
      <w:r w:rsidRPr="005C0A6F">
        <w:t>of</w:t>
      </w:r>
      <w:r w:rsidR="000159A6">
        <w:t xml:space="preserve"> </w:t>
      </w:r>
      <w:r w:rsidRPr="005C0A6F">
        <w:t>prior</w:t>
      </w:r>
      <w:r w:rsidR="000159A6">
        <w:t xml:space="preserve"> </w:t>
      </w:r>
      <w:r w:rsidRPr="005C0A6F">
        <w:t>HZ,</w:t>
      </w:r>
      <w:r w:rsidR="000159A6">
        <w:t xml:space="preserve"> </w:t>
      </w:r>
      <w:r w:rsidRPr="005C0A6F">
        <w:t>and</w:t>
      </w:r>
      <w:r w:rsidR="000159A6">
        <w:t xml:space="preserve"> </w:t>
      </w:r>
      <w:r w:rsidRPr="005C0A6F">
        <w:t>had</w:t>
      </w:r>
      <w:r w:rsidR="000159A6">
        <w:t xml:space="preserve"> </w:t>
      </w:r>
      <w:r w:rsidRPr="005C0A6F">
        <w:t>prior</w:t>
      </w:r>
      <w:r w:rsidR="000159A6">
        <w:t xml:space="preserve"> </w:t>
      </w:r>
      <w:r w:rsidRPr="005C0A6F">
        <w:t>vaccination</w:t>
      </w:r>
      <w:r w:rsidR="000159A6">
        <w:t xml:space="preserve"> </w:t>
      </w:r>
      <w:r w:rsidRPr="005C0A6F">
        <w:t>against</w:t>
      </w:r>
      <w:r w:rsidR="000159A6">
        <w:t xml:space="preserve"> </w:t>
      </w:r>
      <w:r w:rsidRPr="005C0A6F">
        <w:t>HZ</w:t>
      </w:r>
      <w:r w:rsidR="000159A6">
        <w:t xml:space="preserve"> </w:t>
      </w:r>
      <w:r w:rsidRPr="005C0A6F">
        <w:t>or</w:t>
      </w:r>
      <w:r w:rsidR="000159A6">
        <w:t xml:space="preserve"> </w:t>
      </w:r>
      <w:r w:rsidRPr="005C0A6F">
        <w:t>varicella.</w:t>
      </w:r>
      <w:r w:rsidR="000159A6">
        <w:t xml:space="preserve"> </w:t>
      </w:r>
      <w:r w:rsidRPr="005C0A6F">
        <w:t>The</w:t>
      </w:r>
      <w:r w:rsidR="000159A6">
        <w:t xml:space="preserve"> </w:t>
      </w:r>
      <w:r w:rsidRPr="005C0A6F">
        <w:t>primary</w:t>
      </w:r>
      <w:r w:rsidR="000159A6">
        <w:t xml:space="preserve"> </w:t>
      </w:r>
      <w:r w:rsidRPr="005C0A6F">
        <w:t>endpoint</w:t>
      </w:r>
      <w:r w:rsidR="000159A6">
        <w:t xml:space="preserve"> </w:t>
      </w:r>
      <w:r w:rsidRPr="005C0A6F">
        <w:t>of</w:t>
      </w:r>
      <w:r w:rsidR="000159A6">
        <w:t xml:space="preserve"> </w:t>
      </w:r>
      <w:r w:rsidRPr="005C0A6F">
        <w:t>the</w:t>
      </w:r>
      <w:r w:rsidR="000159A6">
        <w:t xml:space="preserve"> </w:t>
      </w:r>
      <w:r w:rsidRPr="005C0A6F">
        <w:t>two</w:t>
      </w:r>
      <w:r w:rsidR="000159A6">
        <w:t xml:space="preserve"> </w:t>
      </w:r>
      <w:r w:rsidRPr="005C0A6F">
        <w:t>studies</w:t>
      </w:r>
      <w:r w:rsidR="000159A6">
        <w:t xml:space="preserve"> </w:t>
      </w:r>
      <w:r w:rsidRPr="005C0A6F">
        <w:t>was</w:t>
      </w:r>
      <w:r w:rsidR="000159A6">
        <w:t xml:space="preserve"> </w:t>
      </w:r>
      <w:r w:rsidRPr="005C0A6F">
        <w:t>incidence</w:t>
      </w:r>
      <w:r w:rsidR="000159A6">
        <w:t xml:space="preserve"> </w:t>
      </w:r>
      <w:r w:rsidRPr="005C0A6F">
        <w:t>of</w:t>
      </w:r>
      <w:r w:rsidR="000159A6">
        <w:t xml:space="preserve"> </w:t>
      </w:r>
      <w:r w:rsidRPr="005C0A6F">
        <w:t>HZ</w:t>
      </w:r>
      <w:r w:rsidR="000159A6">
        <w:t xml:space="preserve"> </w:t>
      </w:r>
      <w:r w:rsidRPr="005C0A6F">
        <w:t>cases</w:t>
      </w:r>
      <w:r w:rsidR="000159A6">
        <w:t xml:space="preserve"> </w:t>
      </w:r>
      <w:r w:rsidRPr="005C0A6F">
        <w:t>(confirmed</w:t>
      </w:r>
      <w:r w:rsidR="000159A6">
        <w:t xml:space="preserve"> </w:t>
      </w:r>
      <w:r w:rsidRPr="005C0A6F">
        <w:t>by</w:t>
      </w:r>
      <w:r w:rsidR="000159A6">
        <w:t xml:space="preserve"> </w:t>
      </w:r>
      <w:r w:rsidRPr="005C0A6F">
        <w:t>PCR)</w:t>
      </w:r>
      <w:r w:rsidR="000159A6">
        <w:t xml:space="preserve"> </w:t>
      </w:r>
      <w:r w:rsidRPr="005C0A6F">
        <w:t>in</w:t>
      </w:r>
      <w:r w:rsidR="000159A6">
        <w:t xml:space="preserve"> </w:t>
      </w:r>
      <w:r w:rsidRPr="005C0A6F">
        <w:t>the</w:t>
      </w:r>
      <w:r w:rsidR="000159A6">
        <w:t xml:space="preserve"> </w:t>
      </w:r>
      <w:r w:rsidRPr="005C0A6F">
        <w:t>modified</w:t>
      </w:r>
      <w:r w:rsidR="000159A6">
        <w:t xml:space="preserve"> </w:t>
      </w:r>
      <w:r w:rsidRPr="005C0A6F">
        <w:t>Total</w:t>
      </w:r>
      <w:r w:rsidR="000159A6">
        <w:t xml:space="preserve"> </w:t>
      </w:r>
      <w:r w:rsidRPr="005C0A6F">
        <w:t>Vaccinated</w:t>
      </w:r>
      <w:r w:rsidR="000159A6">
        <w:t xml:space="preserve"> </w:t>
      </w:r>
      <w:r w:rsidRPr="005C0A6F">
        <w:t>Cohort</w:t>
      </w:r>
      <w:r w:rsidR="000159A6">
        <w:t xml:space="preserve"> </w:t>
      </w:r>
      <w:r w:rsidRPr="005C0A6F">
        <w:t>(</w:t>
      </w:r>
      <w:proofErr w:type="spellStart"/>
      <w:r w:rsidRPr="005C0A6F">
        <w:t>mTVC</w:t>
      </w:r>
      <w:proofErr w:type="spellEnd"/>
      <w:r w:rsidRPr="005C0A6F">
        <w:t>).</w:t>
      </w:r>
      <w:r w:rsidR="000159A6">
        <w:t xml:space="preserve"> </w:t>
      </w:r>
      <w:r w:rsidRPr="005C0A6F">
        <w:t>All</w:t>
      </w:r>
      <w:r w:rsidR="000159A6">
        <w:t xml:space="preserve"> </w:t>
      </w:r>
      <w:r w:rsidRPr="005C0A6F">
        <w:t>suspected</w:t>
      </w:r>
      <w:r w:rsidR="000159A6">
        <w:t xml:space="preserve"> </w:t>
      </w:r>
      <w:r w:rsidRPr="005C0A6F">
        <w:t>HZ</w:t>
      </w:r>
      <w:r w:rsidR="000159A6">
        <w:t xml:space="preserve"> </w:t>
      </w:r>
      <w:r w:rsidRPr="005C0A6F">
        <w:t>cases</w:t>
      </w:r>
      <w:r w:rsidR="000159A6">
        <w:t xml:space="preserve"> </w:t>
      </w:r>
      <w:r w:rsidRPr="005C0A6F">
        <w:t>were</w:t>
      </w:r>
      <w:r w:rsidR="000159A6">
        <w:t xml:space="preserve"> </w:t>
      </w:r>
      <w:r w:rsidRPr="005C0A6F">
        <w:t>reviewed</w:t>
      </w:r>
      <w:r w:rsidR="000159A6">
        <w:t xml:space="preserve"> </w:t>
      </w:r>
      <w:r w:rsidRPr="005C0A6F">
        <w:t>by</w:t>
      </w:r>
      <w:r w:rsidR="000159A6">
        <w:t xml:space="preserve"> </w:t>
      </w:r>
      <w:r w:rsidRPr="005C0A6F">
        <w:t>a</w:t>
      </w:r>
      <w:r w:rsidR="000159A6">
        <w:t xml:space="preserve"> </w:t>
      </w:r>
      <w:r w:rsidRPr="005C0A6F">
        <w:t>blinded</w:t>
      </w:r>
      <w:r w:rsidR="000159A6">
        <w:t xml:space="preserve"> </w:t>
      </w:r>
      <w:r w:rsidRPr="005C0A6F">
        <w:t>HZ</w:t>
      </w:r>
      <w:r w:rsidR="000159A6">
        <w:t xml:space="preserve"> </w:t>
      </w:r>
      <w:r w:rsidRPr="005C0A6F">
        <w:t>Adjudication</w:t>
      </w:r>
      <w:r w:rsidR="000159A6">
        <w:t xml:space="preserve"> </w:t>
      </w:r>
      <w:r w:rsidRPr="005C0A6F">
        <w:t>Committee.</w:t>
      </w:r>
      <w:r w:rsidR="000159A6">
        <w:t xml:space="preserve"> </w:t>
      </w:r>
      <w:r w:rsidRPr="005C0A6F">
        <w:t>Incidence</w:t>
      </w:r>
      <w:r w:rsidR="000159A6">
        <w:t xml:space="preserve"> </w:t>
      </w:r>
      <w:r w:rsidRPr="005C0A6F">
        <w:t>of</w:t>
      </w:r>
      <w:r w:rsidR="000159A6">
        <w:t xml:space="preserve"> </w:t>
      </w:r>
      <w:r w:rsidRPr="005C0A6F">
        <w:t>PHN</w:t>
      </w:r>
      <w:r w:rsidR="000159A6">
        <w:t xml:space="preserve"> </w:t>
      </w:r>
      <w:r w:rsidRPr="005C0A6F">
        <w:t>was</w:t>
      </w:r>
      <w:r w:rsidR="000159A6">
        <w:t xml:space="preserve"> </w:t>
      </w:r>
      <w:r w:rsidRPr="005C0A6F">
        <w:t>a</w:t>
      </w:r>
      <w:r w:rsidR="000159A6">
        <w:t xml:space="preserve"> </w:t>
      </w:r>
      <w:r w:rsidRPr="005C0A6F">
        <w:t>secondary</w:t>
      </w:r>
      <w:r w:rsidR="000159A6">
        <w:t xml:space="preserve"> </w:t>
      </w:r>
      <w:r w:rsidRPr="005C0A6F">
        <w:t>endpoint</w:t>
      </w:r>
      <w:r w:rsidR="000159A6">
        <w:t xml:space="preserve"> </w:t>
      </w:r>
      <w:r w:rsidRPr="005C0A6F">
        <w:t>in</w:t>
      </w:r>
      <w:r w:rsidR="000159A6">
        <w:t xml:space="preserve"> </w:t>
      </w:r>
      <w:r w:rsidRPr="005C0A6F">
        <w:t>the</w:t>
      </w:r>
      <w:r w:rsidR="000159A6">
        <w:t xml:space="preserve"> </w:t>
      </w:r>
      <w:r w:rsidRPr="005C0A6F">
        <w:t>individual</w:t>
      </w:r>
      <w:r w:rsidR="000159A6">
        <w:t xml:space="preserve"> </w:t>
      </w:r>
      <w:r w:rsidRPr="005C0A6F">
        <w:t>studies</w:t>
      </w:r>
      <w:r w:rsidR="000159A6">
        <w:t xml:space="preserve"> </w:t>
      </w:r>
      <w:r w:rsidRPr="005C0A6F">
        <w:t>but</w:t>
      </w:r>
      <w:r w:rsidR="000159A6">
        <w:t xml:space="preserve"> </w:t>
      </w:r>
      <w:r w:rsidRPr="005C0A6F">
        <w:t>for</w:t>
      </w:r>
      <w:r w:rsidR="000159A6">
        <w:t xml:space="preserve"> </w:t>
      </w:r>
      <w:r w:rsidRPr="005C0A6F">
        <w:t>those</w:t>
      </w:r>
      <w:r w:rsidR="000159A6">
        <w:t xml:space="preserve"> </w:t>
      </w:r>
      <w:r w:rsidRPr="005C0A6F">
        <w:t>aged</w:t>
      </w:r>
      <w:r w:rsidR="000159A6">
        <w:t xml:space="preserve"> </w:t>
      </w:r>
      <w:r w:rsidR="0037169B">
        <w:t>≥</w:t>
      </w:r>
      <w:r w:rsidR="000159A6">
        <w:t xml:space="preserve"> </w:t>
      </w:r>
      <w:r w:rsidRPr="005C0A6F">
        <w:t>70</w:t>
      </w:r>
      <w:r w:rsidR="000159A6">
        <w:t xml:space="preserve"> </w:t>
      </w:r>
      <w:r w:rsidRPr="005C0A6F">
        <w:t>years</w:t>
      </w:r>
      <w:r w:rsidR="000159A6">
        <w:t xml:space="preserve"> </w:t>
      </w:r>
      <w:r w:rsidRPr="005C0A6F">
        <w:t>was</w:t>
      </w:r>
      <w:r w:rsidR="000159A6">
        <w:t xml:space="preserve"> </w:t>
      </w:r>
      <w:r w:rsidRPr="005C0A6F">
        <w:t>a</w:t>
      </w:r>
      <w:r w:rsidR="000159A6">
        <w:t xml:space="preserve"> </w:t>
      </w:r>
      <w:r w:rsidRPr="005C0A6F">
        <w:t>primary</w:t>
      </w:r>
      <w:r w:rsidR="000159A6">
        <w:t xml:space="preserve"> </w:t>
      </w:r>
      <w:r w:rsidRPr="005C0A6F">
        <w:t>endpoint</w:t>
      </w:r>
      <w:r w:rsidR="000159A6">
        <w:t xml:space="preserve"> </w:t>
      </w:r>
      <w:r w:rsidRPr="005C0A6F">
        <w:t>in</w:t>
      </w:r>
      <w:r w:rsidR="000159A6">
        <w:t xml:space="preserve"> </w:t>
      </w:r>
      <w:r w:rsidRPr="005C0A6F">
        <w:t>the</w:t>
      </w:r>
      <w:r w:rsidR="000159A6">
        <w:t xml:space="preserve"> </w:t>
      </w:r>
      <w:r w:rsidRPr="005C0A6F">
        <w:t>pooled</w:t>
      </w:r>
      <w:r w:rsidR="000159A6">
        <w:t xml:space="preserve"> </w:t>
      </w:r>
      <w:r w:rsidRPr="005C0A6F">
        <w:t>analysis</w:t>
      </w:r>
      <w:r w:rsidR="000159A6">
        <w:t xml:space="preserve"> </w:t>
      </w:r>
      <w:r w:rsidRPr="005C0A6F">
        <w:t>of</w:t>
      </w:r>
      <w:r w:rsidR="000159A6">
        <w:t xml:space="preserve"> </w:t>
      </w:r>
      <w:r w:rsidRPr="005C0A6F">
        <w:t>the</w:t>
      </w:r>
      <w:r w:rsidR="000159A6">
        <w:t xml:space="preserve"> </w:t>
      </w:r>
      <w:r w:rsidRPr="005C0A6F">
        <w:t>two</w:t>
      </w:r>
      <w:r w:rsidR="000159A6">
        <w:t xml:space="preserve"> </w:t>
      </w:r>
      <w:r w:rsidRPr="005C0A6F">
        <w:t>studies</w:t>
      </w:r>
      <w:r w:rsidR="00FF12AA">
        <w:t>.</w:t>
      </w:r>
    </w:p>
    <w:p w14:paraId="38F4A619" w14:textId="2ED15447" w:rsidR="005C0A6F" w:rsidRDefault="005C0A6F" w:rsidP="00440509">
      <w:r w:rsidRPr="005C0A6F">
        <w:t>Efficacy</w:t>
      </w:r>
      <w:r w:rsidR="000159A6">
        <w:t xml:space="preserve"> </w:t>
      </w:r>
      <w:r w:rsidRPr="005C0A6F">
        <w:t>analysis</w:t>
      </w:r>
      <w:r w:rsidR="000159A6">
        <w:t xml:space="preserve"> </w:t>
      </w:r>
      <w:r w:rsidRPr="005C0A6F">
        <w:t>was</w:t>
      </w:r>
      <w:r w:rsidR="000159A6">
        <w:t xml:space="preserve"> </w:t>
      </w:r>
      <w:r w:rsidRPr="005C0A6F">
        <w:t>conducted</w:t>
      </w:r>
      <w:r w:rsidR="000159A6">
        <w:t xml:space="preserve"> </w:t>
      </w:r>
      <w:r w:rsidRPr="005C0A6F">
        <w:t>on</w:t>
      </w:r>
      <w:r w:rsidR="000159A6">
        <w:t xml:space="preserve"> </w:t>
      </w:r>
      <w:r w:rsidRPr="005C0A6F">
        <w:t>the</w:t>
      </w:r>
      <w:r w:rsidR="000159A6">
        <w:t xml:space="preserve"> </w:t>
      </w:r>
      <w:proofErr w:type="spellStart"/>
      <w:r w:rsidRPr="005C0A6F">
        <w:t>mTVC</w:t>
      </w:r>
      <w:proofErr w:type="spellEnd"/>
      <w:r w:rsidR="000159A6">
        <w:t xml:space="preserve"> </w:t>
      </w:r>
      <w:r w:rsidRPr="005C0A6F">
        <w:t>which</w:t>
      </w:r>
      <w:r w:rsidR="000159A6">
        <w:t xml:space="preserve"> </w:t>
      </w:r>
      <w:r w:rsidRPr="005C0A6F">
        <w:t>excluded</w:t>
      </w:r>
      <w:r w:rsidR="000159A6">
        <w:t xml:space="preserve"> </w:t>
      </w:r>
      <w:r w:rsidRPr="005C0A6F">
        <w:t>subjects</w:t>
      </w:r>
      <w:r w:rsidR="000159A6">
        <w:t xml:space="preserve"> </w:t>
      </w:r>
      <w:r w:rsidRPr="005C0A6F">
        <w:t>who</w:t>
      </w:r>
      <w:r w:rsidR="000159A6">
        <w:t xml:space="preserve"> </w:t>
      </w:r>
      <w:r w:rsidRPr="005C0A6F">
        <w:t>did</w:t>
      </w:r>
      <w:r w:rsidR="000159A6">
        <w:t xml:space="preserve"> </w:t>
      </w:r>
      <w:r w:rsidRPr="005C0A6F">
        <w:t>not</w:t>
      </w:r>
      <w:r w:rsidR="000159A6">
        <w:t xml:space="preserve"> </w:t>
      </w:r>
      <w:r w:rsidRPr="005C0A6F">
        <w:t>receive</w:t>
      </w:r>
      <w:r w:rsidR="000159A6">
        <w:t xml:space="preserve"> </w:t>
      </w:r>
      <w:r w:rsidRPr="005C0A6F">
        <w:t>the</w:t>
      </w:r>
      <w:r w:rsidR="000159A6">
        <w:t xml:space="preserve"> </w:t>
      </w:r>
      <w:r w:rsidRPr="005C0A6F">
        <w:t>2nd</w:t>
      </w:r>
      <w:r w:rsidR="000159A6">
        <w:t xml:space="preserve"> </w:t>
      </w:r>
      <w:r w:rsidRPr="005C0A6F">
        <w:t>dose</w:t>
      </w:r>
      <w:r w:rsidR="000159A6">
        <w:t xml:space="preserve"> </w:t>
      </w:r>
      <w:r w:rsidRPr="005C0A6F">
        <w:t>of</w:t>
      </w:r>
      <w:r w:rsidR="000159A6">
        <w:t xml:space="preserve"> </w:t>
      </w:r>
      <w:r w:rsidRPr="005C0A6F">
        <w:t>vaccine,</w:t>
      </w:r>
      <w:r w:rsidR="000159A6">
        <w:t xml:space="preserve"> </w:t>
      </w:r>
      <w:r w:rsidRPr="005C0A6F">
        <w:t>who</w:t>
      </w:r>
      <w:r w:rsidR="000159A6">
        <w:t xml:space="preserve"> </w:t>
      </w:r>
      <w:r w:rsidRPr="005C0A6F">
        <w:t>developed</w:t>
      </w:r>
      <w:r w:rsidR="000159A6">
        <w:t xml:space="preserve"> </w:t>
      </w:r>
      <w:r w:rsidRPr="005C0A6F">
        <w:t>confirmed</w:t>
      </w:r>
      <w:r w:rsidR="000159A6">
        <w:t xml:space="preserve"> </w:t>
      </w:r>
      <w:r w:rsidRPr="005C0A6F">
        <w:t>HZ</w:t>
      </w:r>
      <w:r w:rsidR="000159A6">
        <w:t xml:space="preserve"> </w:t>
      </w:r>
      <w:r w:rsidRPr="005C0A6F">
        <w:t>prior</w:t>
      </w:r>
      <w:r w:rsidR="000159A6">
        <w:t xml:space="preserve"> </w:t>
      </w:r>
      <w:r w:rsidRPr="005C0A6F">
        <w:t>to</w:t>
      </w:r>
      <w:r w:rsidR="000159A6">
        <w:t xml:space="preserve"> </w:t>
      </w:r>
      <w:r w:rsidRPr="005C0A6F">
        <w:t>30</w:t>
      </w:r>
      <w:r w:rsidR="000159A6">
        <w:t xml:space="preserve"> </w:t>
      </w:r>
      <w:r w:rsidRPr="005C0A6F">
        <w:t>days</w:t>
      </w:r>
      <w:r w:rsidR="000159A6">
        <w:t xml:space="preserve"> </w:t>
      </w:r>
      <w:r w:rsidRPr="005C0A6F">
        <w:t>post</w:t>
      </w:r>
      <w:r w:rsidR="000159A6">
        <w:t xml:space="preserve"> </w:t>
      </w:r>
      <w:r w:rsidRPr="005C0A6F">
        <w:t>second</w:t>
      </w:r>
      <w:r w:rsidR="000159A6">
        <w:t xml:space="preserve"> </w:t>
      </w:r>
      <w:r w:rsidRPr="005C0A6F">
        <w:t>vaccination,</w:t>
      </w:r>
      <w:r w:rsidR="000159A6">
        <w:t xml:space="preserve"> </w:t>
      </w:r>
      <w:r w:rsidRPr="005C0A6F">
        <w:t>or</w:t>
      </w:r>
      <w:r w:rsidR="000159A6">
        <w:t xml:space="preserve"> </w:t>
      </w:r>
      <w:r w:rsidRPr="005C0A6F">
        <w:t>who</w:t>
      </w:r>
      <w:r w:rsidR="000159A6">
        <w:t xml:space="preserve"> </w:t>
      </w:r>
      <w:r w:rsidRPr="005C0A6F">
        <w:t>did</w:t>
      </w:r>
      <w:r w:rsidR="000159A6">
        <w:t xml:space="preserve"> </w:t>
      </w:r>
      <w:r w:rsidRPr="005C0A6F">
        <w:t>not</w:t>
      </w:r>
      <w:r w:rsidR="000159A6">
        <w:t xml:space="preserve"> </w:t>
      </w:r>
      <w:r w:rsidRPr="005C0A6F">
        <w:t>receive</w:t>
      </w:r>
      <w:r w:rsidR="000159A6">
        <w:t xml:space="preserve"> </w:t>
      </w:r>
      <w:r w:rsidRPr="005C0A6F">
        <w:t>vaccine</w:t>
      </w:r>
      <w:r w:rsidR="000159A6">
        <w:t xml:space="preserve"> </w:t>
      </w:r>
      <w:r w:rsidRPr="005C0A6F">
        <w:t>according</w:t>
      </w:r>
      <w:r w:rsidR="000159A6">
        <w:t xml:space="preserve"> </w:t>
      </w:r>
      <w:r w:rsidRPr="005C0A6F">
        <w:t>to</w:t>
      </w:r>
      <w:r w:rsidR="000159A6">
        <w:t xml:space="preserve"> </w:t>
      </w:r>
      <w:r w:rsidRPr="005C0A6F">
        <w:t>the</w:t>
      </w:r>
      <w:r w:rsidR="000159A6">
        <w:t xml:space="preserve"> </w:t>
      </w:r>
      <w:r w:rsidRPr="005C0A6F">
        <w:t>protocol.</w:t>
      </w:r>
      <w:r w:rsidR="000159A6">
        <w:t xml:space="preserve"> </w:t>
      </w:r>
      <w:r w:rsidRPr="005C0A6F">
        <w:t>It</w:t>
      </w:r>
      <w:r w:rsidR="000159A6">
        <w:t xml:space="preserve"> </w:t>
      </w:r>
      <w:r w:rsidRPr="005C0A6F">
        <w:t>was,</w:t>
      </w:r>
      <w:r w:rsidR="000159A6">
        <w:t xml:space="preserve"> </w:t>
      </w:r>
      <w:r w:rsidRPr="005C0A6F">
        <w:t>however,</w:t>
      </w:r>
      <w:r w:rsidR="000159A6">
        <w:t xml:space="preserve"> </w:t>
      </w:r>
      <w:r w:rsidRPr="005C0A6F">
        <w:t>supported</w:t>
      </w:r>
      <w:r w:rsidR="000159A6">
        <w:t xml:space="preserve"> </w:t>
      </w:r>
      <w:r w:rsidRPr="005C0A6F">
        <w:t>by</w:t>
      </w:r>
      <w:r w:rsidR="000159A6">
        <w:t xml:space="preserve"> </w:t>
      </w:r>
      <w:r w:rsidRPr="005C0A6F">
        <w:t>the</w:t>
      </w:r>
      <w:r w:rsidR="000159A6">
        <w:t xml:space="preserve"> </w:t>
      </w:r>
      <w:r w:rsidRPr="005C0A6F">
        <w:t>TVC</w:t>
      </w:r>
      <w:r w:rsidR="000159A6">
        <w:t xml:space="preserve"> </w:t>
      </w:r>
      <w:r w:rsidRPr="005C0A6F">
        <w:t>analysis</w:t>
      </w:r>
      <w:r w:rsidR="000159A6">
        <w:t xml:space="preserve"> </w:t>
      </w:r>
      <w:r w:rsidRPr="005C0A6F">
        <w:t>which</w:t>
      </w:r>
      <w:r w:rsidR="000159A6">
        <w:t xml:space="preserve"> </w:t>
      </w:r>
      <w:r w:rsidRPr="005C0A6F">
        <w:t>included</w:t>
      </w:r>
      <w:r w:rsidR="000159A6">
        <w:t xml:space="preserve"> </w:t>
      </w:r>
      <w:r w:rsidRPr="005C0A6F">
        <w:t>subjects</w:t>
      </w:r>
      <w:r w:rsidR="000159A6">
        <w:t xml:space="preserve"> </w:t>
      </w:r>
      <w:r w:rsidRPr="005C0A6F">
        <w:t>who</w:t>
      </w:r>
      <w:r w:rsidR="000159A6">
        <w:t xml:space="preserve"> </w:t>
      </w:r>
      <w:r w:rsidRPr="005C0A6F">
        <w:t>may</w:t>
      </w:r>
      <w:r w:rsidR="000159A6">
        <w:t xml:space="preserve"> </w:t>
      </w:r>
      <w:r w:rsidRPr="005C0A6F">
        <w:t>have</w:t>
      </w:r>
      <w:r w:rsidR="000159A6">
        <w:t xml:space="preserve"> </w:t>
      </w:r>
      <w:r w:rsidRPr="005C0A6F">
        <w:t>only</w:t>
      </w:r>
      <w:r w:rsidR="000159A6">
        <w:t xml:space="preserve"> </w:t>
      </w:r>
      <w:r w:rsidRPr="005C0A6F">
        <w:t>received</w:t>
      </w:r>
      <w:r w:rsidR="000159A6">
        <w:t xml:space="preserve"> </w:t>
      </w:r>
      <w:r w:rsidRPr="005C0A6F">
        <w:t>one</w:t>
      </w:r>
      <w:r w:rsidR="000159A6">
        <w:t xml:space="preserve"> </w:t>
      </w:r>
      <w:r w:rsidRPr="005C0A6F">
        <w:t>dose</w:t>
      </w:r>
      <w:r w:rsidR="000159A6">
        <w:t xml:space="preserve"> </w:t>
      </w:r>
      <w:r w:rsidRPr="005C0A6F">
        <w:t>of</w:t>
      </w:r>
      <w:r w:rsidR="000159A6">
        <w:t xml:space="preserve"> </w:t>
      </w:r>
      <w:r w:rsidRPr="005C0A6F">
        <w:t>vaccine</w:t>
      </w:r>
      <w:r w:rsidR="000159A6">
        <w:t xml:space="preserve"> </w:t>
      </w:r>
      <w:r w:rsidRPr="005C0A6F">
        <w:t>which</w:t>
      </w:r>
      <w:r w:rsidR="000159A6">
        <w:t xml:space="preserve"> </w:t>
      </w:r>
      <w:r w:rsidRPr="005C0A6F">
        <w:t>is</w:t>
      </w:r>
      <w:r w:rsidR="000159A6">
        <w:t xml:space="preserve"> </w:t>
      </w:r>
      <w:r w:rsidRPr="005C0A6F">
        <w:t>of</w:t>
      </w:r>
      <w:r w:rsidR="000159A6">
        <w:t xml:space="preserve"> </w:t>
      </w:r>
      <w:r w:rsidRPr="005C0A6F">
        <w:t>clinical</w:t>
      </w:r>
      <w:r w:rsidR="000159A6">
        <w:t xml:space="preserve"> </w:t>
      </w:r>
      <w:r w:rsidRPr="005C0A6F">
        <w:t>relevance.</w:t>
      </w:r>
    </w:p>
    <w:p w14:paraId="7499F2C9" w14:textId="1FE349AA" w:rsidR="005C0A6F" w:rsidRPr="00E021B7" w:rsidRDefault="0037169B" w:rsidP="00440509">
      <w:pPr>
        <w:pStyle w:val="Heading5"/>
      </w:pPr>
      <w:bookmarkStart w:id="248" w:name="_Toc493837854"/>
      <w:r w:rsidRPr="00E021B7">
        <w:lastRenderedPageBreak/>
        <w:t>Vaccine</w:t>
      </w:r>
      <w:r w:rsidR="000159A6" w:rsidRPr="00E021B7">
        <w:t xml:space="preserve"> </w:t>
      </w:r>
      <w:r w:rsidRPr="00E021B7">
        <w:t>efficacy</w:t>
      </w:r>
      <w:r w:rsidR="000159A6" w:rsidRPr="00E021B7">
        <w:t xml:space="preserve"> </w:t>
      </w:r>
      <w:r w:rsidR="005C0A6F" w:rsidRPr="00E021B7">
        <w:t>against</w:t>
      </w:r>
      <w:r w:rsidR="000159A6" w:rsidRPr="00E021B7">
        <w:t xml:space="preserve"> </w:t>
      </w:r>
      <w:r w:rsidRPr="00E021B7">
        <w:t>Herpes</w:t>
      </w:r>
      <w:r w:rsidR="000159A6" w:rsidRPr="00E021B7">
        <w:t xml:space="preserve"> </w:t>
      </w:r>
      <w:r w:rsidRPr="00E021B7">
        <w:t>Zoster</w:t>
      </w:r>
      <w:r w:rsidR="000159A6" w:rsidRPr="00E021B7">
        <w:t xml:space="preserve"> </w:t>
      </w:r>
      <w:r w:rsidR="005C0A6F" w:rsidRPr="00E021B7">
        <w:t>(primary</w:t>
      </w:r>
      <w:r w:rsidR="000159A6" w:rsidRPr="00E021B7">
        <w:t xml:space="preserve"> </w:t>
      </w:r>
      <w:r w:rsidR="005C0A6F" w:rsidRPr="00E021B7">
        <w:t>efficacy</w:t>
      </w:r>
      <w:r w:rsidR="000159A6" w:rsidRPr="00E021B7">
        <w:t xml:space="preserve"> </w:t>
      </w:r>
      <w:r w:rsidR="005C0A6F" w:rsidRPr="00E021B7">
        <w:t>outcome</w:t>
      </w:r>
      <w:bookmarkEnd w:id="248"/>
      <w:r w:rsidR="005C0A6F" w:rsidRPr="00E021B7">
        <w:t>)</w:t>
      </w:r>
    </w:p>
    <w:p w14:paraId="52F41920" w14:textId="6FF2D9DB" w:rsidR="005C0A6F" w:rsidRPr="00E021B7" w:rsidRDefault="00525235" w:rsidP="00E021B7">
      <w:pPr>
        <w:pStyle w:val="Heading6"/>
      </w:pPr>
      <w:r w:rsidRPr="00E021B7">
        <w:t>Study</w:t>
      </w:r>
      <w:r w:rsidR="000159A6" w:rsidRPr="00E021B7">
        <w:t xml:space="preserve"> </w:t>
      </w:r>
      <w:r w:rsidRPr="00E021B7">
        <w:t>ZOSTER</w:t>
      </w:r>
      <w:r w:rsidR="005C0A6F" w:rsidRPr="00E021B7">
        <w:t>-006</w:t>
      </w:r>
    </w:p>
    <w:p w14:paraId="4205B183" w14:textId="5A182D3A" w:rsidR="005C0A6F" w:rsidRDefault="005C0A6F" w:rsidP="00440509">
      <w:r>
        <w:t>T</w:t>
      </w:r>
      <w:r w:rsidRPr="005C0A6F">
        <w:t>here</w:t>
      </w:r>
      <w:r w:rsidR="000159A6">
        <w:t xml:space="preserve"> </w:t>
      </w:r>
      <w:r w:rsidRPr="005C0A6F">
        <w:t>were</w:t>
      </w:r>
      <w:r w:rsidR="000159A6">
        <w:t xml:space="preserve"> </w:t>
      </w:r>
      <w:r w:rsidRPr="005C0A6F">
        <w:t>14</w:t>
      </w:r>
      <w:r w:rsidR="004715B4">
        <w:t>,</w:t>
      </w:r>
      <w:r w:rsidRPr="005C0A6F">
        <w:t>759</w:t>
      </w:r>
      <w:r w:rsidR="000159A6">
        <w:t xml:space="preserve"> </w:t>
      </w:r>
      <w:r w:rsidRPr="005C0A6F">
        <w:t>subjects</w:t>
      </w:r>
      <w:r w:rsidR="000159A6">
        <w:t xml:space="preserve"> </w:t>
      </w:r>
      <w:r w:rsidRPr="005C0A6F">
        <w:t>in</w:t>
      </w:r>
      <w:r w:rsidR="000159A6">
        <w:t xml:space="preserve"> </w:t>
      </w:r>
      <w:r w:rsidRPr="005C0A6F">
        <w:t>the</w:t>
      </w:r>
      <w:r w:rsidR="000159A6">
        <w:t xml:space="preserve"> </w:t>
      </w:r>
      <w:proofErr w:type="spellStart"/>
      <w:r w:rsidRPr="005C0A6F">
        <w:t>mTVC</w:t>
      </w:r>
      <w:proofErr w:type="spellEnd"/>
      <w:r w:rsidRPr="005C0A6F">
        <w:t>.</w:t>
      </w:r>
      <w:r w:rsidR="000159A6">
        <w:t xml:space="preserve"> </w:t>
      </w:r>
      <w:r w:rsidRPr="005C0A6F">
        <w:t>The</w:t>
      </w:r>
      <w:r w:rsidR="000159A6">
        <w:t xml:space="preserve"> </w:t>
      </w:r>
      <w:r w:rsidRPr="005C0A6F">
        <w:t>median</w:t>
      </w:r>
      <w:r w:rsidR="000159A6">
        <w:t xml:space="preserve"> </w:t>
      </w:r>
      <w:r w:rsidRPr="005C0A6F">
        <w:t>follow</w:t>
      </w:r>
      <w:r w:rsidR="000159A6">
        <w:t xml:space="preserve"> </w:t>
      </w:r>
      <w:r w:rsidRPr="005C0A6F">
        <w:t>up</w:t>
      </w:r>
      <w:r w:rsidR="000159A6">
        <w:t xml:space="preserve"> </w:t>
      </w:r>
      <w:r w:rsidRPr="005C0A6F">
        <w:t>time</w:t>
      </w:r>
      <w:r w:rsidR="000159A6">
        <w:t xml:space="preserve"> </w:t>
      </w:r>
      <w:r w:rsidRPr="005C0A6F">
        <w:t>was</w:t>
      </w:r>
      <w:r w:rsidR="000159A6">
        <w:t xml:space="preserve"> </w:t>
      </w:r>
      <w:r w:rsidRPr="005C0A6F">
        <w:t>3.1</w:t>
      </w:r>
      <w:r w:rsidR="000159A6">
        <w:t xml:space="preserve"> </w:t>
      </w:r>
      <w:r w:rsidRPr="005C0A6F">
        <w:t>years</w:t>
      </w:r>
      <w:r w:rsidR="000159A6">
        <w:t xml:space="preserve"> </w:t>
      </w:r>
      <w:r w:rsidRPr="005C0A6F">
        <w:t>at</w:t>
      </w:r>
      <w:r w:rsidR="000159A6">
        <w:t xml:space="preserve"> </w:t>
      </w:r>
      <w:r w:rsidRPr="005C0A6F">
        <w:t>the</w:t>
      </w:r>
      <w:r w:rsidR="000159A6">
        <w:t xml:space="preserve"> </w:t>
      </w:r>
      <w:r w:rsidRPr="005C0A6F">
        <w:t>first</w:t>
      </w:r>
      <w:r w:rsidR="000159A6">
        <w:t xml:space="preserve"> </w:t>
      </w:r>
      <w:r w:rsidRPr="005C0A6F">
        <w:t>HZ</w:t>
      </w:r>
      <w:r w:rsidR="000159A6">
        <w:t xml:space="preserve"> </w:t>
      </w:r>
      <w:r w:rsidRPr="005C0A6F">
        <w:t>analysis</w:t>
      </w:r>
      <w:r w:rsidR="000159A6">
        <w:t xml:space="preserve"> </w:t>
      </w:r>
      <w:r w:rsidRPr="005C0A6F">
        <w:t>and</w:t>
      </w:r>
      <w:r w:rsidR="000159A6">
        <w:t xml:space="preserve"> </w:t>
      </w:r>
      <w:r w:rsidRPr="005C0A6F">
        <w:t>4.1</w:t>
      </w:r>
      <w:r w:rsidR="000159A6">
        <w:t xml:space="preserve"> </w:t>
      </w:r>
      <w:r w:rsidRPr="005C0A6F">
        <w:t>years</w:t>
      </w:r>
      <w:r w:rsidR="000159A6">
        <w:t xml:space="preserve"> </w:t>
      </w:r>
      <w:r w:rsidRPr="005C0A6F">
        <w:t>at</w:t>
      </w:r>
      <w:r w:rsidR="000159A6">
        <w:t xml:space="preserve"> </w:t>
      </w:r>
      <w:r w:rsidRPr="005C0A6F">
        <w:t>the</w:t>
      </w:r>
      <w:r w:rsidR="000159A6">
        <w:t xml:space="preserve"> </w:t>
      </w:r>
      <w:r w:rsidRPr="005C0A6F">
        <w:t>end</w:t>
      </w:r>
      <w:r w:rsidR="000159A6">
        <w:t xml:space="preserve"> </w:t>
      </w:r>
      <w:r w:rsidRPr="005C0A6F">
        <w:t>of</w:t>
      </w:r>
      <w:r w:rsidR="000159A6">
        <w:t xml:space="preserve"> </w:t>
      </w:r>
      <w:r w:rsidRPr="005C0A6F">
        <w:t>study</w:t>
      </w:r>
      <w:r w:rsidR="000159A6">
        <w:t xml:space="preserve"> </w:t>
      </w:r>
      <w:r w:rsidRPr="005C0A6F">
        <w:t>HZ</w:t>
      </w:r>
      <w:r w:rsidR="000159A6">
        <w:t xml:space="preserve"> </w:t>
      </w:r>
      <w:r w:rsidRPr="005C0A6F">
        <w:t>and</w:t>
      </w:r>
      <w:r w:rsidR="000159A6">
        <w:t xml:space="preserve"> </w:t>
      </w:r>
      <w:r w:rsidRPr="005C0A6F">
        <w:t>PHN</w:t>
      </w:r>
      <w:r w:rsidR="000159A6">
        <w:t xml:space="preserve"> </w:t>
      </w:r>
      <w:r w:rsidRPr="005C0A6F">
        <w:t>analysis.</w:t>
      </w:r>
      <w:r w:rsidR="000159A6">
        <w:t xml:space="preserve"> </w:t>
      </w:r>
      <w:r w:rsidRPr="005C0A6F">
        <w:t>In</w:t>
      </w:r>
      <w:r w:rsidR="000159A6">
        <w:t xml:space="preserve"> </w:t>
      </w:r>
      <w:r w:rsidRPr="005C0A6F">
        <w:t>the</w:t>
      </w:r>
      <w:r w:rsidR="000159A6">
        <w:t xml:space="preserve"> </w:t>
      </w:r>
      <w:proofErr w:type="spellStart"/>
      <w:r w:rsidRPr="005C0A6F">
        <w:t>mTVC</w:t>
      </w:r>
      <w:proofErr w:type="spellEnd"/>
      <w:r w:rsidRPr="005C0A6F">
        <w:t>,</w:t>
      </w:r>
      <w:r w:rsidR="000159A6">
        <w:t xml:space="preserve"> </w:t>
      </w:r>
      <w:r w:rsidRPr="005C0A6F">
        <w:t>there</w:t>
      </w:r>
      <w:r w:rsidR="000159A6">
        <w:t xml:space="preserve"> </w:t>
      </w:r>
      <w:r w:rsidRPr="005C0A6F">
        <w:t>were</w:t>
      </w:r>
      <w:r w:rsidR="000159A6">
        <w:t xml:space="preserve"> </w:t>
      </w:r>
      <w:r w:rsidRPr="005C0A6F">
        <w:t>6</w:t>
      </w:r>
      <w:r w:rsidR="000159A6">
        <w:t xml:space="preserve"> </w:t>
      </w:r>
      <w:r w:rsidRPr="005C0A6F">
        <w:t>cases</w:t>
      </w:r>
      <w:r w:rsidR="000159A6">
        <w:t xml:space="preserve"> </w:t>
      </w:r>
      <w:r w:rsidRPr="005C0A6F">
        <w:t>of</w:t>
      </w:r>
      <w:r w:rsidR="000159A6">
        <w:t xml:space="preserve"> </w:t>
      </w:r>
      <w:r w:rsidRPr="005C0A6F">
        <w:t>confirmed</w:t>
      </w:r>
      <w:r w:rsidR="000159A6">
        <w:t xml:space="preserve"> </w:t>
      </w:r>
      <w:r w:rsidRPr="005C0A6F">
        <w:t>HZ</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Pr="005C0A6F">
        <w:t>and</w:t>
      </w:r>
      <w:r w:rsidR="000159A6">
        <w:t xml:space="preserve"> </w:t>
      </w:r>
      <w:r w:rsidRPr="005C0A6F">
        <w:t>210</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0159A6">
        <w:t xml:space="preserve"> </w:t>
      </w:r>
      <w:r w:rsidRPr="005C0A6F">
        <w:t>Confirmation</w:t>
      </w:r>
      <w:r w:rsidR="000159A6">
        <w:t xml:space="preserve"> </w:t>
      </w:r>
      <w:r w:rsidRPr="005C0A6F">
        <w:t>of</w:t>
      </w:r>
      <w:r w:rsidR="000159A6">
        <w:t xml:space="preserve"> </w:t>
      </w:r>
      <w:r w:rsidRPr="005C0A6F">
        <w:t>HZ</w:t>
      </w:r>
      <w:r w:rsidR="000159A6">
        <w:t xml:space="preserve"> </w:t>
      </w:r>
      <w:r w:rsidRPr="005C0A6F">
        <w:t>by</w:t>
      </w:r>
      <w:r w:rsidR="000159A6">
        <w:t xml:space="preserve"> </w:t>
      </w:r>
      <w:r w:rsidRPr="005C0A6F">
        <w:t>PCR</w:t>
      </w:r>
      <w:r w:rsidR="000159A6">
        <w:t xml:space="preserve"> </w:t>
      </w:r>
      <w:r w:rsidRPr="005C0A6F">
        <w:t>was</w:t>
      </w:r>
      <w:r w:rsidR="000159A6">
        <w:t xml:space="preserve"> </w:t>
      </w:r>
      <w:r w:rsidRPr="005C0A6F">
        <w:t>determined</w:t>
      </w:r>
      <w:r w:rsidR="000159A6">
        <w:t xml:space="preserve"> </w:t>
      </w:r>
      <w:r w:rsidRPr="005C0A6F">
        <w:t>in</w:t>
      </w:r>
      <w:r w:rsidR="000159A6">
        <w:t xml:space="preserve"> </w:t>
      </w:r>
      <w:r w:rsidRPr="005C0A6F">
        <w:t>4</w:t>
      </w:r>
      <w:r w:rsidR="000159A6">
        <w:t xml:space="preserve"> </w:t>
      </w:r>
      <w:r w:rsidRPr="005C0A6F">
        <w:t>of</w:t>
      </w:r>
      <w:r w:rsidR="000159A6">
        <w:t xml:space="preserve"> </w:t>
      </w:r>
      <w:r w:rsidRPr="005C0A6F">
        <w:t>the</w:t>
      </w:r>
      <w:r w:rsidR="000159A6">
        <w:t xml:space="preserve"> </w:t>
      </w:r>
      <w:r w:rsidRPr="005C0A6F">
        <w:t>6</w:t>
      </w:r>
      <w:r w:rsidR="000159A6">
        <w:t xml:space="preserve"> </w:t>
      </w:r>
      <w:r w:rsidRPr="005C0A6F">
        <w:t>cases</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Pr="005C0A6F">
        <w:t>and</w:t>
      </w:r>
      <w:r w:rsidR="000159A6">
        <w:t xml:space="preserve"> </w:t>
      </w:r>
      <w:r w:rsidRPr="005C0A6F">
        <w:t>189/210</w:t>
      </w:r>
      <w:r w:rsidR="000159A6">
        <w:t xml:space="preserve"> </w:t>
      </w:r>
      <w:r w:rsidRPr="005C0A6F">
        <w:t>of</w:t>
      </w:r>
      <w:r w:rsidR="000159A6">
        <w:t xml:space="preserve"> </w:t>
      </w:r>
      <w:r w:rsidRPr="005C0A6F">
        <w:t>the</w:t>
      </w:r>
      <w:r w:rsidR="000159A6">
        <w:t xml:space="preserve"> </w:t>
      </w:r>
      <w:r w:rsidRPr="005C0A6F">
        <w:t>placebo</w:t>
      </w:r>
      <w:r w:rsidR="000159A6">
        <w:t xml:space="preserve"> </w:t>
      </w:r>
      <w:r w:rsidRPr="005C0A6F">
        <w:t>group.</w:t>
      </w:r>
      <w:r w:rsidR="000159A6">
        <w:t xml:space="preserve"> </w:t>
      </w:r>
      <w:r w:rsidRPr="005C0A6F">
        <w:t>The</w:t>
      </w:r>
      <w:r w:rsidR="000159A6">
        <w:t xml:space="preserve"> </w:t>
      </w:r>
      <w:r w:rsidRPr="005C0A6F">
        <w:t>overall</w:t>
      </w:r>
      <w:r w:rsidR="000159A6">
        <w:t xml:space="preserve"> </w:t>
      </w:r>
      <w:r w:rsidRPr="005C0A6F">
        <w:t>HZ</w:t>
      </w:r>
      <w:r w:rsidR="000159A6">
        <w:t xml:space="preserve"> </w:t>
      </w:r>
      <w:r w:rsidRPr="005C0A6F">
        <w:t>incidence</w:t>
      </w:r>
      <w:r w:rsidR="000159A6">
        <w:t xml:space="preserve"> </w:t>
      </w:r>
      <w:r w:rsidRPr="005C0A6F">
        <w:t>per</w:t>
      </w:r>
      <w:r w:rsidR="000159A6">
        <w:t xml:space="preserve"> </w:t>
      </w:r>
      <w:r w:rsidRPr="005C0A6F">
        <w:t>1000</w:t>
      </w:r>
      <w:r w:rsidR="000159A6">
        <w:t xml:space="preserve"> </w:t>
      </w:r>
      <w:r w:rsidRPr="005C0A6F">
        <w:t>person-years</w:t>
      </w:r>
      <w:r w:rsidR="000159A6">
        <w:t xml:space="preserve"> </w:t>
      </w:r>
      <w:r w:rsidRPr="005C0A6F">
        <w:t>was</w:t>
      </w:r>
      <w:r w:rsidR="000159A6">
        <w:t xml:space="preserve"> </w:t>
      </w:r>
      <w:r w:rsidRPr="005C0A6F">
        <w:t>0.3</w:t>
      </w:r>
      <w:r w:rsidR="000159A6">
        <w:t xml:space="preserve"> </w:t>
      </w:r>
      <w:r w:rsidRPr="005C0A6F">
        <w:t>and</w:t>
      </w:r>
      <w:r w:rsidR="000159A6">
        <w:t xml:space="preserve"> </w:t>
      </w:r>
      <w:r w:rsidRPr="005C0A6F">
        <w:t>9.1</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and</w:t>
      </w:r>
      <w:r w:rsidR="000159A6">
        <w:t xml:space="preserve"> </w:t>
      </w:r>
      <w:r w:rsidRPr="005C0A6F">
        <w:t>placebo</w:t>
      </w:r>
      <w:r w:rsidR="000159A6">
        <w:t xml:space="preserve"> </w:t>
      </w:r>
      <w:r w:rsidRPr="005C0A6F">
        <w:t>groups,</w:t>
      </w:r>
      <w:r w:rsidR="000159A6">
        <w:t xml:space="preserve"> </w:t>
      </w:r>
      <w:r w:rsidRPr="005C0A6F">
        <w:t>respectively.</w:t>
      </w:r>
      <w:r w:rsidR="000159A6">
        <w:t xml:space="preserve"> </w:t>
      </w:r>
      <w:r w:rsidRPr="005C0A6F">
        <w:t>This</w:t>
      </w:r>
      <w:r w:rsidR="000159A6">
        <w:t xml:space="preserve"> </w:t>
      </w:r>
      <w:r w:rsidRPr="005C0A6F">
        <w:t>resulted</w:t>
      </w:r>
      <w:r w:rsidR="000159A6">
        <w:t xml:space="preserve"> </w:t>
      </w:r>
      <w:r w:rsidR="004715B4">
        <w:t>in</w:t>
      </w:r>
      <w:r w:rsidR="000159A6">
        <w:t xml:space="preserve"> </w:t>
      </w:r>
      <w:r w:rsidR="004715B4">
        <w:t>a</w:t>
      </w:r>
      <w:r w:rsidR="000159A6">
        <w:t xml:space="preserve"> </w:t>
      </w:r>
      <w:r w:rsidR="004715B4">
        <w:t>VE</w:t>
      </w:r>
      <w:r w:rsidR="000159A6">
        <w:t xml:space="preserve"> </w:t>
      </w:r>
      <w:r w:rsidR="004715B4">
        <w:t>of</w:t>
      </w:r>
      <w:r w:rsidR="000159A6">
        <w:t xml:space="preserve"> </w:t>
      </w:r>
      <w:r w:rsidR="004715B4">
        <w:t>97.2%</w:t>
      </w:r>
      <w:r w:rsidR="000159A6">
        <w:t xml:space="preserve"> </w:t>
      </w:r>
      <w:r w:rsidR="004715B4">
        <w:t>(95%</w:t>
      </w:r>
      <w:r w:rsidR="000159A6">
        <w:t xml:space="preserve"> </w:t>
      </w:r>
      <w:r w:rsidR="004715B4">
        <w:t>CI:</w:t>
      </w:r>
      <w:r w:rsidR="000159A6">
        <w:t xml:space="preserve"> </w:t>
      </w:r>
      <w:r w:rsidR="004715B4">
        <w:t>93.7</w:t>
      </w:r>
      <w:r w:rsidR="000159A6">
        <w:t xml:space="preserve"> </w:t>
      </w:r>
      <w:r w:rsidR="004715B4">
        <w:t>to</w:t>
      </w:r>
      <w:r w:rsidR="000159A6">
        <w:t xml:space="preserve"> </w:t>
      </w:r>
      <w:r w:rsidRPr="005C0A6F">
        <w:t>99.0%;</w:t>
      </w:r>
      <w:r w:rsidR="000159A6">
        <w:t xml:space="preserve"> </w:t>
      </w:r>
      <w:r w:rsidRPr="005C0A6F">
        <w:t>p</w:t>
      </w:r>
      <w:r w:rsidR="000159A6">
        <w:t xml:space="preserve"> </w:t>
      </w:r>
      <w:r w:rsidR="0037169B">
        <w:t>&lt;</w:t>
      </w:r>
      <w:r w:rsidR="000159A6">
        <w:t xml:space="preserve"> </w:t>
      </w:r>
      <w:r w:rsidRPr="005C0A6F">
        <w:t>0.0001)</w:t>
      </w:r>
      <w:r w:rsidR="000159A6">
        <w:t xml:space="preserve"> </w:t>
      </w:r>
      <w:r w:rsidRPr="005C0A6F">
        <w:t>in</w:t>
      </w:r>
      <w:r w:rsidR="000159A6">
        <w:t xml:space="preserve"> </w:t>
      </w:r>
      <w:r w:rsidR="0037169B">
        <w:t>≥</w:t>
      </w:r>
      <w:r w:rsidR="000159A6">
        <w:t xml:space="preserve"> </w:t>
      </w:r>
      <w:r w:rsidRPr="005C0A6F">
        <w:t>50</w:t>
      </w:r>
      <w:r w:rsidR="000159A6">
        <w:t xml:space="preserve"> </w:t>
      </w:r>
      <w:r w:rsidRPr="005C0A6F">
        <w:t>year</w:t>
      </w:r>
      <w:r w:rsidR="000159A6">
        <w:t xml:space="preserve"> </w:t>
      </w:r>
      <w:r w:rsidRPr="005C0A6F">
        <w:t>olds,</w:t>
      </w:r>
      <w:r w:rsidR="000159A6">
        <w:t xml:space="preserve"> </w:t>
      </w:r>
      <w:r w:rsidRPr="005C0A6F">
        <w:t>and</w:t>
      </w:r>
      <w:r w:rsidR="000159A6">
        <w:t xml:space="preserve"> </w:t>
      </w:r>
      <w:r w:rsidRPr="005C0A6F">
        <w:t>therefore</w:t>
      </w:r>
      <w:r w:rsidR="000159A6">
        <w:t xml:space="preserve"> </w:t>
      </w:r>
      <w:r w:rsidRPr="005C0A6F">
        <w:t>the</w:t>
      </w:r>
      <w:r w:rsidR="000159A6">
        <w:t xml:space="preserve"> </w:t>
      </w:r>
      <w:r w:rsidRPr="005C0A6F">
        <w:t>study</w:t>
      </w:r>
      <w:r w:rsidR="000159A6">
        <w:t xml:space="preserve"> </w:t>
      </w:r>
      <w:r w:rsidRPr="005C0A6F">
        <w:t>met</w:t>
      </w:r>
      <w:r w:rsidR="000159A6">
        <w:t xml:space="preserve"> </w:t>
      </w:r>
      <w:r w:rsidRPr="005C0A6F">
        <w:t>its</w:t>
      </w:r>
      <w:r w:rsidR="000159A6">
        <w:t xml:space="preserve"> </w:t>
      </w:r>
      <w:r w:rsidRPr="005C0A6F">
        <w:t>primary</w:t>
      </w:r>
      <w:r w:rsidR="000159A6">
        <w:t xml:space="preserve"> </w:t>
      </w:r>
      <w:r w:rsidRPr="005C0A6F">
        <w:t>objective</w:t>
      </w:r>
      <w:r w:rsidR="000159A6">
        <w:t xml:space="preserve"> </w:t>
      </w:r>
      <w:r w:rsidRPr="005C0A6F">
        <w:t>as</w:t>
      </w:r>
      <w:r w:rsidR="000159A6">
        <w:t xml:space="preserve"> </w:t>
      </w:r>
      <w:r w:rsidRPr="005C0A6F">
        <w:t>the</w:t>
      </w:r>
      <w:r w:rsidR="000159A6">
        <w:t xml:space="preserve"> </w:t>
      </w:r>
      <w:r w:rsidRPr="005C0A6F">
        <w:t>LL</w:t>
      </w:r>
      <w:r w:rsidR="000159A6">
        <w:t xml:space="preserve"> </w:t>
      </w:r>
      <w:r w:rsidRPr="005C0A6F">
        <w:t>of</w:t>
      </w:r>
      <w:r w:rsidR="000159A6">
        <w:t xml:space="preserve"> </w:t>
      </w:r>
      <w:r w:rsidRPr="005C0A6F">
        <w:t>the</w:t>
      </w:r>
      <w:r w:rsidR="000159A6">
        <w:t xml:space="preserve"> </w:t>
      </w:r>
      <w:r w:rsidRPr="005C0A6F">
        <w:t>95%</w:t>
      </w:r>
      <w:r w:rsidR="000159A6">
        <w:t xml:space="preserve"> </w:t>
      </w:r>
      <w:r w:rsidRPr="005C0A6F">
        <w:t>CI</w:t>
      </w:r>
      <w:r w:rsidR="000159A6">
        <w:t xml:space="preserve"> </w:t>
      </w:r>
      <w:r w:rsidRPr="005C0A6F">
        <w:t>was</w:t>
      </w:r>
      <w:r w:rsidR="000159A6">
        <w:t xml:space="preserve"> </w:t>
      </w:r>
      <w:r w:rsidR="004715B4">
        <w:t>&gt;</w:t>
      </w:r>
      <w:r w:rsidR="000159A6">
        <w:t xml:space="preserve"> </w:t>
      </w:r>
      <w:r w:rsidRPr="005C0A6F">
        <w:t>25%.</w:t>
      </w:r>
      <w:r w:rsidR="000159A6">
        <w:t xml:space="preserve"> </w:t>
      </w:r>
      <w:r w:rsidRPr="005C0A6F">
        <w:t>VE</w:t>
      </w:r>
      <w:r w:rsidR="000159A6">
        <w:t xml:space="preserve"> </w:t>
      </w:r>
      <w:r w:rsidRPr="005C0A6F">
        <w:t>was</w:t>
      </w:r>
      <w:r w:rsidR="000159A6">
        <w:t xml:space="preserve"> </w:t>
      </w:r>
      <w:r w:rsidRPr="005C0A6F">
        <w:t>consistent</w:t>
      </w:r>
      <w:r w:rsidR="000159A6">
        <w:t xml:space="preserve"> </w:t>
      </w:r>
      <w:r w:rsidRPr="005C0A6F">
        <w:t>across</w:t>
      </w:r>
      <w:r w:rsidR="000159A6">
        <w:t xml:space="preserve"> </w:t>
      </w:r>
      <w:r w:rsidRPr="005C0A6F">
        <w:t>the</w:t>
      </w:r>
      <w:r w:rsidR="000159A6">
        <w:t xml:space="preserve"> </w:t>
      </w:r>
      <w:r w:rsidRPr="005C0A6F">
        <w:t>age</w:t>
      </w:r>
      <w:r w:rsidR="000159A6">
        <w:t xml:space="preserve"> </w:t>
      </w:r>
      <w:r w:rsidRPr="005C0A6F">
        <w:t>groups:</w:t>
      </w:r>
      <w:r w:rsidR="000159A6">
        <w:t xml:space="preserve"> </w:t>
      </w:r>
      <w:r w:rsidRPr="005C0A6F">
        <w:t>96.57%</w:t>
      </w:r>
      <w:r w:rsidR="000159A6">
        <w:t xml:space="preserve"> </w:t>
      </w:r>
      <w:r w:rsidRPr="005C0A6F">
        <w:t>in</w:t>
      </w:r>
      <w:r w:rsidR="000159A6">
        <w:t xml:space="preserve"> </w:t>
      </w:r>
      <w:r w:rsidR="004715B4">
        <w:t>50</w:t>
      </w:r>
      <w:r w:rsidR="000159A6">
        <w:t xml:space="preserve"> </w:t>
      </w:r>
      <w:r w:rsidR="004715B4">
        <w:t>to</w:t>
      </w:r>
      <w:r w:rsidR="000159A6">
        <w:t xml:space="preserve"> </w:t>
      </w:r>
      <w:r w:rsidR="004715B4">
        <w:t>59</w:t>
      </w:r>
      <w:r w:rsidR="000159A6">
        <w:t xml:space="preserve"> </w:t>
      </w:r>
      <w:r w:rsidR="0037169B">
        <w:t>years</w:t>
      </w:r>
      <w:r w:rsidR="000159A6">
        <w:t xml:space="preserve"> </w:t>
      </w:r>
      <w:r w:rsidR="0037169B">
        <w:t>of</w:t>
      </w:r>
      <w:r w:rsidR="000159A6">
        <w:t xml:space="preserve"> </w:t>
      </w:r>
      <w:r w:rsidR="0037169B">
        <w:t>age</w:t>
      </w:r>
      <w:r w:rsidRPr="005C0A6F">
        <w:t>,</w:t>
      </w:r>
      <w:r w:rsidR="000159A6">
        <w:t xml:space="preserve"> </w:t>
      </w:r>
      <w:r w:rsidRPr="005C0A6F">
        <w:t>97.36%</w:t>
      </w:r>
      <w:r w:rsidR="000159A6">
        <w:t xml:space="preserve"> </w:t>
      </w:r>
      <w:r w:rsidRPr="005C0A6F">
        <w:t>in</w:t>
      </w:r>
      <w:r w:rsidR="000159A6">
        <w:t xml:space="preserve"> </w:t>
      </w:r>
      <w:r w:rsidR="0037169B">
        <w:t>60</w:t>
      </w:r>
      <w:r w:rsidR="000159A6">
        <w:t xml:space="preserve"> </w:t>
      </w:r>
      <w:r w:rsidR="0037169B">
        <w:t>to</w:t>
      </w:r>
      <w:r w:rsidR="000159A6">
        <w:t xml:space="preserve"> </w:t>
      </w:r>
      <w:r w:rsidR="0037169B">
        <w:t>69</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and</w:t>
      </w:r>
      <w:r w:rsidR="000159A6">
        <w:t xml:space="preserve"> </w:t>
      </w:r>
      <w:r w:rsidRPr="005C0A6F">
        <w:t>97.93%</w:t>
      </w:r>
      <w:r w:rsidR="000159A6">
        <w:t xml:space="preserve"> </w:t>
      </w:r>
      <w:r w:rsidRPr="005C0A6F">
        <w:t>in</w:t>
      </w:r>
      <w:r w:rsidR="000159A6">
        <w:t xml:space="preserve"> </w:t>
      </w:r>
      <w:r w:rsidR="0037169B">
        <w:t>≥</w:t>
      </w:r>
      <w:r w:rsidR="000159A6">
        <w:t xml:space="preserve"> </w:t>
      </w:r>
      <w:r w:rsidRPr="005C0A6F">
        <w:t>70</w:t>
      </w:r>
      <w:r w:rsidR="000159A6">
        <w:t xml:space="preserve"> </w:t>
      </w:r>
      <w:r w:rsidR="0037169B">
        <w:t>years</w:t>
      </w:r>
      <w:r w:rsidR="000159A6">
        <w:t xml:space="preserve"> </w:t>
      </w:r>
      <w:r w:rsidR="0037169B">
        <w:t>of</w:t>
      </w:r>
      <w:r w:rsidR="000159A6">
        <w:t xml:space="preserve"> </w:t>
      </w:r>
      <w:r w:rsidR="0037169B">
        <w:t>age</w:t>
      </w:r>
      <w:r w:rsidRPr="005C0A6F">
        <w:t>.</w:t>
      </w:r>
      <w:r w:rsidR="000159A6">
        <w:t xml:space="preserve"> </w:t>
      </w:r>
      <w:r w:rsidRPr="005C0A6F">
        <w:t>As</w:t>
      </w:r>
      <w:r w:rsidR="000159A6">
        <w:t xml:space="preserve"> </w:t>
      </w:r>
      <w:r w:rsidRPr="005C0A6F">
        <w:t>the</w:t>
      </w:r>
      <w:r w:rsidR="000159A6">
        <w:t xml:space="preserve"> </w:t>
      </w:r>
      <w:r w:rsidRPr="005C0A6F">
        <w:t>LL</w:t>
      </w:r>
      <w:r w:rsidR="000159A6">
        <w:t xml:space="preserve"> </w:t>
      </w:r>
      <w:r w:rsidRPr="005C0A6F">
        <w:t>of</w:t>
      </w:r>
      <w:r w:rsidR="000159A6">
        <w:t xml:space="preserve"> </w:t>
      </w:r>
      <w:r w:rsidRPr="005C0A6F">
        <w:t>the</w:t>
      </w:r>
      <w:r w:rsidR="000159A6">
        <w:t xml:space="preserve"> </w:t>
      </w:r>
      <w:r w:rsidRPr="005C0A6F">
        <w:t>95%</w:t>
      </w:r>
      <w:r w:rsidR="000159A6">
        <w:t xml:space="preserve"> </w:t>
      </w:r>
      <w:r w:rsidRPr="005C0A6F">
        <w:t>CI</w:t>
      </w:r>
      <w:r w:rsidR="000159A6">
        <w:t xml:space="preserve"> </w:t>
      </w:r>
      <w:r w:rsidRPr="005C0A6F">
        <w:t>for</w:t>
      </w:r>
      <w:r w:rsidR="000159A6">
        <w:t xml:space="preserve"> </w:t>
      </w:r>
      <w:r w:rsidRPr="005C0A6F">
        <w:t>VE</w:t>
      </w:r>
      <w:r w:rsidR="000159A6">
        <w:t xml:space="preserve"> </w:t>
      </w:r>
      <w:r w:rsidRPr="005C0A6F">
        <w:t>in</w:t>
      </w:r>
      <w:r w:rsidR="000159A6">
        <w:t xml:space="preserve"> </w:t>
      </w:r>
      <w:r w:rsidRPr="005C0A6F">
        <w:t>the</w:t>
      </w:r>
      <w:r w:rsidR="000159A6">
        <w:t xml:space="preserve"> </w:t>
      </w:r>
      <w:r w:rsidR="004715B4">
        <w:t>50</w:t>
      </w:r>
      <w:r w:rsidR="000159A6">
        <w:t xml:space="preserve"> </w:t>
      </w:r>
      <w:r w:rsidR="004715B4">
        <w:t>to</w:t>
      </w:r>
      <w:r w:rsidR="000159A6">
        <w:t xml:space="preserve"> </w:t>
      </w:r>
      <w:r w:rsidR="004715B4">
        <w:t>59</w:t>
      </w:r>
      <w:r w:rsidR="000159A6">
        <w:t xml:space="preserve"> </w:t>
      </w:r>
      <w:r w:rsidRPr="005C0A6F">
        <w:t>and</w:t>
      </w:r>
      <w:r w:rsidR="000159A6">
        <w:t xml:space="preserve"> </w:t>
      </w:r>
      <w:r w:rsidR="0037169B">
        <w:t>60</w:t>
      </w:r>
      <w:r w:rsidR="000159A6">
        <w:t xml:space="preserve"> </w:t>
      </w:r>
      <w:r w:rsidR="0037169B">
        <w:t>to</w:t>
      </w:r>
      <w:r w:rsidR="000159A6">
        <w:t xml:space="preserve"> </w:t>
      </w:r>
      <w:r w:rsidR="0037169B">
        <w:t>69</w:t>
      </w:r>
      <w:r w:rsidR="000159A6">
        <w:t xml:space="preserve"> </w:t>
      </w:r>
      <w:r w:rsidRPr="005C0A6F">
        <w:t>year</w:t>
      </w:r>
      <w:r w:rsidR="000159A6">
        <w:t xml:space="preserve"> </w:t>
      </w:r>
      <w:r w:rsidRPr="005C0A6F">
        <w:t>age</w:t>
      </w:r>
      <w:r w:rsidR="000159A6">
        <w:t xml:space="preserve"> </w:t>
      </w:r>
      <w:r w:rsidRPr="005C0A6F">
        <w:t>groups</w:t>
      </w:r>
      <w:r w:rsidR="000159A6">
        <w:t xml:space="preserve"> </w:t>
      </w:r>
      <w:r w:rsidRPr="005C0A6F">
        <w:t>was</w:t>
      </w:r>
      <w:r w:rsidR="000159A6">
        <w:t xml:space="preserve"> </w:t>
      </w:r>
      <w:r w:rsidR="004715B4">
        <w:t>&gt;</w:t>
      </w:r>
      <w:r w:rsidR="000159A6">
        <w:t xml:space="preserve"> </w:t>
      </w:r>
      <w:r w:rsidRPr="005C0A6F">
        <w:t>10%</w:t>
      </w:r>
      <w:r w:rsidR="000159A6">
        <w:t xml:space="preserve"> </w:t>
      </w:r>
      <w:r w:rsidRPr="005C0A6F">
        <w:t>the</w:t>
      </w:r>
      <w:r w:rsidR="000159A6">
        <w:t xml:space="preserve"> </w:t>
      </w:r>
      <w:r w:rsidRPr="005C0A6F">
        <w:t>study</w:t>
      </w:r>
      <w:r w:rsidR="000159A6">
        <w:t xml:space="preserve"> </w:t>
      </w:r>
      <w:r w:rsidRPr="005C0A6F">
        <w:t>met</w:t>
      </w:r>
      <w:r w:rsidR="000159A6">
        <w:t xml:space="preserve"> </w:t>
      </w:r>
      <w:r w:rsidRPr="005C0A6F">
        <w:t>its</w:t>
      </w:r>
      <w:r w:rsidR="000159A6">
        <w:t xml:space="preserve"> </w:t>
      </w:r>
      <w:r w:rsidRPr="005C0A6F">
        <w:t>secondary</w:t>
      </w:r>
      <w:r w:rsidR="000159A6">
        <w:t xml:space="preserve"> </w:t>
      </w:r>
      <w:r w:rsidRPr="005C0A6F">
        <w:t>objectives.</w:t>
      </w:r>
      <w:r w:rsidR="000159A6">
        <w:t xml:space="preserve"> </w:t>
      </w:r>
      <w:r w:rsidRPr="005C0A6F">
        <w:t>At</w:t>
      </w:r>
      <w:r w:rsidR="000159A6">
        <w:t xml:space="preserve"> </w:t>
      </w:r>
      <w:r w:rsidRPr="005C0A6F">
        <w:t>end</w:t>
      </w:r>
      <w:r w:rsidR="000159A6">
        <w:t xml:space="preserve"> </w:t>
      </w:r>
      <w:r w:rsidRPr="005C0A6F">
        <w:t>of</w:t>
      </w:r>
      <w:r w:rsidR="000159A6">
        <w:t xml:space="preserve"> </w:t>
      </w:r>
      <w:r w:rsidRPr="005C0A6F">
        <w:t>study,</w:t>
      </w:r>
      <w:r w:rsidR="000159A6">
        <w:t xml:space="preserve"> </w:t>
      </w:r>
      <w:r w:rsidRPr="005C0A6F">
        <w:t>after</w:t>
      </w:r>
      <w:r w:rsidR="000159A6">
        <w:t xml:space="preserve"> </w:t>
      </w:r>
      <w:r w:rsidRPr="005C0A6F">
        <w:t>a</w:t>
      </w:r>
      <w:r w:rsidR="000159A6">
        <w:t xml:space="preserve"> </w:t>
      </w:r>
      <w:r w:rsidRPr="005C0A6F">
        <w:t>mean</w:t>
      </w:r>
      <w:r w:rsidR="000159A6">
        <w:t xml:space="preserve"> </w:t>
      </w:r>
      <w:r w:rsidRPr="005C0A6F">
        <w:t>follow</w:t>
      </w:r>
      <w:r w:rsidR="000159A6">
        <w:t xml:space="preserve"> </w:t>
      </w:r>
      <w:r w:rsidRPr="005C0A6F">
        <w:t>up</w:t>
      </w:r>
      <w:r w:rsidR="000159A6">
        <w:t xml:space="preserve"> </w:t>
      </w:r>
      <w:r w:rsidRPr="005C0A6F">
        <w:t>of</w:t>
      </w:r>
      <w:r w:rsidR="000159A6">
        <w:t xml:space="preserve"> </w:t>
      </w:r>
      <w:r w:rsidRPr="005C0A6F">
        <w:t>3.9</w:t>
      </w:r>
      <w:r w:rsidR="000159A6">
        <w:t xml:space="preserve"> </w:t>
      </w:r>
      <w:r w:rsidRPr="005C0A6F">
        <w:t>years,</w:t>
      </w:r>
      <w:r w:rsidR="000159A6">
        <w:t xml:space="preserve"> </w:t>
      </w:r>
      <w:r w:rsidRPr="005C0A6F">
        <w:t>there</w:t>
      </w:r>
      <w:r w:rsidR="000159A6">
        <w:t xml:space="preserve"> </w:t>
      </w:r>
      <w:r w:rsidRPr="005C0A6F">
        <w:t>were</w:t>
      </w:r>
      <w:r w:rsidR="000159A6">
        <w:t xml:space="preserve"> </w:t>
      </w:r>
      <w:r w:rsidRPr="005C0A6F">
        <w:t>a</w:t>
      </w:r>
      <w:r w:rsidR="000159A6">
        <w:t xml:space="preserve"> </w:t>
      </w:r>
      <w:r w:rsidRPr="005C0A6F">
        <w:t>further</w:t>
      </w:r>
      <w:r w:rsidR="000159A6">
        <w:t xml:space="preserve"> </w:t>
      </w:r>
      <w:r w:rsidRPr="005C0A6F">
        <w:t>47</w:t>
      </w:r>
      <w:r w:rsidR="000159A6">
        <w:t xml:space="preserve"> </w:t>
      </w:r>
      <w:r w:rsidRPr="005C0A6F">
        <w:t>cases</w:t>
      </w:r>
      <w:r w:rsidR="000159A6">
        <w:t xml:space="preserve"> </w:t>
      </w:r>
      <w:r w:rsidRPr="005C0A6F">
        <w:t>of</w:t>
      </w:r>
      <w:r w:rsidR="000159A6">
        <w:t xml:space="preserve"> </w:t>
      </w:r>
      <w:r w:rsidRPr="005C0A6F">
        <w:t>HZ</w:t>
      </w:r>
      <w:r w:rsidR="000159A6">
        <w:t xml:space="preserve"> </w:t>
      </w:r>
      <w:r w:rsidRPr="005C0A6F">
        <w:t>(3</w:t>
      </w:r>
      <w:r w:rsidR="000159A6">
        <w:t xml:space="preserve"> </w:t>
      </w:r>
      <w:r w:rsidRPr="005C0A6F">
        <w:t>and</w:t>
      </w:r>
      <w:r w:rsidR="000159A6">
        <w:t xml:space="preserve"> </w:t>
      </w:r>
      <w:r w:rsidRPr="005C0A6F">
        <w:t>44</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and</w:t>
      </w:r>
      <w:r w:rsidR="000159A6">
        <w:t xml:space="preserve"> </w:t>
      </w:r>
      <w:r w:rsidRPr="005C0A6F">
        <w:t>placebo</w:t>
      </w:r>
      <w:r w:rsidR="000159A6">
        <w:t xml:space="preserve"> </w:t>
      </w:r>
      <w:r w:rsidRPr="005C0A6F">
        <w:t>groups,</w:t>
      </w:r>
      <w:r w:rsidR="000159A6">
        <w:t xml:space="preserve"> </w:t>
      </w:r>
      <w:r w:rsidRPr="005C0A6F">
        <w:t>respectively).</w:t>
      </w:r>
      <w:r w:rsidR="000159A6">
        <w:t xml:space="preserve"> </w:t>
      </w:r>
      <w:r w:rsidRPr="005C0A6F">
        <w:t>At</w:t>
      </w:r>
      <w:r w:rsidR="000159A6">
        <w:t xml:space="preserve"> </w:t>
      </w:r>
      <w:r w:rsidRPr="005C0A6F">
        <w:t>this</w:t>
      </w:r>
      <w:r w:rsidR="000159A6">
        <w:t xml:space="preserve"> </w:t>
      </w:r>
      <w:r w:rsidRPr="005C0A6F">
        <w:t>point,</w:t>
      </w:r>
      <w:r w:rsidR="000159A6">
        <w:t xml:space="preserve"> </w:t>
      </w:r>
      <w:r w:rsidRPr="005C0A6F">
        <w:t>the</w:t>
      </w:r>
      <w:r w:rsidR="000159A6">
        <w:t xml:space="preserve"> </w:t>
      </w:r>
      <w:r w:rsidRPr="005C0A6F">
        <w:t>incidence</w:t>
      </w:r>
      <w:r w:rsidR="000159A6">
        <w:t xml:space="preserve"> </w:t>
      </w:r>
      <w:r w:rsidRPr="005C0A6F">
        <w:t>of</w:t>
      </w:r>
      <w:r w:rsidR="000159A6">
        <w:t xml:space="preserve"> </w:t>
      </w:r>
      <w:r w:rsidRPr="005C0A6F">
        <w:t>HZ</w:t>
      </w:r>
      <w:r w:rsidR="000159A6">
        <w:t xml:space="preserve"> </w:t>
      </w:r>
      <w:r w:rsidRPr="005C0A6F">
        <w:t>was</w:t>
      </w:r>
      <w:r w:rsidR="000159A6">
        <w:t xml:space="preserve"> </w:t>
      </w:r>
      <w:r w:rsidRPr="005C0A6F">
        <w:t>0.3</w:t>
      </w:r>
      <w:r w:rsidR="000159A6">
        <w:t xml:space="preserve"> </w:t>
      </w:r>
      <w:r w:rsidRPr="005C0A6F">
        <w:t>and</w:t>
      </w:r>
      <w:r w:rsidR="000159A6">
        <w:t xml:space="preserve"> </w:t>
      </w:r>
      <w:r w:rsidRPr="005C0A6F">
        <w:t>8.9</w:t>
      </w:r>
      <w:r w:rsidR="000159A6">
        <w:t xml:space="preserve"> </w:t>
      </w:r>
      <w:r w:rsidRPr="005C0A6F">
        <w:t>per</w:t>
      </w:r>
      <w:r w:rsidR="000159A6">
        <w:t xml:space="preserve"> </w:t>
      </w:r>
      <w:r w:rsidRPr="005C0A6F">
        <w:t>1000</w:t>
      </w:r>
      <w:r w:rsidR="000159A6">
        <w:t xml:space="preserve"> </w:t>
      </w:r>
      <w:r w:rsidRPr="005C0A6F">
        <w:t>person</w:t>
      </w:r>
      <w:r w:rsidR="000159A6">
        <w:t xml:space="preserve"> </w:t>
      </w:r>
      <w:r w:rsidRPr="005C0A6F">
        <w:t>years,</w:t>
      </w:r>
      <w:r w:rsidR="000159A6">
        <w:t xml:space="preserve"> </w:t>
      </w:r>
      <w:r w:rsidRPr="005C0A6F">
        <w:t>respectively</w:t>
      </w:r>
      <w:r w:rsidR="000159A6">
        <w:t xml:space="preserve"> </w:t>
      </w:r>
      <w:r w:rsidR="004715B4">
        <w:t>and</w:t>
      </w:r>
      <w:r w:rsidR="000159A6">
        <w:t xml:space="preserve"> </w:t>
      </w:r>
      <w:r w:rsidR="004715B4">
        <w:t>VE</w:t>
      </w:r>
      <w:r w:rsidR="000159A6">
        <w:t xml:space="preserve"> </w:t>
      </w:r>
      <w:r w:rsidR="004715B4">
        <w:t>was</w:t>
      </w:r>
      <w:r w:rsidR="000159A6">
        <w:t xml:space="preserve"> </w:t>
      </w:r>
      <w:r w:rsidR="004715B4">
        <w:t>96.50%</w:t>
      </w:r>
      <w:r w:rsidR="000159A6">
        <w:t xml:space="preserve"> </w:t>
      </w:r>
      <w:r w:rsidR="004715B4">
        <w:t>(95%</w:t>
      </w:r>
      <w:r w:rsidR="000159A6">
        <w:t xml:space="preserve"> </w:t>
      </w:r>
      <w:r w:rsidR="004715B4">
        <w:t>CI:</w:t>
      </w:r>
      <w:r w:rsidR="000159A6">
        <w:t xml:space="preserve"> </w:t>
      </w:r>
      <w:r w:rsidR="004715B4">
        <w:t>93.2</w:t>
      </w:r>
      <w:r w:rsidR="000159A6">
        <w:t xml:space="preserve"> </w:t>
      </w:r>
      <w:r w:rsidR="004715B4">
        <w:t>to</w:t>
      </w:r>
      <w:r w:rsidR="000159A6">
        <w:t xml:space="preserve"> </w:t>
      </w:r>
      <w:r w:rsidRPr="005C0A6F">
        <w:t>98.5%).</w:t>
      </w:r>
      <w:r w:rsidR="000159A6">
        <w:t xml:space="preserve"> </w:t>
      </w:r>
      <w:r w:rsidRPr="005C0A6F">
        <w:t>VE</w:t>
      </w:r>
      <w:r w:rsidR="000159A6">
        <w:t xml:space="preserve"> </w:t>
      </w:r>
      <w:r w:rsidRPr="005C0A6F">
        <w:t>was</w:t>
      </w:r>
      <w:r w:rsidR="000159A6">
        <w:t xml:space="preserve"> </w:t>
      </w:r>
      <w:r w:rsidRPr="005C0A6F">
        <w:t>consistent</w:t>
      </w:r>
      <w:r w:rsidR="000159A6">
        <w:t xml:space="preserve"> </w:t>
      </w:r>
      <w:r w:rsidRPr="005C0A6F">
        <w:t>between</w:t>
      </w:r>
      <w:r w:rsidR="000159A6">
        <w:t xml:space="preserve"> </w:t>
      </w:r>
      <w:r w:rsidRPr="005C0A6F">
        <w:t>males</w:t>
      </w:r>
      <w:r w:rsidR="000159A6">
        <w:t xml:space="preserve"> </w:t>
      </w:r>
      <w:r w:rsidRPr="005C0A6F">
        <w:t>and</w:t>
      </w:r>
      <w:r w:rsidR="000159A6">
        <w:t xml:space="preserve"> </w:t>
      </w:r>
      <w:r w:rsidRPr="005C0A6F">
        <w:t>females</w:t>
      </w:r>
      <w:r w:rsidR="000159A6">
        <w:t xml:space="preserve"> </w:t>
      </w:r>
      <w:r w:rsidRPr="005C0A6F">
        <w:t>across</w:t>
      </w:r>
      <w:r w:rsidR="000159A6">
        <w:t xml:space="preserve"> </w:t>
      </w:r>
      <w:r w:rsidRPr="005C0A6F">
        <w:t>the</w:t>
      </w:r>
      <w:r w:rsidR="000159A6">
        <w:t xml:space="preserve"> </w:t>
      </w:r>
      <w:r w:rsidRPr="005C0A6F">
        <w:t>age</w:t>
      </w:r>
      <w:r w:rsidR="000159A6">
        <w:t xml:space="preserve"> </w:t>
      </w:r>
      <w:r w:rsidRPr="005C0A6F">
        <w:t>groups</w:t>
      </w:r>
      <w:r w:rsidR="000159A6">
        <w:t xml:space="preserve"> </w:t>
      </w:r>
      <w:r w:rsidRPr="005C0A6F">
        <w:t>and</w:t>
      </w:r>
      <w:r w:rsidR="000159A6">
        <w:t xml:space="preserve"> </w:t>
      </w:r>
      <w:r w:rsidRPr="005C0A6F">
        <w:t>also</w:t>
      </w:r>
      <w:r w:rsidR="000159A6">
        <w:t xml:space="preserve"> </w:t>
      </w:r>
      <w:r w:rsidRPr="005C0A6F">
        <w:t>across</w:t>
      </w:r>
      <w:r w:rsidR="000159A6">
        <w:t xml:space="preserve"> </w:t>
      </w:r>
      <w:r w:rsidRPr="005C0A6F">
        <w:t>geographical</w:t>
      </w:r>
      <w:r w:rsidR="000159A6">
        <w:t xml:space="preserve"> </w:t>
      </w:r>
      <w:r w:rsidRPr="005C0A6F">
        <w:t>regions.</w:t>
      </w:r>
      <w:r w:rsidR="000159A6">
        <w:t xml:space="preserve"> </w:t>
      </w:r>
      <w:r w:rsidRPr="005C0A6F">
        <w:t>Sensitivity</w:t>
      </w:r>
      <w:r w:rsidR="000159A6">
        <w:t xml:space="preserve"> </w:t>
      </w:r>
      <w:r w:rsidRPr="005C0A6F">
        <w:t>analysis</w:t>
      </w:r>
      <w:r w:rsidR="000159A6">
        <w:t xml:space="preserve"> </w:t>
      </w:r>
      <w:r w:rsidRPr="005C0A6F">
        <w:t>using</w:t>
      </w:r>
      <w:r w:rsidR="000159A6">
        <w:t xml:space="preserve"> </w:t>
      </w:r>
      <w:r w:rsidRPr="005C0A6F">
        <w:t>Cox</w:t>
      </w:r>
      <w:r w:rsidR="000159A6">
        <w:t xml:space="preserve"> </w:t>
      </w:r>
      <w:r w:rsidRPr="005C0A6F">
        <w:t>regression</w:t>
      </w:r>
      <w:r w:rsidR="000159A6">
        <w:t xml:space="preserve"> </w:t>
      </w:r>
      <w:r w:rsidRPr="005C0A6F">
        <w:t>found</w:t>
      </w:r>
      <w:r w:rsidR="000159A6">
        <w:t xml:space="preserve"> </w:t>
      </w:r>
      <w:r w:rsidRPr="005C0A6F">
        <w:t>similar</w:t>
      </w:r>
      <w:r w:rsidR="000159A6">
        <w:t xml:space="preserve"> </w:t>
      </w:r>
      <w:r w:rsidRPr="005C0A6F">
        <w:t>results</w:t>
      </w:r>
      <w:r w:rsidR="000159A6">
        <w:t xml:space="preserve"> </w:t>
      </w:r>
      <w:r w:rsidRPr="005C0A6F">
        <w:t>with</w:t>
      </w:r>
      <w:r w:rsidR="000159A6">
        <w:t xml:space="preserve"> </w:t>
      </w:r>
      <w:r w:rsidRPr="005C0A6F">
        <w:t>VE</w:t>
      </w:r>
      <w:r w:rsidR="000159A6">
        <w:t xml:space="preserve"> </w:t>
      </w:r>
      <w:r w:rsidR="004715B4">
        <w:t>&gt;</w:t>
      </w:r>
      <w:r w:rsidR="000159A6">
        <w:t xml:space="preserve"> </w:t>
      </w:r>
      <w:r w:rsidRPr="005C0A6F">
        <w:t>96%</w:t>
      </w:r>
      <w:r w:rsidR="000159A6">
        <w:t xml:space="preserve"> </w:t>
      </w:r>
      <w:r w:rsidRPr="005C0A6F">
        <w:t>overall</w:t>
      </w:r>
      <w:r w:rsidR="000159A6">
        <w:t xml:space="preserve"> </w:t>
      </w:r>
      <w:r w:rsidRPr="005C0A6F">
        <w:t>and</w:t>
      </w:r>
      <w:r w:rsidR="000159A6">
        <w:t xml:space="preserve"> </w:t>
      </w:r>
      <w:r w:rsidRPr="005C0A6F">
        <w:t>across</w:t>
      </w:r>
      <w:r w:rsidR="000159A6">
        <w:t xml:space="preserve"> </w:t>
      </w:r>
      <w:r w:rsidRPr="005C0A6F">
        <w:t>the</w:t>
      </w:r>
      <w:r w:rsidR="000159A6">
        <w:t xml:space="preserve"> </w:t>
      </w:r>
      <w:r w:rsidRPr="005C0A6F">
        <w:t>age</w:t>
      </w:r>
      <w:r w:rsidR="000159A6">
        <w:t xml:space="preserve"> </w:t>
      </w:r>
      <w:r w:rsidRPr="005C0A6F">
        <w:t>groups.</w:t>
      </w:r>
    </w:p>
    <w:p w14:paraId="4153E3CD" w14:textId="52423ECF" w:rsidR="005C0A6F" w:rsidRDefault="00525235" w:rsidP="005C0A6F">
      <w:pPr>
        <w:pStyle w:val="Heading6"/>
      </w:pPr>
      <w:r>
        <w:t>Study</w:t>
      </w:r>
      <w:r w:rsidR="000159A6">
        <w:t xml:space="preserve"> </w:t>
      </w:r>
      <w:r>
        <w:t>ZOSTER</w:t>
      </w:r>
      <w:r w:rsidR="005C0A6F" w:rsidRPr="005C0A6F">
        <w:t>-022</w:t>
      </w:r>
    </w:p>
    <w:p w14:paraId="2C737FA4" w14:textId="256DBF1D" w:rsidR="005C0A6F" w:rsidRDefault="005C0A6F" w:rsidP="00440509">
      <w:r>
        <w:t>T</w:t>
      </w:r>
      <w:r w:rsidRPr="005C0A6F">
        <w:t>he</w:t>
      </w:r>
      <w:r w:rsidR="000159A6">
        <w:t xml:space="preserve"> </w:t>
      </w:r>
      <w:proofErr w:type="spellStart"/>
      <w:r w:rsidRPr="005C0A6F">
        <w:t>mTVC</w:t>
      </w:r>
      <w:proofErr w:type="spellEnd"/>
      <w:r w:rsidR="000159A6">
        <w:t xml:space="preserve"> </w:t>
      </w:r>
      <w:r w:rsidRPr="005C0A6F">
        <w:t>included</w:t>
      </w:r>
      <w:r w:rsidR="000159A6">
        <w:t xml:space="preserve"> </w:t>
      </w:r>
      <w:r w:rsidRPr="005C0A6F">
        <w:t>13,163</w:t>
      </w:r>
      <w:r w:rsidR="000159A6">
        <w:t xml:space="preserve"> </w:t>
      </w:r>
      <w:r w:rsidRPr="005C0A6F">
        <w:t>subjects.</w:t>
      </w:r>
      <w:r w:rsidR="000159A6">
        <w:t xml:space="preserve"> </w:t>
      </w:r>
      <w:r w:rsidRPr="005C0A6F">
        <w:t>After</w:t>
      </w:r>
      <w:r w:rsidR="000159A6">
        <w:t xml:space="preserve"> </w:t>
      </w:r>
      <w:r w:rsidRPr="005C0A6F">
        <w:t>a</w:t>
      </w:r>
      <w:r w:rsidR="000159A6">
        <w:t xml:space="preserve"> </w:t>
      </w:r>
      <w:r w:rsidRPr="005C0A6F">
        <w:t>median</w:t>
      </w:r>
      <w:r w:rsidR="000159A6">
        <w:t xml:space="preserve"> </w:t>
      </w:r>
      <w:r w:rsidRPr="005C0A6F">
        <w:t>follow</w:t>
      </w:r>
      <w:r w:rsidR="000159A6">
        <w:t xml:space="preserve"> </w:t>
      </w:r>
      <w:r w:rsidRPr="005C0A6F">
        <w:t>up</w:t>
      </w:r>
      <w:r w:rsidR="000159A6">
        <w:t xml:space="preserve"> </w:t>
      </w:r>
      <w:r w:rsidRPr="005C0A6F">
        <w:t>of</w:t>
      </w:r>
      <w:r w:rsidR="000159A6">
        <w:t xml:space="preserve"> </w:t>
      </w:r>
      <w:r w:rsidRPr="005C0A6F">
        <w:t>3.9</w:t>
      </w:r>
      <w:r w:rsidR="000159A6">
        <w:t xml:space="preserve"> </w:t>
      </w:r>
      <w:r w:rsidRPr="005C0A6F">
        <w:t>and</w:t>
      </w:r>
      <w:r w:rsidR="000159A6">
        <w:t xml:space="preserve"> </w:t>
      </w:r>
      <w:r w:rsidRPr="005C0A6F">
        <w:t>3.7</w:t>
      </w:r>
      <w:r w:rsidR="000159A6">
        <w:t xml:space="preserve"> </w:t>
      </w:r>
      <w:r w:rsidRPr="005C0A6F">
        <w:t>years</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and</w:t>
      </w:r>
      <w:r w:rsidR="000159A6">
        <w:t xml:space="preserve"> </w:t>
      </w:r>
      <w:r w:rsidRPr="005C0A6F">
        <w:t>placebo</w:t>
      </w:r>
      <w:r w:rsidR="000159A6">
        <w:t xml:space="preserve"> </w:t>
      </w:r>
      <w:r w:rsidRPr="005C0A6F">
        <w:t>groups,</w:t>
      </w:r>
      <w:r w:rsidR="000159A6">
        <w:t xml:space="preserve"> </w:t>
      </w:r>
      <w:r w:rsidRPr="005C0A6F">
        <w:t>respectively,</w:t>
      </w:r>
      <w:r w:rsidR="000159A6">
        <w:t xml:space="preserve"> </w:t>
      </w:r>
      <w:r w:rsidRPr="005C0A6F">
        <w:t>there</w:t>
      </w:r>
      <w:r w:rsidR="000159A6">
        <w:t xml:space="preserve"> </w:t>
      </w:r>
      <w:r w:rsidRPr="005C0A6F">
        <w:t>were</w:t>
      </w:r>
      <w:r w:rsidR="000159A6">
        <w:t xml:space="preserve"> </w:t>
      </w:r>
      <w:r w:rsidRPr="005C0A6F">
        <w:t>246</w:t>
      </w:r>
      <w:r w:rsidR="000159A6">
        <w:t xml:space="preserve"> </w:t>
      </w:r>
      <w:r w:rsidRPr="005C0A6F">
        <w:t>subjects</w:t>
      </w:r>
      <w:r w:rsidR="000159A6">
        <w:t xml:space="preserve"> </w:t>
      </w:r>
      <w:r w:rsidRPr="005C0A6F">
        <w:t>with</w:t>
      </w:r>
      <w:r w:rsidR="000159A6">
        <w:t xml:space="preserve"> </w:t>
      </w:r>
      <w:r w:rsidRPr="005C0A6F">
        <w:t>a</w:t>
      </w:r>
      <w:r w:rsidR="000159A6">
        <w:t xml:space="preserve"> </w:t>
      </w:r>
      <w:r w:rsidRPr="005C0A6F">
        <w:t>confirmed</w:t>
      </w:r>
      <w:r w:rsidR="000159A6">
        <w:t xml:space="preserve"> </w:t>
      </w:r>
      <w:r w:rsidRPr="005C0A6F">
        <w:t>HZ</w:t>
      </w:r>
      <w:r w:rsidR="000159A6">
        <w:t xml:space="preserve"> </w:t>
      </w:r>
      <w:r w:rsidRPr="005C0A6F">
        <w:t>episode</w:t>
      </w:r>
      <w:r w:rsidR="000159A6">
        <w:t xml:space="preserve"> </w:t>
      </w:r>
      <w:r w:rsidRPr="005C0A6F">
        <w:t>(23</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Pr="005C0A6F">
        <w:t>and</w:t>
      </w:r>
      <w:r w:rsidR="000159A6">
        <w:t xml:space="preserve"> </w:t>
      </w:r>
      <w:r w:rsidRPr="005C0A6F">
        <w:t>223</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0159A6">
        <w:t xml:space="preserve"> </w:t>
      </w:r>
      <w:r w:rsidRPr="005C0A6F">
        <w:t>The</w:t>
      </w:r>
      <w:r w:rsidR="000159A6">
        <w:t xml:space="preserve"> </w:t>
      </w:r>
      <w:r w:rsidRPr="005C0A6F">
        <w:t>incidence</w:t>
      </w:r>
      <w:r w:rsidR="000159A6">
        <w:t xml:space="preserve"> </w:t>
      </w:r>
      <w:r w:rsidRPr="005C0A6F">
        <w:t>rate</w:t>
      </w:r>
      <w:r w:rsidR="000159A6">
        <w:t xml:space="preserve"> </w:t>
      </w:r>
      <w:r w:rsidRPr="005C0A6F">
        <w:t>was</w:t>
      </w:r>
      <w:r w:rsidR="000159A6">
        <w:t xml:space="preserve"> </w:t>
      </w:r>
      <w:r w:rsidRPr="005C0A6F">
        <w:t>0.9</w:t>
      </w:r>
      <w:r w:rsidR="000159A6">
        <w:t xml:space="preserve"> </w:t>
      </w:r>
      <w:r w:rsidRPr="005C0A6F">
        <w:t>and</w:t>
      </w:r>
      <w:r w:rsidR="000159A6">
        <w:t xml:space="preserve"> </w:t>
      </w:r>
      <w:r w:rsidRPr="005C0A6F">
        <w:t>9.2</w:t>
      </w:r>
      <w:r w:rsidR="000159A6">
        <w:t xml:space="preserve"> </w:t>
      </w:r>
      <w:r w:rsidRPr="005C0A6F">
        <w:t>per</w:t>
      </w:r>
      <w:r w:rsidR="000159A6">
        <w:t xml:space="preserve"> </w:t>
      </w:r>
      <w:r w:rsidRPr="005C0A6F">
        <w:t>1000</w:t>
      </w:r>
      <w:r w:rsidR="000159A6">
        <w:t xml:space="preserve"> </w:t>
      </w:r>
      <w:r w:rsidRPr="005C0A6F">
        <w:t>person-years,</w:t>
      </w:r>
      <w:r w:rsidR="000159A6">
        <w:t xml:space="preserve"> </w:t>
      </w:r>
      <w:r w:rsidRPr="005C0A6F">
        <w:t>respectively.</w:t>
      </w:r>
      <w:r w:rsidR="000159A6">
        <w:t xml:space="preserve"> </w:t>
      </w:r>
      <w:r w:rsidRPr="005C0A6F">
        <w:t>This</w:t>
      </w:r>
      <w:r w:rsidR="000159A6">
        <w:t xml:space="preserve"> </w:t>
      </w:r>
      <w:r w:rsidRPr="005C0A6F">
        <w:t>resulted</w:t>
      </w:r>
      <w:r w:rsidR="000159A6">
        <w:t xml:space="preserve"> </w:t>
      </w:r>
      <w:r w:rsidRPr="005C0A6F">
        <w:t>in</w:t>
      </w:r>
      <w:r w:rsidR="000159A6">
        <w:t xml:space="preserve"> </w:t>
      </w:r>
      <w:r w:rsidRPr="005C0A6F">
        <w:t>a</w:t>
      </w:r>
      <w:r w:rsidR="000159A6">
        <w:t xml:space="preserve"> </w:t>
      </w:r>
      <w:r w:rsidR="004715B4">
        <w:t>HZ</w:t>
      </w:r>
      <w:r w:rsidR="000159A6">
        <w:t xml:space="preserve"> </w:t>
      </w:r>
      <w:r w:rsidR="004715B4">
        <w:t>VE</w:t>
      </w:r>
      <w:r w:rsidR="000159A6">
        <w:t xml:space="preserve"> </w:t>
      </w:r>
      <w:r w:rsidR="004715B4">
        <w:t>of</w:t>
      </w:r>
      <w:r w:rsidR="000159A6">
        <w:t xml:space="preserve"> </w:t>
      </w:r>
      <w:r w:rsidR="004715B4">
        <w:t>89.79%</w:t>
      </w:r>
      <w:r w:rsidR="000159A6">
        <w:t xml:space="preserve"> </w:t>
      </w:r>
      <w:r w:rsidR="004715B4">
        <w:t>(95%</w:t>
      </w:r>
      <w:r w:rsidR="000159A6">
        <w:t xml:space="preserve"> </w:t>
      </w:r>
      <w:r w:rsidR="004715B4">
        <w:t>CI:</w:t>
      </w:r>
      <w:r w:rsidR="000159A6">
        <w:t xml:space="preserve"> </w:t>
      </w:r>
      <w:r w:rsidR="004715B4">
        <w:t>84.29</w:t>
      </w:r>
      <w:r w:rsidR="000159A6">
        <w:t xml:space="preserve"> </w:t>
      </w:r>
      <w:r w:rsidR="004715B4">
        <w:t>to</w:t>
      </w:r>
      <w:r w:rsidR="000159A6">
        <w:t xml:space="preserve"> </w:t>
      </w:r>
      <w:r w:rsidRPr="005C0A6F">
        <w:t>93.66%,</w:t>
      </w:r>
      <w:r w:rsidR="000159A6">
        <w:t xml:space="preserve"> </w:t>
      </w:r>
      <w:r w:rsidR="004715B4">
        <w:t>p</w:t>
      </w:r>
      <w:r w:rsidR="000159A6">
        <w:t xml:space="preserve"> </w:t>
      </w:r>
      <w:r w:rsidR="004715B4">
        <w:t>&lt;</w:t>
      </w:r>
      <w:r w:rsidR="000159A6">
        <w:t xml:space="preserve"> </w:t>
      </w:r>
      <w:r w:rsidRPr="005C0A6F">
        <w:t>0.0001).</w:t>
      </w:r>
      <w:r w:rsidR="000159A6">
        <w:t xml:space="preserve"> </w:t>
      </w:r>
      <w:r w:rsidRPr="005C0A6F">
        <w:t>As</w:t>
      </w:r>
      <w:r w:rsidR="000159A6">
        <w:t xml:space="preserve"> </w:t>
      </w:r>
      <w:r w:rsidRPr="005C0A6F">
        <w:t>the</w:t>
      </w:r>
      <w:r w:rsidR="000159A6">
        <w:t xml:space="preserve"> </w:t>
      </w:r>
      <w:r w:rsidRPr="005C0A6F">
        <w:t>LL</w:t>
      </w:r>
      <w:r w:rsidR="000159A6">
        <w:t xml:space="preserve"> </w:t>
      </w:r>
      <w:r w:rsidRPr="005C0A6F">
        <w:t>of</w:t>
      </w:r>
      <w:r w:rsidR="000159A6">
        <w:t xml:space="preserve"> </w:t>
      </w:r>
      <w:r w:rsidRPr="005C0A6F">
        <w:t>the</w:t>
      </w:r>
      <w:r w:rsidR="000159A6">
        <w:t xml:space="preserve"> </w:t>
      </w:r>
      <w:r w:rsidRPr="005C0A6F">
        <w:t>95%</w:t>
      </w:r>
      <w:r w:rsidR="000159A6">
        <w:t xml:space="preserve"> </w:t>
      </w:r>
      <w:r w:rsidRPr="005C0A6F">
        <w:t>CI</w:t>
      </w:r>
      <w:r w:rsidR="000159A6">
        <w:t xml:space="preserve"> </w:t>
      </w:r>
      <w:r w:rsidRPr="005C0A6F">
        <w:t>was</w:t>
      </w:r>
      <w:r w:rsidR="000159A6">
        <w:t xml:space="preserve"> </w:t>
      </w:r>
      <w:r w:rsidRPr="005C0A6F">
        <w:t>above</w:t>
      </w:r>
      <w:r w:rsidR="000159A6">
        <w:t xml:space="preserve"> </w:t>
      </w:r>
      <w:r w:rsidRPr="005C0A6F">
        <w:t>10%,</w:t>
      </w:r>
      <w:r w:rsidR="000159A6">
        <w:t xml:space="preserve"> </w:t>
      </w:r>
      <w:r w:rsidRPr="005C0A6F">
        <w:t>the</w:t>
      </w:r>
      <w:r w:rsidR="000159A6">
        <w:t xml:space="preserve"> </w:t>
      </w:r>
      <w:r w:rsidRPr="005C0A6F">
        <w:t>study</w:t>
      </w:r>
      <w:r w:rsidR="000159A6">
        <w:t xml:space="preserve"> </w:t>
      </w:r>
      <w:r w:rsidRPr="005C0A6F">
        <w:t>met</w:t>
      </w:r>
      <w:r w:rsidR="000159A6">
        <w:t xml:space="preserve"> </w:t>
      </w:r>
      <w:r w:rsidRPr="005C0A6F">
        <w:t>its</w:t>
      </w:r>
      <w:r w:rsidR="000159A6">
        <w:t xml:space="preserve"> </w:t>
      </w:r>
      <w:r w:rsidRPr="005C0A6F">
        <w:t>primary</w:t>
      </w:r>
      <w:r w:rsidR="000159A6">
        <w:t xml:space="preserve"> </w:t>
      </w:r>
      <w:r w:rsidRPr="005C0A6F">
        <w:t>objective.</w:t>
      </w:r>
      <w:r w:rsidR="000159A6">
        <w:t xml:space="preserve"> </w:t>
      </w:r>
      <w:r w:rsidRPr="005C0A6F">
        <w:t>HZ</w:t>
      </w:r>
      <w:r w:rsidR="000159A6">
        <w:t xml:space="preserve"> </w:t>
      </w:r>
      <w:r w:rsidRPr="005C0A6F">
        <w:t>VE</w:t>
      </w:r>
      <w:r w:rsidR="000159A6">
        <w:t xml:space="preserve"> </w:t>
      </w:r>
      <w:r w:rsidRPr="005C0A6F">
        <w:t>in</w:t>
      </w:r>
      <w:r w:rsidR="000159A6">
        <w:t xml:space="preserve"> </w:t>
      </w:r>
      <w:r w:rsidRPr="005C0A6F">
        <w:t>the</w:t>
      </w:r>
      <w:r w:rsidR="000159A6">
        <w:t xml:space="preserve"> </w:t>
      </w:r>
      <w:r w:rsidR="004715B4">
        <w:t>70</w:t>
      </w:r>
      <w:r w:rsidR="000159A6">
        <w:t xml:space="preserve"> </w:t>
      </w:r>
      <w:r w:rsidR="004715B4">
        <w:t>to</w:t>
      </w:r>
      <w:r w:rsidR="000159A6">
        <w:t xml:space="preserve"> </w:t>
      </w:r>
      <w:r w:rsidR="004715B4">
        <w:t>79</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group</w:t>
      </w:r>
      <w:r w:rsidR="000159A6">
        <w:t xml:space="preserve"> </w:t>
      </w:r>
      <w:r w:rsidRPr="005C0A6F">
        <w:t>was</w:t>
      </w:r>
      <w:r w:rsidR="000159A6">
        <w:t xml:space="preserve"> </w:t>
      </w:r>
      <w:r w:rsidRPr="005C0A6F">
        <w:t>90.02%</w:t>
      </w:r>
      <w:r w:rsidR="000159A6">
        <w:t xml:space="preserve"> </w:t>
      </w:r>
      <w:r w:rsidRPr="005C0A6F">
        <w:t>and</w:t>
      </w:r>
      <w:r w:rsidR="000159A6">
        <w:t xml:space="preserve"> </w:t>
      </w:r>
      <w:r w:rsidRPr="005C0A6F">
        <w:t>in</w:t>
      </w:r>
      <w:r w:rsidR="000159A6">
        <w:t xml:space="preserve"> </w:t>
      </w:r>
      <w:r w:rsidRPr="005C0A6F">
        <w:t>the</w:t>
      </w:r>
      <w:r w:rsidR="000159A6">
        <w:t xml:space="preserve"> </w:t>
      </w:r>
      <w:r w:rsidR="004715B4">
        <w:t>≥</w:t>
      </w:r>
      <w:r w:rsidR="000159A6">
        <w:t xml:space="preserve"> </w:t>
      </w:r>
      <w:r w:rsidR="004715B4">
        <w:t>80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group</w:t>
      </w:r>
      <w:r w:rsidR="000159A6">
        <w:t xml:space="preserve"> </w:t>
      </w:r>
      <w:r w:rsidRPr="005C0A6F">
        <w:t>was</w:t>
      </w:r>
      <w:r w:rsidR="000159A6">
        <w:t xml:space="preserve"> </w:t>
      </w:r>
      <w:r w:rsidRPr="005C0A6F">
        <w:t>89.08%.</w:t>
      </w:r>
      <w:r w:rsidR="000159A6">
        <w:t xml:space="preserve"> </w:t>
      </w:r>
      <w:r w:rsidRPr="005C0A6F">
        <w:t>Results</w:t>
      </w:r>
      <w:r w:rsidR="000159A6">
        <w:t xml:space="preserve"> </w:t>
      </w:r>
      <w:r w:rsidRPr="005C0A6F">
        <w:t>were</w:t>
      </w:r>
      <w:r w:rsidR="000159A6">
        <w:t xml:space="preserve"> </w:t>
      </w:r>
      <w:r w:rsidRPr="005C0A6F">
        <w:t>consistent</w:t>
      </w:r>
      <w:r w:rsidR="000159A6">
        <w:t xml:space="preserve"> </w:t>
      </w:r>
      <w:r w:rsidRPr="005C0A6F">
        <w:t>between</w:t>
      </w:r>
      <w:r w:rsidR="000159A6">
        <w:t xml:space="preserve"> </w:t>
      </w:r>
      <w:r w:rsidRPr="005C0A6F">
        <w:t>males</w:t>
      </w:r>
      <w:r w:rsidR="000159A6">
        <w:t xml:space="preserve"> </w:t>
      </w:r>
      <w:r w:rsidRPr="005C0A6F">
        <w:t>and</w:t>
      </w:r>
      <w:r w:rsidR="000159A6">
        <w:t xml:space="preserve"> </w:t>
      </w:r>
      <w:r w:rsidRPr="005C0A6F">
        <w:t>females</w:t>
      </w:r>
      <w:r w:rsidR="000159A6">
        <w:t xml:space="preserve"> </w:t>
      </w:r>
      <w:r w:rsidRPr="005C0A6F">
        <w:t>and</w:t>
      </w:r>
      <w:r w:rsidR="000159A6">
        <w:t xml:space="preserve"> </w:t>
      </w:r>
      <w:r w:rsidRPr="005C0A6F">
        <w:t>across</w:t>
      </w:r>
      <w:r w:rsidR="000159A6">
        <w:t xml:space="preserve"> </w:t>
      </w:r>
      <w:r w:rsidRPr="005C0A6F">
        <w:t>geographic</w:t>
      </w:r>
      <w:r w:rsidR="000159A6">
        <w:t xml:space="preserve"> </w:t>
      </w:r>
      <w:r w:rsidRPr="005C0A6F">
        <w:t>regions.</w:t>
      </w:r>
      <w:r w:rsidR="000159A6">
        <w:t xml:space="preserve"> </w:t>
      </w:r>
      <w:r w:rsidRPr="005C0A6F">
        <w:t>Analysis</w:t>
      </w:r>
      <w:r w:rsidR="000159A6">
        <w:t xml:space="preserve"> </w:t>
      </w:r>
      <w:r w:rsidRPr="005C0A6F">
        <w:t>of</w:t>
      </w:r>
      <w:r w:rsidR="000159A6">
        <w:t xml:space="preserve"> </w:t>
      </w:r>
      <w:r w:rsidRPr="005C0A6F">
        <w:t>VE</w:t>
      </w:r>
      <w:r w:rsidR="000159A6">
        <w:t xml:space="preserve"> </w:t>
      </w:r>
      <w:r w:rsidRPr="005C0A6F">
        <w:t>over</w:t>
      </w:r>
      <w:r w:rsidR="000159A6">
        <w:t xml:space="preserve"> </w:t>
      </w:r>
      <w:r w:rsidRPr="005C0A6F">
        <w:t>the</w:t>
      </w:r>
      <w:r w:rsidR="000159A6">
        <w:t xml:space="preserve"> </w:t>
      </w:r>
      <w:r w:rsidRPr="005C0A6F">
        <w:t>study</w:t>
      </w:r>
      <w:r w:rsidR="000159A6">
        <w:t xml:space="preserve"> </w:t>
      </w:r>
      <w:r w:rsidRPr="005C0A6F">
        <w:t>period</w:t>
      </w:r>
      <w:r w:rsidR="000159A6">
        <w:t xml:space="preserve"> </w:t>
      </w:r>
      <w:r w:rsidRPr="005C0A6F">
        <w:t>found</w:t>
      </w:r>
      <w:r w:rsidR="000159A6">
        <w:t xml:space="preserve"> </w:t>
      </w:r>
      <w:r w:rsidRPr="005C0A6F">
        <w:t>HZ</w:t>
      </w:r>
      <w:r w:rsidR="000159A6">
        <w:t xml:space="preserve"> </w:t>
      </w:r>
      <w:r w:rsidRPr="005C0A6F">
        <w:t>VE</w:t>
      </w:r>
      <w:r w:rsidR="000159A6">
        <w:t xml:space="preserve"> </w:t>
      </w:r>
      <w:r w:rsidRPr="005C0A6F">
        <w:t>in</w:t>
      </w:r>
      <w:r w:rsidR="000159A6">
        <w:t xml:space="preserve"> </w:t>
      </w:r>
      <w:r w:rsidRPr="005C0A6F">
        <w:t>the</w:t>
      </w:r>
      <w:r w:rsidR="000159A6">
        <w:t xml:space="preserve"> </w:t>
      </w:r>
      <w:r w:rsidR="004715B4">
        <w:t>4th</w:t>
      </w:r>
      <w:r w:rsidR="000159A6">
        <w:t xml:space="preserve"> </w:t>
      </w:r>
      <w:r w:rsidR="004715B4">
        <w:t>year</w:t>
      </w:r>
      <w:r w:rsidR="000159A6">
        <w:t xml:space="preserve"> </w:t>
      </w:r>
      <w:r w:rsidR="004715B4">
        <w:t>of</w:t>
      </w:r>
      <w:r w:rsidR="000159A6">
        <w:t xml:space="preserve"> </w:t>
      </w:r>
      <w:r w:rsidR="004715B4">
        <w:t>85.1%</w:t>
      </w:r>
      <w:r w:rsidR="000159A6">
        <w:t xml:space="preserve"> </w:t>
      </w:r>
      <w:r w:rsidR="004715B4">
        <w:t>(95%</w:t>
      </w:r>
      <w:r w:rsidR="000159A6">
        <w:t xml:space="preserve"> </w:t>
      </w:r>
      <w:r w:rsidR="004715B4">
        <w:t>CI:</w:t>
      </w:r>
      <w:r w:rsidR="000159A6">
        <w:t xml:space="preserve"> </w:t>
      </w:r>
      <w:r w:rsidR="004715B4">
        <w:t>64.5</w:t>
      </w:r>
      <w:r w:rsidR="000159A6">
        <w:t xml:space="preserve"> </w:t>
      </w:r>
      <w:r w:rsidR="004715B4">
        <w:t>to</w:t>
      </w:r>
      <w:r w:rsidR="000159A6">
        <w:t xml:space="preserve"> </w:t>
      </w:r>
      <w:r w:rsidRPr="005C0A6F">
        <w:t>94.8%).</w:t>
      </w:r>
      <w:r w:rsidR="000159A6">
        <w:t xml:space="preserve"> </w:t>
      </w:r>
      <w:r w:rsidRPr="005C0A6F">
        <w:t>Analyses</w:t>
      </w:r>
      <w:r w:rsidR="000159A6">
        <w:t xml:space="preserve"> </w:t>
      </w:r>
      <w:r w:rsidRPr="005C0A6F">
        <w:t>of</w:t>
      </w:r>
      <w:r w:rsidR="000159A6">
        <w:t xml:space="preserve"> </w:t>
      </w:r>
      <w:r w:rsidRPr="005C0A6F">
        <w:t>VE</w:t>
      </w:r>
      <w:r w:rsidR="000159A6">
        <w:t xml:space="preserve"> </w:t>
      </w:r>
      <w:r w:rsidRPr="005C0A6F">
        <w:t>in</w:t>
      </w:r>
      <w:r w:rsidR="000159A6">
        <w:t xml:space="preserve"> </w:t>
      </w:r>
      <w:r w:rsidRPr="005C0A6F">
        <w:t>the</w:t>
      </w:r>
      <w:r w:rsidR="000159A6">
        <w:t xml:space="preserve"> </w:t>
      </w:r>
      <w:r w:rsidRPr="005C0A6F">
        <w:t>TVC</w:t>
      </w:r>
      <w:r w:rsidR="000159A6">
        <w:t xml:space="preserve"> </w:t>
      </w:r>
      <w:r w:rsidRPr="005C0A6F">
        <w:t>and</w:t>
      </w:r>
      <w:r w:rsidR="000159A6">
        <w:t xml:space="preserve"> </w:t>
      </w:r>
      <w:r w:rsidRPr="005C0A6F">
        <w:t>the</w:t>
      </w:r>
      <w:r w:rsidR="000159A6">
        <w:t xml:space="preserve"> </w:t>
      </w:r>
      <w:r w:rsidRPr="005C0A6F">
        <w:t>ATP</w:t>
      </w:r>
      <w:r w:rsidR="000159A6">
        <w:t xml:space="preserve"> </w:t>
      </w:r>
      <w:r w:rsidRPr="005C0A6F">
        <w:t>populations</w:t>
      </w:r>
      <w:r w:rsidR="000159A6">
        <w:t xml:space="preserve"> </w:t>
      </w:r>
      <w:r w:rsidRPr="005C0A6F">
        <w:t>were</w:t>
      </w:r>
      <w:r w:rsidR="000159A6">
        <w:t xml:space="preserve"> </w:t>
      </w:r>
      <w:r w:rsidRPr="005C0A6F">
        <w:t>also</w:t>
      </w:r>
      <w:r w:rsidR="000159A6">
        <w:t xml:space="preserve"> </w:t>
      </w:r>
      <w:r w:rsidRPr="005C0A6F">
        <w:t>consistent</w:t>
      </w:r>
      <w:r w:rsidR="000159A6">
        <w:t xml:space="preserve"> </w:t>
      </w:r>
      <w:r w:rsidRPr="005C0A6F">
        <w:t>with</w:t>
      </w:r>
      <w:r w:rsidR="000159A6">
        <w:t xml:space="preserve"> </w:t>
      </w:r>
      <w:r w:rsidRPr="005C0A6F">
        <w:t>the</w:t>
      </w:r>
      <w:r w:rsidR="000159A6">
        <w:t xml:space="preserve"> </w:t>
      </w:r>
      <w:proofErr w:type="spellStart"/>
      <w:r w:rsidRPr="005C0A6F">
        <w:t>mTVC</w:t>
      </w:r>
      <w:proofErr w:type="spellEnd"/>
      <w:r w:rsidRPr="005C0A6F">
        <w:t>.</w:t>
      </w:r>
    </w:p>
    <w:p w14:paraId="3F24F176" w14:textId="6310A411" w:rsidR="005C0A6F" w:rsidRDefault="005C0A6F" w:rsidP="00440509">
      <w:pPr>
        <w:pStyle w:val="Heading5"/>
      </w:pPr>
      <w:bookmarkStart w:id="249" w:name="_Ref493248739"/>
      <w:bookmarkStart w:id="250" w:name="_Toc493837871"/>
      <w:r w:rsidRPr="005C0A6F">
        <w:t>V</w:t>
      </w:r>
      <w:r w:rsidR="004715B4">
        <w:t>accine</w:t>
      </w:r>
      <w:r w:rsidR="000159A6">
        <w:t xml:space="preserve"> </w:t>
      </w:r>
      <w:r w:rsidRPr="005C0A6F">
        <w:t>E</w:t>
      </w:r>
      <w:r w:rsidR="004715B4">
        <w:t>fficacy</w:t>
      </w:r>
      <w:r w:rsidR="000159A6">
        <w:t xml:space="preserve"> </w:t>
      </w:r>
      <w:r w:rsidRPr="005C0A6F">
        <w:t>against</w:t>
      </w:r>
      <w:r w:rsidR="000159A6">
        <w:t xml:space="preserve"> </w:t>
      </w:r>
      <w:r w:rsidRPr="005C0A6F">
        <w:t>PHN</w:t>
      </w:r>
      <w:r w:rsidR="000159A6">
        <w:t xml:space="preserve"> </w:t>
      </w:r>
      <w:r w:rsidRPr="005C0A6F">
        <w:t>(</w:t>
      </w:r>
      <w:r w:rsidRPr="00440509">
        <w:t>secondary</w:t>
      </w:r>
      <w:r w:rsidR="000159A6">
        <w:t xml:space="preserve"> </w:t>
      </w:r>
      <w:r w:rsidRPr="005C0A6F">
        <w:t>efficacy</w:t>
      </w:r>
      <w:r w:rsidR="000159A6">
        <w:t xml:space="preserve"> </w:t>
      </w:r>
      <w:r w:rsidRPr="005C0A6F">
        <w:t>outcome)</w:t>
      </w:r>
    </w:p>
    <w:p w14:paraId="7491BF60" w14:textId="2841425B" w:rsidR="005C0A6F" w:rsidRDefault="00525235" w:rsidP="005C0A6F">
      <w:pPr>
        <w:pStyle w:val="Heading6"/>
      </w:pPr>
      <w:r>
        <w:t>Study</w:t>
      </w:r>
      <w:r w:rsidR="000159A6">
        <w:t xml:space="preserve"> </w:t>
      </w:r>
      <w:r>
        <w:t>ZOSTER</w:t>
      </w:r>
      <w:r w:rsidR="005C0A6F" w:rsidRPr="005C0A6F">
        <w:t>-006</w:t>
      </w:r>
    </w:p>
    <w:p w14:paraId="3DE4E625" w14:textId="690BE26C" w:rsidR="00FF12AA" w:rsidRDefault="005C0A6F" w:rsidP="005C0A6F">
      <w:r w:rsidRPr="005C0A6F">
        <w:t>Considering</w:t>
      </w:r>
      <w:r w:rsidR="000159A6">
        <w:t xml:space="preserve"> </w:t>
      </w:r>
      <w:r w:rsidRPr="005C0A6F">
        <w:t>all</w:t>
      </w:r>
      <w:r w:rsidR="000159A6">
        <w:t xml:space="preserve"> </w:t>
      </w:r>
      <w:r w:rsidRPr="005C0A6F">
        <w:t>subjects</w:t>
      </w:r>
      <w:r w:rsidR="000159A6">
        <w:t xml:space="preserve"> </w:t>
      </w:r>
      <w:r w:rsidRPr="005C0A6F">
        <w:t>(independent</w:t>
      </w:r>
      <w:r w:rsidR="000159A6">
        <w:t xml:space="preserve"> </w:t>
      </w:r>
      <w:r w:rsidRPr="005C0A6F">
        <w:t>of</w:t>
      </w:r>
      <w:r w:rsidR="000159A6">
        <w:t xml:space="preserve"> </w:t>
      </w:r>
      <w:r w:rsidRPr="005C0A6F">
        <w:t>the</w:t>
      </w:r>
      <w:r w:rsidR="000159A6">
        <w:t xml:space="preserve"> </w:t>
      </w:r>
      <w:r w:rsidRPr="005C0A6F">
        <w:t>occurrence</w:t>
      </w:r>
      <w:r w:rsidR="000159A6">
        <w:t xml:space="preserve"> </w:t>
      </w:r>
      <w:r w:rsidRPr="005C0A6F">
        <w:t>of</w:t>
      </w:r>
      <w:r w:rsidR="000159A6">
        <w:t xml:space="preserve"> </w:t>
      </w:r>
      <w:r w:rsidRPr="005C0A6F">
        <w:t>HZ),</w:t>
      </w:r>
      <w:r w:rsidR="000159A6">
        <w:t xml:space="preserve"> </w:t>
      </w:r>
      <w:r w:rsidRPr="005C0A6F">
        <w:t>there</w:t>
      </w:r>
      <w:r w:rsidR="000159A6">
        <w:t xml:space="preserve"> </w:t>
      </w:r>
      <w:r w:rsidRPr="005C0A6F">
        <w:t>were</w:t>
      </w:r>
      <w:r w:rsidR="000159A6">
        <w:t xml:space="preserve"> </w:t>
      </w:r>
      <w:r w:rsidRPr="005C0A6F">
        <w:t>no</w:t>
      </w:r>
      <w:r w:rsidR="000159A6">
        <w:t xml:space="preserve"> </w:t>
      </w:r>
      <w:r w:rsidRPr="005C0A6F">
        <w:t>PHN</w:t>
      </w:r>
      <w:r w:rsidR="000159A6">
        <w:t xml:space="preserve"> </w:t>
      </w:r>
      <w:r w:rsidRPr="005C0A6F">
        <w:t>cases</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Pr="005C0A6F">
        <w:t>and</w:t>
      </w:r>
      <w:r w:rsidR="000159A6">
        <w:t xml:space="preserve"> </w:t>
      </w:r>
      <w:r w:rsidRPr="005C0A6F">
        <w:t>18</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0159A6">
        <w:t xml:space="preserve"> </w:t>
      </w:r>
      <w:r w:rsidRPr="005C0A6F">
        <w:t>so</w:t>
      </w:r>
      <w:r w:rsidR="000159A6">
        <w:t xml:space="preserve"> </w:t>
      </w:r>
      <w:r w:rsidRPr="005C0A6F">
        <w:t>the</w:t>
      </w:r>
      <w:r w:rsidR="000159A6">
        <w:t xml:space="preserve"> </w:t>
      </w:r>
      <w:r w:rsidRPr="005C0A6F">
        <w:t>VE</w:t>
      </w:r>
      <w:r w:rsidR="000159A6">
        <w:t xml:space="preserve"> </w:t>
      </w:r>
      <w:r w:rsidRPr="005C0A6F">
        <w:t>against</w:t>
      </w:r>
      <w:r w:rsidR="000159A6">
        <w:t xml:space="preserve"> </w:t>
      </w:r>
      <w:r w:rsidRPr="005C0A6F">
        <w:t>PHN</w:t>
      </w:r>
      <w:r w:rsidR="000159A6">
        <w:t xml:space="preserve"> </w:t>
      </w:r>
      <w:r w:rsidRPr="005C0A6F">
        <w:t>is</w:t>
      </w:r>
      <w:r w:rsidR="000159A6">
        <w:t xml:space="preserve"> </w:t>
      </w:r>
      <w:r w:rsidRPr="005C0A6F">
        <w:t>100%</w:t>
      </w:r>
      <w:r w:rsidR="00FF12AA">
        <w:t>.</w:t>
      </w:r>
    </w:p>
    <w:p w14:paraId="09F2A6EF" w14:textId="25B83831" w:rsidR="005C0A6F" w:rsidRDefault="00525235" w:rsidP="00440509">
      <w:pPr>
        <w:pStyle w:val="Heading6"/>
      </w:pPr>
      <w:r>
        <w:t>Study</w:t>
      </w:r>
      <w:r w:rsidR="000159A6">
        <w:t xml:space="preserve"> </w:t>
      </w:r>
      <w:r w:rsidRPr="00440509">
        <w:t>ZOSTER</w:t>
      </w:r>
      <w:r w:rsidR="005C0A6F" w:rsidRPr="005C0A6F">
        <w:t>-022</w:t>
      </w:r>
    </w:p>
    <w:p w14:paraId="4EF03FBD" w14:textId="05E370D1" w:rsidR="00FF12AA" w:rsidRDefault="005C0A6F" w:rsidP="005C0A6F">
      <w:r w:rsidRPr="005C0A6F">
        <w:t>Considering</w:t>
      </w:r>
      <w:r w:rsidR="000159A6">
        <w:t xml:space="preserve"> </w:t>
      </w:r>
      <w:r w:rsidRPr="005C0A6F">
        <w:t>all</w:t>
      </w:r>
      <w:r w:rsidR="000159A6">
        <w:t xml:space="preserve"> </w:t>
      </w:r>
      <w:r w:rsidRPr="005C0A6F">
        <w:t>subjects</w:t>
      </w:r>
      <w:r w:rsidR="000159A6">
        <w:t xml:space="preserve"> </w:t>
      </w:r>
      <w:r w:rsidRPr="005C0A6F">
        <w:t>(independent</w:t>
      </w:r>
      <w:r w:rsidR="000159A6">
        <w:t xml:space="preserve"> </w:t>
      </w:r>
      <w:r w:rsidRPr="005C0A6F">
        <w:t>of</w:t>
      </w:r>
      <w:r w:rsidR="000159A6">
        <w:t xml:space="preserve"> </w:t>
      </w:r>
      <w:r w:rsidRPr="005C0A6F">
        <w:t>the</w:t>
      </w:r>
      <w:r w:rsidR="000159A6">
        <w:t xml:space="preserve"> </w:t>
      </w:r>
      <w:r w:rsidRPr="005C0A6F">
        <w:t>occurrence</w:t>
      </w:r>
      <w:r w:rsidR="000159A6">
        <w:t xml:space="preserve"> </w:t>
      </w:r>
      <w:r w:rsidRPr="005C0A6F">
        <w:t>of</w:t>
      </w:r>
      <w:r w:rsidR="000159A6">
        <w:t xml:space="preserve"> </w:t>
      </w:r>
      <w:r w:rsidRPr="005C0A6F">
        <w:t>HZ),</w:t>
      </w:r>
      <w:r w:rsidR="000159A6">
        <w:t xml:space="preserve"> </w:t>
      </w:r>
      <w:r w:rsidRPr="005C0A6F">
        <w:t>there</w:t>
      </w:r>
      <w:r w:rsidR="000159A6">
        <w:t xml:space="preserve"> </w:t>
      </w:r>
      <w:r w:rsidRPr="005C0A6F">
        <w:t>were</w:t>
      </w:r>
      <w:r w:rsidR="000159A6">
        <w:t xml:space="preserve"> </w:t>
      </w:r>
      <w:r w:rsidRPr="005C0A6F">
        <w:t>4</w:t>
      </w:r>
      <w:r w:rsidR="000159A6">
        <w:t xml:space="preserve"> </w:t>
      </w:r>
      <w:r w:rsidRPr="005C0A6F">
        <w:t>and</w:t>
      </w:r>
      <w:r w:rsidR="000159A6">
        <w:t xml:space="preserve"> </w:t>
      </w:r>
      <w:r w:rsidRPr="005C0A6F">
        <w:t>28</w:t>
      </w:r>
      <w:r w:rsidR="000159A6">
        <w:t xml:space="preserve"> </w:t>
      </w:r>
      <w:r w:rsidRPr="005C0A6F">
        <w:t>cases</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and</w:t>
      </w:r>
      <w:r w:rsidR="000159A6">
        <w:t xml:space="preserve"> </w:t>
      </w:r>
      <w:r w:rsidRPr="005C0A6F">
        <w:t>placebo</w:t>
      </w:r>
      <w:r w:rsidR="000159A6">
        <w:t xml:space="preserve"> </w:t>
      </w:r>
      <w:r w:rsidRPr="005C0A6F">
        <w:t>group</w:t>
      </w:r>
      <w:r w:rsidR="000159A6">
        <w:t xml:space="preserve"> </w:t>
      </w:r>
      <w:r w:rsidRPr="005C0A6F">
        <w:t>respectively,</w:t>
      </w:r>
      <w:r w:rsidR="000159A6">
        <w:t xml:space="preserve"> </w:t>
      </w:r>
      <w:r w:rsidRPr="005C0A6F">
        <w:t>with</w:t>
      </w:r>
      <w:r w:rsidR="000159A6">
        <w:t xml:space="preserve"> </w:t>
      </w:r>
      <w:r w:rsidRPr="005C0A6F">
        <w:t>an</w:t>
      </w:r>
      <w:r w:rsidR="000159A6">
        <w:t xml:space="preserve"> </w:t>
      </w:r>
      <w:r w:rsidRPr="005C0A6F">
        <w:t>incidence</w:t>
      </w:r>
      <w:r w:rsidR="000159A6">
        <w:t xml:space="preserve"> </w:t>
      </w:r>
      <w:r w:rsidRPr="005C0A6F">
        <w:t>of</w:t>
      </w:r>
      <w:r w:rsidR="000159A6">
        <w:t xml:space="preserve"> </w:t>
      </w:r>
      <w:r w:rsidRPr="005C0A6F">
        <w:t>0.2</w:t>
      </w:r>
      <w:r w:rsidR="000159A6">
        <w:t xml:space="preserve"> </w:t>
      </w:r>
      <w:r w:rsidRPr="005C0A6F">
        <w:t>and</w:t>
      </w:r>
      <w:r w:rsidR="000159A6">
        <w:t xml:space="preserve"> </w:t>
      </w:r>
      <w:r w:rsidRPr="005C0A6F">
        <w:t>1.1</w:t>
      </w:r>
      <w:r w:rsidR="000159A6">
        <w:t xml:space="preserve"> </w:t>
      </w:r>
      <w:r w:rsidRPr="005C0A6F">
        <w:t>per</w:t>
      </w:r>
      <w:r w:rsidR="000159A6">
        <w:t xml:space="preserve"> </w:t>
      </w:r>
      <w:r w:rsidRPr="005C0A6F">
        <w:t>1000</w:t>
      </w:r>
      <w:r w:rsidR="000159A6">
        <w:t xml:space="preserve"> </w:t>
      </w:r>
      <w:r w:rsidRPr="005C0A6F">
        <w:t>person-years.</w:t>
      </w:r>
      <w:r w:rsidR="000159A6">
        <w:t xml:space="preserve"> </w:t>
      </w:r>
      <w:r w:rsidRPr="005C0A6F">
        <w:t>The</w:t>
      </w:r>
      <w:r w:rsidR="000159A6">
        <w:t xml:space="preserve"> </w:t>
      </w:r>
      <w:r w:rsidRPr="005C0A6F">
        <w:t>VE</w:t>
      </w:r>
      <w:r w:rsidR="000159A6">
        <w:t xml:space="preserve"> </w:t>
      </w:r>
      <w:r w:rsidRPr="005C0A6F">
        <w:t>against</w:t>
      </w:r>
      <w:r w:rsidR="000159A6">
        <w:t xml:space="preserve"> </w:t>
      </w:r>
      <w:r w:rsidRPr="005C0A6F">
        <w:t>PHN</w:t>
      </w:r>
      <w:r w:rsidR="000159A6">
        <w:t xml:space="preserve"> </w:t>
      </w:r>
      <w:r w:rsidRPr="005C0A6F">
        <w:t>is</w:t>
      </w:r>
      <w:r w:rsidR="000159A6">
        <w:t xml:space="preserve"> </w:t>
      </w:r>
      <w:r w:rsidRPr="005C0A6F">
        <w:t>85.5%</w:t>
      </w:r>
      <w:r w:rsidR="00FF12AA">
        <w:t>.</w:t>
      </w:r>
    </w:p>
    <w:p w14:paraId="1DB310C9" w14:textId="5B5A495B" w:rsidR="005C0A6F" w:rsidRDefault="005C0A6F" w:rsidP="005C0A6F">
      <w:pPr>
        <w:pStyle w:val="Heading5"/>
      </w:pPr>
      <w:r w:rsidRPr="005C0A6F">
        <w:t>Other</w:t>
      </w:r>
      <w:r w:rsidR="000159A6">
        <w:t xml:space="preserve"> </w:t>
      </w:r>
      <w:r w:rsidRPr="005C0A6F">
        <w:t>secondary</w:t>
      </w:r>
      <w:r w:rsidR="000159A6">
        <w:t xml:space="preserve"> </w:t>
      </w:r>
      <w:r w:rsidRPr="005C0A6F">
        <w:t>objectives</w:t>
      </w:r>
    </w:p>
    <w:p w14:paraId="2970BEAF" w14:textId="58203288" w:rsidR="005C0A6F" w:rsidRDefault="005C0A6F" w:rsidP="00440509">
      <w:r w:rsidRPr="005C0A6F">
        <w:t>Other</w:t>
      </w:r>
      <w:r w:rsidR="000159A6">
        <w:t xml:space="preserve"> </w:t>
      </w:r>
      <w:r w:rsidRPr="005C0A6F">
        <w:t>secondary</w:t>
      </w:r>
      <w:r w:rsidR="000159A6">
        <w:t xml:space="preserve"> </w:t>
      </w:r>
      <w:r w:rsidRPr="005C0A6F">
        <w:t>objectives,</w:t>
      </w:r>
      <w:r w:rsidR="000159A6">
        <w:t xml:space="preserve"> </w:t>
      </w:r>
      <w:r w:rsidRPr="005C0A6F">
        <w:t>such</w:t>
      </w:r>
      <w:r w:rsidR="000159A6">
        <w:t xml:space="preserve"> </w:t>
      </w:r>
      <w:r w:rsidRPr="005C0A6F">
        <w:t>as</w:t>
      </w:r>
      <w:r w:rsidR="000159A6">
        <w:t xml:space="preserve"> </w:t>
      </w:r>
      <w:r w:rsidRPr="005C0A6F">
        <w:t>VE</w:t>
      </w:r>
      <w:r w:rsidR="000159A6">
        <w:t xml:space="preserve"> </w:t>
      </w:r>
      <w:r w:rsidRPr="005C0A6F">
        <w:t>in</w:t>
      </w:r>
      <w:r w:rsidR="000159A6">
        <w:t xml:space="preserve"> </w:t>
      </w:r>
      <w:r w:rsidRPr="005C0A6F">
        <w:t>reducing</w:t>
      </w:r>
      <w:r w:rsidR="000159A6">
        <w:t xml:space="preserve"> </w:t>
      </w:r>
      <w:r w:rsidRPr="005C0A6F">
        <w:t>the</w:t>
      </w:r>
      <w:r w:rsidR="000159A6">
        <w:t xml:space="preserve"> </w:t>
      </w:r>
      <w:r w:rsidR="000D0435">
        <w:t>HZ</w:t>
      </w:r>
      <w:r w:rsidR="000159A6">
        <w:t xml:space="preserve"> </w:t>
      </w:r>
      <w:r w:rsidR="000D0435">
        <w:t>related</w:t>
      </w:r>
      <w:r w:rsidR="000159A6">
        <w:t xml:space="preserve"> </w:t>
      </w:r>
      <w:r w:rsidRPr="005C0A6F">
        <w:t>mortality</w:t>
      </w:r>
      <w:r w:rsidR="000159A6">
        <w:t xml:space="preserve"> </w:t>
      </w:r>
      <w:r w:rsidRPr="005C0A6F">
        <w:t>and</w:t>
      </w:r>
      <w:r w:rsidR="000159A6">
        <w:t xml:space="preserve"> </w:t>
      </w:r>
      <w:r w:rsidRPr="005C0A6F">
        <w:t>hospitalizations,</w:t>
      </w:r>
      <w:r w:rsidR="000159A6">
        <w:t xml:space="preserve"> </w:t>
      </w:r>
      <w:r w:rsidRPr="005C0A6F">
        <w:t>the</w:t>
      </w:r>
      <w:r w:rsidR="000159A6">
        <w:t xml:space="preserve"> </w:t>
      </w:r>
      <w:r w:rsidRPr="005C0A6F">
        <w:t>incidence</w:t>
      </w:r>
      <w:r w:rsidR="000159A6">
        <w:t xml:space="preserve"> </w:t>
      </w:r>
      <w:r w:rsidRPr="005C0A6F">
        <w:t>of</w:t>
      </w:r>
      <w:r w:rsidR="000159A6">
        <w:t xml:space="preserve"> </w:t>
      </w:r>
      <w:r w:rsidR="004715B4">
        <w:t>HZ</w:t>
      </w:r>
      <w:r w:rsidR="000159A6">
        <w:t xml:space="preserve"> </w:t>
      </w:r>
      <w:r w:rsidR="004715B4">
        <w:t>associated</w:t>
      </w:r>
      <w:r w:rsidR="000159A6">
        <w:t xml:space="preserve"> </w:t>
      </w:r>
      <w:r w:rsidRPr="005C0A6F">
        <w:t>complications</w:t>
      </w:r>
      <w:r w:rsidR="000159A6">
        <w:t xml:space="preserve"> </w:t>
      </w:r>
      <w:r w:rsidR="004715B4">
        <w:t>(</w:t>
      </w:r>
      <w:r w:rsidRPr="005C0A6F">
        <w:t>other</w:t>
      </w:r>
      <w:r w:rsidR="000159A6">
        <w:t xml:space="preserve"> </w:t>
      </w:r>
      <w:r w:rsidRPr="005C0A6F">
        <w:t>than</w:t>
      </w:r>
      <w:r w:rsidR="000159A6">
        <w:t xml:space="preserve"> </w:t>
      </w:r>
      <w:r w:rsidRPr="005C0A6F">
        <w:t>PHN</w:t>
      </w:r>
      <w:r w:rsidR="004715B4">
        <w:t>)</w:t>
      </w:r>
      <w:r w:rsidRPr="005C0A6F">
        <w:t>,</w:t>
      </w:r>
      <w:r w:rsidR="000159A6">
        <w:t xml:space="preserve"> </w:t>
      </w:r>
      <w:r w:rsidRPr="005C0A6F">
        <w:t>and</w:t>
      </w:r>
      <w:r w:rsidR="000159A6">
        <w:t xml:space="preserve"> </w:t>
      </w:r>
      <w:r w:rsidRPr="005C0A6F">
        <w:t>the</w:t>
      </w:r>
      <w:r w:rsidR="000159A6">
        <w:t xml:space="preserve"> </w:t>
      </w:r>
      <w:r w:rsidRPr="005C0A6F">
        <w:t>use</w:t>
      </w:r>
      <w:r w:rsidR="000159A6">
        <w:t xml:space="preserve"> </w:t>
      </w:r>
      <w:r w:rsidRPr="005C0A6F">
        <w:t>of</w:t>
      </w:r>
      <w:r w:rsidR="000159A6">
        <w:t xml:space="preserve"> </w:t>
      </w:r>
      <w:r w:rsidRPr="005C0A6F">
        <w:t>pain</w:t>
      </w:r>
      <w:r w:rsidR="000159A6">
        <w:t xml:space="preserve"> </w:t>
      </w:r>
      <w:r w:rsidRPr="005C0A6F">
        <w:t>medications</w:t>
      </w:r>
      <w:r w:rsidR="000159A6">
        <w:t xml:space="preserve"> </w:t>
      </w:r>
      <w:r w:rsidRPr="005C0A6F">
        <w:t>for</w:t>
      </w:r>
      <w:r w:rsidR="000159A6">
        <w:t xml:space="preserve"> </w:t>
      </w:r>
      <w:r w:rsidRPr="005C0A6F">
        <w:t>HZ,</w:t>
      </w:r>
      <w:r w:rsidR="000159A6">
        <w:t xml:space="preserve"> </w:t>
      </w:r>
      <w:r w:rsidRPr="005C0A6F">
        <w:t>were</w:t>
      </w:r>
      <w:r w:rsidR="000159A6">
        <w:t xml:space="preserve"> </w:t>
      </w:r>
      <w:r w:rsidRPr="005C0A6F">
        <w:t>evaluated</w:t>
      </w:r>
      <w:r w:rsidR="000159A6">
        <w:t xml:space="preserve"> </w:t>
      </w:r>
      <w:r w:rsidRPr="005C0A6F">
        <w:t>in</w:t>
      </w:r>
      <w:r w:rsidR="000159A6">
        <w:t xml:space="preserve"> </w:t>
      </w:r>
      <w:r w:rsidRPr="005C0A6F">
        <w:t>subjects</w:t>
      </w:r>
      <w:r w:rsidR="000159A6">
        <w:t xml:space="preserve"> </w:t>
      </w:r>
      <w:r w:rsidRPr="005C0A6F">
        <w:t>with</w:t>
      </w:r>
      <w:r w:rsidR="000159A6">
        <w:t xml:space="preserve"> </w:t>
      </w:r>
      <w:r w:rsidRPr="005C0A6F">
        <w:t>confirmed</w:t>
      </w:r>
      <w:r w:rsidR="000159A6">
        <w:t xml:space="preserve"> </w:t>
      </w:r>
      <w:r w:rsidRPr="005C0A6F">
        <w:t>HZ</w:t>
      </w:r>
      <w:r w:rsidR="000159A6">
        <w:t xml:space="preserve"> </w:t>
      </w:r>
      <w:r w:rsidRPr="005C0A6F">
        <w:t>in</w:t>
      </w:r>
      <w:r w:rsidR="000159A6">
        <w:t xml:space="preserve"> </w:t>
      </w:r>
      <w:r w:rsidRPr="005C0A6F">
        <w:t>the</w:t>
      </w:r>
      <w:r w:rsidR="000159A6">
        <w:t xml:space="preserve"> </w:t>
      </w:r>
      <w:r w:rsidRPr="005C0A6F">
        <w:t>individual</w:t>
      </w:r>
      <w:r w:rsidR="000159A6">
        <w:t xml:space="preserve"> </w:t>
      </w:r>
      <w:r w:rsidR="00525235">
        <w:t>ZOSTER</w:t>
      </w:r>
      <w:r w:rsidRPr="005C0A6F">
        <w:t>-006</w:t>
      </w:r>
      <w:r w:rsidR="000159A6">
        <w:t xml:space="preserve"> </w:t>
      </w:r>
      <w:r w:rsidRPr="005C0A6F">
        <w:t>and</w:t>
      </w:r>
      <w:r w:rsidR="000159A6">
        <w:t xml:space="preserve"> </w:t>
      </w:r>
      <w:r w:rsidRPr="005C0A6F">
        <w:t>ZOSTER-022</w:t>
      </w:r>
      <w:r w:rsidR="000159A6">
        <w:t xml:space="preserve"> </w:t>
      </w:r>
      <w:r w:rsidRPr="005C0A6F">
        <w:t>studies.</w:t>
      </w:r>
      <w:r w:rsidR="000159A6">
        <w:t xml:space="preserve"> </w:t>
      </w:r>
      <w:r w:rsidRPr="005C0A6F">
        <w:t>As</w:t>
      </w:r>
      <w:r w:rsidR="000159A6">
        <w:t xml:space="preserve"> </w:t>
      </w:r>
      <w:r w:rsidRPr="005C0A6F">
        <w:t>a</w:t>
      </w:r>
      <w:r w:rsidR="000159A6">
        <w:t xml:space="preserve"> </w:t>
      </w:r>
      <w:r w:rsidRPr="005C0A6F">
        <w:t>consequence</w:t>
      </w:r>
      <w:r w:rsidR="000159A6">
        <w:t xml:space="preserve"> </w:t>
      </w:r>
      <w:r w:rsidRPr="005C0A6F">
        <w:t>of</w:t>
      </w:r>
      <w:r w:rsidR="000159A6">
        <w:t xml:space="preserve"> </w:t>
      </w:r>
      <w:r w:rsidRPr="005C0A6F">
        <w:t>the</w:t>
      </w:r>
      <w:r w:rsidR="000159A6">
        <w:t xml:space="preserve"> </w:t>
      </w:r>
      <w:r w:rsidRPr="005C0A6F">
        <w:t>high</w:t>
      </w:r>
      <w:r w:rsidR="000159A6">
        <w:t xml:space="preserve"> </w:t>
      </w:r>
      <w:r w:rsidRPr="005C0A6F">
        <w:t>VE</w:t>
      </w:r>
      <w:r w:rsidR="000159A6">
        <w:t xml:space="preserve"> </w:t>
      </w:r>
      <w:r w:rsidRPr="005C0A6F">
        <w:t>against</w:t>
      </w:r>
      <w:r w:rsidR="000159A6">
        <w:t xml:space="preserve"> </w:t>
      </w:r>
      <w:r w:rsidRPr="005C0A6F">
        <w:t>HZ,</w:t>
      </w:r>
      <w:r w:rsidR="000159A6">
        <w:t xml:space="preserve"> </w:t>
      </w:r>
      <w:r w:rsidRPr="005C0A6F">
        <w:t>a</w:t>
      </w:r>
      <w:r w:rsidR="000159A6">
        <w:t xml:space="preserve"> </w:t>
      </w:r>
      <w:r w:rsidRPr="005C0A6F">
        <w:t>low</w:t>
      </w:r>
      <w:r w:rsidR="000159A6">
        <w:t xml:space="preserve"> </w:t>
      </w:r>
      <w:r w:rsidRPr="005C0A6F">
        <w:t>number</w:t>
      </w:r>
      <w:r w:rsidR="000159A6">
        <w:t xml:space="preserve"> </w:t>
      </w:r>
      <w:r w:rsidRPr="005C0A6F">
        <w:t>of</w:t>
      </w:r>
      <w:r w:rsidR="000159A6">
        <w:t xml:space="preserve"> </w:t>
      </w:r>
      <w:r w:rsidRPr="005C0A6F">
        <w:t>breakthrough</w:t>
      </w:r>
      <w:r w:rsidR="000159A6">
        <w:t xml:space="preserve"> </w:t>
      </w:r>
      <w:r w:rsidRPr="005C0A6F">
        <w:t>cases</w:t>
      </w:r>
      <w:r w:rsidR="000159A6">
        <w:t xml:space="preserve"> </w:t>
      </w:r>
      <w:r w:rsidRPr="005C0A6F">
        <w:t>were</w:t>
      </w:r>
      <w:r w:rsidR="000159A6">
        <w:t xml:space="preserve"> </w:t>
      </w:r>
      <w:r w:rsidRPr="005C0A6F">
        <w:t>accrued,</w:t>
      </w:r>
      <w:r w:rsidR="000159A6">
        <w:t xml:space="preserve"> </w:t>
      </w:r>
      <w:r w:rsidRPr="005C0A6F">
        <w:t>and</w:t>
      </w:r>
      <w:r w:rsidR="000159A6">
        <w:t xml:space="preserve"> </w:t>
      </w:r>
      <w:r w:rsidRPr="005C0A6F">
        <w:t>therefore</w:t>
      </w:r>
      <w:r w:rsidR="000159A6">
        <w:t xml:space="preserve"> </w:t>
      </w:r>
      <w:r w:rsidRPr="005C0A6F">
        <w:t>it</w:t>
      </w:r>
      <w:r w:rsidR="000159A6">
        <w:t xml:space="preserve"> </w:t>
      </w:r>
      <w:r w:rsidRPr="005C0A6F">
        <w:t>was</w:t>
      </w:r>
      <w:r w:rsidR="000159A6">
        <w:t xml:space="preserve"> </w:t>
      </w:r>
      <w:r w:rsidRPr="005C0A6F">
        <w:t>not</w:t>
      </w:r>
      <w:r w:rsidR="000159A6">
        <w:t xml:space="preserve"> </w:t>
      </w:r>
      <w:r w:rsidRPr="005C0A6F">
        <w:t>possible</w:t>
      </w:r>
      <w:r w:rsidR="000159A6">
        <w:t xml:space="preserve"> </w:t>
      </w:r>
      <w:r w:rsidRPr="005C0A6F">
        <w:t>to</w:t>
      </w:r>
      <w:r w:rsidR="000159A6">
        <w:t xml:space="preserve"> </w:t>
      </w:r>
      <w:r w:rsidRPr="005C0A6F">
        <w:t>draw</w:t>
      </w:r>
      <w:r w:rsidR="000159A6">
        <w:t xml:space="preserve"> </w:t>
      </w:r>
      <w:r w:rsidRPr="005C0A6F">
        <w:t>firm</w:t>
      </w:r>
      <w:r w:rsidR="000159A6">
        <w:t xml:space="preserve"> </w:t>
      </w:r>
      <w:r w:rsidRPr="005C0A6F">
        <w:t>conclusions</w:t>
      </w:r>
      <w:r w:rsidR="000159A6">
        <w:t xml:space="preserve"> </w:t>
      </w:r>
      <w:r w:rsidRPr="005C0A6F">
        <w:t>on</w:t>
      </w:r>
      <w:r w:rsidR="000159A6">
        <w:t xml:space="preserve"> </w:t>
      </w:r>
      <w:r w:rsidRPr="005C0A6F">
        <w:t>VE</w:t>
      </w:r>
      <w:r w:rsidR="000159A6">
        <w:t xml:space="preserve"> </w:t>
      </w:r>
      <w:r w:rsidRPr="005C0A6F">
        <w:t>against</w:t>
      </w:r>
      <w:r w:rsidR="000159A6">
        <w:t xml:space="preserve"> </w:t>
      </w:r>
      <w:r w:rsidRPr="005C0A6F">
        <w:t>HZ</w:t>
      </w:r>
      <w:r w:rsidR="000159A6">
        <w:t xml:space="preserve"> </w:t>
      </w:r>
      <w:r w:rsidRPr="005C0A6F">
        <w:t>related</w:t>
      </w:r>
      <w:r w:rsidR="000159A6">
        <w:t xml:space="preserve"> </w:t>
      </w:r>
      <w:r w:rsidRPr="005C0A6F">
        <w:t>complications,</w:t>
      </w:r>
      <w:r w:rsidR="000159A6">
        <w:t xml:space="preserve"> </w:t>
      </w:r>
      <w:r w:rsidRPr="005C0A6F">
        <w:t>on</w:t>
      </w:r>
      <w:r w:rsidR="000159A6">
        <w:t xml:space="preserve"> </w:t>
      </w:r>
      <w:r w:rsidRPr="005C0A6F">
        <w:t>VE</w:t>
      </w:r>
      <w:r w:rsidR="000159A6">
        <w:t xml:space="preserve"> </w:t>
      </w:r>
      <w:r w:rsidRPr="005C0A6F">
        <w:t>in</w:t>
      </w:r>
      <w:r w:rsidR="000159A6">
        <w:t xml:space="preserve"> </w:t>
      </w:r>
      <w:r w:rsidRPr="005C0A6F">
        <w:t>reduction</w:t>
      </w:r>
      <w:r w:rsidR="000159A6">
        <w:t xml:space="preserve"> </w:t>
      </w:r>
      <w:r w:rsidRPr="005C0A6F">
        <w:t>of</w:t>
      </w:r>
      <w:r w:rsidR="000159A6">
        <w:t xml:space="preserve"> </w:t>
      </w:r>
      <w:r w:rsidRPr="005C0A6F">
        <w:t>confirmed</w:t>
      </w:r>
      <w:r w:rsidR="000159A6">
        <w:t xml:space="preserve"> </w:t>
      </w:r>
      <w:r w:rsidRPr="005C0A6F">
        <w:t>HZ</w:t>
      </w:r>
      <w:r w:rsidR="000159A6">
        <w:t xml:space="preserve"> </w:t>
      </w:r>
      <w:r w:rsidRPr="005C0A6F">
        <w:t>episode</w:t>
      </w:r>
      <w:r w:rsidR="000159A6">
        <w:t xml:space="preserve"> </w:t>
      </w:r>
      <w:r w:rsidRPr="005C0A6F">
        <w:t>related</w:t>
      </w:r>
      <w:r w:rsidR="000159A6">
        <w:t xml:space="preserve"> </w:t>
      </w:r>
      <w:r w:rsidRPr="005C0A6F">
        <w:t>mortality</w:t>
      </w:r>
      <w:r w:rsidR="000159A6">
        <w:t xml:space="preserve"> </w:t>
      </w:r>
      <w:r w:rsidRPr="005C0A6F">
        <w:t>and</w:t>
      </w:r>
      <w:r w:rsidR="000159A6">
        <w:t xml:space="preserve"> </w:t>
      </w:r>
      <w:r w:rsidRPr="005C0A6F">
        <w:t>hospitalizations.</w:t>
      </w:r>
      <w:r w:rsidR="000159A6">
        <w:t xml:space="preserve"> </w:t>
      </w:r>
      <w:r w:rsidRPr="005C0A6F">
        <w:t>There</w:t>
      </w:r>
      <w:r w:rsidR="000159A6">
        <w:t xml:space="preserve"> </w:t>
      </w:r>
      <w:r w:rsidRPr="005C0A6F">
        <w:t>were</w:t>
      </w:r>
      <w:r w:rsidR="000159A6">
        <w:t xml:space="preserve"> </w:t>
      </w:r>
      <w:r w:rsidRPr="005C0A6F">
        <w:t>no</w:t>
      </w:r>
      <w:r w:rsidR="000159A6">
        <w:t xml:space="preserve"> </w:t>
      </w:r>
      <w:r w:rsidR="000D0435">
        <w:t>HZ</w:t>
      </w:r>
      <w:r w:rsidR="000159A6">
        <w:t xml:space="preserve"> </w:t>
      </w:r>
      <w:r w:rsidR="000D0435">
        <w:t>related</w:t>
      </w:r>
      <w:r w:rsidR="000159A6">
        <w:t xml:space="preserve"> </w:t>
      </w:r>
      <w:r w:rsidRPr="005C0A6F">
        <w:t>mortality</w:t>
      </w:r>
      <w:r w:rsidR="000159A6">
        <w:t xml:space="preserve"> </w:t>
      </w:r>
      <w:r w:rsidRPr="005C0A6F">
        <w:t>cases</w:t>
      </w:r>
      <w:r w:rsidR="000159A6">
        <w:t xml:space="preserve"> </w:t>
      </w:r>
      <w:r w:rsidRPr="005C0A6F">
        <w:t>in</w:t>
      </w:r>
      <w:r w:rsidR="000159A6">
        <w:t xml:space="preserve"> </w:t>
      </w:r>
      <w:r w:rsidRPr="005C0A6F">
        <w:t>the</w:t>
      </w:r>
      <w:r w:rsidR="000159A6">
        <w:t xml:space="preserve"> </w:t>
      </w:r>
      <w:r w:rsidRPr="005C0A6F">
        <w:t>two</w:t>
      </w:r>
      <w:r w:rsidR="000159A6">
        <w:t xml:space="preserve"> </w:t>
      </w:r>
      <w:r w:rsidRPr="005C0A6F">
        <w:t>pivotal</w:t>
      </w:r>
      <w:r w:rsidR="000159A6">
        <w:t xml:space="preserve"> </w:t>
      </w:r>
      <w:r w:rsidRPr="005C0A6F">
        <w:t>studies</w:t>
      </w:r>
      <w:r w:rsidR="000159A6">
        <w:t xml:space="preserve"> </w:t>
      </w:r>
      <w:r w:rsidRPr="005C0A6F">
        <w:t>and</w:t>
      </w:r>
      <w:r w:rsidR="000159A6">
        <w:t xml:space="preserve"> </w:t>
      </w:r>
      <w:r w:rsidRPr="005C0A6F">
        <w:t>there</w:t>
      </w:r>
      <w:r w:rsidR="000159A6">
        <w:t xml:space="preserve"> </w:t>
      </w:r>
      <w:r w:rsidRPr="005C0A6F">
        <w:t>were</w:t>
      </w:r>
      <w:r w:rsidR="000159A6">
        <w:t xml:space="preserve"> </w:t>
      </w:r>
      <w:r w:rsidRPr="005C0A6F">
        <w:t>5</w:t>
      </w:r>
      <w:r w:rsidR="000159A6">
        <w:t xml:space="preserve"> </w:t>
      </w:r>
      <w:r w:rsidR="000D0435">
        <w:t>HZ</w:t>
      </w:r>
      <w:r w:rsidR="000159A6">
        <w:t xml:space="preserve"> </w:t>
      </w:r>
      <w:r w:rsidR="000D0435">
        <w:t>related</w:t>
      </w:r>
      <w:r w:rsidR="000159A6">
        <w:t xml:space="preserve"> </w:t>
      </w:r>
      <w:r w:rsidRPr="005C0A6F">
        <w:t>hospitalizations</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0159A6">
        <w:t xml:space="preserve"> </w:t>
      </w:r>
      <w:r w:rsidRPr="005C0A6F">
        <w:t>in</w:t>
      </w:r>
      <w:r w:rsidR="000159A6">
        <w:t xml:space="preserve"> </w:t>
      </w:r>
      <w:r w:rsidR="00525235">
        <w:t>Study</w:t>
      </w:r>
      <w:r w:rsidR="000159A6">
        <w:t xml:space="preserve"> </w:t>
      </w:r>
      <w:r w:rsidR="00525235">
        <w:t>ZOSTER</w:t>
      </w:r>
      <w:r w:rsidRPr="005C0A6F">
        <w:t>-022.</w:t>
      </w:r>
      <w:r w:rsidR="000159A6">
        <w:t xml:space="preserve"> </w:t>
      </w:r>
      <w:r w:rsidRPr="005C0A6F">
        <w:t>Only</w:t>
      </w:r>
      <w:r w:rsidR="000159A6">
        <w:t xml:space="preserve"> </w:t>
      </w:r>
      <w:r w:rsidRPr="005C0A6F">
        <w:t>a</w:t>
      </w:r>
      <w:r w:rsidR="000159A6">
        <w:t xml:space="preserve"> </w:t>
      </w:r>
      <w:r w:rsidRPr="005C0A6F">
        <w:t>few</w:t>
      </w:r>
      <w:r w:rsidR="000159A6">
        <w:t xml:space="preserve"> </w:t>
      </w:r>
      <w:r w:rsidRPr="005C0A6F">
        <w:t>HZ</w:t>
      </w:r>
      <w:r w:rsidR="000159A6">
        <w:t xml:space="preserve"> </w:t>
      </w:r>
      <w:r w:rsidRPr="005C0A6F">
        <w:t>complications</w:t>
      </w:r>
      <w:r w:rsidR="000159A6">
        <w:t xml:space="preserve"> </w:t>
      </w:r>
      <w:r w:rsidRPr="005C0A6F">
        <w:t>were</w:t>
      </w:r>
      <w:r w:rsidR="000159A6">
        <w:t xml:space="preserve"> </w:t>
      </w:r>
      <w:r w:rsidRPr="005C0A6F">
        <w:t>reported:</w:t>
      </w:r>
      <w:r w:rsidR="000159A6">
        <w:t xml:space="preserve"> </w:t>
      </w:r>
      <w:r w:rsidRPr="005C0A6F">
        <w:t>no</w:t>
      </w:r>
      <w:r w:rsidR="000159A6">
        <w:t xml:space="preserve"> </w:t>
      </w:r>
      <w:r w:rsidRPr="005C0A6F">
        <w:t>cases</w:t>
      </w:r>
      <w:r w:rsidR="000159A6">
        <w:t xml:space="preserve"> </w:t>
      </w:r>
      <w:r w:rsidRPr="005C0A6F">
        <w:t>in</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Pr="005C0A6F">
        <w:t>in</w:t>
      </w:r>
      <w:r w:rsidR="000159A6">
        <w:t xml:space="preserve"> </w:t>
      </w:r>
      <w:r w:rsidR="00525235">
        <w:t>Study</w:t>
      </w:r>
      <w:r w:rsidR="000159A6">
        <w:t xml:space="preserve"> </w:t>
      </w:r>
      <w:r w:rsidR="00525235">
        <w:t>ZOSTER</w:t>
      </w:r>
      <w:r w:rsidRPr="005C0A6F">
        <w:t>-006</w:t>
      </w:r>
      <w:r w:rsidR="000159A6">
        <w:t xml:space="preserve"> </w:t>
      </w:r>
      <w:r w:rsidRPr="005C0A6F">
        <w:t>and</w:t>
      </w:r>
      <w:r w:rsidR="000159A6">
        <w:t xml:space="preserve"> </w:t>
      </w:r>
      <w:r w:rsidRPr="005C0A6F">
        <w:t>one</w:t>
      </w:r>
      <w:r w:rsidR="000159A6">
        <w:t xml:space="preserve"> </w:t>
      </w:r>
      <w:r w:rsidRPr="005C0A6F">
        <w:t>case</w:t>
      </w:r>
      <w:r w:rsidR="000159A6">
        <w:t xml:space="preserve"> </w:t>
      </w:r>
      <w:r w:rsidRPr="005C0A6F">
        <w:t>of</w:t>
      </w:r>
      <w:r w:rsidR="000159A6">
        <w:t xml:space="preserve"> </w:t>
      </w:r>
      <w:r w:rsidRPr="005C0A6F">
        <w:t>ophthalmic</w:t>
      </w:r>
      <w:r w:rsidR="000159A6">
        <w:t xml:space="preserve"> </w:t>
      </w:r>
      <w:r w:rsidRPr="005C0A6F">
        <w:t>disease</w:t>
      </w:r>
      <w:r w:rsidR="000159A6">
        <w:t xml:space="preserve"> </w:t>
      </w:r>
      <w:r w:rsidRPr="005C0A6F">
        <w:t>in</w:t>
      </w:r>
      <w:r w:rsidR="000159A6">
        <w:t xml:space="preserve"> </w:t>
      </w:r>
      <w:r w:rsidRPr="005C0A6F">
        <w:t>HZ/</w:t>
      </w:r>
      <w:proofErr w:type="spellStart"/>
      <w:r w:rsidRPr="005C0A6F">
        <w:t>su</w:t>
      </w:r>
      <w:proofErr w:type="spellEnd"/>
      <w:r w:rsidR="000159A6">
        <w:t xml:space="preserve"> </w:t>
      </w:r>
      <w:r w:rsidRPr="005C0A6F">
        <w:lastRenderedPageBreak/>
        <w:t>group</w:t>
      </w:r>
      <w:r w:rsidR="000159A6">
        <w:t xml:space="preserve"> </w:t>
      </w:r>
      <w:r w:rsidRPr="005C0A6F">
        <w:t>in</w:t>
      </w:r>
      <w:r w:rsidR="000159A6">
        <w:t xml:space="preserve"> </w:t>
      </w:r>
      <w:r w:rsidR="00525235">
        <w:t>Study</w:t>
      </w:r>
      <w:r w:rsidR="000159A6">
        <w:t xml:space="preserve"> </w:t>
      </w:r>
      <w:r w:rsidR="00525235">
        <w:t>ZOSTER</w:t>
      </w:r>
      <w:r w:rsidRPr="005C0A6F">
        <w:t>-022</w:t>
      </w:r>
      <w:r w:rsidR="000159A6">
        <w:t xml:space="preserve"> </w:t>
      </w:r>
      <w:r w:rsidRPr="005C0A6F">
        <w:t>compared</w:t>
      </w:r>
      <w:r w:rsidR="000159A6">
        <w:t xml:space="preserve"> </w:t>
      </w:r>
      <w:r w:rsidRPr="005C0A6F">
        <w:t>to</w:t>
      </w:r>
      <w:r w:rsidR="000159A6">
        <w:t xml:space="preserve"> </w:t>
      </w:r>
      <w:r w:rsidRPr="005C0A6F">
        <w:t>6</w:t>
      </w:r>
      <w:r w:rsidR="000159A6">
        <w:t xml:space="preserve"> </w:t>
      </w:r>
      <w:r w:rsidRPr="005C0A6F">
        <w:t>and</w:t>
      </w:r>
      <w:r w:rsidR="000159A6">
        <w:t xml:space="preserve"> </w:t>
      </w:r>
      <w:r w:rsidRPr="005C0A6F">
        <w:t>10</w:t>
      </w:r>
      <w:r w:rsidR="000159A6">
        <w:t xml:space="preserve"> </w:t>
      </w:r>
      <w:r w:rsidR="000D0435">
        <w:t>HZ</w:t>
      </w:r>
      <w:r w:rsidR="000159A6">
        <w:t xml:space="preserve"> </w:t>
      </w:r>
      <w:r w:rsidR="000D0435">
        <w:t>related</w:t>
      </w:r>
      <w:r w:rsidR="000159A6">
        <w:t xml:space="preserve"> </w:t>
      </w:r>
      <w:r w:rsidRPr="005C0A6F">
        <w:t>complications</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0159A6">
        <w:t xml:space="preserve"> </w:t>
      </w:r>
      <w:r w:rsidRPr="005C0A6F">
        <w:t>of</w:t>
      </w:r>
      <w:r w:rsidR="000159A6">
        <w:t xml:space="preserve"> </w:t>
      </w:r>
      <w:r w:rsidR="00525235">
        <w:t>Studies</w:t>
      </w:r>
      <w:r w:rsidR="000159A6">
        <w:t xml:space="preserve"> </w:t>
      </w:r>
      <w:r w:rsidR="00525235">
        <w:t>ZOSTER</w:t>
      </w:r>
      <w:r w:rsidRPr="005C0A6F">
        <w:t>-006</w:t>
      </w:r>
      <w:r w:rsidR="000159A6">
        <w:t xml:space="preserve"> </w:t>
      </w:r>
      <w:r w:rsidRPr="005C0A6F">
        <w:t>and</w:t>
      </w:r>
      <w:r w:rsidR="000159A6">
        <w:t xml:space="preserve"> </w:t>
      </w:r>
      <w:r w:rsidRPr="005C0A6F">
        <w:t>ZOSTER-022,</w:t>
      </w:r>
      <w:r w:rsidR="000159A6">
        <w:t xml:space="preserve"> </w:t>
      </w:r>
      <w:r w:rsidRPr="005C0A6F">
        <w:t>respectively.</w:t>
      </w:r>
    </w:p>
    <w:p w14:paraId="4705EE05" w14:textId="796D9ECF" w:rsidR="005C0A6F" w:rsidRDefault="005C0A6F" w:rsidP="00440509">
      <w:r w:rsidRPr="005C0A6F">
        <w:t>In</w:t>
      </w:r>
      <w:r w:rsidR="000159A6">
        <w:t xml:space="preserve"> </w:t>
      </w:r>
      <w:r w:rsidR="00525235">
        <w:t>Study</w:t>
      </w:r>
      <w:r w:rsidR="000159A6">
        <w:t xml:space="preserve"> </w:t>
      </w:r>
      <w:r w:rsidR="00525235">
        <w:t>ZOSTER</w:t>
      </w:r>
      <w:r w:rsidRPr="005C0A6F">
        <w:t>-022,</w:t>
      </w:r>
      <w:r w:rsidR="000159A6">
        <w:t xml:space="preserve"> </w:t>
      </w:r>
      <w:r w:rsidRPr="005C0A6F">
        <w:t>when</w:t>
      </w:r>
      <w:r w:rsidR="000159A6">
        <w:t xml:space="preserve"> </w:t>
      </w:r>
      <w:r w:rsidRPr="005C0A6F">
        <w:t>considering</w:t>
      </w:r>
      <w:r w:rsidR="000159A6">
        <w:t xml:space="preserve"> </w:t>
      </w:r>
      <w:r w:rsidRPr="005C0A6F">
        <w:t>the</w:t>
      </w:r>
      <w:r w:rsidR="000159A6">
        <w:t xml:space="preserve"> </w:t>
      </w:r>
      <w:r w:rsidRPr="005C0A6F">
        <w:t>reduction</w:t>
      </w:r>
      <w:r w:rsidR="000159A6">
        <w:t xml:space="preserve"> </w:t>
      </w:r>
      <w:r w:rsidRPr="005C0A6F">
        <w:t>of</w:t>
      </w:r>
      <w:r w:rsidR="000159A6">
        <w:t xml:space="preserve"> </w:t>
      </w:r>
      <w:r w:rsidRPr="005C0A6F">
        <w:t>the</w:t>
      </w:r>
      <w:r w:rsidR="000159A6">
        <w:t xml:space="preserve"> </w:t>
      </w:r>
      <w:r w:rsidRPr="005C0A6F">
        <w:t>use</w:t>
      </w:r>
      <w:r w:rsidR="000159A6">
        <w:t xml:space="preserve"> </w:t>
      </w:r>
      <w:r w:rsidRPr="005C0A6F">
        <w:t>of</w:t>
      </w:r>
      <w:r w:rsidR="000159A6">
        <w:t xml:space="preserve"> </w:t>
      </w:r>
      <w:r w:rsidRPr="005C0A6F">
        <w:t>pain</w:t>
      </w:r>
      <w:r w:rsidR="000159A6">
        <w:t xml:space="preserve"> </w:t>
      </w:r>
      <w:r w:rsidRPr="005C0A6F">
        <w:t>medication</w:t>
      </w:r>
      <w:r w:rsidR="000159A6">
        <w:t xml:space="preserve"> </w:t>
      </w:r>
      <w:r w:rsidRPr="005C0A6F">
        <w:t>in</w:t>
      </w:r>
      <w:r w:rsidR="000159A6">
        <w:t xml:space="preserve"> </w:t>
      </w:r>
      <w:r w:rsidRPr="005C0A6F">
        <w:t>adults</w:t>
      </w:r>
      <w:r w:rsidR="000159A6">
        <w:t xml:space="preserve"> </w:t>
      </w:r>
      <w:r w:rsidR="0037169B">
        <w:t>≥</w:t>
      </w:r>
      <w:r w:rsidR="000159A6">
        <w:t xml:space="preserve"> </w:t>
      </w:r>
      <w:r w:rsidRPr="005C0A6F">
        <w:t>70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with</w:t>
      </w:r>
      <w:r w:rsidR="000159A6">
        <w:t xml:space="preserve"> </w:t>
      </w:r>
      <w:r w:rsidRPr="005C0A6F">
        <w:t>confirmed</w:t>
      </w:r>
      <w:r w:rsidR="000159A6">
        <w:t xml:space="preserve"> </w:t>
      </w:r>
      <w:r w:rsidRPr="005C0A6F">
        <w:t>HZ,</w:t>
      </w:r>
      <w:r w:rsidR="000159A6">
        <w:t xml:space="preserve"> </w:t>
      </w:r>
      <w:r w:rsidRPr="005C0A6F">
        <w:t>VE</w:t>
      </w:r>
      <w:r w:rsidR="000159A6">
        <w:t xml:space="preserve"> </w:t>
      </w:r>
      <w:r w:rsidRPr="005C0A6F">
        <w:t>was</w:t>
      </w:r>
      <w:r w:rsidR="000159A6">
        <w:t xml:space="preserve"> </w:t>
      </w:r>
      <w:r w:rsidRPr="005C0A6F">
        <w:t>39.60%</w:t>
      </w:r>
      <w:r w:rsidR="000159A6">
        <w:t xml:space="preserve"> </w:t>
      </w:r>
      <w:r w:rsidRPr="005C0A6F">
        <w:t>(95%</w:t>
      </w:r>
      <w:r w:rsidR="000159A6">
        <w:t xml:space="preserve"> </w:t>
      </w:r>
      <w:r w:rsidRPr="005C0A6F">
        <w:t>CI:</w:t>
      </w:r>
      <w:r w:rsidR="000159A6">
        <w:t xml:space="preserve"> </w:t>
      </w:r>
      <w:r w:rsidRPr="005C0A6F">
        <w:t>10.79</w:t>
      </w:r>
      <w:r w:rsidR="000159A6">
        <w:t xml:space="preserve"> </w:t>
      </w:r>
      <w:r w:rsidRPr="005C0A6F">
        <w:t>to</w:t>
      </w:r>
      <w:r w:rsidR="000159A6">
        <w:t xml:space="preserve"> </w:t>
      </w:r>
      <w:r w:rsidRPr="005C0A6F">
        <w:t>64.75),</w:t>
      </w:r>
      <w:r w:rsidR="000159A6">
        <w:t xml:space="preserve"> </w:t>
      </w:r>
      <w:r w:rsidRPr="005C0A6F">
        <w:t>with</w:t>
      </w:r>
      <w:r w:rsidR="000159A6">
        <w:t xml:space="preserve"> </w:t>
      </w:r>
      <w:r w:rsidRPr="005C0A6F">
        <w:t>43.5%</w:t>
      </w:r>
      <w:r w:rsidR="000159A6">
        <w:t xml:space="preserve"> </w:t>
      </w:r>
      <w:r w:rsidRPr="005C0A6F">
        <w:t>of</w:t>
      </w:r>
      <w:r w:rsidR="000159A6">
        <w:t xml:space="preserve"> </w:t>
      </w:r>
      <w:r w:rsidRPr="005C0A6F">
        <w:t>subjects</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Pr="005C0A6F">
        <w:t>and</w:t>
      </w:r>
      <w:r w:rsidR="000159A6">
        <w:t xml:space="preserve"> </w:t>
      </w:r>
      <w:r w:rsidRPr="005C0A6F">
        <w:t>71.8%</w:t>
      </w:r>
      <w:r w:rsidR="000159A6">
        <w:t xml:space="preserve"> </w:t>
      </w:r>
      <w:r w:rsidRPr="005C0A6F">
        <w:t>of</w:t>
      </w:r>
      <w:r w:rsidR="000159A6">
        <w:t xml:space="preserve"> </w:t>
      </w:r>
      <w:r w:rsidRPr="005C0A6F">
        <w:t>subjects</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0159A6">
        <w:t xml:space="preserve"> </w:t>
      </w:r>
      <w:r w:rsidRPr="005C0A6F">
        <w:t>having</w:t>
      </w:r>
      <w:r w:rsidR="000159A6">
        <w:t xml:space="preserve"> </w:t>
      </w:r>
      <w:r w:rsidRPr="005C0A6F">
        <w:t>taken</w:t>
      </w:r>
      <w:r w:rsidR="000159A6">
        <w:t xml:space="preserve"> </w:t>
      </w:r>
      <w:r w:rsidRPr="005C0A6F">
        <w:t>at</w:t>
      </w:r>
      <w:r w:rsidR="000159A6">
        <w:t xml:space="preserve"> </w:t>
      </w:r>
      <w:r w:rsidRPr="005C0A6F">
        <w:t>least</w:t>
      </w:r>
      <w:r w:rsidR="000159A6">
        <w:t xml:space="preserve"> </w:t>
      </w:r>
      <w:r w:rsidRPr="005C0A6F">
        <w:t>one</w:t>
      </w:r>
      <w:r w:rsidR="000159A6">
        <w:t xml:space="preserve"> </w:t>
      </w:r>
      <w:r w:rsidRPr="005C0A6F">
        <w:t>pain</w:t>
      </w:r>
      <w:r w:rsidR="000159A6">
        <w:t xml:space="preserve"> </w:t>
      </w:r>
      <w:r w:rsidRPr="005C0A6F">
        <w:t>medication</w:t>
      </w:r>
      <w:r w:rsidR="000159A6">
        <w:t xml:space="preserve"> </w:t>
      </w:r>
      <w:r w:rsidRPr="005C0A6F">
        <w:t>for</w:t>
      </w:r>
      <w:r w:rsidR="000159A6">
        <w:t xml:space="preserve"> </w:t>
      </w:r>
      <w:r w:rsidRPr="005C0A6F">
        <w:t>HZ.</w:t>
      </w:r>
      <w:r w:rsidR="000159A6">
        <w:t xml:space="preserve"> </w:t>
      </w:r>
      <w:r w:rsidRPr="005C0A6F">
        <w:t>VE</w:t>
      </w:r>
      <w:r w:rsidR="000159A6">
        <w:t xml:space="preserve"> </w:t>
      </w:r>
      <w:r w:rsidRPr="005C0A6F">
        <w:t>in</w:t>
      </w:r>
      <w:r w:rsidR="000159A6">
        <w:t xml:space="preserve"> </w:t>
      </w:r>
      <w:r w:rsidRPr="005C0A6F">
        <w:t>terms</w:t>
      </w:r>
      <w:r w:rsidR="000159A6">
        <w:t xml:space="preserve"> </w:t>
      </w:r>
      <w:r w:rsidRPr="005C0A6F">
        <w:t>of</w:t>
      </w:r>
      <w:r w:rsidR="000159A6">
        <w:t xml:space="preserve"> </w:t>
      </w:r>
      <w:r w:rsidRPr="005C0A6F">
        <w:t>reduction</w:t>
      </w:r>
      <w:r w:rsidR="000159A6">
        <w:t xml:space="preserve"> </w:t>
      </w:r>
      <w:r w:rsidRPr="005C0A6F">
        <w:t>of</w:t>
      </w:r>
      <w:r w:rsidR="000159A6">
        <w:t xml:space="preserve"> </w:t>
      </w:r>
      <w:r w:rsidRPr="005C0A6F">
        <w:t>duration</w:t>
      </w:r>
      <w:r w:rsidR="000159A6">
        <w:t xml:space="preserve"> </w:t>
      </w:r>
      <w:r w:rsidRPr="005C0A6F">
        <w:t>of</w:t>
      </w:r>
      <w:r w:rsidR="000159A6">
        <w:t xml:space="preserve"> </w:t>
      </w:r>
      <w:r w:rsidRPr="005C0A6F">
        <w:t>pain</w:t>
      </w:r>
      <w:r w:rsidR="000159A6">
        <w:t xml:space="preserve"> </w:t>
      </w:r>
      <w:r w:rsidRPr="005C0A6F">
        <w:t>medication</w:t>
      </w:r>
      <w:r w:rsidR="000159A6">
        <w:t xml:space="preserve"> </w:t>
      </w:r>
      <w:r w:rsidRPr="005C0A6F">
        <w:t>associated</w:t>
      </w:r>
      <w:r w:rsidR="000159A6">
        <w:t xml:space="preserve"> </w:t>
      </w:r>
      <w:r w:rsidRPr="005C0A6F">
        <w:t>with</w:t>
      </w:r>
      <w:r w:rsidR="000159A6">
        <w:t xml:space="preserve"> </w:t>
      </w:r>
      <w:r w:rsidRPr="005C0A6F">
        <w:t>HZ</w:t>
      </w:r>
      <w:r w:rsidR="000159A6">
        <w:t xml:space="preserve"> </w:t>
      </w:r>
      <w:r w:rsidRPr="005C0A6F">
        <w:t>was</w:t>
      </w:r>
      <w:r w:rsidR="000159A6">
        <w:t xml:space="preserve"> </w:t>
      </w:r>
      <w:r w:rsidRPr="005C0A6F">
        <w:t>49.25%</w:t>
      </w:r>
      <w:r w:rsidR="000159A6">
        <w:t xml:space="preserve"> </w:t>
      </w:r>
      <w:r w:rsidRPr="005C0A6F">
        <w:t>(95%</w:t>
      </w:r>
      <w:r w:rsidR="000159A6">
        <w:t xml:space="preserve"> </w:t>
      </w:r>
      <w:r w:rsidRPr="005C0A6F">
        <w:t>CI:</w:t>
      </w:r>
      <w:r w:rsidR="000159A6">
        <w:t xml:space="preserve"> </w:t>
      </w:r>
      <w:r w:rsidRPr="005C0A6F">
        <w:t>2.92</w:t>
      </w:r>
      <w:r w:rsidR="000159A6">
        <w:t xml:space="preserve"> </w:t>
      </w:r>
      <w:r w:rsidRPr="005C0A6F">
        <w:t>to</w:t>
      </w:r>
      <w:r w:rsidR="000159A6">
        <w:t xml:space="preserve"> </w:t>
      </w:r>
      <w:r w:rsidRPr="005C0A6F">
        <w:t>73.47),</w:t>
      </w:r>
      <w:r w:rsidR="000159A6">
        <w:t xml:space="preserve"> </w:t>
      </w:r>
      <w:r w:rsidRPr="005C0A6F">
        <w:t>with</w:t>
      </w:r>
      <w:r w:rsidR="000159A6">
        <w:t xml:space="preserve"> </w:t>
      </w:r>
      <w:r w:rsidRPr="005C0A6F">
        <w:t>a</w:t>
      </w:r>
      <w:r w:rsidR="000159A6">
        <w:t xml:space="preserve"> </w:t>
      </w:r>
      <w:r w:rsidRPr="005C0A6F">
        <w:t>median</w:t>
      </w:r>
      <w:r w:rsidR="000159A6">
        <w:t xml:space="preserve"> </w:t>
      </w:r>
      <w:r w:rsidRPr="005C0A6F">
        <w:t>duration</w:t>
      </w:r>
      <w:r w:rsidR="000159A6">
        <w:t xml:space="preserve"> </w:t>
      </w:r>
      <w:r w:rsidRPr="005C0A6F">
        <w:t>of</w:t>
      </w:r>
      <w:r w:rsidR="000159A6">
        <w:t xml:space="preserve"> </w:t>
      </w:r>
      <w:r w:rsidRPr="005C0A6F">
        <w:t>pain</w:t>
      </w:r>
      <w:r w:rsidR="000159A6">
        <w:t xml:space="preserve"> </w:t>
      </w:r>
      <w:r w:rsidRPr="005C0A6F">
        <w:t>medication</w:t>
      </w:r>
      <w:r w:rsidR="000159A6">
        <w:t xml:space="preserve"> </w:t>
      </w:r>
      <w:r w:rsidRPr="005C0A6F">
        <w:t>of</w:t>
      </w:r>
      <w:r w:rsidR="000159A6">
        <w:t xml:space="preserve"> </w:t>
      </w:r>
      <w:r w:rsidRPr="005C0A6F">
        <w:t>30</w:t>
      </w:r>
      <w:r w:rsidR="000159A6">
        <w:t xml:space="preserve"> </w:t>
      </w:r>
      <w:r w:rsidRPr="005C0A6F">
        <w:t>days</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Pr="005C0A6F">
        <w:t>and</w:t>
      </w:r>
      <w:r w:rsidR="000159A6">
        <w:t xml:space="preserve"> </w:t>
      </w:r>
      <w:r w:rsidRPr="005C0A6F">
        <w:t>38</w:t>
      </w:r>
      <w:r w:rsidR="000159A6">
        <w:t xml:space="preserve"> </w:t>
      </w:r>
      <w:r w:rsidRPr="005C0A6F">
        <w:t>days</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0159A6">
        <w:t xml:space="preserve"> </w:t>
      </w:r>
      <w:r w:rsidRPr="005C0A6F">
        <w:t>Note</w:t>
      </w:r>
      <w:r w:rsidR="000159A6">
        <w:t xml:space="preserve"> </w:t>
      </w:r>
      <w:r w:rsidRPr="005C0A6F">
        <w:t>that</w:t>
      </w:r>
      <w:r w:rsidR="000159A6">
        <w:t xml:space="preserve"> </w:t>
      </w:r>
      <w:r w:rsidRPr="005C0A6F">
        <w:t>in</w:t>
      </w:r>
      <w:r w:rsidR="000159A6">
        <w:t xml:space="preserve"> </w:t>
      </w:r>
      <w:r w:rsidR="00525235">
        <w:t>Study</w:t>
      </w:r>
      <w:r w:rsidR="000159A6">
        <w:t xml:space="preserve"> </w:t>
      </w:r>
      <w:r w:rsidR="00525235">
        <w:t>ZOSTER</w:t>
      </w:r>
      <w:r w:rsidRPr="005C0A6F">
        <w:t>-006,</w:t>
      </w:r>
      <w:r w:rsidR="000159A6">
        <w:t xml:space="preserve"> </w:t>
      </w:r>
      <w:r w:rsidRPr="005C0A6F">
        <w:t>the</w:t>
      </w:r>
      <w:r w:rsidR="000159A6">
        <w:t xml:space="preserve"> </w:t>
      </w:r>
      <w:r w:rsidRPr="005C0A6F">
        <w:t>significant</w:t>
      </w:r>
      <w:r w:rsidR="000159A6">
        <w:t xml:space="preserve"> </w:t>
      </w:r>
      <w:r w:rsidRPr="005C0A6F">
        <w:t>reduction</w:t>
      </w:r>
      <w:r w:rsidR="000159A6">
        <w:t xml:space="preserve"> </w:t>
      </w:r>
      <w:r w:rsidRPr="005C0A6F">
        <w:t>of</w:t>
      </w:r>
      <w:r w:rsidR="000159A6">
        <w:t xml:space="preserve"> </w:t>
      </w:r>
      <w:r w:rsidRPr="005C0A6F">
        <w:t>use</w:t>
      </w:r>
      <w:r w:rsidR="000159A6">
        <w:t xml:space="preserve"> </w:t>
      </w:r>
      <w:r w:rsidRPr="005C0A6F">
        <w:t>and</w:t>
      </w:r>
      <w:r w:rsidR="000159A6">
        <w:t xml:space="preserve"> </w:t>
      </w:r>
      <w:r w:rsidRPr="005C0A6F">
        <w:t>duration</w:t>
      </w:r>
      <w:r w:rsidR="000159A6">
        <w:t xml:space="preserve"> </w:t>
      </w:r>
      <w:r w:rsidRPr="005C0A6F">
        <w:t>of</w:t>
      </w:r>
      <w:r w:rsidR="000159A6">
        <w:t xml:space="preserve"> </w:t>
      </w:r>
      <w:r w:rsidRPr="005C0A6F">
        <w:t>pain</w:t>
      </w:r>
      <w:r w:rsidR="000159A6">
        <w:t xml:space="preserve"> </w:t>
      </w:r>
      <w:r w:rsidRPr="005C0A6F">
        <w:t>medication</w:t>
      </w:r>
      <w:r w:rsidR="000159A6">
        <w:t xml:space="preserve"> </w:t>
      </w:r>
      <w:r w:rsidRPr="005C0A6F">
        <w:t>was</w:t>
      </w:r>
      <w:r w:rsidR="000159A6">
        <w:t xml:space="preserve"> </w:t>
      </w:r>
      <w:r w:rsidRPr="005C0A6F">
        <w:t>not</w:t>
      </w:r>
      <w:r w:rsidR="000159A6">
        <w:t xml:space="preserve"> </w:t>
      </w:r>
      <w:r w:rsidRPr="005C0A6F">
        <w:t>shown</w:t>
      </w:r>
      <w:r w:rsidR="000159A6">
        <w:t xml:space="preserve"> </w:t>
      </w:r>
      <w:r w:rsidRPr="005C0A6F">
        <w:t>in</w:t>
      </w:r>
      <w:r w:rsidR="000159A6">
        <w:t xml:space="preserve"> </w:t>
      </w:r>
      <w:r w:rsidR="0037169B">
        <w:t>≥</w:t>
      </w:r>
      <w:r w:rsidR="000159A6">
        <w:t xml:space="preserve"> </w:t>
      </w:r>
      <w:r w:rsidRPr="005C0A6F">
        <w:t>70</w:t>
      </w:r>
      <w:r w:rsidR="000159A6">
        <w:t xml:space="preserve"> </w:t>
      </w:r>
      <w:r w:rsidR="004715B4">
        <w:t>years</w:t>
      </w:r>
      <w:r w:rsidR="000159A6">
        <w:t xml:space="preserve"> </w:t>
      </w:r>
      <w:r w:rsidR="004715B4">
        <w:t>of</w:t>
      </w:r>
      <w:r w:rsidR="000159A6">
        <w:t xml:space="preserve"> </w:t>
      </w:r>
      <w:proofErr w:type="gramStart"/>
      <w:r w:rsidR="004715B4">
        <w:t>age</w:t>
      </w:r>
      <w:r w:rsidRPr="005C0A6F">
        <w:t>,</w:t>
      </w:r>
      <w:proofErr w:type="gramEnd"/>
      <w:r w:rsidR="000159A6">
        <w:t xml:space="preserve"> </w:t>
      </w:r>
      <w:r w:rsidRPr="005C0A6F">
        <w:t>and</w:t>
      </w:r>
      <w:r w:rsidR="000159A6">
        <w:t xml:space="preserve"> </w:t>
      </w:r>
      <w:r w:rsidRPr="005C0A6F">
        <w:t>neither</w:t>
      </w:r>
      <w:r w:rsidR="000159A6">
        <w:t xml:space="preserve"> </w:t>
      </w:r>
      <w:r w:rsidRPr="005C0A6F">
        <w:t>overall</w:t>
      </w:r>
      <w:r w:rsidR="000159A6">
        <w:t xml:space="preserve"> </w:t>
      </w:r>
      <w:r w:rsidRPr="005C0A6F">
        <w:t>nor</w:t>
      </w:r>
      <w:r w:rsidR="000159A6">
        <w:t xml:space="preserve"> </w:t>
      </w:r>
      <w:r w:rsidRPr="005C0A6F">
        <w:t>in</w:t>
      </w:r>
      <w:r w:rsidR="000159A6">
        <w:t xml:space="preserve"> </w:t>
      </w:r>
      <w:r w:rsidRPr="005C0A6F">
        <w:t>the</w:t>
      </w:r>
      <w:r w:rsidR="000159A6">
        <w:t xml:space="preserve"> </w:t>
      </w:r>
      <w:r w:rsidRPr="005C0A6F">
        <w:t>other</w:t>
      </w:r>
      <w:r w:rsidR="000159A6">
        <w:t xml:space="preserve"> </w:t>
      </w:r>
      <w:r w:rsidRPr="005C0A6F">
        <w:t>age</w:t>
      </w:r>
      <w:r w:rsidR="000159A6">
        <w:t xml:space="preserve"> </w:t>
      </w:r>
      <w:r w:rsidRPr="005C0A6F">
        <w:t>strata,</w:t>
      </w:r>
      <w:r w:rsidR="000159A6">
        <w:t xml:space="preserve"> </w:t>
      </w:r>
      <w:r w:rsidRPr="005C0A6F">
        <w:t>as</w:t>
      </w:r>
      <w:r w:rsidR="000159A6">
        <w:t xml:space="preserve"> </w:t>
      </w:r>
      <w:r w:rsidRPr="005C0A6F">
        <w:t>a</w:t>
      </w:r>
      <w:r w:rsidR="000159A6">
        <w:t xml:space="preserve"> </w:t>
      </w:r>
      <w:r w:rsidRPr="005C0A6F">
        <w:t>consequence</w:t>
      </w:r>
      <w:r w:rsidR="000159A6">
        <w:t xml:space="preserve"> </w:t>
      </w:r>
      <w:r w:rsidRPr="005C0A6F">
        <w:t>of</w:t>
      </w:r>
      <w:r w:rsidR="000159A6">
        <w:t xml:space="preserve"> </w:t>
      </w:r>
      <w:r w:rsidRPr="005C0A6F">
        <w:t>the</w:t>
      </w:r>
      <w:r w:rsidR="000159A6">
        <w:t xml:space="preserve"> </w:t>
      </w:r>
      <w:r w:rsidRPr="005C0A6F">
        <w:t>high</w:t>
      </w:r>
      <w:r w:rsidR="000159A6">
        <w:t xml:space="preserve"> </w:t>
      </w:r>
      <w:r w:rsidRPr="005C0A6F">
        <w:t>HZ</w:t>
      </w:r>
      <w:r w:rsidR="000159A6">
        <w:t xml:space="preserve"> </w:t>
      </w:r>
      <w:r w:rsidRPr="005C0A6F">
        <w:t>VE</w:t>
      </w:r>
      <w:r w:rsidR="000159A6">
        <w:t xml:space="preserve"> </w:t>
      </w:r>
      <w:r w:rsidRPr="005C0A6F">
        <w:t>and</w:t>
      </w:r>
      <w:r w:rsidR="000159A6">
        <w:t xml:space="preserve"> </w:t>
      </w:r>
      <w:r w:rsidRPr="005C0A6F">
        <w:t>subsequently</w:t>
      </w:r>
      <w:r w:rsidR="000159A6">
        <w:t xml:space="preserve"> </w:t>
      </w:r>
      <w:r w:rsidRPr="005C0A6F">
        <w:t>low</w:t>
      </w:r>
      <w:r w:rsidR="000159A6">
        <w:t xml:space="preserve"> </w:t>
      </w:r>
      <w:r w:rsidRPr="005C0A6F">
        <w:t>number</w:t>
      </w:r>
      <w:r w:rsidR="000159A6">
        <w:t xml:space="preserve"> </w:t>
      </w:r>
      <w:r w:rsidRPr="005C0A6F">
        <w:t>of</w:t>
      </w:r>
      <w:r w:rsidR="000159A6">
        <w:t xml:space="preserve"> </w:t>
      </w:r>
      <w:r w:rsidRPr="005C0A6F">
        <w:t>HZ</w:t>
      </w:r>
      <w:r w:rsidR="000159A6">
        <w:t xml:space="preserve"> </w:t>
      </w:r>
      <w:r w:rsidRPr="005C0A6F">
        <w:t>cases</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p>
    <w:p w14:paraId="3D371BA9" w14:textId="5B309F3E" w:rsidR="005C0A6F" w:rsidRPr="005C0A6F" w:rsidRDefault="005C0A6F" w:rsidP="00440509">
      <w:pPr>
        <w:pStyle w:val="Heading4"/>
      </w:pPr>
      <w:r w:rsidRPr="005C0A6F">
        <w:t>Pooled</w:t>
      </w:r>
      <w:r w:rsidR="000159A6">
        <w:t xml:space="preserve"> </w:t>
      </w:r>
      <w:r w:rsidRPr="005C0A6F">
        <w:t>analysis</w:t>
      </w:r>
      <w:r w:rsidR="000159A6">
        <w:t xml:space="preserve"> </w:t>
      </w:r>
      <w:r w:rsidRPr="005C0A6F">
        <w:t>of</w:t>
      </w:r>
      <w:r w:rsidR="000159A6">
        <w:t xml:space="preserve"> </w:t>
      </w:r>
      <w:r w:rsidR="00B22DD3">
        <w:t>Studies</w:t>
      </w:r>
      <w:r w:rsidR="000159A6">
        <w:t xml:space="preserve"> </w:t>
      </w:r>
      <w:r w:rsidR="0037169B">
        <w:t>ZOSTER</w:t>
      </w:r>
      <w:r w:rsidRPr="005C0A6F">
        <w:t>-006</w:t>
      </w:r>
      <w:r w:rsidR="000159A6">
        <w:t xml:space="preserve"> </w:t>
      </w:r>
      <w:r w:rsidRPr="005C0A6F">
        <w:t>and</w:t>
      </w:r>
      <w:r w:rsidR="000159A6">
        <w:t xml:space="preserve"> </w:t>
      </w:r>
      <w:r w:rsidR="0037169B">
        <w:t>ZOSTER</w:t>
      </w:r>
      <w:r w:rsidRPr="005C0A6F">
        <w:t>-022</w:t>
      </w:r>
      <w:bookmarkEnd w:id="249"/>
      <w:bookmarkEnd w:id="250"/>
    </w:p>
    <w:p w14:paraId="6271B323" w14:textId="0BC3A02C" w:rsidR="005C0A6F" w:rsidRDefault="005C0A6F" w:rsidP="00440509">
      <w:r w:rsidRPr="005C0A6F">
        <w:t>Pooling</w:t>
      </w:r>
      <w:r w:rsidR="000159A6">
        <w:t xml:space="preserve"> </w:t>
      </w:r>
      <w:r w:rsidRPr="005C0A6F">
        <w:t>was</w:t>
      </w:r>
      <w:r w:rsidR="000159A6">
        <w:t xml:space="preserve"> </w:t>
      </w:r>
      <w:r w:rsidRPr="005C0A6F">
        <w:t>considered</w:t>
      </w:r>
      <w:r w:rsidR="000159A6">
        <w:t xml:space="preserve"> </w:t>
      </w:r>
      <w:r w:rsidRPr="005C0A6F">
        <w:t>acceptable</w:t>
      </w:r>
      <w:r w:rsidR="000159A6">
        <w:t xml:space="preserve"> </w:t>
      </w:r>
      <w:r w:rsidRPr="005C0A6F">
        <w:t>as</w:t>
      </w:r>
      <w:r w:rsidR="000159A6">
        <w:t xml:space="preserve"> </w:t>
      </w:r>
      <w:r w:rsidRPr="005C0A6F">
        <w:t>the</w:t>
      </w:r>
      <w:r w:rsidR="000159A6">
        <w:t xml:space="preserve"> </w:t>
      </w:r>
      <w:r w:rsidRPr="005C0A6F">
        <w:t>two</w:t>
      </w:r>
      <w:r w:rsidR="000159A6">
        <w:t xml:space="preserve"> </w:t>
      </w:r>
      <w:r w:rsidRPr="005C0A6F">
        <w:t>studies</w:t>
      </w:r>
      <w:r w:rsidR="000159A6">
        <w:t xml:space="preserve"> </w:t>
      </w:r>
      <w:r w:rsidRPr="005C0A6F">
        <w:t>having</w:t>
      </w:r>
      <w:r w:rsidR="000159A6">
        <w:t xml:space="preserve"> </w:t>
      </w:r>
      <w:r w:rsidRPr="005C0A6F">
        <w:t>the</w:t>
      </w:r>
      <w:r w:rsidR="000159A6">
        <w:t xml:space="preserve"> </w:t>
      </w:r>
      <w:r w:rsidRPr="005C0A6F">
        <w:t>same</w:t>
      </w:r>
      <w:r w:rsidR="000159A6">
        <w:t xml:space="preserve"> </w:t>
      </w:r>
      <w:r w:rsidRPr="005C0A6F">
        <w:t>design,</w:t>
      </w:r>
      <w:r w:rsidR="000159A6">
        <w:t xml:space="preserve"> </w:t>
      </w:r>
      <w:r w:rsidRPr="005C0A6F">
        <w:t>inclusion</w:t>
      </w:r>
      <w:r w:rsidR="000159A6">
        <w:t xml:space="preserve"> </w:t>
      </w:r>
      <w:r w:rsidRPr="005C0A6F">
        <w:t>and</w:t>
      </w:r>
      <w:r w:rsidR="000159A6">
        <w:t xml:space="preserve"> </w:t>
      </w:r>
      <w:r w:rsidRPr="005C0A6F">
        <w:t>exclusion</w:t>
      </w:r>
      <w:r w:rsidR="000159A6">
        <w:t xml:space="preserve"> </w:t>
      </w:r>
      <w:r w:rsidRPr="005C0A6F">
        <w:t>criteria</w:t>
      </w:r>
      <w:r w:rsidR="000159A6">
        <w:t xml:space="preserve"> </w:t>
      </w:r>
      <w:r w:rsidRPr="005C0A6F">
        <w:t>and</w:t>
      </w:r>
      <w:r w:rsidR="000159A6">
        <w:t xml:space="preserve"> </w:t>
      </w:r>
      <w:r w:rsidRPr="005C0A6F">
        <w:t>treatment.</w:t>
      </w:r>
      <w:r w:rsidR="000159A6">
        <w:t xml:space="preserve"> </w:t>
      </w:r>
      <w:r w:rsidRPr="005C0A6F">
        <w:t>PHN</w:t>
      </w:r>
      <w:r w:rsidR="000159A6">
        <w:t xml:space="preserve"> </w:t>
      </w:r>
      <w:r w:rsidRPr="005C0A6F">
        <w:t>was</w:t>
      </w:r>
      <w:r w:rsidR="000159A6">
        <w:t xml:space="preserve"> </w:t>
      </w:r>
      <w:r w:rsidRPr="005C0A6F">
        <w:t>defined</w:t>
      </w:r>
      <w:r w:rsidR="000159A6">
        <w:t xml:space="preserve"> </w:t>
      </w:r>
      <w:r w:rsidRPr="005C0A6F">
        <w:t>as</w:t>
      </w:r>
      <w:r w:rsidR="000159A6">
        <w:t xml:space="preserve"> </w:t>
      </w:r>
      <w:r w:rsidRPr="005C0A6F">
        <w:t>the</w:t>
      </w:r>
      <w:r w:rsidR="000159A6">
        <w:t xml:space="preserve"> </w:t>
      </w:r>
      <w:r w:rsidRPr="005C0A6F">
        <w:t>presence</w:t>
      </w:r>
      <w:r w:rsidR="000159A6">
        <w:t xml:space="preserve"> </w:t>
      </w:r>
      <w:r w:rsidRPr="005C0A6F">
        <w:t>of</w:t>
      </w:r>
      <w:r w:rsidR="000159A6">
        <w:t xml:space="preserve"> </w:t>
      </w:r>
      <w:r w:rsidR="004715B4">
        <w:t>HZ</w:t>
      </w:r>
      <w:r w:rsidR="000159A6">
        <w:t xml:space="preserve"> </w:t>
      </w:r>
      <w:r w:rsidR="004715B4">
        <w:t>associated</w:t>
      </w:r>
      <w:r w:rsidR="000159A6">
        <w:t xml:space="preserve"> </w:t>
      </w:r>
      <w:r w:rsidRPr="005C0A6F">
        <w:t>severe</w:t>
      </w:r>
      <w:r w:rsidR="000159A6">
        <w:t xml:space="preserve"> </w:t>
      </w:r>
      <w:r w:rsidR="004715B4">
        <w:t>‘</w:t>
      </w:r>
      <w:r w:rsidRPr="005C0A6F">
        <w:t>worst</w:t>
      </w:r>
      <w:r w:rsidR="004715B4">
        <w:t>’</w:t>
      </w:r>
      <w:r w:rsidR="000159A6">
        <w:t xml:space="preserve"> </w:t>
      </w:r>
      <w:r w:rsidRPr="005C0A6F">
        <w:t>pain</w:t>
      </w:r>
      <w:r w:rsidR="000159A6">
        <w:t xml:space="preserve"> </w:t>
      </w:r>
      <w:r w:rsidRPr="005C0A6F">
        <w:t>persisting</w:t>
      </w:r>
      <w:r w:rsidR="000159A6">
        <w:t xml:space="preserve"> </w:t>
      </w:r>
      <w:r w:rsidRPr="005C0A6F">
        <w:t>or</w:t>
      </w:r>
      <w:r w:rsidR="000159A6">
        <w:t xml:space="preserve"> </w:t>
      </w:r>
      <w:r w:rsidRPr="005C0A6F">
        <w:t>appearing</w:t>
      </w:r>
      <w:r w:rsidR="000159A6">
        <w:t xml:space="preserve"> </w:t>
      </w:r>
      <w:r w:rsidRPr="005C0A6F">
        <w:t>more</w:t>
      </w:r>
      <w:r w:rsidR="000159A6">
        <w:t xml:space="preserve"> </w:t>
      </w:r>
      <w:r w:rsidRPr="005C0A6F">
        <w:t>than</w:t>
      </w:r>
      <w:r w:rsidR="000159A6">
        <w:t xml:space="preserve"> </w:t>
      </w:r>
      <w:r w:rsidRPr="005C0A6F">
        <w:t>90</w:t>
      </w:r>
      <w:r w:rsidR="000159A6">
        <w:t xml:space="preserve"> </w:t>
      </w:r>
      <w:r w:rsidRPr="005C0A6F">
        <w:t>days</w:t>
      </w:r>
      <w:r w:rsidR="000159A6">
        <w:t xml:space="preserve"> </w:t>
      </w:r>
      <w:r w:rsidRPr="005C0A6F">
        <w:t>after</w:t>
      </w:r>
      <w:r w:rsidR="000159A6">
        <w:t xml:space="preserve"> </w:t>
      </w:r>
      <w:r w:rsidRPr="005C0A6F">
        <w:t>onset</w:t>
      </w:r>
      <w:r w:rsidR="000159A6">
        <w:t xml:space="preserve"> </w:t>
      </w:r>
      <w:r w:rsidRPr="005C0A6F">
        <w:t>of</w:t>
      </w:r>
      <w:r w:rsidR="000159A6">
        <w:t xml:space="preserve"> </w:t>
      </w:r>
      <w:r w:rsidRPr="005C0A6F">
        <w:t>the</w:t>
      </w:r>
      <w:r w:rsidR="000159A6">
        <w:t xml:space="preserve"> </w:t>
      </w:r>
      <w:r w:rsidRPr="005C0A6F">
        <w:t>HZ</w:t>
      </w:r>
      <w:r w:rsidR="000159A6">
        <w:t xml:space="preserve"> </w:t>
      </w:r>
      <w:r w:rsidRPr="005C0A6F">
        <w:t>rash.</w:t>
      </w:r>
      <w:r w:rsidR="000159A6">
        <w:t xml:space="preserve"> </w:t>
      </w:r>
      <w:r w:rsidRPr="005C0A6F">
        <w:t>The</w:t>
      </w:r>
      <w:r w:rsidR="000159A6">
        <w:t xml:space="preserve"> </w:t>
      </w:r>
      <w:r w:rsidRPr="005C0A6F">
        <w:t>TVC</w:t>
      </w:r>
      <w:r w:rsidR="000159A6">
        <w:t xml:space="preserve"> </w:t>
      </w:r>
      <w:r w:rsidRPr="005C0A6F">
        <w:t>included</w:t>
      </w:r>
      <w:r w:rsidR="000159A6">
        <w:t xml:space="preserve"> </w:t>
      </w:r>
      <w:r w:rsidRPr="005C0A6F">
        <w:t>29,305</w:t>
      </w:r>
      <w:r w:rsidR="000159A6">
        <w:t xml:space="preserve"> </w:t>
      </w:r>
      <w:r w:rsidRPr="005C0A6F">
        <w:t>subjects</w:t>
      </w:r>
      <w:r w:rsidR="000159A6">
        <w:t xml:space="preserve"> </w:t>
      </w:r>
      <w:r w:rsidRPr="005C0A6F">
        <w:t>with</w:t>
      </w:r>
      <w:r w:rsidR="000159A6">
        <w:t xml:space="preserve"> </w:t>
      </w:r>
      <w:r w:rsidRPr="005C0A6F">
        <w:t>14,645</w:t>
      </w:r>
      <w:r w:rsidR="000159A6">
        <w:t xml:space="preserve"> </w:t>
      </w:r>
      <w:r w:rsidRPr="005C0A6F">
        <w:t>and</w:t>
      </w:r>
      <w:r w:rsidR="000159A6">
        <w:t xml:space="preserve"> </w:t>
      </w:r>
      <w:r w:rsidRPr="005C0A6F">
        <w:t>14,660</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and</w:t>
      </w:r>
      <w:r w:rsidR="000159A6">
        <w:t xml:space="preserve"> </w:t>
      </w:r>
      <w:r w:rsidRPr="005C0A6F">
        <w:t>placebo</w:t>
      </w:r>
      <w:r w:rsidR="000159A6">
        <w:t xml:space="preserve"> </w:t>
      </w:r>
      <w:r w:rsidRPr="005C0A6F">
        <w:t>groups,</w:t>
      </w:r>
      <w:r w:rsidR="000159A6">
        <w:t xml:space="preserve"> </w:t>
      </w:r>
      <w:r w:rsidRPr="005C0A6F">
        <w:t>respectively.</w:t>
      </w:r>
      <w:r w:rsidR="000159A6">
        <w:t xml:space="preserve"> </w:t>
      </w:r>
      <w:r w:rsidRPr="005C0A6F">
        <w:t>The</w:t>
      </w:r>
      <w:r w:rsidR="000159A6">
        <w:t xml:space="preserve"> </w:t>
      </w:r>
      <w:proofErr w:type="spellStart"/>
      <w:r w:rsidRPr="005C0A6F">
        <w:t>mTVC</w:t>
      </w:r>
      <w:proofErr w:type="spellEnd"/>
      <w:r w:rsidR="000159A6">
        <w:t xml:space="preserve"> </w:t>
      </w:r>
      <w:r w:rsidRPr="005C0A6F">
        <w:t>included</w:t>
      </w:r>
      <w:r w:rsidR="000159A6">
        <w:t xml:space="preserve"> </w:t>
      </w:r>
      <w:r w:rsidRPr="005C0A6F">
        <w:t>27,916</w:t>
      </w:r>
      <w:r w:rsidR="000159A6">
        <w:t xml:space="preserve"> </w:t>
      </w:r>
      <w:r w:rsidRPr="005C0A6F">
        <w:t>(95.3%)</w:t>
      </w:r>
      <w:r w:rsidR="000159A6">
        <w:t xml:space="preserve"> </w:t>
      </w:r>
      <w:r w:rsidRPr="005C0A6F">
        <w:t>subjects</w:t>
      </w:r>
      <w:r w:rsidR="000159A6">
        <w:t xml:space="preserve"> </w:t>
      </w:r>
      <w:r w:rsidRPr="005C0A6F">
        <w:t>and</w:t>
      </w:r>
      <w:r w:rsidR="000159A6">
        <w:t xml:space="preserve"> </w:t>
      </w:r>
      <w:r w:rsidRPr="005C0A6F">
        <w:t>the</w:t>
      </w:r>
      <w:r w:rsidR="000159A6">
        <w:t xml:space="preserve"> </w:t>
      </w:r>
      <w:r w:rsidRPr="005C0A6F">
        <w:t>ATP</w:t>
      </w:r>
      <w:r w:rsidR="000159A6">
        <w:t xml:space="preserve"> </w:t>
      </w:r>
      <w:r w:rsidRPr="005C0A6F">
        <w:t>cohort</w:t>
      </w:r>
      <w:r w:rsidR="000159A6">
        <w:t xml:space="preserve"> </w:t>
      </w:r>
      <w:r w:rsidRPr="005C0A6F">
        <w:t>25,786</w:t>
      </w:r>
      <w:r w:rsidR="000159A6">
        <w:t xml:space="preserve"> </w:t>
      </w:r>
      <w:r w:rsidRPr="005C0A6F">
        <w:t>(88.0%).</w:t>
      </w:r>
      <w:r w:rsidR="000159A6">
        <w:t xml:space="preserve"> </w:t>
      </w:r>
      <w:r w:rsidRPr="005C0A6F">
        <w:t>In</w:t>
      </w:r>
      <w:r w:rsidR="000159A6">
        <w:t xml:space="preserve"> </w:t>
      </w:r>
      <w:r w:rsidRPr="005C0A6F">
        <w:t>the</w:t>
      </w:r>
      <w:r w:rsidR="000159A6">
        <w:t xml:space="preserve"> </w:t>
      </w:r>
      <w:r w:rsidRPr="005C0A6F">
        <w:t>TVC,</w:t>
      </w:r>
      <w:r w:rsidR="000159A6">
        <w:t xml:space="preserve"> </w:t>
      </w:r>
      <w:r w:rsidRPr="005C0A6F">
        <w:t>the</w:t>
      </w:r>
      <w:r w:rsidR="000159A6">
        <w:t xml:space="preserve"> </w:t>
      </w:r>
      <w:r w:rsidRPr="005C0A6F">
        <w:t>number</w:t>
      </w:r>
      <w:r w:rsidR="000159A6">
        <w:t xml:space="preserve"> </w:t>
      </w:r>
      <w:r w:rsidRPr="005C0A6F">
        <w:t>of</w:t>
      </w:r>
      <w:r w:rsidR="000159A6">
        <w:t xml:space="preserve"> </w:t>
      </w:r>
      <w:r w:rsidRPr="005C0A6F">
        <w:t>subjects</w:t>
      </w:r>
      <w:r w:rsidR="000159A6">
        <w:t xml:space="preserve"> </w:t>
      </w:r>
      <w:r w:rsidRPr="005C0A6F">
        <w:t>aged</w:t>
      </w:r>
      <w:r w:rsidR="000159A6">
        <w:t xml:space="preserve"> </w:t>
      </w:r>
      <w:r w:rsidR="004715B4">
        <w:t>70</w:t>
      </w:r>
      <w:r w:rsidR="000159A6">
        <w:t xml:space="preserve"> </w:t>
      </w:r>
      <w:r w:rsidR="004715B4">
        <w:t>to</w:t>
      </w:r>
      <w:r w:rsidR="000159A6">
        <w:t xml:space="preserve"> </w:t>
      </w:r>
      <w:r w:rsidR="004715B4">
        <w:t>79</w:t>
      </w:r>
      <w:r w:rsidR="000159A6">
        <w:t xml:space="preserve"> </w:t>
      </w:r>
      <w:r w:rsidRPr="005C0A6F">
        <w:t>years</w:t>
      </w:r>
      <w:r w:rsidR="000159A6">
        <w:t xml:space="preserve"> </w:t>
      </w:r>
      <w:r w:rsidRPr="005C0A6F">
        <w:t>was</w:t>
      </w:r>
      <w:r w:rsidR="000159A6">
        <w:t xml:space="preserve"> </w:t>
      </w:r>
      <w:r w:rsidRPr="005C0A6F">
        <w:t>6</w:t>
      </w:r>
      <w:r w:rsidR="004715B4">
        <w:t>,</w:t>
      </w:r>
      <w:r w:rsidRPr="005C0A6F">
        <w:t>837</w:t>
      </w:r>
      <w:r w:rsidR="000159A6">
        <w:t xml:space="preserve"> </w:t>
      </w:r>
      <w:r w:rsidRPr="005C0A6F">
        <w:t>and</w:t>
      </w:r>
      <w:r w:rsidR="000159A6">
        <w:t xml:space="preserve"> </w:t>
      </w:r>
      <w:r w:rsidRPr="005C0A6F">
        <w:t>6</w:t>
      </w:r>
      <w:r w:rsidR="004715B4">
        <w:t>,</w:t>
      </w:r>
      <w:r w:rsidRPr="005C0A6F">
        <w:t>856,</w:t>
      </w:r>
      <w:r w:rsidR="000159A6">
        <w:t xml:space="preserve"> </w:t>
      </w:r>
      <w:r w:rsidRPr="005C0A6F">
        <w:t>and</w:t>
      </w:r>
      <w:r w:rsidR="000159A6">
        <w:t xml:space="preserve"> </w:t>
      </w:r>
      <w:r w:rsidRPr="005C0A6F">
        <w:t>aged</w:t>
      </w:r>
      <w:r w:rsidR="000159A6">
        <w:t xml:space="preserve"> </w:t>
      </w:r>
      <w:r w:rsidR="0037169B">
        <w:t>≥</w:t>
      </w:r>
      <w:r w:rsidR="000159A6">
        <w:t xml:space="preserve"> </w:t>
      </w:r>
      <w:r w:rsidRPr="005C0A6F">
        <w:t>80</w:t>
      </w:r>
      <w:r w:rsidR="000159A6">
        <w:t xml:space="preserve"> </w:t>
      </w:r>
      <w:r w:rsidRPr="005C0A6F">
        <w:t>years</w:t>
      </w:r>
      <w:r w:rsidR="000159A6">
        <w:t xml:space="preserve"> </w:t>
      </w:r>
      <w:r w:rsidRPr="005C0A6F">
        <w:t>1</w:t>
      </w:r>
      <w:r w:rsidR="004715B4">
        <w:t>,</w:t>
      </w:r>
      <w:r w:rsidRPr="005C0A6F">
        <w:t>921</w:t>
      </w:r>
      <w:r w:rsidR="000159A6">
        <w:t xml:space="preserve"> </w:t>
      </w:r>
      <w:r w:rsidRPr="005C0A6F">
        <w:t>and</w:t>
      </w:r>
      <w:r w:rsidR="000159A6">
        <w:t xml:space="preserve"> </w:t>
      </w:r>
      <w:r w:rsidRPr="005C0A6F">
        <w:t>1</w:t>
      </w:r>
      <w:r w:rsidR="004715B4">
        <w:t>,</w:t>
      </w:r>
      <w:r w:rsidRPr="005C0A6F">
        <w:t>917</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and</w:t>
      </w:r>
      <w:r w:rsidR="000159A6">
        <w:t xml:space="preserve"> </w:t>
      </w:r>
      <w:r w:rsidRPr="005C0A6F">
        <w:t>placebo</w:t>
      </w:r>
      <w:r w:rsidR="000159A6">
        <w:t xml:space="preserve"> </w:t>
      </w:r>
      <w:r w:rsidRPr="005C0A6F">
        <w:t>groups,</w:t>
      </w:r>
      <w:r w:rsidR="000159A6">
        <w:t xml:space="preserve"> </w:t>
      </w:r>
      <w:r w:rsidRPr="005C0A6F">
        <w:t>respectively.</w:t>
      </w:r>
    </w:p>
    <w:p w14:paraId="6BF1D446" w14:textId="43A53439" w:rsidR="005C0A6F" w:rsidRDefault="005C0A6F" w:rsidP="00440509">
      <w:pPr>
        <w:pStyle w:val="Heading5"/>
      </w:pPr>
      <w:r w:rsidRPr="005C0A6F">
        <w:t>Results</w:t>
      </w:r>
      <w:r w:rsidR="000159A6">
        <w:t xml:space="preserve"> </w:t>
      </w:r>
      <w:r w:rsidRPr="005C0A6F">
        <w:t>of</w:t>
      </w:r>
      <w:r w:rsidR="000159A6">
        <w:t xml:space="preserve"> </w:t>
      </w:r>
      <w:r w:rsidRPr="005C0A6F">
        <w:t>the</w:t>
      </w:r>
      <w:r w:rsidR="000159A6">
        <w:t xml:space="preserve"> </w:t>
      </w:r>
      <w:r w:rsidRPr="005C0A6F">
        <w:t>co-primary</w:t>
      </w:r>
      <w:r w:rsidR="000159A6">
        <w:t xml:space="preserve"> </w:t>
      </w:r>
      <w:r w:rsidRPr="00440509">
        <w:t>endpoints</w:t>
      </w:r>
    </w:p>
    <w:p w14:paraId="3E04A74F" w14:textId="78F3EE85" w:rsidR="005C0A6F" w:rsidRDefault="005C0A6F" w:rsidP="00440509">
      <w:pPr>
        <w:pStyle w:val="Heading6"/>
      </w:pPr>
      <w:r w:rsidRPr="005C0A6F">
        <w:t>VE</w:t>
      </w:r>
      <w:r w:rsidR="000159A6">
        <w:t xml:space="preserve"> </w:t>
      </w:r>
      <w:r w:rsidRPr="005C0A6F">
        <w:t>against</w:t>
      </w:r>
      <w:r w:rsidR="000159A6">
        <w:t xml:space="preserve"> </w:t>
      </w:r>
      <w:r w:rsidRPr="005C0A6F">
        <w:t>HZ</w:t>
      </w:r>
      <w:r w:rsidR="000159A6">
        <w:t xml:space="preserve"> </w:t>
      </w:r>
      <w:r w:rsidRPr="005C0A6F">
        <w:t>in</w:t>
      </w:r>
      <w:r w:rsidR="000159A6">
        <w:t xml:space="preserve"> </w:t>
      </w:r>
      <w:r w:rsidRPr="005C0A6F">
        <w:t>subjects</w:t>
      </w:r>
      <w:r w:rsidR="000159A6">
        <w:t xml:space="preserve"> </w:t>
      </w:r>
      <w:r w:rsidR="0037169B">
        <w:t>≥</w:t>
      </w:r>
      <w:r w:rsidR="000159A6">
        <w:t xml:space="preserve"> </w:t>
      </w:r>
      <w:r w:rsidRPr="005C0A6F">
        <w:t>70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004715B4">
        <w:t>(co-</w:t>
      </w:r>
      <w:r w:rsidR="004715B4" w:rsidRPr="00440509">
        <w:t>primary</w:t>
      </w:r>
      <w:r w:rsidR="000159A6">
        <w:t xml:space="preserve"> </w:t>
      </w:r>
      <w:r w:rsidR="004715B4">
        <w:t>objective)</w:t>
      </w:r>
    </w:p>
    <w:p w14:paraId="188D0448" w14:textId="3CDE3AD6" w:rsidR="005C0A6F" w:rsidRDefault="005C0A6F" w:rsidP="00440509">
      <w:r w:rsidRPr="005C0A6F">
        <w:t>In</w:t>
      </w:r>
      <w:r w:rsidR="000159A6">
        <w:t xml:space="preserve"> </w:t>
      </w:r>
      <w:r w:rsidRPr="005C0A6F">
        <w:t>the</w:t>
      </w:r>
      <w:r w:rsidR="000159A6">
        <w:t xml:space="preserve"> </w:t>
      </w:r>
      <w:proofErr w:type="spellStart"/>
      <w:r w:rsidRPr="005C0A6F">
        <w:t>mTVC</w:t>
      </w:r>
      <w:proofErr w:type="spellEnd"/>
      <w:r w:rsidRPr="005C0A6F">
        <w:t>,</w:t>
      </w:r>
      <w:r w:rsidR="000159A6">
        <w:t xml:space="preserve"> </w:t>
      </w:r>
      <w:r w:rsidRPr="005C0A6F">
        <w:t>after</w:t>
      </w:r>
      <w:r w:rsidR="000159A6">
        <w:t xml:space="preserve"> </w:t>
      </w:r>
      <w:r w:rsidRPr="005C0A6F">
        <w:t>a</w:t>
      </w:r>
      <w:r w:rsidR="000159A6">
        <w:t xml:space="preserve"> </w:t>
      </w:r>
      <w:r w:rsidRPr="005C0A6F">
        <w:t>median</w:t>
      </w:r>
      <w:r w:rsidR="000159A6">
        <w:t xml:space="preserve"> </w:t>
      </w:r>
      <w:r w:rsidRPr="005C0A6F">
        <w:t>follow</w:t>
      </w:r>
      <w:r w:rsidR="000159A6">
        <w:t xml:space="preserve"> </w:t>
      </w:r>
      <w:r w:rsidRPr="005C0A6F">
        <w:t>up</w:t>
      </w:r>
      <w:r w:rsidR="000159A6">
        <w:t xml:space="preserve"> </w:t>
      </w:r>
      <w:r w:rsidRPr="005C0A6F">
        <w:t>of</w:t>
      </w:r>
      <w:r w:rsidR="000159A6">
        <w:t xml:space="preserve"> </w:t>
      </w:r>
      <w:r w:rsidRPr="005C0A6F">
        <w:t>4.0</w:t>
      </w:r>
      <w:r w:rsidR="000159A6">
        <w:t xml:space="preserve"> </w:t>
      </w:r>
      <w:r w:rsidRPr="005C0A6F">
        <w:t>years,</w:t>
      </w:r>
      <w:r w:rsidR="000159A6">
        <w:t xml:space="preserve"> </w:t>
      </w:r>
      <w:r w:rsidRPr="005C0A6F">
        <w:t>there</w:t>
      </w:r>
      <w:r w:rsidR="000159A6">
        <w:t xml:space="preserve"> </w:t>
      </w:r>
      <w:r w:rsidRPr="005C0A6F">
        <w:t>were</w:t>
      </w:r>
      <w:r w:rsidR="000159A6">
        <w:t xml:space="preserve"> </w:t>
      </w:r>
      <w:r w:rsidRPr="005C0A6F">
        <w:t>25</w:t>
      </w:r>
      <w:r w:rsidR="000159A6">
        <w:t xml:space="preserve"> </w:t>
      </w:r>
      <w:r w:rsidRPr="005C0A6F">
        <w:t>and</w:t>
      </w:r>
      <w:r w:rsidR="000159A6">
        <w:t xml:space="preserve"> </w:t>
      </w:r>
      <w:r w:rsidRPr="005C0A6F">
        <w:t>284</w:t>
      </w:r>
      <w:r w:rsidR="000159A6">
        <w:t xml:space="preserve"> </w:t>
      </w:r>
      <w:r w:rsidRPr="005C0A6F">
        <w:t>cases</w:t>
      </w:r>
      <w:r w:rsidR="000159A6">
        <w:t xml:space="preserve"> </w:t>
      </w:r>
      <w:r w:rsidRPr="005C0A6F">
        <w:t>of</w:t>
      </w:r>
      <w:r w:rsidR="000159A6">
        <w:t xml:space="preserve"> </w:t>
      </w:r>
      <w:r w:rsidRPr="005C0A6F">
        <w:t>HZ</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and</w:t>
      </w:r>
      <w:r w:rsidR="000159A6">
        <w:t xml:space="preserve"> </w:t>
      </w:r>
      <w:r w:rsidRPr="005C0A6F">
        <w:t>placebo</w:t>
      </w:r>
      <w:r w:rsidR="000159A6">
        <w:t xml:space="preserve"> </w:t>
      </w:r>
      <w:r w:rsidRPr="005C0A6F">
        <w:t>groups,</w:t>
      </w:r>
      <w:r w:rsidR="000159A6">
        <w:t xml:space="preserve"> </w:t>
      </w:r>
      <w:r w:rsidRPr="005C0A6F">
        <w:t>respectively.</w:t>
      </w:r>
      <w:r w:rsidR="000159A6">
        <w:t xml:space="preserve"> </w:t>
      </w:r>
      <w:r w:rsidRPr="005C0A6F">
        <w:t>The</w:t>
      </w:r>
      <w:r w:rsidR="000159A6">
        <w:t xml:space="preserve"> </w:t>
      </w:r>
      <w:r w:rsidRPr="005C0A6F">
        <w:t>incidence</w:t>
      </w:r>
      <w:r w:rsidR="000159A6">
        <w:t xml:space="preserve"> </w:t>
      </w:r>
      <w:r w:rsidRPr="005C0A6F">
        <w:t>rate</w:t>
      </w:r>
      <w:r w:rsidR="000159A6">
        <w:t xml:space="preserve"> </w:t>
      </w:r>
      <w:r w:rsidRPr="005C0A6F">
        <w:t>was</w:t>
      </w:r>
      <w:r w:rsidR="000159A6">
        <w:t xml:space="preserve"> </w:t>
      </w:r>
      <w:r w:rsidRPr="005C0A6F">
        <w:t>0.8</w:t>
      </w:r>
      <w:r w:rsidR="000159A6">
        <w:t xml:space="preserve"> </w:t>
      </w:r>
      <w:r w:rsidRPr="005C0A6F">
        <w:t>and</w:t>
      </w:r>
      <w:r w:rsidR="000159A6">
        <w:t xml:space="preserve"> </w:t>
      </w:r>
      <w:r w:rsidRPr="005C0A6F">
        <w:t>9.3</w:t>
      </w:r>
      <w:r w:rsidR="000159A6">
        <w:t xml:space="preserve"> </w:t>
      </w:r>
      <w:r w:rsidRPr="005C0A6F">
        <w:t>per</w:t>
      </w:r>
      <w:r w:rsidR="000159A6">
        <w:t xml:space="preserve"> </w:t>
      </w:r>
      <w:r w:rsidRPr="005C0A6F">
        <w:t>1000</w:t>
      </w:r>
      <w:r w:rsidR="000159A6">
        <w:t xml:space="preserve"> </w:t>
      </w:r>
      <w:r w:rsidRPr="005C0A6F">
        <w:t>person</w:t>
      </w:r>
      <w:r w:rsidR="000159A6">
        <w:t xml:space="preserve"> </w:t>
      </w:r>
      <w:r w:rsidRPr="005C0A6F">
        <w:t>years,</w:t>
      </w:r>
      <w:r w:rsidR="000159A6">
        <w:t xml:space="preserve"> </w:t>
      </w:r>
      <w:r w:rsidRPr="005C0A6F">
        <w:t>respectively.</w:t>
      </w:r>
      <w:r w:rsidR="000159A6">
        <w:t xml:space="preserve"> </w:t>
      </w:r>
      <w:r w:rsidRPr="005C0A6F">
        <w:t>The</w:t>
      </w:r>
      <w:r w:rsidR="000159A6">
        <w:t xml:space="preserve"> </w:t>
      </w:r>
      <w:r w:rsidRPr="005C0A6F">
        <w:t>VE</w:t>
      </w:r>
      <w:r w:rsidR="000159A6">
        <w:t xml:space="preserve"> </w:t>
      </w:r>
      <w:r w:rsidRPr="005C0A6F">
        <w:t>for</w:t>
      </w:r>
      <w:r w:rsidR="000159A6">
        <w:t xml:space="preserve"> </w:t>
      </w:r>
      <w:r w:rsidRPr="005C0A6F">
        <w:t>preventi</w:t>
      </w:r>
      <w:r w:rsidR="004715B4">
        <w:t>ng</w:t>
      </w:r>
      <w:r w:rsidR="000159A6">
        <w:t xml:space="preserve"> </w:t>
      </w:r>
      <w:r w:rsidR="004715B4">
        <w:t>HZ</w:t>
      </w:r>
      <w:r w:rsidR="000159A6">
        <w:t xml:space="preserve"> </w:t>
      </w:r>
      <w:r w:rsidR="004715B4">
        <w:t>was</w:t>
      </w:r>
      <w:r w:rsidR="000159A6">
        <w:t xml:space="preserve"> </w:t>
      </w:r>
      <w:r w:rsidR="004715B4">
        <w:t>91.30%</w:t>
      </w:r>
      <w:r w:rsidR="000159A6">
        <w:t xml:space="preserve"> </w:t>
      </w:r>
      <w:r w:rsidR="004715B4">
        <w:t>(95%</w:t>
      </w:r>
      <w:r w:rsidR="000159A6">
        <w:t xml:space="preserve"> </w:t>
      </w:r>
      <w:r w:rsidR="004715B4">
        <w:t>CI:</w:t>
      </w:r>
      <w:r w:rsidR="000159A6">
        <w:t xml:space="preserve"> </w:t>
      </w:r>
      <w:r w:rsidR="004715B4">
        <w:t>86.88</w:t>
      </w:r>
      <w:r w:rsidR="000159A6">
        <w:t xml:space="preserve"> </w:t>
      </w:r>
      <w:r w:rsidR="004715B4">
        <w:t>to</w:t>
      </w:r>
      <w:r w:rsidR="000159A6">
        <w:t xml:space="preserve"> </w:t>
      </w:r>
      <w:r w:rsidRPr="005C0A6F">
        <w:t>94.46%,</w:t>
      </w:r>
      <w:r w:rsidR="000159A6">
        <w:t xml:space="preserve"> </w:t>
      </w:r>
      <w:r w:rsidR="004715B4">
        <w:t>p</w:t>
      </w:r>
      <w:r w:rsidR="000159A6">
        <w:t xml:space="preserve"> </w:t>
      </w:r>
      <w:r w:rsidR="004715B4">
        <w:t>&lt;</w:t>
      </w:r>
      <w:r w:rsidR="000159A6">
        <w:t xml:space="preserve"> </w:t>
      </w:r>
      <w:r w:rsidRPr="005C0A6F">
        <w:t>0.0001).</w:t>
      </w:r>
      <w:r w:rsidR="000159A6">
        <w:t xml:space="preserve"> </w:t>
      </w:r>
      <w:r w:rsidRPr="005C0A6F">
        <w:t>VEs</w:t>
      </w:r>
      <w:r w:rsidR="000159A6">
        <w:t xml:space="preserve"> </w:t>
      </w:r>
      <w:r w:rsidRPr="005C0A6F">
        <w:t>were</w:t>
      </w:r>
      <w:r w:rsidR="000159A6">
        <w:t xml:space="preserve"> </w:t>
      </w:r>
      <w:r w:rsidRPr="005C0A6F">
        <w:t>consistent</w:t>
      </w:r>
      <w:r w:rsidR="000159A6">
        <w:t xml:space="preserve"> </w:t>
      </w:r>
      <w:r w:rsidRPr="005C0A6F">
        <w:t>in</w:t>
      </w:r>
      <w:r w:rsidR="000159A6">
        <w:t xml:space="preserve"> </w:t>
      </w:r>
      <w:r w:rsidRPr="005C0A6F">
        <w:t>both</w:t>
      </w:r>
      <w:r w:rsidR="000159A6">
        <w:t xml:space="preserve"> </w:t>
      </w:r>
      <w:r w:rsidRPr="005C0A6F">
        <w:t>the</w:t>
      </w:r>
      <w:r w:rsidR="000159A6">
        <w:t xml:space="preserve"> </w:t>
      </w:r>
      <w:r w:rsidR="004715B4">
        <w:t>70</w:t>
      </w:r>
      <w:r w:rsidR="000159A6">
        <w:t xml:space="preserve"> </w:t>
      </w:r>
      <w:r w:rsidR="004715B4">
        <w:t>to</w:t>
      </w:r>
      <w:r w:rsidR="000159A6">
        <w:t xml:space="preserve"> </w:t>
      </w:r>
      <w:r w:rsidR="004715B4">
        <w:t>79</w:t>
      </w:r>
      <w:r w:rsidR="000159A6">
        <w:t xml:space="preserve"> </w:t>
      </w:r>
      <w:r w:rsidRPr="005C0A6F">
        <w:t>and</w:t>
      </w:r>
      <w:r w:rsidR="000159A6">
        <w:t xml:space="preserve"> </w:t>
      </w:r>
      <w:r w:rsidRPr="005C0A6F">
        <w:t>the</w:t>
      </w:r>
      <w:r w:rsidR="000159A6">
        <w:t xml:space="preserve"> </w:t>
      </w:r>
      <w:r w:rsidR="0037169B">
        <w:t>≥</w:t>
      </w:r>
      <w:r w:rsidR="000159A6">
        <w:t xml:space="preserve"> </w:t>
      </w:r>
      <w:r w:rsidRPr="005C0A6F">
        <w:t>80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groups</w:t>
      </w:r>
      <w:r w:rsidR="000159A6">
        <w:t xml:space="preserve"> </w:t>
      </w:r>
      <w:r w:rsidRPr="005C0A6F">
        <w:t>(91%</w:t>
      </w:r>
      <w:r w:rsidR="000159A6">
        <w:t xml:space="preserve"> </w:t>
      </w:r>
      <w:r w:rsidRPr="005C0A6F">
        <w:t>in</w:t>
      </w:r>
      <w:r w:rsidR="000159A6">
        <w:t xml:space="preserve"> </w:t>
      </w:r>
      <w:r w:rsidRPr="005C0A6F">
        <w:t>both).</w:t>
      </w:r>
      <w:r w:rsidR="000159A6">
        <w:t xml:space="preserve"> </w:t>
      </w:r>
      <w:r w:rsidRPr="005C0A6F">
        <w:t>In</w:t>
      </w:r>
      <w:r w:rsidR="000159A6">
        <w:t xml:space="preserve"> </w:t>
      </w:r>
      <w:r w:rsidRPr="005C0A6F">
        <w:t>these</w:t>
      </w:r>
      <w:r w:rsidR="000159A6">
        <w:t xml:space="preserve"> </w:t>
      </w:r>
      <w:r w:rsidRPr="005C0A6F">
        <w:t>subjects</w:t>
      </w:r>
      <w:r w:rsidR="000159A6">
        <w:t xml:space="preserve"> </w:t>
      </w:r>
      <w:r w:rsidRPr="005C0A6F">
        <w:t>aged</w:t>
      </w:r>
      <w:r w:rsidR="000159A6">
        <w:t xml:space="preserve"> </w:t>
      </w:r>
      <w:r w:rsidR="0037169B">
        <w:t>≥</w:t>
      </w:r>
      <w:r w:rsidR="000159A6">
        <w:t xml:space="preserve"> </w:t>
      </w:r>
      <w:r w:rsidRPr="005C0A6F">
        <w:t>70</w:t>
      </w:r>
      <w:r w:rsidR="000159A6">
        <w:t xml:space="preserve"> </w:t>
      </w:r>
      <w:r w:rsidRPr="005C0A6F">
        <w:t>years,</w:t>
      </w:r>
      <w:r w:rsidR="000159A6">
        <w:t xml:space="preserve"> </w:t>
      </w:r>
      <w:r w:rsidRPr="005C0A6F">
        <w:t>at</w:t>
      </w:r>
      <w:r w:rsidR="000159A6">
        <w:t xml:space="preserve"> </w:t>
      </w:r>
      <w:r w:rsidRPr="005C0A6F">
        <w:t>year</w:t>
      </w:r>
      <w:r w:rsidR="000159A6">
        <w:t xml:space="preserve"> </w:t>
      </w:r>
      <w:r w:rsidRPr="005C0A6F">
        <w:t>4</w:t>
      </w:r>
      <w:r w:rsidR="000159A6">
        <w:t xml:space="preserve"> </w:t>
      </w:r>
      <w:r w:rsidRPr="005C0A6F">
        <w:t>th</w:t>
      </w:r>
      <w:r w:rsidR="004715B4">
        <w:t>e</w:t>
      </w:r>
      <w:r w:rsidR="000159A6">
        <w:t xml:space="preserve"> </w:t>
      </w:r>
      <w:r w:rsidR="004715B4">
        <w:t>HZ</w:t>
      </w:r>
      <w:r w:rsidR="000159A6">
        <w:t xml:space="preserve"> </w:t>
      </w:r>
      <w:r w:rsidR="004715B4">
        <w:t>VE</w:t>
      </w:r>
      <w:r w:rsidR="000159A6">
        <w:t xml:space="preserve"> </w:t>
      </w:r>
      <w:r w:rsidR="004715B4">
        <w:t>was</w:t>
      </w:r>
      <w:r w:rsidR="000159A6">
        <w:t xml:space="preserve"> </w:t>
      </w:r>
      <w:r w:rsidR="004715B4">
        <w:t>87.9%</w:t>
      </w:r>
      <w:r w:rsidR="000159A6">
        <w:t xml:space="preserve"> </w:t>
      </w:r>
      <w:r w:rsidR="004715B4">
        <w:t>(95%</w:t>
      </w:r>
      <w:r w:rsidR="000159A6">
        <w:t xml:space="preserve"> </w:t>
      </w:r>
      <w:r w:rsidR="004715B4">
        <w:t>CI:</w:t>
      </w:r>
      <w:r w:rsidR="000159A6">
        <w:t xml:space="preserve"> </w:t>
      </w:r>
      <w:r w:rsidR="004715B4">
        <w:t>73.3</w:t>
      </w:r>
      <w:r w:rsidR="000159A6">
        <w:t xml:space="preserve"> </w:t>
      </w:r>
      <w:r w:rsidR="004715B4">
        <w:t>to</w:t>
      </w:r>
      <w:r w:rsidR="000159A6">
        <w:t xml:space="preserve"> </w:t>
      </w:r>
      <w:r w:rsidRPr="005C0A6F">
        <w:t>95.3).</w:t>
      </w:r>
    </w:p>
    <w:p w14:paraId="36A3FBDA" w14:textId="3E6C02D9" w:rsidR="005C0A6F" w:rsidRDefault="005C0A6F" w:rsidP="005C0A6F">
      <w:pPr>
        <w:pStyle w:val="Heading6"/>
      </w:pPr>
      <w:r w:rsidRPr="005C0A6F">
        <w:t>VE</w:t>
      </w:r>
      <w:r w:rsidR="000159A6">
        <w:t xml:space="preserve"> </w:t>
      </w:r>
      <w:r w:rsidRPr="005C0A6F">
        <w:t>against</w:t>
      </w:r>
      <w:r w:rsidR="000159A6">
        <w:t xml:space="preserve"> </w:t>
      </w:r>
      <w:r w:rsidRPr="005C0A6F">
        <w:t>PHN</w:t>
      </w:r>
      <w:r w:rsidR="000159A6">
        <w:t xml:space="preserve"> </w:t>
      </w:r>
      <w:r w:rsidRPr="005C0A6F">
        <w:t>in</w:t>
      </w:r>
      <w:r w:rsidR="000159A6">
        <w:t xml:space="preserve"> </w:t>
      </w:r>
      <w:r w:rsidRPr="005C0A6F">
        <w:t>subjects</w:t>
      </w:r>
      <w:r w:rsidR="000159A6">
        <w:t xml:space="preserve"> </w:t>
      </w:r>
      <w:r w:rsidR="0037169B">
        <w:t>≥</w:t>
      </w:r>
      <w:r w:rsidR="000159A6">
        <w:t xml:space="preserve"> </w:t>
      </w:r>
      <w:r w:rsidRPr="005C0A6F">
        <w:t>70</w:t>
      </w:r>
      <w:r w:rsidR="0037169B">
        <w:t>years</w:t>
      </w:r>
      <w:r w:rsidR="000159A6">
        <w:t xml:space="preserve"> </w:t>
      </w:r>
      <w:r w:rsidR="0037169B">
        <w:t>of</w:t>
      </w:r>
      <w:r w:rsidR="000159A6">
        <w:t xml:space="preserve"> </w:t>
      </w:r>
      <w:r w:rsidR="0037169B">
        <w:t>age</w:t>
      </w:r>
      <w:r w:rsidR="000159A6">
        <w:t xml:space="preserve"> </w:t>
      </w:r>
      <w:r w:rsidRPr="005C0A6F">
        <w:t>(co-primary</w:t>
      </w:r>
      <w:r w:rsidR="000159A6">
        <w:t xml:space="preserve"> </w:t>
      </w:r>
      <w:r w:rsidRPr="005C0A6F">
        <w:t>objective)</w:t>
      </w:r>
    </w:p>
    <w:p w14:paraId="6DED3FE4" w14:textId="2DA90FF7" w:rsidR="00FF12AA" w:rsidRDefault="005C0A6F" w:rsidP="00440509">
      <w:r w:rsidRPr="005C0A6F">
        <w:t>There</w:t>
      </w:r>
      <w:r w:rsidR="000159A6">
        <w:t xml:space="preserve"> </w:t>
      </w:r>
      <w:r w:rsidRPr="005C0A6F">
        <w:t>were</w:t>
      </w:r>
      <w:r w:rsidR="000159A6">
        <w:t xml:space="preserve"> </w:t>
      </w:r>
      <w:r w:rsidRPr="005C0A6F">
        <w:t>40</w:t>
      </w:r>
      <w:r w:rsidR="000159A6">
        <w:t xml:space="preserve"> </w:t>
      </w:r>
      <w:r w:rsidRPr="005C0A6F">
        <w:t>cases</w:t>
      </w:r>
      <w:r w:rsidR="000159A6">
        <w:t xml:space="preserve"> </w:t>
      </w:r>
      <w:r w:rsidRPr="005C0A6F">
        <w:t>of</w:t>
      </w:r>
      <w:r w:rsidR="000159A6">
        <w:t xml:space="preserve"> </w:t>
      </w:r>
      <w:r w:rsidRPr="005C0A6F">
        <w:t>PHN</w:t>
      </w:r>
      <w:r w:rsidR="000159A6">
        <w:t xml:space="preserve"> </w:t>
      </w:r>
      <w:r w:rsidRPr="005C0A6F">
        <w:t>with</w:t>
      </w:r>
      <w:r w:rsidR="000159A6">
        <w:t xml:space="preserve"> </w:t>
      </w:r>
      <w:r w:rsidRPr="005C0A6F">
        <w:t>4</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Pr="005C0A6F">
        <w:t>and</w:t>
      </w:r>
      <w:r w:rsidR="000159A6">
        <w:t xml:space="preserve"> </w:t>
      </w:r>
      <w:r w:rsidRPr="005C0A6F">
        <w:t>36</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0159A6">
        <w:t xml:space="preserve"> </w:t>
      </w:r>
      <w:r w:rsidRPr="005C0A6F">
        <w:t>The</w:t>
      </w:r>
      <w:r w:rsidR="000159A6">
        <w:t xml:space="preserve"> </w:t>
      </w:r>
      <w:r w:rsidRPr="005C0A6F">
        <w:t>incidence</w:t>
      </w:r>
      <w:r w:rsidR="000159A6">
        <w:t xml:space="preserve"> </w:t>
      </w:r>
      <w:r w:rsidRPr="005C0A6F">
        <w:t>was</w:t>
      </w:r>
      <w:r w:rsidR="000159A6">
        <w:t xml:space="preserve"> </w:t>
      </w:r>
      <w:r w:rsidRPr="005C0A6F">
        <w:t>0.1</w:t>
      </w:r>
      <w:r w:rsidR="000159A6">
        <w:t xml:space="preserve"> </w:t>
      </w:r>
      <w:r w:rsidRPr="005C0A6F">
        <w:t>and</w:t>
      </w:r>
      <w:r w:rsidR="000159A6">
        <w:t xml:space="preserve"> </w:t>
      </w:r>
      <w:r w:rsidRPr="005C0A6F">
        <w:t>1.2</w:t>
      </w:r>
      <w:r w:rsidR="000159A6">
        <w:t xml:space="preserve"> </w:t>
      </w:r>
      <w:r w:rsidRPr="005C0A6F">
        <w:t>per</w:t>
      </w:r>
      <w:r w:rsidR="000159A6">
        <w:t xml:space="preserve"> </w:t>
      </w:r>
      <w:r w:rsidRPr="005C0A6F">
        <w:t>1000</w:t>
      </w:r>
      <w:r w:rsidR="000159A6">
        <w:t xml:space="preserve"> </w:t>
      </w:r>
      <w:r w:rsidRPr="005C0A6F">
        <w:t>person</w:t>
      </w:r>
      <w:r w:rsidR="000159A6">
        <w:t xml:space="preserve"> </w:t>
      </w:r>
      <w:r w:rsidRPr="005C0A6F">
        <w:t>years,</w:t>
      </w:r>
      <w:r w:rsidR="000159A6">
        <w:t xml:space="preserve"> </w:t>
      </w:r>
      <w:r w:rsidRPr="005C0A6F">
        <w:t>respectively.</w:t>
      </w:r>
      <w:r w:rsidR="000159A6">
        <w:t xml:space="preserve"> </w:t>
      </w:r>
      <w:r w:rsidRPr="005C0A6F">
        <w:t>The</w:t>
      </w:r>
      <w:r w:rsidR="000159A6">
        <w:t xml:space="preserve"> </w:t>
      </w:r>
      <w:r w:rsidRPr="005C0A6F">
        <w:t>VE</w:t>
      </w:r>
      <w:r w:rsidR="000159A6">
        <w:t xml:space="preserve"> </w:t>
      </w:r>
      <w:r w:rsidRPr="005C0A6F">
        <w:t>for</w:t>
      </w:r>
      <w:r w:rsidR="000159A6">
        <w:t xml:space="preserve"> </w:t>
      </w:r>
      <w:r w:rsidRPr="005C0A6F">
        <w:t>preventi</w:t>
      </w:r>
      <w:r w:rsidR="004715B4">
        <w:t>ng</w:t>
      </w:r>
      <w:r w:rsidR="000159A6">
        <w:t xml:space="preserve"> </w:t>
      </w:r>
      <w:r w:rsidR="004715B4">
        <w:t>PHN</w:t>
      </w:r>
      <w:r w:rsidR="000159A6">
        <w:t xml:space="preserve"> </w:t>
      </w:r>
      <w:r w:rsidR="004715B4">
        <w:t>was</w:t>
      </w:r>
      <w:r w:rsidR="000159A6">
        <w:t xml:space="preserve"> </w:t>
      </w:r>
      <w:r w:rsidR="004715B4">
        <w:t>88.78</w:t>
      </w:r>
      <w:r w:rsidR="000159A6">
        <w:t xml:space="preserve"> </w:t>
      </w:r>
      <w:r w:rsidR="004715B4">
        <w:t>(95%</w:t>
      </w:r>
      <w:r w:rsidR="000159A6">
        <w:t xml:space="preserve"> </w:t>
      </w:r>
      <w:r w:rsidR="004715B4">
        <w:t>CI:</w:t>
      </w:r>
      <w:r w:rsidR="000159A6">
        <w:t xml:space="preserve"> </w:t>
      </w:r>
      <w:r w:rsidR="004715B4">
        <w:t>68.70</w:t>
      </w:r>
      <w:r w:rsidR="000159A6">
        <w:t xml:space="preserve"> </w:t>
      </w:r>
      <w:r w:rsidR="004715B4">
        <w:t>to</w:t>
      </w:r>
      <w:r w:rsidR="000159A6">
        <w:t xml:space="preserve"> </w:t>
      </w:r>
      <w:r w:rsidRPr="005C0A6F">
        <w:t>97.10%,</w:t>
      </w:r>
      <w:r w:rsidR="000159A6">
        <w:t xml:space="preserve"> </w:t>
      </w:r>
      <w:r w:rsidR="004715B4">
        <w:t>p</w:t>
      </w:r>
      <w:r w:rsidR="000159A6">
        <w:t xml:space="preserve"> </w:t>
      </w:r>
      <w:r w:rsidR="004715B4">
        <w:t>&lt;</w:t>
      </w:r>
      <w:r w:rsidR="000159A6">
        <w:t xml:space="preserve"> </w:t>
      </w:r>
      <w:r w:rsidRPr="005C0A6F">
        <w:t>0.0001).</w:t>
      </w:r>
      <w:r w:rsidR="000159A6">
        <w:t xml:space="preserve"> </w:t>
      </w:r>
      <w:r w:rsidRPr="005C0A6F">
        <w:t>For</w:t>
      </w:r>
      <w:r w:rsidR="000159A6">
        <w:t xml:space="preserve"> </w:t>
      </w:r>
      <w:r w:rsidRPr="005C0A6F">
        <w:t>the</w:t>
      </w:r>
      <w:r w:rsidR="000159A6">
        <w:t xml:space="preserve"> </w:t>
      </w:r>
      <w:r w:rsidR="004715B4">
        <w:t>70</w:t>
      </w:r>
      <w:r w:rsidR="000159A6">
        <w:t xml:space="preserve"> </w:t>
      </w:r>
      <w:r w:rsidR="004715B4">
        <w:t>to</w:t>
      </w:r>
      <w:r w:rsidR="000159A6">
        <w:t xml:space="preserve"> </w:t>
      </w:r>
      <w:r w:rsidR="004715B4">
        <w:t>79</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group</w:t>
      </w:r>
      <w:r w:rsidR="000159A6">
        <w:t xml:space="preserve"> </w:t>
      </w:r>
      <w:r w:rsidRPr="005C0A6F">
        <w:t>the</w:t>
      </w:r>
      <w:r w:rsidR="000159A6">
        <w:t xml:space="preserve"> </w:t>
      </w:r>
      <w:r w:rsidR="004715B4">
        <w:t>PHN</w:t>
      </w:r>
      <w:r w:rsidR="000159A6">
        <w:t xml:space="preserve"> </w:t>
      </w:r>
      <w:r w:rsidR="004715B4">
        <w:t>VE</w:t>
      </w:r>
      <w:r w:rsidR="000159A6">
        <w:t xml:space="preserve"> </w:t>
      </w:r>
      <w:r w:rsidR="004715B4">
        <w:t>was</w:t>
      </w:r>
      <w:r w:rsidR="000159A6">
        <w:t xml:space="preserve"> </w:t>
      </w:r>
      <w:r w:rsidR="004715B4">
        <w:t>93.0%</w:t>
      </w:r>
      <w:r w:rsidR="000159A6">
        <w:t xml:space="preserve"> </w:t>
      </w:r>
      <w:r w:rsidR="004715B4">
        <w:t>(95%</w:t>
      </w:r>
      <w:r w:rsidR="000159A6">
        <w:t xml:space="preserve"> </w:t>
      </w:r>
      <w:r w:rsidR="004715B4">
        <w:t>CI:</w:t>
      </w:r>
      <w:r w:rsidR="000159A6">
        <w:t xml:space="preserve"> </w:t>
      </w:r>
      <w:r w:rsidR="004715B4">
        <w:t>72.5</w:t>
      </w:r>
      <w:r w:rsidR="000159A6">
        <w:t xml:space="preserve"> </w:t>
      </w:r>
      <w:r w:rsidR="004715B4">
        <w:t>to</w:t>
      </w:r>
      <w:r w:rsidR="000159A6">
        <w:t xml:space="preserve"> </w:t>
      </w:r>
      <w:r w:rsidRPr="005C0A6F">
        <w:t>99.2).</w:t>
      </w:r>
      <w:r w:rsidR="000159A6">
        <w:t xml:space="preserve"> </w:t>
      </w:r>
      <w:r w:rsidRPr="005C0A6F">
        <w:t>The</w:t>
      </w:r>
      <w:r w:rsidR="000159A6">
        <w:t xml:space="preserve"> </w:t>
      </w:r>
      <w:r w:rsidRPr="005C0A6F">
        <w:t>VE</w:t>
      </w:r>
      <w:r w:rsidR="000159A6">
        <w:t xml:space="preserve"> </w:t>
      </w:r>
      <w:r w:rsidRPr="005C0A6F">
        <w:t>was</w:t>
      </w:r>
      <w:r w:rsidR="000159A6">
        <w:t xml:space="preserve"> </w:t>
      </w:r>
      <w:r w:rsidRPr="005C0A6F">
        <w:t>not</w:t>
      </w:r>
      <w:r w:rsidR="000159A6">
        <w:t xml:space="preserve"> </w:t>
      </w:r>
      <w:r w:rsidRPr="005C0A6F">
        <w:t>demonstrated</w:t>
      </w:r>
      <w:r w:rsidR="000159A6">
        <w:t xml:space="preserve"> </w:t>
      </w:r>
      <w:r w:rsidRPr="005C0A6F">
        <w:t>in</w:t>
      </w:r>
      <w:r w:rsidR="000159A6">
        <w:t xml:space="preserve"> </w:t>
      </w:r>
      <w:r w:rsidRPr="005C0A6F">
        <w:t>the</w:t>
      </w:r>
      <w:r w:rsidR="000159A6">
        <w:t xml:space="preserve"> </w:t>
      </w:r>
      <w:r w:rsidR="0037169B">
        <w:t>≥</w:t>
      </w:r>
      <w:r w:rsidR="000159A6">
        <w:t xml:space="preserve"> </w:t>
      </w:r>
      <w:r w:rsidRPr="005C0A6F">
        <w:t>80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subjects</w:t>
      </w:r>
      <w:r w:rsidR="000159A6">
        <w:t xml:space="preserve"> </w:t>
      </w:r>
      <w:r w:rsidRPr="005C0A6F">
        <w:t>(PHN</w:t>
      </w:r>
      <w:r w:rsidR="000159A6">
        <w:t xml:space="preserve"> </w:t>
      </w:r>
      <w:r w:rsidRPr="005C0A6F">
        <w:t>VE</w:t>
      </w:r>
      <w:r w:rsidR="000159A6">
        <w:t xml:space="preserve"> </w:t>
      </w:r>
      <w:r w:rsidRPr="005C0A6F">
        <w:t>of</w:t>
      </w:r>
      <w:r w:rsidR="000159A6">
        <w:t xml:space="preserve"> </w:t>
      </w:r>
      <w:r w:rsidRPr="005C0A6F">
        <w:t>71.2%,</w:t>
      </w:r>
      <w:r w:rsidR="000159A6">
        <w:t xml:space="preserve"> </w:t>
      </w:r>
      <w:r w:rsidRPr="005C0A6F">
        <w:t>95%</w:t>
      </w:r>
      <w:r w:rsidR="000159A6">
        <w:t xml:space="preserve"> </w:t>
      </w:r>
      <w:r w:rsidRPr="005C0A6F">
        <w:t>CI:</w:t>
      </w:r>
      <w:r w:rsidR="000159A6">
        <w:t xml:space="preserve"> </w:t>
      </w:r>
      <w:r w:rsidRPr="005C0A6F">
        <w:t>-51.5-97.1%),</w:t>
      </w:r>
      <w:r w:rsidR="000159A6">
        <w:t xml:space="preserve"> </w:t>
      </w:r>
      <w:r w:rsidRPr="005C0A6F">
        <w:t>and</w:t>
      </w:r>
      <w:r w:rsidR="000159A6">
        <w:t xml:space="preserve"> </w:t>
      </w:r>
      <w:r w:rsidRPr="005C0A6F">
        <w:t>this</w:t>
      </w:r>
      <w:r w:rsidR="000159A6">
        <w:t xml:space="preserve"> </w:t>
      </w:r>
      <w:r w:rsidRPr="005C0A6F">
        <w:t>is</w:t>
      </w:r>
      <w:r w:rsidR="000159A6">
        <w:t xml:space="preserve"> </w:t>
      </w:r>
      <w:r w:rsidRPr="005C0A6F">
        <w:t>likely</w:t>
      </w:r>
      <w:r w:rsidR="000159A6">
        <w:t xml:space="preserve"> </w:t>
      </w:r>
      <w:r w:rsidRPr="005C0A6F">
        <w:t>due</w:t>
      </w:r>
      <w:r w:rsidR="000159A6">
        <w:t xml:space="preserve"> </w:t>
      </w:r>
      <w:r w:rsidRPr="005C0A6F">
        <w:t>to</w:t>
      </w:r>
      <w:r w:rsidR="000159A6">
        <w:t xml:space="preserve"> </w:t>
      </w:r>
      <w:r w:rsidRPr="005C0A6F">
        <w:t>small</w:t>
      </w:r>
      <w:r w:rsidR="000159A6">
        <w:t xml:space="preserve"> </w:t>
      </w:r>
      <w:r w:rsidRPr="005C0A6F">
        <w:t>numbers</w:t>
      </w:r>
      <w:r w:rsidR="000159A6">
        <w:t xml:space="preserve"> </w:t>
      </w:r>
      <w:r w:rsidRPr="005C0A6F">
        <w:t>(2</w:t>
      </w:r>
      <w:r w:rsidR="000159A6">
        <w:t xml:space="preserve"> </w:t>
      </w:r>
      <w:r w:rsidRPr="005C0A6F">
        <w:t>cases</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and</w:t>
      </w:r>
      <w:r w:rsidR="000159A6">
        <w:t xml:space="preserve"> </w:t>
      </w:r>
      <w:r w:rsidRPr="005C0A6F">
        <w:t>7</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FF12AA">
        <w:t>.</w:t>
      </w:r>
    </w:p>
    <w:p w14:paraId="4E395D1A" w14:textId="0BC4E3B1" w:rsidR="005C0A6F" w:rsidRDefault="005C0A6F" w:rsidP="00440509">
      <w:pPr>
        <w:pStyle w:val="Heading5"/>
      </w:pPr>
      <w:r w:rsidRPr="005C0A6F">
        <w:t>Results</w:t>
      </w:r>
      <w:r w:rsidR="000159A6">
        <w:t xml:space="preserve"> </w:t>
      </w:r>
      <w:r w:rsidRPr="005C0A6F">
        <w:t>of</w:t>
      </w:r>
      <w:r w:rsidR="000159A6">
        <w:t xml:space="preserve"> </w:t>
      </w:r>
      <w:r w:rsidRPr="005C0A6F">
        <w:t>the</w:t>
      </w:r>
      <w:r w:rsidR="000159A6">
        <w:t xml:space="preserve"> </w:t>
      </w:r>
      <w:r w:rsidRPr="005C0A6F">
        <w:t>secondary</w:t>
      </w:r>
      <w:r w:rsidR="000159A6">
        <w:t xml:space="preserve"> </w:t>
      </w:r>
      <w:r w:rsidRPr="00440509">
        <w:t>endpoints</w:t>
      </w:r>
    </w:p>
    <w:p w14:paraId="2304BF84" w14:textId="73C47C92" w:rsidR="005C0A6F" w:rsidRPr="00E021B7" w:rsidRDefault="005C0A6F" w:rsidP="00E021B7">
      <w:pPr>
        <w:pStyle w:val="Heading6"/>
      </w:pPr>
      <w:r w:rsidRPr="00E021B7">
        <w:t>VE</w:t>
      </w:r>
      <w:r w:rsidR="000159A6" w:rsidRPr="00E021B7">
        <w:t xml:space="preserve"> </w:t>
      </w:r>
      <w:r w:rsidRPr="00E021B7">
        <w:t>against</w:t>
      </w:r>
      <w:r w:rsidR="000159A6" w:rsidRPr="00E021B7">
        <w:t xml:space="preserve"> </w:t>
      </w:r>
      <w:r w:rsidRPr="00E021B7">
        <w:t>PHN</w:t>
      </w:r>
      <w:r w:rsidR="000159A6" w:rsidRPr="00E021B7">
        <w:t xml:space="preserve"> </w:t>
      </w:r>
      <w:r w:rsidRPr="00E021B7">
        <w:t>in</w:t>
      </w:r>
      <w:r w:rsidR="000159A6" w:rsidRPr="00E021B7">
        <w:t xml:space="preserve"> </w:t>
      </w:r>
      <w:r w:rsidRPr="00E021B7">
        <w:t>subjects</w:t>
      </w:r>
      <w:r w:rsidR="000159A6" w:rsidRPr="00E021B7">
        <w:t xml:space="preserve"> </w:t>
      </w:r>
      <w:r w:rsidR="0037169B" w:rsidRPr="00E021B7">
        <w:t>≥</w:t>
      </w:r>
      <w:r w:rsidR="000159A6" w:rsidRPr="00E021B7">
        <w:t xml:space="preserve"> </w:t>
      </w:r>
      <w:r w:rsidRPr="00E021B7">
        <w:t>50</w:t>
      </w:r>
      <w:r w:rsidR="000159A6" w:rsidRPr="00E021B7">
        <w:t xml:space="preserve"> </w:t>
      </w:r>
      <w:r w:rsidR="004715B4" w:rsidRPr="00E021B7">
        <w:t>years</w:t>
      </w:r>
      <w:r w:rsidR="000159A6" w:rsidRPr="00E021B7">
        <w:t xml:space="preserve"> </w:t>
      </w:r>
      <w:r w:rsidR="004715B4" w:rsidRPr="00E021B7">
        <w:t>of</w:t>
      </w:r>
      <w:r w:rsidR="000159A6" w:rsidRPr="00E021B7">
        <w:t xml:space="preserve"> </w:t>
      </w:r>
      <w:r w:rsidR="004715B4" w:rsidRPr="00E021B7">
        <w:t>age</w:t>
      </w:r>
    </w:p>
    <w:p w14:paraId="504B4127" w14:textId="5442E06B" w:rsidR="005C0A6F" w:rsidRDefault="005C0A6F" w:rsidP="00440509">
      <w:r w:rsidRPr="005C0A6F">
        <w:t>For</w:t>
      </w:r>
      <w:r w:rsidR="000159A6">
        <w:t xml:space="preserve"> </w:t>
      </w:r>
      <w:r w:rsidRPr="005C0A6F">
        <w:t>the</w:t>
      </w:r>
      <w:r w:rsidR="000159A6">
        <w:t xml:space="preserve"> </w:t>
      </w:r>
      <w:r w:rsidRPr="005C0A6F">
        <w:t>overall</w:t>
      </w:r>
      <w:r w:rsidR="000159A6">
        <w:t xml:space="preserve"> </w:t>
      </w:r>
      <w:r w:rsidRPr="005C0A6F">
        <w:t>population</w:t>
      </w:r>
      <w:r w:rsidR="000159A6">
        <w:t xml:space="preserve"> </w:t>
      </w:r>
      <w:r w:rsidRPr="005C0A6F">
        <w:t>(</w:t>
      </w:r>
      <w:r w:rsidR="0037169B">
        <w:t>≥</w:t>
      </w:r>
      <w:r w:rsidR="000159A6">
        <w:t xml:space="preserve"> </w:t>
      </w:r>
      <w:r w:rsidRPr="005C0A6F">
        <w:t>50</w:t>
      </w:r>
      <w:r w:rsidR="000159A6">
        <w:t xml:space="preserve"> </w:t>
      </w:r>
      <w:r w:rsidR="004715B4">
        <w:t>years</w:t>
      </w:r>
      <w:r w:rsidR="000159A6">
        <w:t xml:space="preserve"> </w:t>
      </w:r>
      <w:r w:rsidR="004715B4">
        <w:t>of</w:t>
      </w:r>
      <w:r w:rsidR="000159A6">
        <w:t xml:space="preserve"> </w:t>
      </w:r>
      <w:r w:rsidR="004715B4">
        <w:t>age</w:t>
      </w:r>
      <w:r w:rsidRPr="005C0A6F">
        <w:t>),</w:t>
      </w:r>
      <w:r w:rsidR="000159A6">
        <w:t xml:space="preserve"> </w:t>
      </w:r>
      <w:r w:rsidRPr="005C0A6F">
        <w:t>the</w:t>
      </w:r>
      <w:r w:rsidR="000159A6">
        <w:t xml:space="preserve"> </w:t>
      </w:r>
      <w:r w:rsidRPr="005C0A6F">
        <w:t>P</w:t>
      </w:r>
      <w:r w:rsidR="004715B4">
        <w:t>HN</w:t>
      </w:r>
      <w:r w:rsidR="000159A6">
        <w:t xml:space="preserve"> </w:t>
      </w:r>
      <w:r w:rsidR="004715B4">
        <w:t>VE</w:t>
      </w:r>
      <w:r w:rsidR="000159A6">
        <w:t xml:space="preserve"> </w:t>
      </w:r>
      <w:r w:rsidR="004715B4">
        <w:t>was</w:t>
      </w:r>
      <w:r w:rsidR="000159A6">
        <w:t xml:space="preserve"> </w:t>
      </w:r>
      <w:r w:rsidR="004715B4">
        <w:t>91.22%</w:t>
      </w:r>
      <w:r w:rsidR="000159A6">
        <w:t xml:space="preserve"> </w:t>
      </w:r>
      <w:r w:rsidR="004715B4">
        <w:t>(95%</w:t>
      </w:r>
      <w:r w:rsidR="000159A6">
        <w:t xml:space="preserve"> </w:t>
      </w:r>
      <w:r w:rsidR="004715B4">
        <w:t>CI:</w:t>
      </w:r>
      <w:r w:rsidR="000159A6">
        <w:t xml:space="preserve"> </w:t>
      </w:r>
      <w:r w:rsidR="004715B4">
        <w:t>75.95</w:t>
      </w:r>
      <w:r w:rsidR="000159A6">
        <w:t xml:space="preserve"> </w:t>
      </w:r>
      <w:r w:rsidR="004715B4">
        <w:t>to</w:t>
      </w:r>
      <w:r w:rsidR="000159A6">
        <w:t xml:space="preserve"> </w:t>
      </w:r>
      <w:r w:rsidRPr="005C0A6F">
        <w:t>97.70%,</w:t>
      </w:r>
      <w:r w:rsidR="000159A6">
        <w:t xml:space="preserve"> </w:t>
      </w:r>
      <w:r w:rsidR="004715B4">
        <w:t>p</w:t>
      </w:r>
      <w:r w:rsidR="000159A6">
        <w:t xml:space="preserve"> </w:t>
      </w:r>
      <w:r w:rsidR="004715B4">
        <w:t>&lt;</w:t>
      </w:r>
      <w:r w:rsidR="000159A6">
        <w:t xml:space="preserve"> </w:t>
      </w:r>
      <w:r w:rsidRPr="005C0A6F">
        <w:t>0.0001).</w:t>
      </w:r>
      <w:r w:rsidR="000159A6">
        <w:t xml:space="preserve"> </w:t>
      </w:r>
      <w:r w:rsidRPr="005C0A6F">
        <w:t>Results</w:t>
      </w:r>
      <w:r w:rsidR="000159A6">
        <w:t xml:space="preserve"> </w:t>
      </w:r>
      <w:r w:rsidRPr="005C0A6F">
        <w:t>from</w:t>
      </w:r>
      <w:r w:rsidR="000159A6">
        <w:t xml:space="preserve"> </w:t>
      </w:r>
      <w:r w:rsidRPr="005C0A6F">
        <w:t>pooled</w:t>
      </w:r>
      <w:r w:rsidR="000159A6">
        <w:t xml:space="preserve"> </w:t>
      </w:r>
      <w:r w:rsidRPr="005C0A6F">
        <w:t>analyses</w:t>
      </w:r>
      <w:r w:rsidR="000159A6">
        <w:t xml:space="preserve"> </w:t>
      </w:r>
      <w:r w:rsidRPr="005C0A6F">
        <w:t>of</w:t>
      </w:r>
      <w:r w:rsidR="000159A6">
        <w:t xml:space="preserve"> </w:t>
      </w:r>
      <w:r w:rsidRPr="005C0A6F">
        <w:t>the</w:t>
      </w:r>
      <w:r w:rsidR="000159A6">
        <w:t xml:space="preserve"> </w:t>
      </w:r>
      <w:r w:rsidRPr="005C0A6F">
        <w:t>TVC</w:t>
      </w:r>
      <w:r w:rsidR="000159A6">
        <w:t xml:space="preserve"> </w:t>
      </w:r>
      <w:r w:rsidRPr="005C0A6F">
        <w:t>and</w:t>
      </w:r>
      <w:r w:rsidR="000159A6">
        <w:t xml:space="preserve"> </w:t>
      </w:r>
      <w:r w:rsidRPr="005C0A6F">
        <w:t>the</w:t>
      </w:r>
      <w:r w:rsidR="000159A6">
        <w:t xml:space="preserve"> </w:t>
      </w:r>
      <w:r w:rsidRPr="005C0A6F">
        <w:t>ATP</w:t>
      </w:r>
      <w:r w:rsidR="000159A6">
        <w:t xml:space="preserve"> </w:t>
      </w:r>
      <w:r w:rsidRPr="005C0A6F">
        <w:t>cohort</w:t>
      </w:r>
      <w:r w:rsidR="000159A6">
        <w:t xml:space="preserve"> </w:t>
      </w:r>
      <w:r w:rsidRPr="005C0A6F">
        <w:t>were</w:t>
      </w:r>
      <w:r w:rsidR="000159A6">
        <w:t xml:space="preserve"> </w:t>
      </w:r>
      <w:r w:rsidRPr="005C0A6F">
        <w:t>in</w:t>
      </w:r>
      <w:r w:rsidR="000159A6">
        <w:t xml:space="preserve"> </w:t>
      </w:r>
      <w:r w:rsidRPr="005C0A6F">
        <w:t>line</w:t>
      </w:r>
      <w:r w:rsidR="000159A6">
        <w:t xml:space="preserve"> </w:t>
      </w:r>
      <w:r w:rsidRPr="005C0A6F">
        <w:t>with</w:t>
      </w:r>
      <w:r w:rsidR="000159A6">
        <w:t xml:space="preserve"> </w:t>
      </w:r>
      <w:r w:rsidRPr="005C0A6F">
        <w:t>the</w:t>
      </w:r>
      <w:r w:rsidR="000159A6">
        <w:t xml:space="preserve"> </w:t>
      </w:r>
      <w:proofErr w:type="spellStart"/>
      <w:r w:rsidRPr="005C0A6F">
        <w:t>mTVC</w:t>
      </w:r>
      <w:proofErr w:type="spellEnd"/>
      <w:r w:rsidRPr="005C0A6F">
        <w:t>.</w:t>
      </w:r>
    </w:p>
    <w:p w14:paraId="2EC569CB" w14:textId="355CFF9D" w:rsidR="005C0A6F" w:rsidRPr="00E021B7" w:rsidRDefault="005C0A6F" w:rsidP="00E021B7">
      <w:pPr>
        <w:pStyle w:val="Heading6"/>
      </w:pPr>
      <w:r w:rsidRPr="00E021B7">
        <w:t>VE</w:t>
      </w:r>
      <w:r w:rsidR="000159A6" w:rsidRPr="00E021B7">
        <w:t xml:space="preserve"> </w:t>
      </w:r>
      <w:r w:rsidRPr="00E021B7">
        <w:t>against</w:t>
      </w:r>
      <w:r w:rsidR="000159A6" w:rsidRPr="00E021B7">
        <w:t xml:space="preserve"> </w:t>
      </w:r>
      <w:r w:rsidRPr="00E021B7">
        <w:t>PHN</w:t>
      </w:r>
      <w:r w:rsidR="000159A6" w:rsidRPr="00E021B7">
        <w:t xml:space="preserve"> </w:t>
      </w:r>
      <w:r w:rsidRPr="00E021B7">
        <w:t>in</w:t>
      </w:r>
      <w:r w:rsidR="000159A6" w:rsidRPr="00E021B7">
        <w:t xml:space="preserve"> </w:t>
      </w:r>
      <w:r w:rsidRPr="00E021B7">
        <w:t>subjects</w:t>
      </w:r>
      <w:r w:rsidR="000159A6" w:rsidRPr="00E021B7">
        <w:t xml:space="preserve"> </w:t>
      </w:r>
      <w:r w:rsidR="0037169B" w:rsidRPr="00E021B7">
        <w:t>≥</w:t>
      </w:r>
      <w:r w:rsidR="000159A6" w:rsidRPr="00E021B7">
        <w:t xml:space="preserve"> </w:t>
      </w:r>
      <w:r w:rsidRPr="00E021B7">
        <w:t>50</w:t>
      </w:r>
      <w:r w:rsidR="000159A6" w:rsidRPr="00E021B7">
        <w:t xml:space="preserve"> </w:t>
      </w:r>
      <w:r w:rsidR="0037169B" w:rsidRPr="00E021B7">
        <w:t>years</w:t>
      </w:r>
      <w:r w:rsidR="000159A6" w:rsidRPr="00E021B7">
        <w:t xml:space="preserve"> </w:t>
      </w:r>
      <w:r w:rsidR="0037169B" w:rsidRPr="00E021B7">
        <w:t>of</w:t>
      </w:r>
      <w:r w:rsidR="000159A6" w:rsidRPr="00E021B7">
        <w:t xml:space="preserve"> </w:t>
      </w:r>
      <w:r w:rsidR="0037169B" w:rsidRPr="00E021B7">
        <w:t>age</w:t>
      </w:r>
      <w:r w:rsidR="000159A6" w:rsidRPr="00E021B7">
        <w:t xml:space="preserve"> </w:t>
      </w:r>
      <w:r w:rsidRPr="00E021B7">
        <w:t>with</w:t>
      </w:r>
      <w:r w:rsidR="000159A6" w:rsidRPr="00E021B7">
        <w:t xml:space="preserve"> </w:t>
      </w:r>
      <w:r w:rsidRPr="00E021B7">
        <w:t>confirmed</w:t>
      </w:r>
      <w:r w:rsidR="000159A6" w:rsidRPr="00E021B7">
        <w:t xml:space="preserve"> </w:t>
      </w:r>
      <w:r w:rsidRPr="00E021B7">
        <w:t>HZ</w:t>
      </w:r>
    </w:p>
    <w:p w14:paraId="575333E7" w14:textId="362BC918" w:rsidR="005C0A6F" w:rsidRDefault="005C0A6F" w:rsidP="00440509">
      <w:r w:rsidRPr="005C0A6F">
        <w:t>On</w:t>
      </w:r>
      <w:r w:rsidR="000159A6">
        <w:t xml:space="preserve"> </w:t>
      </w:r>
      <w:r w:rsidRPr="005C0A6F">
        <w:t>request</w:t>
      </w:r>
      <w:r w:rsidR="000159A6">
        <w:t xml:space="preserve"> </w:t>
      </w:r>
      <w:r w:rsidRPr="005C0A6F">
        <w:t>from</w:t>
      </w:r>
      <w:r w:rsidR="000159A6">
        <w:t xml:space="preserve"> </w:t>
      </w:r>
      <w:r w:rsidRPr="005C0A6F">
        <w:t>CBER</w:t>
      </w:r>
      <w:r w:rsidR="000159A6">
        <w:t xml:space="preserve"> </w:t>
      </w:r>
      <w:r w:rsidRPr="005C0A6F">
        <w:t>and</w:t>
      </w:r>
      <w:r w:rsidR="000159A6">
        <w:t xml:space="preserve"> </w:t>
      </w:r>
      <w:r w:rsidRPr="005C0A6F">
        <w:t>CHMP</w:t>
      </w:r>
      <w:r w:rsidR="00B22DD3">
        <w:t>;</w:t>
      </w:r>
      <w:r w:rsidR="00331AB9">
        <w:rPr>
          <w:rStyle w:val="FootnoteReference"/>
        </w:rPr>
        <w:footnoteReference w:id="12"/>
      </w:r>
      <w:r w:rsidR="000159A6">
        <w:t xml:space="preserve"> </w:t>
      </w:r>
      <w:r w:rsidRPr="005C0A6F">
        <w:t>VE</w:t>
      </w:r>
      <w:r w:rsidR="000159A6">
        <w:t xml:space="preserve"> </w:t>
      </w:r>
      <w:r w:rsidRPr="005C0A6F">
        <w:t>against</w:t>
      </w:r>
      <w:r w:rsidR="000159A6">
        <w:t xml:space="preserve"> </w:t>
      </w:r>
      <w:r w:rsidRPr="005C0A6F">
        <w:t>PHN</w:t>
      </w:r>
      <w:r w:rsidR="000159A6">
        <w:t xml:space="preserve"> </w:t>
      </w:r>
      <w:r w:rsidRPr="005C0A6F">
        <w:t>was</w:t>
      </w:r>
      <w:r w:rsidR="000159A6">
        <w:t xml:space="preserve"> </w:t>
      </w:r>
      <w:r w:rsidRPr="005C0A6F">
        <w:t>assessed</w:t>
      </w:r>
      <w:r w:rsidR="000159A6">
        <w:t xml:space="preserve"> </w:t>
      </w:r>
      <w:r w:rsidRPr="005C0A6F">
        <w:t>in</w:t>
      </w:r>
      <w:r w:rsidR="000159A6">
        <w:t xml:space="preserve"> </w:t>
      </w:r>
      <w:proofErr w:type="gramStart"/>
      <w:r w:rsidRPr="005C0A6F">
        <w:t>subjects</w:t>
      </w:r>
      <w:proofErr w:type="gramEnd"/>
      <w:r w:rsidR="000159A6">
        <w:t xml:space="preserve"> </w:t>
      </w:r>
      <w:r w:rsidR="0037169B">
        <w:t>≥</w:t>
      </w:r>
      <w:r w:rsidR="000159A6">
        <w:t xml:space="preserve"> </w:t>
      </w:r>
      <w:r w:rsidRPr="005C0A6F">
        <w:t>50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with</w:t>
      </w:r>
      <w:r w:rsidR="000159A6">
        <w:t xml:space="preserve"> </w:t>
      </w:r>
      <w:r w:rsidRPr="005C0A6F">
        <w:t>confirmed</w:t>
      </w:r>
      <w:r w:rsidR="000159A6">
        <w:t xml:space="preserve"> </w:t>
      </w:r>
      <w:r w:rsidRPr="005C0A6F">
        <w:t>HZ,</w:t>
      </w:r>
      <w:r w:rsidR="000159A6">
        <w:t xml:space="preserve"> </w:t>
      </w:r>
      <w:r w:rsidRPr="005C0A6F">
        <w:t>and</w:t>
      </w:r>
      <w:r w:rsidR="000159A6">
        <w:t xml:space="preserve"> </w:t>
      </w:r>
      <w:r w:rsidRPr="005C0A6F">
        <w:t>was</w:t>
      </w:r>
      <w:r w:rsidR="000159A6">
        <w:t xml:space="preserve"> </w:t>
      </w:r>
      <w:r w:rsidRPr="005C0A6F">
        <w:t>included</w:t>
      </w:r>
      <w:r w:rsidR="000159A6">
        <w:t xml:space="preserve"> </w:t>
      </w:r>
      <w:r w:rsidRPr="005C0A6F">
        <w:t>as</w:t>
      </w:r>
      <w:r w:rsidR="000159A6">
        <w:t xml:space="preserve"> </w:t>
      </w:r>
      <w:r w:rsidRPr="005C0A6F">
        <w:t>a</w:t>
      </w:r>
      <w:r w:rsidR="000159A6">
        <w:t xml:space="preserve"> </w:t>
      </w:r>
      <w:r w:rsidRPr="005C0A6F">
        <w:t>secondary</w:t>
      </w:r>
      <w:r w:rsidR="000159A6">
        <w:t xml:space="preserve"> </w:t>
      </w:r>
      <w:r w:rsidRPr="005C0A6F">
        <w:t>objective.</w:t>
      </w:r>
      <w:r w:rsidR="000159A6">
        <w:t xml:space="preserve"> </w:t>
      </w:r>
      <w:r w:rsidRPr="005C0A6F">
        <w:t>However,</w:t>
      </w:r>
      <w:r w:rsidR="000159A6">
        <w:t xml:space="preserve"> </w:t>
      </w:r>
      <w:r w:rsidRPr="005C0A6F">
        <w:t>under</w:t>
      </w:r>
      <w:r w:rsidR="000159A6">
        <w:t xml:space="preserve"> </w:t>
      </w:r>
      <w:r w:rsidRPr="005C0A6F">
        <w:t>the</w:t>
      </w:r>
      <w:r w:rsidR="000159A6">
        <w:t xml:space="preserve"> </w:t>
      </w:r>
      <w:r w:rsidRPr="005C0A6F">
        <w:lastRenderedPageBreak/>
        <w:t>assumption</w:t>
      </w:r>
      <w:r w:rsidR="000159A6">
        <w:t xml:space="preserve"> </w:t>
      </w:r>
      <w:r w:rsidRPr="005C0A6F">
        <w:t>that</w:t>
      </w:r>
      <w:r w:rsidR="000159A6">
        <w:t xml:space="preserve"> </w:t>
      </w:r>
      <w:r w:rsidRPr="005C0A6F">
        <w:t>HZ/</w:t>
      </w:r>
      <w:proofErr w:type="spellStart"/>
      <w:r w:rsidRPr="005C0A6F">
        <w:t>su</w:t>
      </w:r>
      <w:proofErr w:type="spellEnd"/>
      <w:r w:rsidR="000159A6">
        <w:t xml:space="preserve"> </w:t>
      </w:r>
      <w:r w:rsidRPr="005C0A6F">
        <w:t>would</w:t>
      </w:r>
      <w:r w:rsidR="000159A6">
        <w:t xml:space="preserve"> </w:t>
      </w:r>
      <w:r w:rsidRPr="005C0A6F">
        <w:t>be</w:t>
      </w:r>
      <w:r w:rsidR="000159A6">
        <w:t xml:space="preserve"> </w:t>
      </w:r>
      <w:r w:rsidRPr="005C0A6F">
        <w:t>efficacious</w:t>
      </w:r>
      <w:r w:rsidR="000159A6">
        <w:t xml:space="preserve"> </w:t>
      </w:r>
      <w:r w:rsidRPr="005C0A6F">
        <w:t>against</w:t>
      </w:r>
      <w:r w:rsidR="000159A6">
        <w:t xml:space="preserve"> </w:t>
      </w:r>
      <w:r w:rsidRPr="005C0A6F">
        <w:t>HZ,</w:t>
      </w:r>
      <w:r w:rsidR="000159A6">
        <w:t xml:space="preserve"> </w:t>
      </w:r>
      <w:r w:rsidRPr="005C0A6F">
        <w:t>the</w:t>
      </w:r>
      <w:r w:rsidR="000159A6">
        <w:t xml:space="preserve"> </w:t>
      </w:r>
      <w:r w:rsidRPr="005C0A6F">
        <w:t>demonstration</w:t>
      </w:r>
      <w:r w:rsidR="000159A6">
        <w:t xml:space="preserve"> </w:t>
      </w:r>
      <w:r w:rsidRPr="005C0A6F">
        <w:t>of</w:t>
      </w:r>
      <w:r w:rsidR="000159A6">
        <w:t xml:space="preserve"> </w:t>
      </w:r>
      <w:r w:rsidRPr="005C0A6F">
        <w:t>an</w:t>
      </w:r>
      <w:r w:rsidR="000159A6">
        <w:t xml:space="preserve"> </w:t>
      </w:r>
      <w:r w:rsidRPr="005C0A6F">
        <w:t>incremental</w:t>
      </w:r>
      <w:r w:rsidR="000159A6">
        <w:t xml:space="preserve"> </w:t>
      </w:r>
      <w:r w:rsidRPr="005C0A6F">
        <w:t>efficacy</w:t>
      </w:r>
      <w:r w:rsidR="000159A6">
        <w:t xml:space="preserve"> </w:t>
      </w:r>
      <w:r w:rsidRPr="005C0A6F">
        <w:t>against</w:t>
      </w:r>
      <w:r w:rsidR="000159A6">
        <w:t xml:space="preserve"> </w:t>
      </w:r>
      <w:r w:rsidRPr="005C0A6F">
        <w:t>PHN,</w:t>
      </w:r>
      <w:r w:rsidR="000159A6">
        <w:t xml:space="preserve"> </w:t>
      </w:r>
      <w:r w:rsidRPr="005C0A6F">
        <w:t>in</w:t>
      </w:r>
      <w:r w:rsidR="000159A6">
        <w:t xml:space="preserve"> </w:t>
      </w:r>
      <w:r w:rsidRPr="005C0A6F">
        <w:t>addition</w:t>
      </w:r>
      <w:r w:rsidR="000159A6">
        <w:t xml:space="preserve"> </w:t>
      </w:r>
      <w:r w:rsidRPr="005C0A6F">
        <w:t>to</w:t>
      </w:r>
      <w:r w:rsidR="000159A6">
        <w:t xml:space="preserve"> </w:t>
      </w:r>
      <w:r w:rsidRPr="005C0A6F">
        <w:t>the</w:t>
      </w:r>
      <w:r w:rsidR="000159A6">
        <w:t xml:space="preserve"> </w:t>
      </w:r>
      <w:r w:rsidRPr="005C0A6F">
        <w:t>PHN</w:t>
      </w:r>
      <w:r w:rsidR="000159A6">
        <w:t xml:space="preserve"> </w:t>
      </w:r>
      <w:r w:rsidRPr="005C0A6F">
        <w:t>efficacy</w:t>
      </w:r>
      <w:r w:rsidR="000159A6">
        <w:t xml:space="preserve"> </w:t>
      </w:r>
      <w:r w:rsidRPr="005C0A6F">
        <w:t>that</w:t>
      </w:r>
      <w:r w:rsidR="000159A6">
        <w:t xml:space="preserve"> </w:t>
      </w:r>
      <w:r w:rsidRPr="005C0A6F">
        <w:t>is</w:t>
      </w:r>
      <w:r w:rsidR="000159A6">
        <w:t xml:space="preserve"> </w:t>
      </w:r>
      <w:r w:rsidRPr="005C0A6F">
        <w:t>the</w:t>
      </w:r>
      <w:r w:rsidR="000159A6">
        <w:t xml:space="preserve"> </w:t>
      </w:r>
      <w:r w:rsidRPr="005C0A6F">
        <w:t>direct</w:t>
      </w:r>
      <w:r w:rsidR="000159A6">
        <w:t xml:space="preserve"> </w:t>
      </w:r>
      <w:r w:rsidRPr="005C0A6F">
        <w:t>consequence</w:t>
      </w:r>
      <w:r w:rsidR="000159A6">
        <w:t xml:space="preserve"> </w:t>
      </w:r>
      <w:r w:rsidRPr="005C0A6F">
        <w:t>of</w:t>
      </w:r>
      <w:r w:rsidR="000159A6">
        <w:t xml:space="preserve"> </w:t>
      </w:r>
      <w:r w:rsidRPr="005C0A6F">
        <w:t>HZ</w:t>
      </w:r>
      <w:r w:rsidR="000159A6">
        <w:t xml:space="preserve"> </w:t>
      </w:r>
      <w:r w:rsidRPr="005C0A6F">
        <w:t>prevention,</w:t>
      </w:r>
      <w:r w:rsidR="000159A6">
        <w:t xml:space="preserve"> </w:t>
      </w:r>
      <w:r w:rsidRPr="005C0A6F">
        <w:t>would</w:t>
      </w:r>
      <w:r w:rsidR="000159A6">
        <w:t xml:space="preserve"> </w:t>
      </w:r>
      <w:r w:rsidRPr="005C0A6F">
        <w:t>have</w:t>
      </w:r>
      <w:r w:rsidR="000159A6">
        <w:t xml:space="preserve"> </w:t>
      </w:r>
      <w:r w:rsidRPr="005C0A6F">
        <w:t>required</w:t>
      </w:r>
      <w:r w:rsidR="000159A6">
        <w:t xml:space="preserve"> </w:t>
      </w:r>
      <w:r w:rsidRPr="005C0A6F">
        <w:t>a</w:t>
      </w:r>
      <w:r w:rsidR="000159A6">
        <w:t xml:space="preserve"> </w:t>
      </w:r>
      <w:r w:rsidRPr="005C0A6F">
        <w:t>prohibitively</w:t>
      </w:r>
      <w:r w:rsidR="000159A6">
        <w:t xml:space="preserve"> </w:t>
      </w:r>
      <w:r w:rsidRPr="005C0A6F">
        <w:t>large</w:t>
      </w:r>
      <w:r w:rsidR="000159A6">
        <w:t xml:space="preserve"> </w:t>
      </w:r>
      <w:r w:rsidRPr="005C0A6F">
        <w:t>sample</w:t>
      </w:r>
      <w:r w:rsidR="000159A6">
        <w:t xml:space="preserve"> </w:t>
      </w:r>
      <w:r w:rsidRPr="005C0A6F">
        <w:t>size.</w:t>
      </w:r>
      <w:r w:rsidR="000159A6">
        <w:t xml:space="preserve"> </w:t>
      </w:r>
      <w:r w:rsidRPr="005C0A6F">
        <w:t>Therefore,</w:t>
      </w:r>
      <w:r w:rsidR="000159A6">
        <w:t xml:space="preserve"> </w:t>
      </w:r>
      <w:r w:rsidRPr="005C0A6F">
        <w:t>the</w:t>
      </w:r>
      <w:r w:rsidR="000159A6">
        <w:t xml:space="preserve"> </w:t>
      </w:r>
      <w:r w:rsidRPr="005C0A6F">
        <w:t>analysis</w:t>
      </w:r>
      <w:r w:rsidR="000159A6">
        <w:t xml:space="preserve"> </w:t>
      </w:r>
      <w:r w:rsidRPr="005C0A6F">
        <w:t>of</w:t>
      </w:r>
      <w:r w:rsidR="000159A6">
        <w:t xml:space="preserve"> </w:t>
      </w:r>
      <w:r w:rsidRPr="005C0A6F">
        <w:t>PHN</w:t>
      </w:r>
      <w:r w:rsidR="000159A6">
        <w:t xml:space="preserve"> </w:t>
      </w:r>
      <w:r w:rsidRPr="005C0A6F">
        <w:t>prevention</w:t>
      </w:r>
      <w:r w:rsidR="000159A6">
        <w:t xml:space="preserve"> </w:t>
      </w:r>
      <w:r w:rsidRPr="005C0A6F">
        <w:t>in</w:t>
      </w:r>
      <w:r w:rsidR="000159A6">
        <w:t xml:space="preserve"> </w:t>
      </w:r>
      <w:r w:rsidRPr="005C0A6F">
        <w:t>subjects</w:t>
      </w:r>
      <w:r w:rsidR="000159A6">
        <w:t xml:space="preserve"> </w:t>
      </w:r>
      <w:r w:rsidRPr="005C0A6F">
        <w:t>with</w:t>
      </w:r>
      <w:r w:rsidR="000159A6">
        <w:t xml:space="preserve"> </w:t>
      </w:r>
      <w:r w:rsidRPr="005C0A6F">
        <w:t>confirmed</w:t>
      </w:r>
      <w:r w:rsidR="000159A6">
        <w:t xml:space="preserve"> </w:t>
      </w:r>
      <w:r w:rsidRPr="005C0A6F">
        <w:t>HZ</w:t>
      </w:r>
      <w:r w:rsidR="000159A6">
        <w:t xml:space="preserve"> </w:t>
      </w:r>
      <w:r w:rsidRPr="005C0A6F">
        <w:t>was</w:t>
      </w:r>
      <w:r w:rsidR="000159A6">
        <w:t xml:space="preserve"> </w:t>
      </w:r>
      <w:r w:rsidRPr="005C0A6F">
        <w:t>not</w:t>
      </w:r>
      <w:r w:rsidR="000159A6">
        <w:t xml:space="preserve"> </w:t>
      </w:r>
      <w:r w:rsidRPr="005C0A6F">
        <w:t>adequately</w:t>
      </w:r>
      <w:r w:rsidR="000159A6">
        <w:t xml:space="preserve"> </w:t>
      </w:r>
      <w:r w:rsidRPr="005C0A6F">
        <w:t>powered.</w:t>
      </w:r>
    </w:p>
    <w:p w14:paraId="1A2A7486" w14:textId="158907DD" w:rsidR="00FF12AA" w:rsidRDefault="005C0A6F" w:rsidP="00440509">
      <w:r w:rsidRPr="005C0A6F">
        <w:t>In</w:t>
      </w:r>
      <w:r w:rsidR="000159A6">
        <w:t xml:space="preserve"> </w:t>
      </w:r>
      <w:r w:rsidRPr="005C0A6F">
        <w:t>those</w:t>
      </w:r>
      <w:r w:rsidR="000159A6">
        <w:t xml:space="preserve"> </w:t>
      </w:r>
      <w:r w:rsidR="0037169B">
        <w:t>≥</w:t>
      </w:r>
      <w:r w:rsidR="000159A6">
        <w:t xml:space="preserve"> </w:t>
      </w:r>
      <w:r w:rsidRPr="005C0A6F">
        <w:t>50</w:t>
      </w:r>
      <w:r w:rsidR="000159A6">
        <w:t xml:space="preserve"> </w:t>
      </w:r>
      <w:r w:rsidR="004715B4">
        <w:t>years</w:t>
      </w:r>
      <w:r w:rsidR="000159A6">
        <w:t xml:space="preserve"> </w:t>
      </w:r>
      <w:r w:rsidR="004715B4">
        <w:t>of</w:t>
      </w:r>
      <w:r w:rsidR="000159A6">
        <w:t xml:space="preserve"> </w:t>
      </w:r>
      <w:r w:rsidR="004715B4">
        <w:t>age</w:t>
      </w:r>
      <w:r w:rsidRPr="005C0A6F">
        <w:t>,</w:t>
      </w:r>
      <w:r w:rsidR="000159A6">
        <w:t xml:space="preserve"> </w:t>
      </w:r>
      <w:r w:rsidRPr="005C0A6F">
        <w:t>4/32</w:t>
      </w:r>
      <w:r w:rsidR="000159A6">
        <w:t xml:space="preserve"> </w:t>
      </w:r>
      <w:r w:rsidRPr="005C0A6F">
        <w:t>(12.5%)</w:t>
      </w:r>
      <w:r w:rsidR="000159A6">
        <w:t xml:space="preserve"> </w:t>
      </w:r>
      <w:r w:rsidRPr="005C0A6F">
        <w:t>subjects</w:t>
      </w:r>
      <w:r w:rsidR="000159A6">
        <w:t xml:space="preserve"> </w:t>
      </w:r>
      <w:r w:rsidRPr="005C0A6F">
        <w:t>with</w:t>
      </w:r>
      <w:r w:rsidR="000159A6">
        <w:t xml:space="preserve"> </w:t>
      </w:r>
      <w:r w:rsidRPr="005C0A6F">
        <w:t>confirmed</w:t>
      </w:r>
      <w:r w:rsidR="000159A6">
        <w:t xml:space="preserve"> </w:t>
      </w:r>
      <w:r w:rsidRPr="005C0A6F">
        <w:t>HZ</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Pr="005C0A6F">
        <w:t>and</w:t>
      </w:r>
      <w:r w:rsidR="000159A6">
        <w:t xml:space="preserve"> </w:t>
      </w:r>
      <w:r w:rsidRPr="005C0A6F">
        <w:t>46/477</w:t>
      </w:r>
      <w:r w:rsidR="000159A6">
        <w:t xml:space="preserve"> </w:t>
      </w:r>
      <w:r w:rsidRPr="005C0A6F">
        <w:t>(9.6%)</w:t>
      </w:r>
      <w:r w:rsidR="000159A6">
        <w:t xml:space="preserve"> </w:t>
      </w:r>
      <w:r w:rsidRPr="005C0A6F">
        <w:t>subjects</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0159A6">
        <w:t xml:space="preserve"> </w:t>
      </w:r>
      <w:r w:rsidRPr="005C0A6F">
        <w:t>developed</w:t>
      </w:r>
      <w:r w:rsidR="000159A6">
        <w:t xml:space="preserve"> </w:t>
      </w:r>
      <w:r w:rsidRPr="005C0A6F">
        <w:t>PHN.</w:t>
      </w:r>
      <w:r w:rsidR="000159A6">
        <w:t xml:space="preserve"> </w:t>
      </w:r>
      <w:r w:rsidRPr="005C0A6F">
        <w:t>In</w:t>
      </w:r>
      <w:r w:rsidR="000159A6">
        <w:t xml:space="preserve"> </w:t>
      </w:r>
      <w:r w:rsidRPr="005C0A6F">
        <w:t>those</w:t>
      </w:r>
      <w:r w:rsidR="000159A6">
        <w:t xml:space="preserve"> </w:t>
      </w:r>
      <w:r w:rsidRPr="005C0A6F">
        <w:t>subjects</w:t>
      </w:r>
      <w:r w:rsidR="000159A6">
        <w:t xml:space="preserve"> </w:t>
      </w:r>
      <w:r w:rsidRPr="005C0A6F">
        <w:t>with</w:t>
      </w:r>
      <w:r w:rsidR="000159A6">
        <w:t xml:space="preserve"> </w:t>
      </w:r>
      <w:r w:rsidRPr="005C0A6F">
        <w:t>confirmed</w:t>
      </w:r>
      <w:r w:rsidR="000159A6">
        <w:t xml:space="preserve"> </w:t>
      </w:r>
      <w:r w:rsidRPr="005C0A6F">
        <w:t>HZ</w:t>
      </w:r>
      <w:r w:rsidR="000159A6">
        <w:t xml:space="preserve"> </w:t>
      </w:r>
      <w:r w:rsidRPr="005C0A6F">
        <w:t>cases,</w:t>
      </w:r>
      <w:r w:rsidR="000159A6">
        <w:t xml:space="preserve"> </w:t>
      </w:r>
      <w:r w:rsidRPr="005C0A6F">
        <w:t>VE</w:t>
      </w:r>
      <w:r w:rsidR="000159A6">
        <w:t xml:space="preserve"> </w:t>
      </w:r>
      <w:r w:rsidRPr="005C0A6F">
        <w:t>against</w:t>
      </w:r>
      <w:r w:rsidR="000159A6">
        <w:t xml:space="preserve"> </w:t>
      </w:r>
      <w:r w:rsidRPr="005C0A6F">
        <w:t>PHN</w:t>
      </w:r>
      <w:r w:rsidR="000159A6">
        <w:t xml:space="preserve"> </w:t>
      </w:r>
      <w:r w:rsidRPr="005C0A6F">
        <w:t>was</w:t>
      </w:r>
      <w:r w:rsidR="000159A6">
        <w:t xml:space="preserve"> </w:t>
      </w:r>
      <w:r w:rsidRPr="005C0A6F">
        <w:t>0.29%</w:t>
      </w:r>
      <w:r w:rsidR="000159A6">
        <w:t xml:space="preserve"> </w:t>
      </w:r>
      <w:r w:rsidRPr="005C0A6F">
        <w:t>(95%</w:t>
      </w:r>
      <w:r w:rsidR="000159A6">
        <w:t xml:space="preserve"> </w:t>
      </w:r>
      <w:r w:rsidRPr="005C0A6F">
        <w:t>CI:</w:t>
      </w:r>
      <w:r w:rsidR="000159A6">
        <w:t xml:space="preserve"> </w:t>
      </w:r>
      <w:r w:rsidRPr="005C0A6F">
        <w:t>-161.53</w:t>
      </w:r>
      <w:r w:rsidR="000159A6">
        <w:t xml:space="preserve"> </w:t>
      </w:r>
      <w:r w:rsidRPr="005C0A6F">
        <w:t>to</w:t>
      </w:r>
      <w:r w:rsidR="000159A6">
        <w:t xml:space="preserve"> </w:t>
      </w:r>
      <w:r w:rsidRPr="005C0A6F">
        <w:t>65.57,</w:t>
      </w:r>
      <w:r w:rsidR="000159A6">
        <w:t xml:space="preserve"> </w:t>
      </w:r>
      <w:r w:rsidRPr="005C0A6F">
        <w:t>p</w:t>
      </w:r>
      <w:r w:rsidR="000159A6">
        <w:t xml:space="preserve"> </w:t>
      </w:r>
      <w:r w:rsidR="0037169B">
        <w:t>&lt;</w:t>
      </w:r>
      <w:r w:rsidR="000159A6">
        <w:t xml:space="preserve"> </w:t>
      </w:r>
      <w:r w:rsidRPr="005C0A6F">
        <w:t>0.5417).</w:t>
      </w:r>
      <w:r w:rsidR="000159A6">
        <w:t xml:space="preserve"> </w:t>
      </w:r>
      <w:r w:rsidRPr="005C0A6F">
        <w:t>There</w:t>
      </w:r>
      <w:r w:rsidR="000159A6">
        <w:t xml:space="preserve"> </w:t>
      </w:r>
      <w:r w:rsidRPr="005C0A6F">
        <w:t>was</w:t>
      </w:r>
      <w:r w:rsidR="000159A6">
        <w:t xml:space="preserve"> </w:t>
      </w:r>
      <w:r w:rsidRPr="005C0A6F">
        <w:t>no</w:t>
      </w:r>
      <w:r w:rsidR="000159A6">
        <w:t xml:space="preserve"> </w:t>
      </w:r>
      <w:r w:rsidRPr="005C0A6F">
        <w:t>significant</w:t>
      </w:r>
      <w:r w:rsidR="000159A6">
        <w:t xml:space="preserve"> </w:t>
      </w:r>
      <w:r w:rsidRPr="005C0A6F">
        <w:t>reduction</w:t>
      </w:r>
      <w:r w:rsidR="000159A6">
        <w:t xml:space="preserve"> </w:t>
      </w:r>
      <w:r w:rsidRPr="005C0A6F">
        <w:t>in</w:t>
      </w:r>
      <w:r w:rsidR="000159A6">
        <w:t xml:space="preserve"> </w:t>
      </w:r>
      <w:r w:rsidRPr="005C0A6F">
        <w:t>the</w:t>
      </w:r>
      <w:r w:rsidR="000159A6">
        <w:t xml:space="preserve"> </w:t>
      </w:r>
      <w:r w:rsidRPr="005C0A6F">
        <w:t>incidence</w:t>
      </w:r>
      <w:r w:rsidR="000159A6">
        <w:t xml:space="preserve"> </w:t>
      </w:r>
      <w:r w:rsidRPr="005C0A6F">
        <w:t>of</w:t>
      </w:r>
      <w:r w:rsidR="000159A6">
        <w:t xml:space="preserve"> </w:t>
      </w:r>
      <w:r w:rsidRPr="005C0A6F">
        <w:t>PHN</w:t>
      </w:r>
      <w:r w:rsidR="000159A6">
        <w:t xml:space="preserve"> </w:t>
      </w:r>
      <w:r w:rsidRPr="005C0A6F">
        <w:t>and</w:t>
      </w:r>
      <w:r w:rsidR="000159A6">
        <w:t xml:space="preserve"> </w:t>
      </w:r>
      <w:r w:rsidRPr="005C0A6F">
        <w:t>so</w:t>
      </w:r>
      <w:r w:rsidR="000159A6">
        <w:t xml:space="preserve"> </w:t>
      </w:r>
      <w:r w:rsidRPr="005C0A6F">
        <w:t>the</w:t>
      </w:r>
      <w:r w:rsidR="000159A6">
        <w:t xml:space="preserve"> </w:t>
      </w:r>
      <w:r w:rsidRPr="005C0A6F">
        <w:t>VE</w:t>
      </w:r>
      <w:r w:rsidR="000159A6">
        <w:t xml:space="preserve"> </w:t>
      </w:r>
      <w:r w:rsidRPr="005C0A6F">
        <w:t>in</w:t>
      </w:r>
      <w:r w:rsidR="000159A6">
        <w:t xml:space="preserve"> </w:t>
      </w:r>
      <w:r w:rsidRPr="005C0A6F">
        <w:t>preventing</w:t>
      </w:r>
      <w:r w:rsidR="000159A6">
        <w:t xml:space="preserve"> </w:t>
      </w:r>
      <w:r w:rsidRPr="005C0A6F">
        <w:t>PHN</w:t>
      </w:r>
      <w:r w:rsidR="000159A6">
        <w:t xml:space="preserve"> </w:t>
      </w:r>
      <w:r w:rsidRPr="005C0A6F">
        <w:t>is</w:t>
      </w:r>
      <w:r w:rsidR="000159A6">
        <w:t xml:space="preserve"> </w:t>
      </w:r>
      <w:r w:rsidRPr="005C0A6F">
        <w:t>likely</w:t>
      </w:r>
      <w:r w:rsidR="000159A6">
        <w:t xml:space="preserve"> </w:t>
      </w:r>
      <w:r w:rsidRPr="005C0A6F">
        <w:t>due</w:t>
      </w:r>
      <w:r w:rsidR="000159A6">
        <w:t xml:space="preserve"> </w:t>
      </w:r>
      <w:r w:rsidRPr="005C0A6F">
        <w:t>to</w:t>
      </w:r>
      <w:r w:rsidR="000159A6">
        <w:t xml:space="preserve"> </w:t>
      </w:r>
      <w:r w:rsidRPr="005C0A6F">
        <w:t>its</w:t>
      </w:r>
      <w:r w:rsidR="000159A6">
        <w:t xml:space="preserve"> </w:t>
      </w:r>
      <w:r w:rsidRPr="005C0A6F">
        <w:t>effect</w:t>
      </w:r>
      <w:r w:rsidR="000159A6">
        <w:t xml:space="preserve"> </w:t>
      </w:r>
      <w:r w:rsidRPr="005C0A6F">
        <w:t>on</w:t>
      </w:r>
      <w:r w:rsidR="000159A6">
        <w:t xml:space="preserve"> </w:t>
      </w:r>
      <w:r w:rsidRPr="005C0A6F">
        <w:t>HZ</w:t>
      </w:r>
      <w:r w:rsidR="00FF12AA">
        <w:t>.</w:t>
      </w:r>
    </w:p>
    <w:p w14:paraId="498E99F5" w14:textId="191D3DD2" w:rsidR="005C0A6F" w:rsidRPr="00E021B7" w:rsidRDefault="005C0A6F" w:rsidP="00E021B7">
      <w:pPr>
        <w:pStyle w:val="Heading6"/>
      </w:pPr>
      <w:r w:rsidRPr="00E021B7">
        <w:t>VE</w:t>
      </w:r>
      <w:r w:rsidR="000159A6" w:rsidRPr="00E021B7">
        <w:t xml:space="preserve"> </w:t>
      </w:r>
      <w:r w:rsidRPr="00E021B7">
        <w:t>for</w:t>
      </w:r>
      <w:r w:rsidR="000159A6" w:rsidRPr="00E021B7">
        <w:t xml:space="preserve"> </w:t>
      </w:r>
      <w:r w:rsidRPr="00E021B7">
        <w:t>preventing</w:t>
      </w:r>
      <w:r w:rsidR="000159A6" w:rsidRPr="00E021B7">
        <w:t xml:space="preserve"> </w:t>
      </w:r>
      <w:r w:rsidR="000D0435" w:rsidRPr="00E021B7">
        <w:t>HZ</w:t>
      </w:r>
      <w:r w:rsidR="000159A6" w:rsidRPr="00E021B7">
        <w:t xml:space="preserve"> </w:t>
      </w:r>
      <w:r w:rsidR="000D0435" w:rsidRPr="00E021B7">
        <w:t>related</w:t>
      </w:r>
      <w:r w:rsidR="000159A6" w:rsidRPr="00E021B7">
        <w:t xml:space="preserve"> </w:t>
      </w:r>
      <w:r w:rsidRPr="00E021B7">
        <w:t>complications</w:t>
      </w:r>
      <w:r w:rsidR="000159A6" w:rsidRPr="00E021B7">
        <w:t xml:space="preserve"> </w:t>
      </w:r>
      <w:r w:rsidRPr="00E021B7">
        <w:t>(other</w:t>
      </w:r>
      <w:r w:rsidR="000159A6" w:rsidRPr="00E021B7">
        <w:t xml:space="preserve"> </w:t>
      </w:r>
      <w:r w:rsidRPr="00E021B7">
        <w:t>than</w:t>
      </w:r>
      <w:r w:rsidR="000159A6" w:rsidRPr="00E021B7">
        <w:t xml:space="preserve"> </w:t>
      </w:r>
      <w:r w:rsidRPr="00E021B7">
        <w:t>PHN,</w:t>
      </w:r>
      <w:r w:rsidR="000159A6" w:rsidRPr="00E021B7">
        <w:t xml:space="preserve"> </w:t>
      </w:r>
      <w:r w:rsidRPr="00E021B7">
        <w:t>secondary</w:t>
      </w:r>
      <w:r w:rsidR="000159A6" w:rsidRPr="00E021B7">
        <w:t xml:space="preserve"> </w:t>
      </w:r>
      <w:r w:rsidRPr="00E021B7">
        <w:t>objectives)</w:t>
      </w:r>
    </w:p>
    <w:p w14:paraId="6E217A53" w14:textId="7A58A0B2" w:rsidR="005C0A6F" w:rsidRPr="005C0A6F" w:rsidRDefault="005C0A6F" w:rsidP="00440509">
      <w:r w:rsidRPr="005C0A6F">
        <w:t>In</w:t>
      </w:r>
      <w:r w:rsidR="000159A6">
        <w:t xml:space="preserve"> </w:t>
      </w:r>
      <w:r w:rsidRPr="005C0A6F">
        <w:t>view</w:t>
      </w:r>
      <w:r w:rsidR="000159A6">
        <w:t xml:space="preserve"> </w:t>
      </w:r>
      <w:r w:rsidRPr="005C0A6F">
        <w:t>of</w:t>
      </w:r>
      <w:r w:rsidR="000159A6">
        <w:t xml:space="preserve"> </w:t>
      </w:r>
      <w:r w:rsidRPr="005C0A6F">
        <w:t>the</w:t>
      </w:r>
      <w:r w:rsidR="000159A6">
        <w:t xml:space="preserve"> </w:t>
      </w:r>
      <w:r w:rsidRPr="005C0A6F">
        <w:t>unexpe</w:t>
      </w:r>
      <w:r w:rsidR="004715B4">
        <w:t>ctedly</w:t>
      </w:r>
      <w:r w:rsidR="000159A6">
        <w:t xml:space="preserve"> </w:t>
      </w:r>
      <w:r w:rsidR="004715B4">
        <w:t>high</w:t>
      </w:r>
      <w:r w:rsidR="000159A6">
        <w:t xml:space="preserve"> </w:t>
      </w:r>
      <w:r w:rsidR="004715B4">
        <w:t>VE</w:t>
      </w:r>
      <w:r w:rsidR="000159A6">
        <w:t xml:space="preserve"> </w:t>
      </w:r>
      <w:r w:rsidR="004715B4">
        <w:t>against</w:t>
      </w:r>
      <w:r w:rsidR="000159A6">
        <w:t xml:space="preserve"> </w:t>
      </w:r>
      <w:r w:rsidR="004715B4">
        <w:t>HZ,</w:t>
      </w:r>
      <w:r w:rsidR="000159A6">
        <w:t xml:space="preserve"> </w:t>
      </w:r>
      <w:r w:rsidR="004715B4">
        <w:t>the</w:t>
      </w:r>
      <w:r w:rsidR="000159A6">
        <w:t xml:space="preserve"> </w:t>
      </w:r>
      <w:r w:rsidR="004715B4">
        <w:t>c</w:t>
      </w:r>
      <w:r w:rsidRPr="005C0A6F">
        <w:t>ompany</w:t>
      </w:r>
      <w:r w:rsidR="000159A6">
        <w:t xml:space="preserve"> </w:t>
      </w:r>
      <w:r w:rsidRPr="005C0A6F">
        <w:t>decided</w:t>
      </w:r>
      <w:r w:rsidR="000159A6">
        <w:t xml:space="preserve"> </w:t>
      </w:r>
      <w:r w:rsidRPr="005C0A6F">
        <w:t>to</w:t>
      </w:r>
      <w:r w:rsidR="000159A6">
        <w:t xml:space="preserve"> </w:t>
      </w:r>
      <w:r w:rsidRPr="005C0A6F">
        <w:t>run</w:t>
      </w:r>
      <w:r w:rsidR="000159A6">
        <w:t xml:space="preserve"> </w:t>
      </w:r>
      <w:r w:rsidRPr="005C0A6F">
        <w:t>an</w:t>
      </w:r>
      <w:r w:rsidR="000159A6">
        <w:t xml:space="preserve"> </w:t>
      </w:r>
      <w:r w:rsidRPr="005C0A6F">
        <w:t>additional</w:t>
      </w:r>
      <w:r w:rsidR="000159A6">
        <w:t xml:space="preserve"> </w:t>
      </w:r>
      <w:r w:rsidRPr="005C0A6F">
        <w:t>post-hoc</w:t>
      </w:r>
      <w:r w:rsidR="000159A6">
        <w:t xml:space="preserve"> </w:t>
      </w:r>
      <w:r w:rsidRPr="005C0A6F">
        <w:t>analysis</w:t>
      </w:r>
      <w:r w:rsidR="000159A6">
        <w:t xml:space="preserve"> </w:t>
      </w:r>
      <w:r w:rsidRPr="005C0A6F">
        <w:t>to</w:t>
      </w:r>
      <w:r w:rsidR="000159A6">
        <w:t xml:space="preserve"> </w:t>
      </w:r>
      <w:r w:rsidRPr="005C0A6F">
        <w:t>evaluate</w:t>
      </w:r>
      <w:r w:rsidR="000159A6">
        <w:t xml:space="preserve"> </w:t>
      </w:r>
      <w:r w:rsidR="004715B4">
        <w:t>the</w:t>
      </w:r>
      <w:r w:rsidR="000159A6">
        <w:t xml:space="preserve"> </w:t>
      </w:r>
      <w:r w:rsidR="004715B4">
        <w:t>overall</w:t>
      </w:r>
      <w:r w:rsidR="000159A6">
        <w:t xml:space="preserve"> </w:t>
      </w:r>
      <w:r w:rsidR="004715B4">
        <w:t>VE</w:t>
      </w:r>
      <w:r w:rsidR="000159A6">
        <w:t xml:space="preserve"> </w:t>
      </w:r>
      <w:r w:rsidR="004715B4">
        <w:t>in</w:t>
      </w:r>
      <w:r w:rsidR="000159A6">
        <w:t xml:space="preserve"> </w:t>
      </w:r>
      <w:r w:rsidR="004715B4">
        <w:t>preventing</w:t>
      </w:r>
      <w:r w:rsidR="000159A6">
        <w:t xml:space="preserve"> </w:t>
      </w:r>
      <w:r w:rsidR="004715B4">
        <w:t>HZ</w:t>
      </w:r>
      <w:r w:rsidR="000159A6">
        <w:t xml:space="preserve"> </w:t>
      </w:r>
      <w:r w:rsidRPr="005C0A6F">
        <w:t>associated</w:t>
      </w:r>
      <w:r w:rsidR="000159A6">
        <w:t xml:space="preserve"> </w:t>
      </w:r>
      <w:r w:rsidRPr="005C0A6F">
        <w:t>complications</w:t>
      </w:r>
      <w:r w:rsidR="000159A6">
        <w:t xml:space="preserve"> </w:t>
      </w:r>
      <w:r w:rsidRPr="005C0A6F">
        <w:t>(other</w:t>
      </w:r>
      <w:r w:rsidR="000159A6">
        <w:t xml:space="preserve"> </w:t>
      </w:r>
      <w:r w:rsidRPr="005C0A6F">
        <w:t>than</w:t>
      </w:r>
      <w:r w:rsidR="000159A6">
        <w:t xml:space="preserve"> </w:t>
      </w:r>
      <w:r w:rsidRPr="005C0A6F">
        <w:t>PHN).</w:t>
      </w:r>
    </w:p>
    <w:p w14:paraId="4FF7B673" w14:textId="74D88F36" w:rsidR="00FF12AA" w:rsidRDefault="005C0A6F" w:rsidP="00440509">
      <w:r w:rsidRPr="005C0A6F">
        <w:t>The</w:t>
      </w:r>
      <w:r w:rsidR="000159A6">
        <w:t xml:space="preserve"> </w:t>
      </w:r>
      <w:r w:rsidRPr="005C0A6F">
        <w:t>analysis</w:t>
      </w:r>
      <w:r w:rsidR="000159A6">
        <w:t xml:space="preserve"> </w:t>
      </w:r>
      <w:r w:rsidRPr="005C0A6F">
        <w:t>was</w:t>
      </w:r>
      <w:r w:rsidR="000159A6">
        <w:t xml:space="preserve"> </w:t>
      </w:r>
      <w:r w:rsidRPr="005C0A6F">
        <w:t>performed</w:t>
      </w:r>
      <w:r w:rsidR="000159A6">
        <w:t xml:space="preserve"> </w:t>
      </w:r>
      <w:r w:rsidRPr="005C0A6F">
        <w:t>on</w:t>
      </w:r>
      <w:r w:rsidR="000159A6">
        <w:t xml:space="preserve"> </w:t>
      </w:r>
      <w:r w:rsidRPr="005C0A6F">
        <w:t>the</w:t>
      </w:r>
      <w:r w:rsidR="000159A6">
        <w:t xml:space="preserve"> </w:t>
      </w:r>
      <w:r w:rsidRPr="005C0A6F">
        <w:t>pooled</w:t>
      </w:r>
      <w:r w:rsidR="000159A6">
        <w:t xml:space="preserve"> </w:t>
      </w:r>
      <w:r w:rsidRPr="005C0A6F">
        <w:t>data.</w:t>
      </w:r>
      <w:r w:rsidR="000159A6">
        <w:t xml:space="preserve"> </w:t>
      </w:r>
      <w:r w:rsidRPr="005C0A6F">
        <w:t>When</w:t>
      </w:r>
      <w:r w:rsidR="000159A6">
        <w:t xml:space="preserve"> </w:t>
      </w:r>
      <w:r w:rsidRPr="005C0A6F">
        <w:t>considering</w:t>
      </w:r>
      <w:r w:rsidR="000159A6">
        <w:t xml:space="preserve"> </w:t>
      </w:r>
      <w:r w:rsidRPr="005C0A6F">
        <w:t>all</w:t>
      </w:r>
      <w:r w:rsidR="000159A6">
        <w:t xml:space="preserve"> </w:t>
      </w:r>
      <w:r w:rsidRPr="005C0A6F">
        <w:t>adults</w:t>
      </w:r>
      <w:r w:rsidR="000159A6">
        <w:t xml:space="preserve"> </w:t>
      </w:r>
      <w:r w:rsidR="0037169B">
        <w:t>≥</w:t>
      </w:r>
      <w:r w:rsidR="000159A6">
        <w:t xml:space="preserve"> </w:t>
      </w:r>
      <w:r w:rsidRPr="005C0A6F">
        <w:t>50</w:t>
      </w:r>
      <w:r w:rsidR="000159A6">
        <w:t xml:space="preserve"> </w:t>
      </w:r>
      <w:r w:rsidR="004715B4">
        <w:t>years</w:t>
      </w:r>
      <w:r w:rsidR="000159A6">
        <w:t xml:space="preserve"> </w:t>
      </w:r>
      <w:r w:rsidR="004715B4">
        <w:t>of</w:t>
      </w:r>
      <w:r w:rsidR="000159A6">
        <w:t xml:space="preserve"> </w:t>
      </w:r>
      <w:r w:rsidR="004715B4">
        <w:t>age</w:t>
      </w:r>
      <w:r w:rsidRPr="005C0A6F">
        <w:t>,</w:t>
      </w:r>
      <w:r w:rsidR="000159A6">
        <w:t xml:space="preserve"> </w:t>
      </w:r>
      <w:r w:rsidRPr="005C0A6F">
        <w:t>the</w:t>
      </w:r>
      <w:r w:rsidR="000159A6">
        <w:t xml:space="preserve"> </w:t>
      </w:r>
      <w:r w:rsidRPr="005C0A6F">
        <w:t>VE</w:t>
      </w:r>
      <w:r w:rsidR="000159A6">
        <w:t xml:space="preserve"> </w:t>
      </w:r>
      <w:r w:rsidRPr="005C0A6F">
        <w:t>was</w:t>
      </w:r>
      <w:r w:rsidR="000159A6">
        <w:t xml:space="preserve"> </w:t>
      </w:r>
      <w:r w:rsidRPr="005C0A6F">
        <w:t>93.71%</w:t>
      </w:r>
      <w:r w:rsidR="000159A6">
        <w:t xml:space="preserve"> </w:t>
      </w:r>
      <w:r w:rsidRPr="005C0A6F">
        <w:t>(95%</w:t>
      </w:r>
      <w:r w:rsidR="000159A6">
        <w:t xml:space="preserve"> </w:t>
      </w:r>
      <w:r w:rsidRPr="005C0A6F">
        <w:t>CI:</w:t>
      </w:r>
      <w:r w:rsidR="000159A6">
        <w:t xml:space="preserve"> </w:t>
      </w:r>
      <w:r w:rsidRPr="005C0A6F">
        <w:t>59.53</w:t>
      </w:r>
      <w:r w:rsidR="000159A6">
        <w:t xml:space="preserve"> </w:t>
      </w:r>
      <w:r w:rsidRPr="005C0A6F">
        <w:t>to</w:t>
      </w:r>
      <w:r w:rsidR="000159A6">
        <w:t xml:space="preserve"> </w:t>
      </w:r>
      <w:r w:rsidRPr="005C0A6F">
        <w:t>99.85),</w:t>
      </w:r>
      <w:r w:rsidR="000159A6">
        <w:t xml:space="preserve"> </w:t>
      </w:r>
      <w:r w:rsidRPr="005C0A6F">
        <w:t>with</w:t>
      </w:r>
      <w:r w:rsidR="000159A6">
        <w:t xml:space="preserve"> </w:t>
      </w:r>
      <w:r w:rsidRPr="005C0A6F">
        <w:t>1</w:t>
      </w:r>
      <w:r w:rsidR="000159A6">
        <w:t xml:space="preserve"> </w:t>
      </w:r>
      <w:r w:rsidRPr="005C0A6F">
        <w:t>case</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008D4538">
        <w:t>versus</w:t>
      </w:r>
      <w:r w:rsidR="000159A6">
        <w:t xml:space="preserve"> </w:t>
      </w:r>
      <w:r w:rsidRPr="005C0A6F">
        <w:t>16</w:t>
      </w:r>
      <w:r w:rsidR="000159A6">
        <w:t xml:space="preserve"> </w:t>
      </w:r>
      <w:r w:rsidRPr="005C0A6F">
        <w:t>cases</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0159A6">
        <w:t xml:space="preserve"> </w:t>
      </w:r>
      <w:r w:rsidRPr="005C0A6F">
        <w:t>When</w:t>
      </w:r>
      <w:r w:rsidR="000159A6">
        <w:t xml:space="preserve"> </w:t>
      </w:r>
      <w:r w:rsidRPr="005C0A6F">
        <w:t>considering</w:t>
      </w:r>
      <w:r w:rsidR="000159A6">
        <w:t xml:space="preserve"> </w:t>
      </w:r>
      <w:r w:rsidRPr="005C0A6F">
        <w:t>all</w:t>
      </w:r>
      <w:r w:rsidR="000159A6">
        <w:t xml:space="preserve"> </w:t>
      </w:r>
      <w:r w:rsidRPr="005C0A6F">
        <w:t>adults</w:t>
      </w:r>
      <w:r w:rsidR="000159A6">
        <w:t xml:space="preserve"> </w:t>
      </w:r>
      <w:r w:rsidR="0037169B">
        <w:t>≥</w:t>
      </w:r>
      <w:r w:rsidR="000159A6">
        <w:t xml:space="preserve"> </w:t>
      </w:r>
      <w:r w:rsidRPr="005C0A6F">
        <w:t>70</w:t>
      </w:r>
      <w:r w:rsidR="000159A6">
        <w:t xml:space="preserve"> </w:t>
      </w:r>
      <w:r w:rsidR="0037169B">
        <w:t>years</w:t>
      </w:r>
      <w:r w:rsidR="000159A6">
        <w:t xml:space="preserve"> </w:t>
      </w:r>
      <w:r w:rsidR="0037169B">
        <w:t>of</w:t>
      </w:r>
      <w:r w:rsidR="000159A6">
        <w:t xml:space="preserve"> </w:t>
      </w:r>
      <w:r w:rsidR="004715B4">
        <w:t>age,</w:t>
      </w:r>
      <w:r w:rsidR="000159A6">
        <w:t xml:space="preserve"> </w:t>
      </w:r>
      <w:r w:rsidRPr="005C0A6F">
        <w:t>VE</w:t>
      </w:r>
      <w:r w:rsidR="000159A6">
        <w:t xml:space="preserve"> </w:t>
      </w:r>
      <w:r w:rsidRPr="005C0A6F">
        <w:t>was</w:t>
      </w:r>
      <w:r w:rsidR="000159A6">
        <w:t xml:space="preserve"> </w:t>
      </w:r>
      <w:r w:rsidRPr="005C0A6F">
        <w:t>91.62%</w:t>
      </w:r>
      <w:r w:rsidR="000159A6">
        <w:t xml:space="preserve"> </w:t>
      </w:r>
      <w:r w:rsidRPr="005C0A6F">
        <w:t>(95%</w:t>
      </w:r>
      <w:r w:rsidR="000159A6">
        <w:t xml:space="preserve"> </w:t>
      </w:r>
      <w:r w:rsidRPr="005C0A6F">
        <w:t>CI:</w:t>
      </w:r>
      <w:r w:rsidR="000159A6">
        <w:t xml:space="preserve"> </w:t>
      </w:r>
      <w:r w:rsidRPr="005C0A6F">
        <w:t>43.38</w:t>
      </w:r>
      <w:r w:rsidR="000159A6">
        <w:t xml:space="preserve"> </w:t>
      </w:r>
      <w:r w:rsidRPr="005C0A6F">
        <w:t>to</w:t>
      </w:r>
      <w:r w:rsidR="000159A6">
        <w:t xml:space="preserve"> </w:t>
      </w:r>
      <w:r w:rsidRPr="005C0A6F">
        <w:t>99.80),</w:t>
      </w:r>
      <w:r w:rsidR="000159A6">
        <w:t xml:space="preserve"> </w:t>
      </w:r>
      <w:r w:rsidRPr="005C0A6F">
        <w:t>with</w:t>
      </w:r>
      <w:r w:rsidR="000159A6">
        <w:t xml:space="preserve"> </w:t>
      </w:r>
      <w:r w:rsidRPr="005C0A6F">
        <w:t>1</w:t>
      </w:r>
      <w:r w:rsidR="000159A6">
        <w:t xml:space="preserve"> </w:t>
      </w:r>
      <w:r w:rsidRPr="005C0A6F">
        <w:t>case</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008D4538">
        <w:t>versus</w:t>
      </w:r>
      <w:r w:rsidR="000159A6">
        <w:t xml:space="preserve"> </w:t>
      </w:r>
      <w:r w:rsidRPr="005C0A6F">
        <w:t>12</w:t>
      </w:r>
      <w:r w:rsidR="000159A6">
        <w:t xml:space="preserve"> </w:t>
      </w:r>
      <w:r w:rsidRPr="005C0A6F">
        <w:t>cases</w:t>
      </w:r>
      <w:r w:rsidR="000159A6">
        <w:t xml:space="preserve"> </w:t>
      </w:r>
      <w:r w:rsidRPr="005C0A6F">
        <w:t>in</w:t>
      </w:r>
      <w:r w:rsidR="000159A6">
        <w:t xml:space="preserve"> </w:t>
      </w:r>
      <w:r w:rsidRPr="005C0A6F">
        <w:t>the</w:t>
      </w:r>
      <w:r w:rsidR="000159A6">
        <w:t xml:space="preserve"> </w:t>
      </w:r>
      <w:r w:rsidRPr="005C0A6F">
        <w:t>Placebo</w:t>
      </w:r>
      <w:r w:rsidR="000159A6">
        <w:t xml:space="preserve"> </w:t>
      </w:r>
      <w:r w:rsidRPr="005C0A6F">
        <w:t>group</w:t>
      </w:r>
      <w:r w:rsidR="00FF12AA">
        <w:t>.</w:t>
      </w:r>
    </w:p>
    <w:p w14:paraId="2CA56ED1" w14:textId="63723C57" w:rsidR="005C0A6F" w:rsidRDefault="005C0A6F" w:rsidP="00440509">
      <w:pPr>
        <w:pStyle w:val="Heading6"/>
      </w:pPr>
      <w:r w:rsidRPr="005C0A6F">
        <w:t>VE</w:t>
      </w:r>
      <w:r w:rsidR="000159A6">
        <w:t xml:space="preserve"> </w:t>
      </w:r>
      <w:r w:rsidRPr="005C0A6F">
        <w:t>in</w:t>
      </w:r>
      <w:r w:rsidR="000159A6">
        <w:t xml:space="preserve"> </w:t>
      </w:r>
      <w:r w:rsidRPr="005C0A6F">
        <w:t>reduction</w:t>
      </w:r>
      <w:r w:rsidR="000159A6">
        <w:t xml:space="preserve"> </w:t>
      </w:r>
      <w:r w:rsidRPr="005C0A6F">
        <w:t>in</w:t>
      </w:r>
      <w:r w:rsidR="000159A6">
        <w:t xml:space="preserve"> </w:t>
      </w:r>
      <w:r w:rsidRPr="005C0A6F">
        <w:t>duration</w:t>
      </w:r>
      <w:r w:rsidR="000159A6">
        <w:t xml:space="preserve"> </w:t>
      </w:r>
      <w:r w:rsidRPr="005C0A6F">
        <w:t>of</w:t>
      </w:r>
      <w:r w:rsidR="000159A6">
        <w:t xml:space="preserve"> </w:t>
      </w:r>
      <w:r w:rsidRPr="005C0A6F">
        <w:t>severe</w:t>
      </w:r>
      <w:r w:rsidR="000159A6">
        <w:t xml:space="preserve"> </w:t>
      </w:r>
      <w:r w:rsidRPr="005C0A6F">
        <w:t>worst</w:t>
      </w:r>
      <w:r w:rsidR="000159A6">
        <w:t xml:space="preserve"> </w:t>
      </w:r>
      <w:r w:rsidRPr="005C0A6F">
        <w:t>pain</w:t>
      </w:r>
      <w:r w:rsidR="000159A6">
        <w:t xml:space="preserve"> </w:t>
      </w:r>
      <w:r w:rsidRPr="005C0A6F">
        <w:t>in</w:t>
      </w:r>
      <w:r w:rsidR="000159A6">
        <w:t xml:space="preserve"> </w:t>
      </w:r>
      <w:r w:rsidRPr="00440509">
        <w:t>subjects</w:t>
      </w:r>
      <w:r w:rsidR="000159A6">
        <w:t xml:space="preserve"> </w:t>
      </w:r>
      <w:r w:rsidR="0037169B">
        <w:t>≥</w:t>
      </w:r>
      <w:r w:rsidR="000159A6">
        <w:t xml:space="preserve"> </w:t>
      </w:r>
      <w:r w:rsidRPr="005C0A6F">
        <w:t>70</w:t>
      </w:r>
      <w:r w:rsidR="000159A6">
        <w:t xml:space="preserve"> </w:t>
      </w:r>
      <w:r w:rsidR="0037169B">
        <w:t>years</w:t>
      </w:r>
      <w:r w:rsidR="000159A6">
        <w:t xml:space="preserve"> </w:t>
      </w:r>
      <w:r w:rsidR="0037169B">
        <w:t>of</w:t>
      </w:r>
      <w:r w:rsidR="000159A6">
        <w:t xml:space="preserve"> </w:t>
      </w:r>
      <w:r w:rsidR="0037169B">
        <w:t>age</w:t>
      </w:r>
    </w:p>
    <w:p w14:paraId="662DAE84" w14:textId="6FB86914" w:rsidR="00FF12AA" w:rsidRDefault="005C0A6F" w:rsidP="00440509">
      <w:r w:rsidRPr="005C0A6F">
        <w:t>The</w:t>
      </w:r>
      <w:r w:rsidR="000159A6">
        <w:t xml:space="preserve"> </w:t>
      </w:r>
      <w:r w:rsidRPr="005C0A6F">
        <w:t>VE</w:t>
      </w:r>
      <w:r w:rsidR="000159A6">
        <w:t xml:space="preserve"> </w:t>
      </w:r>
      <w:r w:rsidRPr="005C0A6F">
        <w:t>in</w:t>
      </w:r>
      <w:r w:rsidR="000159A6">
        <w:t xml:space="preserve"> </w:t>
      </w:r>
      <w:r w:rsidRPr="005C0A6F">
        <w:t>reducing</w:t>
      </w:r>
      <w:r w:rsidR="000159A6">
        <w:t xml:space="preserve"> </w:t>
      </w:r>
      <w:r w:rsidRPr="005C0A6F">
        <w:t>the</w:t>
      </w:r>
      <w:r w:rsidR="000159A6">
        <w:t xml:space="preserve"> </w:t>
      </w:r>
      <w:r w:rsidRPr="005C0A6F">
        <w:t>duration</w:t>
      </w:r>
      <w:r w:rsidR="000159A6">
        <w:t xml:space="preserve"> </w:t>
      </w:r>
      <w:r w:rsidRPr="005C0A6F">
        <w:t>of</w:t>
      </w:r>
      <w:r w:rsidR="000159A6">
        <w:t xml:space="preserve"> </w:t>
      </w:r>
      <w:r w:rsidRPr="005C0A6F">
        <w:t>severe</w:t>
      </w:r>
      <w:r w:rsidR="000159A6">
        <w:t xml:space="preserve"> </w:t>
      </w:r>
      <w:r w:rsidRPr="005C0A6F">
        <w:t>‘worst’</w:t>
      </w:r>
      <w:r w:rsidR="000159A6">
        <w:t xml:space="preserve"> </w:t>
      </w:r>
      <w:r w:rsidR="004715B4">
        <w:t>HZ</w:t>
      </w:r>
      <w:r w:rsidR="000159A6">
        <w:t xml:space="preserve"> </w:t>
      </w:r>
      <w:r w:rsidR="004715B4">
        <w:t>associated</w:t>
      </w:r>
      <w:r w:rsidR="000159A6">
        <w:t xml:space="preserve"> </w:t>
      </w:r>
      <w:r w:rsidRPr="005C0A6F">
        <w:t>pain</w:t>
      </w:r>
      <w:r w:rsidR="000159A6">
        <w:t xml:space="preserve"> </w:t>
      </w:r>
      <w:r w:rsidRPr="005C0A6F">
        <w:t>was</w:t>
      </w:r>
      <w:r w:rsidR="000159A6">
        <w:t xml:space="preserve"> </w:t>
      </w:r>
      <w:r w:rsidRPr="005C0A6F">
        <w:t>evaluated</w:t>
      </w:r>
      <w:r w:rsidR="000159A6">
        <w:t xml:space="preserve"> </w:t>
      </w:r>
      <w:r w:rsidRPr="005C0A6F">
        <w:t>as</w:t>
      </w:r>
      <w:r w:rsidR="000159A6">
        <w:t xml:space="preserve"> </w:t>
      </w:r>
      <w:r w:rsidRPr="005C0A6F">
        <w:t>a</w:t>
      </w:r>
      <w:r w:rsidR="000159A6">
        <w:t xml:space="preserve"> </w:t>
      </w:r>
      <w:r w:rsidRPr="005C0A6F">
        <w:t>secondary</w:t>
      </w:r>
      <w:r w:rsidR="000159A6">
        <w:t xml:space="preserve"> </w:t>
      </w:r>
      <w:r w:rsidRPr="005C0A6F">
        <w:t>objective</w:t>
      </w:r>
      <w:r w:rsidR="000159A6">
        <w:t xml:space="preserve"> </w:t>
      </w:r>
      <w:r w:rsidRPr="005C0A6F">
        <w:t>in</w:t>
      </w:r>
      <w:r w:rsidR="000159A6">
        <w:t xml:space="preserve"> </w:t>
      </w:r>
      <w:r w:rsidRPr="005C0A6F">
        <w:t>the</w:t>
      </w:r>
      <w:r w:rsidR="000159A6">
        <w:t xml:space="preserve"> </w:t>
      </w:r>
      <w:r w:rsidRPr="005C0A6F">
        <w:t>two</w:t>
      </w:r>
      <w:r w:rsidR="000159A6">
        <w:t xml:space="preserve"> </w:t>
      </w:r>
      <w:r w:rsidRPr="005C0A6F">
        <w:t>pivotal</w:t>
      </w:r>
      <w:r w:rsidR="000159A6">
        <w:t xml:space="preserve"> </w:t>
      </w:r>
      <w:r w:rsidRPr="005C0A6F">
        <w:t>studies</w:t>
      </w:r>
      <w:r w:rsidR="000159A6">
        <w:t xml:space="preserve"> </w:t>
      </w:r>
      <w:r w:rsidRPr="005C0A6F">
        <w:t>and</w:t>
      </w:r>
      <w:r w:rsidR="000159A6">
        <w:t xml:space="preserve"> </w:t>
      </w:r>
      <w:r w:rsidRPr="005C0A6F">
        <w:t>the</w:t>
      </w:r>
      <w:r w:rsidR="000159A6">
        <w:t xml:space="preserve"> </w:t>
      </w:r>
      <w:r w:rsidRPr="005C0A6F">
        <w:t>pooled</w:t>
      </w:r>
      <w:r w:rsidR="000159A6">
        <w:t xml:space="preserve"> </w:t>
      </w:r>
      <w:r w:rsidRPr="005C0A6F">
        <w:t>analysis.</w:t>
      </w:r>
      <w:r w:rsidR="000159A6">
        <w:t xml:space="preserve"> </w:t>
      </w:r>
      <w:r w:rsidRPr="005C0A6F">
        <w:t>Due</w:t>
      </w:r>
      <w:r w:rsidR="000159A6">
        <w:t xml:space="preserve"> </w:t>
      </w:r>
      <w:r w:rsidRPr="005C0A6F">
        <w:t>to</w:t>
      </w:r>
      <w:r w:rsidR="000159A6">
        <w:t xml:space="preserve"> </w:t>
      </w:r>
      <w:r w:rsidRPr="005C0A6F">
        <w:t>the</w:t>
      </w:r>
      <w:r w:rsidR="000159A6">
        <w:t xml:space="preserve"> </w:t>
      </w:r>
      <w:r w:rsidRPr="005C0A6F">
        <w:t>high</w:t>
      </w:r>
      <w:r w:rsidR="000159A6">
        <w:t xml:space="preserve"> </w:t>
      </w:r>
      <w:r w:rsidRPr="005C0A6F">
        <w:t>VE</w:t>
      </w:r>
      <w:r w:rsidR="000159A6">
        <w:t xml:space="preserve"> </w:t>
      </w:r>
      <w:r w:rsidRPr="005C0A6F">
        <w:t>against</w:t>
      </w:r>
      <w:r w:rsidR="000159A6">
        <w:t xml:space="preserve"> </w:t>
      </w:r>
      <w:r w:rsidRPr="005C0A6F">
        <w:t>HZ,</w:t>
      </w:r>
      <w:r w:rsidR="000159A6">
        <w:t xml:space="preserve"> </w:t>
      </w:r>
      <w:r w:rsidRPr="005C0A6F">
        <w:t>the</w:t>
      </w:r>
      <w:r w:rsidR="000159A6">
        <w:t xml:space="preserve"> </w:t>
      </w:r>
      <w:r w:rsidRPr="005C0A6F">
        <w:t>studies</w:t>
      </w:r>
      <w:r w:rsidR="000159A6">
        <w:t xml:space="preserve"> </w:t>
      </w:r>
      <w:r w:rsidRPr="005C0A6F">
        <w:t>lacked</w:t>
      </w:r>
      <w:r w:rsidR="000159A6">
        <w:t xml:space="preserve"> </w:t>
      </w:r>
      <w:r w:rsidRPr="005C0A6F">
        <w:t>statistical</w:t>
      </w:r>
      <w:r w:rsidR="000159A6">
        <w:t xml:space="preserve"> </w:t>
      </w:r>
      <w:r w:rsidRPr="005C0A6F">
        <w:t>power</w:t>
      </w:r>
      <w:r w:rsidR="000159A6">
        <w:t xml:space="preserve"> </w:t>
      </w:r>
      <w:r w:rsidRPr="005C0A6F">
        <w:t>to</w:t>
      </w:r>
      <w:r w:rsidR="000159A6">
        <w:t xml:space="preserve"> </w:t>
      </w:r>
      <w:r w:rsidRPr="005C0A6F">
        <w:t>demonstrate</w:t>
      </w:r>
      <w:r w:rsidR="000159A6">
        <w:t xml:space="preserve"> </w:t>
      </w:r>
      <w:r w:rsidRPr="005C0A6F">
        <w:t>efficacy</w:t>
      </w:r>
      <w:r w:rsidR="000159A6">
        <w:t xml:space="preserve"> </w:t>
      </w:r>
      <w:r w:rsidRPr="005C0A6F">
        <w:t>against</w:t>
      </w:r>
      <w:r w:rsidR="000159A6">
        <w:t xml:space="preserve"> </w:t>
      </w:r>
      <w:r w:rsidRPr="005C0A6F">
        <w:t>this</w:t>
      </w:r>
      <w:r w:rsidR="000159A6">
        <w:t xml:space="preserve"> </w:t>
      </w:r>
      <w:r w:rsidRPr="005C0A6F">
        <w:t>endpoint.</w:t>
      </w:r>
      <w:r w:rsidR="000159A6">
        <w:t xml:space="preserve"> </w:t>
      </w:r>
      <w:r w:rsidRPr="005C0A6F">
        <w:t>However,</w:t>
      </w:r>
      <w:r w:rsidR="000159A6">
        <w:t xml:space="preserve"> </w:t>
      </w:r>
      <w:r w:rsidRPr="005C0A6F">
        <w:t>when</w:t>
      </w:r>
      <w:r w:rsidR="000159A6">
        <w:t xml:space="preserve"> </w:t>
      </w:r>
      <w:r w:rsidRPr="005C0A6F">
        <w:t>considering</w:t>
      </w:r>
      <w:r w:rsidR="000159A6">
        <w:t xml:space="preserve"> </w:t>
      </w:r>
      <w:r w:rsidRPr="005C0A6F">
        <w:t>the</w:t>
      </w:r>
      <w:r w:rsidR="000159A6">
        <w:t xml:space="preserve"> </w:t>
      </w:r>
      <w:r w:rsidRPr="005C0A6F">
        <w:t>descriptive</w:t>
      </w:r>
      <w:r w:rsidR="000159A6">
        <w:t xml:space="preserve"> </w:t>
      </w:r>
      <w:r w:rsidRPr="005C0A6F">
        <w:t>statistics</w:t>
      </w:r>
      <w:r w:rsidR="000159A6">
        <w:t xml:space="preserve"> </w:t>
      </w:r>
      <w:r w:rsidRPr="005C0A6F">
        <w:t>of</w:t>
      </w:r>
      <w:r w:rsidR="000159A6">
        <w:t xml:space="preserve"> </w:t>
      </w:r>
      <w:r w:rsidRPr="005C0A6F">
        <w:t>the</w:t>
      </w:r>
      <w:r w:rsidR="000159A6">
        <w:t xml:space="preserve"> </w:t>
      </w:r>
      <w:r w:rsidRPr="005C0A6F">
        <w:t>median</w:t>
      </w:r>
      <w:r w:rsidR="000159A6">
        <w:t xml:space="preserve"> </w:t>
      </w:r>
      <w:r w:rsidRPr="005C0A6F">
        <w:t>duration</w:t>
      </w:r>
      <w:r w:rsidR="000159A6">
        <w:t xml:space="preserve"> </w:t>
      </w:r>
      <w:r w:rsidRPr="005C0A6F">
        <w:t>of</w:t>
      </w:r>
      <w:r w:rsidR="000159A6">
        <w:t xml:space="preserve"> </w:t>
      </w:r>
      <w:r w:rsidRPr="005C0A6F">
        <w:t>severe</w:t>
      </w:r>
      <w:r w:rsidR="000159A6">
        <w:t xml:space="preserve"> </w:t>
      </w:r>
      <w:r w:rsidRPr="005C0A6F">
        <w:t>worst</w:t>
      </w:r>
      <w:r w:rsidR="000159A6">
        <w:t xml:space="preserve"> </w:t>
      </w:r>
      <w:r w:rsidR="004715B4">
        <w:t>HZ</w:t>
      </w:r>
      <w:r w:rsidR="000159A6">
        <w:t xml:space="preserve"> </w:t>
      </w:r>
      <w:r w:rsidR="004715B4">
        <w:t>associated</w:t>
      </w:r>
      <w:r w:rsidR="000159A6">
        <w:t xml:space="preserve"> </w:t>
      </w:r>
      <w:r w:rsidRPr="005C0A6F">
        <w:t>pain</w:t>
      </w:r>
      <w:r w:rsidR="000159A6">
        <w:t xml:space="preserve"> </w:t>
      </w:r>
      <w:r w:rsidRPr="005C0A6F">
        <w:t>in</w:t>
      </w:r>
      <w:r w:rsidR="000159A6">
        <w:t xml:space="preserve"> </w:t>
      </w:r>
      <w:r w:rsidRPr="005C0A6F">
        <w:t>number</w:t>
      </w:r>
      <w:r w:rsidR="000159A6">
        <w:t xml:space="preserve"> </w:t>
      </w:r>
      <w:r w:rsidRPr="005C0A6F">
        <w:t>of</w:t>
      </w:r>
      <w:r w:rsidR="000159A6">
        <w:t xml:space="preserve"> </w:t>
      </w:r>
      <w:r w:rsidRPr="005C0A6F">
        <w:t>days,</w:t>
      </w:r>
      <w:r w:rsidR="000159A6">
        <w:t xml:space="preserve"> </w:t>
      </w:r>
      <w:r w:rsidRPr="005C0A6F">
        <w:t>there</w:t>
      </w:r>
      <w:r w:rsidR="000159A6">
        <w:t xml:space="preserve"> </w:t>
      </w:r>
      <w:r w:rsidRPr="005C0A6F">
        <w:t>was</w:t>
      </w:r>
      <w:r w:rsidR="000159A6">
        <w:t xml:space="preserve"> </w:t>
      </w:r>
      <w:r w:rsidRPr="005C0A6F">
        <w:t>a</w:t>
      </w:r>
      <w:r w:rsidR="000159A6">
        <w:t xml:space="preserve"> </w:t>
      </w:r>
      <w:r w:rsidRPr="005C0A6F">
        <w:t>trend</w:t>
      </w:r>
      <w:r w:rsidR="000159A6">
        <w:t xml:space="preserve"> </w:t>
      </w:r>
      <w:r w:rsidRPr="005C0A6F">
        <w:t>for</w:t>
      </w:r>
      <w:r w:rsidR="000159A6">
        <w:t xml:space="preserve"> </w:t>
      </w:r>
      <w:r w:rsidRPr="005C0A6F">
        <w:t>a</w:t>
      </w:r>
      <w:r w:rsidR="000159A6">
        <w:t xml:space="preserve"> </w:t>
      </w:r>
      <w:r w:rsidRPr="005C0A6F">
        <w:t>shorter</w:t>
      </w:r>
      <w:r w:rsidR="000159A6">
        <w:t xml:space="preserve"> </w:t>
      </w:r>
      <w:r w:rsidRPr="005C0A6F">
        <w:t>duration</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Pr="005C0A6F">
        <w:t>versus</w:t>
      </w:r>
      <w:r w:rsidR="000159A6">
        <w:t xml:space="preserve"> </w:t>
      </w:r>
      <w:r w:rsidRPr="005C0A6F">
        <w:t>Placebo</w:t>
      </w:r>
      <w:r w:rsidR="000159A6">
        <w:t xml:space="preserve"> </w:t>
      </w:r>
      <w:r w:rsidRPr="005C0A6F">
        <w:t>group</w:t>
      </w:r>
      <w:r w:rsidR="000159A6">
        <w:t xml:space="preserve"> </w:t>
      </w:r>
      <w:r w:rsidRPr="005C0A6F">
        <w:t>in</w:t>
      </w:r>
      <w:r w:rsidR="000159A6">
        <w:t xml:space="preserve"> </w:t>
      </w:r>
      <w:r w:rsidRPr="005C0A6F">
        <w:t>all</w:t>
      </w:r>
      <w:r w:rsidR="000159A6">
        <w:t xml:space="preserve"> </w:t>
      </w:r>
      <w:r w:rsidRPr="005C0A6F">
        <w:t>analyses,</w:t>
      </w:r>
      <w:r w:rsidR="000159A6">
        <w:t xml:space="preserve"> </w:t>
      </w:r>
      <w:r w:rsidR="000E6841">
        <w:t>that</w:t>
      </w:r>
      <w:r w:rsidR="000159A6">
        <w:t xml:space="preserve"> </w:t>
      </w:r>
      <w:r w:rsidR="000E6841">
        <w:t>is</w:t>
      </w:r>
      <w:r w:rsidRPr="005C0A6F">
        <w:t>,</w:t>
      </w:r>
      <w:r w:rsidR="000159A6">
        <w:t xml:space="preserve"> </w:t>
      </w:r>
      <w:r w:rsidRPr="005C0A6F">
        <w:t>11.0</w:t>
      </w:r>
      <w:r w:rsidR="000159A6">
        <w:t xml:space="preserve"> </w:t>
      </w:r>
      <w:r w:rsidR="008D4538">
        <w:t>versus</w:t>
      </w:r>
      <w:r w:rsidR="000159A6">
        <w:t xml:space="preserve"> </w:t>
      </w:r>
      <w:r w:rsidRPr="005C0A6F">
        <w:t>15.0</w:t>
      </w:r>
      <w:r w:rsidR="000159A6">
        <w:t xml:space="preserve"> </w:t>
      </w:r>
      <w:r w:rsidRPr="005C0A6F">
        <w:t>days</w:t>
      </w:r>
      <w:r w:rsidR="000159A6">
        <w:t xml:space="preserve"> </w:t>
      </w:r>
      <w:r w:rsidRPr="005C0A6F">
        <w:t>in</w:t>
      </w:r>
      <w:r w:rsidR="000159A6">
        <w:t xml:space="preserve"> </w:t>
      </w:r>
      <w:r w:rsidR="0037169B">
        <w:t>≥</w:t>
      </w:r>
      <w:r w:rsidR="000159A6">
        <w:t xml:space="preserve"> </w:t>
      </w:r>
      <w:r w:rsidRPr="005C0A6F">
        <w:t>50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in</w:t>
      </w:r>
      <w:r w:rsidR="000159A6">
        <w:t xml:space="preserve"> </w:t>
      </w:r>
      <w:r w:rsidR="00525235">
        <w:t>Study</w:t>
      </w:r>
      <w:r w:rsidR="000159A6">
        <w:t xml:space="preserve"> </w:t>
      </w:r>
      <w:r w:rsidR="00525235">
        <w:t>ZOSTER</w:t>
      </w:r>
      <w:r w:rsidRPr="005C0A6F">
        <w:t>-006,</w:t>
      </w:r>
      <w:r w:rsidR="000159A6">
        <w:t xml:space="preserve"> </w:t>
      </w:r>
      <w:r w:rsidRPr="005C0A6F">
        <w:t>13.5</w:t>
      </w:r>
      <w:r w:rsidR="000159A6">
        <w:t xml:space="preserve"> </w:t>
      </w:r>
      <w:r w:rsidR="008D4538">
        <w:t>versus</w:t>
      </w:r>
      <w:r w:rsidR="000159A6">
        <w:t xml:space="preserve"> </w:t>
      </w:r>
      <w:r w:rsidRPr="005C0A6F">
        <w:t>19.0</w:t>
      </w:r>
      <w:r w:rsidR="000159A6">
        <w:t xml:space="preserve"> </w:t>
      </w:r>
      <w:r w:rsidRPr="005C0A6F">
        <w:t>days</w:t>
      </w:r>
      <w:r w:rsidR="000159A6">
        <w:t xml:space="preserve"> </w:t>
      </w:r>
      <w:r w:rsidRPr="005C0A6F">
        <w:t>in</w:t>
      </w:r>
      <w:r w:rsidR="000159A6">
        <w:t xml:space="preserve"> </w:t>
      </w:r>
      <w:r w:rsidR="0037169B">
        <w:t>≥</w:t>
      </w:r>
      <w:r w:rsidR="000159A6">
        <w:t xml:space="preserve"> </w:t>
      </w:r>
      <w:r w:rsidRPr="005C0A6F">
        <w:t>70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in</w:t>
      </w:r>
      <w:r w:rsidR="000159A6">
        <w:t xml:space="preserve"> </w:t>
      </w:r>
      <w:r w:rsidR="00525235">
        <w:t>Study</w:t>
      </w:r>
      <w:r w:rsidR="000159A6">
        <w:t xml:space="preserve"> </w:t>
      </w:r>
      <w:r w:rsidR="00525235">
        <w:t>ZOSTER</w:t>
      </w:r>
      <w:r w:rsidRPr="005C0A6F">
        <w:t>-022,</w:t>
      </w:r>
      <w:r w:rsidR="000159A6">
        <w:t xml:space="preserve"> </w:t>
      </w:r>
      <w:r w:rsidRPr="005C0A6F">
        <w:t>and</w:t>
      </w:r>
      <w:r w:rsidR="000159A6">
        <w:t xml:space="preserve"> </w:t>
      </w:r>
      <w:r w:rsidRPr="005C0A6F">
        <w:t>11.5</w:t>
      </w:r>
      <w:r w:rsidR="000159A6">
        <w:t xml:space="preserve"> </w:t>
      </w:r>
      <w:r w:rsidR="008D4538">
        <w:t>versus</w:t>
      </w:r>
      <w:r w:rsidR="000159A6">
        <w:t xml:space="preserve"> </w:t>
      </w:r>
      <w:r w:rsidRPr="005C0A6F">
        <w:t>19.0</w:t>
      </w:r>
      <w:r w:rsidR="000159A6">
        <w:t xml:space="preserve"> </w:t>
      </w:r>
      <w:r w:rsidRPr="005C0A6F">
        <w:t>in</w:t>
      </w:r>
      <w:r w:rsidR="000159A6">
        <w:t xml:space="preserve"> </w:t>
      </w:r>
      <w:r w:rsidR="0037169B">
        <w:t>≥</w:t>
      </w:r>
      <w:r w:rsidR="000159A6">
        <w:t xml:space="preserve"> </w:t>
      </w:r>
      <w:r w:rsidRPr="005C0A6F">
        <w:t>70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in</w:t>
      </w:r>
      <w:r w:rsidR="000159A6">
        <w:t xml:space="preserve"> </w:t>
      </w:r>
      <w:r w:rsidRPr="005C0A6F">
        <w:t>the</w:t>
      </w:r>
      <w:r w:rsidR="000159A6">
        <w:t xml:space="preserve"> </w:t>
      </w:r>
      <w:r w:rsidRPr="005C0A6F">
        <w:t>pooled</w:t>
      </w:r>
      <w:r w:rsidR="000159A6">
        <w:t xml:space="preserve"> </w:t>
      </w:r>
      <w:r w:rsidRPr="005C0A6F">
        <w:t>analysis</w:t>
      </w:r>
      <w:r w:rsidR="00FF12AA">
        <w:t>.</w:t>
      </w:r>
    </w:p>
    <w:p w14:paraId="5D50CC18" w14:textId="2B177536" w:rsidR="005C0A6F" w:rsidRPr="00E021B7" w:rsidRDefault="005C0A6F" w:rsidP="00440509">
      <w:pPr>
        <w:pStyle w:val="Heading4"/>
      </w:pPr>
      <w:bookmarkStart w:id="251" w:name="_Toc480093778"/>
      <w:bookmarkEnd w:id="247"/>
      <w:r w:rsidRPr="00E021B7">
        <w:t>Other</w:t>
      </w:r>
      <w:r w:rsidR="000159A6" w:rsidRPr="00E021B7">
        <w:t xml:space="preserve"> </w:t>
      </w:r>
      <w:r w:rsidRPr="00E021B7">
        <w:t>relevant</w:t>
      </w:r>
      <w:r w:rsidR="000159A6" w:rsidRPr="00E021B7">
        <w:t xml:space="preserve"> </w:t>
      </w:r>
      <w:r w:rsidRPr="00E021B7">
        <w:t>clinical</w:t>
      </w:r>
      <w:r w:rsidR="000159A6" w:rsidRPr="00E021B7">
        <w:t xml:space="preserve"> </w:t>
      </w:r>
      <w:r w:rsidRPr="00440509">
        <w:t>studies</w:t>
      </w:r>
    </w:p>
    <w:p w14:paraId="55463682" w14:textId="3438253B" w:rsidR="005C0A6F" w:rsidRPr="00E021B7" w:rsidRDefault="004715B4" w:rsidP="00440509">
      <w:pPr>
        <w:pStyle w:val="Heading5"/>
      </w:pPr>
      <w:r w:rsidRPr="00E021B7">
        <w:t>Study</w:t>
      </w:r>
      <w:r w:rsidR="000159A6" w:rsidRPr="00E021B7">
        <w:t xml:space="preserve"> </w:t>
      </w:r>
      <w:r w:rsidR="0037169B" w:rsidRPr="00E021B7">
        <w:t>ZOSTER</w:t>
      </w:r>
      <w:r w:rsidR="005C0A6F" w:rsidRPr="00E021B7">
        <w:t>-007;</w:t>
      </w:r>
      <w:r w:rsidR="000159A6" w:rsidRPr="00E021B7">
        <w:t xml:space="preserve"> </w:t>
      </w:r>
      <w:r w:rsidR="005C0A6F" w:rsidRPr="00E021B7">
        <w:t>Lot</w:t>
      </w:r>
      <w:r w:rsidR="000159A6" w:rsidRPr="00E021B7">
        <w:t xml:space="preserve"> </w:t>
      </w:r>
      <w:r w:rsidR="005C0A6F" w:rsidRPr="00440509">
        <w:t>consistency</w:t>
      </w:r>
      <w:r w:rsidR="000159A6" w:rsidRPr="00E021B7">
        <w:t xml:space="preserve"> </w:t>
      </w:r>
      <w:r w:rsidR="005C0A6F" w:rsidRPr="00E021B7">
        <w:t>study</w:t>
      </w:r>
    </w:p>
    <w:p w14:paraId="7A2C91EC" w14:textId="10536DB2" w:rsidR="005C0A6F" w:rsidRDefault="004715B4" w:rsidP="00440509">
      <w:r>
        <w:t>Study</w:t>
      </w:r>
      <w:r w:rsidR="000159A6">
        <w:t xml:space="preserve"> </w:t>
      </w:r>
      <w:r w:rsidR="0037169B">
        <w:t>ZOSTER</w:t>
      </w:r>
      <w:r w:rsidR="005C0A6F" w:rsidRPr="005C0A6F">
        <w:t>-007</w:t>
      </w:r>
      <w:r w:rsidR="000159A6">
        <w:t xml:space="preserve"> </w:t>
      </w:r>
      <w:r w:rsidR="005C0A6F" w:rsidRPr="005C0A6F">
        <w:t>(Lot</w:t>
      </w:r>
      <w:r w:rsidR="000159A6">
        <w:t xml:space="preserve"> </w:t>
      </w:r>
      <w:r w:rsidR="005C0A6F" w:rsidRPr="005C0A6F">
        <w:t>consistency</w:t>
      </w:r>
      <w:r w:rsidR="000159A6">
        <w:t xml:space="preserve"> </w:t>
      </w:r>
      <w:r w:rsidR="005C0A6F" w:rsidRPr="005C0A6F">
        <w:t>study):</w:t>
      </w:r>
      <w:r w:rsidR="000159A6">
        <w:t xml:space="preserve"> </w:t>
      </w:r>
      <w:r w:rsidR="005C0A6F" w:rsidRPr="005C0A6F">
        <w:t>Consistency</w:t>
      </w:r>
      <w:r w:rsidR="000159A6">
        <w:t xml:space="preserve"> </w:t>
      </w:r>
      <w:r w:rsidR="005C0A6F" w:rsidRPr="005C0A6F">
        <w:t>in</w:t>
      </w:r>
      <w:r w:rsidR="000159A6">
        <w:t xml:space="preserve"> </w:t>
      </w:r>
      <w:r w:rsidR="005C0A6F" w:rsidRPr="005C0A6F">
        <w:t>terms</w:t>
      </w:r>
      <w:r w:rsidR="000159A6">
        <w:t xml:space="preserve"> </w:t>
      </w:r>
      <w:r w:rsidR="005C0A6F" w:rsidRPr="005C0A6F">
        <w:t>of</w:t>
      </w:r>
      <w:r w:rsidR="000159A6">
        <w:t xml:space="preserve"> </w:t>
      </w:r>
      <w:r w:rsidR="005C0A6F" w:rsidRPr="005C0A6F">
        <w:t>anti-gE</w:t>
      </w:r>
      <w:r w:rsidR="000159A6">
        <w:t xml:space="preserve"> </w:t>
      </w:r>
      <w:r w:rsidR="005C0A6F" w:rsidRPr="005C0A6F">
        <w:t>Ab</w:t>
      </w:r>
      <w:r w:rsidR="000159A6">
        <w:t xml:space="preserve"> </w:t>
      </w:r>
      <w:r w:rsidR="005C0A6F" w:rsidRPr="005C0A6F">
        <w:t>response</w:t>
      </w:r>
      <w:r w:rsidR="000159A6">
        <w:t xml:space="preserve"> </w:t>
      </w:r>
      <w:r w:rsidR="005C0A6F" w:rsidRPr="005C0A6F">
        <w:t>was</w:t>
      </w:r>
      <w:r w:rsidR="000159A6">
        <w:t xml:space="preserve"> </w:t>
      </w:r>
      <w:r w:rsidR="005C0A6F" w:rsidRPr="005C0A6F">
        <w:t>demonstrated</w:t>
      </w:r>
      <w:r w:rsidR="000159A6">
        <w:t xml:space="preserve"> </w:t>
      </w:r>
      <w:r w:rsidR="005C0A6F" w:rsidRPr="005C0A6F">
        <w:t>between</w:t>
      </w:r>
      <w:r w:rsidR="000159A6">
        <w:t xml:space="preserve"> </w:t>
      </w:r>
      <w:r w:rsidR="005C0A6F" w:rsidRPr="005C0A6F">
        <w:t>three</w:t>
      </w:r>
      <w:r w:rsidR="000159A6">
        <w:t xml:space="preserve"> </w:t>
      </w:r>
      <w:r w:rsidR="005C0A6F" w:rsidRPr="005C0A6F">
        <w:t>HZ/</w:t>
      </w:r>
      <w:proofErr w:type="spellStart"/>
      <w:r w:rsidR="005C0A6F" w:rsidRPr="005C0A6F">
        <w:t>su</w:t>
      </w:r>
      <w:proofErr w:type="spellEnd"/>
      <w:r w:rsidR="000159A6">
        <w:t xml:space="preserve"> </w:t>
      </w:r>
      <w:r w:rsidR="005C0A6F" w:rsidRPr="005C0A6F">
        <w:t>lots</w:t>
      </w:r>
      <w:r w:rsidR="000159A6">
        <w:t xml:space="preserve"> </w:t>
      </w:r>
      <w:r w:rsidR="005C0A6F" w:rsidRPr="005C0A6F">
        <w:t>formulated</w:t>
      </w:r>
      <w:r w:rsidR="000159A6">
        <w:t xml:space="preserve"> </w:t>
      </w:r>
      <w:r w:rsidR="005C0A6F" w:rsidRPr="005C0A6F">
        <w:t>from</w:t>
      </w:r>
      <w:r w:rsidR="000159A6">
        <w:t xml:space="preserve"> </w:t>
      </w:r>
      <w:r w:rsidR="005C0A6F" w:rsidRPr="005C0A6F">
        <w:t>commercial-scale</w:t>
      </w:r>
      <w:r w:rsidR="000159A6">
        <w:t xml:space="preserve"> </w:t>
      </w:r>
      <w:proofErr w:type="gramStart"/>
      <w:r w:rsidR="005C0A6F" w:rsidRPr="005C0A6F">
        <w:t>gE</w:t>
      </w:r>
      <w:proofErr w:type="gramEnd"/>
      <w:r w:rsidR="000159A6">
        <w:t xml:space="preserve"> </w:t>
      </w:r>
      <w:r w:rsidR="005C0A6F" w:rsidRPr="005C0A6F">
        <w:t>and</w:t>
      </w:r>
      <w:r w:rsidR="000159A6">
        <w:t xml:space="preserve"> </w:t>
      </w:r>
      <w:r w:rsidR="00503D1B">
        <w:t>AS01</w:t>
      </w:r>
      <w:r w:rsidR="00503D1B" w:rsidRPr="00570F2D">
        <w:rPr>
          <w:vertAlign w:val="subscript"/>
        </w:rPr>
        <w:t>B</w:t>
      </w:r>
      <w:r w:rsidR="005C0A6F" w:rsidRPr="005C0A6F">
        <w:t>.</w:t>
      </w:r>
    </w:p>
    <w:p w14:paraId="1731B3D4" w14:textId="33BE36CC" w:rsidR="005C0A6F" w:rsidRPr="00E021B7" w:rsidRDefault="004715B4" w:rsidP="00E021B7">
      <w:pPr>
        <w:pStyle w:val="Heading5"/>
      </w:pPr>
      <w:r w:rsidRPr="00E021B7">
        <w:t>Study</w:t>
      </w:r>
      <w:r w:rsidR="000159A6" w:rsidRPr="00E021B7">
        <w:t xml:space="preserve"> </w:t>
      </w:r>
      <w:r w:rsidR="0037169B" w:rsidRPr="00E021B7">
        <w:t>ZOSTER</w:t>
      </w:r>
      <w:r w:rsidR="005C0A6F" w:rsidRPr="00E021B7">
        <w:t>-004;</w:t>
      </w:r>
      <w:r w:rsidR="000159A6" w:rsidRPr="00E021B7">
        <w:t xml:space="preserve"> </w:t>
      </w:r>
      <w:r w:rsidR="005C0A6F" w:rsidRPr="00E021B7">
        <w:t>Concomitant</w:t>
      </w:r>
      <w:r w:rsidR="000159A6" w:rsidRPr="00E021B7">
        <w:t xml:space="preserve"> </w:t>
      </w:r>
      <w:r w:rsidR="005C0A6F" w:rsidRPr="00E021B7">
        <w:t>administration</w:t>
      </w:r>
      <w:r w:rsidR="000159A6" w:rsidRPr="00E021B7">
        <w:t xml:space="preserve"> </w:t>
      </w:r>
      <w:r w:rsidR="005C0A6F" w:rsidRPr="00E021B7">
        <w:t>with</w:t>
      </w:r>
      <w:r w:rsidR="000159A6" w:rsidRPr="00E021B7">
        <w:t xml:space="preserve"> </w:t>
      </w:r>
      <w:r w:rsidR="005C0A6F" w:rsidRPr="00E021B7">
        <w:t>influenza</w:t>
      </w:r>
      <w:r w:rsidR="000159A6" w:rsidRPr="00E021B7">
        <w:t xml:space="preserve"> </w:t>
      </w:r>
      <w:r w:rsidR="005C0A6F" w:rsidRPr="00E021B7">
        <w:t>vaccine</w:t>
      </w:r>
    </w:p>
    <w:p w14:paraId="21530DE9" w14:textId="2A7B8673" w:rsidR="005C0A6F" w:rsidRDefault="004715B4" w:rsidP="00440509">
      <w:r>
        <w:t>Study</w:t>
      </w:r>
      <w:r w:rsidR="000159A6">
        <w:t xml:space="preserve"> </w:t>
      </w:r>
      <w:r w:rsidR="0037169B">
        <w:t>ZOSTER</w:t>
      </w:r>
      <w:r w:rsidR="005C0A6F" w:rsidRPr="005C0A6F">
        <w:t>-004</w:t>
      </w:r>
      <w:r w:rsidR="000159A6">
        <w:t xml:space="preserve"> </w:t>
      </w:r>
      <w:r w:rsidR="005C0A6F" w:rsidRPr="005C0A6F">
        <w:t>(Concomitant</w:t>
      </w:r>
      <w:r w:rsidR="000159A6">
        <w:t xml:space="preserve"> </w:t>
      </w:r>
      <w:r w:rsidR="005C0A6F" w:rsidRPr="005C0A6F">
        <w:t>administration</w:t>
      </w:r>
      <w:r w:rsidR="000159A6">
        <w:t xml:space="preserve"> </w:t>
      </w:r>
      <w:r w:rsidR="005C0A6F" w:rsidRPr="005C0A6F">
        <w:t>with</w:t>
      </w:r>
      <w:r w:rsidR="000159A6">
        <w:t xml:space="preserve"> </w:t>
      </w:r>
      <w:r w:rsidR="005C0A6F" w:rsidRPr="005C0A6F">
        <w:t>influenza</w:t>
      </w:r>
      <w:r w:rsidR="000159A6">
        <w:t xml:space="preserve"> </w:t>
      </w:r>
      <w:r w:rsidR="005C0A6F" w:rsidRPr="005C0A6F">
        <w:t>vaccine):</w:t>
      </w:r>
      <w:r w:rsidR="000159A6">
        <w:t xml:space="preserve"> </w:t>
      </w:r>
      <w:r w:rsidR="005C0A6F" w:rsidRPr="005C0A6F">
        <w:t>co-administration</w:t>
      </w:r>
      <w:r w:rsidR="000159A6">
        <w:t xml:space="preserve"> </w:t>
      </w:r>
      <w:r w:rsidR="005C0A6F" w:rsidRPr="005C0A6F">
        <w:t>with</w:t>
      </w:r>
      <w:r w:rsidR="000159A6">
        <w:t xml:space="preserve"> </w:t>
      </w:r>
      <w:r w:rsidR="005C0A6F" w:rsidRPr="005C0A6F">
        <w:t>quadrivalent</w:t>
      </w:r>
      <w:r w:rsidR="000159A6">
        <w:t xml:space="preserve"> </w:t>
      </w:r>
      <w:r w:rsidR="005C0A6F" w:rsidRPr="005C0A6F">
        <w:t>seasonal</w:t>
      </w:r>
      <w:r w:rsidR="000159A6">
        <w:t xml:space="preserve"> </w:t>
      </w:r>
      <w:r w:rsidR="005C0A6F" w:rsidRPr="005C0A6F">
        <w:t>influenza</w:t>
      </w:r>
      <w:r w:rsidR="000159A6">
        <w:t xml:space="preserve"> </w:t>
      </w:r>
      <w:r w:rsidR="005C0A6F" w:rsidRPr="005C0A6F">
        <w:t>vaccine</w:t>
      </w:r>
      <w:r w:rsidR="000159A6">
        <w:t xml:space="preserve"> </w:t>
      </w:r>
      <w:r w:rsidR="005C0A6F" w:rsidRPr="005C0A6F">
        <w:t>found</w:t>
      </w:r>
      <w:r w:rsidR="000159A6">
        <w:t xml:space="preserve"> </w:t>
      </w:r>
      <w:r w:rsidR="005C0A6F" w:rsidRPr="005C0A6F">
        <w:t>no</w:t>
      </w:r>
      <w:r w:rsidR="000159A6">
        <w:t xml:space="preserve"> </w:t>
      </w:r>
      <w:r w:rsidR="005C0A6F" w:rsidRPr="005C0A6F">
        <w:t>evidence</w:t>
      </w:r>
      <w:r w:rsidR="000159A6">
        <w:t xml:space="preserve"> </w:t>
      </w:r>
      <w:r w:rsidR="005C0A6F" w:rsidRPr="005C0A6F">
        <w:t>of</w:t>
      </w:r>
      <w:r w:rsidR="000159A6">
        <w:t xml:space="preserve"> </w:t>
      </w:r>
      <w:r w:rsidR="005C0A6F" w:rsidRPr="005C0A6F">
        <w:t>immunological</w:t>
      </w:r>
      <w:r w:rsidR="000159A6">
        <w:t xml:space="preserve"> </w:t>
      </w:r>
      <w:r w:rsidR="005C0A6F" w:rsidRPr="005C0A6F">
        <w:t>interference.</w:t>
      </w:r>
    </w:p>
    <w:p w14:paraId="4DCBFCCB" w14:textId="5281CFD0" w:rsidR="005C0A6F" w:rsidRPr="00E021B7" w:rsidRDefault="004715B4" w:rsidP="00440509">
      <w:pPr>
        <w:pStyle w:val="Heading5"/>
      </w:pPr>
      <w:r w:rsidRPr="00E021B7">
        <w:t>Study</w:t>
      </w:r>
      <w:r w:rsidR="000159A6" w:rsidRPr="00E021B7">
        <w:rPr>
          <w:rFonts w:eastAsia="Arial,Bold"/>
        </w:rPr>
        <w:t xml:space="preserve"> </w:t>
      </w:r>
      <w:r w:rsidR="0037169B" w:rsidRPr="00E021B7">
        <w:rPr>
          <w:rFonts w:eastAsia="Arial,Bold"/>
        </w:rPr>
        <w:t>ZOSTER</w:t>
      </w:r>
      <w:r w:rsidR="005C0A6F" w:rsidRPr="00E021B7">
        <w:rPr>
          <w:rFonts w:eastAsia="Arial,Bold"/>
        </w:rPr>
        <w:t>-033;</w:t>
      </w:r>
      <w:r w:rsidR="000159A6" w:rsidRPr="00E021B7">
        <w:rPr>
          <w:rFonts w:eastAsia="Arial,Bold"/>
        </w:rPr>
        <w:t xml:space="preserve"> </w:t>
      </w:r>
      <w:r w:rsidR="005C0A6F" w:rsidRPr="00E021B7">
        <w:rPr>
          <w:rFonts w:eastAsia="Arial,Bold"/>
        </w:rPr>
        <w:t>in</w:t>
      </w:r>
      <w:r w:rsidR="000159A6" w:rsidRPr="00E021B7">
        <w:rPr>
          <w:rFonts w:eastAsia="Arial,Bold"/>
        </w:rPr>
        <w:t xml:space="preserve"> </w:t>
      </w:r>
      <w:r w:rsidR="005C0A6F" w:rsidRPr="00440509">
        <w:rPr>
          <w:rFonts w:eastAsia="Arial,Bold"/>
        </w:rPr>
        <w:t>subjects</w:t>
      </w:r>
      <w:r w:rsidR="000159A6" w:rsidRPr="00E021B7">
        <w:rPr>
          <w:rFonts w:eastAsia="Arial,Bold"/>
        </w:rPr>
        <w:t xml:space="preserve"> </w:t>
      </w:r>
      <w:r w:rsidR="005C0A6F" w:rsidRPr="00E021B7">
        <w:rPr>
          <w:rFonts w:eastAsia="Arial,Bold"/>
        </w:rPr>
        <w:t>with</w:t>
      </w:r>
      <w:r w:rsidR="000159A6" w:rsidRPr="00E021B7">
        <w:rPr>
          <w:rFonts w:eastAsia="Arial,Bold"/>
        </w:rPr>
        <w:t xml:space="preserve"> </w:t>
      </w:r>
      <w:r w:rsidR="005C0A6F" w:rsidRPr="00E021B7">
        <w:rPr>
          <w:rFonts w:eastAsia="Arial,Bold"/>
        </w:rPr>
        <w:t>previous</w:t>
      </w:r>
      <w:r w:rsidR="000159A6" w:rsidRPr="00E021B7">
        <w:rPr>
          <w:rFonts w:eastAsia="Arial,Bold"/>
        </w:rPr>
        <w:t xml:space="preserve"> </w:t>
      </w:r>
      <w:r w:rsidR="005C0A6F" w:rsidRPr="00E021B7">
        <w:rPr>
          <w:rFonts w:eastAsia="Arial,Bold"/>
        </w:rPr>
        <w:t>HZ</w:t>
      </w:r>
    </w:p>
    <w:p w14:paraId="204B49BC" w14:textId="12CEE184" w:rsidR="005C0A6F" w:rsidRDefault="004715B4" w:rsidP="00440509">
      <w:r>
        <w:t>Study</w:t>
      </w:r>
      <w:r w:rsidR="000159A6">
        <w:t xml:space="preserve"> </w:t>
      </w:r>
      <w:r w:rsidR="0037169B">
        <w:t>ZOSTER</w:t>
      </w:r>
      <w:r w:rsidR="005C0A6F" w:rsidRPr="005C0A6F">
        <w:t>-033</w:t>
      </w:r>
      <w:r w:rsidR="000159A6">
        <w:t xml:space="preserve"> </w:t>
      </w:r>
      <w:r w:rsidR="005C0A6F" w:rsidRPr="005C0A6F">
        <w:t>(in</w:t>
      </w:r>
      <w:r w:rsidR="000159A6">
        <w:t xml:space="preserve"> </w:t>
      </w:r>
      <w:r w:rsidR="005C0A6F" w:rsidRPr="005C0A6F">
        <w:t>subjects</w:t>
      </w:r>
      <w:r w:rsidR="000159A6">
        <w:t xml:space="preserve"> </w:t>
      </w:r>
      <w:r w:rsidR="005C0A6F" w:rsidRPr="005C0A6F">
        <w:t>with</w:t>
      </w:r>
      <w:r w:rsidR="000159A6">
        <w:t xml:space="preserve"> </w:t>
      </w:r>
      <w:r w:rsidR="005C0A6F" w:rsidRPr="005C0A6F">
        <w:t>previous</w:t>
      </w:r>
      <w:r w:rsidR="000159A6">
        <w:t xml:space="preserve"> </w:t>
      </w:r>
      <w:r w:rsidR="005C0A6F" w:rsidRPr="005C0A6F">
        <w:t>HZ):</w:t>
      </w:r>
      <w:r w:rsidR="000159A6">
        <w:t xml:space="preserve"> </w:t>
      </w:r>
      <w:r w:rsidR="005C0A6F" w:rsidRPr="005C0A6F">
        <w:t>this</w:t>
      </w:r>
      <w:r w:rsidR="000159A6">
        <w:t xml:space="preserve"> </w:t>
      </w:r>
      <w:r w:rsidR="005C0A6F" w:rsidRPr="005C0A6F">
        <w:t>Phase</w:t>
      </w:r>
      <w:r w:rsidR="000159A6">
        <w:t xml:space="preserve"> </w:t>
      </w:r>
      <w:r w:rsidR="005C0A6F" w:rsidRPr="005C0A6F">
        <w:t>III</w:t>
      </w:r>
      <w:r w:rsidR="000159A6">
        <w:t xml:space="preserve"> </w:t>
      </w:r>
      <w:r w:rsidR="005C0A6F" w:rsidRPr="005C0A6F">
        <w:t>study</w:t>
      </w:r>
      <w:r w:rsidR="000159A6">
        <w:t xml:space="preserve"> </w:t>
      </w:r>
      <w:r w:rsidR="005C0A6F" w:rsidRPr="005C0A6F">
        <w:t>was</w:t>
      </w:r>
      <w:r w:rsidR="000159A6">
        <w:t xml:space="preserve"> </w:t>
      </w:r>
      <w:r w:rsidR="005C0A6F" w:rsidRPr="005C0A6F">
        <w:t>designed</w:t>
      </w:r>
      <w:r w:rsidR="000159A6">
        <w:t xml:space="preserve"> </w:t>
      </w:r>
      <w:r w:rsidR="005C0A6F" w:rsidRPr="005C0A6F">
        <w:t>to</w:t>
      </w:r>
      <w:r w:rsidR="000159A6">
        <w:t xml:space="preserve"> </w:t>
      </w:r>
      <w:r w:rsidR="005C0A6F" w:rsidRPr="005C0A6F">
        <w:t>assess</w:t>
      </w:r>
      <w:r w:rsidR="000159A6">
        <w:t xml:space="preserve"> </w:t>
      </w:r>
      <w:r w:rsidR="005C0A6F" w:rsidRPr="005C0A6F">
        <w:t>the</w:t>
      </w:r>
      <w:r w:rsidR="000159A6">
        <w:t xml:space="preserve"> </w:t>
      </w:r>
      <w:r w:rsidR="005C0A6F" w:rsidRPr="005C0A6F">
        <w:t>immune</w:t>
      </w:r>
      <w:r w:rsidR="000159A6">
        <w:t xml:space="preserve"> </w:t>
      </w:r>
      <w:r w:rsidR="005C0A6F" w:rsidRPr="005C0A6F">
        <w:t>response</w:t>
      </w:r>
      <w:r w:rsidR="000159A6">
        <w:t xml:space="preserve"> </w:t>
      </w:r>
      <w:r w:rsidR="005C0A6F" w:rsidRPr="005C0A6F">
        <w:t>of</w:t>
      </w:r>
      <w:r w:rsidR="000159A6">
        <w:t xml:space="preserve"> </w:t>
      </w:r>
      <w:r w:rsidR="005C0A6F" w:rsidRPr="005C0A6F">
        <w:t>HZ/</w:t>
      </w:r>
      <w:proofErr w:type="spellStart"/>
      <w:r w:rsidR="005C0A6F" w:rsidRPr="005C0A6F">
        <w:t>su</w:t>
      </w:r>
      <w:proofErr w:type="spellEnd"/>
      <w:r w:rsidR="000159A6">
        <w:t xml:space="preserve"> </w:t>
      </w:r>
      <w:r w:rsidR="005C0A6F" w:rsidRPr="005C0A6F">
        <w:t>in</w:t>
      </w:r>
      <w:r w:rsidR="000159A6">
        <w:t xml:space="preserve"> </w:t>
      </w:r>
      <w:proofErr w:type="gramStart"/>
      <w:r w:rsidR="005C0A6F" w:rsidRPr="005C0A6F">
        <w:t>adults</w:t>
      </w:r>
      <w:proofErr w:type="gramEnd"/>
      <w:r w:rsidR="000159A6">
        <w:t xml:space="preserve"> </w:t>
      </w:r>
      <w:r w:rsidR="0037169B">
        <w:t>≥</w:t>
      </w:r>
      <w:r w:rsidR="000159A6">
        <w:t xml:space="preserve"> </w:t>
      </w:r>
      <w:r w:rsidR="005C0A6F" w:rsidRPr="005C0A6F">
        <w:t>50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005C0A6F" w:rsidRPr="005C0A6F">
        <w:t>with</w:t>
      </w:r>
      <w:r w:rsidR="000159A6">
        <w:t xml:space="preserve"> </w:t>
      </w:r>
      <w:r w:rsidR="005C0A6F" w:rsidRPr="005C0A6F">
        <w:t>history</w:t>
      </w:r>
      <w:r w:rsidR="000159A6">
        <w:t xml:space="preserve"> </w:t>
      </w:r>
      <w:r w:rsidR="005C0A6F" w:rsidRPr="005C0A6F">
        <w:t>of</w:t>
      </w:r>
      <w:r w:rsidR="000159A6">
        <w:t xml:space="preserve"> </w:t>
      </w:r>
      <w:r w:rsidR="005C0A6F" w:rsidRPr="005C0A6F">
        <w:t>a</w:t>
      </w:r>
      <w:r w:rsidR="000159A6">
        <w:t xml:space="preserve"> </w:t>
      </w:r>
      <w:r w:rsidR="005C0A6F" w:rsidRPr="005C0A6F">
        <w:t>previous</w:t>
      </w:r>
      <w:r w:rsidR="000159A6">
        <w:t xml:space="preserve"> </w:t>
      </w:r>
      <w:r w:rsidR="005C0A6F" w:rsidRPr="005C0A6F">
        <w:t>HZ.</w:t>
      </w:r>
      <w:r w:rsidR="000159A6">
        <w:t xml:space="preserve"> </w:t>
      </w:r>
      <w:r w:rsidR="005C0A6F" w:rsidRPr="005C0A6F">
        <w:t>The</w:t>
      </w:r>
      <w:r w:rsidR="000159A6">
        <w:t xml:space="preserve"> </w:t>
      </w:r>
      <w:r>
        <w:t>study</w:t>
      </w:r>
      <w:r w:rsidR="000159A6">
        <w:t xml:space="preserve"> </w:t>
      </w:r>
      <w:r>
        <w:t>was</w:t>
      </w:r>
      <w:r w:rsidR="000159A6">
        <w:t xml:space="preserve"> </w:t>
      </w:r>
      <w:r>
        <w:t>an</w:t>
      </w:r>
      <w:r w:rsidR="000159A6">
        <w:t xml:space="preserve"> </w:t>
      </w:r>
      <w:r>
        <w:t>uncontrolled,</w:t>
      </w:r>
      <w:r w:rsidR="000159A6">
        <w:t xml:space="preserve"> </w:t>
      </w:r>
      <w:r>
        <w:t>open</w:t>
      </w:r>
      <w:r w:rsidR="000159A6">
        <w:t xml:space="preserve"> </w:t>
      </w:r>
      <w:r w:rsidR="005C0A6F" w:rsidRPr="005C0A6F">
        <w:t>label</w:t>
      </w:r>
      <w:r w:rsidR="000159A6">
        <w:t xml:space="preserve"> </w:t>
      </w:r>
      <w:r w:rsidR="005C0A6F" w:rsidRPr="005C0A6F">
        <w:t>trial.</w:t>
      </w:r>
      <w:r w:rsidR="000159A6">
        <w:t xml:space="preserve"> </w:t>
      </w:r>
      <w:r w:rsidR="005C0A6F" w:rsidRPr="005C0A6F">
        <w:t>A</w:t>
      </w:r>
      <w:r w:rsidR="000159A6">
        <w:t xml:space="preserve"> </w:t>
      </w:r>
      <w:r w:rsidR="005C0A6F" w:rsidRPr="005C0A6F">
        <w:t>total</w:t>
      </w:r>
      <w:r w:rsidR="000159A6">
        <w:t xml:space="preserve"> </w:t>
      </w:r>
      <w:r w:rsidR="005C0A6F" w:rsidRPr="005C0A6F">
        <w:t>of</w:t>
      </w:r>
      <w:r w:rsidR="000159A6">
        <w:t xml:space="preserve"> </w:t>
      </w:r>
      <w:r w:rsidR="005C0A6F" w:rsidRPr="005C0A6F">
        <w:t>96</w:t>
      </w:r>
      <w:r w:rsidR="000159A6">
        <w:t xml:space="preserve"> </w:t>
      </w:r>
      <w:r w:rsidR="005C0A6F" w:rsidRPr="005C0A6F">
        <w:t>adults</w:t>
      </w:r>
      <w:r w:rsidR="000159A6">
        <w:t xml:space="preserve"> </w:t>
      </w:r>
      <w:r w:rsidR="005C0A6F" w:rsidRPr="005C0A6F">
        <w:t>received</w:t>
      </w:r>
      <w:r w:rsidR="000159A6">
        <w:t xml:space="preserve"> </w:t>
      </w:r>
      <w:r w:rsidR="005C0A6F" w:rsidRPr="005C0A6F">
        <w:t>2</w:t>
      </w:r>
      <w:r w:rsidR="000159A6">
        <w:t xml:space="preserve"> </w:t>
      </w:r>
      <w:r w:rsidR="005C0A6F" w:rsidRPr="005C0A6F">
        <w:t>doses</w:t>
      </w:r>
      <w:r w:rsidR="000159A6">
        <w:t xml:space="preserve"> </w:t>
      </w:r>
      <w:r w:rsidR="005C0A6F" w:rsidRPr="005C0A6F">
        <w:t>of</w:t>
      </w:r>
      <w:r w:rsidR="000159A6">
        <w:t xml:space="preserve"> </w:t>
      </w:r>
      <w:r w:rsidR="005C0A6F" w:rsidRPr="005C0A6F">
        <w:t>HZ/</w:t>
      </w:r>
      <w:proofErr w:type="spellStart"/>
      <w:r w:rsidR="005C0A6F" w:rsidRPr="005C0A6F">
        <w:t>su</w:t>
      </w:r>
      <w:proofErr w:type="spellEnd"/>
      <w:r w:rsidR="000159A6">
        <w:t xml:space="preserve"> </w:t>
      </w:r>
      <w:r w:rsidR="005C0A6F" w:rsidRPr="005C0A6F">
        <w:t>2</w:t>
      </w:r>
      <w:r w:rsidR="000159A6">
        <w:t xml:space="preserve"> </w:t>
      </w:r>
      <w:r w:rsidR="005C0A6F" w:rsidRPr="005C0A6F">
        <w:t>months</w:t>
      </w:r>
      <w:r w:rsidR="000159A6">
        <w:t xml:space="preserve"> </w:t>
      </w:r>
      <w:r w:rsidR="005C0A6F" w:rsidRPr="005C0A6F">
        <w:t>apart.</w:t>
      </w:r>
      <w:r w:rsidR="000159A6">
        <w:t xml:space="preserve"> </w:t>
      </w:r>
      <w:r w:rsidR="005C0A6F" w:rsidRPr="005C0A6F">
        <w:t>The</w:t>
      </w:r>
      <w:r w:rsidR="000159A6">
        <w:t xml:space="preserve"> </w:t>
      </w:r>
      <w:r w:rsidR="005C0A6F" w:rsidRPr="005C0A6F">
        <w:t>vaccine</w:t>
      </w:r>
      <w:r w:rsidR="000159A6">
        <w:t xml:space="preserve"> </w:t>
      </w:r>
      <w:r w:rsidR="005C0A6F" w:rsidRPr="005C0A6F">
        <w:t>response</w:t>
      </w:r>
      <w:r w:rsidR="000159A6">
        <w:t xml:space="preserve"> </w:t>
      </w:r>
      <w:r w:rsidR="005C0A6F" w:rsidRPr="005C0A6F">
        <w:t>rate</w:t>
      </w:r>
      <w:r w:rsidR="000159A6">
        <w:t xml:space="preserve"> </w:t>
      </w:r>
      <w:r w:rsidR="005C0A6F" w:rsidRPr="005C0A6F">
        <w:t>was</w:t>
      </w:r>
      <w:r w:rsidR="000159A6">
        <w:t xml:space="preserve"> </w:t>
      </w:r>
      <w:r w:rsidR="005C0A6F" w:rsidRPr="005C0A6F">
        <w:t>90.2%</w:t>
      </w:r>
      <w:r w:rsidR="000159A6">
        <w:t xml:space="preserve"> </w:t>
      </w:r>
      <w:r w:rsidR="005C0A6F" w:rsidRPr="005C0A6F">
        <w:t>(95%</w:t>
      </w:r>
      <w:r w:rsidR="000159A6">
        <w:t xml:space="preserve"> </w:t>
      </w:r>
      <w:r w:rsidR="005C0A6F" w:rsidRPr="005C0A6F">
        <w:t>CI:</w:t>
      </w:r>
      <w:r w:rsidR="000159A6">
        <w:t xml:space="preserve"> </w:t>
      </w:r>
      <w:r w:rsidR="005C0A6F" w:rsidRPr="005C0A6F">
        <w:t>81.7;</w:t>
      </w:r>
      <w:r w:rsidR="000159A6">
        <w:t xml:space="preserve"> </w:t>
      </w:r>
      <w:r w:rsidR="005C0A6F" w:rsidRPr="005C0A6F">
        <w:t>95.7).</w:t>
      </w:r>
      <w:r w:rsidR="000159A6">
        <w:t xml:space="preserve"> </w:t>
      </w:r>
      <w:r w:rsidR="005C0A6F" w:rsidRPr="005C0A6F">
        <w:t>This</w:t>
      </w:r>
      <w:r w:rsidR="000159A6">
        <w:t xml:space="preserve"> </w:t>
      </w:r>
      <w:r w:rsidR="005C0A6F" w:rsidRPr="005C0A6F">
        <w:t>is</w:t>
      </w:r>
      <w:r w:rsidR="000159A6">
        <w:t xml:space="preserve"> </w:t>
      </w:r>
      <w:r w:rsidR="005C0A6F" w:rsidRPr="005C0A6F">
        <w:t>above</w:t>
      </w:r>
      <w:r w:rsidR="000159A6">
        <w:t xml:space="preserve"> </w:t>
      </w:r>
      <w:r w:rsidR="005C0A6F" w:rsidRPr="005C0A6F">
        <w:t>the</w:t>
      </w:r>
      <w:r w:rsidR="000159A6">
        <w:t xml:space="preserve"> </w:t>
      </w:r>
      <w:r w:rsidR="005C0A6F" w:rsidRPr="005C0A6F">
        <w:t>pre-specified</w:t>
      </w:r>
      <w:r w:rsidR="000159A6">
        <w:t xml:space="preserve"> </w:t>
      </w:r>
      <w:r w:rsidR="005C0A6F" w:rsidRPr="005C0A6F">
        <w:t>criterion</w:t>
      </w:r>
      <w:r w:rsidR="000159A6">
        <w:t xml:space="preserve"> </w:t>
      </w:r>
      <w:r w:rsidR="005C0A6F" w:rsidRPr="005C0A6F">
        <w:t>to</w:t>
      </w:r>
      <w:r w:rsidR="000159A6">
        <w:t xml:space="preserve"> </w:t>
      </w:r>
      <w:r w:rsidR="005C0A6F" w:rsidRPr="005C0A6F">
        <w:t>meet</w:t>
      </w:r>
      <w:r w:rsidR="000159A6">
        <w:t xml:space="preserve"> </w:t>
      </w:r>
      <w:r w:rsidR="005C0A6F" w:rsidRPr="005C0A6F">
        <w:t>the</w:t>
      </w:r>
      <w:r w:rsidR="000159A6">
        <w:t xml:space="preserve"> </w:t>
      </w:r>
      <w:r w:rsidR="005C0A6F" w:rsidRPr="005C0A6F">
        <w:t>primary</w:t>
      </w:r>
      <w:r w:rsidR="000159A6">
        <w:t xml:space="preserve"> </w:t>
      </w:r>
      <w:r w:rsidR="005C0A6F" w:rsidRPr="005C0A6F">
        <w:t>objective</w:t>
      </w:r>
      <w:r w:rsidR="000159A6">
        <w:t xml:space="preserve"> </w:t>
      </w:r>
      <w:r w:rsidR="005C0A6F" w:rsidRPr="005C0A6F">
        <w:t>related</w:t>
      </w:r>
      <w:r w:rsidR="000159A6">
        <w:t xml:space="preserve"> </w:t>
      </w:r>
      <w:r w:rsidR="005C0A6F" w:rsidRPr="005C0A6F">
        <w:t>to</w:t>
      </w:r>
      <w:r w:rsidR="000159A6">
        <w:t xml:space="preserve"> </w:t>
      </w:r>
      <w:r w:rsidR="005C0A6F" w:rsidRPr="005C0A6F">
        <w:t>immunogenicity</w:t>
      </w:r>
      <w:r w:rsidR="000159A6">
        <w:t xml:space="preserve"> </w:t>
      </w:r>
      <w:r w:rsidR="005C0A6F" w:rsidRPr="005C0A6F">
        <w:t>and</w:t>
      </w:r>
      <w:r w:rsidR="000159A6">
        <w:t xml:space="preserve"> </w:t>
      </w:r>
      <w:r w:rsidR="005C0A6F" w:rsidRPr="005C0A6F">
        <w:t>is</w:t>
      </w:r>
      <w:r w:rsidR="000159A6">
        <w:t xml:space="preserve"> </w:t>
      </w:r>
      <w:r w:rsidR="005C0A6F" w:rsidRPr="005C0A6F">
        <w:t>consistent</w:t>
      </w:r>
      <w:r w:rsidR="000159A6">
        <w:t xml:space="preserve"> </w:t>
      </w:r>
      <w:r w:rsidR="005C0A6F" w:rsidRPr="005C0A6F">
        <w:t>with</w:t>
      </w:r>
      <w:r w:rsidR="000159A6">
        <w:t xml:space="preserve"> </w:t>
      </w:r>
      <w:r w:rsidR="005C0A6F" w:rsidRPr="005C0A6F">
        <w:t>what</w:t>
      </w:r>
      <w:r w:rsidR="000159A6">
        <w:t xml:space="preserve"> </w:t>
      </w:r>
      <w:r w:rsidR="005C0A6F" w:rsidRPr="005C0A6F">
        <w:t>has</w:t>
      </w:r>
      <w:r w:rsidR="000159A6">
        <w:t xml:space="preserve"> </w:t>
      </w:r>
      <w:r w:rsidR="005C0A6F" w:rsidRPr="005C0A6F">
        <w:t>been</w:t>
      </w:r>
      <w:r w:rsidR="000159A6">
        <w:t xml:space="preserve"> </w:t>
      </w:r>
      <w:r w:rsidR="005C0A6F" w:rsidRPr="005C0A6F">
        <w:t>observed</w:t>
      </w:r>
      <w:r w:rsidR="000159A6">
        <w:t xml:space="preserve"> </w:t>
      </w:r>
      <w:r w:rsidR="005C0A6F" w:rsidRPr="005C0A6F">
        <w:t>in</w:t>
      </w:r>
      <w:r w:rsidR="000159A6">
        <w:t xml:space="preserve"> </w:t>
      </w:r>
      <w:r w:rsidR="005C0A6F" w:rsidRPr="005C0A6F">
        <w:t>other</w:t>
      </w:r>
      <w:r w:rsidR="000159A6">
        <w:t xml:space="preserve"> </w:t>
      </w:r>
      <w:r w:rsidR="005C0A6F" w:rsidRPr="005C0A6F">
        <w:t>clinical</w:t>
      </w:r>
      <w:r w:rsidR="000159A6">
        <w:t xml:space="preserve"> </w:t>
      </w:r>
      <w:r w:rsidR="005C0A6F" w:rsidRPr="005C0A6F">
        <w:t>studies</w:t>
      </w:r>
      <w:r w:rsidR="000159A6">
        <w:t xml:space="preserve"> </w:t>
      </w:r>
      <w:r w:rsidR="005C0A6F" w:rsidRPr="005C0A6F">
        <w:t>where</w:t>
      </w:r>
      <w:r w:rsidR="000159A6">
        <w:t xml:space="preserve"> </w:t>
      </w:r>
      <w:r w:rsidR="005C0A6F" w:rsidRPr="005C0A6F">
        <w:t>HZ/</w:t>
      </w:r>
      <w:proofErr w:type="spellStart"/>
      <w:r w:rsidR="005C0A6F" w:rsidRPr="005C0A6F">
        <w:t>su</w:t>
      </w:r>
      <w:proofErr w:type="spellEnd"/>
      <w:r w:rsidR="000159A6">
        <w:t xml:space="preserve"> </w:t>
      </w:r>
      <w:r w:rsidR="005C0A6F" w:rsidRPr="005C0A6F">
        <w:t>was</w:t>
      </w:r>
      <w:r w:rsidR="000159A6">
        <w:t xml:space="preserve"> </w:t>
      </w:r>
      <w:r w:rsidR="005C0A6F" w:rsidRPr="005C0A6F">
        <w:t>given</w:t>
      </w:r>
      <w:r w:rsidR="000159A6">
        <w:t xml:space="preserve"> </w:t>
      </w:r>
      <w:r w:rsidR="005C0A6F" w:rsidRPr="005C0A6F">
        <w:t>to</w:t>
      </w:r>
      <w:r w:rsidR="000159A6">
        <w:t xml:space="preserve"> </w:t>
      </w:r>
      <w:r w:rsidR="005C0A6F" w:rsidRPr="005C0A6F">
        <w:t>adults</w:t>
      </w:r>
      <w:r w:rsidR="000159A6">
        <w:t xml:space="preserve"> </w:t>
      </w:r>
      <w:r w:rsidR="005C0A6F" w:rsidRPr="005C0A6F">
        <w:t>of</w:t>
      </w:r>
      <w:r w:rsidR="000159A6">
        <w:t xml:space="preserve"> </w:t>
      </w:r>
      <w:r w:rsidR="005C0A6F" w:rsidRPr="005C0A6F">
        <w:t>same</w:t>
      </w:r>
      <w:r w:rsidR="000159A6">
        <w:t xml:space="preserve"> </w:t>
      </w:r>
      <w:r w:rsidR="005C0A6F" w:rsidRPr="005C0A6F">
        <w:t>age</w:t>
      </w:r>
      <w:r w:rsidR="000159A6">
        <w:t xml:space="preserve"> </w:t>
      </w:r>
      <w:r w:rsidR="005C0A6F" w:rsidRPr="005C0A6F">
        <w:t>with</w:t>
      </w:r>
      <w:r w:rsidR="000159A6">
        <w:t xml:space="preserve"> </w:t>
      </w:r>
      <w:r w:rsidR="005C0A6F" w:rsidRPr="005C0A6F">
        <w:t>no</w:t>
      </w:r>
      <w:r w:rsidR="000159A6">
        <w:t xml:space="preserve"> </w:t>
      </w:r>
      <w:r w:rsidR="005C0A6F" w:rsidRPr="005C0A6F">
        <w:t>HZ</w:t>
      </w:r>
      <w:r w:rsidR="000159A6">
        <w:t xml:space="preserve"> </w:t>
      </w:r>
      <w:r w:rsidR="005C0A6F" w:rsidRPr="005C0A6F">
        <w:t>history.</w:t>
      </w:r>
    </w:p>
    <w:p w14:paraId="242215FB" w14:textId="12E0FB36" w:rsidR="005C0A6F" w:rsidRDefault="004715B4" w:rsidP="005C0A6F">
      <w:pPr>
        <w:pStyle w:val="Heading5"/>
      </w:pPr>
      <w:r>
        <w:lastRenderedPageBreak/>
        <w:t>Studies</w:t>
      </w:r>
      <w:r w:rsidR="000159A6">
        <w:t xml:space="preserve"> </w:t>
      </w:r>
      <w:r w:rsidR="0037169B">
        <w:t>ZOSTER</w:t>
      </w:r>
      <w:r w:rsidR="005C0A6F" w:rsidRPr="005C0A6F">
        <w:t>-001</w:t>
      </w:r>
      <w:r w:rsidR="000159A6">
        <w:t xml:space="preserve"> </w:t>
      </w:r>
      <w:r w:rsidR="005C0A6F" w:rsidRPr="005C0A6F">
        <w:t>and</w:t>
      </w:r>
      <w:r w:rsidR="000159A6">
        <w:t xml:space="preserve"> </w:t>
      </w:r>
      <w:r w:rsidR="0037169B">
        <w:t>ZOSTER</w:t>
      </w:r>
      <w:r w:rsidR="005C0A6F" w:rsidRPr="005C0A6F">
        <w:t>-015</w:t>
      </w:r>
      <w:r w:rsidR="005C0A6F">
        <w:t>;</w:t>
      </w:r>
      <w:r w:rsidR="000159A6">
        <w:t xml:space="preserve"> </w:t>
      </w:r>
      <w:r w:rsidR="005C0A6F" w:rsidRPr="005C0A6F">
        <w:t>immunocompromised</w:t>
      </w:r>
      <w:r w:rsidR="000159A6">
        <w:t xml:space="preserve"> </w:t>
      </w:r>
      <w:r w:rsidR="005C0A6F" w:rsidRPr="005C0A6F">
        <w:t>subjects</w:t>
      </w:r>
    </w:p>
    <w:p w14:paraId="34334CC3" w14:textId="252B6E89" w:rsidR="00FF12AA" w:rsidRDefault="005B2FA5" w:rsidP="00440509">
      <w:r>
        <w:t>Studies</w:t>
      </w:r>
      <w:r w:rsidR="000159A6">
        <w:t xml:space="preserve"> </w:t>
      </w:r>
      <w:r w:rsidR="0037169B">
        <w:t>ZOSTER</w:t>
      </w:r>
      <w:r w:rsidR="005C0A6F" w:rsidRPr="005C0A6F">
        <w:t>-001</w:t>
      </w:r>
      <w:r w:rsidR="000159A6">
        <w:t xml:space="preserve"> </w:t>
      </w:r>
      <w:r w:rsidR="005C0A6F" w:rsidRPr="005C0A6F">
        <w:t>and</w:t>
      </w:r>
      <w:r w:rsidR="000159A6">
        <w:t xml:space="preserve"> </w:t>
      </w:r>
      <w:r w:rsidR="0037169B">
        <w:t>ZOSTER</w:t>
      </w:r>
      <w:r w:rsidR="005C0A6F" w:rsidRPr="005C0A6F">
        <w:t>-015</w:t>
      </w:r>
      <w:r w:rsidR="000159A6">
        <w:t xml:space="preserve"> </w:t>
      </w:r>
      <w:r w:rsidR="005C0A6F" w:rsidRPr="005C0A6F">
        <w:t>(immunocompromised</w:t>
      </w:r>
      <w:r w:rsidR="000159A6">
        <w:t xml:space="preserve"> </w:t>
      </w:r>
      <w:r w:rsidR="005C0A6F" w:rsidRPr="005C0A6F">
        <w:t>subjects):</w:t>
      </w:r>
      <w:r w:rsidR="000159A6">
        <w:t xml:space="preserve"> </w:t>
      </w:r>
      <w:r w:rsidR="005C0A6F" w:rsidRPr="005C0A6F">
        <w:t>the</w:t>
      </w:r>
      <w:r w:rsidR="000159A6">
        <w:t xml:space="preserve"> </w:t>
      </w:r>
      <w:r w:rsidR="005C0A6F" w:rsidRPr="005C0A6F">
        <w:t>two</w:t>
      </w:r>
      <w:r w:rsidR="000159A6">
        <w:t xml:space="preserve"> </w:t>
      </w:r>
      <w:proofErr w:type="gramStart"/>
      <w:r w:rsidR="005C0A6F" w:rsidRPr="005C0A6F">
        <w:t>Phase</w:t>
      </w:r>
      <w:proofErr w:type="gramEnd"/>
      <w:r w:rsidR="000159A6">
        <w:t xml:space="preserve"> </w:t>
      </w:r>
      <w:r w:rsidR="005C0A6F" w:rsidRPr="005C0A6F">
        <w:t>I/II</w:t>
      </w:r>
      <w:r w:rsidR="000159A6">
        <w:t xml:space="preserve"> </w:t>
      </w:r>
      <w:r w:rsidR="005C0A6F" w:rsidRPr="005C0A6F">
        <w:t>studies</w:t>
      </w:r>
      <w:r w:rsidR="000159A6">
        <w:t xml:space="preserve"> </w:t>
      </w:r>
      <w:r w:rsidR="005C0A6F" w:rsidRPr="005C0A6F">
        <w:t>were</w:t>
      </w:r>
      <w:r w:rsidR="000159A6">
        <w:t xml:space="preserve"> </w:t>
      </w:r>
      <w:r w:rsidR="005C0A6F" w:rsidRPr="005C0A6F">
        <w:t>designed</w:t>
      </w:r>
      <w:r w:rsidR="000159A6">
        <w:t xml:space="preserve"> </w:t>
      </w:r>
      <w:r w:rsidR="005C0A6F" w:rsidRPr="005C0A6F">
        <w:t>to</w:t>
      </w:r>
      <w:r w:rsidR="000159A6">
        <w:t xml:space="preserve"> </w:t>
      </w:r>
      <w:r w:rsidR="005C0A6F" w:rsidRPr="005C0A6F">
        <w:t>assess</w:t>
      </w:r>
      <w:r w:rsidR="000159A6">
        <w:t xml:space="preserve"> </w:t>
      </w:r>
      <w:r w:rsidR="005C0A6F" w:rsidRPr="005C0A6F">
        <w:t>the</w:t>
      </w:r>
      <w:r w:rsidR="000159A6">
        <w:t xml:space="preserve"> </w:t>
      </w:r>
      <w:r w:rsidR="005C0A6F" w:rsidRPr="005C0A6F">
        <w:t>safety</w:t>
      </w:r>
      <w:r w:rsidR="000159A6">
        <w:t xml:space="preserve"> </w:t>
      </w:r>
      <w:r w:rsidR="005C0A6F" w:rsidRPr="005C0A6F">
        <w:t>and</w:t>
      </w:r>
      <w:r w:rsidR="000159A6">
        <w:t xml:space="preserve"> </w:t>
      </w:r>
      <w:r w:rsidR="005C0A6F" w:rsidRPr="005C0A6F">
        <w:t>immunogenicity</w:t>
      </w:r>
      <w:r w:rsidR="000159A6">
        <w:t xml:space="preserve"> </w:t>
      </w:r>
      <w:r w:rsidR="005C0A6F" w:rsidRPr="005C0A6F">
        <w:t>of</w:t>
      </w:r>
      <w:r w:rsidR="000159A6">
        <w:t xml:space="preserve"> </w:t>
      </w:r>
      <w:r w:rsidR="005C0A6F" w:rsidRPr="005C0A6F">
        <w:t>HZ/</w:t>
      </w:r>
      <w:proofErr w:type="spellStart"/>
      <w:r w:rsidR="005C0A6F" w:rsidRPr="005C0A6F">
        <w:t>su</w:t>
      </w:r>
      <w:proofErr w:type="spellEnd"/>
      <w:r w:rsidR="000159A6">
        <w:t xml:space="preserve"> </w:t>
      </w:r>
      <w:r w:rsidR="005C0A6F" w:rsidRPr="005C0A6F">
        <w:t>in</w:t>
      </w:r>
      <w:r w:rsidR="000159A6">
        <w:t xml:space="preserve"> </w:t>
      </w:r>
      <w:r w:rsidR="005C0A6F" w:rsidRPr="005C0A6F">
        <w:t>immunocompromised</w:t>
      </w:r>
      <w:r w:rsidR="000159A6">
        <w:t xml:space="preserve"> </w:t>
      </w:r>
      <w:r w:rsidR="005C0A6F" w:rsidRPr="005C0A6F">
        <w:t>(IC)</w:t>
      </w:r>
      <w:r w:rsidR="000159A6">
        <w:t xml:space="preserve"> </w:t>
      </w:r>
      <w:r w:rsidR="005C0A6F" w:rsidRPr="005C0A6F">
        <w:t>population</w:t>
      </w:r>
      <w:r w:rsidR="000159A6">
        <w:t xml:space="preserve"> </w:t>
      </w:r>
      <w:r w:rsidR="0037169B">
        <w:t>≥</w:t>
      </w:r>
      <w:r w:rsidR="000159A6">
        <w:t xml:space="preserve"> </w:t>
      </w:r>
      <w:r w:rsidR="005C0A6F" w:rsidRPr="005C0A6F">
        <w:t>18</w:t>
      </w:r>
      <w:r w:rsidR="000159A6">
        <w:t xml:space="preserve"> </w:t>
      </w:r>
      <w:r w:rsidR="0037169B">
        <w:t>years</w:t>
      </w:r>
      <w:r w:rsidR="000159A6">
        <w:t xml:space="preserve"> </w:t>
      </w:r>
      <w:r w:rsidR="0037169B">
        <w:t>of</w:t>
      </w:r>
      <w:r w:rsidR="000159A6">
        <w:t xml:space="preserve"> </w:t>
      </w:r>
      <w:r w:rsidR="0037169B">
        <w:t>age</w:t>
      </w:r>
      <w:r w:rsidR="005C0A6F" w:rsidRPr="005C0A6F">
        <w:t>,</w:t>
      </w:r>
      <w:r w:rsidR="000159A6">
        <w:t xml:space="preserve"> </w:t>
      </w:r>
      <w:r w:rsidR="000E6841">
        <w:t>that</w:t>
      </w:r>
      <w:r w:rsidR="000159A6">
        <w:t xml:space="preserve"> </w:t>
      </w:r>
      <w:r w:rsidR="000E6841">
        <w:t>is</w:t>
      </w:r>
      <w:r w:rsidR="005C0A6F" w:rsidRPr="005C0A6F">
        <w:t>,</w:t>
      </w:r>
      <w:r w:rsidR="000159A6">
        <w:t xml:space="preserve"> </w:t>
      </w:r>
      <w:r w:rsidR="005C0A6F" w:rsidRPr="005C0A6F">
        <w:t>autologous</w:t>
      </w:r>
      <w:r w:rsidR="000159A6">
        <w:t xml:space="preserve"> </w:t>
      </w:r>
      <w:r w:rsidR="005C0A6F" w:rsidRPr="005C0A6F">
        <w:t>HCT</w:t>
      </w:r>
      <w:r w:rsidR="000159A6">
        <w:t xml:space="preserve"> </w:t>
      </w:r>
      <w:r w:rsidR="005C0A6F" w:rsidRPr="005C0A6F">
        <w:t>recipients</w:t>
      </w:r>
      <w:r w:rsidR="000159A6">
        <w:t xml:space="preserve"> </w:t>
      </w:r>
      <w:r w:rsidR="005C0A6F" w:rsidRPr="005C0A6F">
        <w:t>in</w:t>
      </w:r>
      <w:r w:rsidR="000159A6">
        <w:t xml:space="preserve"> </w:t>
      </w:r>
      <w:r w:rsidR="00525235">
        <w:t>Study</w:t>
      </w:r>
      <w:r w:rsidR="000159A6">
        <w:t xml:space="preserve"> </w:t>
      </w:r>
      <w:r w:rsidR="00525235">
        <w:t>ZOSTER</w:t>
      </w:r>
      <w:r w:rsidR="005C0A6F" w:rsidRPr="005C0A6F">
        <w:t>-001</w:t>
      </w:r>
      <w:r w:rsidR="000159A6">
        <w:t xml:space="preserve"> </w:t>
      </w:r>
      <w:r w:rsidR="004715B4">
        <w:t>and</w:t>
      </w:r>
      <w:r w:rsidR="000159A6">
        <w:t xml:space="preserve"> </w:t>
      </w:r>
      <w:r w:rsidR="004715B4">
        <w:t>HIV</w:t>
      </w:r>
      <w:r w:rsidR="000159A6">
        <w:t xml:space="preserve"> </w:t>
      </w:r>
      <w:r w:rsidR="005C0A6F" w:rsidRPr="005C0A6F">
        <w:t>infected</w:t>
      </w:r>
      <w:r w:rsidR="000159A6">
        <w:t xml:space="preserve"> </w:t>
      </w:r>
      <w:r w:rsidR="005C0A6F" w:rsidRPr="005C0A6F">
        <w:t>subjects</w:t>
      </w:r>
      <w:r w:rsidR="000159A6">
        <w:t xml:space="preserve"> </w:t>
      </w:r>
      <w:r w:rsidR="005C0A6F" w:rsidRPr="005C0A6F">
        <w:t>in</w:t>
      </w:r>
      <w:r w:rsidR="000159A6">
        <w:t xml:space="preserve"> </w:t>
      </w:r>
      <w:r w:rsidR="00525235">
        <w:t>Study</w:t>
      </w:r>
      <w:r w:rsidR="000159A6">
        <w:t xml:space="preserve"> </w:t>
      </w:r>
      <w:r w:rsidR="00525235">
        <w:t>ZOSTER</w:t>
      </w:r>
      <w:r w:rsidR="005C0A6F" w:rsidRPr="005C0A6F">
        <w:t>-015.</w:t>
      </w:r>
      <w:r w:rsidR="000159A6">
        <w:t xml:space="preserve"> </w:t>
      </w:r>
      <w:r w:rsidR="005C0A6F" w:rsidRPr="005C0A6F">
        <w:t>In</w:t>
      </w:r>
      <w:r w:rsidR="000159A6">
        <w:t xml:space="preserve"> </w:t>
      </w:r>
      <w:r w:rsidR="005C0A6F" w:rsidRPr="005C0A6F">
        <w:t>both</w:t>
      </w:r>
      <w:r w:rsidR="000159A6">
        <w:t xml:space="preserve"> </w:t>
      </w:r>
      <w:r w:rsidR="005C0A6F" w:rsidRPr="005C0A6F">
        <w:t>studies,</w:t>
      </w:r>
      <w:r w:rsidR="000159A6">
        <w:t xml:space="preserve"> </w:t>
      </w:r>
      <w:r w:rsidR="005C0A6F" w:rsidRPr="005C0A6F">
        <w:t>a</w:t>
      </w:r>
      <w:r w:rsidR="000159A6">
        <w:t xml:space="preserve"> </w:t>
      </w:r>
      <w:r w:rsidR="005C0A6F" w:rsidRPr="005C0A6F">
        <w:t>total</w:t>
      </w:r>
      <w:r w:rsidR="000159A6">
        <w:t xml:space="preserve"> </w:t>
      </w:r>
      <w:r w:rsidR="005C0A6F" w:rsidRPr="005C0A6F">
        <w:t>of</w:t>
      </w:r>
      <w:r w:rsidR="000159A6">
        <w:t xml:space="preserve"> </w:t>
      </w:r>
      <w:r w:rsidR="005C0A6F" w:rsidRPr="005C0A6F">
        <w:t>135</w:t>
      </w:r>
      <w:r w:rsidR="000159A6">
        <w:t xml:space="preserve"> </w:t>
      </w:r>
      <w:r w:rsidR="005C0A6F" w:rsidRPr="005C0A6F">
        <w:t>recipients</w:t>
      </w:r>
      <w:r w:rsidR="000159A6">
        <w:t xml:space="preserve"> </w:t>
      </w:r>
      <w:r w:rsidR="005C0A6F" w:rsidRPr="005C0A6F">
        <w:t>(73</w:t>
      </w:r>
      <w:r w:rsidR="000159A6">
        <w:t xml:space="preserve"> </w:t>
      </w:r>
      <w:r w:rsidR="005C0A6F" w:rsidRPr="005C0A6F">
        <w:t>were</w:t>
      </w:r>
      <w:r w:rsidR="000159A6">
        <w:t xml:space="preserve"> </w:t>
      </w:r>
      <w:r w:rsidR="0037169B">
        <w:t>≥</w:t>
      </w:r>
      <w:r w:rsidR="000159A6">
        <w:t xml:space="preserve"> </w:t>
      </w:r>
      <w:r w:rsidR="005C0A6F" w:rsidRPr="005C0A6F">
        <w:t>50</w:t>
      </w:r>
      <w:r w:rsidR="000159A6">
        <w:t xml:space="preserve"> </w:t>
      </w:r>
      <w:r w:rsidR="0037169B">
        <w:t>years</w:t>
      </w:r>
      <w:r w:rsidR="000159A6">
        <w:t xml:space="preserve"> </w:t>
      </w:r>
      <w:r w:rsidR="0037169B">
        <w:t>of</w:t>
      </w:r>
      <w:r w:rsidR="000159A6">
        <w:t xml:space="preserve"> </w:t>
      </w:r>
      <w:r w:rsidR="0037169B">
        <w:t>age</w:t>
      </w:r>
      <w:r w:rsidR="005C0A6F" w:rsidRPr="005C0A6F">
        <w:t>)</w:t>
      </w:r>
      <w:r w:rsidR="000159A6">
        <w:t xml:space="preserve"> </w:t>
      </w:r>
      <w:r w:rsidR="005C0A6F" w:rsidRPr="005C0A6F">
        <w:t>showed</w:t>
      </w:r>
      <w:r w:rsidR="000159A6">
        <w:t xml:space="preserve"> </w:t>
      </w:r>
      <w:r w:rsidR="005C0A6F" w:rsidRPr="005C0A6F">
        <w:t>high</w:t>
      </w:r>
      <w:r w:rsidR="000159A6">
        <w:t xml:space="preserve"> </w:t>
      </w:r>
      <w:r w:rsidR="005C0A6F" w:rsidRPr="005C0A6F">
        <w:t>CMI</w:t>
      </w:r>
      <w:r w:rsidR="000159A6">
        <w:t xml:space="preserve"> </w:t>
      </w:r>
      <w:r w:rsidR="004715B4">
        <w:t>and</w:t>
      </w:r>
      <w:r w:rsidR="000159A6">
        <w:t xml:space="preserve"> </w:t>
      </w:r>
      <w:r w:rsidR="004715B4">
        <w:t>humoral</w:t>
      </w:r>
      <w:r w:rsidR="000159A6">
        <w:t xml:space="preserve"> </w:t>
      </w:r>
      <w:r w:rsidR="004715B4">
        <w:t>gE-specific</w:t>
      </w:r>
      <w:r w:rsidR="000159A6">
        <w:t xml:space="preserve"> </w:t>
      </w:r>
      <w:r w:rsidR="004715B4">
        <w:t>and</w:t>
      </w:r>
      <w:r w:rsidR="000159A6">
        <w:t xml:space="preserve"> </w:t>
      </w:r>
      <w:r w:rsidR="004715B4">
        <w:t>VZV</w:t>
      </w:r>
      <w:r w:rsidR="000159A6">
        <w:t xml:space="preserve"> </w:t>
      </w:r>
      <w:r w:rsidR="005C0A6F" w:rsidRPr="005C0A6F">
        <w:t>specific</w:t>
      </w:r>
      <w:r w:rsidR="000159A6">
        <w:t xml:space="preserve"> </w:t>
      </w:r>
      <w:r w:rsidR="005C0A6F" w:rsidRPr="005C0A6F">
        <w:t>vacci</w:t>
      </w:r>
      <w:r w:rsidR="004715B4">
        <w:t>ne</w:t>
      </w:r>
      <w:r w:rsidR="000159A6">
        <w:t xml:space="preserve"> </w:t>
      </w:r>
      <w:r w:rsidR="005C0A6F" w:rsidRPr="005C0A6F">
        <w:t>induced</w:t>
      </w:r>
      <w:r w:rsidR="000159A6">
        <w:t xml:space="preserve"> </w:t>
      </w:r>
      <w:r w:rsidR="005C0A6F" w:rsidRPr="005C0A6F">
        <w:t>immune</w:t>
      </w:r>
      <w:r w:rsidR="000159A6">
        <w:t xml:space="preserve"> </w:t>
      </w:r>
      <w:r w:rsidR="005C0A6F" w:rsidRPr="005C0A6F">
        <w:t>responses</w:t>
      </w:r>
      <w:r w:rsidR="000159A6">
        <w:t xml:space="preserve"> </w:t>
      </w:r>
      <w:r w:rsidR="005C0A6F" w:rsidRPr="005C0A6F">
        <w:t>and</w:t>
      </w:r>
      <w:r w:rsidR="000159A6">
        <w:t xml:space="preserve"> </w:t>
      </w:r>
      <w:r w:rsidR="005C0A6F" w:rsidRPr="005C0A6F">
        <w:t>the</w:t>
      </w:r>
      <w:r w:rsidR="000159A6">
        <w:t xml:space="preserve"> </w:t>
      </w:r>
      <w:r w:rsidR="005C0A6F" w:rsidRPr="005C0A6F">
        <w:t>immune</w:t>
      </w:r>
      <w:r w:rsidR="000159A6">
        <w:t xml:space="preserve"> </w:t>
      </w:r>
      <w:r w:rsidR="005C0A6F" w:rsidRPr="005C0A6F">
        <w:t>responses</w:t>
      </w:r>
      <w:r w:rsidR="000159A6">
        <w:t xml:space="preserve"> </w:t>
      </w:r>
      <w:r w:rsidR="005C0A6F" w:rsidRPr="005C0A6F">
        <w:t>persisted</w:t>
      </w:r>
      <w:r w:rsidR="000159A6">
        <w:t xml:space="preserve"> </w:t>
      </w:r>
      <w:r w:rsidR="005C0A6F" w:rsidRPr="005C0A6F">
        <w:t>until</w:t>
      </w:r>
      <w:r w:rsidR="000159A6">
        <w:t xml:space="preserve"> </w:t>
      </w:r>
      <w:r w:rsidR="005C0A6F" w:rsidRPr="005C0A6F">
        <w:t>1</w:t>
      </w:r>
      <w:r w:rsidR="000159A6">
        <w:t xml:space="preserve"> </w:t>
      </w:r>
      <w:r w:rsidR="005C0A6F" w:rsidRPr="005C0A6F">
        <w:t>year</w:t>
      </w:r>
      <w:r w:rsidR="000159A6">
        <w:t xml:space="preserve"> </w:t>
      </w:r>
      <w:r w:rsidR="005C0A6F" w:rsidRPr="005C0A6F">
        <w:t>post</w:t>
      </w:r>
      <w:r w:rsidR="000159A6">
        <w:t xml:space="preserve"> </w:t>
      </w:r>
      <w:r w:rsidR="005C0A6F" w:rsidRPr="005C0A6F">
        <w:t>last</w:t>
      </w:r>
      <w:r w:rsidR="000159A6">
        <w:t xml:space="preserve"> </w:t>
      </w:r>
      <w:r w:rsidR="005C0A6F" w:rsidRPr="005C0A6F">
        <w:t>vaccination.</w:t>
      </w:r>
      <w:r w:rsidR="000159A6">
        <w:t xml:space="preserve"> </w:t>
      </w:r>
      <w:r w:rsidR="005C0A6F" w:rsidRPr="005C0A6F">
        <w:t>Further</w:t>
      </w:r>
      <w:r w:rsidR="000159A6">
        <w:t xml:space="preserve"> </w:t>
      </w:r>
      <w:r w:rsidR="005C0A6F" w:rsidRPr="005C0A6F">
        <w:t>studies</w:t>
      </w:r>
      <w:r w:rsidR="000159A6">
        <w:t xml:space="preserve"> </w:t>
      </w:r>
      <w:r w:rsidR="005C0A6F" w:rsidRPr="005C0A6F">
        <w:t>in</w:t>
      </w:r>
      <w:r w:rsidR="000159A6">
        <w:t xml:space="preserve"> </w:t>
      </w:r>
      <w:r w:rsidR="005C0A6F" w:rsidRPr="005C0A6F">
        <w:t>a</w:t>
      </w:r>
      <w:r w:rsidR="000159A6">
        <w:t xml:space="preserve"> </w:t>
      </w:r>
      <w:r w:rsidR="005C0A6F" w:rsidRPr="005C0A6F">
        <w:t>larger</w:t>
      </w:r>
      <w:r w:rsidR="000159A6">
        <w:t xml:space="preserve"> </w:t>
      </w:r>
      <w:r w:rsidR="005C0A6F" w:rsidRPr="005C0A6F">
        <w:t>population</w:t>
      </w:r>
      <w:r w:rsidR="000159A6">
        <w:t xml:space="preserve"> </w:t>
      </w:r>
      <w:r w:rsidR="005C0A6F" w:rsidRPr="005C0A6F">
        <w:t>are</w:t>
      </w:r>
      <w:r w:rsidR="000159A6">
        <w:t xml:space="preserve"> </w:t>
      </w:r>
      <w:r w:rsidR="005C0A6F" w:rsidRPr="005C0A6F">
        <w:t>necessary</w:t>
      </w:r>
      <w:r w:rsidR="000159A6">
        <w:t xml:space="preserve"> </w:t>
      </w:r>
      <w:r w:rsidR="005C0A6F" w:rsidRPr="005C0A6F">
        <w:t>before</w:t>
      </w:r>
      <w:r w:rsidR="000159A6">
        <w:t xml:space="preserve"> </w:t>
      </w:r>
      <w:r w:rsidR="005C0A6F" w:rsidRPr="005C0A6F">
        <w:t>more</w:t>
      </w:r>
      <w:r w:rsidR="000159A6">
        <w:t xml:space="preserve"> </w:t>
      </w:r>
      <w:r w:rsidR="005C0A6F" w:rsidRPr="005C0A6F">
        <w:t>definite</w:t>
      </w:r>
      <w:r w:rsidR="000159A6">
        <w:t xml:space="preserve"> </w:t>
      </w:r>
      <w:r w:rsidR="005C0A6F" w:rsidRPr="005C0A6F">
        <w:t>conclusions</w:t>
      </w:r>
      <w:r w:rsidR="000159A6">
        <w:t xml:space="preserve"> </w:t>
      </w:r>
      <w:r w:rsidR="005C0A6F" w:rsidRPr="005C0A6F">
        <w:t>can</w:t>
      </w:r>
      <w:r w:rsidR="000159A6">
        <w:t xml:space="preserve"> </w:t>
      </w:r>
      <w:r w:rsidR="005C0A6F" w:rsidRPr="005C0A6F">
        <w:t>be</w:t>
      </w:r>
      <w:r w:rsidR="000159A6">
        <w:t xml:space="preserve"> </w:t>
      </w:r>
      <w:r w:rsidR="005C0A6F" w:rsidRPr="005C0A6F">
        <w:t>drawn</w:t>
      </w:r>
      <w:r w:rsidR="00FF12AA">
        <w:t>.</w:t>
      </w:r>
    </w:p>
    <w:p w14:paraId="489DE414" w14:textId="77777777" w:rsidR="005C0A6F" w:rsidRPr="00E021B7" w:rsidRDefault="005C0A6F" w:rsidP="00440509">
      <w:pPr>
        <w:pStyle w:val="Heading4"/>
      </w:pPr>
      <w:r w:rsidRPr="00440509">
        <w:t>Safety</w:t>
      </w:r>
      <w:bookmarkEnd w:id="251"/>
    </w:p>
    <w:p w14:paraId="1BE87B5F" w14:textId="623FD130" w:rsidR="005C0A6F" w:rsidRDefault="005C0A6F" w:rsidP="00440509">
      <w:r w:rsidRPr="005C0A6F">
        <w:t>The</w:t>
      </w:r>
      <w:r w:rsidR="000159A6">
        <w:t xml:space="preserve"> </w:t>
      </w:r>
      <w:r w:rsidRPr="005C0A6F">
        <w:t>total</w:t>
      </w:r>
      <w:r w:rsidR="000159A6">
        <w:t xml:space="preserve"> </w:t>
      </w:r>
      <w:r w:rsidRPr="005C0A6F">
        <w:t>exposure</w:t>
      </w:r>
      <w:r w:rsidR="000159A6">
        <w:t xml:space="preserve"> </w:t>
      </w:r>
      <w:r w:rsidRPr="005C0A6F">
        <w:t>to</w:t>
      </w:r>
      <w:r w:rsidR="000159A6">
        <w:t xml:space="preserve"> </w:t>
      </w:r>
      <w:r w:rsidRPr="005C0A6F">
        <w:t>HZ/</w:t>
      </w:r>
      <w:proofErr w:type="spellStart"/>
      <w:r w:rsidRPr="005C0A6F">
        <w:t>su</w:t>
      </w:r>
      <w:proofErr w:type="spellEnd"/>
      <w:r w:rsidR="000159A6">
        <w:t xml:space="preserve"> </w:t>
      </w:r>
      <w:r w:rsidRPr="005C0A6F">
        <w:t>in</w:t>
      </w:r>
      <w:r w:rsidR="000159A6">
        <w:t xml:space="preserve"> </w:t>
      </w:r>
      <w:r w:rsidRPr="005C0A6F">
        <w:t>the</w:t>
      </w:r>
      <w:r w:rsidR="000159A6">
        <w:t xml:space="preserve"> </w:t>
      </w:r>
      <w:r w:rsidRPr="005C0A6F">
        <w:t>studies</w:t>
      </w:r>
      <w:r w:rsidR="000159A6">
        <w:t xml:space="preserve"> </w:t>
      </w:r>
      <w:r w:rsidRPr="005C0A6F">
        <w:t>included</w:t>
      </w:r>
      <w:r w:rsidR="000159A6">
        <w:t xml:space="preserve"> </w:t>
      </w:r>
      <w:r w:rsidRPr="005C0A6F">
        <w:t>in</w:t>
      </w:r>
      <w:r w:rsidR="000159A6">
        <w:t xml:space="preserve"> </w:t>
      </w:r>
      <w:r w:rsidRPr="005C0A6F">
        <w:t>the</w:t>
      </w:r>
      <w:r w:rsidR="000159A6">
        <w:t xml:space="preserve"> </w:t>
      </w:r>
      <w:r w:rsidRPr="005C0A6F">
        <w:t>dossier</w:t>
      </w:r>
      <w:r w:rsidR="000159A6">
        <w:t xml:space="preserve"> </w:t>
      </w:r>
      <w:r w:rsidRPr="005C0A6F">
        <w:t>was</w:t>
      </w:r>
      <w:r w:rsidR="000159A6">
        <w:t xml:space="preserve"> </w:t>
      </w:r>
      <w:r w:rsidRPr="005C0A6F">
        <w:t>17,204</w:t>
      </w:r>
      <w:r w:rsidR="000159A6">
        <w:t xml:space="preserve"> </w:t>
      </w:r>
      <w:r w:rsidRPr="005C0A6F">
        <w:t>subjects.</w:t>
      </w:r>
      <w:r w:rsidR="000159A6">
        <w:t xml:space="preserve"> </w:t>
      </w:r>
      <w:r w:rsidRPr="005C0A6F">
        <w:t>The</w:t>
      </w:r>
      <w:r w:rsidR="000159A6">
        <w:t xml:space="preserve"> </w:t>
      </w:r>
      <w:r w:rsidRPr="005C0A6F">
        <w:t>main</w:t>
      </w:r>
      <w:r w:rsidR="000159A6">
        <w:t xml:space="preserve"> </w:t>
      </w:r>
      <w:r w:rsidRPr="005C0A6F">
        <w:t>safety</w:t>
      </w:r>
      <w:r w:rsidR="000159A6">
        <w:t xml:space="preserve"> </w:t>
      </w:r>
      <w:r w:rsidRPr="005C0A6F">
        <w:t>pool,</w:t>
      </w:r>
      <w:r w:rsidR="000159A6">
        <w:t xml:space="preserve"> </w:t>
      </w:r>
      <w:r w:rsidRPr="005C0A6F">
        <w:t>which</w:t>
      </w:r>
      <w:r w:rsidR="000159A6">
        <w:t xml:space="preserve"> </w:t>
      </w:r>
      <w:r w:rsidRPr="005C0A6F">
        <w:t>contained</w:t>
      </w:r>
      <w:r w:rsidR="000159A6">
        <w:t xml:space="preserve"> </w:t>
      </w:r>
      <w:r w:rsidRPr="005C0A6F">
        <w:t>data</w:t>
      </w:r>
      <w:r w:rsidR="000159A6">
        <w:t xml:space="preserve"> </w:t>
      </w:r>
      <w:r w:rsidRPr="005C0A6F">
        <w:t>from</w:t>
      </w:r>
      <w:r w:rsidR="000159A6">
        <w:t xml:space="preserve"> </w:t>
      </w:r>
      <w:r w:rsidRPr="005C0A6F">
        <w:t>the</w:t>
      </w:r>
      <w:r w:rsidR="000159A6">
        <w:t xml:space="preserve"> </w:t>
      </w:r>
      <w:r w:rsidRPr="005C0A6F">
        <w:t>two</w:t>
      </w:r>
      <w:r w:rsidR="000159A6">
        <w:t xml:space="preserve"> </w:t>
      </w:r>
      <w:r w:rsidRPr="005C0A6F">
        <w:t>pivotal</w:t>
      </w:r>
      <w:r w:rsidR="000159A6">
        <w:t xml:space="preserve"> </w:t>
      </w:r>
      <w:r w:rsidRPr="005C0A6F">
        <w:t>Phase</w:t>
      </w:r>
      <w:r w:rsidR="000159A6">
        <w:t xml:space="preserve"> </w:t>
      </w:r>
      <w:r w:rsidRPr="005C0A6F">
        <w:t>III</w:t>
      </w:r>
      <w:r w:rsidR="000159A6">
        <w:t xml:space="preserve"> </w:t>
      </w:r>
      <w:r w:rsidRPr="005C0A6F">
        <w:t>studies,</w:t>
      </w:r>
      <w:r w:rsidR="000159A6">
        <w:t xml:space="preserve"> </w:t>
      </w:r>
      <w:r w:rsidRPr="005C0A6F">
        <w:t>included</w:t>
      </w:r>
      <w:r w:rsidR="000159A6">
        <w:t xml:space="preserve"> </w:t>
      </w:r>
      <w:r w:rsidRPr="005C0A6F">
        <w:t>14,745</w:t>
      </w:r>
      <w:r w:rsidR="000159A6">
        <w:t xml:space="preserve"> </w:t>
      </w:r>
      <w:r w:rsidRPr="005C0A6F">
        <w:t>adults</w:t>
      </w:r>
      <w:r w:rsidR="000159A6">
        <w:t xml:space="preserve"> </w:t>
      </w:r>
      <w:r w:rsidR="0037169B">
        <w:t>≥</w:t>
      </w:r>
      <w:r w:rsidR="000159A6">
        <w:t xml:space="preserve"> </w:t>
      </w:r>
      <w:r w:rsidRPr="005C0A6F">
        <w:t>50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who</w:t>
      </w:r>
      <w:r w:rsidR="000159A6">
        <w:t xml:space="preserve"> </w:t>
      </w:r>
      <w:r w:rsidRPr="005C0A6F">
        <w:t>received</w:t>
      </w:r>
      <w:r w:rsidR="000159A6">
        <w:t xml:space="preserve"> </w:t>
      </w:r>
      <w:r w:rsidRPr="005C0A6F">
        <w:t>at</w:t>
      </w:r>
      <w:r w:rsidR="000159A6">
        <w:t xml:space="preserve"> </w:t>
      </w:r>
      <w:r w:rsidRPr="005C0A6F">
        <w:t>least</w:t>
      </w:r>
      <w:r w:rsidR="000159A6">
        <w:t xml:space="preserve"> </w:t>
      </w:r>
      <w:r w:rsidRPr="005C0A6F">
        <w:t>one</w:t>
      </w:r>
      <w:r w:rsidR="000159A6">
        <w:t xml:space="preserve"> </w:t>
      </w:r>
      <w:r w:rsidRPr="005C0A6F">
        <w:t>dose</w:t>
      </w:r>
      <w:r w:rsidR="000159A6">
        <w:t xml:space="preserve"> </w:t>
      </w:r>
      <w:r w:rsidRPr="005C0A6F">
        <w:t>of</w:t>
      </w:r>
      <w:r w:rsidR="000159A6">
        <w:t xml:space="preserve"> </w:t>
      </w:r>
      <w:r w:rsidRPr="005C0A6F">
        <w:t>HZ/</w:t>
      </w:r>
      <w:proofErr w:type="spellStart"/>
      <w:r w:rsidRPr="005C0A6F">
        <w:t>su</w:t>
      </w:r>
      <w:proofErr w:type="spellEnd"/>
      <w:r w:rsidR="000159A6">
        <w:t xml:space="preserve"> </w:t>
      </w:r>
      <w:r w:rsidRPr="005C0A6F">
        <w:t>vaccine.</w:t>
      </w:r>
      <w:r w:rsidR="000159A6">
        <w:t xml:space="preserve"> </w:t>
      </w:r>
      <w:r w:rsidRPr="005C0A6F">
        <w:t>Of</w:t>
      </w:r>
      <w:r w:rsidR="000159A6">
        <w:t xml:space="preserve"> </w:t>
      </w:r>
      <w:r w:rsidRPr="005C0A6F">
        <w:t>these,</w:t>
      </w:r>
      <w:r w:rsidR="000159A6">
        <w:t xml:space="preserve"> </w:t>
      </w:r>
      <w:r w:rsidRPr="005C0A6F">
        <w:t>approximately</w:t>
      </w:r>
      <w:r w:rsidR="000159A6">
        <w:t xml:space="preserve"> </w:t>
      </w:r>
      <w:r w:rsidRPr="005C0A6F">
        <w:t>95%</w:t>
      </w:r>
      <w:r w:rsidR="000159A6">
        <w:t xml:space="preserve"> </w:t>
      </w:r>
      <w:r w:rsidRPr="005C0A6F">
        <w:t>received</w:t>
      </w:r>
      <w:r w:rsidR="000159A6">
        <w:t xml:space="preserve"> </w:t>
      </w:r>
      <w:r w:rsidRPr="005C0A6F">
        <w:t>two</w:t>
      </w:r>
      <w:r w:rsidR="000159A6">
        <w:t xml:space="preserve"> </w:t>
      </w:r>
      <w:r w:rsidRPr="005C0A6F">
        <w:t>doses</w:t>
      </w:r>
      <w:r w:rsidR="000159A6">
        <w:t xml:space="preserve"> </w:t>
      </w:r>
      <w:r w:rsidRPr="005C0A6F">
        <w:t>of</w:t>
      </w:r>
      <w:r w:rsidR="000159A6">
        <w:t xml:space="preserve"> </w:t>
      </w:r>
      <w:r w:rsidRPr="005C0A6F">
        <w:t>vaccine.</w:t>
      </w:r>
      <w:r w:rsidR="000159A6">
        <w:t xml:space="preserve"> </w:t>
      </w:r>
      <w:r w:rsidRPr="005C0A6F">
        <w:t>The</w:t>
      </w:r>
      <w:r w:rsidR="000159A6">
        <w:t xml:space="preserve"> </w:t>
      </w:r>
      <w:r w:rsidRPr="005C0A6F">
        <w:t>me</w:t>
      </w:r>
      <w:r w:rsidR="000E5290">
        <w:t>dian</w:t>
      </w:r>
      <w:r w:rsidR="000159A6">
        <w:t xml:space="preserve"> </w:t>
      </w:r>
      <w:r w:rsidRPr="005C0A6F">
        <w:t>follow</w:t>
      </w:r>
      <w:r w:rsidR="000159A6">
        <w:t xml:space="preserve"> </w:t>
      </w:r>
      <w:r w:rsidRPr="005C0A6F">
        <w:t>up</w:t>
      </w:r>
      <w:r w:rsidR="000159A6">
        <w:t xml:space="preserve"> </w:t>
      </w:r>
      <w:r w:rsidRPr="005C0A6F">
        <w:t>period</w:t>
      </w:r>
      <w:r w:rsidR="000159A6">
        <w:t xml:space="preserve"> </w:t>
      </w:r>
      <w:r w:rsidRPr="005C0A6F">
        <w:t>was</w:t>
      </w:r>
      <w:r w:rsidR="000159A6">
        <w:t xml:space="preserve"> </w:t>
      </w:r>
      <w:r w:rsidRPr="005C0A6F">
        <w:t>3</w:t>
      </w:r>
      <w:r w:rsidR="000159A6">
        <w:t xml:space="preserve"> </w:t>
      </w:r>
      <w:r w:rsidRPr="005C0A6F">
        <w:t>years.</w:t>
      </w:r>
    </w:p>
    <w:p w14:paraId="43619643" w14:textId="1A6A95A6" w:rsidR="005C0A6F" w:rsidRDefault="005C0A6F" w:rsidP="005C0A6F">
      <w:r w:rsidRPr="005C0A6F">
        <w:t>The</w:t>
      </w:r>
      <w:r w:rsidR="000159A6">
        <w:t xml:space="preserve"> </w:t>
      </w:r>
      <w:r w:rsidRPr="005C0A6F">
        <w:t>HZ/</w:t>
      </w:r>
      <w:proofErr w:type="spellStart"/>
      <w:r w:rsidRPr="005C0A6F">
        <w:t>su</w:t>
      </w:r>
      <w:proofErr w:type="spellEnd"/>
      <w:r w:rsidR="000159A6">
        <w:t xml:space="preserve"> </w:t>
      </w:r>
      <w:r w:rsidRPr="005C0A6F">
        <w:t>vaccine</w:t>
      </w:r>
      <w:r w:rsidR="000159A6">
        <w:t xml:space="preserve"> </w:t>
      </w:r>
      <w:r w:rsidRPr="005C0A6F">
        <w:t>was</w:t>
      </w:r>
      <w:r w:rsidR="000159A6">
        <w:t xml:space="preserve"> </w:t>
      </w:r>
      <w:proofErr w:type="spellStart"/>
      <w:r w:rsidRPr="005C0A6F">
        <w:t>reactogenic</w:t>
      </w:r>
      <w:proofErr w:type="spellEnd"/>
      <w:r w:rsidR="000159A6">
        <w:t xml:space="preserve"> </w:t>
      </w:r>
      <w:r w:rsidRPr="005C0A6F">
        <w:t>with</w:t>
      </w:r>
      <w:r w:rsidR="000159A6">
        <w:t xml:space="preserve"> </w:t>
      </w:r>
      <w:r w:rsidRPr="005C0A6F">
        <w:t>a</w:t>
      </w:r>
      <w:r w:rsidR="000159A6">
        <w:t xml:space="preserve"> </w:t>
      </w:r>
      <w:r w:rsidRPr="005C0A6F">
        <w:t>high</w:t>
      </w:r>
      <w:r w:rsidR="000159A6">
        <w:t xml:space="preserve"> </w:t>
      </w:r>
      <w:r w:rsidRPr="005C0A6F">
        <w:t>rate</w:t>
      </w:r>
      <w:r w:rsidR="000159A6">
        <w:t xml:space="preserve"> </w:t>
      </w:r>
      <w:r w:rsidRPr="005C0A6F">
        <w:t>(overall</w:t>
      </w:r>
      <w:r w:rsidR="000159A6">
        <w:t xml:space="preserve"> </w:t>
      </w:r>
      <w:r w:rsidRPr="005C0A6F">
        <w:t>rate</w:t>
      </w:r>
      <w:r w:rsidR="000159A6">
        <w:t xml:space="preserve"> </w:t>
      </w:r>
      <w:r w:rsidRPr="005C0A6F">
        <w:t>per</w:t>
      </w:r>
      <w:r w:rsidR="000159A6">
        <w:t xml:space="preserve"> </w:t>
      </w:r>
      <w:r w:rsidRPr="005C0A6F">
        <w:t>dose)</w:t>
      </w:r>
      <w:r w:rsidR="000159A6">
        <w:t xml:space="preserve"> </w:t>
      </w:r>
      <w:r w:rsidRPr="005C0A6F">
        <w:t>of</w:t>
      </w:r>
      <w:r w:rsidR="000159A6">
        <w:t xml:space="preserve"> </w:t>
      </w:r>
      <w:r w:rsidRPr="005C0A6F">
        <w:t>local</w:t>
      </w:r>
      <w:r w:rsidR="000159A6">
        <w:t xml:space="preserve"> </w:t>
      </w:r>
      <w:r w:rsidRPr="005C0A6F">
        <w:t>symptoms</w:t>
      </w:r>
      <w:r w:rsidR="000159A6">
        <w:t xml:space="preserve"> </w:t>
      </w:r>
      <w:r w:rsidRPr="005C0A6F">
        <w:t>of</w:t>
      </w:r>
      <w:r w:rsidR="000159A6">
        <w:t xml:space="preserve"> </w:t>
      </w:r>
      <w:r w:rsidRPr="005C0A6F">
        <w:t>pain</w:t>
      </w:r>
      <w:r w:rsidR="000159A6">
        <w:t xml:space="preserve"> </w:t>
      </w:r>
      <w:r w:rsidRPr="005C0A6F">
        <w:t>(68%),</w:t>
      </w:r>
      <w:r w:rsidR="000159A6">
        <w:t xml:space="preserve"> </w:t>
      </w:r>
      <w:r w:rsidRPr="005C0A6F">
        <w:t>redness</w:t>
      </w:r>
      <w:r w:rsidR="000159A6">
        <w:t xml:space="preserve"> </w:t>
      </w:r>
      <w:r w:rsidRPr="005C0A6F">
        <w:t>(38%)</w:t>
      </w:r>
      <w:r w:rsidR="000159A6">
        <w:t xml:space="preserve"> </w:t>
      </w:r>
      <w:r w:rsidRPr="005C0A6F">
        <w:t>and</w:t>
      </w:r>
      <w:r w:rsidR="000159A6">
        <w:t xml:space="preserve"> </w:t>
      </w:r>
      <w:r w:rsidRPr="005C0A6F">
        <w:t>swelling</w:t>
      </w:r>
      <w:r w:rsidR="000159A6">
        <w:t xml:space="preserve"> </w:t>
      </w:r>
      <w:r w:rsidRPr="005C0A6F">
        <w:t>(26%)</w:t>
      </w:r>
      <w:r w:rsidR="000159A6">
        <w:t xml:space="preserve"> </w:t>
      </w:r>
      <w:r w:rsidRPr="005C0A6F">
        <w:t>as</w:t>
      </w:r>
      <w:r w:rsidR="000159A6">
        <w:t xml:space="preserve"> </w:t>
      </w:r>
      <w:r w:rsidRPr="005C0A6F">
        <w:t>well</w:t>
      </w:r>
      <w:r w:rsidR="000159A6">
        <w:t xml:space="preserve"> </w:t>
      </w:r>
      <w:r w:rsidRPr="005C0A6F">
        <w:t>as</w:t>
      </w:r>
      <w:r w:rsidR="000159A6">
        <w:t xml:space="preserve"> </w:t>
      </w:r>
      <w:r w:rsidRPr="005C0A6F">
        <w:t>of</w:t>
      </w:r>
      <w:r w:rsidR="000159A6">
        <w:t xml:space="preserve"> </w:t>
      </w:r>
      <w:r w:rsidRPr="005C0A6F">
        <w:t>general</w:t>
      </w:r>
      <w:r w:rsidR="000159A6">
        <w:t xml:space="preserve"> </w:t>
      </w:r>
      <w:r w:rsidRPr="005C0A6F">
        <w:t>symptoms</w:t>
      </w:r>
      <w:r w:rsidR="000159A6">
        <w:t xml:space="preserve"> </w:t>
      </w:r>
      <w:r w:rsidRPr="005C0A6F">
        <w:t>of</w:t>
      </w:r>
      <w:r w:rsidR="000159A6">
        <w:t xml:space="preserve"> </w:t>
      </w:r>
      <w:r w:rsidRPr="005C0A6F">
        <w:t>myalgia</w:t>
      </w:r>
      <w:r w:rsidR="000159A6">
        <w:t xml:space="preserve"> </w:t>
      </w:r>
      <w:r w:rsidRPr="005C0A6F">
        <w:t>(33%),</w:t>
      </w:r>
      <w:r w:rsidR="000159A6">
        <w:t xml:space="preserve"> </w:t>
      </w:r>
      <w:r w:rsidRPr="005C0A6F">
        <w:t>fatigue</w:t>
      </w:r>
      <w:r w:rsidR="000159A6">
        <w:t xml:space="preserve"> </w:t>
      </w:r>
      <w:r w:rsidRPr="005C0A6F">
        <w:t>(32%)</w:t>
      </w:r>
      <w:r w:rsidR="000159A6">
        <w:t xml:space="preserve"> </w:t>
      </w:r>
      <w:r w:rsidRPr="005C0A6F">
        <w:t>and</w:t>
      </w:r>
      <w:r w:rsidR="000159A6">
        <w:t xml:space="preserve"> </w:t>
      </w:r>
      <w:r w:rsidRPr="005C0A6F">
        <w:t>headache</w:t>
      </w:r>
      <w:r w:rsidR="000159A6">
        <w:t xml:space="preserve"> </w:t>
      </w:r>
      <w:r w:rsidRPr="005C0A6F">
        <w:t>(26%).</w:t>
      </w:r>
      <w:r w:rsidR="000159A6">
        <w:t xml:space="preserve"> </w:t>
      </w:r>
      <w:r w:rsidRPr="005C0A6F">
        <w:t>Other</w:t>
      </w:r>
      <w:r w:rsidR="000159A6">
        <w:t xml:space="preserve"> </w:t>
      </w:r>
      <w:r w:rsidRPr="005C0A6F">
        <w:t>common</w:t>
      </w:r>
      <w:r w:rsidR="000159A6">
        <w:t xml:space="preserve"> </w:t>
      </w:r>
      <w:r w:rsidRPr="005C0A6F">
        <w:t>symptoms</w:t>
      </w:r>
      <w:r w:rsidR="000159A6">
        <w:t xml:space="preserve"> </w:t>
      </w:r>
      <w:r w:rsidRPr="005C0A6F">
        <w:t>were</w:t>
      </w:r>
      <w:r w:rsidR="000159A6">
        <w:t xml:space="preserve"> </w:t>
      </w:r>
      <w:r w:rsidRPr="005C0A6F">
        <w:t>GI</w:t>
      </w:r>
      <w:r w:rsidR="000159A6">
        <w:t xml:space="preserve"> </w:t>
      </w:r>
      <w:r w:rsidRPr="005C0A6F">
        <w:t>disorders</w:t>
      </w:r>
      <w:r w:rsidR="000159A6">
        <w:t xml:space="preserve"> </w:t>
      </w:r>
      <w:r w:rsidRPr="005C0A6F">
        <w:t>(nausea,</w:t>
      </w:r>
      <w:r w:rsidR="000159A6">
        <w:t xml:space="preserve"> </w:t>
      </w:r>
      <w:r w:rsidRPr="005C0A6F">
        <w:t>vomiting,</w:t>
      </w:r>
      <w:r w:rsidR="000159A6">
        <w:t xml:space="preserve"> </w:t>
      </w:r>
      <w:r w:rsidRPr="005C0A6F">
        <w:t>diarrhoea</w:t>
      </w:r>
      <w:r w:rsidR="000159A6">
        <w:t xml:space="preserve"> </w:t>
      </w:r>
      <w:r w:rsidRPr="005C0A6F">
        <w:t>and/or</w:t>
      </w:r>
      <w:r w:rsidR="000159A6">
        <w:t xml:space="preserve"> </w:t>
      </w:r>
      <w:r w:rsidRPr="005C0A6F">
        <w:t>abdominal</w:t>
      </w:r>
      <w:r w:rsidR="000159A6">
        <w:t xml:space="preserve"> </w:t>
      </w:r>
      <w:r w:rsidRPr="005C0A6F">
        <w:t>pain)</w:t>
      </w:r>
      <w:r w:rsidR="000159A6">
        <w:t xml:space="preserve"> </w:t>
      </w:r>
      <w:r w:rsidRPr="005C0A6F">
        <w:t>(10.7%),</w:t>
      </w:r>
      <w:r w:rsidR="000159A6">
        <w:t xml:space="preserve"> </w:t>
      </w:r>
      <w:r w:rsidRPr="005C0A6F">
        <w:t>shivering</w:t>
      </w:r>
      <w:r w:rsidR="000159A6">
        <w:t xml:space="preserve"> </w:t>
      </w:r>
      <w:r w:rsidRPr="005C0A6F">
        <w:t>(17.6%)</w:t>
      </w:r>
      <w:r w:rsidR="000159A6">
        <w:t xml:space="preserve"> </w:t>
      </w:r>
      <w:r w:rsidRPr="005C0A6F">
        <w:t>and</w:t>
      </w:r>
      <w:r w:rsidR="000159A6">
        <w:t xml:space="preserve"> </w:t>
      </w:r>
      <w:r w:rsidRPr="005C0A6F">
        <w:t>fever</w:t>
      </w:r>
      <w:r w:rsidR="000159A6">
        <w:t xml:space="preserve"> </w:t>
      </w:r>
      <w:r w:rsidRPr="005C0A6F">
        <w:t>(12.8%).</w:t>
      </w:r>
    </w:p>
    <w:p w14:paraId="6A44F080" w14:textId="532C27B5" w:rsidR="005C0A6F" w:rsidRPr="005C0A6F" w:rsidRDefault="005C0A6F" w:rsidP="005C0A6F">
      <w:r w:rsidRPr="005C0A6F">
        <w:t>Most</w:t>
      </w:r>
      <w:r w:rsidR="000159A6">
        <w:t xml:space="preserve"> </w:t>
      </w:r>
      <w:r w:rsidRPr="005C0A6F">
        <w:t>reactions</w:t>
      </w:r>
      <w:r w:rsidR="000159A6">
        <w:t xml:space="preserve"> </w:t>
      </w:r>
      <w:r w:rsidRPr="005C0A6F">
        <w:t>were</w:t>
      </w:r>
      <w:r w:rsidR="000159A6">
        <w:t xml:space="preserve"> </w:t>
      </w:r>
      <w:r w:rsidR="004715B4">
        <w:t>Grade</w:t>
      </w:r>
      <w:r w:rsidR="000159A6">
        <w:t xml:space="preserve"> </w:t>
      </w:r>
      <w:r w:rsidRPr="005C0A6F">
        <w:t>1</w:t>
      </w:r>
      <w:r w:rsidR="000159A6">
        <w:t xml:space="preserve"> </w:t>
      </w:r>
      <w:r w:rsidRPr="005C0A6F">
        <w:t>or</w:t>
      </w:r>
      <w:r w:rsidR="000159A6">
        <w:t xml:space="preserve"> </w:t>
      </w:r>
      <w:r w:rsidRPr="005C0A6F">
        <w:t>2</w:t>
      </w:r>
      <w:r w:rsidR="000159A6">
        <w:t xml:space="preserve"> </w:t>
      </w:r>
      <w:r w:rsidRPr="005C0A6F">
        <w:t>and</w:t>
      </w:r>
      <w:r w:rsidR="000159A6">
        <w:t xml:space="preserve"> </w:t>
      </w:r>
      <w:r w:rsidRPr="005C0A6F">
        <w:t>symptoms</w:t>
      </w:r>
      <w:r w:rsidR="000159A6">
        <w:t xml:space="preserve"> </w:t>
      </w:r>
      <w:r w:rsidRPr="005C0A6F">
        <w:t>tended</w:t>
      </w:r>
      <w:r w:rsidR="000159A6">
        <w:t xml:space="preserve"> </w:t>
      </w:r>
      <w:r w:rsidRPr="005C0A6F">
        <w:t>to</w:t>
      </w:r>
      <w:r w:rsidR="000159A6">
        <w:t xml:space="preserve"> </w:t>
      </w:r>
      <w:r w:rsidRPr="005C0A6F">
        <w:t>last</w:t>
      </w:r>
      <w:r w:rsidR="000159A6">
        <w:t xml:space="preserve"> </w:t>
      </w:r>
      <w:r w:rsidRPr="005C0A6F">
        <w:t>less</w:t>
      </w:r>
      <w:r w:rsidR="000159A6">
        <w:t xml:space="preserve"> </w:t>
      </w:r>
      <w:r w:rsidRPr="005C0A6F">
        <w:t>than</w:t>
      </w:r>
      <w:r w:rsidR="000159A6">
        <w:t xml:space="preserve"> </w:t>
      </w:r>
      <w:r w:rsidRPr="005C0A6F">
        <w:t>4</w:t>
      </w:r>
      <w:r w:rsidR="000159A6">
        <w:t xml:space="preserve"> </w:t>
      </w:r>
      <w:r w:rsidRPr="005C0A6F">
        <w:t>days.</w:t>
      </w:r>
      <w:r w:rsidR="000159A6">
        <w:t xml:space="preserve"> </w:t>
      </w:r>
      <w:r w:rsidRPr="005C0A6F">
        <w:t>Severe,</w:t>
      </w:r>
      <w:r w:rsidR="000159A6">
        <w:t xml:space="preserve"> </w:t>
      </w:r>
      <w:r w:rsidR="004715B4">
        <w:t>Grade</w:t>
      </w:r>
      <w:r w:rsidR="000159A6">
        <w:t xml:space="preserve"> </w:t>
      </w:r>
      <w:r w:rsidRPr="005C0A6F">
        <w:t>3,</w:t>
      </w:r>
      <w:r w:rsidR="000159A6">
        <w:t xml:space="preserve"> </w:t>
      </w:r>
      <w:r w:rsidRPr="005C0A6F">
        <w:t>local</w:t>
      </w:r>
      <w:r w:rsidR="000159A6">
        <w:t xml:space="preserve"> </w:t>
      </w:r>
      <w:r w:rsidRPr="005C0A6F">
        <w:t>symptoms</w:t>
      </w:r>
      <w:r w:rsidR="000159A6">
        <w:t xml:space="preserve"> </w:t>
      </w:r>
      <w:r w:rsidRPr="005C0A6F">
        <w:t>were</w:t>
      </w:r>
      <w:r w:rsidR="000159A6">
        <w:t xml:space="preserve"> </w:t>
      </w:r>
      <w:r w:rsidRPr="005C0A6F">
        <w:t>reported</w:t>
      </w:r>
      <w:r w:rsidR="000159A6">
        <w:t xml:space="preserve"> </w:t>
      </w:r>
      <w:r w:rsidRPr="005C0A6F">
        <w:t>in</w:t>
      </w:r>
      <w:r w:rsidR="000159A6">
        <w:t xml:space="preserve"> </w:t>
      </w:r>
      <w:r w:rsidR="004715B4">
        <w:t>≤</w:t>
      </w:r>
      <w:r w:rsidR="000159A6">
        <w:t xml:space="preserve"> </w:t>
      </w:r>
      <w:r w:rsidRPr="005C0A6F">
        <w:t>6.4%</w:t>
      </w:r>
      <w:r w:rsidR="000159A6">
        <w:t xml:space="preserve"> </w:t>
      </w:r>
      <w:r w:rsidRPr="005C0A6F">
        <w:t>of</w:t>
      </w:r>
      <w:r w:rsidR="000159A6">
        <w:t xml:space="preserve"> </w:t>
      </w:r>
      <w:r w:rsidRPr="005C0A6F">
        <w:t>subjects</w:t>
      </w:r>
      <w:r w:rsidR="000159A6">
        <w:t xml:space="preserve"> </w:t>
      </w:r>
      <w:r w:rsidRPr="005C0A6F">
        <w:t>(pain</w:t>
      </w:r>
      <w:r w:rsidR="000159A6">
        <w:t xml:space="preserve"> </w:t>
      </w:r>
      <w:r w:rsidRPr="005C0A6F">
        <w:t>being</w:t>
      </w:r>
      <w:r w:rsidR="000159A6">
        <w:t xml:space="preserve"> </w:t>
      </w:r>
      <w:r w:rsidRPr="005C0A6F">
        <w:t>the</w:t>
      </w:r>
      <w:r w:rsidR="000159A6">
        <w:t xml:space="preserve"> </w:t>
      </w:r>
      <w:r w:rsidRPr="005C0A6F">
        <w:t>most</w:t>
      </w:r>
      <w:r w:rsidR="000159A6">
        <w:t xml:space="preserve"> </w:t>
      </w:r>
      <w:r w:rsidRPr="005C0A6F">
        <w:t>frequent)</w:t>
      </w:r>
      <w:r w:rsidR="000159A6">
        <w:t xml:space="preserve"> </w:t>
      </w:r>
      <w:r w:rsidRPr="005C0A6F">
        <w:t>and</w:t>
      </w:r>
      <w:r w:rsidR="000159A6">
        <w:t xml:space="preserve"> </w:t>
      </w:r>
      <w:r w:rsidR="004715B4">
        <w:t>Grade</w:t>
      </w:r>
      <w:r w:rsidR="000159A6">
        <w:t xml:space="preserve"> </w:t>
      </w:r>
      <w:r w:rsidRPr="005C0A6F">
        <w:t>3</w:t>
      </w:r>
      <w:r w:rsidR="000159A6">
        <w:t xml:space="preserve"> </w:t>
      </w:r>
      <w:r w:rsidRPr="005C0A6F">
        <w:t>general</w:t>
      </w:r>
      <w:r w:rsidR="000159A6">
        <w:t xml:space="preserve"> </w:t>
      </w:r>
      <w:r w:rsidRPr="005C0A6F">
        <w:t>symptoms</w:t>
      </w:r>
      <w:r w:rsidR="000159A6">
        <w:t xml:space="preserve"> </w:t>
      </w:r>
      <w:r w:rsidRPr="005C0A6F">
        <w:t>in</w:t>
      </w:r>
      <w:r w:rsidR="000159A6">
        <w:t xml:space="preserve"> </w:t>
      </w:r>
      <w:r w:rsidR="004715B4">
        <w:t>≤</w:t>
      </w:r>
      <w:r w:rsidR="000159A6">
        <w:t xml:space="preserve"> </w:t>
      </w:r>
      <w:r w:rsidRPr="005C0A6F">
        <w:t>5.3%</w:t>
      </w:r>
      <w:r w:rsidR="000159A6">
        <w:t xml:space="preserve"> </w:t>
      </w:r>
      <w:r w:rsidRPr="005C0A6F">
        <w:t>(fatigue</w:t>
      </w:r>
      <w:r w:rsidR="000159A6">
        <w:t xml:space="preserve"> </w:t>
      </w:r>
      <w:r w:rsidRPr="005C0A6F">
        <w:t>and</w:t>
      </w:r>
      <w:r w:rsidR="000159A6">
        <w:t xml:space="preserve"> </w:t>
      </w:r>
      <w:r w:rsidRPr="005C0A6F">
        <w:t>myalgia</w:t>
      </w:r>
      <w:r w:rsidR="000159A6">
        <w:t xml:space="preserve"> </w:t>
      </w:r>
      <w:r w:rsidRPr="005C0A6F">
        <w:t>the</w:t>
      </w:r>
      <w:r w:rsidR="000159A6">
        <w:t xml:space="preserve"> </w:t>
      </w:r>
      <w:r w:rsidRPr="005C0A6F">
        <w:t>most</w:t>
      </w:r>
      <w:r w:rsidR="000159A6">
        <w:t xml:space="preserve"> </w:t>
      </w:r>
      <w:r w:rsidRPr="005C0A6F">
        <w:t>frequent).</w:t>
      </w:r>
      <w:r w:rsidR="000159A6">
        <w:t xml:space="preserve"> </w:t>
      </w:r>
      <w:r w:rsidRPr="005C0A6F">
        <w:t>It</w:t>
      </w:r>
      <w:r w:rsidR="000159A6">
        <w:t xml:space="preserve"> </w:t>
      </w:r>
      <w:r w:rsidRPr="005C0A6F">
        <w:t>was</w:t>
      </w:r>
      <w:r w:rsidR="000159A6">
        <w:t xml:space="preserve"> </w:t>
      </w:r>
      <w:r w:rsidRPr="005C0A6F">
        <w:t>noted</w:t>
      </w:r>
      <w:r w:rsidR="000159A6">
        <w:t xml:space="preserve"> </w:t>
      </w:r>
      <w:r w:rsidRPr="005C0A6F">
        <w:t>that</w:t>
      </w:r>
      <w:r w:rsidR="000159A6">
        <w:t xml:space="preserve"> </w:t>
      </w:r>
      <w:r w:rsidRPr="005C0A6F">
        <w:t>the</w:t>
      </w:r>
      <w:r w:rsidR="000159A6">
        <w:t xml:space="preserve"> </w:t>
      </w:r>
      <w:r w:rsidRPr="005C0A6F">
        <w:t>rate</w:t>
      </w:r>
      <w:r w:rsidR="000159A6">
        <w:t xml:space="preserve"> </w:t>
      </w:r>
      <w:r w:rsidRPr="005C0A6F">
        <w:t>of</w:t>
      </w:r>
      <w:r w:rsidR="000159A6">
        <w:t xml:space="preserve"> </w:t>
      </w:r>
      <w:r w:rsidR="004715B4">
        <w:t>Grade</w:t>
      </w:r>
      <w:r w:rsidR="000159A6">
        <w:t xml:space="preserve"> </w:t>
      </w:r>
      <w:r w:rsidRPr="005C0A6F">
        <w:t>3</w:t>
      </w:r>
      <w:r w:rsidR="000159A6">
        <w:t xml:space="preserve"> </w:t>
      </w:r>
      <w:r w:rsidRPr="005C0A6F">
        <w:t>general</w:t>
      </w:r>
      <w:r w:rsidR="000159A6">
        <w:t xml:space="preserve"> </w:t>
      </w:r>
      <w:r w:rsidRPr="005C0A6F">
        <w:t>symptoms</w:t>
      </w:r>
      <w:r w:rsidR="000159A6">
        <w:t xml:space="preserve"> </w:t>
      </w:r>
      <w:r w:rsidRPr="005C0A6F">
        <w:t>increased</w:t>
      </w:r>
      <w:r w:rsidR="000159A6">
        <w:t xml:space="preserve"> </w:t>
      </w:r>
      <w:r w:rsidRPr="005C0A6F">
        <w:t>with</w:t>
      </w:r>
      <w:r w:rsidR="000159A6">
        <w:t xml:space="preserve"> </w:t>
      </w:r>
      <w:r w:rsidRPr="005C0A6F">
        <w:t>the</w:t>
      </w:r>
      <w:r w:rsidR="000159A6">
        <w:t xml:space="preserve"> </w:t>
      </w:r>
      <w:r w:rsidRPr="005C0A6F">
        <w:t>second</w:t>
      </w:r>
      <w:r w:rsidR="000159A6">
        <w:t xml:space="preserve"> </w:t>
      </w:r>
      <w:r w:rsidRPr="005C0A6F">
        <w:t>dose</w:t>
      </w:r>
      <w:r w:rsidR="000159A6">
        <w:t xml:space="preserve"> </w:t>
      </w:r>
      <w:r w:rsidRPr="005C0A6F">
        <w:t>of</w:t>
      </w:r>
      <w:r w:rsidR="000159A6">
        <w:t xml:space="preserve"> </w:t>
      </w:r>
      <w:r w:rsidRPr="005C0A6F">
        <w:t>HZ/</w:t>
      </w:r>
      <w:proofErr w:type="spellStart"/>
      <w:r w:rsidRPr="005C0A6F">
        <w:t>su</w:t>
      </w:r>
      <w:proofErr w:type="spellEnd"/>
      <w:r w:rsidR="000159A6">
        <w:t xml:space="preserve"> </w:t>
      </w:r>
      <w:r w:rsidRPr="005C0A6F">
        <w:t>(5.7%</w:t>
      </w:r>
      <w:r w:rsidR="000159A6">
        <w:t xml:space="preserve"> </w:t>
      </w:r>
      <w:r w:rsidRPr="005C0A6F">
        <w:t>to</w:t>
      </w:r>
      <w:r w:rsidR="000159A6">
        <w:t xml:space="preserve"> </w:t>
      </w:r>
      <w:r w:rsidRPr="005C0A6F">
        <w:t>8.0%).</w:t>
      </w:r>
    </w:p>
    <w:p w14:paraId="56D796CE" w14:textId="63D6A7F7" w:rsidR="005C0A6F" w:rsidRDefault="005C0A6F" w:rsidP="005C0A6F">
      <w:r w:rsidRPr="005C0A6F">
        <w:t>The</w:t>
      </w:r>
      <w:r w:rsidR="000159A6">
        <w:t xml:space="preserve"> </w:t>
      </w:r>
      <w:r w:rsidRPr="005C0A6F">
        <w:t>safety</w:t>
      </w:r>
      <w:r w:rsidR="000159A6">
        <w:t xml:space="preserve"> </w:t>
      </w:r>
      <w:r w:rsidRPr="005C0A6F">
        <w:t>data</w:t>
      </w:r>
      <w:r w:rsidR="000159A6">
        <w:t xml:space="preserve"> </w:t>
      </w:r>
      <w:r w:rsidRPr="005C0A6F">
        <w:t>indicate</w:t>
      </w:r>
      <w:r w:rsidR="000159A6">
        <w:t xml:space="preserve"> </w:t>
      </w:r>
      <w:r w:rsidRPr="005C0A6F">
        <w:t>that</w:t>
      </w:r>
      <w:r w:rsidR="000159A6">
        <w:t xml:space="preserve"> </w:t>
      </w:r>
      <w:r w:rsidRPr="005C0A6F">
        <w:t>local</w:t>
      </w:r>
      <w:r w:rsidR="000159A6">
        <w:t xml:space="preserve"> </w:t>
      </w:r>
      <w:r w:rsidRPr="005C0A6F">
        <w:t>and</w:t>
      </w:r>
      <w:r w:rsidR="000159A6">
        <w:t xml:space="preserve"> </w:t>
      </w:r>
      <w:r w:rsidRPr="005C0A6F">
        <w:t>general</w:t>
      </w:r>
      <w:r w:rsidR="000159A6">
        <w:t xml:space="preserve"> </w:t>
      </w:r>
      <w:r w:rsidRPr="005C0A6F">
        <w:t>solicited</w:t>
      </w:r>
      <w:r w:rsidR="000159A6">
        <w:t xml:space="preserve"> </w:t>
      </w:r>
      <w:r w:rsidRPr="005C0A6F">
        <w:t>symptoms</w:t>
      </w:r>
      <w:r w:rsidR="000159A6">
        <w:t xml:space="preserve"> </w:t>
      </w:r>
      <w:r w:rsidRPr="005C0A6F">
        <w:t>rate</w:t>
      </w:r>
      <w:r w:rsidR="000159A6">
        <w:t xml:space="preserve"> </w:t>
      </w:r>
      <w:r w:rsidRPr="005C0A6F">
        <w:t>tends</w:t>
      </w:r>
      <w:r w:rsidR="000159A6">
        <w:t xml:space="preserve"> </w:t>
      </w:r>
      <w:r w:rsidRPr="005C0A6F">
        <w:t>to</w:t>
      </w:r>
      <w:r w:rsidR="000159A6">
        <w:t xml:space="preserve"> </w:t>
      </w:r>
      <w:r w:rsidRPr="005C0A6F">
        <w:t>be</w:t>
      </w:r>
      <w:r w:rsidR="000159A6">
        <w:t xml:space="preserve"> </w:t>
      </w:r>
      <w:r w:rsidRPr="005C0A6F">
        <w:t>higher</w:t>
      </w:r>
      <w:r w:rsidR="000159A6">
        <w:t xml:space="preserve"> </w:t>
      </w:r>
      <w:r w:rsidRPr="005C0A6F">
        <w:t>in</w:t>
      </w:r>
      <w:r w:rsidR="000159A6">
        <w:t xml:space="preserve"> </w:t>
      </w:r>
      <w:r w:rsidR="004715B4">
        <w:t>50</w:t>
      </w:r>
      <w:r w:rsidR="000159A6">
        <w:t xml:space="preserve"> </w:t>
      </w:r>
      <w:r w:rsidR="004715B4">
        <w:t>to</w:t>
      </w:r>
      <w:r w:rsidR="000159A6">
        <w:t xml:space="preserve"> </w:t>
      </w:r>
      <w:r w:rsidR="004715B4">
        <w:t>69</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group</w:t>
      </w:r>
      <w:r w:rsidR="000159A6">
        <w:t xml:space="preserve"> </w:t>
      </w:r>
      <w:r w:rsidRPr="005C0A6F">
        <w:t>than</w:t>
      </w:r>
      <w:r w:rsidR="000159A6">
        <w:t xml:space="preserve"> </w:t>
      </w:r>
      <w:r w:rsidRPr="005C0A6F">
        <w:t>the</w:t>
      </w:r>
      <w:r w:rsidR="000159A6">
        <w:t xml:space="preserve"> </w:t>
      </w:r>
      <w:r w:rsidR="0037169B">
        <w:t>≥</w:t>
      </w:r>
      <w:r w:rsidR="000159A6">
        <w:t xml:space="preserve"> </w:t>
      </w:r>
      <w:r w:rsidRPr="005C0A6F">
        <w:t>70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5C0A6F">
        <w:t>subjects.</w:t>
      </w:r>
    </w:p>
    <w:p w14:paraId="745C6EC3" w14:textId="6D2A9A0F" w:rsidR="005C0A6F" w:rsidRDefault="005C0A6F" w:rsidP="005C0A6F">
      <w:r w:rsidRPr="005C0A6F">
        <w:t>The</w:t>
      </w:r>
      <w:r w:rsidR="000159A6">
        <w:t xml:space="preserve"> </w:t>
      </w:r>
      <w:r w:rsidRPr="005C0A6F">
        <w:t>rate</w:t>
      </w:r>
      <w:r w:rsidR="000159A6">
        <w:t xml:space="preserve"> </w:t>
      </w:r>
      <w:r w:rsidRPr="005C0A6F">
        <w:t>of</w:t>
      </w:r>
      <w:r w:rsidR="000159A6">
        <w:t xml:space="preserve"> </w:t>
      </w:r>
      <w:r w:rsidRPr="005C0A6F">
        <w:t>SAEs</w:t>
      </w:r>
      <w:r w:rsidR="000159A6">
        <w:t xml:space="preserve"> </w:t>
      </w:r>
      <w:r w:rsidRPr="005C0A6F">
        <w:t>(fatal</w:t>
      </w:r>
      <w:r w:rsidR="000159A6">
        <w:t xml:space="preserve"> </w:t>
      </w:r>
      <w:r w:rsidRPr="005C0A6F">
        <w:t>and</w:t>
      </w:r>
      <w:r w:rsidR="000159A6">
        <w:t xml:space="preserve"> </w:t>
      </w:r>
      <w:r w:rsidRPr="005C0A6F">
        <w:t>non-fatal)</w:t>
      </w:r>
      <w:r w:rsidR="000159A6">
        <w:t xml:space="preserve"> </w:t>
      </w:r>
      <w:r w:rsidRPr="005C0A6F">
        <w:t>was</w:t>
      </w:r>
      <w:r w:rsidR="000159A6">
        <w:t xml:space="preserve"> </w:t>
      </w:r>
      <w:r w:rsidRPr="005C0A6F">
        <w:t>similar</w:t>
      </w:r>
      <w:r w:rsidR="000159A6">
        <w:t xml:space="preserve"> </w:t>
      </w:r>
      <w:r w:rsidRPr="005C0A6F">
        <w:t>between</w:t>
      </w:r>
      <w:r w:rsidR="000159A6">
        <w:t xml:space="preserve"> </w:t>
      </w:r>
      <w:r w:rsidRPr="005C0A6F">
        <w:t>groups</w:t>
      </w:r>
      <w:r w:rsidR="000159A6">
        <w:t xml:space="preserve"> </w:t>
      </w:r>
      <w:r w:rsidRPr="005C0A6F">
        <w:t>in</w:t>
      </w:r>
      <w:r w:rsidR="000159A6">
        <w:t xml:space="preserve"> </w:t>
      </w:r>
      <w:r w:rsidRPr="005C0A6F">
        <w:t>the</w:t>
      </w:r>
      <w:r w:rsidR="000159A6">
        <w:t xml:space="preserve"> </w:t>
      </w:r>
      <w:r w:rsidRPr="005C0A6F">
        <w:t>main</w:t>
      </w:r>
      <w:r w:rsidR="000159A6">
        <w:t xml:space="preserve"> </w:t>
      </w:r>
      <w:r w:rsidRPr="005C0A6F">
        <w:t>safety</w:t>
      </w:r>
      <w:r w:rsidR="000159A6">
        <w:t xml:space="preserve"> </w:t>
      </w:r>
      <w:r w:rsidRPr="005C0A6F">
        <w:t>pool</w:t>
      </w:r>
      <w:r w:rsidR="000159A6">
        <w:t xml:space="preserve"> </w:t>
      </w:r>
      <w:r w:rsidRPr="005C0A6F">
        <w:t>(12.8%</w:t>
      </w:r>
      <w:r w:rsidR="000159A6">
        <w:t xml:space="preserve"> </w:t>
      </w:r>
      <w:r w:rsidR="008D4538">
        <w:t>versus</w:t>
      </w:r>
      <w:r w:rsidR="000159A6">
        <w:t xml:space="preserve"> </w:t>
      </w:r>
      <w:r w:rsidRPr="005C0A6F">
        <w:t>13.3%,</w:t>
      </w:r>
      <w:r w:rsidR="000159A6">
        <w:t xml:space="preserve"> </w:t>
      </w:r>
      <w:r w:rsidRPr="005C0A6F">
        <w:t>RR</w:t>
      </w:r>
      <w:r w:rsidR="000159A6">
        <w:t xml:space="preserve"> </w:t>
      </w:r>
      <w:r w:rsidRPr="005C0A6F">
        <w:t>=</w:t>
      </w:r>
      <w:r w:rsidR="000159A6">
        <w:t xml:space="preserve"> </w:t>
      </w:r>
      <w:r w:rsidRPr="005C0A6F">
        <w:t>0.97</w:t>
      </w:r>
      <w:r w:rsidR="000159A6">
        <w:t xml:space="preserve"> </w:t>
      </w:r>
      <w:r w:rsidR="004715B4">
        <w:t>(</w:t>
      </w:r>
      <w:r w:rsidRPr="005C0A6F">
        <w:t>95%</w:t>
      </w:r>
      <w:r w:rsidR="000159A6">
        <w:t xml:space="preserve"> </w:t>
      </w:r>
      <w:r w:rsidRPr="005C0A6F">
        <w:t>CI:</w:t>
      </w:r>
      <w:r w:rsidR="000159A6">
        <w:t xml:space="preserve"> </w:t>
      </w:r>
      <w:r w:rsidRPr="005C0A6F">
        <w:t>0.91-1.03</w:t>
      </w:r>
      <w:r w:rsidR="004715B4">
        <w:t>)</w:t>
      </w:r>
      <w:r w:rsidR="000159A6">
        <w:t xml:space="preserve"> </w:t>
      </w:r>
      <w:r w:rsidRPr="005C0A6F">
        <w:t>unadjusted</w:t>
      </w:r>
      <w:r w:rsidR="000159A6">
        <w:t xml:space="preserve"> </w:t>
      </w:r>
      <w:r w:rsidRPr="005C0A6F">
        <w:t>p</w:t>
      </w:r>
      <w:r w:rsidR="000159A6">
        <w:t xml:space="preserve"> </w:t>
      </w:r>
      <w:r w:rsidRPr="005C0A6F">
        <w:t>=</w:t>
      </w:r>
      <w:r w:rsidR="000159A6">
        <w:t xml:space="preserve"> </w:t>
      </w:r>
      <w:r w:rsidRPr="005C0A6F">
        <w:t>0.316)</w:t>
      </w:r>
      <w:r w:rsidR="000159A6">
        <w:t xml:space="preserve"> </w:t>
      </w:r>
      <w:r w:rsidRPr="005C0A6F">
        <w:t>and</w:t>
      </w:r>
      <w:r w:rsidR="000159A6">
        <w:t xml:space="preserve"> </w:t>
      </w:r>
      <w:r w:rsidRPr="005C0A6F">
        <w:t>there</w:t>
      </w:r>
      <w:r w:rsidR="000159A6">
        <w:t xml:space="preserve"> </w:t>
      </w:r>
      <w:r w:rsidRPr="005C0A6F">
        <w:t>were</w:t>
      </w:r>
      <w:r w:rsidR="000159A6">
        <w:t xml:space="preserve"> </w:t>
      </w:r>
      <w:r w:rsidRPr="005C0A6F">
        <w:t>no</w:t>
      </w:r>
      <w:r w:rsidR="000159A6">
        <w:t xml:space="preserve"> </w:t>
      </w:r>
      <w:r w:rsidRPr="005C0A6F">
        <w:t>evident</w:t>
      </w:r>
      <w:r w:rsidR="000159A6">
        <w:t xml:space="preserve"> </w:t>
      </w:r>
      <w:r w:rsidRPr="005C0A6F">
        <w:t>safety</w:t>
      </w:r>
      <w:r w:rsidR="000159A6">
        <w:t xml:space="preserve"> </w:t>
      </w:r>
      <w:r w:rsidRPr="005C0A6F">
        <w:t>signals.</w:t>
      </w:r>
      <w:r w:rsidR="000159A6">
        <w:t xml:space="preserve"> </w:t>
      </w:r>
      <w:r w:rsidRPr="005C0A6F">
        <w:t>Rates</w:t>
      </w:r>
      <w:r w:rsidR="000159A6">
        <w:t xml:space="preserve"> </w:t>
      </w:r>
      <w:r w:rsidRPr="005C0A6F">
        <w:t>were</w:t>
      </w:r>
      <w:r w:rsidR="000159A6">
        <w:t xml:space="preserve"> </w:t>
      </w:r>
      <w:r w:rsidRPr="005C0A6F">
        <w:t>similar</w:t>
      </w:r>
      <w:r w:rsidR="000159A6">
        <w:t xml:space="preserve"> </w:t>
      </w:r>
      <w:r w:rsidRPr="005C0A6F">
        <w:t>between</w:t>
      </w:r>
      <w:r w:rsidR="000159A6">
        <w:t xml:space="preserve"> </w:t>
      </w:r>
      <w:r w:rsidRPr="005C0A6F">
        <w:t>treatment</w:t>
      </w:r>
      <w:r w:rsidR="000159A6">
        <w:t xml:space="preserve"> </w:t>
      </w:r>
      <w:r w:rsidRPr="005C0A6F">
        <w:t>groups</w:t>
      </w:r>
      <w:r w:rsidR="000159A6">
        <w:t xml:space="preserve"> </w:t>
      </w:r>
      <w:r w:rsidRPr="005C0A6F">
        <w:t>in</w:t>
      </w:r>
      <w:r w:rsidR="000159A6">
        <w:t xml:space="preserve"> </w:t>
      </w:r>
      <w:r w:rsidRPr="005C0A6F">
        <w:t>the</w:t>
      </w:r>
      <w:r w:rsidR="000159A6">
        <w:t xml:space="preserve"> </w:t>
      </w:r>
      <w:r w:rsidRPr="005C0A6F">
        <w:t>two</w:t>
      </w:r>
      <w:r w:rsidR="000159A6">
        <w:t xml:space="preserve"> </w:t>
      </w:r>
      <w:r w:rsidRPr="005C0A6F">
        <w:t>main</w:t>
      </w:r>
      <w:r w:rsidR="000159A6">
        <w:t xml:space="preserve"> </w:t>
      </w:r>
      <w:r w:rsidRPr="005C0A6F">
        <w:t>age</w:t>
      </w:r>
      <w:r w:rsidR="000159A6">
        <w:t xml:space="preserve"> </w:t>
      </w:r>
      <w:r w:rsidRPr="005C0A6F">
        <w:t>groups.</w:t>
      </w:r>
    </w:p>
    <w:p w14:paraId="5542B49E" w14:textId="6DFBB3E6" w:rsidR="00FF12AA" w:rsidRDefault="005C0A6F" w:rsidP="00440509">
      <w:r w:rsidRPr="005C0A6F">
        <w:t>In</w:t>
      </w:r>
      <w:r w:rsidR="000159A6">
        <w:t xml:space="preserve"> </w:t>
      </w:r>
      <w:r w:rsidRPr="005C0A6F">
        <w:t>the</w:t>
      </w:r>
      <w:r w:rsidR="000159A6">
        <w:t xml:space="preserve"> </w:t>
      </w:r>
      <w:r w:rsidRPr="005C0A6F">
        <w:t>briefing</w:t>
      </w:r>
      <w:r w:rsidR="000159A6">
        <w:t xml:space="preserve"> </w:t>
      </w:r>
      <w:r w:rsidRPr="005C0A6F">
        <w:t>document</w:t>
      </w:r>
      <w:r w:rsidR="000159A6">
        <w:t xml:space="preserve"> </w:t>
      </w:r>
      <w:r w:rsidRPr="005C0A6F">
        <w:t>to</w:t>
      </w:r>
      <w:r w:rsidR="000159A6">
        <w:t xml:space="preserve"> </w:t>
      </w:r>
      <w:r w:rsidRPr="005C0A6F">
        <w:t>the</w:t>
      </w:r>
      <w:r w:rsidR="000159A6">
        <w:t xml:space="preserve"> </w:t>
      </w:r>
      <w:r w:rsidRPr="005C0A6F">
        <w:t>Vaccines</w:t>
      </w:r>
      <w:r w:rsidR="000159A6">
        <w:t xml:space="preserve"> </w:t>
      </w:r>
      <w:r w:rsidRPr="005C0A6F">
        <w:t>and</w:t>
      </w:r>
      <w:r w:rsidR="000159A6">
        <w:t xml:space="preserve"> </w:t>
      </w:r>
      <w:r w:rsidRPr="005C0A6F">
        <w:t>Related</w:t>
      </w:r>
      <w:r w:rsidR="000159A6">
        <w:t xml:space="preserve"> </w:t>
      </w:r>
      <w:r w:rsidRPr="005C0A6F">
        <w:t>Products</w:t>
      </w:r>
      <w:r w:rsidR="000159A6">
        <w:t xml:space="preserve"> </w:t>
      </w:r>
      <w:r w:rsidRPr="005C0A6F">
        <w:t>Advisory</w:t>
      </w:r>
      <w:r w:rsidR="000159A6">
        <w:t xml:space="preserve"> </w:t>
      </w:r>
      <w:r w:rsidRPr="005C0A6F">
        <w:t>Committee</w:t>
      </w:r>
      <w:r w:rsidR="000159A6">
        <w:t xml:space="preserve"> </w:t>
      </w:r>
      <w:r w:rsidRPr="005C0A6F">
        <w:t>of</w:t>
      </w:r>
      <w:r w:rsidR="000159A6">
        <w:t xml:space="preserve"> </w:t>
      </w:r>
      <w:r w:rsidRPr="005C0A6F">
        <w:t>the</w:t>
      </w:r>
      <w:r w:rsidR="000159A6">
        <w:t xml:space="preserve"> </w:t>
      </w:r>
      <w:r w:rsidRPr="005C0A6F">
        <w:t>FDA</w:t>
      </w:r>
      <w:r w:rsidR="000159A6">
        <w:t xml:space="preserve"> </w:t>
      </w:r>
      <w:r w:rsidRPr="005C0A6F">
        <w:t>(13</w:t>
      </w:r>
      <w:r w:rsidR="000159A6">
        <w:t xml:space="preserve"> </w:t>
      </w:r>
      <w:r w:rsidRPr="005C0A6F">
        <w:t>September</w:t>
      </w:r>
      <w:r w:rsidR="000159A6">
        <w:t xml:space="preserve"> </w:t>
      </w:r>
      <w:r w:rsidRPr="005C0A6F">
        <w:t>2017</w:t>
      </w:r>
      <w:r w:rsidR="000159A6">
        <w:t xml:space="preserve"> </w:t>
      </w:r>
      <w:r w:rsidRPr="005C0A6F">
        <w:t>meeting)</w:t>
      </w:r>
      <w:r w:rsidR="000159A6">
        <w:t xml:space="preserve"> </w:t>
      </w:r>
      <w:r w:rsidRPr="005C0A6F">
        <w:t>imbalances</w:t>
      </w:r>
      <w:r w:rsidR="000159A6">
        <w:t xml:space="preserve"> </w:t>
      </w:r>
      <w:r w:rsidRPr="005C0A6F">
        <w:t>in</w:t>
      </w:r>
      <w:r w:rsidR="000159A6">
        <w:t xml:space="preserve"> </w:t>
      </w:r>
      <w:r w:rsidRPr="005C0A6F">
        <w:t>a</w:t>
      </w:r>
      <w:r w:rsidR="000159A6">
        <w:t xml:space="preserve"> </w:t>
      </w:r>
      <w:r w:rsidRPr="005C0A6F">
        <w:t>number</w:t>
      </w:r>
      <w:r w:rsidR="000159A6">
        <w:t xml:space="preserve"> </w:t>
      </w:r>
      <w:r w:rsidRPr="005C0A6F">
        <w:t>of</w:t>
      </w:r>
      <w:r w:rsidR="000159A6">
        <w:t xml:space="preserve"> </w:t>
      </w:r>
      <w:r w:rsidRPr="005C0A6F">
        <w:t>conditions</w:t>
      </w:r>
      <w:r w:rsidR="000159A6">
        <w:t xml:space="preserve"> </w:t>
      </w:r>
      <w:r w:rsidRPr="005C0A6F">
        <w:t>were</w:t>
      </w:r>
      <w:r w:rsidR="000159A6">
        <w:t xml:space="preserve"> </w:t>
      </w:r>
      <w:r w:rsidRPr="005C0A6F">
        <w:t>noted</w:t>
      </w:r>
      <w:r w:rsidR="000159A6">
        <w:t xml:space="preserve"> </w:t>
      </w:r>
      <w:r w:rsidRPr="005C0A6F">
        <w:t>including</w:t>
      </w:r>
      <w:r w:rsidR="000159A6">
        <w:t xml:space="preserve"> </w:t>
      </w:r>
      <w:r w:rsidRPr="005C0A6F">
        <w:t>optic</w:t>
      </w:r>
      <w:r w:rsidR="000159A6">
        <w:t xml:space="preserve"> </w:t>
      </w:r>
      <w:r w:rsidRPr="005C0A6F">
        <w:t>ischaemic</w:t>
      </w:r>
      <w:r w:rsidR="000159A6">
        <w:t xml:space="preserve"> </w:t>
      </w:r>
      <w:r w:rsidRPr="005C0A6F">
        <w:t>neuropathy,</w:t>
      </w:r>
      <w:r w:rsidR="000159A6">
        <w:t xml:space="preserve"> </w:t>
      </w:r>
      <w:r w:rsidRPr="005C0A6F">
        <w:t>temporal</w:t>
      </w:r>
      <w:r w:rsidR="000159A6">
        <w:t xml:space="preserve"> </w:t>
      </w:r>
      <w:r w:rsidRPr="005C0A6F">
        <w:t>arteritis,</w:t>
      </w:r>
      <w:r w:rsidR="000159A6">
        <w:t xml:space="preserve"> </w:t>
      </w:r>
      <w:r w:rsidRPr="005C0A6F">
        <w:t>amyotrophic</w:t>
      </w:r>
      <w:r w:rsidR="000159A6">
        <w:t xml:space="preserve"> </w:t>
      </w:r>
      <w:r w:rsidRPr="005C0A6F">
        <w:t>lateral</w:t>
      </w:r>
      <w:r w:rsidR="000159A6">
        <w:t xml:space="preserve"> </w:t>
      </w:r>
      <w:r w:rsidRPr="005C0A6F">
        <w:t>sclerosis,</w:t>
      </w:r>
      <w:r w:rsidR="000159A6">
        <w:t xml:space="preserve"> </w:t>
      </w:r>
      <w:r w:rsidRPr="005C0A6F">
        <w:t>osteonecrosis</w:t>
      </w:r>
      <w:r w:rsidR="000159A6">
        <w:t xml:space="preserve"> </w:t>
      </w:r>
      <w:r w:rsidRPr="005C0A6F">
        <w:t>and</w:t>
      </w:r>
      <w:r w:rsidR="000159A6">
        <w:t xml:space="preserve"> </w:t>
      </w:r>
      <w:r w:rsidRPr="005C0A6F">
        <w:t>convulsions.</w:t>
      </w:r>
      <w:r w:rsidR="000159A6">
        <w:t xml:space="preserve"> </w:t>
      </w:r>
      <w:r w:rsidRPr="005C0A6F">
        <w:t>It</w:t>
      </w:r>
      <w:r w:rsidR="000159A6">
        <w:t xml:space="preserve"> </w:t>
      </w:r>
      <w:r w:rsidRPr="005C0A6F">
        <w:t>was</w:t>
      </w:r>
      <w:r w:rsidR="000159A6">
        <w:t xml:space="preserve"> </w:t>
      </w:r>
      <w:r w:rsidRPr="005C0A6F">
        <w:t>also</w:t>
      </w:r>
      <w:r w:rsidR="000159A6">
        <w:t xml:space="preserve"> </w:t>
      </w:r>
      <w:r w:rsidRPr="005C0A6F">
        <w:t>noted</w:t>
      </w:r>
      <w:r w:rsidR="000159A6">
        <w:t xml:space="preserve"> </w:t>
      </w:r>
      <w:r w:rsidRPr="005C0A6F">
        <w:t>in</w:t>
      </w:r>
      <w:r w:rsidR="000159A6">
        <w:t xml:space="preserve"> </w:t>
      </w:r>
      <w:r w:rsidRPr="005C0A6F">
        <w:t>the</w:t>
      </w:r>
      <w:r w:rsidR="000159A6">
        <w:t xml:space="preserve"> </w:t>
      </w:r>
      <w:r w:rsidRPr="005C0A6F">
        <w:t>EU</w:t>
      </w:r>
      <w:r w:rsidR="000159A6">
        <w:t xml:space="preserve"> </w:t>
      </w:r>
      <w:r w:rsidRPr="005C0A6F">
        <w:t>regulatory</w:t>
      </w:r>
      <w:r w:rsidR="000159A6">
        <w:t xml:space="preserve"> </w:t>
      </w:r>
      <w:r w:rsidRPr="005C0A6F">
        <w:t>evaluation</w:t>
      </w:r>
      <w:r w:rsidR="000159A6">
        <w:t xml:space="preserve"> </w:t>
      </w:r>
      <w:r w:rsidRPr="005C0A6F">
        <w:t>that</w:t>
      </w:r>
      <w:r w:rsidR="000159A6">
        <w:t xml:space="preserve"> </w:t>
      </w:r>
      <w:r w:rsidRPr="005C0A6F">
        <w:t>the</w:t>
      </w:r>
      <w:r w:rsidR="000159A6">
        <w:t xml:space="preserve"> </w:t>
      </w:r>
      <w:r w:rsidRPr="005C0A6F">
        <w:t>sponsor</w:t>
      </w:r>
      <w:r w:rsidR="000159A6">
        <w:t xml:space="preserve"> </w:t>
      </w:r>
      <w:r w:rsidRPr="005C0A6F">
        <w:t>has</w:t>
      </w:r>
      <w:r w:rsidR="000159A6">
        <w:t xml:space="preserve"> </w:t>
      </w:r>
      <w:r w:rsidRPr="005C0A6F">
        <w:t>been</w:t>
      </w:r>
      <w:r w:rsidR="000159A6">
        <w:t xml:space="preserve"> </w:t>
      </w:r>
      <w:r w:rsidRPr="005C0A6F">
        <w:t>asked</w:t>
      </w:r>
      <w:r w:rsidR="000159A6">
        <w:t xml:space="preserve"> </w:t>
      </w:r>
      <w:r w:rsidRPr="005C0A6F">
        <w:t>to</w:t>
      </w:r>
      <w:r w:rsidR="000159A6">
        <w:t xml:space="preserve"> </w:t>
      </w:r>
      <w:r w:rsidRPr="005C0A6F">
        <w:t>comment</w:t>
      </w:r>
      <w:r w:rsidR="000159A6">
        <w:t xml:space="preserve"> </w:t>
      </w:r>
      <w:r w:rsidRPr="005C0A6F">
        <w:t>on</w:t>
      </w:r>
      <w:r w:rsidR="000159A6">
        <w:t xml:space="preserve"> </w:t>
      </w:r>
      <w:r w:rsidRPr="005C0A6F">
        <w:t>whether</w:t>
      </w:r>
      <w:r w:rsidR="000159A6">
        <w:t xml:space="preserve"> </w:t>
      </w:r>
      <w:r w:rsidRPr="005C0A6F">
        <w:t>the</w:t>
      </w:r>
      <w:r w:rsidR="000159A6">
        <w:t xml:space="preserve"> </w:t>
      </w:r>
      <w:r w:rsidRPr="005C0A6F">
        <w:t>adjuvanted</w:t>
      </w:r>
      <w:r w:rsidR="000159A6">
        <w:t xml:space="preserve"> </w:t>
      </w:r>
      <w:r w:rsidRPr="005C0A6F">
        <w:t>vaccine</w:t>
      </w:r>
      <w:r w:rsidR="000159A6">
        <w:t xml:space="preserve"> </w:t>
      </w:r>
      <w:r w:rsidRPr="005C0A6F">
        <w:t>has</w:t>
      </w:r>
      <w:r w:rsidR="000159A6">
        <w:t xml:space="preserve"> </w:t>
      </w:r>
      <w:r w:rsidRPr="005C0A6F">
        <w:t>shown</w:t>
      </w:r>
      <w:r w:rsidR="000159A6">
        <w:t xml:space="preserve"> </w:t>
      </w:r>
      <w:r w:rsidRPr="005C0A6F">
        <w:t>any</w:t>
      </w:r>
      <w:r w:rsidR="000159A6">
        <w:t xml:space="preserve"> </w:t>
      </w:r>
      <w:r w:rsidRPr="005C0A6F">
        <w:t>evidence</w:t>
      </w:r>
      <w:r w:rsidR="000159A6">
        <w:t xml:space="preserve"> </w:t>
      </w:r>
      <w:r w:rsidRPr="005C0A6F">
        <w:t>of</w:t>
      </w:r>
      <w:r w:rsidR="000159A6">
        <w:t xml:space="preserve"> </w:t>
      </w:r>
      <w:r w:rsidRPr="005C0A6F">
        <w:t>impact</w:t>
      </w:r>
      <w:r w:rsidR="000159A6">
        <w:t xml:space="preserve"> </w:t>
      </w:r>
      <w:r w:rsidRPr="005C0A6F">
        <w:t>on</w:t>
      </w:r>
      <w:r w:rsidR="000159A6">
        <w:t xml:space="preserve"> </w:t>
      </w:r>
      <w:r w:rsidRPr="005C0A6F">
        <w:t>the</w:t>
      </w:r>
      <w:r w:rsidR="000159A6">
        <w:t xml:space="preserve"> </w:t>
      </w:r>
      <w:r w:rsidRPr="005C0A6F">
        <w:t>immune</w:t>
      </w:r>
      <w:r w:rsidR="000159A6">
        <w:t xml:space="preserve"> </w:t>
      </w:r>
      <w:r w:rsidRPr="005C0A6F">
        <w:t>system</w:t>
      </w:r>
      <w:r w:rsidR="000159A6">
        <w:t xml:space="preserve"> </w:t>
      </w:r>
      <w:r w:rsidRPr="005C0A6F">
        <w:t>that</w:t>
      </w:r>
      <w:r w:rsidR="000159A6">
        <w:t xml:space="preserve"> </w:t>
      </w:r>
      <w:r w:rsidRPr="005C0A6F">
        <w:t>may</w:t>
      </w:r>
      <w:r w:rsidR="000159A6">
        <w:t xml:space="preserve"> </w:t>
      </w:r>
      <w:r w:rsidRPr="005C0A6F">
        <w:t>increase</w:t>
      </w:r>
      <w:r w:rsidR="000159A6">
        <w:t xml:space="preserve"> </w:t>
      </w:r>
      <w:r w:rsidRPr="005C0A6F">
        <w:t>the</w:t>
      </w:r>
      <w:r w:rsidR="000159A6">
        <w:t xml:space="preserve"> </w:t>
      </w:r>
      <w:r w:rsidRPr="005C0A6F">
        <w:t>risk</w:t>
      </w:r>
      <w:r w:rsidR="000159A6">
        <w:t xml:space="preserve"> </w:t>
      </w:r>
      <w:r w:rsidRPr="005C0A6F">
        <w:t>of</w:t>
      </w:r>
      <w:r w:rsidR="000159A6">
        <w:t xml:space="preserve"> </w:t>
      </w:r>
      <w:r w:rsidRPr="005C0A6F">
        <w:t>infections</w:t>
      </w:r>
      <w:r w:rsidR="000159A6">
        <w:t xml:space="preserve"> </w:t>
      </w:r>
      <w:r w:rsidRPr="005C0A6F">
        <w:t>or</w:t>
      </w:r>
      <w:r w:rsidR="000159A6">
        <w:t xml:space="preserve"> </w:t>
      </w:r>
      <w:r w:rsidRPr="005C0A6F">
        <w:t>malignancy.</w:t>
      </w:r>
      <w:r w:rsidR="000159A6">
        <w:t xml:space="preserve"> </w:t>
      </w:r>
      <w:r w:rsidRPr="005C0A6F">
        <w:t>Apart</w:t>
      </w:r>
      <w:r w:rsidR="000159A6">
        <w:t xml:space="preserve"> </w:t>
      </w:r>
      <w:r w:rsidRPr="005C0A6F">
        <w:t>from</w:t>
      </w:r>
      <w:r w:rsidR="000159A6">
        <w:t xml:space="preserve"> </w:t>
      </w:r>
      <w:r w:rsidRPr="005C0A6F">
        <w:t>the</w:t>
      </w:r>
      <w:r w:rsidR="000159A6">
        <w:t xml:space="preserve"> </w:t>
      </w:r>
      <w:r w:rsidRPr="005C0A6F">
        <w:t>finding</w:t>
      </w:r>
      <w:r w:rsidR="000159A6">
        <w:t xml:space="preserve"> </w:t>
      </w:r>
      <w:r w:rsidRPr="005C0A6F">
        <w:t>on</w:t>
      </w:r>
      <w:r w:rsidR="000159A6">
        <w:t xml:space="preserve"> </w:t>
      </w:r>
      <w:r w:rsidRPr="005C0A6F">
        <w:t>ovarian</w:t>
      </w:r>
      <w:r w:rsidR="000159A6">
        <w:t xml:space="preserve"> </w:t>
      </w:r>
      <w:r w:rsidRPr="005C0A6F">
        <w:t>cancer</w:t>
      </w:r>
      <w:r w:rsidR="000159A6">
        <w:t xml:space="preserve"> </w:t>
      </w:r>
      <w:r w:rsidRPr="005C0A6F">
        <w:t>(0.05%</w:t>
      </w:r>
      <w:r w:rsidR="000159A6">
        <w:t xml:space="preserve"> </w:t>
      </w:r>
      <w:r w:rsidR="008D4538">
        <w:t>versus</w:t>
      </w:r>
      <w:r w:rsidR="000159A6">
        <w:t xml:space="preserve"> </w:t>
      </w:r>
      <w:r w:rsidRPr="005C0A6F">
        <w:t>0%),</w:t>
      </w:r>
      <w:r w:rsidR="000159A6">
        <w:t xml:space="preserve"> </w:t>
      </w:r>
      <w:r w:rsidRPr="005C0A6F">
        <w:t>there</w:t>
      </w:r>
      <w:r w:rsidR="000159A6">
        <w:t xml:space="preserve"> </w:t>
      </w:r>
      <w:r w:rsidRPr="005C0A6F">
        <w:t>were</w:t>
      </w:r>
      <w:r w:rsidR="000159A6">
        <w:t xml:space="preserve"> </w:t>
      </w:r>
      <w:r w:rsidRPr="005C0A6F">
        <w:t>no</w:t>
      </w:r>
      <w:r w:rsidR="000159A6">
        <w:t xml:space="preserve"> </w:t>
      </w:r>
      <w:r w:rsidRPr="005C0A6F">
        <w:t>evident</w:t>
      </w:r>
      <w:r w:rsidR="000159A6">
        <w:t xml:space="preserve"> </w:t>
      </w:r>
      <w:r w:rsidRPr="005C0A6F">
        <w:t>signals</w:t>
      </w:r>
      <w:r w:rsidR="000159A6">
        <w:t xml:space="preserve"> </w:t>
      </w:r>
      <w:r w:rsidRPr="005C0A6F">
        <w:t>on</w:t>
      </w:r>
      <w:r w:rsidR="000159A6">
        <w:t xml:space="preserve"> </w:t>
      </w:r>
      <w:r w:rsidRPr="005C0A6F">
        <w:t>SAE</w:t>
      </w:r>
      <w:r w:rsidR="000159A6">
        <w:t xml:space="preserve"> </w:t>
      </w:r>
      <w:r w:rsidRPr="005C0A6F">
        <w:t>rates</w:t>
      </w:r>
      <w:r w:rsidR="00FF12AA">
        <w:t>.</w:t>
      </w:r>
    </w:p>
    <w:p w14:paraId="55B1F950" w14:textId="6FEF4BB7" w:rsidR="00FF12AA" w:rsidRDefault="000E5290" w:rsidP="005C0A6F">
      <w:r>
        <w:t>Fatal</w:t>
      </w:r>
      <w:r w:rsidR="000159A6">
        <w:t xml:space="preserve"> </w:t>
      </w:r>
      <w:r>
        <w:t>SAEs</w:t>
      </w:r>
      <w:r w:rsidR="000159A6">
        <w:t xml:space="preserve"> </w:t>
      </w:r>
      <w:r w:rsidR="005C0A6F" w:rsidRPr="005C0A6F">
        <w:t>in</w:t>
      </w:r>
      <w:r w:rsidR="000159A6">
        <w:t xml:space="preserve"> </w:t>
      </w:r>
      <w:r w:rsidR="005C0A6F" w:rsidRPr="005C0A6F">
        <w:t>the</w:t>
      </w:r>
      <w:r w:rsidR="000159A6">
        <w:t xml:space="preserve"> </w:t>
      </w:r>
      <w:r w:rsidR="005C0A6F" w:rsidRPr="005C0A6F">
        <w:t>study</w:t>
      </w:r>
      <w:r w:rsidR="000159A6">
        <w:t xml:space="preserve"> </w:t>
      </w:r>
      <w:r w:rsidR="005C0A6F" w:rsidRPr="005C0A6F">
        <w:t>was</w:t>
      </w:r>
      <w:r w:rsidR="000159A6">
        <w:t xml:space="preserve"> </w:t>
      </w:r>
      <w:r w:rsidR="005C0A6F" w:rsidRPr="005C0A6F">
        <w:t>comparable</w:t>
      </w:r>
      <w:r w:rsidR="000159A6">
        <w:t xml:space="preserve"> </w:t>
      </w:r>
      <w:r w:rsidR="005C0A6F" w:rsidRPr="005C0A6F">
        <w:t>between</w:t>
      </w:r>
      <w:r w:rsidR="000159A6">
        <w:t xml:space="preserve"> </w:t>
      </w:r>
      <w:r w:rsidR="005C0A6F" w:rsidRPr="005C0A6F">
        <w:t>HZ/</w:t>
      </w:r>
      <w:proofErr w:type="spellStart"/>
      <w:r w:rsidR="005C0A6F" w:rsidRPr="005C0A6F">
        <w:t>su</w:t>
      </w:r>
      <w:proofErr w:type="spellEnd"/>
      <w:r w:rsidR="000159A6">
        <w:t xml:space="preserve"> </w:t>
      </w:r>
      <w:r w:rsidR="005C0A6F" w:rsidRPr="005C0A6F">
        <w:t>and</w:t>
      </w:r>
      <w:r w:rsidR="000159A6">
        <w:t xml:space="preserve"> </w:t>
      </w:r>
      <w:r w:rsidR="005C0A6F" w:rsidRPr="005C0A6F">
        <w:t>placebo</w:t>
      </w:r>
      <w:r w:rsidR="000159A6">
        <w:t xml:space="preserve"> </w:t>
      </w:r>
      <w:r w:rsidR="005C0A6F" w:rsidRPr="005C0A6F">
        <w:t>groups</w:t>
      </w:r>
      <w:r w:rsidR="000159A6">
        <w:t xml:space="preserve"> </w:t>
      </w:r>
      <w:r w:rsidR="005C0A6F" w:rsidRPr="005C0A6F">
        <w:t>(4.3%</w:t>
      </w:r>
      <w:r w:rsidR="000159A6">
        <w:t xml:space="preserve"> </w:t>
      </w:r>
      <w:r w:rsidR="008D4538">
        <w:t>versus</w:t>
      </w:r>
      <w:r w:rsidR="000159A6">
        <w:t xml:space="preserve"> </w:t>
      </w:r>
      <w:r w:rsidR="005C0A6F" w:rsidRPr="005C0A6F">
        <w:t>4.6%)</w:t>
      </w:r>
      <w:r w:rsidR="000159A6">
        <w:t xml:space="preserve"> </w:t>
      </w:r>
      <w:r w:rsidR="005C0A6F" w:rsidRPr="005C0A6F">
        <w:t>and</w:t>
      </w:r>
      <w:r w:rsidR="000159A6">
        <w:t xml:space="preserve"> </w:t>
      </w:r>
      <w:r w:rsidR="005C0A6F" w:rsidRPr="005C0A6F">
        <w:t>rates</w:t>
      </w:r>
      <w:r w:rsidR="000159A6">
        <w:t xml:space="preserve"> </w:t>
      </w:r>
      <w:r w:rsidR="005C0A6F" w:rsidRPr="005C0A6F">
        <w:t>were</w:t>
      </w:r>
      <w:r w:rsidR="000159A6">
        <w:t xml:space="preserve"> </w:t>
      </w:r>
      <w:r w:rsidR="005C0A6F" w:rsidRPr="005C0A6F">
        <w:t>also</w:t>
      </w:r>
      <w:r w:rsidR="000159A6">
        <w:t xml:space="preserve"> </w:t>
      </w:r>
      <w:r w:rsidR="005C0A6F" w:rsidRPr="005C0A6F">
        <w:t>similar</w:t>
      </w:r>
      <w:r w:rsidR="000159A6">
        <w:t xml:space="preserve"> </w:t>
      </w:r>
      <w:r w:rsidR="005C0A6F" w:rsidRPr="005C0A6F">
        <w:t>in</w:t>
      </w:r>
      <w:r w:rsidR="000159A6">
        <w:t xml:space="preserve"> </w:t>
      </w:r>
      <w:r w:rsidR="005C0A6F" w:rsidRPr="005C0A6F">
        <w:t>the</w:t>
      </w:r>
      <w:r w:rsidR="000159A6">
        <w:t xml:space="preserve"> </w:t>
      </w:r>
      <w:r w:rsidR="005C0A6F" w:rsidRPr="005C0A6F">
        <w:t>two</w:t>
      </w:r>
      <w:r w:rsidR="000159A6">
        <w:t xml:space="preserve"> </w:t>
      </w:r>
      <w:r w:rsidR="005C0A6F" w:rsidRPr="005C0A6F">
        <w:t>age</w:t>
      </w:r>
      <w:r w:rsidR="000159A6">
        <w:t xml:space="preserve"> </w:t>
      </w:r>
      <w:r w:rsidR="005C0A6F" w:rsidRPr="005C0A6F">
        <w:t>groups</w:t>
      </w:r>
      <w:r w:rsidR="000159A6">
        <w:t xml:space="preserve"> </w:t>
      </w:r>
      <w:r w:rsidR="005C0A6F" w:rsidRPr="005C0A6F">
        <w:t>(</w:t>
      </w:r>
      <w:r w:rsidR="004715B4">
        <w:t>50</w:t>
      </w:r>
      <w:r w:rsidR="000159A6">
        <w:t xml:space="preserve"> </w:t>
      </w:r>
      <w:r w:rsidR="004715B4">
        <w:t>to</w:t>
      </w:r>
      <w:r w:rsidR="000159A6">
        <w:t xml:space="preserve"> </w:t>
      </w:r>
      <w:r w:rsidR="004715B4">
        <w:t>69</w:t>
      </w:r>
      <w:r w:rsidR="000159A6">
        <w:t xml:space="preserve"> </w:t>
      </w:r>
      <w:r w:rsidR="005C0A6F" w:rsidRPr="005C0A6F">
        <w:t>and</w:t>
      </w:r>
      <w:r w:rsidR="000159A6">
        <w:t xml:space="preserve"> </w:t>
      </w:r>
      <w:r w:rsidR="0037169B">
        <w:t>≥</w:t>
      </w:r>
      <w:r w:rsidR="000159A6">
        <w:t xml:space="preserve"> </w:t>
      </w:r>
      <w:r w:rsidR="005C0A6F" w:rsidRPr="005C0A6F">
        <w:t>70</w:t>
      </w:r>
      <w:r w:rsidR="000159A6">
        <w:t xml:space="preserve"> </w:t>
      </w:r>
      <w:r w:rsidR="004715B4">
        <w:t>years</w:t>
      </w:r>
      <w:r w:rsidR="000159A6">
        <w:t xml:space="preserve"> </w:t>
      </w:r>
      <w:r w:rsidR="004715B4">
        <w:t>of</w:t>
      </w:r>
      <w:r w:rsidR="000159A6">
        <w:t xml:space="preserve"> </w:t>
      </w:r>
      <w:r w:rsidR="004715B4">
        <w:t>age</w:t>
      </w:r>
      <w:r w:rsidR="005C0A6F" w:rsidRPr="005C0A6F">
        <w:t>).</w:t>
      </w:r>
      <w:r w:rsidR="000159A6">
        <w:t xml:space="preserve"> </w:t>
      </w:r>
      <w:r w:rsidR="005C0A6F" w:rsidRPr="005C0A6F">
        <w:t>Only</w:t>
      </w:r>
      <w:r w:rsidR="000159A6">
        <w:t xml:space="preserve"> </w:t>
      </w:r>
      <w:r w:rsidR="005C0A6F" w:rsidRPr="005C0A6F">
        <w:t>one</w:t>
      </w:r>
      <w:r w:rsidR="000159A6">
        <w:t xml:space="preserve"> </w:t>
      </w:r>
      <w:r w:rsidR="005C0A6F" w:rsidRPr="005C0A6F">
        <w:t>death</w:t>
      </w:r>
      <w:r w:rsidR="000159A6">
        <w:t xml:space="preserve"> </w:t>
      </w:r>
      <w:r w:rsidR="005C0A6F" w:rsidRPr="005C0A6F">
        <w:t>was</w:t>
      </w:r>
      <w:r w:rsidR="000159A6">
        <w:t xml:space="preserve"> </w:t>
      </w:r>
      <w:r w:rsidR="005C0A6F" w:rsidRPr="005C0A6F">
        <w:t>deemed</w:t>
      </w:r>
      <w:r w:rsidR="000159A6">
        <w:t xml:space="preserve"> </w:t>
      </w:r>
      <w:r w:rsidR="004715B4">
        <w:t>treatment</w:t>
      </w:r>
      <w:r w:rsidR="000159A6">
        <w:t xml:space="preserve"> </w:t>
      </w:r>
      <w:r w:rsidR="004715B4">
        <w:t>related</w:t>
      </w:r>
      <w:r w:rsidR="000159A6">
        <w:t xml:space="preserve"> </w:t>
      </w:r>
      <w:r w:rsidR="005C0A6F" w:rsidRPr="005C0A6F">
        <w:t>by</w:t>
      </w:r>
      <w:r w:rsidR="000159A6">
        <w:t xml:space="preserve"> </w:t>
      </w:r>
      <w:r w:rsidR="005C0A6F" w:rsidRPr="005C0A6F">
        <w:t>an</w:t>
      </w:r>
      <w:r w:rsidR="000159A6">
        <w:t xml:space="preserve"> </w:t>
      </w:r>
      <w:r w:rsidR="005C0A6F" w:rsidRPr="005C0A6F">
        <w:t>investigator</w:t>
      </w:r>
      <w:r w:rsidR="000159A6">
        <w:t xml:space="preserve"> </w:t>
      </w:r>
      <w:r w:rsidR="005C0A6F" w:rsidRPr="005C0A6F">
        <w:t>(</w:t>
      </w:r>
      <w:proofErr w:type="spellStart"/>
      <w:r w:rsidR="005C0A6F" w:rsidRPr="005C0A6F">
        <w:t>neutrop</w:t>
      </w:r>
      <w:r w:rsidR="005B2FA5">
        <w:t>a</w:t>
      </w:r>
      <w:r w:rsidR="005C0A6F" w:rsidRPr="005C0A6F">
        <w:t>enic</w:t>
      </w:r>
      <w:proofErr w:type="spellEnd"/>
      <w:r w:rsidR="000159A6">
        <w:t xml:space="preserve"> </w:t>
      </w:r>
      <w:r w:rsidR="005C0A6F" w:rsidRPr="005C0A6F">
        <w:t>sepsis</w:t>
      </w:r>
      <w:r w:rsidR="000159A6">
        <w:t xml:space="preserve"> </w:t>
      </w:r>
      <w:r w:rsidR="005C0A6F" w:rsidRPr="005C0A6F">
        <w:t>in</w:t>
      </w:r>
      <w:r w:rsidR="000159A6">
        <w:t xml:space="preserve"> </w:t>
      </w:r>
      <w:r w:rsidR="005C0A6F" w:rsidRPr="005C0A6F">
        <w:t>a</w:t>
      </w:r>
      <w:r w:rsidR="000159A6">
        <w:t xml:space="preserve"> </w:t>
      </w:r>
      <w:r w:rsidR="005C0A6F" w:rsidRPr="005C0A6F">
        <w:t>90</w:t>
      </w:r>
      <w:r w:rsidR="000159A6">
        <w:t xml:space="preserve"> </w:t>
      </w:r>
      <w:r w:rsidR="005C0A6F" w:rsidRPr="005C0A6F">
        <w:t>year</w:t>
      </w:r>
      <w:r w:rsidR="000159A6">
        <w:t xml:space="preserve"> </w:t>
      </w:r>
      <w:r w:rsidR="005C0A6F" w:rsidRPr="005C0A6F">
        <w:t>old</w:t>
      </w:r>
      <w:r w:rsidR="000159A6">
        <w:t xml:space="preserve"> </w:t>
      </w:r>
      <w:r w:rsidR="005C0A6F" w:rsidRPr="005C0A6F">
        <w:t>subject</w:t>
      </w:r>
      <w:r w:rsidR="000159A6">
        <w:t xml:space="preserve"> </w:t>
      </w:r>
      <w:r w:rsidR="005C0A6F" w:rsidRPr="005C0A6F">
        <w:t>with</w:t>
      </w:r>
      <w:r w:rsidR="000159A6">
        <w:t xml:space="preserve"> </w:t>
      </w:r>
      <w:r w:rsidR="005C0A6F" w:rsidRPr="005C0A6F">
        <w:t>AML</w:t>
      </w:r>
      <w:r w:rsidR="000159A6">
        <w:t xml:space="preserve"> </w:t>
      </w:r>
      <w:r w:rsidR="005C0A6F" w:rsidRPr="005C0A6F">
        <w:t>diagnosed</w:t>
      </w:r>
      <w:r w:rsidR="000159A6">
        <w:t xml:space="preserve"> </w:t>
      </w:r>
      <w:r w:rsidR="005C0A6F" w:rsidRPr="005C0A6F">
        <w:t>75</w:t>
      </w:r>
      <w:r w:rsidR="000159A6">
        <w:t xml:space="preserve"> </w:t>
      </w:r>
      <w:r w:rsidR="005C0A6F" w:rsidRPr="005C0A6F">
        <w:t>days</w:t>
      </w:r>
      <w:r w:rsidR="000159A6">
        <w:t xml:space="preserve"> </w:t>
      </w:r>
      <w:r w:rsidR="005C0A6F" w:rsidRPr="005C0A6F">
        <w:t>post</w:t>
      </w:r>
      <w:r w:rsidR="000159A6">
        <w:t xml:space="preserve"> </w:t>
      </w:r>
      <w:r w:rsidR="005C0A6F" w:rsidRPr="005C0A6F">
        <w:t>vaccination)</w:t>
      </w:r>
      <w:r w:rsidR="00FF12AA">
        <w:t>.</w:t>
      </w:r>
    </w:p>
    <w:p w14:paraId="43E1B961" w14:textId="56ECEC7E" w:rsidR="005C0A6F" w:rsidRDefault="005C0A6F" w:rsidP="00440509">
      <w:r w:rsidRPr="005C0A6F">
        <w:t>It</w:t>
      </w:r>
      <w:r w:rsidR="000159A6">
        <w:t xml:space="preserve"> </w:t>
      </w:r>
      <w:r w:rsidRPr="005C0A6F">
        <w:t>is</w:t>
      </w:r>
      <w:r w:rsidR="000159A6">
        <w:t xml:space="preserve"> </w:t>
      </w:r>
      <w:r w:rsidRPr="005C0A6F">
        <w:t>also</w:t>
      </w:r>
      <w:r w:rsidR="000159A6">
        <w:t xml:space="preserve"> </w:t>
      </w:r>
      <w:r w:rsidRPr="005C0A6F">
        <w:t>noted</w:t>
      </w:r>
      <w:r w:rsidR="000159A6">
        <w:t xml:space="preserve"> </w:t>
      </w:r>
      <w:r w:rsidRPr="005C0A6F">
        <w:t>that</w:t>
      </w:r>
      <w:r w:rsidR="000159A6">
        <w:t xml:space="preserve"> </w:t>
      </w:r>
      <w:r w:rsidRPr="005C0A6F">
        <w:t>there</w:t>
      </w:r>
      <w:r w:rsidR="000159A6">
        <w:t xml:space="preserve"> </w:t>
      </w:r>
      <w:r w:rsidRPr="005C0A6F">
        <w:t>was</w:t>
      </w:r>
      <w:r w:rsidR="000159A6">
        <w:t xml:space="preserve"> </w:t>
      </w:r>
      <w:r w:rsidRPr="005C0A6F">
        <w:t>an</w:t>
      </w:r>
      <w:r w:rsidR="000159A6">
        <w:t xml:space="preserve"> </w:t>
      </w:r>
      <w:r w:rsidRPr="005C0A6F">
        <w:t>increased</w:t>
      </w:r>
      <w:r w:rsidR="000159A6">
        <w:t xml:space="preserve"> </w:t>
      </w:r>
      <w:r w:rsidRPr="005C0A6F">
        <w:t>risk</w:t>
      </w:r>
      <w:r w:rsidR="000159A6">
        <w:t xml:space="preserve"> </w:t>
      </w:r>
      <w:r w:rsidRPr="005C0A6F">
        <w:t>of</w:t>
      </w:r>
      <w:r w:rsidR="000159A6">
        <w:t xml:space="preserve"> </w:t>
      </w:r>
      <w:r w:rsidRPr="005C0A6F">
        <w:t>arthralgia</w:t>
      </w:r>
      <w:r w:rsidR="000159A6">
        <w:t xml:space="preserve"> </w:t>
      </w:r>
      <w:r w:rsidRPr="005C0A6F">
        <w:t>in</w:t>
      </w:r>
      <w:r w:rsidR="000159A6">
        <w:t xml:space="preserve"> </w:t>
      </w:r>
      <w:r w:rsidRPr="005C0A6F">
        <w:t>the</w:t>
      </w:r>
      <w:r w:rsidR="000159A6">
        <w:t xml:space="preserve"> </w:t>
      </w:r>
      <w:r w:rsidRPr="005C0A6F">
        <w:t>30</w:t>
      </w:r>
      <w:r w:rsidR="000159A6">
        <w:t xml:space="preserve"> </w:t>
      </w:r>
      <w:r w:rsidRPr="005C0A6F">
        <w:t>day</w:t>
      </w:r>
      <w:r w:rsidR="000159A6">
        <w:t xml:space="preserve"> </w:t>
      </w:r>
      <w:r w:rsidRPr="005C0A6F">
        <w:t>post</w:t>
      </w:r>
      <w:r w:rsidR="000159A6">
        <w:t xml:space="preserve"> </w:t>
      </w:r>
      <w:r w:rsidRPr="005C0A6F">
        <w:t>vaccination</w:t>
      </w:r>
      <w:r w:rsidR="000159A6">
        <w:t xml:space="preserve"> </w:t>
      </w:r>
      <w:r w:rsidRPr="005C0A6F">
        <w:t>period</w:t>
      </w:r>
      <w:r w:rsidR="000159A6">
        <w:t xml:space="preserve"> </w:t>
      </w:r>
      <w:r w:rsidRPr="005C0A6F">
        <w:t>(1.72%</w:t>
      </w:r>
      <w:r w:rsidR="000159A6">
        <w:t xml:space="preserve"> </w:t>
      </w:r>
      <w:r w:rsidR="008D4538">
        <w:t>versus</w:t>
      </w:r>
      <w:r w:rsidR="000159A6">
        <w:t xml:space="preserve"> </w:t>
      </w:r>
      <w:r w:rsidRPr="005C0A6F">
        <w:t>1.17%,</w:t>
      </w:r>
      <w:r w:rsidR="000159A6">
        <w:t xml:space="preserve"> </w:t>
      </w:r>
      <w:r w:rsidR="004715B4">
        <w:t>RR</w:t>
      </w:r>
      <w:r w:rsidR="000159A6">
        <w:t xml:space="preserve"> </w:t>
      </w:r>
      <w:r w:rsidR="004715B4">
        <w:t>=</w:t>
      </w:r>
      <w:r w:rsidR="000159A6">
        <w:t xml:space="preserve"> </w:t>
      </w:r>
      <w:r w:rsidR="004715B4">
        <w:t>1.48,</w:t>
      </w:r>
      <w:r w:rsidR="000159A6">
        <w:t xml:space="preserve"> </w:t>
      </w:r>
      <w:r w:rsidR="004715B4">
        <w:t>95%</w:t>
      </w:r>
      <w:r w:rsidR="000159A6">
        <w:t xml:space="preserve"> </w:t>
      </w:r>
      <w:r w:rsidR="004715B4">
        <w:t>CI:</w:t>
      </w:r>
      <w:r w:rsidR="000159A6">
        <w:t xml:space="preserve"> </w:t>
      </w:r>
      <w:r w:rsidR="004715B4">
        <w:t>1.21</w:t>
      </w:r>
      <w:r w:rsidR="000159A6">
        <w:t xml:space="preserve"> </w:t>
      </w:r>
      <w:r w:rsidR="004715B4">
        <w:t>to</w:t>
      </w:r>
      <w:r w:rsidR="000159A6">
        <w:t xml:space="preserve"> </w:t>
      </w:r>
      <w:r w:rsidRPr="005C0A6F">
        <w:t>1.80).</w:t>
      </w:r>
      <w:r w:rsidR="000159A6">
        <w:t xml:space="preserve"> </w:t>
      </w:r>
      <w:r w:rsidRPr="005C0A6F">
        <w:t>There</w:t>
      </w:r>
      <w:r w:rsidR="000159A6">
        <w:t xml:space="preserve"> </w:t>
      </w:r>
      <w:r w:rsidRPr="005C0A6F">
        <w:t>was</w:t>
      </w:r>
      <w:r w:rsidR="000159A6">
        <w:t xml:space="preserve"> </w:t>
      </w:r>
      <w:r w:rsidRPr="005C0A6F">
        <w:t>also</w:t>
      </w:r>
      <w:r w:rsidR="000159A6">
        <w:t xml:space="preserve"> </w:t>
      </w:r>
      <w:r w:rsidRPr="005C0A6F">
        <w:t>a</w:t>
      </w:r>
      <w:r w:rsidR="000159A6">
        <w:t xml:space="preserve"> </w:t>
      </w:r>
      <w:r w:rsidRPr="005C0A6F">
        <w:t>higher</w:t>
      </w:r>
      <w:r w:rsidR="000159A6">
        <w:t xml:space="preserve"> </w:t>
      </w:r>
      <w:r w:rsidRPr="005C0A6F">
        <w:t>risk</w:t>
      </w:r>
      <w:r w:rsidR="000159A6">
        <w:t xml:space="preserve"> </w:t>
      </w:r>
      <w:r w:rsidRPr="005C0A6F">
        <w:t>of</w:t>
      </w:r>
      <w:r w:rsidR="000159A6">
        <w:t xml:space="preserve"> </w:t>
      </w:r>
      <w:r w:rsidRPr="005C0A6F">
        <w:t>gout</w:t>
      </w:r>
      <w:r w:rsidR="000159A6">
        <w:t xml:space="preserve"> </w:t>
      </w:r>
      <w:r w:rsidRPr="005C0A6F">
        <w:t>or</w:t>
      </w:r>
      <w:r w:rsidR="000159A6">
        <w:t xml:space="preserve"> </w:t>
      </w:r>
      <w:r w:rsidRPr="005C0A6F">
        <w:t>gouty</w:t>
      </w:r>
      <w:r w:rsidR="000159A6">
        <w:t xml:space="preserve"> </w:t>
      </w:r>
      <w:r w:rsidRPr="005C0A6F">
        <w:t>arthritis</w:t>
      </w:r>
      <w:r w:rsidR="000159A6">
        <w:t xml:space="preserve"> </w:t>
      </w:r>
      <w:r w:rsidRPr="005C0A6F">
        <w:t>in</w:t>
      </w:r>
      <w:r w:rsidR="000159A6">
        <w:t xml:space="preserve"> </w:t>
      </w:r>
      <w:r w:rsidRPr="005C0A6F">
        <w:t>the</w:t>
      </w:r>
      <w:r w:rsidR="000159A6">
        <w:t xml:space="preserve"> </w:t>
      </w:r>
      <w:r w:rsidRPr="005C0A6F">
        <w:t>period</w:t>
      </w:r>
      <w:r w:rsidR="000159A6">
        <w:t xml:space="preserve"> </w:t>
      </w:r>
      <w:r w:rsidRPr="005C0A6F">
        <w:t>(0.18%</w:t>
      </w:r>
      <w:r w:rsidR="000159A6">
        <w:t xml:space="preserve"> </w:t>
      </w:r>
      <w:r w:rsidR="008D4538">
        <w:t>versus</w:t>
      </w:r>
      <w:r w:rsidR="000159A6">
        <w:t xml:space="preserve"> </w:t>
      </w:r>
      <w:r w:rsidRPr="005C0A6F">
        <w:t>0.05%</w:t>
      </w:r>
      <w:r w:rsidR="000159A6">
        <w:t xml:space="preserve"> </w:t>
      </w:r>
      <w:r w:rsidR="004715B4">
        <w:t>RR</w:t>
      </w:r>
      <w:r w:rsidR="000159A6">
        <w:t xml:space="preserve"> </w:t>
      </w:r>
      <w:r w:rsidR="004715B4">
        <w:t>=</w:t>
      </w:r>
      <w:r w:rsidR="000159A6">
        <w:t xml:space="preserve"> </w:t>
      </w:r>
      <w:r w:rsidR="004715B4">
        <w:t>3.38,</w:t>
      </w:r>
      <w:r w:rsidR="000159A6">
        <w:t xml:space="preserve"> </w:t>
      </w:r>
      <w:r w:rsidR="004715B4">
        <w:t>95%</w:t>
      </w:r>
      <w:r w:rsidR="000159A6">
        <w:t xml:space="preserve"> </w:t>
      </w:r>
      <w:r w:rsidR="004715B4">
        <w:t>CI:</w:t>
      </w:r>
      <w:r w:rsidR="000159A6">
        <w:t xml:space="preserve"> </w:t>
      </w:r>
      <w:r w:rsidR="004715B4">
        <w:t>1.49</w:t>
      </w:r>
      <w:r w:rsidR="000159A6">
        <w:t xml:space="preserve"> </w:t>
      </w:r>
      <w:r w:rsidR="004715B4">
        <w:t>to</w:t>
      </w:r>
      <w:r w:rsidR="000159A6">
        <w:t xml:space="preserve"> </w:t>
      </w:r>
      <w:r w:rsidRPr="005C0A6F">
        <w:t>8.60)</w:t>
      </w:r>
      <w:r w:rsidR="000159A6">
        <w:t xml:space="preserve"> </w:t>
      </w:r>
      <w:r w:rsidRPr="005C0A6F">
        <w:t>(see</w:t>
      </w:r>
      <w:r w:rsidR="000159A6">
        <w:t xml:space="preserve"> </w:t>
      </w:r>
      <w:r w:rsidR="00733CE8">
        <w:t>Attachment</w:t>
      </w:r>
      <w:r w:rsidR="000159A6">
        <w:t xml:space="preserve"> </w:t>
      </w:r>
      <w:r w:rsidR="00733CE8">
        <w:t>2,</w:t>
      </w:r>
      <w:r w:rsidR="000159A6">
        <w:t xml:space="preserve"> </w:t>
      </w:r>
      <w:r w:rsidRPr="005C0A6F">
        <w:t>Table</w:t>
      </w:r>
      <w:r w:rsidR="000159A6">
        <w:t xml:space="preserve"> </w:t>
      </w:r>
      <w:r w:rsidR="00733CE8">
        <w:t>49</w:t>
      </w:r>
      <w:r w:rsidRPr="005C0A6F">
        <w:t>).</w:t>
      </w:r>
      <w:r w:rsidR="000159A6">
        <w:t xml:space="preserve"> </w:t>
      </w:r>
      <w:r w:rsidRPr="005C0A6F">
        <w:t>The</w:t>
      </w:r>
      <w:r w:rsidR="000159A6">
        <w:t xml:space="preserve"> </w:t>
      </w:r>
      <w:r w:rsidRPr="005C0A6F">
        <w:t>sponsor</w:t>
      </w:r>
      <w:r w:rsidR="000159A6">
        <w:t xml:space="preserve"> </w:t>
      </w:r>
      <w:r w:rsidRPr="005C0A6F">
        <w:t>stated</w:t>
      </w:r>
      <w:r w:rsidR="000159A6">
        <w:t xml:space="preserve"> </w:t>
      </w:r>
      <w:r w:rsidRPr="005C0A6F">
        <w:t>that</w:t>
      </w:r>
      <w:r w:rsidR="000159A6">
        <w:t xml:space="preserve"> </w:t>
      </w:r>
      <w:r w:rsidRPr="005C0A6F">
        <w:t>gout</w:t>
      </w:r>
      <w:r w:rsidR="000159A6">
        <w:t xml:space="preserve"> </w:t>
      </w:r>
      <w:r w:rsidRPr="005C0A6F">
        <w:t>was</w:t>
      </w:r>
      <w:r w:rsidR="000159A6">
        <w:t xml:space="preserve"> </w:t>
      </w:r>
      <w:r w:rsidRPr="005C0A6F">
        <w:t>an</w:t>
      </w:r>
      <w:r w:rsidR="000159A6">
        <w:t xml:space="preserve"> </w:t>
      </w:r>
      <w:r w:rsidRPr="005C0A6F">
        <w:t>immune</w:t>
      </w:r>
      <w:r w:rsidR="000159A6">
        <w:t xml:space="preserve"> </w:t>
      </w:r>
      <w:r w:rsidRPr="005C0A6F">
        <w:t>inflammatory</w:t>
      </w:r>
      <w:r w:rsidR="000159A6">
        <w:t xml:space="preserve"> </w:t>
      </w:r>
      <w:r w:rsidRPr="005C0A6F">
        <w:t>event</w:t>
      </w:r>
      <w:r w:rsidR="000159A6">
        <w:t xml:space="preserve"> </w:t>
      </w:r>
      <w:r w:rsidRPr="005C0A6F">
        <w:t>of</w:t>
      </w:r>
      <w:r w:rsidR="000159A6">
        <w:t xml:space="preserve"> </w:t>
      </w:r>
      <w:r w:rsidRPr="005C0A6F">
        <w:t>interest.</w:t>
      </w:r>
    </w:p>
    <w:p w14:paraId="6D2202A3" w14:textId="733920F2" w:rsidR="005C0A6F" w:rsidRDefault="005C0A6F" w:rsidP="005C0A6F">
      <w:r w:rsidRPr="005C0A6F">
        <w:lastRenderedPageBreak/>
        <w:t>Data</w:t>
      </w:r>
      <w:r w:rsidR="000159A6">
        <w:t xml:space="preserve"> </w:t>
      </w:r>
      <w:r w:rsidRPr="005C0A6F">
        <w:t>on</w:t>
      </w:r>
      <w:r w:rsidR="000159A6">
        <w:t xml:space="preserve"> </w:t>
      </w:r>
      <w:r w:rsidRPr="005C0A6F">
        <w:t>medically</w:t>
      </w:r>
      <w:r w:rsidR="000159A6">
        <w:t xml:space="preserve"> </w:t>
      </w:r>
      <w:r w:rsidRPr="005C0A6F">
        <w:t>attended</w:t>
      </w:r>
      <w:r w:rsidR="000159A6">
        <w:t xml:space="preserve"> </w:t>
      </w:r>
      <w:r w:rsidRPr="005C0A6F">
        <w:t>visits</w:t>
      </w:r>
      <w:r w:rsidR="000159A6">
        <w:t xml:space="preserve"> </w:t>
      </w:r>
      <w:r w:rsidRPr="005C0A6F">
        <w:t>were</w:t>
      </w:r>
      <w:r w:rsidR="000159A6">
        <w:t xml:space="preserve"> </w:t>
      </w:r>
      <w:r w:rsidRPr="005C0A6F">
        <w:t>stated</w:t>
      </w:r>
      <w:r w:rsidR="000159A6">
        <w:t xml:space="preserve"> </w:t>
      </w:r>
      <w:r w:rsidRPr="005C0A6F">
        <w:t>to</w:t>
      </w:r>
      <w:r w:rsidR="000159A6">
        <w:t xml:space="preserve"> </w:t>
      </w:r>
      <w:r w:rsidRPr="005C0A6F">
        <w:t>have</w:t>
      </w:r>
      <w:r w:rsidR="000159A6">
        <w:t xml:space="preserve"> </w:t>
      </w:r>
      <w:r w:rsidRPr="005C0A6F">
        <w:t>been</w:t>
      </w:r>
      <w:r w:rsidR="000159A6">
        <w:t xml:space="preserve"> </w:t>
      </w:r>
      <w:r w:rsidRPr="005C0A6F">
        <w:t>collected</w:t>
      </w:r>
      <w:r w:rsidR="000159A6">
        <w:t xml:space="preserve"> </w:t>
      </w:r>
      <w:r w:rsidRPr="005C0A6F">
        <w:t>to</w:t>
      </w:r>
      <w:r w:rsidR="000159A6">
        <w:t xml:space="preserve"> </w:t>
      </w:r>
      <w:r w:rsidR="00733CE8">
        <w:t>M</w:t>
      </w:r>
      <w:r w:rsidRPr="005C0A6F">
        <w:t>onth</w:t>
      </w:r>
      <w:r w:rsidR="000159A6">
        <w:t xml:space="preserve"> </w:t>
      </w:r>
      <w:r w:rsidRPr="005C0A6F">
        <w:t>8;</w:t>
      </w:r>
      <w:r w:rsidR="000159A6">
        <w:t xml:space="preserve"> </w:t>
      </w:r>
      <w:r w:rsidR="0081313B" w:rsidRPr="005C0A6F">
        <w:t>however</w:t>
      </w:r>
      <w:r w:rsidR="000159A6">
        <w:t xml:space="preserve"> </w:t>
      </w:r>
      <w:r w:rsidR="0081313B">
        <w:t>pooled</w:t>
      </w:r>
      <w:r w:rsidR="000159A6">
        <w:t xml:space="preserve"> </w:t>
      </w:r>
      <w:r w:rsidRPr="005C0A6F">
        <w:t>data</w:t>
      </w:r>
      <w:r w:rsidR="000159A6">
        <w:t xml:space="preserve"> </w:t>
      </w:r>
      <w:r w:rsidRPr="005C0A6F">
        <w:t>on</w:t>
      </w:r>
      <w:r w:rsidR="000159A6">
        <w:t xml:space="preserve"> </w:t>
      </w:r>
      <w:r w:rsidRPr="005C0A6F">
        <w:t>associated</w:t>
      </w:r>
      <w:r w:rsidR="000159A6">
        <w:t xml:space="preserve"> </w:t>
      </w:r>
      <w:r w:rsidRPr="005C0A6F">
        <w:t>adverse</w:t>
      </w:r>
      <w:r w:rsidR="000159A6">
        <w:t xml:space="preserve"> </w:t>
      </w:r>
      <w:r w:rsidRPr="005C0A6F">
        <w:t>events</w:t>
      </w:r>
      <w:r w:rsidR="000159A6">
        <w:t xml:space="preserve"> </w:t>
      </w:r>
      <w:r w:rsidRPr="005C0A6F">
        <w:t>could</w:t>
      </w:r>
      <w:r w:rsidR="000159A6">
        <w:t xml:space="preserve"> </w:t>
      </w:r>
      <w:r w:rsidRPr="005C0A6F">
        <w:t>not</w:t>
      </w:r>
      <w:r w:rsidR="000159A6">
        <w:t xml:space="preserve"> </w:t>
      </w:r>
      <w:r w:rsidRPr="005C0A6F">
        <w:t>be</w:t>
      </w:r>
      <w:r w:rsidR="000159A6">
        <w:t xml:space="preserve"> </w:t>
      </w:r>
      <w:r w:rsidRPr="005C0A6F">
        <w:t>located</w:t>
      </w:r>
      <w:r w:rsidR="005B2FA5">
        <w:t>.</w:t>
      </w:r>
      <w:r w:rsidR="0081313B">
        <w:rPr>
          <w:rStyle w:val="FootnoteReference"/>
        </w:rPr>
        <w:footnoteReference w:id="13"/>
      </w:r>
      <w:r w:rsidR="000159A6">
        <w:t xml:space="preserve"> </w:t>
      </w:r>
      <w:r w:rsidRPr="005C0A6F">
        <w:t>The</w:t>
      </w:r>
      <w:r w:rsidR="000159A6">
        <w:t xml:space="preserve"> </w:t>
      </w:r>
      <w:r w:rsidRPr="005C0A6F">
        <w:t>sponsor</w:t>
      </w:r>
      <w:r w:rsidR="000159A6">
        <w:t xml:space="preserve"> </w:t>
      </w:r>
      <w:r w:rsidRPr="005C0A6F">
        <w:t>has</w:t>
      </w:r>
      <w:r w:rsidR="000159A6">
        <w:t xml:space="preserve"> </w:t>
      </w:r>
      <w:r w:rsidRPr="005C0A6F">
        <w:t>been</w:t>
      </w:r>
      <w:r w:rsidR="000159A6">
        <w:t xml:space="preserve"> </w:t>
      </w:r>
      <w:r w:rsidRPr="005C0A6F">
        <w:t>asked</w:t>
      </w:r>
      <w:r w:rsidR="000159A6">
        <w:t xml:space="preserve"> </w:t>
      </w:r>
      <w:r w:rsidRPr="005C0A6F">
        <w:t>to</w:t>
      </w:r>
      <w:r w:rsidR="000159A6">
        <w:t xml:space="preserve"> </w:t>
      </w:r>
      <w:r w:rsidRPr="005C0A6F">
        <w:t>discuss</w:t>
      </w:r>
      <w:r w:rsidR="000159A6">
        <w:t xml:space="preserve"> </w:t>
      </w:r>
      <w:r w:rsidRPr="005C0A6F">
        <w:t>these</w:t>
      </w:r>
      <w:r w:rsidR="000159A6">
        <w:t xml:space="preserve"> </w:t>
      </w:r>
      <w:r w:rsidRPr="005C0A6F">
        <w:t>events.</w:t>
      </w:r>
      <w:r w:rsidR="000159A6">
        <w:t xml:space="preserve"> </w:t>
      </w:r>
      <w:r w:rsidRPr="005C0A6F">
        <w:t>I</w:t>
      </w:r>
      <w:r w:rsidR="00733CE8">
        <w:t>n</w:t>
      </w:r>
      <w:r w:rsidR="000159A6">
        <w:t xml:space="preserve"> </w:t>
      </w:r>
      <w:r w:rsidRPr="005C0A6F">
        <w:t>the</w:t>
      </w:r>
      <w:r w:rsidR="000159A6">
        <w:t xml:space="preserve"> </w:t>
      </w:r>
      <w:r w:rsidRPr="005C0A6F">
        <w:t>response</w:t>
      </w:r>
      <w:r w:rsidR="000159A6">
        <w:t xml:space="preserve"> </w:t>
      </w:r>
      <w:r w:rsidR="00733CE8">
        <w:t>to</w:t>
      </w:r>
      <w:r w:rsidR="000159A6">
        <w:t xml:space="preserve"> </w:t>
      </w:r>
      <w:r w:rsidR="00733CE8">
        <w:t>questions</w:t>
      </w:r>
      <w:r w:rsidRPr="005C0A6F">
        <w:t>,</w:t>
      </w:r>
      <w:r w:rsidR="000159A6">
        <w:t xml:space="preserve"> </w:t>
      </w:r>
      <w:r w:rsidRPr="005C0A6F">
        <w:t>the</w:t>
      </w:r>
      <w:r w:rsidR="000159A6">
        <w:t xml:space="preserve"> </w:t>
      </w:r>
      <w:r w:rsidRPr="005C0A6F">
        <w:t>sponsor</w:t>
      </w:r>
      <w:r w:rsidR="000159A6">
        <w:t xml:space="preserve"> </w:t>
      </w:r>
      <w:r w:rsidRPr="005C0A6F">
        <w:t>states</w:t>
      </w:r>
      <w:r w:rsidR="000159A6">
        <w:t xml:space="preserve"> </w:t>
      </w:r>
      <w:r w:rsidRPr="005C0A6F">
        <w:t>that</w:t>
      </w:r>
      <w:r w:rsidR="000159A6">
        <w:t xml:space="preserve"> </w:t>
      </w:r>
      <w:r w:rsidRPr="005C0A6F">
        <w:t>the</w:t>
      </w:r>
      <w:r w:rsidR="000159A6">
        <w:t xml:space="preserve"> </w:t>
      </w:r>
      <w:r w:rsidRPr="005C0A6F">
        <w:t>analysis</w:t>
      </w:r>
      <w:r w:rsidR="000159A6">
        <w:t xml:space="preserve"> </w:t>
      </w:r>
      <w:r w:rsidRPr="005C0A6F">
        <w:t>of</w:t>
      </w:r>
      <w:r w:rsidR="000159A6">
        <w:t xml:space="preserve"> </w:t>
      </w:r>
      <w:r w:rsidRPr="005C0A6F">
        <w:t>unsolicited</w:t>
      </w:r>
      <w:r w:rsidR="000159A6">
        <w:t xml:space="preserve"> </w:t>
      </w:r>
      <w:r w:rsidRPr="005C0A6F">
        <w:t>AEs</w:t>
      </w:r>
      <w:r w:rsidR="000159A6">
        <w:t xml:space="preserve"> </w:t>
      </w:r>
      <w:r w:rsidRPr="005C0A6F">
        <w:t>with</w:t>
      </w:r>
      <w:r w:rsidR="000159A6">
        <w:t xml:space="preserve"> </w:t>
      </w:r>
      <w:r w:rsidRPr="005C0A6F">
        <w:t>medically</w:t>
      </w:r>
      <w:r w:rsidR="000159A6">
        <w:t xml:space="preserve"> </w:t>
      </w:r>
      <w:r w:rsidRPr="005C0A6F">
        <w:t>attended</w:t>
      </w:r>
      <w:r w:rsidR="000159A6">
        <w:t xml:space="preserve"> </w:t>
      </w:r>
      <w:r w:rsidRPr="005C0A6F">
        <w:t>visit</w:t>
      </w:r>
      <w:r w:rsidR="000159A6">
        <w:t xml:space="preserve"> </w:t>
      </w:r>
      <w:r w:rsidRPr="005C0A6F">
        <w:t>by</w:t>
      </w:r>
      <w:r w:rsidR="000159A6">
        <w:t xml:space="preserve"> </w:t>
      </w:r>
      <w:r w:rsidRPr="005C0A6F">
        <w:t>age</w:t>
      </w:r>
      <w:r w:rsidR="000159A6">
        <w:t xml:space="preserve"> </w:t>
      </w:r>
      <w:r w:rsidRPr="005C0A6F">
        <w:t>group</w:t>
      </w:r>
      <w:r w:rsidR="000159A6">
        <w:t xml:space="preserve"> </w:t>
      </w:r>
      <w:r w:rsidRPr="005C0A6F">
        <w:t>did</w:t>
      </w:r>
      <w:r w:rsidR="000159A6">
        <w:t xml:space="preserve"> </w:t>
      </w:r>
      <w:r w:rsidRPr="005C0A6F">
        <w:t>not</w:t>
      </w:r>
      <w:r w:rsidR="000159A6">
        <w:t xml:space="preserve"> </w:t>
      </w:r>
      <w:r w:rsidRPr="005C0A6F">
        <w:t>show</w:t>
      </w:r>
      <w:r w:rsidR="000159A6">
        <w:t xml:space="preserve"> </w:t>
      </w:r>
      <w:r w:rsidRPr="005C0A6F">
        <w:t>any</w:t>
      </w:r>
      <w:r w:rsidR="000159A6">
        <w:t xml:space="preserve"> </w:t>
      </w:r>
      <w:r w:rsidRPr="005C0A6F">
        <w:t>notable</w:t>
      </w:r>
      <w:r w:rsidR="000159A6">
        <w:t xml:space="preserve"> </w:t>
      </w:r>
      <w:r w:rsidRPr="005C0A6F">
        <w:t>between</w:t>
      </w:r>
      <w:r w:rsidR="000159A6">
        <w:t xml:space="preserve"> </w:t>
      </w:r>
      <w:r w:rsidRPr="005C0A6F">
        <w:t>group</w:t>
      </w:r>
      <w:r w:rsidR="000159A6">
        <w:t xml:space="preserve"> </w:t>
      </w:r>
      <w:r w:rsidRPr="005C0A6F">
        <w:t>differences.</w:t>
      </w:r>
    </w:p>
    <w:p w14:paraId="60418D92" w14:textId="3C62DACE" w:rsidR="00FF12AA" w:rsidRDefault="005C0A6F" w:rsidP="005C0A6F">
      <w:r w:rsidRPr="005C0A6F">
        <w:t>During</w:t>
      </w:r>
      <w:r w:rsidR="000159A6">
        <w:t xml:space="preserve"> </w:t>
      </w:r>
      <w:r w:rsidRPr="005C0A6F">
        <w:t>the</w:t>
      </w:r>
      <w:r w:rsidR="000159A6">
        <w:t xml:space="preserve"> </w:t>
      </w:r>
      <w:r w:rsidRPr="005C0A6F">
        <w:t>whole</w:t>
      </w:r>
      <w:r w:rsidR="000159A6">
        <w:t xml:space="preserve"> </w:t>
      </w:r>
      <w:r w:rsidRPr="005C0A6F">
        <w:t>follow</w:t>
      </w:r>
      <w:r w:rsidR="000159A6">
        <w:t xml:space="preserve"> </w:t>
      </w:r>
      <w:r w:rsidRPr="005C0A6F">
        <w:t>up</w:t>
      </w:r>
      <w:r w:rsidR="000159A6">
        <w:t xml:space="preserve"> </w:t>
      </w:r>
      <w:r w:rsidRPr="005C0A6F">
        <w:t>period</w:t>
      </w:r>
      <w:r w:rsidR="000159A6">
        <w:t xml:space="preserve"> </w:t>
      </w:r>
      <w:r w:rsidRPr="005C0A6F">
        <w:t>the</w:t>
      </w:r>
      <w:r w:rsidR="000159A6">
        <w:t xml:space="preserve"> </w:t>
      </w:r>
      <w:r w:rsidRPr="005C0A6F">
        <w:t>withdrawal</w:t>
      </w:r>
      <w:r w:rsidR="000159A6">
        <w:t xml:space="preserve"> </w:t>
      </w:r>
      <w:r w:rsidRPr="005C0A6F">
        <w:t>rate</w:t>
      </w:r>
      <w:r w:rsidR="000159A6">
        <w:t xml:space="preserve"> </w:t>
      </w:r>
      <w:r w:rsidRPr="005C0A6F">
        <w:t>due</w:t>
      </w:r>
      <w:r w:rsidR="000159A6">
        <w:t xml:space="preserve"> </w:t>
      </w:r>
      <w:r w:rsidRPr="005C0A6F">
        <w:t>to</w:t>
      </w:r>
      <w:r w:rsidR="000159A6">
        <w:t xml:space="preserve"> </w:t>
      </w:r>
      <w:r w:rsidRPr="005C0A6F">
        <w:t>non-serious</w:t>
      </w:r>
      <w:r w:rsidR="000159A6">
        <w:t xml:space="preserve"> </w:t>
      </w:r>
      <w:r w:rsidRPr="005C0A6F">
        <w:t>AEs</w:t>
      </w:r>
      <w:r w:rsidR="000159A6">
        <w:t xml:space="preserve"> </w:t>
      </w:r>
      <w:r w:rsidRPr="005C0A6F">
        <w:t>was</w:t>
      </w:r>
      <w:r w:rsidR="000159A6">
        <w:t xml:space="preserve"> </w:t>
      </w:r>
      <w:r w:rsidRPr="005C0A6F">
        <w:t>0.5%</w:t>
      </w:r>
      <w:r w:rsidR="000159A6">
        <w:t xml:space="preserve"> </w:t>
      </w:r>
      <w:r w:rsidR="008D4538">
        <w:t>versus</w:t>
      </w:r>
      <w:r w:rsidR="000159A6">
        <w:t xml:space="preserve"> </w:t>
      </w:r>
      <w:r w:rsidRPr="005C0A6F">
        <w:t>0.2%</w:t>
      </w:r>
      <w:r w:rsidR="000159A6">
        <w:t xml:space="preserve"> </w:t>
      </w:r>
      <w:r w:rsidRPr="005C0A6F">
        <w:t>and</w:t>
      </w:r>
      <w:r w:rsidR="000159A6">
        <w:t xml:space="preserve"> </w:t>
      </w:r>
      <w:r w:rsidRPr="005C0A6F">
        <w:t>due</w:t>
      </w:r>
      <w:r w:rsidR="000159A6">
        <w:t xml:space="preserve"> </w:t>
      </w:r>
      <w:r w:rsidRPr="005C0A6F">
        <w:t>to</w:t>
      </w:r>
      <w:r w:rsidR="000159A6">
        <w:t xml:space="preserve"> </w:t>
      </w:r>
      <w:r w:rsidRPr="005C0A6F">
        <w:t>an</w:t>
      </w:r>
      <w:r w:rsidR="000159A6">
        <w:t xml:space="preserve"> </w:t>
      </w:r>
      <w:r w:rsidRPr="005C0A6F">
        <w:t>SAE</w:t>
      </w:r>
      <w:r w:rsidR="000159A6">
        <w:t xml:space="preserve"> </w:t>
      </w:r>
      <w:r w:rsidRPr="005C0A6F">
        <w:t>was</w:t>
      </w:r>
      <w:r w:rsidR="000159A6">
        <w:t xml:space="preserve"> </w:t>
      </w:r>
      <w:r w:rsidRPr="005C0A6F">
        <w:t>4.7%</w:t>
      </w:r>
      <w:r w:rsidR="000159A6">
        <w:t xml:space="preserve"> </w:t>
      </w:r>
      <w:r w:rsidR="008D4538">
        <w:t>versus</w:t>
      </w:r>
      <w:r w:rsidR="000159A6">
        <w:t xml:space="preserve"> </w:t>
      </w:r>
      <w:r w:rsidRPr="005C0A6F">
        <w:t>4.9%.</w:t>
      </w:r>
      <w:r w:rsidR="000159A6">
        <w:t xml:space="preserve"> </w:t>
      </w:r>
      <w:r w:rsidRPr="005C0A6F">
        <w:t>The</w:t>
      </w:r>
      <w:r w:rsidR="000159A6">
        <w:t xml:space="preserve"> </w:t>
      </w:r>
      <w:r w:rsidRPr="005C0A6F">
        <w:t>rate</w:t>
      </w:r>
      <w:r w:rsidR="000159A6">
        <w:t xml:space="preserve"> </w:t>
      </w:r>
      <w:r w:rsidRPr="005C0A6F">
        <w:t>of</w:t>
      </w:r>
      <w:r w:rsidR="000159A6">
        <w:t xml:space="preserve"> </w:t>
      </w:r>
      <w:r w:rsidRPr="005C0A6F">
        <w:t>discontinuation</w:t>
      </w:r>
      <w:r w:rsidR="000159A6">
        <w:t xml:space="preserve"> </w:t>
      </w:r>
      <w:r w:rsidRPr="005C0A6F">
        <w:t>of</w:t>
      </w:r>
      <w:r w:rsidR="000159A6">
        <w:t xml:space="preserve"> </w:t>
      </w:r>
      <w:r w:rsidRPr="005C0A6F">
        <w:t>vaccination</w:t>
      </w:r>
      <w:r w:rsidR="000159A6">
        <w:t xml:space="preserve"> </w:t>
      </w:r>
      <w:r w:rsidRPr="005C0A6F">
        <w:t>due</w:t>
      </w:r>
      <w:r w:rsidR="000159A6">
        <w:t xml:space="preserve"> </w:t>
      </w:r>
      <w:r w:rsidRPr="005C0A6F">
        <w:t>to</w:t>
      </w:r>
      <w:r w:rsidR="000159A6">
        <w:t xml:space="preserve"> </w:t>
      </w:r>
      <w:r w:rsidRPr="005C0A6F">
        <w:t>an</w:t>
      </w:r>
      <w:r w:rsidR="000159A6">
        <w:t xml:space="preserve"> </w:t>
      </w:r>
      <w:r w:rsidRPr="005C0A6F">
        <w:t>AE</w:t>
      </w:r>
      <w:r w:rsidR="000159A6">
        <w:t xml:space="preserve"> </w:t>
      </w:r>
      <w:r w:rsidRPr="005C0A6F">
        <w:t>was</w:t>
      </w:r>
      <w:r w:rsidR="000159A6">
        <w:t xml:space="preserve"> </w:t>
      </w:r>
      <w:r w:rsidRPr="005C0A6F">
        <w:t>slightly</w:t>
      </w:r>
      <w:r w:rsidR="000159A6">
        <w:t xml:space="preserve"> </w:t>
      </w:r>
      <w:r w:rsidRPr="005C0A6F">
        <w:t>high</w:t>
      </w:r>
      <w:r w:rsidR="000159A6">
        <w:t xml:space="preserve"> </w:t>
      </w:r>
      <w:r w:rsidRPr="005C0A6F">
        <w:t>in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group</w:t>
      </w:r>
      <w:r w:rsidR="000159A6">
        <w:t xml:space="preserve"> </w:t>
      </w:r>
      <w:r w:rsidRPr="005C0A6F">
        <w:t>due</w:t>
      </w:r>
      <w:r w:rsidR="000159A6">
        <w:t xml:space="preserve"> </w:t>
      </w:r>
      <w:r w:rsidRPr="005C0A6F">
        <w:t>to</w:t>
      </w:r>
      <w:r w:rsidR="000159A6">
        <w:t xml:space="preserve"> </w:t>
      </w:r>
      <w:r w:rsidRPr="005C0A6F">
        <w:t>known</w:t>
      </w:r>
      <w:r w:rsidR="000159A6">
        <w:t xml:space="preserve"> </w:t>
      </w:r>
      <w:r w:rsidR="00733CE8">
        <w:t>vaccine</w:t>
      </w:r>
      <w:r w:rsidR="000159A6">
        <w:t xml:space="preserve"> </w:t>
      </w:r>
      <w:r w:rsidR="00733CE8">
        <w:t>related</w:t>
      </w:r>
      <w:r w:rsidR="000159A6">
        <w:t xml:space="preserve"> </w:t>
      </w:r>
      <w:r w:rsidRPr="005C0A6F">
        <w:t>symptoms;</w:t>
      </w:r>
      <w:r w:rsidR="000159A6">
        <w:t xml:space="preserve"> </w:t>
      </w:r>
      <w:r w:rsidRPr="005C0A6F">
        <w:t>however</w:t>
      </w:r>
      <w:r w:rsidR="000159A6">
        <w:t xml:space="preserve"> </w:t>
      </w:r>
      <w:r w:rsidRPr="005C0A6F">
        <w:t>discontinuation</w:t>
      </w:r>
      <w:r w:rsidR="000159A6">
        <w:t xml:space="preserve"> </w:t>
      </w:r>
      <w:r w:rsidRPr="005C0A6F">
        <w:t>of</w:t>
      </w:r>
      <w:r w:rsidR="000159A6">
        <w:t xml:space="preserve"> </w:t>
      </w:r>
      <w:r w:rsidRPr="005C0A6F">
        <w:t>vaccination</w:t>
      </w:r>
      <w:r w:rsidR="000159A6">
        <w:t xml:space="preserve"> </w:t>
      </w:r>
      <w:r w:rsidRPr="005C0A6F">
        <w:t>due</w:t>
      </w:r>
      <w:r w:rsidR="000159A6">
        <w:t xml:space="preserve"> </w:t>
      </w:r>
      <w:r w:rsidRPr="005C0A6F">
        <w:t>to</w:t>
      </w:r>
      <w:r w:rsidR="000159A6">
        <w:t xml:space="preserve"> </w:t>
      </w:r>
      <w:r w:rsidRPr="005C0A6F">
        <w:t>SAE</w:t>
      </w:r>
      <w:r w:rsidR="000159A6">
        <w:t xml:space="preserve"> </w:t>
      </w:r>
      <w:r w:rsidRPr="005C0A6F">
        <w:t>was</w:t>
      </w:r>
      <w:r w:rsidR="000159A6">
        <w:t xml:space="preserve"> </w:t>
      </w:r>
      <w:r w:rsidRPr="005C0A6F">
        <w:t>not</w:t>
      </w:r>
      <w:r w:rsidR="000159A6">
        <w:t xml:space="preserve"> </w:t>
      </w:r>
      <w:r w:rsidRPr="005C0A6F">
        <w:t>high</w:t>
      </w:r>
      <w:r w:rsidR="000159A6">
        <w:t xml:space="preserve"> </w:t>
      </w:r>
      <w:r w:rsidRPr="005C0A6F">
        <w:t>in</w:t>
      </w:r>
      <w:r w:rsidR="000159A6">
        <w:t xml:space="preserve"> </w:t>
      </w:r>
      <w:r w:rsidRPr="005C0A6F">
        <w:t>HZ/</w:t>
      </w:r>
      <w:proofErr w:type="spellStart"/>
      <w:r w:rsidRPr="005C0A6F">
        <w:t>su</w:t>
      </w:r>
      <w:proofErr w:type="spellEnd"/>
      <w:r w:rsidR="000159A6">
        <w:t xml:space="preserve"> </w:t>
      </w:r>
      <w:r w:rsidRPr="005C0A6F">
        <w:t>group</w:t>
      </w:r>
      <w:r w:rsidR="00FF12AA">
        <w:t>.</w:t>
      </w:r>
    </w:p>
    <w:p w14:paraId="548AF549" w14:textId="067418F5" w:rsidR="00FF12AA" w:rsidRDefault="005C0A6F" w:rsidP="00440509">
      <w:r w:rsidRPr="005C0A6F">
        <w:t>There</w:t>
      </w:r>
      <w:r w:rsidR="000159A6">
        <w:t xml:space="preserve"> </w:t>
      </w:r>
      <w:r w:rsidRPr="005C0A6F">
        <w:t>were</w:t>
      </w:r>
      <w:r w:rsidR="000159A6">
        <w:t xml:space="preserve"> </w:t>
      </w:r>
      <w:r w:rsidRPr="005C0A6F">
        <w:t>no</w:t>
      </w:r>
      <w:r w:rsidR="000159A6">
        <w:t xml:space="preserve"> </w:t>
      </w:r>
      <w:r w:rsidRPr="005C0A6F">
        <w:t>notable</w:t>
      </w:r>
      <w:r w:rsidR="000159A6">
        <w:t xml:space="preserve"> </w:t>
      </w:r>
      <w:r w:rsidRPr="005C0A6F">
        <w:t>differences</w:t>
      </w:r>
      <w:r w:rsidR="000159A6">
        <w:t xml:space="preserve"> </w:t>
      </w:r>
      <w:r w:rsidRPr="005C0A6F">
        <w:t>between</w:t>
      </w:r>
      <w:r w:rsidR="000159A6">
        <w:t xml:space="preserve"> </w:t>
      </w:r>
      <w:r w:rsidRPr="005C0A6F">
        <w:t>the</w:t>
      </w:r>
      <w:r w:rsidR="000159A6">
        <w:t xml:space="preserve"> </w:t>
      </w:r>
      <w:r w:rsidRPr="005C0A6F">
        <w:t>HZ/</w:t>
      </w:r>
      <w:proofErr w:type="spellStart"/>
      <w:r w:rsidRPr="005C0A6F">
        <w:t>su</w:t>
      </w:r>
      <w:proofErr w:type="spellEnd"/>
      <w:r w:rsidR="000159A6">
        <w:t xml:space="preserve"> </w:t>
      </w:r>
      <w:r w:rsidRPr="005C0A6F">
        <w:t>and</w:t>
      </w:r>
      <w:r w:rsidR="000159A6">
        <w:t xml:space="preserve"> </w:t>
      </w:r>
      <w:r w:rsidRPr="005C0A6F">
        <w:t>placebo</w:t>
      </w:r>
      <w:r w:rsidR="000159A6">
        <w:t xml:space="preserve"> </w:t>
      </w:r>
      <w:r w:rsidRPr="005C0A6F">
        <w:t>groups</w:t>
      </w:r>
      <w:r w:rsidR="000159A6">
        <w:t xml:space="preserve"> </w:t>
      </w:r>
      <w:r w:rsidRPr="005C0A6F">
        <w:t>in</w:t>
      </w:r>
      <w:r w:rsidR="000159A6">
        <w:t xml:space="preserve"> </w:t>
      </w:r>
      <w:r w:rsidRPr="005C0A6F">
        <w:t>the</w:t>
      </w:r>
      <w:r w:rsidR="000159A6">
        <w:t xml:space="preserve"> </w:t>
      </w:r>
      <w:r w:rsidRPr="005C0A6F">
        <w:t>rates</w:t>
      </w:r>
      <w:r w:rsidR="000159A6">
        <w:t xml:space="preserve"> </w:t>
      </w:r>
      <w:r w:rsidRPr="005C0A6F">
        <w:t>of</w:t>
      </w:r>
      <w:r w:rsidR="000159A6">
        <w:t xml:space="preserve"> </w:t>
      </w:r>
      <w:proofErr w:type="spellStart"/>
      <w:r w:rsidRPr="005C0A6F">
        <w:t>pIMDs</w:t>
      </w:r>
      <w:proofErr w:type="spellEnd"/>
      <w:r w:rsidR="000159A6">
        <w:t xml:space="preserve"> </w:t>
      </w:r>
      <w:r w:rsidRPr="005C0A6F">
        <w:t>in</w:t>
      </w:r>
      <w:r w:rsidR="000159A6">
        <w:t xml:space="preserve"> </w:t>
      </w:r>
      <w:r w:rsidRPr="005C0A6F">
        <w:t>the</w:t>
      </w:r>
      <w:r w:rsidR="000159A6">
        <w:t xml:space="preserve"> </w:t>
      </w:r>
      <w:r w:rsidRPr="005C0A6F">
        <w:t>main</w:t>
      </w:r>
      <w:r w:rsidR="000159A6">
        <w:t xml:space="preserve"> </w:t>
      </w:r>
      <w:r w:rsidRPr="005C0A6F">
        <w:t>safety</w:t>
      </w:r>
      <w:r w:rsidR="000159A6">
        <w:t xml:space="preserve"> </w:t>
      </w:r>
      <w:r w:rsidRPr="005C0A6F">
        <w:t>pool</w:t>
      </w:r>
      <w:r w:rsidR="000159A6">
        <w:t xml:space="preserve"> </w:t>
      </w:r>
      <w:r w:rsidRPr="005C0A6F">
        <w:t>(1.2%</w:t>
      </w:r>
      <w:r w:rsidR="000159A6">
        <w:t xml:space="preserve"> </w:t>
      </w:r>
      <w:r w:rsidR="008D4538">
        <w:t>versus</w:t>
      </w:r>
      <w:r w:rsidR="000159A6">
        <w:t xml:space="preserve"> </w:t>
      </w:r>
      <w:r w:rsidRPr="005C0A6F">
        <w:t>1.4%)</w:t>
      </w:r>
      <w:r w:rsidR="000159A6">
        <w:t xml:space="preserve"> </w:t>
      </w:r>
      <w:r w:rsidRPr="005C0A6F">
        <w:t>and</w:t>
      </w:r>
      <w:r w:rsidR="000159A6">
        <w:t xml:space="preserve"> </w:t>
      </w:r>
      <w:r w:rsidRPr="005C0A6F">
        <w:t>about</w:t>
      </w:r>
      <w:r w:rsidR="000159A6">
        <w:t xml:space="preserve"> </w:t>
      </w:r>
      <w:r w:rsidRPr="005C0A6F">
        <w:t>half</w:t>
      </w:r>
      <w:r w:rsidR="000159A6">
        <w:t xml:space="preserve"> </w:t>
      </w:r>
      <w:r w:rsidRPr="005C0A6F">
        <w:t>the</w:t>
      </w:r>
      <w:r w:rsidR="000159A6">
        <w:t xml:space="preserve"> </w:t>
      </w:r>
      <w:r w:rsidRPr="005C0A6F">
        <w:t>events</w:t>
      </w:r>
      <w:r w:rsidR="000159A6">
        <w:t xml:space="preserve"> </w:t>
      </w:r>
      <w:r w:rsidRPr="005C0A6F">
        <w:t>were</w:t>
      </w:r>
      <w:r w:rsidR="000159A6">
        <w:t xml:space="preserve"> </w:t>
      </w:r>
      <w:r w:rsidRPr="005C0A6F">
        <w:t>reported</w:t>
      </w:r>
      <w:r w:rsidR="000159A6">
        <w:t xml:space="preserve"> </w:t>
      </w:r>
      <w:r w:rsidRPr="005C0A6F">
        <w:t>over</w:t>
      </w:r>
      <w:r w:rsidR="000159A6">
        <w:t xml:space="preserve"> </w:t>
      </w:r>
      <w:r w:rsidRPr="005C0A6F">
        <w:t>one</w:t>
      </w:r>
      <w:r w:rsidR="000159A6">
        <w:t xml:space="preserve"> </w:t>
      </w:r>
      <w:r w:rsidRPr="005C0A6F">
        <w:t>year</w:t>
      </w:r>
      <w:r w:rsidR="000159A6">
        <w:t xml:space="preserve"> </w:t>
      </w:r>
      <w:r w:rsidRPr="005C0A6F">
        <w:t>post</w:t>
      </w:r>
      <w:r w:rsidR="000159A6">
        <w:t xml:space="preserve"> </w:t>
      </w:r>
      <w:r w:rsidRPr="005C0A6F">
        <w:t>vaccination.</w:t>
      </w:r>
      <w:r w:rsidR="000159A6">
        <w:t xml:space="preserve"> </w:t>
      </w:r>
      <w:r w:rsidRPr="005C0A6F">
        <w:t>Such</w:t>
      </w:r>
      <w:r w:rsidR="000159A6">
        <w:t xml:space="preserve"> </w:t>
      </w:r>
      <w:r w:rsidRPr="005C0A6F">
        <w:t>events</w:t>
      </w:r>
      <w:r w:rsidR="000159A6">
        <w:t xml:space="preserve"> </w:t>
      </w:r>
      <w:r w:rsidRPr="005C0A6F">
        <w:t>are</w:t>
      </w:r>
      <w:r w:rsidR="000159A6">
        <w:t xml:space="preserve"> </w:t>
      </w:r>
      <w:r w:rsidRPr="005C0A6F">
        <w:t>rare</w:t>
      </w:r>
      <w:r w:rsidR="000159A6">
        <w:t xml:space="preserve"> </w:t>
      </w:r>
      <w:r w:rsidRPr="005C0A6F">
        <w:t>and</w:t>
      </w:r>
      <w:r w:rsidR="000159A6">
        <w:t xml:space="preserve"> </w:t>
      </w:r>
      <w:r w:rsidRPr="005C0A6F">
        <w:t>despite</w:t>
      </w:r>
      <w:r w:rsidR="000159A6">
        <w:t xml:space="preserve"> </w:t>
      </w:r>
      <w:r w:rsidRPr="005C0A6F">
        <w:t>the</w:t>
      </w:r>
      <w:r w:rsidR="000159A6">
        <w:t xml:space="preserve"> </w:t>
      </w:r>
      <w:r w:rsidRPr="005C0A6F">
        <w:t>sample</w:t>
      </w:r>
      <w:r w:rsidR="000159A6">
        <w:t xml:space="preserve"> </w:t>
      </w:r>
      <w:r w:rsidRPr="005C0A6F">
        <w:t>size</w:t>
      </w:r>
      <w:r w:rsidR="000159A6">
        <w:t xml:space="preserve"> </w:t>
      </w:r>
      <w:r w:rsidRPr="005C0A6F">
        <w:t>of</w:t>
      </w:r>
      <w:r w:rsidR="000159A6">
        <w:t xml:space="preserve"> </w:t>
      </w:r>
      <w:r w:rsidRPr="005C0A6F">
        <w:t>about</w:t>
      </w:r>
      <w:r w:rsidR="000159A6">
        <w:t xml:space="preserve"> </w:t>
      </w:r>
      <w:r w:rsidRPr="005C0A6F">
        <w:t>15,000</w:t>
      </w:r>
      <w:r w:rsidR="000159A6">
        <w:t xml:space="preserve"> </w:t>
      </w:r>
      <w:r w:rsidRPr="005C0A6F">
        <w:t>there</w:t>
      </w:r>
      <w:r w:rsidR="000159A6">
        <w:t xml:space="preserve"> </w:t>
      </w:r>
      <w:r w:rsidRPr="005C0A6F">
        <w:t>may</w:t>
      </w:r>
      <w:r w:rsidR="000159A6">
        <w:t xml:space="preserve"> </w:t>
      </w:r>
      <w:r w:rsidRPr="005C0A6F">
        <w:t>be</w:t>
      </w:r>
      <w:r w:rsidR="000159A6">
        <w:t xml:space="preserve"> </w:t>
      </w:r>
      <w:r w:rsidRPr="005C0A6F">
        <w:t>insufficient</w:t>
      </w:r>
      <w:r w:rsidR="000159A6">
        <w:t xml:space="preserve"> </w:t>
      </w:r>
      <w:r w:rsidRPr="005C0A6F">
        <w:t>data</w:t>
      </w:r>
      <w:r w:rsidR="000159A6">
        <w:t xml:space="preserve"> </w:t>
      </w:r>
      <w:r w:rsidRPr="005C0A6F">
        <w:t>to</w:t>
      </w:r>
      <w:r w:rsidR="000159A6">
        <w:t xml:space="preserve"> </w:t>
      </w:r>
      <w:r w:rsidRPr="005C0A6F">
        <w:t>adequately</w:t>
      </w:r>
      <w:r w:rsidR="000159A6">
        <w:t xml:space="preserve"> </w:t>
      </w:r>
      <w:r w:rsidRPr="005C0A6F">
        <w:t>detect</w:t>
      </w:r>
      <w:r w:rsidR="000159A6">
        <w:t xml:space="preserve"> </w:t>
      </w:r>
      <w:r w:rsidRPr="005C0A6F">
        <w:t>such</w:t>
      </w:r>
      <w:r w:rsidR="000159A6">
        <w:t xml:space="preserve"> </w:t>
      </w:r>
      <w:r w:rsidRPr="005C0A6F">
        <w:t>a</w:t>
      </w:r>
      <w:r w:rsidR="000159A6">
        <w:t xml:space="preserve"> </w:t>
      </w:r>
      <w:r w:rsidRPr="005C0A6F">
        <w:t>risk.</w:t>
      </w:r>
      <w:r w:rsidR="000159A6">
        <w:t xml:space="preserve"> </w:t>
      </w:r>
      <w:r w:rsidR="0081313B" w:rsidRPr="005C0A6F">
        <w:t>The</w:t>
      </w:r>
      <w:r w:rsidR="000159A6">
        <w:t xml:space="preserve"> </w:t>
      </w:r>
      <w:r w:rsidR="0081313B" w:rsidRPr="005C0A6F">
        <w:t>event</w:t>
      </w:r>
      <w:r w:rsidR="000159A6">
        <w:t xml:space="preserve"> </w:t>
      </w:r>
      <w:r w:rsidR="0081313B" w:rsidRPr="005C0A6F">
        <w:t>of</w:t>
      </w:r>
      <w:r w:rsidR="000159A6">
        <w:t xml:space="preserve"> </w:t>
      </w:r>
      <w:proofErr w:type="spellStart"/>
      <w:r w:rsidR="0081313B" w:rsidRPr="005C0A6F">
        <w:t>pIMD</w:t>
      </w:r>
      <w:proofErr w:type="spellEnd"/>
      <w:r w:rsidR="000159A6">
        <w:t xml:space="preserve"> </w:t>
      </w:r>
      <w:r w:rsidR="0081313B" w:rsidRPr="005C0A6F">
        <w:t>should</w:t>
      </w:r>
      <w:r w:rsidR="000159A6">
        <w:t xml:space="preserve"> </w:t>
      </w:r>
      <w:r w:rsidR="0081313B" w:rsidRPr="005C0A6F">
        <w:t>be</w:t>
      </w:r>
      <w:r w:rsidR="000159A6">
        <w:t xml:space="preserve"> </w:t>
      </w:r>
      <w:r w:rsidR="0081313B" w:rsidRPr="005C0A6F">
        <w:t>included</w:t>
      </w:r>
      <w:r w:rsidR="000159A6">
        <w:t xml:space="preserve"> </w:t>
      </w:r>
      <w:r w:rsidR="0081313B" w:rsidRPr="005C0A6F">
        <w:t>in</w:t>
      </w:r>
      <w:r w:rsidR="000159A6">
        <w:t xml:space="preserve"> </w:t>
      </w:r>
      <w:r w:rsidR="0081313B" w:rsidRPr="005C0A6F">
        <w:t>the</w:t>
      </w:r>
      <w:r w:rsidR="000159A6">
        <w:t xml:space="preserve"> </w:t>
      </w:r>
      <w:r w:rsidR="0081313B" w:rsidRPr="005C0A6F">
        <w:t>PI</w:t>
      </w:r>
      <w:r w:rsidR="000159A6">
        <w:t xml:space="preserve"> </w:t>
      </w:r>
      <w:r w:rsidR="0081313B" w:rsidRPr="005C0A6F">
        <w:t>as</w:t>
      </w:r>
      <w:r w:rsidR="000159A6">
        <w:t xml:space="preserve"> </w:t>
      </w:r>
      <w:r w:rsidR="0081313B" w:rsidRPr="005C0A6F">
        <w:t>adverse</w:t>
      </w:r>
      <w:r w:rsidR="000159A6">
        <w:t xml:space="preserve"> </w:t>
      </w:r>
      <w:r w:rsidR="0081313B" w:rsidRPr="005C0A6F">
        <w:t>events.</w:t>
      </w:r>
      <w:r w:rsidR="0081313B">
        <w:rPr>
          <w:rStyle w:val="FootnoteReference"/>
        </w:rPr>
        <w:footnoteReference w:id="14"/>
      </w:r>
      <w:r w:rsidR="000159A6">
        <w:t xml:space="preserve"> </w:t>
      </w:r>
      <w:r w:rsidRPr="005C0A6F">
        <w:t>It</w:t>
      </w:r>
      <w:r w:rsidR="000159A6">
        <w:t xml:space="preserve"> </w:t>
      </w:r>
      <w:r w:rsidRPr="005C0A6F">
        <w:t>is</w:t>
      </w:r>
      <w:r w:rsidR="000159A6">
        <w:t xml:space="preserve"> </w:t>
      </w:r>
      <w:r w:rsidRPr="005C0A6F">
        <w:t>noted</w:t>
      </w:r>
      <w:r w:rsidR="000159A6">
        <w:t xml:space="preserve"> </w:t>
      </w:r>
      <w:r w:rsidRPr="005C0A6F">
        <w:t>that</w:t>
      </w:r>
      <w:r w:rsidR="000159A6">
        <w:t xml:space="preserve"> </w:t>
      </w:r>
      <w:r w:rsidRPr="005C0A6F">
        <w:t>the</w:t>
      </w:r>
      <w:r w:rsidR="000159A6">
        <w:t xml:space="preserve"> </w:t>
      </w:r>
      <w:r w:rsidRPr="005C0A6F">
        <w:t>risk</w:t>
      </w:r>
      <w:r w:rsidR="000159A6">
        <w:t xml:space="preserve"> </w:t>
      </w:r>
      <w:r w:rsidRPr="005C0A6F">
        <w:t>of</w:t>
      </w:r>
      <w:r w:rsidR="000159A6">
        <w:t xml:space="preserve"> </w:t>
      </w:r>
      <w:r w:rsidRPr="005C0A6F">
        <w:t>a</w:t>
      </w:r>
      <w:r w:rsidR="000159A6">
        <w:t xml:space="preserve"> </w:t>
      </w:r>
      <w:proofErr w:type="spellStart"/>
      <w:r w:rsidRPr="005C0A6F">
        <w:t>pIMDs</w:t>
      </w:r>
      <w:proofErr w:type="spellEnd"/>
      <w:r w:rsidR="000159A6">
        <w:t xml:space="preserve"> </w:t>
      </w:r>
      <w:r w:rsidRPr="005C0A6F">
        <w:t>following</w:t>
      </w:r>
      <w:r w:rsidR="000159A6">
        <w:t xml:space="preserve"> </w:t>
      </w:r>
      <w:r w:rsidRPr="005C0A6F">
        <w:t>the</w:t>
      </w:r>
      <w:r w:rsidR="000159A6">
        <w:t xml:space="preserve"> </w:t>
      </w:r>
      <w:r w:rsidRPr="005C0A6F">
        <w:t>vaccination</w:t>
      </w:r>
      <w:r w:rsidR="000159A6">
        <w:t xml:space="preserve"> </w:t>
      </w:r>
      <w:r w:rsidRPr="005C0A6F">
        <w:t>is</w:t>
      </w:r>
      <w:r w:rsidR="000159A6">
        <w:t xml:space="preserve"> </w:t>
      </w:r>
      <w:r w:rsidRPr="005C0A6F">
        <w:t>included</w:t>
      </w:r>
      <w:r w:rsidR="000159A6">
        <w:t xml:space="preserve"> </w:t>
      </w:r>
      <w:r w:rsidRPr="005C0A6F">
        <w:t>as</w:t>
      </w:r>
      <w:r w:rsidR="000159A6">
        <w:t xml:space="preserve"> </w:t>
      </w:r>
      <w:r w:rsidRPr="005C0A6F">
        <w:t>an</w:t>
      </w:r>
      <w:r w:rsidR="000159A6">
        <w:t xml:space="preserve"> </w:t>
      </w:r>
      <w:r w:rsidRPr="005C0A6F">
        <w:t>important</w:t>
      </w:r>
      <w:r w:rsidR="000159A6">
        <w:t xml:space="preserve"> </w:t>
      </w:r>
      <w:r w:rsidRPr="005C0A6F">
        <w:t>potential</w:t>
      </w:r>
      <w:r w:rsidR="000159A6">
        <w:t xml:space="preserve"> </w:t>
      </w:r>
      <w:r w:rsidRPr="005C0A6F">
        <w:t>risk</w:t>
      </w:r>
      <w:r w:rsidR="000159A6">
        <w:t xml:space="preserve"> </w:t>
      </w:r>
      <w:r w:rsidRPr="005C0A6F">
        <w:t>in</w:t>
      </w:r>
      <w:r w:rsidR="000159A6">
        <w:t xml:space="preserve"> </w:t>
      </w:r>
      <w:r w:rsidRPr="005C0A6F">
        <w:t>the</w:t>
      </w:r>
      <w:r w:rsidR="000159A6">
        <w:t xml:space="preserve"> </w:t>
      </w:r>
      <w:r w:rsidRPr="005C0A6F">
        <w:t>RMP.</w:t>
      </w:r>
      <w:r w:rsidR="000159A6">
        <w:t xml:space="preserve"> </w:t>
      </w:r>
      <w:r w:rsidRPr="005C0A6F">
        <w:t>Routine</w:t>
      </w:r>
      <w:r w:rsidR="000159A6">
        <w:t xml:space="preserve"> </w:t>
      </w:r>
      <w:r w:rsidRPr="005C0A6F">
        <w:t>and</w:t>
      </w:r>
      <w:r w:rsidR="000159A6">
        <w:t xml:space="preserve"> </w:t>
      </w:r>
      <w:r w:rsidRPr="005C0A6F">
        <w:t>enhanced</w:t>
      </w:r>
      <w:r w:rsidR="000159A6">
        <w:t xml:space="preserve"> </w:t>
      </w:r>
      <w:r w:rsidRPr="005C0A6F">
        <w:t>surveillance</w:t>
      </w:r>
      <w:r w:rsidR="000159A6">
        <w:t xml:space="preserve"> </w:t>
      </w:r>
      <w:r w:rsidRPr="005C0A6F">
        <w:t>will</w:t>
      </w:r>
      <w:r w:rsidR="000159A6">
        <w:t xml:space="preserve"> </w:t>
      </w:r>
      <w:r w:rsidRPr="005C0A6F">
        <w:t>follow</w:t>
      </w:r>
      <w:r w:rsidR="000159A6">
        <w:t xml:space="preserve"> </w:t>
      </w:r>
      <w:r w:rsidRPr="005C0A6F">
        <w:t>up</w:t>
      </w:r>
      <w:r w:rsidR="000159A6">
        <w:t xml:space="preserve"> </w:t>
      </w:r>
      <w:r w:rsidRPr="005C0A6F">
        <w:t>the</w:t>
      </w:r>
      <w:r w:rsidR="000159A6">
        <w:t xml:space="preserve"> </w:t>
      </w:r>
      <w:r w:rsidRPr="005C0A6F">
        <w:t>risk</w:t>
      </w:r>
      <w:r w:rsidR="000159A6">
        <w:t xml:space="preserve"> </w:t>
      </w:r>
      <w:r w:rsidRPr="005C0A6F">
        <w:t>in</w:t>
      </w:r>
      <w:r w:rsidR="000159A6">
        <w:t xml:space="preserve"> </w:t>
      </w:r>
      <w:r w:rsidRPr="005C0A6F">
        <w:t>post-marketing</w:t>
      </w:r>
      <w:r w:rsidR="000159A6">
        <w:t xml:space="preserve"> </w:t>
      </w:r>
      <w:r w:rsidRPr="005C0A6F">
        <w:t>phase</w:t>
      </w:r>
      <w:r w:rsidR="000159A6">
        <w:t xml:space="preserve"> </w:t>
      </w:r>
      <w:r w:rsidRPr="005C0A6F">
        <w:t>and</w:t>
      </w:r>
      <w:r w:rsidR="000159A6">
        <w:t xml:space="preserve"> </w:t>
      </w:r>
      <w:r w:rsidRPr="005C0A6F">
        <w:t>a</w:t>
      </w:r>
      <w:r w:rsidR="000159A6">
        <w:t xml:space="preserve"> </w:t>
      </w:r>
      <w:r w:rsidRPr="005C0A6F">
        <w:t>targeted</w:t>
      </w:r>
      <w:r w:rsidR="000159A6">
        <w:t xml:space="preserve"> </w:t>
      </w:r>
      <w:r w:rsidRPr="005C0A6F">
        <w:t>safety</w:t>
      </w:r>
      <w:r w:rsidR="000159A6">
        <w:t xml:space="preserve"> </w:t>
      </w:r>
      <w:r w:rsidRPr="005C0A6F">
        <w:t>study</w:t>
      </w:r>
      <w:r w:rsidR="000159A6">
        <w:t xml:space="preserve"> </w:t>
      </w:r>
      <w:r w:rsidRPr="005C0A6F">
        <w:t>is</w:t>
      </w:r>
      <w:r w:rsidR="000159A6">
        <w:t xml:space="preserve"> </w:t>
      </w:r>
      <w:r w:rsidRPr="005C0A6F">
        <w:t>planned.</w:t>
      </w:r>
      <w:r w:rsidR="000159A6">
        <w:t xml:space="preserve"> </w:t>
      </w:r>
      <w:r w:rsidRPr="005C0A6F">
        <w:t>The</w:t>
      </w:r>
      <w:r w:rsidR="000159A6">
        <w:t xml:space="preserve"> </w:t>
      </w:r>
      <w:r w:rsidRPr="005C0A6F">
        <w:t>safety</w:t>
      </w:r>
      <w:r w:rsidR="000159A6">
        <w:t xml:space="preserve"> </w:t>
      </w:r>
      <w:r w:rsidRPr="005C0A6F">
        <w:t>in</w:t>
      </w:r>
      <w:r w:rsidR="000159A6">
        <w:t xml:space="preserve"> </w:t>
      </w:r>
      <w:r w:rsidRPr="005C0A6F">
        <w:t>elderly</w:t>
      </w:r>
      <w:r w:rsidR="000159A6">
        <w:t xml:space="preserve"> </w:t>
      </w:r>
      <w:r w:rsidRPr="005C0A6F">
        <w:t>patients</w:t>
      </w:r>
      <w:r w:rsidR="000159A6">
        <w:t xml:space="preserve"> </w:t>
      </w:r>
      <w:r w:rsidRPr="005C0A6F">
        <w:t>with</w:t>
      </w:r>
      <w:r w:rsidR="000159A6">
        <w:t xml:space="preserve"> </w:t>
      </w:r>
      <w:r w:rsidRPr="005C0A6F">
        <w:t>pre-existing</w:t>
      </w:r>
      <w:r w:rsidR="000159A6">
        <w:t xml:space="preserve"> </w:t>
      </w:r>
      <w:r w:rsidRPr="005C0A6F">
        <w:t>immune</w:t>
      </w:r>
      <w:r w:rsidR="000159A6">
        <w:t xml:space="preserve"> </w:t>
      </w:r>
      <w:r w:rsidRPr="005C0A6F">
        <w:t>mediated</w:t>
      </w:r>
      <w:r w:rsidR="000159A6">
        <w:t xml:space="preserve"> </w:t>
      </w:r>
      <w:r w:rsidRPr="005C0A6F">
        <w:t>disorders</w:t>
      </w:r>
      <w:r w:rsidR="000159A6">
        <w:t xml:space="preserve"> </w:t>
      </w:r>
      <w:r w:rsidRPr="005C0A6F">
        <w:t>is</w:t>
      </w:r>
      <w:r w:rsidR="000159A6">
        <w:t xml:space="preserve"> </w:t>
      </w:r>
      <w:r w:rsidRPr="005C0A6F">
        <w:t>included</w:t>
      </w:r>
      <w:r w:rsidR="000159A6">
        <w:t xml:space="preserve"> </w:t>
      </w:r>
      <w:r w:rsidRPr="005C0A6F">
        <w:t>as</w:t>
      </w:r>
      <w:r w:rsidR="000159A6">
        <w:t xml:space="preserve"> </w:t>
      </w:r>
      <w:r w:rsidRPr="005C0A6F">
        <w:t>missing</w:t>
      </w:r>
      <w:r w:rsidR="000159A6">
        <w:t xml:space="preserve"> </w:t>
      </w:r>
      <w:r w:rsidRPr="005C0A6F">
        <w:t>information</w:t>
      </w:r>
      <w:r w:rsidR="000159A6">
        <w:t xml:space="preserve"> </w:t>
      </w:r>
      <w:r w:rsidRPr="005C0A6F">
        <w:t>and</w:t>
      </w:r>
      <w:r w:rsidR="000159A6">
        <w:t xml:space="preserve"> </w:t>
      </w:r>
      <w:r w:rsidRPr="005C0A6F">
        <w:t>will</w:t>
      </w:r>
      <w:r w:rsidR="000159A6">
        <w:t xml:space="preserve"> </w:t>
      </w:r>
      <w:r w:rsidRPr="005C0A6F">
        <w:t>be</w:t>
      </w:r>
      <w:r w:rsidR="000159A6">
        <w:t xml:space="preserve"> </w:t>
      </w:r>
      <w:r w:rsidRPr="005C0A6F">
        <w:t>followed</w:t>
      </w:r>
      <w:r w:rsidR="000159A6">
        <w:t xml:space="preserve"> </w:t>
      </w:r>
      <w:r w:rsidRPr="005C0A6F">
        <w:t>up</w:t>
      </w:r>
      <w:r w:rsidR="000159A6">
        <w:t xml:space="preserve"> </w:t>
      </w:r>
      <w:r w:rsidRPr="005C0A6F">
        <w:t>by</w:t>
      </w:r>
      <w:r w:rsidR="000159A6">
        <w:t xml:space="preserve"> </w:t>
      </w:r>
      <w:r w:rsidRPr="005C0A6F">
        <w:t>post-marketing</w:t>
      </w:r>
      <w:r w:rsidR="000159A6">
        <w:t xml:space="preserve"> </w:t>
      </w:r>
      <w:r w:rsidRPr="005C0A6F">
        <w:t>surveillance</w:t>
      </w:r>
      <w:r w:rsidR="00FF12AA">
        <w:t>.</w:t>
      </w:r>
    </w:p>
    <w:p w14:paraId="77006FE2" w14:textId="7984FE67" w:rsidR="005C0A6F" w:rsidRDefault="005C0A6F" w:rsidP="005C0A6F">
      <w:r w:rsidRPr="005C0A6F">
        <w:t>There</w:t>
      </w:r>
      <w:r w:rsidR="000159A6">
        <w:t xml:space="preserve"> </w:t>
      </w:r>
      <w:r w:rsidRPr="005C0A6F">
        <w:t>was</w:t>
      </w:r>
      <w:r w:rsidR="000159A6">
        <w:t xml:space="preserve"> </w:t>
      </w:r>
      <w:r w:rsidRPr="005C0A6F">
        <w:t>one</w:t>
      </w:r>
      <w:r w:rsidR="000159A6">
        <w:t xml:space="preserve"> </w:t>
      </w:r>
      <w:r w:rsidRPr="005C0A6F">
        <w:t>report</w:t>
      </w:r>
      <w:r w:rsidR="000159A6">
        <w:t xml:space="preserve"> </w:t>
      </w:r>
      <w:r w:rsidRPr="005C0A6F">
        <w:t>of</w:t>
      </w:r>
      <w:r w:rsidR="000159A6">
        <w:t xml:space="preserve"> </w:t>
      </w:r>
      <w:r w:rsidR="00733CE8">
        <w:t>‘</w:t>
      </w:r>
      <w:r w:rsidRPr="005C0A6F">
        <w:t>anaphylaxis</w:t>
      </w:r>
      <w:r w:rsidR="00733CE8">
        <w:t>’</w:t>
      </w:r>
      <w:r w:rsidR="000159A6">
        <w:t xml:space="preserve"> </w:t>
      </w:r>
      <w:r w:rsidRPr="005C0A6F">
        <w:t>which</w:t>
      </w:r>
      <w:r w:rsidR="000159A6">
        <w:t xml:space="preserve"> </w:t>
      </w:r>
      <w:r w:rsidRPr="005C0A6F">
        <w:t>did</w:t>
      </w:r>
      <w:r w:rsidR="000159A6">
        <w:t xml:space="preserve"> </w:t>
      </w:r>
      <w:r w:rsidRPr="005C0A6F">
        <w:t>not</w:t>
      </w:r>
      <w:r w:rsidR="000159A6">
        <w:t xml:space="preserve"> </w:t>
      </w:r>
      <w:r w:rsidRPr="005C0A6F">
        <w:t>require</w:t>
      </w:r>
      <w:r w:rsidR="000159A6">
        <w:t xml:space="preserve"> </w:t>
      </w:r>
      <w:r w:rsidRPr="005C0A6F">
        <w:t>treatment</w:t>
      </w:r>
      <w:r w:rsidR="000159A6">
        <w:t xml:space="preserve"> </w:t>
      </w:r>
      <w:r w:rsidRPr="005C0A6F">
        <w:t>and</w:t>
      </w:r>
      <w:r w:rsidR="000159A6">
        <w:t xml:space="preserve"> </w:t>
      </w:r>
      <w:r w:rsidRPr="005C0A6F">
        <w:t>no</w:t>
      </w:r>
      <w:r w:rsidR="000159A6">
        <w:t xml:space="preserve"> </w:t>
      </w:r>
      <w:r w:rsidRPr="005C0A6F">
        <w:t>increased</w:t>
      </w:r>
      <w:r w:rsidR="000159A6">
        <w:t xml:space="preserve"> </w:t>
      </w:r>
      <w:r w:rsidRPr="005C0A6F">
        <w:t>rate</w:t>
      </w:r>
      <w:r w:rsidR="000159A6">
        <w:t xml:space="preserve"> </w:t>
      </w:r>
      <w:r w:rsidRPr="005C0A6F">
        <w:t>of</w:t>
      </w:r>
      <w:r w:rsidR="000159A6">
        <w:t xml:space="preserve"> </w:t>
      </w:r>
      <w:r w:rsidR="00733CE8" w:rsidRPr="005C0A6F">
        <w:t>hypersensitivity</w:t>
      </w:r>
      <w:r w:rsidR="000159A6">
        <w:t xml:space="preserve"> </w:t>
      </w:r>
      <w:r w:rsidRPr="005C0A6F">
        <w:t>reactions.</w:t>
      </w:r>
      <w:r w:rsidR="000159A6">
        <w:t xml:space="preserve"> </w:t>
      </w:r>
      <w:r w:rsidRPr="005C0A6F">
        <w:t>There</w:t>
      </w:r>
      <w:r w:rsidR="000159A6">
        <w:t xml:space="preserve"> </w:t>
      </w:r>
      <w:r w:rsidRPr="005C0A6F">
        <w:t>were</w:t>
      </w:r>
      <w:r w:rsidR="000159A6">
        <w:t xml:space="preserve"> </w:t>
      </w:r>
      <w:r w:rsidRPr="005C0A6F">
        <w:t>also</w:t>
      </w:r>
      <w:r w:rsidR="000159A6">
        <w:t xml:space="preserve"> </w:t>
      </w:r>
      <w:r w:rsidRPr="005C0A6F">
        <w:t>no</w:t>
      </w:r>
      <w:r w:rsidR="000159A6">
        <w:t xml:space="preserve"> </w:t>
      </w:r>
      <w:r w:rsidRPr="005C0A6F">
        <w:t>clinically</w:t>
      </w:r>
      <w:r w:rsidR="000159A6">
        <w:t xml:space="preserve"> </w:t>
      </w:r>
      <w:r w:rsidRPr="005C0A6F">
        <w:t>relevant</w:t>
      </w:r>
      <w:r w:rsidR="000159A6">
        <w:t xml:space="preserve"> </w:t>
      </w:r>
      <w:r w:rsidRPr="005C0A6F">
        <w:t>changes</w:t>
      </w:r>
      <w:r w:rsidR="000159A6">
        <w:t xml:space="preserve"> </w:t>
      </w:r>
      <w:r w:rsidRPr="005C0A6F">
        <w:t>in</w:t>
      </w:r>
      <w:r w:rsidR="000159A6">
        <w:t xml:space="preserve"> </w:t>
      </w:r>
      <w:r w:rsidRPr="005C0A6F">
        <w:t>laboratory</w:t>
      </w:r>
      <w:r w:rsidR="000159A6">
        <w:t xml:space="preserve"> </w:t>
      </w:r>
      <w:r w:rsidRPr="005C0A6F">
        <w:t>parameters</w:t>
      </w:r>
      <w:r w:rsidR="000159A6">
        <w:t xml:space="preserve"> </w:t>
      </w:r>
      <w:r w:rsidRPr="005C0A6F">
        <w:t>in</w:t>
      </w:r>
      <w:r w:rsidR="000159A6">
        <w:t xml:space="preserve"> </w:t>
      </w:r>
      <w:r w:rsidRPr="005C0A6F">
        <w:t>the</w:t>
      </w:r>
      <w:r w:rsidR="000159A6">
        <w:t xml:space="preserve"> </w:t>
      </w:r>
      <w:r w:rsidRPr="005C0A6F">
        <w:t>studies</w:t>
      </w:r>
      <w:r w:rsidR="000159A6">
        <w:t xml:space="preserve"> </w:t>
      </w:r>
      <w:r w:rsidRPr="005C0A6F">
        <w:t>where</w:t>
      </w:r>
      <w:r w:rsidR="000159A6">
        <w:t xml:space="preserve"> </w:t>
      </w:r>
      <w:r w:rsidRPr="005C0A6F">
        <w:t>these</w:t>
      </w:r>
      <w:r w:rsidR="000159A6">
        <w:t xml:space="preserve"> </w:t>
      </w:r>
      <w:r w:rsidRPr="005C0A6F">
        <w:t>were</w:t>
      </w:r>
      <w:r w:rsidR="000159A6">
        <w:t xml:space="preserve"> </w:t>
      </w:r>
      <w:r w:rsidRPr="005C0A6F">
        <w:t>assessed.</w:t>
      </w:r>
    </w:p>
    <w:p w14:paraId="029B5728" w14:textId="54D33870" w:rsidR="00FF12AA" w:rsidRDefault="005C0A6F" w:rsidP="00440509">
      <w:r w:rsidRPr="005C0A6F">
        <w:t>There</w:t>
      </w:r>
      <w:r w:rsidR="000159A6">
        <w:t xml:space="preserve"> </w:t>
      </w:r>
      <w:r w:rsidRPr="005C0A6F">
        <w:t>are</w:t>
      </w:r>
      <w:r w:rsidR="000159A6">
        <w:t xml:space="preserve"> </w:t>
      </w:r>
      <w:r w:rsidRPr="005C0A6F">
        <w:t>limited</w:t>
      </w:r>
      <w:r w:rsidR="000159A6">
        <w:t xml:space="preserve"> </w:t>
      </w:r>
      <w:r w:rsidRPr="005C0A6F">
        <w:t>safety</w:t>
      </w:r>
      <w:r w:rsidR="000159A6">
        <w:t xml:space="preserve"> </w:t>
      </w:r>
      <w:r w:rsidRPr="005C0A6F">
        <w:t>data</w:t>
      </w:r>
      <w:r w:rsidR="000159A6">
        <w:t xml:space="preserve"> </w:t>
      </w:r>
      <w:r w:rsidRPr="005C0A6F">
        <w:t>for</w:t>
      </w:r>
      <w:r w:rsidR="000159A6">
        <w:t xml:space="preserve"> </w:t>
      </w:r>
      <w:r w:rsidRPr="005C0A6F">
        <w:t>the</w:t>
      </w:r>
      <w:r w:rsidR="000159A6">
        <w:t xml:space="preserve"> </w:t>
      </w:r>
      <w:r w:rsidRPr="005C0A6F">
        <w:t>use</w:t>
      </w:r>
      <w:r w:rsidR="000159A6">
        <w:t xml:space="preserve"> </w:t>
      </w:r>
      <w:r w:rsidRPr="005C0A6F">
        <w:t>of</w:t>
      </w:r>
      <w:r w:rsidR="000159A6">
        <w:t xml:space="preserve"> </w:t>
      </w:r>
      <w:r w:rsidRPr="005C0A6F">
        <w:t>the</w:t>
      </w:r>
      <w:r w:rsidR="000159A6">
        <w:t xml:space="preserve"> </w:t>
      </w:r>
      <w:r w:rsidRPr="005C0A6F">
        <w:t>vaccine</w:t>
      </w:r>
      <w:r w:rsidR="000159A6">
        <w:t xml:space="preserve"> </w:t>
      </w:r>
      <w:r w:rsidRPr="005C0A6F">
        <w:t>in</w:t>
      </w:r>
      <w:r w:rsidR="000159A6">
        <w:t xml:space="preserve"> </w:t>
      </w:r>
      <w:r w:rsidRPr="005C0A6F">
        <w:t>individuals</w:t>
      </w:r>
      <w:r w:rsidR="000159A6">
        <w:t xml:space="preserve"> </w:t>
      </w:r>
      <w:r w:rsidRPr="005C0A6F">
        <w:t>with</w:t>
      </w:r>
      <w:r w:rsidR="000159A6">
        <w:t xml:space="preserve"> </w:t>
      </w:r>
      <w:r w:rsidRPr="005C0A6F">
        <w:t>prior</w:t>
      </w:r>
      <w:r w:rsidR="000159A6">
        <w:t xml:space="preserve"> </w:t>
      </w:r>
      <w:r w:rsidRPr="005C0A6F">
        <w:t>history</w:t>
      </w:r>
      <w:r w:rsidR="000159A6">
        <w:t xml:space="preserve"> </w:t>
      </w:r>
      <w:r w:rsidRPr="005C0A6F">
        <w:t>of</w:t>
      </w:r>
      <w:r w:rsidR="000159A6">
        <w:t xml:space="preserve"> </w:t>
      </w:r>
      <w:r w:rsidRPr="005C0A6F">
        <w:t>HZ.</w:t>
      </w:r>
      <w:r w:rsidR="000159A6">
        <w:t xml:space="preserve"> </w:t>
      </w:r>
      <w:r w:rsidRPr="005C0A6F">
        <w:t>The</w:t>
      </w:r>
      <w:r w:rsidR="000159A6">
        <w:t xml:space="preserve"> </w:t>
      </w:r>
      <w:r w:rsidRPr="005C0A6F">
        <w:t>risk</w:t>
      </w:r>
      <w:r w:rsidR="000159A6">
        <w:t xml:space="preserve"> </w:t>
      </w:r>
      <w:r w:rsidRPr="005C0A6F">
        <w:t>of</w:t>
      </w:r>
      <w:r w:rsidR="000159A6">
        <w:t xml:space="preserve"> </w:t>
      </w:r>
      <w:r w:rsidRPr="005C0A6F">
        <w:t>VZV</w:t>
      </w:r>
      <w:r w:rsidR="000159A6">
        <w:t xml:space="preserve"> </w:t>
      </w:r>
      <w:r w:rsidRPr="005C0A6F">
        <w:t>reactivation</w:t>
      </w:r>
      <w:r w:rsidR="000159A6">
        <w:t xml:space="preserve"> </w:t>
      </w:r>
      <w:r w:rsidRPr="005C0A6F">
        <w:t>following</w:t>
      </w:r>
      <w:r w:rsidR="000159A6">
        <w:t xml:space="preserve"> </w:t>
      </w:r>
      <w:r w:rsidRPr="005C0A6F">
        <w:t>vaccination</w:t>
      </w:r>
      <w:r w:rsidR="000159A6">
        <w:t xml:space="preserve"> </w:t>
      </w:r>
      <w:r w:rsidRPr="005C0A6F">
        <w:t>will</w:t>
      </w:r>
      <w:r w:rsidR="000159A6">
        <w:t xml:space="preserve"> </w:t>
      </w:r>
      <w:r w:rsidRPr="005C0A6F">
        <w:t>be</w:t>
      </w:r>
      <w:r w:rsidR="000159A6">
        <w:t xml:space="preserve"> </w:t>
      </w:r>
      <w:r w:rsidRPr="005C0A6F">
        <w:t>assessed</w:t>
      </w:r>
      <w:r w:rsidR="000159A6">
        <w:t xml:space="preserve"> </w:t>
      </w:r>
      <w:r w:rsidRPr="005C0A6F">
        <w:t>in</w:t>
      </w:r>
      <w:r w:rsidR="000159A6">
        <w:t xml:space="preserve"> </w:t>
      </w:r>
      <w:r w:rsidRPr="005C0A6F">
        <w:t>post-marketing</w:t>
      </w:r>
      <w:r w:rsidR="000159A6">
        <w:t xml:space="preserve"> </w:t>
      </w:r>
      <w:r w:rsidRPr="005C0A6F">
        <w:t>studies.</w:t>
      </w:r>
      <w:r w:rsidR="000159A6">
        <w:t xml:space="preserve"> </w:t>
      </w:r>
      <w:r w:rsidRPr="005C0A6F">
        <w:t>The</w:t>
      </w:r>
      <w:r w:rsidR="000159A6">
        <w:t xml:space="preserve"> </w:t>
      </w:r>
      <w:r w:rsidRPr="005C0A6F">
        <w:t>product</w:t>
      </w:r>
      <w:r w:rsidR="000159A6">
        <w:t xml:space="preserve"> </w:t>
      </w:r>
      <w:r w:rsidRPr="005C0A6F">
        <w:t>development</w:t>
      </w:r>
      <w:r w:rsidR="000159A6">
        <w:t xml:space="preserve"> </w:t>
      </w:r>
      <w:r w:rsidRPr="005C0A6F">
        <w:t>in</w:t>
      </w:r>
      <w:r w:rsidR="000159A6">
        <w:t xml:space="preserve"> </w:t>
      </w:r>
      <w:r w:rsidRPr="005C0A6F">
        <w:t>the</w:t>
      </w:r>
      <w:r w:rsidR="000159A6">
        <w:t xml:space="preserve"> </w:t>
      </w:r>
      <w:r w:rsidRPr="005C0A6F">
        <w:t>immunocompromised</w:t>
      </w:r>
      <w:r w:rsidR="000159A6">
        <w:t xml:space="preserve"> </w:t>
      </w:r>
      <w:r w:rsidRPr="005C0A6F">
        <w:t>population</w:t>
      </w:r>
      <w:r w:rsidR="000159A6">
        <w:t xml:space="preserve"> </w:t>
      </w:r>
      <w:r w:rsidRPr="005C0A6F">
        <w:t>is</w:t>
      </w:r>
      <w:r w:rsidR="000159A6">
        <w:t xml:space="preserve"> </w:t>
      </w:r>
      <w:r w:rsidRPr="005C0A6F">
        <w:t>ongoing</w:t>
      </w:r>
      <w:r w:rsidR="000159A6">
        <w:t xml:space="preserve"> </w:t>
      </w:r>
      <w:r w:rsidRPr="005C0A6F">
        <w:t>and</w:t>
      </w:r>
      <w:r w:rsidR="000159A6">
        <w:t xml:space="preserve"> </w:t>
      </w:r>
      <w:r w:rsidRPr="005C0A6F">
        <w:t>to</w:t>
      </w:r>
      <w:r w:rsidR="000159A6">
        <w:t xml:space="preserve"> </w:t>
      </w:r>
      <w:r w:rsidRPr="005C0A6F">
        <w:t>date</w:t>
      </w:r>
      <w:r w:rsidR="000159A6">
        <w:t xml:space="preserve"> </w:t>
      </w:r>
      <w:r w:rsidRPr="005C0A6F">
        <w:t>in</w:t>
      </w:r>
      <w:r w:rsidR="000159A6">
        <w:t xml:space="preserve"> </w:t>
      </w:r>
      <w:r w:rsidRPr="005C0A6F">
        <w:t>the</w:t>
      </w:r>
      <w:r w:rsidR="000159A6">
        <w:t xml:space="preserve"> </w:t>
      </w:r>
      <w:r w:rsidRPr="005C0A6F">
        <w:t>limited</w:t>
      </w:r>
      <w:r w:rsidR="000159A6">
        <w:t xml:space="preserve"> </w:t>
      </w:r>
      <w:r w:rsidRPr="005C0A6F">
        <w:t>population</w:t>
      </w:r>
      <w:r w:rsidR="000159A6">
        <w:t xml:space="preserve"> </w:t>
      </w:r>
      <w:r w:rsidRPr="005C0A6F">
        <w:t>of</w:t>
      </w:r>
      <w:r w:rsidR="000159A6">
        <w:t xml:space="preserve"> </w:t>
      </w:r>
      <w:r w:rsidRPr="005C0A6F">
        <w:t>autologous</w:t>
      </w:r>
      <w:r w:rsidR="000159A6">
        <w:t xml:space="preserve"> </w:t>
      </w:r>
      <w:r w:rsidRPr="005C0A6F">
        <w:t>HCT</w:t>
      </w:r>
      <w:r w:rsidR="000159A6">
        <w:t xml:space="preserve"> </w:t>
      </w:r>
      <w:r w:rsidRPr="005C0A6F">
        <w:t>recipients</w:t>
      </w:r>
      <w:r w:rsidR="000159A6">
        <w:t xml:space="preserve"> </w:t>
      </w:r>
      <w:r w:rsidRPr="005C0A6F">
        <w:t>and</w:t>
      </w:r>
      <w:r w:rsidR="000159A6">
        <w:t xml:space="preserve"> </w:t>
      </w:r>
      <w:r w:rsidRPr="005C0A6F">
        <w:t>HIV</w:t>
      </w:r>
      <w:r w:rsidR="000159A6">
        <w:t xml:space="preserve"> </w:t>
      </w:r>
      <w:r w:rsidRPr="005C0A6F">
        <w:t>infected</w:t>
      </w:r>
      <w:r w:rsidR="000159A6">
        <w:t xml:space="preserve"> </w:t>
      </w:r>
      <w:r w:rsidRPr="005C0A6F">
        <w:t>subjects</w:t>
      </w:r>
      <w:r w:rsidR="000159A6">
        <w:t xml:space="preserve"> </w:t>
      </w:r>
      <w:r w:rsidRPr="005C0A6F">
        <w:t>no</w:t>
      </w:r>
      <w:r w:rsidR="000159A6">
        <w:t xml:space="preserve"> </w:t>
      </w:r>
      <w:r w:rsidRPr="005C0A6F">
        <w:t>safety</w:t>
      </w:r>
      <w:r w:rsidR="000159A6">
        <w:t xml:space="preserve"> </w:t>
      </w:r>
      <w:r w:rsidRPr="005C0A6F">
        <w:t>concerns</w:t>
      </w:r>
      <w:r w:rsidR="000159A6">
        <w:t xml:space="preserve"> </w:t>
      </w:r>
      <w:r w:rsidRPr="005C0A6F">
        <w:t>were</w:t>
      </w:r>
      <w:r w:rsidR="000159A6">
        <w:t xml:space="preserve"> </w:t>
      </w:r>
      <w:r w:rsidRPr="005C0A6F">
        <w:t>evident</w:t>
      </w:r>
      <w:r w:rsidR="00FF12AA">
        <w:t>.</w:t>
      </w:r>
    </w:p>
    <w:p w14:paraId="6ABB48FE" w14:textId="0161B475" w:rsidR="005C0A6F" w:rsidRPr="005C0A6F" w:rsidRDefault="005C0A6F" w:rsidP="005C0A6F">
      <w:r w:rsidRPr="005C0A6F">
        <w:t>There</w:t>
      </w:r>
      <w:r w:rsidR="000159A6">
        <w:t xml:space="preserve"> </w:t>
      </w:r>
      <w:r w:rsidRPr="005C0A6F">
        <w:t>are</w:t>
      </w:r>
      <w:r w:rsidR="000159A6">
        <w:t xml:space="preserve"> </w:t>
      </w:r>
      <w:r w:rsidRPr="005C0A6F">
        <w:t>no</w:t>
      </w:r>
      <w:r w:rsidR="000159A6">
        <w:t xml:space="preserve"> </w:t>
      </w:r>
      <w:r w:rsidRPr="005C0A6F">
        <w:t>data</w:t>
      </w:r>
      <w:r w:rsidR="000159A6">
        <w:t xml:space="preserve"> </w:t>
      </w:r>
      <w:r w:rsidRPr="005C0A6F">
        <w:t>in</w:t>
      </w:r>
      <w:r w:rsidR="000159A6">
        <w:t xml:space="preserve"> </w:t>
      </w:r>
      <w:r w:rsidRPr="005C0A6F">
        <w:t>pregnant</w:t>
      </w:r>
      <w:r w:rsidR="000159A6">
        <w:t xml:space="preserve"> </w:t>
      </w:r>
      <w:r w:rsidRPr="005C0A6F">
        <w:t>or</w:t>
      </w:r>
      <w:r w:rsidR="000159A6">
        <w:t xml:space="preserve"> </w:t>
      </w:r>
      <w:r w:rsidRPr="005C0A6F">
        <w:t>lactating</w:t>
      </w:r>
      <w:r w:rsidR="000159A6">
        <w:t xml:space="preserve"> </w:t>
      </w:r>
      <w:r w:rsidRPr="005C0A6F">
        <w:t>women</w:t>
      </w:r>
      <w:r w:rsidR="000159A6">
        <w:t xml:space="preserve"> </w:t>
      </w:r>
      <w:r w:rsidRPr="005C0A6F">
        <w:t>and</w:t>
      </w:r>
      <w:r w:rsidR="000159A6">
        <w:t xml:space="preserve"> </w:t>
      </w:r>
      <w:r w:rsidRPr="005C0A6F">
        <w:t>data</w:t>
      </w:r>
      <w:r w:rsidR="000159A6">
        <w:t xml:space="preserve"> </w:t>
      </w:r>
      <w:r w:rsidRPr="005C0A6F">
        <w:t>in</w:t>
      </w:r>
      <w:r w:rsidR="000159A6">
        <w:t xml:space="preserve"> </w:t>
      </w:r>
      <w:r w:rsidRPr="005C0A6F">
        <w:t>adults</w:t>
      </w:r>
      <w:r w:rsidR="000159A6">
        <w:t xml:space="preserve"> </w:t>
      </w:r>
      <w:r w:rsidRPr="005C0A6F">
        <w:t>under</w:t>
      </w:r>
      <w:r w:rsidR="000159A6">
        <w:t xml:space="preserve"> </w:t>
      </w:r>
      <w:r w:rsidRPr="005C0A6F">
        <w:t>50</w:t>
      </w:r>
      <w:r w:rsidR="000159A6">
        <w:t xml:space="preserve"> </w:t>
      </w:r>
      <w:r w:rsidRPr="005C0A6F">
        <w:t>years</w:t>
      </w:r>
      <w:r w:rsidR="000159A6">
        <w:t xml:space="preserve"> </w:t>
      </w:r>
      <w:r w:rsidRPr="005C0A6F">
        <w:t>of</w:t>
      </w:r>
      <w:r w:rsidR="000159A6">
        <w:t xml:space="preserve"> </w:t>
      </w:r>
      <w:r w:rsidRPr="005C0A6F">
        <w:t>age</w:t>
      </w:r>
      <w:r w:rsidR="000159A6">
        <w:t xml:space="preserve"> </w:t>
      </w:r>
      <w:r w:rsidRPr="005C0A6F">
        <w:t>are</w:t>
      </w:r>
      <w:r w:rsidR="000159A6">
        <w:t xml:space="preserve"> </w:t>
      </w:r>
      <w:r w:rsidRPr="005C0A6F">
        <w:t>limited.</w:t>
      </w:r>
      <w:r w:rsidR="000159A6">
        <w:t xml:space="preserve"> </w:t>
      </w:r>
      <w:r w:rsidRPr="005C0A6F">
        <w:t>There</w:t>
      </w:r>
      <w:r w:rsidR="000159A6">
        <w:t xml:space="preserve"> </w:t>
      </w:r>
      <w:r w:rsidRPr="005C0A6F">
        <w:t>are</w:t>
      </w:r>
      <w:r w:rsidR="000159A6">
        <w:t xml:space="preserve"> </w:t>
      </w:r>
      <w:r w:rsidRPr="005C0A6F">
        <w:t>no</w:t>
      </w:r>
      <w:r w:rsidR="000159A6">
        <w:t xml:space="preserve"> </w:t>
      </w:r>
      <w:r w:rsidRPr="005C0A6F">
        <w:t>data</w:t>
      </w:r>
      <w:r w:rsidR="000159A6">
        <w:t xml:space="preserve"> </w:t>
      </w:r>
      <w:r w:rsidRPr="005C0A6F">
        <w:t>as</w:t>
      </w:r>
      <w:r w:rsidR="000159A6">
        <w:t xml:space="preserve"> </w:t>
      </w:r>
      <w:r w:rsidRPr="005C0A6F">
        <w:t>yet</w:t>
      </w:r>
      <w:r w:rsidR="000159A6">
        <w:t xml:space="preserve"> </w:t>
      </w:r>
      <w:r w:rsidRPr="005C0A6F">
        <w:t>on</w:t>
      </w:r>
      <w:r w:rsidR="000159A6">
        <w:t xml:space="preserve"> </w:t>
      </w:r>
      <w:r w:rsidRPr="005C0A6F">
        <w:t>the</w:t>
      </w:r>
      <w:r w:rsidR="000159A6">
        <w:t xml:space="preserve"> </w:t>
      </w:r>
      <w:r w:rsidRPr="005C0A6F">
        <w:t>need</w:t>
      </w:r>
      <w:r w:rsidR="000159A6">
        <w:t xml:space="preserve"> </w:t>
      </w:r>
      <w:r w:rsidRPr="005C0A6F">
        <w:t>for</w:t>
      </w:r>
      <w:r w:rsidR="000159A6">
        <w:t xml:space="preserve"> </w:t>
      </w:r>
      <w:r w:rsidRPr="005C0A6F">
        <w:t>or</w:t>
      </w:r>
      <w:r w:rsidR="000159A6">
        <w:t xml:space="preserve"> </w:t>
      </w:r>
      <w:r w:rsidRPr="005C0A6F">
        <w:t>safety</w:t>
      </w:r>
      <w:r w:rsidR="000159A6">
        <w:t xml:space="preserve"> </w:t>
      </w:r>
      <w:r w:rsidRPr="005C0A6F">
        <w:t>of</w:t>
      </w:r>
      <w:r w:rsidR="000159A6">
        <w:t xml:space="preserve"> </w:t>
      </w:r>
      <w:r w:rsidRPr="005C0A6F">
        <w:t>a</w:t>
      </w:r>
      <w:r w:rsidR="000159A6">
        <w:t xml:space="preserve"> </w:t>
      </w:r>
      <w:r w:rsidRPr="005C0A6F">
        <w:t>booster</w:t>
      </w:r>
      <w:r w:rsidR="000159A6">
        <w:t xml:space="preserve"> </w:t>
      </w:r>
      <w:r w:rsidRPr="005C0A6F">
        <w:t>dose</w:t>
      </w:r>
      <w:r w:rsidR="000159A6">
        <w:t xml:space="preserve"> </w:t>
      </w:r>
      <w:r w:rsidRPr="005C0A6F">
        <w:t>of</w:t>
      </w:r>
      <w:r w:rsidR="000159A6">
        <w:t xml:space="preserve"> </w:t>
      </w:r>
      <w:r w:rsidRPr="005C0A6F">
        <w:t>vaccine.</w:t>
      </w:r>
    </w:p>
    <w:p w14:paraId="51953345" w14:textId="7085A58E" w:rsidR="00FF12AA" w:rsidRDefault="005C0A6F" w:rsidP="005C0A6F">
      <w:r w:rsidRPr="005C0A6F">
        <w:t>HZ/</w:t>
      </w:r>
      <w:proofErr w:type="spellStart"/>
      <w:r w:rsidRPr="005C0A6F">
        <w:t>su</w:t>
      </w:r>
      <w:proofErr w:type="spellEnd"/>
      <w:r w:rsidR="000159A6">
        <w:t xml:space="preserve"> </w:t>
      </w:r>
      <w:r w:rsidRPr="005C0A6F">
        <w:t>given</w:t>
      </w:r>
      <w:r w:rsidR="000159A6">
        <w:t xml:space="preserve"> </w:t>
      </w:r>
      <w:r w:rsidRPr="005C0A6F">
        <w:t>with</w:t>
      </w:r>
      <w:r w:rsidR="000159A6">
        <w:t xml:space="preserve"> </w:t>
      </w:r>
      <w:proofErr w:type="spellStart"/>
      <w:r w:rsidRPr="005C0A6F">
        <w:t>quadrivalent</w:t>
      </w:r>
      <w:proofErr w:type="spellEnd"/>
      <w:r w:rsidR="000159A6">
        <w:t xml:space="preserve"> </w:t>
      </w:r>
      <w:r w:rsidRPr="005C0A6F">
        <w:t>seasonal</w:t>
      </w:r>
      <w:r w:rsidR="000159A6">
        <w:t xml:space="preserve"> </w:t>
      </w:r>
      <w:r w:rsidRPr="005C0A6F">
        <w:t>influenza</w:t>
      </w:r>
      <w:r w:rsidR="000159A6">
        <w:t xml:space="preserve"> </w:t>
      </w:r>
      <w:r w:rsidRPr="005C0A6F">
        <w:t>vaccine</w:t>
      </w:r>
      <w:r w:rsidR="000159A6">
        <w:t xml:space="preserve"> </w:t>
      </w:r>
      <w:r w:rsidRPr="005C0A6F">
        <w:t>increased</w:t>
      </w:r>
      <w:r w:rsidR="000159A6">
        <w:t xml:space="preserve"> </w:t>
      </w:r>
      <w:r w:rsidRPr="005C0A6F">
        <w:t>local</w:t>
      </w:r>
      <w:r w:rsidR="000159A6">
        <w:t xml:space="preserve"> </w:t>
      </w:r>
      <w:r w:rsidRPr="005C0A6F">
        <w:t>and</w:t>
      </w:r>
      <w:r w:rsidR="000159A6">
        <w:t xml:space="preserve"> </w:t>
      </w:r>
      <w:r w:rsidRPr="005C0A6F">
        <w:t>general</w:t>
      </w:r>
      <w:r w:rsidR="000159A6">
        <w:t xml:space="preserve"> </w:t>
      </w:r>
      <w:r w:rsidRPr="005C0A6F">
        <w:t>solicited</w:t>
      </w:r>
      <w:r w:rsidR="000159A6">
        <w:t xml:space="preserve"> </w:t>
      </w:r>
      <w:r w:rsidRPr="005C0A6F">
        <w:t>symptom</w:t>
      </w:r>
      <w:r w:rsidR="000159A6">
        <w:t xml:space="preserve"> </w:t>
      </w:r>
      <w:r w:rsidRPr="005C0A6F">
        <w:t>rates</w:t>
      </w:r>
      <w:r w:rsidR="000159A6">
        <w:t xml:space="preserve"> </w:t>
      </w:r>
      <w:r w:rsidRPr="005C0A6F">
        <w:t>and</w:t>
      </w:r>
      <w:r w:rsidR="000159A6">
        <w:t xml:space="preserve"> </w:t>
      </w:r>
      <w:r w:rsidRPr="005C0A6F">
        <w:t>it</w:t>
      </w:r>
      <w:r w:rsidR="000159A6">
        <w:t xml:space="preserve"> </w:t>
      </w:r>
      <w:r w:rsidRPr="005C0A6F">
        <w:t>is</w:t>
      </w:r>
      <w:r w:rsidR="000159A6">
        <w:t xml:space="preserve"> </w:t>
      </w:r>
      <w:r w:rsidRPr="005C0A6F">
        <w:t>recommended</w:t>
      </w:r>
      <w:r w:rsidR="000159A6">
        <w:t xml:space="preserve"> </w:t>
      </w:r>
      <w:r w:rsidRPr="005C0A6F">
        <w:t>that</w:t>
      </w:r>
      <w:r w:rsidR="000159A6">
        <w:t xml:space="preserve"> </w:t>
      </w:r>
      <w:r w:rsidRPr="005C0A6F">
        <w:t>this</w:t>
      </w:r>
      <w:r w:rsidR="000159A6">
        <w:t xml:space="preserve"> </w:t>
      </w:r>
      <w:r w:rsidRPr="005C0A6F">
        <w:t>is</w:t>
      </w:r>
      <w:r w:rsidR="000159A6">
        <w:t xml:space="preserve"> </w:t>
      </w:r>
      <w:r w:rsidRPr="005C0A6F">
        <w:t>noted</w:t>
      </w:r>
      <w:r w:rsidR="000159A6">
        <w:t xml:space="preserve"> </w:t>
      </w:r>
      <w:r w:rsidRPr="005C0A6F">
        <w:t>in</w:t>
      </w:r>
      <w:r w:rsidR="000159A6">
        <w:t xml:space="preserve"> </w:t>
      </w:r>
      <w:r w:rsidRPr="005C0A6F">
        <w:t>the</w:t>
      </w:r>
      <w:r w:rsidR="000159A6">
        <w:t xml:space="preserve"> </w:t>
      </w:r>
      <w:r w:rsidRPr="005C0A6F">
        <w:t>PI</w:t>
      </w:r>
      <w:r w:rsidR="00FF12AA">
        <w:t>.</w:t>
      </w:r>
    </w:p>
    <w:p w14:paraId="02A8D7F9" w14:textId="078E0AEA" w:rsidR="005C0A6F" w:rsidRDefault="00386150" w:rsidP="00440509">
      <w:pPr>
        <w:pStyle w:val="Heading3"/>
        <w:rPr>
          <w:lang w:eastAsia="en-AU"/>
        </w:rPr>
      </w:pPr>
      <w:bookmarkStart w:id="252" w:name="_Toc1049829"/>
      <w:r>
        <w:rPr>
          <w:lang w:eastAsia="en-AU"/>
        </w:rPr>
        <w:t>Risk</w:t>
      </w:r>
      <w:r w:rsidR="000159A6">
        <w:rPr>
          <w:lang w:eastAsia="en-AU"/>
        </w:rPr>
        <w:t xml:space="preserve"> </w:t>
      </w:r>
      <w:r w:rsidRPr="00440509">
        <w:t>m</w:t>
      </w:r>
      <w:r w:rsidR="008E7846" w:rsidRPr="00440509">
        <w:t>anagement</w:t>
      </w:r>
      <w:r w:rsidR="000159A6">
        <w:rPr>
          <w:lang w:eastAsia="en-AU"/>
        </w:rPr>
        <w:t xml:space="preserve"> </w:t>
      </w:r>
      <w:r>
        <w:rPr>
          <w:lang w:eastAsia="en-AU"/>
        </w:rPr>
        <w:t>p</w:t>
      </w:r>
      <w:r w:rsidR="008E7846">
        <w:rPr>
          <w:lang w:eastAsia="en-AU"/>
        </w:rPr>
        <w:t>lan</w:t>
      </w:r>
      <w:bookmarkEnd w:id="246"/>
      <w:bookmarkEnd w:id="252"/>
    </w:p>
    <w:p w14:paraId="134047B8" w14:textId="08689F94" w:rsidR="00FF12AA" w:rsidRDefault="005C0A6F" w:rsidP="00440509">
      <w:r w:rsidRPr="005C0A6F">
        <w:t>The</w:t>
      </w:r>
      <w:r w:rsidR="000159A6">
        <w:t xml:space="preserve"> </w:t>
      </w:r>
      <w:r w:rsidR="00733CE8">
        <w:t>second</w:t>
      </w:r>
      <w:r w:rsidR="000159A6">
        <w:t xml:space="preserve"> </w:t>
      </w:r>
      <w:r w:rsidRPr="005C0A6F">
        <w:t>round</w:t>
      </w:r>
      <w:r w:rsidR="000159A6">
        <w:t xml:space="preserve"> </w:t>
      </w:r>
      <w:r w:rsidRPr="005C0A6F">
        <w:t>RMP</w:t>
      </w:r>
      <w:r w:rsidR="000159A6">
        <w:t xml:space="preserve"> </w:t>
      </w:r>
      <w:r w:rsidRPr="005C0A6F">
        <w:t>evaluation</w:t>
      </w:r>
      <w:r w:rsidR="000159A6">
        <w:t xml:space="preserve"> </w:t>
      </w:r>
      <w:r w:rsidRPr="005C0A6F">
        <w:t>report</w:t>
      </w:r>
      <w:r w:rsidR="000159A6">
        <w:t xml:space="preserve"> </w:t>
      </w:r>
      <w:r w:rsidR="00733CE8">
        <w:t>was</w:t>
      </w:r>
      <w:r w:rsidR="000159A6">
        <w:t xml:space="preserve"> </w:t>
      </w:r>
      <w:r w:rsidRPr="005C0A6F">
        <w:t>included</w:t>
      </w:r>
      <w:r w:rsidR="000159A6">
        <w:t xml:space="preserve"> </w:t>
      </w:r>
      <w:r w:rsidRPr="005C0A6F">
        <w:t>for</w:t>
      </w:r>
      <w:r w:rsidR="000159A6">
        <w:t xml:space="preserve"> </w:t>
      </w:r>
      <w:r w:rsidR="005B2FA5">
        <w:t>an</w:t>
      </w:r>
      <w:r w:rsidR="000159A6">
        <w:t xml:space="preserve"> </w:t>
      </w:r>
      <w:r w:rsidRPr="005C0A6F">
        <w:t>ACV</w:t>
      </w:r>
      <w:r w:rsidR="000159A6">
        <w:t xml:space="preserve"> </w:t>
      </w:r>
      <w:r w:rsidRPr="005C0A6F">
        <w:t>meeting.</w:t>
      </w:r>
      <w:r w:rsidR="000159A6">
        <w:t xml:space="preserve"> </w:t>
      </w:r>
      <w:r w:rsidRPr="005C0A6F">
        <w:t>Of</w:t>
      </w:r>
      <w:r w:rsidR="000159A6">
        <w:t xml:space="preserve"> </w:t>
      </w:r>
      <w:r w:rsidRPr="005C0A6F">
        <w:t>note,</w:t>
      </w:r>
      <w:r w:rsidR="000159A6">
        <w:t xml:space="preserve"> </w:t>
      </w:r>
      <w:r w:rsidRPr="005C0A6F">
        <w:t>t</w:t>
      </w:r>
      <w:r w:rsidR="00733CE8">
        <w:t>he</w:t>
      </w:r>
      <w:r w:rsidR="000159A6">
        <w:t xml:space="preserve"> </w:t>
      </w:r>
      <w:r w:rsidR="00733CE8">
        <w:t>evaluator</w:t>
      </w:r>
      <w:r w:rsidR="000159A6">
        <w:t xml:space="preserve"> </w:t>
      </w:r>
      <w:r w:rsidR="00733CE8">
        <w:t>recommends</w:t>
      </w:r>
      <w:r w:rsidR="000159A6">
        <w:t xml:space="preserve"> </w:t>
      </w:r>
      <w:r w:rsidR="00733CE8">
        <w:t>to</w:t>
      </w:r>
      <w:r w:rsidR="000159A6">
        <w:t xml:space="preserve"> </w:t>
      </w:r>
      <w:r w:rsidR="00733CE8">
        <w:t>the</w:t>
      </w:r>
      <w:r w:rsidR="000159A6">
        <w:t xml:space="preserve"> </w:t>
      </w:r>
      <w:r w:rsidR="00733CE8">
        <w:t>D</w:t>
      </w:r>
      <w:r w:rsidRPr="005C0A6F">
        <w:t>elegate</w:t>
      </w:r>
      <w:r w:rsidR="000159A6">
        <w:t xml:space="preserve"> </w:t>
      </w:r>
      <w:r w:rsidRPr="005C0A6F">
        <w:t>that</w:t>
      </w:r>
      <w:r w:rsidR="000159A6">
        <w:t xml:space="preserve"> </w:t>
      </w:r>
      <w:r w:rsidRPr="005C0A6F">
        <w:t>the</w:t>
      </w:r>
      <w:r w:rsidR="000159A6">
        <w:t xml:space="preserve"> </w:t>
      </w:r>
      <w:r w:rsidRPr="005C0A6F">
        <w:t>PI</w:t>
      </w:r>
      <w:r w:rsidR="000159A6">
        <w:t xml:space="preserve"> </w:t>
      </w:r>
      <w:r w:rsidRPr="005C0A6F">
        <w:t>should</w:t>
      </w:r>
      <w:r w:rsidR="000159A6">
        <w:t xml:space="preserve"> </w:t>
      </w:r>
      <w:r w:rsidRPr="005C0A6F">
        <w:t>include</w:t>
      </w:r>
      <w:r w:rsidR="000159A6">
        <w:t xml:space="preserve"> </w:t>
      </w:r>
      <w:r w:rsidRPr="005C0A6F">
        <w:t>a</w:t>
      </w:r>
      <w:r w:rsidR="000159A6">
        <w:t xml:space="preserve"> </w:t>
      </w:r>
      <w:r w:rsidRPr="005C0A6F">
        <w:t>precaution</w:t>
      </w:r>
      <w:r w:rsidR="000159A6">
        <w:t xml:space="preserve"> </w:t>
      </w:r>
      <w:r w:rsidRPr="005C0A6F">
        <w:t>statement</w:t>
      </w:r>
      <w:r w:rsidR="000159A6">
        <w:t xml:space="preserve"> </w:t>
      </w:r>
      <w:r w:rsidRPr="005C0A6F">
        <w:t>such</w:t>
      </w:r>
      <w:r w:rsidR="000159A6">
        <w:t xml:space="preserve"> </w:t>
      </w:r>
      <w:r w:rsidRPr="005C0A6F">
        <w:t>as</w:t>
      </w:r>
      <w:r w:rsidR="000159A6">
        <w:t xml:space="preserve"> </w:t>
      </w:r>
      <w:r w:rsidRPr="005C0A6F">
        <w:t>‘There</w:t>
      </w:r>
      <w:r w:rsidR="000159A6">
        <w:t xml:space="preserve"> </w:t>
      </w:r>
      <w:r w:rsidRPr="005C0A6F">
        <w:t>are</w:t>
      </w:r>
      <w:r w:rsidR="000159A6">
        <w:t xml:space="preserve"> </w:t>
      </w:r>
      <w:r w:rsidRPr="005C0A6F">
        <w:t>limited</w:t>
      </w:r>
      <w:r w:rsidR="000159A6">
        <w:t xml:space="preserve"> </w:t>
      </w:r>
      <w:r w:rsidRPr="005C0A6F">
        <w:t>data</w:t>
      </w:r>
      <w:r w:rsidR="000159A6">
        <w:t xml:space="preserve"> </w:t>
      </w:r>
      <w:r w:rsidRPr="005C0A6F">
        <w:t>to</w:t>
      </w:r>
      <w:r w:rsidR="000159A6">
        <w:t xml:space="preserve"> </w:t>
      </w:r>
      <w:r w:rsidRPr="005C0A6F">
        <w:t>support</w:t>
      </w:r>
      <w:r w:rsidR="000159A6">
        <w:t xml:space="preserve"> </w:t>
      </w:r>
      <w:r w:rsidRPr="005C0A6F">
        <w:t>the</w:t>
      </w:r>
      <w:r w:rsidR="000159A6">
        <w:t xml:space="preserve"> </w:t>
      </w:r>
      <w:r w:rsidRPr="005C0A6F">
        <w:t>use</w:t>
      </w:r>
      <w:r w:rsidR="000159A6">
        <w:t xml:space="preserve"> </w:t>
      </w:r>
      <w:r w:rsidRPr="005C0A6F">
        <w:t>of</w:t>
      </w:r>
      <w:r w:rsidR="000159A6">
        <w:t xml:space="preserve"> </w:t>
      </w:r>
      <w:r w:rsidRPr="005C0A6F">
        <w:t>Shingrix</w:t>
      </w:r>
      <w:r w:rsidR="000159A6">
        <w:t xml:space="preserve"> </w:t>
      </w:r>
      <w:r w:rsidRPr="005C0A6F">
        <w:t>in</w:t>
      </w:r>
      <w:r w:rsidR="000159A6">
        <w:t xml:space="preserve"> </w:t>
      </w:r>
      <w:r w:rsidRPr="005C0A6F">
        <w:t>individuals</w:t>
      </w:r>
      <w:r w:rsidR="000159A6">
        <w:t xml:space="preserve"> </w:t>
      </w:r>
      <w:r w:rsidRPr="005C0A6F">
        <w:t>with</w:t>
      </w:r>
      <w:r w:rsidR="000159A6">
        <w:t xml:space="preserve"> </w:t>
      </w:r>
      <w:r w:rsidRPr="005C0A6F">
        <w:t>a</w:t>
      </w:r>
      <w:r w:rsidR="000159A6">
        <w:t xml:space="preserve"> </w:t>
      </w:r>
      <w:r w:rsidRPr="005C0A6F">
        <w:t>history</w:t>
      </w:r>
      <w:r w:rsidR="000159A6">
        <w:t xml:space="preserve"> </w:t>
      </w:r>
      <w:r w:rsidRPr="005C0A6F">
        <w:t>of</w:t>
      </w:r>
      <w:r w:rsidR="000159A6">
        <w:t xml:space="preserve"> </w:t>
      </w:r>
      <w:r w:rsidRPr="005C0A6F">
        <w:t>HZ</w:t>
      </w:r>
      <w:r w:rsidR="000159A6">
        <w:t xml:space="preserve"> </w:t>
      </w:r>
      <w:r w:rsidRPr="005C0A6F">
        <w:t>and</w:t>
      </w:r>
      <w:r w:rsidR="000159A6">
        <w:t xml:space="preserve"> </w:t>
      </w:r>
      <w:r w:rsidRPr="005C0A6F">
        <w:t>in</w:t>
      </w:r>
      <w:r w:rsidR="000159A6">
        <w:t xml:space="preserve"> </w:t>
      </w:r>
      <w:r w:rsidRPr="005C0A6F">
        <w:t>frail</w:t>
      </w:r>
      <w:r w:rsidR="000159A6">
        <w:t xml:space="preserve"> </w:t>
      </w:r>
      <w:r w:rsidRPr="005C0A6F">
        <w:t>individuals</w:t>
      </w:r>
      <w:r w:rsidR="000159A6">
        <w:t xml:space="preserve"> </w:t>
      </w:r>
      <w:r w:rsidRPr="005C0A6F">
        <w:t>including</w:t>
      </w:r>
      <w:r w:rsidR="000159A6">
        <w:t xml:space="preserve"> </w:t>
      </w:r>
      <w:r w:rsidRPr="005C0A6F">
        <w:t>those</w:t>
      </w:r>
      <w:r w:rsidR="000159A6">
        <w:t xml:space="preserve"> </w:t>
      </w:r>
      <w:r w:rsidRPr="005C0A6F">
        <w:t>with</w:t>
      </w:r>
      <w:r w:rsidR="000159A6">
        <w:t xml:space="preserve"> </w:t>
      </w:r>
      <w:r w:rsidRPr="005C0A6F">
        <w:t>multiple</w:t>
      </w:r>
      <w:r w:rsidR="000159A6">
        <w:t xml:space="preserve"> </w:t>
      </w:r>
      <w:r w:rsidRPr="005C0A6F">
        <w:t>comorbidities</w:t>
      </w:r>
      <w:r w:rsidR="00733CE8">
        <w:t>’</w:t>
      </w:r>
      <w:r w:rsidRPr="005C0A6F">
        <w:t>.</w:t>
      </w:r>
      <w:r w:rsidR="000159A6">
        <w:t xml:space="preserve"> </w:t>
      </w:r>
      <w:r w:rsidRPr="005C0A6F">
        <w:t>The</w:t>
      </w:r>
      <w:r w:rsidR="000159A6">
        <w:t xml:space="preserve"> </w:t>
      </w:r>
      <w:r w:rsidRPr="005C0A6F">
        <w:t>evaluator</w:t>
      </w:r>
      <w:r w:rsidR="000159A6">
        <w:t xml:space="preserve"> </w:t>
      </w:r>
      <w:r w:rsidRPr="005C0A6F">
        <w:t>stated</w:t>
      </w:r>
      <w:r w:rsidR="000159A6">
        <w:t xml:space="preserve"> </w:t>
      </w:r>
      <w:r w:rsidRPr="005C0A6F">
        <w:t>in</w:t>
      </w:r>
      <w:r w:rsidR="000159A6">
        <w:t xml:space="preserve"> </w:t>
      </w:r>
      <w:r w:rsidRPr="005C0A6F">
        <w:t>the</w:t>
      </w:r>
      <w:r w:rsidR="000159A6">
        <w:t xml:space="preserve"> </w:t>
      </w:r>
      <w:r w:rsidR="00733CE8">
        <w:t>second</w:t>
      </w:r>
      <w:r w:rsidR="000159A6">
        <w:t xml:space="preserve"> </w:t>
      </w:r>
      <w:r w:rsidRPr="005C0A6F">
        <w:t>round</w:t>
      </w:r>
      <w:r w:rsidR="000159A6">
        <w:t xml:space="preserve"> </w:t>
      </w:r>
      <w:r w:rsidRPr="005C0A6F">
        <w:t>evaluation</w:t>
      </w:r>
      <w:r w:rsidR="000159A6">
        <w:t xml:space="preserve"> </w:t>
      </w:r>
      <w:r w:rsidRPr="005C0A6F">
        <w:t>that</w:t>
      </w:r>
      <w:r w:rsidR="000159A6">
        <w:t xml:space="preserve"> </w:t>
      </w:r>
      <w:r w:rsidRPr="005C0A6F">
        <w:t>the</w:t>
      </w:r>
      <w:r w:rsidR="000159A6">
        <w:t xml:space="preserve"> </w:t>
      </w:r>
      <w:r w:rsidRPr="005C0A6F">
        <w:t>sponsor</w:t>
      </w:r>
      <w:r w:rsidR="000159A6">
        <w:t xml:space="preserve"> </w:t>
      </w:r>
      <w:r w:rsidRPr="005C0A6F">
        <w:t>does</w:t>
      </w:r>
      <w:r w:rsidR="000159A6">
        <w:t xml:space="preserve"> </w:t>
      </w:r>
      <w:r w:rsidRPr="005C0A6F">
        <w:t>not</w:t>
      </w:r>
      <w:r w:rsidR="000159A6">
        <w:t xml:space="preserve"> </w:t>
      </w:r>
      <w:r w:rsidRPr="005C0A6F">
        <w:t>agree</w:t>
      </w:r>
      <w:r w:rsidR="000159A6">
        <w:t xml:space="preserve"> </w:t>
      </w:r>
      <w:r w:rsidRPr="005C0A6F">
        <w:t>to</w:t>
      </w:r>
      <w:r w:rsidR="000159A6">
        <w:t xml:space="preserve"> </w:t>
      </w:r>
      <w:r w:rsidRPr="005C0A6F">
        <w:t>the</w:t>
      </w:r>
      <w:r w:rsidR="000159A6">
        <w:t xml:space="preserve"> </w:t>
      </w:r>
      <w:r w:rsidRPr="005C0A6F">
        <w:t>inclusion</w:t>
      </w:r>
      <w:r w:rsidR="000159A6">
        <w:t xml:space="preserve"> </w:t>
      </w:r>
      <w:r w:rsidRPr="005C0A6F">
        <w:t>of</w:t>
      </w:r>
      <w:r w:rsidR="000159A6">
        <w:t xml:space="preserve"> </w:t>
      </w:r>
      <w:proofErr w:type="spellStart"/>
      <w:r w:rsidRPr="005C0A6F">
        <w:t>pIMD</w:t>
      </w:r>
      <w:proofErr w:type="spellEnd"/>
      <w:r w:rsidR="000159A6">
        <w:t xml:space="preserve"> </w:t>
      </w:r>
      <w:r w:rsidRPr="005C0A6F">
        <w:t>(potential</w:t>
      </w:r>
      <w:r w:rsidR="000159A6">
        <w:t xml:space="preserve"> </w:t>
      </w:r>
      <w:r w:rsidRPr="005C0A6F">
        <w:t>Immune</w:t>
      </w:r>
      <w:r w:rsidR="000159A6">
        <w:t xml:space="preserve"> </w:t>
      </w:r>
      <w:r w:rsidRPr="005C0A6F">
        <w:t>Mediated</w:t>
      </w:r>
      <w:r w:rsidR="000159A6">
        <w:t xml:space="preserve"> </w:t>
      </w:r>
      <w:r w:rsidRPr="005C0A6F">
        <w:t>Disorders)</w:t>
      </w:r>
      <w:r w:rsidR="000159A6">
        <w:t xml:space="preserve"> </w:t>
      </w:r>
      <w:r w:rsidRPr="005C0A6F">
        <w:t>as</w:t>
      </w:r>
      <w:r w:rsidR="000159A6">
        <w:t xml:space="preserve"> </w:t>
      </w:r>
      <w:r w:rsidRPr="005C0A6F">
        <w:t>adverse</w:t>
      </w:r>
      <w:r w:rsidR="000159A6">
        <w:t xml:space="preserve"> </w:t>
      </w:r>
      <w:r w:rsidRPr="005C0A6F">
        <w:t>events</w:t>
      </w:r>
      <w:r w:rsidR="000159A6">
        <w:t xml:space="preserve"> </w:t>
      </w:r>
      <w:r w:rsidRPr="005C0A6F">
        <w:t>in</w:t>
      </w:r>
      <w:r w:rsidR="000159A6">
        <w:t xml:space="preserve"> </w:t>
      </w:r>
      <w:r w:rsidRPr="005C0A6F">
        <w:t>the</w:t>
      </w:r>
      <w:r w:rsidR="000159A6">
        <w:t xml:space="preserve"> </w:t>
      </w:r>
      <w:r w:rsidRPr="005C0A6F">
        <w:t>PI</w:t>
      </w:r>
      <w:r w:rsidR="00FF12AA">
        <w:t>.</w:t>
      </w:r>
    </w:p>
    <w:p w14:paraId="6A00AFE5" w14:textId="57A439E4" w:rsidR="00FF12AA" w:rsidRDefault="005C0A6F" w:rsidP="005C0A6F">
      <w:r w:rsidRPr="005C0A6F">
        <w:t>In</w:t>
      </w:r>
      <w:r w:rsidR="000159A6">
        <w:t xml:space="preserve"> </w:t>
      </w:r>
      <w:r w:rsidRPr="005C0A6F">
        <w:t>the</w:t>
      </w:r>
      <w:r w:rsidR="000159A6">
        <w:t xml:space="preserve"> </w:t>
      </w:r>
      <w:r w:rsidRPr="005C0A6F">
        <w:t>sponsor’s</w:t>
      </w:r>
      <w:r w:rsidR="000159A6">
        <w:t xml:space="preserve"> </w:t>
      </w:r>
      <w:r w:rsidRPr="005C0A6F">
        <w:t>response</w:t>
      </w:r>
      <w:r w:rsidR="000159A6">
        <w:t xml:space="preserve"> </w:t>
      </w:r>
      <w:r w:rsidRPr="005C0A6F">
        <w:t>to</w:t>
      </w:r>
      <w:r w:rsidR="000159A6">
        <w:t xml:space="preserve"> </w:t>
      </w:r>
      <w:r w:rsidRPr="005C0A6F">
        <w:t>the</w:t>
      </w:r>
      <w:r w:rsidR="000159A6">
        <w:t xml:space="preserve"> </w:t>
      </w:r>
      <w:r w:rsidR="00733CE8">
        <w:t>second</w:t>
      </w:r>
      <w:r w:rsidR="000159A6">
        <w:t xml:space="preserve"> </w:t>
      </w:r>
      <w:r w:rsidRPr="005C0A6F">
        <w:t>round</w:t>
      </w:r>
      <w:r w:rsidR="000159A6">
        <w:t xml:space="preserve"> </w:t>
      </w:r>
      <w:r w:rsidRPr="005C0A6F">
        <w:t>RMP</w:t>
      </w:r>
      <w:r w:rsidR="000159A6">
        <w:t xml:space="preserve"> </w:t>
      </w:r>
      <w:r w:rsidRPr="005C0A6F">
        <w:t>evaluation</w:t>
      </w:r>
      <w:r w:rsidR="000159A6">
        <w:t xml:space="preserve"> </w:t>
      </w:r>
      <w:r w:rsidRPr="005C0A6F">
        <w:t>which</w:t>
      </w:r>
      <w:r w:rsidR="000159A6">
        <w:t xml:space="preserve"> </w:t>
      </w:r>
      <w:r w:rsidRPr="005C0A6F">
        <w:t>was</w:t>
      </w:r>
      <w:r w:rsidR="000159A6">
        <w:t xml:space="preserve"> </w:t>
      </w:r>
      <w:r w:rsidRPr="005C0A6F">
        <w:t>submitted</w:t>
      </w:r>
      <w:r w:rsidR="000159A6">
        <w:t xml:space="preserve"> </w:t>
      </w:r>
      <w:r w:rsidRPr="005C0A6F">
        <w:t>to</w:t>
      </w:r>
      <w:r w:rsidR="000159A6">
        <w:t xml:space="preserve"> </w:t>
      </w:r>
      <w:r w:rsidRPr="005C0A6F">
        <w:t>the</w:t>
      </w:r>
      <w:r w:rsidR="000159A6">
        <w:t xml:space="preserve"> </w:t>
      </w:r>
      <w:r w:rsidRPr="005C0A6F">
        <w:t>TGA</w:t>
      </w:r>
      <w:r w:rsidR="000159A6">
        <w:t xml:space="preserve"> </w:t>
      </w:r>
      <w:r w:rsidRPr="005C0A6F">
        <w:t>on</w:t>
      </w:r>
      <w:r w:rsidR="000159A6">
        <w:t xml:space="preserve"> </w:t>
      </w:r>
      <w:r w:rsidRPr="005C0A6F">
        <w:t>27</w:t>
      </w:r>
      <w:r w:rsidR="000159A6">
        <w:t xml:space="preserve"> </w:t>
      </w:r>
      <w:r w:rsidRPr="005C0A6F">
        <w:t>April</w:t>
      </w:r>
      <w:r w:rsidR="000159A6">
        <w:t xml:space="preserve"> </w:t>
      </w:r>
      <w:r w:rsidRPr="005C0A6F">
        <w:t>2018</w:t>
      </w:r>
      <w:r w:rsidR="000159A6">
        <w:t xml:space="preserve"> </w:t>
      </w:r>
      <w:r w:rsidRPr="005C0A6F">
        <w:t>(included</w:t>
      </w:r>
      <w:r w:rsidR="000159A6">
        <w:t xml:space="preserve"> </w:t>
      </w:r>
      <w:r w:rsidRPr="005C0A6F">
        <w:t>for</w:t>
      </w:r>
      <w:r w:rsidR="000159A6">
        <w:t xml:space="preserve"> </w:t>
      </w:r>
      <w:r w:rsidRPr="005C0A6F">
        <w:t>the</w:t>
      </w:r>
      <w:r w:rsidR="000159A6">
        <w:t xml:space="preserve"> </w:t>
      </w:r>
      <w:r w:rsidRPr="005C0A6F">
        <w:t>ACV</w:t>
      </w:r>
      <w:r w:rsidR="000159A6">
        <w:t xml:space="preserve"> </w:t>
      </w:r>
      <w:r w:rsidRPr="005C0A6F">
        <w:t>meeting),</w:t>
      </w:r>
      <w:r w:rsidR="000159A6">
        <w:t xml:space="preserve"> </w:t>
      </w:r>
      <w:r w:rsidRPr="005C0A6F">
        <w:t>the</w:t>
      </w:r>
      <w:r w:rsidR="000159A6">
        <w:t xml:space="preserve"> </w:t>
      </w:r>
      <w:r w:rsidRPr="005C0A6F">
        <w:t>sponsor</w:t>
      </w:r>
      <w:r w:rsidR="000159A6">
        <w:t xml:space="preserve"> </w:t>
      </w:r>
      <w:r w:rsidRPr="005C0A6F">
        <w:t>agreed</w:t>
      </w:r>
      <w:r w:rsidR="000159A6">
        <w:t xml:space="preserve"> </w:t>
      </w:r>
      <w:r w:rsidRPr="005C0A6F">
        <w:t>to</w:t>
      </w:r>
      <w:r w:rsidR="000159A6">
        <w:t xml:space="preserve"> </w:t>
      </w:r>
      <w:r w:rsidRPr="005C0A6F">
        <w:t>include</w:t>
      </w:r>
      <w:r w:rsidR="000159A6">
        <w:t xml:space="preserve"> </w:t>
      </w:r>
      <w:r w:rsidRPr="005C0A6F">
        <w:t>the</w:t>
      </w:r>
      <w:r w:rsidR="000159A6">
        <w:t xml:space="preserve"> </w:t>
      </w:r>
      <w:r w:rsidRPr="005C0A6F">
        <w:t>above</w:t>
      </w:r>
      <w:r w:rsidR="000159A6">
        <w:t xml:space="preserve"> </w:t>
      </w:r>
      <w:r w:rsidRPr="005C0A6F">
        <w:t>information</w:t>
      </w:r>
      <w:r w:rsidR="000159A6">
        <w:t xml:space="preserve"> </w:t>
      </w:r>
      <w:r w:rsidRPr="005C0A6F">
        <w:t>in</w:t>
      </w:r>
      <w:r w:rsidR="000159A6">
        <w:t xml:space="preserve"> </w:t>
      </w:r>
      <w:r w:rsidRPr="005C0A6F">
        <w:t>the</w:t>
      </w:r>
      <w:r w:rsidR="000159A6">
        <w:t xml:space="preserve"> </w:t>
      </w:r>
      <w:r w:rsidRPr="005C0A6F">
        <w:t>Shingrix</w:t>
      </w:r>
      <w:r w:rsidR="000159A6">
        <w:t xml:space="preserve"> </w:t>
      </w:r>
      <w:r w:rsidRPr="005C0A6F">
        <w:t>PI</w:t>
      </w:r>
      <w:r w:rsidR="00FF12AA">
        <w:t>.</w:t>
      </w:r>
    </w:p>
    <w:p w14:paraId="12490B1E" w14:textId="2C984E8E" w:rsidR="005C0A6F" w:rsidRPr="005C0A6F" w:rsidRDefault="005C0A6F" w:rsidP="005C0A6F">
      <w:r w:rsidRPr="005C0A6F">
        <w:t>The</w:t>
      </w:r>
      <w:r w:rsidR="000159A6">
        <w:t xml:space="preserve"> </w:t>
      </w:r>
      <w:r w:rsidRPr="005C0A6F">
        <w:t>suggested</w:t>
      </w:r>
      <w:r w:rsidR="000159A6">
        <w:t xml:space="preserve"> </w:t>
      </w:r>
      <w:r w:rsidRPr="005C0A6F">
        <w:t>wording</w:t>
      </w:r>
      <w:r w:rsidR="000159A6">
        <w:t xml:space="preserve"> </w:t>
      </w:r>
      <w:r w:rsidRPr="005C0A6F">
        <w:t>for</w:t>
      </w:r>
      <w:r w:rsidR="000159A6">
        <w:t xml:space="preserve"> </w:t>
      </w:r>
      <w:r w:rsidRPr="005C0A6F">
        <w:t>the</w:t>
      </w:r>
      <w:r w:rsidR="000159A6">
        <w:t xml:space="preserve"> </w:t>
      </w:r>
      <w:r w:rsidRPr="005C0A6F">
        <w:t>condition</w:t>
      </w:r>
      <w:r w:rsidR="000159A6">
        <w:t xml:space="preserve"> </w:t>
      </w:r>
      <w:r w:rsidRPr="005C0A6F">
        <w:t>of</w:t>
      </w:r>
      <w:r w:rsidR="000159A6">
        <w:t xml:space="preserve"> </w:t>
      </w:r>
      <w:r w:rsidRPr="005C0A6F">
        <w:t>registration</w:t>
      </w:r>
      <w:r w:rsidR="000159A6">
        <w:t xml:space="preserve"> </w:t>
      </w:r>
      <w:r w:rsidR="00733CE8">
        <w:t>was</w:t>
      </w:r>
      <w:r w:rsidR="000159A6">
        <w:t xml:space="preserve"> </w:t>
      </w:r>
      <w:r w:rsidR="00733CE8">
        <w:t>provided</w:t>
      </w:r>
      <w:r w:rsidRPr="005C0A6F">
        <w:t>.</w:t>
      </w:r>
    </w:p>
    <w:p w14:paraId="75965780" w14:textId="2E8BC2A9" w:rsidR="008E7846" w:rsidRPr="00E021B7" w:rsidRDefault="00AA0ED0" w:rsidP="00440509">
      <w:pPr>
        <w:pStyle w:val="Heading3"/>
      </w:pPr>
      <w:bookmarkStart w:id="253" w:name="_Toc247691531"/>
      <w:bookmarkStart w:id="254" w:name="_Toc314842515"/>
      <w:bookmarkStart w:id="255" w:name="_Toc196046505"/>
      <w:bookmarkStart w:id="256" w:name="_Toc196046949"/>
      <w:bookmarkStart w:id="257" w:name="_Toc1049830"/>
      <w:r w:rsidRPr="00E021B7">
        <w:lastRenderedPageBreak/>
        <w:t>Risk-benefit</w:t>
      </w:r>
      <w:r w:rsidR="000159A6" w:rsidRPr="00E021B7">
        <w:t xml:space="preserve"> </w:t>
      </w:r>
      <w:r w:rsidRPr="00440509">
        <w:t>a</w:t>
      </w:r>
      <w:r w:rsidR="008E7846" w:rsidRPr="00440509">
        <w:t>nalysis</w:t>
      </w:r>
      <w:bookmarkEnd w:id="253"/>
      <w:bookmarkEnd w:id="254"/>
      <w:bookmarkEnd w:id="257"/>
    </w:p>
    <w:p w14:paraId="0670450D" w14:textId="16A0C820" w:rsidR="005C0A6F" w:rsidRPr="00E021B7" w:rsidRDefault="00733CE8" w:rsidP="00E021B7">
      <w:pPr>
        <w:pStyle w:val="Heading4"/>
      </w:pPr>
      <w:r w:rsidRPr="00E021B7">
        <w:t>Delegate’s</w:t>
      </w:r>
      <w:r w:rsidR="000159A6" w:rsidRPr="00E021B7">
        <w:t xml:space="preserve"> </w:t>
      </w:r>
      <w:r w:rsidRPr="00E021B7">
        <w:t>considerations</w:t>
      </w:r>
    </w:p>
    <w:p w14:paraId="6DED2FB1" w14:textId="68FE7248" w:rsidR="005C0A6F" w:rsidRPr="005C0A6F" w:rsidRDefault="005C0A6F" w:rsidP="00440509">
      <w:r w:rsidRPr="005C0A6F">
        <w:t>In</w:t>
      </w:r>
      <w:r w:rsidR="000159A6">
        <w:t xml:space="preserve"> </w:t>
      </w:r>
      <w:r w:rsidRPr="005C0A6F">
        <w:t>the</w:t>
      </w:r>
      <w:r w:rsidR="000159A6">
        <w:t xml:space="preserve"> </w:t>
      </w:r>
      <w:r w:rsidRPr="005C0A6F">
        <w:t>submitted</w:t>
      </w:r>
      <w:r w:rsidR="000159A6">
        <w:t xml:space="preserve"> </w:t>
      </w:r>
      <w:r w:rsidRPr="005C0A6F">
        <w:t>pivotal</w:t>
      </w:r>
      <w:r w:rsidR="000159A6">
        <w:t xml:space="preserve"> </w:t>
      </w:r>
      <w:r w:rsidRPr="005C0A6F">
        <w:t>studies,</w:t>
      </w:r>
      <w:r w:rsidR="000159A6">
        <w:t xml:space="preserve"> </w:t>
      </w:r>
      <w:r w:rsidRPr="005C0A6F">
        <w:t>Shingrix</w:t>
      </w:r>
      <w:r w:rsidR="000159A6">
        <w:t xml:space="preserve"> </w:t>
      </w:r>
      <w:r w:rsidRPr="005C0A6F">
        <w:t>demonstrated</w:t>
      </w:r>
      <w:r w:rsidR="000159A6">
        <w:t xml:space="preserve"> </w:t>
      </w:r>
      <w:r w:rsidRPr="005C0A6F">
        <w:t>a</w:t>
      </w:r>
      <w:r w:rsidR="000159A6">
        <w:t xml:space="preserve"> </w:t>
      </w:r>
      <w:r w:rsidRPr="005C0A6F">
        <w:t>high</w:t>
      </w:r>
      <w:r w:rsidR="000159A6">
        <w:t xml:space="preserve"> </w:t>
      </w:r>
      <w:r w:rsidRPr="005C0A6F">
        <w:t>efficacy</w:t>
      </w:r>
      <w:r w:rsidR="000159A6">
        <w:t xml:space="preserve"> </w:t>
      </w:r>
      <w:r w:rsidRPr="005C0A6F">
        <w:t>against</w:t>
      </w:r>
      <w:r w:rsidR="000159A6">
        <w:t xml:space="preserve"> </w:t>
      </w:r>
      <w:r w:rsidRPr="005C0A6F">
        <w:t>herpes</w:t>
      </w:r>
      <w:r w:rsidR="000159A6">
        <w:t xml:space="preserve"> </w:t>
      </w:r>
      <w:r w:rsidRPr="005C0A6F">
        <w:t>zoster</w:t>
      </w:r>
      <w:r w:rsidR="000159A6">
        <w:t xml:space="preserve"> </w:t>
      </w:r>
      <w:r w:rsidRPr="005C0A6F">
        <w:t>of</w:t>
      </w:r>
      <w:r w:rsidR="000159A6">
        <w:t xml:space="preserve"> </w:t>
      </w:r>
      <w:r w:rsidRPr="005C0A6F">
        <w:t>about</w:t>
      </w:r>
      <w:r w:rsidR="000159A6">
        <w:t xml:space="preserve"> </w:t>
      </w:r>
      <w:r w:rsidRPr="005C0A6F">
        <w:t>97%</w:t>
      </w:r>
      <w:r w:rsidR="000159A6">
        <w:t xml:space="preserve"> </w:t>
      </w:r>
      <w:r w:rsidRPr="005C0A6F">
        <w:t>in</w:t>
      </w:r>
      <w:r w:rsidR="000159A6">
        <w:t xml:space="preserve"> </w:t>
      </w:r>
      <w:r w:rsidRPr="005C0A6F">
        <w:t>adults</w:t>
      </w:r>
      <w:r w:rsidR="000159A6">
        <w:t xml:space="preserve"> </w:t>
      </w:r>
      <w:r w:rsidRPr="005C0A6F">
        <w:t>50</w:t>
      </w:r>
      <w:r w:rsidR="000159A6">
        <w:t xml:space="preserve"> </w:t>
      </w:r>
      <w:r w:rsidRPr="005C0A6F">
        <w:t>years</w:t>
      </w:r>
      <w:r w:rsidR="000159A6">
        <w:t xml:space="preserve"> </w:t>
      </w:r>
      <w:r w:rsidRPr="005C0A6F">
        <w:t>and</w:t>
      </w:r>
      <w:r w:rsidR="000159A6">
        <w:t xml:space="preserve"> </w:t>
      </w:r>
      <w:r w:rsidRPr="005C0A6F">
        <w:t>older</w:t>
      </w:r>
      <w:r w:rsidR="000159A6">
        <w:t xml:space="preserve"> </w:t>
      </w:r>
      <w:r w:rsidRPr="005C0A6F">
        <w:t>and</w:t>
      </w:r>
      <w:r w:rsidR="000159A6">
        <w:t xml:space="preserve"> </w:t>
      </w:r>
      <w:r w:rsidRPr="005C0A6F">
        <w:t>importantly</w:t>
      </w:r>
      <w:r w:rsidR="000159A6">
        <w:t xml:space="preserve"> </w:t>
      </w:r>
      <w:r w:rsidRPr="005C0A6F">
        <w:t>a</w:t>
      </w:r>
      <w:r w:rsidR="000159A6">
        <w:t xml:space="preserve"> </w:t>
      </w:r>
      <w:r w:rsidRPr="005C0A6F">
        <w:t>high</w:t>
      </w:r>
      <w:r w:rsidR="000159A6">
        <w:t xml:space="preserve"> </w:t>
      </w:r>
      <w:r w:rsidRPr="005C0A6F">
        <w:t>efficacy</w:t>
      </w:r>
      <w:r w:rsidR="000159A6">
        <w:t xml:space="preserve"> </w:t>
      </w:r>
      <w:r w:rsidRPr="005C0A6F">
        <w:t>of</w:t>
      </w:r>
      <w:r w:rsidR="000159A6">
        <w:t xml:space="preserve"> </w:t>
      </w:r>
      <w:r w:rsidRPr="005C0A6F">
        <w:t>about</w:t>
      </w:r>
      <w:r w:rsidR="000159A6">
        <w:t xml:space="preserve"> </w:t>
      </w:r>
      <w:r w:rsidRPr="005C0A6F">
        <w:t>91%</w:t>
      </w:r>
      <w:r w:rsidR="000159A6">
        <w:t xml:space="preserve"> </w:t>
      </w:r>
      <w:r w:rsidRPr="005C0A6F">
        <w:t>in</w:t>
      </w:r>
      <w:r w:rsidR="000159A6">
        <w:t xml:space="preserve"> </w:t>
      </w:r>
      <w:r w:rsidRPr="005C0A6F">
        <w:t>those</w:t>
      </w:r>
      <w:r w:rsidR="000159A6">
        <w:t xml:space="preserve"> </w:t>
      </w:r>
      <w:r w:rsidRPr="005C0A6F">
        <w:t>aged</w:t>
      </w:r>
      <w:r w:rsidR="000159A6">
        <w:t xml:space="preserve"> </w:t>
      </w:r>
      <w:r w:rsidRPr="005C0A6F">
        <w:t>70</w:t>
      </w:r>
      <w:r w:rsidR="000159A6">
        <w:t xml:space="preserve"> </w:t>
      </w:r>
      <w:r w:rsidRPr="005C0A6F">
        <w:t>years</w:t>
      </w:r>
      <w:r w:rsidR="000159A6">
        <w:t xml:space="preserve"> </w:t>
      </w:r>
      <w:r w:rsidRPr="005C0A6F">
        <w:t>and</w:t>
      </w:r>
      <w:r w:rsidR="000159A6">
        <w:t xml:space="preserve"> </w:t>
      </w:r>
      <w:r w:rsidRPr="005C0A6F">
        <w:t>older.</w:t>
      </w:r>
      <w:r w:rsidR="000159A6">
        <w:t xml:space="preserve"> </w:t>
      </w:r>
      <w:r w:rsidRPr="005C0A6F">
        <w:t>The</w:t>
      </w:r>
      <w:r w:rsidR="000159A6">
        <w:t xml:space="preserve"> </w:t>
      </w:r>
      <w:r w:rsidRPr="005C0A6F">
        <w:t>currently</w:t>
      </w:r>
      <w:r w:rsidR="000159A6">
        <w:t xml:space="preserve"> </w:t>
      </w:r>
      <w:r w:rsidRPr="005C0A6F">
        <w:t>available</w:t>
      </w:r>
      <w:r w:rsidR="000159A6">
        <w:t xml:space="preserve"> </w:t>
      </w:r>
      <w:r w:rsidRPr="005C0A6F">
        <w:t>zoster</w:t>
      </w:r>
      <w:r w:rsidR="000159A6">
        <w:t xml:space="preserve"> </w:t>
      </w:r>
      <w:r w:rsidRPr="005C0A6F">
        <w:t>vaccine,</w:t>
      </w:r>
      <w:r w:rsidR="000159A6">
        <w:t xml:space="preserve"> </w:t>
      </w:r>
      <w:r w:rsidRPr="005C0A6F">
        <w:t>Zostavax,</w:t>
      </w:r>
      <w:r w:rsidR="000159A6">
        <w:t xml:space="preserve"> </w:t>
      </w:r>
      <w:r w:rsidRPr="005C0A6F">
        <w:t>has</w:t>
      </w:r>
      <w:r w:rsidR="000159A6">
        <w:t xml:space="preserve"> </w:t>
      </w:r>
      <w:r w:rsidRPr="005C0A6F">
        <w:t>a</w:t>
      </w:r>
      <w:r w:rsidR="000159A6">
        <w:t xml:space="preserve"> </w:t>
      </w:r>
      <w:r w:rsidRPr="005C0A6F">
        <w:t>lower</w:t>
      </w:r>
      <w:r w:rsidR="000159A6">
        <w:t xml:space="preserve"> </w:t>
      </w:r>
      <w:r w:rsidRPr="005C0A6F">
        <w:t>reported</w:t>
      </w:r>
      <w:r w:rsidR="000159A6">
        <w:t xml:space="preserve"> </w:t>
      </w:r>
      <w:r w:rsidRPr="005C0A6F">
        <w:t>efficacy</w:t>
      </w:r>
      <w:r w:rsidR="000159A6">
        <w:t xml:space="preserve"> </w:t>
      </w:r>
      <w:r w:rsidRPr="005C0A6F">
        <w:t>particularly</w:t>
      </w:r>
      <w:r w:rsidR="000159A6">
        <w:t xml:space="preserve"> </w:t>
      </w:r>
      <w:r w:rsidRPr="005C0A6F">
        <w:t>in</w:t>
      </w:r>
      <w:r w:rsidR="000159A6">
        <w:t xml:space="preserve"> </w:t>
      </w:r>
      <w:r w:rsidRPr="005C0A6F">
        <w:t>those</w:t>
      </w:r>
      <w:r w:rsidR="000159A6">
        <w:t xml:space="preserve"> </w:t>
      </w:r>
      <w:r w:rsidRPr="005C0A6F">
        <w:t>aged</w:t>
      </w:r>
      <w:r w:rsidR="000159A6">
        <w:t xml:space="preserve"> </w:t>
      </w:r>
      <w:r w:rsidR="0037169B">
        <w:t>≥</w:t>
      </w:r>
      <w:r w:rsidR="000159A6">
        <w:t xml:space="preserve"> </w:t>
      </w:r>
      <w:r w:rsidRPr="005C0A6F">
        <w:t>70</w:t>
      </w:r>
      <w:r w:rsidR="000159A6">
        <w:t xml:space="preserve"> </w:t>
      </w:r>
      <w:r w:rsidRPr="005C0A6F">
        <w:t>years.</w:t>
      </w:r>
      <w:r w:rsidR="000159A6">
        <w:t xml:space="preserve"> </w:t>
      </w:r>
      <w:r w:rsidRPr="005C0A6F">
        <w:t>While</w:t>
      </w:r>
      <w:r w:rsidR="000159A6">
        <w:t xml:space="preserve"> </w:t>
      </w:r>
      <w:r w:rsidRPr="005C0A6F">
        <w:t>there</w:t>
      </w:r>
      <w:r w:rsidR="000159A6">
        <w:t xml:space="preserve"> </w:t>
      </w:r>
      <w:r w:rsidRPr="005C0A6F">
        <w:t>are</w:t>
      </w:r>
      <w:r w:rsidR="000159A6">
        <w:t xml:space="preserve"> </w:t>
      </w:r>
      <w:r w:rsidRPr="005C0A6F">
        <w:t>no</w:t>
      </w:r>
      <w:r w:rsidR="000159A6">
        <w:t xml:space="preserve"> </w:t>
      </w:r>
      <w:r w:rsidRPr="005C0A6F">
        <w:t>head-to-head</w:t>
      </w:r>
      <w:r w:rsidR="000159A6">
        <w:t xml:space="preserve"> </w:t>
      </w:r>
      <w:r w:rsidRPr="005C0A6F">
        <w:t>comparisons,</w:t>
      </w:r>
      <w:r w:rsidR="000159A6">
        <w:t xml:space="preserve"> </w:t>
      </w:r>
      <w:r w:rsidRPr="005C0A6F">
        <w:t>the</w:t>
      </w:r>
      <w:r w:rsidR="000159A6">
        <w:t xml:space="preserve"> </w:t>
      </w:r>
      <w:r w:rsidRPr="005C0A6F">
        <w:t>efficacy</w:t>
      </w:r>
      <w:r w:rsidR="000159A6">
        <w:t xml:space="preserve"> </w:t>
      </w:r>
      <w:r w:rsidRPr="005C0A6F">
        <w:t>results</w:t>
      </w:r>
      <w:r w:rsidR="000159A6">
        <w:t xml:space="preserve"> </w:t>
      </w:r>
      <w:r w:rsidRPr="005C0A6F">
        <w:t>in</w:t>
      </w:r>
      <w:r w:rsidR="000159A6">
        <w:t xml:space="preserve"> </w:t>
      </w:r>
      <w:r w:rsidRPr="005C0A6F">
        <w:t>this</w:t>
      </w:r>
      <w:r w:rsidR="000159A6">
        <w:t xml:space="preserve"> </w:t>
      </w:r>
      <w:r w:rsidRPr="005C0A6F">
        <w:t>dossier</w:t>
      </w:r>
      <w:r w:rsidR="000159A6">
        <w:t xml:space="preserve"> </w:t>
      </w:r>
      <w:r w:rsidRPr="005C0A6F">
        <w:t>for</w:t>
      </w:r>
      <w:r w:rsidR="000159A6">
        <w:t xml:space="preserve"> </w:t>
      </w:r>
      <w:r w:rsidRPr="005C0A6F">
        <w:t>Shingrix</w:t>
      </w:r>
      <w:r w:rsidR="000159A6">
        <w:t xml:space="preserve"> </w:t>
      </w:r>
      <w:r w:rsidRPr="005C0A6F">
        <w:t>are</w:t>
      </w:r>
      <w:r w:rsidR="000159A6">
        <w:t xml:space="preserve"> </w:t>
      </w:r>
      <w:r w:rsidRPr="005C0A6F">
        <w:t>compelling.</w:t>
      </w:r>
    </w:p>
    <w:p w14:paraId="5D4D381D" w14:textId="44EF267B" w:rsidR="00FF12AA" w:rsidRDefault="005C0A6F" w:rsidP="005C0A6F">
      <w:r w:rsidRPr="005C0A6F">
        <w:t>In</w:t>
      </w:r>
      <w:r w:rsidR="000159A6">
        <w:t xml:space="preserve"> </w:t>
      </w:r>
      <w:r w:rsidRPr="005C0A6F">
        <w:t>terms</w:t>
      </w:r>
      <w:r w:rsidR="000159A6">
        <w:t xml:space="preserve"> </w:t>
      </w:r>
      <w:r w:rsidRPr="005C0A6F">
        <w:t>of</w:t>
      </w:r>
      <w:r w:rsidR="000159A6">
        <w:t xml:space="preserve"> </w:t>
      </w:r>
      <w:r w:rsidRPr="005C0A6F">
        <w:t>efficacy</w:t>
      </w:r>
      <w:r w:rsidR="000159A6">
        <w:t xml:space="preserve"> </w:t>
      </w:r>
      <w:r w:rsidRPr="005C0A6F">
        <w:t>against</w:t>
      </w:r>
      <w:r w:rsidR="000159A6">
        <w:t xml:space="preserve"> </w:t>
      </w:r>
      <w:r w:rsidRPr="005C0A6F">
        <w:t>PHN</w:t>
      </w:r>
      <w:r w:rsidR="000159A6">
        <w:t xml:space="preserve"> </w:t>
      </w:r>
      <w:r w:rsidRPr="005C0A6F">
        <w:t>in</w:t>
      </w:r>
      <w:r w:rsidR="000159A6">
        <w:t xml:space="preserve"> </w:t>
      </w:r>
      <w:r w:rsidR="00733CE8" w:rsidRPr="005C0A6F">
        <w:t>subject’s</w:t>
      </w:r>
      <w:r w:rsidR="000159A6">
        <w:t xml:space="preserve"> </w:t>
      </w:r>
      <w:r w:rsidRPr="005C0A6F">
        <w:t>regardless</w:t>
      </w:r>
      <w:r w:rsidR="000159A6">
        <w:t xml:space="preserve"> </w:t>
      </w:r>
      <w:r w:rsidRPr="005C0A6F">
        <w:t>if</w:t>
      </w:r>
      <w:r w:rsidR="000159A6">
        <w:t xml:space="preserve"> </w:t>
      </w:r>
      <w:r w:rsidRPr="005C0A6F">
        <w:t>they</w:t>
      </w:r>
      <w:r w:rsidR="000159A6">
        <w:t xml:space="preserve"> </w:t>
      </w:r>
      <w:r w:rsidRPr="005C0A6F">
        <w:t>had</w:t>
      </w:r>
      <w:r w:rsidR="000159A6">
        <w:t xml:space="preserve"> </w:t>
      </w:r>
      <w:r w:rsidRPr="005C0A6F">
        <w:t>confirmed</w:t>
      </w:r>
      <w:r w:rsidR="000159A6">
        <w:t xml:space="preserve"> </w:t>
      </w:r>
      <w:r w:rsidRPr="005C0A6F">
        <w:t>HZ</w:t>
      </w:r>
      <w:r w:rsidR="000159A6">
        <w:t xml:space="preserve"> </w:t>
      </w:r>
      <w:r w:rsidRPr="005C0A6F">
        <w:t>or</w:t>
      </w:r>
      <w:r w:rsidR="000159A6">
        <w:t xml:space="preserve"> </w:t>
      </w:r>
      <w:r w:rsidRPr="005C0A6F">
        <w:t>not,</w:t>
      </w:r>
      <w:r w:rsidR="000159A6">
        <w:t xml:space="preserve"> </w:t>
      </w:r>
      <w:r w:rsidRPr="005C0A6F">
        <w:t>Shingrix</w:t>
      </w:r>
      <w:r w:rsidR="000159A6">
        <w:t xml:space="preserve"> </w:t>
      </w:r>
      <w:r w:rsidRPr="005C0A6F">
        <w:t>demonstrated</w:t>
      </w:r>
      <w:r w:rsidR="000159A6">
        <w:t xml:space="preserve"> </w:t>
      </w:r>
      <w:r w:rsidRPr="005C0A6F">
        <w:t>efficacy</w:t>
      </w:r>
      <w:r w:rsidR="000159A6">
        <w:t xml:space="preserve"> </w:t>
      </w:r>
      <w:r w:rsidRPr="005C0A6F">
        <w:t>of</w:t>
      </w:r>
      <w:r w:rsidR="000159A6">
        <w:t xml:space="preserve"> </w:t>
      </w:r>
      <w:r w:rsidRPr="005C0A6F">
        <w:t>100%</w:t>
      </w:r>
      <w:r w:rsidR="000159A6">
        <w:t xml:space="preserve"> </w:t>
      </w:r>
      <w:r w:rsidRPr="005C0A6F">
        <w:t>in</w:t>
      </w:r>
      <w:r w:rsidR="000159A6">
        <w:t xml:space="preserve"> </w:t>
      </w:r>
      <w:r w:rsidRPr="005C0A6F">
        <w:t>those</w:t>
      </w:r>
      <w:r w:rsidR="000159A6">
        <w:t xml:space="preserve"> </w:t>
      </w:r>
      <w:r w:rsidRPr="005C0A6F">
        <w:t>aged</w:t>
      </w:r>
      <w:r w:rsidR="000159A6">
        <w:t xml:space="preserve"> </w:t>
      </w:r>
      <w:r w:rsidR="0037169B">
        <w:t>≥</w:t>
      </w:r>
      <w:r w:rsidR="000159A6">
        <w:t xml:space="preserve"> </w:t>
      </w:r>
      <w:r w:rsidRPr="005C0A6F">
        <w:t>50</w:t>
      </w:r>
      <w:r w:rsidR="000159A6">
        <w:t xml:space="preserve"> </w:t>
      </w:r>
      <w:r w:rsidR="0037169B">
        <w:t>years</w:t>
      </w:r>
      <w:r w:rsidR="000159A6">
        <w:t xml:space="preserve"> </w:t>
      </w:r>
      <w:r w:rsidR="0037169B">
        <w:t>of</w:t>
      </w:r>
      <w:r w:rsidR="000159A6">
        <w:t xml:space="preserve"> </w:t>
      </w:r>
      <w:r w:rsidR="00733CE8">
        <w:t>age.</w:t>
      </w:r>
      <w:r w:rsidR="000159A6">
        <w:t xml:space="preserve"> </w:t>
      </w:r>
      <w:r w:rsidRPr="005C0A6F">
        <w:t>From</w:t>
      </w:r>
      <w:r w:rsidR="000159A6">
        <w:t xml:space="preserve"> </w:t>
      </w:r>
      <w:r w:rsidRPr="005C0A6F">
        <w:t>pre-specified</w:t>
      </w:r>
      <w:r w:rsidR="000159A6">
        <w:t xml:space="preserve"> </w:t>
      </w:r>
      <w:r w:rsidRPr="005C0A6F">
        <w:t>pooled</w:t>
      </w:r>
      <w:r w:rsidR="000159A6">
        <w:t xml:space="preserve"> </w:t>
      </w:r>
      <w:r w:rsidRPr="005C0A6F">
        <w:t>data</w:t>
      </w:r>
      <w:r w:rsidR="000159A6">
        <w:t xml:space="preserve"> </w:t>
      </w:r>
      <w:r w:rsidRPr="005C0A6F">
        <w:t>analysis,</w:t>
      </w:r>
      <w:r w:rsidR="000159A6">
        <w:t xml:space="preserve"> </w:t>
      </w:r>
      <w:r w:rsidRPr="005C0A6F">
        <w:t>the</w:t>
      </w:r>
      <w:r w:rsidR="000159A6">
        <w:t xml:space="preserve"> </w:t>
      </w:r>
      <w:r w:rsidRPr="005C0A6F">
        <w:t>efficacy</w:t>
      </w:r>
      <w:r w:rsidR="000159A6">
        <w:t xml:space="preserve"> </w:t>
      </w:r>
      <w:r w:rsidRPr="005C0A6F">
        <w:t>against</w:t>
      </w:r>
      <w:r w:rsidR="000159A6">
        <w:t xml:space="preserve"> </w:t>
      </w:r>
      <w:r w:rsidRPr="005C0A6F">
        <w:t>PHN</w:t>
      </w:r>
      <w:r w:rsidR="000159A6">
        <w:t xml:space="preserve"> </w:t>
      </w:r>
      <w:r w:rsidRPr="005C0A6F">
        <w:t>in</w:t>
      </w:r>
      <w:r w:rsidR="000159A6">
        <w:t xml:space="preserve"> </w:t>
      </w:r>
      <w:r w:rsidRPr="005C0A6F">
        <w:t>those</w:t>
      </w:r>
      <w:r w:rsidR="000159A6">
        <w:t xml:space="preserve"> </w:t>
      </w:r>
      <w:r w:rsidRPr="005C0A6F">
        <w:t>aged</w:t>
      </w:r>
      <w:r w:rsidR="000159A6">
        <w:t xml:space="preserve"> </w:t>
      </w:r>
      <w:r w:rsidRPr="005C0A6F">
        <w:t>70</w:t>
      </w:r>
      <w:r w:rsidR="000159A6">
        <w:t xml:space="preserve"> </w:t>
      </w:r>
      <w:r w:rsidRPr="005C0A6F">
        <w:t>years</w:t>
      </w:r>
      <w:r w:rsidR="000159A6">
        <w:t xml:space="preserve"> </w:t>
      </w:r>
      <w:r w:rsidRPr="005C0A6F">
        <w:t>and</w:t>
      </w:r>
      <w:r w:rsidR="000159A6">
        <w:t xml:space="preserve"> </w:t>
      </w:r>
      <w:r w:rsidRPr="005C0A6F">
        <w:t>older</w:t>
      </w:r>
      <w:r w:rsidR="000159A6">
        <w:t xml:space="preserve"> </w:t>
      </w:r>
      <w:r w:rsidRPr="005C0A6F">
        <w:t>was</w:t>
      </w:r>
      <w:r w:rsidR="000159A6">
        <w:t xml:space="preserve"> </w:t>
      </w:r>
      <w:r w:rsidRPr="005C0A6F">
        <w:t>demonstrated</w:t>
      </w:r>
      <w:r w:rsidR="000159A6">
        <w:t xml:space="preserve"> </w:t>
      </w:r>
      <w:r w:rsidRPr="005C0A6F">
        <w:t>at</w:t>
      </w:r>
      <w:r w:rsidR="000159A6">
        <w:t xml:space="preserve"> </w:t>
      </w:r>
      <w:r w:rsidRPr="005C0A6F">
        <w:t>approximately</w:t>
      </w:r>
      <w:r w:rsidR="000159A6">
        <w:t xml:space="preserve"> </w:t>
      </w:r>
      <w:r w:rsidRPr="005C0A6F">
        <w:t>88%</w:t>
      </w:r>
      <w:r w:rsidR="00FF12AA">
        <w:t>.</w:t>
      </w:r>
    </w:p>
    <w:p w14:paraId="68C29138" w14:textId="08D2E4B0" w:rsidR="005C0A6F" w:rsidRPr="005C0A6F" w:rsidRDefault="005C0A6F" w:rsidP="005C0A6F">
      <w:r w:rsidRPr="005C0A6F">
        <w:t>For</w:t>
      </w:r>
      <w:r w:rsidR="000159A6">
        <w:t xml:space="preserve"> </w:t>
      </w:r>
      <w:r w:rsidRPr="005C0A6F">
        <w:t>those</w:t>
      </w:r>
      <w:r w:rsidR="000159A6">
        <w:t xml:space="preserve"> </w:t>
      </w:r>
      <w:r w:rsidRPr="005C0A6F">
        <w:t>with</w:t>
      </w:r>
      <w:r w:rsidR="000159A6">
        <w:t xml:space="preserve"> </w:t>
      </w:r>
      <w:r w:rsidRPr="005C0A6F">
        <w:t>confirmed</w:t>
      </w:r>
      <w:r w:rsidR="000159A6">
        <w:t xml:space="preserve"> </w:t>
      </w:r>
      <w:r w:rsidRPr="005C0A6F">
        <w:t>HZ,</w:t>
      </w:r>
      <w:r w:rsidR="000159A6">
        <w:t xml:space="preserve"> </w:t>
      </w:r>
      <w:r w:rsidRPr="005C0A6F">
        <w:t>there</w:t>
      </w:r>
      <w:r w:rsidR="000159A6">
        <w:t xml:space="preserve"> </w:t>
      </w:r>
      <w:r w:rsidRPr="005C0A6F">
        <w:t>was</w:t>
      </w:r>
      <w:r w:rsidR="000159A6">
        <w:t xml:space="preserve"> </w:t>
      </w:r>
      <w:r w:rsidRPr="005C0A6F">
        <w:t>no</w:t>
      </w:r>
      <w:r w:rsidR="000159A6">
        <w:t xml:space="preserve"> </w:t>
      </w:r>
      <w:r w:rsidRPr="005C0A6F">
        <w:t>significant</w:t>
      </w:r>
      <w:r w:rsidR="000159A6">
        <w:t xml:space="preserve"> </w:t>
      </w:r>
      <w:r w:rsidRPr="005C0A6F">
        <w:t>reduction</w:t>
      </w:r>
      <w:r w:rsidR="000159A6">
        <w:t xml:space="preserve"> </w:t>
      </w:r>
      <w:r w:rsidRPr="005C0A6F">
        <w:t>in</w:t>
      </w:r>
      <w:r w:rsidR="000159A6">
        <w:t xml:space="preserve"> </w:t>
      </w:r>
      <w:r w:rsidRPr="005C0A6F">
        <w:t>the</w:t>
      </w:r>
      <w:r w:rsidR="000159A6">
        <w:t xml:space="preserve"> </w:t>
      </w:r>
      <w:r w:rsidRPr="005C0A6F">
        <w:t>incidence</w:t>
      </w:r>
      <w:r w:rsidR="000159A6">
        <w:t xml:space="preserve"> </w:t>
      </w:r>
      <w:r w:rsidRPr="005C0A6F">
        <w:t>of</w:t>
      </w:r>
      <w:r w:rsidR="000159A6">
        <w:t xml:space="preserve"> </w:t>
      </w:r>
      <w:r w:rsidRPr="005C0A6F">
        <w:t>PHN</w:t>
      </w:r>
      <w:r w:rsidR="000159A6">
        <w:t xml:space="preserve"> </w:t>
      </w:r>
      <w:r w:rsidRPr="005C0A6F">
        <w:t>(VE</w:t>
      </w:r>
      <w:r w:rsidR="000159A6">
        <w:t xml:space="preserve"> </w:t>
      </w:r>
      <w:r w:rsidRPr="005C0A6F">
        <w:t>of</w:t>
      </w:r>
      <w:r w:rsidR="000159A6">
        <w:t xml:space="preserve"> </w:t>
      </w:r>
      <w:r w:rsidRPr="005C0A6F">
        <w:t>0.29%,</w:t>
      </w:r>
      <w:r w:rsidR="000159A6">
        <w:t xml:space="preserve"> </w:t>
      </w:r>
      <w:r w:rsidRPr="005C0A6F">
        <w:t>95%</w:t>
      </w:r>
      <w:r w:rsidR="000159A6">
        <w:t xml:space="preserve"> </w:t>
      </w:r>
      <w:r w:rsidRPr="005C0A6F">
        <w:t>CI:</w:t>
      </w:r>
      <w:r w:rsidR="000159A6">
        <w:t xml:space="preserve"> </w:t>
      </w:r>
      <w:r w:rsidRPr="005C0A6F">
        <w:t>-161.53%</w:t>
      </w:r>
      <w:r w:rsidR="000159A6">
        <w:t xml:space="preserve"> </w:t>
      </w:r>
      <w:r w:rsidRPr="005C0A6F">
        <w:t>to</w:t>
      </w:r>
      <w:r w:rsidR="000159A6">
        <w:t xml:space="preserve"> </w:t>
      </w:r>
      <w:r w:rsidRPr="005C0A6F">
        <w:t>65.57%).</w:t>
      </w:r>
      <w:r w:rsidR="000159A6">
        <w:t xml:space="preserve"> </w:t>
      </w:r>
      <w:r w:rsidRPr="005C0A6F">
        <w:t>The</w:t>
      </w:r>
      <w:r w:rsidR="000159A6">
        <w:t xml:space="preserve"> </w:t>
      </w:r>
      <w:r w:rsidRPr="005C0A6F">
        <w:t>efficacy</w:t>
      </w:r>
      <w:r w:rsidR="000159A6">
        <w:t xml:space="preserve"> </w:t>
      </w:r>
      <w:r w:rsidRPr="005C0A6F">
        <w:t>of</w:t>
      </w:r>
      <w:r w:rsidR="000159A6">
        <w:t xml:space="preserve"> </w:t>
      </w:r>
      <w:r w:rsidRPr="005C0A6F">
        <w:t>Shingrix</w:t>
      </w:r>
      <w:r w:rsidR="000159A6">
        <w:t xml:space="preserve"> </w:t>
      </w:r>
      <w:r w:rsidRPr="005C0A6F">
        <w:t>in</w:t>
      </w:r>
      <w:r w:rsidR="000159A6">
        <w:t xml:space="preserve"> </w:t>
      </w:r>
      <w:r w:rsidRPr="005C0A6F">
        <w:t>the</w:t>
      </w:r>
      <w:r w:rsidR="000159A6">
        <w:t xml:space="preserve"> </w:t>
      </w:r>
      <w:r w:rsidRPr="005C0A6F">
        <w:t>prevention</w:t>
      </w:r>
      <w:r w:rsidR="000159A6">
        <w:t xml:space="preserve"> </w:t>
      </w:r>
      <w:r w:rsidRPr="005C0A6F">
        <w:t>of</w:t>
      </w:r>
      <w:r w:rsidR="000159A6">
        <w:t xml:space="preserve"> </w:t>
      </w:r>
      <w:r w:rsidRPr="005C0A6F">
        <w:t>PHN</w:t>
      </w:r>
      <w:r w:rsidR="000159A6">
        <w:t xml:space="preserve"> </w:t>
      </w:r>
      <w:r w:rsidRPr="005C0A6F">
        <w:t>in</w:t>
      </w:r>
      <w:r w:rsidR="000159A6">
        <w:t xml:space="preserve"> </w:t>
      </w:r>
      <w:r w:rsidRPr="005C0A6F">
        <w:t>subjects</w:t>
      </w:r>
      <w:r w:rsidR="000159A6">
        <w:t xml:space="preserve"> </w:t>
      </w:r>
      <w:r w:rsidRPr="005C0A6F">
        <w:t>with</w:t>
      </w:r>
      <w:r w:rsidR="000159A6">
        <w:t xml:space="preserve"> </w:t>
      </w:r>
      <w:r w:rsidRPr="005C0A6F">
        <w:t>confirmed</w:t>
      </w:r>
      <w:r w:rsidR="000159A6">
        <w:t xml:space="preserve"> </w:t>
      </w:r>
      <w:r w:rsidRPr="005C0A6F">
        <w:t>HZ</w:t>
      </w:r>
      <w:r w:rsidR="000159A6">
        <w:t xml:space="preserve"> </w:t>
      </w:r>
      <w:r w:rsidRPr="005C0A6F">
        <w:t>could</w:t>
      </w:r>
      <w:r w:rsidR="000159A6">
        <w:t xml:space="preserve"> </w:t>
      </w:r>
      <w:r w:rsidRPr="005C0A6F">
        <w:t>not</w:t>
      </w:r>
      <w:r w:rsidR="000159A6">
        <w:t xml:space="preserve"> </w:t>
      </w:r>
      <w:r w:rsidRPr="005C0A6F">
        <w:t>be</w:t>
      </w:r>
      <w:r w:rsidR="000159A6">
        <w:t xml:space="preserve"> </w:t>
      </w:r>
      <w:r w:rsidRPr="005C0A6F">
        <w:t>confirmed.</w:t>
      </w:r>
      <w:r w:rsidR="000159A6">
        <w:t xml:space="preserve"> </w:t>
      </w:r>
      <w:r w:rsidRPr="005C0A6F">
        <w:t>The</w:t>
      </w:r>
      <w:r w:rsidR="000159A6">
        <w:t xml:space="preserve"> </w:t>
      </w:r>
      <w:r w:rsidRPr="005C0A6F">
        <w:t>benefits</w:t>
      </w:r>
      <w:r w:rsidR="000159A6">
        <w:t xml:space="preserve"> </w:t>
      </w:r>
      <w:r w:rsidRPr="005C0A6F">
        <w:t>of</w:t>
      </w:r>
      <w:r w:rsidR="000159A6">
        <w:t xml:space="preserve"> </w:t>
      </w:r>
      <w:r w:rsidRPr="005C0A6F">
        <w:t>Shingrix</w:t>
      </w:r>
      <w:r w:rsidR="000159A6">
        <w:t xml:space="preserve"> </w:t>
      </w:r>
      <w:r w:rsidRPr="005C0A6F">
        <w:t>in</w:t>
      </w:r>
      <w:r w:rsidR="000159A6">
        <w:t xml:space="preserve"> </w:t>
      </w:r>
      <w:r w:rsidRPr="005C0A6F">
        <w:t>the</w:t>
      </w:r>
      <w:r w:rsidR="000159A6">
        <w:t xml:space="preserve"> </w:t>
      </w:r>
      <w:r w:rsidRPr="005C0A6F">
        <w:t>prevention</w:t>
      </w:r>
      <w:r w:rsidR="000159A6">
        <w:t xml:space="preserve"> </w:t>
      </w:r>
      <w:r w:rsidRPr="005C0A6F">
        <w:t>of</w:t>
      </w:r>
      <w:r w:rsidR="000159A6">
        <w:t xml:space="preserve"> </w:t>
      </w:r>
      <w:r w:rsidRPr="005C0A6F">
        <w:t>PHN</w:t>
      </w:r>
      <w:r w:rsidR="000159A6">
        <w:t xml:space="preserve"> </w:t>
      </w:r>
      <w:r w:rsidRPr="005C0A6F">
        <w:t>are</w:t>
      </w:r>
      <w:r w:rsidR="000159A6">
        <w:t xml:space="preserve"> </w:t>
      </w:r>
      <w:r w:rsidRPr="005C0A6F">
        <w:t>attributed</w:t>
      </w:r>
      <w:r w:rsidR="000159A6">
        <w:t xml:space="preserve"> </w:t>
      </w:r>
      <w:r w:rsidRPr="005C0A6F">
        <w:t>to</w:t>
      </w:r>
      <w:r w:rsidR="000159A6">
        <w:t xml:space="preserve"> </w:t>
      </w:r>
      <w:r w:rsidRPr="005C0A6F">
        <w:t>the</w:t>
      </w:r>
      <w:r w:rsidR="000159A6">
        <w:t xml:space="preserve"> </w:t>
      </w:r>
      <w:r w:rsidRPr="005C0A6F">
        <w:t>efficacy</w:t>
      </w:r>
      <w:r w:rsidR="000159A6">
        <w:t xml:space="preserve"> </w:t>
      </w:r>
      <w:r w:rsidRPr="005C0A6F">
        <w:t>of</w:t>
      </w:r>
      <w:r w:rsidR="000159A6">
        <w:t xml:space="preserve"> </w:t>
      </w:r>
      <w:r w:rsidRPr="005C0A6F">
        <w:t>the</w:t>
      </w:r>
      <w:r w:rsidR="000159A6">
        <w:t xml:space="preserve"> </w:t>
      </w:r>
      <w:r w:rsidRPr="005C0A6F">
        <w:t>vaccine</w:t>
      </w:r>
      <w:r w:rsidR="000159A6">
        <w:t xml:space="preserve"> </w:t>
      </w:r>
      <w:r w:rsidRPr="005C0A6F">
        <w:t>on</w:t>
      </w:r>
      <w:r w:rsidR="000159A6">
        <w:t xml:space="preserve"> </w:t>
      </w:r>
      <w:r w:rsidRPr="005C0A6F">
        <w:t>the</w:t>
      </w:r>
      <w:r w:rsidR="000159A6">
        <w:t xml:space="preserve"> </w:t>
      </w:r>
      <w:r w:rsidRPr="005C0A6F">
        <w:t>prevention</w:t>
      </w:r>
      <w:r w:rsidR="000159A6">
        <w:t xml:space="preserve"> </w:t>
      </w:r>
      <w:r w:rsidRPr="005C0A6F">
        <w:t>of</w:t>
      </w:r>
      <w:r w:rsidR="000159A6">
        <w:t xml:space="preserve"> </w:t>
      </w:r>
      <w:r w:rsidRPr="005C0A6F">
        <w:t>HZ,</w:t>
      </w:r>
      <w:r w:rsidR="000159A6">
        <w:t xml:space="preserve"> </w:t>
      </w:r>
      <w:r w:rsidRPr="005C0A6F">
        <w:t>as</w:t>
      </w:r>
      <w:r w:rsidR="000159A6">
        <w:t xml:space="preserve"> </w:t>
      </w:r>
      <w:r w:rsidRPr="005C0A6F">
        <w:t>the</w:t>
      </w:r>
      <w:r w:rsidR="000159A6">
        <w:t xml:space="preserve"> </w:t>
      </w:r>
      <w:r w:rsidRPr="005C0A6F">
        <w:t>efficacy</w:t>
      </w:r>
      <w:r w:rsidR="000159A6">
        <w:t xml:space="preserve"> </w:t>
      </w:r>
      <w:r w:rsidRPr="005C0A6F">
        <w:t>of</w:t>
      </w:r>
      <w:r w:rsidR="000159A6">
        <w:t xml:space="preserve"> </w:t>
      </w:r>
      <w:r w:rsidR="00FF12AA">
        <w:t>Shingrix</w:t>
      </w:r>
      <w:r w:rsidR="000159A6">
        <w:t xml:space="preserve"> </w:t>
      </w:r>
      <w:r w:rsidRPr="005C0A6F">
        <w:t>in</w:t>
      </w:r>
      <w:r w:rsidR="000159A6">
        <w:t xml:space="preserve"> </w:t>
      </w:r>
      <w:r w:rsidRPr="005C0A6F">
        <w:t>prevention</w:t>
      </w:r>
      <w:r w:rsidR="000159A6">
        <w:t xml:space="preserve"> </w:t>
      </w:r>
      <w:r w:rsidRPr="005C0A6F">
        <w:t>of</w:t>
      </w:r>
      <w:r w:rsidR="000159A6">
        <w:t xml:space="preserve"> </w:t>
      </w:r>
      <w:r w:rsidRPr="005C0A6F">
        <w:t>PHN</w:t>
      </w:r>
      <w:r w:rsidR="000159A6">
        <w:t xml:space="preserve"> </w:t>
      </w:r>
      <w:r w:rsidRPr="005C0A6F">
        <w:t>in</w:t>
      </w:r>
      <w:r w:rsidR="000159A6">
        <w:t xml:space="preserve"> </w:t>
      </w:r>
      <w:r w:rsidRPr="005C0A6F">
        <w:t>subjects</w:t>
      </w:r>
      <w:r w:rsidR="000159A6">
        <w:t xml:space="preserve"> </w:t>
      </w:r>
      <w:r w:rsidRPr="005C0A6F">
        <w:t>with</w:t>
      </w:r>
      <w:r w:rsidR="000159A6">
        <w:t xml:space="preserve"> </w:t>
      </w:r>
      <w:r w:rsidRPr="005C0A6F">
        <w:t>confirmed</w:t>
      </w:r>
      <w:r w:rsidR="000159A6">
        <w:t xml:space="preserve"> </w:t>
      </w:r>
      <w:r w:rsidRPr="005C0A6F">
        <w:t>HZ</w:t>
      </w:r>
      <w:r w:rsidR="000159A6">
        <w:t xml:space="preserve"> </w:t>
      </w:r>
      <w:r w:rsidRPr="005C0A6F">
        <w:t>could</w:t>
      </w:r>
      <w:r w:rsidR="000159A6">
        <w:t xml:space="preserve"> </w:t>
      </w:r>
      <w:r w:rsidRPr="005C0A6F">
        <w:t>not</w:t>
      </w:r>
      <w:r w:rsidR="000159A6">
        <w:t xml:space="preserve"> </w:t>
      </w:r>
      <w:r w:rsidRPr="005C0A6F">
        <w:t>be</w:t>
      </w:r>
      <w:r w:rsidR="000159A6">
        <w:t xml:space="preserve"> </w:t>
      </w:r>
      <w:r w:rsidRPr="005C0A6F">
        <w:t>confirmed.</w:t>
      </w:r>
    </w:p>
    <w:p w14:paraId="406244B0" w14:textId="76928EF7" w:rsidR="005C0A6F" w:rsidRPr="005C0A6F" w:rsidRDefault="005C0A6F" w:rsidP="00440509">
      <w:r w:rsidRPr="005C0A6F">
        <w:t>The</w:t>
      </w:r>
      <w:r w:rsidR="000159A6">
        <w:t xml:space="preserve"> </w:t>
      </w:r>
      <w:r w:rsidRPr="005C0A6F">
        <w:t>vaccine</w:t>
      </w:r>
      <w:r w:rsidR="000159A6">
        <w:t xml:space="preserve"> </w:t>
      </w:r>
      <w:r w:rsidRPr="005C0A6F">
        <w:t>was</w:t>
      </w:r>
      <w:r w:rsidR="000159A6">
        <w:t xml:space="preserve"> </w:t>
      </w:r>
      <w:r w:rsidRPr="005C0A6F">
        <w:t>noted</w:t>
      </w:r>
      <w:r w:rsidR="000159A6">
        <w:t xml:space="preserve"> </w:t>
      </w:r>
      <w:r w:rsidRPr="005C0A6F">
        <w:t>to</w:t>
      </w:r>
      <w:r w:rsidR="000159A6">
        <w:t xml:space="preserve"> </w:t>
      </w:r>
      <w:r w:rsidRPr="005C0A6F">
        <w:t>have</w:t>
      </w:r>
      <w:r w:rsidR="000159A6">
        <w:t xml:space="preserve"> </w:t>
      </w:r>
      <w:r w:rsidRPr="005C0A6F">
        <w:t>high</w:t>
      </w:r>
      <w:r w:rsidR="000159A6">
        <w:t xml:space="preserve"> </w:t>
      </w:r>
      <w:r w:rsidRPr="005C0A6F">
        <w:t>reactogenicity</w:t>
      </w:r>
      <w:r w:rsidR="000159A6">
        <w:t xml:space="preserve"> </w:t>
      </w:r>
      <w:r w:rsidRPr="005C0A6F">
        <w:t>with</w:t>
      </w:r>
      <w:r w:rsidR="000159A6">
        <w:t xml:space="preserve"> </w:t>
      </w:r>
      <w:r w:rsidRPr="005C0A6F">
        <w:t>local</w:t>
      </w:r>
      <w:r w:rsidR="000159A6">
        <w:t xml:space="preserve"> </w:t>
      </w:r>
      <w:r w:rsidRPr="005C0A6F">
        <w:t>injection</w:t>
      </w:r>
      <w:r w:rsidR="000159A6">
        <w:t xml:space="preserve"> </w:t>
      </w:r>
      <w:r w:rsidRPr="005C0A6F">
        <w:t>site</w:t>
      </w:r>
      <w:r w:rsidR="000159A6">
        <w:t xml:space="preserve"> </w:t>
      </w:r>
      <w:r w:rsidRPr="005C0A6F">
        <w:t>reactions</w:t>
      </w:r>
      <w:r w:rsidR="000159A6">
        <w:t xml:space="preserve"> </w:t>
      </w:r>
      <w:r w:rsidRPr="005C0A6F">
        <w:t>and</w:t>
      </w:r>
      <w:r w:rsidR="000159A6">
        <w:t xml:space="preserve"> </w:t>
      </w:r>
      <w:r w:rsidRPr="005C0A6F">
        <w:t>general</w:t>
      </w:r>
      <w:r w:rsidR="000159A6">
        <w:t xml:space="preserve"> </w:t>
      </w:r>
      <w:r w:rsidRPr="005C0A6F">
        <w:t>symptoms</w:t>
      </w:r>
      <w:r w:rsidR="000159A6">
        <w:t xml:space="preserve"> </w:t>
      </w:r>
      <w:r w:rsidRPr="005C0A6F">
        <w:t>such</w:t>
      </w:r>
      <w:r w:rsidR="000159A6">
        <w:t xml:space="preserve"> </w:t>
      </w:r>
      <w:r w:rsidRPr="005C0A6F">
        <w:t>fatigue,</w:t>
      </w:r>
      <w:r w:rsidR="000159A6">
        <w:t xml:space="preserve"> </w:t>
      </w:r>
      <w:r w:rsidRPr="005C0A6F">
        <w:t>headache</w:t>
      </w:r>
      <w:r w:rsidR="000159A6">
        <w:t xml:space="preserve"> </w:t>
      </w:r>
      <w:r w:rsidRPr="005C0A6F">
        <w:t>and</w:t>
      </w:r>
      <w:r w:rsidR="000159A6">
        <w:t xml:space="preserve"> </w:t>
      </w:r>
      <w:r w:rsidRPr="005C0A6F">
        <w:t>myalgia.</w:t>
      </w:r>
      <w:r w:rsidR="000159A6">
        <w:t xml:space="preserve"> </w:t>
      </w:r>
      <w:r w:rsidRPr="005C0A6F">
        <w:t>It</w:t>
      </w:r>
      <w:r w:rsidR="000159A6">
        <w:t xml:space="preserve"> </w:t>
      </w:r>
      <w:r w:rsidRPr="005C0A6F">
        <w:t>is</w:t>
      </w:r>
      <w:r w:rsidR="000159A6">
        <w:t xml:space="preserve"> </w:t>
      </w:r>
      <w:r w:rsidRPr="005C0A6F">
        <w:t>possible</w:t>
      </w:r>
      <w:r w:rsidR="000159A6">
        <w:t xml:space="preserve"> </w:t>
      </w:r>
      <w:r w:rsidRPr="005C0A6F">
        <w:t>that</w:t>
      </w:r>
      <w:r w:rsidR="000159A6">
        <w:t xml:space="preserve"> </w:t>
      </w:r>
      <w:r w:rsidRPr="005C0A6F">
        <w:t>in</w:t>
      </w:r>
      <w:r w:rsidR="000159A6">
        <w:t xml:space="preserve"> </w:t>
      </w:r>
      <w:r w:rsidRPr="005C0A6F">
        <w:t>the</w:t>
      </w:r>
      <w:r w:rsidR="000159A6">
        <w:t xml:space="preserve"> </w:t>
      </w:r>
      <w:r w:rsidRPr="005C0A6F">
        <w:t>clinical</w:t>
      </w:r>
      <w:r w:rsidR="000159A6">
        <w:t xml:space="preserve"> </w:t>
      </w:r>
      <w:r w:rsidRPr="005C0A6F">
        <w:t>practice</w:t>
      </w:r>
      <w:r w:rsidR="000159A6">
        <w:t xml:space="preserve"> </w:t>
      </w:r>
      <w:r w:rsidRPr="005C0A6F">
        <w:t>setting,</w:t>
      </w:r>
      <w:r w:rsidR="000159A6">
        <w:t xml:space="preserve"> </w:t>
      </w:r>
      <w:r w:rsidRPr="005C0A6F">
        <w:t>this</w:t>
      </w:r>
      <w:r w:rsidR="000159A6">
        <w:t xml:space="preserve"> </w:t>
      </w:r>
      <w:r w:rsidRPr="005C0A6F">
        <w:t>reactogenicity</w:t>
      </w:r>
      <w:r w:rsidR="000159A6">
        <w:t xml:space="preserve"> </w:t>
      </w:r>
      <w:r w:rsidRPr="005C0A6F">
        <w:t>could</w:t>
      </w:r>
      <w:r w:rsidR="000159A6">
        <w:t xml:space="preserve"> </w:t>
      </w:r>
      <w:r w:rsidRPr="005C0A6F">
        <w:t>interfere</w:t>
      </w:r>
      <w:r w:rsidR="000159A6">
        <w:t xml:space="preserve"> </w:t>
      </w:r>
      <w:r w:rsidRPr="005C0A6F">
        <w:t>with</w:t>
      </w:r>
      <w:r w:rsidR="000159A6">
        <w:t xml:space="preserve"> </w:t>
      </w:r>
      <w:r w:rsidRPr="005C0A6F">
        <w:t>second</w:t>
      </w:r>
      <w:r w:rsidR="000159A6">
        <w:t xml:space="preserve"> </w:t>
      </w:r>
      <w:r w:rsidRPr="005C0A6F">
        <w:t>dose</w:t>
      </w:r>
      <w:r w:rsidR="000159A6">
        <w:t xml:space="preserve"> </w:t>
      </w:r>
      <w:r w:rsidRPr="005C0A6F">
        <w:t>compliance.</w:t>
      </w:r>
      <w:r w:rsidR="000159A6">
        <w:t xml:space="preserve"> </w:t>
      </w:r>
      <w:r w:rsidRPr="005C0A6F">
        <w:t>As</w:t>
      </w:r>
      <w:r w:rsidR="000159A6">
        <w:t xml:space="preserve"> </w:t>
      </w:r>
      <w:r w:rsidRPr="005C0A6F">
        <w:t>the</w:t>
      </w:r>
      <w:r w:rsidR="000159A6">
        <w:t xml:space="preserve"> </w:t>
      </w:r>
      <w:r w:rsidRPr="005C0A6F">
        <w:t>reactions</w:t>
      </w:r>
      <w:r w:rsidR="000159A6">
        <w:t xml:space="preserve"> </w:t>
      </w:r>
      <w:r w:rsidRPr="005C0A6F">
        <w:t>subsided</w:t>
      </w:r>
      <w:r w:rsidR="000159A6">
        <w:t xml:space="preserve"> </w:t>
      </w:r>
      <w:r w:rsidRPr="005C0A6F">
        <w:t>in</w:t>
      </w:r>
      <w:r w:rsidR="000159A6">
        <w:t xml:space="preserve"> </w:t>
      </w:r>
      <w:r w:rsidRPr="005C0A6F">
        <w:t>a</w:t>
      </w:r>
      <w:r w:rsidR="000159A6">
        <w:t xml:space="preserve"> </w:t>
      </w:r>
      <w:r w:rsidRPr="005C0A6F">
        <w:t>couple</w:t>
      </w:r>
      <w:r w:rsidR="000159A6">
        <w:t xml:space="preserve"> </w:t>
      </w:r>
      <w:r w:rsidRPr="005C0A6F">
        <w:t>of</w:t>
      </w:r>
      <w:r w:rsidR="000159A6">
        <w:t xml:space="preserve"> </w:t>
      </w:r>
      <w:r w:rsidRPr="005C0A6F">
        <w:t>days</w:t>
      </w:r>
      <w:r w:rsidR="000159A6">
        <w:t xml:space="preserve"> </w:t>
      </w:r>
      <w:r w:rsidRPr="005C0A6F">
        <w:t>and</w:t>
      </w:r>
      <w:r w:rsidR="000159A6">
        <w:t xml:space="preserve"> </w:t>
      </w:r>
      <w:r w:rsidRPr="005C0A6F">
        <w:t>are</w:t>
      </w:r>
      <w:r w:rsidR="000159A6">
        <w:t xml:space="preserve"> </w:t>
      </w:r>
      <w:r w:rsidRPr="005C0A6F">
        <w:t>to</w:t>
      </w:r>
      <w:r w:rsidR="000159A6">
        <w:t xml:space="preserve"> </w:t>
      </w:r>
      <w:r w:rsidRPr="005C0A6F">
        <w:t>some</w:t>
      </w:r>
      <w:r w:rsidR="000159A6">
        <w:t xml:space="preserve"> </w:t>
      </w:r>
      <w:r w:rsidRPr="005C0A6F">
        <w:t>extent</w:t>
      </w:r>
      <w:r w:rsidR="000159A6">
        <w:t xml:space="preserve"> </w:t>
      </w:r>
      <w:r w:rsidRPr="005C0A6F">
        <w:t>treatable,</w:t>
      </w:r>
      <w:r w:rsidR="000159A6">
        <w:t xml:space="preserve"> </w:t>
      </w:r>
      <w:r w:rsidRPr="005C0A6F">
        <w:t>it</w:t>
      </w:r>
      <w:r w:rsidR="000159A6">
        <w:t xml:space="preserve"> </w:t>
      </w:r>
      <w:r w:rsidRPr="005C0A6F">
        <w:t>is</w:t>
      </w:r>
      <w:r w:rsidR="000159A6">
        <w:t xml:space="preserve"> </w:t>
      </w:r>
      <w:r w:rsidRPr="005C0A6F">
        <w:t>anticipated</w:t>
      </w:r>
      <w:r w:rsidR="000159A6">
        <w:t xml:space="preserve"> </w:t>
      </w:r>
      <w:r w:rsidRPr="005C0A6F">
        <w:t>that</w:t>
      </w:r>
      <w:r w:rsidR="000159A6">
        <w:t xml:space="preserve"> </w:t>
      </w:r>
      <w:r w:rsidRPr="005C0A6F">
        <w:t>this</w:t>
      </w:r>
      <w:r w:rsidR="000159A6">
        <w:t xml:space="preserve"> </w:t>
      </w:r>
      <w:r w:rsidRPr="005C0A6F">
        <w:t>risk</w:t>
      </w:r>
      <w:r w:rsidR="000159A6">
        <w:t xml:space="preserve"> </w:t>
      </w:r>
      <w:r w:rsidRPr="005C0A6F">
        <w:t>should</w:t>
      </w:r>
      <w:r w:rsidR="000159A6">
        <w:t xml:space="preserve"> </w:t>
      </w:r>
      <w:r w:rsidRPr="005C0A6F">
        <w:t>be</w:t>
      </w:r>
      <w:r w:rsidR="000159A6">
        <w:t xml:space="preserve"> </w:t>
      </w:r>
      <w:r w:rsidRPr="005C0A6F">
        <w:t>manageable.</w:t>
      </w:r>
      <w:r w:rsidR="000159A6">
        <w:t xml:space="preserve"> </w:t>
      </w:r>
      <w:r w:rsidRPr="005C0A6F">
        <w:t>There</w:t>
      </w:r>
      <w:r w:rsidR="000159A6">
        <w:t xml:space="preserve"> </w:t>
      </w:r>
      <w:r w:rsidRPr="005C0A6F">
        <w:t>were</w:t>
      </w:r>
      <w:r w:rsidR="000159A6">
        <w:t xml:space="preserve"> </w:t>
      </w:r>
      <w:r w:rsidRPr="005C0A6F">
        <w:t>no</w:t>
      </w:r>
      <w:r w:rsidR="000159A6">
        <w:t xml:space="preserve"> </w:t>
      </w:r>
      <w:r w:rsidR="00066595">
        <w:t>major</w:t>
      </w:r>
      <w:r w:rsidR="000159A6">
        <w:t xml:space="preserve"> </w:t>
      </w:r>
      <w:r w:rsidR="00066595">
        <w:t>safety</w:t>
      </w:r>
      <w:r w:rsidR="000159A6">
        <w:t xml:space="preserve"> </w:t>
      </w:r>
      <w:r w:rsidRPr="005C0A6F">
        <w:t>concerns</w:t>
      </w:r>
      <w:r w:rsidR="000159A6">
        <w:t xml:space="preserve"> </w:t>
      </w:r>
      <w:r w:rsidRPr="005C0A6F">
        <w:t>although</w:t>
      </w:r>
      <w:r w:rsidR="000159A6">
        <w:t xml:space="preserve"> </w:t>
      </w:r>
      <w:r w:rsidRPr="005C0A6F">
        <w:t>the</w:t>
      </w:r>
      <w:r w:rsidR="000159A6">
        <w:t xml:space="preserve"> </w:t>
      </w:r>
      <w:r w:rsidRPr="005C0A6F">
        <w:t>database</w:t>
      </w:r>
      <w:r w:rsidR="000159A6">
        <w:t xml:space="preserve"> </w:t>
      </w:r>
      <w:r w:rsidRPr="005C0A6F">
        <w:t>size</w:t>
      </w:r>
      <w:r w:rsidR="000159A6">
        <w:t xml:space="preserve"> </w:t>
      </w:r>
      <w:r w:rsidRPr="005C0A6F">
        <w:t>of</w:t>
      </w:r>
      <w:r w:rsidR="000159A6">
        <w:t xml:space="preserve"> </w:t>
      </w:r>
      <w:r w:rsidRPr="005C0A6F">
        <w:t>some</w:t>
      </w:r>
      <w:r w:rsidR="000159A6">
        <w:t xml:space="preserve"> </w:t>
      </w:r>
      <w:r w:rsidRPr="005C0A6F">
        <w:t>15</w:t>
      </w:r>
      <w:r w:rsidR="00733CE8">
        <w:t>,</w:t>
      </w:r>
      <w:r w:rsidRPr="005C0A6F">
        <w:t>000</w:t>
      </w:r>
      <w:r w:rsidR="000159A6">
        <w:t xml:space="preserve"> </w:t>
      </w:r>
      <w:r w:rsidRPr="005C0A6F">
        <w:t>recipients</w:t>
      </w:r>
      <w:r w:rsidR="000159A6">
        <w:t xml:space="preserve"> </w:t>
      </w:r>
      <w:r w:rsidRPr="005C0A6F">
        <w:t>limits</w:t>
      </w:r>
      <w:r w:rsidR="000159A6">
        <w:t xml:space="preserve"> </w:t>
      </w:r>
      <w:r w:rsidRPr="005C0A6F">
        <w:t>its</w:t>
      </w:r>
      <w:r w:rsidR="000159A6">
        <w:t xml:space="preserve"> </w:t>
      </w:r>
      <w:r w:rsidRPr="005C0A6F">
        <w:t>ability</w:t>
      </w:r>
      <w:r w:rsidR="000159A6">
        <w:t xml:space="preserve"> </w:t>
      </w:r>
      <w:r w:rsidRPr="005C0A6F">
        <w:t>to</w:t>
      </w:r>
      <w:r w:rsidR="000159A6">
        <w:t xml:space="preserve"> </w:t>
      </w:r>
      <w:r w:rsidRPr="005C0A6F">
        <w:t>detect</w:t>
      </w:r>
      <w:r w:rsidR="000159A6">
        <w:t xml:space="preserve"> </w:t>
      </w:r>
      <w:r w:rsidRPr="005C0A6F">
        <w:t>very</w:t>
      </w:r>
      <w:r w:rsidR="000159A6">
        <w:t xml:space="preserve"> </w:t>
      </w:r>
      <w:r w:rsidRPr="005C0A6F">
        <w:t>rare</w:t>
      </w:r>
      <w:r w:rsidR="000159A6">
        <w:t xml:space="preserve"> </w:t>
      </w:r>
      <w:r w:rsidRPr="005C0A6F">
        <w:t>conditions.</w:t>
      </w:r>
      <w:r w:rsidR="000159A6">
        <w:t xml:space="preserve"> </w:t>
      </w:r>
      <w:r w:rsidRPr="005C0A6F">
        <w:t>There</w:t>
      </w:r>
      <w:r w:rsidR="000159A6">
        <w:t xml:space="preserve"> </w:t>
      </w:r>
      <w:r w:rsidRPr="005C0A6F">
        <w:t>was</w:t>
      </w:r>
      <w:r w:rsidR="000159A6">
        <w:t xml:space="preserve"> </w:t>
      </w:r>
      <w:r w:rsidRPr="005C0A6F">
        <w:t>no</w:t>
      </w:r>
      <w:r w:rsidR="000159A6">
        <w:t xml:space="preserve"> </w:t>
      </w:r>
      <w:r w:rsidRPr="005C0A6F">
        <w:t>increased</w:t>
      </w:r>
      <w:r w:rsidR="000159A6">
        <w:t xml:space="preserve"> </w:t>
      </w:r>
      <w:r w:rsidRPr="005C0A6F">
        <w:t>rate</w:t>
      </w:r>
      <w:r w:rsidR="000159A6">
        <w:t xml:space="preserve"> </w:t>
      </w:r>
      <w:r w:rsidRPr="005C0A6F">
        <w:t>of</w:t>
      </w:r>
      <w:r w:rsidR="000159A6">
        <w:t xml:space="preserve"> </w:t>
      </w:r>
      <w:proofErr w:type="spellStart"/>
      <w:r w:rsidRPr="005C0A6F">
        <w:t>pIMD</w:t>
      </w:r>
      <w:proofErr w:type="spellEnd"/>
      <w:r w:rsidR="000159A6">
        <w:t xml:space="preserve"> </w:t>
      </w:r>
      <w:r w:rsidRPr="005C0A6F">
        <w:t>after</w:t>
      </w:r>
      <w:r w:rsidR="000159A6">
        <w:t xml:space="preserve"> </w:t>
      </w:r>
      <w:r w:rsidRPr="005C0A6F">
        <w:t>a</w:t>
      </w:r>
      <w:r w:rsidR="000159A6">
        <w:t xml:space="preserve"> </w:t>
      </w:r>
      <w:r w:rsidRPr="005C0A6F">
        <w:t>median</w:t>
      </w:r>
      <w:r w:rsidR="000159A6">
        <w:t xml:space="preserve"> </w:t>
      </w:r>
      <w:r w:rsidRPr="005C0A6F">
        <w:t>saf</w:t>
      </w:r>
      <w:r w:rsidR="00733CE8">
        <w:t>ety</w:t>
      </w:r>
      <w:r w:rsidR="000159A6">
        <w:t xml:space="preserve"> </w:t>
      </w:r>
      <w:r w:rsidR="00733CE8">
        <w:t>follow</w:t>
      </w:r>
      <w:r w:rsidR="000159A6">
        <w:t xml:space="preserve"> </w:t>
      </w:r>
      <w:r w:rsidR="00733CE8">
        <w:t>up</w:t>
      </w:r>
      <w:r w:rsidR="000159A6">
        <w:t xml:space="preserve"> </w:t>
      </w:r>
      <w:r w:rsidR="00733CE8">
        <w:t>period</w:t>
      </w:r>
      <w:r w:rsidR="000159A6">
        <w:t xml:space="preserve"> </w:t>
      </w:r>
      <w:r w:rsidR="00733CE8">
        <w:t>of</w:t>
      </w:r>
      <w:r w:rsidR="000159A6">
        <w:t xml:space="preserve"> </w:t>
      </w:r>
      <w:r w:rsidR="00733CE8">
        <w:t>about</w:t>
      </w:r>
      <w:r w:rsidR="000159A6">
        <w:t xml:space="preserve"> </w:t>
      </w:r>
      <w:r w:rsidR="00733CE8">
        <w:t>3</w:t>
      </w:r>
      <w:r w:rsidR="000159A6">
        <w:t xml:space="preserve"> </w:t>
      </w:r>
      <w:r w:rsidRPr="005C0A6F">
        <w:t>years.</w:t>
      </w:r>
      <w:r w:rsidR="000159A6">
        <w:t xml:space="preserve"> </w:t>
      </w:r>
      <w:r w:rsidRPr="005C0A6F">
        <w:t>The</w:t>
      </w:r>
      <w:r w:rsidR="000159A6">
        <w:t xml:space="preserve"> </w:t>
      </w:r>
      <w:r w:rsidRPr="005C0A6F">
        <w:t>vaccine</w:t>
      </w:r>
      <w:r w:rsidR="000159A6">
        <w:t xml:space="preserve"> </w:t>
      </w:r>
      <w:r w:rsidRPr="005C0A6F">
        <w:t>has</w:t>
      </w:r>
      <w:r w:rsidR="000159A6">
        <w:t xml:space="preserve"> </w:t>
      </w:r>
      <w:r w:rsidRPr="005C0A6F">
        <w:t>high</w:t>
      </w:r>
      <w:r w:rsidR="000159A6">
        <w:t xml:space="preserve"> </w:t>
      </w:r>
      <w:r w:rsidRPr="005C0A6F">
        <w:t>immunogenicity</w:t>
      </w:r>
      <w:r w:rsidR="000159A6">
        <w:t xml:space="preserve"> </w:t>
      </w:r>
      <w:r w:rsidRPr="005C0A6F">
        <w:t>and</w:t>
      </w:r>
      <w:r w:rsidR="000159A6">
        <w:t xml:space="preserve"> </w:t>
      </w:r>
      <w:r w:rsidRPr="005C0A6F">
        <w:t>this</w:t>
      </w:r>
      <w:r w:rsidR="000159A6">
        <w:t xml:space="preserve"> </w:t>
      </w:r>
      <w:r w:rsidRPr="005C0A6F">
        <w:t>might</w:t>
      </w:r>
      <w:r w:rsidR="000159A6">
        <w:t xml:space="preserve"> </w:t>
      </w:r>
      <w:r w:rsidRPr="005C0A6F">
        <w:t>impact</w:t>
      </w:r>
      <w:r w:rsidR="000159A6">
        <w:t xml:space="preserve"> </w:t>
      </w:r>
      <w:r w:rsidRPr="005C0A6F">
        <w:t>on</w:t>
      </w:r>
      <w:r w:rsidR="000159A6">
        <w:t xml:space="preserve"> </w:t>
      </w:r>
      <w:r w:rsidRPr="005C0A6F">
        <w:t>the</w:t>
      </w:r>
      <w:r w:rsidR="000159A6">
        <w:t xml:space="preserve"> </w:t>
      </w:r>
      <w:r w:rsidRPr="005C0A6F">
        <w:t>elderly</w:t>
      </w:r>
      <w:r w:rsidR="000159A6">
        <w:t xml:space="preserve"> </w:t>
      </w:r>
      <w:r w:rsidRPr="005C0A6F">
        <w:t>population</w:t>
      </w:r>
      <w:r w:rsidR="000159A6">
        <w:t xml:space="preserve"> </w:t>
      </w:r>
      <w:r w:rsidRPr="005C0A6F">
        <w:t>with</w:t>
      </w:r>
      <w:r w:rsidR="000159A6">
        <w:t xml:space="preserve"> </w:t>
      </w:r>
      <w:proofErr w:type="spellStart"/>
      <w:r w:rsidRPr="005C0A6F">
        <w:t>pIMDs</w:t>
      </w:r>
      <w:proofErr w:type="spellEnd"/>
      <w:r w:rsidRPr="005C0A6F">
        <w:t>.</w:t>
      </w:r>
      <w:r w:rsidR="000159A6">
        <w:t xml:space="preserve"> </w:t>
      </w:r>
      <w:r w:rsidRPr="005C0A6F">
        <w:t>The</w:t>
      </w:r>
      <w:r w:rsidR="000159A6">
        <w:t xml:space="preserve"> </w:t>
      </w:r>
      <w:r w:rsidRPr="005C0A6F">
        <w:t>sponsor</w:t>
      </w:r>
      <w:r w:rsidR="000159A6">
        <w:t xml:space="preserve"> </w:t>
      </w:r>
      <w:r w:rsidRPr="005C0A6F">
        <w:t>is</w:t>
      </w:r>
      <w:r w:rsidR="000159A6">
        <w:t xml:space="preserve"> </w:t>
      </w:r>
      <w:r w:rsidRPr="005C0A6F">
        <w:t>planning</w:t>
      </w:r>
      <w:r w:rsidR="000159A6">
        <w:t xml:space="preserve"> </w:t>
      </w:r>
      <w:r w:rsidRPr="005C0A6F">
        <w:t>further</w:t>
      </w:r>
      <w:r w:rsidR="000159A6">
        <w:t xml:space="preserve"> </w:t>
      </w:r>
      <w:r w:rsidRPr="005C0A6F">
        <w:t>study</w:t>
      </w:r>
      <w:r w:rsidR="000159A6">
        <w:t xml:space="preserve"> </w:t>
      </w:r>
      <w:r w:rsidRPr="005C0A6F">
        <w:t>to</w:t>
      </w:r>
      <w:r w:rsidR="000159A6">
        <w:t xml:space="preserve"> </w:t>
      </w:r>
      <w:r w:rsidRPr="005C0A6F">
        <w:t>investigate</w:t>
      </w:r>
      <w:r w:rsidR="000159A6">
        <w:t xml:space="preserve"> </w:t>
      </w:r>
      <w:r w:rsidRPr="005C0A6F">
        <w:t>the</w:t>
      </w:r>
      <w:r w:rsidR="000159A6">
        <w:t xml:space="preserve"> </w:t>
      </w:r>
      <w:r w:rsidRPr="005C0A6F">
        <w:t>risk</w:t>
      </w:r>
      <w:r w:rsidR="000159A6">
        <w:t xml:space="preserve"> </w:t>
      </w:r>
      <w:r w:rsidRPr="005C0A6F">
        <w:t>of</w:t>
      </w:r>
      <w:r w:rsidR="000159A6">
        <w:t xml:space="preserve"> </w:t>
      </w:r>
      <w:proofErr w:type="spellStart"/>
      <w:r w:rsidRPr="005C0A6F">
        <w:t>pIMDs</w:t>
      </w:r>
      <w:proofErr w:type="spellEnd"/>
      <w:r w:rsidR="000159A6">
        <w:t xml:space="preserve"> </w:t>
      </w:r>
      <w:r w:rsidRPr="005C0A6F">
        <w:t>following</w:t>
      </w:r>
      <w:r w:rsidR="000159A6">
        <w:t xml:space="preserve"> </w:t>
      </w:r>
      <w:r w:rsidRPr="005C0A6F">
        <w:t>vaccination</w:t>
      </w:r>
      <w:r w:rsidR="000159A6">
        <w:t xml:space="preserve"> </w:t>
      </w:r>
      <w:r w:rsidRPr="005C0A6F">
        <w:t>and</w:t>
      </w:r>
      <w:r w:rsidR="000159A6">
        <w:t xml:space="preserve"> </w:t>
      </w:r>
      <w:proofErr w:type="spellStart"/>
      <w:r w:rsidRPr="005C0A6F">
        <w:t>pIMD</w:t>
      </w:r>
      <w:proofErr w:type="spellEnd"/>
      <w:r w:rsidR="000159A6">
        <w:t xml:space="preserve"> </w:t>
      </w:r>
      <w:r w:rsidRPr="005C0A6F">
        <w:t>is</w:t>
      </w:r>
      <w:r w:rsidR="000159A6">
        <w:t xml:space="preserve"> </w:t>
      </w:r>
      <w:r w:rsidRPr="005C0A6F">
        <w:t>included</w:t>
      </w:r>
      <w:r w:rsidR="000159A6">
        <w:t xml:space="preserve"> </w:t>
      </w:r>
      <w:r w:rsidRPr="005C0A6F">
        <w:t>as</w:t>
      </w:r>
      <w:r w:rsidR="000159A6">
        <w:t xml:space="preserve"> </w:t>
      </w:r>
      <w:r w:rsidRPr="005C0A6F">
        <w:t>a</w:t>
      </w:r>
      <w:r w:rsidR="000159A6">
        <w:t xml:space="preserve"> </w:t>
      </w:r>
      <w:r w:rsidRPr="005C0A6F">
        <w:t>potential</w:t>
      </w:r>
      <w:r w:rsidR="000159A6">
        <w:t xml:space="preserve"> </w:t>
      </w:r>
      <w:r w:rsidRPr="005C0A6F">
        <w:t>risk</w:t>
      </w:r>
      <w:r w:rsidR="000159A6">
        <w:t xml:space="preserve"> </w:t>
      </w:r>
      <w:r w:rsidRPr="005C0A6F">
        <w:t>in</w:t>
      </w:r>
      <w:r w:rsidR="000159A6">
        <w:t xml:space="preserve"> </w:t>
      </w:r>
      <w:r w:rsidRPr="005C0A6F">
        <w:t>the</w:t>
      </w:r>
      <w:r w:rsidR="000159A6">
        <w:t xml:space="preserve"> </w:t>
      </w:r>
      <w:r w:rsidRPr="005C0A6F">
        <w:t>RMP.</w:t>
      </w:r>
    </w:p>
    <w:p w14:paraId="542A882C" w14:textId="6842249D" w:rsidR="005C0A6F" w:rsidRPr="005C0A6F" w:rsidRDefault="005C0A6F" w:rsidP="00440509">
      <w:r w:rsidRPr="005C0A6F">
        <w:t>Efficacy</w:t>
      </w:r>
      <w:r w:rsidR="000159A6">
        <w:t xml:space="preserve"> </w:t>
      </w:r>
      <w:r w:rsidRPr="005C0A6F">
        <w:t>against</w:t>
      </w:r>
      <w:r w:rsidR="000159A6">
        <w:t xml:space="preserve"> </w:t>
      </w:r>
      <w:r w:rsidRPr="005C0A6F">
        <w:t>HZ</w:t>
      </w:r>
      <w:r w:rsidR="000159A6">
        <w:t xml:space="preserve"> </w:t>
      </w:r>
      <w:r w:rsidRPr="005C0A6F">
        <w:t>was</w:t>
      </w:r>
      <w:r w:rsidR="000159A6">
        <w:t xml:space="preserve"> </w:t>
      </w:r>
      <w:r w:rsidRPr="005C0A6F">
        <w:t>demonstrated</w:t>
      </w:r>
      <w:r w:rsidR="000159A6">
        <w:t xml:space="preserve"> </w:t>
      </w:r>
      <w:r w:rsidRPr="005C0A6F">
        <w:t>out</w:t>
      </w:r>
      <w:r w:rsidR="000159A6">
        <w:t xml:space="preserve"> </w:t>
      </w:r>
      <w:r w:rsidRPr="005C0A6F">
        <w:t>to</w:t>
      </w:r>
      <w:r w:rsidR="000159A6">
        <w:t xml:space="preserve"> </w:t>
      </w:r>
      <w:r w:rsidRPr="005C0A6F">
        <w:t>4</w:t>
      </w:r>
      <w:r w:rsidR="000159A6">
        <w:t xml:space="preserve"> </w:t>
      </w:r>
      <w:r w:rsidRPr="005C0A6F">
        <w:t>years</w:t>
      </w:r>
      <w:r w:rsidR="000159A6">
        <w:t xml:space="preserve"> </w:t>
      </w:r>
      <w:r w:rsidRPr="005C0A6F">
        <w:t>post</w:t>
      </w:r>
      <w:r w:rsidR="000159A6">
        <w:t xml:space="preserve"> </w:t>
      </w:r>
      <w:r w:rsidRPr="005C0A6F">
        <w:t>vaccination</w:t>
      </w:r>
      <w:r w:rsidR="000159A6">
        <w:t xml:space="preserve"> </w:t>
      </w:r>
      <w:r w:rsidRPr="005C0A6F">
        <w:t>however</w:t>
      </w:r>
      <w:r w:rsidR="000159A6">
        <w:t xml:space="preserve"> </w:t>
      </w:r>
      <w:r w:rsidRPr="005C0A6F">
        <w:t>the</w:t>
      </w:r>
      <w:r w:rsidR="000159A6">
        <w:t xml:space="preserve"> </w:t>
      </w:r>
      <w:r w:rsidRPr="005C0A6F">
        <w:t>issue</w:t>
      </w:r>
      <w:r w:rsidR="000159A6">
        <w:t xml:space="preserve"> </w:t>
      </w:r>
      <w:r w:rsidRPr="005C0A6F">
        <w:t>of</w:t>
      </w:r>
      <w:r w:rsidR="000159A6">
        <w:t xml:space="preserve"> </w:t>
      </w:r>
      <w:r w:rsidRPr="005C0A6F">
        <w:t>possible</w:t>
      </w:r>
      <w:r w:rsidR="000159A6">
        <w:t xml:space="preserve"> </w:t>
      </w:r>
      <w:r w:rsidRPr="005C0A6F">
        <w:t>waning</w:t>
      </w:r>
      <w:r w:rsidR="000159A6">
        <w:t xml:space="preserve"> </w:t>
      </w:r>
      <w:r w:rsidRPr="005C0A6F">
        <w:t>efficacy</w:t>
      </w:r>
      <w:r w:rsidR="000159A6">
        <w:t xml:space="preserve"> </w:t>
      </w:r>
      <w:r w:rsidRPr="005C0A6F">
        <w:t>and</w:t>
      </w:r>
      <w:r w:rsidR="000159A6">
        <w:t xml:space="preserve"> </w:t>
      </w:r>
      <w:r w:rsidRPr="005C0A6F">
        <w:t>the</w:t>
      </w:r>
      <w:r w:rsidR="000159A6">
        <w:t xml:space="preserve"> </w:t>
      </w:r>
      <w:r w:rsidRPr="005C0A6F">
        <w:t>need</w:t>
      </w:r>
      <w:r w:rsidR="000159A6">
        <w:t xml:space="preserve"> </w:t>
      </w:r>
      <w:r w:rsidRPr="005C0A6F">
        <w:t>for</w:t>
      </w:r>
      <w:r w:rsidR="000159A6">
        <w:t xml:space="preserve"> </w:t>
      </w:r>
      <w:r w:rsidRPr="005C0A6F">
        <w:t>booster</w:t>
      </w:r>
      <w:r w:rsidR="000159A6">
        <w:t xml:space="preserve"> </w:t>
      </w:r>
      <w:r w:rsidRPr="005C0A6F">
        <w:t>vaccination</w:t>
      </w:r>
      <w:r w:rsidR="000159A6">
        <w:t xml:space="preserve"> </w:t>
      </w:r>
      <w:r w:rsidRPr="005C0A6F">
        <w:t>has</w:t>
      </w:r>
      <w:r w:rsidR="000159A6">
        <w:t xml:space="preserve"> </w:t>
      </w:r>
      <w:r w:rsidRPr="005C0A6F">
        <w:t>not</w:t>
      </w:r>
      <w:r w:rsidR="000159A6">
        <w:t xml:space="preserve"> </w:t>
      </w:r>
      <w:r w:rsidRPr="005C0A6F">
        <w:t>yet</w:t>
      </w:r>
      <w:r w:rsidR="000159A6">
        <w:t xml:space="preserve"> </w:t>
      </w:r>
      <w:r w:rsidRPr="005C0A6F">
        <w:t>been</w:t>
      </w:r>
      <w:r w:rsidR="000159A6">
        <w:t xml:space="preserve"> </w:t>
      </w:r>
      <w:r w:rsidRPr="005C0A6F">
        <w:t>defined.</w:t>
      </w:r>
      <w:r w:rsidR="000159A6">
        <w:t xml:space="preserve"> </w:t>
      </w:r>
      <w:r w:rsidRPr="005C0A6F">
        <w:t>There</w:t>
      </w:r>
      <w:r w:rsidR="000159A6">
        <w:t xml:space="preserve"> </w:t>
      </w:r>
      <w:r w:rsidRPr="005C0A6F">
        <w:t>are</w:t>
      </w:r>
      <w:r w:rsidR="000159A6">
        <w:t xml:space="preserve"> </w:t>
      </w:r>
      <w:r w:rsidRPr="005C0A6F">
        <w:t>several</w:t>
      </w:r>
      <w:r w:rsidR="000159A6">
        <w:t xml:space="preserve"> </w:t>
      </w:r>
      <w:r w:rsidRPr="005C0A6F">
        <w:t>areas</w:t>
      </w:r>
      <w:r w:rsidR="000159A6">
        <w:t xml:space="preserve"> </w:t>
      </w:r>
      <w:r w:rsidRPr="005C0A6F">
        <w:t>where</w:t>
      </w:r>
      <w:r w:rsidR="000159A6">
        <w:t xml:space="preserve"> </w:t>
      </w:r>
      <w:r w:rsidRPr="005C0A6F">
        <w:t>data</w:t>
      </w:r>
      <w:r w:rsidR="000159A6">
        <w:t xml:space="preserve"> </w:t>
      </w:r>
      <w:r w:rsidRPr="005C0A6F">
        <w:t>are</w:t>
      </w:r>
      <w:r w:rsidR="000159A6">
        <w:t xml:space="preserve"> </w:t>
      </w:r>
      <w:r w:rsidRPr="005C0A6F">
        <w:t>lim</w:t>
      </w:r>
      <w:r w:rsidR="00733CE8">
        <w:t>ited</w:t>
      </w:r>
      <w:r w:rsidR="000159A6">
        <w:t xml:space="preserve"> </w:t>
      </w:r>
      <w:r w:rsidR="00733CE8">
        <w:t>or</w:t>
      </w:r>
      <w:r w:rsidR="000159A6">
        <w:t xml:space="preserve"> </w:t>
      </w:r>
      <w:r w:rsidR="00733CE8">
        <w:t>lacking.</w:t>
      </w:r>
      <w:r w:rsidR="000159A6">
        <w:t xml:space="preserve"> </w:t>
      </w:r>
      <w:r w:rsidR="00733CE8">
        <w:t>These</w:t>
      </w:r>
      <w:r w:rsidR="000159A6">
        <w:t xml:space="preserve"> </w:t>
      </w:r>
      <w:r w:rsidR="00733CE8">
        <w:t>include:</w:t>
      </w:r>
    </w:p>
    <w:p w14:paraId="4CD95C18" w14:textId="329C5228" w:rsidR="005C0A6F" w:rsidRPr="005C0A6F" w:rsidRDefault="005C0A6F" w:rsidP="00440509">
      <w:pPr>
        <w:pStyle w:val="ListBullet"/>
      </w:pPr>
      <w:r w:rsidRPr="005C0A6F">
        <w:t>data</w:t>
      </w:r>
      <w:r w:rsidR="000159A6">
        <w:t xml:space="preserve"> </w:t>
      </w:r>
      <w:r w:rsidRPr="005C0A6F">
        <w:t>on</w:t>
      </w:r>
      <w:r w:rsidR="000159A6">
        <w:t xml:space="preserve"> </w:t>
      </w:r>
      <w:r w:rsidRPr="005C0A6F">
        <w:t>seronegative</w:t>
      </w:r>
      <w:r w:rsidR="000159A6">
        <w:t xml:space="preserve"> </w:t>
      </w:r>
      <w:r w:rsidRPr="00440509">
        <w:t>individuals</w:t>
      </w:r>
      <w:r w:rsidR="000159A6">
        <w:t xml:space="preserve"> </w:t>
      </w:r>
      <w:r w:rsidRPr="005C0A6F">
        <w:t>(VZV</w:t>
      </w:r>
      <w:r w:rsidR="000159A6">
        <w:t xml:space="preserve"> </w:t>
      </w:r>
      <w:r w:rsidRPr="005C0A6F">
        <w:t>naïve)</w:t>
      </w:r>
    </w:p>
    <w:p w14:paraId="260567D5" w14:textId="79FD02F9" w:rsidR="005C0A6F" w:rsidRPr="005C0A6F" w:rsidRDefault="005C0A6F" w:rsidP="005C0A6F">
      <w:pPr>
        <w:pStyle w:val="ListBullet"/>
      </w:pPr>
      <w:r w:rsidRPr="005C0A6F">
        <w:t>data</w:t>
      </w:r>
      <w:r w:rsidR="000159A6">
        <w:t xml:space="preserve"> </w:t>
      </w:r>
      <w:r w:rsidRPr="005C0A6F">
        <w:t>in</w:t>
      </w:r>
      <w:r w:rsidR="000159A6">
        <w:t xml:space="preserve"> </w:t>
      </w:r>
      <w:r w:rsidRPr="005C0A6F">
        <w:t>individu</w:t>
      </w:r>
      <w:r w:rsidR="00733CE8">
        <w:t>als</w:t>
      </w:r>
      <w:r w:rsidR="000159A6">
        <w:t xml:space="preserve"> </w:t>
      </w:r>
      <w:r w:rsidR="00733CE8">
        <w:t>who</w:t>
      </w:r>
      <w:r w:rsidR="000159A6">
        <w:t xml:space="preserve"> </w:t>
      </w:r>
      <w:r w:rsidR="00733CE8">
        <w:t>have</w:t>
      </w:r>
      <w:r w:rsidR="000159A6">
        <w:t xml:space="preserve"> </w:t>
      </w:r>
      <w:r w:rsidR="00733CE8">
        <w:t>received</w:t>
      </w:r>
      <w:r w:rsidR="000159A6">
        <w:t xml:space="preserve"> </w:t>
      </w:r>
      <w:r w:rsidR="00733CE8">
        <w:t>Zostavax</w:t>
      </w:r>
    </w:p>
    <w:p w14:paraId="411EA53A" w14:textId="094B75B5" w:rsidR="005C0A6F" w:rsidRPr="005C0A6F" w:rsidRDefault="005C0A6F" w:rsidP="005C0A6F">
      <w:pPr>
        <w:pStyle w:val="ListBullet"/>
      </w:pPr>
      <w:r w:rsidRPr="005C0A6F">
        <w:t>data</w:t>
      </w:r>
      <w:r w:rsidR="000159A6">
        <w:t xml:space="preserve"> </w:t>
      </w:r>
      <w:r w:rsidRPr="005C0A6F">
        <w:t>on</w:t>
      </w:r>
      <w:r w:rsidR="000159A6">
        <w:t xml:space="preserve"> </w:t>
      </w:r>
      <w:r w:rsidRPr="005C0A6F">
        <w:t>individuals</w:t>
      </w:r>
      <w:r w:rsidR="000159A6">
        <w:t xml:space="preserve"> </w:t>
      </w:r>
      <w:r w:rsidRPr="005C0A6F">
        <w:t>with</w:t>
      </w:r>
      <w:r w:rsidR="000159A6">
        <w:t xml:space="preserve"> </w:t>
      </w:r>
      <w:r w:rsidRPr="005C0A6F">
        <w:t>a</w:t>
      </w:r>
      <w:r w:rsidR="000159A6">
        <w:t xml:space="preserve"> </w:t>
      </w:r>
      <w:r w:rsidRPr="005C0A6F">
        <w:t>history</w:t>
      </w:r>
      <w:r w:rsidR="000159A6">
        <w:t xml:space="preserve"> </w:t>
      </w:r>
      <w:r w:rsidRPr="005C0A6F">
        <w:t>of</w:t>
      </w:r>
      <w:r w:rsidR="000159A6">
        <w:t xml:space="preserve"> </w:t>
      </w:r>
      <w:r w:rsidRPr="005C0A6F">
        <w:t>herpes</w:t>
      </w:r>
      <w:r w:rsidR="000159A6">
        <w:t xml:space="preserve"> </w:t>
      </w:r>
      <w:r w:rsidRPr="005C0A6F">
        <w:t>zoster</w:t>
      </w:r>
    </w:p>
    <w:p w14:paraId="1E25D77B" w14:textId="23E24444" w:rsidR="005C0A6F" w:rsidRPr="005C0A6F" w:rsidRDefault="005C0A6F" w:rsidP="005C0A6F">
      <w:pPr>
        <w:pStyle w:val="ListBullet"/>
      </w:pPr>
      <w:r w:rsidRPr="005C0A6F">
        <w:t>data</w:t>
      </w:r>
      <w:r w:rsidR="000159A6">
        <w:t xml:space="preserve"> </w:t>
      </w:r>
      <w:r w:rsidRPr="005C0A6F">
        <w:t>on</w:t>
      </w:r>
      <w:r w:rsidR="000159A6">
        <w:t xml:space="preserve"> </w:t>
      </w:r>
      <w:r w:rsidRPr="005C0A6F">
        <w:t>the</w:t>
      </w:r>
      <w:r w:rsidR="000159A6">
        <w:t xml:space="preserve"> </w:t>
      </w:r>
      <w:r w:rsidRPr="005C0A6F">
        <w:t>durati</w:t>
      </w:r>
      <w:r w:rsidR="00733CE8">
        <w:t>on</w:t>
      </w:r>
      <w:r w:rsidR="000159A6">
        <w:t xml:space="preserve"> </w:t>
      </w:r>
      <w:r w:rsidR="00733CE8">
        <w:t>of</w:t>
      </w:r>
      <w:r w:rsidR="000159A6">
        <w:t xml:space="preserve"> </w:t>
      </w:r>
      <w:r w:rsidR="00733CE8">
        <w:t>protection</w:t>
      </w:r>
      <w:r w:rsidR="000159A6">
        <w:t xml:space="preserve"> </w:t>
      </w:r>
      <w:r w:rsidR="00733CE8">
        <w:t>beyond</w:t>
      </w:r>
      <w:r w:rsidR="000159A6">
        <w:t xml:space="preserve"> </w:t>
      </w:r>
      <w:r w:rsidR="00733CE8">
        <w:t>4</w:t>
      </w:r>
      <w:r w:rsidR="000159A6">
        <w:t xml:space="preserve"> </w:t>
      </w:r>
      <w:r w:rsidR="00733CE8">
        <w:t>years</w:t>
      </w:r>
    </w:p>
    <w:p w14:paraId="1DB95D93" w14:textId="05AF550B" w:rsidR="005C0A6F" w:rsidRPr="005C0A6F" w:rsidRDefault="005C0A6F" w:rsidP="005C0A6F">
      <w:pPr>
        <w:pStyle w:val="ListBullet"/>
      </w:pPr>
      <w:r w:rsidRPr="005C0A6F">
        <w:t>t</w:t>
      </w:r>
      <w:r w:rsidR="00733CE8">
        <w:t>he</w:t>
      </w:r>
      <w:r w:rsidR="000159A6">
        <w:t xml:space="preserve"> </w:t>
      </w:r>
      <w:r w:rsidR="00733CE8">
        <w:t>need</w:t>
      </w:r>
      <w:r w:rsidR="000159A6">
        <w:t xml:space="preserve"> </w:t>
      </w:r>
      <w:r w:rsidR="00733CE8">
        <w:t>for</w:t>
      </w:r>
      <w:r w:rsidR="000159A6">
        <w:t xml:space="preserve"> </w:t>
      </w:r>
      <w:r w:rsidR="00733CE8">
        <w:t>booster</w:t>
      </w:r>
      <w:r w:rsidR="000159A6">
        <w:t xml:space="preserve"> </w:t>
      </w:r>
      <w:r w:rsidR="00733CE8">
        <w:t>vaccination</w:t>
      </w:r>
    </w:p>
    <w:p w14:paraId="746AEE4C" w14:textId="58109C2E" w:rsidR="005C0A6F" w:rsidRPr="005C0A6F" w:rsidRDefault="005C0A6F" w:rsidP="005C0A6F">
      <w:pPr>
        <w:pStyle w:val="ListBullet"/>
      </w:pPr>
      <w:r w:rsidRPr="005C0A6F">
        <w:t>data</w:t>
      </w:r>
      <w:r w:rsidR="000159A6">
        <w:t xml:space="preserve"> </w:t>
      </w:r>
      <w:r w:rsidRPr="005C0A6F">
        <w:t>on</w:t>
      </w:r>
      <w:r w:rsidR="000159A6">
        <w:t xml:space="preserve"> </w:t>
      </w:r>
      <w:r w:rsidRPr="005C0A6F">
        <w:t>immunocompromised</w:t>
      </w:r>
      <w:r w:rsidR="000159A6">
        <w:t xml:space="preserve"> </w:t>
      </w:r>
      <w:r w:rsidRPr="005C0A6F">
        <w:t>population</w:t>
      </w:r>
    </w:p>
    <w:p w14:paraId="0270AF17" w14:textId="0F68C8EE" w:rsidR="005C0A6F" w:rsidRPr="005C0A6F" w:rsidRDefault="005C0A6F" w:rsidP="00440509">
      <w:pPr>
        <w:pStyle w:val="ListBullet"/>
      </w:pPr>
      <w:proofErr w:type="gramStart"/>
      <w:r w:rsidRPr="005C0A6F">
        <w:t>data</w:t>
      </w:r>
      <w:proofErr w:type="gramEnd"/>
      <w:r w:rsidR="000159A6">
        <w:t xml:space="preserve"> </w:t>
      </w:r>
      <w:r w:rsidRPr="005C0A6F">
        <w:t>on</w:t>
      </w:r>
      <w:r w:rsidR="000159A6">
        <w:t xml:space="preserve"> </w:t>
      </w:r>
      <w:r w:rsidRPr="005C0A6F">
        <w:t>co-administration</w:t>
      </w:r>
      <w:r w:rsidR="000159A6">
        <w:t xml:space="preserve"> </w:t>
      </w:r>
      <w:r w:rsidRPr="005C0A6F">
        <w:t>with</w:t>
      </w:r>
      <w:r w:rsidR="000159A6">
        <w:t xml:space="preserve"> </w:t>
      </w:r>
      <w:r w:rsidRPr="005C0A6F">
        <w:t>vaccines</w:t>
      </w:r>
      <w:r w:rsidR="000159A6">
        <w:t xml:space="preserve"> </w:t>
      </w:r>
      <w:r w:rsidRPr="005C0A6F">
        <w:t>other</w:t>
      </w:r>
      <w:r w:rsidR="000159A6">
        <w:t xml:space="preserve"> </w:t>
      </w:r>
      <w:r w:rsidRPr="005C0A6F">
        <w:t>than</w:t>
      </w:r>
      <w:r w:rsidR="000159A6">
        <w:t xml:space="preserve"> </w:t>
      </w:r>
      <w:r w:rsidRPr="005C0A6F">
        <w:t>influenza</w:t>
      </w:r>
      <w:r w:rsidR="000159A6">
        <w:t xml:space="preserve"> </w:t>
      </w:r>
      <w:r w:rsidRPr="005C0A6F">
        <w:t>vaccine,</w:t>
      </w:r>
      <w:r w:rsidR="000159A6">
        <w:t xml:space="preserve"> </w:t>
      </w:r>
      <w:r w:rsidRPr="005C0A6F">
        <w:t>such</w:t>
      </w:r>
      <w:r w:rsidR="000159A6">
        <w:t xml:space="preserve"> </w:t>
      </w:r>
      <w:r w:rsidRPr="005C0A6F">
        <w:t>as</w:t>
      </w:r>
      <w:r w:rsidR="000159A6">
        <w:t xml:space="preserve"> </w:t>
      </w:r>
      <w:r w:rsidRPr="005C0A6F">
        <w:t>pneumococcal</w:t>
      </w:r>
      <w:r w:rsidR="000159A6">
        <w:t xml:space="preserve"> </w:t>
      </w:r>
      <w:r w:rsidRPr="005C0A6F">
        <w:t>vaccine</w:t>
      </w:r>
      <w:r w:rsidR="000159A6">
        <w:t xml:space="preserve"> </w:t>
      </w:r>
      <w:r w:rsidR="00733CE8">
        <w:t>and</w:t>
      </w:r>
      <w:r w:rsidR="000159A6">
        <w:t xml:space="preserve"> </w:t>
      </w:r>
      <w:r w:rsidR="00733CE8">
        <w:t>other</w:t>
      </w:r>
      <w:r w:rsidR="000159A6">
        <w:t xml:space="preserve"> </w:t>
      </w:r>
      <w:r w:rsidR="00733CE8">
        <w:t>adjuvanted</w:t>
      </w:r>
      <w:r w:rsidR="000159A6">
        <w:t xml:space="preserve"> </w:t>
      </w:r>
      <w:r w:rsidR="00733CE8">
        <w:t>vaccines.</w:t>
      </w:r>
    </w:p>
    <w:p w14:paraId="254F5BD0" w14:textId="54FC6B30" w:rsidR="005C0A6F" w:rsidRPr="00E021B7" w:rsidRDefault="00D23139" w:rsidP="00E021B7">
      <w:pPr>
        <w:pStyle w:val="Heading4"/>
      </w:pPr>
      <w:r w:rsidRPr="00E021B7">
        <w:t>Proposed</w:t>
      </w:r>
      <w:r w:rsidR="000159A6" w:rsidRPr="00E021B7">
        <w:t xml:space="preserve"> </w:t>
      </w:r>
      <w:r w:rsidRPr="00E021B7">
        <w:t>action</w:t>
      </w:r>
    </w:p>
    <w:p w14:paraId="3250E1BB" w14:textId="35B7537D" w:rsidR="005C0A6F" w:rsidRPr="00B13C77" w:rsidRDefault="005C0A6F" w:rsidP="00440509">
      <w:r w:rsidRPr="005C0A6F">
        <w:t>Based</w:t>
      </w:r>
      <w:r w:rsidR="000159A6">
        <w:t xml:space="preserve"> </w:t>
      </w:r>
      <w:r w:rsidRPr="005C0A6F">
        <w:t>on</w:t>
      </w:r>
      <w:r w:rsidR="000159A6">
        <w:t xml:space="preserve"> </w:t>
      </w:r>
      <w:r w:rsidRPr="005C0A6F">
        <w:t>the</w:t>
      </w:r>
      <w:r w:rsidR="000159A6">
        <w:t xml:space="preserve"> </w:t>
      </w:r>
      <w:r w:rsidRPr="005C0A6F">
        <w:t>above</w:t>
      </w:r>
      <w:r w:rsidR="000159A6">
        <w:t xml:space="preserve"> </w:t>
      </w:r>
      <w:r w:rsidR="00733CE8">
        <w:t>evaluation</w:t>
      </w:r>
      <w:r w:rsidR="000159A6">
        <w:t xml:space="preserve"> </w:t>
      </w:r>
      <w:r w:rsidR="00733CE8">
        <w:t>and</w:t>
      </w:r>
      <w:r w:rsidR="000159A6">
        <w:t xml:space="preserve"> </w:t>
      </w:r>
      <w:r w:rsidR="00733CE8">
        <w:t>discussion,</w:t>
      </w:r>
      <w:r w:rsidR="000159A6">
        <w:t xml:space="preserve"> </w:t>
      </w:r>
      <w:r w:rsidR="00733CE8">
        <w:t>the</w:t>
      </w:r>
      <w:r w:rsidR="000159A6">
        <w:t xml:space="preserve"> </w:t>
      </w:r>
      <w:r w:rsidR="00733CE8">
        <w:t>D</w:t>
      </w:r>
      <w:r w:rsidRPr="005C0A6F">
        <w:t>elegate</w:t>
      </w:r>
      <w:r w:rsidR="000159A6">
        <w:t xml:space="preserve"> </w:t>
      </w:r>
      <w:r w:rsidRPr="005C0A6F">
        <w:t>i</w:t>
      </w:r>
      <w:r w:rsidR="00733CE8">
        <w:t>s</w:t>
      </w:r>
      <w:r w:rsidR="000159A6">
        <w:t xml:space="preserve"> </w:t>
      </w:r>
      <w:r w:rsidR="00733CE8">
        <w:t>of</w:t>
      </w:r>
      <w:r w:rsidR="000159A6">
        <w:t xml:space="preserve"> </w:t>
      </w:r>
      <w:r w:rsidR="00733CE8">
        <w:t>the</w:t>
      </w:r>
      <w:r w:rsidR="000159A6">
        <w:t xml:space="preserve"> </w:t>
      </w:r>
      <w:r w:rsidR="00733CE8">
        <w:t>view</w:t>
      </w:r>
      <w:r w:rsidR="000159A6">
        <w:t xml:space="preserve"> </w:t>
      </w:r>
      <w:r w:rsidR="00733CE8">
        <w:t>that</w:t>
      </w:r>
      <w:r w:rsidR="000159A6">
        <w:t xml:space="preserve"> </w:t>
      </w:r>
      <w:r w:rsidR="00733CE8">
        <w:t>the</w:t>
      </w:r>
      <w:r w:rsidR="000159A6">
        <w:t xml:space="preserve"> </w:t>
      </w:r>
      <w:r w:rsidR="00733CE8">
        <w:t>benefit-risk</w:t>
      </w:r>
      <w:r w:rsidR="000159A6">
        <w:t xml:space="preserve"> </w:t>
      </w:r>
      <w:r w:rsidRPr="005C0A6F">
        <w:t>balance</w:t>
      </w:r>
      <w:r w:rsidR="000159A6">
        <w:t xml:space="preserve"> </w:t>
      </w:r>
      <w:r w:rsidRPr="005C0A6F">
        <w:t>is</w:t>
      </w:r>
      <w:r w:rsidR="000159A6">
        <w:t xml:space="preserve"> </w:t>
      </w:r>
      <w:r w:rsidRPr="005C0A6F">
        <w:t>favourable</w:t>
      </w:r>
      <w:r w:rsidR="000159A6">
        <w:t xml:space="preserve"> </w:t>
      </w:r>
      <w:r w:rsidRPr="005C0A6F">
        <w:t>for</w:t>
      </w:r>
      <w:r w:rsidR="000159A6">
        <w:t xml:space="preserve"> </w:t>
      </w:r>
      <w:r w:rsidRPr="005C0A6F">
        <w:t>the</w:t>
      </w:r>
      <w:r w:rsidR="000159A6">
        <w:t xml:space="preserve"> </w:t>
      </w:r>
      <w:r w:rsidRPr="005C0A6F">
        <w:t>use</w:t>
      </w:r>
      <w:r w:rsidR="000159A6">
        <w:t xml:space="preserve"> </w:t>
      </w:r>
      <w:r w:rsidRPr="005C0A6F">
        <w:t>of</w:t>
      </w:r>
      <w:r w:rsidR="000159A6">
        <w:t xml:space="preserve"> </w:t>
      </w:r>
      <w:r w:rsidR="00FF12AA">
        <w:t>Shingrix</w:t>
      </w:r>
      <w:r w:rsidR="000159A6">
        <w:t xml:space="preserve"> </w:t>
      </w:r>
      <w:r w:rsidRPr="005C0A6F">
        <w:t>in</w:t>
      </w:r>
      <w:r w:rsidR="000159A6">
        <w:t xml:space="preserve"> </w:t>
      </w:r>
      <w:r w:rsidRPr="005C0A6F">
        <w:t>preventing</w:t>
      </w:r>
      <w:r w:rsidR="000159A6">
        <w:t xml:space="preserve"> </w:t>
      </w:r>
      <w:r w:rsidRPr="005C0A6F">
        <w:t>herpes</w:t>
      </w:r>
      <w:r w:rsidR="000159A6">
        <w:t xml:space="preserve"> </w:t>
      </w:r>
      <w:r w:rsidRPr="005C0A6F">
        <w:t>zoster</w:t>
      </w:r>
      <w:r w:rsidR="000159A6">
        <w:t xml:space="preserve"> </w:t>
      </w:r>
      <w:r w:rsidRPr="005C0A6F">
        <w:t>in</w:t>
      </w:r>
      <w:r w:rsidR="000159A6">
        <w:t xml:space="preserve"> </w:t>
      </w:r>
      <w:r w:rsidRPr="005C0A6F">
        <w:t>adult</w:t>
      </w:r>
      <w:r w:rsidR="00733CE8">
        <w:t>s</w:t>
      </w:r>
      <w:r w:rsidR="000159A6">
        <w:t xml:space="preserve"> </w:t>
      </w:r>
      <w:r w:rsidR="00733CE8">
        <w:t>aged</w:t>
      </w:r>
      <w:r w:rsidR="000159A6">
        <w:t xml:space="preserve"> </w:t>
      </w:r>
      <w:r w:rsidR="00733CE8">
        <w:t>50</w:t>
      </w:r>
      <w:r w:rsidR="000159A6">
        <w:t xml:space="preserve"> </w:t>
      </w:r>
      <w:r w:rsidR="00733CE8">
        <w:t>years</w:t>
      </w:r>
      <w:r w:rsidR="000159A6">
        <w:t xml:space="preserve"> </w:t>
      </w:r>
      <w:r w:rsidR="00733CE8">
        <w:t>and</w:t>
      </w:r>
      <w:r w:rsidR="000159A6">
        <w:t xml:space="preserve"> </w:t>
      </w:r>
      <w:r w:rsidR="00733CE8">
        <w:t>older.</w:t>
      </w:r>
      <w:r w:rsidR="000159A6">
        <w:t xml:space="preserve"> </w:t>
      </w:r>
      <w:r w:rsidR="00733CE8">
        <w:t>The</w:t>
      </w:r>
      <w:r w:rsidR="000159A6">
        <w:t xml:space="preserve"> </w:t>
      </w:r>
      <w:r w:rsidR="00733CE8">
        <w:t>D</w:t>
      </w:r>
      <w:r w:rsidRPr="005C0A6F">
        <w:t>elegate</w:t>
      </w:r>
      <w:r w:rsidR="000159A6">
        <w:t xml:space="preserve"> </w:t>
      </w:r>
      <w:r w:rsidRPr="005C0A6F">
        <w:t>proposes</w:t>
      </w:r>
      <w:r w:rsidR="000159A6">
        <w:t xml:space="preserve"> </w:t>
      </w:r>
      <w:r w:rsidRPr="005C0A6F">
        <w:t>to</w:t>
      </w:r>
      <w:r w:rsidR="000159A6">
        <w:t xml:space="preserve"> </w:t>
      </w:r>
      <w:r w:rsidRPr="005C0A6F">
        <w:t>approve</w:t>
      </w:r>
      <w:r w:rsidR="000159A6">
        <w:t xml:space="preserve"> </w:t>
      </w:r>
      <w:r w:rsidR="00FF12AA">
        <w:t>Shingrix</w:t>
      </w:r>
      <w:r w:rsidR="000159A6">
        <w:t xml:space="preserve"> </w:t>
      </w:r>
      <w:r w:rsidRPr="005C0A6F">
        <w:t>fo</w:t>
      </w:r>
      <w:r w:rsidR="00733CE8">
        <w:t>r</w:t>
      </w:r>
      <w:r w:rsidR="000159A6">
        <w:t xml:space="preserve"> </w:t>
      </w:r>
      <w:r w:rsidR="00733CE8">
        <w:t>the</w:t>
      </w:r>
      <w:r w:rsidR="000159A6">
        <w:t xml:space="preserve"> </w:t>
      </w:r>
      <w:r w:rsidR="00733CE8">
        <w:t>revised</w:t>
      </w:r>
      <w:r w:rsidR="000159A6">
        <w:t xml:space="preserve"> </w:t>
      </w:r>
      <w:r w:rsidR="00733CE8">
        <w:t>indication</w:t>
      </w:r>
      <w:r w:rsidR="000159A6">
        <w:t xml:space="preserve"> </w:t>
      </w:r>
      <w:r w:rsidR="00733CE8">
        <w:t>below:</w:t>
      </w:r>
    </w:p>
    <w:p w14:paraId="5FA32940" w14:textId="3B393910" w:rsidR="005C0A6F" w:rsidRPr="005C0A6F" w:rsidRDefault="00FF12AA" w:rsidP="005C0A6F">
      <w:pPr>
        <w:ind w:left="720"/>
        <w:rPr>
          <w:i/>
        </w:rPr>
      </w:pPr>
      <w:r>
        <w:rPr>
          <w:i/>
        </w:rPr>
        <w:lastRenderedPageBreak/>
        <w:t>Shingrix</w:t>
      </w:r>
      <w:r w:rsidR="000159A6">
        <w:rPr>
          <w:i/>
        </w:rPr>
        <w:t xml:space="preserve"> </w:t>
      </w:r>
      <w:r w:rsidR="005C0A6F" w:rsidRPr="005C0A6F">
        <w:rPr>
          <w:i/>
        </w:rPr>
        <w:t>is</w:t>
      </w:r>
      <w:r w:rsidR="000159A6">
        <w:rPr>
          <w:i/>
        </w:rPr>
        <w:t xml:space="preserve"> </w:t>
      </w:r>
      <w:r w:rsidR="005C0A6F" w:rsidRPr="005C0A6F">
        <w:rPr>
          <w:i/>
        </w:rPr>
        <w:t>indicated</w:t>
      </w:r>
      <w:r w:rsidR="000159A6">
        <w:rPr>
          <w:i/>
        </w:rPr>
        <w:t xml:space="preserve"> </w:t>
      </w:r>
      <w:r w:rsidR="005C0A6F" w:rsidRPr="005C0A6F">
        <w:rPr>
          <w:i/>
        </w:rPr>
        <w:t>for</w:t>
      </w:r>
      <w:r w:rsidR="000159A6">
        <w:rPr>
          <w:i/>
        </w:rPr>
        <w:t xml:space="preserve"> </w:t>
      </w:r>
      <w:r w:rsidR="005C0A6F" w:rsidRPr="005C0A6F">
        <w:rPr>
          <w:i/>
        </w:rPr>
        <w:t>prevention</w:t>
      </w:r>
      <w:r w:rsidR="000159A6">
        <w:rPr>
          <w:i/>
        </w:rPr>
        <w:t xml:space="preserve"> </w:t>
      </w:r>
      <w:r w:rsidR="005C0A6F" w:rsidRPr="005C0A6F">
        <w:rPr>
          <w:i/>
        </w:rPr>
        <w:t>of</w:t>
      </w:r>
      <w:r w:rsidR="000159A6">
        <w:rPr>
          <w:i/>
        </w:rPr>
        <w:t xml:space="preserve"> </w:t>
      </w:r>
      <w:r w:rsidR="005C0A6F" w:rsidRPr="005C0A6F">
        <w:rPr>
          <w:i/>
        </w:rPr>
        <w:t>herpes</w:t>
      </w:r>
      <w:r w:rsidR="000159A6">
        <w:rPr>
          <w:i/>
        </w:rPr>
        <w:t xml:space="preserve"> </w:t>
      </w:r>
      <w:r w:rsidR="005C0A6F" w:rsidRPr="005C0A6F">
        <w:rPr>
          <w:i/>
        </w:rPr>
        <w:t>zoster</w:t>
      </w:r>
      <w:r w:rsidR="000159A6">
        <w:rPr>
          <w:i/>
        </w:rPr>
        <w:t xml:space="preserve"> </w:t>
      </w:r>
      <w:r w:rsidR="005C0A6F" w:rsidRPr="005C0A6F">
        <w:rPr>
          <w:i/>
        </w:rPr>
        <w:t>(shingles)</w:t>
      </w:r>
      <w:r w:rsidR="000159A6">
        <w:rPr>
          <w:i/>
        </w:rPr>
        <w:t xml:space="preserve"> </w:t>
      </w:r>
      <w:r w:rsidR="005C0A6F" w:rsidRPr="005C0A6F">
        <w:rPr>
          <w:i/>
        </w:rPr>
        <w:t>in</w:t>
      </w:r>
      <w:r w:rsidR="000159A6">
        <w:rPr>
          <w:i/>
        </w:rPr>
        <w:t xml:space="preserve"> </w:t>
      </w:r>
      <w:r w:rsidR="005C0A6F" w:rsidRPr="005C0A6F">
        <w:rPr>
          <w:i/>
        </w:rPr>
        <w:t>adults</w:t>
      </w:r>
      <w:r w:rsidR="000159A6">
        <w:rPr>
          <w:i/>
        </w:rPr>
        <w:t xml:space="preserve"> </w:t>
      </w:r>
      <w:r w:rsidR="005C0A6F" w:rsidRPr="005C0A6F">
        <w:rPr>
          <w:i/>
        </w:rPr>
        <w:t>aged</w:t>
      </w:r>
      <w:r w:rsidR="000159A6">
        <w:rPr>
          <w:i/>
        </w:rPr>
        <w:t xml:space="preserve"> </w:t>
      </w:r>
      <w:r w:rsidR="005C0A6F" w:rsidRPr="005C0A6F">
        <w:rPr>
          <w:i/>
        </w:rPr>
        <w:t>50</w:t>
      </w:r>
      <w:r w:rsidR="000159A6">
        <w:rPr>
          <w:i/>
        </w:rPr>
        <w:t xml:space="preserve"> </w:t>
      </w:r>
      <w:r w:rsidR="005C0A6F" w:rsidRPr="005C0A6F">
        <w:rPr>
          <w:i/>
        </w:rPr>
        <w:t>years</w:t>
      </w:r>
      <w:r w:rsidR="000159A6">
        <w:rPr>
          <w:i/>
        </w:rPr>
        <w:t xml:space="preserve"> </w:t>
      </w:r>
      <w:r w:rsidR="005C0A6F" w:rsidRPr="005C0A6F">
        <w:rPr>
          <w:i/>
        </w:rPr>
        <w:t>and</w:t>
      </w:r>
      <w:r w:rsidR="000159A6">
        <w:rPr>
          <w:i/>
        </w:rPr>
        <w:t xml:space="preserve"> </w:t>
      </w:r>
      <w:r w:rsidR="005C0A6F" w:rsidRPr="005C0A6F">
        <w:rPr>
          <w:i/>
        </w:rPr>
        <w:t>older.</w:t>
      </w:r>
      <w:r w:rsidR="000159A6">
        <w:rPr>
          <w:i/>
        </w:rPr>
        <w:t xml:space="preserve"> </w:t>
      </w:r>
      <w:r w:rsidR="005C0A6F" w:rsidRPr="005C0A6F">
        <w:rPr>
          <w:i/>
        </w:rPr>
        <w:t>The</w:t>
      </w:r>
      <w:r w:rsidR="000159A6">
        <w:rPr>
          <w:i/>
        </w:rPr>
        <w:t xml:space="preserve"> </w:t>
      </w:r>
      <w:r w:rsidR="005C0A6F" w:rsidRPr="005C0A6F">
        <w:rPr>
          <w:i/>
        </w:rPr>
        <w:t>vaccine’s</w:t>
      </w:r>
      <w:r w:rsidR="000159A6">
        <w:rPr>
          <w:i/>
        </w:rPr>
        <w:t xml:space="preserve"> </w:t>
      </w:r>
      <w:r w:rsidR="005C0A6F" w:rsidRPr="005C0A6F">
        <w:rPr>
          <w:i/>
        </w:rPr>
        <w:t>effect</w:t>
      </w:r>
      <w:r w:rsidR="000159A6">
        <w:rPr>
          <w:i/>
        </w:rPr>
        <w:t xml:space="preserve"> </w:t>
      </w:r>
      <w:r w:rsidR="005C0A6F" w:rsidRPr="005C0A6F">
        <w:rPr>
          <w:i/>
        </w:rPr>
        <w:t>on</w:t>
      </w:r>
      <w:r w:rsidR="000159A6">
        <w:rPr>
          <w:i/>
        </w:rPr>
        <w:t xml:space="preserve"> </w:t>
      </w:r>
      <w:r w:rsidR="005C0A6F" w:rsidRPr="005C0A6F">
        <w:rPr>
          <w:i/>
        </w:rPr>
        <w:t>the</w:t>
      </w:r>
      <w:r w:rsidR="000159A6">
        <w:rPr>
          <w:i/>
        </w:rPr>
        <w:t xml:space="preserve"> </w:t>
      </w:r>
      <w:r w:rsidR="005C0A6F" w:rsidRPr="005C0A6F">
        <w:rPr>
          <w:i/>
        </w:rPr>
        <w:t>prevention</w:t>
      </w:r>
      <w:r w:rsidR="000159A6">
        <w:rPr>
          <w:i/>
        </w:rPr>
        <w:t xml:space="preserve"> </w:t>
      </w:r>
      <w:r w:rsidR="005C0A6F" w:rsidRPr="005C0A6F">
        <w:rPr>
          <w:i/>
        </w:rPr>
        <w:t>of</w:t>
      </w:r>
      <w:r w:rsidR="000159A6">
        <w:rPr>
          <w:i/>
        </w:rPr>
        <w:t xml:space="preserve"> </w:t>
      </w:r>
      <w:r w:rsidR="000E6841">
        <w:rPr>
          <w:i/>
        </w:rPr>
        <w:t>post</w:t>
      </w:r>
      <w:r w:rsidR="000159A6">
        <w:rPr>
          <w:i/>
        </w:rPr>
        <w:t xml:space="preserve"> </w:t>
      </w:r>
      <w:r w:rsidR="000E6841">
        <w:rPr>
          <w:i/>
        </w:rPr>
        <w:t>herpetic</w:t>
      </w:r>
      <w:r w:rsidR="000159A6">
        <w:rPr>
          <w:i/>
        </w:rPr>
        <w:t xml:space="preserve"> </w:t>
      </w:r>
      <w:r w:rsidR="005C0A6F" w:rsidRPr="005C0A6F">
        <w:rPr>
          <w:i/>
        </w:rPr>
        <w:t>neuralgia</w:t>
      </w:r>
      <w:r w:rsidR="000159A6">
        <w:rPr>
          <w:i/>
        </w:rPr>
        <w:t xml:space="preserve"> </w:t>
      </w:r>
      <w:r w:rsidR="005C0A6F" w:rsidRPr="005C0A6F">
        <w:rPr>
          <w:i/>
        </w:rPr>
        <w:t>(PHN)</w:t>
      </w:r>
      <w:r w:rsidR="000159A6">
        <w:rPr>
          <w:i/>
        </w:rPr>
        <w:t xml:space="preserve"> </w:t>
      </w:r>
      <w:r w:rsidR="005C0A6F" w:rsidRPr="005C0A6F">
        <w:rPr>
          <w:i/>
        </w:rPr>
        <w:t>is</w:t>
      </w:r>
      <w:r w:rsidR="000159A6">
        <w:rPr>
          <w:i/>
        </w:rPr>
        <w:t xml:space="preserve"> </w:t>
      </w:r>
      <w:r w:rsidR="005C0A6F" w:rsidRPr="005C0A6F">
        <w:rPr>
          <w:i/>
        </w:rPr>
        <w:t>attributed</w:t>
      </w:r>
      <w:r w:rsidR="000159A6">
        <w:rPr>
          <w:i/>
        </w:rPr>
        <w:t xml:space="preserve"> </w:t>
      </w:r>
      <w:r w:rsidR="005C0A6F" w:rsidRPr="005C0A6F">
        <w:rPr>
          <w:i/>
        </w:rPr>
        <w:t>to</w:t>
      </w:r>
      <w:r w:rsidR="000159A6">
        <w:rPr>
          <w:i/>
        </w:rPr>
        <w:t xml:space="preserve"> </w:t>
      </w:r>
      <w:r w:rsidR="005C0A6F" w:rsidRPr="005C0A6F">
        <w:rPr>
          <w:i/>
        </w:rPr>
        <w:t>the</w:t>
      </w:r>
      <w:r w:rsidR="000159A6">
        <w:rPr>
          <w:i/>
        </w:rPr>
        <w:t xml:space="preserve"> </w:t>
      </w:r>
      <w:r w:rsidR="005C0A6F" w:rsidRPr="005C0A6F">
        <w:rPr>
          <w:i/>
        </w:rPr>
        <w:t>effect</w:t>
      </w:r>
      <w:r w:rsidR="000159A6">
        <w:rPr>
          <w:i/>
        </w:rPr>
        <w:t xml:space="preserve"> </w:t>
      </w:r>
      <w:r w:rsidR="005C0A6F" w:rsidRPr="005C0A6F">
        <w:rPr>
          <w:i/>
        </w:rPr>
        <w:t>of</w:t>
      </w:r>
      <w:r w:rsidR="000159A6">
        <w:rPr>
          <w:i/>
        </w:rPr>
        <w:t xml:space="preserve"> </w:t>
      </w:r>
      <w:r w:rsidR="005C0A6F" w:rsidRPr="005C0A6F">
        <w:rPr>
          <w:i/>
        </w:rPr>
        <w:t>the</w:t>
      </w:r>
      <w:r w:rsidR="000159A6">
        <w:rPr>
          <w:i/>
        </w:rPr>
        <w:t xml:space="preserve"> </w:t>
      </w:r>
      <w:r w:rsidR="005C0A6F" w:rsidRPr="005C0A6F">
        <w:rPr>
          <w:i/>
        </w:rPr>
        <w:t>vaccine</w:t>
      </w:r>
      <w:r w:rsidR="000159A6">
        <w:rPr>
          <w:i/>
        </w:rPr>
        <w:t xml:space="preserve"> </w:t>
      </w:r>
      <w:r w:rsidR="005C0A6F" w:rsidRPr="005C0A6F">
        <w:rPr>
          <w:i/>
        </w:rPr>
        <w:t>on</w:t>
      </w:r>
      <w:r w:rsidR="000159A6">
        <w:rPr>
          <w:i/>
        </w:rPr>
        <w:t xml:space="preserve"> </w:t>
      </w:r>
      <w:r w:rsidR="005C0A6F" w:rsidRPr="005C0A6F">
        <w:rPr>
          <w:i/>
        </w:rPr>
        <w:t>the</w:t>
      </w:r>
      <w:r w:rsidR="000159A6">
        <w:rPr>
          <w:i/>
        </w:rPr>
        <w:t xml:space="preserve"> </w:t>
      </w:r>
      <w:r w:rsidR="005C0A6F" w:rsidRPr="005C0A6F">
        <w:rPr>
          <w:i/>
        </w:rPr>
        <w:t>prevention</w:t>
      </w:r>
      <w:r w:rsidR="000159A6">
        <w:rPr>
          <w:i/>
        </w:rPr>
        <w:t xml:space="preserve"> </w:t>
      </w:r>
      <w:r w:rsidR="005C0A6F" w:rsidRPr="005C0A6F">
        <w:rPr>
          <w:i/>
        </w:rPr>
        <w:t>of</w:t>
      </w:r>
      <w:r w:rsidR="000159A6">
        <w:rPr>
          <w:i/>
        </w:rPr>
        <w:t xml:space="preserve"> </w:t>
      </w:r>
      <w:r w:rsidR="005C0A6F" w:rsidRPr="005C0A6F">
        <w:rPr>
          <w:i/>
        </w:rPr>
        <w:t>herpes</w:t>
      </w:r>
      <w:r w:rsidR="000159A6">
        <w:rPr>
          <w:i/>
        </w:rPr>
        <w:t xml:space="preserve"> </w:t>
      </w:r>
      <w:r w:rsidR="005C0A6F" w:rsidRPr="005C0A6F">
        <w:rPr>
          <w:i/>
        </w:rPr>
        <w:t>zoster.</w:t>
      </w:r>
    </w:p>
    <w:p w14:paraId="660650A6" w14:textId="70462442" w:rsidR="005C0A6F" w:rsidRPr="00E021B7" w:rsidRDefault="00D23139" w:rsidP="00440509">
      <w:pPr>
        <w:pStyle w:val="Heading4"/>
      </w:pPr>
      <w:r w:rsidRPr="00E021B7">
        <w:t>Request</w:t>
      </w:r>
      <w:r w:rsidR="000159A6" w:rsidRPr="00E021B7">
        <w:t xml:space="preserve"> </w:t>
      </w:r>
      <w:r w:rsidRPr="00E021B7">
        <w:t>for</w:t>
      </w:r>
      <w:r w:rsidR="000159A6" w:rsidRPr="00E021B7">
        <w:t xml:space="preserve"> </w:t>
      </w:r>
      <w:r w:rsidRPr="00440509">
        <w:t>AC</w:t>
      </w:r>
      <w:r w:rsidR="005C0A6F" w:rsidRPr="00440509">
        <w:t>V</w:t>
      </w:r>
      <w:r w:rsidR="000159A6" w:rsidRPr="00E021B7">
        <w:t xml:space="preserve"> </w:t>
      </w:r>
      <w:r w:rsidRPr="00E021B7">
        <w:t>advice</w:t>
      </w:r>
    </w:p>
    <w:p w14:paraId="57EDD2FC" w14:textId="7B921074" w:rsidR="005C0A6F" w:rsidRPr="005C0A6F" w:rsidRDefault="005C0A6F" w:rsidP="00440509">
      <w:r w:rsidRPr="005C0A6F">
        <w:t>The</w:t>
      </w:r>
      <w:r w:rsidR="000159A6">
        <w:t xml:space="preserve"> </w:t>
      </w:r>
      <w:r w:rsidRPr="005C0A6F">
        <w:t>committee</w:t>
      </w:r>
      <w:r w:rsidR="000159A6">
        <w:t xml:space="preserve"> </w:t>
      </w:r>
      <w:r w:rsidRPr="005C0A6F">
        <w:t>is</w:t>
      </w:r>
      <w:r w:rsidR="000159A6">
        <w:t xml:space="preserve"> </w:t>
      </w:r>
      <w:r w:rsidRPr="005C0A6F">
        <w:t>requested</w:t>
      </w:r>
      <w:r w:rsidR="000159A6">
        <w:t xml:space="preserve"> </w:t>
      </w:r>
      <w:r w:rsidRPr="005C0A6F">
        <w:t>to</w:t>
      </w:r>
      <w:r w:rsidR="000159A6">
        <w:t xml:space="preserve"> </w:t>
      </w:r>
      <w:r w:rsidRPr="005C0A6F">
        <w:t>provide</w:t>
      </w:r>
      <w:r w:rsidR="000159A6">
        <w:t xml:space="preserve"> </w:t>
      </w:r>
      <w:r w:rsidRPr="005C0A6F">
        <w:t>advice</w:t>
      </w:r>
      <w:r w:rsidR="000159A6">
        <w:t xml:space="preserve"> </w:t>
      </w:r>
      <w:r w:rsidRPr="005C0A6F">
        <w:t>on</w:t>
      </w:r>
      <w:r w:rsidR="000159A6">
        <w:t xml:space="preserve"> </w:t>
      </w:r>
      <w:r w:rsidRPr="005C0A6F">
        <w:t>the</w:t>
      </w:r>
      <w:r w:rsidR="000159A6">
        <w:t xml:space="preserve"> </w:t>
      </w:r>
      <w:r w:rsidRPr="005C0A6F">
        <w:t>following</w:t>
      </w:r>
      <w:r w:rsidR="000159A6">
        <w:t xml:space="preserve"> </w:t>
      </w:r>
      <w:r w:rsidRPr="005C0A6F">
        <w:t>specific</w:t>
      </w:r>
      <w:r w:rsidR="000159A6">
        <w:t xml:space="preserve"> </w:t>
      </w:r>
      <w:r w:rsidRPr="005C0A6F">
        <w:t>issues:</w:t>
      </w:r>
    </w:p>
    <w:p w14:paraId="62F6C523" w14:textId="6ABA9654" w:rsidR="005C0A6F" w:rsidRPr="005C0A6F" w:rsidRDefault="005C0A6F" w:rsidP="00440509">
      <w:pPr>
        <w:pStyle w:val="Numberbullet0"/>
      </w:pPr>
      <w:r w:rsidRPr="005C0A6F">
        <w:t>Does</w:t>
      </w:r>
      <w:r w:rsidR="000159A6">
        <w:t xml:space="preserve"> </w:t>
      </w:r>
      <w:r w:rsidRPr="005C0A6F">
        <w:t>the</w:t>
      </w:r>
      <w:r w:rsidR="000159A6">
        <w:t xml:space="preserve"> </w:t>
      </w:r>
      <w:r w:rsidRPr="005C0A6F">
        <w:t>ACV</w:t>
      </w:r>
      <w:r w:rsidR="000159A6">
        <w:t xml:space="preserve"> </w:t>
      </w:r>
      <w:r w:rsidRPr="005C0A6F">
        <w:t>consider</w:t>
      </w:r>
      <w:r w:rsidR="000159A6">
        <w:t xml:space="preserve"> </w:t>
      </w:r>
      <w:r w:rsidRPr="005C0A6F">
        <w:t>that</w:t>
      </w:r>
      <w:r w:rsidR="000159A6">
        <w:t xml:space="preserve"> </w:t>
      </w:r>
      <w:r w:rsidRPr="005C0A6F">
        <w:t>the</w:t>
      </w:r>
      <w:r w:rsidR="000159A6">
        <w:t xml:space="preserve"> </w:t>
      </w:r>
      <w:r w:rsidRPr="005C0A6F">
        <w:t>benefits</w:t>
      </w:r>
      <w:r w:rsidR="000159A6">
        <w:t xml:space="preserve"> </w:t>
      </w:r>
      <w:r w:rsidRPr="005C0A6F">
        <w:t>of</w:t>
      </w:r>
      <w:r w:rsidR="000159A6">
        <w:t xml:space="preserve"> </w:t>
      </w:r>
      <w:r w:rsidR="00FF12AA">
        <w:t>Shingrix</w:t>
      </w:r>
      <w:r w:rsidR="000159A6">
        <w:t xml:space="preserve"> </w:t>
      </w:r>
      <w:r w:rsidRPr="005C0A6F">
        <w:t>in</w:t>
      </w:r>
      <w:r w:rsidR="000159A6">
        <w:t xml:space="preserve"> </w:t>
      </w:r>
      <w:r w:rsidRPr="005C0A6F">
        <w:t>the</w:t>
      </w:r>
      <w:r w:rsidR="000159A6">
        <w:t xml:space="preserve"> </w:t>
      </w:r>
      <w:r w:rsidRPr="005C0A6F">
        <w:t>prevention</w:t>
      </w:r>
      <w:r w:rsidR="000159A6">
        <w:t xml:space="preserve"> </w:t>
      </w:r>
      <w:r w:rsidRPr="005C0A6F">
        <w:t>of</w:t>
      </w:r>
      <w:r w:rsidR="000159A6">
        <w:t xml:space="preserve"> </w:t>
      </w:r>
      <w:r w:rsidRPr="005C0A6F">
        <w:t>PHN</w:t>
      </w:r>
      <w:r w:rsidR="000159A6">
        <w:t xml:space="preserve"> </w:t>
      </w:r>
      <w:r w:rsidRPr="005C0A6F">
        <w:t>are</w:t>
      </w:r>
      <w:r w:rsidR="000159A6">
        <w:t xml:space="preserve"> </w:t>
      </w:r>
      <w:r w:rsidRPr="005C0A6F">
        <w:t>attributed</w:t>
      </w:r>
      <w:r w:rsidR="000159A6">
        <w:t xml:space="preserve"> </w:t>
      </w:r>
      <w:r w:rsidRPr="005C0A6F">
        <w:t>to</w:t>
      </w:r>
      <w:r w:rsidR="000159A6">
        <w:t xml:space="preserve"> </w:t>
      </w:r>
      <w:r w:rsidRPr="005C0A6F">
        <w:t>the</w:t>
      </w:r>
      <w:r w:rsidR="000159A6">
        <w:t xml:space="preserve"> </w:t>
      </w:r>
      <w:r w:rsidRPr="005C0A6F">
        <w:t>efficacy</w:t>
      </w:r>
      <w:r w:rsidR="000159A6">
        <w:t xml:space="preserve"> </w:t>
      </w:r>
      <w:r w:rsidRPr="005C0A6F">
        <w:t>of</w:t>
      </w:r>
      <w:r w:rsidR="000159A6">
        <w:t xml:space="preserve"> </w:t>
      </w:r>
      <w:r w:rsidRPr="005C0A6F">
        <w:t>the</w:t>
      </w:r>
      <w:r w:rsidR="000159A6">
        <w:t xml:space="preserve"> </w:t>
      </w:r>
      <w:r w:rsidRPr="005C0A6F">
        <w:t>vaccine</w:t>
      </w:r>
      <w:r w:rsidR="000159A6">
        <w:t xml:space="preserve"> </w:t>
      </w:r>
      <w:r w:rsidRPr="005C0A6F">
        <w:t>on</w:t>
      </w:r>
      <w:r w:rsidR="000159A6">
        <w:t xml:space="preserve"> </w:t>
      </w:r>
      <w:r w:rsidRPr="005C0A6F">
        <w:t>the</w:t>
      </w:r>
      <w:r w:rsidR="000159A6">
        <w:t xml:space="preserve"> </w:t>
      </w:r>
      <w:r w:rsidRPr="00440509">
        <w:t>prevention</w:t>
      </w:r>
      <w:r w:rsidR="000159A6">
        <w:t xml:space="preserve"> </w:t>
      </w:r>
      <w:r w:rsidRPr="005C0A6F">
        <w:t>of</w:t>
      </w:r>
      <w:r w:rsidR="000159A6">
        <w:t xml:space="preserve"> </w:t>
      </w:r>
      <w:r w:rsidRPr="005C0A6F">
        <w:t>HZ,</w:t>
      </w:r>
      <w:r w:rsidR="000159A6">
        <w:t xml:space="preserve"> </w:t>
      </w:r>
      <w:r w:rsidRPr="005C0A6F">
        <w:t>as</w:t>
      </w:r>
      <w:r w:rsidR="000159A6">
        <w:t xml:space="preserve"> </w:t>
      </w:r>
      <w:r w:rsidRPr="005C0A6F">
        <w:t>the</w:t>
      </w:r>
      <w:r w:rsidR="000159A6">
        <w:t xml:space="preserve"> </w:t>
      </w:r>
      <w:r w:rsidRPr="005C0A6F">
        <w:t>efficacy</w:t>
      </w:r>
      <w:r w:rsidR="000159A6">
        <w:t xml:space="preserve"> </w:t>
      </w:r>
      <w:r w:rsidRPr="005C0A6F">
        <w:t>of</w:t>
      </w:r>
      <w:r w:rsidR="000159A6">
        <w:t xml:space="preserve"> </w:t>
      </w:r>
      <w:r w:rsidR="00FF12AA">
        <w:t>Shingrix</w:t>
      </w:r>
      <w:r w:rsidR="000159A6">
        <w:t xml:space="preserve"> </w:t>
      </w:r>
      <w:r w:rsidRPr="005C0A6F">
        <w:t>in</w:t>
      </w:r>
      <w:r w:rsidR="000159A6">
        <w:t xml:space="preserve"> </w:t>
      </w:r>
      <w:r w:rsidRPr="005C0A6F">
        <w:t>prevention</w:t>
      </w:r>
      <w:r w:rsidR="000159A6">
        <w:t xml:space="preserve"> </w:t>
      </w:r>
      <w:r w:rsidRPr="005C0A6F">
        <w:t>of</w:t>
      </w:r>
      <w:r w:rsidR="000159A6">
        <w:t xml:space="preserve"> </w:t>
      </w:r>
      <w:r w:rsidRPr="005C0A6F">
        <w:t>PHN</w:t>
      </w:r>
      <w:r w:rsidR="000159A6">
        <w:t xml:space="preserve"> </w:t>
      </w:r>
      <w:r w:rsidRPr="005C0A6F">
        <w:t>in</w:t>
      </w:r>
      <w:r w:rsidR="000159A6">
        <w:t xml:space="preserve"> </w:t>
      </w:r>
      <w:r w:rsidRPr="005C0A6F">
        <w:t>subjects</w:t>
      </w:r>
      <w:r w:rsidR="000159A6">
        <w:t xml:space="preserve"> </w:t>
      </w:r>
      <w:r w:rsidRPr="005C0A6F">
        <w:t>with</w:t>
      </w:r>
      <w:r w:rsidR="000159A6">
        <w:t xml:space="preserve"> </w:t>
      </w:r>
      <w:r w:rsidRPr="005C0A6F">
        <w:t>confirmed</w:t>
      </w:r>
      <w:r w:rsidR="000159A6">
        <w:t xml:space="preserve"> </w:t>
      </w:r>
      <w:r w:rsidRPr="005C0A6F">
        <w:t>HZ</w:t>
      </w:r>
      <w:r w:rsidR="000159A6">
        <w:t xml:space="preserve"> </w:t>
      </w:r>
      <w:r w:rsidRPr="005C0A6F">
        <w:t>could</w:t>
      </w:r>
      <w:r w:rsidR="000159A6">
        <w:t xml:space="preserve"> </w:t>
      </w:r>
      <w:r w:rsidRPr="005C0A6F">
        <w:t>not</w:t>
      </w:r>
      <w:r w:rsidR="000159A6">
        <w:t xml:space="preserve"> </w:t>
      </w:r>
      <w:r w:rsidRPr="005C0A6F">
        <w:t>be</w:t>
      </w:r>
      <w:r w:rsidR="000159A6">
        <w:t xml:space="preserve"> </w:t>
      </w:r>
      <w:r w:rsidR="00733CE8" w:rsidRPr="005C0A6F">
        <w:t>confirmed?</w:t>
      </w:r>
    </w:p>
    <w:p w14:paraId="44E7BFE7" w14:textId="76ACBC57" w:rsidR="005C0A6F" w:rsidRPr="005C0A6F" w:rsidRDefault="005C0A6F" w:rsidP="00E021B7">
      <w:pPr>
        <w:pStyle w:val="Numberbullet0"/>
      </w:pPr>
      <w:r w:rsidRPr="005C0A6F">
        <w:t>Does</w:t>
      </w:r>
      <w:r w:rsidR="000159A6">
        <w:t xml:space="preserve"> </w:t>
      </w:r>
      <w:r w:rsidR="005B2FA5">
        <w:t>the</w:t>
      </w:r>
      <w:r w:rsidR="000159A6">
        <w:t xml:space="preserve"> </w:t>
      </w:r>
      <w:r w:rsidRPr="005C0A6F">
        <w:t>ACV</w:t>
      </w:r>
      <w:r w:rsidR="000159A6">
        <w:t xml:space="preserve"> </w:t>
      </w:r>
      <w:r w:rsidRPr="005C0A6F">
        <w:t>consider</w:t>
      </w:r>
      <w:r w:rsidR="000159A6">
        <w:t xml:space="preserve"> </w:t>
      </w:r>
      <w:r w:rsidRPr="005C0A6F">
        <w:t>that</w:t>
      </w:r>
      <w:r w:rsidR="000159A6">
        <w:t xml:space="preserve"> </w:t>
      </w:r>
      <w:r w:rsidRPr="005C0A6F">
        <w:t>the</w:t>
      </w:r>
      <w:r w:rsidR="000159A6">
        <w:t xml:space="preserve"> </w:t>
      </w:r>
      <w:r w:rsidRPr="005C0A6F">
        <w:t>i</w:t>
      </w:r>
      <w:r w:rsidR="00733CE8">
        <w:t>ndication</w:t>
      </w:r>
      <w:r w:rsidR="000159A6">
        <w:t xml:space="preserve"> </w:t>
      </w:r>
      <w:r w:rsidR="00733CE8">
        <w:t>should</w:t>
      </w:r>
      <w:r w:rsidR="000159A6">
        <w:t xml:space="preserve"> </w:t>
      </w:r>
      <w:r w:rsidR="00733CE8">
        <w:t>be</w:t>
      </w:r>
      <w:r w:rsidR="000159A6">
        <w:t xml:space="preserve"> </w:t>
      </w:r>
      <w:r w:rsidR="00733CE8">
        <w:t>revised</w:t>
      </w:r>
      <w:r w:rsidR="000159A6">
        <w:t xml:space="preserve"> </w:t>
      </w:r>
      <w:r w:rsidR="00733CE8">
        <w:t>to:</w:t>
      </w:r>
    </w:p>
    <w:p w14:paraId="73DCA0A4" w14:textId="602A9024" w:rsidR="005C0A6F" w:rsidRPr="005C0A6F" w:rsidRDefault="00FF12AA" w:rsidP="00E021B7">
      <w:pPr>
        <w:pStyle w:val="Numberbullet2"/>
        <w:numPr>
          <w:ilvl w:val="0"/>
          <w:numId w:val="0"/>
        </w:numPr>
        <w:ind w:left="851"/>
      </w:pPr>
      <w:r w:rsidRPr="00E021B7">
        <w:rPr>
          <w:i/>
        </w:rPr>
        <w:t>Shingrix</w:t>
      </w:r>
      <w:r w:rsidR="000159A6" w:rsidRPr="00E021B7">
        <w:rPr>
          <w:i/>
        </w:rPr>
        <w:t xml:space="preserve"> </w:t>
      </w:r>
      <w:r w:rsidR="005C0A6F" w:rsidRPr="00E021B7">
        <w:rPr>
          <w:i/>
        </w:rPr>
        <w:t>is</w:t>
      </w:r>
      <w:r w:rsidR="000159A6" w:rsidRPr="00E021B7">
        <w:rPr>
          <w:i/>
        </w:rPr>
        <w:t xml:space="preserve"> </w:t>
      </w:r>
      <w:r w:rsidR="005C0A6F" w:rsidRPr="00E021B7">
        <w:rPr>
          <w:i/>
        </w:rPr>
        <w:t>indicated</w:t>
      </w:r>
      <w:r w:rsidR="000159A6" w:rsidRPr="00E021B7">
        <w:rPr>
          <w:i/>
        </w:rPr>
        <w:t xml:space="preserve"> </w:t>
      </w:r>
      <w:r w:rsidR="005C0A6F" w:rsidRPr="00E021B7">
        <w:rPr>
          <w:i/>
        </w:rPr>
        <w:t>for</w:t>
      </w:r>
      <w:r w:rsidR="000159A6" w:rsidRPr="00E021B7">
        <w:rPr>
          <w:i/>
        </w:rPr>
        <w:t xml:space="preserve"> </w:t>
      </w:r>
      <w:r w:rsidR="005C0A6F" w:rsidRPr="00E021B7">
        <w:rPr>
          <w:i/>
        </w:rPr>
        <w:t>prevention</w:t>
      </w:r>
      <w:r w:rsidR="000159A6" w:rsidRPr="00E021B7">
        <w:rPr>
          <w:i/>
        </w:rPr>
        <w:t xml:space="preserve"> </w:t>
      </w:r>
      <w:r w:rsidR="005C0A6F" w:rsidRPr="00E021B7">
        <w:rPr>
          <w:i/>
        </w:rPr>
        <w:t>of</w:t>
      </w:r>
      <w:r w:rsidR="000159A6" w:rsidRPr="00E021B7">
        <w:rPr>
          <w:i/>
        </w:rPr>
        <w:t xml:space="preserve"> </w:t>
      </w:r>
      <w:r w:rsidR="005C0A6F" w:rsidRPr="00E021B7">
        <w:rPr>
          <w:i/>
        </w:rPr>
        <w:t>herpes</w:t>
      </w:r>
      <w:r w:rsidR="000159A6" w:rsidRPr="00E021B7">
        <w:rPr>
          <w:i/>
        </w:rPr>
        <w:t xml:space="preserve"> </w:t>
      </w:r>
      <w:r w:rsidR="005C0A6F" w:rsidRPr="00E021B7">
        <w:rPr>
          <w:i/>
        </w:rPr>
        <w:t>zoster</w:t>
      </w:r>
      <w:r w:rsidR="000159A6" w:rsidRPr="00E021B7">
        <w:rPr>
          <w:i/>
        </w:rPr>
        <w:t xml:space="preserve"> </w:t>
      </w:r>
      <w:r w:rsidR="005C0A6F" w:rsidRPr="00E021B7">
        <w:rPr>
          <w:i/>
        </w:rPr>
        <w:t>(shingles)</w:t>
      </w:r>
      <w:r w:rsidR="000159A6" w:rsidRPr="00E021B7">
        <w:rPr>
          <w:i/>
        </w:rPr>
        <w:t xml:space="preserve"> </w:t>
      </w:r>
      <w:r w:rsidR="005C0A6F" w:rsidRPr="00E021B7">
        <w:rPr>
          <w:i/>
        </w:rPr>
        <w:t>in</w:t>
      </w:r>
      <w:r w:rsidR="000159A6" w:rsidRPr="00E021B7">
        <w:rPr>
          <w:i/>
        </w:rPr>
        <w:t xml:space="preserve"> </w:t>
      </w:r>
      <w:r w:rsidR="005C0A6F" w:rsidRPr="00E021B7">
        <w:rPr>
          <w:i/>
        </w:rPr>
        <w:t>adults</w:t>
      </w:r>
      <w:r w:rsidR="000159A6" w:rsidRPr="00E021B7">
        <w:rPr>
          <w:i/>
        </w:rPr>
        <w:t xml:space="preserve"> </w:t>
      </w:r>
      <w:r w:rsidR="005C0A6F" w:rsidRPr="00E021B7">
        <w:rPr>
          <w:i/>
        </w:rPr>
        <w:t>aged</w:t>
      </w:r>
      <w:r w:rsidR="000159A6" w:rsidRPr="00E021B7">
        <w:rPr>
          <w:i/>
        </w:rPr>
        <w:t xml:space="preserve"> </w:t>
      </w:r>
      <w:r w:rsidR="005C0A6F" w:rsidRPr="00E021B7">
        <w:rPr>
          <w:i/>
        </w:rPr>
        <w:t>50</w:t>
      </w:r>
      <w:r w:rsidR="000159A6" w:rsidRPr="00E021B7">
        <w:rPr>
          <w:i/>
        </w:rPr>
        <w:t xml:space="preserve"> </w:t>
      </w:r>
      <w:r w:rsidR="005C0A6F" w:rsidRPr="00E021B7">
        <w:rPr>
          <w:i/>
        </w:rPr>
        <w:t>years</w:t>
      </w:r>
      <w:r w:rsidR="000159A6" w:rsidRPr="00E021B7">
        <w:rPr>
          <w:i/>
        </w:rPr>
        <w:t xml:space="preserve"> </w:t>
      </w:r>
      <w:r w:rsidR="005C0A6F" w:rsidRPr="00E021B7">
        <w:rPr>
          <w:i/>
        </w:rPr>
        <w:t>and</w:t>
      </w:r>
      <w:r w:rsidR="000159A6" w:rsidRPr="00E021B7">
        <w:rPr>
          <w:i/>
        </w:rPr>
        <w:t xml:space="preserve"> </w:t>
      </w:r>
      <w:r w:rsidR="005C0A6F" w:rsidRPr="00E021B7">
        <w:rPr>
          <w:i/>
        </w:rPr>
        <w:t>older.</w:t>
      </w:r>
      <w:r w:rsidR="000159A6" w:rsidRPr="00E021B7">
        <w:rPr>
          <w:i/>
        </w:rPr>
        <w:t xml:space="preserve"> </w:t>
      </w:r>
      <w:r w:rsidR="005C0A6F" w:rsidRPr="00E021B7">
        <w:rPr>
          <w:i/>
        </w:rPr>
        <w:t>The</w:t>
      </w:r>
      <w:r w:rsidR="000159A6" w:rsidRPr="00E021B7">
        <w:rPr>
          <w:i/>
        </w:rPr>
        <w:t xml:space="preserve"> </w:t>
      </w:r>
      <w:r w:rsidR="005C0A6F" w:rsidRPr="00E021B7">
        <w:rPr>
          <w:i/>
        </w:rPr>
        <w:t>vaccine’s</w:t>
      </w:r>
      <w:r w:rsidR="000159A6" w:rsidRPr="00E021B7">
        <w:rPr>
          <w:i/>
        </w:rPr>
        <w:t xml:space="preserve"> </w:t>
      </w:r>
      <w:r w:rsidR="005C0A6F" w:rsidRPr="00E021B7">
        <w:rPr>
          <w:i/>
        </w:rPr>
        <w:t>effect</w:t>
      </w:r>
      <w:r w:rsidR="000159A6" w:rsidRPr="00E021B7">
        <w:rPr>
          <w:i/>
        </w:rPr>
        <w:t xml:space="preserve"> </w:t>
      </w:r>
      <w:r w:rsidR="005C0A6F" w:rsidRPr="00E021B7">
        <w:rPr>
          <w:i/>
        </w:rPr>
        <w:t>on</w:t>
      </w:r>
      <w:r w:rsidR="000159A6" w:rsidRPr="00E021B7">
        <w:rPr>
          <w:i/>
        </w:rPr>
        <w:t xml:space="preserve"> </w:t>
      </w:r>
      <w:r w:rsidR="005C0A6F" w:rsidRPr="00E021B7">
        <w:rPr>
          <w:i/>
        </w:rPr>
        <w:t>the</w:t>
      </w:r>
      <w:r w:rsidR="000159A6" w:rsidRPr="00E021B7">
        <w:rPr>
          <w:i/>
        </w:rPr>
        <w:t xml:space="preserve"> </w:t>
      </w:r>
      <w:r w:rsidR="005C0A6F" w:rsidRPr="00E021B7">
        <w:rPr>
          <w:i/>
        </w:rPr>
        <w:t>prevention</w:t>
      </w:r>
      <w:r w:rsidR="000159A6" w:rsidRPr="00E021B7">
        <w:rPr>
          <w:i/>
        </w:rPr>
        <w:t xml:space="preserve"> </w:t>
      </w:r>
      <w:r w:rsidR="005C0A6F" w:rsidRPr="00E021B7">
        <w:rPr>
          <w:i/>
        </w:rPr>
        <w:t>of</w:t>
      </w:r>
      <w:r w:rsidR="000159A6" w:rsidRPr="00E021B7">
        <w:rPr>
          <w:i/>
        </w:rPr>
        <w:t xml:space="preserve"> </w:t>
      </w:r>
      <w:r w:rsidR="000E6841" w:rsidRPr="00E021B7">
        <w:rPr>
          <w:i/>
        </w:rPr>
        <w:t>post</w:t>
      </w:r>
      <w:r w:rsidR="000159A6" w:rsidRPr="00E021B7">
        <w:rPr>
          <w:i/>
        </w:rPr>
        <w:t xml:space="preserve"> </w:t>
      </w:r>
      <w:r w:rsidR="000E6841" w:rsidRPr="00E021B7">
        <w:rPr>
          <w:i/>
        </w:rPr>
        <w:t>herpetic</w:t>
      </w:r>
      <w:r w:rsidR="000159A6" w:rsidRPr="00E021B7">
        <w:rPr>
          <w:i/>
        </w:rPr>
        <w:t xml:space="preserve"> </w:t>
      </w:r>
      <w:r w:rsidR="005C0A6F" w:rsidRPr="00E021B7">
        <w:rPr>
          <w:i/>
        </w:rPr>
        <w:t>neuralgia</w:t>
      </w:r>
      <w:r w:rsidR="000159A6" w:rsidRPr="00E021B7">
        <w:rPr>
          <w:i/>
        </w:rPr>
        <w:t xml:space="preserve"> </w:t>
      </w:r>
      <w:r w:rsidR="005C0A6F" w:rsidRPr="00E021B7">
        <w:rPr>
          <w:i/>
        </w:rPr>
        <w:t>(PHN)</w:t>
      </w:r>
      <w:r w:rsidR="000159A6" w:rsidRPr="00E021B7">
        <w:rPr>
          <w:i/>
        </w:rPr>
        <w:t xml:space="preserve"> </w:t>
      </w:r>
      <w:r w:rsidR="005C0A6F" w:rsidRPr="00E021B7">
        <w:rPr>
          <w:i/>
        </w:rPr>
        <w:t>is</w:t>
      </w:r>
      <w:r w:rsidR="000159A6" w:rsidRPr="00E021B7">
        <w:rPr>
          <w:i/>
        </w:rPr>
        <w:t xml:space="preserve"> </w:t>
      </w:r>
      <w:r w:rsidR="005C0A6F" w:rsidRPr="00E021B7">
        <w:rPr>
          <w:i/>
        </w:rPr>
        <w:t>attributed</w:t>
      </w:r>
      <w:r w:rsidR="000159A6" w:rsidRPr="00E021B7">
        <w:rPr>
          <w:i/>
        </w:rPr>
        <w:t xml:space="preserve"> </w:t>
      </w:r>
      <w:r w:rsidR="005C0A6F" w:rsidRPr="00E021B7">
        <w:rPr>
          <w:i/>
        </w:rPr>
        <w:t>to</w:t>
      </w:r>
      <w:r w:rsidR="000159A6" w:rsidRPr="00E021B7">
        <w:rPr>
          <w:i/>
        </w:rPr>
        <w:t xml:space="preserve"> </w:t>
      </w:r>
      <w:r w:rsidR="005C0A6F" w:rsidRPr="00E021B7">
        <w:rPr>
          <w:i/>
        </w:rPr>
        <w:t>the</w:t>
      </w:r>
      <w:r w:rsidR="000159A6" w:rsidRPr="00E021B7">
        <w:rPr>
          <w:i/>
        </w:rPr>
        <w:t xml:space="preserve"> </w:t>
      </w:r>
      <w:r w:rsidR="005C0A6F" w:rsidRPr="00E021B7">
        <w:rPr>
          <w:i/>
        </w:rPr>
        <w:t>effect</w:t>
      </w:r>
      <w:r w:rsidR="000159A6" w:rsidRPr="00E021B7">
        <w:rPr>
          <w:i/>
        </w:rPr>
        <w:t xml:space="preserve"> </w:t>
      </w:r>
      <w:r w:rsidR="005C0A6F" w:rsidRPr="00E021B7">
        <w:rPr>
          <w:i/>
        </w:rPr>
        <w:t>of</w:t>
      </w:r>
      <w:r w:rsidR="000159A6" w:rsidRPr="00E021B7">
        <w:rPr>
          <w:i/>
        </w:rPr>
        <w:t xml:space="preserve"> </w:t>
      </w:r>
      <w:r w:rsidR="005C0A6F" w:rsidRPr="00E021B7">
        <w:rPr>
          <w:i/>
        </w:rPr>
        <w:t>the</w:t>
      </w:r>
      <w:r w:rsidR="000159A6" w:rsidRPr="00E021B7">
        <w:rPr>
          <w:i/>
        </w:rPr>
        <w:t xml:space="preserve"> </w:t>
      </w:r>
      <w:r w:rsidR="005C0A6F" w:rsidRPr="00E021B7">
        <w:rPr>
          <w:i/>
        </w:rPr>
        <w:t>vaccine</w:t>
      </w:r>
      <w:r w:rsidR="000159A6" w:rsidRPr="00E021B7">
        <w:rPr>
          <w:i/>
        </w:rPr>
        <w:t xml:space="preserve"> </w:t>
      </w:r>
      <w:r w:rsidR="005C0A6F" w:rsidRPr="00E021B7">
        <w:rPr>
          <w:i/>
        </w:rPr>
        <w:t>on</w:t>
      </w:r>
      <w:r w:rsidR="000159A6" w:rsidRPr="00E021B7">
        <w:rPr>
          <w:i/>
        </w:rPr>
        <w:t xml:space="preserve"> </w:t>
      </w:r>
      <w:r w:rsidR="005C0A6F" w:rsidRPr="00E021B7">
        <w:rPr>
          <w:i/>
        </w:rPr>
        <w:t>the</w:t>
      </w:r>
      <w:r w:rsidR="000159A6" w:rsidRPr="00E021B7">
        <w:rPr>
          <w:i/>
        </w:rPr>
        <w:t xml:space="preserve"> </w:t>
      </w:r>
      <w:r w:rsidR="005C0A6F" w:rsidRPr="00E021B7">
        <w:rPr>
          <w:i/>
        </w:rPr>
        <w:t>prevention</w:t>
      </w:r>
      <w:r w:rsidR="000159A6" w:rsidRPr="00E021B7">
        <w:rPr>
          <w:i/>
        </w:rPr>
        <w:t xml:space="preserve"> </w:t>
      </w:r>
      <w:r w:rsidR="005C0A6F" w:rsidRPr="00E021B7">
        <w:rPr>
          <w:i/>
        </w:rPr>
        <w:t>of</w:t>
      </w:r>
      <w:r w:rsidR="000159A6" w:rsidRPr="00E021B7">
        <w:rPr>
          <w:i/>
        </w:rPr>
        <w:t xml:space="preserve"> </w:t>
      </w:r>
      <w:r w:rsidR="005C0A6F" w:rsidRPr="00E021B7">
        <w:rPr>
          <w:i/>
        </w:rPr>
        <w:t>herpes</w:t>
      </w:r>
      <w:r w:rsidR="000159A6" w:rsidRPr="00E021B7">
        <w:rPr>
          <w:i/>
        </w:rPr>
        <w:t xml:space="preserve"> </w:t>
      </w:r>
      <w:r w:rsidR="005C0A6F" w:rsidRPr="00E021B7">
        <w:rPr>
          <w:i/>
        </w:rPr>
        <w:t>zoster</w:t>
      </w:r>
      <w:r w:rsidR="005C0A6F" w:rsidRPr="005C0A6F">
        <w:t>.</w:t>
      </w:r>
    </w:p>
    <w:p w14:paraId="2A3FC0F2" w14:textId="049973B4" w:rsidR="005C0A6F" w:rsidRPr="005C0A6F" w:rsidRDefault="005C0A6F" w:rsidP="00E021B7">
      <w:pPr>
        <w:pStyle w:val="Numberbullet0"/>
      </w:pPr>
      <w:r w:rsidRPr="005C0A6F">
        <w:t>Does</w:t>
      </w:r>
      <w:r w:rsidR="000159A6">
        <w:t xml:space="preserve"> </w:t>
      </w:r>
      <w:r w:rsidR="0038311D">
        <w:t>the</w:t>
      </w:r>
      <w:r w:rsidR="000159A6">
        <w:t xml:space="preserve"> </w:t>
      </w:r>
      <w:r w:rsidRPr="005C0A6F">
        <w:t>ACV</w:t>
      </w:r>
      <w:r w:rsidR="000159A6">
        <w:t xml:space="preserve"> </w:t>
      </w:r>
      <w:r w:rsidRPr="005C0A6F">
        <w:t>consider</w:t>
      </w:r>
      <w:r w:rsidR="000159A6">
        <w:t xml:space="preserve"> </w:t>
      </w:r>
      <w:r w:rsidRPr="005C0A6F">
        <w:t>that</w:t>
      </w:r>
      <w:r w:rsidR="000159A6">
        <w:t xml:space="preserve"> </w:t>
      </w:r>
      <w:r w:rsidRPr="005C0A6F">
        <w:t>the</w:t>
      </w:r>
      <w:r w:rsidR="000159A6">
        <w:t xml:space="preserve"> </w:t>
      </w:r>
      <w:r w:rsidRPr="005C0A6F">
        <w:t>proposed</w:t>
      </w:r>
      <w:r w:rsidR="000159A6">
        <w:t xml:space="preserve"> </w:t>
      </w:r>
      <w:r w:rsidRPr="005C0A6F">
        <w:t>dose</w:t>
      </w:r>
      <w:r w:rsidR="000159A6">
        <w:t xml:space="preserve"> </w:t>
      </w:r>
      <w:r w:rsidRPr="005C0A6F">
        <w:t>interval</w:t>
      </w:r>
      <w:r w:rsidR="000159A6">
        <w:t xml:space="preserve"> </w:t>
      </w:r>
      <w:r w:rsidRPr="005C0A6F">
        <w:t>of</w:t>
      </w:r>
      <w:r w:rsidR="000159A6">
        <w:t xml:space="preserve"> </w:t>
      </w:r>
      <w:r w:rsidR="00733CE8">
        <w:t>‘</w:t>
      </w:r>
      <w:r w:rsidRPr="005C0A6F">
        <w:t>an</w:t>
      </w:r>
      <w:r w:rsidR="000159A6">
        <w:t xml:space="preserve"> </w:t>
      </w:r>
      <w:r w:rsidRPr="005C0A6F">
        <w:t>initial</w:t>
      </w:r>
      <w:r w:rsidR="000159A6">
        <w:t xml:space="preserve"> </w:t>
      </w:r>
      <w:r w:rsidRPr="005C0A6F">
        <w:t>dose</w:t>
      </w:r>
      <w:r w:rsidR="000159A6">
        <w:t xml:space="preserve"> </w:t>
      </w:r>
      <w:r w:rsidRPr="005C0A6F">
        <w:t>followed</w:t>
      </w:r>
      <w:r w:rsidR="000159A6">
        <w:t xml:space="preserve"> </w:t>
      </w:r>
      <w:r w:rsidRPr="005C0A6F">
        <w:t>by</w:t>
      </w:r>
      <w:r w:rsidR="000159A6">
        <w:t xml:space="preserve"> </w:t>
      </w:r>
      <w:r w:rsidRPr="005C0A6F">
        <w:t>a</w:t>
      </w:r>
      <w:r w:rsidR="000159A6">
        <w:t xml:space="preserve"> </w:t>
      </w:r>
      <w:r w:rsidRPr="005C0A6F">
        <w:t>second</w:t>
      </w:r>
      <w:r w:rsidR="000159A6">
        <w:t xml:space="preserve"> </w:t>
      </w:r>
      <w:r w:rsidRPr="005C0A6F">
        <w:t>dose</w:t>
      </w:r>
      <w:r w:rsidR="000159A6">
        <w:t xml:space="preserve"> </w:t>
      </w:r>
      <w:r w:rsidRPr="005C0A6F">
        <w:t>2</w:t>
      </w:r>
      <w:r w:rsidR="000159A6">
        <w:t xml:space="preserve"> </w:t>
      </w:r>
      <w:r w:rsidRPr="005C0A6F">
        <w:t>to</w:t>
      </w:r>
      <w:r w:rsidR="000159A6">
        <w:t xml:space="preserve"> </w:t>
      </w:r>
      <w:r w:rsidRPr="005C0A6F">
        <w:t>6</w:t>
      </w:r>
      <w:r w:rsidR="000159A6">
        <w:t xml:space="preserve"> </w:t>
      </w:r>
      <w:r w:rsidRPr="005C0A6F">
        <w:t>months</w:t>
      </w:r>
      <w:r w:rsidR="000159A6">
        <w:t xml:space="preserve"> </w:t>
      </w:r>
      <w:r w:rsidRPr="005C0A6F">
        <w:t>later</w:t>
      </w:r>
      <w:r w:rsidR="00733CE8">
        <w:t>’</w:t>
      </w:r>
      <w:r w:rsidR="000159A6">
        <w:t xml:space="preserve"> </w:t>
      </w:r>
      <w:r w:rsidRPr="005C0A6F">
        <w:t>is</w:t>
      </w:r>
      <w:r w:rsidR="000159A6">
        <w:t xml:space="preserve"> </w:t>
      </w:r>
      <w:r w:rsidRPr="005C0A6F">
        <w:t>acceptable?</w:t>
      </w:r>
    </w:p>
    <w:p w14:paraId="62D5B3CF" w14:textId="647CA214" w:rsidR="005C0A6F" w:rsidRPr="005C0A6F" w:rsidRDefault="00733CE8" w:rsidP="00440509">
      <w:r>
        <w:t>The</w:t>
      </w:r>
      <w:r w:rsidR="000159A6">
        <w:t xml:space="preserve"> </w:t>
      </w:r>
      <w:r>
        <w:t>committee</w:t>
      </w:r>
      <w:r w:rsidR="000159A6">
        <w:t xml:space="preserve"> </w:t>
      </w:r>
      <w:r>
        <w:t>is</w:t>
      </w:r>
      <w:r w:rsidR="000159A6">
        <w:t xml:space="preserve"> </w:t>
      </w:r>
      <w:r>
        <w:t>also</w:t>
      </w:r>
      <w:r w:rsidR="000159A6">
        <w:t xml:space="preserve"> </w:t>
      </w:r>
      <w:r w:rsidR="005C0A6F" w:rsidRPr="005C0A6F">
        <w:t>requested</w:t>
      </w:r>
      <w:r w:rsidR="000159A6">
        <w:t xml:space="preserve"> </w:t>
      </w:r>
      <w:r w:rsidR="005C0A6F" w:rsidRPr="005C0A6F">
        <w:t>to</w:t>
      </w:r>
      <w:r w:rsidR="000159A6">
        <w:t xml:space="preserve"> </w:t>
      </w:r>
      <w:r w:rsidR="005C0A6F" w:rsidRPr="005C0A6F">
        <w:t>provide</w:t>
      </w:r>
      <w:r w:rsidR="000159A6">
        <w:t xml:space="preserve"> </w:t>
      </w:r>
      <w:r w:rsidR="005C0A6F" w:rsidRPr="005C0A6F">
        <w:t>advice</w:t>
      </w:r>
      <w:r w:rsidR="000159A6">
        <w:t xml:space="preserve"> </w:t>
      </w:r>
      <w:r w:rsidR="005C0A6F" w:rsidRPr="005C0A6F">
        <w:t>on</w:t>
      </w:r>
      <w:r w:rsidR="000159A6">
        <w:t xml:space="preserve"> </w:t>
      </w:r>
      <w:r w:rsidR="005C0A6F" w:rsidRPr="005C0A6F">
        <w:t>any</w:t>
      </w:r>
      <w:r w:rsidR="000159A6">
        <w:t xml:space="preserve"> </w:t>
      </w:r>
      <w:r w:rsidR="005C0A6F" w:rsidRPr="005C0A6F">
        <w:t>other</w:t>
      </w:r>
      <w:r w:rsidR="000159A6">
        <w:t xml:space="preserve"> </w:t>
      </w:r>
      <w:r w:rsidR="005C0A6F" w:rsidRPr="005C0A6F">
        <w:t>issues</w:t>
      </w:r>
      <w:r w:rsidR="000159A6">
        <w:t xml:space="preserve"> </w:t>
      </w:r>
      <w:r w:rsidR="005C0A6F" w:rsidRPr="005C0A6F">
        <w:t>that</w:t>
      </w:r>
      <w:r w:rsidR="000159A6">
        <w:t xml:space="preserve"> </w:t>
      </w:r>
      <w:r w:rsidR="005C0A6F" w:rsidRPr="005C0A6F">
        <w:t>it</w:t>
      </w:r>
      <w:r w:rsidR="000159A6">
        <w:t xml:space="preserve"> </w:t>
      </w:r>
      <w:r w:rsidR="005C0A6F" w:rsidRPr="005C0A6F">
        <w:t>thinks</w:t>
      </w:r>
      <w:r w:rsidR="000159A6">
        <w:t xml:space="preserve"> </w:t>
      </w:r>
      <w:r w:rsidR="005C0A6F" w:rsidRPr="005C0A6F">
        <w:t>may</w:t>
      </w:r>
      <w:r w:rsidR="000159A6">
        <w:t xml:space="preserve"> </w:t>
      </w:r>
      <w:r w:rsidR="005C0A6F" w:rsidRPr="005C0A6F">
        <w:t>be</w:t>
      </w:r>
      <w:r w:rsidR="000159A6">
        <w:t xml:space="preserve"> </w:t>
      </w:r>
      <w:r w:rsidR="005C0A6F" w:rsidRPr="005C0A6F">
        <w:t>relevant</w:t>
      </w:r>
      <w:r w:rsidR="000159A6">
        <w:t xml:space="preserve"> </w:t>
      </w:r>
      <w:r w:rsidR="005C0A6F" w:rsidRPr="005C0A6F">
        <w:t>to</w:t>
      </w:r>
      <w:r w:rsidR="000159A6">
        <w:t xml:space="preserve"> </w:t>
      </w:r>
      <w:r w:rsidR="005C0A6F" w:rsidRPr="005C0A6F">
        <w:t>a</w:t>
      </w:r>
      <w:r w:rsidR="000159A6">
        <w:t xml:space="preserve"> </w:t>
      </w:r>
      <w:r w:rsidR="005C0A6F" w:rsidRPr="005C0A6F">
        <w:t>decision</w:t>
      </w:r>
      <w:r w:rsidR="000159A6">
        <w:t xml:space="preserve"> </w:t>
      </w:r>
      <w:r w:rsidR="005C0A6F" w:rsidRPr="005C0A6F">
        <w:t>on</w:t>
      </w:r>
      <w:r w:rsidR="000159A6">
        <w:t xml:space="preserve"> </w:t>
      </w:r>
      <w:r w:rsidR="005C0A6F" w:rsidRPr="005C0A6F">
        <w:t>whether</w:t>
      </w:r>
      <w:r w:rsidR="000159A6">
        <w:t xml:space="preserve"> </w:t>
      </w:r>
      <w:r w:rsidR="005C0A6F" w:rsidRPr="005C0A6F">
        <w:t>or</w:t>
      </w:r>
      <w:r w:rsidR="000159A6">
        <w:t xml:space="preserve"> </w:t>
      </w:r>
      <w:r w:rsidR="005C0A6F" w:rsidRPr="005C0A6F">
        <w:t>not</w:t>
      </w:r>
      <w:r w:rsidR="000159A6">
        <w:t xml:space="preserve"> </w:t>
      </w:r>
      <w:r w:rsidR="005C0A6F" w:rsidRPr="005C0A6F">
        <w:t>to</w:t>
      </w:r>
      <w:r w:rsidR="000159A6">
        <w:t xml:space="preserve"> </w:t>
      </w:r>
      <w:r w:rsidR="005C0A6F" w:rsidRPr="005C0A6F">
        <w:t>approve</w:t>
      </w:r>
      <w:r w:rsidR="000159A6">
        <w:t xml:space="preserve"> </w:t>
      </w:r>
      <w:r w:rsidR="005C0A6F" w:rsidRPr="005C0A6F">
        <w:t>this</w:t>
      </w:r>
      <w:r w:rsidR="000159A6">
        <w:t xml:space="preserve"> </w:t>
      </w:r>
      <w:r w:rsidR="005C0A6F" w:rsidRPr="005C0A6F">
        <w:t>application.</w:t>
      </w:r>
    </w:p>
    <w:p w14:paraId="4C63E13E" w14:textId="21C78E52" w:rsidR="00D23139" w:rsidRPr="00E021B7" w:rsidRDefault="00456765" w:rsidP="00440509">
      <w:pPr>
        <w:pStyle w:val="Heading4"/>
      </w:pPr>
      <w:r w:rsidRPr="00E021B7">
        <w:t>Response</w:t>
      </w:r>
      <w:r w:rsidR="000159A6" w:rsidRPr="00E021B7">
        <w:t xml:space="preserve"> </w:t>
      </w:r>
      <w:r w:rsidRPr="00E021B7">
        <w:t>from</w:t>
      </w:r>
      <w:r w:rsidR="000159A6" w:rsidRPr="00E021B7">
        <w:t xml:space="preserve"> </w:t>
      </w:r>
      <w:r w:rsidR="00733CE8" w:rsidRPr="00440509">
        <w:t>sponsor</w:t>
      </w:r>
    </w:p>
    <w:p w14:paraId="11A2B93B" w14:textId="74126C8A" w:rsidR="00316881" w:rsidRPr="00E021B7" w:rsidRDefault="00316881" w:rsidP="00440509">
      <w:pPr>
        <w:pStyle w:val="Heading5"/>
        <w:rPr>
          <w:rFonts w:eastAsiaTheme="minorHAnsi"/>
        </w:rPr>
      </w:pPr>
      <w:r w:rsidRPr="00E021B7">
        <w:rPr>
          <w:rFonts w:eastAsiaTheme="minorHAnsi"/>
        </w:rPr>
        <w:t>Executive</w:t>
      </w:r>
      <w:r w:rsidR="000159A6" w:rsidRPr="00E021B7">
        <w:rPr>
          <w:rFonts w:eastAsiaTheme="minorHAnsi"/>
        </w:rPr>
        <w:t xml:space="preserve"> </w:t>
      </w:r>
      <w:r w:rsidR="00440509" w:rsidRPr="00440509">
        <w:rPr>
          <w:rFonts w:eastAsiaTheme="minorHAnsi"/>
        </w:rPr>
        <w:t>s</w:t>
      </w:r>
      <w:r w:rsidRPr="00440509">
        <w:rPr>
          <w:rFonts w:eastAsiaTheme="minorHAnsi"/>
        </w:rPr>
        <w:t>ummary</w:t>
      </w:r>
    </w:p>
    <w:p w14:paraId="66505C35" w14:textId="633BCF39" w:rsidR="00316881" w:rsidRPr="00316881" w:rsidRDefault="00733CE8" w:rsidP="00316881">
      <w:r>
        <w:t>The</w:t>
      </w:r>
      <w:r w:rsidR="000159A6">
        <w:t xml:space="preserve"> </w:t>
      </w:r>
      <w:r>
        <w:t>sponsor</w:t>
      </w:r>
      <w:r w:rsidR="000159A6">
        <w:t xml:space="preserve"> </w:t>
      </w:r>
      <w:r w:rsidR="00316881" w:rsidRPr="00316881">
        <w:t>welcomes</w:t>
      </w:r>
      <w:r w:rsidR="000159A6">
        <w:t xml:space="preserve"> </w:t>
      </w:r>
      <w:r w:rsidR="00316881" w:rsidRPr="00316881">
        <w:t>the</w:t>
      </w:r>
      <w:r w:rsidR="000159A6">
        <w:t xml:space="preserve"> </w:t>
      </w:r>
      <w:r w:rsidR="00316881" w:rsidRPr="00316881">
        <w:t>TGA</w:t>
      </w:r>
      <w:r w:rsidR="000159A6">
        <w:t xml:space="preserve"> </w:t>
      </w:r>
      <w:r w:rsidR="00316881" w:rsidRPr="00316881">
        <w:t>Delegate’s</w:t>
      </w:r>
      <w:r w:rsidR="000159A6">
        <w:t xml:space="preserve"> </w:t>
      </w:r>
      <w:r w:rsidR="00316881" w:rsidRPr="00316881">
        <w:t>positive</w:t>
      </w:r>
      <w:r w:rsidR="000159A6">
        <w:t xml:space="preserve"> </w:t>
      </w:r>
      <w:r w:rsidR="00316881" w:rsidRPr="00316881">
        <w:t>recommendation</w:t>
      </w:r>
      <w:r w:rsidR="000159A6">
        <w:t xml:space="preserve"> </w:t>
      </w:r>
      <w:r w:rsidR="00316881" w:rsidRPr="00316881">
        <w:t>to</w:t>
      </w:r>
      <w:r w:rsidR="000159A6">
        <w:t xml:space="preserve"> </w:t>
      </w:r>
      <w:r w:rsidR="00316881" w:rsidRPr="00316881">
        <w:t>register</w:t>
      </w:r>
      <w:r w:rsidR="000159A6">
        <w:t xml:space="preserve"> </w:t>
      </w:r>
      <w:r w:rsidR="00316881" w:rsidRPr="00316881">
        <w:t>Shingrix</w:t>
      </w:r>
      <w:r w:rsidR="000159A6">
        <w:t xml:space="preserve"> </w:t>
      </w:r>
      <w:r w:rsidR="00316881" w:rsidRPr="00316881">
        <w:t>for</w:t>
      </w:r>
      <w:r w:rsidR="000159A6">
        <w:t xml:space="preserve"> </w:t>
      </w:r>
      <w:proofErr w:type="gramStart"/>
      <w:r w:rsidR="00316881" w:rsidRPr="00316881">
        <w:t>persons</w:t>
      </w:r>
      <w:proofErr w:type="gramEnd"/>
      <w:r w:rsidR="000159A6">
        <w:t xml:space="preserve"> </w:t>
      </w:r>
      <w:r w:rsidR="0037169B">
        <w:t>≥</w:t>
      </w:r>
      <w:r w:rsidR="000159A6">
        <w:t xml:space="preserve"> </w:t>
      </w:r>
      <w:r w:rsidR="00316881" w:rsidRPr="00316881">
        <w:t>50</w:t>
      </w:r>
      <w:r w:rsidR="000159A6">
        <w:t xml:space="preserve"> </w:t>
      </w:r>
      <w:r w:rsidR="00316881" w:rsidRPr="00316881">
        <w:t>years.</w:t>
      </w:r>
    </w:p>
    <w:p w14:paraId="52AADF5A" w14:textId="110EFBA1" w:rsidR="00316881" w:rsidRPr="00316881" w:rsidRDefault="00316881" w:rsidP="00440509">
      <w:r w:rsidRPr="00316881">
        <w:t>Shingrix</w:t>
      </w:r>
      <w:r w:rsidR="000159A6">
        <w:t xml:space="preserve"> </w:t>
      </w:r>
      <w:r w:rsidRPr="00316881">
        <w:t>is</w:t>
      </w:r>
      <w:r w:rsidR="000159A6">
        <w:t xml:space="preserve"> </w:t>
      </w:r>
      <w:r w:rsidRPr="00316881">
        <w:t>a</w:t>
      </w:r>
      <w:r w:rsidR="000159A6">
        <w:t xml:space="preserve"> </w:t>
      </w:r>
      <w:r w:rsidRPr="00316881">
        <w:t>non-live</w:t>
      </w:r>
      <w:r w:rsidR="000159A6">
        <w:t xml:space="preserve"> </w:t>
      </w:r>
      <w:r w:rsidRPr="00316881">
        <w:t>Herpes</w:t>
      </w:r>
      <w:r w:rsidR="000159A6">
        <w:t xml:space="preserve"> </w:t>
      </w:r>
      <w:r w:rsidRPr="00316881">
        <w:t>Zoster</w:t>
      </w:r>
      <w:r w:rsidR="000159A6">
        <w:t xml:space="preserve"> </w:t>
      </w:r>
      <w:proofErr w:type="spellStart"/>
      <w:r w:rsidRPr="00316881">
        <w:t>adjuvanted</w:t>
      </w:r>
      <w:proofErr w:type="spellEnd"/>
      <w:r w:rsidR="000159A6">
        <w:t xml:space="preserve"> </w:t>
      </w:r>
      <w:r w:rsidRPr="00316881">
        <w:t>recombinant</w:t>
      </w:r>
      <w:r w:rsidR="000159A6">
        <w:t xml:space="preserve"> </w:t>
      </w:r>
      <w:r w:rsidRPr="00316881">
        <w:t>subunit</w:t>
      </w:r>
      <w:r w:rsidR="000159A6">
        <w:t xml:space="preserve"> </w:t>
      </w:r>
      <w:r w:rsidRPr="00316881">
        <w:t>(H</w:t>
      </w:r>
      <w:r>
        <w:t>Z/</w:t>
      </w:r>
      <w:proofErr w:type="spellStart"/>
      <w:r>
        <w:t>su</w:t>
      </w:r>
      <w:proofErr w:type="spellEnd"/>
      <w:r>
        <w:t>)</w:t>
      </w:r>
      <w:r w:rsidR="000159A6">
        <w:t xml:space="preserve"> </w:t>
      </w:r>
      <w:r>
        <w:t>candidate</w:t>
      </w:r>
      <w:r w:rsidR="000159A6">
        <w:t xml:space="preserve"> </w:t>
      </w:r>
      <w:r>
        <w:t>vaccine</w:t>
      </w:r>
      <w:r w:rsidR="000159A6">
        <w:t xml:space="preserve"> </w:t>
      </w:r>
      <w:r>
        <w:t>for</w:t>
      </w:r>
      <w:r w:rsidR="000159A6">
        <w:t xml:space="preserve"> </w:t>
      </w:r>
      <w:r>
        <w:t>the</w:t>
      </w:r>
      <w:r w:rsidR="000159A6">
        <w:t xml:space="preserve"> </w:t>
      </w:r>
      <w:r w:rsidRPr="00316881">
        <w:t>prevention</w:t>
      </w:r>
      <w:r w:rsidR="000159A6">
        <w:t xml:space="preserve"> </w:t>
      </w:r>
      <w:r w:rsidRPr="00316881">
        <w:t>of</w:t>
      </w:r>
      <w:r w:rsidR="000159A6">
        <w:t xml:space="preserve"> </w:t>
      </w:r>
      <w:r w:rsidRPr="00316881">
        <w:t>Herpes</w:t>
      </w:r>
      <w:r w:rsidR="000159A6">
        <w:t xml:space="preserve"> </w:t>
      </w:r>
      <w:r w:rsidRPr="00316881">
        <w:t>Zoster</w:t>
      </w:r>
      <w:r w:rsidR="000159A6">
        <w:t xml:space="preserve"> </w:t>
      </w:r>
      <w:r w:rsidRPr="00316881">
        <w:t>(HZ).</w:t>
      </w:r>
      <w:r w:rsidR="000159A6">
        <w:t xml:space="preserve"> </w:t>
      </w:r>
      <w:r w:rsidRPr="00316881">
        <w:t>This</w:t>
      </w:r>
      <w:r w:rsidR="000159A6">
        <w:t xml:space="preserve"> </w:t>
      </w:r>
      <w:r w:rsidRPr="00316881">
        <w:t>vaccine</w:t>
      </w:r>
      <w:r w:rsidR="000159A6">
        <w:t xml:space="preserve"> </w:t>
      </w:r>
      <w:r w:rsidRPr="00316881">
        <w:t>is</w:t>
      </w:r>
      <w:r w:rsidR="000159A6">
        <w:t xml:space="preserve"> </w:t>
      </w:r>
      <w:r w:rsidRPr="00316881">
        <w:t>designed</w:t>
      </w:r>
      <w:r w:rsidR="000159A6">
        <w:t xml:space="preserve"> </w:t>
      </w:r>
      <w:r w:rsidRPr="00316881">
        <w:t>to</w:t>
      </w:r>
      <w:r w:rsidR="000159A6">
        <w:t xml:space="preserve"> </w:t>
      </w:r>
      <w:r w:rsidRPr="00316881">
        <w:t>induce</w:t>
      </w:r>
      <w:r w:rsidR="000159A6">
        <w:t xml:space="preserve"> </w:t>
      </w:r>
      <w:r w:rsidRPr="00316881">
        <w:t>str</w:t>
      </w:r>
      <w:r>
        <w:t>ong</w:t>
      </w:r>
      <w:r w:rsidR="000159A6">
        <w:t xml:space="preserve"> </w:t>
      </w:r>
      <w:r>
        <w:t>cellular</w:t>
      </w:r>
      <w:r w:rsidR="000159A6">
        <w:t xml:space="preserve"> </w:t>
      </w:r>
      <w:r>
        <w:t>and</w:t>
      </w:r>
      <w:r w:rsidR="000159A6">
        <w:t xml:space="preserve"> </w:t>
      </w:r>
      <w:r>
        <w:t>humoral</w:t>
      </w:r>
      <w:r w:rsidR="000159A6">
        <w:t xml:space="preserve"> </w:t>
      </w:r>
      <w:r>
        <w:t>immune</w:t>
      </w:r>
      <w:r w:rsidR="000159A6">
        <w:t xml:space="preserve"> </w:t>
      </w:r>
      <w:r w:rsidRPr="00316881">
        <w:t>responses</w:t>
      </w:r>
      <w:r w:rsidR="000159A6">
        <w:t xml:space="preserve"> </w:t>
      </w:r>
      <w:r w:rsidRPr="00316881">
        <w:t>in</w:t>
      </w:r>
      <w:r w:rsidR="000159A6">
        <w:t xml:space="preserve"> </w:t>
      </w:r>
      <w:r w:rsidRPr="00316881">
        <w:t>individuals</w:t>
      </w:r>
      <w:r w:rsidR="000159A6">
        <w:t xml:space="preserve"> </w:t>
      </w:r>
      <w:r w:rsidRPr="00316881">
        <w:t>with</w:t>
      </w:r>
      <w:r w:rsidR="000159A6">
        <w:t xml:space="preserve"> </w:t>
      </w:r>
      <w:r w:rsidRPr="00316881">
        <w:t>pre-existing</w:t>
      </w:r>
      <w:r w:rsidR="000159A6">
        <w:t xml:space="preserve"> </w:t>
      </w:r>
      <w:r w:rsidRPr="00316881">
        <w:t>immunity</w:t>
      </w:r>
      <w:r w:rsidR="000159A6">
        <w:t xml:space="preserve"> </w:t>
      </w:r>
      <w:r w:rsidRPr="00316881">
        <w:t>against</w:t>
      </w:r>
      <w:r w:rsidR="000159A6">
        <w:t xml:space="preserve"> </w:t>
      </w:r>
      <w:r w:rsidRPr="00316881">
        <w:t>Varicella</w:t>
      </w:r>
      <w:r w:rsidR="000159A6">
        <w:t xml:space="preserve"> </w:t>
      </w:r>
      <w:r w:rsidRPr="00316881">
        <w:t>Zo</w:t>
      </w:r>
      <w:r>
        <w:t>ster</w:t>
      </w:r>
      <w:r w:rsidR="000159A6">
        <w:t xml:space="preserve"> </w:t>
      </w:r>
      <w:r>
        <w:t>Virus</w:t>
      </w:r>
      <w:r w:rsidR="000159A6">
        <w:t xml:space="preserve"> </w:t>
      </w:r>
      <w:r>
        <w:t>(VZV)</w:t>
      </w:r>
      <w:r w:rsidR="000159A6">
        <w:t xml:space="preserve"> </w:t>
      </w:r>
      <w:r>
        <w:t>and</w:t>
      </w:r>
      <w:r w:rsidR="000159A6">
        <w:t xml:space="preserve"> </w:t>
      </w:r>
      <w:r>
        <w:t>who</w:t>
      </w:r>
      <w:r w:rsidR="000159A6">
        <w:t xml:space="preserve"> </w:t>
      </w:r>
      <w:r>
        <w:t>are</w:t>
      </w:r>
      <w:r w:rsidR="000159A6">
        <w:t xml:space="preserve"> </w:t>
      </w:r>
      <w:r>
        <w:t>at</w:t>
      </w:r>
      <w:r w:rsidR="000159A6">
        <w:t xml:space="preserve"> </w:t>
      </w:r>
      <w:r w:rsidRPr="00316881">
        <w:t>increased</w:t>
      </w:r>
      <w:r w:rsidR="000159A6">
        <w:t xml:space="preserve"> </w:t>
      </w:r>
      <w:r w:rsidRPr="00316881">
        <w:t>risk</w:t>
      </w:r>
      <w:r w:rsidR="000159A6">
        <w:t xml:space="preserve"> </w:t>
      </w:r>
      <w:r w:rsidRPr="00316881">
        <w:t>of</w:t>
      </w:r>
      <w:r w:rsidR="000159A6">
        <w:t xml:space="preserve"> </w:t>
      </w:r>
      <w:r w:rsidRPr="00316881">
        <w:t>developing</w:t>
      </w:r>
      <w:r w:rsidR="000159A6">
        <w:t xml:space="preserve"> </w:t>
      </w:r>
      <w:r w:rsidRPr="00316881">
        <w:t>HZ.</w:t>
      </w:r>
    </w:p>
    <w:p w14:paraId="0F7148EE" w14:textId="354760BB" w:rsidR="00316881" w:rsidRPr="00316881" w:rsidRDefault="00316881" w:rsidP="00316881">
      <w:r w:rsidRPr="00316881">
        <w:t>The</w:t>
      </w:r>
      <w:r w:rsidR="000159A6">
        <w:t xml:space="preserve"> </w:t>
      </w:r>
      <w:r w:rsidRPr="00316881">
        <w:t>rate</w:t>
      </w:r>
      <w:r w:rsidR="000159A6">
        <w:t xml:space="preserve"> </w:t>
      </w:r>
      <w:r w:rsidRPr="00316881">
        <w:t>of</w:t>
      </w:r>
      <w:r w:rsidR="000159A6">
        <w:t xml:space="preserve"> </w:t>
      </w:r>
      <w:r w:rsidRPr="00316881">
        <w:t>HZ</w:t>
      </w:r>
      <w:r w:rsidR="000159A6">
        <w:t xml:space="preserve"> </w:t>
      </w:r>
      <w:r w:rsidRPr="00316881">
        <w:t>cases</w:t>
      </w:r>
      <w:r w:rsidR="000159A6">
        <w:t xml:space="preserve"> </w:t>
      </w:r>
      <w:r w:rsidRPr="00316881">
        <w:t>reported</w:t>
      </w:r>
      <w:r w:rsidR="000159A6">
        <w:t xml:space="preserve"> </w:t>
      </w:r>
      <w:r w:rsidRPr="00316881">
        <w:t>annually</w:t>
      </w:r>
      <w:r w:rsidR="000159A6">
        <w:t xml:space="preserve"> </w:t>
      </w:r>
      <w:r w:rsidRPr="00316881">
        <w:t>in</w:t>
      </w:r>
      <w:r w:rsidR="000159A6">
        <w:t xml:space="preserve"> </w:t>
      </w:r>
      <w:r w:rsidRPr="00316881">
        <w:t>Australia,</w:t>
      </w:r>
      <w:r w:rsidR="000159A6">
        <w:t xml:space="preserve"> </w:t>
      </w:r>
      <w:r w:rsidRPr="00316881">
        <w:t>in</w:t>
      </w:r>
      <w:r w:rsidR="000159A6">
        <w:t xml:space="preserve"> </w:t>
      </w:r>
      <w:r w:rsidRPr="00316881">
        <w:t>persons</w:t>
      </w:r>
      <w:r w:rsidR="000159A6">
        <w:t xml:space="preserve"> </w:t>
      </w:r>
      <w:r w:rsidRPr="00316881">
        <w:t>aged</w:t>
      </w:r>
      <w:r w:rsidR="000159A6">
        <w:t xml:space="preserve"> </w:t>
      </w:r>
      <w:r w:rsidR="0037169B">
        <w:t>≥</w:t>
      </w:r>
      <w:r w:rsidR="000159A6">
        <w:t xml:space="preserve"> </w:t>
      </w:r>
      <w:r w:rsidRPr="00316881">
        <w:t>50</w:t>
      </w:r>
      <w:r w:rsidR="000159A6">
        <w:t xml:space="preserve"> </w:t>
      </w:r>
      <w:r w:rsidRPr="00316881">
        <w:t>yea</w:t>
      </w:r>
      <w:r>
        <w:t>rs,</w:t>
      </w:r>
      <w:r w:rsidR="000159A6">
        <w:t xml:space="preserve"> </w:t>
      </w:r>
      <w:r>
        <w:t>is</w:t>
      </w:r>
      <w:r w:rsidR="000159A6">
        <w:t xml:space="preserve"> </w:t>
      </w:r>
      <w:r>
        <w:t>approximately</w:t>
      </w:r>
      <w:r w:rsidR="000159A6">
        <w:t xml:space="preserve"> </w:t>
      </w:r>
      <w:r>
        <w:t>1000</w:t>
      </w:r>
      <w:r w:rsidR="000159A6">
        <w:t xml:space="preserve"> </w:t>
      </w:r>
      <w:r>
        <w:t>cases</w:t>
      </w:r>
      <w:r w:rsidR="000159A6">
        <w:t xml:space="preserve"> </w:t>
      </w:r>
      <w:r w:rsidRPr="00316881">
        <w:t>per</w:t>
      </w:r>
      <w:r w:rsidR="000159A6">
        <w:t xml:space="preserve"> </w:t>
      </w:r>
      <w:r w:rsidRPr="00316881">
        <w:t>100,000</w:t>
      </w:r>
      <w:r w:rsidR="000159A6">
        <w:t xml:space="preserve"> </w:t>
      </w:r>
      <w:proofErr w:type="gramStart"/>
      <w:r w:rsidRPr="00316881">
        <w:t>population</w:t>
      </w:r>
      <w:proofErr w:type="gramEnd"/>
      <w:r w:rsidRPr="00316881">
        <w:t>.</w:t>
      </w:r>
      <w:r w:rsidR="000159A6">
        <w:t xml:space="preserve"> </w:t>
      </w:r>
      <w:r w:rsidRPr="00316881">
        <w:t>HZ</w:t>
      </w:r>
      <w:r w:rsidR="000159A6">
        <w:t xml:space="preserve"> </w:t>
      </w:r>
      <w:r w:rsidRPr="00316881">
        <w:t>incidence</w:t>
      </w:r>
      <w:r w:rsidR="000159A6">
        <w:t xml:space="preserve"> </w:t>
      </w:r>
      <w:r w:rsidRPr="00316881">
        <w:t>rises</w:t>
      </w:r>
      <w:r w:rsidR="000159A6">
        <w:t xml:space="preserve"> </w:t>
      </w:r>
      <w:r w:rsidRPr="00316881">
        <w:t>with</w:t>
      </w:r>
      <w:r w:rsidR="000159A6">
        <w:t xml:space="preserve"> </w:t>
      </w:r>
      <w:r w:rsidRPr="00316881">
        <w:t>age.</w:t>
      </w:r>
    </w:p>
    <w:p w14:paraId="459C808E" w14:textId="31453F6A" w:rsidR="00316881" w:rsidRPr="00316881" w:rsidRDefault="00316881" w:rsidP="00316881">
      <w:r w:rsidRPr="00316881">
        <w:t>Overall,</w:t>
      </w:r>
      <w:r w:rsidR="000159A6">
        <w:t xml:space="preserve"> </w:t>
      </w:r>
      <w:r w:rsidRPr="00316881">
        <w:t>an</w:t>
      </w:r>
      <w:r w:rsidR="000159A6">
        <w:t xml:space="preserve"> </w:t>
      </w:r>
      <w:r w:rsidRPr="00316881">
        <w:t>estimated</w:t>
      </w:r>
      <w:r w:rsidR="000159A6">
        <w:t xml:space="preserve"> </w:t>
      </w:r>
      <w:r w:rsidRPr="00316881">
        <w:t>13%</w:t>
      </w:r>
      <w:r w:rsidR="000159A6">
        <w:t xml:space="preserve"> </w:t>
      </w:r>
      <w:r w:rsidRPr="00316881">
        <w:t>to</w:t>
      </w:r>
      <w:r w:rsidR="000159A6">
        <w:t xml:space="preserve"> </w:t>
      </w:r>
      <w:r w:rsidRPr="00316881">
        <w:t>26%</w:t>
      </w:r>
      <w:r w:rsidR="000159A6">
        <w:t xml:space="preserve"> </w:t>
      </w:r>
      <w:r w:rsidRPr="00316881">
        <w:t>of</w:t>
      </w:r>
      <w:r w:rsidR="000159A6">
        <w:t xml:space="preserve"> </w:t>
      </w:r>
      <w:r w:rsidRPr="00316881">
        <w:t>patients</w:t>
      </w:r>
      <w:r w:rsidR="000159A6">
        <w:t xml:space="preserve"> </w:t>
      </w:r>
      <w:r w:rsidRPr="00316881">
        <w:t>with</w:t>
      </w:r>
      <w:r w:rsidR="000159A6">
        <w:t xml:space="preserve"> </w:t>
      </w:r>
      <w:r w:rsidRPr="00316881">
        <w:t>HZ</w:t>
      </w:r>
      <w:r w:rsidR="000159A6">
        <w:t xml:space="preserve"> </w:t>
      </w:r>
      <w:r w:rsidRPr="00316881">
        <w:t>develop</w:t>
      </w:r>
      <w:r w:rsidR="000159A6">
        <w:t xml:space="preserve"> </w:t>
      </w:r>
      <w:r w:rsidRPr="00316881">
        <w:t>complica</w:t>
      </w:r>
      <w:r>
        <w:t>tions.</w:t>
      </w:r>
      <w:r w:rsidR="000159A6">
        <w:t xml:space="preserve"> </w:t>
      </w:r>
      <w:r>
        <w:t>Complications</w:t>
      </w:r>
      <w:r w:rsidR="000159A6">
        <w:t xml:space="preserve"> </w:t>
      </w:r>
      <w:r>
        <w:t>occur</w:t>
      </w:r>
      <w:r w:rsidR="000159A6">
        <w:t xml:space="preserve"> </w:t>
      </w:r>
      <w:r>
        <w:t>more</w:t>
      </w:r>
      <w:r w:rsidR="000159A6">
        <w:t xml:space="preserve"> </w:t>
      </w:r>
      <w:r w:rsidRPr="00316881">
        <w:t>frequently</w:t>
      </w:r>
      <w:r w:rsidR="000159A6">
        <w:t xml:space="preserve"> </w:t>
      </w:r>
      <w:r w:rsidRPr="00316881">
        <w:t>with</w:t>
      </w:r>
      <w:r w:rsidR="000159A6">
        <w:t xml:space="preserve"> </w:t>
      </w:r>
      <w:r w:rsidRPr="00316881">
        <w:t>increasing</w:t>
      </w:r>
      <w:r w:rsidR="000159A6">
        <w:t xml:space="preserve"> </w:t>
      </w:r>
      <w:r w:rsidRPr="00316881">
        <w:t>age.</w:t>
      </w:r>
      <w:r w:rsidR="000159A6">
        <w:t xml:space="preserve"> </w:t>
      </w:r>
      <w:r w:rsidRPr="00316881">
        <w:t>Post</w:t>
      </w:r>
      <w:r w:rsidR="000159A6">
        <w:t xml:space="preserve"> </w:t>
      </w:r>
      <w:r w:rsidRPr="00316881">
        <w:t>herpetic</w:t>
      </w:r>
      <w:r w:rsidR="000159A6">
        <w:t xml:space="preserve"> </w:t>
      </w:r>
      <w:r w:rsidRPr="00316881">
        <w:t>neuralgia</w:t>
      </w:r>
      <w:r w:rsidR="000159A6">
        <w:t xml:space="preserve"> </w:t>
      </w:r>
      <w:r w:rsidRPr="00316881">
        <w:t>(PHN)</w:t>
      </w:r>
      <w:r w:rsidR="000159A6">
        <w:t xml:space="preserve"> </w:t>
      </w:r>
      <w:r w:rsidRPr="00316881">
        <w:t>is</w:t>
      </w:r>
      <w:r w:rsidR="000159A6">
        <w:t xml:space="preserve"> </w:t>
      </w:r>
      <w:r w:rsidRPr="00316881">
        <w:t>the</w:t>
      </w:r>
      <w:r w:rsidR="000159A6">
        <w:t xml:space="preserve"> </w:t>
      </w:r>
      <w:r>
        <w:t>most</w:t>
      </w:r>
      <w:r w:rsidR="000159A6">
        <w:t xml:space="preserve"> </w:t>
      </w:r>
      <w:r>
        <w:t>common</w:t>
      </w:r>
      <w:r w:rsidR="000159A6">
        <w:t xml:space="preserve"> </w:t>
      </w:r>
      <w:r>
        <w:t>complication</w:t>
      </w:r>
      <w:r w:rsidR="000159A6">
        <w:t xml:space="preserve"> </w:t>
      </w:r>
      <w:r>
        <w:t>of</w:t>
      </w:r>
      <w:r w:rsidR="000159A6">
        <w:t xml:space="preserve"> </w:t>
      </w:r>
      <w:r>
        <w:t>HZ.</w:t>
      </w:r>
      <w:r w:rsidR="000159A6">
        <w:t xml:space="preserve"> </w:t>
      </w:r>
      <w:r w:rsidRPr="00316881">
        <w:t>PHN</w:t>
      </w:r>
      <w:r w:rsidR="000159A6">
        <w:t xml:space="preserve"> </w:t>
      </w:r>
      <w:r w:rsidRPr="00316881">
        <w:t>is</w:t>
      </w:r>
      <w:r w:rsidR="000159A6">
        <w:t xml:space="preserve"> </w:t>
      </w:r>
      <w:r w:rsidRPr="00316881">
        <w:t>a</w:t>
      </w:r>
      <w:r w:rsidR="000159A6">
        <w:t xml:space="preserve"> </w:t>
      </w:r>
      <w:r w:rsidRPr="00316881">
        <w:t>neuropathic</w:t>
      </w:r>
      <w:r w:rsidR="000159A6">
        <w:t xml:space="preserve"> </w:t>
      </w:r>
      <w:r w:rsidRPr="00316881">
        <w:t>pain</w:t>
      </w:r>
      <w:r w:rsidR="000159A6">
        <w:t xml:space="preserve"> </w:t>
      </w:r>
      <w:r w:rsidRPr="00316881">
        <w:t>condition</w:t>
      </w:r>
      <w:r w:rsidR="000159A6">
        <w:t xml:space="preserve"> </w:t>
      </w:r>
      <w:r w:rsidRPr="00316881">
        <w:t>resulting</w:t>
      </w:r>
      <w:r w:rsidR="000159A6">
        <w:t xml:space="preserve"> </w:t>
      </w:r>
      <w:r w:rsidRPr="00316881">
        <w:t>from</w:t>
      </w:r>
      <w:r w:rsidR="000159A6">
        <w:t xml:space="preserve"> </w:t>
      </w:r>
      <w:r w:rsidRPr="00316881">
        <w:t>nerve</w:t>
      </w:r>
      <w:r w:rsidR="000159A6">
        <w:t xml:space="preserve"> </w:t>
      </w:r>
      <w:r w:rsidRPr="00316881">
        <w:t>damage</w:t>
      </w:r>
      <w:r w:rsidR="000159A6">
        <w:t xml:space="preserve"> </w:t>
      </w:r>
      <w:r w:rsidRPr="00316881">
        <w:t>caused</w:t>
      </w:r>
      <w:r w:rsidR="000159A6">
        <w:t xml:space="preserve"> </w:t>
      </w:r>
      <w:r w:rsidRPr="00316881">
        <w:t>by</w:t>
      </w:r>
      <w:r w:rsidR="000159A6">
        <w:t xml:space="preserve"> </w:t>
      </w:r>
      <w:r>
        <w:t>the</w:t>
      </w:r>
      <w:r w:rsidR="000159A6">
        <w:t xml:space="preserve"> </w:t>
      </w:r>
      <w:r>
        <w:t>reactivation</w:t>
      </w:r>
      <w:r w:rsidR="000159A6">
        <w:t xml:space="preserve"> </w:t>
      </w:r>
      <w:r>
        <w:t>of</w:t>
      </w:r>
      <w:r w:rsidR="000159A6">
        <w:t xml:space="preserve"> </w:t>
      </w:r>
      <w:r>
        <w:t>VZV</w:t>
      </w:r>
      <w:r w:rsidR="000159A6">
        <w:t xml:space="preserve"> </w:t>
      </w:r>
      <w:r>
        <w:t>in</w:t>
      </w:r>
      <w:r w:rsidR="000159A6">
        <w:t xml:space="preserve"> </w:t>
      </w:r>
      <w:r>
        <w:t>the</w:t>
      </w:r>
      <w:r w:rsidR="000159A6">
        <w:t xml:space="preserve"> </w:t>
      </w:r>
      <w:r w:rsidRPr="00316881">
        <w:t>ganglia</w:t>
      </w:r>
      <w:r w:rsidR="000159A6">
        <w:t xml:space="preserve"> </w:t>
      </w:r>
      <w:r w:rsidRPr="00316881">
        <w:t>that</w:t>
      </w:r>
      <w:r w:rsidR="000159A6">
        <w:t xml:space="preserve"> </w:t>
      </w:r>
      <w:r w:rsidRPr="00316881">
        <w:t>persists</w:t>
      </w:r>
      <w:r w:rsidR="000159A6">
        <w:t xml:space="preserve"> </w:t>
      </w:r>
      <w:r w:rsidRPr="00316881">
        <w:t>or</w:t>
      </w:r>
      <w:r w:rsidR="000159A6">
        <w:t xml:space="preserve"> </w:t>
      </w:r>
      <w:r w:rsidRPr="00316881">
        <w:t>occurs</w:t>
      </w:r>
      <w:r w:rsidR="000159A6">
        <w:t xml:space="preserve"> </w:t>
      </w:r>
      <w:r w:rsidRPr="00316881">
        <w:t>after</w:t>
      </w:r>
      <w:r w:rsidR="000159A6">
        <w:t xml:space="preserve"> </w:t>
      </w:r>
      <w:r w:rsidRPr="00316881">
        <w:t>the</w:t>
      </w:r>
      <w:r w:rsidR="000159A6">
        <w:t xml:space="preserve"> </w:t>
      </w:r>
      <w:r w:rsidRPr="00316881">
        <w:t>HZ</w:t>
      </w:r>
      <w:r w:rsidR="000159A6">
        <w:t xml:space="preserve"> </w:t>
      </w:r>
      <w:r w:rsidRPr="00316881">
        <w:t>rash</w:t>
      </w:r>
      <w:r w:rsidR="000159A6">
        <w:t xml:space="preserve"> </w:t>
      </w:r>
      <w:r w:rsidRPr="00316881">
        <w:t>itself</w:t>
      </w:r>
      <w:r w:rsidR="000159A6">
        <w:t xml:space="preserve"> </w:t>
      </w:r>
      <w:r w:rsidRPr="00316881">
        <w:t>has</w:t>
      </w:r>
      <w:r w:rsidR="000159A6">
        <w:t xml:space="preserve"> </w:t>
      </w:r>
      <w:r w:rsidRPr="00316881">
        <w:t>resolved.</w:t>
      </w:r>
    </w:p>
    <w:p w14:paraId="1EAA35F0" w14:textId="4A9A851C" w:rsidR="00316881" w:rsidRPr="00316881" w:rsidRDefault="00316881" w:rsidP="00440509">
      <w:r w:rsidRPr="00316881">
        <w:t>Efficacy,</w:t>
      </w:r>
      <w:r w:rsidR="000159A6">
        <w:t xml:space="preserve"> </w:t>
      </w:r>
      <w:r w:rsidRPr="00316881">
        <w:t>immunogenicity</w:t>
      </w:r>
      <w:r w:rsidR="000159A6">
        <w:t xml:space="preserve"> </w:t>
      </w:r>
      <w:r w:rsidRPr="00316881">
        <w:t>and</w:t>
      </w:r>
      <w:r w:rsidR="000159A6">
        <w:t xml:space="preserve"> </w:t>
      </w:r>
      <w:r w:rsidRPr="00316881">
        <w:t>safety</w:t>
      </w:r>
      <w:r w:rsidR="000159A6">
        <w:t xml:space="preserve"> </w:t>
      </w:r>
      <w:r w:rsidRPr="00316881">
        <w:t>results</w:t>
      </w:r>
      <w:r w:rsidR="000159A6">
        <w:t xml:space="preserve"> </w:t>
      </w:r>
      <w:r w:rsidRPr="00316881">
        <w:t>from</w:t>
      </w:r>
      <w:r w:rsidR="000159A6">
        <w:t xml:space="preserve"> </w:t>
      </w:r>
      <w:r w:rsidRPr="00316881">
        <w:t>two</w:t>
      </w:r>
      <w:r w:rsidR="000159A6">
        <w:t xml:space="preserve"> </w:t>
      </w:r>
      <w:r w:rsidRPr="00316881">
        <w:t>pivotal</w:t>
      </w:r>
      <w:r w:rsidR="000159A6">
        <w:t xml:space="preserve"> </w:t>
      </w:r>
      <w:r w:rsidRPr="00316881">
        <w:t>studies</w:t>
      </w:r>
      <w:r>
        <w:t>,</w:t>
      </w:r>
      <w:r w:rsidR="000159A6">
        <w:t xml:space="preserve"> </w:t>
      </w:r>
      <w:r w:rsidR="005B2FA5">
        <w:t>Study</w:t>
      </w:r>
      <w:r w:rsidR="000159A6">
        <w:t xml:space="preserve"> </w:t>
      </w:r>
      <w:r w:rsidR="00066595">
        <w:t>ZOSTER-006</w:t>
      </w:r>
      <w:r w:rsidR="000159A6">
        <w:t xml:space="preserve"> </w:t>
      </w:r>
      <w:r w:rsidR="00066595">
        <w:t>(also</w:t>
      </w:r>
      <w:r w:rsidR="000159A6">
        <w:t xml:space="preserve"> </w:t>
      </w:r>
      <w:r w:rsidR="00066595">
        <w:t>referred</w:t>
      </w:r>
      <w:r w:rsidR="000159A6">
        <w:t xml:space="preserve"> </w:t>
      </w:r>
      <w:r w:rsidR="00066595">
        <w:t>to</w:t>
      </w:r>
      <w:r w:rsidR="000159A6">
        <w:t xml:space="preserve"> </w:t>
      </w:r>
      <w:r w:rsidR="00066595" w:rsidRPr="0096043C">
        <w:t>as</w:t>
      </w:r>
      <w:r w:rsidR="000159A6">
        <w:t xml:space="preserve"> </w:t>
      </w:r>
      <w:r w:rsidR="005B2FA5">
        <w:t>Study</w:t>
      </w:r>
      <w:r w:rsidR="000159A6">
        <w:t xml:space="preserve"> </w:t>
      </w:r>
      <w:r w:rsidR="00066595" w:rsidRPr="0096043C">
        <w:t>ZOE-50)</w:t>
      </w:r>
      <w:r w:rsidR="000159A6">
        <w:t xml:space="preserve"> </w:t>
      </w:r>
      <w:r>
        <w:t>and</w:t>
      </w:r>
      <w:r w:rsidR="000159A6">
        <w:t xml:space="preserve"> </w:t>
      </w:r>
      <w:r w:rsidR="005B2FA5">
        <w:t>Study</w:t>
      </w:r>
      <w:r w:rsidR="000159A6">
        <w:t xml:space="preserve"> </w:t>
      </w:r>
      <w:r w:rsidR="00066595">
        <w:t>ZOSTER-022</w:t>
      </w:r>
      <w:r w:rsidR="000159A6">
        <w:t xml:space="preserve"> </w:t>
      </w:r>
      <w:r w:rsidR="00066595">
        <w:t>(also</w:t>
      </w:r>
      <w:r w:rsidR="000159A6">
        <w:t xml:space="preserve"> </w:t>
      </w:r>
      <w:r w:rsidR="00066595">
        <w:t>referred</w:t>
      </w:r>
      <w:r w:rsidR="000159A6">
        <w:t xml:space="preserve"> </w:t>
      </w:r>
      <w:r w:rsidR="00066595">
        <w:t>to</w:t>
      </w:r>
      <w:r w:rsidR="000159A6">
        <w:t xml:space="preserve"> </w:t>
      </w:r>
      <w:r w:rsidR="00066595">
        <w:t>as</w:t>
      </w:r>
      <w:r w:rsidR="000159A6">
        <w:t xml:space="preserve"> </w:t>
      </w:r>
      <w:r w:rsidR="005B2FA5">
        <w:t>Study</w:t>
      </w:r>
      <w:r w:rsidR="000159A6">
        <w:t xml:space="preserve"> </w:t>
      </w:r>
      <w:r w:rsidR="00066595" w:rsidRPr="00951608">
        <w:t>ZOE-70</w:t>
      </w:r>
      <w:r w:rsidR="00066595">
        <w:t>)</w:t>
      </w:r>
      <w:r w:rsidR="00733CE8">
        <w:t>)</w:t>
      </w:r>
      <w:r w:rsidR="000159A6">
        <w:t xml:space="preserve"> </w:t>
      </w:r>
      <w:r>
        <w:t>(adults</w:t>
      </w:r>
      <w:r w:rsidR="000159A6">
        <w:t xml:space="preserve"> </w:t>
      </w:r>
      <w:r w:rsidR="0037169B">
        <w:t>≥</w:t>
      </w:r>
      <w:r w:rsidR="000159A6">
        <w:t xml:space="preserve"> </w:t>
      </w:r>
      <w:r>
        <w:t>50</w:t>
      </w:r>
      <w:r w:rsidR="000159A6">
        <w:t xml:space="preserve"> </w:t>
      </w:r>
      <w:r w:rsidRPr="00316881">
        <w:t>years</w:t>
      </w:r>
      <w:r w:rsidR="000159A6">
        <w:t xml:space="preserve"> </w:t>
      </w:r>
      <w:r w:rsidRPr="00316881">
        <w:t>of</w:t>
      </w:r>
      <w:r w:rsidR="000159A6">
        <w:t xml:space="preserve"> </w:t>
      </w:r>
      <w:r w:rsidRPr="00316881">
        <w:t>age</w:t>
      </w:r>
      <w:r w:rsidR="000159A6">
        <w:t xml:space="preserve"> </w:t>
      </w:r>
      <w:r w:rsidRPr="00316881">
        <w:t>(</w:t>
      </w:r>
      <w:r w:rsidR="0037169B">
        <w:t>years</w:t>
      </w:r>
      <w:r w:rsidR="000159A6">
        <w:t xml:space="preserve"> </w:t>
      </w:r>
      <w:r w:rsidR="0037169B">
        <w:t>of</w:t>
      </w:r>
      <w:r w:rsidR="000159A6">
        <w:t xml:space="preserve"> </w:t>
      </w:r>
      <w:r w:rsidR="0037169B">
        <w:t>age</w:t>
      </w:r>
      <w:r w:rsidRPr="00316881">
        <w:t>)</w:t>
      </w:r>
      <w:r w:rsidR="000159A6">
        <w:t xml:space="preserve"> </w:t>
      </w:r>
      <w:r w:rsidRPr="00316881">
        <w:t>and</w:t>
      </w:r>
      <w:r w:rsidR="000159A6">
        <w:t xml:space="preserve"> </w:t>
      </w:r>
      <w:r w:rsidRPr="00316881">
        <w:t>adults</w:t>
      </w:r>
      <w:r w:rsidR="000159A6">
        <w:t xml:space="preserve"> </w:t>
      </w:r>
      <w:r w:rsidR="0037169B">
        <w:t>≥</w:t>
      </w:r>
      <w:r w:rsidR="000159A6">
        <w:t xml:space="preserve"> </w:t>
      </w:r>
      <w:r w:rsidRPr="00316881">
        <w:t>70</w:t>
      </w:r>
      <w:r w:rsidR="000159A6">
        <w:t xml:space="preserve"> </w:t>
      </w:r>
      <w:r w:rsidR="0037169B">
        <w:t>years</w:t>
      </w:r>
      <w:r w:rsidR="000159A6">
        <w:t xml:space="preserve"> </w:t>
      </w:r>
      <w:r w:rsidR="0037169B">
        <w:t>of</w:t>
      </w:r>
      <w:r w:rsidR="000159A6">
        <w:t xml:space="preserve"> </w:t>
      </w:r>
      <w:r w:rsidR="0037169B">
        <w:t>age</w:t>
      </w:r>
      <w:r w:rsidRPr="00316881">
        <w:t>,</w:t>
      </w:r>
      <w:r w:rsidR="000159A6">
        <w:t xml:space="preserve"> </w:t>
      </w:r>
      <w:r w:rsidRPr="00316881">
        <w:t>respectively),</w:t>
      </w:r>
      <w:r w:rsidR="000159A6">
        <w:t xml:space="preserve"> </w:t>
      </w:r>
      <w:r w:rsidRPr="00316881">
        <w:t>demonstrated</w:t>
      </w:r>
      <w:r w:rsidR="000159A6">
        <w:t xml:space="preserve"> </w:t>
      </w:r>
      <w:r w:rsidRPr="00316881">
        <w:t>Sh</w:t>
      </w:r>
      <w:r>
        <w:t>ingrix</w:t>
      </w:r>
      <w:r w:rsidR="000159A6">
        <w:t xml:space="preserve"> </w:t>
      </w:r>
      <w:r>
        <w:t>to</w:t>
      </w:r>
      <w:r w:rsidR="000159A6">
        <w:t xml:space="preserve"> </w:t>
      </w:r>
      <w:r>
        <w:t>be</w:t>
      </w:r>
      <w:r w:rsidR="000159A6">
        <w:t xml:space="preserve"> </w:t>
      </w:r>
      <w:r>
        <w:t>highly</w:t>
      </w:r>
      <w:r w:rsidR="000159A6">
        <w:t xml:space="preserve"> </w:t>
      </w:r>
      <w:r>
        <w:t>efficacious</w:t>
      </w:r>
      <w:r w:rsidR="000159A6">
        <w:t xml:space="preserve"> </w:t>
      </w:r>
      <w:r w:rsidRPr="00316881">
        <w:t>against</w:t>
      </w:r>
      <w:r w:rsidR="000159A6">
        <w:t xml:space="preserve"> </w:t>
      </w:r>
      <w:r w:rsidRPr="00316881">
        <w:t>HZ</w:t>
      </w:r>
      <w:r w:rsidR="000159A6">
        <w:t xml:space="preserve"> </w:t>
      </w:r>
      <w:r w:rsidRPr="00316881">
        <w:t>and</w:t>
      </w:r>
      <w:r w:rsidR="000159A6">
        <w:t xml:space="preserve"> </w:t>
      </w:r>
      <w:r w:rsidRPr="00316881">
        <w:t>its</w:t>
      </w:r>
      <w:r w:rsidR="000159A6">
        <w:t xml:space="preserve"> </w:t>
      </w:r>
      <w:r w:rsidRPr="00316881">
        <w:t>complications,</w:t>
      </w:r>
      <w:r w:rsidR="000159A6">
        <w:t xml:space="preserve"> </w:t>
      </w:r>
      <w:r w:rsidRPr="00316881">
        <w:t>such</w:t>
      </w:r>
      <w:r w:rsidR="000159A6">
        <w:t xml:space="preserve"> </w:t>
      </w:r>
      <w:r w:rsidRPr="00316881">
        <w:t>as</w:t>
      </w:r>
      <w:r w:rsidR="000159A6">
        <w:t xml:space="preserve"> </w:t>
      </w:r>
      <w:r w:rsidRPr="00316881">
        <w:t>PHN,</w:t>
      </w:r>
      <w:r w:rsidR="000159A6">
        <w:t xml:space="preserve"> </w:t>
      </w:r>
      <w:r w:rsidRPr="00316881">
        <w:t>in</w:t>
      </w:r>
      <w:r w:rsidR="000159A6">
        <w:t xml:space="preserve"> </w:t>
      </w:r>
      <w:r w:rsidRPr="00316881">
        <w:t>all</w:t>
      </w:r>
      <w:r w:rsidR="000159A6">
        <w:t xml:space="preserve"> </w:t>
      </w:r>
      <w:r w:rsidRPr="00316881">
        <w:t>age</w:t>
      </w:r>
      <w:r w:rsidR="000159A6">
        <w:t xml:space="preserve"> </w:t>
      </w:r>
      <w:r w:rsidRPr="00316881">
        <w:t>groups,</w:t>
      </w:r>
      <w:r w:rsidR="000159A6">
        <w:t xml:space="preserve"> </w:t>
      </w:r>
      <w:r w:rsidRPr="00316881">
        <w:t>with</w:t>
      </w:r>
      <w:r w:rsidR="000159A6">
        <w:t xml:space="preserve"> </w:t>
      </w:r>
      <w:r w:rsidRPr="00316881">
        <w:t>an</w:t>
      </w:r>
      <w:r w:rsidR="000159A6">
        <w:t xml:space="preserve"> </w:t>
      </w:r>
      <w:r w:rsidRPr="00316881">
        <w:t>acceptable</w:t>
      </w:r>
      <w:r w:rsidR="000159A6">
        <w:t xml:space="preserve"> </w:t>
      </w:r>
      <w:r w:rsidRPr="00316881">
        <w:t>safety</w:t>
      </w:r>
      <w:r w:rsidR="000159A6">
        <w:t xml:space="preserve"> </w:t>
      </w:r>
      <w:r w:rsidRPr="00316881">
        <w:t>profile.</w:t>
      </w:r>
    </w:p>
    <w:p w14:paraId="3A8BB513" w14:textId="652C97EF" w:rsidR="00316881" w:rsidRPr="00316881" w:rsidRDefault="00316881" w:rsidP="00316881">
      <w:r w:rsidRPr="00316881">
        <w:t>The</w:t>
      </w:r>
      <w:r w:rsidR="000159A6">
        <w:t xml:space="preserve"> </w:t>
      </w:r>
      <w:r w:rsidRPr="00316881">
        <w:t>efficacy</w:t>
      </w:r>
      <w:r w:rsidR="000159A6">
        <w:t xml:space="preserve"> </w:t>
      </w:r>
      <w:r w:rsidRPr="00316881">
        <w:t>was</w:t>
      </w:r>
      <w:r w:rsidR="000159A6">
        <w:t xml:space="preserve"> </w:t>
      </w:r>
      <w:r w:rsidRPr="00316881">
        <w:t>also</w:t>
      </w:r>
      <w:r w:rsidR="000159A6">
        <w:t xml:space="preserve"> </w:t>
      </w:r>
      <w:r w:rsidRPr="00316881">
        <w:t>shown</w:t>
      </w:r>
      <w:r w:rsidR="000159A6">
        <w:t xml:space="preserve"> </w:t>
      </w:r>
      <w:r w:rsidRPr="00316881">
        <w:t>to</w:t>
      </w:r>
      <w:r w:rsidR="000159A6">
        <w:t xml:space="preserve"> </w:t>
      </w:r>
      <w:r w:rsidRPr="00316881">
        <w:t>persist</w:t>
      </w:r>
      <w:r w:rsidR="000159A6">
        <w:t xml:space="preserve"> </w:t>
      </w:r>
      <w:r w:rsidRPr="00316881">
        <w:t>for</w:t>
      </w:r>
      <w:r w:rsidR="000159A6">
        <w:t xml:space="preserve"> </w:t>
      </w:r>
      <w:r w:rsidRPr="00316881">
        <w:t>at</w:t>
      </w:r>
      <w:r w:rsidR="000159A6">
        <w:t xml:space="preserve"> </w:t>
      </w:r>
      <w:r w:rsidRPr="00316881">
        <w:t>least</w:t>
      </w:r>
      <w:r w:rsidR="000159A6">
        <w:t xml:space="preserve"> </w:t>
      </w:r>
      <w:r w:rsidRPr="00316881">
        <w:t>4</w:t>
      </w:r>
      <w:r w:rsidR="000159A6">
        <w:t xml:space="preserve"> </w:t>
      </w:r>
      <w:r w:rsidRPr="00316881">
        <w:t>years</w:t>
      </w:r>
      <w:r w:rsidR="000159A6">
        <w:t xml:space="preserve"> </w:t>
      </w:r>
      <w:r w:rsidRPr="00316881">
        <w:t>after</w:t>
      </w:r>
      <w:r w:rsidR="000159A6">
        <w:t xml:space="preserve"> </w:t>
      </w:r>
      <w:r w:rsidRPr="00316881">
        <w:t>vaccination.</w:t>
      </w:r>
    </w:p>
    <w:p w14:paraId="364A99D6" w14:textId="5B6483EE" w:rsidR="00316881" w:rsidRPr="00316881" w:rsidRDefault="00316881" w:rsidP="00316881">
      <w:r w:rsidRPr="00316881">
        <w:t>There</w:t>
      </w:r>
      <w:r w:rsidR="000159A6">
        <w:t xml:space="preserve"> </w:t>
      </w:r>
      <w:r w:rsidRPr="00316881">
        <w:t>were</w:t>
      </w:r>
      <w:r w:rsidR="000159A6">
        <w:t xml:space="preserve"> </w:t>
      </w:r>
      <w:r w:rsidRPr="00316881">
        <w:t>no</w:t>
      </w:r>
      <w:r w:rsidR="000159A6">
        <w:t xml:space="preserve"> </w:t>
      </w:r>
      <w:r w:rsidRPr="00316881">
        <w:t>meaningful</w:t>
      </w:r>
      <w:r w:rsidR="000159A6">
        <w:t xml:space="preserve"> </w:t>
      </w:r>
      <w:r w:rsidRPr="00316881">
        <w:t>differences</w:t>
      </w:r>
      <w:r w:rsidR="000159A6">
        <w:t xml:space="preserve"> </w:t>
      </w:r>
      <w:r w:rsidRPr="00316881">
        <w:t>in</w:t>
      </w:r>
      <w:r w:rsidR="000159A6">
        <w:t xml:space="preserve"> </w:t>
      </w:r>
      <w:r w:rsidRPr="00316881">
        <w:t>efficacy</w:t>
      </w:r>
      <w:r w:rsidR="000159A6">
        <w:t xml:space="preserve"> </w:t>
      </w:r>
      <w:r w:rsidRPr="00316881">
        <w:t>against</w:t>
      </w:r>
      <w:r w:rsidR="000159A6">
        <w:t xml:space="preserve"> </w:t>
      </w:r>
      <w:r w:rsidRPr="00316881">
        <w:t>HZ</w:t>
      </w:r>
      <w:r w:rsidR="000159A6">
        <w:t xml:space="preserve"> </w:t>
      </w:r>
      <w:r w:rsidRPr="00316881">
        <w:t>and</w:t>
      </w:r>
      <w:r w:rsidR="000159A6">
        <w:t xml:space="preserve"> </w:t>
      </w:r>
      <w:r w:rsidRPr="00316881">
        <w:t>PHN</w:t>
      </w:r>
      <w:r w:rsidR="000159A6">
        <w:t xml:space="preserve"> </w:t>
      </w:r>
      <w:r w:rsidRPr="00316881">
        <w:t>a</w:t>
      </w:r>
      <w:r>
        <w:t>cross</w:t>
      </w:r>
      <w:r w:rsidR="000159A6">
        <w:t xml:space="preserve"> </w:t>
      </w:r>
      <w:r>
        <w:t>the</w:t>
      </w:r>
      <w:r w:rsidR="000159A6">
        <w:t xml:space="preserve"> </w:t>
      </w:r>
      <w:r>
        <w:t>different</w:t>
      </w:r>
      <w:r w:rsidR="000159A6">
        <w:t xml:space="preserve"> </w:t>
      </w:r>
      <w:r>
        <w:t>age</w:t>
      </w:r>
      <w:r w:rsidR="000159A6">
        <w:t xml:space="preserve"> </w:t>
      </w:r>
      <w:r>
        <w:t>groups,</w:t>
      </w:r>
      <w:r w:rsidR="000159A6">
        <w:t xml:space="preserve"> </w:t>
      </w:r>
      <w:r w:rsidRPr="00316881">
        <w:t>resulting</w:t>
      </w:r>
      <w:r w:rsidR="000159A6">
        <w:t xml:space="preserve"> </w:t>
      </w:r>
      <w:r w:rsidRPr="00316881">
        <w:t>in</w:t>
      </w:r>
      <w:r w:rsidR="000159A6">
        <w:t xml:space="preserve"> </w:t>
      </w:r>
      <w:r w:rsidRPr="00316881">
        <w:t>high</w:t>
      </w:r>
      <w:r w:rsidR="000159A6">
        <w:t xml:space="preserve"> </w:t>
      </w:r>
      <w:r w:rsidRPr="00316881">
        <w:t>vaccine</w:t>
      </w:r>
      <w:r w:rsidR="000159A6">
        <w:t xml:space="preserve"> </w:t>
      </w:r>
      <w:r w:rsidRPr="00316881">
        <w:t>efficacy</w:t>
      </w:r>
      <w:r w:rsidR="000159A6">
        <w:t xml:space="preserve"> </w:t>
      </w:r>
      <w:r w:rsidRPr="00316881">
        <w:t>(VE)</w:t>
      </w:r>
      <w:r w:rsidR="000159A6">
        <w:t xml:space="preserve"> </w:t>
      </w:r>
      <w:r w:rsidRPr="00316881">
        <w:t>in</w:t>
      </w:r>
      <w:r w:rsidR="000159A6">
        <w:t xml:space="preserve"> </w:t>
      </w:r>
      <w:r w:rsidRPr="00316881">
        <w:t>the</w:t>
      </w:r>
      <w:r w:rsidR="000159A6">
        <w:t xml:space="preserve"> </w:t>
      </w:r>
      <w:r w:rsidRPr="00316881">
        <w:t>oldest</w:t>
      </w:r>
      <w:r w:rsidR="000159A6">
        <w:t xml:space="preserve"> </w:t>
      </w:r>
      <w:r w:rsidRPr="00316881">
        <w:t>age</w:t>
      </w:r>
      <w:r w:rsidR="000159A6">
        <w:t xml:space="preserve"> </w:t>
      </w:r>
      <w:r w:rsidRPr="00316881">
        <w:t>group</w:t>
      </w:r>
      <w:r w:rsidR="000159A6">
        <w:t xml:space="preserve"> </w:t>
      </w:r>
      <w:r w:rsidRPr="00316881">
        <w:t>of</w:t>
      </w:r>
      <w:r w:rsidR="000159A6">
        <w:t xml:space="preserve"> </w:t>
      </w:r>
      <w:r w:rsidRPr="00316881">
        <w:t>subject</w:t>
      </w:r>
      <w:r>
        <w:t>s</w:t>
      </w:r>
      <w:r w:rsidR="000159A6">
        <w:t xml:space="preserve"> </w:t>
      </w:r>
      <w:r w:rsidR="0037169B">
        <w:t>≥</w:t>
      </w:r>
      <w:r w:rsidR="000159A6">
        <w:t xml:space="preserve"> </w:t>
      </w:r>
      <w:r>
        <w:t>70</w:t>
      </w:r>
      <w:r w:rsidR="00CD5352">
        <w:t> </w:t>
      </w:r>
      <w:r w:rsidR="0037169B">
        <w:t>years</w:t>
      </w:r>
      <w:r w:rsidR="000159A6">
        <w:t xml:space="preserve"> </w:t>
      </w:r>
      <w:r w:rsidR="0037169B">
        <w:t>of</w:t>
      </w:r>
      <w:r w:rsidR="000159A6">
        <w:t xml:space="preserve"> </w:t>
      </w:r>
      <w:r w:rsidR="0037169B">
        <w:t>age</w:t>
      </w:r>
      <w:r w:rsidR="000159A6">
        <w:t xml:space="preserve"> </w:t>
      </w:r>
      <w:r>
        <w:t>,</w:t>
      </w:r>
      <w:r w:rsidR="000159A6">
        <w:t xml:space="preserve"> </w:t>
      </w:r>
      <w:r>
        <w:t>who</w:t>
      </w:r>
      <w:r w:rsidR="000159A6">
        <w:t xml:space="preserve"> </w:t>
      </w:r>
      <w:r>
        <w:t>are</w:t>
      </w:r>
      <w:r w:rsidR="000159A6">
        <w:t xml:space="preserve"> </w:t>
      </w:r>
      <w:r>
        <w:t>most</w:t>
      </w:r>
      <w:r w:rsidR="000159A6">
        <w:t xml:space="preserve"> </w:t>
      </w:r>
      <w:r>
        <w:t>at</w:t>
      </w:r>
      <w:r w:rsidR="000159A6">
        <w:t xml:space="preserve"> </w:t>
      </w:r>
      <w:r>
        <w:t>risk</w:t>
      </w:r>
      <w:r w:rsidR="000159A6">
        <w:t xml:space="preserve"> </w:t>
      </w:r>
      <w:r w:rsidRPr="00316881">
        <w:t>for</w:t>
      </w:r>
      <w:r w:rsidR="000159A6">
        <w:t xml:space="preserve"> </w:t>
      </w:r>
      <w:r w:rsidRPr="00316881">
        <w:t>acquiring</w:t>
      </w:r>
      <w:r w:rsidR="000159A6">
        <w:t xml:space="preserve"> </w:t>
      </w:r>
      <w:r w:rsidRPr="00316881">
        <w:t>HZ</w:t>
      </w:r>
      <w:r w:rsidR="000159A6">
        <w:t xml:space="preserve"> </w:t>
      </w:r>
      <w:r w:rsidRPr="00316881">
        <w:t>and</w:t>
      </w:r>
      <w:r w:rsidR="000159A6">
        <w:t xml:space="preserve"> </w:t>
      </w:r>
      <w:r w:rsidR="000D0435">
        <w:t>HZ</w:t>
      </w:r>
      <w:r w:rsidR="000159A6">
        <w:t xml:space="preserve"> </w:t>
      </w:r>
      <w:r w:rsidR="000D0435">
        <w:t>related</w:t>
      </w:r>
      <w:r w:rsidR="000159A6">
        <w:t xml:space="preserve"> </w:t>
      </w:r>
      <w:r w:rsidRPr="00316881">
        <w:t>complications</w:t>
      </w:r>
      <w:r w:rsidR="000159A6">
        <w:t xml:space="preserve"> </w:t>
      </w:r>
      <w:r w:rsidRPr="00316881">
        <w:t>such</w:t>
      </w:r>
      <w:r w:rsidR="000159A6">
        <w:t xml:space="preserve"> </w:t>
      </w:r>
      <w:r w:rsidRPr="00316881">
        <w:t>as</w:t>
      </w:r>
      <w:r w:rsidR="000159A6">
        <w:t xml:space="preserve"> </w:t>
      </w:r>
      <w:r w:rsidRPr="00316881">
        <w:t>PHN.</w:t>
      </w:r>
    </w:p>
    <w:p w14:paraId="11D90ADD" w14:textId="3754DA90" w:rsidR="00316881" w:rsidRPr="00316881" w:rsidRDefault="00316881" w:rsidP="00316881">
      <w:r w:rsidRPr="00316881">
        <w:t>The</w:t>
      </w:r>
      <w:r w:rsidR="000159A6">
        <w:t xml:space="preserve"> </w:t>
      </w:r>
      <w:r w:rsidRPr="00316881">
        <w:t>benefit-risk</w:t>
      </w:r>
      <w:r w:rsidR="000159A6">
        <w:t xml:space="preserve"> </w:t>
      </w:r>
      <w:r w:rsidRPr="00316881">
        <w:t>profile</w:t>
      </w:r>
      <w:r w:rsidR="000159A6">
        <w:t xml:space="preserve"> </w:t>
      </w:r>
      <w:r w:rsidRPr="00316881">
        <w:t>of</w:t>
      </w:r>
      <w:r w:rsidR="000159A6">
        <w:t xml:space="preserve"> </w:t>
      </w:r>
      <w:r w:rsidRPr="00316881">
        <w:t>Shingrix</w:t>
      </w:r>
      <w:r w:rsidR="000159A6">
        <w:t xml:space="preserve"> </w:t>
      </w:r>
      <w:r w:rsidRPr="00316881">
        <w:t>is</w:t>
      </w:r>
      <w:r w:rsidR="000159A6">
        <w:t xml:space="preserve"> </w:t>
      </w:r>
      <w:r w:rsidRPr="00316881">
        <w:t>thus</w:t>
      </w:r>
      <w:r w:rsidR="000159A6">
        <w:t xml:space="preserve"> </w:t>
      </w:r>
      <w:r w:rsidRPr="00316881">
        <w:t>favourable</w:t>
      </w:r>
      <w:r w:rsidR="000159A6">
        <w:t xml:space="preserve"> </w:t>
      </w:r>
      <w:r w:rsidRPr="00316881">
        <w:t>in</w:t>
      </w:r>
      <w:r w:rsidR="000159A6">
        <w:t xml:space="preserve"> </w:t>
      </w:r>
      <w:proofErr w:type="gramStart"/>
      <w:r w:rsidRPr="00316881">
        <w:t>adults</w:t>
      </w:r>
      <w:proofErr w:type="gramEnd"/>
      <w:r w:rsidR="000159A6">
        <w:t xml:space="preserve"> </w:t>
      </w:r>
      <w:r w:rsidR="0037169B">
        <w:t>≥</w:t>
      </w:r>
      <w:r w:rsidR="000159A6">
        <w:t xml:space="preserve"> </w:t>
      </w:r>
      <w:r w:rsidRPr="00316881">
        <w:t>50</w:t>
      </w:r>
      <w:r w:rsidR="000159A6">
        <w:t xml:space="preserve"> </w:t>
      </w:r>
      <w:r w:rsidRPr="00316881">
        <w:t>years</w:t>
      </w:r>
      <w:r w:rsidR="000159A6">
        <w:t xml:space="preserve"> </w:t>
      </w:r>
      <w:r w:rsidRPr="00316881">
        <w:t>of</w:t>
      </w:r>
      <w:r w:rsidR="000159A6">
        <w:t xml:space="preserve"> </w:t>
      </w:r>
      <w:r w:rsidRPr="00316881">
        <w:t>age.</w:t>
      </w:r>
    </w:p>
    <w:p w14:paraId="3E9CF542" w14:textId="7FB2C996" w:rsidR="00316881" w:rsidRPr="00316881" w:rsidRDefault="00316881" w:rsidP="00440509">
      <w:r w:rsidRPr="00316881">
        <w:t>GSK</w:t>
      </w:r>
      <w:r w:rsidR="000159A6">
        <w:t xml:space="preserve"> </w:t>
      </w:r>
      <w:r w:rsidRPr="00316881">
        <w:t>believe</w:t>
      </w:r>
      <w:r w:rsidR="000159A6">
        <w:t xml:space="preserve"> </w:t>
      </w:r>
      <w:r w:rsidRPr="00316881">
        <w:t>that</w:t>
      </w:r>
      <w:r w:rsidR="000159A6">
        <w:t xml:space="preserve"> </w:t>
      </w:r>
      <w:r w:rsidRPr="00316881">
        <w:t>the</w:t>
      </w:r>
      <w:r w:rsidR="000159A6">
        <w:t xml:space="preserve"> </w:t>
      </w:r>
      <w:r w:rsidRPr="00316881">
        <w:t>clinical</w:t>
      </w:r>
      <w:r w:rsidR="000159A6">
        <w:t xml:space="preserve"> </w:t>
      </w:r>
      <w:r w:rsidRPr="00316881">
        <w:t>data</w:t>
      </w:r>
      <w:r w:rsidR="000159A6">
        <w:t xml:space="preserve"> </w:t>
      </w:r>
      <w:r w:rsidRPr="00316881">
        <w:t>presented</w:t>
      </w:r>
      <w:r w:rsidR="000159A6">
        <w:t xml:space="preserve"> </w:t>
      </w:r>
      <w:r w:rsidRPr="00316881">
        <w:t>in</w:t>
      </w:r>
      <w:r w:rsidR="000159A6">
        <w:t xml:space="preserve"> </w:t>
      </w:r>
      <w:r w:rsidRPr="00316881">
        <w:t>this</w:t>
      </w:r>
      <w:r w:rsidR="000159A6">
        <w:t xml:space="preserve"> </w:t>
      </w:r>
      <w:r w:rsidRPr="00316881">
        <w:t>application</w:t>
      </w:r>
      <w:r w:rsidR="000159A6">
        <w:t xml:space="preserve"> </w:t>
      </w:r>
      <w:r w:rsidRPr="00316881">
        <w:t>show</w:t>
      </w:r>
      <w:r w:rsidR="000159A6">
        <w:t xml:space="preserve"> </w:t>
      </w:r>
      <w:r>
        <w:t>that</w:t>
      </w:r>
      <w:r w:rsidR="000159A6">
        <w:t xml:space="preserve"> </w:t>
      </w:r>
      <w:r>
        <w:t>Shingrix</w:t>
      </w:r>
      <w:r w:rsidR="000159A6">
        <w:t xml:space="preserve"> </w:t>
      </w:r>
      <w:r>
        <w:t>is</w:t>
      </w:r>
      <w:r w:rsidR="000159A6">
        <w:t xml:space="preserve"> </w:t>
      </w:r>
      <w:r>
        <w:t>a</w:t>
      </w:r>
      <w:r w:rsidR="000159A6">
        <w:t xml:space="preserve"> </w:t>
      </w:r>
      <w:r>
        <w:t>significant</w:t>
      </w:r>
      <w:r w:rsidR="000159A6">
        <w:t xml:space="preserve"> </w:t>
      </w:r>
      <w:r w:rsidRPr="00316881">
        <w:t>advancement</w:t>
      </w:r>
      <w:r w:rsidR="000159A6">
        <w:t xml:space="preserve"> </w:t>
      </w:r>
      <w:r w:rsidRPr="00316881">
        <w:t>on</w:t>
      </w:r>
      <w:r w:rsidR="000159A6">
        <w:t xml:space="preserve"> </w:t>
      </w:r>
      <w:r w:rsidRPr="00316881">
        <w:t>current</w:t>
      </w:r>
      <w:r w:rsidR="000159A6">
        <w:t xml:space="preserve"> </w:t>
      </w:r>
      <w:r w:rsidRPr="00316881">
        <w:t>therapeutic</w:t>
      </w:r>
      <w:r w:rsidR="000159A6">
        <w:t xml:space="preserve"> </w:t>
      </w:r>
      <w:r w:rsidRPr="00316881">
        <w:t>options</w:t>
      </w:r>
      <w:r w:rsidR="000159A6">
        <w:t xml:space="preserve"> </w:t>
      </w:r>
      <w:r w:rsidRPr="00316881">
        <w:t>for</w:t>
      </w:r>
      <w:r w:rsidR="000159A6">
        <w:t xml:space="preserve"> </w:t>
      </w:r>
      <w:r w:rsidRPr="00316881">
        <w:t>HZ</w:t>
      </w:r>
      <w:r w:rsidR="000159A6">
        <w:t xml:space="preserve"> </w:t>
      </w:r>
      <w:r w:rsidRPr="00316881">
        <w:t>and</w:t>
      </w:r>
      <w:r w:rsidR="000159A6">
        <w:t xml:space="preserve"> </w:t>
      </w:r>
      <w:r w:rsidRPr="00316881">
        <w:t>warrants</w:t>
      </w:r>
      <w:r w:rsidR="000159A6">
        <w:t xml:space="preserve"> </w:t>
      </w:r>
      <w:r w:rsidRPr="00316881">
        <w:t>registration.</w:t>
      </w:r>
      <w:r w:rsidR="000159A6">
        <w:t xml:space="preserve"> </w:t>
      </w:r>
      <w:r w:rsidRPr="00316881">
        <w:lastRenderedPageBreak/>
        <w:t>TGA</w:t>
      </w:r>
      <w:r w:rsidR="000159A6">
        <w:t xml:space="preserve"> </w:t>
      </w:r>
      <w:r w:rsidRPr="00316881">
        <w:t>Delegate</w:t>
      </w:r>
      <w:r w:rsidR="000159A6">
        <w:t xml:space="preserve"> </w:t>
      </w:r>
      <w:r w:rsidRPr="00316881">
        <w:t>stated:</w:t>
      </w:r>
      <w:r w:rsidR="000159A6">
        <w:t xml:space="preserve"> </w:t>
      </w:r>
      <w:r w:rsidR="00733CE8">
        <w:t>‘</w:t>
      </w:r>
      <w:r>
        <w:t>While</w:t>
      </w:r>
      <w:r w:rsidR="000159A6">
        <w:t xml:space="preserve"> </w:t>
      </w:r>
      <w:r w:rsidRPr="00316881">
        <w:t>there</w:t>
      </w:r>
      <w:r w:rsidR="000159A6">
        <w:t xml:space="preserve"> </w:t>
      </w:r>
      <w:r w:rsidRPr="00316881">
        <w:t>are</w:t>
      </w:r>
      <w:r w:rsidR="000159A6">
        <w:t xml:space="preserve"> </w:t>
      </w:r>
      <w:r w:rsidRPr="00316881">
        <w:t>no</w:t>
      </w:r>
      <w:r w:rsidR="000159A6">
        <w:t xml:space="preserve"> </w:t>
      </w:r>
      <w:r w:rsidRPr="00316881">
        <w:t>head-to-head</w:t>
      </w:r>
      <w:r w:rsidR="000159A6">
        <w:t xml:space="preserve"> </w:t>
      </w:r>
      <w:r w:rsidRPr="00316881">
        <w:t>comparisons,</w:t>
      </w:r>
      <w:r w:rsidR="000159A6">
        <w:t xml:space="preserve"> </w:t>
      </w:r>
      <w:r w:rsidRPr="00316881">
        <w:t>the</w:t>
      </w:r>
      <w:r w:rsidR="000159A6">
        <w:t xml:space="preserve"> </w:t>
      </w:r>
      <w:r w:rsidRPr="00316881">
        <w:t>efficacy</w:t>
      </w:r>
      <w:r w:rsidR="000159A6">
        <w:t xml:space="preserve"> </w:t>
      </w:r>
      <w:r w:rsidRPr="00316881">
        <w:t>results</w:t>
      </w:r>
      <w:r w:rsidR="000159A6">
        <w:t xml:space="preserve"> </w:t>
      </w:r>
      <w:r w:rsidRPr="00316881">
        <w:t>in</w:t>
      </w:r>
      <w:r w:rsidR="000159A6">
        <w:t xml:space="preserve"> </w:t>
      </w:r>
      <w:r w:rsidRPr="00316881">
        <w:t>this</w:t>
      </w:r>
      <w:r w:rsidR="000159A6">
        <w:t xml:space="preserve"> </w:t>
      </w:r>
      <w:r w:rsidRPr="00316881">
        <w:t>dossier</w:t>
      </w:r>
      <w:r w:rsidR="000159A6">
        <w:t xml:space="preserve"> </w:t>
      </w:r>
      <w:r w:rsidRPr="00316881">
        <w:t>for</w:t>
      </w:r>
      <w:r w:rsidR="000159A6">
        <w:t xml:space="preserve"> </w:t>
      </w:r>
      <w:r w:rsidRPr="00316881">
        <w:t>Shingrix</w:t>
      </w:r>
      <w:r w:rsidR="000159A6">
        <w:t xml:space="preserve"> </w:t>
      </w:r>
      <w:r w:rsidRPr="00316881">
        <w:t>are</w:t>
      </w:r>
      <w:r w:rsidR="000159A6">
        <w:t xml:space="preserve"> </w:t>
      </w:r>
      <w:r w:rsidRPr="00316881">
        <w:t>compelling</w:t>
      </w:r>
      <w:r w:rsidR="00733CE8">
        <w:t>’</w:t>
      </w:r>
      <w:r w:rsidRPr="00316881">
        <w:t>.</w:t>
      </w:r>
    </w:p>
    <w:p w14:paraId="422D9F07" w14:textId="7C7E1D86" w:rsidR="00316881" w:rsidRPr="00085361" w:rsidRDefault="00316881" w:rsidP="00440509">
      <w:pPr>
        <w:pStyle w:val="Heading5"/>
        <w:rPr>
          <w:rFonts w:eastAsiaTheme="minorHAnsi"/>
        </w:rPr>
      </w:pPr>
      <w:r w:rsidRPr="00085361">
        <w:rPr>
          <w:rFonts w:eastAsiaTheme="minorHAnsi"/>
        </w:rPr>
        <w:t>Specific</w:t>
      </w:r>
      <w:r w:rsidR="000159A6" w:rsidRPr="00085361">
        <w:rPr>
          <w:rFonts w:eastAsiaTheme="minorHAnsi"/>
        </w:rPr>
        <w:t xml:space="preserve"> </w:t>
      </w:r>
      <w:r w:rsidR="00440509">
        <w:rPr>
          <w:rFonts w:eastAsiaTheme="minorHAnsi"/>
        </w:rPr>
        <w:t>q</w:t>
      </w:r>
      <w:r w:rsidRPr="00085361">
        <w:rPr>
          <w:rFonts w:eastAsiaTheme="minorHAnsi"/>
        </w:rPr>
        <w:t>uestions</w:t>
      </w:r>
      <w:r w:rsidR="000159A6" w:rsidRPr="00085361">
        <w:rPr>
          <w:rFonts w:eastAsiaTheme="minorHAnsi"/>
        </w:rPr>
        <w:t xml:space="preserve"> </w:t>
      </w:r>
      <w:r w:rsidR="00440509" w:rsidRPr="00440509">
        <w:rPr>
          <w:rFonts w:eastAsiaTheme="minorHAnsi"/>
        </w:rPr>
        <w:t>r</w:t>
      </w:r>
      <w:r w:rsidRPr="00440509">
        <w:rPr>
          <w:rFonts w:eastAsiaTheme="minorHAnsi"/>
        </w:rPr>
        <w:t>aised</w:t>
      </w:r>
      <w:r w:rsidR="000159A6" w:rsidRPr="00085361">
        <w:rPr>
          <w:rFonts w:eastAsiaTheme="minorHAnsi"/>
        </w:rPr>
        <w:t xml:space="preserve"> </w:t>
      </w:r>
      <w:r w:rsidRPr="00085361">
        <w:rPr>
          <w:rFonts w:eastAsiaTheme="minorHAnsi"/>
        </w:rPr>
        <w:t>by</w:t>
      </w:r>
      <w:r w:rsidR="000159A6" w:rsidRPr="00085361">
        <w:rPr>
          <w:rFonts w:eastAsiaTheme="minorHAnsi"/>
        </w:rPr>
        <w:t xml:space="preserve"> </w:t>
      </w:r>
      <w:r w:rsidRPr="00085361">
        <w:rPr>
          <w:rFonts w:eastAsiaTheme="minorHAnsi"/>
        </w:rPr>
        <w:t>the</w:t>
      </w:r>
      <w:r w:rsidR="000159A6" w:rsidRPr="00085361">
        <w:rPr>
          <w:rFonts w:eastAsiaTheme="minorHAnsi"/>
        </w:rPr>
        <w:t xml:space="preserve"> </w:t>
      </w:r>
      <w:r w:rsidRPr="00085361">
        <w:rPr>
          <w:rFonts w:eastAsiaTheme="minorHAnsi"/>
        </w:rPr>
        <w:t>TGA</w:t>
      </w:r>
      <w:r w:rsidR="000159A6" w:rsidRPr="00085361">
        <w:rPr>
          <w:rFonts w:eastAsiaTheme="minorHAnsi"/>
        </w:rPr>
        <w:t xml:space="preserve"> </w:t>
      </w:r>
      <w:r w:rsidRPr="00085361">
        <w:rPr>
          <w:rFonts w:eastAsiaTheme="minorHAnsi"/>
        </w:rPr>
        <w:t>Delegate</w:t>
      </w:r>
      <w:r w:rsidR="000159A6" w:rsidRPr="00085361">
        <w:rPr>
          <w:rFonts w:eastAsiaTheme="minorHAnsi"/>
        </w:rPr>
        <w:t xml:space="preserve"> </w:t>
      </w:r>
      <w:r w:rsidRPr="00085361">
        <w:rPr>
          <w:rFonts w:eastAsiaTheme="minorHAnsi"/>
        </w:rPr>
        <w:t>for</w:t>
      </w:r>
      <w:r w:rsidR="000159A6" w:rsidRPr="00085361">
        <w:rPr>
          <w:rFonts w:eastAsiaTheme="minorHAnsi"/>
        </w:rPr>
        <w:t xml:space="preserve"> </w:t>
      </w:r>
      <w:r w:rsidRPr="00085361">
        <w:rPr>
          <w:rFonts w:eastAsiaTheme="minorHAnsi"/>
        </w:rPr>
        <w:t>the</w:t>
      </w:r>
      <w:r w:rsidR="000159A6" w:rsidRPr="00085361">
        <w:rPr>
          <w:rFonts w:eastAsiaTheme="minorHAnsi"/>
        </w:rPr>
        <w:t xml:space="preserve"> </w:t>
      </w:r>
      <w:r w:rsidRPr="00085361">
        <w:rPr>
          <w:rFonts w:eastAsiaTheme="minorHAnsi"/>
        </w:rPr>
        <w:t>ACV’s</w:t>
      </w:r>
      <w:r w:rsidR="000159A6" w:rsidRPr="00085361">
        <w:rPr>
          <w:rFonts w:eastAsiaTheme="minorHAnsi"/>
        </w:rPr>
        <w:t xml:space="preserve"> </w:t>
      </w:r>
      <w:r w:rsidRPr="00085361">
        <w:rPr>
          <w:rFonts w:eastAsiaTheme="minorHAnsi"/>
        </w:rPr>
        <w:t>advice</w:t>
      </w:r>
    </w:p>
    <w:p w14:paraId="2DFB4BAD" w14:textId="0CD4443C" w:rsidR="00F27E9A" w:rsidRPr="00085361" w:rsidRDefault="00F27E9A" w:rsidP="00085361">
      <w:pPr>
        <w:pStyle w:val="Numberbullet0"/>
        <w:numPr>
          <w:ilvl w:val="0"/>
          <w:numId w:val="35"/>
        </w:numPr>
        <w:rPr>
          <w:i/>
        </w:rPr>
      </w:pPr>
      <w:r w:rsidRPr="00085361">
        <w:rPr>
          <w:i/>
        </w:rPr>
        <w:t>Does</w:t>
      </w:r>
      <w:r w:rsidR="000159A6" w:rsidRPr="00085361">
        <w:rPr>
          <w:i/>
        </w:rPr>
        <w:t xml:space="preserve"> </w:t>
      </w:r>
      <w:r w:rsidRPr="00085361">
        <w:rPr>
          <w:i/>
        </w:rPr>
        <w:t>the</w:t>
      </w:r>
      <w:r w:rsidR="000159A6" w:rsidRPr="00085361">
        <w:rPr>
          <w:i/>
        </w:rPr>
        <w:t xml:space="preserve"> </w:t>
      </w:r>
      <w:r w:rsidRPr="00085361">
        <w:rPr>
          <w:i/>
        </w:rPr>
        <w:t>ACV</w:t>
      </w:r>
      <w:r w:rsidR="000159A6" w:rsidRPr="00085361">
        <w:rPr>
          <w:i/>
        </w:rPr>
        <w:t xml:space="preserve"> </w:t>
      </w:r>
      <w:r w:rsidRPr="00085361">
        <w:rPr>
          <w:i/>
        </w:rPr>
        <w:t>consider</w:t>
      </w:r>
      <w:r w:rsidR="000159A6" w:rsidRPr="00085361">
        <w:rPr>
          <w:i/>
        </w:rPr>
        <w:t xml:space="preserve"> </w:t>
      </w:r>
      <w:r w:rsidRPr="00085361">
        <w:rPr>
          <w:i/>
        </w:rPr>
        <w:t>that</w:t>
      </w:r>
      <w:r w:rsidR="000159A6" w:rsidRPr="00085361">
        <w:rPr>
          <w:i/>
        </w:rPr>
        <w:t xml:space="preserve"> </w:t>
      </w:r>
      <w:r w:rsidRPr="00085361">
        <w:rPr>
          <w:i/>
        </w:rPr>
        <w:t>the</w:t>
      </w:r>
      <w:r w:rsidR="000159A6" w:rsidRPr="00085361">
        <w:rPr>
          <w:i/>
        </w:rPr>
        <w:t xml:space="preserve"> </w:t>
      </w:r>
      <w:r w:rsidRPr="00085361">
        <w:rPr>
          <w:i/>
        </w:rPr>
        <w:t>benefits</w:t>
      </w:r>
      <w:r w:rsidR="000159A6" w:rsidRPr="00085361">
        <w:rPr>
          <w:i/>
        </w:rPr>
        <w:t xml:space="preserve"> </w:t>
      </w:r>
      <w:r w:rsidRPr="00085361">
        <w:rPr>
          <w:i/>
        </w:rPr>
        <w:t>of</w:t>
      </w:r>
      <w:r w:rsidR="000159A6" w:rsidRPr="00085361">
        <w:rPr>
          <w:i/>
        </w:rPr>
        <w:t xml:space="preserve"> </w:t>
      </w:r>
      <w:r w:rsidR="00FF12AA" w:rsidRPr="00085361">
        <w:rPr>
          <w:i/>
        </w:rPr>
        <w:t>Shingrix</w:t>
      </w:r>
      <w:r w:rsidR="000159A6" w:rsidRPr="00085361">
        <w:rPr>
          <w:i/>
        </w:rPr>
        <w:t xml:space="preserve"> </w:t>
      </w:r>
      <w:r w:rsidRPr="00085361">
        <w:rPr>
          <w:i/>
        </w:rPr>
        <w:t>in</w:t>
      </w:r>
      <w:r w:rsidR="000159A6" w:rsidRPr="00085361">
        <w:rPr>
          <w:i/>
        </w:rPr>
        <w:t xml:space="preserve"> </w:t>
      </w:r>
      <w:r w:rsidRPr="00085361">
        <w:rPr>
          <w:i/>
        </w:rPr>
        <w:t>the</w:t>
      </w:r>
      <w:r w:rsidR="000159A6" w:rsidRPr="00085361">
        <w:rPr>
          <w:i/>
        </w:rPr>
        <w:t xml:space="preserve"> </w:t>
      </w:r>
      <w:r w:rsidRPr="00085361">
        <w:rPr>
          <w:i/>
        </w:rPr>
        <w:t>prevention</w:t>
      </w:r>
      <w:r w:rsidR="000159A6" w:rsidRPr="00085361">
        <w:rPr>
          <w:i/>
        </w:rPr>
        <w:t xml:space="preserve"> </w:t>
      </w:r>
      <w:r w:rsidRPr="00085361">
        <w:rPr>
          <w:i/>
        </w:rPr>
        <w:t>of</w:t>
      </w:r>
      <w:r w:rsidR="000159A6" w:rsidRPr="00085361">
        <w:rPr>
          <w:i/>
        </w:rPr>
        <w:t xml:space="preserve"> </w:t>
      </w:r>
      <w:r w:rsidRPr="00085361">
        <w:rPr>
          <w:i/>
        </w:rPr>
        <w:t>PHN</w:t>
      </w:r>
      <w:r w:rsidR="000159A6" w:rsidRPr="00085361">
        <w:rPr>
          <w:i/>
        </w:rPr>
        <w:t xml:space="preserve"> </w:t>
      </w:r>
      <w:r w:rsidRPr="00085361">
        <w:rPr>
          <w:i/>
        </w:rPr>
        <w:t>are</w:t>
      </w:r>
      <w:r w:rsidR="000159A6" w:rsidRPr="00085361">
        <w:rPr>
          <w:i/>
        </w:rPr>
        <w:t xml:space="preserve"> </w:t>
      </w:r>
      <w:r w:rsidRPr="00085361">
        <w:rPr>
          <w:i/>
        </w:rPr>
        <w:t>attributed</w:t>
      </w:r>
      <w:r w:rsidR="000159A6" w:rsidRPr="00085361">
        <w:rPr>
          <w:i/>
        </w:rPr>
        <w:t xml:space="preserve"> </w:t>
      </w:r>
      <w:r w:rsidRPr="00085361">
        <w:rPr>
          <w:i/>
        </w:rPr>
        <w:t>to</w:t>
      </w:r>
      <w:r w:rsidR="000159A6" w:rsidRPr="00085361">
        <w:rPr>
          <w:i/>
        </w:rPr>
        <w:t xml:space="preserve"> </w:t>
      </w:r>
      <w:r w:rsidRPr="00085361">
        <w:rPr>
          <w:i/>
        </w:rPr>
        <w:t>the</w:t>
      </w:r>
      <w:r w:rsidR="000159A6" w:rsidRPr="00085361">
        <w:rPr>
          <w:i/>
        </w:rPr>
        <w:t xml:space="preserve"> </w:t>
      </w:r>
      <w:r w:rsidRPr="00085361">
        <w:rPr>
          <w:i/>
        </w:rPr>
        <w:t>efficacy</w:t>
      </w:r>
      <w:r w:rsidR="000159A6" w:rsidRPr="00085361">
        <w:rPr>
          <w:i/>
        </w:rPr>
        <w:t xml:space="preserve"> </w:t>
      </w:r>
      <w:r w:rsidRPr="00085361">
        <w:rPr>
          <w:i/>
        </w:rPr>
        <w:t>of</w:t>
      </w:r>
      <w:r w:rsidR="000159A6" w:rsidRPr="00085361">
        <w:rPr>
          <w:i/>
        </w:rPr>
        <w:t xml:space="preserve"> </w:t>
      </w:r>
      <w:r w:rsidRPr="00085361">
        <w:rPr>
          <w:i/>
        </w:rPr>
        <w:t>the</w:t>
      </w:r>
      <w:r w:rsidR="000159A6" w:rsidRPr="00085361">
        <w:rPr>
          <w:i/>
        </w:rPr>
        <w:t xml:space="preserve"> </w:t>
      </w:r>
      <w:r w:rsidRPr="00085361">
        <w:rPr>
          <w:i/>
        </w:rPr>
        <w:t>vaccine</w:t>
      </w:r>
      <w:r w:rsidR="000159A6" w:rsidRPr="00085361">
        <w:rPr>
          <w:i/>
        </w:rPr>
        <w:t xml:space="preserve"> </w:t>
      </w:r>
      <w:r w:rsidRPr="00085361">
        <w:rPr>
          <w:i/>
        </w:rPr>
        <w:t>on</w:t>
      </w:r>
      <w:r w:rsidR="000159A6" w:rsidRPr="00085361">
        <w:rPr>
          <w:i/>
        </w:rPr>
        <w:t xml:space="preserve"> </w:t>
      </w:r>
      <w:r w:rsidRPr="00085361">
        <w:rPr>
          <w:i/>
        </w:rPr>
        <w:t>the</w:t>
      </w:r>
      <w:r w:rsidR="000159A6" w:rsidRPr="00085361">
        <w:rPr>
          <w:i/>
        </w:rPr>
        <w:t xml:space="preserve"> </w:t>
      </w:r>
      <w:r w:rsidRPr="00085361">
        <w:rPr>
          <w:i/>
        </w:rPr>
        <w:t>prevention</w:t>
      </w:r>
      <w:r w:rsidR="000159A6" w:rsidRPr="00085361">
        <w:rPr>
          <w:i/>
        </w:rPr>
        <w:t xml:space="preserve"> </w:t>
      </w:r>
      <w:r w:rsidRPr="00085361">
        <w:rPr>
          <w:i/>
        </w:rPr>
        <w:t>of</w:t>
      </w:r>
      <w:r w:rsidR="000159A6" w:rsidRPr="00085361">
        <w:rPr>
          <w:i/>
        </w:rPr>
        <w:t xml:space="preserve"> </w:t>
      </w:r>
      <w:r w:rsidRPr="00085361">
        <w:rPr>
          <w:i/>
        </w:rPr>
        <w:t>HZ,</w:t>
      </w:r>
      <w:r w:rsidR="000159A6" w:rsidRPr="00085361">
        <w:rPr>
          <w:i/>
        </w:rPr>
        <w:t xml:space="preserve"> </w:t>
      </w:r>
      <w:r w:rsidRPr="00085361">
        <w:rPr>
          <w:i/>
        </w:rPr>
        <w:t>as</w:t>
      </w:r>
      <w:r w:rsidR="000159A6" w:rsidRPr="00085361">
        <w:rPr>
          <w:i/>
        </w:rPr>
        <w:t xml:space="preserve"> </w:t>
      </w:r>
      <w:r w:rsidRPr="00085361">
        <w:rPr>
          <w:i/>
        </w:rPr>
        <w:t>the</w:t>
      </w:r>
      <w:r w:rsidR="000159A6" w:rsidRPr="00085361">
        <w:rPr>
          <w:i/>
        </w:rPr>
        <w:t xml:space="preserve"> </w:t>
      </w:r>
      <w:r w:rsidRPr="00085361">
        <w:rPr>
          <w:i/>
        </w:rPr>
        <w:t>efficacy</w:t>
      </w:r>
      <w:r w:rsidR="000159A6" w:rsidRPr="00085361">
        <w:rPr>
          <w:i/>
        </w:rPr>
        <w:t xml:space="preserve"> </w:t>
      </w:r>
      <w:r w:rsidRPr="00085361">
        <w:rPr>
          <w:i/>
        </w:rPr>
        <w:t>of</w:t>
      </w:r>
      <w:r w:rsidR="000159A6" w:rsidRPr="00085361">
        <w:rPr>
          <w:i/>
        </w:rPr>
        <w:t xml:space="preserve"> </w:t>
      </w:r>
      <w:r w:rsidR="00FF12AA" w:rsidRPr="00085361">
        <w:rPr>
          <w:i/>
        </w:rPr>
        <w:t>Shingrix</w:t>
      </w:r>
      <w:r w:rsidR="000159A6" w:rsidRPr="00085361">
        <w:rPr>
          <w:i/>
        </w:rPr>
        <w:t xml:space="preserve"> </w:t>
      </w:r>
      <w:r w:rsidRPr="00085361">
        <w:rPr>
          <w:i/>
        </w:rPr>
        <w:t>in</w:t>
      </w:r>
      <w:r w:rsidR="000159A6" w:rsidRPr="00085361">
        <w:rPr>
          <w:i/>
        </w:rPr>
        <w:t xml:space="preserve"> </w:t>
      </w:r>
      <w:r w:rsidRPr="00085361">
        <w:rPr>
          <w:i/>
        </w:rPr>
        <w:t>prevention</w:t>
      </w:r>
      <w:r w:rsidR="000159A6" w:rsidRPr="00085361">
        <w:rPr>
          <w:i/>
        </w:rPr>
        <w:t xml:space="preserve"> </w:t>
      </w:r>
      <w:r w:rsidRPr="00085361">
        <w:rPr>
          <w:i/>
        </w:rPr>
        <w:t>of</w:t>
      </w:r>
      <w:r w:rsidR="000159A6" w:rsidRPr="00085361">
        <w:rPr>
          <w:i/>
        </w:rPr>
        <w:t xml:space="preserve"> </w:t>
      </w:r>
      <w:r w:rsidRPr="00085361">
        <w:rPr>
          <w:i/>
        </w:rPr>
        <w:t>PHN</w:t>
      </w:r>
      <w:r w:rsidR="000159A6" w:rsidRPr="00085361">
        <w:rPr>
          <w:i/>
        </w:rPr>
        <w:t xml:space="preserve"> </w:t>
      </w:r>
      <w:r w:rsidRPr="00085361">
        <w:rPr>
          <w:i/>
        </w:rPr>
        <w:t>in</w:t>
      </w:r>
      <w:r w:rsidR="000159A6" w:rsidRPr="00085361">
        <w:rPr>
          <w:i/>
        </w:rPr>
        <w:t xml:space="preserve"> </w:t>
      </w:r>
      <w:r w:rsidRPr="00085361">
        <w:rPr>
          <w:i/>
        </w:rPr>
        <w:t>subjects</w:t>
      </w:r>
      <w:r w:rsidR="000159A6" w:rsidRPr="00085361">
        <w:rPr>
          <w:i/>
        </w:rPr>
        <w:t xml:space="preserve"> </w:t>
      </w:r>
      <w:r w:rsidRPr="00085361">
        <w:rPr>
          <w:i/>
        </w:rPr>
        <w:t>with</w:t>
      </w:r>
      <w:r w:rsidR="000159A6" w:rsidRPr="00085361">
        <w:rPr>
          <w:i/>
        </w:rPr>
        <w:t xml:space="preserve"> </w:t>
      </w:r>
      <w:r w:rsidRPr="00085361">
        <w:rPr>
          <w:i/>
        </w:rPr>
        <w:t>confirmed</w:t>
      </w:r>
      <w:r w:rsidR="000159A6" w:rsidRPr="00085361">
        <w:rPr>
          <w:i/>
        </w:rPr>
        <w:t xml:space="preserve"> </w:t>
      </w:r>
      <w:r w:rsidRPr="00085361">
        <w:rPr>
          <w:i/>
        </w:rPr>
        <w:t>HZ</w:t>
      </w:r>
      <w:r w:rsidR="000159A6" w:rsidRPr="00085361">
        <w:rPr>
          <w:i/>
        </w:rPr>
        <w:t xml:space="preserve"> </w:t>
      </w:r>
      <w:r w:rsidRPr="00085361">
        <w:rPr>
          <w:i/>
        </w:rPr>
        <w:t>could</w:t>
      </w:r>
      <w:r w:rsidR="000159A6" w:rsidRPr="00085361">
        <w:rPr>
          <w:i/>
        </w:rPr>
        <w:t xml:space="preserve"> </w:t>
      </w:r>
      <w:r w:rsidRPr="00085361">
        <w:rPr>
          <w:i/>
        </w:rPr>
        <w:t>not</w:t>
      </w:r>
      <w:r w:rsidR="000159A6" w:rsidRPr="00085361">
        <w:rPr>
          <w:i/>
        </w:rPr>
        <w:t xml:space="preserve"> </w:t>
      </w:r>
      <w:r w:rsidRPr="00085361">
        <w:rPr>
          <w:i/>
        </w:rPr>
        <w:t>be</w:t>
      </w:r>
      <w:r w:rsidR="000159A6" w:rsidRPr="00085361">
        <w:rPr>
          <w:i/>
        </w:rPr>
        <w:t xml:space="preserve"> </w:t>
      </w:r>
      <w:r w:rsidRPr="00085361">
        <w:rPr>
          <w:i/>
        </w:rPr>
        <w:t>confirmed?</w:t>
      </w:r>
    </w:p>
    <w:p w14:paraId="66145E25" w14:textId="061340DF" w:rsidR="00316881" w:rsidRPr="00316881" w:rsidRDefault="00316881" w:rsidP="00440509">
      <w:r w:rsidRPr="00316881">
        <w:t>The</w:t>
      </w:r>
      <w:r w:rsidR="000159A6">
        <w:t xml:space="preserve"> </w:t>
      </w:r>
      <w:r w:rsidRPr="00316881">
        <w:t>Shingrix</w:t>
      </w:r>
      <w:r w:rsidR="000159A6">
        <w:t xml:space="preserve"> </w:t>
      </w:r>
      <w:r w:rsidRPr="00316881">
        <w:t>Phase</w:t>
      </w:r>
      <w:r w:rsidR="000159A6">
        <w:t xml:space="preserve"> </w:t>
      </w:r>
      <w:r w:rsidRPr="00316881">
        <w:t>III</w:t>
      </w:r>
      <w:r w:rsidR="000159A6">
        <w:t xml:space="preserve"> </w:t>
      </w:r>
      <w:r w:rsidRPr="00316881">
        <w:t>clinical</w:t>
      </w:r>
      <w:r w:rsidR="000159A6">
        <w:t xml:space="preserve"> </w:t>
      </w:r>
      <w:r w:rsidRPr="00316881">
        <w:t>program,</w:t>
      </w:r>
      <w:r w:rsidR="000159A6">
        <w:t xml:space="preserve"> </w:t>
      </w:r>
      <w:r w:rsidRPr="00316881">
        <w:t>which</w:t>
      </w:r>
      <w:r w:rsidR="000159A6">
        <w:t xml:space="preserve"> </w:t>
      </w:r>
      <w:r w:rsidRPr="00316881">
        <w:t>measured</w:t>
      </w:r>
      <w:r w:rsidR="000159A6">
        <w:t xml:space="preserve"> </w:t>
      </w:r>
      <w:r w:rsidRPr="00316881">
        <w:t>VE</w:t>
      </w:r>
      <w:r w:rsidR="000159A6">
        <w:t xml:space="preserve"> </w:t>
      </w:r>
      <w:r w:rsidRPr="00316881">
        <w:t>on</w:t>
      </w:r>
      <w:r w:rsidR="000159A6">
        <w:t xml:space="preserve"> </w:t>
      </w:r>
      <w:r w:rsidRPr="00316881">
        <w:t>PHN,</w:t>
      </w:r>
      <w:r w:rsidR="000159A6">
        <w:t xml:space="preserve"> </w:t>
      </w:r>
      <w:r w:rsidRPr="00316881">
        <w:t>c</w:t>
      </w:r>
      <w:r w:rsidR="00F27E9A">
        <w:t>onsidered</w:t>
      </w:r>
      <w:r w:rsidR="000159A6">
        <w:t xml:space="preserve"> </w:t>
      </w:r>
      <w:r w:rsidR="00F27E9A">
        <w:t>both</w:t>
      </w:r>
      <w:r w:rsidR="000159A6">
        <w:t xml:space="preserve"> </w:t>
      </w:r>
      <w:r w:rsidR="00F27E9A">
        <w:t>the</w:t>
      </w:r>
      <w:r w:rsidR="000159A6">
        <w:t xml:space="preserve"> </w:t>
      </w:r>
      <w:r w:rsidR="00F27E9A">
        <w:t>reduction</w:t>
      </w:r>
      <w:r w:rsidR="000159A6">
        <w:t xml:space="preserve"> </w:t>
      </w:r>
      <w:r w:rsidR="00F27E9A">
        <w:t>of</w:t>
      </w:r>
      <w:r w:rsidR="000159A6">
        <w:t xml:space="preserve"> </w:t>
      </w:r>
      <w:r w:rsidRPr="00316881">
        <w:t>PHN</w:t>
      </w:r>
      <w:r w:rsidR="000159A6">
        <w:t xml:space="preserve"> </w:t>
      </w:r>
      <w:r w:rsidRPr="00316881">
        <w:t>incidence</w:t>
      </w:r>
      <w:r w:rsidR="000159A6">
        <w:t xml:space="preserve"> </w:t>
      </w:r>
      <w:r w:rsidRPr="00316881">
        <w:t>as</w:t>
      </w:r>
      <w:r w:rsidR="000159A6">
        <w:t xml:space="preserve"> </w:t>
      </w:r>
      <w:r w:rsidRPr="00316881">
        <w:t>a</w:t>
      </w:r>
      <w:r w:rsidR="000159A6">
        <w:t xml:space="preserve"> </w:t>
      </w:r>
      <w:r w:rsidRPr="00316881">
        <w:t>direct</w:t>
      </w:r>
      <w:r w:rsidR="000159A6">
        <w:t xml:space="preserve"> </w:t>
      </w:r>
      <w:r w:rsidRPr="00316881">
        <w:t>consequence</w:t>
      </w:r>
      <w:r w:rsidR="000159A6">
        <w:t xml:space="preserve"> </w:t>
      </w:r>
      <w:r w:rsidRPr="00316881">
        <w:t>of</w:t>
      </w:r>
      <w:r w:rsidR="000159A6">
        <w:t xml:space="preserve"> </w:t>
      </w:r>
      <w:r w:rsidRPr="00316881">
        <w:t>HZ</w:t>
      </w:r>
      <w:r w:rsidR="000159A6">
        <w:t xml:space="preserve"> </w:t>
      </w:r>
      <w:r w:rsidRPr="00316881">
        <w:t>prevention</w:t>
      </w:r>
      <w:r w:rsidR="000159A6">
        <w:t xml:space="preserve"> </w:t>
      </w:r>
      <w:r w:rsidRPr="00316881">
        <w:t>and</w:t>
      </w:r>
      <w:r w:rsidR="000159A6">
        <w:t xml:space="preserve"> </w:t>
      </w:r>
      <w:r w:rsidRPr="00316881">
        <w:t>the</w:t>
      </w:r>
      <w:r w:rsidR="000159A6">
        <w:t xml:space="preserve"> </w:t>
      </w:r>
      <w:r w:rsidRPr="00316881">
        <w:t>additional</w:t>
      </w:r>
      <w:r w:rsidR="000159A6">
        <w:t xml:space="preserve"> </w:t>
      </w:r>
      <w:r w:rsidRPr="00316881">
        <w:t>impact</w:t>
      </w:r>
      <w:r w:rsidR="000159A6">
        <w:t xml:space="preserve"> </w:t>
      </w:r>
      <w:r w:rsidRPr="00316881">
        <w:t>in</w:t>
      </w:r>
      <w:r w:rsidR="000159A6">
        <w:t xml:space="preserve"> </w:t>
      </w:r>
      <w:r w:rsidRPr="00316881">
        <w:t>reducing</w:t>
      </w:r>
      <w:r w:rsidR="000159A6">
        <w:t xml:space="preserve"> </w:t>
      </w:r>
      <w:r w:rsidRPr="00316881">
        <w:t>PHN</w:t>
      </w:r>
      <w:r w:rsidR="000159A6">
        <w:t xml:space="preserve"> </w:t>
      </w:r>
      <w:r w:rsidRPr="00316881">
        <w:t>in</w:t>
      </w:r>
      <w:r w:rsidR="000159A6">
        <w:t xml:space="preserve"> </w:t>
      </w:r>
      <w:r w:rsidRPr="00316881">
        <w:t>the</w:t>
      </w:r>
      <w:r w:rsidR="000159A6">
        <w:t xml:space="preserve"> </w:t>
      </w:r>
      <w:r w:rsidRPr="00316881">
        <w:t>subset</w:t>
      </w:r>
      <w:r w:rsidR="000159A6">
        <w:t xml:space="preserve"> </w:t>
      </w:r>
      <w:r w:rsidRPr="00316881">
        <w:t>of</w:t>
      </w:r>
      <w:r w:rsidR="000159A6">
        <w:t xml:space="preserve"> </w:t>
      </w:r>
      <w:r w:rsidRPr="00316881">
        <w:t>vaccinated</w:t>
      </w:r>
      <w:r w:rsidR="000159A6">
        <w:t xml:space="preserve"> </w:t>
      </w:r>
      <w:r w:rsidRPr="00316881">
        <w:t>individuals</w:t>
      </w:r>
      <w:r w:rsidR="000159A6">
        <w:t xml:space="preserve"> </w:t>
      </w:r>
      <w:r w:rsidRPr="00316881">
        <w:t>who</w:t>
      </w:r>
      <w:r w:rsidR="000159A6">
        <w:t xml:space="preserve"> </w:t>
      </w:r>
      <w:r w:rsidRPr="00316881">
        <w:t>may</w:t>
      </w:r>
      <w:r w:rsidR="000159A6">
        <w:t xml:space="preserve"> </w:t>
      </w:r>
      <w:r w:rsidRPr="00316881">
        <w:t>not</w:t>
      </w:r>
      <w:r w:rsidR="000159A6">
        <w:t xml:space="preserve"> </w:t>
      </w:r>
      <w:r w:rsidR="00733CE8">
        <w:t>be</w:t>
      </w:r>
      <w:r w:rsidR="000159A6">
        <w:t xml:space="preserve"> </w:t>
      </w:r>
      <w:r w:rsidR="00733CE8">
        <w:t>protected</w:t>
      </w:r>
      <w:r w:rsidR="000159A6">
        <w:t xml:space="preserve"> </w:t>
      </w:r>
      <w:r w:rsidR="00733CE8">
        <w:t>and</w:t>
      </w:r>
      <w:r w:rsidR="000159A6">
        <w:t xml:space="preserve"> </w:t>
      </w:r>
      <w:r w:rsidR="00733CE8">
        <w:t>may</w:t>
      </w:r>
      <w:r w:rsidR="000159A6">
        <w:t xml:space="preserve"> </w:t>
      </w:r>
      <w:r w:rsidR="00733CE8">
        <w:t>develop</w:t>
      </w:r>
      <w:r w:rsidR="000159A6">
        <w:t xml:space="preserve"> </w:t>
      </w:r>
      <w:r w:rsidR="00733CE8">
        <w:t>HZ;</w:t>
      </w:r>
      <w:r w:rsidR="000159A6">
        <w:t xml:space="preserve"> </w:t>
      </w:r>
      <w:r w:rsidR="000E6841">
        <w:t>that</w:t>
      </w:r>
      <w:r w:rsidR="000159A6">
        <w:t xml:space="preserve"> </w:t>
      </w:r>
      <w:r w:rsidR="000E6841">
        <w:t>is</w:t>
      </w:r>
      <w:r w:rsidR="000159A6">
        <w:t xml:space="preserve"> </w:t>
      </w:r>
      <w:r w:rsidRPr="00316881">
        <w:t>breakthrough</w:t>
      </w:r>
      <w:r w:rsidR="000159A6">
        <w:t xml:space="preserve"> </w:t>
      </w:r>
      <w:r w:rsidRPr="00316881">
        <w:t>cases</w:t>
      </w:r>
      <w:r w:rsidR="000159A6">
        <w:t xml:space="preserve"> </w:t>
      </w:r>
      <w:r w:rsidRPr="00316881">
        <w:t>of</w:t>
      </w:r>
      <w:r w:rsidR="000159A6">
        <w:t xml:space="preserve"> </w:t>
      </w:r>
      <w:r w:rsidRPr="00316881">
        <w:t>HZ.</w:t>
      </w:r>
    </w:p>
    <w:p w14:paraId="01825F48" w14:textId="7362299F" w:rsidR="00316881" w:rsidRPr="00316881" w:rsidRDefault="00316881" w:rsidP="00440509">
      <w:r w:rsidRPr="00316881">
        <w:t>Efficacy</w:t>
      </w:r>
      <w:r w:rsidR="000159A6">
        <w:t xml:space="preserve"> </w:t>
      </w:r>
      <w:r w:rsidRPr="00316881">
        <w:t>against</w:t>
      </w:r>
      <w:r w:rsidR="000159A6">
        <w:t xml:space="preserve"> </w:t>
      </w:r>
      <w:r w:rsidRPr="00316881">
        <w:t>HZ</w:t>
      </w:r>
      <w:r w:rsidR="000159A6">
        <w:t xml:space="preserve"> </w:t>
      </w:r>
      <w:r w:rsidRPr="00316881">
        <w:t>following</w:t>
      </w:r>
      <w:r w:rsidR="000159A6">
        <w:t xml:space="preserve"> </w:t>
      </w:r>
      <w:r w:rsidRPr="00316881">
        <w:t>vaccination</w:t>
      </w:r>
      <w:r w:rsidR="000159A6">
        <w:t xml:space="preserve"> </w:t>
      </w:r>
      <w:r w:rsidRPr="00316881">
        <w:t>with</w:t>
      </w:r>
      <w:r w:rsidR="000159A6">
        <w:t xml:space="preserve"> </w:t>
      </w:r>
      <w:r w:rsidRPr="00316881">
        <w:t>HZ/</w:t>
      </w:r>
      <w:proofErr w:type="spellStart"/>
      <w:r w:rsidRPr="00316881">
        <w:t>su</w:t>
      </w:r>
      <w:proofErr w:type="spellEnd"/>
      <w:r w:rsidR="000159A6">
        <w:t xml:space="preserve"> </w:t>
      </w:r>
      <w:r w:rsidRPr="00316881">
        <w:t>was</w:t>
      </w:r>
      <w:r w:rsidR="000159A6">
        <w:t xml:space="preserve"> </w:t>
      </w:r>
      <w:r w:rsidRPr="00316881">
        <w:t>the</w:t>
      </w:r>
      <w:r w:rsidR="000159A6">
        <w:t xml:space="preserve"> </w:t>
      </w:r>
      <w:r w:rsidRPr="00316881">
        <w:t>primary</w:t>
      </w:r>
      <w:r w:rsidR="000159A6">
        <w:t xml:space="preserve"> </w:t>
      </w:r>
      <w:r w:rsidRPr="00316881">
        <w:t>objective</w:t>
      </w:r>
      <w:r w:rsidR="000159A6">
        <w:t xml:space="preserve"> </w:t>
      </w:r>
      <w:r w:rsidRPr="00316881">
        <w:t>of</w:t>
      </w:r>
      <w:r w:rsidR="000159A6">
        <w:t xml:space="preserve"> </w:t>
      </w:r>
      <w:r w:rsidR="00077B4F">
        <w:t>ZOSTER-006</w:t>
      </w:r>
      <w:r w:rsidR="000159A6">
        <w:t xml:space="preserve"> </w:t>
      </w:r>
      <w:r w:rsidRPr="00316881">
        <w:t>(in</w:t>
      </w:r>
      <w:r w:rsidR="000159A6">
        <w:t xml:space="preserve"> </w:t>
      </w:r>
      <w:proofErr w:type="gramStart"/>
      <w:r w:rsidRPr="00316881">
        <w:t>subjects</w:t>
      </w:r>
      <w:proofErr w:type="gramEnd"/>
      <w:r w:rsidR="000159A6">
        <w:t xml:space="preserve"> </w:t>
      </w:r>
      <w:r w:rsidR="0037169B">
        <w:t>≥</w:t>
      </w:r>
      <w:r w:rsidR="000159A6">
        <w:t xml:space="preserve"> </w:t>
      </w:r>
      <w:r w:rsidRPr="00316881">
        <w:t>50</w:t>
      </w:r>
      <w:r w:rsidR="000159A6">
        <w:t xml:space="preserve"> </w:t>
      </w:r>
      <w:r w:rsidR="0037169B">
        <w:t>years</w:t>
      </w:r>
      <w:r w:rsidR="000159A6">
        <w:t xml:space="preserve"> </w:t>
      </w:r>
      <w:r w:rsidR="0037169B">
        <w:t>of</w:t>
      </w:r>
      <w:r w:rsidR="000159A6">
        <w:t xml:space="preserve"> </w:t>
      </w:r>
      <w:r w:rsidR="00733CE8">
        <w:t>age)</w:t>
      </w:r>
      <w:r w:rsidR="000159A6">
        <w:t xml:space="preserve"> </w:t>
      </w:r>
      <w:r w:rsidRPr="00316881">
        <w:t>and</w:t>
      </w:r>
      <w:r w:rsidR="000159A6">
        <w:t xml:space="preserve"> </w:t>
      </w:r>
      <w:r w:rsidR="00077B4F">
        <w:t>ZOSTER-022</w:t>
      </w:r>
      <w:r w:rsidR="000159A6">
        <w:t xml:space="preserve"> </w:t>
      </w:r>
      <w:r w:rsidRPr="00316881">
        <w:t>(in</w:t>
      </w:r>
      <w:r w:rsidR="000159A6">
        <w:t xml:space="preserve"> </w:t>
      </w:r>
      <w:r w:rsidRPr="00316881">
        <w:t>subjects</w:t>
      </w:r>
      <w:r w:rsidR="000159A6">
        <w:t xml:space="preserve"> </w:t>
      </w:r>
      <w:r w:rsidR="0037169B">
        <w:t>≥</w:t>
      </w:r>
      <w:r w:rsidR="000159A6">
        <w:t xml:space="preserve"> </w:t>
      </w:r>
      <w:r w:rsidRPr="00316881">
        <w:t>70</w:t>
      </w:r>
      <w:r w:rsidR="000159A6">
        <w:t xml:space="preserve"> </w:t>
      </w:r>
      <w:r w:rsidR="0037169B">
        <w:t>years</w:t>
      </w:r>
      <w:r w:rsidR="000159A6">
        <w:t xml:space="preserve"> </w:t>
      </w:r>
      <w:r w:rsidR="0037169B">
        <w:t>of</w:t>
      </w:r>
      <w:r w:rsidR="000159A6">
        <w:t xml:space="preserve"> </w:t>
      </w:r>
      <w:r w:rsidR="00733CE8">
        <w:t>age)</w:t>
      </w:r>
      <w:r w:rsidR="000159A6">
        <w:t xml:space="preserve"> </w:t>
      </w:r>
      <w:r w:rsidRPr="00316881">
        <w:t>and</w:t>
      </w:r>
      <w:r w:rsidR="000159A6">
        <w:t xml:space="preserve"> </w:t>
      </w:r>
      <w:r w:rsidRPr="00316881">
        <w:t>efficacy</w:t>
      </w:r>
      <w:r w:rsidR="000159A6">
        <w:t xml:space="preserve"> </w:t>
      </w:r>
      <w:r w:rsidRPr="00316881">
        <w:t>against</w:t>
      </w:r>
      <w:r w:rsidR="000159A6">
        <w:t xml:space="preserve"> </w:t>
      </w:r>
      <w:r w:rsidRPr="00316881">
        <w:t>PHN</w:t>
      </w:r>
      <w:r w:rsidR="000159A6">
        <w:t xml:space="preserve"> </w:t>
      </w:r>
      <w:r w:rsidRPr="00316881">
        <w:t>wa</w:t>
      </w:r>
      <w:r w:rsidR="00F27E9A">
        <w:t>s</w:t>
      </w:r>
      <w:r w:rsidR="000159A6">
        <w:t xml:space="preserve"> </w:t>
      </w:r>
      <w:r w:rsidR="00F27E9A">
        <w:t>a</w:t>
      </w:r>
      <w:r w:rsidR="000159A6">
        <w:t xml:space="preserve"> </w:t>
      </w:r>
      <w:r w:rsidR="00F27E9A">
        <w:t>co-primary</w:t>
      </w:r>
      <w:r w:rsidR="000159A6">
        <w:t xml:space="preserve"> </w:t>
      </w:r>
      <w:r w:rsidR="00F27E9A">
        <w:t>objective</w:t>
      </w:r>
      <w:r w:rsidR="000159A6">
        <w:t xml:space="preserve"> </w:t>
      </w:r>
      <w:r w:rsidR="00F27E9A">
        <w:t>of</w:t>
      </w:r>
      <w:r w:rsidR="000159A6">
        <w:t xml:space="preserve"> </w:t>
      </w:r>
      <w:r w:rsidR="00F27E9A">
        <w:t>the</w:t>
      </w:r>
      <w:r w:rsidR="000159A6">
        <w:t xml:space="preserve"> </w:t>
      </w:r>
      <w:r w:rsidRPr="00316881">
        <w:t>pre-defined</w:t>
      </w:r>
      <w:r w:rsidR="000159A6">
        <w:t xml:space="preserve"> </w:t>
      </w:r>
      <w:r w:rsidRPr="00316881">
        <w:t>pooling</w:t>
      </w:r>
      <w:r w:rsidR="000159A6">
        <w:t xml:space="preserve"> </w:t>
      </w:r>
      <w:r w:rsidRPr="00316881">
        <w:t>of</w:t>
      </w:r>
      <w:r w:rsidR="000159A6">
        <w:t xml:space="preserve"> </w:t>
      </w:r>
      <w:r w:rsidRPr="00316881">
        <w:t>these</w:t>
      </w:r>
      <w:r w:rsidR="000159A6">
        <w:t xml:space="preserve"> </w:t>
      </w:r>
      <w:r w:rsidRPr="00316881">
        <w:t>studies.</w:t>
      </w:r>
      <w:r w:rsidR="000159A6">
        <w:t xml:space="preserve"> </w:t>
      </w:r>
      <w:r w:rsidRPr="00316881">
        <w:t>HZ/</w:t>
      </w:r>
      <w:proofErr w:type="spellStart"/>
      <w:r w:rsidRPr="00316881">
        <w:t>su</w:t>
      </w:r>
      <w:proofErr w:type="spellEnd"/>
      <w:r w:rsidR="000159A6">
        <w:t xml:space="preserve"> </w:t>
      </w:r>
      <w:r w:rsidRPr="00316881">
        <w:t>has</w:t>
      </w:r>
      <w:r w:rsidR="000159A6">
        <w:t xml:space="preserve"> </w:t>
      </w:r>
      <w:r w:rsidRPr="00316881">
        <w:t>been</w:t>
      </w:r>
      <w:r w:rsidR="000159A6">
        <w:t xml:space="preserve"> </w:t>
      </w:r>
      <w:r w:rsidRPr="00316881">
        <w:t>shown</w:t>
      </w:r>
      <w:r w:rsidR="000159A6">
        <w:t xml:space="preserve"> </w:t>
      </w:r>
      <w:r w:rsidRPr="00316881">
        <w:t>to</w:t>
      </w:r>
      <w:r w:rsidR="000159A6">
        <w:t xml:space="preserve"> </w:t>
      </w:r>
      <w:r w:rsidRPr="00316881">
        <w:t>be</w:t>
      </w:r>
      <w:r w:rsidR="000159A6">
        <w:t xml:space="preserve"> </w:t>
      </w:r>
      <w:r w:rsidRPr="00316881">
        <w:t>very</w:t>
      </w:r>
      <w:r w:rsidR="000159A6">
        <w:t xml:space="preserve"> </w:t>
      </w:r>
      <w:r w:rsidRPr="00316881">
        <w:t>efficac</w:t>
      </w:r>
      <w:r w:rsidR="00F27E9A">
        <w:t>ious</w:t>
      </w:r>
      <w:r w:rsidR="000159A6">
        <w:t xml:space="preserve"> </w:t>
      </w:r>
      <w:r w:rsidR="00F27E9A">
        <w:t>in</w:t>
      </w:r>
      <w:r w:rsidR="000159A6">
        <w:t xml:space="preserve"> </w:t>
      </w:r>
      <w:r w:rsidR="00F27E9A">
        <w:t>preventing</w:t>
      </w:r>
      <w:r w:rsidR="000159A6">
        <w:t xml:space="preserve"> </w:t>
      </w:r>
      <w:r w:rsidR="00F27E9A">
        <w:t>HZ</w:t>
      </w:r>
      <w:r w:rsidR="000159A6">
        <w:t xml:space="preserve"> </w:t>
      </w:r>
      <w:r w:rsidR="00F27E9A">
        <w:t>in</w:t>
      </w:r>
      <w:r w:rsidR="000159A6">
        <w:t xml:space="preserve"> </w:t>
      </w:r>
      <w:r w:rsidR="00F27E9A">
        <w:t>adults</w:t>
      </w:r>
      <w:r w:rsidR="000159A6">
        <w:t xml:space="preserve"> </w:t>
      </w:r>
      <w:r w:rsidRPr="00316881">
        <w:t>50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316881">
        <w:t>and</w:t>
      </w:r>
      <w:r w:rsidR="000159A6">
        <w:t xml:space="preserve"> </w:t>
      </w:r>
      <w:r w:rsidRPr="00316881">
        <w:t>older</w:t>
      </w:r>
      <w:r w:rsidR="000159A6">
        <w:t xml:space="preserve"> </w:t>
      </w:r>
      <w:r w:rsidRPr="00316881">
        <w:t>(97.2%</w:t>
      </w:r>
      <w:r w:rsidR="000159A6">
        <w:t xml:space="preserve"> </w:t>
      </w:r>
      <w:r w:rsidR="004715B4">
        <w:t>(</w:t>
      </w:r>
      <w:r w:rsidRPr="00316881">
        <w:t>95%</w:t>
      </w:r>
      <w:r w:rsidR="000159A6">
        <w:t xml:space="preserve"> </w:t>
      </w:r>
      <w:r w:rsidRPr="00316881">
        <w:t>CI:</w:t>
      </w:r>
      <w:r w:rsidR="000159A6">
        <w:t xml:space="preserve"> </w:t>
      </w:r>
      <w:r w:rsidRPr="00316881">
        <w:t>93.7;</w:t>
      </w:r>
      <w:r w:rsidR="000159A6">
        <w:t xml:space="preserve"> </w:t>
      </w:r>
      <w:r w:rsidRPr="00316881">
        <w:t>99.0</w:t>
      </w:r>
      <w:r w:rsidR="004715B4">
        <w:t>)</w:t>
      </w:r>
      <w:r w:rsidRPr="00316881">
        <w:t>)</w:t>
      </w:r>
      <w:r w:rsidR="000159A6">
        <w:t xml:space="preserve"> </w:t>
      </w:r>
      <w:r w:rsidRPr="00316881">
        <w:t>and</w:t>
      </w:r>
      <w:r w:rsidR="000159A6">
        <w:t xml:space="preserve"> </w:t>
      </w:r>
      <w:r w:rsidRPr="00316881">
        <w:t>adults</w:t>
      </w:r>
      <w:r w:rsidR="000159A6">
        <w:t xml:space="preserve"> </w:t>
      </w:r>
      <w:r w:rsidRPr="00316881">
        <w:t>70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316881">
        <w:t>and</w:t>
      </w:r>
      <w:r w:rsidR="000159A6">
        <w:t xml:space="preserve"> </w:t>
      </w:r>
      <w:r w:rsidRPr="00316881">
        <w:t>old</w:t>
      </w:r>
      <w:r w:rsidR="00F27E9A">
        <w:t>er</w:t>
      </w:r>
      <w:r w:rsidR="000159A6">
        <w:t xml:space="preserve"> </w:t>
      </w:r>
      <w:r w:rsidR="00F27E9A">
        <w:t>(91.3%</w:t>
      </w:r>
      <w:r w:rsidR="000159A6">
        <w:t xml:space="preserve"> </w:t>
      </w:r>
      <w:r w:rsidR="004715B4">
        <w:t>(</w:t>
      </w:r>
      <w:r w:rsidR="00F27E9A">
        <w:t>95%</w:t>
      </w:r>
      <w:r w:rsidR="000159A6">
        <w:t xml:space="preserve"> </w:t>
      </w:r>
      <w:r w:rsidR="00F27E9A">
        <w:t>CI:</w:t>
      </w:r>
      <w:r w:rsidR="000159A6">
        <w:t xml:space="preserve"> </w:t>
      </w:r>
      <w:r w:rsidR="00F27E9A">
        <w:t>86.8;</w:t>
      </w:r>
      <w:r w:rsidR="000159A6">
        <w:t xml:space="preserve"> </w:t>
      </w:r>
      <w:r w:rsidR="00F27E9A">
        <w:t>94.5</w:t>
      </w:r>
      <w:r w:rsidR="004715B4">
        <w:t>)</w:t>
      </w:r>
      <w:r w:rsidR="00F27E9A">
        <w:t>)</w:t>
      </w:r>
      <w:r w:rsidR="00733CE8">
        <w:t>.</w:t>
      </w:r>
      <w:r w:rsidR="000159A6">
        <w:t xml:space="preserve"> </w:t>
      </w:r>
      <w:r w:rsidRPr="00316881">
        <w:t>The</w:t>
      </w:r>
      <w:r w:rsidR="000159A6">
        <w:t xml:space="preserve"> </w:t>
      </w:r>
      <w:r w:rsidRPr="00316881">
        <w:t>incidence</w:t>
      </w:r>
      <w:r w:rsidR="000159A6">
        <w:t xml:space="preserve"> </w:t>
      </w:r>
      <w:r w:rsidRPr="00316881">
        <w:t>of</w:t>
      </w:r>
      <w:r w:rsidR="000159A6">
        <w:t xml:space="preserve"> </w:t>
      </w:r>
      <w:r w:rsidRPr="00316881">
        <w:t>PHN</w:t>
      </w:r>
      <w:r w:rsidR="000159A6">
        <w:t xml:space="preserve"> </w:t>
      </w:r>
      <w:r w:rsidRPr="00316881">
        <w:t>was</w:t>
      </w:r>
      <w:r w:rsidR="000159A6">
        <w:t xml:space="preserve"> </w:t>
      </w:r>
      <w:r w:rsidRPr="00316881">
        <w:t>also</w:t>
      </w:r>
      <w:r w:rsidR="000159A6">
        <w:t xml:space="preserve"> </w:t>
      </w:r>
      <w:r w:rsidRPr="00316881">
        <w:t>efficiently</w:t>
      </w:r>
      <w:r w:rsidR="000159A6">
        <w:t xml:space="preserve"> </w:t>
      </w:r>
      <w:r w:rsidRPr="00316881">
        <w:t>reduced</w:t>
      </w:r>
      <w:r w:rsidR="000159A6">
        <w:t xml:space="preserve"> </w:t>
      </w:r>
      <w:r w:rsidRPr="00316881">
        <w:t>as</w:t>
      </w:r>
      <w:r w:rsidR="000159A6">
        <w:t xml:space="preserve"> </w:t>
      </w:r>
      <w:r w:rsidRPr="00316881">
        <w:t>a</w:t>
      </w:r>
      <w:r w:rsidR="000159A6">
        <w:t xml:space="preserve"> </w:t>
      </w:r>
      <w:r w:rsidRPr="00316881">
        <w:t>direct</w:t>
      </w:r>
      <w:r w:rsidR="000159A6">
        <w:t xml:space="preserve"> </w:t>
      </w:r>
      <w:r w:rsidRPr="00316881">
        <w:t>conseq</w:t>
      </w:r>
      <w:r w:rsidR="00F27E9A">
        <w:t>uence</w:t>
      </w:r>
      <w:r w:rsidR="000159A6">
        <w:t xml:space="preserve"> </w:t>
      </w:r>
      <w:r w:rsidR="00F27E9A">
        <w:t>of</w:t>
      </w:r>
      <w:r w:rsidR="000159A6">
        <w:t xml:space="preserve"> </w:t>
      </w:r>
      <w:r w:rsidR="00F27E9A">
        <w:t>HZ</w:t>
      </w:r>
      <w:r w:rsidR="000159A6">
        <w:t xml:space="preserve"> </w:t>
      </w:r>
      <w:r w:rsidR="00F27E9A">
        <w:t>prevention.</w:t>
      </w:r>
      <w:r w:rsidR="000159A6">
        <w:t xml:space="preserve"> </w:t>
      </w:r>
      <w:r w:rsidR="00F27E9A">
        <w:t>Indeed,</w:t>
      </w:r>
      <w:r w:rsidR="000159A6">
        <w:t xml:space="preserve"> </w:t>
      </w:r>
      <w:r w:rsidRPr="00316881">
        <w:t>HZ/</w:t>
      </w:r>
      <w:proofErr w:type="spellStart"/>
      <w:r w:rsidRPr="00316881">
        <w:t>su’s</w:t>
      </w:r>
      <w:proofErr w:type="spellEnd"/>
      <w:r w:rsidR="000159A6">
        <w:t xml:space="preserve"> </w:t>
      </w:r>
      <w:r w:rsidRPr="00316881">
        <w:t>efficacy</w:t>
      </w:r>
      <w:r w:rsidR="000159A6">
        <w:t xml:space="preserve"> </w:t>
      </w:r>
      <w:r w:rsidRPr="00316881">
        <w:t>in</w:t>
      </w:r>
      <w:r w:rsidR="000159A6">
        <w:t xml:space="preserve"> </w:t>
      </w:r>
      <w:r w:rsidRPr="00316881">
        <w:t>preventing</w:t>
      </w:r>
      <w:r w:rsidR="000159A6">
        <w:t xml:space="preserve"> </w:t>
      </w:r>
      <w:r w:rsidRPr="00316881">
        <w:t>PHN</w:t>
      </w:r>
      <w:r w:rsidR="000159A6">
        <w:t xml:space="preserve"> </w:t>
      </w:r>
      <w:r w:rsidRPr="00316881">
        <w:t>was</w:t>
      </w:r>
      <w:r w:rsidR="000159A6">
        <w:t xml:space="preserve"> </w:t>
      </w:r>
      <w:r w:rsidRPr="00316881">
        <w:t>100.0%</w:t>
      </w:r>
      <w:r w:rsidR="000159A6">
        <w:t xml:space="preserve"> </w:t>
      </w:r>
      <w:r w:rsidRPr="00316881">
        <w:t>(95%</w:t>
      </w:r>
      <w:r w:rsidR="000159A6">
        <w:t xml:space="preserve"> </w:t>
      </w:r>
      <w:r w:rsidRPr="00316881">
        <w:t>CI:</w:t>
      </w:r>
      <w:r w:rsidR="000159A6">
        <w:t xml:space="preserve"> </w:t>
      </w:r>
      <w:r w:rsidRPr="00316881">
        <w:t>77.1;</w:t>
      </w:r>
      <w:r w:rsidR="000159A6">
        <w:t xml:space="preserve"> </w:t>
      </w:r>
      <w:r w:rsidRPr="00316881">
        <w:t>100.0)</w:t>
      </w:r>
      <w:r w:rsidR="000159A6">
        <w:t xml:space="preserve"> </w:t>
      </w:r>
      <w:r w:rsidRPr="00316881">
        <w:t>in</w:t>
      </w:r>
      <w:r w:rsidR="000159A6">
        <w:t xml:space="preserve"> </w:t>
      </w:r>
      <w:r w:rsidRPr="00316881">
        <w:t>adults</w:t>
      </w:r>
      <w:r w:rsidR="000159A6">
        <w:t xml:space="preserve"> </w:t>
      </w:r>
      <w:r w:rsidR="0037169B">
        <w:t>≥</w:t>
      </w:r>
      <w:r w:rsidR="000159A6">
        <w:t xml:space="preserve"> </w:t>
      </w:r>
      <w:r w:rsidR="00F27E9A">
        <w:t>50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00F27E9A">
        <w:t>and</w:t>
      </w:r>
      <w:r w:rsidR="000159A6">
        <w:t xml:space="preserve"> </w:t>
      </w:r>
      <w:r w:rsidR="00F27E9A">
        <w:t>88.8%</w:t>
      </w:r>
      <w:r w:rsidR="000159A6">
        <w:t xml:space="preserve"> </w:t>
      </w:r>
      <w:r w:rsidRPr="00316881">
        <w:t>(95%</w:t>
      </w:r>
      <w:r w:rsidR="000159A6">
        <w:t xml:space="preserve"> </w:t>
      </w:r>
      <w:r w:rsidRPr="00316881">
        <w:t>CI:</w:t>
      </w:r>
      <w:r w:rsidR="000159A6">
        <w:t xml:space="preserve"> </w:t>
      </w:r>
      <w:r w:rsidRPr="00316881">
        <w:t>68.7;</w:t>
      </w:r>
      <w:r w:rsidR="000159A6">
        <w:t xml:space="preserve"> </w:t>
      </w:r>
      <w:r w:rsidRPr="00316881">
        <w:t>97.1)</w:t>
      </w:r>
      <w:r w:rsidR="000159A6">
        <w:t xml:space="preserve"> </w:t>
      </w:r>
      <w:r w:rsidRPr="00316881">
        <w:t>in</w:t>
      </w:r>
      <w:r w:rsidR="000159A6">
        <w:t xml:space="preserve"> </w:t>
      </w:r>
      <w:r w:rsidRPr="00316881">
        <w:t>adults</w:t>
      </w:r>
      <w:r w:rsidR="000159A6">
        <w:t xml:space="preserve"> </w:t>
      </w:r>
      <w:r w:rsidR="0037169B">
        <w:t>≥</w:t>
      </w:r>
      <w:r w:rsidR="000159A6">
        <w:t xml:space="preserve"> </w:t>
      </w:r>
      <w:r w:rsidRPr="00316881">
        <w:t>70</w:t>
      </w:r>
      <w:r w:rsidR="000159A6">
        <w:t xml:space="preserve"> </w:t>
      </w:r>
      <w:r w:rsidR="00733CE8">
        <w:t>years</w:t>
      </w:r>
      <w:r w:rsidR="000159A6">
        <w:t xml:space="preserve"> </w:t>
      </w:r>
      <w:r w:rsidR="00733CE8">
        <w:t>of</w:t>
      </w:r>
      <w:r w:rsidR="000159A6">
        <w:t xml:space="preserve"> </w:t>
      </w:r>
      <w:r w:rsidR="00733CE8">
        <w:t>age</w:t>
      </w:r>
      <w:r w:rsidRPr="00316881">
        <w:t>.</w:t>
      </w:r>
    </w:p>
    <w:p w14:paraId="1675521E" w14:textId="57F60A5B" w:rsidR="00F27E9A" w:rsidRPr="00F27E9A" w:rsidRDefault="00F27E9A" w:rsidP="00440509">
      <w:r w:rsidRPr="00F27E9A">
        <w:t>HZ</w:t>
      </w:r>
      <w:r w:rsidR="000159A6">
        <w:t xml:space="preserve"> </w:t>
      </w:r>
      <w:r w:rsidRPr="00F27E9A">
        <w:t>VE</w:t>
      </w:r>
      <w:r w:rsidR="000159A6">
        <w:t xml:space="preserve"> </w:t>
      </w:r>
      <w:r w:rsidRPr="00F27E9A">
        <w:t>was</w:t>
      </w:r>
      <w:r w:rsidR="000159A6">
        <w:t xml:space="preserve"> </w:t>
      </w:r>
      <w:r w:rsidRPr="00F27E9A">
        <w:t>so</w:t>
      </w:r>
      <w:r w:rsidR="000159A6">
        <w:t xml:space="preserve"> </w:t>
      </w:r>
      <w:r w:rsidRPr="00F27E9A">
        <w:t>high</w:t>
      </w:r>
      <w:r w:rsidR="000159A6">
        <w:t xml:space="preserve"> </w:t>
      </w:r>
      <w:r w:rsidRPr="00F27E9A">
        <w:t>that</w:t>
      </w:r>
      <w:r w:rsidR="000159A6">
        <w:t xml:space="preserve"> </w:t>
      </w:r>
      <w:r w:rsidRPr="00F27E9A">
        <w:t>there</w:t>
      </w:r>
      <w:r w:rsidR="000159A6">
        <w:t xml:space="preserve"> </w:t>
      </w:r>
      <w:r w:rsidRPr="00F27E9A">
        <w:t>were</w:t>
      </w:r>
      <w:r w:rsidR="000159A6">
        <w:t xml:space="preserve"> </w:t>
      </w:r>
      <w:r w:rsidRPr="00F27E9A">
        <w:t>not</w:t>
      </w:r>
      <w:r w:rsidR="000159A6">
        <w:t xml:space="preserve"> </w:t>
      </w:r>
      <w:r w:rsidRPr="00F27E9A">
        <w:t>enough</w:t>
      </w:r>
      <w:r w:rsidR="000159A6">
        <w:t xml:space="preserve"> </w:t>
      </w:r>
      <w:r w:rsidRPr="00F27E9A">
        <w:t>breakthrough</w:t>
      </w:r>
      <w:r w:rsidR="000159A6">
        <w:t xml:space="preserve"> </w:t>
      </w:r>
      <w:r w:rsidRPr="00F27E9A">
        <w:t>HZ</w:t>
      </w:r>
      <w:r w:rsidR="000159A6">
        <w:t xml:space="preserve"> </w:t>
      </w:r>
      <w:r w:rsidRPr="00F27E9A">
        <w:t>cases</w:t>
      </w:r>
      <w:r w:rsidR="000159A6">
        <w:t xml:space="preserve"> </w:t>
      </w:r>
      <w:r w:rsidRPr="00F27E9A">
        <w:t>amongst</w:t>
      </w:r>
      <w:r w:rsidR="000159A6">
        <w:t xml:space="preserve"> </w:t>
      </w:r>
      <w:r w:rsidRPr="00F27E9A">
        <w:t>vaccinated</w:t>
      </w:r>
      <w:r w:rsidR="000159A6">
        <w:t xml:space="preserve"> </w:t>
      </w:r>
      <w:r w:rsidRPr="00F27E9A">
        <w:t>subjects</w:t>
      </w:r>
      <w:r w:rsidR="000159A6">
        <w:t xml:space="preserve"> </w:t>
      </w:r>
      <w:r w:rsidRPr="00F27E9A">
        <w:t>(9</w:t>
      </w:r>
      <w:r w:rsidR="000159A6">
        <w:t xml:space="preserve"> </w:t>
      </w:r>
      <w:r w:rsidRPr="00F27E9A">
        <w:t>cases</w:t>
      </w:r>
      <w:r w:rsidR="000159A6">
        <w:t xml:space="preserve"> </w:t>
      </w:r>
      <w:r w:rsidRPr="00F27E9A">
        <w:t>in</w:t>
      </w:r>
      <w:r w:rsidR="000159A6">
        <w:t xml:space="preserve"> </w:t>
      </w:r>
      <w:r w:rsidRPr="00F27E9A">
        <w:t>adults</w:t>
      </w:r>
      <w:r w:rsidR="000159A6">
        <w:t xml:space="preserve"> </w:t>
      </w:r>
      <w:r w:rsidR="0037169B">
        <w:t>≥</w:t>
      </w:r>
      <w:r w:rsidR="000159A6">
        <w:t xml:space="preserve"> </w:t>
      </w:r>
      <w:r w:rsidRPr="00F27E9A">
        <w:t>50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004715B4">
        <w:t>(</w:t>
      </w:r>
      <w:r w:rsidR="00077B4F">
        <w:t>ZOSTER-006</w:t>
      </w:r>
      <w:r w:rsidR="004715B4">
        <w:t>)</w:t>
      </w:r>
      <w:r w:rsidR="000159A6">
        <w:t xml:space="preserve"> </w:t>
      </w:r>
      <w:r w:rsidRPr="00F27E9A">
        <w:t>and</w:t>
      </w:r>
      <w:r w:rsidR="000159A6">
        <w:t xml:space="preserve"> </w:t>
      </w:r>
      <w:r w:rsidRPr="00F27E9A">
        <w:t>25</w:t>
      </w:r>
      <w:r w:rsidR="000159A6">
        <w:t xml:space="preserve"> </w:t>
      </w:r>
      <w:r w:rsidRPr="00F27E9A">
        <w:t>cases</w:t>
      </w:r>
      <w:r w:rsidR="000159A6">
        <w:t xml:space="preserve"> </w:t>
      </w:r>
      <w:r w:rsidRPr="00F27E9A">
        <w:t>in</w:t>
      </w:r>
      <w:r w:rsidR="000159A6">
        <w:t xml:space="preserve"> </w:t>
      </w:r>
      <w:r w:rsidRPr="00F27E9A">
        <w:t>adults</w:t>
      </w:r>
      <w:r w:rsidR="000159A6">
        <w:t xml:space="preserve"> </w:t>
      </w:r>
      <w:r w:rsidR="0037169B">
        <w:t>≥</w:t>
      </w:r>
      <w:r w:rsidR="000159A6">
        <w:t xml:space="preserve"> </w:t>
      </w:r>
      <w:r w:rsidRPr="00F27E9A">
        <w:t>70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004715B4">
        <w:t>(</w:t>
      </w:r>
      <w:r w:rsidR="00077B4F">
        <w:t>ZOSTER-006</w:t>
      </w:r>
      <w:r w:rsidR="000159A6">
        <w:t xml:space="preserve"> </w:t>
      </w:r>
      <w:r>
        <w:t>and</w:t>
      </w:r>
      <w:r w:rsidR="000159A6">
        <w:t xml:space="preserve"> </w:t>
      </w:r>
      <w:r w:rsidR="00077B4F">
        <w:t>ZOSTER-022</w:t>
      </w:r>
      <w:r w:rsidR="000159A6">
        <w:t xml:space="preserve"> </w:t>
      </w:r>
      <w:r>
        <w:t>pooled</w:t>
      </w:r>
      <w:r w:rsidR="004715B4">
        <w:t>)</w:t>
      </w:r>
      <w:r w:rsidR="000159A6">
        <w:t xml:space="preserve"> </w:t>
      </w:r>
      <w:r>
        <w:t>to</w:t>
      </w:r>
      <w:r w:rsidR="000159A6">
        <w:t xml:space="preserve"> </w:t>
      </w:r>
      <w:r>
        <w:t>show</w:t>
      </w:r>
      <w:r w:rsidR="000159A6">
        <w:t xml:space="preserve"> </w:t>
      </w:r>
      <w:r>
        <w:t>any</w:t>
      </w:r>
      <w:r w:rsidR="000159A6">
        <w:t xml:space="preserve"> </w:t>
      </w:r>
      <w:r w:rsidRPr="00F27E9A">
        <w:t>statistically</w:t>
      </w:r>
      <w:r w:rsidR="000159A6">
        <w:t xml:space="preserve"> </w:t>
      </w:r>
      <w:r w:rsidRPr="00F27E9A">
        <w:t>significant</w:t>
      </w:r>
      <w:r w:rsidR="000159A6">
        <w:t xml:space="preserve"> </w:t>
      </w:r>
      <w:r w:rsidRPr="00F27E9A">
        <w:t>effect</w:t>
      </w:r>
      <w:r w:rsidR="000159A6">
        <w:t xml:space="preserve"> </w:t>
      </w:r>
      <w:r w:rsidRPr="00F27E9A">
        <w:t>in</w:t>
      </w:r>
      <w:r w:rsidR="000159A6">
        <w:t xml:space="preserve"> </w:t>
      </w:r>
      <w:r w:rsidRPr="00F27E9A">
        <w:t>further</w:t>
      </w:r>
      <w:r w:rsidR="000159A6">
        <w:t xml:space="preserve"> </w:t>
      </w:r>
      <w:r w:rsidRPr="00F27E9A">
        <w:t>reducing</w:t>
      </w:r>
      <w:r w:rsidR="000159A6">
        <w:t xml:space="preserve"> </w:t>
      </w:r>
      <w:r w:rsidRPr="00F27E9A">
        <w:t>the</w:t>
      </w:r>
      <w:r w:rsidR="000159A6">
        <w:t xml:space="preserve"> </w:t>
      </w:r>
      <w:r w:rsidRPr="00F27E9A">
        <w:t>incidence</w:t>
      </w:r>
      <w:r w:rsidR="000159A6">
        <w:t xml:space="preserve"> </w:t>
      </w:r>
      <w:r w:rsidRPr="00F27E9A">
        <w:t>of</w:t>
      </w:r>
      <w:r w:rsidR="000159A6">
        <w:t xml:space="preserve"> </w:t>
      </w:r>
      <w:r w:rsidRPr="00F27E9A">
        <w:t>PHN.</w:t>
      </w:r>
      <w:r w:rsidR="000159A6">
        <w:t xml:space="preserve"> </w:t>
      </w:r>
      <w:r w:rsidRPr="00F27E9A">
        <w:t>In</w:t>
      </w:r>
      <w:r w:rsidR="000159A6">
        <w:t xml:space="preserve"> </w:t>
      </w:r>
      <w:r w:rsidRPr="00F27E9A">
        <w:t>subjects</w:t>
      </w:r>
      <w:r w:rsidR="000159A6">
        <w:t xml:space="preserve"> </w:t>
      </w:r>
      <w:r w:rsidR="0037169B">
        <w:t>≥</w:t>
      </w:r>
      <w:r w:rsidR="000159A6">
        <w:t xml:space="preserve"> </w:t>
      </w:r>
      <w:r>
        <w:t>50</w:t>
      </w:r>
      <w:r w:rsidR="000159A6">
        <w:t xml:space="preserve"> </w:t>
      </w:r>
      <w:r w:rsidR="0037169B">
        <w:t>years</w:t>
      </w:r>
      <w:r w:rsidR="000159A6">
        <w:t xml:space="preserve"> </w:t>
      </w:r>
      <w:r w:rsidR="0037169B">
        <w:t>of</w:t>
      </w:r>
      <w:r w:rsidR="000159A6">
        <w:t xml:space="preserve"> </w:t>
      </w:r>
      <w:r w:rsidR="0037169B">
        <w:t>age</w:t>
      </w:r>
      <w:r w:rsidR="000159A6">
        <w:t xml:space="preserve"> </w:t>
      </w:r>
      <w:r>
        <w:t>(</w:t>
      </w:r>
      <w:r w:rsidR="00077B4F">
        <w:t>ZOSTER-006</w:t>
      </w:r>
      <w:r>
        <w:t>):</w:t>
      </w:r>
      <w:r w:rsidR="000159A6">
        <w:t xml:space="preserve"> </w:t>
      </w:r>
      <w:r>
        <w:t>0</w:t>
      </w:r>
      <w:r w:rsidR="000159A6">
        <w:t xml:space="preserve"> </w:t>
      </w:r>
      <w:r w:rsidRPr="00F27E9A">
        <w:t>cases</w:t>
      </w:r>
      <w:r w:rsidR="000159A6">
        <w:t xml:space="preserve"> </w:t>
      </w:r>
      <w:r w:rsidRPr="00F27E9A">
        <w:t>of</w:t>
      </w:r>
      <w:r w:rsidR="000159A6">
        <w:t xml:space="preserve"> </w:t>
      </w:r>
      <w:r w:rsidRPr="00F27E9A">
        <w:t>PHN</w:t>
      </w:r>
      <w:r w:rsidR="000159A6">
        <w:t xml:space="preserve"> </w:t>
      </w:r>
      <w:r w:rsidRPr="00F27E9A">
        <w:t>out</w:t>
      </w:r>
      <w:r w:rsidR="000159A6">
        <w:t xml:space="preserve"> </w:t>
      </w:r>
      <w:r w:rsidRPr="00F27E9A">
        <w:t>of</w:t>
      </w:r>
      <w:r w:rsidR="000159A6">
        <w:t xml:space="preserve"> </w:t>
      </w:r>
      <w:r w:rsidRPr="00F27E9A">
        <w:t>9</w:t>
      </w:r>
      <w:r w:rsidR="000159A6">
        <w:t xml:space="preserve"> </w:t>
      </w:r>
      <w:r w:rsidRPr="00F27E9A">
        <w:t>HZ</w:t>
      </w:r>
      <w:r w:rsidR="000159A6">
        <w:t xml:space="preserve"> </w:t>
      </w:r>
      <w:r w:rsidRPr="00F27E9A">
        <w:t>cases</w:t>
      </w:r>
      <w:r w:rsidR="000159A6">
        <w:t xml:space="preserve"> </w:t>
      </w:r>
      <w:r w:rsidRPr="00F27E9A">
        <w:t>in</w:t>
      </w:r>
      <w:r w:rsidR="000159A6">
        <w:t xml:space="preserve"> </w:t>
      </w:r>
      <w:r w:rsidRPr="00F27E9A">
        <w:t>the</w:t>
      </w:r>
      <w:r w:rsidR="000159A6">
        <w:t xml:space="preserve"> </w:t>
      </w:r>
      <w:r w:rsidRPr="00F27E9A">
        <w:t>HZ/</w:t>
      </w:r>
      <w:proofErr w:type="spellStart"/>
      <w:r w:rsidRPr="00F27E9A">
        <w:t>su</w:t>
      </w:r>
      <w:proofErr w:type="spellEnd"/>
      <w:r w:rsidR="000159A6">
        <w:t xml:space="preserve"> </w:t>
      </w:r>
      <w:r w:rsidRPr="00F27E9A">
        <w:t>group</w:t>
      </w:r>
      <w:r w:rsidR="000159A6">
        <w:t xml:space="preserve"> </w:t>
      </w:r>
      <w:r w:rsidR="008D4538">
        <w:t>versus</w:t>
      </w:r>
      <w:r w:rsidR="000159A6">
        <w:t xml:space="preserve"> </w:t>
      </w:r>
      <w:r w:rsidRPr="00F27E9A">
        <w:t>18</w:t>
      </w:r>
      <w:r w:rsidR="000159A6">
        <w:t xml:space="preserve"> </w:t>
      </w:r>
      <w:r w:rsidRPr="00F27E9A">
        <w:t>cases</w:t>
      </w:r>
      <w:r w:rsidR="000159A6">
        <w:t xml:space="preserve"> </w:t>
      </w:r>
      <w:r w:rsidRPr="00F27E9A">
        <w:t>of</w:t>
      </w:r>
      <w:r w:rsidR="000159A6">
        <w:t xml:space="preserve"> </w:t>
      </w:r>
      <w:r w:rsidRPr="00F27E9A">
        <w:t>PHN</w:t>
      </w:r>
      <w:r w:rsidR="000159A6">
        <w:t xml:space="preserve"> </w:t>
      </w:r>
      <w:r w:rsidRPr="00F27E9A">
        <w:t>out</w:t>
      </w:r>
      <w:r w:rsidR="000159A6">
        <w:t xml:space="preserve"> </w:t>
      </w:r>
      <w:r>
        <w:t>of</w:t>
      </w:r>
      <w:r w:rsidR="000159A6">
        <w:t xml:space="preserve"> </w:t>
      </w:r>
      <w:r>
        <w:t>254</w:t>
      </w:r>
      <w:r w:rsidR="000159A6">
        <w:t xml:space="preserve"> </w:t>
      </w:r>
      <w:r>
        <w:t>HZ</w:t>
      </w:r>
      <w:r w:rsidR="000159A6">
        <w:t xml:space="preserve"> </w:t>
      </w:r>
      <w:r>
        <w:t>cases</w:t>
      </w:r>
      <w:r w:rsidR="000159A6">
        <w:t xml:space="preserve"> </w:t>
      </w:r>
      <w:r>
        <w:t>in</w:t>
      </w:r>
      <w:r w:rsidR="000159A6">
        <w:t xml:space="preserve"> </w:t>
      </w:r>
      <w:r>
        <w:t>the</w:t>
      </w:r>
      <w:r w:rsidR="000159A6">
        <w:t xml:space="preserve"> </w:t>
      </w:r>
      <w:r>
        <w:t>Placebo</w:t>
      </w:r>
      <w:r w:rsidR="000159A6">
        <w:t xml:space="preserve"> </w:t>
      </w:r>
      <w:r w:rsidRPr="00F27E9A">
        <w:t>group</w:t>
      </w:r>
      <w:r w:rsidR="000159A6">
        <w:t xml:space="preserve"> </w:t>
      </w:r>
      <w:r w:rsidRPr="00F27E9A">
        <w:t>were</w:t>
      </w:r>
      <w:r w:rsidR="000159A6">
        <w:t xml:space="preserve"> </w:t>
      </w:r>
      <w:r w:rsidRPr="00F27E9A">
        <w:t>reported.</w:t>
      </w:r>
      <w:r w:rsidR="000159A6">
        <w:t xml:space="preserve"> </w:t>
      </w:r>
      <w:r w:rsidRPr="00F27E9A">
        <w:t>In</w:t>
      </w:r>
      <w:r w:rsidR="000159A6">
        <w:t xml:space="preserve"> </w:t>
      </w:r>
      <w:r w:rsidRPr="00F27E9A">
        <w:t>subjects</w:t>
      </w:r>
      <w:r w:rsidR="000159A6">
        <w:t xml:space="preserve"> </w:t>
      </w:r>
      <w:r w:rsidR="0037169B">
        <w:t>≥</w:t>
      </w:r>
      <w:r w:rsidR="000159A6">
        <w:t xml:space="preserve"> </w:t>
      </w:r>
      <w:r w:rsidRPr="00F27E9A">
        <w:t>70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F27E9A">
        <w:t>(pooled</w:t>
      </w:r>
      <w:r w:rsidR="000159A6">
        <w:t xml:space="preserve"> </w:t>
      </w:r>
      <w:r w:rsidR="00077B4F">
        <w:t>ZOSTER-006</w:t>
      </w:r>
      <w:r w:rsidR="000159A6">
        <w:t xml:space="preserve"> </w:t>
      </w:r>
      <w:r w:rsidRPr="00F27E9A">
        <w:t>and</w:t>
      </w:r>
      <w:r w:rsidR="000159A6">
        <w:t xml:space="preserve"> </w:t>
      </w:r>
      <w:r w:rsidR="00077B4F">
        <w:t>ZOSTER-022</w:t>
      </w:r>
      <w:r>
        <w:t>),</w:t>
      </w:r>
      <w:r w:rsidR="000159A6">
        <w:t xml:space="preserve"> </w:t>
      </w:r>
      <w:r>
        <w:t>only</w:t>
      </w:r>
      <w:r w:rsidR="000159A6">
        <w:t xml:space="preserve"> </w:t>
      </w:r>
      <w:r>
        <w:t>4</w:t>
      </w:r>
      <w:r w:rsidR="000159A6">
        <w:t xml:space="preserve"> </w:t>
      </w:r>
      <w:r>
        <w:t>cases</w:t>
      </w:r>
      <w:r w:rsidR="000159A6">
        <w:t xml:space="preserve"> </w:t>
      </w:r>
      <w:r>
        <w:t>of</w:t>
      </w:r>
      <w:r w:rsidR="000159A6">
        <w:t xml:space="preserve"> </w:t>
      </w:r>
      <w:r>
        <w:t>PHN</w:t>
      </w:r>
      <w:r w:rsidR="000159A6">
        <w:t xml:space="preserve"> </w:t>
      </w:r>
      <w:r>
        <w:t>were</w:t>
      </w:r>
      <w:r w:rsidR="000159A6">
        <w:t xml:space="preserve"> </w:t>
      </w:r>
      <w:r w:rsidRPr="00F27E9A">
        <w:t>reported</w:t>
      </w:r>
      <w:r w:rsidR="000159A6">
        <w:t xml:space="preserve"> </w:t>
      </w:r>
      <w:r w:rsidRPr="00F27E9A">
        <w:t>out</w:t>
      </w:r>
      <w:r w:rsidR="000159A6">
        <w:t xml:space="preserve"> </w:t>
      </w:r>
      <w:r w:rsidRPr="00F27E9A">
        <w:t>of</w:t>
      </w:r>
      <w:r w:rsidR="000159A6">
        <w:t xml:space="preserve"> </w:t>
      </w:r>
      <w:r w:rsidRPr="00F27E9A">
        <w:t>25</w:t>
      </w:r>
      <w:r w:rsidR="000159A6">
        <w:t xml:space="preserve"> </w:t>
      </w:r>
      <w:r w:rsidRPr="00F27E9A">
        <w:t>HZ</w:t>
      </w:r>
      <w:r w:rsidR="000159A6">
        <w:t xml:space="preserve"> </w:t>
      </w:r>
      <w:r w:rsidRPr="00F27E9A">
        <w:t>cases</w:t>
      </w:r>
      <w:r w:rsidR="000159A6">
        <w:t xml:space="preserve"> </w:t>
      </w:r>
      <w:r w:rsidRPr="00F27E9A">
        <w:t>in</w:t>
      </w:r>
      <w:r w:rsidR="000159A6">
        <w:t xml:space="preserve"> </w:t>
      </w:r>
      <w:r w:rsidRPr="00F27E9A">
        <w:t>the</w:t>
      </w:r>
      <w:r w:rsidR="000159A6">
        <w:t xml:space="preserve"> </w:t>
      </w:r>
      <w:r w:rsidRPr="00F27E9A">
        <w:t>HZ/</w:t>
      </w:r>
      <w:proofErr w:type="spellStart"/>
      <w:r w:rsidRPr="00F27E9A">
        <w:t>su</w:t>
      </w:r>
      <w:proofErr w:type="spellEnd"/>
      <w:r w:rsidR="000159A6">
        <w:t xml:space="preserve"> </w:t>
      </w:r>
      <w:r w:rsidRPr="00F27E9A">
        <w:t>group</w:t>
      </w:r>
      <w:r w:rsidR="000159A6">
        <w:t xml:space="preserve"> </w:t>
      </w:r>
      <w:r w:rsidR="008D4538">
        <w:t>versus</w:t>
      </w:r>
      <w:r w:rsidR="000159A6">
        <w:t xml:space="preserve"> </w:t>
      </w:r>
      <w:r w:rsidRPr="00F27E9A">
        <w:t>36</w:t>
      </w:r>
      <w:r w:rsidR="000159A6">
        <w:t xml:space="preserve"> </w:t>
      </w:r>
      <w:r w:rsidRPr="00F27E9A">
        <w:t>cases</w:t>
      </w:r>
      <w:r w:rsidR="000159A6">
        <w:t xml:space="preserve"> </w:t>
      </w:r>
      <w:r w:rsidRPr="00F27E9A">
        <w:t>of</w:t>
      </w:r>
      <w:r w:rsidR="000159A6">
        <w:t xml:space="preserve"> </w:t>
      </w:r>
      <w:r w:rsidRPr="00F27E9A">
        <w:t>PHN</w:t>
      </w:r>
      <w:r w:rsidR="000159A6">
        <w:t xml:space="preserve"> </w:t>
      </w:r>
      <w:r w:rsidRPr="00F27E9A">
        <w:t>out</w:t>
      </w:r>
      <w:r w:rsidR="000159A6">
        <w:t xml:space="preserve"> </w:t>
      </w:r>
      <w:r>
        <w:t>of</w:t>
      </w:r>
      <w:r w:rsidR="000159A6">
        <w:t xml:space="preserve"> </w:t>
      </w:r>
      <w:r>
        <w:t>284</w:t>
      </w:r>
      <w:r w:rsidR="000159A6">
        <w:t xml:space="preserve"> </w:t>
      </w:r>
      <w:r>
        <w:t>HZ</w:t>
      </w:r>
      <w:r w:rsidR="000159A6">
        <w:t xml:space="preserve"> </w:t>
      </w:r>
      <w:r>
        <w:t>cases</w:t>
      </w:r>
      <w:r w:rsidR="000159A6">
        <w:t xml:space="preserve"> </w:t>
      </w:r>
      <w:r>
        <w:t>in</w:t>
      </w:r>
      <w:r w:rsidR="000159A6">
        <w:t xml:space="preserve"> </w:t>
      </w:r>
      <w:r>
        <w:t>the</w:t>
      </w:r>
      <w:r w:rsidR="000159A6">
        <w:t xml:space="preserve"> </w:t>
      </w:r>
      <w:r>
        <w:t>placebo</w:t>
      </w:r>
      <w:r w:rsidR="000159A6">
        <w:t xml:space="preserve"> </w:t>
      </w:r>
      <w:r w:rsidRPr="00F27E9A">
        <w:t>group.</w:t>
      </w:r>
      <w:r w:rsidR="000159A6">
        <w:t xml:space="preserve"> </w:t>
      </w:r>
      <w:r w:rsidRPr="00F27E9A">
        <w:t>It</w:t>
      </w:r>
      <w:r w:rsidR="000159A6">
        <w:t xml:space="preserve"> </w:t>
      </w:r>
      <w:r w:rsidRPr="00F27E9A">
        <w:t>would</w:t>
      </w:r>
      <w:r w:rsidR="000159A6">
        <w:t xml:space="preserve"> </w:t>
      </w:r>
      <w:r w:rsidRPr="00F27E9A">
        <w:t>have</w:t>
      </w:r>
      <w:r w:rsidR="000159A6">
        <w:t xml:space="preserve"> </w:t>
      </w:r>
      <w:r w:rsidRPr="00F27E9A">
        <w:t>required</w:t>
      </w:r>
      <w:r w:rsidR="000159A6">
        <w:t xml:space="preserve"> </w:t>
      </w:r>
      <w:r w:rsidRPr="00F27E9A">
        <w:t>a</w:t>
      </w:r>
      <w:r w:rsidR="000159A6">
        <w:t xml:space="preserve"> </w:t>
      </w:r>
      <w:r w:rsidRPr="00F27E9A">
        <w:t>prohibitively</w:t>
      </w:r>
      <w:r w:rsidR="000159A6">
        <w:t xml:space="preserve"> </w:t>
      </w:r>
      <w:r w:rsidRPr="00F27E9A">
        <w:t>large</w:t>
      </w:r>
      <w:r w:rsidR="000159A6">
        <w:t xml:space="preserve"> </w:t>
      </w:r>
      <w:r w:rsidRPr="00F27E9A">
        <w:t>sample</w:t>
      </w:r>
      <w:r w:rsidR="000159A6">
        <w:t xml:space="preserve"> </w:t>
      </w:r>
      <w:r w:rsidRPr="00F27E9A">
        <w:t>size</w:t>
      </w:r>
      <w:r w:rsidR="000159A6">
        <w:t xml:space="preserve"> </w:t>
      </w:r>
      <w:r w:rsidRPr="00F27E9A">
        <w:t>(</w:t>
      </w:r>
      <w:r w:rsidR="000E6841">
        <w:t>that</w:t>
      </w:r>
      <w:r w:rsidR="000159A6">
        <w:t xml:space="preserve"> </w:t>
      </w:r>
      <w:r w:rsidR="000E6841">
        <w:t>is</w:t>
      </w:r>
      <w:r w:rsidR="000159A6">
        <w:t xml:space="preserve"> </w:t>
      </w:r>
      <w:r w:rsidRPr="00F27E9A">
        <w:t>more</w:t>
      </w:r>
      <w:r w:rsidR="000159A6">
        <w:t xml:space="preserve"> </w:t>
      </w:r>
      <w:r w:rsidRPr="00F27E9A">
        <w:t>t</w:t>
      </w:r>
      <w:r>
        <w:t>han</w:t>
      </w:r>
      <w:r w:rsidR="000159A6">
        <w:t xml:space="preserve"> </w:t>
      </w:r>
      <w:r>
        <w:t>300,000</w:t>
      </w:r>
      <w:r w:rsidR="000159A6">
        <w:t xml:space="preserve"> </w:t>
      </w:r>
      <w:r>
        <w:t>subjects,</w:t>
      </w:r>
      <w:r w:rsidR="000159A6">
        <w:t xml:space="preserve"> </w:t>
      </w:r>
      <w:r>
        <w:t>or</w:t>
      </w:r>
      <w:r w:rsidR="000159A6">
        <w:t xml:space="preserve"> </w:t>
      </w:r>
      <w:r>
        <w:t>around</w:t>
      </w:r>
      <w:r w:rsidR="000159A6">
        <w:t xml:space="preserve"> </w:t>
      </w:r>
      <w:r w:rsidRPr="00F27E9A">
        <w:t>10</w:t>
      </w:r>
      <w:r w:rsidR="000159A6">
        <w:t xml:space="preserve"> </w:t>
      </w:r>
      <w:r w:rsidRPr="00F27E9A">
        <w:t>times</w:t>
      </w:r>
      <w:r w:rsidR="000159A6">
        <w:t xml:space="preserve"> </w:t>
      </w:r>
      <w:r w:rsidRPr="00F27E9A">
        <w:t>larger</w:t>
      </w:r>
      <w:r w:rsidR="000159A6">
        <w:t xml:space="preserve"> </w:t>
      </w:r>
      <w:r w:rsidRPr="00F27E9A">
        <w:t>than</w:t>
      </w:r>
      <w:r w:rsidR="000159A6">
        <w:t xml:space="preserve"> </w:t>
      </w:r>
      <w:r w:rsidRPr="00F27E9A">
        <w:t>that</w:t>
      </w:r>
      <w:r w:rsidR="000159A6">
        <w:t xml:space="preserve"> </w:t>
      </w:r>
      <w:r w:rsidRPr="00F27E9A">
        <w:t>of</w:t>
      </w:r>
      <w:r w:rsidR="000159A6">
        <w:t xml:space="preserve"> </w:t>
      </w:r>
      <w:r w:rsidRPr="00F27E9A">
        <w:t>the</w:t>
      </w:r>
      <w:r w:rsidR="000159A6">
        <w:t xml:space="preserve"> </w:t>
      </w:r>
      <w:r w:rsidRPr="00F27E9A">
        <w:t>conducted</w:t>
      </w:r>
      <w:r w:rsidR="000159A6">
        <w:t xml:space="preserve"> </w:t>
      </w:r>
      <w:r w:rsidRPr="00F27E9A">
        <w:t>HZ/</w:t>
      </w:r>
      <w:proofErr w:type="spellStart"/>
      <w:r w:rsidRPr="00F27E9A">
        <w:t>su</w:t>
      </w:r>
      <w:proofErr w:type="spellEnd"/>
      <w:r w:rsidR="000159A6">
        <w:t xml:space="preserve"> </w:t>
      </w:r>
      <w:r w:rsidRPr="00F27E9A">
        <w:t>efficacy</w:t>
      </w:r>
      <w:r w:rsidR="000159A6">
        <w:t xml:space="preserve"> </w:t>
      </w:r>
      <w:r w:rsidRPr="00F27E9A">
        <w:t>studies)</w:t>
      </w:r>
      <w:r w:rsidR="000159A6">
        <w:t xml:space="preserve"> </w:t>
      </w:r>
      <w:r w:rsidRPr="00F27E9A">
        <w:t>to</w:t>
      </w:r>
      <w:r w:rsidR="000159A6">
        <w:t xml:space="preserve"> </w:t>
      </w:r>
      <w:r w:rsidRPr="00F27E9A">
        <w:t>be</w:t>
      </w:r>
      <w:r w:rsidR="000159A6">
        <w:t xml:space="preserve"> </w:t>
      </w:r>
      <w:r w:rsidRPr="00F27E9A">
        <w:t>able</w:t>
      </w:r>
      <w:r w:rsidR="000159A6">
        <w:t xml:space="preserve"> </w:t>
      </w:r>
      <w:r>
        <w:t>to</w:t>
      </w:r>
      <w:r w:rsidR="000159A6">
        <w:t xml:space="preserve"> </w:t>
      </w:r>
      <w:r>
        <w:t>demonstrate</w:t>
      </w:r>
      <w:r w:rsidR="000159A6">
        <w:t xml:space="preserve"> </w:t>
      </w:r>
      <w:r>
        <w:t>a</w:t>
      </w:r>
      <w:r w:rsidR="000159A6">
        <w:t xml:space="preserve"> </w:t>
      </w:r>
      <w:r>
        <w:t>statistically</w:t>
      </w:r>
      <w:r w:rsidR="000159A6">
        <w:t xml:space="preserve"> </w:t>
      </w:r>
      <w:r w:rsidRPr="00F27E9A">
        <w:t>significant</w:t>
      </w:r>
      <w:r w:rsidR="000159A6">
        <w:t xml:space="preserve"> </w:t>
      </w:r>
      <w:r w:rsidRPr="00F27E9A">
        <w:t>effect.</w:t>
      </w:r>
    </w:p>
    <w:p w14:paraId="2031E697" w14:textId="34DFD1F9" w:rsidR="00F27E9A" w:rsidRPr="00F27E9A" w:rsidRDefault="00F27E9A" w:rsidP="00F27E9A">
      <w:r w:rsidRPr="00F27E9A">
        <w:t>However,</w:t>
      </w:r>
      <w:r w:rsidR="000159A6">
        <w:t xml:space="preserve"> </w:t>
      </w:r>
      <w:r w:rsidRPr="00F27E9A">
        <w:t>several</w:t>
      </w:r>
      <w:r w:rsidR="000159A6">
        <w:t xml:space="preserve"> </w:t>
      </w:r>
      <w:r w:rsidRPr="00F27E9A">
        <w:t>other</w:t>
      </w:r>
      <w:r w:rsidR="000159A6">
        <w:t xml:space="preserve"> </w:t>
      </w:r>
      <w:r w:rsidRPr="00F27E9A">
        <w:t>pre-specified</w:t>
      </w:r>
      <w:r w:rsidR="000159A6">
        <w:t xml:space="preserve"> </w:t>
      </w:r>
      <w:r w:rsidRPr="00F27E9A">
        <w:t>endpoints</w:t>
      </w:r>
      <w:r w:rsidR="000159A6">
        <w:t xml:space="preserve"> </w:t>
      </w:r>
      <w:r w:rsidRPr="00F27E9A">
        <w:t>on</w:t>
      </w:r>
      <w:r w:rsidR="000159A6">
        <w:t xml:space="preserve"> </w:t>
      </w:r>
      <w:r w:rsidR="000D0435">
        <w:t>HZ</w:t>
      </w:r>
      <w:r w:rsidR="000159A6">
        <w:t xml:space="preserve"> </w:t>
      </w:r>
      <w:r w:rsidR="000D0435">
        <w:t>related</w:t>
      </w:r>
      <w:r w:rsidR="000159A6">
        <w:t xml:space="preserve"> </w:t>
      </w:r>
      <w:r w:rsidRPr="00F27E9A">
        <w:t>pain</w:t>
      </w:r>
      <w:r w:rsidR="000159A6">
        <w:t xml:space="preserve"> </w:t>
      </w:r>
      <w:r w:rsidRPr="00F27E9A">
        <w:t>were</w:t>
      </w:r>
      <w:r w:rsidR="000159A6">
        <w:t xml:space="preserve"> </w:t>
      </w:r>
      <w:r w:rsidRPr="00F27E9A">
        <w:t>eval</w:t>
      </w:r>
      <w:r>
        <w:t>uated</w:t>
      </w:r>
      <w:r w:rsidR="000159A6">
        <w:t xml:space="preserve"> </w:t>
      </w:r>
      <w:r>
        <w:t>in</w:t>
      </w:r>
      <w:r w:rsidR="000159A6">
        <w:t xml:space="preserve"> </w:t>
      </w:r>
      <w:r>
        <w:t>the</w:t>
      </w:r>
      <w:r w:rsidR="000159A6">
        <w:t xml:space="preserve"> </w:t>
      </w:r>
      <w:r>
        <w:t>Phase</w:t>
      </w:r>
      <w:r w:rsidR="000159A6">
        <w:t xml:space="preserve"> </w:t>
      </w:r>
      <w:r>
        <w:t>III</w:t>
      </w:r>
      <w:r w:rsidR="000159A6">
        <w:t xml:space="preserve"> </w:t>
      </w:r>
      <w:r>
        <w:t>efficacy</w:t>
      </w:r>
      <w:r w:rsidR="000159A6">
        <w:t xml:space="preserve"> </w:t>
      </w:r>
      <w:r w:rsidRPr="00F27E9A">
        <w:t>studies</w:t>
      </w:r>
      <w:r w:rsidR="000159A6">
        <w:t xml:space="preserve"> </w:t>
      </w:r>
      <w:r w:rsidRPr="00F27E9A">
        <w:t>in</w:t>
      </w:r>
      <w:r w:rsidR="000159A6">
        <w:t xml:space="preserve"> </w:t>
      </w:r>
      <w:r w:rsidRPr="00F27E9A">
        <w:t>subjects</w:t>
      </w:r>
      <w:r w:rsidR="000159A6">
        <w:t xml:space="preserve"> </w:t>
      </w:r>
      <w:r w:rsidRPr="00F27E9A">
        <w:t>with</w:t>
      </w:r>
      <w:r w:rsidR="000159A6">
        <w:t xml:space="preserve"> </w:t>
      </w:r>
      <w:r w:rsidRPr="00F27E9A">
        <w:t>at</w:t>
      </w:r>
      <w:r w:rsidR="000159A6">
        <w:t xml:space="preserve"> </w:t>
      </w:r>
      <w:r w:rsidRPr="00F27E9A">
        <w:t>least</w:t>
      </w:r>
      <w:r w:rsidR="000159A6">
        <w:t xml:space="preserve"> </w:t>
      </w:r>
      <w:r w:rsidRPr="00F27E9A">
        <w:t>one</w:t>
      </w:r>
      <w:r w:rsidR="000159A6">
        <w:t xml:space="preserve"> </w:t>
      </w:r>
      <w:r w:rsidRPr="00F27E9A">
        <w:t>confirmed</w:t>
      </w:r>
      <w:r w:rsidR="000159A6">
        <w:t xml:space="preserve"> </w:t>
      </w:r>
      <w:r w:rsidRPr="00F27E9A">
        <w:t>HZ</w:t>
      </w:r>
      <w:r w:rsidR="000159A6">
        <w:t xml:space="preserve"> </w:t>
      </w:r>
      <w:r w:rsidRPr="00F27E9A">
        <w:t>episode</w:t>
      </w:r>
      <w:r w:rsidR="000159A6">
        <w:t xml:space="preserve"> </w:t>
      </w:r>
      <w:r w:rsidRPr="00F27E9A">
        <w:t>following</w:t>
      </w:r>
      <w:r w:rsidR="000159A6">
        <w:t xml:space="preserve"> </w:t>
      </w:r>
      <w:r w:rsidRPr="00F27E9A">
        <w:t>vaccinatio</w:t>
      </w:r>
      <w:r>
        <w:t>n</w:t>
      </w:r>
      <w:r w:rsidR="000159A6">
        <w:t xml:space="preserve"> </w:t>
      </w:r>
      <w:r>
        <w:t>with</w:t>
      </w:r>
      <w:r w:rsidR="000159A6">
        <w:t xml:space="preserve"> </w:t>
      </w:r>
      <w:r>
        <w:t>HZ/</w:t>
      </w:r>
      <w:proofErr w:type="spellStart"/>
      <w:r>
        <w:t>su</w:t>
      </w:r>
      <w:proofErr w:type="spellEnd"/>
      <w:r>
        <w:t>.</w:t>
      </w:r>
      <w:r w:rsidR="000159A6">
        <w:t xml:space="preserve"> </w:t>
      </w:r>
      <w:r>
        <w:t>For</w:t>
      </w:r>
      <w:r w:rsidR="000159A6">
        <w:t xml:space="preserve"> </w:t>
      </w:r>
      <w:r>
        <w:t>all</w:t>
      </w:r>
      <w:r w:rsidR="000159A6">
        <w:t xml:space="preserve"> </w:t>
      </w:r>
      <w:r>
        <w:t>HZ</w:t>
      </w:r>
      <w:r w:rsidR="000159A6">
        <w:t xml:space="preserve"> </w:t>
      </w:r>
      <w:r>
        <w:t>related</w:t>
      </w:r>
      <w:r w:rsidR="000159A6">
        <w:t xml:space="preserve"> </w:t>
      </w:r>
      <w:r w:rsidRPr="00F27E9A">
        <w:t>pain</w:t>
      </w:r>
      <w:r w:rsidR="000159A6">
        <w:t xml:space="preserve"> </w:t>
      </w:r>
      <w:r w:rsidRPr="00F27E9A">
        <w:t>endpoints</w:t>
      </w:r>
      <w:r w:rsidR="000159A6">
        <w:t xml:space="preserve"> </w:t>
      </w:r>
      <w:r w:rsidRPr="00F27E9A">
        <w:t>(other</w:t>
      </w:r>
      <w:r w:rsidR="000159A6">
        <w:t xml:space="preserve"> </w:t>
      </w:r>
      <w:r w:rsidRPr="00F27E9A">
        <w:t>than</w:t>
      </w:r>
      <w:r w:rsidR="000159A6">
        <w:t xml:space="preserve"> </w:t>
      </w:r>
      <w:r w:rsidRPr="00F27E9A">
        <w:t>PHN),</w:t>
      </w:r>
      <w:r w:rsidR="000159A6">
        <w:t xml:space="preserve"> </w:t>
      </w:r>
      <w:r w:rsidRPr="00F27E9A">
        <w:t>there</w:t>
      </w:r>
      <w:r w:rsidR="000159A6">
        <w:t xml:space="preserve"> </w:t>
      </w:r>
      <w:r w:rsidRPr="00F27E9A">
        <w:t>was</w:t>
      </w:r>
      <w:r w:rsidR="000159A6">
        <w:t xml:space="preserve"> </w:t>
      </w:r>
      <w:r w:rsidRPr="00F27E9A">
        <w:t>a</w:t>
      </w:r>
      <w:r w:rsidR="000159A6">
        <w:t xml:space="preserve"> </w:t>
      </w:r>
      <w:r w:rsidRPr="00F27E9A">
        <w:t>consistent</w:t>
      </w:r>
      <w:r w:rsidR="000159A6">
        <w:t xml:space="preserve"> </w:t>
      </w:r>
      <w:r w:rsidRPr="00F27E9A">
        <w:t>trend</w:t>
      </w:r>
      <w:r w:rsidR="000159A6">
        <w:t xml:space="preserve"> </w:t>
      </w:r>
      <w:r w:rsidRPr="00F27E9A">
        <w:t>for</w:t>
      </w:r>
      <w:r w:rsidR="000159A6">
        <w:t xml:space="preserve"> </w:t>
      </w:r>
      <w:r w:rsidRPr="00F27E9A">
        <w:t>a</w:t>
      </w:r>
      <w:r w:rsidR="000159A6">
        <w:t xml:space="preserve"> </w:t>
      </w:r>
      <w:r>
        <w:t>beneficial</w:t>
      </w:r>
      <w:r w:rsidR="000159A6">
        <w:t xml:space="preserve"> </w:t>
      </w:r>
      <w:r>
        <w:t>effect</w:t>
      </w:r>
      <w:r w:rsidR="000159A6">
        <w:t xml:space="preserve"> </w:t>
      </w:r>
      <w:r>
        <w:t>of</w:t>
      </w:r>
      <w:r w:rsidR="000159A6">
        <w:t xml:space="preserve"> </w:t>
      </w:r>
      <w:r>
        <w:t>HZ/</w:t>
      </w:r>
      <w:proofErr w:type="spellStart"/>
      <w:r>
        <w:t>su</w:t>
      </w:r>
      <w:proofErr w:type="spellEnd"/>
      <w:r w:rsidR="000159A6">
        <w:t xml:space="preserve"> </w:t>
      </w:r>
      <w:r w:rsidR="008D4538">
        <w:t>versus</w:t>
      </w:r>
      <w:r w:rsidR="000159A6">
        <w:t xml:space="preserve"> </w:t>
      </w:r>
      <w:r w:rsidRPr="00F27E9A">
        <w:t>placebo</w:t>
      </w:r>
      <w:r w:rsidR="000159A6">
        <w:t xml:space="preserve"> </w:t>
      </w:r>
      <w:r w:rsidRPr="00F27E9A">
        <w:t>and</w:t>
      </w:r>
      <w:r w:rsidR="000159A6">
        <w:t xml:space="preserve"> </w:t>
      </w:r>
      <w:r w:rsidRPr="00F27E9A">
        <w:t>for</w:t>
      </w:r>
      <w:r w:rsidR="000159A6">
        <w:t xml:space="preserve"> </w:t>
      </w:r>
      <w:r w:rsidRPr="00F27E9A">
        <w:t>several</w:t>
      </w:r>
      <w:r w:rsidR="000159A6">
        <w:t xml:space="preserve"> </w:t>
      </w:r>
      <w:r w:rsidRPr="00F27E9A">
        <w:t>of</w:t>
      </w:r>
      <w:r w:rsidR="000159A6">
        <w:t xml:space="preserve"> </w:t>
      </w:r>
      <w:r w:rsidRPr="00F27E9A">
        <w:t>these</w:t>
      </w:r>
      <w:r w:rsidR="000159A6">
        <w:t xml:space="preserve"> </w:t>
      </w:r>
      <w:r w:rsidRPr="00F27E9A">
        <w:t>endpoints</w:t>
      </w:r>
      <w:r w:rsidR="000159A6">
        <w:t xml:space="preserve"> </w:t>
      </w:r>
      <w:r w:rsidRPr="00F27E9A">
        <w:t>there</w:t>
      </w:r>
      <w:r w:rsidR="000159A6">
        <w:t xml:space="preserve"> </w:t>
      </w:r>
      <w:r w:rsidRPr="00F27E9A">
        <w:t>was</w:t>
      </w:r>
      <w:r w:rsidR="000159A6">
        <w:t xml:space="preserve"> </w:t>
      </w:r>
      <w:r w:rsidRPr="00F27E9A">
        <w:t>a</w:t>
      </w:r>
      <w:r w:rsidR="000159A6">
        <w:t xml:space="preserve"> </w:t>
      </w:r>
      <w:r w:rsidRPr="00F27E9A">
        <w:t>statistically</w:t>
      </w:r>
      <w:r w:rsidR="000159A6">
        <w:t xml:space="preserve"> </w:t>
      </w:r>
      <w:r w:rsidRPr="00F27E9A">
        <w:t>significa</w:t>
      </w:r>
      <w:r>
        <w:t>nt</w:t>
      </w:r>
      <w:r w:rsidR="000159A6">
        <w:t xml:space="preserve"> </w:t>
      </w:r>
      <w:r>
        <w:t>positive</w:t>
      </w:r>
      <w:r w:rsidR="000159A6">
        <w:t xml:space="preserve"> </w:t>
      </w:r>
      <w:r>
        <w:t>effect</w:t>
      </w:r>
      <w:r w:rsidR="000159A6">
        <w:t xml:space="preserve"> </w:t>
      </w:r>
      <w:r>
        <w:t>of</w:t>
      </w:r>
      <w:r w:rsidR="000159A6">
        <w:t xml:space="preserve"> </w:t>
      </w:r>
      <w:r>
        <w:t>HZ/</w:t>
      </w:r>
      <w:proofErr w:type="spellStart"/>
      <w:r>
        <w:t>su</w:t>
      </w:r>
      <w:proofErr w:type="spellEnd"/>
      <w:r w:rsidR="000159A6">
        <w:t xml:space="preserve"> </w:t>
      </w:r>
      <w:r w:rsidR="008D4538">
        <w:t>versus</w:t>
      </w:r>
      <w:r w:rsidR="000159A6">
        <w:t xml:space="preserve"> </w:t>
      </w:r>
      <w:r w:rsidRPr="00F27E9A">
        <w:t>placebo</w:t>
      </w:r>
      <w:r w:rsidR="000159A6">
        <w:t xml:space="preserve"> </w:t>
      </w:r>
      <w:r w:rsidRPr="00F27E9A">
        <w:t>on</w:t>
      </w:r>
      <w:r w:rsidR="000159A6">
        <w:t xml:space="preserve"> </w:t>
      </w:r>
      <w:r w:rsidR="000D0435">
        <w:t>HZ</w:t>
      </w:r>
      <w:r w:rsidR="000159A6">
        <w:t xml:space="preserve"> </w:t>
      </w:r>
      <w:r w:rsidR="000D0435">
        <w:t>related</w:t>
      </w:r>
      <w:r w:rsidR="000159A6">
        <w:t xml:space="preserve"> </w:t>
      </w:r>
      <w:r w:rsidRPr="00F27E9A">
        <w:t>pain</w:t>
      </w:r>
      <w:r w:rsidR="000159A6">
        <w:t xml:space="preserve"> </w:t>
      </w:r>
      <w:r w:rsidRPr="00F27E9A">
        <w:t>above</w:t>
      </w:r>
      <w:r w:rsidR="000159A6">
        <w:t xml:space="preserve"> </w:t>
      </w:r>
      <w:r w:rsidRPr="00F27E9A">
        <w:t>and</w:t>
      </w:r>
      <w:r w:rsidR="000159A6">
        <w:t xml:space="preserve"> </w:t>
      </w:r>
      <w:r w:rsidRPr="00F27E9A">
        <w:t>beyond</w:t>
      </w:r>
      <w:r w:rsidR="000159A6">
        <w:t xml:space="preserve"> </w:t>
      </w:r>
      <w:r w:rsidRPr="00F27E9A">
        <w:t>the</w:t>
      </w:r>
      <w:r w:rsidR="000159A6">
        <w:t xml:space="preserve"> </w:t>
      </w:r>
      <w:r w:rsidRPr="00F27E9A">
        <w:t>effect</w:t>
      </w:r>
      <w:r w:rsidR="000159A6">
        <w:t xml:space="preserve"> </w:t>
      </w:r>
      <w:r w:rsidRPr="00F27E9A">
        <w:t>on</w:t>
      </w:r>
      <w:r w:rsidR="000159A6">
        <w:t xml:space="preserve"> </w:t>
      </w:r>
      <w:r w:rsidRPr="00F27E9A">
        <w:t>HZ</w:t>
      </w:r>
      <w:r w:rsidR="000159A6">
        <w:t xml:space="preserve"> </w:t>
      </w:r>
      <w:r w:rsidRPr="00F27E9A">
        <w:t>incidence,</w:t>
      </w:r>
      <w:r w:rsidR="000159A6">
        <w:t xml:space="preserve"> </w:t>
      </w:r>
      <w:r>
        <w:t>despite</w:t>
      </w:r>
      <w:r w:rsidR="000159A6">
        <w:t xml:space="preserve"> </w:t>
      </w:r>
      <w:r>
        <w:t>the</w:t>
      </w:r>
      <w:r w:rsidR="000159A6">
        <w:t xml:space="preserve"> </w:t>
      </w:r>
      <w:r>
        <w:t>very</w:t>
      </w:r>
      <w:r w:rsidR="000159A6">
        <w:t xml:space="preserve"> </w:t>
      </w:r>
      <w:r>
        <w:t>low</w:t>
      </w:r>
      <w:r w:rsidR="000159A6">
        <w:t xml:space="preserve"> </w:t>
      </w:r>
      <w:r>
        <w:t>number</w:t>
      </w:r>
      <w:r w:rsidR="000159A6">
        <w:t xml:space="preserve"> </w:t>
      </w:r>
      <w:r>
        <w:t>of</w:t>
      </w:r>
      <w:r w:rsidR="000159A6">
        <w:t xml:space="preserve"> </w:t>
      </w:r>
      <w:r w:rsidRPr="00F27E9A">
        <w:t>breakthrough</w:t>
      </w:r>
      <w:r w:rsidR="000159A6">
        <w:t xml:space="preserve"> </w:t>
      </w:r>
      <w:r w:rsidRPr="00F27E9A">
        <w:t>cases.</w:t>
      </w:r>
    </w:p>
    <w:p w14:paraId="08695886" w14:textId="387A237E" w:rsidR="00316881" w:rsidRPr="00F27E9A" w:rsidRDefault="00F27E9A" w:rsidP="00440509">
      <w:r w:rsidRPr="00F27E9A">
        <w:t>These</w:t>
      </w:r>
      <w:r w:rsidR="000159A6">
        <w:t xml:space="preserve"> </w:t>
      </w:r>
      <w:r w:rsidRPr="00F27E9A">
        <w:t>data</w:t>
      </w:r>
      <w:r w:rsidR="000159A6">
        <w:t xml:space="preserve"> </w:t>
      </w:r>
      <w:r w:rsidRPr="00F27E9A">
        <w:t>demonstrate</w:t>
      </w:r>
      <w:r w:rsidR="000159A6">
        <w:t xml:space="preserve"> </w:t>
      </w:r>
      <w:r w:rsidRPr="00F27E9A">
        <w:t>the</w:t>
      </w:r>
      <w:r w:rsidR="000159A6">
        <w:t xml:space="preserve"> </w:t>
      </w:r>
      <w:r w:rsidRPr="00F27E9A">
        <w:t>effect</w:t>
      </w:r>
      <w:r w:rsidR="000159A6">
        <w:t xml:space="preserve"> </w:t>
      </w:r>
      <w:r w:rsidRPr="00F27E9A">
        <w:t>of</w:t>
      </w:r>
      <w:r w:rsidR="000159A6">
        <w:t xml:space="preserve"> </w:t>
      </w:r>
      <w:r w:rsidRPr="00F27E9A">
        <w:t>HZ/</w:t>
      </w:r>
      <w:proofErr w:type="spellStart"/>
      <w:r w:rsidRPr="00F27E9A">
        <w:t>su</w:t>
      </w:r>
      <w:proofErr w:type="spellEnd"/>
      <w:r w:rsidR="000159A6">
        <w:t xml:space="preserve"> </w:t>
      </w:r>
      <w:r w:rsidRPr="00F27E9A">
        <w:t>in</w:t>
      </w:r>
      <w:r w:rsidR="000159A6">
        <w:t xml:space="preserve"> </w:t>
      </w:r>
      <w:r w:rsidRPr="00F27E9A">
        <w:t>reducing</w:t>
      </w:r>
      <w:r w:rsidR="000159A6">
        <w:t xml:space="preserve"> </w:t>
      </w:r>
      <w:r w:rsidR="000D0435">
        <w:t>HZ</w:t>
      </w:r>
      <w:r w:rsidR="000159A6">
        <w:t xml:space="preserve"> </w:t>
      </w:r>
      <w:r w:rsidR="000D0435">
        <w:t>related</w:t>
      </w:r>
      <w:r w:rsidR="000159A6">
        <w:t xml:space="preserve"> </w:t>
      </w:r>
      <w:r>
        <w:t>pain</w:t>
      </w:r>
      <w:r w:rsidR="000159A6">
        <w:t xml:space="preserve"> </w:t>
      </w:r>
      <w:r>
        <w:t>in</w:t>
      </w:r>
      <w:r w:rsidR="000159A6">
        <w:t xml:space="preserve"> </w:t>
      </w:r>
      <w:r>
        <w:t>subjects</w:t>
      </w:r>
      <w:r w:rsidR="000159A6">
        <w:t xml:space="preserve"> </w:t>
      </w:r>
      <w:r>
        <w:t>who</w:t>
      </w:r>
      <w:r w:rsidR="000159A6">
        <w:t xml:space="preserve"> </w:t>
      </w:r>
      <w:r>
        <w:t>develop</w:t>
      </w:r>
      <w:r w:rsidR="000159A6">
        <w:t xml:space="preserve"> </w:t>
      </w:r>
      <w:r w:rsidRPr="00F27E9A">
        <w:t>breakthrough</w:t>
      </w:r>
      <w:r w:rsidR="000159A6">
        <w:t xml:space="preserve"> </w:t>
      </w:r>
      <w:r w:rsidRPr="00F27E9A">
        <w:t>HZ.</w:t>
      </w:r>
      <w:r w:rsidR="000159A6">
        <w:t xml:space="preserve"> </w:t>
      </w:r>
      <w:r w:rsidRPr="00F27E9A">
        <w:t>PHN</w:t>
      </w:r>
      <w:r w:rsidR="000159A6">
        <w:t xml:space="preserve"> </w:t>
      </w:r>
      <w:r w:rsidRPr="00F27E9A">
        <w:t>is</w:t>
      </w:r>
      <w:r w:rsidR="000159A6">
        <w:t xml:space="preserve"> </w:t>
      </w:r>
      <w:r w:rsidRPr="00F27E9A">
        <w:t>defined</w:t>
      </w:r>
      <w:r w:rsidR="000159A6">
        <w:t xml:space="preserve"> </w:t>
      </w:r>
      <w:r w:rsidRPr="00F27E9A">
        <w:t>as</w:t>
      </w:r>
      <w:r w:rsidR="000159A6">
        <w:t xml:space="preserve"> </w:t>
      </w:r>
      <w:r w:rsidRPr="00F27E9A">
        <w:t>the</w:t>
      </w:r>
      <w:r w:rsidR="000159A6">
        <w:t xml:space="preserve"> </w:t>
      </w:r>
      <w:r w:rsidRPr="00F27E9A">
        <w:t>continuation</w:t>
      </w:r>
      <w:r w:rsidR="000159A6">
        <w:t xml:space="preserve"> </w:t>
      </w:r>
      <w:r w:rsidRPr="00F27E9A">
        <w:t>(defined</w:t>
      </w:r>
      <w:r w:rsidR="000159A6">
        <w:t xml:space="preserve"> </w:t>
      </w:r>
      <w:r w:rsidRPr="00F27E9A">
        <w:t>as</w:t>
      </w:r>
      <w:r w:rsidR="000159A6">
        <w:t xml:space="preserve"> </w:t>
      </w:r>
      <w:r w:rsidRPr="00F27E9A">
        <w:t>beyond</w:t>
      </w:r>
      <w:r w:rsidR="000159A6">
        <w:t xml:space="preserve"> </w:t>
      </w:r>
      <w:r w:rsidRPr="00F27E9A">
        <w:t>90</w:t>
      </w:r>
      <w:r w:rsidR="000159A6">
        <w:t xml:space="preserve"> </w:t>
      </w:r>
      <w:r w:rsidRPr="00F27E9A">
        <w:t>days</w:t>
      </w:r>
      <w:r w:rsidR="000159A6">
        <w:t xml:space="preserve"> </w:t>
      </w:r>
      <w:r>
        <w:t>after</w:t>
      </w:r>
      <w:r w:rsidR="000159A6">
        <w:t xml:space="preserve"> </w:t>
      </w:r>
      <w:r>
        <w:t>rash</w:t>
      </w:r>
      <w:r w:rsidR="000159A6">
        <w:t xml:space="preserve"> </w:t>
      </w:r>
      <w:r>
        <w:t>onset)</w:t>
      </w:r>
      <w:r w:rsidR="000159A6">
        <w:t xml:space="preserve"> </w:t>
      </w:r>
      <w:r>
        <w:t>of</w:t>
      </w:r>
      <w:r w:rsidR="000159A6">
        <w:t xml:space="preserve"> </w:t>
      </w:r>
      <w:r>
        <w:t>HZ</w:t>
      </w:r>
      <w:r w:rsidR="000159A6">
        <w:t xml:space="preserve"> </w:t>
      </w:r>
      <w:r>
        <w:t>related</w:t>
      </w:r>
      <w:r w:rsidR="000159A6">
        <w:t xml:space="preserve"> </w:t>
      </w:r>
      <w:r w:rsidRPr="00F27E9A">
        <w:t>pain</w:t>
      </w:r>
      <w:r w:rsidR="000159A6">
        <w:t xml:space="preserve"> </w:t>
      </w:r>
      <w:r w:rsidRPr="00F27E9A">
        <w:t>observed</w:t>
      </w:r>
      <w:r w:rsidR="000159A6">
        <w:t xml:space="preserve"> </w:t>
      </w:r>
      <w:r w:rsidRPr="00F27E9A">
        <w:t>at</w:t>
      </w:r>
      <w:r w:rsidR="000159A6">
        <w:t xml:space="preserve"> </w:t>
      </w:r>
      <w:r w:rsidRPr="00F27E9A">
        <w:t>the</w:t>
      </w:r>
      <w:r w:rsidR="000159A6">
        <w:t xml:space="preserve"> </w:t>
      </w:r>
      <w:r w:rsidRPr="00F27E9A">
        <w:t>time</w:t>
      </w:r>
      <w:r w:rsidR="000159A6">
        <w:t xml:space="preserve"> </w:t>
      </w:r>
      <w:r w:rsidRPr="00F27E9A">
        <w:t>of</w:t>
      </w:r>
      <w:r w:rsidR="000159A6">
        <w:t xml:space="preserve"> </w:t>
      </w:r>
      <w:r w:rsidRPr="00F27E9A">
        <w:t>and</w:t>
      </w:r>
      <w:r w:rsidR="000159A6">
        <w:t xml:space="preserve"> </w:t>
      </w:r>
      <w:r w:rsidRPr="00F27E9A">
        <w:t>in</w:t>
      </w:r>
      <w:r w:rsidR="000159A6">
        <w:t xml:space="preserve"> </w:t>
      </w:r>
      <w:r w:rsidRPr="00F27E9A">
        <w:t>the</w:t>
      </w:r>
      <w:r w:rsidR="000159A6">
        <w:t xml:space="preserve"> </w:t>
      </w:r>
      <w:r w:rsidRPr="00F27E9A">
        <w:t>weeks</w:t>
      </w:r>
      <w:r w:rsidR="000159A6">
        <w:t xml:space="preserve"> </w:t>
      </w:r>
      <w:r w:rsidRPr="00F27E9A">
        <w:t>following</w:t>
      </w:r>
      <w:r w:rsidR="000159A6">
        <w:t xml:space="preserve"> </w:t>
      </w:r>
      <w:r w:rsidRPr="00F27E9A">
        <w:t>rash</w:t>
      </w:r>
      <w:r w:rsidR="000159A6">
        <w:t xml:space="preserve"> </w:t>
      </w:r>
      <w:r w:rsidRPr="00F27E9A">
        <w:t>onset.</w:t>
      </w:r>
      <w:r w:rsidR="000159A6">
        <w:t xml:space="preserve"> </w:t>
      </w:r>
      <w:r w:rsidRPr="00F27E9A">
        <w:t>T</w:t>
      </w:r>
      <w:r>
        <w:t>herefore,</w:t>
      </w:r>
      <w:r w:rsidR="000159A6">
        <w:t xml:space="preserve"> </w:t>
      </w:r>
      <w:r>
        <w:t>GSK</w:t>
      </w:r>
      <w:r w:rsidR="000159A6">
        <w:t xml:space="preserve"> </w:t>
      </w:r>
      <w:r>
        <w:t>is</w:t>
      </w:r>
      <w:r w:rsidR="000159A6">
        <w:t xml:space="preserve"> </w:t>
      </w:r>
      <w:r>
        <w:t>of</w:t>
      </w:r>
      <w:r w:rsidR="000159A6">
        <w:t xml:space="preserve"> </w:t>
      </w:r>
      <w:r>
        <w:t>the</w:t>
      </w:r>
      <w:r w:rsidR="000159A6">
        <w:t xml:space="preserve"> </w:t>
      </w:r>
      <w:r>
        <w:t>opinion</w:t>
      </w:r>
      <w:r w:rsidR="000159A6">
        <w:t xml:space="preserve"> </w:t>
      </w:r>
      <w:r w:rsidRPr="00F27E9A">
        <w:t>there</w:t>
      </w:r>
      <w:r w:rsidR="000159A6">
        <w:t xml:space="preserve"> </w:t>
      </w:r>
      <w:r w:rsidRPr="00F27E9A">
        <w:t>is</w:t>
      </w:r>
      <w:r w:rsidR="000159A6">
        <w:t xml:space="preserve"> </w:t>
      </w:r>
      <w:r w:rsidRPr="00F27E9A">
        <w:t>no</w:t>
      </w:r>
      <w:r w:rsidR="000159A6">
        <w:t xml:space="preserve"> </w:t>
      </w:r>
      <w:r w:rsidRPr="00F27E9A">
        <w:t>reason</w:t>
      </w:r>
      <w:r w:rsidR="000159A6">
        <w:t xml:space="preserve"> </w:t>
      </w:r>
      <w:r w:rsidRPr="00F27E9A">
        <w:t>to</w:t>
      </w:r>
      <w:r w:rsidR="000159A6">
        <w:t xml:space="preserve"> </w:t>
      </w:r>
      <w:r w:rsidRPr="00F27E9A">
        <w:t>conclude</w:t>
      </w:r>
      <w:r w:rsidR="000159A6">
        <w:t xml:space="preserve"> </w:t>
      </w:r>
      <w:r w:rsidRPr="00F27E9A">
        <w:t>that</w:t>
      </w:r>
      <w:r w:rsidR="000159A6">
        <w:t xml:space="preserve"> </w:t>
      </w:r>
      <w:r w:rsidRPr="00F27E9A">
        <w:t>HZ/</w:t>
      </w:r>
      <w:proofErr w:type="spellStart"/>
      <w:r w:rsidRPr="00F27E9A">
        <w:t>su</w:t>
      </w:r>
      <w:proofErr w:type="spellEnd"/>
      <w:r w:rsidR="000159A6">
        <w:t xml:space="preserve"> </w:t>
      </w:r>
      <w:r w:rsidRPr="00F27E9A">
        <w:t>would</w:t>
      </w:r>
      <w:r w:rsidR="000159A6">
        <w:t xml:space="preserve"> </w:t>
      </w:r>
      <w:r w:rsidRPr="00F27E9A">
        <w:t>not</w:t>
      </w:r>
      <w:r w:rsidR="000159A6">
        <w:t xml:space="preserve"> </w:t>
      </w:r>
      <w:r w:rsidRPr="00F27E9A">
        <w:t>be</w:t>
      </w:r>
      <w:r w:rsidR="000159A6">
        <w:t xml:space="preserve"> </w:t>
      </w:r>
      <w:r w:rsidRPr="00F27E9A">
        <w:t>able</w:t>
      </w:r>
      <w:r w:rsidR="000159A6">
        <w:t xml:space="preserve"> </w:t>
      </w:r>
      <w:r w:rsidRPr="00F27E9A">
        <w:t>to</w:t>
      </w:r>
      <w:r w:rsidR="000159A6">
        <w:t xml:space="preserve"> </w:t>
      </w:r>
      <w:r w:rsidRPr="00F27E9A">
        <w:t>efficiently</w:t>
      </w:r>
      <w:r w:rsidR="000159A6">
        <w:t xml:space="preserve"> </w:t>
      </w:r>
      <w:r w:rsidRPr="00F27E9A">
        <w:t>prevent</w:t>
      </w:r>
      <w:r w:rsidR="000159A6">
        <w:t xml:space="preserve"> </w:t>
      </w:r>
      <w:r w:rsidRPr="00F27E9A">
        <w:t>PHN</w:t>
      </w:r>
      <w:r w:rsidR="000159A6">
        <w:t xml:space="preserve"> </w:t>
      </w:r>
      <w:r>
        <w:t>in</w:t>
      </w:r>
      <w:r w:rsidR="000159A6">
        <w:t xml:space="preserve"> </w:t>
      </w:r>
      <w:r>
        <w:t>vaccinees</w:t>
      </w:r>
      <w:r w:rsidR="000159A6">
        <w:t xml:space="preserve"> </w:t>
      </w:r>
      <w:r>
        <w:t>who</w:t>
      </w:r>
      <w:r w:rsidR="000159A6">
        <w:t xml:space="preserve"> </w:t>
      </w:r>
      <w:r w:rsidRPr="00F27E9A">
        <w:t>develop</w:t>
      </w:r>
      <w:r w:rsidR="000159A6">
        <w:t xml:space="preserve"> </w:t>
      </w:r>
      <w:r w:rsidRPr="00F27E9A">
        <w:t>HZ</w:t>
      </w:r>
      <w:r w:rsidR="000159A6">
        <w:t xml:space="preserve"> </w:t>
      </w:r>
      <w:r w:rsidRPr="00F27E9A">
        <w:t>even</w:t>
      </w:r>
      <w:r w:rsidR="000159A6">
        <w:t xml:space="preserve"> </w:t>
      </w:r>
      <w:r w:rsidRPr="00F27E9A">
        <w:t>though</w:t>
      </w:r>
      <w:r w:rsidR="000159A6">
        <w:t xml:space="preserve"> </w:t>
      </w:r>
      <w:r w:rsidRPr="00F27E9A">
        <w:t>this</w:t>
      </w:r>
      <w:r w:rsidR="000159A6">
        <w:t xml:space="preserve"> </w:t>
      </w:r>
      <w:r w:rsidRPr="00F27E9A">
        <w:t>could</w:t>
      </w:r>
      <w:r w:rsidR="000159A6">
        <w:t xml:space="preserve"> </w:t>
      </w:r>
      <w:r w:rsidRPr="00F27E9A">
        <w:t>not</w:t>
      </w:r>
      <w:r w:rsidR="000159A6">
        <w:t xml:space="preserve"> </w:t>
      </w:r>
      <w:r w:rsidRPr="00F27E9A">
        <w:t>be</w:t>
      </w:r>
      <w:r w:rsidR="000159A6">
        <w:t xml:space="preserve"> </w:t>
      </w:r>
      <w:r w:rsidRPr="00F27E9A">
        <w:t>statistically</w:t>
      </w:r>
      <w:r w:rsidR="000159A6">
        <w:t xml:space="preserve"> </w:t>
      </w:r>
      <w:r w:rsidRPr="00F27E9A">
        <w:t>demonstrated</w:t>
      </w:r>
      <w:r w:rsidR="000159A6">
        <w:t xml:space="preserve"> </w:t>
      </w:r>
      <w:r w:rsidRPr="00F27E9A">
        <w:t>due</w:t>
      </w:r>
      <w:r w:rsidR="000159A6">
        <w:t xml:space="preserve"> </w:t>
      </w:r>
      <w:r w:rsidRPr="00F27E9A">
        <w:t>to</w:t>
      </w:r>
      <w:r w:rsidR="000159A6">
        <w:t xml:space="preserve"> </w:t>
      </w:r>
      <w:r>
        <w:t>the</w:t>
      </w:r>
      <w:r w:rsidR="000159A6">
        <w:t xml:space="preserve"> </w:t>
      </w:r>
      <w:r>
        <w:t>very</w:t>
      </w:r>
      <w:r w:rsidR="000159A6">
        <w:t xml:space="preserve"> </w:t>
      </w:r>
      <w:r>
        <w:t>high</w:t>
      </w:r>
      <w:r w:rsidR="000159A6">
        <w:t xml:space="preserve"> </w:t>
      </w:r>
      <w:r>
        <w:t>efficacy</w:t>
      </w:r>
      <w:r w:rsidR="000159A6">
        <w:t xml:space="preserve"> </w:t>
      </w:r>
      <w:r>
        <w:t>of</w:t>
      </w:r>
      <w:r w:rsidR="000159A6">
        <w:t xml:space="preserve"> </w:t>
      </w:r>
      <w:r>
        <w:t>HZ/</w:t>
      </w:r>
      <w:proofErr w:type="spellStart"/>
      <w:r>
        <w:t>su</w:t>
      </w:r>
      <w:proofErr w:type="spellEnd"/>
      <w:r w:rsidR="000159A6">
        <w:t xml:space="preserve"> </w:t>
      </w:r>
      <w:r w:rsidRPr="00F27E9A">
        <w:t>resulting</w:t>
      </w:r>
      <w:r w:rsidR="000159A6">
        <w:t xml:space="preserve"> </w:t>
      </w:r>
      <w:r w:rsidRPr="00F27E9A">
        <w:t>in</w:t>
      </w:r>
      <w:r w:rsidR="000159A6">
        <w:t xml:space="preserve"> </w:t>
      </w:r>
      <w:r w:rsidRPr="00F27E9A">
        <w:t>low</w:t>
      </w:r>
      <w:r w:rsidR="000159A6">
        <w:t xml:space="preserve"> </w:t>
      </w:r>
      <w:r w:rsidRPr="00F27E9A">
        <w:t>number</w:t>
      </w:r>
      <w:r w:rsidR="000159A6">
        <w:t xml:space="preserve"> </w:t>
      </w:r>
      <w:r w:rsidRPr="00F27E9A">
        <w:t>of</w:t>
      </w:r>
      <w:r w:rsidR="000159A6">
        <w:t xml:space="preserve"> </w:t>
      </w:r>
      <w:r w:rsidRPr="00F27E9A">
        <w:t>breakthrough</w:t>
      </w:r>
      <w:r w:rsidR="000159A6">
        <w:t xml:space="preserve"> </w:t>
      </w:r>
      <w:r w:rsidRPr="00F27E9A">
        <w:t>cases.</w:t>
      </w:r>
    </w:p>
    <w:p w14:paraId="2FAC917B" w14:textId="2F1C6BB2" w:rsidR="00F27E9A" w:rsidRPr="00E021B7" w:rsidRDefault="00F27E9A" w:rsidP="00E021B7">
      <w:pPr>
        <w:pStyle w:val="Numberbullet0"/>
        <w:rPr>
          <w:i/>
        </w:rPr>
      </w:pPr>
      <w:r w:rsidRPr="00E021B7">
        <w:rPr>
          <w:i/>
        </w:rPr>
        <w:t>Does</w:t>
      </w:r>
      <w:r w:rsidR="000159A6" w:rsidRPr="00E021B7">
        <w:rPr>
          <w:i/>
        </w:rPr>
        <w:t xml:space="preserve"> </w:t>
      </w:r>
      <w:r w:rsidR="005B2FA5" w:rsidRPr="00E021B7">
        <w:rPr>
          <w:i/>
        </w:rPr>
        <w:t>the</w:t>
      </w:r>
      <w:r w:rsidR="000159A6" w:rsidRPr="00E021B7">
        <w:rPr>
          <w:i/>
        </w:rPr>
        <w:t xml:space="preserve"> </w:t>
      </w:r>
      <w:r w:rsidRPr="00E021B7">
        <w:rPr>
          <w:i/>
        </w:rPr>
        <w:t>ACV</w:t>
      </w:r>
      <w:r w:rsidR="000159A6" w:rsidRPr="00E021B7">
        <w:rPr>
          <w:i/>
        </w:rPr>
        <w:t xml:space="preserve"> </w:t>
      </w:r>
      <w:r w:rsidRPr="00E021B7">
        <w:rPr>
          <w:i/>
        </w:rPr>
        <w:t>consider</w:t>
      </w:r>
      <w:r w:rsidR="000159A6" w:rsidRPr="00E021B7">
        <w:rPr>
          <w:i/>
        </w:rPr>
        <w:t xml:space="preserve"> </w:t>
      </w:r>
      <w:r w:rsidRPr="00E021B7">
        <w:rPr>
          <w:i/>
        </w:rPr>
        <w:t>that</w:t>
      </w:r>
      <w:r w:rsidR="000159A6" w:rsidRPr="00E021B7">
        <w:rPr>
          <w:i/>
        </w:rPr>
        <w:t xml:space="preserve"> </w:t>
      </w:r>
      <w:r w:rsidRPr="00E021B7">
        <w:rPr>
          <w:i/>
        </w:rPr>
        <w:t>the</w:t>
      </w:r>
      <w:r w:rsidR="000159A6" w:rsidRPr="00E021B7">
        <w:rPr>
          <w:i/>
        </w:rPr>
        <w:t xml:space="preserve"> </w:t>
      </w:r>
      <w:r w:rsidRPr="00E021B7">
        <w:rPr>
          <w:i/>
        </w:rPr>
        <w:t>indication</w:t>
      </w:r>
      <w:r w:rsidR="000159A6" w:rsidRPr="00E021B7">
        <w:rPr>
          <w:i/>
        </w:rPr>
        <w:t xml:space="preserve"> </w:t>
      </w:r>
      <w:r w:rsidRPr="00E021B7">
        <w:rPr>
          <w:i/>
        </w:rPr>
        <w:t>should</w:t>
      </w:r>
      <w:r w:rsidR="000159A6" w:rsidRPr="00E021B7">
        <w:rPr>
          <w:i/>
        </w:rPr>
        <w:t xml:space="preserve"> </w:t>
      </w:r>
      <w:r w:rsidRPr="00E021B7">
        <w:rPr>
          <w:i/>
        </w:rPr>
        <w:t>be</w:t>
      </w:r>
      <w:r w:rsidR="000159A6" w:rsidRPr="00E021B7">
        <w:rPr>
          <w:i/>
        </w:rPr>
        <w:t xml:space="preserve"> </w:t>
      </w:r>
      <w:r w:rsidRPr="00E021B7">
        <w:rPr>
          <w:i/>
        </w:rPr>
        <w:t>revised</w:t>
      </w:r>
      <w:r w:rsidR="000159A6" w:rsidRPr="00E021B7">
        <w:rPr>
          <w:i/>
        </w:rPr>
        <w:t xml:space="preserve"> </w:t>
      </w:r>
      <w:r w:rsidRPr="00E021B7">
        <w:rPr>
          <w:i/>
        </w:rPr>
        <w:t>to:</w:t>
      </w:r>
    </w:p>
    <w:p w14:paraId="02C31427" w14:textId="7791D7C5" w:rsidR="00F27E9A" w:rsidRPr="00E021B7" w:rsidRDefault="00FF12AA" w:rsidP="00E021B7">
      <w:pPr>
        <w:pStyle w:val="Numberbullet2"/>
        <w:numPr>
          <w:ilvl w:val="0"/>
          <w:numId w:val="0"/>
        </w:numPr>
        <w:ind w:left="851"/>
        <w:rPr>
          <w:i/>
        </w:rPr>
      </w:pPr>
      <w:r w:rsidRPr="00CF240D">
        <w:rPr>
          <w:i/>
        </w:rPr>
        <w:t>Shingrix</w:t>
      </w:r>
      <w:r w:rsidR="000159A6" w:rsidRPr="00CF240D">
        <w:rPr>
          <w:i/>
        </w:rPr>
        <w:t xml:space="preserve"> </w:t>
      </w:r>
      <w:r w:rsidR="00F27E9A" w:rsidRPr="00CF240D">
        <w:rPr>
          <w:i/>
        </w:rPr>
        <w:t>is</w:t>
      </w:r>
      <w:r w:rsidR="000159A6" w:rsidRPr="00CF240D">
        <w:rPr>
          <w:i/>
        </w:rPr>
        <w:t xml:space="preserve"> </w:t>
      </w:r>
      <w:r w:rsidR="00F27E9A" w:rsidRPr="00CF240D">
        <w:rPr>
          <w:i/>
        </w:rPr>
        <w:t>indicated</w:t>
      </w:r>
      <w:r w:rsidR="000159A6" w:rsidRPr="00CF240D">
        <w:rPr>
          <w:i/>
        </w:rPr>
        <w:t xml:space="preserve"> </w:t>
      </w:r>
      <w:r w:rsidR="00F27E9A" w:rsidRPr="00CF240D">
        <w:rPr>
          <w:i/>
        </w:rPr>
        <w:t>for</w:t>
      </w:r>
      <w:r w:rsidR="000159A6" w:rsidRPr="00CF240D">
        <w:rPr>
          <w:i/>
        </w:rPr>
        <w:t xml:space="preserve"> </w:t>
      </w:r>
      <w:r w:rsidR="00F27E9A" w:rsidRPr="00CF240D">
        <w:rPr>
          <w:i/>
        </w:rPr>
        <w:t>prevention</w:t>
      </w:r>
      <w:r w:rsidR="000159A6" w:rsidRPr="00CF240D">
        <w:rPr>
          <w:i/>
        </w:rPr>
        <w:t xml:space="preserve"> </w:t>
      </w:r>
      <w:r w:rsidR="00F27E9A" w:rsidRPr="00CF240D">
        <w:rPr>
          <w:i/>
        </w:rPr>
        <w:t>of</w:t>
      </w:r>
      <w:r w:rsidR="000159A6" w:rsidRPr="00CF240D">
        <w:rPr>
          <w:i/>
        </w:rPr>
        <w:t xml:space="preserve"> </w:t>
      </w:r>
      <w:r w:rsidR="00F27E9A" w:rsidRPr="00CF240D">
        <w:rPr>
          <w:i/>
        </w:rPr>
        <w:t>herpes</w:t>
      </w:r>
      <w:r w:rsidR="000159A6" w:rsidRPr="00CF240D">
        <w:rPr>
          <w:i/>
        </w:rPr>
        <w:t xml:space="preserve"> </w:t>
      </w:r>
      <w:r w:rsidR="00F27E9A" w:rsidRPr="00CF240D">
        <w:rPr>
          <w:i/>
        </w:rPr>
        <w:t>zoster</w:t>
      </w:r>
      <w:r w:rsidR="000159A6" w:rsidRPr="00CF240D">
        <w:rPr>
          <w:i/>
        </w:rPr>
        <w:t xml:space="preserve"> </w:t>
      </w:r>
      <w:r w:rsidR="00F27E9A" w:rsidRPr="00CF240D">
        <w:rPr>
          <w:i/>
        </w:rPr>
        <w:t>(shingles)</w:t>
      </w:r>
      <w:r w:rsidR="000159A6" w:rsidRPr="00CF240D">
        <w:rPr>
          <w:i/>
        </w:rPr>
        <w:t xml:space="preserve"> </w:t>
      </w:r>
      <w:r w:rsidR="00F27E9A" w:rsidRPr="00CF240D">
        <w:rPr>
          <w:i/>
        </w:rPr>
        <w:t>in</w:t>
      </w:r>
      <w:r w:rsidR="000159A6" w:rsidRPr="00CF240D">
        <w:rPr>
          <w:i/>
        </w:rPr>
        <w:t xml:space="preserve"> </w:t>
      </w:r>
      <w:r w:rsidR="00F27E9A" w:rsidRPr="00CF240D">
        <w:rPr>
          <w:i/>
        </w:rPr>
        <w:t>adults</w:t>
      </w:r>
      <w:r w:rsidR="000159A6" w:rsidRPr="00CF240D">
        <w:rPr>
          <w:i/>
        </w:rPr>
        <w:t xml:space="preserve"> </w:t>
      </w:r>
      <w:r w:rsidR="00F27E9A" w:rsidRPr="00CF240D">
        <w:rPr>
          <w:i/>
        </w:rPr>
        <w:t>aged</w:t>
      </w:r>
      <w:r w:rsidR="000159A6" w:rsidRPr="00CF240D">
        <w:rPr>
          <w:i/>
        </w:rPr>
        <w:t xml:space="preserve"> </w:t>
      </w:r>
      <w:r w:rsidR="00F27E9A" w:rsidRPr="00CF240D">
        <w:rPr>
          <w:i/>
        </w:rPr>
        <w:t>50</w:t>
      </w:r>
      <w:r w:rsidR="000159A6" w:rsidRPr="00CF240D">
        <w:rPr>
          <w:i/>
        </w:rPr>
        <w:t xml:space="preserve"> </w:t>
      </w:r>
      <w:r w:rsidR="00F27E9A" w:rsidRPr="00CF240D">
        <w:rPr>
          <w:i/>
        </w:rPr>
        <w:t>years</w:t>
      </w:r>
      <w:r w:rsidR="000159A6" w:rsidRPr="00CF240D">
        <w:rPr>
          <w:i/>
        </w:rPr>
        <w:t xml:space="preserve"> </w:t>
      </w:r>
      <w:r w:rsidR="00F27E9A" w:rsidRPr="00CF240D">
        <w:rPr>
          <w:i/>
        </w:rPr>
        <w:t>and</w:t>
      </w:r>
      <w:r w:rsidR="000159A6" w:rsidRPr="00CF240D">
        <w:rPr>
          <w:i/>
        </w:rPr>
        <w:t xml:space="preserve"> </w:t>
      </w:r>
      <w:r w:rsidR="00F27E9A" w:rsidRPr="00CF240D">
        <w:rPr>
          <w:i/>
        </w:rPr>
        <w:t>older.</w:t>
      </w:r>
      <w:r w:rsidR="000159A6" w:rsidRPr="00CF240D">
        <w:rPr>
          <w:i/>
        </w:rPr>
        <w:t xml:space="preserve"> </w:t>
      </w:r>
      <w:r w:rsidR="00F27E9A" w:rsidRPr="00CF240D">
        <w:rPr>
          <w:i/>
        </w:rPr>
        <w:t>The</w:t>
      </w:r>
      <w:r w:rsidR="000159A6" w:rsidRPr="00CF240D">
        <w:rPr>
          <w:i/>
        </w:rPr>
        <w:t xml:space="preserve"> </w:t>
      </w:r>
      <w:r w:rsidR="00F27E9A" w:rsidRPr="00CF240D">
        <w:rPr>
          <w:i/>
        </w:rPr>
        <w:t>vaccine’s</w:t>
      </w:r>
      <w:r w:rsidR="000159A6" w:rsidRPr="00CF240D">
        <w:rPr>
          <w:i/>
        </w:rPr>
        <w:t xml:space="preserve"> </w:t>
      </w:r>
      <w:r w:rsidR="00F27E9A" w:rsidRPr="00CF240D">
        <w:rPr>
          <w:i/>
        </w:rPr>
        <w:t>effect</w:t>
      </w:r>
      <w:r w:rsidR="000159A6" w:rsidRPr="00CF240D">
        <w:rPr>
          <w:i/>
        </w:rPr>
        <w:t xml:space="preserve"> </w:t>
      </w:r>
      <w:r w:rsidR="00F27E9A" w:rsidRPr="00CF240D">
        <w:rPr>
          <w:i/>
        </w:rPr>
        <w:t>on</w:t>
      </w:r>
      <w:r w:rsidR="000159A6" w:rsidRPr="00CF240D">
        <w:rPr>
          <w:i/>
        </w:rPr>
        <w:t xml:space="preserve"> </w:t>
      </w:r>
      <w:r w:rsidR="00F27E9A" w:rsidRPr="00CF240D">
        <w:rPr>
          <w:i/>
        </w:rPr>
        <w:t>the</w:t>
      </w:r>
      <w:r w:rsidR="000159A6" w:rsidRPr="00CF240D">
        <w:rPr>
          <w:i/>
        </w:rPr>
        <w:t xml:space="preserve"> </w:t>
      </w:r>
      <w:r w:rsidR="00F27E9A" w:rsidRPr="00CF240D">
        <w:rPr>
          <w:i/>
        </w:rPr>
        <w:t>prevention</w:t>
      </w:r>
      <w:r w:rsidR="000159A6" w:rsidRPr="00CF240D">
        <w:rPr>
          <w:i/>
        </w:rPr>
        <w:t xml:space="preserve"> </w:t>
      </w:r>
      <w:r w:rsidR="00F27E9A" w:rsidRPr="00CF240D">
        <w:rPr>
          <w:i/>
        </w:rPr>
        <w:t>of</w:t>
      </w:r>
      <w:r w:rsidR="000159A6" w:rsidRPr="00CF240D">
        <w:rPr>
          <w:i/>
        </w:rPr>
        <w:t xml:space="preserve"> </w:t>
      </w:r>
      <w:r w:rsidR="000E6841" w:rsidRPr="00CF240D">
        <w:rPr>
          <w:i/>
        </w:rPr>
        <w:t>post</w:t>
      </w:r>
      <w:r w:rsidR="000159A6" w:rsidRPr="00CF240D">
        <w:rPr>
          <w:i/>
        </w:rPr>
        <w:t xml:space="preserve"> </w:t>
      </w:r>
      <w:r w:rsidR="000E6841" w:rsidRPr="00CF240D">
        <w:rPr>
          <w:i/>
        </w:rPr>
        <w:t>herpetic</w:t>
      </w:r>
      <w:r w:rsidR="000159A6" w:rsidRPr="00CF240D">
        <w:rPr>
          <w:i/>
        </w:rPr>
        <w:t xml:space="preserve"> </w:t>
      </w:r>
      <w:r w:rsidR="00F27E9A" w:rsidRPr="00CF240D">
        <w:rPr>
          <w:i/>
        </w:rPr>
        <w:t>neuralgia</w:t>
      </w:r>
      <w:r w:rsidR="000159A6" w:rsidRPr="00CF240D">
        <w:rPr>
          <w:i/>
        </w:rPr>
        <w:t xml:space="preserve"> </w:t>
      </w:r>
      <w:r w:rsidR="00F27E9A" w:rsidRPr="00CF240D">
        <w:rPr>
          <w:i/>
        </w:rPr>
        <w:t>(PHN)</w:t>
      </w:r>
      <w:r w:rsidR="000159A6" w:rsidRPr="00CF240D">
        <w:rPr>
          <w:i/>
        </w:rPr>
        <w:t xml:space="preserve"> </w:t>
      </w:r>
      <w:r w:rsidR="00F27E9A" w:rsidRPr="00CF240D">
        <w:rPr>
          <w:i/>
        </w:rPr>
        <w:t>is</w:t>
      </w:r>
      <w:r w:rsidR="000159A6" w:rsidRPr="00CF240D">
        <w:rPr>
          <w:i/>
        </w:rPr>
        <w:t xml:space="preserve"> </w:t>
      </w:r>
      <w:r w:rsidR="00F27E9A" w:rsidRPr="00CF240D">
        <w:rPr>
          <w:i/>
        </w:rPr>
        <w:t>attributed</w:t>
      </w:r>
      <w:r w:rsidR="000159A6" w:rsidRPr="00CF240D">
        <w:rPr>
          <w:i/>
        </w:rPr>
        <w:t xml:space="preserve"> </w:t>
      </w:r>
      <w:r w:rsidR="00F27E9A" w:rsidRPr="00CF240D">
        <w:rPr>
          <w:i/>
        </w:rPr>
        <w:t>to</w:t>
      </w:r>
      <w:r w:rsidR="000159A6" w:rsidRPr="00CF240D">
        <w:rPr>
          <w:i/>
        </w:rPr>
        <w:t xml:space="preserve"> </w:t>
      </w:r>
      <w:r w:rsidR="00F27E9A" w:rsidRPr="00CF240D">
        <w:rPr>
          <w:i/>
        </w:rPr>
        <w:t>the</w:t>
      </w:r>
      <w:r w:rsidR="000159A6" w:rsidRPr="00E021B7">
        <w:rPr>
          <w:i/>
        </w:rPr>
        <w:t xml:space="preserve"> </w:t>
      </w:r>
      <w:r w:rsidR="00F27E9A" w:rsidRPr="00E021B7">
        <w:rPr>
          <w:i/>
        </w:rPr>
        <w:t>effect</w:t>
      </w:r>
      <w:r w:rsidR="000159A6" w:rsidRPr="00E021B7">
        <w:rPr>
          <w:i/>
        </w:rPr>
        <w:t xml:space="preserve"> </w:t>
      </w:r>
      <w:r w:rsidR="00F27E9A" w:rsidRPr="00E021B7">
        <w:rPr>
          <w:i/>
        </w:rPr>
        <w:t>of</w:t>
      </w:r>
      <w:r w:rsidR="000159A6" w:rsidRPr="00E021B7">
        <w:rPr>
          <w:i/>
        </w:rPr>
        <w:t xml:space="preserve"> </w:t>
      </w:r>
      <w:r w:rsidR="00F27E9A" w:rsidRPr="00E021B7">
        <w:rPr>
          <w:i/>
        </w:rPr>
        <w:t>the</w:t>
      </w:r>
      <w:r w:rsidR="000159A6" w:rsidRPr="00E021B7">
        <w:rPr>
          <w:i/>
        </w:rPr>
        <w:t xml:space="preserve"> </w:t>
      </w:r>
      <w:r w:rsidR="00F27E9A" w:rsidRPr="00E021B7">
        <w:rPr>
          <w:i/>
        </w:rPr>
        <w:t>vaccine</w:t>
      </w:r>
      <w:r w:rsidR="000159A6" w:rsidRPr="00E021B7">
        <w:rPr>
          <w:i/>
        </w:rPr>
        <w:t xml:space="preserve"> </w:t>
      </w:r>
      <w:r w:rsidR="00F27E9A" w:rsidRPr="00E021B7">
        <w:rPr>
          <w:i/>
        </w:rPr>
        <w:t>on</w:t>
      </w:r>
      <w:r w:rsidR="000159A6" w:rsidRPr="00E021B7">
        <w:rPr>
          <w:i/>
        </w:rPr>
        <w:t xml:space="preserve"> </w:t>
      </w:r>
      <w:r w:rsidR="00F27E9A" w:rsidRPr="00E021B7">
        <w:rPr>
          <w:i/>
        </w:rPr>
        <w:t>the</w:t>
      </w:r>
      <w:r w:rsidR="000159A6" w:rsidRPr="00E021B7">
        <w:rPr>
          <w:i/>
        </w:rPr>
        <w:t xml:space="preserve"> </w:t>
      </w:r>
      <w:r w:rsidR="00F27E9A" w:rsidRPr="00E021B7">
        <w:rPr>
          <w:i/>
        </w:rPr>
        <w:t>prevention</w:t>
      </w:r>
      <w:r w:rsidR="000159A6" w:rsidRPr="00E021B7">
        <w:rPr>
          <w:i/>
        </w:rPr>
        <w:t xml:space="preserve"> </w:t>
      </w:r>
      <w:r w:rsidR="00F27E9A" w:rsidRPr="00E021B7">
        <w:rPr>
          <w:i/>
        </w:rPr>
        <w:t>of</w:t>
      </w:r>
      <w:r w:rsidR="000159A6" w:rsidRPr="00E021B7">
        <w:rPr>
          <w:i/>
        </w:rPr>
        <w:t xml:space="preserve"> </w:t>
      </w:r>
      <w:r w:rsidR="00F27E9A" w:rsidRPr="00E021B7">
        <w:rPr>
          <w:i/>
        </w:rPr>
        <w:t>herpes</w:t>
      </w:r>
      <w:r w:rsidR="000159A6" w:rsidRPr="00E021B7">
        <w:rPr>
          <w:i/>
        </w:rPr>
        <w:t xml:space="preserve"> </w:t>
      </w:r>
      <w:r w:rsidR="00F27E9A" w:rsidRPr="00E021B7">
        <w:rPr>
          <w:i/>
        </w:rPr>
        <w:t>zoster.</w:t>
      </w:r>
    </w:p>
    <w:p w14:paraId="4EFC2B28" w14:textId="2CE74FD0" w:rsidR="00F27E9A" w:rsidRPr="00F27E9A" w:rsidRDefault="005B2FA5" w:rsidP="00F27E9A">
      <w:r>
        <w:lastRenderedPageBreak/>
        <w:t>The</w:t>
      </w:r>
      <w:r w:rsidR="000159A6">
        <w:t xml:space="preserve"> </w:t>
      </w:r>
      <w:r>
        <w:t>sponsor</w:t>
      </w:r>
      <w:r w:rsidR="000159A6">
        <w:t xml:space="preserve"> </w:t>
      </w:r>
      <w:r w:rsidR="00F27E9A" w:rsidRPr="00F27E9A">
        <w:t>respectfully</w:t>
      </w:r>
      <w:r w:rsidR="000159A6">
        <w:t xml:space="preserve"> </w:t>
      </w:r>
      <w:r w:rsidR="00F27E9A" w:rsidRPr="00F27E9A">
        <w:t>does</w:t>
      </w:r>
      <w:r w:rsidR="000159A6">
        <w:t xml:space="preserve"> </w:t>
      </w:r>
      <w:r w:rsidR="00F27E9A" w:rsidRPr="00F27E9A">
        <w:t>not</w:t>
      </w:r>
      <w:r w:rsidR="000159A6">
        <w:t xml:space="preserve"> </w:t>
      </w:r>
      <w:r w:rsidR="00F27E9A" w:rsidRPr="00F27E9A">
        <w:t>agree</w:t>
      </w:r>
      <w:r w:rsidR="000159A6">
        <w:t xml:space="preserve"> </w:t>
      </w:r>
      <w:r w:rsidR="00F27E9A" w:rsidRPr="00F27E9A">
        <w:t>that</w:t>
      </w:r>
      <w:r w:rsidR="000159A6">
        <w:t xml:space="preserve"> </w:t>
      </w:r>
      <w:r w:rsidR="00F27E9A" w:rsidRPr="00F27E9A">
        <w:t>the</w:t>
      </w:r>
      <w:r w:rsidR="000159A6">
        <w:t xml:space="preserve"> </w:t>
      </w:r>
      <w:r w:rsidR="00F27E9A" w:rsidRPr="00F27E9A">
        <w:t>Shingrix</w:t>
      </w:r>
      <w:r w:rsidR="000159A6">
        <w:t xml:space="preserve"> </w:t>
      </w:r>
      <w:r w:rsidR="00F27E9A" w:rsidRPr="00F27E9A">
        <w:t>indication</w:t>
      </w:r>
      <w:r w:rsidR="000159A6">
        <w:t xml:space="preserve"> </w:t>
      </w:r>
      <w:r w:rsidR="00F27E9A" w:rsidRPr="00F27E9A">
        <w:t>should</w:t>
      </w:r>
      <w:r w:rsidR="000159A6">
        <w:t xml:space="preserve"> </w:t>
      </w:r>
      <w:r w:rsidR="00F27E9A" w:rsidRPr="00F27E9A">
        <w:t>be</w:t>
      </w:r>
      <w:r w:rsidR="000159A6">
        <w:t xml:space="preserve"> </w:t>
      </w:r>
      <w:r w:rsidR="00F27E9A" w:rsidRPr="00F27E9A">
        <w:t>revised</w:t>
      </w:r>
      <w:r w:rsidR="000159A6">
        <w:t xml:space="preserve"> </w:t>
      </w:r>
      <w:r w:rsidR="00F27E9A" w:rsidRPr="00F27E9A">
        <w:t>t</w:t>
      </w:r>
      <w:r w:rsidR="00F27E9A">
        <w:t>o</w:t>
      </w:r>
      <w:r w:rsidR="000159A6">
        <w:t xml:space="preserve"> </w:t>
      </w:r>
      <w:r w:rsidR="00F27E9A">
        <w:t>that</w:t>
      </w:r>
      <w:r w:rsidR="000159A6">
        <w:t xml:space="preserve"> </w:t>
      </w:r>
      <w:r w:rsidR="00F27E9A">
        <w:t>proposed</w:t>
      </w:r>
      <w:r w:rsidR="000159A6">
        <w:t xml:space="preserve"> </w:t>
      </w:r>
      <w:r w:rsidR="00F27E9A">
        <w:t>by</w:t>
      </w:r>
      <w:r w:rsidR="000159A6">
        <w:t xml:space="preserve"> </w:t>
      </w:r>
      <w:r w:rsidR="00F27E9A">
        <w:t>the</w:t>
      </w:r>
      <w:r w:rsidR="000159A6">
        <w:t xml:space="preserve"> </w:t>
      </w:r>
      <w:r w:rsidR="00F27E9A">
        <w:t>Delegate</w:t>
      </w:r>
      <w:r w:rsidR="000159A6">
        <w:t xml:space="preserve"> </w:t>
      </w:r>
      <w:r w:rsidR="00F27E9A" w:rsidRPr="00F27E9A">
        <w:t>above.</w:t>
      </w:r>
      <w:r w:rsidR="000159A6">
        <w:t xml:space="preserve"> </w:t>
      </w:r>
      <w:r>
        <w:t>The</w:t>
      </w:r>
      <w:r w:rsidR="000159A6">
        <w:t xml:space="preserve"> </w:t>
      </w:r>
      <w:r>
        <w:t>sponsor</w:t>
      </w:r>
      <w:r w:rsidR="000159A6">
        <w:t xml:space="preserve"> </w:t>
      </w:r>
      <w:r w:rsidR="00F27E9A" w:rsidRPr="00F27E9A">
        <w:t>believes</w:t>
      </w:r>
      <w:r w:rsidR="000159A6">
        <w:t xml:space="preserve"> </w:t>
      </w:r>
      <w:r w:rsidR="00F27E9A" w:rsidRPr="00F27E9A">
        <w:t>the</w:t>
      </w:r>
      <w:r w:rsidR="000159A6">
        <w:t xml:space="preserve"> </w:t>
      </w:r>
      <w:r w:rsidR="00F27E9A" w:rsidRPr="00F27E9A">
        <w:t>indication</w:t>
      </w:r>
      <w:r w:rsidR="000159A6">
        <w:t xml:space="preserve"> </w:t>
      </w:r>
      <w:r w:rsidR="00F27E9A" w:rsidRPr="00F27E9A">
        <w:t>agreed</w:t>
      </w:r>
      <w:r w:rsidR="000159A6">
        <w:t xml:space="preserve"> </w:t>
      </w:r>
      <w:r w:rsidR="00F27E9A" w:rsidRPr="00F27E9A">
        <w:t>upon</w:t>
      </w:r>
      <w:r w:rsidR="000159A6">
        <w:t xml:space="preserve"> </w:t>
      </w:r>
      <w:r w:rsidR="00F27E9A" w:rsidRPr="00F27E9A">
        <w:t>with</w:t>
      </w:r>
      <w:r w:rsidR="000159A6">
        <w:t xml:space="preserve"> </w:t>
      </w:r>
      <w:r w:rsidR="00F27E9A" w:rsidRPr="00F27E9A">
        <w:t>the</w:t>
      </w:r>
      <w:r w:rsidR="000159A6">
        <w:t xml:space="preserve"> </w:t>
      </w:r>
      <w:r w:rsidR="00733CE8" w:rsidRPr="00F27E9A">
        <w:t>clinical</w:t>
      </w:r>
      <w:r w:rsidR="000159A6">
        <w:t xml:space="preserve"> </w:t>
      </w:r>
      <w:r w:rsidR="00733CE8" w:rsidRPr="00F27E9A">
        <w:t>evaluato</w:t>
      </w:r>
      <w:r w:rsidR="00F27E9A" w:rsidRPr="00F27E9A">
        <w:t>r</w:t>
      </w:r>
      <w:r w:rsidR="000159A6">
        <w:t xml:space="preserve"> </w:t>
      </w:r>
      <w:r w:rsidR="00F27E9A" w:rsidRPr="00F27E9A">
        <w:t>should</w:t>
      </w:r>
      <w:r w:rsidR="000159A6">
        <w:t xml:space="preserve"> </w:t>
      </w:r>
      <w:r w:rsidR="00F27E9A" w:rsidRPr="00F27E9A">
        <w:t>be</w:t>
      </w:r>
      <w:r w:rsidR="000159A6">
        <w:t xml:space="preserve"> </w:t>
      </w:r>
      <w:r w:rsidR="00F27E9A" w:rsidRPr="00F27E9A">
        <w:t>retained:</w:t>
      </w:r>
    </w:p>
    <w:p w14:paraId="42882FFF" w14:textId="4569366E" w:rsidR="00F27E9A" w:rsidRPr="00F27E9A" w:rsidRDefault="00F27E9A" w:rsidP="00F27E9A">
      <w:pPr>
        <w:ind w:left="720"/>
        <w:rPr>
          <w:i/>
        </w:rPr>
      </w:pPr>
      <w:r w:rsidRPr="00F27E9A">
        <w:rPr>
          <w:i/>
        </w:rPr>
        <w:t>Shingrix</w:t>
      </w:r>
      <w:r w:rsidR="000159A6">
        <w:rPr>
          <w:i/>
        </w:rPr>
        <w:t xml:space="preserve"> </w:t>
      </w:r>
      <w:r w:rsidRPr="00F27E9A">
        <w:rPr>
          <w:i/>
        </w:rPr>
        <w:t>is</w:t>
      </w:r>
      <w:r w:rsidR="000159A6">
        <w:rPr>
          <w:i/>
        </w:rPr>
        <w:t xml:space="preserve"> </w:t>
      </w:r>
      <w:r w:rsidRPr="00F27E9A">
        <w:rPr>
          <w:i/>
        </w:rPr>
        <w:t>indicated</w:t>
      </w:r>
      <w:r w:rsidR="000159A6">
        <w:rPr>
          <w:i/>
        </w:rPr>
        <w:t xml:space="preserve"> </w:t>
      </w:r>
      <w:r w:rsidRPr="00F27E9A">
        <w:rPr>
          <w:i/>
        </w:rPr>
        <w:t>for</w:t>
      </w:r>
      <w:r w:rsidR="000159A6">
        <w:rPr>
          <w:i/>
        </w:rPr>
        <w:t xml:space="preserve"> </w:t>
      </w:r>
      <w:r w:rsidRPr="00F27E9A">
        <w:rPr>
          <w:i/>
        </w:rPr>
        <w:t>the</w:t>
      </w:r>
      <w:r w:rsidR="000159A6">
        <w:rPr>
          <w:i/>
        </w:rPr>
        <w:t xml:space="preserve"> </w:t>
      </w:r>
      <w:r w:rsidRPr="00F27E9A">
        <w:rPr>
          <w:i/>
        </w:rPr>
        <w:t>prevention</w:t>
      </w:r>
      <w:r w:rsidR="000159A6">
        <w:rPr>
          <w:i/>
        </w:rPr>
        <w:t xml:space="preserve"> </w:t>
      </w:r>
      <w:r w:rsidRPr="00F27E9A">
        <w:rPr>
          <w:i/>
        </w:rPr>
        <w:t>of</w:t>
      </w:r>
      <w:r w:rsidR="000159A6">
        <w:rPr>
          <w:i/>
        </w:rPr>
        <w:t xml:space="preserve"> </w:t>
      </w:r>
      <w:r w:rsidRPr="00F27E9A">
        <w:rPr>
          <w:i/>
        </w:rPr>
        <w:t>herpes</w:t>
      </w:r>
      <w:r w:rsidR="000159A6">
        <w:rPr>
          <w:i/>
        </w:rPr>
        <w:t xml:space="preserve"> </w:t>
      </w:r>
      <w:r w:rsidRPr="00F27E9A">
        <w:rPr>
          <w:i/>
        </w:rPr>
        <w:t>zoster</w:t>
      </w:r>
      <w:r w:rsidR="000159A6">
        <w:rPr>
          <w:i/>
        </w:rPr>
        <w:t xml:space="preserve"> </w:t>
      </w:r>
      <w:r w:rsidRPr="00F27E9A">
        <w:rPr>
          <w:i/>
        </w:rPr>
        <w:t>and</w:t>
      </w:r>
      <w:r w:rsidR="000159A6">
        <w:rPr>
          <w:i/>
        </w:rPr>
        <w:t xml:space="preserve"> </w:t>
      </w:r>
      <w:r w:rsidR="000E6841">
        <w:rPr>
          <w:i/>
        </w:rPr>
        <w:t>post</w:t>
      </w:r>
      <w:r w:rsidR="000159A6">
        <w:rPr>
          <w:i/>
        </w:rPr>
        <w:t xml:space="preserve"> </w:t>
      </w:r>
      <w:r w:rsidR="000E6841">
        <w:rPr>
          <w:i/>
        </w:rPr>
        <w:t>herpetic</w:t>
      </w:r>
      <w:r w:rsidR="000159A6">
        <w:rPr>
          <w:i/>
        </w:rPr>
        <w:t xml:space="preserve"> </w:t>
      </w:r>
      <w:r w:rsidRPr="00F27E9A">
        <w:rPr>
          <w:i/>
        </w:rPr>
        <w:t>neuralgia</w:t>
      </w:r>
      <w:r w:rsidR="000159A6">
        <w:rPr>
          <w:i/>
        </w:rPr>
        <w:t xml:space="preserve"> </w:t>
      </w:r>
      <w:r w:rsidRPr="00F27E9A">
        <w:rPr>
          <w:i/>
        </w:rPr>
        <w:t>in</w:t>
      </w:r>
      <w:r w:rsidR="000159A6">
        <w:rPr>
          <w:i/>
        </w:rPr>
        <w:t xml:space="preserve"> </w:t>
      </w:r>
      <w:r w:rsidRPr="00F27E9A">
        <w:rPr>
          <w:i/>
        </w:rPr>
        <w:t>adults</w:t>
      </w:r>
      <w:r w:rsidR="000159A6">
        <w:rPr>
          <w:i/>
        </w:rPr>
        <w:t xml:space="preserve"> </w:t>
      </w:r>
      <w:r w:rsidRPr="00F27E9A">
        <w:rPr>
          <w:i/>
        </w:rPr>
        <w:t>50</w:t>
      </w:r>
      <w:r w:rsidR="000159A6">
        <w:rPr>
          <w:i/>
        </w:rPr>
        <w:t xml:space="preserve"> </w:t>
      </w:r>
      <w:r w:rsidRPr="00F27E9A">
        <w:rPr>
          <w:i/>
        </w:rPr>
        <w:t>years</w:t>
      </w:r>
      <w:r w:rsidR="000159A6">
        <w:rPr>
          <w:i/>
        </w:rPr>
        <w:t xml:space="preserve"> </w:t>
      </w:r>
      <w:r w:rsidRPr="00F27E9A">
        <w:rPr>
          <w:i/>
        </w:rPr>
        <w:t>of</w:t>
      </w:r>
      <w:r w:rsidR="000159A6">
        <w:rPr>
          <w:i/>
        </w:rPr>
        <w:t xml:space="preserve"> </w:t>
      </w:r>
      <w:r w:rsidRPr="00F27E9A">
        <w:rPr>
          <w:i/>
        </w:rPr>
        <w:t>age</w:t>
      </w:r>
      <w:r w:rsidR="000159A6">
        <w:rPr>
          <w:i/>
        </w:rPr>
        <w:t xml:space="preserve"> </w:t>
      </w:r>
      <w:r w:rsidRPr="00F27E9A">
        <w:rPr>
          <w:i/>
        </w:rPr>
        <w:t>or</w:t>
      </w:r>
      <w:r w:rsidR="000159A6">
        <w:rPr>
          <w:i/>
        </w:rPr>
        <w:t xml:space="preserve"> </w:t>
      </w:r>
      <w:r w:rsidRPr="00F27E9A">
        <w:rPr>
          <w:i/>
        </w:rPr>
        <w:t>older.</w:t>
      </w:r>
    </w:p>
    <w:p w14:paraId="602006FC" w14:textId="30B1D344" w:rsidR="00F27E9A" w:rsidRPr="00F27E9A" w:rsidRDefault="00F27E9A" w:rsidP="00440509">
      <w:r w:rsidRPr="00F27E9A">
        <w:t>This</w:t>
      </w:r>
      <w:r w:rsidR="000159A6">
        <w:t xml:space="preserve"> </w:t>
      </w:r>
      <w:r w:rsidRPr="00F27E9A">
        <w:t>indication</w:t>
      </w:r>
      <w:r w:rsidR="000159A6">
        <w:t xml:space="preserve"> </w:t>
      </w:r>
      <w:r w:rsidRPr="00F27E9A">
        <w:t>statement</w:t>
      </w:r>
      <w:r w:rsidR="000159A6">
        <w:t xml:space="preserve"> </w:t>
      </w:r>
      <w:r w:rsidRPr="00F27E9A">
        <w:t>is</w:t>
      </w:r>
      <w:r w:rsidR="000159A6">
        <w:t xml:space="preserve"> </w:t>
      </w:r>
      <w:r w:rsidRPr="00F27E9A">
        <w:t>simple,</w:t>
      </w:r>
      <w:r w:rsidR="000159A6">
        <w:t xml:space="preserve"> </w:t>
      </w:r>
      <w:r w:rsidRPr="00F27E9A">
        <w:t>direct</w:t>
      </w:r>
      <w:r w:rsidR="000159A6">
        <w:t xml:space="preserve"> </w:t>
      </w:r>
      <w:r w:rsidRPr="00F27E9A">
        <w:t>and</w:t>
      </w:r>
      <w:r w:rsidR="000159A6">
        <w:t xml:space="preserve"> </w:t>
      </w:r>
      <w:r w:rsidRPr="00F27E9A">
        <w:t>factual</w:t>
      </w:r>
      <w:r w:rsidR="000159A6">
        <w:t xml:space="preserve"> </w:t>
      </w:r>
      <w:r w:rsidRPr="00F27E9A">
        <w:t>in</w:t>
      </w:r>
      <w:r w:rsidR="000159A6">
        <w:t xml:space="preserve"> </w:t>
      </w:r>
      <w:r w:rsidRPr="00F27E9A">
        <w:t>providing</w:t>
      </w:r>
      <w:r w:rsidR="000159A6">
        <w:t xml:space="preserve"> </w:t>
      </w:r>
      <w:r w:rsidRPr="00F27E9A">
        <w:t>the</w:t>
      </w:r>
      <w:r w:rsidR="000159A6">
        <w:t xml:space="preserve"> </w:t>
      </w:r>
      <w:r w:rsidRPr="00F27E9A">
        <w:t>c</w:t>
      </w:r>
      <w:r>
        <w:t>lear</w:t>
      </w:r>
      <w:r w:rsidR="000159A6">
        <w:t xml:space="preserve"> </w:t>
      </w:r>
      <w:r>
        <w:t>message</w:t>
      </w:r>
      <w:r w:rsidR="000159A6">
        <w:t xml:space="preserve"> </w:t>
      </w:r>
      <w:r>
        <w:t>to</w:t>
      </w:r>
      <w:r w:rsidR="000159A6">
        <w:t xml:space="preserve"> </w:t>
      </w:r>
      <w:r>
        <w:t>prescribers</w:t>
      </w:r>
      <w:r w:rsidR="000159A6">
        <w:t xml:space="preserve"> </w:t>
      </w:r>
      <w:r>
        <w:t>and</w:t>
      </w:r>
      <w:r w:rsidR="000159A6">
        <w:t xml:space="preserve"> </w:t>
      </w:r>
      <w:r w:rsidRPr="00F27E9A">
        <w:t>patients</w:t>
      </w:r>
      <w:r w:rsidR="000159A6">
        <w:t xml:space="preserve"> </w:t>
      </w:r>
      <w:r w:rsidRPr="00F27E9A">
        <w:t>that</w:t>
      </w:r>
      <w:r w:rsidR="000159A6">
        <w:t xml:space="preserve"> </w:t>
      </w:r>
      <w:r w:rsidRPr="00F27E9A">
        <w:t>Shingrix</w:t>
      </w:r>
      <w:r w:rsidR="000159A6">
        <w:t xml:space="preserve"> </w:t>
      </w:r>
      <w:r w:rsidRPr="00F27E9A">
        <w:t>prevents</w:t>
      </w:r>
      <w:r w:rsidR="000159A6">
        <w:t xml:space="preserve"> </w:t>
      </w:r>
      <w:r w:rsidRPr="00F27E9A">
        <w:t>both</w:t>
      </w:r>
      <w:r w:rsidR="000159A6">
        <w:t xml:space="preserve"> </w:t>
      </w:r>
      <w:r w:rsidRPr="00F27E9A">
        <w:t>HZ</w:t>
      </w:r>
      <w:r w:rsidR="000159A6">
        <w:t xml:space="preserve"> </w:t>
      </w:r>
      <w:r w:rsidRPr="00F27E9A">
        <w:t>and</w:t>
      </w:r>
      <w:r w:rsidR="000159A6">
        <w:t xml:space="preserve"> </w:t>
      </w:r>
      <w:r w:rsidRPr="00F27E9A">
        <w:t>PHN.</w:t>
      </w:r>
      <w:r w:rsidR="000159A6">
        <w:t xml:space="preserve"> </w:t>
      </w:r>
      <w:r w:rsidRPr="00F27E9A">
        <w:t>As</w:t>
      </w:r>
      <w:r w:rsidR="000159A6">
        <w:t xml:space="preserve"> </w:t>
      </w:r>
      <w:r w:rsidRPr="00F27E9A">
        <w:t>highlighted</w:t>
      </w:r>
      <w:r w:rsidR="000159A6">
        <w:t xml:space="preserve"> </w:t>
      </w:r>
      <w:r w:rsidRPr="00F27E9A">
        <w:t>by</w:t>
      </w:r>
      <w:r w:rsidR="000159A6">
        <w:t xml:space="preserve"> </w:t>
      </w:r>
      <w:r w:rsidRPr="00F27E9A">
        <w:t>the</w:t>
      </w:r>
      <w:r w:rsidR="000159A6">
        <w:t xml:space="preserve"> </w:t>
      </w:r>
      <w:r w:rsidR="00733CE8" w:rsidRPr="00F27E9A">
        <w:t>clinical</w:t>
      </w:r>
      <w:r w:rsidR="000159A6">
        <w:t xml:space="preserve"> </w:t>
      </w:r>
      <w:r w:rsidR="00733CE8" w:rsidRPr="00F27E9A">
        <w:t>ev</w:t>
      </w:r>
      <w:r w:rsidR="00733CE8">
        <w:t>aluator</w:t>
      </w:r>
      <w:r w:rsidR="000159A6">
        <w:t xml:space="preserve"> </w:t>
      </w:r>
      <w:r>
        <w:t>and</w:t>
      </w:r>
      <w:r w:rsidR="000159A6">
        <w:t xml:space="preserve"> </w:t>
      </w:r>
      <w:r>
        <w:t>the</w:t>
      </w:r>
      <w:r w:rsidR="000159A6">
        <w:t xml:space="preserve"> </w:t>
      </w:r>
      <w:r>
        <w:t>Delegate,</w:t>
      </w:r>
      <w:r w:rsidR="000159A6">
        <w:t xml:space="preserve"> </w:t>
      </w:r>
      <w:r w:rsidRPr="00F27E9A">
        <w:t>Shingrix</w:t>
      </w:r>
      <w:r w:rsidR="000159A6">
        <w:t xml:space="preserve"> </w:t>
      </w:r>
      <w:r w:rsidRPr="00F27E9A">
        <w:t>has</w:t>
      </w:r>
      <w:r w:rsidR="000159A6">
        <w:t xml:space="preserve"> </w:t>
      </w:r>
      <w:r w:rsidRPr="00F27E9A">
        <w:t>been</w:t>
      </w:r>
      <w:r w:rsidR="000159A6">
        <w:t xml:space="preserve"> </w:t>
      </w:r>
      <w:r w:rsidRPr="00F27E9A">
        <w:t>shown</w:t>
      </w:r>
      <w:r w:rsidR="000159A6">
        <w:t xml:space="preserve"> </w:t>
      </w:r>
      <w:r w:rsidRPr="00F27E9A">
        <w:t>to</w:t>
      </w:r>
      <w:r w:rsidR="000159A6">
        <w:t xml:space="preserve"> </w:t>
      </w:r>
      <w:r w:rsidRPr="00F27E9A">
        <w:t>be</w:t>
      </w:r>
      <w:r w:rsidR="000159A6">
        <w:t xml:space="preserve"> </w:t>
      </w:r>
      <w:r w:rsidRPr="00F27E9A">
        <w:t>very</w:t>
      </w:r>
      <w:r w:rsidR="000159A6">
        <w:t xml:space="preserve"> </w:t>
      </w:r>
      <w:r w:rsidRPr="00F27E9A">
        <w:t>efficacious</w:t>
      </w:r>
      <w:r w:rsidR="000159A6">
        <w:t xml:space="preserve"> </w:t>
      </w:r>
      <w:r w:rsidRPr="00F27E9A">
        <w:t>in</w:t>
      </w:r>
      <w:r w:rsidR="000159A6">
        <w:t xml:space="preserve"> </w:t>
      </w:r>
      <w:r w:rsidRPr="00F27E9A">
        <w:t>preventing</w:t>
      </w:r>
      <w:r w:rsidR="000159A6">
        <w:t xml:space="preserve"> </w:t>
      </w:r>
      <w:r w:rsidRPr="00F27E9A">
        <w:t>both</w:t>
      </w:r>
      <w:r w:rsidR="000159A6">
        <w:t xml:space="preserve"> </w:t>
      </w:r>
      <w:r w:rsidRPr="00F27E9A">
        <w:t>HZ</w:t>
      </w:r>
      <w:r w:rsidR="000159A6">
        <w:t xml:space="preserve"> </w:t>
      </w:r>
      <w:r w:rsidRPr="00F27E9A">
        <w:t>(97.2%</w:t>
      </w:r>
      <w:r w:rsidR="000159A6">
        <w:t xml:space="preserve"> </w:t>
      </w:r>
      <w:r w:rsidRPr="00F27E9A">
        <w:t>in</w:t>
      </w:r>
      <w:r w:rsidR="000159A6">
        <w:t xml:space="preserve"> </w:t>
      </w:r>
      <w:proofErr w:type="gramStart"/>
      <w:r w:rsidRPr="00F27E9A">
        <w:t>adults</w:t>
      </w:r>
      <w:proofErr w:type="gramEnd"/>
      <w:r w:rsidR="000159A6">
        <w:t xml:space="preserve"> </w:t>
      </w:r>
      <w:r w:rsidR="0037169B">
        <w:t>≥</w:t>
      </w:r>
      <w:r w:rsidR="000159A6">
        <w:t xml:space="preserve"> </w:t>
      </w:r>
      <w:r>
        <w:t>50</w:t>
      </w:r>
      <w:r w:rsidR="000159A6">
        <w:t xml:space="preserve"> </w:t>
      </w:r>
      <w:r w:rsidR="0037169B">
        <w:t>years</w:t>
      </w:r>
      <w:r w:rsidR="000159A6">
        <w:t xml:space="preserve"> </w:t>
      </w:r>
      <w:r w:rsidR="0037169B">
        <w:t>of</w:t>
      </w:r>
      <w:r w:rsidR="000159A6">
        <w:t xml:space="preserve"> </w:t>
      </w:r>
      <w:r w:rsidR="0037169B">
        <w:t>age</w:t>
      </w:r>
      <w:r w:rsidR="000159A6">
        <w:t xml:space="preserve"> </w:t>
      </w:r>
      <w:r>
        <w:t>and</w:t>
      </w:r>
      <w:r w:rsidR="000159A6">
        <w:t xml:space="preserve"> </w:t>
      </w:r>
      <w:r w:rsidRPr="00F27E9A">
        <w:t>91.3%</w:t>
      </w:r>
      <w:r w:rsidR="000159A6">
        <w:t xml:space="preserve"> </w:t>
      </w:r>
      <w:r w:rsidRPr="00F27E9A">
        <w:t>in</w:t>
      </w:r>
      <w:r w:rsidR="000159A6">
        <w:t xml:space="preserve"> </w:t>
      </w:r>
      <w:r w:rsidRPr="00F27E9A">
        <w:t>adults</w:t>
      </w:r>
      <w:r w:rsidR="000159A6">
        <w:t xml:space="preserve"> </w:t>
      </w:r>
      <w:r w:rsidR="0037169B">
        <w:t>≥</w:t>
      </w:r>
      <w:r w:rsidR="000159A6">
        <w:t xml:space="preserve"> </w:t>
      </w:r>
      <w:r w:rsidRPr="00F27E9A">
        <w:t>70</w:t>
      </w:r>
      <w:r w:rsidR="000159A6">
        <w:t xml:space="preserve"> </w:t>
      </w:r>
      <w:r w:rsidR="0037169B">
        <w:t>years</w:t>
      </w:r>
      <w:r w:rsidR="000159A6">
        <w:t xml:space="preserve"> </w:t>
      </w:r>
      <w:r w:rsidR="0037169B">
        <w:t>of</w:t>
      </w:r>
      <w:r w:rsidR="000159A6">
        <w:t xml:space="preserve"> </w:t>
      </w:r>
      <w:r w:rsidR="00733CE8">
        <w:t>age)</w:t>
      </w:r>
      <w:r w:rsidR="000159A6">
        <w:t xml:space="preserve"> </w:t>
      </w:r>
      <w:r w:rsidRPr="00F27E9A">
        <w:t>and</w:t>
      </w:r>
      <w:r w:rsidR="000159A6">
        <w:t xml:space="preserve"> </w:t>
      </w:r>
      <w:r w:rsidRPr="00F27E9A">
        <w:t>PHN</w:t>
      </w:r>
      <w:r w:rsidR="000159A6">
        <w:t xml:space="preserve"> </w:t>
      </w:r>
      <w:r w:rsidRPr="00F27E9A">
        <w:t>(100.0%</w:t>
      </w:r>
      <w:r w:rsidR="000159A6">
        <w:t xml:space="preserve"> </w:t>
      </w:r>
      <w:r w:rsidRPr="00F27E9A">
        <w:t>in</w:t>
      </w:r>
      <w:r w:rsidR="000159A6">
        <w:t xml:space="preserve"> </w:t>
      </w:r>
      <w:r w:rsidRPr="00F27E9A">
        <w:t>adults</w:t>
      </w:r>
      <w:r w:rsidR="000159A6">
        <w:t xml:space="preserve"> </w:t>
      </w:r>
      <w:r w:rsidR="0037169B">
        <w:t>≥</w:t>
      </w:r>
      <w:r w:rsidR="000159A6">
        <w:t xml:space="preserve"> </w:t>
      </w:r>
      <w:r w:rsidRPr="00F27E9A">
        <w:t>50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F27E9A">
        <w:t>and</w:t>
      </w:r>
      <w:r w:rsidR="000159A6">
        <w:t xml:space="preserve"> </w:t>
      </w:r>
      <w:r w:rsidRPr="00F27E9A">
        <w:t>88.8%</w:t>
      </w:r>
      <w:r w:rsidR="000159A6">
        <w:t xml:space="preserve"> </w:t>
      </w:r>
      <w:r w:rsidRPr="00F27E9A">
        <w:t>in</w:t>
      </w:r>
      <w:r w:rsidR="000159A6">
        <w:t xml:space="preserve"> </w:t>
      </w:r>
      <w:r w:rsidRPr="00F27E9A">
        <w:t>adults</w:t>
      </w:r>
      <w:r w:rsidR="000159A6">
        <w:t xml:space="preserve"> </w:t>
      </w:r>
      <w:r w:rsidR="0037169B">
        <w:t>≥</w:t>
      </w:r>
      <w:r w:rsidR="000159A6">
        <w:t xml:space="preserve"> </w:t>
      </w:r>
      <w:r>
        <w:t>70</w:t>
      </w:r>
      <w:r w:rsidR="000159A6">
        <w:t xml:space="preserve"> </w:t>
      </w:r>
      <w:r w:rsidR="0037169B">
        <w:t>years</w:t>
      </w:r>
      <w:r w:rsidR="000159A6">
        <w:t xml:space="preserve"> </w:t>
      </w:r>
      <w:r w:rsidR="0037169B">
        <w:t>of</w:t>
      </w:r>
      <w:r w:rsidR="000159A6">
        <w:t xml:space="preserve"> </w:t>
      </w:r>
      <w:r w:rsidR="00733CE8">
        <w:t>age)</w:t>
      </w:r>
      <w:r>
        <w:t>.</w:t>
      </w:r>
      <w:r w:rsidR="000159A6">
        <w:t xml:space="preserve"> </w:t>
      </w:r>
      <w:r w:rsidRPr="00F27E9A">
        <w:t>In</w:t>
      </w:r>
      <w:r w:rsidR="000159A6">
        <w:t xml:space="preserve"> </w:t>
      </w:r>
      <w:r w:rsidRPr="00F27E9A">
        <w:t>this</w:t>
      </w:r>
      <w:r w:rsidR="000159A6">
        <w:t xml:space="preserve"> </w:t>
      </w:r>
      <w:r w:rsidRPr="00F27E9A">
        <w:t>contemplation,</w:t>
      </w:r>
      <w:r w:rsidR="000159A6">
        <w:t xml:space="preserve"> </w:t>
      </w:r>
      <w:r w:rsidRPr="00F27E9A">
        <w:t>it</w:t>
      </w:r>
      <w:r w:rsidR="000159A6">
        <w:t xml:space="preserve"> </w:t>
      </w:r>
      <w:r w:rsidRPr="00F27E9A">
        <w:t>is</w:t>
      </w:r>
      <w:r w:rsidR="000159A6">
        <w:t xml:space="preserve"> </w:t>
      </w:r>
      <w:r w:rsidRPr="00F27E9A">
        <w:t>worth</w:t>
      </w:r>
      <w:r w:rsidR="000159A6">
        <w:t xml:space="preserve"> </w:t>
      </w:r>
      <w:r w:rsidRPr="00F27E9A">
        <w:t>considering</w:t>
      </w:r>
      <w:r w:rsidR="000159A6">
        <w:t xml:space="preserve"> </w:t>
      </w:r>
      <w:r w:rsidRPr="00F27E9A">
        <w:t>the</w:t>
      </w:r>
      <w:r w:rsidR="000159A6">
        <w:t xml:space="preserve"> </w:t>
      </w:r>
      <w:r w:rsidRPr="00F27E9A">
        <w:t>indication</w:t>
      </w:r>
      <w:r w:rsidR="000159A6">
        <w:t xml:space="preserve"> </w:t>
      </w:r>
      <w:r w:rsidRPr="00F27E9A">
        <w:t>for</w:t>
      </w:r>
      <w:r w:rsidR="000159A6">
        <w:t xml:space="preserve"> </w:t>
      </w:r>
      <w:r w:rsidRPr="00F27E9A">
        <w:t>Zostavax;</w:t>
      </w:r>
      <w:r w:rsidR="000159A6">
        <w:t xml:space="preserve"> </w:t>
      </w:r>
      <w:r w:rsidRPr="00F27E9A">
        <w:t>t</w:t>
      </w:r>
      <w:r>
        <w:t>he</w:t>
      </w:r>
      <w:r w:rsidR="000159A6">
        <w:t xml:space="preserve"> </w:t>
      </w:r>
      <w:r>
        <w:t>only</w:t>
      </w:r>
      <w:r w:rsidR="000159A6">
        <w:t xml:space="preserve"> </w:t>
      </w:r>
      <w:r>
        <w:t>currently</w:t>
      </w:r>
      <w:r w:rsidR="000159A6">
        <w:t xml:space="preserve"> </w:t>
      </w:r>
      <w:r>
        <w:t>registered</w:t>
      </w:r>
      <w:r w:rsidR="000159A6">
        <w:t xml:space="preserve"> </w:t>
      </w:r>
      <w:r>
        <w:t>HZ</w:t>
      </w:r>
      <w:r w:rsidR="000159A6">
        <w:t xml:space="preserve"> </w:t>
      </w:r>
      <w:r w:rsidRPr="00F27E9A">
        <w:t>vaccine</w:t>
      </w:r>
      <w:r w:rsidR="000159A6">
        <w:t xml:space="preserve"> </w:t>
      </w:r>
      <w:r w:rsidRPr="00F27E9A">
        <w:t>as</w:t>
      </w:r>
      <w:r w:rsidR="000159A6">
        <w:t xml:space="preserve"> </w:t>
      </w:r>
      <w:r w:rsidRPr="00F27E9A">
        <w:t>prescribers</w:t>
      </w:r>
      <w:r w:rsidR="000159A6">
        <w:t xml:space="preserve"> </w:t>
      </w:r>
      <w:r w:rsidRPr="00F27E9A">
        <w:t>will</w:t>
      </w:r>
      <w:r w:rsidR="000159A6">
        <w:t xml:space="preserve"> </w:t>
      </w:r>
      <w:r w:rsidRPr="00F27E9A">
        <w:t>be</w:t>
      </w:r>
      <w:r w:rsidR="000159A6">
        <w:t xml:space="preserve"> </w:t>
      </w:r>
      <w:r w:rsidRPr="00F27E9A">
        <w:t>making</w:t>
      </w:r>
      <w:r w:rsidR="000159A6">
        <w:t xml:space="preserve"> </w:t>
      </w:r>
      <w:r w:rsidRPr="00F27E9A">
        <w:t>a</w:t>
      </w:r>
      <w:r w:rsidR="000159A6">
        <w:t xml:space="preserve"> </w:t>
      </w:r>
      <w:r w:rsidRPr="00F27E9A">
        <w:t>clinical</w:t>
      </w:r>
      <w:r w:rsidR="000159A6">
        <w:t xml:space="preserve"> </w:t>
      </w:r>
      <w:r w:rsidRPr="00F27E9A">
        <w:t>choice</w:t>
      </w:r>
      <w:r w:rsidR="000159A6">
        <w:t xml:space="preserve"> </w:t>
      </w:r>
      <w:r w:rsidRPr="00F27E9A">
        <w:t>based</w:t>
      </w:r>
      <w:r w:rsidR="000159A6">
        <w:t xml:space="preserve"> </w:t>
      </w:r>
      <w:r w:rsidRPr="00F27E9A">
        <w:t>on</w:t>
      </w:r>
      <w:r w:rsidR="000159A6">
        <w:t xml:space="preserve"> </w:t>
      </w:r>
      <w:r w:rsidRPr="00F27E9A">
        <w:t>the</w:t>
      </w:r>
      <w:r w:rsidR="000159A6">
        <w:t xml:space="preserve"> </w:t>
      </w:r>
      <w:r w:rsidRPr="00F27E9A">
        <w:t>strength</w:t>
      </w:r>
      <w:r w:rsidR="000159A6">
        <w:t xml:space="preserve"> </w:t>
      </w:r>
      <w:r w:rsidRPr="00F27E9A">
        <w:t>of</w:t>
      </w:r>
      <w:r w:rsidR="000159A6">
        <w:t xml:space="preserve"> </w:t>
      </w:r>
      <w:r w:rsidRPr="00F27E9A">
        <w:t>the</w:t>
      </w:r>
      <w:r w:rsidR="000159A6">
        <w:t xml:space="preserve"> </w:t>
      </w:r>
      <w:r w:rsidRPr="00F27E9A">
        <w:t>preventative</w:t>
      </w:r>
      <w:r w:rsidR="000159A6">
        <w:t xml:space="preserve"> </w:t>
      </w:r>
      <w:r w:rsidRPr="00F27E9A">
        <w:t>measures</w:t>
      </w:r>
      <w:r w:rsidR="000159A6">
        <w:t xml:space="preserve"> </w:t>
      </w:r>
      <w:r w:rsidRPr="00F27E9A">
        <w:t>in</w:t>
      </w:r>
      <w:r w:rsidR="000159A6">
        <w:t xml:space="preserve"> </w:t>
      </w:r>
      <w:r w:rsidRPr="00F27E9A">
        <w:t>the</w:t>
      </w:r>
      <w:r w:rsidR="000159A6">
        <w:t xml:space="preserve"> </w:t>
      </w:r>
      <w:r w:rsidRPr="00F27E9A">
        <w:t>indication:</w:t>
      </w:r>
    </w:p>
    <w:p w14:paraId="748FC0CB" w14:textId="04D90651" w:rsidR="00F27E9A" w:rsidRPr="00F27E9A" w:rsidRDefault="00F27E9A" w:rsidP="00F27E9A">
      <w:pPr>
        <w:ind w:left="720"/>
        <w:rPr>
          <w:i/>
        </w:rPr>
      </w:pPr>
      <w:r w:rsidRPr="00F27E9A">
        <w:rPr>
          <w:i/>
        </w:rPr>
        <w:t>Z</w:t>
      </w:r>
      <w:r w:rsidR="00733CE8" w:rsidRPr="00F27E9A">
        <w:rPr>
          <w:i/>
        </w:rPr>
        <w:t>ostavax</w:t>
      </w:r>
      <w:r w:rsidR="000159A6">
        <w:rPr>
          <w:i/>
        </w:rPr>
        <w:t xml:space="preserve"> </w:t>
      </w:r>
      <w:r w:rsidRPr="00F27E9A">
        <w:rPr>
          <w:i/>
        </w:rPr>
        <w:t>is</w:t>
      </w:r>
      <w:r w:rsidR="000159A6">
        <w:rPr>
          <w:i/>
        </w:rPr>
        <w:t xml:space="preserve"> </w:t>
      </w:r>
      <w:r w:rsidRPr="00F27E9A">
        <w:rPr>
          <w:i/>
        </w:rPr>
        <w:t>indicated</w:t>
      </w:r>
      <w:r w:rsidR="000159A6">
        <w:rPr>
          <w:i/>
        </w:rPr>
        <w:t xml:space="preserve"> </w:t>
      </w:r>
      <w:r w:rsidRPr="00F27E9A">
        <w:rPr>
          <w:i/>
        </w:rPr>
        <w:t>for</w:t>
      </w:r>
      <w:r w:rsidR="000159A6">
        <w:rPr>
          <w:i/>
        </w:rPr>
        <w:t xml:space="preserve"> </w:t>
      </w:r>
      <w:r w:rsidRPr="00F27E9A">
        <w:rPr>
          <w:i/>
        </w:rPr>
        <w:t>the</w:t>
      </w:r>
      <w:r w:rsidR="000159A6">
        <w:rPr>
          <w:i/>
        </w:rPr>
        <w:t xml:space="preserve"> </w:t>
      </w:r>
      <w:r w:rsidRPr="00F27E9A">
        <w:rPr>
          <w:i/>
        </w:rPr>
        <w:t>prevention</w:t>
      </w:r>
      <w:r w:rsidR="000159A6">
        <w:rPr>
          <w:i/>
        </w:rPr>
        <w:t xml:space="preserve"> </w:t>
      </w:r>
      <w:r w:rsidRPr="00F27E9A">
        <w:rPr>
          <w:i/>
        </w:rPr>
        <w:t>of</w:t>
      </w:r>
      <w:r w:rsidR="000159A6">
        <w:rPr>
          <w:i/>
        </w:rPr>
        <w:t xml:space="preserve"> </w:t>
      </w:r>
      <w:r w:rsidRPr="00F27E9A">
        <w:rPr>
          <w:i/>
        </w:rPr>
        <w:t>herpes</w:t>
      </w:r>
      <w:r w:rsidR="000159A6">
        <w:rPr>
          <w:i/>
        </w:rPr>
        <w:t xml:space="preserve"> </w:t>
      </w:r>
      <w:r w:rsidRPr="00F27E9A">
        <w:rPr>
          <w:i/>
        </w:rPr>
        <w:t>zoster</w:t>
      </w:r>
      <w:r w:rsidR="000159A6">
        <w:rPr>
          <w:i/>
        </w:rPr>
        <w:t xml:space="preserve"> </w:t>
      </w:r>
      <w:r w:rsidRPr="00F27E9A">
        <w:rPr>
          <w:i/>
        </w:rPr>
        <w:t>(shingles)</w:t>
      </w:r>
      <w:r w:rsidR="000159A6">
        <w:rPr>
          <w:i/>
        </w:rPr>
        <w:t xml:space="preserve"> </w:t>
      </w:r>
      <w:r w:rsidRPr="00F27E9A">
        <w:rPr>
          <w:i/>
        </w:rPr>
        <w:t>in</w:t>
      </w:r>
      <w:r w:rsidR="000159A6">
        <w:rPr>
          <w:i/>
        </w:rPr>
        <w:t xml:space="preserve"> </w:t>
      </w:r>
      <w:r w:rsidRPr="00F27E9A">
        <w:rPr>
          <w:i/>
        </w:rPr>
        <w:t>individuals</w:t>
      </w:r>
      <w:r w:rsidR="000159A6">
        <w:rPr>
          <w:i/>
        </w:rPr>
        <w:t xml:space="preserve"> </w:t>
      </w:r>
      <w:r w:rsidRPr="00F27E9A">
        <w:rPr>
          <w:i/>
        </w:rPr>
        <w:t>50</w:t>
      </w:r>
      <w:r w:rsidR="000159A6">
        <w:rPr>
          <w:i/>
        </w:rPr>
        <w:t xml:space="preserve"> </w:t>
      </w:r>
      <w:r w:rsidRPr="00F27E9A">
        <w:rPr>
          <w:i/>
        </w:rPr>
        <w:t>years</w:t>
      </w:r>
      <w:r w:rsidR="000159A6">
        <w:rPr>
          <w:i/>
        </w:rPr>
        <w:t xml:space="preserve"> </w:t>
      </w:r>
      <w:r w:rsidRPr="00F27E9A">
        <w:rPr>
          <w:i/>
        </w:rPr>
        <w:t>of</w:t>
      </w:r>
      <w:r w:rsidR="000159A6">
        <w:rPr>
          <w:i/>
        </w:rPr>
        <w:t xml:space="preserve"> </w:t>
      </w:r>
      <w:r w:rsidRPr="00F27E9A">
        <w:rPr>
          <w:i/>
        </w:rPr>
        <w:t>age</w:t>
      </w:r>
      <w:r w:rsidR="000159A6">
        <w:rPr>
          <w:i/>
        </w:rPr>
        <w:t xml:space="preserve"> </w:t>
      </w:r>
      <w:r w:rsidRPr="00F27E9A">
        <w:rPr>
          <w:i/>
        </w:rPr>
        <w:t>and</w:t>
      </w:r>
      <w:r w:rsidR="000159A6">
        <w:rPr>
          <w:i/>
        </w:rPr>
        <w:t xml:space="preserve"> </w:t>
      </w:r>
      <w:r w:rsidRPr="00F27E9A">
        <w:rPr>
          <w:i/>
        </w:rPr>
        <w:t>older.</w:t>
      </w:r>
      <w:r w:rsidR="000159A6">
        <w:rPr>
          <w:i/>
        </w:rPr>
        <w:t xml:space="preserve"> </w:t>
      </w:r>
      <w:r w:rsidRPr="00F27E9A">
        <w:rPr>
          <w:i/>
        </w:rPr>
        <w:t>Z</w:t>
      </w:r>
      <w:r w:rsidR="00733CE8" w:rsidRPr="00F27E9A">
        <w:rPr>
          <w:i/>
        </w:rPr>
        <w:t>ostavax</w:t>
      </w:r>
      <w:r w:rsidR="000159A6">
        <w:rPr>
          <w:i/>
        </w:rPr>
        <w:t xml:space="preserve"> </w:t>
      </w:r>
      <w:r w:rsidRPr="00F27E9A">
        <w:rPr>
          <w:i/>
        </w:rPr>
        <w:t>is</w:t>
      </w:r>
      <w:r w:rsidR="000159A6">
        <w:rPr>
          <w:i/>
        </w:rPr>
        <w:t xml:space="preserve"> </w:t>
      </w:r>
      <w:r w:rsidRPr="00F27E9A">
        <w:rPr>
          <w:i/>
        </w:rPr>
        <w:t>indicated</w:t>
      </w:r>
      <w:r w:rsidR="000159A6">
        <w:rPr>
          <w:i/>
        </w:rPr>
        <w:t xml:space="preserve"> </w:t>
      </w:r>
      <w:r w:rsidRPr="00F27E9A">
        <w:rPr>
          <w:i/>
        </w:rPr>
        <w:t>for</w:t>
      </w:r>
      <w:r w:rsidR="000159A6">
        <w:rPr>
          <w:i/>
        </w:rPr>
        <w:t xml:space="preserve"> </w:t>
      </w:r>
      <w:r w:rsidRPr="00F27E9A">
        <w:rPr>
          <w:i/>
        </w:rPr>
        <w:t>the</w:t>
      </w:r>
      <w:r w:rsidR="000159A6">
        <w:rPr>
          <w:i/>
        </w:rPr>
        <w:t xml:space="preserve"> </w:t>
      </w:r>
      <w:r w:rsidRPr="00F27E9A">
        <w:rPr>
          <w:i/>
        </w:rPr>
        <w:t>prevention</w:t>
      </w:r>
      <w:r w:rsidR="000159A6">
        <w:rPr>
          <w:i/>
        </w:rPr>
        <w:t xml:space="preserve"> </w:t>
      </w:r>
      <w:r w:rsidRPr="00F27E9A">
        <w:rPr>
          <w:i/>
        </w:rPr>
        <w:t>of</w:t>
      </w:r>
      <w:r w:rsidR="000159A6">
        <w:rPr>
          <w:i/>
        </w:rPr>
        <w:t xml:space="preserve"> </w:t>
      </w:r>
      <w:r w:rsidRPr="00F27E9A">
        <w:rPr>
          <w:i/>
        </w:rPr>
        <w:t>postherpetic</w:t>
      </w:r>
      <w:r w:rsidR="000159A6">
        <w:rPr>
          <w:i/>
        </w:rPr>
        <w:t xml:space="preserve"> </w:t>
      </w:r>
      <w:r w:rsidRPr="00F27E9A">
        <w:rPr>
          <w:i/>
        </w:rPr>
        <w:t>neuralgia</w:t>
      </w:r>
      <w:r w:rsidR="000159A6">
        <w:rPr>
          <w:i/>
        </w:rPr>
        <w:t xml:space="preserve"> </w:t>
      </w:r>
      <w:r w:rsidRPr="00F27E9A">
        <w:rPr>
          <w:i/>
        </w:rPr>
        <w:t>(PHN)</w:t>
      </w:r>
      <w:r w:rsidR="000159A6">
        <w:rPr>
          <w:i/>
        </w:rPr>
        <w:t xml:space="preserve"> </w:t>
      </w:r>
      <w:r w:rsidRPr="00F27E9A">
        <w:rPr>
          <w:i/>
        </w:rPr>
        <w:t>and</w:t>
      </w:r>
      <w:r w:rsidR="000159A6">
        <w:rPr>
          <w:i/>
        </w:rPr>
        <w:t xml:space="preserve"> </w:t>
      </w:r>
      <w:r w:rsidRPr="00F27E9A">
        <w:rPr>
          <w:i/>
        </w:rPr>
        <w:t>for</w:t>
      </w:r>
      <w:r w:rsidR="000159A6">
        <w:rPr>
          <w:i/>
        </w:rPr>
        <w:t xml:space="preserve"> </w:t>
      </w:r>
      <w:r w:rsidRPr="00F27E9A">
        <w:rPr>
          <w:i/>
        </w:rPr>
        <w:t>reduction</w:t>
      </w:r>
      <w:r w:rsidR="000159A6">
        <w:rPr>
          <w:i/>
        </w:rPr>
        <w:t xml:space="preserve"> </w:t>
      </w:r>
      <w:r w:rsidRPr="00F27E9A">
        <w:rPr>
          <w:i/>
        </w:rPr>
        <w:t>of</w:t>
      </w:r>
      <w:r w:rsidR="000159A6">
        <w:rPr>
          <w:i/>
        </w:rPr>
        <w:t xml:space="preserve"> </w:t>
      </w:r>
      <w:r w:rsidRPr="00F27E9A">
        <w:rPr>
          <w:i/>
        </w:rPr>
        <w:t>acute</w:t>
      </w:r>
      <w:r w:rsidR="000159A6">
        <w:rPr>
          <w:i/>
        </w:rPr>
        <w:t xml:space="preserve"> </w:t>
      </w:r>
      <w:r w:rsidRPr="00F27E9A">
        <w:rPr>
          <w:i/>
        </w:rPr>
        <w:t>and</w:t>
      </w:r>
      <w:r w:rsidR="000159A6">
        <w:rPr>
          <w:i/>
        </w:rPr>
        <w:t xml:space="preserve"> </w:t>
      </w:r>
      <w:r w:rsidRPr="00F27E9A">
        <w:rPr>
          <w:i/>
        </w:rPr>
        <w:t>chronic</w:t>
      </w:r>
      <w:r w:rsidR="000159A6">
        <w:rPr>
          <w:i/>
        </w:rPr>
        <w:t xml:space="preserve"> </w:t>
      </w:r>
      <w:r w:rsidRPr="00F27E9A">
        <w:rPr>
          <w:i/>
        </w:rPr>
        <w:t>zoster-associated</w:t>
      </w:r>
      <w:r w:rsidR="000159A6">
        <w:rPr>
          <w:i/>
        </w:rPr>
        <w:t xml:space="preserve"> </w:t>
      </w:r>
      <w:r w:rsidRPr="00F27E9A">
        <w:rPr>
          <w:i/>
        </w:rPr>
        <w:t>pain</w:t>
      </w:r>
      <w:r w:rsidR="000159A6">
        <w:rPr>
          <w:i/>
        </w:rPr>
        <w:t xml:space="preserve"> </w:t>
      </w:r>
      <w:r w:rsidRPr="00F27E9A">
        <w:rPr>
          <w:i/>
        </w:rPr>
        <w:t>in</w:t>
      </w:r>
      <w:r w:rsidR="000159A6">
        <w:rPr>
          <w:i/>
        </w:rPr>
        <w:t xml:space="preserve"> </w:t>
      </w:r>
      <w:r w:rsidRPr="00F27E9A">
        <w:rPr>
          <w:i/>
        </w:rPr>
        <w:t>individuals</w:t>
      </w:r>
      <w:r w:rsidR="000159A6">
        <w:rPr>
          <w:i/>
        </w:rPr>
        <w:t xml:space="preserve"> </w:t>
      </w:r>
      <w:r w:rsidRPr="00F27E9A">
        <w:rPr>
          <w:i/>
        </w:rPr>
        <w:t>60</w:t>
      </w:r>
      <w:r w:rsidR="000159A6">
        <w:rPr>
          <w:i/>
        </w:rPr>
        <w:t xml:space="preserve"> </w:t>
      </w:r>
      <w:r w:rsidRPr="00F27E9A">
        <w:rPr>
          <w:i/>
        </w:rPr>
        <w:t>years</w:t>
      </w:r>
      <w:r w:rsidR="000159A6">
        <w:rPr>
          <w:i/>
        </w:rPr>
        <w:t xml:space="preserve"> </w:t>
      </w:r>
      <w:r w:rsidRPr="00F27E9A">
        <w:rPr>
          <w:i/>
        </w:rPr>
        <w:t>of</w:t>
      </w:r>
      <w:r w:rsidR="000159A6">
        <w:rPr>
          <w:i/>
        </w:rPr>
        <w:t xml:space="preserve"> </w:t>
      </w:r>
      <w:r w:rsidRPr="00F27E9A">
        <w:rPr>
          <w:i/>
        </w:rPr>
        <w:t>age</w:t>
      </w:r>
      <w:r w:rsidR="000159A6">
        <w:rPr>
          <w:i/>
        </w:rPr>
        <w:t xml:space="preserve"> </w:t>
      </w:r>
      <w:r w:rsidRPr="00F27E9A">
        <w:rPr>
          <w:i/>
        </w:rPr>
        <w:t>and</w:t>
      </w:r>
      <w:r w:rsidR="000159A6">
        <w:rPr>
          <w:i/>
        </w:rPr>
        <w:t xml:space="preserve"> </w:t>
      </w:r>
      <w:r w:rsidRPr="00F27E9A">
        <w:rPr>
          <w:i/>
        </w:rPr>
        <w:t>older.</w:t>
      </w:r>
    </w:p>
    <w:p w14:paraId="5D4BFB57" w14:textId="368C207A" w:rsidR="00733CE8" w:rsidRDefault="00F27E9A" w:rsidP="00440509">
      <w:r w:rsidRPr="00F27E9A">
        <w:t>Prevention</w:t>
      </w:r>
      <w:r w:rsidR="000159A6">
        <w:t xml:space="preserve"> </w:t>
      </w:r>
      <w:r w:rsidRPr="00F27E9A">
        <w:t>of</w:t>
      </w:r>
      <w:r w:rsidR="000159A6">
        <w:t xml:space="preserve"> </w:t>
      </w:r>
      <w:r w:rsidRPr="00F27E9A">
        <w:t>PHN,</w:t>
      </w:r>
      <w:r w:rsidR="000159A6">
        <w:t xml:space="preserve"> </w:t>
      </w:r>
      <w:r w:rsidRPr="00F27E9A">
        <w:t>both</w:t>
      </w:r>
      <w:r w:rsidR="000159A6">
        <w:t xml:space="preserve"> </w:t>
      </w:r>
      <w:r w:rsidRPr="00F27E9A">
        <w:t>overall</w:t>
      </w:r>
      <w:r w:rsidR="000159A6">
        <w:t xml:space="preserve"> </w:t>
      </w:r>
      <w:r w:rsidRPr="00F27E9A">
        <w:t>and</w:t>
      </w:r>
      <w:r w:rsidR="000159A6">
        <w:t xml:space="preserve"> </w:t>
      </w:r>
      <w:r w:rsidRPr="00F27E9A">
        <w:t>specifically</w:t>
      </w:r>
      <w:r w:rsidR="000159A6">
        <w:t xml:space="preserve"> </w:t>
      </w:r>
      <w:r w:rsidRPr="00F27E9A">
        <w:t>in</w:t>
      </w:r>
      <w:r w:rsidR="000159A6">
        <w:t xml:space="preserve"> </w:t>
      </w:r>
      <w:r w:rsidRPr="00F27E9A">
        <w:t>breakthrough</w:t>
      </w:r>
      <w:r w:rsidR="000159A6">
        <w:t xml:space="preserve"> </w:t>
      </w:r>
      <w:r w:rsidRPr="00F27E9A">
        <w:t>HZ</w:t>
      </w:r>
      <w:r w:rsidR="000159A6">
        <w:t xml:space="preserve"> </w:t>
      </w:r>
      <w:r w:rsidRPr="00F27E9A">
        <w:t>cases</w:t>
      </w:r>
      <w:r w:rsidR="000159A6">
        <w:t xml:space="preserve"> </w:t>
      </w:r>
      <w:r>
        <w:t>has</w:t>
      </w:r>
      <w:r w:rsidR="000159A6">
        <w:t xml:space="preserve"> </w:t>
      </w:r>
      <w:r>
        <w:t>been</w:t>
      </w:r>
      <w:r w:rsidR="000159A6">
        <w:t xml:space="preserve"> </w:t>
      </w:r>
      <w:r>
        <w:t>evaluated</w:t>
      </w:r>
      <w:r w:rsidR="000159A6">
        <w:t xml:space="preserve"> </w:t>
      </w:r>
      <w:r>
        <w:t>in</w:t>
      </w:r>
      <w:r w:rsidR="000159A6">
        <w:t xml:space="preserve"> </w:t>
      </w:r>
      <w:r>
        <w:t>clinical</w:t>
      </w:r>
      <w:r w:rsidR="000159A6">
        <w:t xml:space="preserve"> </w:t>
      </w:r>
      <w:r w:rsidRPr="00F27E9A">
        <w:t>trials</w:t>
      </w:r>
      <w:r w:rsidR="000159A6">
        <w:t xml:space="preserve"> </w:t>
      </w:r>
      <w:r w:rsidRPr="00F27E9A">
        <w:t>of</w:t>
      </w:r>
      <w:r w:rsidR="000159A6">
        <w:t xml:space="preserve"> </w:t>
      </w:r>
      <w:r w:rsidRPr="00F27E9A">
        <w:t>Zostavax</w:t>
      </w:r>
      <w:r w:rsidR="000159A6">
        <w:t xml:space="preserve"> </w:t>
      </w:r>
      <w:r w:rsidRPr="00F27E9A">
        <w:t>(in</w:t>
      </w:r>
      <w:r w:rsidR="000159A6">
        <w:t xml:space="preserve"> </w:t>
      </w:r>
      <w:proofErr w:type="gramStart"/>
      <w:r w:rsidRPr="00F27E9A">
        <w:t>subjects</w:t>
      </w:r>
      <w:proofErr w:type="gramEnd"/>
      <w:r w:rsidR="000159A6">
        <w:t xml:space="preserve"> </w:t>
      </w:r>
      <w:r w:rsidR="0037169B">
        <w:t>≥</w:t>
      </w:r>
      <w:r w:rsidR="000159A6">
        <w:t xml:space="preserve"> </w:t>
      </w:r>
      <w:r w:rsidRPr="00F27E9A">
        <w:t>60</w:t>
      </w:r>
      <w:r w:rsidR="000159A6">
        <w:t xml:space="preserve"> </w:t>
      </w:r>
      <w:r w:rsidR="0037169B">
        <w:t>years</w:t>
      </w:r>
      <w:r w:rsidR="000159A6">
        <w:t xml:space="preserve"> </w:t>
      </w:r>
      <w:r w:rsidR="0037169B">
        <w:t>of</w:t>
      </w:r>
      <w:r w:rsidR="000159A6">
        <w:t xml:space="preserve"> </w:t>
      </w:r>
      <w:r w:rsidR="00733CE8">
        <w:t>age)</w:t>
      </w:r>
      <w:r w:rsidR="000159A6">
        <w:t xml:space="preserve"> </w:t>
      </w:r>
      <w:r w:rsidRPr="00F27E9A">
        <w:t>and</w:t>
      </w:r>
      <w:r w:rsidR="000159A6">
        <w:t xml:space="preserve"> </w:t>
      </w:r>
      <w:r w:rsidRPr="00F27E9A">
        <w:t>HZ/</w:t>
      </w:r>
      <w:proofErr w:type="spellStart"/>
      <w:r w:rsidRPr="00F27E9A">
        <w:t>su</w:t>
      </w:r>
      <w:proofErr w:type="spellEnd"/>
      <w:r w:rsidR="000159A6">
        <w:t xml:space="preserve"> </w:t>
      </w:r>
      <w:r w:rsidRPr="00F27E9A">
        <w:t>(in</w:t>
      </w:r>
      <w:r w:rsidR="000159A6">
        <w:t xml:space="preserve"> </w:t>
      </w:r>
      <w:r w:rsidRPr="00F27E9A">
        <w:t>subjects</w:t>
      </w:r>
      <w:r w:rsidR="000159A6">
        <w:t xml:space="preserve"> </w:t>
      </w:r>
      <w:r w:rsidR="0037169B">
        <w:t>≥</w:t>
      </w:r>
      <w:r w:rsidR="000159A6">
        <w:t xml:space="preserve"> </w:t>
      </w:r>
      <w:r w:rsidRPr="00F27E9A">
        <w:t>50</w:t>
      </w:r>
      <w:r w:rsidR="000159A6">
        <w:t xml:space="preserve"> </w:t>
      </w:r>
      <w:r w:rsidRPr="00436177">
        <w:t>and</w:t>
      </w:r>
      <w:r w:rsidR="000159A6">
        <w:t xml:space="preserve"> </w:t>
      </w:r>
      <w:r w:rsidR="0037169B">
        <w:t>≥</w:t>
      </w:r>
      <w:r w:rsidR="000159A6">
        <w:t xml:space="preserve"> </w:t>
      </w:r>
      <w:r w:rsidRPr="00436177">
        <w:t>70</w:t>
      </w:r>
      <w:r w:rsidR="000159A6">
        <w:t xml:space="preserve"> </w:t>
      </w:r>
      <w:r w:rsidR="0037169B">
        <w:t>years</w:t>
      </w:r>
      <w:r w:rsidR="000159A6">
        <w:t xml:space="preserve"> </w:t>
      </w:r>
      <w:r w:rsidR="0037169B">
        <w:t>of</w:t>
      </w:r>
      <w:r w:rsidR="000159A6">
        <w:t xml:space="preserve"> </w:t>
      </w:r>
      <w:r w:rsidR="00733CE8">
        <w:t>age)</w:t>
      </w:r>
      <w:r w:rsidRPr="00436177">
        <w:t>.</w:t>
      </w:r>
      <w:r w:rsidR="000159A6">
        <w:t xml:space="preserve"> </w:t>
      </w:r>
      <w:r w:rsidRPr="00436177">
        <w:t>Although</w:t>
      </w:r>
      <w:r w:rsidR="000159A6">
        <w:t xml:space="preserve"> </w:t>
      </w:r>
      <w:r w:rsidRPr="00436177">
        <w:t>no</w:t>
      </w:r>
      <w:r w:rsidR="000159A6">
        <w:t xml:space="preserve"> </w:t>
      </w:r>
      <w:r w:rsidRPr="00436177">
        <w:t>head</w:t>
      </w:r>
      <w:r w:rsidR="000159A6">
        <w:t xml:space="preserve"> </w:t>
      </w:r>
      <w:r w:rsidR="00436177" w:rsidRPr="00436177">
        <w:t>to-head</w:t>
      </w:r>
      <w:r w:rsidR="000159A6">
        <w:t xml:space="preserve"> </w:t>
      </w:r>
      <w:r w:rsidR="00436177" w:rsidRPr="00436177">
        <w:t>comparative</w:t>
      </w:r>
      <w:r w:rsidR="000159A6">
        <w:t xml:space="preserve"> </w:t>
      </w:r>
      <w:r w:rsidR="00436177" w:rsidRPr="00436177">
        <w:t>data</w:t>
      </w:r>
      <w:r w:rsidR="000159A6">
        <w:t xml:space="preserve"> </w:t>
      </w:r>
      <w:r w:rsidR="00436177" w:rsidRPr="00436177">
        <w:t>are</w:t>
      </w:r>
      <w:r w:rsidR="000159A6">
        <w:t xml:space="preserve"> </w:t>
      </w:r>
      <w:r w:rsidR="00436177" w:rsidRPr="00436177">
        <w:t>available,</w:t>
      </w:r>
      <w:r w:rsidR="000159A6">
        <w:t xml:space="preserve"> </w:t>
      </w:r>
      <w:r w:rsidR="00436177" w:rsidRPr="00436177">
        <w:t>it</w:t>
      </w:r>
      <w:r w:rsidR="000159A6">
        <w:t xml:space="preserve"> </w:t>
      </w:r>
      <w:r w:rsidR="00436177" w:rsidRPr="00436177">
        <w:t>is</w:t>
      </w:r>
      <w:r w:rsidR="000159A6">
        <w:t xml:space="preserve"> </w:t>
      </w:r>
      <w:r w:rsidR="00436177" w:rsidRPr="00436177">
        <w:t>important</w:t>
      </w:r>
      <w:r w:rsidR="000159A6">
        <w:t xml:space="preserve"> </w:t>
      </w:r>
      <w:r w:rsidR="00436177" w:rsidRPr="00436177">
        <w:t>to</w:t>
      </w:r>
      <w:r w:rsidR="000159A6">
        <w:t xml:space="preserve"> </w:t>
      </w:r>
      <w:r w:rsidR="00436177" w:rsidRPr="00436177">
        <w:t>note</w:t>
      </w:r>
      <w:r w:rsidR="000159A6">
        <w:t xml:space="preserve"> </w:t>
      </w:r>
      <w:r w:rsidR="00436177" w:rsidRPr="00436177">
        <w:t>that</w:t>
      </w:r>
      <w:r w:rsidR="000159A6">
        <w:t xml:space="preserve"> </w:t>
      </w:r>
      <w:r w:rsidR="00436177">
        <w:t>the</w:t>
      </w:r>
      <w:r w:rsidR="000159A6">
        <w:t xml:space="preserve"> </w:t>
      </w:r>
      <w:r w:rsidR="00436177">
        <w:t>methods</w:t>
      </w:r>
      <w:r w:rsidR="000159A6">
        <w:t xml:space="preserve"> </w:t>
      </w:r>
      <w:r w:rsidR="00436177">
        <w:t>for</w:t>
      </w:r>
      <w:r w:rsidR="000159A6">
        <w:t xml:space="preserve"> </w:t>
      </w:r>
      <w:r w:rsidR="00436177">
        <w:t>HZ</w:t>
      </w:r>
      <w:r w:rsidR="000159A6">
        <w:t xml:space="preserve"> </w:t>
      </w:r>
      <w:r w:rsidR="00436177">
        <w:t>and</w:t>
      </w:r>
      <w:r w:rsidR="000159A6">
        <w:t xml:space="preserve"> </w:t>
      </w:r>
      <w:r w:rsidR="00436177">
        <w:t>PHN</w:t>
      </w:r>
      <w:r w:rsidR="000159A6">
        <w:t xml:space="preserve"> </w:t>
      </w:r>
      <w:r w:rsidR="00436177">
        <w:t>case</w:t>
      </w:r>
      <w:r w:rsidR="000159A6">
        <w:t xml:space="preserve"> </w:t>
      </w:r>
      <w:r w:rsidR="00436177" w:rsidRPr="00436177">
        <w:t>collection,</w:t>
      </w:r>
      <w:r w:rsidR="000159A6">
        <w:t xml:space="preserve"> </w:t>
      </w:r>
      <w:r w:rsidR="00436177" w:rsidRPr="00436177">
        <w:t>as</w:t>
      </w:r>
      <w:r w:rsidR="000159A6">
        <w:t xml:space="preserve"> </w:t>
      </w:r>
      <w:r w:rsidR="00436177" w:rsidRPr="00436177">
        <w:t>well</w:t>
      </w:r>
      <w:r w:rsidR="000159A6">
        <w:t xml:space="preserve"> </w:t>
      </w:r>
      <w:r w:rsidR="00436177" w:rsidRPr="00436177">
        <w:t>as</w:t>
      </w:r>
      <w:r w:rsidR="000159A6">
        <w:t xml:space="preserve"> </w:t>
      </w:r>
      <w:r w:rsidR="00436177" w:rsidRPr="00436177">
        <w:t>the</w:t>
      </w:r>
      <w:r w:rsidR="000159A6">
        <w:t xml:space="preserve"> </w:t>
      </w:r>
      <w:r w:rsidR="00436177" w:rsidRPr="00436177">
        <w:t>algorithm</w:t>
      </w:r>
      <w:r w:rsidR="000159A6">
        <w:t xml:space="preserve"> </w:t>
      </w:r>
      <w:r w:rsidR="00436177" w:rsidRPr="00436177">
        <w:t>for</w:t>
      </w:r>
      <w:r w:rsidR="000159A6">
        <w:t xml:space="preserve"> </w:t>
      </w:r>
      <w:r w:rsidR="00436177" w:rsidRPr="00436177">
        <w:t>HZ</w:t>
      </w:r>
      <w:r w:rsidR="000159A6">
        <w:t xml:space="preserve"> </w:t>
      </w:r>
      <w:r w:rsidR="00436177" w:rsidRPr="00436177">
        <w:t>case</w:t>
      </w:r>
      <w:r w:rsidR="000159A6">
        <w:t xml:space="preserve"> </w:t>
      </w:r>
      <w:r w:rsidR="00436177" w:rsidRPr="00436177">
        <w:t>diagnosis</w:t>
      </w:r>
      <w:r w:rsidR="000159A6">
        <w:t xml:space="preserve"> </w:t>
      </w:r>
      <w:r w:rsidR="00436177" w:rsidRPr="00436177">
        <w:t>and</w:t>
      </w:r>
      <w:r w:rsidR="000159A6">
        <w:t xml:space="preserve"> </w:t>
      </w:r>
      <w:r w:rsidR="00436177" w:rsidRPr="00436177">
        <w:t>the</w:t>
      </w:r>
      <w:r w:rsidR="000159A6">
        <w:t xml:space="preserve"> </w:t>
      </w:r>
      <w:r w:rsidR="00436177" w:rsidRPr="00436177">
        <w:t>PHN</w:t>
      </w:r>
      <w:r w:rsidR="000159A6">
        <w:t xml:space="preserve"> </w:t>
      </w:r>
      <w:r w:rsidR="00436177" w:rsidRPr="00436177">
        <w:t>de</w:t>
      </w:r>
      <w:r w:rsidR="00436177">
        <w:t>finition</w:t>
      </w:r>
      <w:r w:rsidR="000159A6">
        <w:t xml:space="preserve"> </w:t>
      </w:r>
      <w:r w:rsidR="00436177">
        <w:t>were</w:t>
      </w:r>
      <w:r w:rsidR="000159A6">
        <w:t xml:space="preserve"> </w:t>
      </w:r>
      <w:r w:rsidR="00436177">
        <w:t>identical</w:t>
      </w:r>
      <w:r w:rsidR="000159A6">
        <w:t xml:space="preserve"> </w:t>
      </w:r>
      <w:r w:rsidR="00436177">
        <w:t>in</w:t>
      </w:r>
      <w:r w:rsidR="000159A6">
        <w:t xml:space="preserve"> </w:t>
      </w:r>
      <w:r w:rsidR="00436177">
        <w:t>both</w:t>
      </w:r>
      <w:r w:rsidR="000159A6">
        <w:t xml:space="preserve"> </w:t>
      </w:r>
      <w:r w:rsidR="00436177" w:rsidRPr="00436177">
        <w:t>vaccines’</w:t>
      </w:r>
      <w:r w:rsidR="000159A6">
        <w:t xml:space="preserve"> </w:t>
      </w:r>
      <w:r w:rsidR="00436177" w:rsidRPr="00436177">
        <w:t>efficacy</w:t>
      </w:r>
      <w:r w:rsidR="000159A6">
        <w:t xml:space="preserve"> </w:t>
      </w:r>
      <w:r w:rsidR="00436177" w:rsidRPr="00436177">
        <w:t>trials:</w:t>
      </w:r>
      <w:r w:rsidR="000159A6">
        <w:t xml:space="preserve"> </w:t>
      </w:r>
      <w:r w:rsidR="00436177" w:rsidRPr="00436177">
        <w:t>PHN</w:t>
      </w:r>
      <w:r w:rsidR="000159A6">
        <w:t xml:space="preserve"> </w:t>
      </w:r>
      <w:r w:rsidR="00436177" w:rsidRPr="00436177">
        <w:t>was</w:t>
      </w:r>
      <w:r w:rsidR="000159A6">
        <w:t xml:space="preserve"> </w:t>
      </w:r>
      <w:r w:rsidR="00436177" w:rsidRPr="00436177">
        <w:t>defined</w:t>
      </w:r>
      <w:r w:rsidR="000159A6">
        <w:t xml:space="preserve"> </w:t>
      </w:r>
      <w:r w:rsidR="00436177" w:rsidRPr="00436177">
        <w:t>as</w:t>
      </w:r>
      <w:r w:rsidR="000159A6">
        <w:t xml:space="preserve"> </w:t>
      </w:r>
      <w:r w:rsidR="00436177" w:rsidRPr="00436177">
        <w:t>any</w:t>
      </w:r>
      <w:r w:rsidR="000159A6">
        <w:t xml:space="preserve"> </w:t>
      </w:r>
      <w:r w:rsidR="004715B4">
        <w:t>HZ</w:t>
      </w:r>
      <w:r w:rsidR="000159A6">
        <w:t xml:space="preserve"> </w:t>
      </w:r>
      <w:r w:rsidR="004715B4">
        <w:t>associated</w:t>
      </w:r>
      <w:r w:rsidR="000159A6">
        <w:t xml:space="preserve"> </w:t>
      </w:r>
      <w:r w:rsidR="00436177" w:rsidRPr="00436177">
        <w:t>pain</w:t>
      </w:r>
      <w:r w:rsidR="000159A6">
        <w:t xml:space="preserve"> </w:t>
      </w:r>
      <w:r w:rsidR="0037169B">
        <w:t>≥</w:t>
      </w:r>
      <w:r w:rsidR="000159A6">
        <w:t xml:space="preserve"> </w:t>
      </w:r>
      <w:r w:rsidR="00436177" w:rsidRPr="00436177">
        <w:t>3</w:t>
      </w:r>
      <w:r w:rsidR="000159A6">
        <w:t xml:space="preserve"> </w:t>
      </w:r>
      <w:r w:rsidR="00733CE8">
        <w:t>(on</w:t>
      </w:r>
      <w:r w:rsidR="000159A6">
        <w:t xml:space="preserve"> </w:t>
      </w:r>
      <w:r w:rsidR="00733CE8">
        <w:t>a</w:t>
      </w:r>
      <w:r w:rsidR="000159A6">
        <w:t xml:space="preserve"> </w:t>
      </w:r>
      <w:r w:rsidR="00733CE8">
        <w:t>0</w:t>
      </w:r>
      <w:r w:rsidR="000159A6">
        <w:t xml:space="preserve"> </w:t>
      </w:r>
      <w:r w:rsidR="00733CE8">
        <w:t>to</w:t>
      </w:r>
      <w:r w:rsidR="000159A6">
        <w:t xml:space="preserve"> </w:t>
      </w:r>
      <w:r w:rsidR="00436177">
        <w:t>10</w:t>
      </w:r>
      <w:r w:rsidR="000159A6">
        <w:t xml:space="preserve"> </w:t>
      </w:r>
      <w:r w:rsidR="00436177">
        <w:t>scale)</w:t>
      </w:r>
      <w:r w:rsidR="000159A6">
        <w:t xml:space="preserve"> </w:t>
      </w:r>
      <w:r w:rsidR="00436177">
        <w:t>persisting</w:t>
      </w:r>
      <w:r w:rsidR="000159A6">
        <w:t xml:space="preserve"> </w:t>
      </w:r>
      <w:r w:rsidR="00436177">
        <w:t>or</w:t>
      </w:r>
      <w:r w:rsidR="000159A6">
        <w:t xml:space="preserve"> </w:t>
      </w:r>
      <w:r w:rsidR="00436177" w:rsidRPr="00436177">
        <w:t>appearing</w:t>
      </w:r>
      <w:r w:rsidR="000159A6">
        <w:t xml:space="preserve"> </w:t>
      </w:r>
      <w:r w:rsidR="00436177" w:rsidRPr="00436177">
        <w:t>more</w:t>
      </w:r>
      <w:r w:rsidR="000159A6">
        <w:t xml:space="preserve"> </w:t>
      </w:r>
      <w:r w:rsidR="00436177" w:rsidRPr="00436177">
        <w:t>than</w:t>
      </w:r>
      <w:r w:rsidR="000159A6">
        <w:t xml:space="preserve"> </w:t>
      </w:r>
      <w:r w:rsidR="00436177" w:rsidRPr="00436177">
        <w:t>90</w:t>
      </w:r>
      <w:r w:rsidR="000159A6">
        <w:t xml:space="preserve"> </w:t>
      </w:r>
      <w:r w:rsidR="00436177" w:rsidRPr="00436177">
        <w:t>days</w:t>
      </w:r>
      <w:r w:rsidR="000159A6">
        <w:t xml:space="preserve"> </w:t>
      </w:r>
      <w:r w:rsidR="00436177" w:rsidRPr="00436177">
        <w:t>after</w:t>
      </w:r>
      <w:r w:rsidR="000159A6">
        <w:t xml:space="preserve"> </w:t>
      </w:r>
      <w:r w:rsidR="00436177" w:rsidRPr="00436177">
        <w:t>the</w:t>
      </w:r>
      <w:r w:rsidR="000159A6">
        <w:t xml:space="preserve"> </w:t>
      </w:r>
      <w:r w:rsidR="00436177" w:rsidRPr="00436177">
        <w:t>HZ</w:t>
      </w:r>
      <w:r w:rsidR="000159A6">
        <w:t xml:space="preserve"> </w:t>
      </w:r>
      <w:r w:rsidR="00436177" w:rsidRPr="00436177">
        <w:t>ra</w:t>
      </w:r>
      <w:r w:rsidR="00436177">
        <w:t>sh</w:t>
      </w:r>
      <w:r w:rsidR="000159A6">
        <w:t xml:space="preserve"> </w:t>
      </w:r>
      <w:r w:rsidR="00436177">
        <w:t>onset</w:t>
      </w:r>
      <w:r w:rsidR="000159A6">
        <w:t xml:space="preserve"> </w:t>
      </w:r>
      <w:r w:rsidR="00436177">
        <w:t>among</w:t>
      </w:r>
      <w:r w:rsidR="000159A6">
        <w:t xml:space="preserve"> </w:t>
      </w:r>
      <w:r w:rsidR="00436177">
        <w:t>evaluable</w:t>
      </w:r>
      <w:r w:rsidR="000159A6">
        <w:t xml:space="preserve"> </w:t>
      </w:r>
      <w:r w:rsidR="00436177">
        <w:t>cases.</w:t>
      </w:r>
    </w:p>
    <w:p w14:paraId="71F20A04" w14:textId="097837A2" w:rsidR="00436177" w:rsidRPr="00436177" w:rsidRDefault="00436177" w:rsidP="00436177">
      <w:r w:rsidRPr="00733CE8">
        <w:rPr>
          <w:i/>
        </w:rPr>
        <w:t>Efficacy</w:t>
      </w:r>
      <w:r w:rsidR="000159A6">
        <w:rPr>
          <w:i/>
        </w:rPr>
        <w:t xml:space="preserve"> </w:t>
      </w:r>
      <w:r w:rsidRPr="00733CE8">
        <w:rPr>
          <w:i/>
        </w:rPr>
        <w:t>of</w:t>
      </w:r>
      <w:r w:rsidR="000159A6">
        <w:rPr>
          <w:i/>
        </w:rPr>
        <w:t xml:space="preserve"> </w:t>
      </w:r>
      <w:r w:rsidRPr="00733CE8">
        <w:rPr>
          <w:i/>
        </w:rPr>
        <w:t>Zostavax</w:t>
      </w:r>
      <w:r w:rsidR="005B2FA5">
        <w:rPr>
          <w:i/>
        </w:rPr>
        <w:t>:</w:t>
      </w:r>
      <w:r w:rsidR="000159A6">
        <w:t xml:space="preserve"> </w:t>
      </w:r>
      <w:r w:rsidRPr="00436177">
        <w:t>The</w:t>
      </w:r>
      <w:r w:rsidR="000159A6">
        <w:t xml:space="preserve"> </w:t>
      </w:r>
      <w:r w:rsidRPr="00436177">
        <w:t>Shingles</w:t>
      </w:r>
      <w:r w:rsidR="000159A6">
        <w:t xml:space="preserve"> </w:t>
      </w:r>
      <w:r w:rsidRPr="00436177">
        <w:t>Prevention</w:t>
      </w:r>
      <w:r w:rsidR="000159A6">
        <w:t xml:space="preserve"> </w:t>
      </w:r>
      <w:r w:rsidRPr="00436177">
        <w:t>Study</w:t>
      </w:r>
      <w:r w:rsidR="000159A6">
        <w:t xml:space="preserve"> </w:t>
      </w:r>
      <w:r w:rsidRPr="00436177">
        <w:t>showed</w:t>
      </w:r>
      <w:r w:rsidR="000159A6">
        <w:t xml:space="preserve"> </w:t>
      </w:r>
      <w:r w:rsidRPr="00436177">
        <w:t>that</w:t>
      </w:r>
      <w:r w:rsidR="000159A6">
        <w:t xml:space="preserve"> </w:t>
      </w:r>
      <w:r w:rsidRPr="00436177">
        <w:t>vaccination</w:t>
      </w:r>
      <w:r w:rsidR="000159A6">
        <w:t xml:space="preserve"> </w:t>
      </w:r>
      <w:r w:rsidRPr="00436177">
        <w:t>with</w:t>
      </w:r>
      <w:r w:rsidR="000159A6">
        <w:t xml:space="preserve"> </w:t>
      </w:r>
      <w:r w:rsidRPr="00436177">
        <w:t>one</w:t>
      </w:r>
      <w:r w:rsidR="000159A6">
        <w:t xml:space="preserve"> </w:t>
      </w:r>
      <w:r w:rsidRPr="00436177">
        <w:t>dose</w:t>
      </w:r>
      <w:r w:rsidR="000159A6">
        <w:t xml:space="preserve"> </w:t>
      </w:r>
      <w:r w:rsidRPr="00436177">
        <w:t>of</w:t>
      </w:r>
      <w:r w:rsidR="000159A6">
        <w:t xml:space="preserve"> </w:t>
      </w:r>
      <w:r w:rsidRPr="00436177">
        <w:t>Zostavax</w:t>
      </w:r>
      <w:r w:rsidR="000159A6">
        <w:t xml:space="preserve"> </w:t>
      </w:r>
      <w:r>
        <w:t>in</w:t>
      </w:r>
      <w:r w:rsidR="000159A6">
        <w:t xml:space="preserve"> </w:t>
      </w:r>
      <w:r>
        <w:t>adults</w:t>
      </w:r>
      <w:r w:rsidR="000159A6">
        <w:t xml:space="preserve"> </w:t>
      </w:r>
      <w:r w:rsidR="0037169B">
        <w:t>≥</w:t>
      </w:r>
      <w:r w:rsidR="000159A6">
        <w:t xml:space="preserve"> </w:t>
      </w:r>
      <w:r>
        <w:t>60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436177">
        <w:t>significantly</w:t>
      </w:r>
      <w:r w:rsidR="000159A6">
        <w:t xml:space="preserve"> </w:t>
      </w:r>
      <w:r w:rsidRPr="00436177">
        <w:t>reduced</w:t>
      </w:r>
      <w:r w:rsidR="000159A6">
        <w:t xml:space="preserve"> </w:t>
      </w:r>
      <w:r w:rsidRPr="00436177">
        <w:t>the</w:t>
      </w:r>
      <w:r w:rsidR="000159A6">
        <w:t xml:space="preserve"> </w:t>
      </w:r>
      <w:r w:rsidRPr="00436177">
        <w:t>incidence</w:t>
      </w:r>
      <w:r w:rsidR="000159A6">
        <w:t xml:space="preserve"> </w:t>
      </w:r>
      <w:r w:rsidRPr="00436177">
        <w:t>of</w:t>
      </w:r>
      <w:r w:rsidR="000159A6">
        <w:t xml:space="preserve"> </w:t>
      </w:r>
      <w:r w:rsidRPr="00436177">
        <w:t>HZ</w:t>
      </w:r>
      <w:r w:rsidR="000159A6">
        <w:t xml:space="preserve"> </w:t>
      </w:r>
      <w:r w:rsidRPr="00436177">
        <w:t>(VE</w:t>
      </w:r>
      <w:r w:rsidR="000159A6">
        <w:t xml:space="preserve"> </w:t>
      </w:r>
      <w:r w:rsidRPr="00436177">
        <w:t>=</w:t>
      </w:r>
      <w:r w:rsidR="000159A6">
        <w:t xml:space="preserve"> </w:t>
      </w:r>
      <w:r w:rsidRPr="00436177">
        <w:t>51.3%</w:t>
      </w:r>
      <w:r w:rsidR="000159A6">
        <w:t xml:space="preserve"> </w:t>
      </w:r>
      <w:r w:rsidR="004715B4">
        <w:t>(</w:t>
      </w:r>
      <w:r w:rsidRPr="00436177">
        <w:t>95%</w:t>
      </w:r>
      <w:r w:rsidR="000159A6">
        <w:t xml:space="preserve"> </w:t>
      </w:r>
      <w:r w:rsidRPr="00436177">
        <w:t>CI:</w:t>
      </w:r>
      <w:r w:rsidR="000159A6">
        <w:t xml:space="preserve"> </w:t>
      </w:r>
      <w:r w:rsidRPr="00436177">
        <w:t>44.2;</w:t>
      </w:r>
      <w:r w:rsidR="000159A6">
        <w:t xml:space="preserve"> </w:t>
      </w:r>
      <w:r w:rsidRPr="00436177">
        <w:t>57.</w:t>
      </w:r>
      <w:r>
        <w:t>6</w:t>
      </w:r>
      <w:r w:rsidR="004715B4">
        <w:t>)</w:t>
      </w:r>
      <w:r>
        <w:t>)</w:t>
      </w:r>
      <w:r w:rsidR="000159A6">
        <w:t xml:space="preserve"> </w:t>
      </w:r>
      <w:r>
        <w:t>and</w:t>
      </w:r>
      <w:r w:rsidR="000159A6">
        <w:t xml:space="preserve"> </w:t>
      </w:r>
      <w:r>
        <w:t>overall</w:t>
      </w:r>
      <w:r w:rsidR="000159A6">
        <w:t xml:space="preserve"> </w:t>
      </w:r>
      <w:r>
        <w:t>PHN</w:t>
      </w:r>
      <w:r w:rsidR="000159A6">
        <w:t xml:space="preserve"> </w:t>
      </w:r>
      <w:r>
        <w:t>(VE</w:t>
      </w:r>
      <w:r w:rsidR="000159A6">
        <w:t xml:space="preserve"> </w:t>
      </w:r>
      <w:r>
        <w:t>=</w:t>
      </w:r>
      <w:r w:rsidR="000159A6">
        <w:t xml:space="preserve"> </w:t>
      </w:r>
      <w:r>
        <w:t>66.5%</w:t>
      </w:r>
      <w:r w:rsidR="000159A6">
        <w:t xml:space="preserve"> </w:t>
      </w:r>
      <w:r w:rsidR="004715B4">
        <w:t>(</w:t>
      </w:r>
      <w:r w:rsidRPr="00436177">
        <w:t>95%</w:t>
      </w:r>
      <w:r w:rsidR="000159A6">
        <w:t xml:space="preserve"> </w:t>
      </w:r>
      <w:r w:rsidRPr="00436177">
        <w:t>CI:</w:t>
      </w:r>
      <w:r w:rsidR="000159A6">
        <w:t xml:space="preserve"> </w:t>
      </w:r>
      <w:r w:rsidRPr="00436177">
        <w:t>47.5;</w:t>
      </w:r>
      <w:r w:rsidR="000159A6">
        <w:t xml:space="preserve"> </w:t>
      </w:r>
      <w:r w:rsidRPr="00436177">
        <w:t>79.2</w:t>
      </w:r>
      <w:r w:rsidR="004715B4">
        <w:t>)</w:t>
      </w:r>
      <w:r w:rsidRPr="00436177">
        <w:t>)</w:t>
      </w:r>
      <w:r w:rsidR="000159A6">
        <w:t xml:space="preserve"> </w:t>
      </w:r>
      <w:r w:rsidRPr="00436177">
        <w:t>over</w:t>
      </w:r>
      <w:r w:rsidR="000159A6">
        <w:t xml:space="preserve"> </w:t>
      </w:r>
      <w:r w:rsidRPr="00436177">
        <w:t>a</w:t>
      </w:r>
      <w:r w:rsidR="000159A6">
        <w:t xml:space="preserve"> </w:t>
      </w:r>
      <w:r w:rsidRPr="00436177">
        <w:t>mean</w:t>
      </w:r>
      <w:r w:rsidR="000159A6">
        <w:t xml:space="preserve"> </w:t>
      </w:r>
      <w:r w:rsidRPr="00436177">
        <w:t>follow-up</w:t>
      </w:r>
      <w:r w:rsidR="000159A6">
        <w:t xml:space="preserve"> </w:t>
      </w:r>
      <w:r w:rsidRPr="00436177">
        <w:t>period</w:t>
      </w:r>
      <w:r w:rsidR="000159A6">
        <w:t xml:space="preserve"> </w:t>
      </w:r>
      <w:r w:rsidRPr="00436177">
        <w:t>of</w:t>
      </w:r>
      <w:r w:rsidR="000159A6">
        <w:t xml:space="preserve"> </w:t>
      </w:r>
      <w:r w:rsidRPr="00436177">
        <w:t>3.1</w:t>
      </w:r>
      <w:r w:rsidR="000159A6">
        <w:t xml:space="preserve"> </w:t>
      </w:r>
      <w:r w:rsidRPr="00436177">
        <w:t>years</w:t>
      </w:r>
      <w:r w:rsidR="00733CE8">
        <w:t>.</w:t>
      </w:r>
      <w:r w:rsidR="00733CE8">
        <w:rPr>
          <w:rStyle w:val="FootnoteReference"/>
        </w:rPr>
        <w:footnoteReference w:id="15"/>
      </w:r>
      <w:r w:rsidR="000159A6">
        <w:t xml:space="preserve"> </w:t>
      </w:r>
      <w:r>
        <w:t>Although</w:t>
      </w:r>
      <w:r w:rsidR="000159A6">
        <w:t xml:space="preserve"> </w:t>
      </w:r>
      <w:r>
        <w:t>as</w:t>
      </w:r>
      <w:r w:rsidR="000159A6">
        <w:t xml:space="preserve"> </w:t>
      </w:r>
      <w:r>
        <w:t>noted</w:t>
      </w:r>
      <w:r w:rsidR="000159A6">
        <w:t xml:space="preserve"> </w:t>
      </w:r>
      <w:r>
        <w:t>by</w:t>
      </w:r>
      <w:r w:rsidR="000159A6">
        <w:t xml:space="preserve"> </w:t>
      </w:r>
      <w:r>
        <w:t>the</w:t>
      </w:r>
      <w:r w:rsidR="000159A6">
        <w:t xml:space="preserve"> </w:t>
      </w:r>
      <w:r w:rsidRPr="00436177">
        <w:t>Delegate,</w:t>
      </w:r>
      <w:r w:rsidR="000159A6">
        <w:t xml:space="preserve"> </w:t>
      </w:r>
      <w:r w:rsidRPr="00436177">
        <w:t>Zostavax</w:t>
      </w:r>
      <w:r w:rsidR="000159A6">
        <w:t xml:space="preserve"> </w:t>
      </w:r>
      <w:r w:rsidRPr="00436177">
        <w:t>has</w:t>
      </w:r>
      <w:r w:rsidR="000159A6">
        <w:t xml:space="preserve"> </w:t>
      </w:r>
      <w:r w:rsidRPr="00436177">
        <w:t>a</w:t>
      </w:r>
      <w:r w:rsidR="000159A6">
        <w:t xml:space="preserve"> </w:t>
      </w:r>
      <w:r w:rsidRPr="00436177">
        <w:t>lower</w:t>
      </w:r>
      <w:r w:rsidR="000159A6">
        <w:t xml:space="preserve"> </w:t>
      </w:r>
      <w:r w:rsidRPr="00436177">
        <w:t>reported</w:t>
      </w:r>
      <w:r w:rsidR="000159A6">
        <w:t xml:space="preserve"> </w:t>
      </w:r>
      <w:r w:rsidRPr="00436177">
        <w:t>efficacy</w:t>
      </w:r>
      <w:r w:rsidR="000159A6">
        <w:t xml:space="preserve"> </w:t>
      </w:r>
      <w:r w:rsidRPr="00436177">
        <w:t>in</w:t>
      </w:r>
      <w:r w:rsidR="000159A6">
        <w:t xml:space="preserve"> </w:t>
      </w:r>
      <w:r w:rsidRPr="00436177">
        <w:t>comparison</w:t>
      </w:r>
      <w:r w:rsidR="000159A6">
        <w:t xml:space="preserve"> </w:t>
      </w:r>
      <w:r w:rsidRPr="00436177">
        <w:t>to</w:t>
      </w:r>
      <w:r w:rsidR="000159A6">
        <w:t xml:space="preserve"> </w:t>
      </w:r>
      <w:r w:rsidRPr="00436177">
        <w:t>Shingrix</w:t>
      </w:r>
      <w:r w:rsidR="00733CE8">
        <w:t>,</w:t>
      </w:r>
      <w:r w:rsidR="000159A6">
        <w:t xml:space="preserve"> </w:t>
      </w:r>
      <w:r w:rsidRPr="00436177">
        <w:t>particularly</w:t>
      </w:r>
      <w:r w:rsidR="000159A6">
        <w:t xml:space="preserve"> </w:t>
      </w:r>
      <w:r w:rsidRPr="00436177">
        <w:t>in</w:t>
      </w:r>
      <w:r w:rsidR="000159A6">
        <w:t xml:space="preserve"> </w:t>
      </w:r>
      <w:r w:rsidRPr="00436177">
        <w:t>those</w:t>
      </w:r>
      <w:r w:rsidR="000159A6">
        <w:t xml:space="preserve"> </w:t>
      </w:r>
      <w:r w:rsidRPr="00436177">
        <w:t>aged</w:t>
      </w:r>
      <w:r w:rsidR="000159A6">
        <w:t xml:space="preserve"> </w:t>
      </w:r>
      <w:r w:rsidR="0037169B">
        <w:t>≥</w:t>
      </w:r>
      <w:r w:rsidR="000159A6">
        <w:t xml:space="preserve"> </w:t>
      </w:r>
      <w:r>
        <w:t>70</w:t>
      </w:r>
      <w:r w:rsidR="000159A6">
        <w:t xml:space="preserve"> </w:t>
      </w:r>
      <w:r w:rsidR="00733CE8">
        <w:t>years</w:t>
      </w:r>
      <w:r w:rsidR="000159A6">
        <w:t xml:space="preserve"> </w:t>
      </w:r>
      <w:r w:rsidR="00733CE8">
        <w:t>of</w:t>
      </w:r>
      <w:r w:rsidR="000159A6">
        <w:t xml:space="preserve"> </w:t>
      </w:r>
      <w:r w:rsidR="00733CE8">
        <w:t>age</w:t>
      </w:r>
      <w:r w:rsidRPr="00436177">
        <w:t>.</w:t>
      </w:r>
    </w:p>
    <w:p w14:paraId="1CA28752" w14:textId="6E225DD1" w:rsidR="00436177" w:rsidRPr="00436177" w:rsidRDefault="00436177" w:rsidP="00436177">
      <w:r w:rsidRPr="00436177">
        <w:t>Referring</w:t>
      </w:r>
      <w:r w:rsidR="000159A6">
        <w:t xml:space="preserve"> </w:t>
      </w:r>
      <w:r w:rsidRPr="00436177">
        <w:t>only</w:t>
      </w:r>
      <w:r w:rsidR="000159A6">
        <w:t xml:space="preserve"> </w:t>
      </w:r>
      <w:r w:rsidRPr="00436177">
        <w:t>to</w:t>
      </w:r>
      <w:r w:rsidR="000159A6">
        <w:t xml:space="preserve"> </w:t>
      </w:r>
      <w:r w:rsidRPr="00436177">
        <w:t>subjects</w:t>
      </w:r>
      <w:r w:rsidR="000159A6">
        <w:t xml:space="preserve"> </w:t>
      </w:r>
      <w:r w:rsidRPr="00436177">
        <w:t>who</w:t>
      </w:r>
      <w:r w:rsidR="000159A6">
        <w:t xml:space="preserve"> </w:t>
      </w:r>
      <w:r w:rsidRPr="00436177">
        <w:t>developed</w:t>
      </w:r>
      <w:r w:rsidR="000159A6">
        <w:t xml:space="preserve"> </w:t>
      </w:r>
      <w:r w:rsidRPr="00436177">
        <w:t>HZ</w:t>
      </w:r>
      <w:r w:rsidR="000159A6">
        <w:t xml:space="preserve"> </w:t>
      </w:r>
      <w:r w:rsidRPr="00436177">
        <w:t>after</w:t>
      </w:r>
      <w:r w:rsidR="000159A6">
        <w:t xml:space="preserve"> </w:t>
      </w:r>
      <w:r w:rsidRPr="00436177">
        <w:t>vaccination</w:t>
      </w:r>
      <w:r w:rsidR="000159A6">
        <w:t xml:space="preserve"> </w:t>
      </w:r>
      <w:r w:rsidRPr="00436177">
        <w:t>(breakthrough</w:t>
      </w:r>
      <w:r w:rsidR="000159A6">
        <w:t xml:space="preserve"> </w:t>
      </w:r>
      <w:r w:rsidR="004715B4">
        <w:t>(</w:t>
      </w:r>
      <w:r w:rsidRPr="00436177">
        <w:t>BT</w:t>
      </w:r>
      <w:r w:rsidR="004715B4">
        <w:t>)</w:t>
      </w:r>
      <w:r w:rsidR="000159A6">
        <w:t xml:space="preserve"> </w:t>
      </w:r>
      <w:r w:rsidRPr="00436177">
        <w:t>cases),</w:t>
      </w:r>
      <w:r w:rsidR="000159A6">
        <w:t xml:space="preserve"> </w:t>
      </w:r>
      <w:r w:rsidRPr="00436177">
        <w:t>a</w:t>
      </w:r>
      <w:r w:rsidR="000159A6">
        <w:t xml:space="preserve"> </w:t>
      </w:r>
      <w:r>
        <w:t>post-hoc</w:t>
      </w:r>
      <w:r w:rsidR="000159A6">
        <w:t xml:space="preserve"> </w:t>
      </w:r>
      <w:r w:rsidRPr="00436177">
        <w:t>analysis</w:t>
      </w:r>
      <w:r w:rsidR="000159A6">
        <w:t xml:space="preserve"> </w:t>
      </w:r>
      <w:r w:rsidR="004715B4">
        <w:t>(</w:t>
      </w:r>
      <w:r w:rsidRPr="00436177">
        <w:t>Zostavax</w:t>
      </w:r>
      <w:r w:rsidR="000159A6">
        <w:t xml:space="preserve"> </w:t>
      </w:r>
      <w:r w:rsidRPr="00436177">
        <w:t>EPAR</w:t>
      </w:r>
      <w:r w:rsidR="004715B4">
        <w:t>)</w:t>
      </w:r>
      <w:r w:rsidR="000159A6">
        <w:t xml:space="preserve"> </w:t>
      </w:r>
      <w:r w:rsidRPr="00436177">
        <w:t>suggests</w:t>
      </w:r>
      <w:r w:rsidR="000159A6">
        <w:t xml:space="preserve"> </w:t>
      </w:r>
      <w:r w:rsidRPr="00436177">
        <w:t>that</w:t>
      </w:r>
      <w:r w:rsidR="000159A6">
        <w:t xml:space="preserve"> </w:t>
      </w:r>
      <w:r w:rsidRPr="00436177">
        <w:t>vaccination</w:t>
      </w:r>
      <w:r w:rsidR="000159A6">
        <w:t xml:space="preserve"> </w:t>
      </w:r>
      <w:r w:rsidRPr="00436177">
        <w:t>slightly</w:t>
      </w:r>
      <w:r w:rsidR="000159A6">
        <w:t xml:space="preserve"> </w:t>
      </w:r>
      <w:r w:rsidRPr="00436177">
        <w:t>decreased</w:t>
      </w:r>
      <w:r w:rsidR="000159A6">
        <w:t xml:space="preserve"> </w:t>
      </w:r>
      <w:r w:rsidRPr="00436177">
        <w:t>the</w:t>
      </w:r>
      <w:r w:rsidR="000159A6">
        <w:t xml:space="preserve"> </w:t>
      </w:r>
      <w:r>
        <w:t>risk</w:t>
      </w:r>
      <w:r w:rsidR="000159A6">
        <w:t xml:space="preserve"> </w:t>
      </w:r>
      <w:r>
        <w:t>of</w:t>
      </w:r>
      <w:r w:rsidR="000159A6">
        <w:t xml:space="preserve"> </w:t>
      </w:r>
      <w:r>
        <w:t>subsequently</w:t>
      </w:r>
      <w:r w:rsidR="000159A6">
        <w:t xml:space="preserve"> </w:t>
      </w:r>
      <w:r>
        <w:t>developing</w:t>
      </w:r>
      <w:r w:rsidR="000159A6">
        <w:t xml:space="preserve"> </w:t>
      </w:r>
      <w:r w:rsidRPr="00436177">
        <w:t>PHN:</w:t>
      </w:r>
      <w:r w:rsidR="000159A6">
        <w:t xml:space="preserve"> </w:t>
      </w:r>
      <w:r w:rsidRPr="00436177">
        <w:t>in</w:t>
      </w:r>
      <w:r w:rsidR="000159A6">
        <w:t xml:space="preserve"> </w:t>
      </w:r>
      <w:r w:rsidRPr="00436177">
        <w:t>the</w:t>
      </w:r>
      <w:r w:rsidR="000159A6">
        <w:t xml:space="preserve"> </w:t>
      </w:r>
      <w:r w:rsidRPr="00436177">
        <w:t>Zostavax</w:t>
      </w:r>
      <w:r w:rsidR="000159A6">
        <w:t xml:space="preserve"> </w:t>
      </w:r>
      <w:r w:rsidRPr="00436177">
        <w:t>group,</w:t>
      </w:r>
      <w:r w:rsidR="000159A6">
        <w:t xml:space="preserve"> </w:t>
      </w:r>
      <w:r w:rsidRPr="00436177">
        <w:t>the</w:t>
      </w:r>
      <w:r w:rsidR="000159A6">
        <w:t xml:space="preserve"> </w:t>
      </w:r>
      <w:r w:rsidRPr="00436177">
        <w:t>risk</w:t>
      </w:r>
      <w:r w:rsidR="000159A6">
        <w:t xml:space="preserve"> </w:t>
      </w:r>
      <w:r w:rsidRPr="00436177">
        <w:t>of</w:t>
      </w:r>
      <w:r w:rsidR="000159A6">
        <w:t xml:space="preserve"> </w:t>
      </w:r>
      <w:r w:rsidRPr="00436177">
        <w:t>developing</w:t>
      </w:r>
      <w:r w:rsidR="000159A6">
        <w:t xml:space="preserve"> </w:t>
      </w:r>
      <w:r w:rsidRPr="00436177">
        <w:t>PHN</w:t>
      </w:r>
      <w:r w:rsidR="000159A6">
        <w:t xml:space="preserve"> </w:t>
      </w:r>
      <w:r w:rsidRPr="00436177">
        <w:t>after</w:t>
      </w:r>
      <w:r w:rsidR="000159A6">
        <w:t xml:space="preserve"> </w:t>
      </w:r>
      <w:r w:rsidRPr="00436177">
        <w:t>HZ</w:t>
      </w:r>
      <w:r w:rsidR="000159A6">
        <w:t xml:space="preserve"> </w:t>
      </w:r>
      <w:r w:rsidRPr="00436177">
        <w:t>was</w:t>
      </w:r>
      <w:r w:rsidR="000159A6">
        <w:t xml:space="preserve"> </w:t>
      </w:r>
      <w:r w:rsidRPr="00436177">
        <w:t>8</w:t>
      </w:r>
      <w:r>
        <w:t>.6</w:t>
      </w:r>
      <w:r w:rsidR="000159A6">
        <w:t xml:space="preserve"> </w:t>
      </w:r>
      <w:r>
        <w:t>%,</w:t>
      </w:r>
      <w:r w:rsidR="000159A6">
        <w:t xml:space="preserve"> </w:t>
      </w:r>
      <w:r w:rsidR="008D4538">
        <w:t>versus</w:t>
      </w:r>
      <w:r w:rsidR="000159A6">
        <w:t xml:space="preserve"> </w:t>
      </w:r>
      <w:r>
        <w:t>12.5</w:t>
      </w:r>
      <w:r w:rsidR="000159A6">
        <w:t xml:space="preserve"> </w:t>
      </w:r>
      <w:r>
        <w:t>%</w:t>
      </w:r>
      <w:r w:rsidR="000159A6">
        <w:t xml:space="preserve"> </w:t>
      </w:r>
      <w:r>
        <w:t>in</w:t>
      </w:r>
      <w:r w:rsidR="000159A6">
        <w:t xml:space="preserve"> </w:t>
      </w:r>
      <w:r>
        <w:t>the</w:t>
      </w:r>
      <w:r w:rsidR="000159A6">
        <w:t xml:space="preserve"> </w:t>
      </w:r>
      <w:r>
        <w:t>placebo</w:t>
      </w:r>
      <w:r w:rsidR="000159A6">
        <w:t xml:space="preserve"> </w:t>
      </w:r>
      <w:r w:rsidRPr="00436177">
        <w:t>group,</w:t>
      </w:r>
      <w:r w:rsidR="000159A6">
        <w:t xml:space="preserve"> </w:t>
      </w:r>
      <w:r w:rsidRPr="00436177">
        <w:t>translating</w:t>
      </w:r>
      <w:r w:rsidR="000159A6">
        <w:t xml:space="preserve"> </w:t>
      </w:r>
      <w:r w:rsidRPr="00436177">
        <w:t>in</w:t>
      </w:r>
      <w:r w:rsidR="000159A6">
        <w:t xml:space="preserve"> </w:t>
      </w:r>
      <w:r w:rsidRPr="00436177">
        <w:t>a</w:t>
      </w:r>
      <w:r w:rsidR="000159A6">
        <w:t xml:space="preserve"> </w:t>
      </w:r>
      <w:r w:rsidRPr="00436177">
        <w:t>VE</w:t>
      </w:r>
      <w:r w:rsidR="000159A6">
        <w:t xml:space="preserve"> </w:t>
      </w:r>
      <w:r w:rsidRPr="00436177">
        <w:t>PHNBT</w:t>
      </w:r>
      <w:r w:rsidR="000159A6">
        <w:t xml:space="preserve"> </w:t>
      </w:r>
      <w:r w:rsidRPr="00436177">
        <w:t>of</w:t>
      </w:r>
      <w:r w:rsidR="000159A6">
        <w:t xml:space="preserve"> </w:t>
      </w:r>
      <w:r w:rsidRPr="00436177">
        <w:t>38.5%</w:t>
      </w:r>
      <w:r w:rsidR="000159A6">
        <w:t xml:space="preserve"> </w:t>
      </w:r>
      <w:r w:rsidRPr="00436177">
        <w:t>(95%</w:t>
      </w:r>
      <w:r w:rsidR="000159A6">
        <w:t xml:space="preserve"> </w:t>
      </w:r>
      <w:r w:rsidRPr="00436177">
        <w:t>CI:</w:t>
      </w:r>
      <w:r w:rsidR="000159A6">
        <w:t xml:space="preserve"> </w:t>
      </w:r>
      <w:r w:rsidRPr="00436177">
        <w:t>7.1%;</w:t>
      </w:r>
      <w:r w:rsidR="000159A6">
        <w:t xml:space="preserve"> </w:t>
      </w:r>
      <w:r w:rsidRPr="00436177">
        <w:t>59.4%)</w:t>
      </w:r>
      <w:r w:rsidR="000159A6">
        <w:t xml:space="preserve"> </w:t>
      </w:r>
      <w:r w:rsidRPr="00436177">
        <w:t>in</w:t>
      </w:r>
      <w:r w:rsidR="000159A6">
        <w:t xml:space="preserve"> </w:t>
      </w:r>
      <w:r w:rsidRPr="00436177">
        <w:t>subjects</w:t>
      </w:r>
      <w:r w:rsidR="000159A6">
        <w:t xml:space="preserve"> </w:t>
      </w:r>
      <w:r w:rsidR="0037169B">
        <w:t>≥</w:t>
      </w:r>
      <w:r w:rsidR="000159A6">
        <w:t xml:space="preserve"> </w:t>
      </w:r>
      <w:r w:rsidRPr="00436177">
        <w:t>60</w:t>
      </w:r>
      <w:r w:rsidR="000159A6">
        <w:t xml:space="preserve"> </w:t>
      </w:r>
      <w:r w:rsidR="0037169B">
        <w:t>years</w:t>
      </w:r>
      <w:r w:rsidR="000159A6">
        <w:t xml:space="preserve"> </w:t>
      </w:r>
      <w:r w:rsidR="0037169B">
        <w:t>of</w:t>
      </w:r>
      <w:r w:rsidR="000159A6">
        <w:t xml:space="preserve"> </w:t>
      </w:r>
      <w:r w:rsidR="00733CE8">
        <w:t>age.</w:t>
      </w:r>
    </w:p>
    <w:p w14:paraId="0709EAC2" w14:textId="280362B2" w:rsidR="00436177" w:rsidRPr="00436177" w:rsidRDefault="00436177" w:rsidP="00436177">
      <w:r w:rsidRPr="00436177">
        <w:rPr>
          <w:i/>
        </w:rPr>
        <w:t>Efficacy</w:t>
      </w:r>
      <w:r w:rsidR="000159A6">
        <w:rPr>
          <w:i/>
        </w:rPr>
        <w:t xml:space="preserve"> </w:t>
      </w:r>
      <w:r w:rsidRPr="00436177">
        <w:rPr>
          <w:i/>
        </w:rPr>
        <w:t>of</w:t>
      </w:r>
      <w:r w:rsidR="000159A6">
        <w:rPr>
          <w:i/>
        </w:rPr>
        <w:t xml:space="preserve"> </w:t>
      </w:r>
      <w:r w:rsidRPr="00436177">
        <w:rPr>
          <w:i/>
        </w:rPr>
        <w:t>Shingrix</w:t>
      </w:r>
      <w:r w:rsidR="005B2FA5">
        <w:t>:</w:t>
      </w:r>
      <w:r w:rsidR="000159A6">
        <w:t xml:space="preserve"> </w:t>
      </w:r>
      <w:r w:rsidRPr="00436177">
        <w:t>As</w:t>
      </w:r>
      <w:r w:rsidR="000159A6">
        <w:t xml:space="preserve"> </w:t>
      </w:r>
      <w:r w:rsidRPr="00436177">
        <w:t>noted</w:t>
      </w:r>
      <w:r w:rsidR="000159A6">
        <w:t xml:space="preserve"> </w:t>
      </w:r>
      <w:r w:rsidRPr="00436177">
        <w:t>in</w:t>
      </w:r>
      <w:r w:rsidR="000159A6">
        <w:t xml:space="preserve"> </w:t>
      </w:r>
      <w:r w:rsidRPr="00436177">
        <w:t>response</w:t>
      </w:r>
      <w:r w:rsidR="000159A6">
        <w:t xml:space="preserve"> </w:t>
      </w:r>
      <w:r w:rsidRPr="00436177">
        <w:t>to</w:t>
      </w:r>
      <w:r w:rsidR="000159A6">
        <w:t xml:space="preserve"> </w:t>
      </w:r>
      <w:r w:rsidRPr="00436177">
        <w:t>Question</w:t>
      </w:r>
      <w:r w:rsidR="000159A6">
        <w:t xml:space="preserve"> </w:t>
      </w:r>
      <w:r w:rsidRPr="00436177">
        <w:t>1,</w:t>
      </w:r>
      <w:r w:rsidR="000159A6">
        <w:t xml:space="preserve"> </w:t>
      </w:r>
      <w:r w:rsidRPr="00436177">
        <w:t>HZ</w:t>
      </w:r>
      <w:r w:rsidR="000159A6">
        <w:t xml:space="preserve"> </w:t>
      </w:r>
      <w:r w:rsidRPr="00436177">
        <w:t>VE</w:t>
      </w:r>
      <w:r w:rsidR="000159A6">
        <w:t xml:space="preserve"> </w:t>
      </w:r>
      <w:r w:rsidRPr="00436177">
        <w:t>was</w:t>
      </w:r>
      <w:r w:rsidR="000159A6">
        <w:t xml:space="preserve"> </w:t>
      </w:r>
      <w:r w:rsidRPr="00436177">
        <w:t>so</w:t>
      </w:r>
      <w:r w:rsidR="000159A6">
        <w:t xml:space="preserve"> </w:t>
      </w:r>
      <w:r w:rsidRPr="00436177">
        <w:t>high</w:t>
      </w:r>
      <w:r w:rsidR="000159A6">
        <w:t xml:space="preserve"> </w:t>
      </w:r>
      <w:r w:rsidRPr="00436177">
        <w:t>there</w:t>
      </w:r>
      <w:r w:rsidR="000159A6">
        <w:t xml:space="preserve"> </w:t>
      </w:r>
      <w:r w:rsidRPr="00436177">
        <w:t>were</w:t>
      </w:r>
      <w:r w:rsidR="000159A6">
        <w:t xml:space="preserve"> </w:t>
      </w:r>
      <w:r w:rsidRPr="00436177">
        <w:t>n</w:t>
      </w:r>
      <w:r>
        <w:t>ot</w:t>
      </w:r>
      <w:r w:rsidR="000159A6">
        <w:t xml:space="preserve"> </w:t>
      </w:r>
      <w:r>
        <w:t>enough</w:t>
      </w:r>
      <w:r w:rsidR="000159A6">
        <w:t xml:space="preserve"> </w:t>
      </w:r>
      <w:r>
        <w:t>breakthrough</w:t>
      </w:r>
      <w:r w:rsidR="000159A6">
        <w:t xml:space="preserve"> </w:t>
      </w:r>
      <w:r>
        <w:t>HZ</w:t>
      </w:r>
      <w:r w:rsidR="000159A6">
        <w:t xml:space="preserve"> </w:t>
      </w:r>
      <w:r>
        <w:t>cases</w:t>
      </w:r>
      <w:r w:rsidR="000159A6">
        <w:t xml:space="preserve"> </w:t>
      </w:r>
      <w:r w:rsidRPr="00436177">
        <w:t>amongst</w:t>
      </w:r>
      <w:r w:rsidR="000159A6">
        <w:t xml:space="preserve"> </w:t>
      </w:r>
      <w:r w:rsidRPr="00436177">
        <w:t>vaccinated</w:t>
      </w:r>
      <w:r w:rsidR="000159A6">
        <w:t xml:space="preserve"> </w:t>
      </w:r>
      <w:r w:rsidRPr="00436177">
        <w:t>subjects</w:t>
      </w:r>
      <w:r w:rsidR="000159A6">
        <w:t xml:space="preserve"> </w:t>
      </w:r>
      <w:r w:rsidRPr="00436177">
        <w:t>(9</w:t>
      </w:r>
      <w:r w:rsidR="000159A6">
        <w:t xml:space="preserve"> </w:t>
      </w:r>
      <w:r w:rsidRPr="00436177">
        <w:t>cases</w:t>
      </w:r>
      <w:r w:rsidR="000159A6">
        <w:t xml:space="preserve"> </w:t>
      </w:r>
      <w:r w:rsidRPr="00436177">
        <w:t>in</w:t>
      </w:r>
      <w:r w:rsidR="000159A6">
        <w:t xml:space="preserve"> </w:t>
      </w:r>
      <w:r w:rsidRPr="00436177">
        <w:t>adults</w:t>
      </w:r>
      <w:r w:rsidR="000159A6">
        <w:t xml:space="preserve"> </w:t>
      </w:r>
      <w:r w:rsidR="0037169B">
        <w:t>≥</w:t>
      </w:r>
      <w:r w:rsidR="000159A6">
        <w:t xml:space="preserve"> </w:t>
      </w:r>
      <w:r w:rsidRPr="00436177">
        <w:t>50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436177">
        <w:t>and</w:t>
      </w:r>
      <w:r w:rsidR="000159A6">
        <w:t xml:space="preserve"> </w:t>
      </w:r>
      <w:r w:rsidRPr="00436177">
        <w:t>25</w:t>
      </w:r>
      <w:r w:rsidR="000159A6">
        <w:t xml:space="preserve"> </w:t>
      </w:r>
      <w:r w:rsidRPr="00436177">
        <w:t>cases</w:t>
      </w:r>
      <w:r w:rsidR="000159A6">
        <w:t xml:space="preserve"> </w:t>
      </w:r>
      <w:r w:rsidRPr="00436177">
        <w:t>in</w:t>
      </w:r>
      <w:r w:rsidR="000159A6">
        <w:t xml:space="preserve"> </w:t>
      </w:r>
      <w:r w:rsidRPr="00436177">
        <w:t>adults</w:t>
      </w:r>
      <w:r w:rsidR="000159A6">
        <w:t xml:space="preserve"> </w:t>
      </w:r>
      <w:r w:rsidR="0037169B">
        <w:t>≥</w:t>
      </w:r>
      <w:r w:rsidR="000159A6">
        <w:t xml:space="preserve"> </w:t>
      </w:r>
      <w:r>
        <w:t>70</w:t>
      </w:r>
      <w:r w:rsidR="000159A6">
        <w:t xml:space="preserve"> </w:t>
      </w:r>
      <w:r w:rsidR="0037169B">
        <w:t>years</w:t>
      </w:r>
      <w:r w:rsidR="000159A6">
        <w:t xml:space="preserve"> </w:t>
      </w:r>
      <w:r w:rsidR="0037169B">
        <w:t>of</w:t>
      </w:r>
      <w:r w:rsidR="000159A6">
        <w:t xml:space="preserve"> </w:t>
      </w:r>
      <w:r w:rsidR="0037169B">
        <w:t>age</w:t>
      </w:r>
      <w:r w:rsidR="000159A6">
        <w:t xml:space="preserve"> </w:t>
      </w:r>
      <w:r>
        <w:t>)</w:t>
      </w:r>
      <w:r w:rsidR="000159A6">
        <w:t xml:space="preserve"> </w:t>
      </w:r>
      <w:r>
        <w:t>to</w:t>
      </w:r>
      <w:r w:rsidR="000159A6">
        <w:t xml:space="preserve"> </w:t>
      </w:r>
      <w:r>
        <w:t>show</w:t>
      </w:r>
      <w:r w:rsidR="000159A6">
        <w:t xml:space="preserve"> </w:t>
      </w:r>
      <w:r>
        <w:t>any</w:t>
      </w:r>
      <w:r w:rsidR="000159A6">
        <w:t xml:space="preserve"> </w:t>
      </w:r>
      <w:r w:rsidRPr="00436177">
        <w:t>statistically</w:t>
      </w:r>
      <w:r w:rsidR="000159A6">
        <w:t xml:space="preserve"> </w:t>
      </w:r>
      <w:r w:rsidRPr="00436177">
        <w:t>significant</w:t>
      </w:r>
      <w:r w:rsidR="000159A6">
        <w:t xml:space="preserve"> </w:t>
      </w:r>
      <w:r w:rsidRPr="00436177">
        <w:t>effect</w:t>
      </w:r>
      <w:r w:rsidR="000159A6">
        <w:t xml:space="preserve"> </w:t>
      </w:r>
      <w:r w:rsidRPr="00436177">
        <w:t>in</w:t>
      </w:r>
      <w:r w:rsidR="000159A6">
        <w:t xml:space="preserve"> </w:t>
      </w:r>
      <w:r w:rsidRPr="00436177">
        <w:t>further</w:t>
      </w:r>
      <w:r w:rsidR="000159A6">
        <w:t xml:space="preserve"> </w:t>
      </w:r>
      <w:r w:rsidRPr="00436177">
        <w:t>reducing</w:t>
      </w:r>
      <w:r w:rsidR="000159A6">
        <w:t xml:space="preserve"> </w:t>
      </w:r>
      <w:r w:rsidRPr="00436177">
        <w:t>the</w:t>
      </w:r>
      <w:r w:rsidR="000159A6">
        <w:t xml:space="preserve"> </w:t>
      </w:r>
      <w:r w:rsidRPr="00436177">
        <w:t>incidence</w:t>
      </w:r>
      <w:r w:rsidR="000159A6">
        <w:t xml:space="preserve"> </w:t>
      </w:r>
      <w:r w:rsidRPr="00436177">
        <w:t>of</w:t>
      </w:r>
      <w:r w:rsidR="000159A6">
        <w:t xml:space="preserve"> </w:t>
      </w:r>
      <w:r w:rsidRPr="00436177">
        <w:t>PHN.</w:t>
      </w:r>
      <w:r w:rsidR="000159A6">
        <w:t xml:space="preserve"> </w:t>
      </w:r>
      <w:r w:rsidRPr="00436177">
        <w:t>H</w:t>
      </w:r>
      <w:r>
        <w:t>owever,</w:t>
      </w:r>
      <w:r w:rsidR="000159A6">
        <w:t xml:space="preserve"> </w:t>
      </w:r>
      <w:r>
        <w:t>as</w:t>
      </w:r>
      <w:r w:rsidR="000159A6">
        <w:t xml:space="preserve"> </w:t>
      </w:r>
      <w:r>
        <w:t>discussed</w:t>
      </w:r>
      <w:r w:rsidR="000159A6">
        <w:t xml:space="preserve"> </w:t>
      </w:r>
      <w:r>
        <w:t>above,</w:t>
      </w:r>
      <w:r w:rsidR="000159A6">
        <w:t xml:space="preserve"> </w:t>
      </w:r>
      <w:r>
        <w:t>PHN</w:t>
      </w:r>
      <w:r w:rsidR="000159A6">
        <w:t xml:space="preserve"> </w:t>
      </w:r>
      <w:r w:rsidRPr="00436177">
        <w:t>VE,</w:t>
      </w:r>
      <w:r w:rsidR="000159A6">
        <w:t xml:space="preserve"> </w:t>
      </w:r>
      <w:r w:rsidRPr="00436177">
        <w:t>when</w:t>
      </w:r>
      <w:r w:rsidR="000159A6">
        <w:t xml:space="preserve"> </w:t>
      </w:r>
      <w:r w:rsidRPr="00436177">
        <w:t>considering</w:t>
      </w:r>
      <w:r w:rsidR="000159A6">
        <w:t xml:space="preserve"> </w:t>
      </w:r>
      <w:r w:rsidRPr="00436177">
        <w:t>all</w:t>
      </w:r>
      <w:r w:rsidR="000159A6">
        <w:t xml:space="preserve"> </w:t>
      </w:r>
      <w:r w:rsidRPr="00436177">
        <w:t>subjects</w:t>
      </w:r>
      <w:r w:rsidR="000159A6">
        <w:t xml:space="preserve"> </w:t>
      </w:r>
      <w:r w:rsidRPr="00436177">
        <w:t>regardless</w:t>
      </w:r>
      <w:r w:rsidR="000159A6">
        <w:t xml:space="preserve"> </w:t>
      </w:r>
      <w:r w:rsidRPr="00436177">
        <w:t>of</w:t>
      </w:r>
      <w:r w:rsidR="000159A6">
        <w:t xml:space="preserve"> </w:t>
      </w:r>
      <w:r w:rsidRPr="00436177">
        <w:t>whether</w:t>
      </w:r>
      <w:r w:rsidR="000159A6">
        <w:t xml:space="preserve"> </w:t>
      </w:r>
      <w:r w:rsidRPr="00436177">
        <w:t>they</w:t>
      </w:r>
      <w:r w:rsidR="000159A6">
        <w:t xml:space="preserve"> </w:t>
      </w:r>
      <w:r w:rsidRPr="00436177">
        <w:t>had</w:t>
      </w:r>
      <w:r w:rsidR="000159A6">
        <w:t xml:space="preserve"> </w:t>
      </w:r>
      <w:r w:rsidRPr="00436177">
        <w:t>confirmed</w:t>
      </w:r>
      <w:r w:rsidR="000159A6">
        <w:t xml:space="preserve"> </w:t>
      </w:r>
      <w:r w:rsidRPr="00436177">
        <w:t>case</w:t>
      </w:r>
      <w:r w:rsidR="000159A6">
        <w:t xml:space="preserve"> </w:t>
      </w:r>
      <w:r w:rsidRPr="00436177">
        <w:t>of</w:t>
      </w:r>
      <w:r w:rsidR="000159A6">
        <w:t xml:space="preserve"> </w:t>
      </w:r>
      <w:r w:rsidRPr="00436177">
        <w:t>HZ</w:t>
      </w:r>
      <w:r w:rsidR="000159A6">
        <w:t xml:space="preserve"> </w:t>
      </w:r>
      <w:r w:rsidRPr="00436177">
        <w:t>or</w:t>
      </w:r>
      <w:r w:rsidR="000159A6">
        <w:t xml:space="preserve"> </w:t>
      </w:r>
      <w:r w:rsidRPr="00436177">
        <w:t>not,</w:t>
      </w:r>
      <w:r w:rsidR="000159A6">
        <w:t xml:space="preserve"> </w:t>
      </w:r>
      <w:r w:rsidRPr="00436177">
        <w:t>was</w:t>
      </w:r>
      <w:r w:rsidR="000159A6">
        <w:t xml:space="preserve"> </w:t>
      </w:r>
      <w:r w:rsidRPr="00436177">
        <w:t>extremely</w:t>
      </w:r>
      <w:r w:rsidR="000159A6">
        <w:t xml:space="preserve"> </w:t>
      </w:r>
      <w:r w:rsidRPr="00436177">
        <w:t>high.</w:t>
      </w:r>
    </w:p>
    <w:p w14:paraId="01B9B6DC" w14:textId="2930ABE3" w:rsidR="00436177" w:rsidRPr="00436177" w:rsidRDefault="00436177" w:rsidP="00436177">
      <w:r w:rsidRPr="00436177">
        <w:rPr>
          <w:i/>
        </w:rPr>
        <w:t>Effect</w:t>
      </w:r>
      <w:r w:rsidR="000159A6">
        <w:rPr>
          <w:i/>
        </w:rPr>
        <w:t xml:space="preserve"> </w:t>
      </w:r>
      <w:r w:rsidRPr="00436177">
        <w:rPr>
          <w:i/>
        </w:rPr>
        <w:t>of</w:t>
      </w:r>
      <w:r w:rsidR="000159A6">
        <w:rPr>
          <w:i/>
        </w:rPr>
        <w:t xml:space="preserve"> </w:t>
      </w:r>
      <w:r w:rsidRPr="00436177">
        <w:rPr>
          <w:i/>
        </w:rPr>
        <w:t>HZ</w:t>
      </w:r>
      <w:r w:rsidR="000159A6">
        <w:rPr>
          <w:i/>
        </w:rPr>
        <w:t xml:space="preserve"> </w:t>
      </w:r>
      <w:r w:rsidRPr="00436177">
        <w:rPr>
          <w:i/>
        </w:rPr>
        <w:t>vaccination</w:t>
      </w:r>
      <w:r w:rsidR="000159A6">
        <w:rPr>
          <w:i/>
        </w:rPr>
        <w:t xml:space="preserve"> </w:t>
      </w:r>
      <w:r w:rsidRPr="00436177">
        <w:rPr>
          <w:i/>
        </w:rPr>
        <w:t>on</w:t>
      </w:r>
      <w:r w:rsidR="000159A6">
        <w:rPr>
          <w:i/>
        </w:rPr>
        <w:t xml:space="preserve"> </w:t>
      </w:r>
      <w:r w:rsidRPr="00436177">
        <w:rPr>
          <w:i/>
        </w:rPr>
        <w:t>the</w:t>
      </w:r>
      <w:r w:rsidR="000159A6">
        <w:rPr>
          <w:i/>
        </w:rPr>
        <w:t xml:space="preserve"> </w:t>
      </w:r>
      <w:r w:rsidRPr="00436177">
        <w:rPr>
          <w:i/>
        </w:rPr>
        <w:t>HZ</w:t>
      </w:r>
      <w:r w:rsidR="000159A6">
        <w:rPr>
          <w:i/>
        </w:rPr>
        <w:t xml:space="preserve"> </w:t>
      </w:r>
      <w:r w:rsidRPr="00436177">
        <w:rPr>
          <w:i/>
        </w:rPr>
        <w:t>and</w:t>
      </w:r>
      <w:r w:rsidR="000159A6">
        <w:rPr>
          <w:i/>
        </w:rPr>
        <w:t xml:space="preserve"> </w:t>
      </w:r>
      <w:r w:rsidRPr="00436177">
        <w:rPr>
          <w:i/>
        </w:rPr>
        <w:t>PHN</w:t>
      </w:r>
      <w:r w:rsidR="000159A6">
        <w:rPr>
          <w:i/>
        </w:rPr>
        <w:t xml:space="preserve"> </w:t>
      </w:r>
      <w:r w:rsidRPr="00436177">
        <w:rPr>
          <w:i/>
        </w:rPr>
        <w:t>incidence</w:t>
      </w:r>
      <w:r w:rsidR="000159A6">
        <w:rPr>
          <w:i/>
        </w:rPr>
        <w:t xml:space="preserve"> </w:t>
      </w:r>
      <w:r w:rsidRPr="00436177">
        <w:rPr>
          <w:i/>
        </w:rPr>
        <w:t>from</w:t>
      </w:r>
      <w:r w:rsidR="000159A6">
        <w:rPr>
          <w:i/>
        </w:rPr>
        <w:t xml:space="preserve"> </w:t>
      </w:r>
      <w:r w:rsidRPr="00436177">
        <w:rPr>
          <w:i/>
        </w:rPr>
        <w:t>population</w:t>
      </w:r>
      <w:r w:rsidR="000159A6">
        <w:rPr>
          <w:i/>
        </w:rPr>
        <w:t xml:space="preserve"> </w:t>
      </w:r>
      <w:r w:rsidRPr="00436177">
        <w:rPr>
          <w:i/>
        </w:rPr>
        <w:t>perspective</w:t>
      </w:r>
      <w:r w:rsidR="005B2FA5">
        <w:t>:</w:t>
      </w:r>
      <w:r w:rsidR="000159A6">
        <w:t xml:space="preserve"> </w:t>
      </w:r>
      <w:r w:rsidRPr="00436177">
        <w:t>These</w:t>
      </w:r>
      <w:r w:rsidR="000159A6">
        <w:t xml:space="preserve"> </w:t>
      </w:r>
      <w:r w:rsidRPr="00436177">
        <w:t>data</w:t>
      </w:r>
      <w:r w:rsidR="000159A6">
        <w:t xml:space="preserve"> </w:t>
      </w:r>
      <w:r w:rsidRPr="00436177">
        <w:t>indicate</w:t>
      </w:r>
      <w:r w:rsidR="000159A6">
        <w:t xml:space="preserve"> </w:t>
      </w:r>
      <w:r w:rsidRPr="00436177">
        <w:t>that</w:t>
      </w:r>
      <w:r w:rsidR="000159A6">
        <w:t xml:space="preserve"> </w:t>
      </w:r>
      <w:r w:rsidRPr="00436177">
        <w:t>vaccination</w:t>
      </w:r>
      <w:r w:rsidR="000159A6">
        <w:t xml:space="preserve"> </w:t>
      </w:r>
      <w:r w:rsidRPr="00436177">
        <w:t>with</w:t>
      </w:r>
      <w:r w:rsidR="000159A6">
        <w:t xml:space="preserve"> </w:t>
      </w:r>
      <w:r w:rsidRPr="00436177">
        <w:t>HZ/</w:t>
      </w:r>
      <w:proofErr w:type="spellStart"/>
      <w:r w:rsidRPr="00436177">
        <w:t>su</w:t>
      </w:r>
      <w:proofErr w:type="spellEnd"/>
      <w:r w:rsidR="000159A6">
        <w:t xml:space="preserve"> </w:t>
      </w:r>
      <w:r w:rsidRPr="00436177">
        <w:t>has</w:t>
      </w:r>
      <w:r w:rsidR="000159A6">
        <w:t xml:space="preserve"> </w:t>
      </w:r>
      <w:r w:rsidRPr="00436177">
        <w:t>the</w:t>
      </w:r>
      <w:r w:rsidR="000159A6">
        <w:t xml:space="preserve"> </w:t>
      </w:r>
      <w:r w:rsidRPr="00436177">
        <w:t>potential</w:t>
      </w:r>
      <w:r w:rsidR="000159A6">
        <w:t xml:space="preserve"> </w:t>
      </w:r>
      <w:r w:rsidRPr="00436177">
        <w:t>to</w:t>
      </w:r>
      <w:r w:rsidR="000159A6">
        <w:t xml:space="preserve"> </w:t>
      </w:r>
      <w:r w:rsidRPr="00436177">
        <w:t>reduce</w:t>
      </w:r>
      <w:r w:rsidR="000159A6">
        <w:t xml:space="preserve"> </w:t>
      </w:r>
      <w:r>
        <w:t>the</w:t>
      </w:r>
      <w:r w:rsidR="000159A6">
        <w:t xml:space="preserve"> </w:t>
      </w:r>
      <w:r>
        <w:t>incidence</w:t>
      </w:r>
      <w:r w:rsidR="000159A6">
        <w:t xml:space="preserve"> </w:t>
      </w:r>
      <w:r>
        <w:t>of</w:t>
      </w:r>
      <w:r w:rsidR="000159A6">
        <w:t xml:space="preserve"> </w:t>
      </w:r>
      <w:r>
        <w:t>HZ</w:t>
      </w:r>
      <w:r w:rsidR="000159A6">
        <w:t xml:space="preserve"> </w:t>
      </w:r>
      <w:r>
        <w:t>and</w:t>
      </w:r>
      <w:r w:rsidR="000159A6">
        <w:t xml:space="preserve"> </w:t>
      </w:r>
      <w:r>
        <w:t>PHN</w:t>
      </w:r>
      <w:r w:rsidR="000159A6">
        <w:t xml:space="preserve"> </w:t>
      </w:r>
      <w:r>
        <w:t>to</w:t>
      </w:r>
      <w:r w:rsidR="000159A6">
        <w:t xml:space="preserve"> </w:t>
      </w:r>
      <w:r w:rsidRPr="00436177">
        <w:t>a</w:t>
      </w:r>
      <w:r w:rsidR="000159A6">
        <w:t xml:space="preserve"> </w:t>
      </w:r>
      <w:r w:rsidRPr="00436177">
        <w:t>lower</w:t>
      </w:r>
      <w:r w:rsidR="000159A6">
        <w:t xml:space="preserve"> </w:t>
      </w:r>
      <w:r w:rsidRPr="00436177">
        <w:t>level</w:t>
      </w:r>
      <w:r w:rsidR="000159A6">
        <w:t xml:space="preserve"> </w:t>
      </w:r>
      <w:r w:rsidRPr="00436177">
        <w:t>than</w:t>
      </w:r>
      <w:r w:rsidR="000159A6">
        <w:t xml:space="preserve"> </w:t>
      </w:r>
      <w:r w:rsidRPr="00436177">
        <w:t>vaccination</w:t>
      </w:r>
      <w:r w:rsidR="000159A6">
        <w:t xml:space="preserve"> </w:t>
      </w:r>
      <w:r w:rsidRPr="00436177">
        <w:t>with</w:t>
      </w:r>
      <w:r w:rsidR="000159A6">
        <w:t xml:space="preserve"> </w:t>
      </w:r>
      <w:r w:rsidRPr="00436177">
        <w:t>Zostavax.</w:t>
      </w:r>
      <w:r w:rsidR="000159A6">
        <w:t xml:space="preserve"> </w:t>
      </w:r>
      <w:r w:rsidRPr="00436177">
        <w:t>This</w:t>
      </w:r>
      <w:r w:rsidR="000159A6">
        <w:t xml:space="preserve"> </w:t>
      </w:r>
      <w:r w:rsidRPr="00436177">
        <w:t>conclusion</w:t>
      </w:r>
      <w:r w:rsidR="000159A6">
        <w:t xml:space="preserve"> </w:t>
      </w:r>
      <w:r w:rsidRPr="00436177">
        <w:t>is</w:t>
      </w:r>
      <w:r w:rsidR="000159A6">
        <w:t xml:space="preserve"> </w:t>
      </w:r>
      <w:r w:rsidRPr="00436177">
        <w:t>supporte</w:t>
      </w:r>
      <w:r>
        <w:t>d</w:t>
      </w:r>
      <w:r w:rsidR="000159A6">
        <w:t xml:space="preserve"> </w:t>
      </w:r>
      <w:r>
        <w:t>by</w:t>
      </w:r>
      <w:r w:rsidR="000159A6">
        <w:t xml:space="preserve"> </w:t>
      </w:r>
      <w:r>
        <w:t>data</w:t>
      </w:r>
      <w:r w:rsidR="000159A6">
        <w:t xml:space="preserve"> </w:t>
      </w:r>
      <w:r>
        <w:t>recently</w:t>
      </w:r>
      <w:r w:rsidR="000159A6">
        <w:t xml:space="preserve"> </w:t>
      </w:r>
      <w:r>
        <w:t>presented</w:t>
      </w:r>
      <w:r w:rsidR="000159A6">
        <w:t xml:space="preserve"> </w:t>
      </w:r>
      <w:r>
        <w:t>by</w:t>
      </w:r>
      <w:r w:rsidR="000159A6">
        <w:t xml:space="preserve"> </w:t>
      </w:r>
      <w:r w:rsidRPr="00436177">
        <w:t>the</w:t>
      </w:r>
      <w:r w:rsidR="000159A6">
        <w:t xml:space="preserve"> </w:t>
      </w:r>
      <w:r w:rsidRPr="00436177">
        <w:t>US</w:t>
      </w:r>
      <w:r w:rsidR="000159A6">
        <w:t xml:space="preserve"> </w:t>
      </w:r>
      <w:proofErr w:type="spellStart"/>
      <w:r w:rsidRPr="00436177">
        <w:t>Centers</w:t>
      </w:r>
      <w:proofErr w:type="spellEnd"/>
      <w:r w:rsidR="000159A6">
        <w:t xml:space="preserve"> </w:t>
      </w:r>
      <w:r w:rsidRPr="00436177">
        <w:t>for</w:t>
      </w:r>
      <w:r w:rsidR="000159A6">
        <w:t xml:space="preserve"> </w:t>
      </w:r>
      <w:r w:rsidRPr="00436177">
        <w:t>Disease</w:t>
      </w:r>
      <w:r w:rsidR="000159A6">
        <w:t xml:space="preserve"> </w:t>
      </w:r>
      <w:r w:rsidRPr="00436177">
        <w:t>Control</w:t>
      </w:r>
      <w:r w:rsidR="000159A6">
        <w:t xml:space="preserve"> </w:t>
      </w:r>
      <w:r w:rsidRPr="00436177">
        <w:t>and</w:t>
      </w:r>
      <w:r w:rsidR="000159A6">
        <w:t xml:space="preserve"> </w:t>
      </w:r>
      <w:r w:rsidRPr="00436177">
        <w:t>Prevention</w:t>
      </w:r>
      <w:r w:rsidR="000159A6">
        <w:t xml:space="preserve"> </w:t>
      </w:r>
      <w:r w:rsidRPr="00436177">
        <w:t>(CDC)</w:t>
      </w:r>
      <w:r w:rsidR="000159A6">
        <w:t xml:space="preserve"> </w:t>
      </w:r>
      <w:r w:rsidRPr="00436177">
        <w:t>at</w:t>
      </w:r>
      <w:r w:rsidR="000159A6">
        <w:t xml:space="preserve"> </w:t>
      </w:r>
      <w:r w:rsidRPr="00436177">
        <w:t>the</w:t>
      </w:r>
      <w:r w:rsidR="000159A6">
        <w:t xml:space="preserve"> </w:t>
      </w:r>
      <w:r w:rsidRPr="00436177">
        <w:t>Adv</w:t>
      </w:r>
      <w:r>
        <w:t>isory</w:t>
      </w:r>
      <w:r w:rsidR="000159A6">
        <w:t xml:space="preserve"> </w:t>
      </w:r>
      <w:r>
        <w:t>Committee</w:t>
      </w:r>
      <w:r w:rsidR="000159A6">
        <w:t xml:space="preserve"> </w:t>
      </w:r>
      <w:r>
        <w:t>on</w:t>
      </w:r>
      <w:r w:rsidR="000159A6">
        <w:t xml:space="preserve"> </w:t>
      </w:r>
      <w:r>
        <w:t>Immunisation</w:t>
      </w:r>
      <w:r w:rsidR="000159A6">
        <w:t xml:space="preserve"> </w:t>
      </w:r>
      <w:r w:rsidRPr="00436177">
        <w:t>Practices</w:t>
      </w:r>
      <w:r w:rsidR="000159A6">
        <w:t xml:space="preserve"> </w:t>
      </w:r>
      <w:r w:rsidRPr="00436177">
        <w:t>(ACIP)</w:t>
      </w:r>
      <w:r w:rsidR="000159A6">
        <w:t xml:space="preserve"> </w:t>
      </w:r>
      <w:r w:rsidRPr="00436177">
        <w:t>meeting.</w:t>
      </w:r>
    </w:p>
    <w:p w14:paraId="5C30841A" w14:textId="4A9C7322" w:rsidR="00316881" w:rsidRPr="00436177" w:rsidRDefault="0012170B" w:rsidP="00440509">
      <w:r>
        <w:lastRenderedPageBreak/>
        <w:t>Table</w:t>
      </w:r>
      <w:r w:rsidR="000159A6">
        <w:t xml:space="preserve"> </w:t>
      </w:r>
      <w:r w:rsidR="005B2FA5">
        <w:t>9</w:t>
      </w:r>
      <w:r w:rsidR="000159A6">
        <w:t xml:space="preserve"> </w:t>
      </w:r>
      <w:r w:rsidR="00436177" w:rsidRPr="00436177">
        <w:t>presents</w:t>
      </w:r>
      <w:r w:rsidR="000159A6">
        <w:t xml:space="preserve"> </w:t>
      </w:r>
      <w:r w:rsidR="00436177" w:rsidRPr="00436177">
        <w:t>projected</w:t>
      </w:r>
      <w:r w:rsidR="000159A6">
        <w:t xml:space="preserve"> </w:t>
      </w:r>
      <w:r w:rsidR="00436177" w:rsidRPr="00436177">
        <w:t>HZ</w:t>
      </w:r>
      <w:r w:rsidR="000159A6">
        <w:t xml:space="preserve"> </w:t>
      </w:r>
      <w:r w:rsidR="00436177" w:rsidRPr="00436177">
        <w:t>and</w:t>
      </w:r>
      <w:r w:rsidR="000159A6">
        <w:t xml:space="preserve"> </w:t>
      </w:r>
      <w:r w:rsidR="00436177" w:rsidRPr="00436177">
        <w:t>PHN</w:t>
      </w:r>
      <w:r w:rsidR="000159A6">
        <w:t xml:space="preserve"> </w:t>
      </w:r>
      <w:r w:rsidR="00436177" w:rsidRPr="00436177">
        <w:t>long-term</w:t>
      </w:r>
      <w:r w:rsidR="000159A6">
        <w:t xml:space="preserve"> </w:t>
      </w:r>
      <w:r w:rsidR="00436177" w:rsidRPr="00436177">
        <w:t>efficacy</w:t>
      </w:r>
      <w:r w:rsidR="000159A6">
        <w:t xml:space="preserve"> </w:t>
      </w:r>
      <w:r w:rsidR="00436177" w:rsidRPr="00436177">
        <w:t>data</w:t>
      </w:r>
      <w:r w:rsidR="000159A6">
        <w:t xml:space="preserve"> </w:t>
      </w:r>
      <w:r w:rsidR="00436177" w:rsidRPr="00436177">
        <w:t>for</w:t>
      </w:r>
      <w:r w:rsidR="000159A6">
        <w:t xml:space="preserve"> </w:t>
      </w:r>
      <w:r w:rsidR="00436177" w:rsidRPr="00436177">
        <w:t>HZ/</w:t>
      </w:r>
      <w:proofErr w:type="spellStart"/>
      <w:r w:rsidR="00436177" w:rsidRPr="00436177">
        <w:t>su</w:t>
      </w:r>
      <w:proofErr w:type="spellEnd"/>
      <w:r w:rsidR="000159A6">
        <w:t xml:space="preserve"> </w:t>
      </w:r>
      <w:r w:rsidR="00436177" w:rsidRPr="00436177">
        <w:t>and</w:t>
      </w:r>
      <w:r w:rsidR="000159A6">
        <w:t xml:space="preserve"> </w:t>
      </w:r>
      <w:proofErr w:type="spellStart"/>
      <w:r w:rsidR="00436177" w:rsidRPr="00436177">
        <w:t>Zostavax</w:t>
      </w:r>
      <w:proofErr w:type="spellEnd"/>
      <w:r w:rsidR="000159A6">
        <w:t xml:space="preserve"> </w:t>
      </w:r>
      <w:r w:rsidR="00436177">
        <w:t>(without</w:t>
      </w:r>
      <w:r w:rsidR="000159A6">
        <w:t xml:space="preserve"> </w:t>
      </w:r>
      <w:r w:rsidR="00436177">
        <w:t>a</w:t>
      </w:r>
      <w:r w:rsidR="000159A6">
        <w:t xml:space="preserve"> </w:t>
      </w:r>
      <w:r w:rsidR="00436177">
        <w:t>booster</w:t>
      </w:r>
      <w:r w:rsidR="000159A6">
        <w:t xml:space="preserve"> </w:t>
      </w:r>
      <w:r w:rsidR="00436177" w:rsidRPr="00436177">
        <w:t>dose).</w:t>
      </w:r>
      <w:r w:rsidR="000159A6">
        <w:t xml:space="preserve"> </w:t>
      </w:r>
      <w:r w:rsidR="00436177" w:rsidRPr="00436177">
        <w:t>Note</w:t>
      </w:r>
      <w:r w:rsidR="000159A6">
        <w:t xml:space="preserve"> </w:t>
      </w:r>
      <w:r w:rsidR="00436177" w:rsidRPr="00436177">
        <w:t>that</w:t>
      </w:r>
      <w:r w:rsidR="000159A6">
        <w:t xml:space="preserve"> </w:t>
      </w:r>
      <w:r w:rsidR="00436177" w:rsidRPr="00436177">
        <w:t>the</w:t>
      </w:r>
      <w:r w:rsidR="000159A6">
        <w:t xml:space="preserve"> </w:t>
      </w:r>
      <w:r w:rsidR="00436177" w:rsidRPr="00436177">
        <w:t>number</w:t>
      </w:r>
      <w:r w:rsidR="000159A6">
        <w:t xml:space="preserve"> </w:t>
      </w:r>
      <w:r w:rsidR="00436177" w:rsidRPr="00436177">
        <w:t>of</w:t>
      </w:r>
      <w:r w:rsidR="000159A6">
        <w:t xml:space="preserve"> </w:t>
      </w:r>
      <w:r w:rsidR="00436177" w:rsidRPr="00436177">
        <w:t>cases</w:t>
      </w:r>
      <w:r w:rsidR="000159A6">
        <w:t xml:space="preserve"> </w:t>
      </w:r>
      <w:r w:rsidR="00436177" w:rsidRPr="00436177">
        <w:t>over</w:t>
      </w:r>
      <w:r w:rsidR="000159A6">
        <w:t xml:space="preserve"> </w:t>
      </w:r>
      <w:r w:rsidR="00436177" w:rsidRPr="00436177">
        <w:t>an</w:t>
      </w:r>
      <w:r w:rsidR="000159A6">
        <w:t xml:space="preserve"> </w:t>
      </w:r>
      <w:r w:rsidR="00436177" w:rsidRPr="00436177">
        <w:t>entire</w:t>
      </w:r>
      <w:r w:rsidR="000159A6">
        <w:t xml:space="preserve"> </w:t>
      </w:r>
      <w:r w:rsidR="00436177" w:rsidRPr="00436177">
        <w:t>life</w:t>
      </w:r>
      <w:r w:rsidR="000159A6">
        <w:t xml:space="preserve"> </w:t>
      </w:r>
      <w:r w:rsidR="00436177" w:rsidRPr="00436177">
        <w:t>time</w:t>
      </w:r>
      <w:r w:rsidR="000159A6">
        <w:t xml:space="preserve"> </w:t>
      </w:r>
      <w:r w:rsidR="00436177" w:rsidRPr="00436177">
        <w:t>are</w:t>
      </w:r>
      <w:r w:rsidR="000159A6">
        <w:t xml:space="preserve"> </w:t>
      </w:r>
      <w:r w:rsidR="00436177" w:rsidRPr="00436177">
        <w:t>being</w:t>
      </w:r>
      <w:r w:rsidR="000159A6">
        <w:t xml:space="preserve"> </w:t>
      </w:r>
      <w:r w:rsidR="00436177" w:rsidRPr="00436177">
        <w:t>cons</w:t>
      </w:r>
      <w:r w:rsidR="00436177">
        <w:t>idered</w:t>
      </w:r>
      <w:r w:rsidR="000159A6">
        <w:t xml:space="preserve"> </w:t>
      </w:r>
      <w:r w:rsidR="00436177">
        <w:t>in</w:t>
      </w:r>
      <w:r w:rsidR="000159A6">
        <w:t xml:space="preserve"> </w:t>
      </w:r>
      <w:r w:rsidR="00436177">
        <w:t>a</w:t>
      </w:r>
      <w:r w:rsidR="000159A6">
        <w:t xml:space="preserve"> </w:t>
      </w:r>
      <w:r w:rsidR="00436177">
        <w:t>population</w:t>
      </w:r>
      <w:r w:rsidR="000159A6">
        <w:t xml:space="preserve"> </w:t>
      </w:r>
      <w:r w:rsidR="00436177">
        <w:t>of</w:t>
      </w:r>
      <w:r w:rsidR="000159A6">
        <w:t xml:space="preserve"> </w:t>
      </w:r>
      <w:r w:rsidR="00436177">
        <w:t>1,000</w:t>
      </w:r>
      <w:r w:rsidR="000159A6">
        <w:t xml:space="preserve"> </w:t>
      </w:r>
      <w:r w:rsidR="00436177" w:rsidRPr="00436177">
        <w:t>persons</w:t>
      </w:r>
      <w:r w:rsidR="000159A6">
        <w:t xml:space="preserve"> </w:t>
      </w:r>
      <w:r w:rsidR="00436177" w:rsidRPr="00436177">
        <w:t>and</w:t>
      </w:r>
      <w:r w:rsidR="000159A6">
        <w:t xml:space="preserve"> </w:t>
      </w:r>
      <w:r w:rsidR="00436177" w:rsidRPr="00436177">
        <w:t>have</w:t>
      </w:r>
      <w:r w:rsidR="000159A6">
        <w:t xml:space="preserve"> </w:t>
      </w:r>
      <w:r w:rsidR="00436177" w:rsidRPr="00436177">
        <w:t>been</w:t>
      </w:r>
      <w:r w:rsidR="000159A6">
        <w:t xml:space="preserve"> </w:t>
      </w:r>
      <w:r w:rsidR="00436177" w:rsidRPr="00436177">
        <w:t>adjusted</w:t>
      </w:r>
      <w:r w:rsidR="000159A6">
        <w:t xml:space="preserve"> </w:t>
      </w:r>
      <w:r w:rsidR="00436177" w:rsidRPr="00436177">
        <w:t>accounting</w:t>
      </w:r>
      <w:r w:rsidR="000159A6">
        <w:t xml:space="preserve"> </w:t>
      </w:r>
      <w:r w:rsidR="00436177" w:rsidRPr="00436177">
        <w:t>for</w:t>
      </w:r>
      <w:r w:rsidR="000159A6">
        <w:t xml:space="preserve"> </w:t>
      </w:r>
      <w:r w:rsidR="00436177" w:rsidRPr="00436177">
        <w:t>waning</w:t>
      </w:r>
      <w:r w:rsidR="000159A6">
        <w:t xml:space="preserve"> </w:t>
      </w:r>
      <w:r w:rsidR="00436177" w:rsidRPr="00436177">
        <w:t>of</w:t>
      </w:r>
      <w:r w:rsidR="000159A6">
        <w:t xml:space="preserve"> </w:t>
      </w:r>
      <w:r w:rsidR="00436177" w:rsidRPr="00436177">
        <w:t>vaccine</w:t>
      </w:r>
      <w:r w:rsidR="000159A6">
        <w:t xml:space="preserve"> </w:t>
      </w:r>
      <w:r w:rsidR="00436177" w:rsidRPr="00436177">
        <w:t>efficacy</w:t>
      </w:r>
      <w:r w:rsidR="00436177">
        <w:t>,</w:t>
      </w:r>
      <w:r w:rsidR="000159A6">
        <w:t xml:space="preserve"> </w:t>
      </w:r>
      <w:r w:rsidR="00436177">
        <w:t>as</w:t>
      </w:r>
      <w:r w:rsidR="000159A6">
        <w:t xml:space="preserve"> </w:t>
      </w:r>
      <w:r w:rsidR="00436177">
        <w:t>presented</w:t>
      </w:r>
      <w:r w:rsidR="000159A6">
        <w:t xml:space="preserve"> </w:t>
      </w:r>
      <w:r w:rsidR="00436177">
        <w:t>in</w:t>
      </w:r>
      <w:r w:rsidR="000159A6">
        <w:t xml:space="preserve"> </w:t>
      </w:r>
      <w:r w:rsidR="00436177">
        <w:t>Figure</w:t>
      </w:r>
      <w:r w:rsidR="000159A6">
        <w:t xml:space="preserve"> </w:t>
      </w:r>
      <w:r w:rsidR="00436177">
        <w:t>1.</w:t>
      </w:r>
      <w:r w:rsidR="000159A6">
        <w:t xml:space="preserve"> </w:t>
      </w:r>
      <w:r w:rsidR="005B2FA5">
        <w:t>The</w:t>
      </w:r>
      <w:r w:rsidR="000159A6">
        <w:t xml:space="preserve"> </w:t>
      </w:r>
      <w:r w:rsidR="005B2FA5">
        <w:t>sponsor</w:t>
      </w:r>
      <w:r w:rsidR="000159A6">
        <w:t xml:space="preserve"> </w:t>
      </w:r>
      <w:r w:rsidR="00436177" w:rsidRPr="00436177">
        <w:t>considers</w:t>
      </w:r>
      <w:r w:rsidR="000159A6">
        <w:t xml:space="preserve"> </w:t>
      </w:r>
      <w:r w:rsidR="00436177" w:rsidRPr="00436177">
        <w:t>this</w:t>
      </w:r>
      <w:r w:rsidR="000159A6">
        <w:t xml:space="preserve"> </w:t>
      </w:r>
      <w:r w:rsidR="00436177" w:rsidRPr="00436177">
        <w:t>a</w:t>
      </w:r>
      <w:r w:rsidR="000159A6">
        <w:t xml:space="preserve"> </w:t>
      </w:r>
      <w:r w:rsidR="00436177" w:rsidRPr="00436177">
        <w:t>conservative</w:t>
      </w:r>
      <w:r w:rsidR="000159A6">
        <w:t xml:space="preserve"> </w:t>
      </w:r>
      <w:r w:rsidR="00436177" w:rsidRPr="00436177">
        <w:t>projection</w:t>
      </w:r>
      <w:r w:rsidR="000159A6">
        <w:t xml:space="preserve"> </w:t>
      </w:r>
      <w:r w:rsidR="00436177" w:rsidRPr="00436177">
        <w:t>from</w:t>
      </w:r>
      <w:r w:rsidR="000159A6">
        <w:t xml:space="preserve"> </w:t>
      </w:r>
      <w:r w:rsidR="00436177" w:rsidRPr="00436177">
        <w:t>the</w:t>
      </w:r>
      <w:r w:rsidR="000159A6">
        <w:t xml:space="preserve"> </w:t>
      </w:r>
      <w:r w:rsidR="00436177" w:rsidRPr="00436177">
        <w:t>HZ/</w:t>
      </w:r>
      <w:proofErr w:type="spellStart"/>
      <w:r w:rsidR="00436177" w:rsidRPr="00436177">
        <w:t>su’s</w:t>
      </w:r>
      <w:proofErr w:type="spellEnd"/>
      <w:r w:rsidR="000159A6">
        <w:t xml:space="preserve"> </w:t>
      </w:r>
      <w:r w:rsidR="00436177" w:rsidRPr="00436177">
        <w:t>perspective</w:t>
      </w:r>
      <w:r w:rsidR="000159A6">
        <w:t xml:space="preserve"> </w:t>
      </w:r>
      <w:r w:rsidR="00436177" w:rsidRPr="00436177">
        <w:t>as</w:t>
      </w:r>
      <w:r w:rsidR="000159A6">
        <w:t xml:space="preserve"> </w:t>
      </w:r>
      <w:r w:rsidR="00436177" w:rsidRPr="00436177">
        <w:t>there</w:t>
      </w:r>
      <w:r w:rsidR="000159A6">
        <w:t xml:space="preserve"> </w:t>
      </w:r>
      <w:r w:rsidR="00436177" w:rsidRPr="00436177">
        <w:t>is</w:t>
      </w:r>
      <w:r w:rsidR="000159A6">
        <w:t xml:space="preserve"> </w:t>
      </w:r>
      <w:r w:rsidR="00436177" w:rsidRPr="00436177">
        <w:t>curr</w:t>
      </w:r>
      <w:r w:rsidR="00436177">
        <w:t>ently</w:t>
      </w:r>
      <w:r w:rsidR="000159A6">
        <w:t xml:space="preserve"> </w:t>
      </w:r>
      <w:r w:rsidR="00436177">
        <w:t>no</w:t>
      </w:r>
      <w:r w:rsidR="000159A6">
        <w:t xml:space="preserve"> </w:t>
      </w:r>
      <w:r w:rsidR="00436177">
        <w:t>evidence</w:t>
      </w:r>
      <w:r w:rsidR="000159A6">
        <w:t xml:space="preserve"> </w:t>
      </w:r>
      <w:r w:rsidR="00436177">
        <w:t>that</w:t>
      </w:r>
      <w:r w:rsidR="000159A6">
        <w:t xml:space="preserve"> </w:t>
      </w:r>
      <w:r w:rsidR="00436177" w:rsidRPr="00436177">
        <w:t>HZ/</w:t>
      </w:r>
      <w:proofErr w:type="spellStart"/>
      <w:r w:rsidR="00436177" w:rsidRPr="00436177">
        <w:t>su</w:t>
      </w:r>
      <w:proofErr w:type="spellEnd"/>
      <w:r w:rsidR="000159A6">
        <w:t xml:space="preserve"> </w:t>
      </w:r>
      <w:r w:rsidR="00436177" w:rsidRPr="00436177">
        <w:t>induced</w:t>
      </w:r>
      <w:r w:rsidR="000159A6">
        <w:t xml:space="preserve"> </w:t>
      </w:r>
      <w:r w:rsidR="00436177" w:rsidRPr="00436177">
        <w:t>vaccine</w:t>
      </w:r>
      <w:r w:rsidR="000159A6">
        <w:t xml:space="preserve"> </w:t>
      </w:r>
      <w:r w:rsidR="00436177" w:rsidRPr="00436177">
        <w:t>efficacy</w:t>
      </w:r>
      <w:r w:rsidR="000159A6">
        <w:t xml:space="preserve"> </w:t>
      </w:r>
      <w:r w:rsidR="00436177" w:rsidRPr="00436177">
        <w:t>wanes</w:t>
      </w:r>
      <w:r w:rsidR="000159A6">
        <w:t xml:space="preserve"> </w:t>
      </w:r>
      <w:r w:rsidR="00436177" w:rsidRPr="00436177">
        <w:t>over</w:t>
      </w:r>
      <w:r w:rsidR="000159A6">
        <w:t xml:space="preserve"> </w:t>
      </w:r>
      <w:r w:rsidR="00436177" w:rsidRPr="00436177">
        <w:t>time.</w:t>
      </w:r>
    </w:p>
    <w:p w14:paraId="0B177BE2" w14:textId="2CEC7D23" w:rsidR="00316881" w:rsidRPr="00436177" w:rsidRDefault="0012170B" w:rsidP="005B2FA5">
      <w:pPr>
        <w:pStyle w:val="TableTitle"/>
      </w:pPr>
      <w:r>
        <w:t>Table</w:t>
      </w:r>
      <w:r w:rsidR="000159A6">
        <w:t xml:space="preserve"> </w:t>
      </w:r>
      <w:r w:rsidR="005B2FA5">
        <w:t>9</w:t>
      </w:r>
      <w:r>
        <w:t>:</w:t>
      </w:r>
      <w:r w:rsidR="000159A6">
        <w:t xml:space="preserve"> </w:t>
      </w:r>
      <w:r w:rsidR="00436177" w:rsidRPr="00436177">
        <w:t>Projected</w:t>
      </w:r>
      <w:r w:rsidR="000159A6">
        <w:t xml:space="preserve"> </w:t>
      </w:r>
      <w:r w:rsidR="00436177" w:rsidRPr="00436177">
        <w:t>number</w:t>
      </w:r>
      <w:r w:rsidR="000159A6">
        <w:t xml:space="preserve"> </w:t>
      </w:r>
      <w:r w:rsidR="00436177" w:rsidRPr="00436177">
        <w:t>of</w:t>
      </w:r>
      <w:r w:rsidR="000159A6" w:rsidRPr="00440509">
        <w:t xml:space="preserve"> </w:t>
      </w:r>
      <w:r w:rsidR="00436177" w:rsidRPr="00436177">
        <w:t>cases</w:t>
      </w:r>
      <w:r w:rsidR="000159A6">
        <w:t xml:space="preserve"> </w:t>
      </w:r>
      <w:r w:rsidR="00436177" w:rsidRPr="00436177">
        <w:t>of</w:t>
      </w:r>
      <w:r w:rsidR="000159A6">
        <w:t xml:space="preserve"> </w:t>
      </w:r>
      <w:r w:rsidR="00436177" w:rsidRPr="00436177">
        <w:t>HZ</w:t>
      </w:r>
      <w:r w:rsidR="000159A6">
        <w:t xml:space="preserve"> </w:t>
      </w:r>
      <w:r w:rsidR="00436177" w:rsidRPr="00436177">
        <w:t>and</w:t>
      </w:r>
      <w:r w:rsidR="000159A6">
        <w:t xml:space="preserve"> </w:t>
      </w:r>
      <w:r w:rsidR="00436177" w:rsidRPr="00436177">
        <w:t>PHN</w:t>
      </w:r>
      <w:r w:rsidR="000159A6">
        <w:t xml:space="preserve"> </w:t>
      </w:r>
      <w:r w:rsidR="00436177" w:rsidRPr="00436177">
        <w:t>over</w:t>
      </w:r>
      <w:r w:rsidR="000159A6">
        <w:t xml:space="preserve"> </w:t>
      </w:r>
      <w:r w:rsidR="00436177" w:rsidRPr="00436177">
        <w:t>entire</w:t>
      </w:r>
      <w:r w:rsidR="000159A6">
        <w:t xml:space="preserve"> </w:t>
      </w:r>
      <w:r w:rsidR="00436177" w:rsidRPr="00436177">
        <w:t>life</w:t>
      </w:r>
      <w:r w:rsidR="000159A6">
        <w:t xml:space="preserve"> </w:t>
      </w:r>
      <w:r w:rsidR="00436177" w:rsidRPr="005B2FA5">
        <w:t>time</w:t>
      </w:r>
      <w:r w:rsidR="000159A6">
        <w:t xml:space="preserve"> </w:t>
      </w:r>
      <w:r w:rsidR="00436177" w:rsidRPr="00436177">
        <w:t>when</w:t>
      </w:r>
      <w:r w:rsidR="000159A6">
        <w:t xml:space="preserve"> </w:t>
      </w:r>
      <w:r w:rsidR="00436177" w:rsidRPr="00436177">
        <w:t>vaccinated</w:t>
      </w:r>
      <w:r w:rsidR="000159A6">
        <w:t xml:space="preserve"> </w:t>
      </w:r>
      <w:r w:rsidR="00436177" w:rsidRPr="00436177">
        <w:t>at</w:t>
      </w:r>
      <w:r w:rsidR="000159A6">
        <w:t xml:space="preserve"> </w:t>
      </w:r>
      <w:r w:rsidR="00436177" w:rsidRPr="00436177">
        <w:t>specified</w:t>
      </w:r>
      <w:r w:rsidR="000159A6">
        <w:t xml:space="preserve"> </w:t>
      </w:r>
      <w:r w:rsidR="00436177" w:rsidRPr="00436177">
        <w:t>age</w:t>
      </w:r>
      <w:r w:rsidR="000159A6">
        <w:t xml:space="preserve"> </w:t>
      </w:r>
      <w:r w:rsidR="00436177" w:rsidRPr="00436177">
        <w:t>with</w:t>
      </w:r>
      <w:r w:rsidR="000159A6">
        <w:t xml:space="preserve"> </w:t>
      </w:r>
      <w:r w:rsidR="00436177" w:rsidRPr="00436177">
        <w:t>HZ/</w:t>
      </w:r>
      <w:proofErr w:type="spellStart"/>
      <w:r w:rsidR="00436177" w:rsidRPr="00436177">
        <w:t>su</w:t>
      </w:r>
      <w:proofErr w:type="spellEnd"/>
      <w:r w:rsidR="000159A6">
        <w:t xml:space="preserve"> </w:t>
      </w:r>
      <w:r w:rsidR="00436177" w:rsidRPr="00436177">
        <w:t>or</w:t>
      </w:r>
      <w:r w:rsidR="000159A6">
        <w:t xml:space="preserve"> </w:t>
      </w:r>
      <w:proofErr w:type="spellStart"/>
      <w:r w:rsidR="00436177" w:rsidRPr="00436177">
        <w:t>Zostavax</w:t>
      </w:r>
      <w:proofErr w:type="spellEnd"/>
      <w:r w:rsidR="000159A6">
        <w:t xml:space="preserve"> </w:t>
      </w:r>
      <w:r w:rsidR="00436177" w:rsidRPr="00436177">
        <w:t>(US</w:t>
      </w:r>
      <w:r w:rsidR="000159A6">
        <w:t xml:space="preserve"> </w:t>
      </w:r>
      <w:r w:rsidR="00436177" w:rsidRPr="00436177">
        <w:t>CDC)</w:t>
      </w:r>
    </w:p>
    <w:p w14:paraId="10E956DF" w14:textId="77777777" w:rsidR="00316881" w:rsidRDefault="00436177" w:rsidP="00440509">
      <w:r>
        <w:rPr>
          <w:noProof/>
          <w:lang w:eastAsia="en-AU"/>
        </w:rPr>
        <w:drawing>
          <wp:inline distT="0" distB="0" distL="0" distR="0" wp14:anchorId="4BF6375B" wp14:editId="1984DDF1">
            <wp:extent cx="5400040" cy="1857706"/>
            <wp:effectExtent l="0" t="0" r="0" b="9525"/>
            <wp:docPr id="1" name="Picture 1" descr="Table 9: Projected number of cases of HZ and PHN over entire life time when vaccinated at specified age with HZ/su or Zostavax (US 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00040" cy="1857706"/>
                    </a:xfrm>
                    <a:prstGeom prst="rect">
                      <a:avLst/>
                    </a:prstGeom>
                  </pic:spPr>
                </pic:pic>
              </a:graphicData>
            </a:graphic>
          </wp:inline>
        </w:drawing>
      </w:r>
    </w:p>
    <w:p w14:paraId="571FD7FD" w14:textId="0637811E" w:rsidR="00436177" w:rsidRPr="00436177" w:rsidRDefault="00436177" w:rsidP="002E1097">
      <w:pPr>
        <w:pStyle w:val="FigureTitle"/>
      </w:pPr>
      <w:r w:rsidRPr="00436177">
        <w:t>Figure</w:t>
      </w:r>
      <w:r w:rsidR="000159A6">
        <w:t xml:space="preserve"> </w:t>
      </w:r>
      <w:r w:rsidRPr="00436177">
        <w:t>1</w:t>
      </w:r>
      <w:r w:rsidR="0012170B">
        <w:t>:</w:t>
      </w:r>
      <w:r w:rsidR="000159A6">
        <w:t xml:space="preserve"> </w:t>
      </w:r>
      <w:r w:rsidRPr="00436177">
        <w:t>HZ</w:t>
      </w:r>
      <w:r w:rsidR="000159A6">
        <w:t xml:space="preserve"> </w:t>
      </w:r>
      <w:r w:rsidRPr="00436177">
        <w:t>vaccines’</w:t>
      </w:r>
      <w:r w:rsidR="000159A6">
        <w:t xml:space="preserve"> </w:t>
      </w:r>
      <w:r w:rsidRPr="002E1097">
        <w:t>effectiveness</w:t>
      </w:r>
      <w:r w:rsidR="000159A6">
        <w:t xml:space="preserve"> </w:t>
      </w:r>
      <w:r w:rsidRPr="00436177">
        <w:t>in</w:t>
      </w:r>
      <w:r w:rsidR="000159A6">
        <w:t xml:space="preserve"> </w:t>
      </w:r>
      <w:r w:rsidR="0037169B">
        <w:t>60</w:t>
      </w:r>
      <w:r w:rsidR="000159A6">
        <w:t xml:space="preserve"> </w:t>
      </w:r>
      <w:r w:rsidR="0037169B">
        <w:t>to</w:t>
      </w:r>
      <w:r w:rsidR="000159A6">
        <w:t xml:space="preserve"> </w:t>
      </w:r>
      <w:r w:rsidR="0037169B">
        <w:t>69</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436177">
        <w:t>(US</w:t>
      </w:r>
      <w:r w:rsidR="000159A6">
        <w:t xml:space="preserve"> </w:t>
      </w:r>
      <w:r w:rsidRPr="00436177">
        <w:t>CDC)</w:t>
      </w:r>
    </w:p>
    <w:p w14:paraId="5A11E87A" w14:textId="77777777" w:rsidR="00436177" w:rsidRDefault="00436177" w:rsidP="00316881">
      <w:r>
        <w:rPr>
          <w:noProof/>
          <w:lang w:eastAsia="en-AU"/>
        </w:rPr>
        <w:drawing>
          <wp:inline distT="0" distB="0" distL="0" distR="0" wp14:anchorId="5816ADB9" wp14:editId="7913776F">
            <wp:extent cx="5400040" cy="4156732"/>
            <wp:effectExtent l="0" t="0" r="0" b="0"/>
            <wp:docPr id="2" name="Picture 2" descr="Figure 1: HZ vaccines’ effectiveness in 60 to 69 years of age (US 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400040" cy="4156732"/>
                    </a:xfrm>
                    <a:prstGeom prst="rect">
                      <a:avLst/>
                    </a:prstGeom>
                  </pic:spPr>
                </pic:pic>
              </a:graphicData>
            </a:graphic>
          </wp:inline>
        </w:drawing>
      </w:r>
    </w:p>
    <w:p w14:paraId="017FA8D2" w14:textId="37259F48" w:rsidR="00436177" w:rsidRPr="00436177" w:rsidRDefault="00436177" w:rsidP="002E1097">
      <w:r w:rsidRPr="00436177">
        <w:t>These</w:t>
      </w:r>
      <w:r w:rsidR="000159A6">
        <w:t xml:space="preserve"> </w:t>
      </w:r>
      <w:r w:rsidRPr="00436177">
        <w:t>independent</w:t>
      </w:r>
      <w:r w:rsidR="000159A6">
        <w:t xml:space="preserve"> </w:t>
      </w:r>
      <w:r w:rsidRPr="00436177">
        <w:t>data</w:t>
      </w:r>
      <w:r w:rsidR="000159A6">
        <w:t xml:space="preserve"> </w:t>
      </w:r>
      <w:r w:rsidRPr="00436177">
        <w:t>confirm</w:t>
      </w:r>
      <w:r w:rsidR="000159A6">
        <w:t xml:space="preserve"> </w:t>
      </w:r>
      <w:r w:rsidRPr="00436177">
        <w:t>that</w:t>
      </w:r>
      <w:r w:rsidR="000159A6">
        <w:t xml:space="preserve"> </w:t>
      </w:r>
      <w:r w:rsidRPr="00436177">
        <w:t>vaccination</w:t>
      </w:r>
      <w:r w:rsidR="000159A6">
        <w:t xml:space="preserve"> </w:t>
      </w:r>
      <w:r w:rsidRPr="00436177">
        <w:t>with</w:t>
      </w:r>
      <w:r w:rsidR="000159A6">
        <w:t xml:space="preserve"> </w:t>
      </w:r>
      <w:r w:rsidRPr="00436177">
        <w:t>HZ/</w:t>
      </w:r>
      <w:proofErr w:type="spellStart"/>
      <w:r w:rsidRPr="00436177">
        <w:t>su</w:t>
      </w:r>
      <w:proofErr w:type="spellEnd"/>
      <w:r w:rsidR="000159A6">
        <w:t xml:space="preserve"> </w:t>
      </w:r>
      <w:r w:rsidRPr="00436177">
        <w:t>has</w:t>
      </w:r>
      <w:r w:rsidR="000159A6">
        <w:t xml:space="preserve"> </w:t>
      </w:r>
      <w:r w:rsidRPr="00436177">
        <w:t>the</w:t>
      </w:r>
      <w:r w:rsidR="000159A6">
        <w:t xml:space="preserve"> </w:t>
      </w:r>
      <w:r w:rsidRPr="00436177">
        <w:t>potential</w:t>
      </w:r>
      <w:r w:rsidR="000159A6">
        <w:t xml:space="preserve"> </w:t>
      </w:r>
      <w:r w:rsidRPr="00436177">
        <w:t>to</w:t>
      </w:r>
      <w:r w:rsidR="000159A6">
        <w:t xml:space="preserve"> </w:t>
      </w:r>
      <w:r w:rsidRPr="00436177">
        <w:t>reduce</w:t>
      </w:r>
      <w:r w:rsidR="000159A6">
        <w:t xml:space="preserve"> </w:t>
      </w:r>
      <w:r w:rsidRPr="00436177">
        <w:t>the</w:t>
      </w:r>
      <w:r w:rsidR="000159A6">
        <w:t xml:space="preserve"> </w:t>
      </w:r>
      <w:r w:rsidRPr="00436177">
        <w:t>incidence</w:t>
      </w:r>
      <w:r w:rsidR="000159A6">
        <w:t xml:space="preserve"> </w:t>
      </w:r>
      <w:r w:rsidRPr="00436177">
        <w:t>of</w:t>
      </w:r>
      <w:r w:rsidR="000159A6">
        <w:t xml:space="preserve"> </w:t>
      </w:r>
      <w:r w:rsidRPr="00436177">
        <w:t>HZ</w:t>
      </w:r>
      <w:r w:rsidR="000159A6">
        <w:t xml:space="preserve"> </w:t>
      </w:r>
      <w:r w:rsidRPr="00436177">
        <w:t>and</w:t>
      </w:r>
      <w:r w:rsidR="000159A6">
        <w:t xml:space="preserve"> </w:t>
      </w:r>
      <w:r w:rsidRPr="00436177">
        <w:t>PHN</w:t>
      </w:r>
      <w:r w:rsidR="000159A6">
        <w:t xml:space="preserve"> </w:t>
      </w:r>
      <w:r w:rsidRPr="00436177">
        <w:t>to</w:t>
      </w:r>
      <w:r w:rsidR="000159A6">
        <w:t xml:space="preserve"> </w:t>
      </w:r>
      <w:r w:rsidRPr="00436177">
        <w:t>a</w:t>
      </w:r>
      <w:r w:rsidR="000159A6">
        <w:t xml:space="preserve"> </w:t>
      </w:r>
      <w:r w:rsidRPr="00436177">
        <w:t>lower</w:t>
      </w:r>
      <w:r w:rsidR="000159A6">
        <w:t xml:space="preserve"> </w:t>
      </w:r>
      <w:r w:rsidRPr="00436177">
        <w:t>level</w:t>
      </w:r>
      <w:r w:rsidR="000159A6">
        <w:t xml:space="preserve"> </w:t>
      </w:r>
      <w:r w:rsidRPr="00436177">
        <w:t>than</w:t>
      </w:r>
      <w:r w:rsidR="000159A6">
        <w:t xml:space="preserve"> </w:t>
      </w:r>
      <w:r w:rsidRPr="00436177">
        <w:t>vaccination</w:t>
      </w:r>
      <w:r w:rsidR="000159A6">
        <w:t xml:space="preserve"> </w:t>
      </w:r>
      <w:r w:rsidRPr="00436177">
        <w:t>with</w:t>
      </w:r>
      <w:r w:rsidR="000159A6">
        <w:t xml:space="preserve"> </w:t>
      </w:r>
      <w:r w:rsidRPr="00436177">
        <w:t>Zostavax,</w:t>
      </w:r>
      <w:r w:rsidR="000159A6">
        <w:t xml:space="preserve"> </w:t>
      </w:r>
      <w:r w:rsidRPr="00436177">
        <w:t>in</w:t>
      </w:r>
      <w:r w:rsidR="000159A6">
        <w:t xml:space="preserve"> </w:t>
      </w:r>
      <w:r w:rsidRPr="00436177">
        <w:t>all</w:t>
      </w:r>
      <w:r w:rsidR="000159A6">
        <w:t xml:space="preserve"> </w:t>
      </w:r>
      <w:r w:rsidRPr="00436177">
        <w:t>age</w:t>
      </w:r>
      <w:r w:rsidR="000159A6">
        <w:t xml:space="preserve"> </w:t>
      </w:r>
      <w:r w:rsidRPr="00436177">
        <w:t>groups.</w:t>
      </w:r>
    </w:p>
    <w:p w14:paraId="3D68132A" w14:textId="661D1F03" w:rsidR="00436177" w:rsidRPr="00436177" w:rsidRDefault="00436177" w:rsidP="00436177">
      <w:r w:rsidRPr="00436177">
        <w:t>Notably</w:t>
      </w:r>
      <w:r w:rsidR="000159A6">
        <w:t xml:space="preserve"> </w:t>
      </w:r>
      <w:r w:rsidRPr="00436177">
        <w:t>the</w:t>
      </w:r>
      <w:r w:rsidR="000159A6">
        <w:t xml:space="preserve"> </w:t>
      </w:r>
      <w:r w:rsidRPr="00436177">
        <w:t>CDC</w:t>
      </w:r>
      <w:r w:rsidR="000159A6">
        <w:t xml:space="preserve"> </w:t>
      </w:r>
      <w:r w:rsidRPr="00436177">
        <w:t>ACIP</w:t>
      </w:r>
      <w:r w:rsidR="000159A6">
        <w:t xml:space="preserve"> </w:t>
      </w:r>
      <w:r w:rsidRPr="00436177">
        <w:t>adopted</w:t>
      </w:r>
      <w:r w:rsidR="000159A6">
        <w:t xml:space="preserve"> </w:t>
      </w:r>
      <w:r w:rsidRPr="00436177">
        <w:t>the</w:t>
      </w:r>
      <w:r w:rsidR="000159A6">
        <w:t xml:space="preserve"> </w:t>
      </w:r>
      <w:r w:rsidRPr="00436177">
        <w:t>following</w:t>
      </w:r>
      <w:r w:rsidR="000159A6">
        <w:t xml:space="preserve"> </w:t>
      </w:r>
      <w:r w:rsidRPr="00436177">
        <w:t>recommendations:</w:t>
      </w:r>
    </w:p>
    <w:p w14:paraId="6068E746" w14:textId="46A873CC" w:rsidR="00436177" w:rsidRPr="00436177" w:rsidRDefault="00FF12AA" w:rsidP="002E1097">
      <w:pPr>
        <w:pStyle w:val="ListBullet"/>
      </w:pPr>
      <w:r>
        <w:lastRenderedPageBreak/>
        <w:t>Shingrix</w:t>
      </w:r>
      <w:r w:rsidR="000159A6">
        <w:t xml:space="preserve"> </w:t>
      </w:r>
      <w:r w:rsidR="00436177" w:rsidRPr="00436177">
        <w:t>is</w:t>
      </w:r>
      <w:r w:rsidR="000159A6">
        <w:t xml:space="preserve"> </w:t>
      </w:r>
      <w:r w:rsidR="00436177" w:rsidRPr="00436177">
        <w:t>recommended</w:t>
      </w:r>
      <w:r w:rsidR="000159A6">
        <w:t xml:space="preserve"> </w:t>
      </w:r>
      <w:r w:rsidR="00436177" w:rsidRPr="00436177">
        <w:t>for</w:t>
      </w:r>
      <w:r w:rsidR="000159A6">
        <w:t xml:space="preserve"> </w:t>
      </w:r>
      <w:r w:rsidR="00436177" w:rsidRPr="00436177">
        <w:t>prevention</w:t>
      </w:r>
      <w:r w:rsidR="000159A6">
        <w:t xml:space="preserve"> </w:t>
      </w:r>
      <w:r w:rsidR="00436177" w:rsidRPr="00436177">
        <w:t>of</w:t>
      </w:r>
      <w:r w:rsidR="000159A6">
        <w:t xml:space="preserve"> </w:t>
      </w:r>
      <w:r w:rsidR="00436177" w:rsidRPr="00436177">
        <w:t>HZ</w:t>
      </w:r>
      <w:r w:rsidR="000159A6">
        <w:t xml:space="preserve"> </w:t>
      </w:r>
      <w:r w:rsidR="00436177" w:rsidRPr="00436177">
        <w:t>and</w:t>
      </w:r>
      <w:r w:rsidR="000159A6">
        <w:t xml:space="preserve"> </w:t>
      </w:r>
      <w:r w:rsidR="00436177" w:rsidRPr="00436177">
        <w:t>related</w:t>
      </w:r>
      <w:r w:rsidR="000159A6">
        <w:t xml:space="preserve"> </w:t>
      </w:r>
      <w:r w:rsidR="00436177" w:rsidRPr="00436177">
        <w:t>co</w:t>
      </w:r>
      <w:r w:rsidR="00A979D2">
        <w:t>mplications</w:t>
      </w:r>
      <w:r w:rsidR="000159A6">
        <w:t xml:space="preserve"> </w:t>
      </w:r>
      <w:r w:rsidR="00A979D2">
        <w:t>for</w:t>
      </w:r>
      <w:r w:rsidR="000159A6">
        <w:t xml:space="preserve"> </w:t>
      </w:r>
      <w:r w:rsidR="00A979D2" w:rsidRPr="002E1097">
        <w:t>immunocompetent</w:t>
      </w:r>
      <w:r w:rsidR="000159A6">
        <w:t xml:space="preserve"> </w:t>
      </w:r>
      <w:r w:rsidR="00436177" w:rsidRPr="00436177">
        <w:t>adults</w:t>
      </w:r>
      <w:r w:rsidR="000159A6">
        <w:t xml:space="preserve"> </w:t>
      </w:r>
      <w:r w:rsidR="00436177" w:rsidRPr="00436177">
        <w:t>aged</w:t>
      </w:r>
      <w:r w:rsidR="000159A6">
        <w:t xml:space="preserve"> </w:t>
      </w:r>
      <w:r w:rsidR="00436177" w:rsidRPr="00436177">
        <w:t>50</w:t>
      </w:r>
      <w:r w:rsidR="000159A6">
        <w:t xml:space="preserve"> </w:t>
      </w:r>
      <w:r w:rsidR="00436177" w:rsidRPr="00436177">
        <w:t>years</w:t>
      </w:r>
      <w:r w:rsidR="000159A6">
        <w:t xml:space="preserve"> </w:t>
      </w:r>
      <w:r w:rsidR="00436177" w:rsidRPr="00436177">
        <w:t>and</w:t>
      </w:r>
      <w:r w:rsidR="000159A6">
        <w:t xml:space="preserve"> </w:t>
      </w:r>
      <w:r w:rsidR="00436177" w:rsidRPr="00436177">
        <w:t>older</w:t>
      </w:r>
    </w:p>
    <w:p w14:paraId="22746F4A" w14:textId="213E8422" w:rsidR="00436177" w:rsidRPr="00436177" w:rsidRDefault="00FF12AA" w:rsidP="00A979D2">
      <w:pPr>
        <w:pStyle w:val="ListBullet"/>
      </w:pPr>
      <w:r>
        <w:t>Shingrix</w:t>
      </w:r>
      <w:r w:rsidR="000159A6">
        <w:t xml:space="preserve"> </w:t>
      </w:r>
      <w:r w:rsidR="00436177" w:rsidRPr="00436177">
        <w:t>is</w:t>
      </w:r>
      <w:r w:rsidR="000159A6">
        <w:t xml:space="preserve"> </w:t>
      </w:r>
      <w:r w:rsidR="00436177" w:rsidRPr="00436177">
        <w:t>recommended</w:t>
      </w:r>
      <w:r w:rsidR="000159A6">
        <w:t xml:space="preserve"> </w:t>
      </w:r>
      <w:r w:rsidR="00436177" w:rsidRPr="00436177">
        <w:t>for</w:t>
      </w:r>
      <w:r w:rsidR="000159A6">
        <w:t xml:space="preserve"> </w:t>
      </w:r>
      <w:r w:rsidR="00436177" w:rsidRPr="00436177">
        <w:t>prevention</w:t>
      </w:r>
      <w:r w:rsidR="000159A6">
        <w:t xml:space="preserve"> </w:t>
      </w:r>
      <w:r w:rsidR="00436177" w:rsidRPr="00436177">
        <w:t>of</w:t>
      </w:r>
      <w:r w:rsidR="000159A6">
        <w:t xml:space="preserve"> </w:t>
      </w:r>
      <w:r w:rsidR="00436177" w:rsidRPr="00436177">
        <w:t>HZ</w:t>
      </w:r>
      <w:r w:rsidR="000159A6">
        <w:t xml:space="preserve"> </w:t>
      </w:r>
      <w:r w:rsidR="00436177" w:rsidRPr="00436177">
        <w:t>and</w:t>
      </w:r>
      <w:r w:rsidR="000159A6">
        <w:t xml:space="preserve"> </w:t>
      </w:r>
      <w:r w:rsidR="00436177" w:rsidRPr="00436177">
        <w:t>related</w:t>
      </w:r>
      <w:r w:rsidR="000159A6">
        <w:t xml:space="preserve"> </w:t>
      </w:r>
      <w:r w:rsidR="00436177" w:rsidRPr="00436177">
        <w:t>co</w:t>
      </w:r>
      <w:r w:rsidR="00A979D2">
        <w:t>mplications</w:t>
      </w:r>
      <w:r w:rsidR="000159A6">
        <w:t xml:space="preserve"> </w:t>
      </w:r>
      <w:r w:rsidR="00A979D2">
        <w:t>for</w:t>
      </w:r>
      <w:r w:rsidR="000159A6">
        <w:t xml:space="preserve"> </w:t>
      </w:r>
      <w:r w:rsidR="00A979D2">
        <w:t>immunocompetent</w:t>
      </w:r>
      <w:r w:rsidR="000159A6">
        <w:t xml:space="preserve"> </w:t>
      </w:r>
      <w:r w:rsidR="00436177" w:rsidRPr="00436177">
        <w:t>adults</w:t>
      </w:r>
      <w:r w:rsidR="000159A6">
        <w:t xml:space="preserve"> </w:t>
      </w:r>
      <w:r w:rsidR="00436177" w:rsidRPr="00436177">
        <w:t>who</w:t>
      </w:r>
      <w:r w:rsidR="000159A6">
        <w:t xml:space="preserve"> </w:t>
      </w:r>
      <w:r w:rsidR="00436177" w:rsidRPr="00436177">
        <w:t>previously</w:t>
      </w:r>
      <w:r w:rsidR="000159A6">
        <w:t xml:space="preserve"> </w:t>
      </w:r>
      <w:r w:rsidR="00436177" w:rsidRPr="00436177">
        <w:t>received</w:t>
      </w:r>
      <w:r w:rsidR="000159A6">
        <w:t xml:space="preserve"> </w:t>
      </w:r>
      <w:r w:rsidR="00436177" w:rsidRPr="00436177">
        <w:t>Zostavax</w:t>
      </w:r>
    </w:p>
    <w:p w14:paraId="639A2267" w14:textId="30180B30" w:rsidR="00436177" w:rsidRPr="00436177" w:rsidRDefault="00FF12AA" w:rsidP="00A979D2">
      <w:pPr>
        <w:pStyle w:val="ListBullet"/>
      </w:pPr>
      <w:r>
        <w:t>Shingrix</w:t>
      </w:r>
      <w:r w:rsidR="000159A6">
        <w:t xml:space="preserve"> </w:t>
      </w:r>
      <w:r w:rsidR="00436177" w:rsidRPr="00436177">
        <w:t>is</w:t>
      </w:r>
      <w:r w:rsidR="000159A6">
        <w:t xml:space="preserve"> </w:t>
      </w:r>
      <w:r w:rsidR="00436177" w:rsidRPr="00436177">
        <w:t>preferred</w:t>
      </w:r>
      <w:r w:rsidR="000159A6">
        <w:t xml:space="preserve"> </w:t>
      </w:r>
      <w:r w:rsidR="00436177" w:rsidRPr="00436177">
        <w:t>over</w:t>
      </w:r>
      <w:r w:rsidR="000159A6">
        <w:t xml:space="preserve"> </w:t>
      </w:r>
      <w:r w:rsidR="00436177" w:rsidRPr="00436177">
        <w:t>Zostavax</w:t>
      </w:r>
      <w:r w:rsidR="000159A6">
        <w:t xml:space="preserve"> </w:t>
      </w:r>
      <w:r w:rsidR="00436177" w:rsidRPr="00436177">
        <w:t>for</w:t>
      </w:r>
      <w:r w:rsidR="000159A6">
        <w:t xml:space="preserve"> </w:t>
      </w:r>
      <w:r w:rsidR="00436177" w:rsidRPr="00436177">
        <w:t>prevention</w:t>
      </w:r>
      <w:r w:rsidR="000159A6">
        <w:t xml:space="preserve"> </w:t>
      </w:r>
      <w:r w:rsidR="00436177" w:rsidRPr="00436177">
        <w:t>of</w:t>
      </w:r>
      <w:r w:rsidR="000159A6">
        <w:t xml:space="preserve"> </w:t>
      </w:r>
      <w:r w:rsidR="00436177" w:rsidRPr="00436177">
        <w:t>HZ</w:t>
      </w:r>
      <w:r w:rsidR="000159A6">
        <w:t xml:space="preserve"> </w:t>
      </w:r>
      <w:r w:rsidR="00436177" w:rsidRPr="00436177">
        <w:t>and</w:t>
      </w:r>
      <w:r w:rsidR="000159A6">
        <w:t xml:space="preserve"> </w:t>
      </w:r>
      <w:r w:rsidR="00436177" w:rsidRPr="00436177">
        <w:t>related</w:t>
      </w:r>
      <w:r w:rsidR="000159A6">
        <w:t xml:space="preserve"> </w:t>
      </w:r>
      <w:r w:rsidR="00436177" w:rsidRPr="00436177">
        <w:t>complications</w:t>
      </w:r>
      <w:r w:rsidR="005B2FA5">
        <w:t>.</w:t>
      </w:r>
    </w:p>
    <w:p w14:paraId="676EC3BC" w14:textId="7C478332" w:rsidR="00436177" w:rsidRPr="00436177" w:rsidRDefault="00436177" w:rsidP="00436177">
      <w:r w:rsidRPr="00436177">
        <w:t>The</w:t>
      </w:r>
      <w:r w:rsidR="000159A6">
        <w:t xml:space="preserve"> </w:t>
      </w:r>
      <w:r w:rsidRPr="00436177">
        <w:t>TGA</w:t>
      </w:r>
      <w:r w:rsidR="000159A6">
        <w:t xml:space="preserve"> </w:t>
      </w:r>
      <w:r w:rsidRPr="00436177">
        <w:t>Delegate</w:t>
      </w:r>
      <w:r w:rsidR="000159A6">
        <w:t xml:space="preserve"> </w:t>
      </w:r>
      <w:r w:rsidRPr="00436177">
        <w:t>also</w:t>
      </w:r>
      <w:r w:rsidR="000159A6">
        <w:t xml:space="preserve"> </w:t>
      </w:r>
      <w:r w:rsidRPr="00436177">
        <w:t>highlighted</w:t>
      </w:r>
      <w:r w:rsidR="000159A6">
        <w:t xml:space="preserve"> </w:t>
      </w:r>
      <w:r w:rsidR="00733CE8">
        <w:t>‘</w:t>
      </w:r>
      <w:r w:rsidRPr="00436177">
        <w:t>The</w:t>
      </w:r>
      <w:r w:rsidR="000159A6">
        <w:t xml:space="preserve"> </w:t>
      </w:r>
      <w:r w:rsidRPr="00436177">
        <w:t>currently</w:t>
      </w:r>
      <w:r w:rsidR="000159A6">
        <w:t xml:space="preserve"> </w:t>
      </w:r>
      <w:r w:rsidRPr="00436177">
        <w:t>available</w:t>
      </w:r>
      <w:r w:rsidR="000159A6">
        <w:t xml:space="preserve"> </w:t>
      </w:r>
      <w:r w:rsidRPr="00436177">
        <w:t>zoster</w:t>
      </w:r>
      <w:r w:rsidR="000159A6">
        <w:t xml:space="preserve"> </w:t>
      </w:r>
      <w:r w:rsidRPr="00436177">
        <w:t>vaccine,</w:t>
      </w:r>
      <w:r w:rsidR="000159A6">
        <w:t xml:space="preserve"> </w:t>
      </w:r>
      <w:r w:rsidRPr="00436177">
        <w:t>Zostavax</w:t>
      </w:r>
      <w:r w:rsidR="00A979D2">
        <w:t>,</w:t>
      </w:r>
      <w:r w:rsidR="000159A6">
        <w:t xml:space="preserve"> </w:t>
      </w:r>
      <w:r w:rsidR="00A979D2">
        <w:t>has</w:t>
      </w:r>
      <w:r w:rsidR="000159A6">
        <w:t xml:space="preserve"> </w:t>
      </w:r>
      <w:r w:rsidR="00A979D2">
        <w:t>a</w:t>
      </w:r>
      <w:r w:rsidR="000159A6">
        <w:t xml:space="preserve"> </w:t>
      </w:r>
      <w:r w:rsidR="00A979D2">
        <w:t>lower</w:t>
      </w:r>
      <w:r w:rsidR="000159A6">
        <w:t xml:space="preserve"> </w:t>
      </w:r>
      <w:r w:rsidRPr="00436177">
        <w:t>reported</w:t>
      </w:r>
      <w:r w:rsidR="000159A6">
        <w:t xml:space="preserve"> </w:t>
      </w:r>
      <w:r w:rsidRPr="00436177">
        <w:t>efficacy</w:t>
      </w:r>
      <w:r w:rsidR="000159A6">
        <w:t xml:space="preserve"> </w:t>
      </w:r>
      <w:r w:rsidRPr="00436177">
        <w:t>particularly</w:t>
      </w:r>
      <w:r w:rsidR="000159A6">
        <w:t xml:space="preserve"> </w:t>
      </w:r>
      <w:r w:rsidRPr="00436177">
        <w:t>in</w:t>
      </w:r>
      <w:r w:rsidR="000159A6">
        <w:t xml:space="preserve"> </w:t>
      </w:r>
      <w:r w:rsidRPr="00436177">
        <w:t>those</w:t>
      </w:r>
      <w:r w:rsidR="000159A6">
        <w:t xml:space="preserve"> </w:t>
      </w:r>
      <w:r w:rsidRPr="00436177">
        <w:t>aged</w:t>
      </w:r>
      <w:r w:rsidR="000159A6">
        <w:t xml:space="preserve"> </w:t>
      </w:r>
      <w:r w:rsidR="0037169B">
        <w:t>≥</w:t>
      </w:r>
      <w:r w:rsidR="000159A6">
        <w:t xml:space="preserve"> </w:t>
      </w:r>
      <w:r w:rsidRPr="00436177">
        <w:t>70</w:t>
      </w:r>
      <w:r w:rsidR="000159A6">
        <w:t xml:space="preserve"> </w:t>
      </w:r>
      <w:r w:rsidRPr="00436177">
        <w:t>years.</w:t>
      </w:r>
      <w:r w:rsidR="000159A6">
        <w:t xml:space="preserve"> </w:t>
      </w:r>
      <w:r w:rsidRPr="00436177">
        <w:t>While</w:t>
      </w:r>
      <w:r w:rsidR="000159A6">
        <w:t xml:space="preserve"> </w:t>
      </w:r>
      <w:r w:rsidRPr="00436177">
        <w:t>there</w:t>
      </w:r>
      <w:r w:rsidR="000159A6">
        <w:t xml:space="preserve"> </w:t>
      </w:r>
      <w:r w:rsidRPr="00436177">
        <w:t>are</w:t>
      </w:r>
      <w:r w:rsidR="000159A6">
        <w:t xml:space="preserve"> </w:t>
      </w:r>
      <w:r w:rsidRPr="00436177">
        <w:t>n</w:t>
      </w:r>
      <w:r w:rsidR="00A979D2">
        <w:t>o</w:t>
      </w:r>
      <w:r w:rsidR="000159A6">
        <w:t xml:space="preserve"> </w:t>
      </w:r>
      <w:r w:rsidR="00A979D2">
        <w:t>head-to-head</w:t>
      </w:r>
      <w:r w:rsidR="000159A6">
        <w:t xml:space="preserve"> </w:t>
      </w:r>
      <w:r w:rsidR="00A979D2">
        <w:t>comparisons,</w:t>
      </w:r>
      <w:r w:rsidR="000159A6">
        <w:t xml:space="preserve"> </w:t>
      </w:r>
      <w:r w:rsidR="00A979D2">
        <w:t>the</w:t>
      </w:r>
      <w:r w:rsidR="000159A6">
        <w:t xml:space="preserve"> </w:t>
      </w:r>
      <w:r w:rsidRPr="00436177">
        <w:t>efficacy</w:t>
      </w:r>
      <w:r w:rsidR="000159A6">
        <w:t xml:space="preserve"> </w:t>
      </w:r>
      <w:r w:rsidRPr="00436177">
        <w:t>results</w:t>
      </w:r>
      <w:r w:rsidR="000159A6">
        <w:t xml:space="preserve"> </w:t>
      </w:r>
      <w:r w:rsidRPr="00436177">
        <w:t>in</w:t>
      </w:r>
      <w:r w:rsidR="000159A6">
        <w:t xml:space="preserve"> </w:t>
      </w:r>
      <w:r w:rsidRPr="00436177">
        <w:t>this</w:t>
      </w:r>
      <w:r w:rsidR="000159A6">
        <w:t xml:space="preserve"> </w:t>
      </w:r>
      <w:r w:rsidRPr="00436177">
        <w:t>dossier</w:t>
      </w:r>
      <w:r w:rsidR="000159A6">
        <w:t xml:space="preserve"> </w:t>
      </w:r>
      <w:r w:rsidRPr="00436177">
        <w:t>for</w:t>
      </w:r>
      <w:r w:rsidR="000159A6">
        <w:t xml:space="preserve"> </w:t>
      </w:r>
      <w:r w:rsidRPr="00436177">
        <w:t>Shingrix</w:t>
      </w:r>
      <w:r w:rsidR="000159A6">
        <w:t xml:space="preserve"> </w:t>
      </w:r>
      <w:r w:rsidRPr="00436177">
        <w:t>are</w:t>
      </w:r>
      <w:r w:rsidR="000159A6">
        <w:t xml:space="preserve"> </w:t>
      </w:r>
      <w:r w:rsidRPr="00436177">
        <w:t>compelling.</w:t>
      </w:r>
      <w:r w:rsidR="00733CE8">
        <w:t>’</w:t>
      </w:r>
    </w:p>
    <w:p w14:paraId="6291E36F" w14:textId="7DF67D54" w:rsidR="00436177" w:rsidRPr="00436177" w:rsidRDefault="00436177" w:rsidP="002E1097">
      <w:r w:rsidRPr="00436177">
        <w:t>In</w:t>
      </w:r>
      <w:r w:rsidR="000159A6">
        <w:t xml:space="preserve"> </w:t>
      </w:r>
      <w:r w:rsidRPr="00436177">
        <w:t>conclusion,</w:t>
      </w:r>
      <w:r w:rsidR="000159A6">
        <w:t xml:space="preserve"> </w:t>
      </w:r>
      <w:r w:rsidR="005B2FA5">
        <w:t>the</w:t>
      </w:r>
      <w:r w:rsidR="000159A6">
        <w:t xml:space="preserve"> </w:t>
      </w:r>
      <w:r w:rsidR="005B2FA5">
        <w:t>sponsor</w:t>
      </w:r>
      <w:r w:rsidR="000159A6">
        <w:t xml:space="preserve"> </w:t>
      </w:r>
      <w:r w:rsidRPr="00436177">
        <w:t>believe</w:t>
      </w:r>
      <w:r w:rsidR="005B2FA5">
        <w:t>s</w:t>
      </w:r>
      <w:r w:rsidR="000159A6">
        <w:t xml:space="preserve"> </w:t>
      </w:r>
      <w:r w:rsidRPr="00436177">
        <w:t>that</w:t>
      </w:r>
      <w:r w:rsidR="000159A6">
        <w:t xml:space="preserve"> </w:t>
      </w:r>
      <w:r w:rsidRPr="00436177">
        <w:t>the</w:t>
      </w:r>
      <w:r w:rsidR="000159A6">
        <w:t xml:space="preserve"> </w:t>
      </w:r>
      <w:r w:rsidRPr="00436177">
        <w:t>indication</w:t>
      </w:r>
      <w:r w:rsidR="000159A6">
        <w:t xml:space="preserve"> </w:t>
      </w:r>
      <w:r w:rsidRPr="00436177">
        <w:t>proposed</w:t>
      </w:r>
      <w:r w:rsidR="000159A6">
        <w:t xml:space="preserve"> </w:t>
      </w:r>
      <w:r w:rsidRPr="00436177">
        <w:t>by</w:t>
      </w:r>
      <w:r w:rsidR="000159A6">
        <w:t xml:space="preserve"> </w:t>
      </w:r>
      <w:r w:rsidRPr="00436177">
        <w:t>the</w:t>
      </w:r>
      <w:r w:rsidR="000159A6">
        <w:t xml:space="preserve"> </w:t>
      </w:r>
      <w:r w:rsidRPr="00436177">
        <w:t>Delegate</w:t>
      </w:r>
      <w:r w:rsidR="000159A6">
        <w:t xml:space="preserve"> </w:t>
      </w:r>
      <w:r w:rsidRPr="00436177">
        <w:t>may</w:t>
      </w:r>
      <w:r w:rsidR="000159A6">
        <w:t xml:space="preserve"> </w:t>
      </w:r>
      <w:r w:rsidRPr="00436177">
        <w:t>lead</w:t>
      </w:r>
      <w:r w:rsidR="000159A6">
        <w:t xml:space="preserve"> </w:t>
      </w:r>
      <w:r w:rsidRPr="00436177">
        <w:t>to</w:t>
      </w:r>
      <w:r w:rsidR="000159A6">
        <w:t xml:space="preserve"> </w:t>
      </w:r>
      <w:r w:rsidRPr="00436177">
        <w:t>ambi</w:t>
      </w:r>
      <w:r w:rsidR="00A979D2">
        <w:t>guity</w:t>
      </w:r>
      <w:r w:rsidR="000159A6">
        <w:t xml:space="preserve"> </w:t>
      </w:r>
      <w:r w:rsidR="00A979D2">
        <w:t>about</w:t>
      </w:r>
      <w:r w:rsidR="000159A6">
        <w:t xml:space="preserve"> </w:t>
      </w:r>
      <w:r w:rsidRPr="00436177">
        <w:t>HZ/</w:t>
      </w:r>
      <w:proofErr w:type="spellStart"/>
      <w:r w:rsidRPr="00436177">
        <w:t>su’s</w:t>
      </w:r>
      <w:proofErr w:type="spellEnd"/>
      <w:r w:rsidR="000159A6">
        <w:t xml:space="preserve"> </w:t>
      </w:r>
      <w:r w:rsidRPr="00436177">
        <w:t>ability</w:t>
      </w:r>
      <w:r w:rsidR="000159A6">
        <w:t xml:space="preserve"> </w:t>
      </w:r>
      <w:r w:rsidRPr="00436177">
        <w:t>to</w:t>
      </w:r>
      <w:r w:rsidR="000159A6">
        <w:t xml:space="preserve"> </w:t>
      </w:r>
      <w:r w:rsidRPr="00436177">
        <w:t>prevent</w:t>
      </w:r>
      <w:r w:rsidR="000159A6">
        <w:t xml:space="preserve"> </w:t>
      </w:r>
      <w:r w:rsidRPr="00436177">
        <w:t>PHN,</w:t>
      </w:r>
      <w:r w:rsidR="000159A6">
        <w:t xml:space="preserve"> </w:t>
      </w:r>
      <w:r w:rsidRPr="00436177">
        <w:t>and</w:t>
      </w:r>
      <w:r w:rsidR="000159A6">
        <w:t xml:space="preserve"> </w:t>
      </w:r>
      <w:r w:rsidRPr="00436177">
        <w:t>its</w:t>
      </w:r>
      <w:r w:rsidR="000159A6">
        <w:t xml:space="preserve"> </w:t>
      </w:r>
      <w:r w:rsidRPr="00436177">
        <w:t>possible</w:t>
      </w:r>
      <w:r w:rsidR="000159A6">
        <w:t xml:space="preserve"> </w:t>
      </w:r>
      <w:r w:rsidRPr="00436177">
        <w:t>public</w:t>
      </w:r>
      <w:r w:rsidR="000159A6">
        <w:t xml:space="preserve"> </w:t>
      </w:r>
      <w:r w:rsidRPr="00436177">
        <w:t>healt</w:t>
      </w:r>
      <w:r w:rsidR="00A979D2">
        <w:t>h</w:t>
      </w:r>
      <w:r w:rsidR="000159A6">
        <w:t xml:space="preserve"> </w:t>
      </w:r>
      <w:r w:rsidR="00A979D2">
        <w:t>impact</w:t>
      </w:r>
      <w:r w:rsidR="000159A6">
        <w:t xml:space="preserve"> </w:t>
      </w:r>
      <w:r w:rsidR="00A979D2">
        <w:t>and</w:t>
      </w:r>
      <w:r w:rsidR="000159A6">
        <w:t xml:space="preserve"> </w:t>
      </w:r>
      <w:r w:rsidR="00A979D2">
        <w:t>when</w:t>
      </w:r>
      <w:r w:rsidR="000159A6">
        <w:t xml:space="preserve"> </w:t>
      </w:r>
      <w:r w:rsidR="00A979D2">
        <w:t>compared,</w:t>
      </w:r>
      <w:r w:rsidR="000159A6">
        <w:t xml:space="preserve"> </w:t>
      </w:r>
      <w:r w:rsidR="00A979D2">
        <w:t>may</w:t>
      </w:r>
      <w:r w:rsidR="000159A6">
        <w:t xml:space="preserve"> </w:t>
      </w:r>
      <w:r w:rsidRPr="00436177">
        <w:t>unintentionally</w:t>
      </w:r>
      <w:r w:rsidR="000159A6">
        <w:t xml:space="preserve"> </w:t>
      </w:r>
      <w:r w:rsidRPr="00436177">
        <w:t>create</w:t>
      </w:r>
      <w:r w:rsidR="000159A6">
        <w:t xml:space="preserve"> </w:t>
      </w:r>
      <w:r w:rsidRPr="00436177">
        <w:t>the</w:t>
      </w:r>
      <w:r w:rsidR="000159A6">
        <w:t xml:space="preserve"> </w:t>
      </w:r>
      <w:r w:rsidRPr="00436177">
        <w:t>conclusion</w:t>
      </w:r>
      <w:r w:rsidR="000159A6">
        <w:t xml:space="preserve"> </w:t>
      </w:r>
      <w:r w:rsidRPr="00436177">
        <w:t>that</w:t>
      </w:r>
      <w:r w:rsidR="000159A6">
        <w:t xml:space="preserve"> </w:t>
      </w:r>
      <w:r w:rsidRPr="00436177">
        <w:t>Zostavax</w:t>
      </w:r>
      <w:r w:rsidR="000159A6">
        <w:t xml:space="preserve"> </w:t>
      </w:r>
      <w:r w:rsidRPr="00436177">
        <w:t>has</w:t>
      </w:r>
      <w:r w:rsidR="000159A6">
        <w:t xml:space="preserve"> </w:t>
      </w:r>
      <w:r w:rsidRPr="00436177">
        <w:t>additional</w:t>
      </w:r>
      <w:r w:rsidR="000159A6">
        <w:t xml:space="preserve"> </w:t>
      </w:r>
      <w:r w:rsidRPr="00436177">
        <w:t>fea</w:t>
      </w:r>
      <w:r w:rsidR="00A979D2">
        <w:t>tures,</w:t>
      </w:r>
      <w:r w:rsidR="000159A6">
        <w:t xml:space="preserve"> </w:t>
      </w:r>
      <w:r w:rsidR="00A979D2">
        <w:t>not</w:t>
      </w:r>
      <w:r w:rsidR="000159A6">
        <w:t xml:space="preserve"> </w:t>
      </w:r>
      <w:r w:rsidR="00A979D2">
        <w:t>present</w:t>
      </w:r>
      <w:r w:rsidR="000159A6">
        <w:t xml:space="preserve"> </w:t>
      </w:r>
      <w:r w:rsidR="00A979D2">
        <w:t>in</w:t>
      </w:r>
      <w:r w:rsidR="000159A6">
        <w:t xml:space="preserve"> </w:t>
      </w:r>
      <w:r w:rsidR="00A979D2">
        <w:t>HZ/</w:t>
      </w:r>
      <w:proofErr w:type="spellStart"/>
      <w:r w:rsidR="00A979D2">
        <w:t>su</w:t>
      </w:r>
      <w:proofErr w:type="spellEnd"/>
      <w:r w:rsidR="00A979D2">
        <w:t>,</w:t>
      </w:r>
      <w:r w:rsidR="000159A6">
        <w:t xml:space="preserve"> </w:t>
      </w:r>
      <w:r w:rsidR="00A979D2">
        <w:t>in</w:t>
      </w:r>
      <w:r w:rsidR="000159A6">
        <w:t xml:space="preserve"> </w:t>
      </w:r>
      <w:r w:rsidRPr="00436177">
        <w:t>preventing</w:t>
      </w:r>
      <w:r w:rsidR="000159A6">
        <w:t xml:space="preserve"> </w:t>
      </w:r>
      <w:r w:rsidRPr="00436177">
        <w:t>PHN.</w:t>
      </w:r>
      <w:r w:rsidR="000159A6">
        <w:t xml:space="preserve"> </w:t>
      </w:r>
      <w:r w:rsidR="005B2FA5">
        <w:t>The</w:t>
      </w:r>
      <w:r w:rsidR="000159A6">
        <w:t xml:space="preserve"> </w:t>
      </w:r>
      <w:r w:rsidR="005B2FA5">
        <w:t>sponsor</w:t>
      </w:r>
      <w:r w:rsidR="000159A6">
        <w:t xml:space="preserve"> </w:t>
      </w:r>
      <w:r w:rsidRPr="00436177">
        <w:t>propose</w:t>
      </w:r>
      <w:r w:rsidR="005B2FA5">
        <w:t>s</w:t>
      </w:r>
      <w:r w:rsidR="000159A6">
        <w:t xml:space="preserve"> </w:t>
      </w:r>
      <w:r w:rsidRPr="00436177">
        <w:t>to</w:t>
      </w:r>
      <w:r w:rsidR="000159A6">
        <w:t xml:space="preserve"> </w:t>
      </w:r>
      <w:r w:rsidRPr="00436177">
        <w:t>retain</w:t>
      </w:r>
      <w:r w:rsidR="000159A6">
        <w:t xml:space="preserve"> </w:t>
      </w:r>
      <w:r w:rsidRPr="00436177">
        <w:t>the</w:t>
      </w:r>
      <w:r w:rsidR="000159A6">
        <w:t xml:space="preserve"> </w:t>
      </w:r>
      <w:r w:rsidRPr="00436177">
        <w:t>indication</w:t>
      </w:r>
      <w:r w:rsidR="000159A6">
        <w:t xml:space="preserve"> </w:t>
      </w:r>
      <w:r w:rsidRPr="00436177">
        <w:t>statement</w:t>
      </w:r>
      <w:r w:rsidR="000159A6">
        <w:t xml:space="preserve"> </w:t>
      </w:r>
      <w:r w:rsidRPr="00436177">
        <w:t>agreed</w:t>
      </w:r>
      <w:r w:rsidR="000159A6">
        <w:t xml:space="preserve"> </w:t>
      </w:r>
      <w:r w:rsidRPr="00436177">
        <w:t>wi</w:t>
      </w:r>
      <w:r w:rsidR="00A979D2">
        <w:t>th</w:t>
      </w:r>
      <w:r w:rsidR="000159A6">
        <w:t xml:space="preserve"> </w:t>
      </w:r>
      <w:r w:rsidR="00A979D2">
        <w:t>the</w:t>
      </w:r>
      <w:r w:rsidR="000159A6">
        <w:t xml:space="preserve"> </w:t>
      </w:r>
      <w:r w:rsidR="005B2FA5">
        <w:t>clinical</w:t>
      </w:r>
      <w:r w:rsidR="000159A6">
        <w:t xml:space="preserve"> </w:t>
      </w:r>
      <w:r w:rsidR="005B2FA5">
        <w:t>evaluator</w:t>
      </w:r>
      <w:r w:rsidR="000159A6">
        <w:t xml:space="preserve"> </w:t>
      </w:r>
      <w:r w:rsidR="00A979D2">
        <w:t>as</w:t>
      </w:r>
      <w:r w:rsidR="000159A6">
        <w:t xml:space="preserve"> </w:t>
      </w:r>
      <w:r w:rsidR="00A979D2">
        <w:t>it</w:t>
      </w:r>
      <w:r w:rsidR="000159A6">
        <w:t xml:space="preserve"> </w:t>
      </w:r>
      <w:r w:rsidRPr="00436177">
        <w:t>presents</w:t>
      </w:r>
      <w:r w:rsidR="000159A6">
        <w:t xml:space="preserve"> </w:t>
      </w:r>
      <w:r w:rsidRPr="00436177">
        <w:t>a</w:t>
      </w:r>
      <w:r w:rsidR="000159A6">
        <w:t xml:space="preserve"> </w:t>
      </w:r>
      <w:r w:rsidRPr="00436177">
        <w:t>clear</w:t>
      </w:r>
      <w:r w:rsidR="000159A6">
        <w:t xml:space="preserve"> </w:t>
      </w:r>
      <w:r w:rsidRPr="00436177">
        <w:t>message</w:t>
      </w:r>
      <w:r w:rsidR="000159A6">
        <w:t xml:space="preserve"> </w:t>
      </w:r>
      <w:r w:rsidRPr="00436177">
        <w:t>to</w:t>
      </w:r>
      <w:r w:rsidR="000159A6">
        <w:t xml:space="preserve"> </w:t>
      </w:r>
      <w:r w:rsidRPr="00436177">
        <w:t>prescribers</w:t>
      </w:r>
      <w:r w:rsidR="000159A6">
        <w:t xml:space="preserve"> </w:t>
      </w:r>
      <w:r w:rsidRPr="00436177">
        <w:t>and</w:t>
      </w:r>
      <w:r w:rsidR="000159A6">
        <w:t xml:space="preserve"> </w:t>
      </w:r>
      <w:r w:rsidRPr="00436177">
        <w:t>patients</w:t>
      </w:r>
      <w:r w:rsidR="000159A6">
        <w:t xml:space="preserve"> </w:t>
      </w:r>
      <w:r w:rsidRPr="00436177">
        <w:t>that</w:t>
      </w:r>
      <w:r w:rsidR="000159A6">
        <w:t xml:space="preserve"> </w:t>
      </w:r>
      <w:r w:rsidRPr="00436177">
        <w:t>HZ/</w:t>
      </w:r>
      <w:proofErr w:type="spellStart"/>
      <w:r w:rsidRPr="00436177">
        <w:t>su</w:t>
      </w:r>
      <w:proofErr w:type="spellEnd"/>
      <w:r w:rsidR="000159A6">
        <w:t xml:space="preserve"> </w:t>
      </w:r>
      <w:r w:rsidRPr="00436177">
        <w:t>prevents</w:t>
      </w:r>
      <w:r w:rsidR="000159A6">
        <w:t xml:space="preserve"> </w:t>
      </w:r>
      <w:r w:rsidRPr="00436177">
        <w:t>both</w:t>
      </w:r>
      <w:r w:rsidR="000159A6">
        <w:t xml:space="preserve"> </w:t>
      </w:r>
      <w:r w:rsidRPr="00436177">
        <w:t>HZ</w:t>
      </w:r>
      <w:r w:rsidR="000159A6">
        <w:t xml:space="preserve"> </w:t>
      </w:r>
      <w:r w:rsidRPr="00436177">
        <w:t>and</w:t>
      </w:r>
      <w:r w:rsidR="000159A6">
        <w:t xml:space="preserve"> </w:t>
      </w:r>
      <w:r w:rsidRPr="00436177">
        <w:t>PHN.</w:t>
      </w:r>
    </w:p>
    <w:p w14:paraId="43D3B9D4" w14:textId="5C57B97B" w:rsidR="00A979D2" w:rsidRPr="00CF240D" w:rsidRDefault="00A979D2" w:rsidP="00CF240D">
      <w:pPr>
        <w:pStyle w:val="Numberbullet0"/>
        <w:rPr>
          <w:i/>
        </w:rPr>
      </w:pPr>
      <w:r w:rsidRPr="00CF240D">
        <w:rPr>
          <w:i/>
        </w:rPr>
        <w:t>Does</w:t>
      </w:r>
      <w:r w:rsidR="000159A6" w:rsidRPr="00CF240D">
        <w:rPr>
          <w:i/>
        </w:rPr>
        <w:t xml:space="preserve"> </w:t>
      </w:r>
      <w:r w:rsidR="0038311D" w:rsidRPr="00CF240D">
        <w:rPr>
          <w:i/>
        </w:rPr>
        <w:t>the</w:t>
      </w:r>
      <w:r w:rsidR="000159A6" w:rsidRPr="00CF240D">
        <w:rPr>
          <w:i/>
        </w:rPr>
        <w:t xml:space="preserve"> </w:t>
      </w:r>
      <w:r w:rsidRPr="00CF240D">
        <w:rPr>
          <w:i/>
        </w:rPr>
        <w:t>ACV</w:t>
      </w:r>
      <w:r w:rsidR="000159A6" w:rsidRPr="00CF240D">
        <w:rPr>
          <w:i/>
        </w:rPr>
        <w:t xml:space="preserve"> </w:t>
      </w:r>
      <w:r w:rsidRPr="00CF240D">
        <w:rPr>
          <w:i/>
        </w:rPr>
        <w:t>consider</w:t>
      </w:r>
      <w:r w:rsidR="000159A6" w:rsidRPr="00CF240D">
        <w:rPr>
          <w:i/>
        </w:rPr>
        <w:t xml:space="preserve"> </w:t>
      </w:r>
      <w:r w:rsidRPr="00CF240D">
        <w:rPr>
          <w:i/>
        </w:rPr>
        <w:t>that</w:t>
      </w:r>
      <w:r w:rsidR="000159A6" w:rsidRPr="00CF240D">
        <w:rPr>
          <w:i/>
        </w:rPr>
        <w:t xml:space="preserve"> </w:t>
      </w:r>
      <w:r w:rsidRPr="00CF240D">
        <w:rPr>
          <w:i/>
        </w:rPr>
        <w:t>the</w:t>
      </w:r>
      <w:r w:rsidR="000159A6" w:rsidRPr="00CF240D">
        <w:rPr>
          <w:i/>
        </w:rPr>
        <w:t xml:space="preserve"> </w:t>
      </w:r>
      <w:r w:rsidRPr="00CF240D">
        <w:rPr>
          <w:i/>
        </w:rPr>
        <w:t>proposed</w:t>
      </w:r>
      <w:r w:rsidR="000159A6" w:rsidRPr="00CF240D">
        <w:rPr>
          <w:i/>
        </w:rPr>
        <w:t xml:space="preserve"> </w:t>
      </w:r>
      <w:r w:rsidRPr="00CF240D">
        <w:rPr>
          <w:i/>
        </w:rPr>
        <w:t>dose</w:t>
      </w:r>
      <w:r w:rsidR="000159A6" w:rsidRPr="00CF240D">
        <w:rPr>
          <w:i/>
        </w:rPr>
        <w:t xml:space="preserve"> </w:t>
      </w:r>
      <w:r w:rsidRPr="00CF240D">
        <w:rPr>
          <w:i/>
        </w:rPr>
        <w:t>interval</w:t>
      </w:r>
      <w:r w:rsidR="000159A6" w:rsidRPr="00CF240D">
        <w:rPr>
          <w:i/>
        </w:rPr>
        <w:t xml:space="preserve"> </w:t>
      </w:r>
      <w:r w:rsidRPr="00CF240D">
        <w:rPr>
          <w:i/>
        </w:rPr>
        <w:t>of</w:t>
      </w:r>
      <w:r w:rsidR="000159A6" w:rsidRPr="00CF240D">
        <w:rPr>
          <w:i/>
        </w:rPr>
        <w:t xml:space="preserve"> </w:t>
      </w:r>
      <w:r w:rsidR="00733CE8" w:rsidRPr="00CF240D">
        <w:rPr>
          <w:i/>
        </w:rPr>
        <w:t>‘</w:t>
      </w:r>
      <w:r w:rsidRPr="00CF240D">
        <w:rPr>
          <w:i/>
        </w:rPr>
        <w:t>an</w:t>
      </w:r>
      <w:r w:rsidR="000159A6" w:rsidRPr="00CF240D">
        <w:rPr>
          <w:i/>
        </w:rPr>
        <w:t xml:space="preserve"> </w:t>
      </w:r>
      <w:r w:rsidRPr="00CF240D">
        <w:rPr>
          <w:i/>
        </w:rPr>
        <w:t>initial</w:t>
      </w:r>
      <w:r w:rsidR="000159A6" w:rsidRPr="00CF240D">
        <w:rPr>
          <w:i/>
        </w:rPr>
        <w:t xml:space="preserve"> </w:t>
      </w:r>
      <w:r w:rsidRPr="00CF240D">
        <w:rPr>
          <w:i/>
        </w:rPr>
        <w:t>dose</w:t>
      </w:r>
      <w:r w:rsidR="000159A6" w:rsidRPr="00CF240D">
        <w:rPr>
          <w:i/>
        </w:rPr>
        <w:t xml:space="preserve"> </w:t>
      </w:r>
      <w:r w:rsidRPr="00CF240D">
        <w:rPr>
          <w:i/>
        </w:rPr>
        <w:t>followed</w:t>
      </w:r>
      <w:r w:rsidR="000159A6" w:rsidRPr="00CF240D">
        <w:rPr>
          <w:i/>
        </w:rPr>
        <w:t xml:space="preserve"> </w:t>
      </w:r>
      <w:r w:rsidRPr="00CF240D">
        <w:rPr>
          <w:i/>
        </w:rPr>
        <w:t>by</w:t>
      </w:r>
      <w:r w:rsidR="000159A6" w:rsidRPr="00CF240D">
        <w:rPr>
          <w:i/>
        </w:rPr>
        <w:t xml:space="preserve"> </w:t>
      </w:r>
      <w:r w:rsidRPr="00CF240D">
        <w:rPr>
          <w:i/>
        </w:rPr>
        <w:t>a</w:t>
      </w:r>
      <w:r w:rsidR="000159A6" w:rsidRPr="00CF240D">
        <w:rPr>
          <w:i/>
        </w:rPr>
        <w:t xml:space="preserve"> </w:t>
      </w:r>
      <w:r w:rsidRPr="00CF240D">
        <w:rPr>
          <w:i/>
        </w:rPr>
        <w:t>second</w:t>
      </w:r>
      <w:r w:rsidR="000159A6" w:rsidRPr="00CF240D">
        <w:rPr>
          <w:i/>
        </w:rPr>
        <w:t xml:space="preserve"> </w:t>
      </w:r>
      <w:r w:rsidRPr="00CF240D">
        <w:rPr>
          <w:i/>
        </w:rPr>
        <w:t>dose</w:t>
      </w:r>
      <w:r w:rsidR="000159A6" w:rsidRPr="00CF240D">
        <w:rPr>
          <w:i/>
        </w:rPr>
        <w:t xml:space="preserve"> </w:t>
      </w:r>
      <w:r w:rsidRPr="00CF240D">
        <w:rPr>
          <w:i/>
        </w:rPr>
        <w:t>2</w:t>
      </w:r>
      <w:r w:rsidR="000159A6" w:rsidRPr="00CF240D">
        <w:rPr>
          <w:i/>
        </w:rPr>
        <w:t xml:space="preserve"> </w:t>
      </w:r>
      <w:r w:rsidRPr="00CF240D">
        <w:rPr>
          <w:i/>
        </w:rPr>
        <w:t>to</w:t>
      </w:r>
      <w:r w:rsidR="000159A6" w:rsidRPr="00CF240D">
        <w:rPr>
          <w:i/>
        </w:rPr>
        <w:t xml:space="preserve"> </w:t>
      </w:r>
      <w:r w:rsidRPr="00CF240D">
        <w:rPr>
          <w:i/>
        </w:rPr>
        <w:t>6</w:t>
      </w:r>
      <w:r w:rsidR="000159A6" w:rsidRPr="00CF240D">
        <w:rPr>
          <w:i/>
        </w:rPr>
        <w:t xml:space="preserve"> </w:t>
      </w:r>
      <w:r w:rsidRPr="00CF240D">
        <w:rPr>
          <w:i/>
        </w:rPr>
        <w:t>months</w:t>
      </w:r>
      <w:r w:rsidR="000159A6" w:rsidRPr="00CF240D">
        <w:rPr>
          <w:i/>
        </w:rPr>
        <w:t xml:space="preserve"> </w:t>
      </w:r>
      <w:r w:rsidRPr="00CF240D">
        <w:rPr>
          <w:i/>
        </w:rPr>
        <w:t>later</w:t>
      </w:r>
      <w:r w:rsidR="00733CE8" w:rsidRPr="00CF240D">
        <w:rPr>
          <w:i/>
        </w:rPr>
        <w:t>’</w:t>
      </w:r>
      <w:r w:rsidR="000159A6" w:rsidRPr="00CF240D">
        <w:rPr>
          <w:i/>
        </w:rPr>
        <w:t xml:space="preserve"> </w:t>
      </w:r>
      <w:r w:rsidRPr="00CF240D">
        <w:rPr>
          <w:i/>
        </w:rPr>
        <w:t>is</w:t>
      </w:r>
      <w:r w:rsidR="000159A6" w:rsidRPr="00CF240D">
        <w:rPr>
          <w:i/>
        </w:rPr>
        <w:t xml:space="preserve"> </w:t>
      </w:r>
      <w:r w:rsidRPr="00CF240D">
        <w:rPr>
          <w:i/>
        </w:rPr>
        <w:t>acceptable?</w:t>
      </w:r>
    </w:p>
    <w:p w14:paraId="6321BCC8" w14:textId="037EFDD4" w:rsidR="00A979D2" w:rsidRPr="00A979D2" w:rsidRDefault="005B2FA5" w:rsidP="00A979D2">
      <w:r>
        <w:t>The</w:t>
      </w:r>
      <w:r w:rsidR="000159A6">
        <w:t xml:space="preserve"> </w:t>
      </w:r>
      <w:r>
        <w:t>sponsor</w:t>
      </w:r>
      <w:r w:rsidR="000159A6">
        <w:t xml:space="preserve"> </w:t>
      </w:r>
      <w:r w:rsidR="00A979D2" w:rsidRPr="00A979D2">
        <w:t>support</w:t>
      </w:r>
      <w:r>
        <w:t>s</w:t>
      </w:r>
      <w:r w:rsidR="000159A6">
        <w:t xml:space="preserve"> </w:t>
      </w:r>
      <w:r w:rsidR="00A979D2" w:rsidRPr="00A979D2">
        <w:t>retaining</w:t>
      </w:r>
      <w:r w:rsidR="000159A6">
        <w:t xml:space="preserve"> </w:t>
      </w:r>
      <w:r w:rsidR="00A979D2" w:rsidRPr="00A979D2">
        <w:t>the</w:t>
      </w:r>
      <w:r w:rsidR="000159A6">
        <w:t xml:space="preserve"> </w:t>
      </w:r>
      <w:r w:rsidR="00A979D2" w:rsidRPr="00A979D2">
        <w:t>flexibility</w:t>
      </w:r>
      <w:r w:rsidR="000159A6">
        <w:t xml:space="preserve"> </w:t>
      </w:r>
      <w:r w:rsidR="00A979D2" w:rsidRPr="00A979D2">
        <w:t>of</w:t>
      </w:r>
      <w:r w:rsidR="000159A6">
        <w:t xml:space="preserve"> </w:t>
      </w:r>
      <w:r w:rsidR="00A979D2" w:rsidRPr="00A979D2">
        <w:t>receiving</w:t>
      </w:r>
      <w:r w:rsidR="000159A6">
        <w:t xml:space="preserve"> </w:t>
      </w:r>
      <w:r w:rsidR="00A979D2" w:rsidRPr="00A979D2">
        <w:t>the</w:t>
      </w:r>
      <w:r w:rsidR="000159A6">
        <w:t xml:space="preserve"> </w:t>
      </w:r>
      <w:r w:rsidR="00A979D2" w:rsidRPr="00A979D2">
        <w:t>second</w:t>
      </w:r>
      <w:r w:rsidR="000159A6">
        <w:t xml:space="preserve"> </w:t>
      </w:r>
      <w:r w:rsidR="00A979D2" w:rsidRPr="00A979D2">
        <w:t>dose</w:t>
      </w:r>
      <w:r w:rsidR="000159A6">
        <w:t xml:space="preserve"> </w:t>
      </w:r>
      <w:r w:rsidR="00A979D2" w:rsidRPr="00A979D2">
        <w:t>of</w:t>
      </w:r>
      <w:r w:rsidR="000159A6">
        <w:t xml:space="preserve"> </w:t>
      </w:r>
      <w:r w:rsidR="00A979D2" w:rsidRPr="00A979D2">
        <w:t>Shingr</w:t>
      </w:r>
      <w:r w:rsidR="00A979D2">
        <w:t>ix</w:t>
      </w:r>
      <w:r w:rsidR="000159A6">
        <w:t xml:space="preserve"> </w:t>
      </w:r>
      <w:r w:rsidR="00A979D2">
        <w:t>between</w:t>
      </w:r>
      <w:r w:rsidR="000159A6">
        <w:t xml:space="preserve"> </w:t>
      </w:r>
      <w:r w:rsidR="00A979D2">
        <w:t>2</w:t>
      </w:r>
      <w:r w:rsidR="000159A6">
        <w:t xml:space="preserve"> </w:t>
      </w:r>
      <w:r w:rsidR="00A979D2">
        <w:t>and</w:t>
      </w:r>
      <w:r w:rsidR="000159A6">
        <w:t xml:space="preserve"> </w:t>
      </w:r>
      <w:r w:rsidR="00A979D2">
        <w:t>6</w:t>
      </w:r>
      <w:r w:rsidR="000159A6">
        <w:t xml:space="preserve"> </w:t>
      </w:r>
      <w:r w:rsidR="00A979D2">
        <w:t>months</w:t>
      </w:r>
      <w:r w:rsidR="000159A6">
        <w:t xml:space="preserve"> </w:t>
      </w:r>
      <w:r w:rsidR="00A979D2">
        <w:t>after</w:t>
      </w:r>
      <w:r w:rsidR="000159A6">
        <w:t xml:space="preserve"> </w:t>
      </w:r>
      <w:r w:rsidR="00A979D2" w:rsidRPr="00A979D2">
        <w:t>the</w:t>
      </w:r>
      <w:r w:rsidR="000159A6">
        <w:t xml:space="preserve"> </w:t>
      </w:r>
      <w:r w:rsidR="00A979D2" w:rsidRPr="00A979D2">
        <w:t>initial</w:t>
      </w:r>
      <w:r w:rsidR="000159A6">
        <w:t xml:space="preserve"> </w:t>
      </w:r>
      <w:r w:rsidR="00A979D2" w:rsidRPr="00A979D2">
        <w:t>dose.</w:t>
      </w:r>
      <w:r w:rsidR="000159A6">
        <w:t xml:space="preserve"> </w:t>
      </w:r>
      <w:r w:rsidR="00A979D2" w:rsidRPr="00A979D2">
        <w:t>Flexibility</w:t>
      </w:r>
      <w:r w:rsidR="000159A6">
        <w:t xml:space="preserve"> </w:t>
      </w:r>
      <w:r w:rsidR="00A979D2" w:rsidRPr="00A979D2">
        <w:t>of</w:t>
      </w:r>
      <w:r w:rsidR="000159A6">
        <w:t xml:space="preserve"> </w:t>
      </w:r>
      <w:r w:rsidR="00A979D2" w:rsidRPr="00A979D2">
        <w:t>the</w:t>
      </w:r>
      <w:r w:rsidR="000159A6">
        <w:t xml:space="preserve"> </w:t>
      </w:r>
      <w:r w:rsidR="00A979D2" w:rsidRPr="00A979D2">
        <w:t>HZ/</w:t>
      </w:r>
      <w:proofErr w:type="spellStart"/>
      <w:r w:rsidR="00A979D2" w:rsidRPr="00A979D2">
        <w:t>su</w:t>
      </w:r>
      <w:proofErr w:type="spellEnd"/>
      <w:r w:rsidR="000159A6">
        <w:t xml:space="preserve"> </w:t>
      </w:r>
      <w:r w:rsidR="00A979D2" w:rsidRPr="00A979D2">
        <w:t>dosing</w:t>
      </w:r>
      <w:r w:rsidR="000159A6">
        <w:t xml:space="preserve"> </w:t>
      </w:r>
      <w:r w:rsidR="00A979D2" w:rsidRPr="00A979D2">
        <w:t>schedule</w:t>
      </w:r>
      <w:r w:rsidR="000159A6">
        <w:t xml:space="preserve"> </w:t>
      </w:r>
      <w:r w:rsidR="00A979D2" w:rsidRPr="00A979D2">
        <w:t>is</w:t>
      </w:r>
      <w:r w:rsidR="000159A6">
        <w:t xml:space="preserve"> </w:t>
      </w:r>
      <w:r w:rsidR="00A979D2" w:rsidRPr="00A979D2">
        <w:t>considered</w:t>
      </w:r>
      <w:r w:rsidR="000159A6">
        <w:t xml:space="preserve"> </w:t>
      </w:r>
      <w:r w:rsidR="00A979D2">
        <w:t>important</w:t>
      </w:r>
      <w:r w:rsidR="000159A6">
        <w:t xml:space="preserve"> </w:t>
      </w:r>
      <w:r w:rsidR="00A979D2">
        <w:t>from</w:t>
      </w:r>
      <w:r w:rsidR="000159A6">
        <w:t xml:space="preserve"> </w:t>
      </w:r>
      <w:r w:rsidR="00A979D2">
        <w:t>a</w:t>
      </w:r>
      <w:r w:rsidR="000159A6">
        <w:t xml:space="preserve"> </w:t>
      </w:r>
      <w:r w:rsidR="00A979D2">
        <w:t>public</w:t>
      </w:r>
      <w:r w:rsidR="000159A6">
        <w:t xml:space="preserve"> </w:t>
      </w:r>
      <w:r w:rsidR="00A979D2">
        <w:t>health</w:t>
      </w:r>
      <w:r w:rsidR="000159A6">
        <w:t xml:space="preserve"> </w:t>
      </w:r>
      <w:r w:rsidR="00A979D2" w:rsidRPr="00A979D2">
        <w:t>perspective;</w:t>
      </w:r>
      <w:r w:rsidR="000159A6">
        <w:t xml:space="preserve"> </w:t>
      </w:r>
      <w:r w:rsidR="00A979D2" w:rsidRPr="00A979D2">
        <w:t>a</w:t>
      </w:r>
      <w:r w:rsidR="000159A6">
        <w:t xml:space="preserve"> </w:t>
      </w:r>
      <w:r w:rsidR="00A979D2" w:rsidRPr="00A979D2">
        <w:t>flexible</w:t>
      </w:r>
      <w:r w:rsidR="000159A6">
        <w:t xml:space="preserve"> </w:t>
      </w:r>
      <w:r w:rsidR="00A979D2" w:rsidRPr="00A979D2">
        <w:t>administration</w:t>
      </w:r>
      <w:r w:rsidR="000159A6">
        <w:t xml:space="preserve"> </w:t>
      </w:r>
      <w:r w:rsidR="00A979D2" w:rsidRPr="00A979D2">
        <w:t>timeframe</w:t>
      </w:r>
      <w:r w:rsidR="000159A6">
        <w:t xml:space="preserve"> </w:t>
      </w:r>
      <w:r w:rsidR="00A979D2" w:rsidRPr="00A979D2">
        <w:t>for</w:t>
      </w:r>
      <w:r w:rsidR="000159A6">
        <w:t xml:space="preserve"> </w:t>
      </w:r>
      <w:r w:rsidR="00A979D2" w:rsidRPr="00A979D2">
        <w:t>the</w:t>
      </w:r>
      <w:r w:rsidR="000159A6">
        <w:t xml:space="preserve"> </w:t>
      </w:r>
      <w:r w:rsidR="00733CE8">
        <w:t>second</w:t>
      </w:r>
      <w:r w:rsidR="000159A6">
        <w:t xml:space="preserve"> </w:t>
      </w:r>
      <w:r w:rsidR="00A979D2" w:rsidRPr="00A979D2">
        <w:t>dose</w:t>
      </w:r>
      <w:r w:rsidR="000159A6">
        <w:t xml:space="preserve"> </w:t>
      </w:r>
      <w:r w:rsidR="00A979D2" w:rsidRPr="00A979D2">
        <w:t>i</w:t>
      </w:r>
      <w:r w:rsidR="00A979D2">
        <w:t>s</w:t>
      </w:r>
      <w:r w:rsidR="000159A6">
        <w:t xml:space="preserve"> </w:t>
      </w:r>
      <w:r w:rsidR="00A979D2">
        <w:t>expected</w:t>
      </w:r>
      <w:r w:rsidR="000159A6">
        <w:t xml:space="preserve"> </w:t>
      </w:r>
      <w:r w:rsidR="00A979D2">
        <w:t>to</w:t>
      </w:r>
      <w:r w:rsidR="000159A6">
        <w:t xml:space="preserve"> </w:t>
      </w:r>
      <w:r w:rsidR="00A979D2">
        <w:t>positively</w:t>
      </w:r>
      <w:r w:rsidR="000159A6">
        <w:t xml:space="preserve"> </w:t>
      </w:r>
      <w:r w:rsidR="00A979D2">
        <w:t>impact</w:t>
      </w:r>
      <w:r w:rsidR="000159A6">
        <w:t xml:space="preserve"> </w:t>
      </w:r>
      <w:r w:rsidR="00A979D2" w:rsidRPr="00A979D2">
        <w:t>compliance</w:t>
      </w:r>
      <w:r w:rsidR="000159A6">
        <w:t xml:space="preserve"> </w:t>
      </w:r>
      <w:r w:rsidR="00A979D2" w:rsidRPr="00A979D2">
        <w:t>with</w:t>
      </w:r>
      <w:r w:rsidR="000159A6">
        <w:t xml:space="preserve"> </w:t>
      </w:r>
      <w:r w:rsidR="00A979D2" w:rsidRPr="00A979D2">
        <w:t>the</w:t>
      </w:r>
      <w:r w:rsidR="000159A6">
        <w:t xml:space="preserve"> </w:t>
      </w:r>
      <w:r w:rsidR="00A979D2" w:rsidRPr="00A979D2">
        <w:t>second</w:t>
      </w:r>
      <w:r w:rsidR="000159A6">
        <w:t xml:space="preserve"> </w:t>
      </w:r>
      <w:r w:rsidR="00A979D2" w:rsidRPr="00A979D2">
        <w:t>dose,</w:t>
      </w:r>
      <w:r w:rsidR="000159A6">
        <w:t xml:space="preserve"> </w:t>
      </w:r>
      <w:r w:rsidR="00A979D2" w:rsidRPr="00A979D2">
        <w:t>which</w:t>
      </w:r>
      <w:r w:rsidR="000159A6">
        <w:t xml:space="preserve"> </w:t>
      </w:r>
      <w:r w:rsidR="00A979D2" w:rsidRPr="00A979D2">
        <w:t>is</w:t>
      </w:r>
      <w:r w:rsidR="000159A6">
        <w:t xml:space="preserve"> </w:t>
      </w:r>
      <w:r w:rsidR="00A979D2" w:rsidRPr="00A979D2">
        <w:t>important</w:t>
      </w:r>
      <w:r w:rsidR="000159A6">
        <w:t xml:space="preserve"> </w:t>
      </w:r>
      <w:r w:rsidR="00A979D2" w:rsidRPr="00A979D2">
        <w:t>for</w:t>
      </w:r>
      <w:r w:rsidR="000159A6">
        <w:t xml:space="preserve"> </w:t>
      </w:r>
      <w:r w:rsidR="00A979D2" w:rsidRPr="00A979D2">
        <w:t>inducing</w:t>
      </w:r>
      <w:r w:rsidR="000159A6">
        <w:t xml:space="preserve"> </w:t>
      </w:r>
      <w:r w:rsidR="00A979D2" w:rsidRPr="00A979D2">
        <w:t>the</w:t>
      </w:r>
      <w:r w:rsidR="000159A6">
        <w:t xml:space="preserve"> </w:t>
      </w:r>
      <w:r w:rsidR="00A979D2" w:rsidRPr="00A979D2">
        <w:t>most</w:t>
      </w:r>
      <w:r w:rsidR="000159A6">
        <w:t xml:space="preserve"> </w:t>
      </w:r>
      <w:r w:rsidR="00A979D2">
        <w:t>optimal</w:t>
      </w:r>
      <w:r w:rsidR="000159A6">
        <w:t xml:space="preserve"> </w:t>
      </w:r>
      <w:r w:rsidR="00A979D2">
        <w:t>protection</w:t>
      </w:r>
      <w:r w:rsidR="000159A6">
        <w:t xml:space="preserve"> </w:t>
      </w:r>
      <w:r w:rsidR="00A979D2">
        <w:t>against</w:t>
      </w:r>
      <w:r w:rsidR="000159A6">
        <w:t xml:space="preserve"> </w:t>
      </w:r>
      <w:r w:rsidR="00A979D2">
        <w:t>HZ,</w:t>
      </w:r>
      <w:r w:rsidR="000159A6">
        <w:t xml:space="preserve"> </w:t>
      </w:r>
      <w:r w:rsidR="00A979D2" w:rsidRPr="00A979D2">
        <w:t>including</w:t>
      </w:r>
      <w:r w:rsidR="000159A6">
        <w:t xml:space="preserve"> </w:t>
      </w:r>
      <w:r w:rsidR="00A979D2" w:rsidRPr="00A979D2">
        <w:t>long-term</w:t>
      </w:r>
      <w:r w:rsidR="000159A6">
        <w:t xml:space="preserve"> </w:t>
      </w:r>
      <w:r w:rsidR="00A979D2" w:rsidRPr="00A979D2">
        <w:t>protection.</w:t>
      </w:r>
    </w:p>
    <w:p w14:paraId="0455960E" w14:textId="67AF3411" w:rsidR="00A979D2" w:rsidRPr="00A979D2" w:rsidRDefault="00733CE8" w:rsidP="002E1097">
      <w:r>
        <w:t>A</w:t>
      </w:r>
      <w:r w:rsidR="000159A6">
        <w:t xml:space="preserve"> </w:t>
      </w:r>
      <w:r>
        <w:t>0</w:t>
      </w:r>
      <w:r w:rsidR="000159A6">
        <w:t xml:space="preserve"> </w:t>
      </w:r>
      <w:r w:rsidR="005B2FA5">
        <w:t>and</w:t>
      </w:r>
      <w:r>
        <w:t>2</w:t>
      </w:r>
      <w:r w:rsidR="000159A6">
        <w:t xml:space="preserve"> </w:t>
      </w:r>
      <w:r w:rsidR="00A979D2" w:rsidRPr="00A979D2">
        <w:t>month</w:t>
      </w:r>
      <w:r w:rsidR="000159A6">
        <w:t xml:space="preserve"> </w:t>
      </w:r>
      <w:r w:rsidR="00A979D2" w:rsidRPr="00A979D2">
        <w:t>do</w:t>
      </w:r>
      <w:r>
        <w:t>sing</w:t>
      </w:r>
      <w:r w:rsidR="000159A6">
        <w:t xml:space="preserve"> </w:t>
      </w:r>
      <w:r>
        <w:t>schedule</w:t>
      </w:r>
      <w:r w:rsidR="000159A6">
        <w:t xml:space="preserve"> </w:t>
      </w:r>
      <w:r>
        <w:t>was</w:t>
      </w:r>
      <w:r w:rsidR="000159A6">
        <w:t xml:space="preserve"> </w:t>
      </w:r>
      <w:r>
        <w:t>used</w:t>
      </w:r>
      <w:r w:rsidR="000159A6">
        <w:t xml:space="preserve"> </w:t>
      </w:r>
      <w:r>
        <w:t>in</w:t>
      </w:r>
      <w:r w:rsidR="000159A6">
        <w:t xml:space="preserve"> </w:t>
      </w:r>
      <w:r>
        <w:t>the</w:t>
      </w:r>
      <w:r w:rsidR="000159A6">
        <w:t xml:space="preserve"> </w:t>
      </w:r>
      <w:r>
        <w:t>2</w:t>
      </w:r>
      <w:r w:rsidR="000159A6">
        <w:t xml:space="preserve"> </w:t>
      </w:r>
      <w:r w:rsidR="00A979D2" w:rsidRPr="00A979D2">
        <w:t>pivotal</w:t>
      </w:r>
      <w:r w:rsidR="000159A6">
        <w:t xml:space="preserve"> </w:t>
      </w:r>
      <w:r w:rsidR="005B2FA5">
        <w:t>S</w:t>
      </w:r>
      <w:r w:rsidR="005B2FA5" w:rsidRPr="00A979D2">
        <w:t>tudies</w:t>
      </w:r>
      <w:r w:rsidR="000159A6">
        <w:t xml:space="preserve"> </w:t>
      </w:r>
      <w:r w:rsidR="00077B4F">
        <w:t>ZOSTER-006</w:t>
      </w:r>
      <w:r w:rsidR="000159A6">
        <w:t xml:space="preserve"> </w:t>
      </w:r>
      <w:r w:rsidR="00A979D2" w:rsidRPr="00A979D2">
        <w:t>and</w:t>
      </w:r>
      <w:r w:rsidR="000159A6">
        <w:t xml:space="preserve"> </w:t>
      </w:r>
      <w:r w:rsidR="00077B4F">
        <w:t>ZOSTER-022</w:t>
      </w:r>
      <w:r w:rsidR="00A979D2" w:rsidRPr="00A979D2">
        <w:t>.</w:t>
      </w:r>
      <w:r w:rsidR="000159A6">
        <w:t xml:space="preserve"> </w:t>
      </w:r>
      <w:r w:rsidR="00A979D2" w:rsidRPr="00A979D2">
        <w:t>Therefore,</w:t>
      </w:r>
      <w:r w:rsidR="000159A6">
        <w:t xml:space="preserve"> </w:t>
      </w:r>
      <w:r w:rsidR="00A979D2" w:rsidRPr="00A979D2">
        <w:t>an</w:t>
      </w:r>
      <w:r w:rsidR="000159A6">
        <w:t xml:space="preserve"> </w:t>
      </w:r>
      <w:r w:rsidR="00A979D2" w:rsidRPr="00A979D2">
        <w:t>addition</w:t>
      </w:r>
      <w:r w:rsidR="000159A6">
        <w:t xml:space="preserve"> </w:t>
      </w:r>
      <w:r>
        <w:t>Study</w:t>
      </w:r>
      <w:r w:rsidR="000159A6">
        <w:t xml:space="preserve"> </w:t>
      </w:r>
      <w:r w:rsidR="0037169B">
        <w:t>ZOSTER</w:t>
      </w:r>
      <w:r w:rsidR="00A979D2" w:rsidRPr="00A979D2">
        <w:t>-</w:t>
      </w:r>
      <w:proofErr w:type="gramStart"/>
      <w:r w:rsidR="00A979D2" w:rsidRPr="00A979D2">
        <w:t>026,</w:t>
      </w:r>
      <w:proofErr w:type="gramEnd"/>
      <w:r w:rsidR="000159A6">
        <w:t xml:space="preserve"> </w:t>
      </w:r>
      <w:r w:rsidR="00A979D2" w:rsidRPr="00A979D2">
        <w:t>was</w:t>
      </w:r>
      <w:r w:rsidR="000159A6">
        <w:t xml:space="preserve"> </w:t>
      </w:r>
      <w:r w:rsidR="00A979D2" w:rsidRPr="00A979D2">
        <w:t>conducted</w:t>
      </w:r>
      <w:r w:rsidR="000159A6">
        <w:t xml:space="preserve"> </w:t>
      </w:r>
      <w:r w:rsidR="00A979D2" w:rsidRPr="00A979D2">
        <w:t>to</w:t>
      </w:r>
      <w:r w:rsidR="000159A6">
        <w:t xml:space="preserve"> </w:t>
      </w:r>
      <w:r w:rsidR="00A979D2" w:rsidRPr="00A979D2">
        <w:t>evaluate</w:t>
      </w:r>
      <w:r w:rsidR="000159A6">
        <w:t xml:space="preserve"> </w:t>
      </w:r>
      <w:r w:rsidR="00A979D2" w:rsidRPr="00A979D2">
        <w:t>vaccine</w:t>
      </w:r>
      <w:r w:rsidR="000159A6">
        <w:t xml:space="preserve"> </w:t>
      </w:r>
      <w:r w:rsidR="00A979D2" w:rsidRPr="00A979D2">
        <w:t>response</w:t>
      </w:r>
      <w:r w:rsidR="000159A6">
        <w:t xml:space="preserve"> </w:t>
      </w:r>
      <w:r w:rsidR="00A979D2" w:rsidRPr="00A979D2">
        <w:t>rate</w:t>
      </w:r>
      <w:r w:rsidR="000159A6">
        <w:t xml:space="preserve"> </w:t>
      </w:r>
      <w:r w:rsidR="00A979D2" w:rsidRPr="00A979D2">
        <w:t>for</w:t>
      </w:r>
      <w:r w:rsidR="000159A6">
        <w:t xml:space="preserve"> </w:t>
      </w:r>
      <w:r w:rsidR="00A979D2" w:rsidRPr="00A979D2">
        <w:t>anti-g</w:t>
      </w:r>
      <w:r w:rsidR="00A979D2">
        <w:t>E</w:t>
      </w:r>
      <w:r w:rsidR="000159A6">
        <w:t xml:space="preserve"> </w:t>
      </w:r>
      <w:r w:rsidR="00A979D2">
        <w:t>immune</w:t>
      </w:r>
      <w:r w:rsidR="000159A6">
        <w:t xml:space="preserve"> </w:t>
      </w:r>
      <w:r w:rsidR="00A979D2">
        <w:t>responses</w:t>
      </w:r>
      <w:r w:rsidR="000159A6">
        <w:t xml:space="preserve"> </w:t>
      </w:r>
      <w:r w:rsidR="00A979D2">
        <w:t>at</w:t>
      </w:r>
      <w:r w:rsidR="000159A6">
        <w:t xml:space="preserve"> </w:t>
      </w:r>
      <w:r w:rsidR="00A979D2">
        <w:t>one</w:t>
      </w:r>
      <w:r w:rsidR="000159A6">
        <w:t xml:space="preserve"> </w:t>
      </w:r>
      <w:r w:rsidR="00A979D2">
        <w:t>month</w:t>
      </w:r>
      <w:r w:rsidR="000159A6">
        <w:t xml:space="preserve"> </w:t>
      </w:r>
      <w:r w:rsidR="00A979D2" w:rsidRPr="00A979D2">
        <w:t>pos</w:t>
      </w:r>
      <w:r>
        <w:t>t</w:t>
      </w:r>
      <w:r w:rsidR="000159A6">
        <w:t xml:space="preserve"> </w:t>
      </w:r>
      <w:r w:rsidR="005B2FA5">
        <w:t>second</w:t>
      </w:r>
      <w:r w:rsidR="000159A6">
        <w:t xml:space="preserve"> </w:t>
      </w:r>
      <w:r>
        <w:t>dose</w:t>
      </w:r>
      <w:r w:rsidR="000159A6">
        <w:t xml:space="preserve"> </w:t>
      </w:r>
      <w:r>
        <w:t>in</w:t>
      </w:r>
      <w:r w:rsidR="000159A6">
        <w:t xml:space="preserve"> </w:t>
      </w:r>
      <w:r>
        <w:t>0</w:t>
      </w:r>
      <w:r w:rsidR="00CD5352">
        <w:t> </w:t>
      </w:r>
      <w:r w:rsidR="00332E3D">
        <w:t>and</w:t>
      </w:r>
      <w:r w:rsidR="000159A6">
        <w:t xml:space="preserve"> </w:t>
      </w:r>
      <w:r>
        <w:t>6</w:t>
      </w:r>
      <w:r w:rsidR="000159A6">
        <w:t xml:space="preserve"> </w:t>
      </w:r>
      <w:r>
        <w:t>month</w:t>
      </w:r>
      <w:r w:rsidR="000159A6">
        <w:t xml:space="preserve"> </w:t>
      </w:r>
      <w:r>
        <w:t>and</w:t>
      </w:r>
      <w:r w:rsidR="000159A6">
        <w:t xml:space="preserve"> </w:t>
      </w:r>
      <w:r>
        <w:t>0</w:t>
      </w:r>
      <w:r w:rsidR="000159A6">
        <w:t xml:space="preserve"> </w:t>
      </w:r>
      <w:r w:rsidR="00332E3D">
        <w:t>and</w:t>
      </w:r>
      <w:r w:rsidR="000159A6">
        <w:t xml:space="preserve"> </w:t>
      </w:r>
      <w:r>
        <w:t>12</w:t>
      </w:r>
      <w:r w:rsidR="000159A6">
        <w:t xml:space="preserve"> </w:t>
      </w:r>
      <w:r w:rsidR="00A979D2" w:rsidRPr="00A979D2">
        <w:t>month</w:t>
      </w:r>
      <w:r w:rsidR="000159A6">
        <w:t xml:space="preserve"> </w:t>
      </w:r>
      <w:r w:rsidR="00A979D2" w:rsidRPr="00A979D2">
        <w:t>schedule</w:t>
      </w:r>
      <w:r w:rsidR="000159A6">
        <w:t xml:space="preserve"> </w:t>
      </w:r>
      <w:r w:rsidR="00A979D2" w:rsidRPr="00A979D2">
        <w:t>groups.</w:t>
      </w:r>
      <w:r w:rsidR="000159A6">
        <w:t xml:space="preserve"> </w:t>
      </w:r>
      <w:r>
        <w:t>Study</w:t>
      </w:r>
      <w:r w:rsidR="000159A6">
        <w:t xml:space="preserve"> </w:t>
      </w:r>
      <w:r w:rsidR="0037169B">
        <w:t>ZOSTER</w:t>
      </w:r>
      <w:r w:rsidR="00A979D2" w:rsidRPr="00A979D2">
        <w:t>-026</w:t>
      </w:r>
      <w:r w:rsidR="000159A6">
        <w:t xml:space="preserve"> </w:t>
      </w:r>
      <w:r w:rsidR="00A979D2" w:rsidRPr="00A979D2">
        <w:t>was</w:t>
      </w:r>
      <w:r w:rsidR="000159A6">
        <w:t xml:space="preserve"> </w:t>
      </w:r>
      <w:r w:rsidR="00A979D2" w:rsidRPr="00A979D2">
        <w:t>an</w:t>
      </w:r>
      <w:r w:rsidR="000159A6">
        <w:t xml:space="preserve"> </w:t>
      </w:r>
      <w:r w:rsidR="00A979D2" w:rsidRPr="00A979D2">
        <w:t>open</w:t>
      </w:r>
      <w:r w:rsidR="000159A6">
        <w:t xml:space="preserve"> </w:t>
      </w:r>
      <w:r w:rsidR="00A979D2" w:rsidRPr="00A979D2">
        <w:t>label</w:t>
      </w:r>
      <w:r w:rsidR="00A979D2">
        <w:t>,</w:t>
      </w:r>
      <w:r w:rsidR="000159A6">
        <w:t xml:space="preserve"> </w:t>
      </w:r>
      <w:r w:rsidR="00A979D2">
        <w:t>randomised,</w:t>
      </w:r>
      <w:r w:rsidR="000159A6">
        <w:t xml:space="preserve"> </w:t>
      </w:r>
      <w:r w:rsidR="00A979D2">
        <w:t>parallel</w:t>
      </w:r>
      <w:r w:rsidR="000159A6">
        <w:t xml:space="preserve"> </w:t>
      </w:r>
      <w:r w:rsidR="00A979D2" w:rsidRPr="00A979D2">
        <w:t>group</w:t>
      </w:r>
      <w:r w:rsidR="000159A6">
        <w:t xml:space="preserve"> </w:t>
      </w:r>
      <w:r w:rsidR="00A979D2" w:rsidRPr="00A979D2">
        <w:t>immunogenicity</w:t>
      </w:r>
      <w:r w:rsidR="000159A6">
        <w:t xml:space="preserve"> </w:t>
      </w:r>
      <w:r w:rsidR="00A979D2" w:rsidRPr="00A979D2">
        <w:t>study</w:t>
      </w:r>
      <w:r w:rsidR="000159A6">
        <w:t xml:space="preserve"> </w:t>
      </w:r>
      <w:r w:rsidR="00A979D2" w:rsidRPr="00A979D2">
        <w:t>which</w:t>
      </w:r>
      <w:r w:rsidR="000159A6">
        <w:t xml:space="preserve"> </w:t>
      </w:r>
      <w:r w:rsidR="00A979D2" w:rsidRPr="00A979D2">
        <w:t>assessed</w:t>
      </w:r>
      <w:r w:rsidR="000159A6">
        <w:t xml:space="preserve"> </w:t>
      </w:r>
      <w:r w:rsidR="00A979D2" w:rsidRPr="00A979D2">
        <w:t>the</w:t>
      </w:r>
      <w:r w:rsidR="000159A6">
        <w:t xml:space="preserve"> </w:t>
      </w:r>
      <w:r w:rsidR="00A979D2" w:rsidRPr="00A979D2">
        <w:t>two</w:t>
      </w:r>
      <w:r w:rsidR="000159A6">
        <w:t xml:space="preserve"> </w:t>
      </w:r>
      <w:r w:rsidR="00A979D2" w:rsidRPr="00A979D2">
        <w:t>vaccination</w:t>
      </w:r>
      <w:r w:rsidR="000159A6">
        <w:t xml:space="preserve"> </w:t>
      </w:r>
      <w:r w:rsidR="00A979D2" w:rsidRPr="00A979D2">
        <w:t>intervals</w:t>
      </w:r>
      <w:r w:rsidR="000159A6">
        <w:t xml:space="preserve"> </w:t>
      </w:r>
      <w:r w:rsidR="00A979D2" w:rsidRPr="00A979D2">
        <w:t>in</w:t>
      </w:r>
      <w:r w:rsidR="000159A6">
        <w:t xml:space="preserve"> </w:t>
      </w:r>
      <w:r w:rsidR="00A979D2">
        <w:t>354</w:t>
      </w:r>
      <w:r w:rsidR="000159A6">
        <w:t xml:space="preserve"> </w:t>
      </w:r>
      <w:proofErr w:type="gramStart"/>
      <w:r w:rsidR="00A979D2">
        <w:t>adults</w:t>
      </w:r>
      <w:proofErr w:type="gramEnd"/>
      <w:r w:rsidR="000159A6">
        <w:t xml:space="preserve"> </w:t>
      </w:r>
      <w:r w:rsidR="0037169B">
        <w:t>≥</w:t>
      </w:r>
      <w:r w:rsidR="000159A6">
        <w:t xml:space="preserve"> </w:t>
      </w:r>
      <w:r>
        <w:t>50</w:t>
      </w:r>
      <w:r w:rsidR="000159A6">
        <w:t xml:space="preserve"> </w:t>
      </w:r>
      <w:r>
        <w:t>years.</w:t>
      </w:r>
      <w:r w:rsidR="000159A6">
        <w:t xml:space="preserve"> </w:t>
      </w:r>
      <w:r>
        <w:t>The</w:t>
      </w:r>
      <w:r w:rsidR="000159A6">
        <w:t xml:space="preserve"> </w:t>
      </w:r>
      <w:r>
        <w:t>0</w:t>
      </w:r>
      <w:r w:rsidR="000159A6">
        <w:t xml:space="preserve"> </w:t>
      </w:r>
      <w:r w:rsidR="00332E3D">
        <w:t>and</w:t>
      </w:r>
      <w:r w:rsidR="000159A6">
        <w:t xml:space="preserve"> </w:t>
      </w:r>
      <w:r>
        <w:t>6</w:t>
      </w:r>
      <w:r w:rsidR="000159A6">
        <w:t xml:space="preserve"> </w:t>
      </w:r>
      <w:r w:rsidR="00A979D2" w:rsidRPr="00A979D2">
        <w:t>month</w:t>
      </w:r>
      <w:r w:rsidR="000159A6">
        <w:t xml:space="preserve"> </w:t>
      </w:r>
      <w:r w:rsidR="00A979D2" w:rsidRPr="00A979D2">
        <w:t>schedule</w:t>
      </w:r>
      <w:r w:rsidR="000159A6">
        <w:t xml:space="preserve"> </w:t>
      </w:r>
      <w:r w:rsidR="00A979D2" w:rsidRPr="00A979D2">
        <w:t>was</w:t>
      </w:r>
      <w:r w:rsidR="000159A6">
        <w:t xml:space="preserve"> </w:t>
      </w:r>
      <w:r w:rsidR="00A979D2" w:rsidRPr="00A979D2">
        <w:t>found</w:t>
      </w:r>
      <w:r w:rsidR="000159A6">
        <w:t xml:space="preserve"> </w:t>
      </w:r>
      <w:r>
        <w:t>to</w:t>
      </w:r>
      <w:r w:rsidR="000159A6">
        <w:t xml:space="preserve"> </w:t>
      </w:r>
      <w:r>
        <w:t>be</w:t>
      </w:r>
      <w:r w:rsidR="000159A6">
        <w:t xml:space="preserve"> </w:t>
      </w:r>
      <w:r>
        <w:t>non-inferior</w:t>
      </w:r>
      <w:r w:rsidR="000159A6">
        <w:t xml:space="preserve"> </w:t>
      </w:r>
      <w:r>
        <w:t>to</w:t>
      </w:r>
      <w:r w:rsidR="000159A6">
        <w:t xml:space="preserve"> </w:t>
      </w:r>
      <w:r>
        <w:t>the</w:t>
      </w:r>
      <w:r w:rsidR="000159A6">
        <w:t xml:space="preserve"> </w:t>
      </w:r>
      <w:r>
        <w:t>0</w:t>
      </w:r>
      <w:r w:rsidR="000159A6">
        <w:t xml:space="preserve"> </w:t>
      </w:r>
      <w:r w:rsidR="00332E3D">
        <w:t>and</w:t>
      </w:r>
      <w:r w:rsidR="000159A6">
        <w:t xml:space="preserve"> </w:t>
      </w:r>
      <w:r>
        <w:t>2</w:t>
      </w:r>
      <w:r w:rsidR="000159A6">
        <w:t xml:space="preserve"> </w:t>
      </w:r>
      <w:r w:rsidR="00A979D2" w:rsidRPr="00A979D2">
        <w:t>month</w:t>
      </w:r>
      <w:r w:rsidR="000159A6">
        <w:t xml:space="preserve"> </w:t>
      </w:r>
      <w:proofErr w:type="gramStart"/>
      <w:r w:rsidR="00A979D2" w:rsidRPr="00A979D2">
        <w:t>schedule,</w:t>
      </w:r>
      <w:proofErr w:type="gramEnd"/>
      <w:r w:rsidR="000159A6">
        <w:t xml:space="preserve"> </w:t>
      </w:r>
      <w:r w:rsidR="00A979D2" w:rsidRPr="00A979D2">
        <w:t>howe</w:t>
      </w:r>
      <w:r>
        <w:t>ver</w:t>
      </w:r>
      <w:r w:rsidR="000159A6">
        <w:t xml:space="preserve"> </w:t>
      </w:r>
      <w:r>
        <w:t>the</w:t>
      </w:r>
      <w:r w:rsidR="000159A6">
        <w:t xml:space="preserve"> </w:t>
      </w:r>
      <w:r>
        <w:t>0</w:t>
      </w:r>
      <w:r w:rsidR="000159A6">
        <w:t xml:space="preserve"> </w:t>
      </w:r>
      <w:r w:rsidR="00332E3D">
        <w:t>and</w:t>
      </w:r>
      <w:r w:rsidR="000159A6">
        <w:t xml:space="preserve"> </w:t>
      </w:r>
      <w:r>
        <w:t>12</w:t>
      </w:r>
      <w:r w:rsidR="000159A6">
        <w:t xml:space="preserve"> </w:t>
      </w:r>
      <w:r w:rsidR="00A979D2">
        <w:t>month</w:t>
      </w:r>
      <w:r w:rsidR="000159A6">
        <w:t xml:space="preserve"> </w:t>
      </w:r>
      <w:r w:rsidR="00A979D2">
        <w:t>vaccination</w:t>
      </w:r>
      <w:r w:rsidR="000159A6">
        <w:t xml:space="preserve"> </w:t>
      </w:r>
      <w:r w:rsidR="00A979D2" w:rsidRPr="00A979D2">
        <w:t>interval</w:t>
      </w:r>
      <w:r w:rsidR="000159A6">
        <w:t xml:space="preserve"> </w:t>
      </w:r>
      <w:r w:rsidR="00A979D2" w:rsidRPr="00A979D2">
        <w:t>did</w:t>
      </w:r>
      <w:r w:rsidR="000159A6">
        <w:t xml:space="preserve"> </w:t>
      </w:r>
      <w:r w:rsidR="00A979D2" w:rsidRPr="00A979D2">
        <w:t>not</w:t>
      </w:r>
      <w:r w:rsidR="000159A6">
        <w:t xml:space="preserve"> </w:t>
      </w:r>
      <w:r w:rsidR="00A979D2" w:rsidRPr="00A979D2">
        <w:t>meet</w:t>
      </w:r>
      <w:r w:rsidR="000159A6">
        <w:t xml:space="preserve"> </w:t>
      </w:r>
      <w:r w:rsidR="00A979D2" w:rsidRPr="00A979D2">
        <w:t>the</w:t>
      </w:r>
      <w:r w:rsidR="000159A6">
        <w:t xml:space="preserve"> </w:t>
      </w:r>
      <w:r w:rsidR="00A979D2" w:rsidRPr="00A979D2">
        <w:t>pre-defined</w:t>
      </w:r>
      <w:r w:rsidR="000159A6">
        <w:t xml:space="preserve"> </w:t>
      </w:r>
      <w:r w:rsidR="00A979D2" w:rsidRPr="00A979D2">
        <w:t>non-inferiority</w:t>
      </w:r>
      <w:r w:rsidR="000159A6">
        <w:t xml:space="preserve"> </w:t>
      </w:r>
      <w:r w:rsidR="00A979D2" w:rsidRPr="00A979D2">
        <w:t>criterion.</w:t>
      </w:r>
    </w:p>
    <w:p w14:paraId="798ECB1A" w14:textId="0B1A0F02" w:rsidR="00A979D2" w:rsidRPr="00A979D2" w:rsidRDefault="00A979D2" w:rsidP="00A979D2">
      <w:r w:rsidRPr="00A979D2">
        <w:t>The</w:t>
      </w:r>
      <w:r w:rsidR="000159A6">
        <w:t xml:space="preserve"> </w:t>
      </w:r>
      <w:r w:rsidRPr="00A979D2">
        <w:t>Australian</w:t>
      </w:r>
      <w:r w:rsidR="000159A6">
        <w:t xml:space="preserve"> </w:t>
      </w:r>
      <w:r w:rsidRPr="00A979D2">
        <w:t>Technical</w:t>
      </w:r>
      <w:r w:rsidR="000159A6">
        <w:t xml:space="preserve"> </w:t>
      </w:r>
      <w:r w:rsidRPr="00A979D2">
        <w:t>Advisory</w:t>
      </w:r>
      <w:r w:rsidR="000159A6">
        <w:t xml:space="preserve"> </w:t>
      </w:r>
      <w:r w:rsidRPr="00A979D2">
        <w:t>Group</w:t>
      </w:r>
      <w:r w:rsidR="000159A6">
        <w:t xml:space="preserve"> </w:t>
      </w:r>
      <w:r w:rsidRPr="00A979D2">
        <w:t>on</w:t>
      </w:r>
      <w:r w:rsidR="000159A6">
        <w:t xml:space="preserve"> </w:t>
      </w:r>
      <w:r w:rsidRPr="00A979D2">
        <w:t>Immunisation</w:t>
      </w:r>
      <w:r w:rsidR="000159A6">
        <w:t xml:space="preserve"> </w:t>
      </w:r>
      <w:r w:rsidRPr="00A979D2">
        <w:t>(ATAGI)</w:t>
      </w:r>
      <w:r w:rsidR="000159A6">
        <w:t xml:space="preserve"> </w:t>
      </w:r>
      <w:r w:rsidRPr="00A979D2">
        <w:t>p</w:t>
      </w:r>
      <w:r>
        <w:t>rovided</w:t>
      </w:r>
      <w:r w:rsidR="000159A6">
        <w:t xml:space="preserve"> </w:t>
      </w:r>
      <w:r>
        <w:t>the</w:t>
      </w:r>
      <w:r w:rsidR="000159A6">
        <w:t xml:space="preserve"> </w:t>
      </w:r>
      <w:r>
        <w:t>below</w:t>
      </w:r>
      <w:r w:rsidR="000159A6">
        <w:t xml:space="preserve"> </w:t>
      </w:r>
      <w:proofErr w:type="gramStart"/>
      <w:r>
        <w:t>advice</w:t>
      </w:r>
      <w:proofErr w:type="gramEnd"/>
      <w:r w:rsidR="000159A6">
        <w:t xml:space="preserve"> </w:t>
      </w:r>
      <w:r>
        <w:t>on</w:t>
      </w:r>
      <w:r w:rsidR="000159A6">
        <w:t xml:space="preserve"> </w:t>
      </w:r>
      <w:r>
        <w:t>the</w:t>
      </w:r>
      <w:r w:rsidR="000159A6">
        <w:t xml:space="preserve"> </w:t>
      </w:r>
      <w:r w:rsidRPr="00A979D2">
        <w:t>timing</w:t>
      </w:r>
      <w:r w:rsidR="000159A6">
        <w:t xml:space="preserve"> </w:t>
      </w:r>
      <w:r w:rsidRPr="00A979D2">
        <w:t>of</w:t>
      </w:r>
      <w:r w:rsidR="000159A6">
        <w:t xml:space="preserve"> </w:t>
      </w:r>
      <w:r w:rsidRPr="00A979D2">
        <w:t>the</w:t>
      </w:r>
      <w:r w:rsidR="000159A6">
        <w:t xml:space="preserve"> </w:t>
      </w:r>
      <w:r w:rsidR="00332E3D">
        <w:t>second</w:t>
      </w:r>
      <w:r w:rsidR="000159A6">
        <w:t xml:space="preserve"> </w:t>
      </w:r>
      <w:r w:rsidRPr="00A979D2">
        <w:t>dose</w:t>
      </w:r>
      <w:r w:rsidR="000159A6">
        <w:t xml:space="preserve"> </w:t>
      </w:r>
      <w:r w:rsidRPr="00A979D2">
        <w:t>in</w:t>
      </w:r>
      <w:r w:rsidR="000159A6">
        <w:t xml:space="preserve"> </w:t>
      </w:r>
      <w:r w:rsidRPr="00A979D2">
        <w:t>the</w:t>
      </w:r>
      <w:r w:rsidR="000159A6">
        <w:t xml:space="preserve"> </w:t>
      </w:r>
      <w:r w:rsidRPr="00A979D2">
        <w:t>ATAGI</w:t>
      </w:r>
      <w:r w:rsidR="000159A6">
        <w:t xml:space="preserve"> </w:t>
      </w:r>
      <w:r w:rsidRPr="00A979D2">
        <w:t>Pre-PBAC</w:t>
      </w:r>
      <w:r w:rsidR="000159A6">
        <w:t xml:space="preserve"> </w:t>
      </w:r>
      <w:r w:rsidRPr="00A979D2">
        <w:t>Submission</w:t>
      </w:r>
      <w:r w:rsidR="000159A6">
        <w:t xml:space="preserve"> </w:t>
      </w:r>
      <w:r w:rsidRPr="00A979D2">
        <w:t>Advice</w:t>
      </w:r>
      <w:r w:rsidR="000159A6">
        <w:t xml:space="preserve"> </w:t>
      </w:r>
      <w:r w:rsidRPr="00A979D2">
        <w:t>received</w:t>
      </w:r>
      <w:r w:rsidR="000159A6">
        <w:t xml:space="preserve"> </w:t>
      </w:r>
      <w:r w:rsidRPr="00A979D2">
        <w:t>by</w:t>
      </w:r>
      <w:r w:rsidR="000159A6">
        <w:t xml:space="preserve"> </w:t>
      </w:r>
      <w:r w:rsidR="00332E3D">
        <w:t>the</w:t>
      </w:r>
      <w:r w:rsidR="000159A6">
        <w:t xml:space="preserve"> </w:t>
      </w:r>
      <w:r w:rsidR="00332E3D">
        <w:t>sponsor</w:t>
      </w:r>
      <w:r w:rsidR="000159A6">
        <w:t xml:space="preserve"> </w:t>
      </w:r>
      <w:r w:rsidRPr="00A979D2">
        <w:t>in</w:t>
      </w:r>
      <w:r w:rsidR="000159A6">
        <w:t xml:space="preserve"> </w:t>
      </w:r>
      <w:r w:rsidRPr="00A979D2">
        <w:t>February</w:t>
      </w:r>
      <w:r w:rsidR="000159A6">
        <w:t xml:space="preserve"> </w:t>
      </w:r>
      <w:r w:rsidRPr="00A979D2">
        <w:t>2018:</w:t>
      </w:r>
    </w:p>
    <w:p w14:paraId="6483F15E" w14:textId="26C908B8" w:rsidR="00A979D2" w:rsidRPr="00951608" w:rsidRDefault="00733CE8" w:rsidP="00A979D2">
      <w:pPr>
        <w:ind w:left="720"/>
        <w:rPr>
          <w:i/>
        </w:rPr>
      </w:pPr>
      <w:r w:rsidRPr="00951608">
        <w:rPr>
          <w:i/>
        </w:rPr>
        <w:t>‘</w:t>
      </w:r>
      <w:r w:rsidR="00A979D2" w:rsidRPr="00951608">
        <w:rPr>
          <w:i/>
        </w:rPr>
        <w:t>Overall,</w:t>
      </w:r>
      <w:r w:rsidR="000159A6">
        <w:rPr>
          <w:i/>
        </w:rPr>
        <w:t xml:space="preserve"> </w:t>
      </w:r>
      <w:r w:rsidR="00A979D2" w:rsidRPr="00951608">
        <w:rPr>
          <w:i/>
        </w:rPr>
        <w:t>ATAGI</w:t>
      </w:r>
      <w:r w:rsidR="000159A6">
        <w:rPr>
          <w:i/>
        </w:rPr>
        <w:t xml:space="preserve"> </w:t>
      </w:r>
      <w:r w:rsidR="00A979D2" w:rsidRPr="00951608">
        <w:rPr>
          <w:i/>
        </w:rPr>
        <w:t>considers</w:t>
      </w:r>
      <w:r w:rsidR="000159A6">
        <w:rPr>
          <w:i/>
        </w:rPr>
        <w:t xml:space="preserve"> </w:t>
      </w:r>
      <w:r w:rsidR="00A979D2" w:rsidRPr="00951608">
        <w:rPr>
          <w:i/>
        </w:rPr>
        <w:t>that</w:t>
      </w:r>
      <w:r w:rsidR="000159A6">
        <w:rPr>
          <w:i/>
        </w:rPr>
        <w:t xml:space="preserve"> </w:t>
      </w:r>
      <w:r w:rsidR="00A979D2" w:rsidRPr="00951608">
        <w:rPr>
          <w:i/>
        </w:rPr>
        <w:t>the</w:t>
      </w:r>
      <w:r w:rsidR="000159A6">
        <w:rPr>
          <w:i/>
        </w:rPr>
        <w:t xml:space="preserve"> </w:t>
      </w:r>
      <w:r w:rsidR="00A979D2" w:rsidRPr="00951608">
        <w:rPr>
          <w:i/>
        </w:rPr>
        <w:t>evidence</w:t>
      </w:r>
      <w:r w:rsidR="000159A6">
        <w:rPr>
          <w:i/>
        </w:rPr>
        <w:t xml:space="preserve"> </w:t>
      </w:r>
      <w:r w:rsidR="00A979D2" w:rsidRPr="00951608">
        <w:rPr>
          <w:i/>
        </w:rPr>
        <w:t>of</w:t>
      </w:r>
      <w:r w:rsidR="000159A6">
        <w:rPr>
          <w:i/>
        </w:rPr>
        <w:t xml:space="preserve"> </w:t>
      </w:r>
      <w:r w:rsidR="00A979D2" w:rsidRPr="00951608">
        <w:rPr>
          <w:i/>
        </w:rPr>
        <w:t>efficacy</w:t>
      </w:r>
      <w:r w:rsidR="000159A6">
        <w:rPr>
          <w:i/>
        </w:rPr>
        <w:t xml:space="preserve"> </w:t>
      </w:r>
      <w:r w:rsidR="00A979D2" w:rsidRPr="00951608">
        <w:rPr>
          <w:i/>
        </w:rPr>
        <w:t>and</w:t>
      </w:r>
      <w:r w:rsidR="000159A6">
        <w:rPr>
          <w:i/>
        </w:rPr>
        <w:t xml:space="preserve"> </w:t>
      </w:r>
      <w:r w:rsidR="00A979D2" w:rsidRPr="00951608">
        <w:rPr>
          <w:i/>
        </w:rPr>
        <w:t>safety</w:t>
      </w:r>
      <w:r w:rsidR="000159A6">
        <w:rPr>
          <w:i/>
        </w:rPr>
        <w:t xml:space="preserve"> </w:t>
      </w:r>
      <w:r w:rsidR="00A979D2" w:rsidRPr="00951608">
        <w:rPr>
          <w:i/>
        </w:rPr>
        <w:t>has</w:t>
      </w:r>
      <w:r w:rsidR="000159A6">
        <w:rPr>
          <w:i/>
        </w:rPr>
        <w:t xml:space="preserve"> </w:t>
      </w:r>
      <w:r w:rsidR="00A979D2" w:rsidRPr="00951608">
        <w:rPr>
          <w:i/>
        </w:rPr>
        <w:t>been</w:t>
      </w:r>
      <w:r w:rsidR="000159A6">
        <w:rPr>
          <w:i/>
        </w:rPr>
        <w:t xml:space="preserve"> </w:t>
      </w:r>
      <w:r w:rsidR="00A979D2" w:rsidRPr="00951608">
        <w:rPr>
          <w:i/>
        </w:rPr>
        <w:t>adequately</w:t>
      </w:r>
      <w:r w:rsidR="000159A6">
        <w:rPr>
          <w:i/>
        </w:rPr>
        <w:t xml:space="preserve"> </w:t>
      </w:r>
      <w:r w:rsidR="00A979D2" w:rsidRPr="00951608">
        <w:rPr>
          <w:i/>
        </w:rPr>
        <w:t>demonstrated</w:t>
      </w:r>
      <w:r w:rsidR="000159A6">
        <w:rPr>
          <w:i/>
        </w:rPr>
        <w:t xml:space="preserve"> </w:t>
      </w:r>
      <w:r w:rsidR="00A979D2" w:rsidRPr="00951608">
        <w:rPr>
          <w:i/>
        </w:rPr>
        <w:t>for</w:t>
      </w:r>
      <w:r w:rsidR="000159A6">
        <w:rPr>
          <w:i/>
        </w:rPr>
        <w:t xml:space="preserve"> </w:t>
      </w:r>
      <w:r w:rsidR="00A979D2" w:rsidRPr="00951608">
        <w:rPr>
          <w:i/>
        </w:rPr>
        <w:t>an</w:t>
      </w:r>
      <w:r w:rsidR="000159A6">
        <w:rPr>
          <w:i/>
        </w:rPr>
        <w:t xml:space="preserve"> </w:t>
      </w:r>
      <w:r w:rsidR="00A979D2" w:rsidRPr="00951608">
        <w:rPr>
          <w:i/>
        </w:rPr>
        <w:t>interval</w:t>
      </w:r>
      <w:r w:rsidR="000159A6">
        <w:rPr>
          <w:i/>
        </w:rPr>
        <w:t xml:space="preserve"> </w:t>
      </w:r>
      <w:r w:rsidR="00A979D2" w:rsidRPr="00951608">
        <w:rPr>
          <w:i/>
        </w:rPr>
        <w:t>between</w:t>
      </w:r>
      <w:r w:rsidR="000159A6">
        <w:rPr>
          <w:i/>
        </w:rPr>
        <w:t xml:space="preserve"> </w:t>
      </w:r>
      <w:r w:rsidR="00A979D2" w:rsidRPr="00951608">
        <w:rPr>
          <w:i/>
        </w:rPr>
        <w:t>the</w:t>
      </w:r>
      <w:r w:rsidR="000159A6">
        <w:rPr>
          <w:i/>
        </w:rPr>
        <w:t xml:space="preserve"> </w:t>
      </w:r>
      <w:r w:rsidR="00A979D2" w:rsidRPr="00951608">
        <w:rPr>
          <w:i/>
        </w:rPr>
        <w:t>2</w:t>
      </w:r>
      <w:r w:rsidR="000159A6">
        <w:rPr>
          <w:i/>
        </w:rPr>
        <w:t xml:space="preserve"> </w:t>
      </w:r>
      <w:r w:rsidR="00A979D2" w:rsidRPr="00951608">
        <w:rPr>
          <w:i/>
        </w:rPr>
        <w:t>doses</w:t>
      </w:r>
      <w:r w:rsidR="000159A6">
        <w:rPr>
          <w:i/>
        </w:rPr>
        <w:t xml:space="preserve"> </w:t>
      </w:r>
      <w:r w:rsidR="00A979D2" w:rsidRPr="00951608">
        <w:rPr>
          <w:i/>
        </w:rPr>
        <w:t>of</w:t>
      </w:r>
      <w:r w:rsidR="000159A6">
        <w:rPr>
          <w:i/>
        </w:rPr>
        <w:t xml:space="preserve"> </w:t>
      </w:r>
      <w:r w:rsidR="00A979D2" w:rsidRPr="00951608">
        <w:rPr>
          <w:i/>
        </w:rPr>
        <w:t>2</w:t>
      </w:r>
      <w:r w:rsidR="000159A6">
        <w:rPr>
          <w:i/>
        </w:rPr>
        <w:t xml:space="preserve"> </w:t>
      </w:r>
      <w:r w:rsidR="00A979D2" w:rsidRPr="00951608">
        <w:rPr>
          <w:i/>
        </w:rPr>
        <w:t>months</w:t>
      </w:r>
      <w:r w:rsidR="000159A6">
        <w:rPr>
          <w:i/>
        </w:rPr>
        <w:t xml:space="preserve"> </w:t>
      </w:r>
      <w:r w:rsidR="00A979D2" w:rsidRPr="00951608">
        <w:rPr>
          <w:i/>
        </w:rPr>
        <w:t>and</w:t>
      </w:r>
      <w:r w:rsidR="000159A6">
        <w:rPr>
          <w:i/>
        </w:rPr>
        <w:t xml:space="preserve"> </w:t>
      </w:r>
      <w:r w:rsidR="00A979D2" w:rsidRPr="00951608">
        <w:rPr>
          <w:i/>
        </w:rPr>
        <w:t>up</w:t>
      </w:r>
      <w:r w:rsidR="000159A6">
        <w:rPr>
          <w:i/>
        </w:rPr>
        <w:t xml:space="preserve"> </w:t>
      </w:r>
      <w:r w:rsidR="00A979D2" w:rsidRPr="00951608">
        <w:rPr>
          <w:i/>
        </w:rPr>
        <w:t>to</w:t>
      </w:r>
      <w:r w:rsidR="000159A6">
        <w:rPr>
          <w:i/>
        </w:rPr>
        <w:t xml:space="preserve"> </w:t>
      </w:r>
      <w:r w:rsidR="00A979D2" w:rsidRPr="00951608">
        <w:rPr>
          <w:i/>
        </w:rPr>
        <w:t>6</w:t>
      </w:r>
      <w:r w:rsidR="000159A6">
        <w:rPr>
          <w:i/>
        </w:rPr>
        <w:t xml:space="preserve"> </w:t>
      </w:r>
      <w:r w:rsidR="00A979D2" w:rsidRPr="00951608">
        <w:rPr>
          <w:i/>
        </w:rPr>
        <w:t>months.</w:t>
      </w:r>
      <w:r w:rsidRPr="00951608">
        <w:rPr>
          <w:i/>
        </w:rPr>
        <w:t>’</w:t>
      </w:r>
    </w:p>
    <w:p w14:paraId="417880DE" w14:textId="66955F4D" w:rsidR="00A979D2" w:rsidRPr="00A979D2" w:rsidRDefault="00A979D2" w:rsidP="00A979D2">
      <w:r w:rsidRPr="00A979D2">
        <w:t>The</w:t>
      </w:r>
      <w:r w:rsidR="000159A6">
        <w:t xml:space="preserve"> </w:t>
      </w:r>
      <w:r w:rsidRPr="00A979D2">
        <w:t>full</w:t>
      </w:r>
      <w:r w:rsidR="000159A6">
        <w:t xml:space="preserve"> </w:t>
      </w:r>
      <w:r w:rsidRPr="00A979D2">
        <w:t>document</w:t>
      </w:r>
      <w:r w:rsidR="000159A6">
        <w:t xml:space="preserve"> </w:t>
      </w:r>
      <w:r w:rsidRPr="00A979D2">
        <w:t>has</w:t>
      </w:r>
      <w:r w:rsidR="000159A6">
        <w:t xml:space="preserve"> </w:t>
      </w:r>
      <w:r w:rsidRPr="00A979D2">
        <w:t>not</w:t>
      </w:r>
      <w:r w:rsidR="000159A6">
        <w:t xml:space="preserve"> </w:t>
      </w:r>
      <w:r w:rsidRPr="00A979D2">
        <w:t>been</w:t>
      </w:r>
      <w:r w:rsidR="000159A6">
        <w:t xml:space="preserve"> </w:t>
      </w:r>
      <w:r w:rsidRPr="00A979D2">
        <w:t>supplied</w:t>
      </w:r>
      <w:r w:rsidR="000159A6">
        <w:t xml:space="preserve"> </w:t>
      </w:r>
      <w:r w:rsidRPr="00A979D2">
        <w:t>at</w:t>
      </w:r>
      <w:r w:rsidR="000159A6">
        <w:t xml:space="preserve"> </w:t>
      </w:r>
      <w:r w:rsidRPr="00A979D2">
        <w:t>the</w:t>
      </w:r>
      <w:r w:rsidR="000159A6">
        <w:t xml:space="preserve"> </w:t>
      </w:r>
      <w:r w:rsidRPr="00A979D2">
        <w:t>request</w:t>
      </w:r>
      <w:r w:rsidR="000159A6">
        <w:t xml:space="preserve"> </w:t>
      </w:r>
      <w:r w:rsidRPr="00A979D2">
        <w:t>of</w:t>
      </w:r>
      <w:r w:rsidR="000159A6">
        <w:t xml:space="preserve"> </w:t>
      </w:r>
      <w:r w:rsidRPr="00A979D2">
        <w:t>ATAGI.</w:t>
      </w:r>
    </w:p>
    <w:p w14:paraId="42C4DE8C" w14:textId="4E2DA9C2" w:rsidR="00436177" w:rsidRPr="00A979D2" w:rsidRDefault="00A979D2" w:rsidP="00A979D2">
      <w:pPr>
        <w:pStyle w:val="Heading5"/>
      </w:pPr>
      <w:r w:rsidRPr="00A979D2">
        <w:rPr>
          <w:rFonts w:eastAsiaTheme="minorHAnsi"/>
        </w:rPr>
        <w:t>Other</w:t>
      </w:r>
      <w:r w:rsidR="000159A6">
        <w:rPr>
          <w:rFonts w:eastAsiaTheme="minorHAnsi"/>
        </w:rPr>
        <w:t xml:space="preserve"> </w:t>
      </w:r>
      <w:r w:rsidRPr="00A979D2">
        <w:rPr>
          <w:rFonts w:eastAsiaTheme="minorHAnsi"/>
        </w:rPr>
        <w:t>issues</w:t>
      </w:r>
      <w:r w:rsidR="000159A6">
        <w:rPr>
          <w:rFonts w:eastAsiaTheme="minorHAnsi"/>
        </w:rPr>
        <w:t xml:space="preserve"> </w:t>
      </w:r>
      <w:r w:rsidRPr="00A979D2">
        <w:rPr>
          <w:rFonts w:eastAsiaTheme="minorHAnsi"/>
        </w:rPr>
        <w:t>raised</w:t>
      </w:r>
      <w:r w:rsidR="000159A6">
        <w:rPr>
          <w:rFonts w:eastAsiaTheme="minorHAnsi"/>
        </w:rPr>
        <w:t xml:space="preserve"> </w:t>
      </w:r>
      <w:r w:rsidRPr="00A979D2">
        <w:rPr>
          <w:rFonts w:eastAsiaTheme="minorHAnsi"/>
        </w:rPr>
        <w:t>by</w:t>
      </w:r>
      <w:r w:rsidR="000159A6">
        <w:rPr>
          <w:rFonts w:eastAsiaTheme="minorHAnsi"/>
        </w:rPr>
        <w:t xml:space="preserve"> </w:t>
      </w:r>
      <w:r w:rsidRPr="00A979D2">
        <w:rPr>
          <w:rFonts w:eastAsiaTheme="minorHAnsi"/>
        </w:rPr>
        <w:t>the</w:t>
      </w:r>
      <w:r w:rsidR="000159A6">
        <w:rPr>
          <w:rFonts w:eastAsiaTheme="minorHAnsi"/>
        </w:rPr>
        <w:t xml:space="preserve"> </w:t>
      </w:r>
      <w:r w:rsidRPr="00A979D2">
        <w:rPr>
          <w:rFonts w:eastAsiaTheme="minorHAnsi"/>
        </w:rPr>
        <w:t>TGA</w:t>
      </w:r>
      <w:r w:rsidR="000159A6">
        <w:rPr>
          <w:rFonts w:eastAsiaTheme="minorHAnsi"/>
        </w:rPr>
        <w:t xml:space="preserve"> </w:t>
      </w:r>
      <w:r w:rsidRPr="00A979D2">
        <w:rPr>
          <w:rFonts w:eastAsiaTheme="minorHAnsi"/>
        </w:rPr>
        <w:t>Delegate</w:t>
      </w:r>
    </w:p>
    <w:p w14:paraId="3C7E6761" w14:textId="411434CC" w:rsidR="00A979D2" w:rsidRPr="00CF240D" w:rsidRDefault="00A979D2" w:rsidP="00CF240D">
      <w:pPr>
        <w:pStyle w:val="Numberbullet0"/>
        <w:numPr>
          <w:ilvl w:val="0"/>
          <w:numId w:val="36"/>
        </w:numPr>
        <w:rPr>
          <w:i/>
        </w:rPr>
      </w:pPr>
      <w:r w:rsidRPr="00CF240D">
        <w:rPr>
          <w:i/>
        </w:rPr>
        <w:t>There</w:t>
      </w:r>
      <w:r w:rsidR="000159A6" w:rsidRPr="00CF240D">
        <w:rPr>
          <w:i/>
        </w:rPr>
        <w:t xml:space="preserve"> </w:t>
      </w:r>
      <w:r w:rsidRPr="00CF240D">
        <w:rPr>
          <w:i/>
        </w:rPr>
        <w:t>are</w:t>
      </w:r>
      <w:r w:rsidR="000159A6" w:rsidRPr="00CF240D">
        <w:rPr>
          <w:i/>
        </w:rPr>
        <w:t xml:space="preserve"> </w:t>
      </w:r>
      <w:r w:rsidRPr="00CF240D">
        <w:rPr>
          <w:i/>
        </w:rPr>
        <w:t>several</w:t>
      </w:r>
      <w:r w:rsidR="000159A6" w:rsidRPr="00CF240D">
        <w:rPr>
          <w:i/>
        </w:rPr>
        <w:t xml:space="preserve"> </w:t>
      </w:r>
      <w:r w:rsidRPr="00CF240D">
        <w:rPr>
          <w:i/>
        </w:rPr>
        <w:t>areas</w:t>
      </w:r>
      <w:r w:rsidR="000159A6" w:rsidRPr="00CF240D">
        <w:rPr>
          <w:i/>
        </w:rPr>
        <w:t xml:space="preserve"> </w:t>
      </w:r>
      <w:r w:rsidRPr="00CF240D">
        <w:rPr>
          <w:i/>
        </w:rPr>
        <w:t>where</w:t>
      </w:r>
      <w:r w:rsidR="000159A6" w:rsidRPr="00CF240D">
        <w:rPr>
          <w:i/>
        </w:rPr>
        <w:t xml:space="preserve"> </w:t>
      </w:r>
      <w:r w:rsidRPr="00CF240D">
        <w:rPr>
          <w:i/>
        </w:rPr>
        <w:t>data</w:t>
      </w:r>
      <w:r w:rsidR="000159A6" w:rsidRPr="00CF240D">
        <w:rPr>
          <w:i/>
        </w:rPr>
        <w:t xml:space="preserve"> </w:t>
      </w:r>
      <w:r w:rsidRPr="00CF240D">
        <w:rPr>
          <w:i/>
        </w:rPr>
        <w:t>are</w:t>
      </w:r>
      <w:r w:rsidR="000159A6" w:rsidRPr="00CF240D">
        <w:rPr>
          <w:i/>
        </w:rPr>
        <w:t xml:space="preserve"> </w:t>
      </w:r>
      <w:r w:rsidRPr="00CF240D">
        <w:rPr>
          <w:i/>
        </w:rPr>
        <w:t>limited</w:t>
      </w:r>
      <w:r w:rsidR="000159A6" w:rsidRPr="00CF240D">
        <w:rPr>
          <w:i/>
        </w:rPr>
        <w:t xml:space="preserve"> </w:t>
      </w:r>
      <w:r w:rsidRPr="00CF240D">
        <w:rPr>
          <w:i/>
        </w:rPr>
        <w:t>or</w:t>
      </w:r>
      <w:r w:rsidR="000159A6" w:rsidRPr="00CF240D">
        <w:rPr>
          <w:i/>
        </w:rPr>
        <w:t xml:space="preserve"> </w:t>
      </w:r>
      <w:r w:rsidRPr="00CF240D">
        <w:rPr>
          <w:i/>
        </w:rPr>
        <w:t>lacking.</w:t>
      </w:r>
      <w:r w:rsidR="000159A6" w:rsidRPr="00CF240D">
        <w:rPr>
          <w:i/>
        </w:rPr>
        <w:t xml:space="preserve"> </w:t>
      </w:r>
      <w:r w:rsidRPr="00CF240D">
        <w:rPr>
          <w:i/>
        </w:rPr>
        <w:t>These</w:t>
      </w:r>
      <w:r w:rsidR="000159A6" w:rsidRPr="00CF240D">
        <w:rPr>
          <w:i/>
        </w:rPr>
        <w:t xml:space="preserve"> </w:t>
      </w:r>
      <w:r w:rsidRPr="00CF240D">
        <w:rPr>
          <w:i/>
        </w:rPr>
        <w:t>include:</w:t>
      </w:r>
    </w:p>
    <w:p w14:paraId="44300F29" w14:textId="431A71E6" w:rsidR="00A979D2" w:rsidRPr="00CF240D" w:rsidRDefault="00A979D2" w:rsidP="00CF240D">
      <w:pPr>
        <w:pStyle w:val="ListBullet2"/>
      </w:pPr>
      <w:r w:rsidRPr="00CF240D">
        <w:t>data</w:t>
      </w:r>
      <w:r w:rsidR="000159A6" w:rsidRPr="00CF240D">
        <w:t xml:space="preserve"> </w:t>
      </w:r>
      <w:r w:rsidRPr="00CF240D">
        <w:t>on</w:t>
      </w:r>
      <w:r w:rsidR="000159A6" w:rsidRPr="00CF240D">
        <w:t xml:space="preserve"> </w:t>
      </w:r>
      <w:r w:rsidRPr="00CF240D">
        <w:t>seronegative</w:t>
      </w:r>
      <w:r w:rsidR="000159A6" w:rsidRPr="00CF240D">
        <w:t xml:space="preserve"> </w:t>
      </w:r>
      <w:r w:rsidRPr="00CF240D">
        <w:t>(VZV</w:t>
      </w:r>
      <w:r w:rsidR="000159A6" w:rsidRPr="00CF240D">
        <w:t xml:space="preserve"> </w:t>
      </w:r>
      <w:r w:rsidRPr="00CF240D">
        <w:t>naïve)</w:t>
      </w:r>
      <w:r w:rsidR="000159A6" w:rsidRPr="00CF240D">
        <w:t xml:space="preserve"> </w:t>
      </w:r>
      <w:r w:rsidRPr="00CF240D">
        <w:t>individuals</w:t>
      </w:r>
    </w:p>
    <w:p w14:paraId="277CACCB" w14:textId="0595B540" w:rsidR="00A979D2" w:rsidRPr="00CF240D" w:rsidRDefault="00A979D2" w:rsidP="00CF240D">
      <w:pPr>
        <w:pStyle w:val="ListBullet2"/>
      </w:pPr>
      <w:r w:rsidRPr="00CF240D">
        <w:t>data</w:t>
      </w:r>
      <w:r w:rsidR="000159A6" w:rsidRPr="00CF240D">
        <w:t xml:space="preserve"> </w:t>
      </w:r>
      <w:r w:rsidRPr="00CF240D">
        <w:t>on</w:t>
      </w:r>
      <w:r w:rsidR="000159A6" w:rsidRPr="00CF240D">
        <w:t xml:space="preserve"> </w:t>
      </w:r>
      <w:r w:rsidRPr="00CF240D">
        <w:t>individuals</w:t>
      </w:r>
      <w:r w:rsidR="000159A6" w:rsidRPr="00CF240D">
        <w:t xml:space="preserve"> </w:t>
      </w:r>
      <w:r w:rsidRPr="00CF240D">
        <w:t>who</w:t>
      </w:r>
      <w:r w:rsidR="000159A6" w:rsidRPr="00CF240D">
        <w:t xml:space="preserve"> </w:t>
      </w:r>
      <w:r w:rsidRPr="00CF240D">
        <w:t>have</w:t>
      </w:r>
      <w:r w:rsidR="000159A6" w:rsidRPr="00CF240D">
        <w:t xml:space="preserve"> </w:t>
      </w:r>
      <w:r w:rsidRPr="00CF240D">
        <w:t>received</w:t>
      </w:r>
      <w:r w:rsidR="000159A6" w:rsidRPr="00CF240D">
        <w:t xml:space="preserve"> </w:t>
      </w:r>
      <w:r w:rsidRPr="00CF240D">
        <w:t>Zostavax;</w:t>
      </w:r>
    </w:p>
    <w:p w14:paraId="13D988A7" w14:textId="195CF19F" w:rsidR="00A979D2" w:rsidRPr="00CF240D" w:rsidRDefault="00A979D2" w:rsidP="00CF240D">
      <w:pPr>
        <w:pStyle w:val="ListBullet2"/>
      </w:pPr>
      <w:r w:rsidRPr="00CF240D">
        <w:t>data</w:t>
      </w:r>
      <w:r w:rsidR="000159A6" w:rsidRPr="00CF240D">
        <w:t xml:space="preserve"> </w:t>
      </w:r>
      <w:r w:rsidRPr="00CF240D">
        <w:t>on</w:t>
      </w:r>
      <w:r w:rsidR="000159A6" w:rsidRPr="00CF240D">
        <w:t xml:space="preserve"> </w:t>
      </w:r>
      <w:r w:rsidRPr="00CF240D">
        <w:t>individuals</w:t>
      </w:r>
      <w:r w:rsidR="000159A6" w:rsidRPr="00CF240D">
        <w:t xml:space="preserve"> </w:t>
      </w:r>
      <w:r w:rsidRPr="00CF240D">
        <w:t>with</w:t>
      </w:r>
      <w:r w:rsidR="000159A6" w:rsidRPr="00CF240D">
        <w:t xml:space="preserve"> </w:t>
      </w:r>
      <w:r w:rsidRPr="00CF240D">
        <w:t>a</w:t>
      </w:r>
      <w:r w:rsidR="000159A6" w:rsidRPr="00CF240D">
        <w:t xml:space="preserve"> </w:t>
      </w:r>
      <w:r w:rsidRPr="00CF240D">
        <w:t>history</w:t>
      </w:r>
      <w:r w:rsidR="000159A6" w:rsidRPr="00CF240D">
        <w:t xml:space="preserve"> </w:t>
      </w:r>
      <w:r w:rsidRPr="00CF240D">
        <w:t>of</w:t>
      </w:r>
      <w:r w:rsidR="000159A6" w:rsidRPr="00CF240D">
        <w:t xml:space="preserve"> </w:t>
      </w:r>
      <w:r w:rsidRPr="00CF240D">
        <w:t>herpes</w:t>
      </w:r>
      <w:r w:rsidR="000159A6" w:rsidRPr="00CF240D">
        <w:t xml:space="preserve"> </w:t>
      </w:r>
      <w:r w:rsidRPr="00CF240D">
        <w:t>zoster</w:t>
      </w:r>
    </w:p>
    <w:p w14:paraId="09DBB13F" w14:textId="49106844" w:rsidR="00A979D2" w:rsidRPr="00CF240D" w:rsidRDefault="00A979D2" w:rsidP="00CF240D">
      <w:pPr>
        <w:pStyle w:val="ListBullet2"/>
      </w:pPr>
      <w:r w:rsidRPr="00CF240D">
        <w:t>data</w:t>
      </w:r>
      <w:r w:rsidR="000159A6" w:rsidRPr="00CF240D">
        <w:t xml:space="preserve"> </w:t>
      </w:r>
      <w:r w:rsidRPr="00CF240D">
        <w:t>on</w:t>
      </w:r>
      <w:r w:rsidR="000159A6" w:rsidRPr="00CF240D">
        <w:t xml:space="preserve"> </w:t>
      </w:r>
      <w:r w:rsidRPr="00CF240D">
        <w:t>the</w:t>
      </w:r>
      <w:r w:rsidR="000159A6" w:rsidRPr="00CF240D">
        <w:t xml:space="preserve"> </w:t>
      </w:r>
      <w:r w:rsidRPr="00CF240D">
        <w:t>duration</w:t>
      </w:r>
      <w:r w:rsidR="000159A6" w:rsidRPr="00CF240D">
        <w:t xml:space="preserve"> </w:t>
      </w:r>
      <w:r w:rsidRPr="00CF240D">
        <w:t>of</w:t>
      </w:r>
      <w:r w:rsidR="000159A6" w:rsidRPr="00CF240D">
        <w:t xml:space="preserve"> </w:t>
      </w:r>
      <w:r w:rsidRPr="00CF240D">
        <w:t>protection</w:t>
      </w:r>
      <w:r w:rsidR="000159A6" w:rsidRPr="00CF240D">
        <w:t xml:space="preserve"> </w:t>
      </w:r>
      <w:r w:rsidRPr="00CF240D">
        <w:t>beyond</w:t>
      </w:r>
      <w:r w:rsidR="000159A6" w:rsidRPr="00CF240D">
        <w:t xml:space="preserve"> </w:t>
      </w:r>
      <w:r w:rsidRPr="00CF240D">
        <w:t>4</w:t>
      </w:r>
      <w:r w:rsidR="000159A6" w:rsidRPr="00CF240D">
        <w:t xml:space="preserve"> </w:t>
      </w:r>
      <w:r w:rsidRPr="00CF240D">
        <w:t>years</w:t>
      </w:r>
      <w:r w:rsidR="000159A6" w:rsidRPr="00CF240D">
        <w:t xml:space="preserve"> </w:t>
      </w:r>
      <w:r w:rsidRPr="00CF240D">
        <w:t>and</w:t>
      </w:r>
      <w:r w:rsidR="000159A6" w:rsidRPr="00CF240D">
        <w:t xml:space="preserve"> </w:t>
      </w:r>
      <w:r w:rsidRPr="00CF240D">
        <w:t>the</w:t>
      </w:r>
      <w:r w:rsidR="000159A6" w:rsidRPr="00CF240D">
        <w:t xml:space="preserve"> </w:t>
      </w:r>
      <w:r w:rsidRPr="00CF240D">
        <w:t>need</w:t>
      </w:r>
      <w:r w:rsidR="000159A6" w:rsidRPr="00CF240D">
        <w:t xml:space="preserve"> </w:t>
      </w:r>
      <w:r w:rsidRPr="00CF240D">
        <w:t>for</w:t>
      </w:r>
      <w:r w:rsidR="000159A6" w:rsidRPr="00CF240D">
        <w:t xml:space="preserve"> </w:t>
      </w:r>
      <w:r w:rsidRPr="00CF240D">
        <w:t>booster</w:t>
      </w:r>
      <w:r w:rsidR="000159A6" w:rsidRPr="00CF240D">
        <w:t xml:space="preserve"> </w:t>
      </w:r>
      <w:r w:rsidRPr="00CF240D">
        <w:t>vaccination;</w:t>
      </w:r>
    </w:p>
    <w:p w14:paraId="3182B23E" w14:textId="2C63CF5B" w:rsidR="00A979D2" w:rsidRPr="00951608" w:rsidRDefault="00A979D2" w:rsidP="00CF240D">
      <w:pPr>
        <w:pStyle w:val="ListBullet2"/>
      </w:pPr>
      <w:r w:rsidRPr="00CF240D">
        <w:t>data</w:t>
      </w:r>
      <w:r w:rsidR="000159A6" w:rsidRPr="00CF240D">
        <w:t xml:space="preserve"> </w:t>
      </w:r>
      <w:r w:rsidRPr="00951608">
        <w:t>on</w:t>
      </w:r>
      <w:r w:rsidR="000159A6">
        <w:t xml:space="preserve"> </w:t>
      </w:r>
      <w:r w:rsidRPr="00951608">
        <w:t>immunocompromised</w:t>
      </w:r>
      <w:r w:rsidR="000159A6">
        <w:t xml:space="preserve"> </w:t>
      </w:r>
      <w:r w:rsidRPr="00951608">
        <w:t>population</w:t>
      </w:r>
    </w:p>
    <w:p w14:paraId="71C09B69" w14:textId="34334FE2" w:rsidR="00A979D2" w:rsidRPr="00A979D2" w:rsidRDefault="00332E3D" w:rsidP="002E1097">
      <w:r>
        <w:t>The</w:t>
      </w:r>
      <w:r w:rsidR="000159A6">
        <w:t xml:space="preserve"> </w:t>
      </w:r>
      <w:r>
        <w:t>sponsor</w:t>
      </w:r>
      <w:r w:rsidR="000159A6">
        <w:t xml:space="preserve"> </w:t>
      </w:r>
      <w:r w:rsidR="00A979D2" w:rsidRPr="00A979D2">
        <w:t>has</w:t>
      </w:r>
      <w:r w:rsidR="000159A6">
        <w:t xml:space="preserve"> </w:t>
      </w:r>
      <w:r w:rsidR="00A979D2" w:rsidRPr="00A979D2">
        <w:t>addressed</w:t>
      </w:r>
      <w:r w:rsidR="000159A6">
        <w:t xml:space="preserve"> </w:t>
      </w:r>
      <w:r w:rsidR="00A979D2" w:rsidRPr="00A979D2">
        <w:t>each</w:t>
      </w:r>
      <w:r w:rsidR="000159A6">
        <w:t xml:space="preserve"> </w:t>
      </w:r>
      <w:r w:rsidR="00A979D2" w:rsidRPr="00A979D2">
        <w:t>of</w:t>
      </w:r>
      <w:r w:rsidR="000159A6">
        <w:t xml:space="preserve"> </w:t>
      </w:r>
      <w:r w:rsidR="00A979D2" w:rsidRPr="00A979D2">
        <w:t>these</w:t>
      </w:r>
      <w:r w:rsidR="000159A6">
        <w:t xml:space="preserve"> </w:t>
      </w:r>
      <w:r w:rsidR="00A979D2" w:rsidRPr="00A979D2">
        <w:t>points</w:t>
      </w:r>
      <w:r w:rsidR="000159A6">
        <w:t xml:space="preserve"> </w:t>
      </w:r>
      <w:r w:rsidR="00A979D2" w:rsidRPr="00A979D2">
        <w:t>below:</w:t>
      </w:r>
    </w:p>
    <w:p w14:paraId="5706E1AA" w14:textId="490224F8" w:rsidR="00A979D2" w:rsidRPr="00A979D2" w:rsidRDefault="00A979D2" w:rsidP="00A979D2">
      <w:r w:rsidRPr="00A979D2">
        <w:rPr>
          <w:i/>
        </w:rPr>
        <w:lastRenderedPageBreak/>
        <w:t>Data</w:t>
      </w:r>
      <w:r w:rsidR="000159A6">
        <w:rPr>
          <w:i/>
        </w:rPr>
        <w:t xml:space="preserve"> </w:t>
      </w:r>
      <w:r w:rsidRPr="00A979D2">
        <w:rPr>
          <w:i/>
        </w:rPr>
        <w:t>on</w:t>
      </w:r>
      <w:r w:rsidR="000159A6">
        <w:rPr>
          <w:i/>
        </w:rPr>
        <w:t xml:space="preserve"> </w:t>
      </w:r>
      <w:r w:rsidRPr="00A979D2">
        <w:rPr>
          <w:i/>
        </w:rPr>
        <w:t>seronegative</w:t>
      </w:r>
      <w:r w:rsidR="000159A6">
        <w:rPr>
          <w:i/>
        </w:rPr>
        <w:t xml:space="preserve"> </w:t>
      </w:r>
      <w:r w:rsidRPr="00A979D2">
        <w:rPr>
          <w:i/>
        </w:rPr>
        <w:t>(VZV</w:t>
      </w:r>
      <w:r w:rsidR="000159A6">
        <w:rPr>
          <w:i/>
        </w:rPr>
        <w:t xml:space="preserve"> </w:t>
      </w:r>
      <w:r w:rsidRPr="00A979D2">
        <w:rPr>
          <w:i/>
        </w:rPr>
        <w:t>naïve)</w:t>
      </w:r>
      <w:r w:rsidR="000159A6">
        <w:rPr>
          <w:i/>
        </w:rPr>
        <w:t xml:space="preserve"> </w:t>
      </w:r>
      <w:r w:rsidRPr="00A979D2">
        <w:rPr>
          <w:i/>
        </w:rPr>
        <w:t>individuals</w:t>
      </w:r>
      <w:r w:rsidR="00332E3D">
        <w:rPr>
          <w:i/>
        </w:rPr>
        <w:t>:</w:t>
      </w:r>
      <w:r w:rsidR="000159A6">
        <w:t xml:space="preserve"> </w:t>
      </w:r>
      <w:r w:rsidR="00332E3D">
        <w:t>Studies</w:t>
      </w:r>
      <w:r w:rsidR="000159A6">
        <w:t xml:space="preserve"> </w:t>
      </w:r>
      <w:r w:rsidR="00077B4F">
        <w:t>ZOSTER-006</w:t>
      </w:r>
      <w:r w:rsidR="000159A6">
        <w:t xml:space="preserve"> </w:t>
      </w:r>
      <w:r w:rsidRPr="00A979D2">
        <w:t>and</w:t>
      </w:r>
      <w:r w:rsidR="000159A6">
        <w:t xml:space="preserve"> </w:t>
      </w:r>
      <w:r w:rsidR="00077B4F">
        <w:t>ZOSTER-022</w:t>
      </w:r>
      <w:r w:rsidR="000159A6">
        <w:t xml:space="preserve"> </w:t>
      </w:r>
      <w:r w:rsidRPr="00A979D2">
        <w:t>were</w:t>
      </w:r>
      <w:r w:rsidR="000159A6">
        <w:t xml:space="preserve"> </w:t>
      </w:r>
      <w:r w:rsidRPr="00A979D2">
        <w:t>not</w:t>
      </w:r>
      <w:r w:rsidR="000159A6">
        <w:t xml:space="preserve"> </w:t>
      </w:r>
      <w:r w:rsidRPr="00A979D2">
        <w:t>designed</w:t>
      </w:r>
      <w:r w:rsidR="000159A6">
        <w:t xml:space="preserve"> </w:t>
      </w:r>
      <w:r w:rsidRPr="00A979D2">
        <w:t>to</w:t>
      </w:r>
      <w:r w:rsidR="000159A6">
        <w:t xml:space="preserve"> </w:t>
      </w:r>
      <w:r w:rsidRPr="00A979D2">
        <w:t>assess</w:t>
      </w:r>
      <w:r w:rsidR="000159A6">
        <w:t xml:space="preserve"> </w:t>
      </w:r>
      <w:r w:rsidRPr="00A979D2">
        <w:t>the</w:t>
      </w:r>
      <w:r w:rsidR="000159A6">
        <w:t xml:space="preserve"> </w:t>
      </w:r>
      <w:r w:rsidRPr="00A979D2">
        <w:t>immunogenicit</w:t>
      </w:r>
      <w:r>
        <w:t>y,</w:t>
      </w:r>
      <w:r w:rsidR="000159A6">
        <w:t xml:space="preserve"> </w:t>
      </w:r>
      <w:r>
        <w:t>safety</w:t>
      </w:r>
      <w:r w:rsidR="000159A6">
        <w:t xml:space="preserve"> </w:t>
      </w:r>
      <w:r>
        <w:t>and</w:t>
      </w:r>
      <w:r w:rsidR="000159A6">
        <w:t xml:space="preserve"> </w:t>
      </w:r>
      <w:r>
        <w:t>efficacy</w:t>
      </w:r>
      <w:r w:rsidR="000159A6">
        <w:t xml:space="preserve"> </w:t>
      </w:r>
      <w:r>
        <w:t>of</w:t>
      </w:r>
      <w:r w:rsidR="000159A6">
        <w:t xml:space="preserve"> </w:t>
      </w:r>
      <w:r>
        <w:t>HZ/</w:t>
      </w:r>
      <w:proofErr w:type="spellStart"/>
      <w:r>
        <w:t>su</w:t>
      </w:r>
      <w:proofErr w:type="spellEnd"/>
      <w:r w:rsidR="000159A6">
        <w:t xml:space="preserve"> </w:t>
      </w:r>
      <w:r w:rsidRPr="00A979D2">
        <w:t>in</w:t>
      </w:r>
      <w:r w:rsidR="000159A6">
        <w:t xml:space="preserve"> </w:t>
      </w:r>
      <w:r w:rsidRPr="00A979D2">
        <w:t>seronegative</w:t>
      </w:r>
      <w:r w:rsidR="000159A6">
        <w:t xml:space="preserve"> </w:t>
      </w:r>
      <w:r w:rsidRPr="00A979D2">
        <w:t>patients,</w:t>
      </w:r>
      <w:r w:rsidR="000159A6">
        <w:t xml:space="preserve"> </w:t>
      </w:r>
      <w:r w:rsidRPr="00A979D2">
        <w:t>as</w:t>
      </w:r>
      <w:r w:rsidR="000159A6">
        <w:t xml:space="preserve"> </w:t>
      </w:r>
      <w:r w:rsidRPr="00A979D2">
        <w:t>a</w:t>
      </w:r>
      <w:r w:rsidR="000159A6">
        <w:t xml:space="preserve"> </w:t>
      </w:r>
      <w:r w:rsidRPr="00A979D2">
        <w:t>primary</w:t>
      </w:r>
      <w:r w:rsidR="000159A6">
        <w:t xml:space="preserve"> </w:t>
      </w:r>
      <w:r w:rsidRPr="00A979D2">
        <w:t>infection</w:t>
      </w:r>
      <w:r w:rsidR="000159A6">
        <w:t xml:space="preserve"> </w:t>
      </w:r>
      <w:r w:rsidRPr="00A979D2">
        <w:t>with</w:t>
      </w:r>
      <w:r w:rsidR="000159A6">
        <w:t xml:space="preserve"> </w:t>
      </w:r>
      <w:r w:rsidRPr="00A979D2">
        <w:t>either</w:t>
      </w:r>
      <w:r w:rsidR="000159A6">
        <w:t xml:space="preserve"> </w:t>
      </w:r>
      <w:r w:rsidRPr="00A979D2">
        <w:t>wild-type</w:t>
      </w:r>
      <w:r w:rsidR="000159A6">
        <w:t xml:space="preserve"> </w:t>
      </w:r>
      <w:r w:rsidRPr="00A979D2">
        <w:t>or</w:t>
      </w:r>
      <w:r w:rsidR="000159A6">
        <w:t xml:space="preserve"> </w:t>
      </w:r>
      <w:r w:rsidRPr="00A979D2">
        <w:t>vaccine-type</w:t>
      </w:r>
      <w:r w:rsidR="000159A6">
        <w:t xml:space="preserve"> </w:t>
      </w:r>
      <w:r w:rsidRPr="00A979D2">
        <w:t>VZV</w:t>
      </w:r>
      <w:r w:rsidR="000159A6">
        <w:t xml:space="preserve"> </w:t>
      </w:r>
      <w:r w:rsidRPr="00A979D2">
        <w:t>is</w:t>
      </w:r>
      <w:r w:rsidR="000159A6">
        <w:t xml:space="preserve"> </w:t>
      </w:r>
      <w:r w:rsidRPr="00A979D2">
        <w:t>a</w:t>
      </w:r>
      <w:r w:rsidR="000159A6">
        <w:t xml:space="preserve"> </w:t>
      </w:r>
      <w:r w:rsidRPr="00A979D2">
        <w:t>prerequisite</w:t>
      </w:r>
      <w:r w:rsidR="000159A6">
        <w:t xml:space="preserve"> </w:t>
      </w:r>
      <w:r w:rsidRPr="00A979D2">
        <w:t>for</w:t>
      </w:r>
      <w:r w:rsidR="000159A6">
        <w:t xml:space="preserve"> </w:t>
      </w:r>
      <w:r w:rsidRPr="00A979D2">
        <w:t>developing</w:t>
      </w:r>
      <w:r w:rsidR="000159A6">
        <w:t xml:space="preserve"> </w:t>
      </w:r>
      <w:r w:rsidRPr="00A979D2">
        <w:t>HZ</w:t>
      </w:r>
      <w:r w:rsidR="00733CE8">
        <w:t>.</w:t>
      </w:r>
      <w:r w:rsidR="00733CE8">
        <w:rPr>
          <w:rStyle w:val="FootnoteReference"/>
        </w:rPr>
        <w:footnoteReference w:id="16"/>
      </w:r>
      <w:r w:rsidR="000159A6">
        <w:t xml:space="preserve"> </w:t>
      </w:r>
      <w:r w:rsidRPr="00A979D2">
        <w:t>Limited</w:t>
      </w:r>
      <w:r w:rsidR="000159A6">
        <w:t xml:space="preserve"> </w:t>
      </w:r>
      <w:r w:rsidRPr="00A979D2">
        <w:t>clinical</w:t>
      </w:r>
      <w:r w:rsidR="000159A6">
        <w:t xml:space="preserve"> </w:t>
      </w:r>
      <w:r w:rsidRPr="00A979D2">
        <w:t>data</w:t>
      </w:r>
      <w:r w:rsidR="000159A6">
        <w:t xml:space="preserve"> </w:t>
      </w:r>
      <w:r w:rsidRPr="00A979D2">
        <w:t>are</w:t>
      </w:r>
      <w:r w:rsidR="000159A6">
        <w:t xml:space="preserve"> </w:t>
      </w:r>
      <w:r w:rsidRPr="00A979D2">
        <w:t>available</w:t>
      </w:r>
      <w:r w:rsidR="000159A6">
        <w:t xml:space="preserve"> </w:t>
      </w:r>
      <w:r w:rsidRPr="00A979D2">
        <w:t>on</w:t>
      </w:r>
      <w:r w:rsidR="000159A6">
        <w:t xml:space="preserve"> </w:t>
      </w:r>
      <w:r w:rsidRPr="00A979D2">
        <w:t>the</w:t>
      </w:r>
      <w:r w:rsidR="000159A6">
        <w:t xml:space="preserve"> </w:t>
      </w:r>
      <w:r w:rsidRPr="00A979D2">
        <w:t>VZV</w:t>
      </w:r>
      <w:r w:rsidR="000159A6">
        <w:t xml:space="preserve"> </w:t>
      </w:r>
      <w:r w:rsidRPr="00A979D2">
        <w:t>immune</w:t>
      </w:r>
      <w:r w:rsidR="000159A6">
        <w:t xml:space="preserve"> </w:t>
      </w:r>
      <w:r w:rsidRPr="00A979D2">
        <w:t>status</w:t>
      </w:r>
      <w:r w:rsidR="000159A6">
        <w:t xml:space="preserve"> </w:t>
      </w:r>
      <w:r w:rsidRPr="00A979D2">
        <w:t>of</w:t>
      </w:r>
      <w:r w:rsidR="000159A6">
        <w:t xml:space="preserve"> </w:t>
      </w:r>
      <w:r w:rsidRPr="00A979D2">
        <w:t>subjects</w:t>
      </w:r>
      <w:r w:rsidR="000159A6">
        <w:t xml:space="preserve"> </w:t>
      </w:r>
      <w:r w:rsidRPr="00A979D2">
        <w:t>enrolled</w:t>
      </w:r>
      <w:r w:rsidR="000159A6">
        <w:t xml:space="preserve"> </w:t>
      </w:r>
      <w:r w:rsidRPr="00A979D2">
        <w:t>in</w:t>
      </w:r>
      <w:r w:rsidR="000159A6">
        <w:t xml:space="preserve"> </w:t>
      </w:r>
      <w:r w:rsidRPr="00A979D2">
        <w:t>the</w:t>
      </w:r>
      <w:r w:rsidR="000159A6">
        <w:t xml:space="preserve"> </w:t>
      </w:r>
      <w:r w:rsidRPr="00A979D2">
        <w:t>two</w:t>
      </w:r>
      <w:r w:rsidR="000159A6">
        <w:t xml:space="preserve"> </w:t>
      </w:r>
      <w:r w:rsidRPr="00A979D2">
        <w:t>pivotal</w:t>
      </w:r>
      <w:r w:rsidR="000159A6">
        <w:t xml:space="preserve"> </w:t>
      </w:r>
      <w:r w:rsidRPr="00A979D2">
        <w:t>clinical</w:t>
      </w:r>
      <w:r w:rsidR="000159A6">
        <w:t xml:space="preserve"> </w:t>
      </w:r>
      <w:r w:rsidRPr="00A979D2">
        <w:t>studies</w:t>
      </w:r>
      <w:r w:rsidR="000159A6">
        <w:t xml:space="preserve"> </w:t>
      </w:r>
      <w:r w:rsidRPr="00A979D2">
        <w:t>however</w:t>
      </w:r>
      <w:r w:rsidR="000159A6">
        <w:t xml:space="preserve"> </w:t>
      </w:r>
      <w:r w:rsidRPr="00A979D2">
        <w:t>less</w:t>
      </w:r>
      <w:r w:rsidR="000159A6">
        <w:t xml:space="preserve"> </w:t>
      </w:r>
      <w:r w:rsidRPr="00A979D2">
        <w:t>than</w:t>
      </w:r>
      <w:r w:rsidR="000159A6">
        <w:t xml:space="preserve"> </w:t>
      </w:r>
      <w:r w:rsidRPr="00A979D2">
        <w:t>1%</w:t>
      </w:r>
      <w:r w:rsidR="000159A6">
        <w:t xml:space="preserve"> </w:t>
      </w:r>
      <w:r w:rsidRPr="00A979D2">
        <w:t>of</w:t>
      </w:r>
      <w:r w:rsidR="000159A6">
        <w:t xml:space="preserve"> </w:t>
      </w:r>
      <w:r w:rsidRPr="00A979D2">
        <w:t>subjects</w:t>
      </w:r>
      <w:r w:rsidR="000159A6">
        <w:t xml:space="preserve"> </w:t>
      </w:r>
      <w:r>
        <w:t>that</w:t>
      </w:r>
      <w:r w:rsidR="000159A6">
        <w:t xml:space="preserve"> </w:t>
      </w:r>
      <w:r>
        <w:t>were</w:t>
      </w:r>
      <w:r w:rsidR="000159A6">
        <w:t xml:space="preserve"> </w:t>
      </w:r>
      <w:r>
        <w:t>tested</w:t>
      </w:r>
      <w:r w:rsidR="000159A6">
        <w:t xml:space="preserve"> </w:t>
      </w:r>
      <w:r>
        <w:t>in</w:t>
      </w:r>
      <w:r w:rsidR="000159A6">
        <w:t xml:space="preserve"> </w:t>
      </w:r>
      <w:r>
        <w:t>the</w:t>
      </w:r>
      <w:r w:rsidR="000159A6">
        <w:t xml:space="preserve"> </w:t>
      </w:r>
      <w:r>
        <w:t>humoral</w:t>
      </w:r>
      <w:r w:rsidR="000159A6">
        <w:t xml:space="preserve"> </w:t>
      </w:r>
      <w:r w:rsidRPr="00A979D2">
        <w:t>immuno</w:t>
      </w:r>
      <w:r w:rsidR="00733CE8">
        <w:t>-</w:t>
      </w:r>
      <w:r w:rsidRPr="00A979D2">
        <w:t>subset</w:t>
      </w:r>
      <w:r w:rsidR="000159A6">
        <w:t xml:space="preserve"> </w:t>
      </w:r>
      <w:r w:rsidRPr="00A979D2">
        <w:t>were</w:t>
      </w:r>
      <w:r w:rsidR="000159A6">
        <w:t xml:space="preserve"> </w:t>
      </w:r>
      <w:r w:rsidRPr="00A979D2">
        <w:t>VZV</w:t>
      </w:r>
      <w:r w:rsidR="000159A6">
        <w:t xml:space="preserve"> </w:t>
      </w:r>
      <w:r w:rsidRPr="00A979D2">
        <w:t>seronegative</w:t>
      </w:r>
      <w:r w:rsidR="000159A6">
        <w:t xml:space="preserve"> </w:t>
      </w:r>
      <w:r w:rsidRPr="00A979D2">
        <w:t>at</w:t>
      </w:r>
      <w:r w:rsidR="000159A6">
        <w:t xml:space="preserve"> </w:t>
      </w:r>
      <w:r w:rsidRPr="00A979D2">
        <w:t>baseline.</w:t>
      </w:r>
    </w:p>
    <w:p w14:paraId="0207AE9E" w14:textId="4D5C8BDF" w:rsidR="00436177" w:rsidRPr="00A979D2" w:rsidRDefault="00A979D2" w:rsidP="002E1097">
      <w:r w:rsidRPr="00A979D2">
        <w:rPr>
          <w:i/>
        </w:rPr>
        <w:t>Data</w:t>
      </w:r>
      <w:r w:rsidR="000159A6">
        <w:rPr>
          <w:i/>
        </w:rPr>
        <w:t xml:space="preserve"> </w:t>
      </w:r>
      <w:r w:rsidRPr="00A979D2">
        <w:rPr>
          <w:i/>
        </w:rPr>
        <w:t>on</w:t>
      </w:r>
      <w:r w:rsidR="000159A6">
        <w:rPr>
          <w:i/>
        </w:rPr>
        <w:t xml:space="preserve"> </w:t>
      </w:r>
      <w:r w:rsidRPr="00A979D2">
        <w:rPr>
          <w:i/>
        </w:rPr>
        <w:t>individuals</w:t>
      </w:r>
      <w:r w:rsidR="000159A6">
        <w:rPr>
          <w:i/>
        </w:rPr>
        <w:t xml:space="preserve"> </w:t>
      </w:r>
      <w:r w:rsidRPr="00A979D2">
        <w:rPr>
          <w:i/>
        </w:rPr>
        <w:t>who</w:t>
      </w:r>
      <w:r w:rsidR="000159A6">
        <w:rPr>
          <w:i/>
        </w:rPr>
        <w:t xml:space="preserve"> </w:t>
      </w:r>
      <w:r w:rsidRPr="00A979D2">
        <w:rPr>
          <w:i/>
        </w:rPr>
        <w:t>have</w:t>
      </w:r>
      <w:r w:rsidR="000159A6">
        <w:rPr>
          <w:i/>
        </w:rPr>
        <w:t xml:space="preserve"> </w:t>
      </w:r>
      <w:r w:rsidRPr="00A979D2">
        <w:rPr>
          <w:i/>
        </w:rPr>
        <w:t>received</w:t>
      </w:r>
      <w:r w:rsidR="000159A6">
        <w:rPr>
          <w:i/>
        </w:rPr>
        <w:t xml:space="preserve"> </w:t>
      </w:r>
      <w:r w:rsidRPr="00A979D2">
        <w:rPr>
          <w:i/>
        </w:rPr>
        <w:t>Zostavax</w:t>
      </w:r>
      <w:r w:rsidR="00332E3D">
        <w:t>:</w:t>
      </w:r>
      <w:r w:rsidR="000159A6">
        <w:t xml:space="preserve"> </w:t>
      </w:r>
      <w:r w:rsidR="00525235">
        <w:t>Study</w:t>
      </w:r>
      <w:r w:rsidR="000159A6">
        <w:t xml:space="preserve"> </w:t>
      </w:r>
      <w:r w:rsidR="00525235">
        <w:t>ZOSTER</w:t>
      </w:r>
      <w:r w:rsidRPr="00A979D2">
        <w:t>-048</w:t>
      </w:r>
      <w:r w:rsidR="000159A6">
        <w:t xml:space="preserve"> </w:t>
      </w:r>
      <w:r w:rsidRPr="00A979D2">
        <w:t>was</w:t>
      </w:r>
      <w:r w:rsidR="000159A6">
        <w:t xml:space="preserve"> </w:t>
      </w:r>
      <w:r w:rsidRPr="00A979D2">
        <w:t>designed</w:t>
      </w:r>
      <w:r w:rsidR="000159A6">
        <w:t xml:space="preserve"> </w:t>
      </w:r>
      <w:r w:rsidRPr="00A979D2">
        <w:t>to</w:t>
      </w:r>
      <w:r w:rsidR="000159A6">
        <w:t xml:space="preserve"> </w:t>
      </w:r>
      <w:r w:rsidRPr="00A979D2">
        <w:t>evaluate</w:t>
      </w:r>
      <w:r w:rsidR="000159A6">
        <w:t xml:space="preserve"> </w:t>
      </w:r>
      <w:r w:rsidRPr="00A979D2">
        <w:t>the</w:t>
      </w:r>
      <w:r w:rsidR="000159A6">
        <w:t xml:space="preserve"> </w:t>
      </w:r>
      <w:r w:rsidRPr="00A979D2">
        <w:t>immunogenicity,</w:t>
      </w:r>
      <w:r w:rsidR="000159A6">
        <w:t xml:space="preserve"> </w:t>
      </w:r>
      <w:r w:rsidRPr="00A979D2">
        <w:t>safety,</w:t>
      </w:r>
      <w:r w:rsidR="000159A6">
        <w:t xml:space="preserve"> </w:t>
      </w:r>
      <w:r w:rsidRPr="00A979D2">
        <w:t>and</w:t>
      </w:r>
      <w:r w:rsidR="000159A6">
        <w:t xml:space="preserve"> </w:t>
      </w:r>
      <w:proofErr w:type="spellStart"/>
      <w:r w:rsidRPr="00A979D2">
        <w:t>reac</w:t>
      </w:r>
      <w:r>
        <w:t>togenicity</w:t>
      </w:r>
      <w:proofErr w:type="spellEnd"/>
      <w:r w:rsidR="000159A6">
        <w:t xml:space="preserve"> </w:t>
      </w:r>
      <w:r>
        <w:t>of</w:t>
      </w:r>
      <w:r w:rsidR="000159A6">
        <w:t xml:space="preserve"> </w:t>
      </w:r>
      <w:r>
        <w:t>HZ/</w:t>
      </w:r>
      <w:proofErr w:type="spellStart"/>
      <w:r>
        <w:t>su</w:t>
      </w:r>
      <w:proofErr w:type="spellEnd"/>
      <w:r w:rsidR="000159A6">
        <w:t xml:space="preserve"> </w:t>
      </w:r>
      <w:r>
        <w:t>in</w:t>
      </w:r>
      <w:r w:rsidR="000159A6">
        <w:t xml:space="preserve"> </w:t>
      </w:r>
      <w:proofErr w:type="gramStart"/>
      <w:r>
        <w:t>adults</w:t>
      </w:r>
      <w:proofErr w:type="gramEnd"/>
      <w:r w:rsidR="000159A6">
        <w:t xml:space="preserve"> </w:t>
      </w:r>
      <w:r w:rsidR="0037169B">
        <w:t>≥</w:t>
      </w:r>
      <w:r w:rsidR="000159A6">
        <w:t xml:space="preserve"> </w:t>
      </w:r>
      <w:r w:rsidRPr="00A979D2">
        <w:t>65</w:t>
      </w:r>
      <w:r w:rsidR="000159A6">
        <w:t xml:space="preserve"> </w:t>
      </w:r>
      <w:r w:rsidRPr="00A979D2">
        <w:t>years</w:t>
      </w:r>
      <w:r w:rsidR="000159A6">
        <w:t xml:space="preserve"> </w:t>
      </w:r>
      <w:r w:rsidRPr="00A979D2">
        <w:t>of</w:t>
      </w:r>
      <w:r w:rsidR="000159A6">
        <w:t xml:space="preserve"> </w:t>
      </w:r>
      <w:r w:rsidRPr="00A979D2">
        <w:t>age</w:t>
      </w:r>
      <w:r w:rsidR="000159A6">
        <w:t xml:space="preserve"> </w:t>
      </w:r>
      <w:r w:rsidRPr="00A979D2">
        <w:t>who</w:t>
      </w:r>
      <w:r w:rsidR="000159A6">
        <w:t xml:space="preserve"> </w:t>
      </w:r>
      <w:r w:rsidRPr="00A979D2">
        <w:t>were</w:t>
      </w:r>
      <w:r w:rsidR="000159A6">
        <w:t xml:space="preserve"> </w:t>
      </w:r>
      <w:r w:rsidRPr="00A979D2">
        <w:t>previously</w:t>
      </w:r>
      <w:r w:rsidR="000159A6">
        <w:t xml:space="preserve"> </w:t>
      </w:r>
      <w:r w:rsidRPr="00A979D2">
        <w:t>vaccinated</w:t>
      </w:r>
      <w:r w:rsidR="000159A6">
        <w:t xml:space="preserve"> </w:t>
      </w:r>
      <w:r w:rsidRPr="00A979D2">
        <w:t>with</w:t>
      </w:r>
      <w:r w:rsidR="000159A6">
        <w:t xml:space="preserve"> </w:t>
      </w:r>
      <w:r w:rsidRPr="00A979D2">
        <w:t>Zostavax.</w:t>
      </w:r>
      <w:r w:rsidR="000159A6">
        <w:t xml:space="preserve"> </w:t>
      </w:r>
      <w:r w:rsidRPr="00A979D2">
        <w:t>This</w:t>
      </w:r>
      <w:r w:rsidR="000159A6">
        <w:t xml:space="preserve"> </w:t>
      </w:r>
      <w:r w:rsidRPr="00A979D2">
        <w:t>stu</w:t>
      </w:r>
      <w:r>
        <w:t>dy</w:t>
      </w:r>
      <w:r w:rsidR="000159A6">
        <w:t xml:space="preserve"> </w:t>
      </w:r>
      <w:r>
        <w:t>has</w:t>
      </w:r>
      <w:r w:rsidR="000159A6">
        <w:t xml:space="preserve"> </w:t>
      </w:r>
      <w:r>
        <w:t>now</w:t>
      </w:r>
      <w:r w:rsidR="000159A6">
        <w:t xml:space="preserve"> </w:t>
      </w:r>
      <w:r>
        <w:t>finished</w:t>
      </w:r>
      <w:r w:rsidR="000159A6">
        <w:t xml:space="preserve"> </w:t>
      </w:r>
      <w:r>
        <w:t>and</w:t>
      </w:r>
      <w:r w:rsidR="000159A6">
        <w:t xml:space="preserve"> </w:t>
      </w:r>
      <w:r>
        <w:t>will</w:t>
      </w:r>
      <w:r w:rsidR="000159A6">
        <w:t xml:space="preserve"> </w:t>
      </w:r>
      <w:r>
        <w:t>be</w:t>
      </w:r>
      <w:r w:rsidR="000159A6">
        <w:t xml:space="preserve"> </w:t>
      </w:r>
      <w:r w:rsidRPr="00A979D2">
        <w:t>submitted</w:t>
      </w:r>
      <w:r w:rsidR="000159A6">
        <w:t xml:space="preserve"> </w:t>
      </w:r>
      <w:r w:rsidRPr="00A979D2">
        <w:t>to</w:t>
      </w:r>
      <w:r w:rsidR="000159A6">
        <w:t xml:space="preserve"> </w:t>
      </w:r>
      <w:r w:rsidRPr="00A979D2">
        <w:t>the</w:t>
      </w:r>
      <w:r w:rsidR="000159A6">
        <w:t xml:space="preserve"> </w:t>
      </w:r>
      <w:r w:rsidRPr="00A979D2">
        <w:t>TGA</w:t>
      </w:r>
      <w:r w:rsidR="000159A6">
        <w:t xml:space="preserve"> </w:t>
      </w:r>
      <w:r w:rsidRPr="00A979D2">
        <w:t>as</w:t>
      </w:r>
      <w:r w:rsidR="000159A6">
        <w:t xml:space="preserve"> </w:t>
      </w:r>
      <w:r w:rsidRPr="00A979D2">
        <w:t>a</w:t>
      </w:r>
      <w:r w:rsidR="000159A6">
        <w:t xml:space="preserve"> </w:t>
      </w:r>
      <w:r w:rsidRPr="00A979D2">
        <w:t>post</w:t>
      </w:r>
      <w:r w:rsidR="000159A6">
        <w:t xml:space="preserve"> </w:t>
      </w:r>
      <w:r w:rsidRPr="00A979D2">
        <w:t>approval</w:t>
      </w:r>
      <w:r w:rsidR="000159A6">
        <w:t xml:space="preserve"> </w:t>
      </w:r>
      <w:r w:rsidRPr="00A979D2">
        <w:t>application</w:t>
      </w:r>
      <w:r w:rsidR="000159A6">
        <w:t xml:space="preserve"> </w:t>
      </w:r>
      <w:r w:rsidRPr="00A979D2">
        <w:t>when</w:t>
      </w:r>
      <w:r w:rsidR="000159A6">
        <w:t xml:space="preserve"> </w:t>
      </w:r>
      <w:r w:rsidRPr="00A979D2">
        <w:t>available.</w:t>
      </w:r>
      <w:r w:rsidR="000159A6">
        <w:t xml:space="preserve"> </w:t>
      </w:r>
      <w:r w:rsidRPr="00A979D2">
        <w:t>Please</w:t>
      </w:r>
      <w:r w:rsidR="000159A6">
        <w:t xml:space="preserve"> </w:t>
      </w:r>
      <w:r w:rsidRPr="00A979D2">
        <w:t>re</w:t>
      </w:r>
      <w:r>
        <w:t>fer</w:t>
      </w:r>
      <w:r w:rsidR="000159A6">
        <w:t xml:space="preserve"> </w:t>
      </w:r>
      <w:r>
        <w:t>to</w:t>
      </w:r>
      <w:r w:rsidR="000159A6">
        <w:t xml:space="preserve"> </w:t>
      </w:r>
      <w:r w:rsidR="00733CE8">
        <w:t>the</w:t>
      </w:r>
      <w:r w:rsidR="000159A6">
        <w:t xml:space="preserve"> </w:t>
      </w:r>
      <w:r w:rsidR="00733CE8">
        <w:t>provided</w:t>
      </w:r>
      <w:r w:rsidR="000159A6">
        <w:t xml:space="preserve"> </w:t>
      </w:r>
      <w:r>
        <w:t>paper</w:t>
      </w:r>
      <w:r w:rsidR="000159A6">
        <w:t xml:space="preserve"> </w:t>
      </w:r>
      <w:r w:rsidRPr="00A979D2">
        <w:t>summarising</w:t>
      </w:r>
      <w:r w:rsidR="000159A6">
        <w:t xml:space="preserve"> </w:t>
      </w:r>
      <w:r w:rsidRPr="00A979D2">
        <w:t>the</w:t>
      </w:r>
      <w:r w:rsidR="000159A6">
        <w:t xml:space="preserve"> </w:t>
      </w:r>
      <w:r w:rsidRPr="00A979D2">
        <w:t>study</w:t>
      </w:r>
      <w:r w:rsidR="000159A6">
        <w:t xml:space="preserve"> </w:t>
      </w:r>
      <w:r w:rsidRPr="00A979D2">
        <w:t>results.</w:t>
      </w:r>
      <w:r w:rsidR="000159A6">
        <w:t xml:space="preserve"> </w:t>
      </w:r>
      <w:r w:rsidRPr="00A979D2">
        <w:t>The</w:t>
      </w:r>
      <w:r w:rsidR="000159A6">
        <w:t xml:space="preserve"> </w:t>
      </w:r>
      <w:r w:rsidRPr="00A979D2">
        <w:t>data</w:t>
      </w:r>
      <w:r w:rsidR="000159A6">
        <w:t xml:space="preserve"> </w:t>
      </w:r>
      <w:r w:rsidRPr="00A979D2">
        <w:t>does</w:t>
      </w:r>
      <w:r w:rsidR="000159A6">
        <w:t xml:space="preserve"> </w:t>
      </w:r>
      <w:r w:rsidRPr="00A979D2">
        <w:t>not</w:t>
      </w:r>
      <w:r w:rsidR="000159A6">
        <w:t xml:space="preserve"> </w:t>
      </w:r>
      <w:r w:rsidRPr="00A979D2">
        <w:t>indicate</w:t>
      </w:r>
      <w:r w:rsidR="000159A6">
        <w:t xml:space="preserve"> </w:t>
      </w:r>
      <w:r w:rsidRPr="00A979D2">
        <w:t>that</w:t>
      </w:r>
      <w:r w:rsidR="000159A6">
        <w:t xml:space="preserve"> </w:t>
      </w:r>
      <w:r w:rsidRPr="00A979D2">
        <w:t>safety</w:t>
      </w:r>
      <w:r w:rsidR="000159A6">
        <w:t xml:space="preserve"> </w:t>
      </w:r>
      <w:r w:rsidRPr="00A979D2">
        <w:t>signa</w:t>
      </w:r>
      <w:r>
        <w:t>ls</w:t>
      </w:r>
      <w:r w:rsidR="000159A6">
        <w:t xml:space="preserve"> </w:t>
      </w:r>
      <w:r>
        <w:t>are</w:t>
      </w:r>
      <w:r w:rsidR="000159A6">
        <w:t xml:space="preserve"> </w:t>
      </w:r>
      <w:r>
        <w:t>to</w:t>
      </w:r>
      <w:r w:rsidR="000159A6">
        <w:t xml:space="preserve"> </w:t>
      </w:r>
      <w:r>
        <w:t>be</w:t>
      </w:r>
      <w:r w:rsidR="000159A6">
        <w:t xml:space="preserve"> </w:t>
      </w:r>
      <w:r>
        <w:t>expected</w:t>
      </w:r>
      <w:r w:rsidR="000159A6">
        <w:t xml:space="preserve"> </w:t>
      </w:r>
      <w:r>
        <w:t>following</w:t>
      </w:r>
      <w:r w:rsidR="000159A6">
        <w:t xml:space="preserve"> </w:t>
      </w:r>
      <w:r w:rsidRPr="00A979D2">
        <w:t>HZ/</w:t>
      </w:r>
      <w:proofErr w:type="spellStart"/>
      <w:r w:rsidRPr="00A979D2">
        <w:t>su</w:t>
      </w:r>
      <w:proofErr w:type="spellEnd"/>
      <w:r w:rsidR="000159A6">
        <w:t xml:space="preserve"> </w:t>
      </w:r>
      <w:r w:rsidRPr="00A979D2">
        <w:t>vaccination</w:t>
      </w:r>
      <w:r w:rsidR="000159A6">
        <w:t xml:space="preserve"> </w:t>
      </w:r>
      <w:r w:rsidRPr="00A979D2">
        <w:t>in</w:t>
      </w:r>
      <w:r w:rsidR="000159A6">
        <w:t xml:space="preserve"> </w:t>
      </w:r>
      <w:r w:rsidRPr="00A979D2">
        <w:t>previous</w:t>
      </w:r>
      <w:r w:rsidR="000159A6">
        <w:t xml:space="preserve"> </w:t>
      </w:r>
      <w:r w:rsidRPr="00A979D2">
        <w:t>Zostavax</w:t>
      </w:r>
      <w:r w:rsidR="000159A6">
        <w:t xml:space="preserve"> </w:t>
      </w:r>
      <w:r w:rsidRPr="00A979D2">
        <w:t>recipients,</w:t>
      </w:r>
      <w:r w:rsidR="000159A6">
        <w:t xml:space="preserve"> </w:t>
      </w:r>
      <w:r w:rsidRPr="00A979D2">
        <w:t>further</w:t>
      </w:r>
      <w:r w:rsidR="000159A6">
        <w:t xml:space="preserve"> </w:t>
      </w:r>
      <w:r w:rsidRPr="00A979D2">
        <w:t>noted</w:t>
      </w:r>
      <w:r w:rsidR="000159A6">
        <w:t xml:space="preserve"> </w:t>
      </w:r>
      <w:r w:rsidRPr="00A979D2">
        <w:t>the</w:t>
      </w:r>
      <w:r w:rsidR="000159A6">
        <w:t xml:space="preserve"> </w:t>
      </w:r>
      <w:r w:rsidRPr="00A979D2">
        <w:t>US</w:t>
      </w:r>
      <w:r w:rsidR="000159A6">
        <w:t xml:space="preserve"> </w:t>
      </w:r>
      <w:r>
        <w:t>CDC</w:t>
      </w:r>
      <w:r w:rsidR="000159A6">
        <w:t xml:space="preserve"> </w:t>
      </w:r>
      <w:r>
        <w:t>ACIP</w:t>
      </w:r>
      <w:r w:rsidR="000159A6">
        <w:t xml:space="preserve"> </w:t>
      </w:r>
      <w:r>
        <w:t>recommends</w:t>
      </w:r>
      <w:r w:rsidR="000159A6">
        <w:t xml:space="preserve"> </w:t>
      </w:r>
      <w:r>
        <w:t>vaccination</w:t>
      </w:r>
      <w:r w:rsidR="000159A6">
        <w:t xml:space="preserve"> </w:t>
      </w:r>
      <w:r w:rsidRPr="00A979D2">
        <w:t>with</w:t>
      </w:r>
      <w:r w:rsidR="000159A6">
        <w:t xml:space="preserve"> </w:t>
      </w:r>
      <w:r w:rsidRPr="00A979D2">
        <w:t>Shingrix</w:t>
      </w:r>
      <w:r w:rsidR="000159A6">
        <w:t xml:space="preserve"> </w:t>
      </w:r>
      <w:r w:rsidRPr="00A979D2">
        <w:t>for</w:t>
      </w:r>
      <w:r w:rsidR="000159A6">
        <w:t xml:space="preserve"> </w:t>
      </w:r>
      <w:r w:rsidRPr="00A979D2">
        <w:t>immunocompetent</w:t>
      </w:r>
      <w:r w:rsidR="000159A6">
        <w:t xml:space="preserve"> </w:t>
      </w:r>
      <w:r w:rsidRPr="00A979D2">
        <w:t>adults</w:t>
      </w:r>
      <w:r w:rsidR="000159A6">
        <w:t xml:space="preserve"> </w:t>
      </w:r>
      <w:r w:rsidRPr="00A979D2">
        <w:t>who</w:t>
      </w:r>
      <w:r w:rsidR="000159A6">
        <w:t xml:space="preserve"> </w:t>
      </w:r>
      <w:r w:rsidRPr="00A979D2">
        <w:t>previously</w:t>
      </w:r>
      <w:r w:rsidR="000159A6">
        <w:t xml:space="preserve"> </w:t>
      </w:r>
      <w:r w:rsidRPr="00A979D2">
        <w:t>received</w:t>
      </w:r>
      <w:r w:rsidR="000159A6">
        <w:t xml:space="preserve"> </w:t>
      </w:r>
      <w:r w:rsidRPr="00A979D2">
        <w:t>Zostavax.</w:t>
      </w:r>
    </w:p>
    <w:p w14:paraId="2F40AF14" w14:textId="18AB4ADB" w:rsidR="00436177" w:rsidRPr="00A979D2" w:rsidRDefault="00A979D2" w:rsidP="00A979D2">
      <w:r w:rsidRPr="00A979D2">
        <w:rPr>
          <w:i/>
        </w:rPr>
        <w:t>Data</w:t>
      </w:r>
      <w:r w:rsidR="000159A6">
        <w:rPr>
          <w:i/>
        </w:rPr>
        <w:t xml:space="preserve"> </w:t>
      </w:r>
      <w:r w:rsidRPr="00A979D2">
        <w:rPr>
          <w:i/>
        </w:rPr>
        <w:t>on</w:t>
      </w:r>
      <w:r w:rsidR="000159A6">
        <w:rPr>
          <w:i/>
        </w:rPr>
        <w:t xml:space="preserve"> </w:t>
      </w:r>
      <w:r w:rsidRPr="00A979D2">
        <w:rPr>
          <w:i/>
        </w:rPr>
        <w:t>individuals</w:t>
      </w:r>
      <w:r w:rsidR="000159A6">
        <w:rPr>
          <w:i/>
        </w:rPr>
        <w:t xml:space="preserve"> </w:t>
      </w:r>
      <w:r w:rsidRPr="00A979D2">
        <w:rPr>
          <w:i/>
        </w:rPr>
        <w:t>with</w:t>
      </w:r>
      <w:r w:rsidR="000159A6">
        <w:rPr>
          <w:i/>
        </w:rPr>
        <w:t xml:space="preserve"> </w:t>
      </w:r>
      <w:r w:rsidRPr="00A979D2">
        <w:rPr>
          <w:i/>
        </w:rPr>
        <w:t>a</w:t>
      </w:r>
      <w:r w:rsidR="000159A6">
        <w:rPr>
          <w:i/>
        </w:rPr>
        <w:t xml:space="preserve"> </w:t>
      </w:r>
      <w:r w:rsidRPr="00A979D2">
        <w:rPr>
          <w:i/>
        </w:rPr>
        <w:t>history</w:t>
      </w:r>
      <w:r w:rsidR="000159A6">
        <w:rPr>
          <w:i/>
        </w:rPr>
        <w:t xml:space="preserve"> </w:t>
      </w:r>
      <w:r w:rsidRPr="00A979D2">
        <w:rPr>
          <w:i/>
        </w:rPr>
        <w:t>of</w:t>
      </w:r>
      <w:r w:rsidR="000159A6">
        <w:rPr>
          <w:i/>
        </w:rPr>
        <w:t xml:space="preserve"> </w:t>
      </w:r>
      <w:r w:rsidRPr="00A979D2">
        <w:rPr>
          <w:i/>
        </w:rPr>
        <w:t>herpes</w:t>
      </w:r>
      <w:r w:rsidR="000159A6">
        <w:rPr>
          <w:i/>
        </w:rPr>
        <w:t xml:space="preserve"> </w:t>
      </w:r>
      <w:r w:rsidRPr="00A979D2">
        <w:rPr>
          <w:i/>
        </w:rPr>
        <w:t>zoster</w:t>
      </w:r>
      <w:r w:rsidR="00332E3D">
        <w:t>:</w:t>
      </w:r>
      <w:r w:rsidR="000159A6">
        <w:t xml:space="preserve"> </w:t>
      </w:r>
      <w:r w:rsidR="00733CE8">
        <w:t>Study</w:t>
      </w:r>
      <w:r w:rsidR="000159A6">
        <w:t xml:space="preserve"> </w:t>
      </w:r>
      <w:r w:rsidR="0037169B">
        <w:t>ZOSTER</w:t>
      </w:r>
      <w:r w:rsidRPr="00A979D2">
        <w:t>-033,</w:t>
      </w:r>
      <w:r w:rsidR="000159A6">
        <w:t xml:space="preserve"> </w:t>
      </w:r>
      <w:r w:rsidRPr="00A979D2">
        <w:t>submitted</w:t>
      </w:r>
      <w:r w:rsidR="000159A6">
        <w:t xml:space="preserve"> </w:t>
      </w:r>
      <w:r w:rsidRPr="00A979D2">
        <w:t>in</w:t>
      </w:r>
      <w:r w:rsidR="000159A6">
        <w:t xml:space="preserve"> </w:t>
      </w:r>
      <w:r w:rsidRPr="00A979D2">
        <w:t>the</w:t>
      </w:r>
      <w:r w:rsidR="000159A6">
        <w:t xml:space="preserve"> </w:t>
      </w:r>
      <w:r w:rsidRPr="00A979D2">
        <w:t>original</w:t>
      </w:r>
      <w:r w:rsidR="000159A6">
        <w:t xml:space="preserve"> </w:t>
      </w:r>
      <w:r w:rsidRPr="00A979D2">
        <w:t>application,</w:t>
      </w:r>
      <w:r w:rsidR="000159A6">
        <w:t xml:space="preserve"> </w:t>
      </w:r>
      <w:r w:rsidRPr="00A979D2">
        <w:t>assessed</w:t>
      </w:r>
      <w:r w:rsidR="000159A6">
        <w:t xml:space="preserve"> </w:t>
      </w:r>
      <w:r w:rsidRPr="00A979D2">
        <w:t>the</w:t>
      </w:r>
      <w:r w:rsidR="000159A6">
        <w:t xml:space="preserve"> </w:t>
      </w:r>
      <w:r w:rsidRPr="00A979D2">
        <w:t>reactogenicity</w:t>
      </w:r>
      <w:r>
        <w:t>,</w:t>
      </w:r>
      <w:r w:rsidR="000159A6">
        <w:t xml:space="preserve"> </w:t>
      </w:r>
      <w:r>
        <w:t>safety,</w:t>
      </w:r>
      <w:r w:rsidR="000159A6">
        <w:t xml:space="preserve"> </w:t>
      </w:r>
      <w:r>
        <w:t>and</w:t>
      </w:r>
      <w:r w:rsidR="000159A6">
        <w:t xml:space="preserve"> </w:t>
      </w:r>
      <w:r>
        <w:t>immunogenicity</w:t>
      </w:r>
      <w:r w:rsidR="000159A6">
        <w:t xml:space="preserve"> </w:t>
      </w:r>
      <w:r>
        <w:t>of</w:t>
      </w:r>
      <w:r w:rsidR="000159A6">
        <w:t xml:space="preserve"> </w:t>
      </w:r>
      <w:r w:rsidRPr="00A979D2">
        <w:t>Shingrix</w:t>
      </w:r>
      <w:r w:rsidR="000159A6">
        <w:t xml:space="preserve"> </w:t>
      </w:r>
      <w:r w:rsidRPr="00A979D2">
        <w:t>when</w:t>
      </w:r>
      <w:r w:rsidR="000159A6">
        <w:t xml:space="preserve"> </w:t>
      </w:r>
      <w:r w:rsidRPr="00A979D2">
        <w:t>administered</w:t>
      </w:r>
      <w:r w:rsidR="000159A6">
        <w:t xml:space="preserve"> </w:t>
      </w:r>
      <w:r w:rsidRPr="00A979D2">
        <w:t>to</w:t>
      </w:r>
      <w:r w:rsidR="000159A6">
        <w:t xml:space="preserve"> </w:t>
      </w:r>
      <w:r w:rsidRPr="00A979D2">
        <w:t>individuals</w:t>
      </w:r>
      <w:r w:rsidR="000159A6">
        <w:t xml:space="preserve"> </w:t>
      </w:r>
      <w:r w:rsidRPr="00A979D2">
        <w:t>with</w:t>
      </w:r>
      <w:r w:rsidR="000159A6">
        <w:t xml:space="preserve"> </w:t>
      </w:r>
      <w:r w:rsidRPr="00A979D2">
        <w:t>previous</w:t>
      </w:r>
      <w:r w:rsidR="000159A6">
        <w:t xml:space="preserve"> </w:t>
      </w:r>
      <w:r w:rsidRPr="00A979D2">
        <w:t>HZ.</w:t>
      </w:r>
      <w:r w:rsidR="000159A6">
        <w:t xml:space="preserve"> </w:t>
      </w:r>
      <w:r w:rsidRPr="00A979D2">
        <w:t>The</w:t>
      </w:r>
      <w:r w:rsidR="000159A6">
        <w:t xml:space="preserve"> </w:t>
      </w:r>
      <w:r w:rsidRPr="00A979D2">
        <w:t>efficacy</w:t>
      </w:r>
      <w:r w:rsidR="000159A6">
        <w:t xml:space="preserve"> </w:t>
      </w:r>
      <w:r w:rsidRPr="00A979D2">
        <w:t>and</w:t>
      </w:r>
      <w:r w:rsidR="000159A6">
        <w:t xml:space="preserve"> </w:t>
      </w:r>
      <w:r>
        <w:t>safety</w:t>
      </w:r>
      <w:r w:rsidR="000159A6">
        <w:t xml:space="preserve"> </w:t>
      </w:r>
      <w:r>
        <w:t>profiles</w:t>
      </w:r>
      <w:r w:rsidR="000159A6">
        <w:t xml:space="preserve"> </w:t>
      </w:r>
      <w:r>
        <w:t>of</w:t>
      </w:r>
      <w:r w:rsidR="000159A6">
        <w:t xml:space="preserve"> </w:t>
      </w:r>
      <w:r>
        <w:t>Shingrix</w:t>
      </w:r>
      <w:r w:rsidR="000159A6">
        <w:t xml:space="preserve"> </w:t>
      </w:r>
      <w:r>
        <w:t>in</w:t>
      </w:r>
      <w:r w:rsidR="000159A6">
        <w:t xml:space="preserve"> </w:t>
      </w:r>
      <w:r w:rsidR="00733CE8">
        <w:t>Study</w:t>
      </w:r>
      <w:r w:rsidR="000159A6">
        <w:t xml:space="preserve"> </w:t>
      </w:r>
      <w:r w:rsidR="0037169B">
        <w:t>ZOSTER</w:t>
      </w:r>
      <w:r w:rsidRPr="00A979D2">
        <w:t>-033</w:t>
      </w:r>
      <w:r w:rsidR="00733CE8">
        <w:t>,</w:t>
      </w:r>
      <w:r w:rsidR="000159A6">
        <w:t xml:space="preserve"> </w:t>
      </w:r>
      <w:r w:rsidRPr="00A979D2">
        <w:t>was</w:t>
      </w:r>
      <w:r w:rsidR="000159A6">
        <w:t xml:space="preserve"> </w:t>
      </w:r>
      <w:r w:rsidRPr="00A979D2">
        <w:t>similar</w:t>
      </w:r>
      <w:r w:rsidR="000159A6">
        <w:t xml:space="preserve"> </w:t>
      </w:r>
      <w:r w:rsidRPr="00A979D2">
        <w:t>to</w:t>
      </w:r>
      <w:r w:rsidR="000159A6">
        <w:t xml:space="preserve"> </w:t>
      </w:r>
      <w:r w:rsidRPr="00A979D2">
        <w:t>that</w:t>
      </w:r>
      <w:r w:rsidR="000159A6">
        <w:t xml:space="preserve"> </w:t>
      </w:r>
      <w:r w:rsidRPr="00A979D2">
        <w:t>seen</w:t>
      </w:r>
      <w:r w:rsidR="000159A6">
        <w:t xml:space="preserve"> </w:t>
      </w:r>
      <w:r w:rsidRPr="00A979D2">
        <w:t>in</w:t>
      </w:r>
      <w:r w:rsidR="000159A6">
        <w:t xml:space="preserve"> </w:t>
      </w:r>
      <w:r w:rsidRPr="00A979D2">
        <w:t>other</w:t>
      </w:r>
      <w:r w:rsidR="000159A6">
        <w:t xml:space="preserve"> </w:t>
      </w:r>
      <w:r w:rsidRPr="00A979D2">
        <w:t>clinical</w:t>
      </w:r>
      <w:r w:rsidR="000159A6">
        <w:t xml:space="preserve"> </w:t>
      </w:r>
      <w:r w:rsidRPr="00A979D2">
        <w:t>studies</w:t>
      </w:r>
      <w:r w:rsidR="000159A6">
        <w:t xml:space="preserve"> </w:t>
      </w:r>
      <w:r w:rsidRPr="00A979D2">
        <w:t>in</w:t>
      </w:r>
      <w:r w:rsidR="000159A6">
        <w:t xml:space="preserve"> </w:t>
      </w:r>
      <w:r w:rsidRPr="00A979D2">
        <w:t>a</w:t>
      </w:r>
      <w:r w:rsidR="000159A6">
        <w:t xml:space="preserve"> </w:t>
      </w:r>
      <w:r w:rsidRPr="00A979D2">
        <w:t>population</w:t>
      </w:r>
      <w:r w:rsidR="000159A6">
        <w:t xml:space="preserve"> </w:t>
      </w:r>
      <w:r w:rsidRPr="00A979D2">
        <w:t>with</w:t>
      </w:r>
      <w:r w:rsidR="000159A6">
        <w:t xml:space="preserve"> </w:t>
      </w:r>
      <w:r w:rsidRPr="00A979D2">
        <w:t>no</w:t>
      </w:r>
      <w:r w:rsidR="000159A6">
        <w:t xml:space="preserve"> </w:t>
      </w:r>
      <w:r w:rsidRPr="00A979D2">
        <w:t>history</w:t>
      </w:r>
      <w:r w:rsidR="000159A6">
        <w:t xml:space="preserve"> </w:t>
      </w:r>
      <w:r w:rsidRPr="00A979D2">
        <w:t>of</w:t>
      </w:r>
      <w:r w:rsidR="000159A6">
        <w:t xml:space="preserve"> </w:t>
      </w:r>
      <w:r w:rsidRPr="00A979D2">
        <w:t>HZ.</w:t>
      </w:r>
      <w:r w:rsidR="000159A6">
        <w:t xml:space="preserve"> </w:t>
      </w:r>
      <w:r w:rsidRPr="00A979D2">
        <w:t>H</w:t>
      </w:r>
      <w:r w:rsidR="00636E01">
        <w:t>owever,</w:t>
      </w:r>
      <w:r w:rsidR="000159A6">
        <w:t xml:space="preserve"> </w:t>
      </w:r>
      <w:r w:rsidRPr="00A979D2">
        <w:t>due</w:t>
      </w:r>
      <w:r w:rsidR="000159A6">
        <w:t xml:space="preserve"> </w:t>
      </w:r>
      <w:r w:rsidRPr="00A979D2">
        <w:t>to</w:t>
      </w:r>
      <w:r w:rsidR="000159A6">
        <w:t xml:space="preserve"> </w:t>
      </w:r>
      <w:r w:rsidRPr="00A979D2">
        <w:t>limitations</w:t>
      </w:r>
      <w:r w:rsidR="000159A6">
        <w:t xml:space="preserve"> </w:t>
      </w:r>
      <w:r w:rsidRPr="00A979D2">
        <w:t>with</w:t>
      </w:r>
      <w:r w:rsidR="000159A6">
        <w:t xml:space="preserve"> </w:t>
      </w:r>
      <w:r w:rsidRPr="00A979D2">
        <w:t>this</w:t>
      </w:r>
      <w:r w:rsidR="000159A6">
        <w:t xml:space="preserve"> </w:t>
      </w:r>
      <w:r w:rsidRPr="00A979D2">
        <w:t>study,</w:t>
      </w:r>
      <w:r w:rsidR="000159A6">
        <w:t xml:space="preserve"> </w:t>
      </w:r>
      <w:r w:rsidRPr="00A979D2">
        <w:t>GSK</w:t>
      </w:r>
      <w:r w:rsidR="000159A6">
        <w:t xml:space="preserve"> </w:t>
      </w:r>
      <w:r w:rsidRPr="00A979D2">
        <w:t>have</w:t>
      </w:r>
      <w:r w:rsidR="000159A6">
        <w:t xml:space="preserve"> </w:t>
      </w:r>
      <w:r w:rsidRPr="00A979D2">
        <w:t>committed</w:t>
      </w:r>
      <w:r w:rsidR="000159A6">
        <w:t xml:space="preserve"> </w:t>
      </w:r>
      <w:r w:rsidRPr="00A979D2">
        <w:t>to</w:t>
      </w:r>
      <w:r w:rsidR="000159A6">
        <w:t xml:space="preserve"> </w:t>
      </w:r>
      <w:r w:rsidRPr="00A979D2">
        <w:t>a</w:t>
      </w:r>
      <w:r w:rsidR="000159A6">
        <w:t xml:space="preserve"> </w:t>
      </w:r>
      <w:r w:rsidRPr="00A979D2">
        <w:t>new</w:t>
      </w:r>
      <w:r w:rsidR="000159A6">
        <w:t xml:space="preserve"> </w:t>
      </w:r>
      <w:r w:rsidRPr="00A979D2">
        <w:t>study</w:t>
      </w:r>
      <w:r w:rsidR="00636E01">
        <w:t>,</w:t>
      </w:r>
      <w:r w:rsidR="000159A6">
        <w:t xml:space="preserve"> </w:t>
      </w:r>
      <w:r w:rsidR="00733CE8">
        <w:t>Study</w:t>
      </w:r>
      <w:r w:rsidR="000159A6">
        <w:t xml:space="preserve"> </w:t>
      </w:r>
      <w:r w:rsidR="0037169B">
        <w:t>ZOSTER</w:t>
      </w:r>
      <w:r w:rsidR="00636E01">
        <w:t>-062,</w:t>
      </w:r>
      <w:r w:rsidR="000159A6">
        <w:t xml:space="preserve"> </w:t>
      </w:r>
      <w:r w:rsidR="00636E01">
        <w:t>to</w:t>
      </w:r>
      <w:r w:rsidR="000159A6">
        <w:t xml:space="preserve"> </w:t>
      </w:r>
      <w:r w:rsidR="00636E01">
        <w:t>assess</w:t>
      </w:r>
      <w:r w:rsidR="000159A6">
        <w:t xml:space="preserve"> </w:t>
      </w:r>
      <w:r w:rsidR="00636E01">
        <w:t>safety,</w:t>
      </w:r>
      <w:r w:rsidR="000159A6">
        <w:t xml:space="preserve"> </w:t>
      </w:r>
      <w:r w:rsidRPr="00A979D2">
        <w:t>reactogenicity,</w:t>
      </w:r>
      <w:r w:rsidR="000159A6">
        <w:t xml:space="preserve"> </w:t>
      </w:r>
      <w:r w:rsidRPr="00A979D2">
        <w:t>and</w:t>
      </w:r>
      <w:r w:rsidR="000159A6">
        <w:t xml:space="preserve"> </w:t>
      </w:r>
      <w:r w:rsidRPr="00A979D2">
        <w:t>immunogenicity</w:t>
      </w:r>
      <w:r w:rsidR="000159A6">
        <w:t xml:space="preserve"> </w:t>
      </w:r>
      <w:r w:rsidRPr="00A979D2">
        <w:t>of</w:t>
      </w:r>
      <w:r w:rsidR="000159A6">
        <w:t xml:space="preserve"> </w:t>
      </w:r>
      <w:r w:rsidRPr="00A979D2">
        <w:t>Shingrix</w:t>
      </w:r>
      <w:r w:rsidR="000159A6">
        <w:t xml:space="preserve"> </w:t>
      </w:r>
      <w:r w:rsidRPr="00A979D2">
        <w:t>in</w:t>
      </w:r>
      <w:r w:rsidR="000159A6">
        <w:t xml:space="preserve"> </w:t>
      </w:r>
      <w:proofErr w:type="gramStart"/>
      <w:r w:rsidRPr="00A979D2">
        <w:t>adults</w:t>
      </w:r>
      <w:proofErr w:type="gramEnd"/>
      <w:r w:rsidR="000159A6">
        <w:t xml:space="preserve"> </w:t>
      </w:r>
      <w:r w:rsidR="0037169B">
        <w:t>≥</w:t>
      </w:r>
      <w:r w:rsidR="000159A6">
        <w:t xml:space="preserve"> </w:t>
      </w:r>
      <w:r w:rsidRPr="00A979D2">
        <w:t>50</w:t>
      </w:r>
      <w:r w:rsidR="000159A6">
        <w:t xml:space="preserve"> </w:t>
      </w:r>
      <w:r w:rsidRPr="00A979D2">
        <w:t>years</w:t>
      </w:r>
      <w:r w:rsidR="000159A6">
        <w:t xml:space="preserve"> </w:t>
      </w:r>
      <w:r w:rsidRPr="00A979D2">
        <w:t>of</w:t>
      </w:r>
      <w:r w:rsidR="000159A6">
        <w:t xml:space="preserve"> </w:t>
      </w:r>
      <w:r w:rsidRPr="00A979D2">
        <w:t>age</w:t>
      </w:r>
      <w:r w:rsidR="000159A6">
        <w:t xml:space="preserve"> </w:t>
      </w:r>
      <w:r w:rsidR="00636E01">
        <w:t>with</w:t>
      </w:r>
      <w:r w:rsidR="000159A6">
        <w:t xml:space="preserve"> </w:t>
      </w:r>
      <w:r w:rsidR="00636E01">
        <w:t>a</w:t>
      </w:r>
      <w:r w:rsidR="000159A6">
        <w:t xml:space="preserve"> </w:t>
      </w:r>
      <w:r w:rsidR="00636E01">
        <w:t>prior</w:t>
      </w:r>
      <w:r w:rsidR="000159A6">
        <w:t xml:space="preserve"> </w:t>
      </w:r>
      <w:r w:rsidR="00636E01">
        <w:t>episode</w:t>
      </w:r>
      <w:r w:rsidR="000159A6">
        <w:t xml:space="preserve"> </w:t>
      </w:r>
      <w:r w:rsidR="00636E01">
        <w:t>of</w:t>
      </w:r>
      <w:r w:rsidR="000159A6">
        <w:t xml:space="preserve"> </w:t>
      </w:r>
      <w:r w:rsidR="00636E01">
        <w:t>Herpes</w:t>
      </w:r>
      <w:r w:rsidR="000159A6">
        <w:t xml:space="preserve"> </w:t>
      </w:r>
      <w:r w:rsidR="0037169B">
        <w:t>Z</w:t>
      </w:r>
      <w:r w:rsidR="00733CE8">
        <w:t>oster</w:t>
      </w:r>
      <w:r w:rsidRPr="00A979D2">
        <w:t>.</w:t>
      </w:r>
      <w:r w:rsidR="000159A6">
        <w:t xml:space="preserve"> </w:t>
      </w:r>
      <w:r w:rsidRPr="00A979D2">
        <w:t>Further</w:t>
      </w:r>
      <w:r w:rsidR="000159A6">
        <w:t xml:space="preserve"> </w:t>
      </w:r>
      <w:r w:rsidRPr="00A979D2">
        <w:t>information</w:t>
      </w:r>
      <w:r w:rsidR="000159A6">
        <w:t xml:space="preserve"> </w:t>
      </w:r>
      <w:r w:rsidRPr="00A979D2">
        <w:t>on</w:t>
      </w:r>
      <w:r w:rsidR="000159A6">
        <w:t xml:space="preserve"> </w:t>
      </w:r>
      <w:r w:rsidRPr="00A979D2">
        <w:t>this</w:t>
      </w:r>
      <w:r w:rsidR="000159A6">
        <w:t xml:space="preserve"> </w:t>
      </w:r>
      <w:r w:rsidRPr="00A979D2">
        <w:t>study</w:t>
      </w:r>
      <w:r w:rsidR="000159A6">
        <w:t xml:space="preserve"> </w:t>
      </w:r>
      <w:r w:rsidRPr="00A979D2">
        <w:t>is</w:t>
      </w:r>
      <w:r w:rsidR="000159A6">
        <w:t xml:space="preserve"> </w:t>
      </w:r>
      <w:r w:rsidRPr="00A979D2">
        <w:t>included</w:t>
      </w:r>
      <w:r w:rsidR="000159A6">
        <w:t xml:space="preserve"> </w:t>
      </w:r>
      <w:r w:rsidRPr="00A979D2">
        <w:t>in</w:t>
      </w:r>
      <w:r w:rsidR="000159A6">
        <w:t xml:space="preserve"> </w:t>
      </w:r>
      <w:r w:rsidRPr="00A979D2">
        <w:t>the</w:t>
      </w:r>
      <w:r w:rsidR="000159A6">
        <w:t xml:space="preserve"> </w:t>
      </w:r>
      <w:r w:rsidRPr="00A979D2">
        <w:t>EU-RMP</w:t>
      </w:r>
      <w:r w:rsidR="000159A6">
        <w:t xml:space="preserve"> </w:t>
      </w:r>
      <w:r w:rsidRPr="00A979D2">
        <w:t>and</w:t>
      </w:r>
      <w:r w:rsidR="000159A6">
        <w:t xml:space="preserve"> </w:t>
      </w:r>
      <w:r w:rsidRPr="00A979D2">
        <w:t>Australian</w:t>
      </w:r>
      <w:r w:rsidR="000159A6">
        <w:t xml:space="preserve"> </w:t>
      </w:r>
      <w:r w:rsidRPr="00A979D2">
        <w:t>Specific</w:t>
      </w:r>
      <w:r w:rsidR="000159A6">
        <w:t xml:space="preserve"> </w:t>
      </w:r>
      <w:r w:rsidRPr="00A979D2">
        <w:t>Annex.</w:t>
      </w:r>
    </w:p>
    <w:p w14:paraId="3CE33E66" w14:textId="2B607761" w:rsidR="00636E01" w:rsidRPr="00636E01" w:rsidRDefault="00636E01" w:rsidP="00636E01">
      <w:r w:rsidRPr="00636E01">
        <w:rPr>
          <w:i/>
        </w:rPr>
        <w:t>Data</w:t>
      </w:r>
      <w:r w:rsidR="000159A6">
        <w:rPr>
          <w:i/>
        </w:rPr>
        <w:t xml:space="preserve"> </w:t>
      </w:r>
      <w:r w:rsidRPr="00636E01">
        <w:rPr>
          <w:i/>
        </w:rPr>
        <w:t>on</w:t>
      </w:r>
      <w:r w:rsidR="000159A6">
        <w:rPr>
          <w:i/>
        </w:rPr>
        <w:t xml:space="preserve"> </w:t>
      </w:r>
      <w:r w:rsidRPr="00636E01">
        <w:rPr>
          <w:i/>
        </w:rPr>
        <w:t>the</w:t>
      </w:r>
      <w:r w:rsidR="000159A6">
        <w:rPr>
          <w:i/>
        </w:rPr>
        <w:t xml:space="preserve"> </w:t>
      </w:r>
      <w:r w:rsidRPr="00636E01">
        <w:rPr>
          <w:i/>
        </w:rPr>
        <w:t>duration</w:t>
      </w:r>
      <w:r w:rsidR="000159A6">
        <w:rPr>
          <w:i/>
        </w:rPr>
        <w:t xml:space="preserve"> </w:t>
      </w:r>
      <w:r w:rsidRPr="00636E01">
        <w:rPr>
          <w:i/>
        </w:rPr>
        <w:t>of</w:t>
      </w:r>
      <w:r w:rsidR="000159A6">
        <w:rPr>
          <w:i/>
        </w:rPr>
        <w:t xml:space="preserve"> </w:t>
      </w:r>
      <w:r w:rsidRPr="00636E01">
        <w:rPr>
          <w:i/>
        </w:rPr>
        <w:t>protection</w:t>
      </w:r>
      <w:r w:rsidR="000159A6">
        <w:rPr>
          <w:i/>
        </w:rPr>
        <w:t xml:space="preserve"> </w:t>
      </w:r>
      <w:r w:rsidRPr="00636E01">
        <w:rPr>
          <w:i/>
        </w:rPr>
        <w:t>beyond</w:t>
      </w:r>
      <w:r w:rsidR="000159A6">
        <w:rPr>
          <w:i/>
        </w:rPr>
        <w:t xml:space="preserve"> </w:t>
      </w:r>
      <w:r w:rsidRPr="00636E01">
        <w:rPr>
          <w:i/>
        </w:rPr>
        <w:t>4</w:t>
      </w:r>
      <w:r w:rsidR="000159A6">
        <w:rPr>
          <w:i/>
        </w:rPr>
        <w:t xml:space="preserve"> </w:t>
      </w:r>
      <w:r w:rsidRPr="00636E01">
        <w:rPr>
          <w:i/>
        </w:rPr>
        <w:t>years</w:t>
      </w:r>
      <w:r w:rsidR="000159A6">
        <w:rPr>
          <w:i/>
        </w:rPr>
        <w:t xml:space="preserve"> </w:t>
      </w:r>
      <w:r w:rsidRPr="00636E01">
        <w:rPr>
          <w:i/>
        </w:rPr>
        <w:t>and</w:t>
      </w:r>
      <w:r w:rsidR="000159A6">
        <w:rPr>
          <w:i/>
        </w:rPr>
        <w:t xml:space="preserve"> </w:t>
      </w:r>
      <w:r w:rsidRPr="00636E01">
        <w:rPr>
          <w:i/>
        </w:rPr>
        <w:t>the</w:t>
      </w:r>
      <w:r w:rsidR="000159A6">
        <w:rPr>
          <w:i/>
        </w:rPr>
        <w:t xml:space="preserve"> </w:t>
      </w:r>
      <w:r w:rsidRPr="00636E01">
        <w:rPr>
          <w:i/>
        </w:rPr>
        <w:t>need</w:t>
      </w:r>
      <w:r w:rsidR="000159A6">
        <w:rPr>
          <w:i/>
        </w:rPr>
        <w:t xml:space="preserve"> </w:t>
      </w:r>
      <w:r w:rsidRPr="00636E01">
        <w:rPr>
          <w:i/>
        </w:rPr>
        <w:t>for</w:t>
      </w:r>
      <w:r w:rsidR="000159A6">
        <w:rPr>
          <w:i/>
        </w:rPr>
        <w:t xml:space="preserve"> </w:t>
      </w:r>
      <w:r w:rsidRPr="00636E01">
        <w:rPr>
          <w:i/>
        </w:rPr>
        <w:t>booster</w:t>
      </w:r>
      <w:r w:rsidR="000159A6">
        <w:rPr>
          <w:i/>
        </w:rPr>
        <w:t xml:space="preserve"> </w:t>
      </w:r>
      <w:r w:rsidRPr="00636E01">
        <w:rPr>
          <w:i/>
        </w:rPr>
        <w:t>vaccination</w:t>
      </w:r>
      <w:r w:rsidR="00332E3D">
        <w:t>:</w:t>
      </w:r>
      <w:r w:rsidR="000159A6">
        <w:t xml:space="preserve"> </w:t>
      </w:r>
      <w:r w:rsidRPr="00636E01">
        <w:t>The</w:t>
      </w:r>
      <w:r w:rsidR="000159A6">
        <w:t xml:space="preserve"> </w:t>
      </w:r>
      <w:r w:rsidRPr="00636E01">
        <w:t>lack</w:t>
      </w:r>
      <w:r w:rsidR="000159A6">
        <w:t xml:space="preserve"> </w:t>
      </w:r>
      <w:r w:rsidRPr="00636E01">
        <w:t>of</w:t>
      </w:r>
      <w:r w:rsidR="000159A6">
        <w:t xml:space="preserve"> </w:t>
      </w:r>
      <w:r w:rsidRPr="00636E01">
        <w:t>data</w:t>
      </w:r>
      <w:r w:rsidR="000159A6">
        <w:t xml:space="preserve"> </w:t>
      </w:r>
      <w:r w:rsidRPr="00636E01">
        <w:t>in</w:t>
      </w:r>
      <w:r w:rsidR="000159A6">
        <w:t xml:space="preserve"> </w:t>
      </w:r>
      <w:r w:rsidRPr="00636E01">
        <w:t>this</w:t>
      </w:r>
      <w:r w:rsidR="000159A6">
        <w:t xml:space="preserve"> </w:t>
      </w:r>
      <w:r w:rsidRPr="00636E01">
        <w:t>area</w:t>
      </w:r>
      <w:r w:rsidR="000159A6">
        <w:t xml:space="preserve"> </w:t>
      </w:r>
      <w:r w:rsidRPr="00636E01">
        <w:t>and</w:t>
      </w:r>
      <w:r w:rsidR="000159A6">
        <w:t xml:space="preserve"> </w:t>
      </w:r>
      <w:r w:rsidRPr="00636E01">
        <w:t>further</w:t>
      </w:r>
      <w:r w:rsidR="000159A6">
        <w:t xml:space="preserve"> </w:t>
      </w:r>
      <w:r w:rsidRPr="00636E01">
        <w:t>information</w:t>
      </w:r>
      <w:r w:rsidR="000159A6">
        <w:t xml:space="preserve"> </w:t>
      </w:r>
      <w:r w:rsidRPr="00636E01">
        <w:t>is</w:t>
      </w:r>
      <w:r w:rsidR="000159A6">
        <w:t xml:space="preserve"> </w:t>
      </w:r>
      <w:r w:rsidRPr="00636E01">
        <w:t>addressed</w:t>
      </w:r>
      <w:r w:rsidR="000159A6">
        <w:t xml:space="preserve"> </w:t>
      </w:r>
      <w:r w:rsidRPr="00636E01">
        <w:t>in</w:t>
      </w:r>
      <w:r w:rsidR="000159A6">
        <w:t xml:space="preserve"> </w:t>
      </w:r>
      <w:r w:rsidRPr="00636E01">
        <w:t>the</w:t>
      </w:r>
      <w:r w:rsidR="000159A6">
        <w:t xml:space="preserve"> </w:t>
      </w:r>
      <w:r w:rsidRPr="00636E01">
        <w:t>EU-RMP</w:t>
      </w:r>
      <w:r w:rsidR="000159A6">
        <w:t xml:space="preserve"> </w:t>
      </w:r>
      <w:r w:rsidRPr="00636E01">
        <w:t>and</w:t>
      </w:r>
      <w:r w:rsidR="000159A6">
        <w:t xml:space="preserve"> </w:t>
      </w:r>
      <w:r w:rsidRPr="00636E01">
        <w:t>Australian</w:t>
      </w:r>
      <w:r w:rsidR="000159A6">
        <w:t xml:space="preserve"> </w:t>
      </w:r>
      <w:r w:rsidRPr="00636E01">
        <w:t>Specific</w:t>
      </w:r>
      <w:r w:rsidR="000159A6">
        <w:t xml:space="preserve"> </w:t>
      </w:r>
      <w:r w:rsidRPr="00636E01">
        <w:t>Annex.</w:t>
      </w:r>
      <w:r w:rsidR="000159A6">
        <w:t xml:space="preserve"> </w:t>
      </w:r>
      <w:r w:rsidRPr="00636E01">
        <w:t>Follow</w:t>
      </w:r>
      <w:r w:rsidR="000159A6">
        <w:t xml:space="preserve"> </w:t>
      </w:r>
      <w:r w:rsidRPr="00636E01">
        <w:t>up</w:t>
      </w:r>
      <w:r w:rsidR="000159A6">
        <w:t xml:space="preserve"> </w:t>
      </w:r>
      <w:r w:rsidRPr="00636E01">
        <w:t>studies</w:t>
      </w:r>
      <w:r w:rsidR="000159A6">
        <w:t xml:space="preserve"> </w:t>
      </w:r>
      <w:r w:rsidRPr="00636E01">
        <w:t>in</w:t>
      </w:r>
      <w:r w:rsidR="000159A6">
        <w:t xml:space="preserve"> </w:t>
      </w:r>
      <w:r w:rsidRPr="00636E01">
        <w:t>subjects</w:t>
      </w:r>
      <w:r w:rsidR="000159A6">
        <w:t xml:space="preserve"> </w:t>
      </w:r>
      <w:r w:rsidRPr="00636E01">
        <w:t>who</w:t>
      </w:r>
      <w:r w:rsidR="000159A6">
        <w:t xml:space="preserve"> </w:t>
      </w:r>
      <w:r w:rsidRPr="00636E01">
        <w:t>were</w:t>
      </w:r>
      <w:r w:rsidR="000159A6">
        <w:t xml:space="preserve"> </w:t>
      </w:r>
      <w:r w:rsidRPr="00636E01">
        <w:t>previously</w:t>
      </w:r>
      <w:r w:rsidR="000159A6">
        <w:t xml:space="preserve"> </w:t>
      </w:r>
      <w:r w:rsidRPr="00636E01">
        <w:t>vaccinated</w:t>
      </w:r>
      <w:r w:rsidR="000159A6">
        <w:t xml:space="preserve"> </w:t>
      </w:r>
      <w:r w:rsidRPr="00636E01">
        <w:t>in</w:t>
      </w:r>
      <w:r w:rsidR="000159A6">
        <w:t xml:space="preserve"> </w:t>
      </w:r>
      <w:r w:rsidRPr="00636E01">
        <w:t>a</w:t>
      </w:r>
      <w:r w:rsidR="000159A6">
        <w:t xml:space="preserve"> </w:t>
      </w:r>
      <w:r w:rsidRPr="00636E01">
        <w:t>Phase</w:t>
      </w:r>
      <w:r w:rsidR="000159A6">
        <w:t xml:space="preserve"> </w:t>
      </w:r>
      <w:r w:rsidRPr="00636E01">
        <w:t>II</w:t>
      </w:r>
      <w:r w:rsidR="000159A6">
        <w:t xml:space="preserve"> </w:t>
      </w:r>
      <w:r w:rsidRPr="00636E01">
        <w:t>dose</w:t>
      </w:r>
      <w:r w:rsidR="000159A6">
        <w:t xml:space="preserve"> </w:t>
      </w:r>
      <w:r w:rsidRPr="00636E01">
        <w:t>ranging</w:t>
      </w:r>
      <w:r w:rsidR="000159A6">
        <w:t xml:space="preserve"> </w:t>
      </w:r>
      <w:r>
        <w:t>study</w:t>
      </w:r>
      <w:r w:rsidR="000159A6">
        <w:t xml:space="preserve"> </w:t>
      </w:r>
      <w:r>
        <w:t>showed</w:t>
      </w:r>
      <w:r w:rsidR="000159A6">
        <w:t xml:space="preserve"> </w:t>
      </w:r>
      <w:r w:rsidRPr="00636E01">
        <w:t>that</w:t>
      </w:r>
      <w:r w:rsidR="000159A6">
        <w:t xml:space="preserve"> </w:t>
      </w:r>
      <w:r w:rsidRPr="00636E01">
        <w:t>while</w:t>
      </w:r>
      <w:r w:rsidR="000159A6">
        <w:t xml:space="preserve"> </w:t>
      </w:r>
      <w:r w:rsidRPr="00636E01">
        <w:t>both</w:t>
      </w:r>
      <w:r w:rsidR="000159A6">
        <w:t xml:space="preserve"> </w:t>
      </w:r>
      <w:r w:rsidRPr="00636E01">
        <w:t>humoral</w:t>
      </w:r>
      <w:r w:rsidR="000159A6">
        <w:t xml:space="preserve"> </w:t>
      </w:r>
      <w:r w:rsidRPr="00636E01">
        <w:t>and</w:t>
      </w:r>
      <w:r w:rsidR="000159A6">
        <w:t xml:space="preserve"> </w:t>
      </w:r>
      <w:r w:rsidRPr="00636E01">
        <w:t>cellular</w:t>
      </w:r>
      <w:r w:rsidR="000159A6">
        <w:t xml:space="preserve"> </w:t>
      </w:r>
      <w:r w:rsidRPr="00636E01">
        <w:t>immune</w:t>
      </w:r>
      <w:r w:rsidR="000159A6">
        <w:t xml:space="preserve"> </w:t>
      </w:r>
      <w:r w:rsidRPr="00636E01">
        <w:t>responses</w:t>
      </w:r>
      <w:r w:rsidR="000159A6">
        <w:t xml:space="preserve"> </w:t>
      </w:r>
      <w:r w:rsidRPr="00636E01">
        <w:t>wane</w:t>
      </w:r>
      <w:r w:rsidR="000159A6">
        <w:t xml:space="preserve"> </w:t>
      </w:r>
      <w:r w:rsidRPr="00636E01">
        <w:t>over</w:t>
      </w:r>
      <w:r w:rsidR="000159A6">
        <w:t xml:space="preserve"> </w:t>
      </w:r>
      <w:r w:rsidRPr="00636E01">
        <w:t>time,</w:t>
      </w:r>
      <w:r w:rsidR="000159A6">
        <w:t xml:space="preserve"> </w:t>
      </w:r>
      <w:r w:rsidRPr="00636E01">
        <w:t>at</w:t>
      </w:r>
      <w:r w:rsidR="000159A6">
        <w:t xml:space="preserve"> </w:t>
      </w:r>
      <w:r w:rsidRPr="00636E01">
        <w:t>y</w:t>
      </w:r>
      <w:r>
        <w:t>ear</w:t>
      </w:r>
      <w:r w:rsidR="000159A6">
        <w:t xml:space="preserve"> </w:t>
      </w:r>
      <w:r>
        <w:t>9</w:t>
      </w:r>
      <w:r w:rsidR="000159A6">
        <w:t xml:space="preserve"> </w:t>
      </w:r>
      <w:r>
        <w:t>post</w:t>
      </w:r>
      <w:r w:rsidR="000159A6">
        <w:t xml:space="preserve"> </w:t>
      </w:r>
      <w:r>
        <w:t>first</w:t>
      </w:r>
      <w:r w:rsidR="000159A6">
        <w:t xml:space="preserve"> </w:t>
      </w:r>
      <w:r>
        <w:t>dose</w:t>
      </w:r>
      <w:r w:rsidR="000159A6">
        <w:t xml:space="preserve"> </w:t>
      </w:r>
      <w:r>
        <w:t>they</w:t>
      </w:r>
      <w:r w:rsidR="000159A6">
        <w:t xml:space="preserve"> </w:t>
      </w:r>
      <w:r>
        <w:t>were</w:t>
      </w:r>
      <w:r w:rsidR="000159A6">
        <w:t xml:space="preserve"> </w:t>
      </w:r>
      <w:r w:rsidRPr="00636E01">
        <w:t>still</w:t>
      </w:r>
      <w:r w:rsidR="000159A6">
        <w:t xml:space="preserve"> </w:t>
      </w:r>
      <w:r w:rsidRPr="00636E01">
        <w:t>above</w:t>
      </w:r>
      <w:r w:rsidR="000159A6">
        <w:t xml:space="preserve"> </w:t>
      </w:r>
      <w:r w:rsidRPr="00636E01">
        <w:t>the</w:t>
      </w:r>
      <w:r w:rsidR="000159A6">
        <w:t xml:space="preserve"> </w:t>
      </w:r>
      <w:r w:rsidRPr="00636E01">
        <w:t>pre-vaccination</w:t>
      </w:r>
      <w:r w:rsidR="000159A6">
        <w:t xml:space="preserve"> </w:t>
      </w:r>
      <w:r w:rsidRPr="00636E01">
        <w:t>levels.</w:t>
      </w:r>
      <w:r w:rsidR="000159A6">
        <w:t xml:space="preserve"> </w:t>
      </w:r>
      <w:r w:rsidRPr="00636E01">
        <w:t>Whether</w:t>
      </w:r>
      <w:r w:rsidR="000159A6">
        <w:t xml:space="preserve"> </w:t>
      </w:r>
      <w:r w:rsidRPr="00636E01">
        <w:t>this</w:t>
      </w:r>
      <w:r w:rsidR="000159A6">
        <w:t xml:space="preserve"> </w:t>
      </w:r>
      <w:r w:rsidRPr="00636E01">
        <w:t>translates</w:t>
      </w:r>
      <w:r w:rsidR="000159A6">
        <w:t xml:space="preserve"> </w:t>
      </w:r>
      <w:r w:rsidRPr="00636E01">
        <w:t>into</w:t>
      </w:r>
      <w:r w:rsidR="000159A6">
        <w:t xml:space="preserve"> </w:t>
      </w:r>
      <w:r w:rsidRPr="00636E01">
        <w:t>protec</w:t>
      </w:r>
      <w:r>
        <w:t>tion</w:t>
      </w:r>
      <w:r w:rsidR="000159A6">
        <w:t xml:space="preserve"> </w:t>
      </w:r>
      <w:r>
        <w:t>against</w:t>
      </w:r>
      <w:r w:rsidR="000159A6">
        <w:t xml:space="preserve"> </w:t>
      </w:r>
      <w:r>
        <w:t>HZ</w:t>
      </w:r>
      <w:r w:rsidR="000159A6">
        <w:t xml:space="preserve"> </w:t>
      </w:r>
      <w:r>
        <w:t>is</w:t>
      </w:r>
      <w:r w:rsidR="000159A6">
        <w:t xml:space="preserve"> </w:t>
      </w:r>
      <w:r>
        <w:t>unknown.</w:t>
      </w:r>
      <w:r w:rsidR="000159A6">
        <w:t xml:space="preserve"> </w:t>
      </w:r>
      <w:r>
        <w:t>Two</w:t>
      </w:r>
      <w:r w:rsidR="000159A6">
        <w:t xml:space="preserve"> </w:t>
      </w:r>
      <w:r w:rsidRPr="00636E01">
        <w:t>studies</w:t>
      </w:r>
      <w:r w:rsidR="000159A6">
        <w:t xml:space="preserve"> </w:t>
      </w:r>
      <w:r w:rsidRPr="00636E01">
        <w:t>(</w:t>
      </w:r>
      <w:r w:rsidR="00525235">
        <w:t>Studies</w:t>
      </w:r>
      <w:r w:rsidR="000159A6">
        <w:t xml:space="preserve"> </w:t>
      </w:r>
      <w:r w:rsidR="00525235">
        <w:t>ZOSTER</w:t>
      </w:r>
      <w:r w:rsidRPr="00636E01">
        <w:t>-049</w:t>
      </w:r>
      <w:r w:rsidR="000159A6">
        <w:t xml:space="preserve"> </w:t>
      </w:r>
      <w:r w:rsidRPr="00636E01">
        <w:t>and</w:t>
      </w:r>
      <w:r w:rsidR="000159A6">
        <w:t xml:space="preserve"> </w:t>
      </w:r>
      <w:r w:rsidRPr="00636E01">
        <w:t>ZOSTER-060)</w:t>
      </w:r>
      <w:r w:rsidR="000159A6">
        <w:t xml:space="preserve"> </w:t>
      </w:r>
      <w:r w:rsidRPr="00636E01">
        <w:t>are</w:t>
      </w:r>
      <w:r w:rsidR="000159A6">
        <w:t xml:space="preserve"> </w:t>
      </w:r>
      <w:r w:rsidRPr="00636E01">
        <w:t>planned</w:t>
      </w:r>
      <w:r w:rsidR="000159A6">
        <w:t xml:space="preserve"> </w:t>
      </w:r>
      <w:r w:rsidRPr="00636E01">
        <w:t>to</w:t>
      </w:r>
      <w:r w:rsidR="000159A6">
        <w:t xml:space="preserve"> </w:t>
      </w:r>
      <w:r w:rsidRPr="00636E01">
        <w:t>generate</w:t>
      </w:r>
      <w:r w:rsidR="000159A6">
        <w:t xml:space="preserve"> </w:t>
      </w:r>
      <w:r w:rsidRPr="00636E01">
        <w:t>additional</w:t>
      </w:r>
      <w:r w:rsidR="000159A6">
        <w:t xml:space="preserve"> </w:t>
      </w:r>
      <w:r w:rsidRPr="00636E01">
        <w:t>data</w:t>
      </w:r>
      <w:r w:rsidR="000159A6">
        <w:t xml:space="preserve"> </w:t>
      </w:r>
      <w:r w:rsidRPr="00636E01">
        <w:t>on</w:t>
      </w:r>
      <w:r w:rsidR="000159A6">
        <w:t xml:space="preserve"> </w:t>
      </w:r>
      <w:r w:rsidRPr="00636E01">
        <w:t>long</w:t>
      </w:r>
      <w:r w:rsidR="000159A6">
        <w:t xml:space="preserve"> </w:t>
      </w:r>
      <w:r w:rsidRPr="00636E01">
        <w:t>term</w:t>
      </w:r>
      <w:r w:rsidR="000159A6">
        <w:t xml:space="preserve"> </w:t>
      </w:r>
      <w:r w:rsidRPr="00636E01">
        <w:t>follow-up.</w:t>
      </w:r>
    </w:p>
    <w:p w14:paraId="22E3CFCB" w14:textId="4A8321AC" w:rsidR="00636E01" w:rsidRPr="00636E01" w:rsidRDefault="00636E01" w:rsidP="00636E01">
      <w:r w:rsidRPr="00636E01">
        <w:rPr>
          <w:i/>
        </w:rPr>
        <w:t>Data</w:t>
      </w:r>
      <w:r w:rsidR="000159A6">
        <w:rPr>
          <w:i/>
        </w:rPr>
        <w:t xml:space="preserve"> </w:t>
      </w:r>
      <w:r w:rsidRPr="00636E01">
        <w:rPr>
          <w:i/>
        </w:rPr>
        <w:t>on</w:t>
      </w:r>
      <w:r w:rsidR="000159A6">
        <w:rPr>
          <w:i/>
        </w:rPr>
        <w:t xml:space="preserve"> </w:t>
      </w:r>
      <w:r w:rsidRPr="00636E01">
        <w:rPr>
          <w:i/>
        </w:rPr>
        <w:t>immunocompromised</w:t>
      </w:r>
      <w:r w:rsidR="000159A6">
        <w:rPr>
          <w:i/>
        </w:rPr>
        <w:t xml:space="preserve"> </w:t>
      </w:r>
      <w:r w:rsidRPr="00636E01">
        <w:rPr>
          <w:i/>
        </w:rPr>
        <w:t>population</w:t>
      </w:r>
      <w:r w:rsidR="00332E3D">
        <w:t>:</w:t>
      </w:r>
      <w:r w:rsidR="000159A6">
        <w:t xml:space="preserve"> </w:t>
      </w:r>
      <w:r w:rsidRPr="00636E01">
        <w:t>The</w:t>
      </w:r>
      <w:r w:rsidR="000159A6">
        <w:t xml:space="preserve"> </w:t>
      </w:r>
      <w:r w:rsidRPr="00636E01">
        <w:t>lack</w:t>
      </w:r>
      <w:r w:rsidR="000159A6">
        <w:t xml:space="preserve"> </w:t>
      </w:r>
      <w:r w:rsidRPr="00636E01">
        <w:t>of</w:t>
      </w:r>
      <w:r w:rsidR="000159A6">
        <w:t xml:space="preserve"> </w:t>
      </w:r>
      <w:r w:rsidRPr="00636E01">
        <w:t>data</w:t>
      </w:r>
      <w:r w:rsidR="000159A6">
        <w:t xml:space="preserve"> </w:t>
      </w:r>
      <w:r w:rsidRPr="00636E01">
        <w:t>in</w:t>
      </w:r>
      <w:r w:rsidR="000159A6">
        <w:t xml:space="preserve"> </w:t>
      </w:r>
      <w:r w:rsidRPr="00636E01">
        <w:t>this</w:t>
      </w:r>
      <w:r w:rsidR="000159A6">
        <w:t xml:space="preserve"> </w:t>
      </w:r>
      <w:r w:rsidRPr="00636E01">
        <w:t>population,</w:t>
      </w:r>
      <w:r w:rsidR="000159A6">
        <w:t xml:space="preserve"> </w:t>
      </w:r>
      <w:r w:rsidRPr="00636E01">
        <w:t>and</w:t>
      </w:r>
      <w:r w:rsidR="000159A6">
        <w:t xml:space="preserve"> </w:t>
      </w:r>
      <w:r w:rsidRPr="00636E01">
        <w:t>further</w:t>
      </w:r>
      <w:r w:rsidR="000159A6">
        <w:t xml:space="preserve"> </w:t>
      </w:r>
      <w:r w:rsidRPr="00636E01">
        <w:t>information</w:t>
      </w:r>
      <w:r w:rsidR="000159A6">
        <w:t xml:space="preserve"> </w:t>
      </w:r>
      <w:r w:rsidRPr="00636E01">
        <w:t>is</w:t>
      </w:r>
      <w:r w:rsidR="000159A6">
        <w:t xml:space="preserve"> </w:t>
      </w:r>
      <w:r w:rsidRPr="00636E01">
        <w:t>address</w:t>
      </w:r>
      <w:r>
        <w:t>ed</w:t>
      </w:r>
      <w:r w:rsidR="000159A6">
        <w:t xml:space="preserve"> </w:t>
      </w:r>
      <w:r>
        <w:t>in</w:t>
      </w:r>
      <w:r w:rsidR="000159A6">
        <w:t xml:space="preserve"> </w:t>
      </w:r>
      <w:r>
        <w:t>the</w:t>
      </w:r>
      <w:r w:rsidR="000159A6">
        <w:t xml:space="preserve"> </w:t>
      </w:r>
      <w:r>
        <w:t>EU-RMP</w:t>
      </w:r>
      <w:r w:rsidR="000159A6">
        <w:t xml:space="preserve"> </w:t>
      </w:r>
      <w:r>
        <w:t>and</w:t>
      </w:r>
      <w:r w:rsidR="000159A6">
        <w:t xml:space="preserve"> </w:t>
      </w:r>
      <w:r>
        <w:t>Australian</w:t>
      </w:r>
      <w:r w:rsidR="000159A6">
        <w:t xml:space="preserve"> </w:t>
      </w:r>
      <w:r w:rsidRPr="00636E01">
        <w:t>Specific</w:t>
      </w:r>
      <w:r w:rsidR="000159A6">
        <w:t xml:space="preserve"> </w:t>
      </w:r>
      <w:r w:rsidRPr="00636E01">
        <w:t>Annex.</w:t>
      </w:r>
      <w:r w:rsidR="000159A6">
        <w:t xml:space="preserve"> </w:t>
      </w:r>
      <w:r w:rsidRPr="00636E01">
        <w:t>Studies</w:t>
      </w:r>
      <w:r w:rsidR="000159A6">
        <w:t xml:space="preserve"> </w:t>
      </w:r>
      <w:r w:rsidR="0037169B">
        <w:t>ZOSTER</w:t>
      </w:r>
      <w:r w:rsidR="00CD5352">
        <w:noBreakHyphen/>
      </w:r>
      <w:r w:rsidRPr="00636E01">
        <w:t>002,</w:t>
      </w:r>
      <w:r w:rsidR="000159A6">
        <w:t xml:space="preserve"> </w:t>
      </w:r>
      <w:r w:rsidRPr="00636E01">
        <w:t>-028,</w:t>
      </w:r>
      <w:r w:rsidR="000159A6">
        <w:t xml:space="preserve"> </w:t>
      </w:r>
      <w:r w:rsidRPr="00636E01">
        <w:t>-041,</w:t>
      </w:r>
      <w:r w:rsidR="000159A6">
        <w:t xml:space="preserve"> </w:t>
      </w:r>
      <w:r w:rsidRPr="00636E01">
        <w:t>and</w:t>
      </w:r>
      <w:r w:rsidR="000159A6">
        <w:t xml:space="preserve"> </w:t>
      </w:r>
      <w:r w:rsidRPr="00636E01">
        <w:t>-039</w:t>
      </w:r>
      <w:r w:rsidR="000159A6">
        <w:t xml:space="preserve"> </w:t>
      </w:r>
      <w:r w:rsidRPr="00636E01">
        <w:t>are</w:t>
      </w:r>
      <w:r w:rsidR="000159A6">
        <w:t xml:space="preserve"> </w:t>
      </w:r>
      <w:r w:rsidRPr="00636E01">
        <w:t>ongoing</w:t>
      </w:r>
      <w:r w:rsidR="000159A6">
        <w:t xml:space="preserve"> </w:t>
      </w:r>
      <w:r w:rsidRPr="00636E01">
        <w:t>and/or</w:t>
      </w:r>
      <w:r w:rsidR="000159A6">
        <w:t xml:space="preserve"> </w:t>
      </w:r>
      <w:r w:rsidRPr="00636E01">
        <w:t>c</w:t>
      </w:r>
      <w:r>
        <w:t>ompleted</w:t>
      </w:r>
      <w:r w:rsidR="000159A6">
        <w:t xml:space="preserve"> </w:t>
      </w:r>
      <w:r>
        <w:t>and</w:t>
      </w:r>
      <w:r w:rsidR="000159A6">
        <w:t xml:space="preserve"> </w:t>
      </w:r>
      <w:r>
        <w:t>will</w:t>
      </w:r>
      <w:r w:rsidR="000159A6">
        <w:t xml:space="preserve"> </w:t>
      </w:r>
      <w:r>
        <w:t>be</w:t>
      </w:r>
      <w:r w:rsidR="000159A6">
        <w:t xml:space="preserve"> </w:t>
      </w:r>
      <w:r>
        <w:t>subject</w:t>
      </w:r>
      <w:r w:rsidR="000159A6">
        <w:t xml:space="preserve"> </w:t>
      </w:r>
      <w:r>
        <w:t>to</w:t>
      </w:r>
      <w:r w:rsidR="000159A6">
        <w:t xml:space="preserve"> </w:t>
      </w:r>
      <w:r w:rsidRPr="00636E01">
        <w:t>a</w:t>
      </w:r>
      <w:r w:rsidR="000159A6">
        <w:t xml:space="preserve"> </w:t>
      </w:r>
      <w:r w:rsidRPr="00636E01">
        <w:t>future</w:t>
      </w:r>
      <w:r w:rsidR="000159A6">
        <w:t xml:space="preserve"> </w:t>
      </w:r>
      <w:r w:rsidRPr="00636E01">
        <w:t>variation.</w:t>
      </w:r>
    </w:p>
    <w:p w14:paraId="2A62874A" w14:textId="674C6AB4" w:rsidR="00436177" w:rsidRPr="00636E01" w:rsidRDefault="00636E01" w:rsidP="002E1097">
      <w:r w:rsidRPr="002E1097">
        <w:rPr>
          <w:i/>
        </w:rPr>
        <w:t>Data</w:t>
      </w:r>
      <w:r w:rsidR="000159A6" w:rsidRPr="002E1097">
        <w:rPr>
          <w:i/>
        </w:rPr>
        <w:t xml:space="preserve"> </w:t>
      </w:r>
      <w:r w:rsidRPr="002E1097">
        <w:rPr>
          <w:i/>
        </w:rPr>
        <w:t>on</w:t>
      </w:r>
      <w:r w:rsidR="000159A6" w:rsidRPr="002E1097">
        <w:rPr>
          <w:i/>
        </w:rPr>
        <w:t xml:space="preserve"> </w:t>
      </w:r>
      <w:r w:rsidRPr="002E1097">
        <w:rPr>
          <w:i/>
        </w:rPr>
        <w:t>co-administration</w:t>
      </w:r>
      <w:r w:rsidR="000159A6" w:rsidRPr="002E1097">
        <w:rPr>
          <w:i/>
        </w:rPr>
        <w:t xml:space="preserve"> </w:t>
      </w:r>
      <w:r w:rsidRPr="002E1097">
        <w:rPr>
          <w:i/>
        </w:rPr>
        <w:t>with</w:t>
      </w:r>
      <w:r w:rsidR="000159A6" w:rsidRPr="002E1097">
        <w:rPr>
          <w:i/>
        </w:rPr>
        <w:t xml:space="preserve"> </w:t>
      </w:r>
      <w:r w:rsidRPr="002E1097">
        <w:rPr>
          <w:i/>
        </w:rPr>
        <w:t>vaccines</w:t>
      </w:r>
      <w:r w:rsidR="000159A6" w:rsidRPr="002E1097">
        <w:rPr>
          <w:i/>
        </w:rPr>
        <w:t xml:space="preserve"> </w:t>
      </w:r>
      <w:r w:rsidRPr="002E1097">
        <w:rPr>
          <w:i/>
        </w:rPr>
        <w:t>other</w:t>
      </w:r>
      <w:r w:rsidR="000159A6" w:rsidRPr="002E1097">
        <w:rPr>
          <w:i/>
        </w:rPr>
        <w:t xml:space="preserve"> </w:t>
      </w:r>
      <w:r w:rsidRPr="002E1097">
        <w:rPr>
          <w:i/>
        </w:rPr>
        <w:t>than</w:t>
      </w:r>
      <w:r w:rsidR="000159A6" w:rsidRPr="002E1097">
        <w:rPr>
          <w:i/>
        </w:rPr>
        <w:t xml:space="preserve"> </w:t>
      </w:r>
      <w:r w:rsidRPr="002E1097">
        <w:rPr>
          <w:i/>
        </w:rPr>
        <w:t>influenza</w:t>
      </w:r>
      <w:r w:rsidR="000159A6" w:rsidRPr="002E1097">
        <w:rPr>
          <w:i/>
        </w:rPr>
        <w:t xml:space="preserve"> </w:t>
      </w:r>
      <w:r w:rsidRPr="002E1097">
        <w:rPr>
          <w:i/>
        </w:rPr>
        <w:t>vaccine,</w:t>
      </w:r>
      <w:r w:rsidR="000159A6" w:rsidRPr="002E1097">
        <w:rPr>
          <w:i/>
        </w:rPr>
        <w:t xml:space="preserve"> </w:t>
      </w:r>
      <w:r w:rsidRPr="002E1097">
        <w:rPr>
          <w:i/>
        </w:rPr>
        <w:t>such</w:t>
      </w:r>
      <w:r w:rsidR="000159A6" w:rsidRPr="002E1097">
        <w:rPr>
          <w:i/>
        </w:rPr>
        <w:t xml:space="preserve"> </w:t>
      </w:r>
      <w:r w:rsidRPr="002E1097">
        <w:rPr>
          <w:i/>
        </w:rPr>
        <w:t>as</w:t>
      </w:r>
      <w:r w:rsidR="000159A6" w:rsidRPr="002E1097">
        <w:rPr>
          <w:i/>
        </w:rPr>
        <w:t xml:space="preserve"> </w:t>
      </w:r>
      <w:r w:rsidRPr="002E1097">
        <w:rPr>
          <w:i/>
        </w:rPr>
        <w:t>pneumococcal</w:t>
      </w:r>
      <w:r w:rsidR="000159A6" w:rsidRPr="002E1097">
        <w:rPr>
          <w:i/>
        </w:rPr>
        <w:t xml:space="preserve"> </w:t>
      </w:r>
      <w:r w:rsidRPr="002E1097">
        <w:rPr>
          <w:i/>
        </w:rPr>
        <w:t>vaccine</w:t>
      </w:r>
      <w:r w:rsidR="000159A6" w:rsidRPr="002E1097">
        <w:rPr>
          <w:i/>
        </w:rPr>
        <w:t xml:space="preserve"> </w:t>
      </w:r>
      <w:r w:rsidRPr="002E1097">
        <w:rPr>
          <w:i/>
        </w:rPr>
        <w:t>and</w:t>
      </w:r>
      <w:r w:rsidR="000159A6" w:rsidRPr="002E1097">
        <w:rPr>
          <w:i/>
        </w:rPr>
        <w:t xml:space="preserve"> </w:t>
      </w:r>
      <w:r w:rsidRPr="002E1097">
        <w:rPr>
          <w:i/>
        </w:rPr>
        <w:t>other</w:t>
      </w:r>
      <w:r w:rsidR="000159A6" w:rsidRPr="002E1097">
        <w:rPr>
          <w:i/>
        </w:rPr>
        <w:t xml:space="preserve"> </w:t>
      </w:r>
      <w:r w:rsidRPr="002E1097">
        <w:rPr>
          <w:i/>
        </w:rPr>
        <w:t>adjuvanted</w:t>
      </w:r>
      <w:r w:rsidR="000159A6" w:rsidRPr="002E1097">
        <w:rPr>
          <w:i/>
        </w:rPr>
        <w:t xml:space="preserve"> </w:t>
      </w:r>
      <w:r w:rsidRPr="002E1097">
        <w:rPr>
          <w:i/>
        </w:rPr>
        <w:t>vaccines</w:t>
      </w:r>
      <w:r w:rsidR="00332E3D">
        <w:t>:</w:t>
      </w:r>
      <w:r w:rsidR="000159A6">
        <w:t xml:space="preserve"> </w:t>
      </w:r>
      <w:r w:rsidRPr="00636E01">
        <w:t>As</w:t>
      </w:r>
      <w:r w:rsidR="000159A6">
        <w:t xml:space="preserve"> </w:t>
      </w:r>
      <w:r w:rsidRPr="00636E01">
        <w:t>discussed</w:t>
      </w:r>
      <w:r w:rsidR="000159A6">
        <w:t xml:space="preserve"> </w:t>
      </w:r>
      <w:r w:rsidRPr="00636E01">
        <w:t>in</w:t>
      </w:r>
      <w:r w:rsidR="000159A6">
        <w:t xml:space="preserve"> </w:t>
      </w:r>
      <w:r w:rsidRPr="00636E01">
        <w:t>the</w:t>
      </w:r>
      <w:r w:rsidR="000159A6">
        <w:t xml:space="preserve"> </w:t>
      </w:r>
      <w:r w:rsidRPr="00636E01">
        <w:t>response</w:t>
      </w:r>
      <w:r w:rsidR="000159A6">
        <w:t xml:space="preserve"> </w:t>
      </w:r>
      <w:r w:rsidR="00733CE8">
        <w:t>to</w:t>
      </w:r>
      <w:r w:rsidR="000159A6">
        <w:t xml:space="preserve"> </w:t>
      </w:r>
      <w:r w:rsidR="00733CE8">
        <w:t>questions</w:t>
      </w:r>
      <w:r w:rsidRPr="00636E01">
        <w:t>,</w:t>
      </w:r>
      <w:r w:rsidR="000159A6">
        <w:t xml:space="preserve"> </w:t>
      </w:r>
      <w:r w:rsidRPr="00636E01">
        <w:t>the</w:t>
      </w:r>
      <w:r w:rsidR="000159A6">
        <w:t xml:space="preserve"> </w:t>
      </w:r>
      <w:r w:rsidRPr="00636E01">
        <w:t>end</w:t>
      </w:r>
      <w:r w:rsidR="000159A6">
        <w:t xml:space="preserve"> </w:t>
      </w:r>
      <w:r w:rsidRPr="00636E01">
        <w:t>of</w:t>
      </w:r>
      <w:r w:rsidR="000159A6">
        <w:t xml:space="preserve"> </w:t>
      </w:r>
      <w:r w:rsidRPr="00636E01">
        <w:t>study</w:t>
      </w:r>
      <w:r w:rsidR="000159A6">
        <w:t xml:space="preserve"> </w:t>
      </w:r>
      <w:r w:rsidRPr="00636E01">
        <w:t>safety</w:t>
      </w:r>
      <w:r w:rsidR="000159A6">
        <w:t xml:space="preserve"> </w:t>
      </w:r>
      <w:r w:rsidRPr="00636E01">
        <w:t>results</w:t>
      </w:r>
      <w:r w:rsidR="000159A6">
        <w:t xml:space="preserve"> </w:t>
      </w:r>
      <w:r w:rsidRPr="00636E01">
        <w:t>f</w:t>
      </w:r>
      <w:r>
        <w:t>rom</w:t>
      </w:r>
      <w:r w:rsidR="000159A6">
        <w:t xml:space="preserve"> </w:t>
      </w:r>
      <w:r>
        <w:t>the</w:t>
      </w:r>
      <w:r w:rsidR="000159A6">
        <w:t xml:space="preserve"> </w:t>
      </w:r>
      <w:r w:rsidR="00525235">
        <w:t>Study</w:t>
      </w:r>
      <w:r w:rsidR="000159A6">
        <w:t xml:space="preserve"> </w:t>
      </w:r>
      <w:r w:rsidR="00525235">
        <w:t>ZOSTER</w:t>
      </w:r>
      <w:r>
        <w:t>-035</w:t>
      </w:r>
      <w:r w:rsidR="000159A6">
        <w:t xml:space="preserve"> </w:t>
      </w:r>
      <w:r>
        <w:t>(HZ/</w:t>
      </w:r>
      <w:proofErr w:type="spellStart"/>
      <w:r>
        <w:t>su</w:t>
      </w:r>
      <w:proofErr w:type="spellEnd"/>
      <w:r w:rsidR="000159A6">
        <w:t xml:space="preserve"> </w:t>
      </w:r>
      <w:r w:rsidRPr="00636E01">
        <w:t>co-administration</w:t>
      </w:r>
      <w:r w:rsidR="000159A6">
        <w:t xml:space="preserve"> </w:t>
      </w:r>
      <w:r w:rsidRPr="00636E01">
        <w:t>with</w:t>
      </w:r>
      <w:r w:rsidR="000159A6">
        <w:t xml:space="preserve"> </w:t>
      </w:r>
      <w:proofErr w:type="spellStart"/>
      <w:r w:rsidRPr="00636E01">
        <w:t>Pneumovax</w:t>
      </w:r>
      <w:proofErr w:type="spellEnd"/>
      <w:r w:rsidR="000159A6">
        <w:t xml:space="preserve"> </w:t>
      </w:r>
      <w:r w:rsidRPr="00636E01">
        <w:t>23)</w:t>
      </w:r>
      <w:r w:rsidR="000159A6">
        <w:t xml:space="preserve"> </w:t>
      </w:r>
      <w:r w:rsidRPr="00636E01">
        <w:t>and</w:t>
      </w:r>
      <w:r w:rsidR="000159A6">
        <w:t xml:space="preserve"> </w:t>
      </w:r>
      <w:r w:rsidRPr="00636E01">
        <w:t>end</w:t>
      </w:r>
      <w:r w:rsidR="000159A6">
        <w:t xml:space="preserve"> </w:t>
      </w:r>
      <w:r w:rsidRPr="00636E01">
        <w:t>of</w:t>
      </w:r>
      <w:r w:rsidR="000159A6">
        <w:t xml:space="preserve"> </w:t>
      </w:r>
      <w:r w:rsidRPr="00636E01">
        <w:t>study</w:t>
      </w:r>
      <w:r w:rsidR="000159A6">
        <w:t xml:space="preserve"> </w:t>
      </w:r>
      <w:r w:rsidRPr="00636E01">
        <w:t>safety</w:t>
      </w:r>
      <w:r w:rsidR="000159A6">
        <w:t xml:space="preserve"> </w:t>
      </w:r>
      <w:r w:rsidRPr="00636E01">
        <w:t>result</w:t>
      </w:r>
      <w:r w:rsidR="000159A6">
        <w:t xml:space="preserve"> </w:t>
      </w:r>
      <w:r w:rsidRPr="00636E01">
        <w:t>of</w:t>
      </w:r>
      <w:r w:rsidR="000159A6">
        <w:t xml:space="preserve"> </w:t>
      </w:r>
      <w:r w:rsidRPr="00636E01">
        <w:t>the</w:t>
      </w:r>
      <w:r w:rsidR="000159A6">
        <w:t xml:space="preserve"> </w:t>
      </w:r>
      <w:r w:rsidR="00525235">
        <w:t>Study</w:t>
      </w:r>
      <w:r w:rsidR="000159A6">
        <w:t xml:space="preserve"> </w:t>
      </w:r>
      <w:r w:rsidR="00525235">
        <w:t>ZOSTER</w:t>
      </w:r>
      <w:r w:rsidRPr="00636E01">
        <w:t>-04</w:t>
      </w:r>
      <w:r>
        <w:t>2</w:t>
      </w:r>
      <w:r w:rsidR="000159A6">
        <w:t xml:space="preserve"> </w:t>
      </w:r>
      <w:r>
        <w:t>study</w:t>
      </w:r>
      <w:r w:rsidR="000159A6">
        <w:t xml:space="preserve"> </w:t>
      </w:r>
      <w:r>
        <w:t>(HZ/</w:t>
      </w:r>
      <w:proofErr w:type="spellStart"/>
      <w:r>
        <w:t>su</w:t>
      </w:r>
      <w:proofErr w:type="spellEnd"/>
      <w:r w:rsidR="000159A6">
        <w:t xml:space="preserve"> </w:t>
      </w:r>
      <w:r>
        <w:t>co</w:t>
      </w:r>
      <w:r w:rsidR="0038311D">
        <w:noBreakHyphen/>
      </w:r>
      <w:r>
        <w:t>administration</w:t>
      </w:r>
      <w:r w:rsidR="000159A6">
        <w:t xml:space="preserve"> </w:t>
      </w:r>
      <w:r w:rsidRPr="00636E01">
        <w:t>with</w:t>
      </w:r>
      <w:r w:rsidR="000159A6">
        <w:t xml:space="preserve"> </w:t>
      </w:r>
      <w:proofErr w:type="spellStart"/>
      <w:r w:rsidRPr="00636E01">
        <w:t>Boostrix</w:t>
      </w:r>
      <w:proofErr w:type="spellEnd"/>
      <w:r w:rsidRPr="00636E01">
        <w:t>)</w:t>
      </w:r>
      <w:r w:rsidR="000159A6">
        <w:t xml:space="preserve"> </w:t>
      </w:r>
      <w:r w:rsidRPr="00636E01">
        <w:t>are</w:t>
      </w:r>
      <w:r w:rsidR="000159A6">
        <w:t xml:space="preserve"> </w:t>
      </w:r>
      <w:r w:rsidRPr="00636E01">
        <w:t>now</w:t>
      </w:r>
      <w:r w:rsidR="000159A6">
        <w:t xml:space="preserve"> </w:t>
      </w:r>
      <w:r w:rsidRPr="00636E01">
        <w:t>available.</w:t>
      </w:r>
      <w:r w:rsidR="000159A6">
        <w:t xml:space="preserve"> </w:t>
      </w:r>
      <w:r w:rsidRPr="00636E01">
        <w:t>The</w:t>
      </w:r>
      <w:r w:rsidR="000159A6">
        <w:t xml:space="preserve"> </w:t>
      </w:r>
      <w:r w:rsidRPr="00636E01">
        <w:t>available</w:t>
      </w:r>
      <w:r w:rsidR="000159A6">
        <w:t xml:space="preserve"> </w:t>
      </w:r>
      <w:r w:rsidRPr="00636E01">
        <w:t>clinical</w:t>
      </w:r>
      <w:r w:rsidR="000159A6">
        <w:t xml:space="preserve"> </w:t>
      </w:r>
      <w:r w:rsidRPr="00636E01">
        <w:t>dat</w:t>
      </w:r>
      <w:r>
        <w:t>a</w:t>
      </w:r>
      <w:r w:rsidR="000159A6">
        <w:t xml:space="preserve"> </w:t>
      </w:r>
      <w:r>
        <w:t>shows</w:t>
      </w:r>
      <w:r w:rsidR="000159A6">
        <w:t xml:space="preserve"> </w:t>
      </w:r>
      <w:r>
        <w:t>that</w:t>
      </w:r>
      <w:r w:rsidR="000159A6">
        <w:t xml:space="preserve"> </w:t>
      </w:r>
      <w:r>
        <w:t>there</w:t>
      </w:r>
      <w:r w:rsidR="000159A6">
        <w:t xml:space="preserve"> </w:t>
      </w:r>
      <w:r>
        <w:t>is</w:t>
      </w:r>
      <w:r w:rsidR="000159A6">
        <w:t xml:space="preserve"> </w:t>
      </w:r>
      <w:r>
        <w:t>no</w:t>
      </w:r>
      <w:r w:rsidR="000159A6">
        <w:t xml:space="preserve"> </w:t>
      </w:r>
      <w:r>
        <w:t>safety</w:t>
      </w:r>
      <w:r w:rsidR="000159A6">
        <w:t xml:space="preserve"> </w:t>
      </w:r>
      <w:r w:rsidRPr="00636E01">
        <w:t>concern</w:t>
      </w:r>
      <w:r w:rsidR="000159A6">
        <w:t xml:space="preserve"> </w:t>
      </w:r>
      <w:r w:rsidRPr="00636E01">
        <w:t>when</w:t>
      </w:r>
      <w:r w:rsidR="000159A6">
        <w:t xml:space="preserve"> </w:t>
      </w:r>
      <w:r w:rsidRPr="00636E01">
        <w:t>HZ/</w:t>
      </w:r>
      <w:proofErr w:type="spellStart"/>
      <w:r w:rsidRPr="00636E01">
        <w:t>su</w:t>
      </w:r>
      <w:proofErr w:type="spellEnd"/>
      <w:r w:rsidR="000159A6">
        <w:t xml:space="preserve"> </w:t>
      </w:r>
      <w:r w:rsidRPr="00636E01">
        <w:t>is</w:t>
      </w:r>
      <w:r w:rsidR="000159A6">
        <w:t xml:space="preserve"> </w:t>
      </w:r>
      <w:r w:rsidRPr="00636E01">
        <w:t>co-administered</w:t>
      </w:r>
      <w:r w:rsidR="000159A6">
        <w:t xml:space="preserve"> </w:t>
      </w:r>
      <w:r w:rsidRPr="00636E01">
        <w:t>with</w:t>
      </w:r>
      <w:r w:rsidR="000159A6">
        <w:t xml:space="preserve"> </w:t>
      </w:r>
      <w:proofErr w:type="spellStart"/>
      <w:r w:rsidRPr="00636E01">
        <w:t>Boostrix</w:t>
      </w:r>
      <w:proofErr w:type="spellEnd"/>
      <w:r w:rsidR="000159A6">
        <w:t xml:space="preserve"> </w:t>
      </w:r>
      <w:r w:rsidRPr="00636E01">
        <w:t>or</w:t>
      </w:r>
      <w:r w:rsidR="000159A6">
        <w:t xml:space="preserve"> </w:t>
      </w:r>
      <w:proofErr w:type="spellStart"/>
      <w:r w:rsidRPr="00636E01">
        <w:t>Pneumovax</w:t>
      </w:r>
      <w:proofErr w:type="spellEnd"/>
      <w:r w:rsidR="000159A6">
        <w:t xml:space="preserve"> </w:t>
      </w:r>
      <w:r w:rsidRPr="00636E01">
        <w:t>23.</w:t>
      </w:r>
      <w:r w:rsidR="000159A6">
        <w:t xml:space="preserve"> </w:t>
      </w:r>
      <w:r w:rsidRPr="00636E01">
        <w:t>Re</w:t>
      </w:r>
      <w:r>
        <w:t>sults</w:t>
      </w:r>
      <w:r w:rsidR="000159A6">
        <w:t xml:space="preserve"> </w:t>
      </w:r>
      <w:r>
        <w:t>from</w:t>
      </w:r>
      <w:r w:rsidR="000159A6">
        <w:t xml:space="preserve"> </w:t>
      </w:r>
      <w:r>
        <w:t>both</w:t>
      </w:r>
      <w:r w:rsidR="000159A6">
        <w:t xml:space="preserve"> </w:t>
      </w:r>
      <w:r>
        <w:t>studies</w:t>
      </w:r>
      <w:r w:rsidR="000159A6">
        <w:t xml:space="preserve"> </w:t>
      </w:r>
      <w:r>
        <w:t>will</w:t>
      </w:r>
      <w:r w:rsidR="000159A6">
        <w:t xml:space="preserve"> </w:t>
      </w:r>
      <w:r>
        <w:t>be</w:t>
      </w:r>
      <w:r w:rsidR="000159A6">
        <w:t xml:space="preserve"> </w:t>
      </w:r>
      <w:r w:rsidRPr="00636E01">
        <w:t>submitted</w:t>
      </w:r>
      <w:r w:rsidR="000159A6">
        <w:t xml:space="preserve"> </w:t>
      </w:r>
      <w:r w:rsidRPr="00636E01">
        <w:t>as</w:t>
      </w:r>
      <w:r w:rsidR="000159A6">
        <w:t xml:space="preserve"> </w:t>
      </w:r>
      <w:r w:rsidRPr="00636E01">
        <w:t>post-approval</w:t>
      </w:r>
      <w:r w:rsidR="000159A6">
        <w:t xml:space="preserve"> </w:t>
      </w:r>
      <w:r w:rsidRPr="00636E01">
        <w:t>variation.</w:t>
      </w:r>
      <w:r w:rsidR="000159A6">
        <w:t xml:space="preserve"> </w:t>
      </w:r>
      <w:r w:rsidRPr="00636E01">
        <w:t>In</w:t>
      </w:r>
      <w:r w:rsidR="000159A6">
        <w:t xml:space="preserve"> </w:t>
      </w:r>
      <w:r w:rsidRPr="00636E01">
        <w:t>addition,</w:t>
      </w:r>
      <w:r w:rsidR="000159A6">
        <w:t xml:space="preserve"> </w:t>
      </w:r>
      <w:r w:rsidR="00332E3D">
        <w:t>the</w:t>
      </w:r>
      <w:r w:rsidR="000159A6">
        <w:t xml:space="preserve"> </w:t>
      </w:r>
      <w:r w:rsidR="00332E3D">
        <w:t>sponsor</w:t>
      </w:r>
      <w:r w:rsidR="000159A6">
        <w:t xml:space="preserve"> </w:t>
      </w:r>
      <w:r w:rsidRPr="00636E01">
        <w:t>is</w:t>
      </w:r>
      <w:r w:rsidR="000159A6">
        <w:t xml:space="preserve"> </w:t>
      </w:r>
      <w:r w:rsidRPr="00636E01">
        <w:t>planning</w:t>
      </w:r>
      <w:r w:rsidR="000159A6">
        <w:t xml:space="preserve"> </w:t>
      </w:r>
      <w:r w:rsidRPr="00636E01">
        <w:t>to</w:t>
      </w:r>
      <w:r w:rsidR="000159A6">
        <w:t xml:space="preserve"> </w:t>
      </w:r>
      <w:r w:rsidRPr="00636E01">
        <w:t>conduct</w:t>
      </w:r>
      <w:r w:rsidR="000159A6">
        <w:t xml:space="preserve"> </w:t>
      </w:r>
      <w:r w:rsidRPr="00636E01">
        <w:t>a</w:t>
      </w:r>
      <w:r w:rsidR="000159A6">
        <w:t xml:space="preserve"> </w:t>
      </w:r>
      <w:r w:rsidRPr="00636E01">
        <w:t>co-administrati</w:t>
      </w:r>
      <w:r>
        <w:t>on</w:t>
      </w:r>
      <w:r w:rsidR="000159A6">
        <w:t xml:space="preserve"> </w:t>
      </w:r>
      <w:r>
        <w:t>study</w:t>
      </w:r>
      <w:r w:rsidR="000159A6">
        <w:t xml:space="preserve"> </w:t>
      </w:r>
      <w:r>
        <w:t>of</w:t>
      </w:r>
      <w:r w:rsidR="000159A6">
        <w:t xml:space="preserve"> </w:t>
      </w:r>
      <w:r w:rsidRPr="00636E01">
        <w:t>HZ/</w:t>
      </w:r>
      <w:proofErr w:type="spellStart"/>
      <w:r w:rsidRPr="00636E01">
        <w:t>su</w:t>
      </w:r>
      <w:proofErr w:type="spellEnd"/>
      <w:r w:rsidR="000159A6">
        <w:t xml:space="preserve"> </w:t>
      </w:r>
      <w:r w:rsidRPr="00636E01">
        <w:t>with</w:t>
      </w:r>
      <w:r w:rsidR="000159A6">
        <w:t xml:space="preserve"> </w:t>
      </w:r>
      <w:proofErr w:type="spellStart"/>
      <w:r w:rsidRPr="00636E01">
        <w:t>Prevenar</w:t>
      </w:r>
      <w:proofErr w:type="spellEnd"/>
      <w:r w:rsidR="000159A6">
        <w:t xml:space="preserve"> </w:t>
      </w:r>
      <w:r w:rsidRPr="00636E01">
        <w:t>13</w:t>
      </w:r>
      <w:r w:rsidR="000159A6">
        <w:t xml:space="preserve"> </w:t>
      </w:r>
      <w:r w:rsidRPr="00636E01">
        <w:t>(</w:t>
      </w:r>
      <w:r w:rsidR="00525235">
        <w:t>Study</w:t>
      </w:r>
      <w:r w:rsidR="000159A6">
        <w:t xml:space="preserve"> </w:t>
      </w:r>
      <w:r w:rsidR="00525235">
        <w:t>ZOSTER</w:t>
      </w:r>
      <w:r w:rsidRPr="00636E01">
        <w:t>-059).</w:t>
      </w:r>
    </w:p>
    <w:p w14:paraId="3C6369A3" w14:textId="77777777" w:rsidR="00A979D2" w:rsidRPr="00CF240D" w:rsidRDefault="00636E01" w:rsidP="002E1097">
      <w:pPr>
        <w:pStyle w:val="Heading5"/>
      </w:pPr>
      <w:r w:rsidRPr="002E1097">
        <w:rPr>
          <w:rFonts w:eastAsiaTheme="minorHAnsi"/>
        </w:rPr>
        <w:t>Conclusion</w:t>
      </w:r>
    </w:p>
    <w:p w14:paraId="1EB23DC5" w14:textId="0DD79450" w:rsidR="00A979D2" w:rsidRDefault="00636E01" w:rsidP="002E1097">
      <w:r w:rsidRPr="00636E01">
        <w:t>Shingrix</w:t>
      </w:r>
      <w:r w:rsidR="000159A6">
        <w:t xml:space="preserve"> </w:t>
      </w:r>
      <w:r w:rsidRPr="00636E01">
        <w:t>has</w:t>
      </w:r>
      <w:r w:rsidR="000159A6">
        <w:t xml:space="preserve"> </w:t>
      </w:r>
      <w:r w:rsidRPr="00636E01">
        <w:t>been</w:t>
      </w:r>
      <w:r w:rsidR="000159A6">
        <w:t xml:space="preserve"> </w:t>
      </w:r>
      <w:r w:rsidRPr="00636E01">
        <w:t>shown</w:t>
      </w:r>
      <w:r w:rsidR="000159A6">
        <w:t xml:space="preserve"> </w:t>
      </w:r>
      <w:r w:rsidRPr="00636E01">
        <w:t>to</w:t>
      </w:r>
      <w:r w:rsidR="000159A6">
        <w:t xml:space="preserve"> </w:t>
      </w:r>
      <w:r w:rsidRPr="00636E01">
        <w:t>be</w:t>
      </w:r>
      <w:r w:rsidR="000159A6">
        <w:t xml:space="preserve"> </w:t>
      </w:r>
      <w:r w:rsidRPr="00636E01">
        <w:t>highly</w:t>
      </w:r>
      <w:r w:rsidR="000159A6">
        <w:t xml:space="preserve"> </w:t>
      </w:r>
      <w:r w:rsidRPr="00636E01">
        <w:t>efficacious</w:t>
      </w:r>
      <w:r w:rsidR="000159A6">
        <w:t xml:space="preserve"> </w:t>
      </w:r>
      <w:r w:rsidRPr="00636E01">
        <w:t>against</w:t>
      </w:r>
      <w:r w:rsidR="000159A6">
        <w:t xml:space="preserve"> </w:t>
      </w:r>
      <w:r w:rsidRPr="00636E01">
        <w:t>HZ</w:t>
      </w:r>
      <w:r w:rsidR="000159A6">
        <w:t xml:space="preserve"> </w:t>
      </w:r>
      <w:r w:rsidRPr="00636E01">
        <w:t>and</w:t>
      </w:r>
      <w:r w:rsidR="000159A6">
        <w:t xml:space="preserve"> </w:t>
      </w:r>
      <w:r w:rsidRPr="00636E01">
        <w:t>its</w:t>
      </w:r>
      <w:r w:rsidR="000159A6">
        <w:t xml:space="preserve"> </w:t>
      </w:r>
      <w:r w:rsidRPr="00636E01">
        <w:t>complications,</w:t>
      </w:r>
      <w:r w:rsidR="000159A6">
        <w:t xml:space="preserve"> </w:t>
      </w:r>
      <w:r w:rsidRPr="00636E01">
        <w:t>such</w:t>
      </w:r>
      <w:r w:rsidR="000159A6">
        <w:t xml:space="preserve"> </w:t>
      </w:r>
      <w:r w:rsidRPr="00636E01">
        <w:t>as</w:t>
      </w:r>
      <w:r w:rsidR="000159A6">
        <w:t xml:space="preserve"> </w:t>
      </w:r>
      <w:r w:rsidRPr="00636E01">
        <w:t>PHN,</w:t>
      </w:r>
      <w:r w:rsidR="000159A6">
        <w:t xml:space="preserve"> </w:t>
      </w:r>
      <w:r w:rsidRPr="00636E01">
        <w:t>in</w:t>
      </w:r>
      <w:r w:rsidR="000159A6">
        <w:t xml:space="preserve"> </w:t>
      </w:r>
      <w:r w:rsidRPr="00636E01">
        <w:t>all</w:t>
      </w:r>
      <w:r w:rsidR="000159A6">
        <w:t xml:space="preserve"> </w:t>
      </w:r>
      <w:r w:rsidRPr="00636E01">
        <w:t>age</w:t>
      </w:r>
      <w:r w:rsidR="000159A6">
        <w:t xml:space="preserve"> </w:t>
      </w:r>
      <w:r w:rsidRPr="00636E01">
        <w:t>groups,</w:t>
      </w:r>
      <w:r w:rsidR="000159A6">
        <w:t xml:space="preserve"> </w:t>
      </w:r>
      <w:r w:rsidRPr="00636E01">
        <w:t>meaning</w:t>
      </w:r>
      <w:r w:rsidR="000159A6">
        <w:t xml:space="preserve"> </w:t>
      </w:r>
      <w:r w:rsidRPr="00636E01">
        <w:t>a</w:t>
      </w:r>
      <w:r w:rsidR="000159A6">
        <w:t xml:space="preserve"> </w:t>
      </w:r>
      <w:r w:rsidRPr="00636E01">
        <w:t>high</w:t>
      </w:r>
      <w:r w:rsidR="000159A6">
        <w:t xml:space="preserve"> </w:t>
      </w:r>
      <w:r w:rsidRPr="00636E01">
        <w:t>VE</w:t>
      </w:r>
      <w:r w:rsidR="000159A6">
        <w:t xml:space="preserve"> </w:t>
      </w:r>
      <w:r w:rsidRPr="00636E01">
        <w:t>in</w:t>
      </w:r>
      <w:r w:rsidR="000159A6">
        <w:t xml:space="preserve"> </w:t>
      </w:r>
      <w:r w:rsidRPr="00636E01">
        <w:t>the</w:t>
      </w:r>
      <w:r w:rsidR="000159A6">
        <w:t xml:space="preserve"> </w:t>
      </w:r>
      <w:r w:rsidRPr="00636E01">
        <w:t>oldest</w:t>
      </w:r>
      <w:r w:rsidR="000159A6">
        <w:t xml:space="preserve"> </w:t>
      </w:r>
      <w:r w:rsidRPr="00636E01">
        <w:t>age</w:t>
      </w:r>
      <w:r w:rsidR="000159A6">
        <w:t xml:space="preserve"> </w:t>
      </w:r>
      <w:r w:rsidRPr="00636E01">
        <w:t>stratum</w:t>
      </w:r>
      <w:r w:rsidR="000159A6">
        <w:t xml:space="preserve"> </w:t>
      </w:r>
      <w:r w:rsidRPr="00636E01">
        <w:t>of</w:t>
      </w:r>
      <w:r w:rsidR="000159A6">
        <w:t xml:space="preserve"> </w:t>
      </w:r>
      <w:r w:rsidRPr="00636E01">
        <w:t>subjects</w:t>
      </w:r>
      <w:r w:rsidR="000159A6">
        <w:t xml:space="preserve"> </w:t>
      </w:r>
      <w:r w:rsidR="004715B4">
        <w:t>&gt;</w:t>
      </w:r>
      <w:r w:rsidR="000159A6">
        <w:t xml:space="preserve"> </w:t>
      </w:r>
      <w:r w:rsidRPr="00636E01">
        <w:t>70</w:t>
      </w:r>
      <w:r w:rsidR="000159A6">
        <w:t xml:space="preserve"> </w:t>
      </w:r>
      <w:r w:rsidR="0037169B">
        <w:t>years</w:t>
      </w:r>
      <w:r w:rsidR="000159A6">
        <w:t xml:space="preserve"> </w:t>
      </w:r>
      <w:r w:rsidR="0037169B">
        <w:t>of</w:t>
      </w:r>
      <w:r w:rsidR="000159A6">
        <w:t xml:space="preserve"> </w:t>
      </w:r>
      <w:r w:rsidR="0037169B">
        <w:t>age</w:t>
      </w:r>
      <w:r w:rsidR="000159A6">
        <w:t xml:space="preserve"> </w:t>
      </w:r>
      <w:r w:rsidRPr="00636E01">
        <w:t>who</w:t>
      </w:r>
      <w:r w:rsidR="000159A6">
        <w:t xml:space="preserve"> </w:t>
      </w:r>
      <w:r>
        <w:t>are</w:t>
      </w:r>
      <w:r w:rsidR="000159A6">
        <w:t xml:space="preserve"> </w:t>
      </w:r>
      <w:r>
        <w:t>most</w:t>
      </w:r>
      <w:r w:rsidR="000159A6">
        <w:t xml:space="preserve"> </w:t>
      </w:r>
      <w:r>
        <w:t>at</w:t>
      </w:r>
      <w:r w:rsidR="000159A6">
        <w:t xml:space="preserve"> </w:t>
      </w:r>
      <w:r>
        <w:t>risk</w:t>
      </w:r>
      <w:r w:rsidR="000159A6">
        <w:t xml:space="preserve"> </w:t>
      </w:r>
      <w:r>
        <w:t>for</w:t>
      </w:r>
      <w:r w:rsidR="000159A6">
        <w:t xml:space="preserve"> </w:t>
      </w:r>
      <w:r>
        <w:t>acquiring</w:t>
      </w:r>
      <w:r w:rsidR="000159A6">
        <w:t xml:space="preserve"> </w:t>
      </w:r>
      <w:r w:rsidRPr="00636E01">
        <w:t>HZ</w:t>
      </w:r>
      <w:r w:rsidR="000159A6">
        <w:t xml:space="preserve"> </w:t>
      </w:r>
      <w:r w:rsidRPr="00636E01">
        <w:t>and</w:t>
      </w:r>
      <w:r w:rsidR="000159A6">
        <w:t xml:space="preserve"> </w:t>
      </w:r>
      <w:r w:rsidR="000D0435">
        <w:t>HZ</w:t>
      </w:r>
      <w:r w:rsidR="000159A6">
        <w:t xml:space="preserve"> </w:t>
      </w:r>
      <w:r w:rsidR="000D0435">
        <w:t>related</w:t>
      </w:r>
      <w:r w:rsidR="000159A6">
        <w:t xml:space="preserve"> </w:t>
      </w:r>
      <w:r w:rsidRPr="00636E01">
        <w:t>complications</w:t>
      </w:r>
      <w:r w:rsidR="000159A6">
        <w:t xml:space="preserve"> </w:t>
      </w:r>
      <w:r w:rsidRPr="00636E01">
        <w:t>such</w:t>
      </w:r>
      <w:r w:rsidR="000159A6">
        <w:t xml:space="preserve"> </w:t>
      </w:r>
      <w:r w:rsidRPr="00636E01">
        <w:t>as</w:t>
      </w:r>
      <w:r w:rsidR="000159A6">
        <w:t xml:space="preserve"> </w:t>
      </w:r>
      <w:r w:rsidRPr="00636E01">
        <w:t>PHN.</w:t>
      </w:r>
      <w:r w:rsidR="000159A6">
        <w:t xml:space="preserve"> </w:t>
      </w:r>
      <w:r w:rsidRPr="00636E01">
        <w:lastRenderedPageBreak/>
        <w:t>Therefore,</w:t>
      </w:r>
      <w:r w:rsidR="000159A6">
        <w:t xml:space="preserve"> </w:t>
      </w:r>
      <w:r w:rsidRPr="00636E01">
        <w:t>HZ/</w:t>
      </w:r>
      <w:proofErr w:type="spellStart"/>
      <w:r w:rsidRPr="00636E01">
        <w:t>su</w:t>
      </w:r>
      <w:proofErr w:type="spellEnd"/>
      <w:r w:rsidR="000159A6">
        <w:t xml:space="preserve"> </w:t>
      </w:r>
      <w:r w:rsidRPr="00636E01">
        <w:t>is</w:t>
      </w:r>
      <w:r w:rsidR="000159A6">
        <w:t xml:space="preserve"> </w:t>
      </w:r>
      <w:r w:rsidRPr="00636E01">
        <w:t>expected</w:t>
      </w:r>
      <w:r w:rsidR="000159A6">
        <w:t xml:space="preserve"> </w:t>
      </w:r>
      <w:r w:rsidRPr="00636E01">
        <w:t>to</w:t>
      </w:r>
      <w:r w:rsidR="000159A6">
        <w:t xml:space="preserve"> </w:t>
      </w:r>
      <w:r>
        <w:t>provide</w:t>
      </w:r>
      <w:r w:rsidR="000159A6">
        <w:t xml:space="preserve"> </w:t>
      </w:r>
      <w:r>
        <w:t>a</w:t>
      </w:r>
      <w:r w:rsidR="000159A6">
        <w:t xml:space="preserve"> </w:t>
      </w:r>
      <w:r>
        <w:t>substantial</w:t>
      </w:r>
      <w:r w:rsidR="000159A6">
        <w:t xml:space="preserve"> </w:t>
      </w:r>
      <w:r>
        <w:t>clinical</w:t>
      </w:r>
      <w:r w:rsidR="000159A6">
        <w:t xml:space="preserve"> </w:t>
      </w:r>
      <w:r w:rsidRPr="00636E01">
        <w:t>benefit,</w:t>
      </w:r>
      <w:r w:rsidR="000159A6">
        <w:t xml:space="preserve"> </w:t>
      </w:r>
      <w:r w:rsidRPr="00636E01">
        <w:t>and</w:t>
      </w:r>
      <w:r w:rsidR="000159A6">
        <w:t xml:space="preserve"> </w:t>
      </w:r>
      <w:r w:rsidRPr="00636E01">
        <w:t>help</w:t>
      </w:r>
      <w:r w:rsidR="000159A6">
        <w:t xml:space="preserve"> </w:t>
      </w:r>
      <w:r w:rsidRPr="00636E01">
        <w:t>to</w:t>
      </w:r>
      <w:r w:rsidR="000159A6">
        <w:t xml:space="preserve"> </w:t>
      </w:r>
      <w:r w:rsidRPr="00636E01">
        <w:t>address</w:t>
      </w:r>
      <w:r w:rsidR="000159A6">
        <w:t xml:space="preserve"> </w:t>
      </w:r>
      <w:r w:rsidRPr="00636E01">
        <w:t>the</w:t>
      </w:r>
      <w:r w:rsidR="000159A6">
        <w:t xml:space="preserve"> </w:t>
      </w:r>
      <w:r w:rsidRPr="00636E01">
        <w:t>medical</w:t>
      </w:r>
      <w:r w:rsidR="000159A6">
        <w:t xml:space="preserve"> </w:t>
      </w:r>
      <w:r w:rsidRPr="00636E01">
        <w:t>need,</w:t>
      </w:r>
      <w:r w:rsidR="000159A6">
        <w:t xml:space="preserve"> </w:t>
      </w:r>
      <w:r w:rsidRPr="00636E01">
        <w:t>especially</w:t>
      </w:r>
      <w:r w:rsidR="000159A6">
        <w:t xml:space="preserve"> </w:t>
      </w:r>
      <w:r w:rsidRPr="00636E01">
        <w:t>in</w:t>
      </w:r>
      <w:r w:rsidR="000159A6">
        <w:t xml:space="preserve"> </w:t>
      </w:r>
      <w:r w:rsidRPr="00636E01">
        <w:t>this</w:t>
      </w:r>
      <w:r w:rsidR="000159A6">
        <w:t xml:space="preserve"> </w:t>
      </w:r>
      <w:r w:rsidRPr="00636E01">
        <w:t>age</w:t>
      </w:r>
      <w:r w:rsidR="000159A6">
        <w:t xml:space="preserve"> </w:t>
      </w:r>
      <w:r w:rsidRPr="00636E01">
        <w:t>group.</w:t>
      </w:r>
      <w:r w:rsidR="000159A6">
        <w:t xml:space="preserve"> </w:t>
      </w:r>
      <w:r w:rsidRPr="00636E01">
        <w:t>The</w:t>
      </w:r>
      <w:r w:rsidR="000159A6">
        <w:t xml:space="preserve"> </w:t>
      </w:r>
      <w:r w:rsidRPr="00636E01">
        <w:t>efficacy</w:t>
      </w:r>
      <w:r w:rsidR="000159A6">
        <w:t xml:space="preserve"> </w:t>
      </w:r>
      <w:r w:rsidRPr="00636E01">
        <w:t>was</w:t>
      </w:r>
      <w:r w:rsidR="000159A6">
        <w:t xml:space="preserve"> </w:t>
      </w:r>
      <w:r w:rsidRPr="00636E01">
        <w:t>also</w:t>
      </w:r>
      <w:r w:rsidR="000159A6">
        <w:t xml:space="preserve"> </w:t>
      </w:r>
      <w:r w:rsidRPr="00636E01">
        <w:t>shown</w:t>
      </w:r>
      <w:r w:rsidR="000159A6">
        <w:t xml:space="preserve"> </w:t>
      </w:r>
      <w:r w:rsidRPr="00636E01">
        <w:t>to</w:t>
      </w:r>
      <w:r w:rsidR="000159A6">
        <w:t xml:space="preserve"> </w:t>
      </w:r>
      <w:r w:rsidRPr="00636E01">
        <w:t>persist</w:t>
      </w:r>
      <w:r w:rsidR="000159A6">
        <w:t xml:space="preserve"> </w:t>
      </w:r>
      <w:r w:rsidRPr="00636E01">
        <w:t>for</w:t>
      </w:r>
      <w:r w:rsidR="000159A6">
        <w:t xml:space="preserve"> </w:t>
      </w:r>
      <w:r w:rsidRPr="00636E01">
        <w:t>at</w:t>
      </w:r>
      <w:r w:rsidR="000159A6">
        <w:t xml:space="preserve"> </w:t>
      </w:r>
      <w:r w:rsidRPr="00636E01">
        <w:t>least</w:t>
      </w:r>
      <w:r w:rsidR="000159A6">
        <w:t xml:space="preserve"> </w:t>
      </w:r>
      <w:r w:rsidRPr="00636E01">
        <w:t>4</w:t>
      </w:r>
      <w:r w:rsidR="000159A6">
        <w:t xml:space="preserve"> </w:t>
      </w:r>
      <w:r w:rsidRPr="00636E01">
        <w:t>years</w:t>
      </w:r>
      <w:r w:rsidR="000159A6">
        <w:t xml:space="preserve"> </w:t>
      </w:r>
      <w:r w:rsidRPr="00636E01">
        <w:t>after</w:t>
      </w:r>
      <w:r w:rsidR="000159A6">
        <w:t xml:space="preserve"> </w:t>
      </w:r>
      <w:r w:rsidRPr="00636E01">
        <w:t>vaccination.</w:t>
      </w:r>
      <w:r w:rsidR="000159A6">
        <w:t xml:space="preserve"> </w:t>
      </w:r>
      <w:r w:rsidRPr="00636E01">
        <w:t>Based</w:t>
      </w:r>
      <w:r w:rsidR="000159A6">
        <w:t xml:space="preserve"> </w:t>
      </w:r>
      <w:r w:rsidRPr="00636E01">
        <w:t>on</w:t>
      </w:r>
      <w:r w:rsidR="000159A6">
        <w:t xml:space="preserve"> </w:t>
      </w:r>
      <w:r w:rsidRPr="00636E01">
        <w:t>the</w:t>
      </w:r>
      <w:r w:rsidR="000159A6">
        <w:t xml:space="preserve"> </w:t>
      </w:r>
      <w:r w:rsidRPr="00636E01">
        <w:t>results</w:t>
      </w:r>
      <w:r w:rsidR="000159A6">
        <w:t xml:space="preserve"> </w:t>
      </w:r>
      <w:r w:rsidRPr="00636E01">
        <w:t>of</w:t>
      </w:r>
      <w:r w:rsidR="000159A6">
        <w:t xml:space="preserve"> </w:t>
      </w:r>
      <w:r w:rsidRPr="00636E01">
        <w:t>the</w:t>
      </w:r>
      <w:r w:rsidR="000159A6">
        <w:t xml:space="preserve"> </w:t>
      </w:r>
      <w:r w:rsidRPr="00636E01">
        <w:t>safety</w:t>
      </w:r>
      <w:r w:rsidR="000159A6">
        <w:t xml:space="preserve"> </w:t>
      </w:r>
      <w:r w:rsidRPr="00636E01">
        <w:t>pooling</w:t>
      </w:r>
      <w:r w:rsidR="000159A6">
        <w:t xml:space="preserve"> </w:t>
      </w:r>
      <w:r w:rsidRPr="00636E01">
        <w:t>data</w:t>
      </w:r>
      <w:r w:rsidR="000159A6">
        <w:t xml:space="preserve"> </w:t>
      </w:r>
      <w:r w:rsidRPr="00636E01">
        <w:t>generated</w:t>
      </w:r>
      <w:r w:rsidR="000159A6">
        <w:t xml:space="preserve"> </w:t>
      </w:r>
      <w:r w:rsidRPr="00636E01">
        <w:t>in</w:t>
      </w:r>
      <w:r w:rsidR="000159A6">
        <w:t xml:space="preserve"> </w:t>
      </w:r>
      <w:r w:rsidRPr="00636E01">
        <w:t>approximately</w:t>
      </w:r>
      <w:r w:rsidR="000159A6">
        <w:t xml:space="preserve"> </w:t>
      </w:r>
      <w:r w:rsidRPr="00636E01">
        <w:t>15,000</w:t>
      </w:r>
      <w:r w:rsidR="000159A6">
        <w:t xml:space="preserve"> </w:t>
      </w:r>
      <w:r w:rsidRPr="00636E01">
        <w:t>HZ/</w:t>
      </w:r>
      <w:proofErr w:type="spellStart"/>
      <w:r w:rsidRPr="00636E01">
        <w:t>su</w:t>
      </w:r>
      <w:proofErr w:type="spellEnd"/>
      <w:r w:rsidR="000159A6">
        <w:t xml:space="preserve"> </w:t>
      </w:r>
      <w:r w:rsidRPr="00636E01">
        <w:t>recipients</w:t>
      </w:r>
      <w:r w:rsidR="000159A6">
        <w:t xml:space="preserve"> </w:t>
      </w:r>
      <w:r w:rsidR="004715B4">
        <w:t>&gt;</w:t>
      </w:r>
      <w:r w:rsidR="000159A6">
        <w:t xml:space="preserve"> </w:t>
      </w:r>
      <w:r w:rsidRPr="00636E01">
        <w:t>50</w:t>
      </w:r>
      <w:r w:rsidR="000159A6">
        <w:t xml:space="preserve"> </w:t>
      </w:r>
      <w:r w:rsidR="0037169B">
        <w:t>years</w:t>
      </w:r>
      <w:r w:rsidR="000159A6">
        <w:t xml:space="preserve"> </w:t>
      </w:r>
      <w:r w:rsidR="0037169B">
        <w:t>of</w:t>
      </w:r>
      <w:r w:rsidR="000159A6">
        <w:t xml:space="preserve"> </w:t>
      </w:r>
      <w:r w:rsidR="00733CE8">
        <w:t>age,</w:t>
      </w:r>
      <w:r w:rsidR="000159A6">
        <w:t xml:space="preserve"> </w:t>
      </w:r>
      <w:r w:rsidRPr="00636E01">
        <w:t>no</w:t>
      </w:r>
      <w:r w:rsidR="000159A6">
        <w:t xml:space="preserve"> </w:t>
      </w:r>
      <w:r w:rsidRPr="00636E01">
        <w:t>safety</w:t>
      </w:r>
      <w:r w:rsidR="000159A6">
        <w:t xml:space="preserve"> </w:t>
      </w:r>
      <w:r w:rsidRPr="00636E01">
        <w:t>concern</w:t>
      </w:r>
      <w:r w:rsidR="000159A6">
        <w:t xml:space="preserve"> </w:t>
      </w:r>
      <w:r w:rsidRPr="00636E01">
        <w:t>and</w:t>
      </w:r>
      <w:r w:rsidR="000159A6">
        <w:t xml:space="preserve"> </w:t>
      </w:r>
      <w:r w:rsidRPr="00636E01">
        <w:t>no</w:t>
      </w:r>
      <w:r w:rsidR="000159A6">
        <w:t xml:space="preserve"> </w:t>
      </w:r>
      <w:r w:rsidRPr="00636E01">
        <w:t>important</w:t>
      </w:r>
      <w:r w:rsidR="000159A6">
        <w:t xml:space="preserve"> </w:t>
      </w:r>
      <w:r w:rsidRPr="00636E01">
        <w:t>ris</w:t>
      </w:r>
      <w:r>
        <w:t>ks</w:t>
      </w:r>
      <w:r w:rsidR="000159A6">
        <w:t xml:space="preserve"> </w:t>
      </w:r>
      <w:r>
        <w:t>have</w:t>
      </w:r>
      <w:r w:rsidR="000159A6">
        <w:t xml:space="preserve"> </w:t>
      </w:r>
      <w:r>
        <w:t>been</w:t>
      </w:r>
      <w:r w:rsidR="000159A6">
        <w:t xml:space="preserve"> </w:t>
      </w:r>
      <w:r w:rsidRPr="00636E01">
        <w:t>identified.</w:t>
      </w:r>
      <w:r w:rsidR="000159A6">
        <w:t xml:space="preserve"> </w:t>
      </w:r>
      <w:r w:rsidR="00332E3D">
        <w:t>The</w:t>
      </w:r>
      <w:r w:rsidR="000159A6">
        <w:t xml:space="preserve"> </w:t>
      </w:r>
      <w:r w:rsidR="00332E3D">
        <w:t>sponsor</w:t>
      </w:r>
      <w:r w:rsidR="000159A6">
        <w:t xml:space="preserve"> </w:t>
      </w:r>
      <w:r w:rsidRPr="00636E01">
        <w:t>would</w:t>
      </w:r>
      <w:r w:rsidR="000159A6">
        <w:t xml:space="preserve"> </w:t>
      </w:r>
      <w:r w:rsidRPr="00636E01">
        <w:t>welcome</w:t>
      </w:r>
      <w:r w:rsidR="000159A6">
        <w:t xml:space="preserve"> </w:t>
      </w:r>
      <w:r w:rsidRPr="00636E01">
        <w:t>the</w:t>
      </w:r>
      <w:r w:rsidR="000159A6">
        <w:t xml:space="preserve"> </w:t>
      </w:r>
      <w:r w:rsidRPr="00636E01">
        <w:t>ACV</w:t>
      </w:r>
      <w:r w:rsidR="000159A6">
        <w:t xml:space="preserve"> </w:t>
      </w:r>
      <w:r w:rsidRPr="00636E01">
        <w:t>aligning</w:t>
      </w:r>
      <w:r w:rsidR="000159A6">
        <w:t xml:space="preserve"> </w:t>
      </w:r>
      <w:r w:rsidRPr="00636E01">
        <w:t>with</w:t>
      </w:r>
      <w:r w:rsidR="000159A6">
        <w:t xml:space="preserve"> </w:t>
      </w:r>
      <w:r w:rsidRPr="00636E01">
        <w:t>the</w:t>
      </w:r>
      <w:r w:rsidR="000159A6">
        <w:t xml:space="preserve"> </w:t>
      </w:r>
      <w:r w:rsidRPr="00636E01">
        <w:t>opinions</w:t>
      </w:r>
      <w:r w:rsidR="000159A6">
        <w:t xml:space="preserve"> </w:t>
      </w:r>
      <w:r w:rsidRPr="00636E01">
        <w:t>of</w:t>
      </w:r>
      <w:r w:rsidR="000159A6">
        <w:t xml:space="preserve"> </w:t>
      </w:r>
      <w:r>
        <w:t>the</w:t>
      </w:r>
      <w:r w:rsidR="000159A6">
        <w:t xml:space="preserve"> </w:t>
      </w:r>
      <w:r>
        <w:t>TGA</w:t>
      </w:r>
      <w:r w:rsidR="000159A6">
        <w:t xml:space="preserve"> </w:t>
      </w:r>
      <w:r w:rsidR="00733CE8">
        <w:t>clinical</w:t>
      </w:r>
      <w:r w:rsidR="000159A6">
        <w:t xml:space="preserve"> </w:t>
      </w:r>
      <w:r w:rsidR="00733CE8">
        <w:t>evaluator</w:t>
      </w:r>
      <w:r w:rsidR="000159A6">
        <w:t xml:space="preserve"> </w:t>
      </w:r>
      <w:r>
        <w:t>and</w:t>
      </w:r>
      <w:r w:rsidR="000159A6">
        <w:t xml:space="preserve"> </w:t>
      </w:r>
      <w:r w:rsidRPr="00636E01">
        <w:t>Delegate</w:t>
      </w:r>
      <w:r w:rsidR="000159A6">
        <w:t xml:space="preserve"> </w:t>
      </w:r>
      <w:r w:rsidRPr="00636E01">
        <w:t>in</w:t>
      </w:r>
      <w:r w:rsidR="000159A6">
        <w:t xml:space="preserve"> </w:t>
      </w:r>
      <w:r w:rsidRPr="00636E01">
        <w:t>recommending</w:t>
      </w:r>
      <w:r w:rsidR="000159A6">
        <w:t xml:space="preserve"> </w:t>
      </w:r>
      <w:r w:rsidRPr="00636E01">
        <w:t>registration</w:t>
      </w:r>
      <w:r w:rsidR="000159A6">
        <w:t xml:space="preserve"> </w:t>
      </w:r>
      <w:r w:rsidRPr="00636E01">
        <w:t>of</w:t>
      </w:r>
      <w:r w:rsidR="000159A6">
        <w:t xml:space="preserve"> </w:t>
      </w:r>
      <w:r w:rsidRPr="00636E01">
        <w:t>Shingrix.</w:t>
      </w:r>
    </w:p>
    <w:p w14:paraId="4B01455B" w14:textId="7EBDCFD7" w:rsidR="008E7846" w:rsidRPr="00CF240D" w:rsidRDefault="008E7846" w:rsidP="00CF240D">
      <w:pPr>
        <w:pStyle w:val="Heading4"/>
      </w:pPr>
      <w:r w:rsidRPr="00CF240D">
        <w:t>Advisory</w:t>
      </w:r>
      <w:r w:rsidR="000159A6" w:rsidRPr="00CF240D">
        <w:t xml:space="preserve"> </w:t>
      </w:r>
      <w:r w:rsidRPr="00CF240D">
        <w:t>Committee</w:t>
      </w:r>
      <w:r w:rsidR="000159A6" w:rsidRPr="00CF240D">
        <w:t xml:space="preserve"> </w:t>
      </w:r>
      <w:r w:rsidRPr="00CF240D">
        <w:t>Considerations</w:t>
      </w:r>
    </w:p>
    <w:p w14:paraId="4F43AA34" w14:textId="58060588" w:rsidR="008E7846" w:rsidRPr="00B143AB" w:rsidRDefault="00456765" w:rsidP="00B143AB">
      <w:r w:rsidRPr="00B143AB">
        <w:t>The</w:t>
      </w:r>
      <w:r w:rsidR="000159A6">
        <w:t xml:space="preserve"> </w:t>
      </w:r>
      <w:r w:rsidRPr="00B143AB">
        <w:t>Advisory</w:t>
      </w:r>
      <w:r w:rsidR="000159A6">
        <w:t xml:space="preserve"> </w:t>
      </w:r>
      <w:r w:rsidRPr="00B143AB">
        <w:t>Committee</w:t>
      </w:r>
      <w:r w:rsidR="000159A6">
        <w:t xml:space="preserve"> </w:t>
      </w:r>
      <w:r w:rsidRPr="00B143AB">
        <w:t>on</w:t>
      </w:r>
      <w:r w:rsidR="000159A6">
        <w:t xml:space="preserve"> </w:t>
      </w:r>
      <w:r w:rsidR="00D22598" w:rsidRPr="00B143AB">
        <w:t>Vaccines</w:t>
      </w:r>
      <w:r w:rsidR="000159A6">
        <w:t xml:space="preserve"> </w:t>
      </w:r>
      <w:r w:rsidRPr="00B143AB">
        <w:t>(AC</w:t>
      </w:r>
      <w:r w:rsidR="00D22598" w:rsidRPr="00B143AB">
        <w:t>V</w:t>
      </w:r>
      <w:r w:rsidRPr="00B143AB">
        <w:t>),</w:t>
      </w:r>
      <w:r w:rsidR="000159A6">
        <w:t xml:space="preserve"> </w:t>
      </w:r>
      <w:r w:rsidRPr="00B143AB">
        <w:t>having</w:t>
      </w:r>
      <w:r w:rsidR="000159A6">
        <w:t xml:space="preserve"> </w:t>
      </w:r>
      <w:r w:rsidRPr="00B143AB">
        <w:t>considered</w:t>
      </w:r>
      <w:r w:rsidR="000159A6">
        <w:t xml:space="preserve"> </w:t>
      </w:r>
      <w:r w:rsidRPr="00B143AB">
        <w:t>the</w:t>
      </w:r>
      <w:r w:rsidR="000159A6">
        <w:t xml:space="preserve"> </w:t>
      </w:r>
      <w:r w:rsidRPr="00B143AB">
        <w:t>evaluations</w:t>
      </w:r>
      <w:r w:rsidR="000159A6">
        <w:t xml:space="preserve"> </w:t>
      </w:r>
      <w:r w:rsidRPr="00B143AB">
        <w:t>and</w:t>
      </w:r>
      <w:r w:rsidR="000159A6">
        <w:t xml:space="preserve"> </w:t>
      </w:r>
      <w:r w:rsidRPr="00B143AB">
        <w:t>the</w:t>
      </w:r>
      <w:r w:rsidR="000159A6">
        <w:t xml:space="preserve"> </w:t>
      </w:r>
      <w:r w:rsidRPr="00B143AB">
        <w:t>Delegate’s</w:t>
      </w:r>
      <w:r w:rsidR="000159A6">
        <w:t xml:space="preserve"> </w:t>
      </w:r>
      <w:r w:rsidRPr="00B143AB">
        <w:t>overview,</w:t>
      </w:r>
      <w:r w:rsidR="000159A6">
        <w:t xml:space="preserve"> </w:t>
      </w:r>
      <w:r w:rsidRPr="00B143AB">
        <w:t>as</w:t>
      </w:r>
      <w:r w:rsidR="000159A6">
        <w:t xml:space="preserve"> </w:t>
      </w:r>
      <w:r w:rsidRPr="00B143AB">
        <w:t>well</w:t>
      </w:r>
      <w:r w:rsidR="000159A6">
        <w:t xml:space="preserve"> </w:t>
      </w:r>
      <w:r w:rsidRPr="00B143AB">
        <w:t>as</w:t>
      </w:r>
      <w:r w:rsidR="000159A6">
        <w:t xml:space="preserve"> </w:t>
      </w:r>
      <w:r w:rsidRPr="00B143AB">
        <w:t>the</w:t>
      </w:r>
      <w:r w:rsidR="000159A6">
        <w:t xml:space="preserve"> </w:t>
      </w:r>
      <w:r w:rsidRPr="00B143AB">
        <w:t>sponsor’s</w:t>
      </w:r>
      <w:r w:rsidR="000159A6">
        <w:t xml:space="preserve"> </w:t>
      </w:r>
      <w:r w:rsidRPr="00B143AB">
        <w:t>response</w:t>
      </w:r>
      <w:r w:rsidR="000159A6">
        <w:t xml:space="preserve"> </w:t>
      </w:r>
      <w:r w:rsidRPr="00B143AB">
        <w:t>to</w:t>
      </w:r>
      <w:r w:rsidR="000159A6">
        <w:t xml:space="preserve"> </w:t>
      </w:r>
      <w:r w:rsidRPr="00B143AB">
        <w:t>these</w:t>
      </w:r>
      <w:r w:rsidR="000159A6">
        <w:t xml:space="preserve"> </w:t>
      </w:r>
      <w:r w:rsidRPr="00B143AB">
        <w:t>documents,</w:t>
      </w:r>
      <w:r w:rsidR="000159A6">
        <w:t xml:space="preserve"> </w:t>
      </w:r>
      <w:r w:rsidRPr="00B143AB">
        <w:t>advised</w:t>
      </w:r>
      <w:r w:rsidR="000159A6">
        <w:t xml:space="preserve"> </w:t>
      </w:r>
      <w:r w:rsidRPr="00B143AB">
        <w:t>the</w:t>
      </w:r>
      <w:r w:rsidR="000159A6">
        <w:t xml:space="preserve"> </w:t>
      </w:r>
      <w:r w:rsidRPr="00B143AB">
        <w:t>following:</w:t>
      </w:r>
    </w:p>
    <w:p w14:paraId="604EA4DC" w14:textId="3ED610F0" w:rsidR="00D22598" w:rsidRPr="00B143AB" w:rsidRDefault="00D22598" w:rsidP="00CF240D">
      <w:pPr>
        <w:ind w:left="142"/>
      </w:pPr>
      <w:r w:rsidRPr="00B143AB">
        <w:t>The</w:t>
      </w:r>
      <w:r w:rsidR="000159A6">
        <w:t xml:space="preserve"> </w:t>
      </w:r>
      <w:r w:rsidRPr="00B143AB">
        <w:t>ACV,</w:t>
      </w:r>
      <w:r w:rsidR="000159A6">
        <w:t xml:space="preserve"> </w:t>
      </w:r>
      <w:r w:rsidRPr="00B143AB">
        <w:t>taking</w:t>
      </w:r>
      <w:r w:rsidR="000159A6">
        <w:t xml:space="preserve"> </w:t>
      </w:r>
      <w:r w:rsidRPr="00B143AB">
        <w:t>into</w:t>
      </w:r>
      <w:r w:rsidR="000159A6">
        <w:t xml:space="preserve"> </w:t>
      </w:r>
      <w:r w:rsidRPr="00B143AB">
        <w:t>account</w:t>
      </w:r>
      <w:r w:rsidR="000159A6">
        <w:t xml:space="preserve"> </w:t>
      </w:r>
      <w:r w:rsidRPr="00B143AB">
        <w:t>the</w:t>
      </w:r>
      <w:r w:rsidR="000159A6">
        <w:t xml:space="preserve"> </w:t>
      </w:r>
      <w:r w:rsidRPr="00B143AB">
        <w:t>submitted</w:t>
      </w:r>
      <w:r w:rsidR="000159A6">
        <w:t xml:space="preserve"> </w:t>
      </w:r>
      <w:r w:rsidRPr="00B143AB">
        <w:t>evidence</w:t>
      </w:r>
      <w:r w:rsidR="000159A6">
        <w:t xml:space="preserve"> </w:t>
      </w:r>
      <w:r w:rsidRPr="00B143AB">
        <w:t>of</w:t>
      </w:r>
      <w:r w:rsidR="000159A6">
        <w:t xml:space="preserve"> </w:t>
      </w:r>
      <w:r w:rsidRPr="00B143AB">
        <w:t>efficacy,</w:t>
      </w:r>
      <w:r w:rsidR="000159A6">
        <w:t xml:space="preserve"> </w:t>
      </w:r>
      <w:r w:rsidRPr="00B143AB">
        <w:t>safety</w:t>
      </w:r>
      <w:r w:rsidR="000159A6">
        <w:t xml:space="preserve"> </w:t>
      </w:r>
      <w:r w:rsidRPr="00B143AB">
        <w:t>and</w:t>
      </w:r>
      <w:r w:rsidR="000159A6">
        <w:t xml:space="preserve"> </w:t>
      </w:r>
      <w:r w:rsidRPr="00B143AB">
        <w:t>quality,</w:t>
      </w:r>
      <w:r w:rsidR="000159A6">
        <w:t xml:space="preserve"> </w:t>
      </w:r>
      <w:r w:rsidRPr="00B143AB">
        <w:t>considered</w:t>
      </w:r>
      <w:r w:rsidR="000159A6">
        <w:t xml:space="preserve"> </w:t>
      </w:r>
      <w:r w:rsidR="00FF12AA">
        <w:t>Shingrix</w:t>
      </w:r>
      <w:r w:rsidR="000159A6">
        <w:t xml:space="preserve"> </w:t>
      </w:r>
      <w:r w:rsidRPr="00B143AB">
        <w:t>vaccine</w:t>
      </w:r>
      <w:r w:rsidR="000159A6">
        <w:t xml:space="preserve"> </w:t>
      </w:r>
      <w:r w:rsidRPr="00B143AB">
        <w:t>,</w:t>
      </w:r>
      <w:r w:rsidR="000159A6">
        <w:t xml:space="preserve"> </w:t>
      </w:r>
      <w:r w:rsidRPr="00B143AB">
        <w:t>containing</w:t>
      </w:r>
      <w:r w:rsidR="000159A6">
        <w:t xml:space="preserve"> </w:t>
      </w:r>
      <w:r w:rsidRPr="00B143AB">
        <w:t>50</w:t>
      </w:r>
      <w:r w:rsidR="000159A6">
        <w:t xml:space="preserve"> </w:t>
      </w:r>
      <w:r w:rsidR="00B143AB">
        <w:t>μg</w:t>
      </w:r>
      <w:r w:rsidR="000159A6">
        <w:t xml:space="preserve"> </w:t>
      </w:r>
      <w:r w:rsidRPr="00B143AB">
        <w:t>recombinant</w:t>
      </w:r>
      <w:r w:rsidR="000159A6">
        <w:t xml:space="preserve"> </w:t>
      </w:r>
      <w:r w:rsidRPr="00B143AB">
        <w:t>varicella</w:t>
      </w:r>
      <w:r w:rsidR="000159A6">
        <w:t xml:space="preserve"> </w:t>
      </w:r>
      <w:r w:rsidRPr="00B143AB">
        <w:t>zoster</w:t>
      </w:r>
      <w:r w:rsidR="000159A6">
        <w:t xml:space="preserve"> </w:t>
      </w:r>
      <w:r w:rsidRPr="00B143AB">
        <w:t>virus</w:t>
      </w:r>
      <w:r w:rsidR="000159A6">
        <w:t xml:space="preserve"> </w:t>
      </w:r>
      <w:r w:rsidRPr="00B143AB">
        <w:t>glycoprotein</w:t>
      </w:r>
      <w:r w:rsidR="000159A6">
        <w:t xml:space="preserve"> </w:t>
      </w:r>
      <w:r w:rsidRPr="00B143AB">
        <w:t>E</w:t>
      </w:r>
      <w:r w:rsidR="000159A6">
        <w:t xml:space="preserve"> </w:t>
      </w:r>
      <w:r w:rsidRPr="00B143AB">
        <w:t>antigen</w:t>
      </w:r>
      <w:r w:rsidR="000159A6">
        <w:t xml:space="preserve"> </w:t>
      </w:r>
      <w:r w:rsidRPr="00B143AB">
        <w:t>(</w:t>
      </w:r>
      <w:r w:rsidR="00503D1B">
        <w:t>AS01</w:t>
      </w:r>
      <w:r w:rsidR="00503D1B" w:rsidRPr="00570F2D">
        <w:rPr>
          <w:vertAlign w:val="subscript"/>
        </w:rPr>
        <w:t>B</w:t>
      </w:r>
      <w:r w:rsidR="000159A6">
        <w:t xml:space="preserve"> </w:t>
      </w:r>
      <w:r w:rsidRPr="00B143AB">
        <w:t>adjuvanted)</w:t>
      </w:r>
      <w:r w:rsidR="000159A6">
        <w:t xml:space="preserve"> </w:t>
      </w:r>
      <w:r w:rsidRPr="00B143AB">
        <w:t>as</w:t>
      </w:r>
      <w:r w:rsidR="000159A6">
        <w:t xml:space="preserve"> </w:t>
      </w:r>
      <w:r w:rsidRPr="00B143AB">
        <w:t>powder</w:t>
      </w:r>
      <w:r w:rsidR="000159A6">
        <w:t xml:space="preserve"> </w:t>
      </w:r>
      <w:r w:rsidRPr="00B143AB">
        <w:t>and</w:t>
      </w:r>
      <w:r w:rsidR="000159A6">
        <w:t xml:space="preserve"> </w:t>
      </w:r>
      <w:r w:rsidRPr="00B143AB">
        <w:t>suspension</w:t>
      </w:r>
      <w:r w:rsidR="000159A6">
        <w:t xml:space="preserve"> </w:t>
      </w:r>
      <w:r w:rsidRPr="00B143AB">
        <w:t>for</w:t>
      </w:r>
      <w:r w:rsidR="000159A6">
        <w:t xml:space="preserve"> </w:t>
      </w:r>
      <w:r w:rsidRPr="00B143AB">
        <w:t>injection,</w:t>
      </w:r>
      <w:r w:rsidR="000159A6">
        <w:t xml:space="preserve"> </w:t>
      </w:r>
      <w:r w:rsidRPr="00B143AB">
        <w:t>to</w:t>
      </w:r>
      <w:r w:rsidR="000159A6">
        <w:t xml:space="preserve"> </w:t>
      </w:r>
      <w:r w:rsidRPr="00B143AB">
        <w:t>have</w:t>
      </w:r>
      <w:r w:rsidR="000159A6">
        <w:t xml:space="preserve"> </w:t>
      </w:r>
      <w:r w:rsidRPr="00B143AB">
        <w:t>an</w:t>
      </w:r>
      <w:r w:rsidR="000159A6">
        <w:t xml:space="preserve"> </w:t>
      </w:r>
      <w:r w:rsidRPr="00B143AB">
        <w:t>overall</w:t>
      </w:r>
      <w:r w:rsidR="000159A6">
        <w:t xml:space="preserve"> </w:t>
      </w:r>
      <w:r w:rsidRPr="00B143AB">
        <w:t>positive</w:t>
      </w:r>
      <w:r w:rsidR="000159A6">
        <w:t xml:space="preserve"> </w:t>
      </w:r>
      <w:r w:rsidRPr="00B143AB">
        <w:t>benefit-risk</w:t>
      </w:r>
      <w:r w:rsidR="000159A6">
        <w:t xml:space="preserve"> </w:t>
      </w:r>
      <w:r w:rsidRPr="00B143AB">
        <w:t>profile</w:t>
      </w:r>
      <w:r w:rsidR="000159A6">
        <w:t xml:space="preserve"> </w:t>
      </w:r>
      <w:r w:rsidRPr="00B143AB">
        <w:t>for</w:t>
      </w:r>
      <w:r w:rsidR="000159A6">
        <w:t xml:space="preserve"> </w:t>
      </w:r>
      <w:r w:rsidRPr="00B143AB">
        <w:t>the</w:t>
      </w:r>
      <w:r w:rsidR="000159A6">
        <w:t xml:space="preserve"> </w:t>
      </w:r>
      <w:r w:rsidRPr="00B143AB">
        <w:t>revised</w:t>
      </w:r>
      <w:r w:rsidR="000159A6">
        <w:t xml:space="preserve"> </w:t>
      </w:r>
      <w:r w:rsidRPr="00B143AB">
        <w:t>in</w:t>
      </w:r>
      <w:r w:rsidR="00B143AB">
        <w:t>dication</w:t>
      </w:r>
      <w:r w:rsidR="000159A6">
        <w:t xml:space="preserve"> </w:t>
      </w:r>
      <w:r w:rsidR="00B143AB">
        <w:t>sought</w:t>
      </w:r>
      <w:r w:rsidR="000159A6">
        <w:t xml:space="preserve"> </w:t>
      </w:r>
      <w:r w:rsidR="00B143AB">
        <w:t>by</w:t>
      </w:r>
      <w:r w:rsidR="000159A6">
        <w:t xml:space="preserve"> </w:t>
      </w:r>
      <w:r w:rsidR="00B143AB">
        <w:t>the</w:t>
      </w:r>
      <w:r w:rsidR="000159A6">
        <w:t xml:space="preserve"> </w:t>
      </w:r>
      <w:r w:rsidR="00B143AB">
        <w:t>sponsor:</w:t>
      </w:r>
    </w:p>
    <w:p w14:paraId="6B6208C0" w14:textId="5B0F84A4" w:rsidR="00D22598" w:rsidRPr="00B143AB" w:rsidRDefault="00D22598" w:rsidP="00B143AB">
      <w:pPr>
        <w:ind w:left="720"/>
        <w:rPr>
          <w:i/>
        </w:rPr>
      </w:pPr>
      <w:r w:rsidRPr="00B143AB">
        <w:rPr>
          <w:i/>
        </w:rPr>
        <w:t>Shingrix</w:t>
      </w:r>
      <w:r w:rsidR="000159A6">
        <w:rPr>
          <w:i/>
        </w:rPr>
        <w:t xml:space="preserve"> </w:t>
      </w:r>
      <w:r w:rsidRPr="00B143AB">
        <w:rPr>
          <w:i/>
        </w:rPr>
        <w:t>is</w:t>
      </w:r>
      <w:r w:rsidR="000159A6">
        <w:rPr>
          <w:i/>
        </w:rPr>
        <w:t xml:space="preserve"> </w:t>
      </w:r>
      <w:r w:rsidRPr="00B143AB">
        <w:rPr>
          <w:i/>
        </w:rPr>
        <w:t>indicated</w:t>
      </w:r>
      <w:r w:rsidR="000159A6">
        <w:rPr>
          <w:i/>
        </w:rPr>
        <w:t xml:space="preserve"> </w:t>
      </w:r>
      <w:r w:rsidRPr="00B143AB">
        <w:rPr>
          <w:i/>
        </w:rPr>
        <w:t>for</w:t>
      </w:r>
      <w:r w:rsidR="000159A6">
        <w:rPr>
          <w:i/>
        </w:rPr>
        <w:t xml:space="preserve"> </w:t>
      </w:r>
      <w:r w:rsidRPr="00B143AB">
        <w:rPr>
          <w:i/>
        </w:rPr>
        <w:t>the</w:t>
      </w:r>
      <w:r w:rsidR="000159A6">
        <w:rPr>
          <w:i/>
        </w:rPr>
        <w:t xml:space="preserve"> </w:t>
      </w:r>
      <w:r w:rsidRPr="00B143AB">
        <w:rPr>
          <w:i/>
        </w:rPr>
        <w:t>prevention</w:t>
      </w:r>
      <w:r w:rsidR="000159A6">
        <w:rPr>
          <w:i/>
        </w:rPr>
        <w:t xml:space="preserve"> </w:t>
      </w:r>
      <w:r w:rsidRPr="00B143AB">
        <w:rPr>
          <w:i/>
        </w:rPr>
        <w:t>of</w:t>
      </w:r>
      <w:r w:rsidR="000159A6">
        <w:rPr>
          <w:i/>
        </w:rPr>
        <w:t xml:space="preserve"> </w:t>
      </w:r>
      <w:r w:rsidRPr="00B143AB">
        <w:rPr>
          <w:i/>
        </w:rPr>
        <w:t>herpes</w:t>
      </w:r>
      <w:r w:rsidR="000159A6">
        <w:rPr>
          <w:i/>
        </w:rPr>
        <w:t xml:space="preserve"> </w:t>
      </w:r>
      <w:r w:rsidRPr="00B143AB">
        <w:rPr>
          <w:i/>
        </w:rPr>
        <w:t>zoster</w:t>
      </w:r>
      <w:r w:rsidR="000159A6">
        <w:rPr>
          <w:i/>
        </w:rPr>
        <w:t xml:space="preserve"> </w:t>
      </w:r>
      <w:r w:rsidRPr="00B143AB">
        <w:rPr>
          <w:i/>
        </w:rPr>
        <w:t>and</w:t>
      </w:r>
      <w:r w:rsidR="000159A6">
        <w:rPr>
          <w:i/>
        </w:rPr>
        <w:t xml:space="preserve"> </w:t>
      </w:r>
      <w:r w:rsidR="000E6841">
        <w:rPr>
          <w:i/>
        </w:rPr>
        <w:t>post</w:t>
      </w:r>
      <w:r w:rsidR="000159A6">
        <w:rPr>
          <w:i/>
        </w:rPr>
        <w:t xml:space="preserve"> </w:t>
      </w:r>
      <w:r w:rsidR="000E6841">
        <w:rPr>
          <w:i/>
        </w:rPr>
        <w:t>herpetic</w:t>
      </w:r>
      <w:r w:rsidR="000159A6">
        <w:rPr>
          <w:i/>
        </w:rPr>
        <w:t xml:space="preserve"> </w:t>
      </w:r>
      <w:r w:rsidRPr="00B143AB">
        <w:rPr>
          <w:i/>
        </w:rPr>
        <w:t>neuralgia</w:t>
      </w:r>
      <w:r w:rsidR="000159A6">
        <w:rPr>
          <w:i/>
        </w:rPr>
        <w:t xml:space="preserve"> </w:t>
      </w:r>
      <w:r w:rsidRPr="00B143AB">
        <w:rPr>
          <w:i/>
        </w:rPr>
        <w:t>in</w:t>
      </w:r>
      <w:r w:rsidR="000159A6">
        <w:rPr>
          <w:i/>
        </w:rPr>
        <w:t xml:space="preserve"> </w:t>
      </w:r>
      <w:r w:rsidRPr="00B143AB">
        <w:rPr>
          <w:i/>
        </w:rPr>
        <w:t>adults</w:t>
      </w:r>
      <w:r w:rsidR="000159A6">
        <w:rPr>
          <w:i/>
        </w:rPr>
        <w:t xml:space="preserve"> </w:t>
      </w:r>
      <w:r w:rsidRPr="00B143AB">
        <w:rPr>
          <w:i/>
        </w:rPr>
        <w:t>50</w:t>
      </w:r>
      <w:r w:rsidR="000159A6">
        <w:rPr>
          <w:i/>
        </w:rPr>
        <w:t xml:space="preserve"> </w:t>
      </w:r>
      <w:r w:rsidRPr="00B143AB">
        <w:rPr>
          <w:i/>
        </w:rPr>
        <w:t>years</w:t>
      </w:r>
      <w:r w:rsidR="000159A6">
        <w:rPr>
          <w:i/>
        </w:rPr>
        <w:t xml:space="preserve"> </w:t>
      </w:r>
      <w:r w:rsidRPr="00B143AB">
        <w:rPr>
          <w:i/>
        </w:rPr>
        <w:t>of</w:t>
      </w:r>
      <w:r w:rsidR="000159A6">
        <w:rPr>
          <w:i/>
        </w:rPr>
        <w:t xml:space="preserve"> </w:t>
      </w:r>
      <w:r w:rsidRPr="00B143AB">
        <w:rPr>
          <w:i/>
        </w:rPr>
        <w:t>age</w:t>
      </w:r>
      <w:r w:rsidR="000159A6">
        <w:rPr>
          <w:i/>
        </w:rPr>
        <w:t xml:space="preserve"> </w:t>
      </w:r>
      <w:r w:rsidRPr="00B143AB">
        <w:rPr>
          <w:i/>
        </w:rPr>
        <w:t>or</w:t>
      </w:r>
      <w:r w:rsidR="000159A6">
        <w:rPr>
          <w:i/>
        </w:rPr>
        <w:t xml:space="preserve"> </w:t>
      </w:r>
      <w:r w:rsidRPr="00B143AB">
        <w:rPr>
          <w:i/>
        </w:rPr>
        <w:t>older</w:t>
      </w:r>
      <w:r w:rsidR="00B143AB">
        <w:rPr>
          <w:i/>
        </w:rPr>
        <w:t>.</w:t>
      </w:r>
    </w:p>
    <w:p w14:paraId="5B196C42" w14:textId="766BC40C" w:rsidR="00D22598" w:rsidRPr="00B143AB" w:rsidRDefault="00D22598" w:rsidP="00B143AB">
      <w:r w:rsidRPr="00B143AB">
        <w:t>In</w:t>
      </w:r>
      <w:r w:rsidR="000159A6">
        <w:t xml:space="preserve"> </w:t>
      </w:r>
      <w:r w:rsidRPr="00B143AB">
        <w:t>maki</w:t>
      </w:r>
      <w:r w:rsidR="00B143AB">
        <w:t>ng</w:t>
      </w:r>
      <w:r w:rsidR="000159A6">
        <w:t xml:space="preserve"> </w:t>
      </w:r>
      <w:r w:rsidR="00B143AB">
        <w:t>this</w:t>
      </w:r>
      <w:r w:rsidR="000159A6">
        <w:t xml:space="preserve"> </w:t>
      </w:r>
      <w:r w:rsidR="00B143AB">
        <w:t>recommendation</w:t>
      </w:r>
      <w:r w:rsidR="000159A6">
        <w:t xml:space="preserve"> </w:t>
      </w:r>
      <w:r w:rsidR="00B143AB">
        <w:t>the</w:t>
      </w:r>
      <w:r w:rsidR="000159A6">
        <w:t xml:space="preserve"> </w:t>
      </w:r>
      <w:r w:rsidR="00B143AB">
        <w:t>ACV:</w:t>
      </w:r>
    </w:p>
    <w:p w14:paraId="7D8E238C" w14:textId="10176999" w:rsidR="00D22598" w:rsidRPr="00B143AB" w:rsidRDefault="00D22598" w:rsidP="00B143AB">
      <w:pPr>
        <w:pStyle w:val="ListBullet"/>
      </w:pPr>
      <w:r w:rsidRPr="00B143AB">
        <w:t>noted</w:t>
      </w:r>
      <w:r w:rsidR="000159A6">
        <w:t xml:space="preserve"> </w:t>
      </w:r>
      <w:r w:rsidRPr="00B143AB">
        <w:t>the</w:t>
      </w:r>
      <w:r w:rsidR="000159A6">
        <w:t xml:space="preserve"> </w:t>
      </w:r>
      <w:r w:rsidRPr="00B143AB">
        <w:t>comprehensive</w:t>
      </w:r>
      <w:r w:rsidR="000159A6">
        <w:t xml:space="preserve"> </w:t>
      </w:r>
      <w:r w:rsidRPr="00B143AB">
        <w:t>clinical</w:t>
      </w:r>
      <w:r w:rsidR="000159A6">
        <w:t xml:space="preserve"> </w:t>
      </w:r>
      <w:r w:rsidRPr="00B143AB">
        <w:t>development</w:t>
      </w:r>
      <w:r w:rsidR="000159A6">
        <w:t xml:space="preserve"> </w:t>
      </w:r>
      <w:r w:rsidRPr="00B143AB">
        <w:t>program</w:t>
      </w:r>
      <w:r w:rsidR="000159A6">
        <w:t xml:space="preserve"> </w:t>
      </w:r>
      <w:r w:rsidRPr="00B143AB">
        <w:t>and</w:t>
      </w:r>
      <w:r w:rsidR="000159A6">
        <w:t xml:space="preserve"> </w:t>
      </w:r>
      <w:r w:rsidRPr="00B143AB">
        <w:t>on-going</w:t>
      </w:r>
      <w:r w:rsidR="000159A6">
        <w:t xml:space="preserve"> </w:t>
      </w:r>
      <w:r w:rsidRPr="00B143AB">
        <w:t>studies</w:t>
      </w:r>
      <w:r w:rsidR="000159A6">
        <w:t xml:space="preserve"> </w:t>
      </w:r>
      <w:r w:rsidRPr="00B143AB">
        <w:t>in</w:t>
      </w:r>
      <w:r w:rsidR="000159A6">
        <w:t xml:space="preserve"> </w:t>
      </w:r>
      <w:r w:rsidRPr="00B143AB">
        <w:t>immunocompromised</w:t>
      </w:r>
      <w:r w:rsidR="000159A6">
        <w:t xml:space="preserve"> </w:t>
      </w:r>
      <w:r w:rsidRPr="00B143AB">
        <w:t>patients,</w:t>
      </w:r>
      <w:r w:rsidR="000159A6">
        <w:t xml:space="preserve"> </w:t>
      </w:r>
      <w:r w:rsidRPr="00B143AB">
        <w:t>fo</w:t>
      </w:r>
      <w:r w:rsidR="00B143AB">
        <w:t>r</w:t>
      </w:r>
      <w:r w:rsidR="000159A6">
        <w:t xml:space="preserve"> </w:t>
      </w:r>
      <w:r w:rsidR="00B143AB">
        <w:t>whom</w:t>
      </w:r>
      <w:r w:rsidR="000159A6">
        <w:t xml:space="preserve"> </w:t>
      </w:r>
      <w:r w:rsidR="00B143AB">
        <w:t>data</w:t>
      </w:r>
      <w:r w:rsidR="000159A6">
        <w:t xml:space="preserve"> </w:t>
      </w:r>
      <w:r w:rsidR="00B143AB">
        <w:t>to</w:t>
      </w:r>
      <w:r w:rsidR="000159A6">
        <w:t xml:space="preserve"> </w:t>
      </w:r>
      <w:r w:rsidR="00B143AB">
        <w:t>date</w:t>
      </w:r>
      <w:r w:rsidR="000159A6">
        <w:t xml:space="preserve"> </w:t>
      </w:r>
      <w:r w:rsidR="00B143AB">
        <w:t>are</w:t>
      </w:r>
      <w:r w:rsidR="000159A6">
        <w:t xml:space="preserve"> </w:t>
      </w:r>
      <w:r w:rsidR="00B143AB">
        <w:t>limited</w:t>
      </w:r>
    </w:p>
    <w:p w14:paraId="30BC06F7" w14:textId="4EDF6ACC" w:rsidR="00D22598" w:rsidRPr="00B143AB" w:rsidRDefault="00D22598" w:rsidP="002E1097">
      <w:pPr>
        <w:pStyle w:val="ListBullet"/>
      </w:pPr>
      <w:r w:rsidRPr="00B143AB">
        <w:t>noted</w:t>
      </w:r>
      <w:r w:rsidR="000159A6">
        <w:t xml:space="preserve"> </w:t>
      </w:r>
      <w:r w:rsidRPr="00B143AB">
        <w:t>that</w:t>
      </w:r>
      <w:r w:rsidR="000159A6">
        <w:t xml:space="preserve"> </w:t>
      </w:r>
      <w:r w:rsidRPr="00B143AB">
        <w:t>the</w:t>
      </w:r>
      <w:r w:rsidR="000159A6">
        <w:t xml:space="preserve"> </w:t>
      </w:r>
      <w:r w:rsidRPr="00B143AB">
        <w:t>efficacy</w:t>
      </w:r>
      <w:r w:rsidR="000159A6">
        <w:t xml:space="preserve"> </w:t>
      </w:r>
      <w:r w:rsidRPr="00B143AB">
        <w:t>data</w:t>
      </w:r>
      <w:r w:rsidR="000159A6">
        <w:t xml:space="preserve"> </w:t>
      </w:r>
      <w:r w:rsidRPr="00B143AB">
        <w:t>were</w:t>
      </w:r>
      <w:r w:rsidR="000159A6">
        <w:t xml:space="preserve"> </w:t>
      </w:r>
      <w:r w:rsidRPr="00B143AB">
        <w:t>favourable</w:t>
      </w:r>
      <w:r w:rsidR="000159A6">
        <w:t xml:space="preserve"> </w:t>
      </w:r>
      <w:r w:rsidRPr="00B143AB">
        <w:t>for</w:t>
      </w:r>
      <w:r w:rsidR="000159A6">
        <w:t xml:space="preserve"> </w:t>
      </w:r>
      <w:r w:rsidRPr="00B143AB">
        <w:t>both</w:t>
      </w:r>
      <w:r w:rsidR="000159A6">
        <w:t xml:space="preserve"> </w:t>
      </w:r>
      <w:r w:rsidRPr="00B143AB">
        <w:t>the</w:t>
      </w:r>
      <w:r w:rsidR="000159A6">
        <w:t xml:space="preserve"> </w:t>
      </w:r>
      <w:r w:rsidRPr="00B143AB">
        <w:t>prevention</w:t>
      </w:r>
      <w:r w:rsidR="000159A6">
        <w:t xml:space="preserve"> </w:t>
      </w:r>
      <w:r w:rsidRPr="00B143AB">
        <w:t>of</w:t>
      </w:r>
      <w:r w:rsidR="000159A6">
        <w:t xml:space="preserve"> </w:t>
      </w:r>
      <w:r w:rsidRPr="00B143AB">
        <w:t>herpes</w:t>
      </w:r>
      <w:r w:rsidR="000159A6">
        <w:t xml:space="preserve"> </w:t>
      </w:r>
      <w:r w:rsidRPr="00B143AB">
        <w:t>zoster</w:t>
      </w:r>
      <w:r w:rsidR="000159A6">
        <w:t xml:space="preserve"> </w:t>
      </w:r>
      <w:r w:rsidRPr="00B143AB">
        <w:t>(HZ),</w:t>
      </w:r>
      <w:r w:rsidR="000159A6">
        <w:t xml:space="preserve"> </w:t>
      </w:r>
      <w:r w:rsidRPr="00B143AB">
        <w:t>with</w:t>
      </w:r>
      <w:r w:rsidR="000159A6">
        <w:t xml:space="preserve"> </w:t>
      </w:r>
      <w:r w:rsidRPr="00B143AB">
        <w:t>vaccine</w:t>
      </w:r>
      <w:r w:rsidR="000159A6">
        <w:t xml:space="preserve"> </w:t>
      </w:r>
      <w:r w:rsidRPr="002E1097">
        <w:t>efficacy</w:t>
      </w:r>
      <w:r w:rsidR="000159A6">
        <w:t xml:space="preserve"> </w:t>
      </w:r>
      <w:r w:rsidRPr="00B143AB">
        <w:t>of</w:t>
      </w:r>
      <w:r w:rsidR="000159A6">
        <w:t xml:space="preserve"> </w:t>
      </w:r>
      <w:r w:rsidRPr="00B143AB">
        <w:t>97.2%</w:t>
      </w:r>
      <w:r w:rsidR="000159A6">
        <w:t xml:space="preserve"> </w:t>
      </w:r>
      <w:r w:rsidRPr="00B143AB">
        <w:t>(95%</w:t>
      </w:r>
      <w:r w:rsidR="000159A6">
        <w:t xml:space="preserve"> </w:t>
      </w:r>
      <w:r w:rsidRPr="00B143AB">
        <w:t>CI:</w:t>
      </w:r>
      <w:r w:rsidR="000159A6">
        <w:t xml:space="preserve"> </w:t>
      </w:r>
      <w:r w:rsidRPr="00B143AB">
        <w:t>93.7;</w:t>
      </w:r>
      <w:r w:rsidR="000159A6">
        <w:t xml:space="preserve"> </w:t>
      </w:r>
      <w:r w:rsidRPr="00B143AB">
        <w:t>99.0)</w:t>
      </w:r>
      <w:r w:rsidR="000159A6">
        <w:t xml:space="preserve"> </w:t>
      </w:r>
      <w:r w:rsidRPr="00B143AB">
        <w:t>in</w:t>
      </w:r>
      <w:r w:rsidR="000159A6">
        <w:t xml:space="preserve"> </w:t>
      </w:r>
      <w:r w:rsidRPr="00B143AB">
        <w:t>patients</w:t>
      </w:r>
      <w:r w:rsidR="000159A6">
        <w:t xml:space="preserve"> </w:t>
      </w:r>
      <w:r w:rsidRPr="00B143AB">
        <w:t>50</w:t>
      </w:r>
      <w:r w:rsidR="000159A6">
        <w:t xml:space="preserve"> </w:t>
      </w:r>
      <w:r w:rsidRPr="00B143AB">
        <w:t>years</w:t>
      </w:r>
      <w:r w:rsidR="000159A6">
        <w:t xml:space="preserve"> </w:t>
      </w:r>
      <w:r w:rsidRPr="00B143AB">
        <w:t>and</w:t>
      </w:r>
      <w:r w:rsidR="000159A6">
        <w:t xml:space="preserve"> </w:t>
      </w:r>
      <w:r w:rsidRPr="00B143AB">
        <w:t>older</w:t>
      </w:r>
      <w:r w:rsidR="000159A6">
        <w:t xml:space="preserve"> </w:t>
      </w:r>
      <w:r w:rsidRPr="00B143AB">
        <w:t>and</w:t>
      </w:r>
      <w:r w:rsidR="000159A6">
        <w:t xml:space="preserve"> </w:t>
      </w:r>
      <w:r w:rsidRPr="00B143AB">
        <w:t>91.3%</w:t>
      </w:r>
      <w:r w:rsidR="000159A6">
        <w:t xml:space="preserve"> </w:t>
      </w:r>
      <w:r w:rsidRPr="00B143AB">
        <w:t>(95%</w:t>
      </w:r>
      <w:r w:rsidR="000159A6">
        <w:t xml:space="preserve"> </w:t>
      </w:r>
      <w:r w:rsidRPr="00B143AB">
        <w:t>CI:</w:t>
      </w:r>
      <w:r w:rsidR="000159A6">
        <w:t xml:space="preserve"> </w:t>
      </w:r>
      <w:r w:rsidRPr="00B143AB">
        <w:t>86.8;</w:t>
      </w:r>
      <w:r w:rsidR="000159A6">
        <w:t xml:space="preserve"> </w:t>
      </w:r>
      <w:r w:rsidRPr="00B143AB">
        <w:t>94.5)</w:t>
      </w:r>
      <w:r w:rsidR="000159A6">
        <w:t xml:space="preserve"> </w:t>
      </w:r>
      <w:r w:rsidRPr="00B143AB">
        <w:t>in</w:t>
      </w:r>
      <w:r w:rsidR="000159A6">
        <w:t xml:space="preserve"> </w:t>
      </w:r>
      <w:r w:rsidRPr="00B143AB">
        <w:t>patients</w:t>
      </w:r>
      <w:r w:rsidR="000159A6">
        <w:t xml:space="preserve"> </w:t>
      </w:r>
      <w:r w:rsidRPr="00B143AB">
        <w:t>70</w:t>
      </w:r>
      <w:r w:rsidR="000159A6">
        <w:t xml:space="preserve"> </w:t>
      </w:r>
      <w:r w:rsidRPr="00B143AB">
        <w:t>years</w:t>
      </w:r>
      <w:r w:rsidR="000159A6">
        <w:t xml:space="preserve"> </w:t>
      </w:r>
      <w:r w:rsidRPr="00B143AB">
        <w:t>and</w:t>
      </w:r>
      <w:r w:rsidR="000159A6">
        <w:t xml:space="preserve"> </w:t>
      </w:r>
      <w:r w:rsidRPr="00B143AB">
        <w:t>older,</w:t>
      </w:r>
      <w:r w:rsidR="000159A6">
        <w:t xml:space="preserve"> </w:t>
      </w:r>
      <w:r w:rsidRPr="00B143AB">
        <w:t>and</w:t>
      </w:r>
      <w:r w:rsidR="000159A6">
        <w:t xml:space="preserve"> </w:t>
      </w:r>
      <w:r w:rsidRPr="00B143AB">
        <w:t>for</w:t>
      </w:r>
      <w:r w:rsidR="000159A6">
        <w:t xml:space="preserve"> </w:t>
      </w:r>
      <w:r w:rsidRPr="00B143AB">
        <w:t>the</w:t>
      </w:r>
      <w:r w:rsidR="000159A6">
        <w:t xml:space="preserve"> </w:t>
      </w:r>
      <w:r w:rsidRPr="00B143AB">
        <w:t>prevention</w:t>
      </w:r>
      <w:r w:rsidR="000159A6">
        <w:t xml:space="preserve"> </w:t>
      </w:r>
      <w:r w:rsidRPr="00B143AB">
        <w:t>of</w:t>
      </w:r>
      <w:r w:rsidR="000159A6">
        <w:t xml:space="preserve"> </w:t>
      </w:r>
      <w:r w:rsidRPr="00B143AB">
        <w:t>post</w:t>
      </w:r>
      <w:r w:rsidR="000159A6">
        <w:t xml:space="preserve"> </w:t>
      </w:r>
      <w:r w:rsidRPr="00B143AB">
        <w:t>herpetic</w:t>
      </w:r>
      <w:r w:rsidR="000159A6">
        <w:t xml:space="preserve"> </w:t>
      </w:r>
      <w:r w:rsidRPr="00B143AB">
        <w:t>neuralgia</w:t>
      </w:r>
      <w:r w:rsidR="000159A6">
        <w:t xml:space="preserve"> </w:t>
      </w:r>
      <w:r w:rsidRPr="00B143AB">
        <w:t>(PHN),</w:t>
      </w:r>
      <w:r w:rsidR="000159A6">
        <w:t xml:space="preserve"> </w:t>
      </w:r>
      <w:r w:rsidRPr="00B143AB">
        <w:t>with</w:t>
      </w:r>
      <w:r w:rsidR="000159A6">
        <w:t xml:space="preserve"> </w:t>
      </w:r>
      <w:r w:rsidRPr="00B143AB">
        <w:t>vaccine</w:t>
      </w:r>
      <w:r w:rsidR="000159A6">
        <w:t xml:space="preserve"> </w:t>
      </w:r>
      <w:r w:rsidRPr="00B143AB">
        <w:t>efficacy</w:t>
      </w:r>
      <w:r w:rsidR="000159A6">
        <w:t xml:space="preserve"> </w:t>
      </w:r>
      <w:r w:rsidRPr="00B143AB">
        <w:t>of</w:t>
      </w:r>
      <w:r w:rsidR="000159A6">
        <w:t xml:space="preserve"> </w:t>
      </w:r>
      <w:r w:rsidRPr="00B143AB">
        <w:t>100%</w:t>
      </w:r>
      <w:r w:rsidR="000159A6">
        <w:t xml:space="preserve"> </w:t>
      </w:r>
      <w:r w:rsidRPr="00B143AB">
        <w:t>in</w:t>
      </w:r>
      <w:r w:rsidR="000159A6">
        <w:t xml:space="preserve"> </w:t>
      </w:r>
      <w:r w:rsidRPr="00B143AB">
        <w:t>patients</w:t>
      </w:r>
      <w:r w:rsidR="000159A6">
        <w:t xml:space="preserve"> </w:t>
      </w:r>
      <w:r w:rsidRPr="00B143AB">
        <w:t>50</w:t>
      </w:r>
      <w:r w:rsidR="000159A6">
        <w:t xml:space="preserve"> </w:t>
      </w:r>
      <w:r w:rsidRPr="00B143AB">
        <w:t>years</w:t>
      </w:r>
      <w:r w:rsidR="000159A6">
        <w:t xml:space="preserve"> </w:t>
      </w:r>
      <w:r w:rsidRPr="00B143AB">
        <w:t>and</w:t>
      </w:r>
      <w:r w:rsidR="000159A6">
        <w:t xml:space="preserve"> </w:t>
      </w:r>
      <w:r w:rsidRPr="00B143AB">
        <w:t>older</w:t>
      </w:r>
      <w:r w:rsidR="000159A6">
        <w:t xml:space="preserve"> </w:t>
      </w:r>
      <w:r w:rsidRPr="00B143AB">
        <w:t>and</w:t>
      </w:r>
      <w:r w:rsidR="000159A6">
        <w:t xml:space="preserve"> </w:t>
      </w:r>
      <w:r w:rsidRPr="00B143AB">
        <w:t>88.</w:t>
      </w:r>
      <w:r w:rsidR="00B143AB">
        <w:t>8%</w:t>
      </w:r>
      <w:r w:rsidR="000159A6">
        <w:t xml:space="preserve"> </w:t>
      </w:r>
      <w:r w:rsidR="00B143AB">
        <w:t>in</w:t>
      </w:r>
      <w:r w:rsidR="000159A6">
        <w:t xml:space="preserve"> </w:t>
      </w:r>
      <w:r w:rsidR="00B143AB">
        <w:t>adults</w:t>
      </w:r>
      <w:r w:rsidR="000159A6">
        <w:t xml:space="preserve"> </w:t>
      </w:r>
      <w:r w:rsidR="00B143AB">
        <w:t>70</w:t>
      </w:r>
      <w:r w:rsidR="000159A6">
        <w:t xml:space="preserve"> </w:t>
      </w:r>
      <w:r w:rsidR="00B143AB">
        <w:t>years</w:t>
      </w:r>
      <w:r w:rsidR="000159A6">
        <w:t xml:space="preserve"> </w:t>
      </w:r>
      <w:r w:rsidR="00B143AB">
        <w:t>and</w:t>
      </w:r>
      <w:r w:rsidR="000159A6">
        <w:t xml:space="preserve"> </w:t>
      </w:r>
      <w:r w:rsidR="00B143AB">
        <w:t>older</w:t>
      </w:r>
    </w:p>
    <w:p w14:paraId="7A2A3E8E" w14:textId="5B3702C5" w:rsidR="00D22598" w:rsidRPr="00B143AB" w:rsidRDefault="00D22598" w:rsidP="00B143AB">
      <w:pPr>
        <w:pStyle w:val="ListBullet"/>
      </w:pPr>
      <w:r w:rsidRPr="00B143AB">
        <w:t>noted</w:t>
      </w:r>
      <w:r w:rsidR="000159A6">
        <w:t xml:space="preserve"> </w:t>
      </w:r>
      <w:r w:rsidRPr="00B143AB">
        <w:t>the</w:t>
      </w:r>
      <w:r w:rsidR="000159A6">
        <w:t xml:space="preserve"> </w:t>
      </w:r>
      <w:r w:rsidRPr="00B143AB">
        <w:t>high</w:t>
      </w:r>
      <w:r w:rsidR="000159A6">
        <w:t xml:space="preserve"> </w:t>
      </w:r>
      <w:r w:rsidRPr="00B143AB">
        <w:t>rates</w:t>
      </w:r>
      <w:r w:rsidR="000159A6">
        <w:t xml:space="preserve"> </w:t>
      </w:r>
      <w:r w:rsidRPr="00B143AB">
        <w:t>of</w:t>
      </w:r>
      <w:r w:rsidR="000159A6">
        <w:t xml:space="preserve"> </w:t>
      </w:r>
      <w:r w:rsidRPr="00B143AB">
        <w:t>local</w:t>
      </w:r>
      <w:r w:rsidR="000159A6">
        <w:t xml:space="preserve"> </w:t>
      </w:r>
      <w:r w:rsidRPr="00B143AB">
        <w:t>(86.7%)</w:t>
      </w:r>
      <w:r w:rsidR="000159A6">
        <w:t xml:space="preserve"> </w:t>
      </w:r>
      <w:r w:rsidRPr="00B143AB">
        <w:t>and</w:t>
      </w:r>
      <w:r w:rsidR="000159A6">
        <w:t xml:space="preserve"> </w:t>
      </w:r>
      <w:r w:rsidRPr="00B143AB">
        <w:t>general</w:t>
      </w:r>
      <w:r w:rsidR="000159A6">
        <w:t xml:space="preserve"> </w:t>
      </w:r>
      <w:r w:rsidRPr="00B143AB">
        <w:t>(72.2%)</w:t>
      </w:r>
      <w:r w:rsidR="000159A6">
        <w:t xml:space="preserve"> </w:t>
      </w:r>
      <w:r w:rsidRPr="00B143AB">
        <w:t>symptoms</w:t>
      </w:r>
      <w:r w:rsidR="000159A6">
        <w:t xml:space="preserve"> </w:t>
      </w:r>
      <w:r w:rsidRPr="00B143AB">
        <w:t>following</w:t>
      </w:r>
      <w:r w:rsidR="000159A6">
        <w:t xml:space="preserve"> </w:t>
      </w:r>
      <w:r w:rsidRPr="00B143AB">
        <w:t>vaccination,</w:t>
      </w:r>
      <w:r w:rsidR="000159A6">
        <w:t xml:space="preserve"> </w:t>
      </w:r>
      <w:r w:rsidRPr="00B143AB">
        <w:t>including</w:t>
      </w:r>
      <w:r w:rsidR="000159A6">
        <w:t xml:space="preserve"> </w:t>
      </w:r>
      <w:r w:rsidRPr="00B143AB">
        <w:t>24.4%</w:t>
      </w:r>
      <w:r w:rsidR="000159A6">
        <w:t xml:space="preserve"> </w:t>
      </w:r>
      <w:r w:rsidRPr="00B143AB">
        <w:t>of</w:t>
      </w:r>
      <w:r w:rsidR="000159A6">
        <w:t xml:space="preserve"> </w:t>
      </w:r>
      <w:r w:rsidRPr="00B143AB">
        <w:t>patients</w:t>
      </w:r>
      <w:r w:rsidR="000159A6">
        <w:t xml:space="preserve"> </w:t>
      </w:r>
      <w:r w:rsidRPr="00B143AB">
        <w:t>experiencing</w:t>
      </w:r>
      <w:r w:rsidR="000159A6">
        <w:t xml:space="preserve"> </w:t>
      </w:r>
      <w:r w:rsidR="004715B4">
        <w:t>Grade</w:t>
      </w:r>
      <w:r w:rsidR="000159A6">
        <w:t xml:space="preserve"> </w:t>
      </w:r>
      <w:r w:rsidRPr="00B143AB">
        <w:t>3</w:t>
      </w:r>
      <w:r w:rsidR="000159A6">
        <w:t xml:space="preserve"> </w:t>
      </w:r>
      <w:r w:rsidRPr="00B143AB">
        <w:t>symptoms</w:t>
      </w:r>
      <w:r w:rsidR="000159A6">
        <w:t xml:space="preserve"> </w:t>
      </w:r>
      <w:r w:rsidRPr="00B143AB">
        <w:t>(vaccination-related</w:t>
      </w:r>
      <w:r w:rsidR="000159A6">
        <w:t xml:space="preserve"> </w:t>
      </w:r>
      <w:r w:rsidRPr="00B143AB">
        <w:t>reactions</w:t>
      </w:r>
      <w:r w:rsidR="000159A6">
        <w:t xml:space="preserve"> </w:t>
      </w:r>
      <w:r w:rsidRPr="00B143AB">
        <w:t>severe</w:t>
      </w:r>
      <w:r w:rsidR="000159A6">
        <w:t xml:space="preserve"> </w:t>
      </w:r>
      <w:r w:rsidRPr="00B143AB">
        <w:t>enoug</w:t>
      </w:r>
      <w:r w:rsidR="00B143AB">
        <w:t>h</w:t>
      </w:r>
      <w:r w:rsidR="000159A6">
        <w:t xml:space="preserve"> </w:t>
      </w:r>
      <w:r w:rsidR="00B143AB">
        <w:t>to</w:t>
      </w:r>
      <w:r w:rsidR="000159A6">
        <w:t xml:space="preserve"> </w:t>
      </w:r>
      <w:r w:rsidR="00B143AB">
        <w:t>prevent</w:t>
      </w:r>
      <w:r w:rsidR="000159A6">
        <w:t xml:space="preserve"> </w:t>
      </w:r>
      <w:r w:rsidR="00B143AB">
        <w:t>normal</w:t>
      </w:r>
      <w:r w:rsidR="000159A6">
        <w:t xml:space="preserve"> </w:t>
      </w:r>
      <w:r w:rsidR="00B143AB">
        <w:t>activities)</w:t>
      </w:r>
    </w:p>
    <w:p w14:paraId="3414D135" w14:textId="343A3D59" w:rsidR="00D22598" w:rsidRPr="00B143AB" w:rsidRDefault="00D22598" w:rsidP="00B143AB">
      <w:pPr>
        <w:pStyle w:val="ListBullet"/>
      </w:pPr>
      <w:r w:rsidRPr="00B143AB">
        <w:t>noted</w:t>
      </w:r>
      <w:r w:rsidR="000159A6">
        <w:t xml:space="preserve"> </w:t>
      </w:r>
      <w:r w:rsidRPr="00B143AB">
        <w:t>the</w:t>
      </w:r>
      <w:r w:rsidR="000159A6">
        <w:t xml:space="preserve"> </w:t>
      </w:r>
      <w:r w:rsidRPr="00B143AB">
        <w:t>indication</w:t>
      </w:r>
      <w:r w:rsidR="000159A6">
        <w:t xml:space="preserve"> </w:t>
      </w:r>
      <w:r w:rsidRPr="00B143AB">
        <w:t>recently</w:t>
      </w:r>
      <w:r w:rsidR="000159A6">
        <w:t xml:space="preserve"> </w:t>
      </w:r>
      <w:r w:rsidR="00B143AB">
        <w:t>approved</w:t>
      </w:r>
      <w:r w:rsidR="000159A6">
        <w:t xml:space="preserve"> </w:t>
      </w:r>
      <w:r w:rsidR="00B143AB">
        <w:t>in</w:t>
      </w:r>
      <w:r w:rsidR="000159A6">
        <w:t xml:space="preserve"> </w:t>
      </w:r>
      <w:r w:rsidR="00B143AB">
        <w:t>the</w:t>
      </w:r>
      <w:r w:rsidR="000159A6">
        <w:t xml:space="preserve"> </w:t>
      </w:r>
      <w:r w:rsidR="00B143AB">
        <w:t>European</w:t>
      </w:r>
      <w:r w:rsidR="000159A6">
        <w:t xml:space="preserve"> </w:t>
      </w:r>
      <w:r w:rsidR="00B143AB">
        <w:t>Union</w:t>
      </w:r>
    </w:p>
    <w:p w14:paraId="78633EE9" w14:textId="6218AA8A" w:rsidR="00D22598" w:rsidRPr="00B143AB" w:rsidRDefault="00D22598" w:rsidP="00B143AB">
      <w:pPr>
        <w:pStyle w:val="ListBullet"/>
      </w:pPr>
      <w:r w:rsidRPr="00B143AB">
        <w:t>noted</w:t>
      </w:r>
      <w:r w:rsidR="000159A6">
        <w:t xml:space="preserve"> </w:t>
      </w:r>
      <w:r w:rsidRPr="00B143AB">
        <w:t>the</w:t>
      </w:r>
      <w:r w:rsidR="000159A6">
        <w:t xml:space="preserve"> </w:t>
      </w:r>
      <w:r w:rsidRPr="00B143AB">
        <w:t>inclusion</w:t>
      </w:r>
      <w:r w:rsidR="000159A6">
        <w:t xml:space="preserve"> </w:t>
      </w:r>
      <w:r w:rsidRPr="00B143AB">
        <w:t>in</w:t>
      </w:r>
      <w:r w:rsidR="000159A6">
        <w:t xml:space="preserve"> </w:t>
      </w:r>
      <w:r w:rsidRPr="00B143AB">
        <w:t>the</w:t>
      </w:r>
      <w:r w:rsidR="000159A6">
        <w:t xml:space="preserve"> </w:t>
      </w:r>
      <w:r w:rsidRPr="00B143AB">
        <w:t>vaccine</w:t>
      </w:r>
      <w:r w:rsidR="000159A6">
        <w:t xml:space="preserve"> </w:t>
      </w:r>
      <w:r w:rsidRPr="00B143AB">
        <w:t>of</w:t>
      </w:r>
      <w:r w:rsidR="000159A6">
        <w:t xml:space="preserve"> </w:t>
      </w:r>
      <w:r w:rsidRPr="00B143AB">
        <w:t>an</w:t>
      </w:r>
      <w:r w:rsidR="000159A6">
        <w:t xml:space="preserve"> </w:t>
      </w:r>
      <w:r w:rsidRPr="00B143AB">
        <w:t>adjuvant</w:t>
      </w:r>
      <w:r w:rsidR="000159A6">
        <w:t xml:space="preserve"> </w:t>
      </w:r>
      <w:r w:rsidRPr="00B143AB">
        <w:t>not</w:t>
      </w:r>
      <w:r w:rsidR="000159A6">
        <w:t xml:space="preserve"> </w:t>
      </w:r>
      <w:r w:rsidRPr="00B143AB">
        <w:t>previously</w:t>
      </w:r>
      <w:r w:rsidR="000159A6">
        <w:t xml:space="preserve"> </w:t>
      </w:r>
      <w:r w:rsidRPr="00B143AB">
        <w:t>used</w:t>
      </w:r>
      <w:r w:rsidR="000159A6">
        <w:t xml:space="preserve"> </w:t>
      </w:r>
      <w:r w:rsidRPr="00B143AB">
        <w:t>in</w:t>
      </w:r>
      <w:r w:rsidR="000159A6">
        <w:t xml:space="preserve"> </w:t>
      </w:r>
      <w:r w:rsidRPr="00B143AB">
        <w:t>registered</w:t>
      </w:r>
      <w:r w:rsidR="000159A6">
        <w:t xml:space="preserve"> </w:t>
      </w:r>
      <w:r w:rsidRPr="00B143AB">
        <w:t>vaccines</w:t>
      </w:r>
      <w:r w:rsidR="000159A6">
        <w:t xml:space="preserve"> </w:t>
      </w:r>
      <w:r w:rsidRPr="00B143AB">
        <w:t>in</w:t>
      </w:r>
      <w:r w:rsidR="000159A6">
        <w:t xml:space="preserve"> </w:t>
      </w:r>
      <w:r w:rsidRPr="00B143AB">
        <w:t>Australia</w:t>
      </w:r>
      <w:r w:rsidR="000159A6">
        <w:t xml:space="preserve"> </w:t>
      </w:r>
    </w:p>
    <w:p w14:paraId="381E95F3" w14:textId="070048B1" w:rsidR="00D22598" w:rsidRPr="00D22598" w:rsidRDefault="00D22598" w:rsidP="00B143AB">
      <w:pPr>
        <w:pStyle w:val="ListBullet"/>
        <w:rPr>
          <w:rFonts w:eastAsiaTheme="minorHAnsi" w:cs="Cambria"/>
          <w:color w:val="000000"/>
        </w:rPr>
      </w:pPr>
      <w:proofErr w:type="gramStart"/>
      <w:r w:rsidRPr="00D22598">
        <w:rPr>
          <w:rFonts w:eastAsiaTheme="minorHAnsi" w:cs="Cambria"/>
          <w:color w:val="000000"/>
        </w:rPr>
        <w:t>noted</w:t>
      </w:r>
      <w:proofErr w:type="gramEnd"/>
      <w:r w:rsidR="000159A6">
        <w:rPr>
          <w:rFonts w:eastAsiaTheme="minorHAnsi" w:cs="Cambria"/>
          <w:color w:val="000000"/>
        </w:rPr>
        <w:t xml:space="preserve"> </w:t>
      </w:r>
      <w:r w:rsidRPr="00D22598">
        <w:rPr>
          <w:rFonts w:eastAsiaTheme="minorHAnsi" w:cs="Cambria"/>
          <w:color w:val="000000"/>
        </w:rPr>
        <w:t>that</w:t>
      </w:r>
      <w:r w:rsidR="000159A6">
        <w:rPr>
          <w:rFonts w:eastAsiaTheme="minorHAnsi" w:cs="Cambria"/>
          <w:color w:val="000000"/>
        </w:rPr>
        <w:t xml:space="preserve"> </w:t>
      </w:r>
      <w:r w:rsidRPr="00D22598">
        <w:rPr>
          <w:rFonts w:eastAsiaTheme="minorHAnsi" w:cs="Cambria"/>
          <w:color w:val="000000"/>
        </w:rPr>
        <w:t>the</w:t>
      </w:r>
      <w:r w:rsidR="000159A6">
        <w:rPr>
          <w:rFonts w:eastAsiaTheme="minorHAnsi" w:cs="Cambria"/>
          <w:color w:val="000000"/>
        </w:rPr>
        <w:t xml:space="preserve"> </w:t>
      </w:r>
      <w:r w:rsidRPr="00D22598">
        <w:rPr>
          <w:rFonts w:eastAsiaTheme="minorHAnsi" w:cs="Cambria"/>
          <w:color w:val="000000"/>
        </w:rPr>
        <w:t>risk</w:t>
      </w:r>
      <w:r w:rsidR="000159A6">
        <w:rPr>
          <w:rFonts w:eastAsiaTheme="minorHAnsi" w:cs="Cambria"/>
          <w:color w:val="000000"/>
        </w:rPr>
        <w:t xml:space="preserve"> </w:t>
      </w:r>
      <w:r w:rsidRPr="00D22598">
        <w:rPr>
          <w:rFonts w:eastAsiaTheme="minorHAnsi" w:cs="Cambria"/>
          <w:color w:val="000000"/>
        </w:rPr>
        <w:t>management</w:t>
      </w:r>
      <w:r w:rsidR="000159A6">
        <w:rPr>
          <w:rFonts w:eastAsiaTheme="minorHAnsi" w:cs="Cambria"/>
          <w:color w:val="000000"/>
        </w:rPr>
        <w:t xml:space="preserve"> </w:t>
      </w:r>
      <w:r w:rsidRPr="00D22598">
        <w:rPr>
          <w:rFonts w:eastAsiaTheme="minorHAnsi" w:cs="Cambria"/>
          <w:color w:val="000000"/>
        </w:rPr>
        <w:t>plan</w:t>
      </w:r>
      <w:r w:rsidR="000159A6">
        <w:rPr>
          <w:rFonts w:eastAsiaTheme="minorHAnsi" w:cs="Cambria"/>
          <w:color w:val="000000"/>
        </w:rPr>
        <w:t xml:space="preserve"> </w:t>
      </w:r>
      <w:r w:rsidRPr="00D22598">
        <w:rPr>
          <w:rFonts w:eastAsiaTheme="minorHAnsi" w:cs="Cambria"/>
          <w:color w:val="000000"/>
        </w:rPr>
        <w:t>appeared</w:t>
      </w:r>
      <w:r w:rsidR="000159A6">
        <w:rPr>
          <w:rFonts w:eastAsiaTheme="minorHAnsi" w:cs="Cambria"/>
          <w:color w:val="000000"/>
        </w:rPr>
        <w:t xml:space="preserve"> </w:t>
      </w:r>
      <w:r w:rsidRPr="00D22598">
        <w:rPr>
          <w:rFonts w:eastAsiaTheme="minorHAnsi" w:cs="Cambria"/>
          <w:color w:val="000000"/>
        </w:rPr>
        <w:t>adequate</w:t>
      </w:r>
      <w:r w:rsidR="000159A6">
        <w:rPr>
          <w:rFonts w:eastAsiaTheme="minorHAnsi" w:cs="Cambria"/>
          <w:color w:val="000000"/>
        </w:rPr>
        <w:t xml:space="preserve"> </w:t>
      </w:r>
      <w:r w:rsidRPr="00D22598">
        <w:rPr>
          <w:rFonts w:eastAsiaTheme="minorHAnsi" w:cs="Cambria"/>
          <w:color w:val="000000"/>
        </w:rPr>
        <w:t>although</w:t>
      </w:r>
      <w:r w:rsidR="000159A6">
        <w:rPr>
          <w:rFonts w:eastAsiaTheme="minorHAnsi" w:cs="Cambria"/>
          <w:color w:val="000000"/>
        </w:rPr>
        <w:t xml:space="preserve"> </w:t>
      </w:r>
      <w:r w:rsidRPr="00D22598">
        <w:rPr>
          <w:rFonts w:eastAsiaTheme="minorHAnsi" w:cs="Cambria"/>
          <w:color w:val="000000"/>
        </w:rPr>
        <w:t>it</w:t>
      </w:r>
      <w:r w:rsidR="000159A6">
        <w:rPr>
          <w:rFonts w:eastAsiaTheme="minorHAnsi" w:cs="Cambria"/>
          <w:color w:val="000000"/>
        </w:rPr>
        <w:t xml:space="preserve"> </w:t>
      </w:r>
      <w:r w:rsidRPr="00D22598">
        <w:rPr>
          <w:rFonts w:eastAsiaTheme="minorHAnsi" w:cs="Cambria"/>
          <w:color w:val="000000"/>
        </w:rPr>
        <w:t>could</w:t>
      </w:r>
      <w:r w:rsidR="000159A6">
        <w:rPr>
          <w:rFonts w:eastAsiaTheme="minorHAnsi" w:cs="Cambria"/>
          <w:color w:val="000000"/>
        </w:rPr>
        <w:t xml:space="preserve"> </w:t>
      </w:r>
      <w:r w:rsidRPr="00D22598">
        <w:rPr>
          <w:rFonts w:eastAsiaTheme="minorHAnsi" w:cs="Cambria"/>
          <w:color w:val="000000"/>
        </w:rPr>
        <w:t>be</w:t>
      </w:r>
      <w:r w:rsidR="000159A6">
        <w:rPr>
          <w:rFonts w:eastAsiaTheme="minorHAnsi" w:cs="Cambria"/>
          <w:color w:val="000000"/>
        </w:rPr>
        <w:t xml:space="preserve"> </w:t>
      </w:r>
      <w:r w:rsidRPr="00D22598">
        <w:rPr>
          <w:rFonts w:eastAsiaTheme="minorHAnsi" w:cs="Cambria"/>
          <w:color w:val="000000"/>
        </w:rPr>
        <w:t>enhanced</w:t>
      </w:r>
      <w:r w:rsidR="000159A6">
        <w:rPr>
          <w:rFonts w:eastAsiaTheme="minorHAnsi" w:cs="Cambria"/>
          <w:color w:val="000000"/>
        </w:rPr>
        <w:t xml:space="preserve"> </w:t>
      </w:r>
      <w:r w:rsidRPr="00D22598">
        <w:rPr>
          <w:rFonts w:eastAsiaTheme="minorHAnsi" w:cs="Cambria"/>
          <w:color w:val="000000"/>
        </w:rPr>
        <w:t>with</w:t>
      </w:r>
      <w:r w:rsidR="000159A6">
        <w:rPr>
          <w:rFonts w:eastAsiaTheme="minorHAnsi" w:cs="Cambria"/>
          <w:color w:val="000000"/>
        </w:rPr>
        <w:t xml:space="preserve"> </w:t>
      </w:r>
      <w:r w:rsidRPr="00D22598">
        <w:rPr>
          <w:rFonts w:eastAsiaTheme="minorHAnsi" w:cs="Cambria"/>
          <w:color w:val="000000"/>
        </w:rPr>
        <w:t>the</w:t>
      </w:r>
      <w:r w:rsidR="000159A6">
        <w:rPr>
          <w:rFonts w:eastAsiaTheme="minorHAnsi" w:cs="Cambria"/>
          <w:color w:val="000000"/>
        </w:rPr>
        <w:t xml:space="preserve"> </w:t>
      </w:r>
      <w:r w:rsidRPr="00D22598">
        <w:rPr>
          <w:rFonts w:eastAsiaTheme="minorHAnsi" w:cs="Cambria"/>
          <w:color w:val="000000"/>
        </w:rPr>
        <w:t>use</w:t>
      </w:r>
      <w:r w:rsidR="000159A6">
        <w:rPr>
          <w:rFonts w:eastAsiaTheme="minorHAnsi" w:cs="Cambria"/>
          <w:color w:val="000000"/>
        </w:rPr>
        <w:t xml:space="preserve"> </w:t>
      </w:r>
      <w:r w:rsidRPr="00D22598">
        <w:rPr>
          <w:rFonts w:eastAsiaTheme="minorHAnsi" w:cs="Cambria"/>
          <w:color w:val="000000"/>
        </w:rPr>
        <w:t>of</w:t>
      </w:r>
      <w:r w:rsidR="000159A6">
        <w:rPr>
          <w:rFonts w:eastAsiaTheme="minorHAnsi" w:cs="Cambria"/>
          <w:color w:val="000000"/>
        </w:rPr>
        <w:t xml:space="preserve"> </w:t>
      </w:r>
      <w:r w:rsidRPr="00D22598">
        <w:rPr>
          <w:rFonts w:eastAsiaTheme="minorHAnsi" w:cs="Cambria"/>
          <w:color w:val="000000"/>
        </w:rPr>
        <w:t>Australian</w:t>
      </w:r>
      <w:r w:rsidR="000159A6">
        <w:rPr>
          <w:rFonts w:eastAsiaTheme="minorHAnsi" w:cs="Cambria"/>
          <w:color w:val="000000"/>
        </w:rPr>
        <w:t xml:space="preserve"> </w:t>
      </w:r>
      <w:r w:rsidRPr="00D22598">
        <w:rPr>
          <w:rFonts w:eastAsiaTheme="minorHAnsi" w:cs="Cambria"/>
          <w:color w:val="000000"/>
        </w:rPr>
        <w:t>systems</w:t>
      </w:r>
      <w:r w:rsidR="000159A6">
        <w:rPr>
          <w:rFonts w:eastAsiaTheme="minorHAnsi" w:cs="Cambria"/>
          <w:color w:val="000000"/>
        </w:rPr>
        <w:t xml:space="preserve"> </w:t>
      </w:r>
      <w:r w:rsidRPr="00D22598">
        <w:rPr>
          <w:rFonts w:eastAsiaTheme="minorHAnsi" w:cs="Cambria"/>
          <w:color w:val="000000"/>
        </w:rPr>
        <w:t>such</w:t>
      </w:r>
      <w:r w:rsidR="000159A6">
        <w:rPr>
          <w:rFonts w:eastAsiaTheme="minorHAnsi" w:cs="Cambria"/>
          <w:color w:val="000000"/>
        </w:rPr>
        <w:t xml:space="preserve"> </w:t>
      </w:r>
      <w:r w:rsidRPr="00D22598">
        <w:rPr>
          <w:rFonts w:eastAsiaTheme="minorHAnsi" w:cs="Cambria"/>
          <w:color w:val="000000"/>
        </w:rPr>
        <w:t>as</w:t>
      </w:r>
      <w:r w:rsidR="000159A6">
        <w:rPr>
          <w:rFonts w:eastAsiaTheme="minorHAnsi" w:cs="Cambria"/>
          <w:color w:val="000000"/>
        </w:rPr>
        <w:t xml:space="preserve"> </w:t>
      </w:r>
      <w:proofErr w:type="spellStart"/>
      <w:r w:rsidRPr="00D22598">
        <w:rPr>
          <w:rFonts w:eastAsiaTheme="minorHAnsi" w:cs="Cambria"/>
          <w:color w:val="000000"/>
        </w:rPr>
        <w:t>AusVaxSafe</w:t>
      </w:r>
      <w:r w:rsidR="00B143AB">
        <w:rPr>
          <w:rFonts w:eastAsiaTheme="minorHAnsi" w:cs="Cambria"/>
          <w:color w:val="000000"/>
        </w:rPr>
        <w:t>ty</w:t>
      </w:r>
      <w:proofErr w:type="spellEnd"/>
      <w:r w:rsidR="000159A6">
        <w:rPr>
          <w:rFonts w:eastAsiaTheme="minorHAnsi" w:cs="Cambria"/>
          <w:color w:val="000000"/>
        </w:rPr>
        <w:t xml:space="preserve"> </w:t>
      </w:r>
      <w:r w:rsidR="00B143AB">
        <w:rPr>
          <w:rFonts w:eastAsiaTheme="minorHAnsi" w:cs="Cambria"/>
          <w:color w:val="000000"/>
        </w:rPr>
        <w:t>to</w:t>
      </w:r>
      <w:r w:rsidR="000159A6">
        <w:rPr>
          <w:rFonts w:eastAsiaTheme="minorHAnsi" w:cs="Cambria"/>
          <w:color w:val="000000"/>
        </w:rPr>
        <w:t xml:space="preserve"> </w:t>
      </w:r>
      <w:r w:rsidR="00B143AB">
        <w:rPr>
          <w:rFonts w:eastAsiaTheme="minorHAnsi" w:cs="Cambria"/>
          <w:color w:val="000000"/>
        </w:rPr>
        <w:t>accrue</w:t>
      </w:r>
      <w:r w:rsidR="000159A6">
        <w:rPr>
          <w:rFonts w:eastAsiaTheme="minorHAnsi" w:cs="Cambria"/>
          <w:color w:val="000000"/>
        </w:rPr>
        <w:t xml:space="preserve"> </w:t>
      </w:r>
      <w:r w:rsidR="00B143AB">
        <w:rPr>
          <w:rFonts w:eastAsiaTheme="minorHAnsi" w:cs="Cambria"/>
          <w:color w:val="000000"/>
        </w:rPr>
        <w:t>data</w:t>
      </w:r>
      <w:r w:rsidR="000159A6">
        <w:rPr>
          <w:rFonts w:eastAsiaTheme="minorHAnsi" w:cs="Cambria"/>
          <w:color w:val="000000"/>
        </w:rPr>
        <w:t xml:space="preserve"> </w:t>
      </w:r>
      <w:r w:rsidR="00B143AB">
        <w:rPr>
          <w:rFonts w:eastAsiaTheme="minorHAnsi" w:cs="Cambria"/>
          <w:color w:val="000000"/>
        </w:rPr>
        <w:t>more</w:t>
      </w:r>
      <w:r w:rsidR="000159A6">
        <w:rPr>
          <w:rFonts w:eastAsiaTheme="minorHAnsi" w:cs="Cambria"/>
          <w:color w:val="000000"/>
        </w:rPr>
        <w:t xml:space="preserve"> </w:t>
      </w:r>
      <w:r w:rsidR="00B143AB">
        <w:rPr>
          <w:rFonts w:eastAsiaTheme="minorHAnsi" w:cs="Cambria"/>
          <w:color w:val="000000"/>
        </w:rPr>
        <w:t>rapidly.</w:t>
      </w:r>
    </w:p>
    <w:p w14:paraId="79D9F3DC" w14:textId="42C0DC25" w:rsidR="00D22598" w:rsidRPr="00CF240D" w:rsidRDefault="00D22598" w:rsidP="00CF240D">
      <w:pPr>
        <w:pStyle w:val="Heading5"/>
        <w:rPr>
          <w:rFonts w:eastAsiaTheme="minorHAnsi"/>
        </w:rPr>
      </w:pPr>
      <w:r w:rsidRPr="00CF240D">
        <w:rPr>
          <w:rFonts w:eastAsiaTheme="minorHAnsi"/>
        </w:rPr>
        <w:t>Proposed</w:t>
      </w:r>
      <w:r w:rsidR="000159A6" w:rsidRPr="00CF240D">
        <w:rPr>
          <w:rFonts w:eastAsiaTheme="minorHAnsi"/>
        </w:rPr>
        <w:t xml:space="preserve"> </w:t>
      </w:r>
      <w:r w:rsidRPr="00CF240D">
        <w:rPr>
          <w:rFonts w:eastAsiaTheme="minorHAnsi"/>
        </w:rPr>
        <w:t>Product</w:t>
      </w:r>
      <w:r w:rsidR="000159A6" w:rsidRPr="00CF240D">
        <w:rPr>
          <w:rFonts w:eastAsiaTheme="minorHAnsi"/>
        </w:rPr>
        <w:t xml:space="preserve"> </w:t>
      </w:r>
      <w:r w:rsidRPr="00CF240D">
        <w:rPr>
          <w:rFonts w:eastAsiaTheme="minorHAnsi"/>
        </w:rPr>
        <w:t>Information</w:t>
      </w:r>
      <w:r w:rsidR="000159A6" w:rsidRPr="00CF240D">
        <w:rPr>
          <w:rFonts w:eastAsiaTheme="minorHAnsi"/>
        </w:rPr>
        <w:t xml:space="preserve"> </w:t>
      </w:r>
      <w:r w:rsidRPr="00CF240D">
        <w:rPr>
          <w:rFonts w:eastAsiaTheme="minorHAnsi"/>
        </w:rPr>
        <w:t>(PI)</w:t>
      </w:r>
      <w:r w:rsidR="000159A6" w:rsidRPr="00CF240D">
        <w:rPr>
          <w:rFonts w:eastAsiaTheme="minorHAnsi"/>
        </w:rPr>
        <w:t xml:space="preserve"> </w:t>
      </w:r>
      <w:r w:rsidRPr="00CF240D">
        <w:rPr>
          <w:rFonts w:eastAsiaTheme="minorHAnsi"/>
        </w:rPr>
        <w:t>/</w:t>
      </w:r>
      <w:r w:rsidR="000159A6" w:rsidRPr="00CF240D">
        <w:rPr>
          <w:rFonts w:eastAsiaTheme="minorHAnsi"/>
        </w:rPr>
        <w:t xml:space="preserve"> </w:t>
      </w:r>
      <w:r w:rsidRPr="00CF240D">
        <w:rPr>
          <w:rFonts w:eastAsiaTheme="minorHAnsi"/>
        </w:rPr>
        <w:t>Consumer</w:t>
      </w:r>
      <w:r w:rsidR="000159A6" w:rsidRPr="00CF240D">
        <w:rPr>
          <w:rFonts w:eastAsiaTheme="minorHAnsi"/>
        </w:rPr>
        <w:t xml:space="preserve"> </w:t>
      </w:r>
      <w:r w:rsidRPr="00CF240D">
        <w:rPr>
          <w:rFonts w:eastAsiaTheme="minorHAnsi"/>
        </w:rPr>
        <w:t>Medici</w:t>
      </w:r>
      <w:r w:rsidR="00B143AB" w:rsidRPr="00CF240D">
        <w:rPr>
          <w:rFonts w:eastAsiaTheme="minorHAnsi"/>
        </w:rPr>
        <w:t>ne</w:t>
      </w:r>
      <w:r w:rsidR="000159A6" w:rsidRPr="00CF240D">
        <w:rPr>
          <w:rFonts w:eastAsiaTheme="minorHAnsi"/>
        </w:rPr>
        <w:t xml:space="preserve"> </w:t>
      </w:r>
      <w:r w:rsidR="00B143AB" w:rsidRPr="00CF240D">
        <w:rPr>
          <w:rFonts w:eastAsiaTheme="minorHAnsi"/>
        </w:rPr>
        <w:t>Information</w:t>
      </w:r>
      <w:r w:rsidR="000159A6" w:rsidRPr="00CF240D">
        <w:rPr>
          <w:rFonts w:eastAsiaTheme="minorHAnsi"/>
        </w:rPr>
        <w:t xml:space="preserve"> </w:t>
      </w:r>
      <w:r w:rsidR="00B143AB" w:rsidRPr="00CF240D">
        <w:rPr>
          <w:rFonts w:eastAsiaTheme="minorHAnsi"/>
        </w:rPr>
        <w:t>(CMI)</w:t>
      </w:r>
      <w:r w:rsidR="000159A6" w:rsidRPr="00CF240D">
        <w:rPr>
          <w:rFonts w:eastAsiaTheme="minorHAnsi"/>
        </w:rPr>
        <w:t xml:space="preserve"> </w:t>
      </w:r>
      <w:r w:rsidR="00B143AB" w:rsidRPr="00CF240D">
        <w:rPr>
          <w:rFonts w:eastAsiaTheme="minorHAnsi"/>
        </w:rPr>
        <w:t>amendments</w:t>
      </w:r>
    </w:p>
    <w:p w14:paraId="44450C35" w14:textId="35393FFC" w:rsidR="00FF12AA" w:rsidRDefault="00D22598" w:rsidP="00B143AB">
      <w:r w:rsidRPr="00D22598">
        <w:t>Given</w:t>
      </w:r>
      <w:r w:rsidR="000159A6">
        <w:t xml:space="preserve"> </w:t>
      </w:r>
      <w:r w:rsidRPr="00D22598">
        <w:t>the</w:t>
      </w:r>
      <w:r w:rsidR="000159A6">
        <w:t xml:space="preserve"> </w:t>
      </w:r>
      <w:r w:rsidRPr="00D22598">
        <w:t>number</w:t>
      </w:r>
      <w:r w:rsidR="000159A6">
        <w:t xml:space="preserve"> </w:t>
      </w:r>
      <w:r w:rsidRPr="00D22598">
        <w:t>and</w:t>
      </w:r>
      <w:r w:rsidR="000159A6">
        <w:t xml:space="preserve"> </w:t>
      </w:r>
      <w:r w:rsidRPr="00D22598">
        <w:t>range</w:t>
      </w:r>
      <w:r w:rsidR="000159A6">
        <w:t xml:space="preserve"> </w:t>
      </w:r>
      <w:r w:rsidRPr="00D22598">
        <w:t>of</w:t>
      </w:r>
      <w:r w:rsidR="000159A6">
        <w:t xml:space="preserve"> </w:t>
      </w:r>
      <w:r w:rsidRPr="00D22598">
        <w:t>on-going</w:t>
      </w:r>
      <w:r w:rsidR="000159A6">
        <w:t xml:space="preserve"> </w:t>
      </w:r>
      <w:r w:rsidRPr="00D22598">
        <w:t>clinical</w:t>
      </w:r>
      <w:r w:rsidR="000159A6">
        <w:t xml:space="preserve"> </w:t>
      </w:r>
      <w:r w:rsidRPr="00D22598">
        <w:t>trials</w:t>
      </w:r>
      <w:r w:rsidR="000159A6">
        <w:t xml:space="preserve"> </w:t>
      </w:r>
      <w:r w:rsidRPr="00D22598">
        <w:t>in</w:t>
      </w:r>
      <w:r w:rsidR="000159A6">
        <w:t xml:space="preserve"> </w:t>
      </w:r>
      <w:r w:rsidRPr="00D22598">
        <w:t>different</w:t>
      </w:r>
      <w:r w:rsidR="000159A6">
        <w:t xml:space="preserve"> </w:t>
      </w:r>
      <w:r w:rsidRPr="00D22598">
        <w:t>population</w:t>
      </w:r>
      <w:r w:rsidR="000159A6">
        <w:t xml:space="preserve"> </w:t>
      </w:r>
      <w:r w:rsidRPr="00D22598">
        <w:t>groups,</w:t>
      </w:r>
      <w:r w:rsidR="000159A6">
        <w:t xml:space="preserve"> </w:t>
      </w:r>
      <w:r w:rsidRPr="00D22598">
        <w:t>including</w:t>
      </w:r>
      <w:r w:rsidR="000159A6">
        <w:t xml:space="preserve"> </w:t>
      </w:r>
      <w:r w:rsidRPr="00D22598">
        <w:t>studies</w:t>
      </w:r>
      <w:r w:rsidR="000159A6">
        <w:t xml:space="preserve"> </w:t>
      </w:r>
      <w:r w:rsidRPr="00D22598">
        <w:t>for</w:t>
      </w:r>
      <w:r w:rsidR="000159A6">
        <w:t xml:space="preserve"> </w:t>
      </w:r>
      <w:r w:rsidRPr="00D22598">
        <w:t>which</w:t>
      </w:r>
      <w:r w:rsidR="000159A6">
        <w:t xml:space="preserve"> </w:t>
      </w:r>
      <w:r w:rsidRPr="00D22598">
        <w:t>results</w:t>
      </w:r>
      <w:r w:rsidR="000159A6">
        <w:t xml:space="preserve"> </w:t>
      </w:r>
      <w:r w:rsidRPr="00D22598">
        <w:t>are</w:t>
      </w:r>
      <w:r w:rsidR="000159A6">
        <w:t xml:space="preserve"> </w:t>
      </w:r>
      <w:r w:rsidRPr="00D22598">
        <w:t>appearing</w:t>
      </w:r>
      <w:r w:rsidR="000159A6">
        <w:t xml:space="preserve"> </w:t>
      </w:r>
      <w:r w:rsidRPr="00D22598">
        <w:t>in</w:t>
      </w:r>
      <w:r w:rsidR="000159A6">
        <w:t xml:space="preserve"> </w:t>
      </w:r>
      <w:r w:rsidRPr="00D22598">
        <w:t>the</w:t>
      </w:r>
      <w:r w:rsidR="000159A6">
        <w:t xml:space="preserve"> </w:t>
      </w:r>
      <w:r w:rsidRPr="00D22598">
        <w:t>public</w:t>
      </w:r>
      <w:r w:rsidR="000159A6">
        <w:t xml:space="preserve"> </w:t>
      </w:r>
      <w:r w:rsidRPr="00D22598">
        <w:t>domain</w:t>
      </w:r>
      <w:r w:rsidR="00332E3D">
        <w:t>;</w:t>
      </w:r>
      <w:r w:rsidR="00B143AB">
        <w:rPr>
          <w:rStyle w:val="FootnoteReference"/>
          <w:rFonts w:eastAsiaTheme="minorHAnsi" w:cs="Cambria"/>
          <w:color w:val="000000"/>
        </w:rPr>
        <w:footnoteReference w:id="17"/>
      </w:r>
      <w:r w:rsidR="000159A6">
        <w:t xml:space="preserve"> </w:t>
      </w:r>
      <w:r w:rsidRPr="00D22598">
        <w:t>the</w:t>
      </w:r>
      <w:r w:rsidR="000159A6">
        <w:t xml:space="preserve"> </w:t>
      </w:r>
      <w:r w:rsidRPr="00D22598">
        <w:t>ACV</w:t>
      </w:r>
      <w:r w:rsidR="000159A6">
        <w:t xml:space="preserve"> </w:t>
      </w:r>
      <w:r w:rsidRPr="00D22598">
        <w:t>expected</w:t>
      </w:r>
      <w:r w:rsidR="000159A6">
        <w:t xml:space="preserve"> </w:t>
      </w:r>
      <w:r w:rsidRPr="00D22598">
        <w:t>that</w:t>
      </w:r>
      <w:r w:rsidR="000159A6">
        <w:t xml:space="preserve"> </w:t>
      </w:r>
      <w:r w:rsidRPr="00D22598">
        <w:t>the</w:t>
      </w:r>
      <w:r w:rsidR="000159A6">
        <w:t xml:space="preserve"> </w:t>
      </w:r>
      <w:r w:rsidRPr="00D22598">
        <w:t>PI</w:t>
      </w:r>
      <w:r w:rsidR="000159A6">
        <w:t xml:space="preserve"> </w:t>
      </w:r>
      <w:r w:rsidRPr="00D22598">
        <w:t>will</w:t>
      </w:r>
      <w:r w:rsidR="000159A6">
        <w:t xml:space="preserve"> </w:t>
      </w:r>
      <w:r w:rsidRPr="00D22598">
        <w:t>be</w:t>
      </w:r>
      <w:r w:rsidR="000159A6">
        <w:t xml:space="preserve"> </w:t>
      </w:r>
      <w:r w:rsidRPr="00D22598">
        <w:t>updated</w:t>
      </w:r>
      <w:r w:rsidR="000159A6">
        <w:t xml:space="preserve"> </w:t>
      </w:r>
      <w:r w:rsidRPr="00D22598">
        <w:t>regularly</w:t>
      </w:r>
      <w:r w:rsidR="000159A6">
        <w:t xml:space="preserve"> </w:t>
      </w:r>
      <w:r w:rsidRPr="00D22598">
        <w:t>in</w:t>
      </w:r>
      <w:r w:rsidR="000159A6">
        <w:t xml:space="preserve"> </w:t>
      </w:r>
      <w:r w:rsidRPr="00D22598">
        <w:t>the</w:t>
      </w:r>
      <w:r w:rsidR="000159A6">
        <w:t xml:space="preserve"> </w:t>
      </w:r>
      <w:r w:rsidRPr="00D22598">
        <w:t>early</w:t>
      </w:r>
      <w:r w:rsidR="000159A6">
        <w:t xml:space="preserve"> </w:t>
      </w:r>
      <w:r w:rsidRPr="00D22598">
        <w:t>years</w:t>
      </w:r>
      <w:r w:rsidR="000159A6">
        <w:t xml:space="preserve"> </w:t>
      </w:r>
      <w:r w:rsidRPr="00D22598">
        <w:t>of</w:t>
      </w:r>
      <w:r w:rsidR="000159A6">
        <w:t xml:space="preserve"> </w:t>
      </w:r>
      <w:r w:rsidRPr="00D22598">
        <w:t>use.</w:t>
      </w:r>
      <w:r w:rsidR="000159A6">
        <w:t xml:space="preserve"> </w:t>
      </w:r>
      <w:r w:rsidRPr="00D22598">
        <w:t>The</w:t>
      </w:r>
      <w:r w:rsidR="000159A6">
        <w:t xml:space="preserve"> </w:t>
      </w:r>
      <w:r w:rsidRPr="00D22598">
        <w:t>ACV</w:t>
      </w:r>
      <w:r w:rsidR="000159A6">
        <w:t xml:space="preserve"> </w:t>
      </w:r>
      <w:r w:rsidRPr="00D22598">
        <w:t>advised</w:t>
      </w:r>
      <w:r w:rsidR="000159A6">
        <w:t xml:space="preserve"> </w:t>
      </w:r>
      <w:r w:rsidRPr="00D22598">
        <w:t>that,</w:t>
      </w:r>
      <w:r w:rsidR="000159A6">
        <w:t xml:space="preserve"> </w:t>
      </w:r>
      <w:r w:rsidRPr="00D22598">
        <w:t>as</w:t>
      </w:r>
      <w:r w:rsidR="000159A6">
        <w:t xml:space="preserve"> </w:t>
      </w:r>
      <w:r w:rsidRPr="00D22598">
        <w:t>soon</w:t>
      </w:r>
      <w:r w:rsidR="000159A6">
        <w:t xml:space="preserve"> </w:t>
      </w:r>
      <w:r w:rsidRPr="00D22598">
        <w:t>as</w:t>
      </w:r>
      <w:r w:rsidR="000159A6">
        <w:t xml:space="preserve"> </w:t>
      </w:r>
      <w:r w:rsidRPr="00D22598">
        <w:t>it</w:t>
      </w:r>
      <w:r w:rsidR="000159A6">
        <w:t xml:space="preserve"> </w:t>
      </w:r>
      <w:r w:rsidRPr="00D22598">
        <w:t>becomes</w:t>
      </w:r>
      <w:r w:rsidR="000159A6">
        <w:t xml:space="preserve"> </w:t>
      </w:r>
      <w:r w:rsidRPr="00D22598">
        <w:t>available</w:t>
      </w:r>
      <w:r w:rsidR="000159A6">
        <w:t xml:space="preserve"> </w:t>
      </w:r>
      <w:r w:rsidRPr="00D22598">
        <w:t>for</w:t>
      </w:r>
      <w:r w:rsidR="000159A6">
        <w:t xml:space="preserve"> </w:t>
      </w:r>
      <w:r w:rsidRPr="00D22598">
        <w:t>regulatory</w:t>
      </w:r>
      <w:r w:rsidR="000159A6">
        <w:t xml:space="preserve"> </w:t>
      </w:r>
      <w:r w:rsidRPr="00D22598">
        <w:t>purposes,</w:t>
      </w:r>
      <w:r w:rsidR="000159A6">
        <w:t xml:space="preserve"> </w:t>
      </w:r>
      <w:r w:rsidRPr="00D22598">
        <w:t>additional</w:t>
      </w:r>
      <w:r w:rsidR="000159A6">
        <w:t xml:space="preserve"> </w:t>
      </w:r>
      <w:r w:rsidRPr="00D22598">
        <w:t>information</w:t>
      </w:r>
      <w:r w:rsidR="000159A6">
        <w:t xml:space="preserve"> </w:t>
      </w:r>
      <w:r w:rsidRPr="00D22598">
        <w:t>should</w:t>
      </w:r>
      <w:r w:rsidR="000159A6">
        <w:t xml:space="preserve"> </w:t>
      </w:r>
      <w:r w:rsidRPr="00D22598">
        <w:t>be</w:t>
      </w:r>
      <w:r w:rsidR="000159A6">
        <w:t xml:space="preserve"> </w:t>
      </w:r>
      <w:r w:rsidRPr="00D22598">
        <w:lastRenderedPageBreak/>
        <w:t>provided</w:t>
      </w:r>
      <w:r w:rsidR="000159A6">
        <w:t xml:space="preserve"> </w:t>
      </w:r>
      <w:r w:rsidRPr="00D22598">
        <w:t>in</w:t>
      </w:r>
      <w:r w:rsidR="000159A6">
        <w:t xml:space="preserve"> </w:t>
      </w:r>
      <w:r w:rsidRPr="00D22598">
        <w:t>the</w:t>
      </w:r>
      <w:r w:rsidR="000159A6">
        <w:t xml:space="preserve"> </w:t>
      </w:r>
      <w:r w:rsidRPr="00D22598">
        <w:t>PI</w:t>
      </w:r>
      <w:r w:rsidR="000159A6">
        <w:t xml:space="preserve"> </w:t>
      </w:r>
      <w:r w:rsidRPr="00D22598">
        <w:t>on</w:t>
      </w:r>
      <w:r w:rsidR="000159A6">
        <w:t xml:space="preserve"> </w:t>
      </w:r>
      <w:r w:rsidRPr="00D22598">
        <w:t>co-administration</w:t>
      </w:r>
      <w:r w:rsidR="000159A6">
        <w:t xml:space="preserve"> </w:t>
      </w:r>
      <w:r w:rsidRPr="00D22598">
        <w:t>with</w:t>
      </w:r>
      <w:r w:rsidR="000159A6">
        <w:t xml:space="preserve"> </w:t>
      </w:r>
      <w:r w:rsidRPr="00D22598">
        <w:t>other</w:t>
      </w:r>
      <w:r w:rsidR="000159A6">
        <w:t xml:space="preserve"> </w:t>
      </w:r>
      <w:r w:rsidRPr="00D22598">
        <w:t>vaccines,</w:t>
      </w:r>
      <w:r w:rsidR="000159A6">
        <w:t xml:space="preserve"> </w:t>
      </w:r>
      <w:r w:rsidRPr="00D22598">
        <w:t>including</w:t>
      </w:r>
      <w:r w:rsidR="000159A6">
        <w:t xml:space="preserve"> </w:t>
      </w:r>
      <w:r w:rsidRPr="00D22598">
        <w:t>if/where</w:t>
      </w:r>
      <w:r w:rsidR="000159A6">
        <w:t xml:space="preserve"> </w:t>
      </w:r>
      <w:r w:rsidRPr="00D22598">
        <w:t>co-administration</w:t>
      </w:r>
      <w:r w:rsidR="000159A6">
        <w:t xml:space="preserve"> </w:t>
      </w:r>
      <w:r w:rsidRPr="00D22598">
        <w:t>with</w:t>
      </w:r>
      <w:r w:rsidR="000159A6">
        <w:t xml:space="preserve"> </w:t>
      </w:r>
      <w:r w:rsidRPr="00D22598">
        <w:t>another</w:t>
      </w:r>
      <w:r w:rsidR="000159A6">
        <w:t xml:space="preserve"> </w:t>
      </w:r>
      <w:r w:rsidRPr="00D22598">
        <w:t>vaccine</w:t>
      </w:r>
      <w:r w:rsidR="000159A6">
        <w:t xml:space="preserve"> </w:t>
      </w:r>
      <w:r w:rsidRPr="00D22598">
        <w:t>increases</w:t>
      </w:r>
      <w:r w:rsidR="000159A6">
        <w:t xml:space="preserve"> </w:t>
      </w:r>
      <w:r w:rsidRPr="00D22598">
        <w:t>the</w:t>
      </w:r>
      <w:r w:rsidR="000159A6">
        <w:t xml:space="preserve"> </w:t>
      </w:r>
      <w:r w:rsidRPr="00D22598">
        <w:t>rates</w:t>
      </w:r>
      <w:r w:rsidR="000159A6">
        <w:t xml:space="preserve"> </w:t>
      </w:r>
      <w:r w:rsidRPr="00D22598">
        <w:t>of</w:t>
      </w:r>
      <w:r w:rsidR="000159A6">
        <w:t xml:space="preserve"> </w:t>
      </w:r>
      <w:r w:rsidRPr="00D22598">
        <w:t>adverse</w:t>
      </w:r>
      <w:r w:rsidR="000159A6">
        <w:t xml:space="preserve"> </w:t>
      </w:r>
      <w:r w:rsidRPr="00D22598">
        <w:t>reactions</w:t>
      </w:r>
      <w:r w:rsidR="000159A6">
        <w:t xml:space="preserve"> </w:t>
      </w:r>
      <w:r w:rsidRPr="00D22598">
        <w:t>to</w:t>
      </w:r>
      <w:r w:rsidR="000159A6">
        <w:t xml:space="preserve"> </w:t>
      </w:r>
      <w:r w:rsidR="00FF12AA">
        <w:t>Shingrix.</w:t>
      </w:r>
    </w:p>
    <w:p w14:paraId="10E2E3D5" w14:textId="444F3169" w:rsidR="00B143AB" w:rsidRPr="00B143AB" w:rsidRDefault="00D22598" w:rsidP="00B143AB">
      <w:r w:rsidRPr="00D22598">
        <w:t>The</w:t>
      </w:r>
      <w:r w:rsidR="000159A6">
        <w:t xml:space="preserve"> </w:t>
      </w:r>
      <w:r w:rsidRPr="00D22598">
        <w:t>PI</w:t>
      </w:r>
      <w:r w:rsidR="000159A6">
        <w:t xml:space="preserve"> </w:t>
      </w:r>
      <w:r w:rsidRPr="00D22598">
        <w:t>should</w:t>
      </w:r>
      <w:r w:rsidR="000159A6">
        <w:t xml:space="preserve"> </w:t>
      </w:r>
      <w:r w:rsidRPr="00D22598">
        <w:t>clearly</w:t>
      </w:r>
      <w:r w:rsidR="000159A6">
        <w:t xml:space="preserve"> </w:t>
      </w:r>
      <w:r w:rsidRPr="00D22598">
        <w:t>describe</w:t>
      </w:r>
      <w:r w:rsidR="000159A6">
        <w:t xml:space="preserve"> </w:t>
      </w:r>
      <w:r w:rsidRPr="00D22598">
        <w:t>the</w:t>
      </w:r>
      <w:r w:rsidR="000159A6">
        <w:t xml:space="preserve"> </w:t>
      </w:r>
      <w:r w:rsidRPr="00D22598">
        <w:t>population</w:t>
      </w:r>
      <w:r w:rsidR="000159A6">
        <w:t xml:space="preserve"> </w:t>
      </w:r>
      <w:r w:rsidRPr="00D22598">
        <w:t>groups</w:t>
      </w:r>
      <w:r w:rsidR="000159A6">
        <w:t xml:space="preserve"> </w:t>
      </w:r>
      <w:r w:rsidRPr="00D22598">
        <w:t>where</w:t>
      </w:r>
      <w:r w:rsidR="000159A6">
        <w:t xml:space="preserve"> </w:t>
      </w:r>
      <w:r w:rsidRPr="00D22598">
        <w:t>data</w:t>
      </w:r>
      <w:r w:rsidR="000159A6">
        <w:t xml:space="preserve"> </w:t>
      </w:r>
      <w:r w:rsidRPr="00D22598">
        <w:t>are</w:t>
      </w:r>
      <w:r w:rsidR="000159A6">
        <w:t xml:space="preserve"> </w:t>
      </w:r>
      <w:r w:rsidRPr="00D22598">
        <w:t>currently</w:t>
      </w:r>
      <w:r w:rsidR="000159A6">
        <w:t xml:space="preserve"> </w:t>
      </w:r>
      <w:r w:rsidRPr="00D22598">
        <w:t>lacking,</w:t>
      </w:r>
      <w:r w:rsidR="000159A6">
        <w:t xml:space="preserve"> </w:t>
      </w:r>
      <w:r w:rsidRPr="00D22598">
        <w:t>e.g.,</w:t>
      </w:r>
      <w:r w:rsidR="000159A6">
        <w:t xml:space="preserve"> </w:t>
      </w:r>
      <w:r w:rsidRPr="00D22598">
        <w:t>immunocompromised</w:t>
      </w:r>
      <w:r w:rsidR="000159A6">
        <w:t xml:space="preserve"> </w:t>
      </w:r>
      <w:r w:rsidRPr="00D22598">
        <w:t>patients,</w:t>
      </w:r>
      <w:r w:rsidR="000159A6">
        <w:t xml:space="preserve"> </w:t>
      </w:r>
      <w:r w:rsidRPr="00D22598">
        <w:t>patients</w:t>
      </w:r>
      <w:r w:rsidR="000159A6">
        <w:t xml:space="preserve"> </w:t>
      </w:r>
      <w:r w:rsidRPr="00D22598">
        <w:t>with</w:t>
      </w:r>
      <w:r w:rsidR="000159A6">
        <w:t xml:space="preserve"> </w:t>
      </w:r>
      <w:proofErr w:type="spellStart"/>
      <w:r w:rsidRPr="00D22598">
        <w:t>asplenia</w:t>
      </w:r>
      <w:proofErr w:type="spellEnd"/>
      <w:r w:rsidRPr="00D22598">
        <w:t>.</w:t>
      </w:r>
      <w:r w:rsidR="000159A6">
        <w:t xml:space="preserve"> </w:t>
      </w:r>
      <w:r w:rsidRPr="00D22598">
        <w:t>For</w:t>
      </w:r>
      <w:r w:rsidR="000159A6">
        <w:t xml:space="preserve"> </w:t>
      </w:r>
      <w:r w:rsidRPr="00D22598">
        <w:t>the</w:t>
      </w:r>
      <w:r w:rsidR="000159A6">
        <w:t xml:space="preserve"> </w:t>
      </w:r>
      <w:r w:rsidRPr="00D22598">
        <w:t>small</w:t>
      </w:r>
      <w:r w:rsidR="000159A6">
        <w:t xml:space="preserve"> </w:t>
      </w:r>
      <w:r w:rsidRPr="00D22598">
        <w:t>numbers</w:t>
      </w:r>
      <w:r w:rsidR="000159A6">
        <w:t xml:space="preserve"> </w:t>
      </w:r>
      <w:r w:rsidRPr="00D22598">
        <w:t>of</w:t>
      </w:r>
      <w:r w:rsidR="000159A6">
        <w:t xml:space="preserve"> </w:t>
      </w:r>
      <w:r w:rsidRPr="00D22598">
        <w:t>HIV</w:t>
      </w:r>
      <w:r w:rsidR="000159A6">
        <w:t xml:space="preserve"> </w:t>
      </w:r>
      <w:r w:rsidRPr="00D22598">
        <w:t>positive</w:t>
      </w:r>
      <w:r w:rsidR="000159A6">
        <w:t xml:space="preserve"> </w:t>
      </w:r>
      <w:r w:rsidR="00B143AB" w:rsidRPr="00B143AB">
        <w:t>recipients</w:t>
      </w:r>
      <w:r w:rsidR="000159A6">
        <w:t xml:space="preserve"> </w:t>
      </w:r>
      <w:r w:rsidR="00B143AB" w:rsidRPr="00B143AB">
        <w:t>of</w:t>
      </w:r>
      <w:r w:rsidR="000159A6">
        <w:t xml:space="preserve"> </w:t>
      </w:r>
      <w:r w:rsidR="00B143AB" w:rsidRPr="00B143AB">
        <w:t>the</w:t>
      </w:r>
      <w:r w:rsidR="000159A6">
        <w:t xml:space="preserve"> </w:t>
      </w:r>
      <w:r w:rsidR="00B143AB" w:rsidRPr="00B143AB">
        <w:t>vaccine</w:t>
      </w:r>
      <w:r w:rsidR="000159A6">
        <w:t xml:space="preserve"> </w:t>
      </w:r>
      <w:r w:rsidR="00B143AB" w:rsidRPr="00B143AB">
        <w:t>in</w:t>
      </w:r>
      <w:r w:rsidR="000159A6">
        <w:t xml:space="preserve"> </w:t>
      </w:r>
      <w:r w:rsidR="00B143AB" w:rsidRPr="00B143AB">
        <w:t>trials,</w:t>
      </w:r>
      <w:r w:rsidR="000159A6">
        <w:t xml:space="preserve"> </w:t>
      </w:r>
      <w:r w:rsidR="00B143AB" w:rsidRPr="00B143AB">
        <w:t>the</w:t>
      </w:r>
      <w:r w:rsidR="000159A6">
        <w:t xml:space="preserve"> </w:t>
      </w:r>
      <w:r w:rsidR="00B143AB" w:rsidRPr="00B143AB">
        <w:t>two</w:t>
      </w:r>
      <w:r w:rsidR="000159A6">
        <w:t xml:space="preserve"> </w:t>
      </w:r>
      <w:r w:rsidR="00B143AB" w:rsidRPr="00B143AB">
        <w:t>dose</w:t>
      </w:r>
      <w:r w:rsidR="000159A6">
        <w:t xml:space="preserve"> </w:t>
      </w:r>
      <w:r w:rsidR="00B143AB" w:rsidRPr="00B143AB">
        <w:t>schedule</w:t>
      </w:r>
      <w:r w:rsidR="000159A6">
        <w:t xml:space="preserve"> </w:t>
      </w:r>
      <w:r w:rsidR="00B143AB" w:rsidRPr="00B143AB">
        <w:t>appeared</w:t>
      </w:r>
      <w:r w:rsidR="000159A6">
        <w:t xml:space="preserve"> </w:t>
      </w:r>
      <w:r w:rsidR="00B143AB" w:rsidRPr="00B143AB">
        <w:t>immunogenic</w:t>
      </w:r>
      <w:r w:rsidR="000159A6">
        <w:t xml:space="preserve"> </w:t>
      </w:r>
      <w:r w:rsidR="00B143AB" w:rsidRPr="00B143AB">
        <w:t>(whether</w:t>
      </w:r>
      <w:r w:rsidR="000159A6">
        <w:t xml:space="preserve"> </w:t>
      </w:r>
      <w:r w:rsidR="00B143AB" w:rsidRPr="00B143AB">
        <w:t>immunocompromised</w:t>
      </w:r>
      <w:r w:rsidR="000159A6">
        <w:t xml:space="preserve"> </w:t>
      </w:r>
      <w:r w:rsidR="00B143AB" w:rsidRPr="00B143AB">
        <w:t>or</w:t>
      </w:r>
      <w:r w:rsidR="000159A6">
        <w:t xml:space="preserve"> </w:t>
      </w:r>
      <w:r w:rsidR="00B143AB" w:rsidRPr="00B143AB">
        <w:t>n</w:t>
      </w:r>
      <w:r w:rsidR="00B143AB">
        <w:t>ot).</w:t>
      </w:r>
    </w:p>
    <w:p w14:paraId="3D89A7B2" w14:textId="000ED8F9" w:rsidR="00B143AB" w:rsidRPr="00B143AB" w:rsidRDefault="00B143AB" w:rsidP="002E1097">
      <w:r w:rsidRPr="00B143AB">
        <w:t>The</w:t>
      </w:r>
      <w:r w:rsidR="000159A6">
        <w:t xml:space="preserve"> </w:t>
      </w:r>
      <w:r w:rsidRPr="00B143AB">
        <w:t>ACV</w:t>
      </w:r>
      <w:r w:rsidR="000159A6">
        <w:t xml:space="preserve"> </w:t>
      </w:r>
      <w:r w:rsidRPr="00B143AB">
        <w:t>noted</w:t>
      </w:r>
      <w:r w:rsidR="000159A6">
        <w:t xml:space="preserve"> </w:t>
      </w:r>
      <w:r w:rsidRPr="00B143AB">
        <w:t>that</w:t>
      </w:r>
      <w:r w:rsidR="000159A6">
        <w:t xml:space="preserve"> </w:t>
      </w:r>
      <w:r w:rsidRPr="00B143AB">
        <w:t>Category</w:t>
      </w:r>
      <w:r w:rsidR="000159A6">
        <w:t xml:space="preserve"> </w:t>
      </w:r>
      <w:r w:rsidRPr="00B143AB">
        <w:t>B2</w:t>
      </w:r>
      <w:r w:rsidR="000159A6">
        <w:t xml:space="preserve"> </w:t>
      </w:r>
      <w:r w:rsidRPr="00B143AB">
        <w:t>has</w:t>
      </w:r>
      <w:r w:rsidR="000159A6">
        <w:t xml:space="preserve"> </w:t>
      </w:r>
      <w:r w:rsidRPr="00B143AB">
        <w:t>been</w:t>
      </w:r>
      <w:r w:rsidR="000159A6">
        <w:t xml:space="preserve"> </w:t>
      </w:r>
      <w:r w:rsidRPr="00B143AB">
        <w:t>proposed</w:t>
      </w:r>
      <w:r w:rsidR="000159A6">
        <w:t xml:space="preserve"> </w:t>
      </w:r>
      <w:r w:rsidRPr="00B143AB">
        <w:t>as</w:t>
      </w:r>
      <w:r w:rsidR="000159A6">
        <w:t xml:space="preserve"> </w:t>
      </w:r>
      <w:r w:rsidRPr="00B143AB">
        <w:t>the</w:t>
      </w:r>
      <w:r w:rsidR="000159A6">
        <w:t xml:space="preserve"> </w:t>
      </w:r>
      <w:r w:rsidRPr="00B143AB">
        <w:t>Use</w:t>
      </w:r>
      <w:r w:rsidR="000159A6">
        <w:t xml:space="preserve"> </w:t>
      </w:r>
      <w:r w:rsidRPr="00B143AB">
        <w:t>in</w:t>
      </w:r>
      <w:r w:rsidR="000159A6">
        <w:t xml:space="preserve"> </w:t>
      </w:r>
      <w:r w:rsidRPr="00B143AB">
        <w:t>Pregnancy</w:t>
      </w:r>
      <w:r w:rsidR="000159A6">
        <w:t xml:space="preserve"> </w:t>
      </w:r>
      <w:r w:rsidRPr="00B143AB">
        <w:t>category</w:t>
      </w:r>
      <w:proofErr w:type="gramStart"/>
      <w:r w:rsidR="00332E3D">
        <w:t>;</w:t>
      </w:r>
      <w:proofErr w:type="gramEnd"/>
      <w:r w:rsidR="00332E3D" w:rsidRPr="00951608">
        <w:rPr>
          <w:vertAlign w:val="superscript"/>
        </w:rPr>
        <w:fldChar w:fldCharType="begin"/>
      </w:r>
      <w:r w:rsidR="00332E3D" w:rsidRPr="00951608">
        <w:rPr>
          <w:vertAlign w:val="superscript"/>
        </w:rPr>
        <w:instrText xml:space="preserve"> NOTEREF _Ref532208269 \h </w:instrText>
      </w:r>
      <w:r w:rsidR="00332E3D">
        <w:rPr>
          <w:vertAlign w:val="superscript"/>
        </w:rPr>
        <w:instrText xml:space="preserve"> \* MERGEFORMAT </w:instrText>
      </w:r>
      <w:r w:rsidR="00332E3D" w:rsidRPr="00951608">
        <w:rPr>
          <w:vertAlign w:val="superscript"/>
        </w:rPr>
      </w:r>
      <w:r w:rsidR="00332E3D" w:rsidRPr="00951608">
        <w:rPr>
          <w:vertAlign w:val="superscript"/>
        </w:rPr>
        <w:fldChar w:fldCharType="separate"/>
      </w:r>
      <w:r w:rsidR="00332E3D" w:rsidRPr="00951608">
        <w:rPr>
          <w:vertAlign w:val="superscript"/>
        </w:rPr>
        <w:t>5</w:t>
      </w:r>
      <w:r w:rsidR="00332E3D" w:rsidRPr="00951608">
        <w:rPr>
          <w:vertAlign w:val="superscript"/>
        </w:rPr>
        <w:fldChar w:fldCharType="end"/>
      </w:r>
      <w:r w:rsidR="000159A6">
        <w:t xml:space="preserve"> </w:t>
      </w:r>
      <w:r w:rsidRPr="00B143AB">
        <w:t>reflecting</w:t>
      </w:r>
      <w:r w:rsidR="000159A6">
        <w:t xml:space="preserve"> </w:t>
      </w:r>
      <w:r w:rsidRPr="00B143AB">
        <w:t>the</w:t>
      </w:r>
      <w:r w:rsidR="000159A6">
        <w:t xml:space="preserve"> </w:t>
      </w:r>
      <w:r w:rsidRPr="00B143AB">
        <w:t>limited</w:t>
      </w:r>
      <w:r w:rsidR="000159A6">
        <w:t xml:space="preserve"> </w:t>
      </w:r>
      <w:r w:rsidRPr="00B143AB">
        <w:t>data</w:t>
      </w:r>
      <w:r w:rsidR="000159A6">
        <w:t xml:space="preserve"> </w:t>
      </w:r>
      <w:r w:rsidRPr="00B143AB">
        <w:t>on</w:t>
      </w:r>
      <w:r w:rsidR="000159A6">
        <w:t xml:space="preserve"> </w:t>
      </w:r>
      <w:r w:rsidRPr="00B143AB">
        <w:t>the</w:t>
      </w:r>
      <w:r w:rsidR="000159A6">
        <w:t xml:space="preserve"> </w:t>
      </w:r>
      <w:r w:rsidRPr="00B143AB">
        <w:t>use</w:t>
      </w:r>
      <w:r w:rsidR="000159A6">
        <w:t xml:space="preserve"> </w:t>
      </w:r>
      <w:r w:rsidRPr="00B143AB">
        <w:t>of</w:t>
      </w:r>
      <w:r w:rsidR="000159A6">
        <w:t xml:space="preserve"> </w:t>
      </w:r>
      <w:r w:rsidR="00FF12AA">
        <w:t>Shingrix</w:t>
      </w:r>
      <w:r w:rsidR="000159A6">
        <w:t xml:space="preserve"> </w:t>
      </w:r>
      <w:r w:rsidRPr="00B143AB">
        <w:t>in</w:t>
      </w:r>
      <w:r w:rsidR="000159A6">
        <w:t xml:space="preserve"> </w:t>
      </w:r>
      <w:r w:rsidRPr="00B143AB">
        <w:t>pregnant</w:t>
      </w:r>
      <w:r w:rsidR="000159A6">
        <w:t xml:space="preserve"> </w:t>
      </w:r>
      <w:r w:rsidRPr="00B143AB">
        <w:t>women.</w:t>
      </w:r>
      <w:r w:rsidR="000159A6">
        <w:t xml:space="preserve"> </w:t>
      </w:r>
      <w:r w:rsidRPr="00B143AB">
        <w:t>The</w:t>
      </w:r>
      <w:r w:rsidR="000159A6">
        <w:t xml:space="preserve"> </w:t>
      </w:r>
      <w:r w:rsidRPr="00B143AB">
        <w:t>CMI</w:t>
      </w:r>
      <w:r w:rsidR="000159A6">
        <w:t xml:space="preserve"> </w:t>
      </w:r>
      <w:r w:rsidRPr="00B143AB">
        <w:t>should</w:t>
      </w:r>
      <w:r w:rsidR="000159A6">
        <w:t xml:space="preserve"> </w:t>
      </w:r>
      <w:r w:rsidRPr="00B143AB">
        <w:t>be</w:t>
      </w:r>
      <w:r w:rsidR="000159A6">
        <w:t xml:space="preserve"> </w:t>
      </w:r>
      <w:r w:rsidRPr="00B143AB">
        <w:t>reviewed,</w:t>
      </w:r>
      <w:r w:rsidR="000159A6">
        <w:t xml:space="preserve"> </w:t>
      </w:r>
      <w:r w:rsidRPr="00B143AB">
        <w:t>as</w:t>
      </w:r>
      <w:r w:rsidR="000159A6">
        <w:t xml:space="preserve"> </w:t>
      </w:r>
      <w:r w:rsidRPr="00B143AB">
        <w:t>the</w:t>
      </w:r>
      <w:r w:rsidR="000159A6">
        <w:t xml:space="preserve"> </w:t>
      </w:r>
      <w:r w:rsidRPr="00B143AB">
        <w:t>advice</w:t>
      </w:r>
      <w:r w:rsidR="000159A6">
        <w:t xml:space="preserve"> </w:t>
      </w:r>
      <w:r w:rsidRPr="00B143AB">
        <w:t>to</w:t>
      </w:r>
      <w:r w:rsidR="000159A6">
        <w:t xml:space="preserve"> </w:t>
      </w:r>
      <w:r w:rsidRPr="00B143AB">
        <w:t>discuss</w:t>
      </w:r>
      <w:r w:rsidR="000159A6">
        <w:t xml:space="preserve"> </w:t>
      </w:r>
      <w:r w:rsidRPr="00B143AB">
        <w:t>the</w:t>
      </w:r>
      <w:r w:rsidR="000159A6">
        <w:t xml:space="preserve"> </w:t>
      </w:r>
      <w:r w:rsidRPr="00B143AB">
        <w:t>risks</w:t>
      </w:r>
      <w:r w:rsidR="000159A6">
        <w:t xml:space="preserve"> </w:t>
      </w:r>
      <w:r w:rsidRPr="00B143AB">
        <w:t>and</w:t>
      </w:r>
      <w:r w:rsidR="000159A6">
        <w:t xml:space="preserve"> </w:t>
      </w:r>
      <w:r w:rsidRPr="00B143AB">
        <w:t>benefits</w:t>
      </w:r>
      <w:r w:rsidR="000159A6">
        <w:t xml:space="preserve"> </w:t>
      </w:r>
      <w:r w:rsidRPr="00B143AB">
        <w:t>of</w:t>
      </w:r>
      <w:r w:rsidR="000159A6">
        <w:t xml:space="preserve"> </w:t>
      </w:r>
      <w:r w:rsidRPr="00B143AB">
        <w:t>vaccination</w:t>
      </w:r>
      <w:r w:rsidR="000159A6">
        <w:t xml:space="preserve"> </w:t>
      </w:r>
      <w:r w:rsidRPr="00B143AB">
        <w:t>during</w:t>
      </w:r>
      <w:r w:rsidR="000159A6">
        <w:t xml:space="preserve"> </w:t>
      </w:r>
      <w:r w:rsidRPr="00B143AB">
        <w:t>pregnancy</w:t>
      </w:r>
      <w:r w:rsidR="000159A6">
        <w:t xml:space="preserve"> </w:t>
      </w:r>
      <w:r w:rsidRPr="00B143AB">
        <w:t>or</w:t>
      </w:r>
      <w:r w:rsidR="000159A6">
        <w:t xml:space="preserve"> </w:t>
      </w:r>
      <w:r w:rsidRPr="00B143AB">
        <w:t>lactation</w:t>
      </w:r>
      <w:r w:rsidR="000159A6">
        <w:t xml:space="preserve"> </w:t>
      </w:r>
      <w:r w:rsidRPr="00B143AB">
        <w:t>is</w:t>
      </w:r>
      <w:r w:rsidR="000159A6">
        <w:t xml:space="preserve"> </w:t>
      </w:r>
      <w:r w:rsidRPr="00B143AB">
        <w:t>not</w:t>
      </w:r>
      <w:r w:rsidR="000159A6">
        <w:t xml:space="preserve"> </w:t>
      </w:r>
      <w:r w:rsidRPr="00B143AB">
        <w:t>relevant</w:t>
      </w:r>
      <w:r w:rsidR="000159A6">
        <w:t xml:space="preserve"> </w:t>
      </w:r>
      <w:r w:rsidRPr="00B143AB">
        <w:t>for</w:t>
      </w:r>
      <w:r w:rsidR="000159A6">
        <w:t xml:space="preserve"> </w:t>
      </w:r>
      <w:r w:rsidRPr="00B143AB">
        <w:t>the</w:t>
      </w:r>
      <w:r w:rsidR="000159A6">
        <w:t xml:space="preserve"> </w:t>
      </w:r>
      <w:r w:rsidRPr="00B143AB">
        <w:t>indicated</w:t>
      </w:r>
      <w:r w:rsidR="000159A6">
        <w:t xml:space="preserve"> </w:t>
      </w:r>
      <w:r w:rsidRPr="00B143AB">
        <w:t>female</w:t>
      </w:r>
      <w:r w:rsidR="000159A6">
        <w:t xml:space="preserve"> </w:t>
      </w:r>
      <w:r w:rsidRPr="00B143AB">
        <w:t>population</w:t>
      </w:r>
      <w:r w:rsidR="000159A6">
        <w:t xml:space="preserve"> </w:t>
      </w:r>
      <w:r w:rsidRPr="00B143AB">
        <w:t>of</w:t>
      </w:r>
      <w:r w:rsidR="000159A6">
        <w:t xml:space="preserve"> </w:t>
      </w:r>
      <w:r w:rsidRPr="00B143AB">
        <w:t>50</w:t>
      </w:r>
      <w:r w:rsidR="000159A6">
        <w:t xml:space="preserve"> </w:t>
      </w:r>
      <w:r w:rsidRPr="00B143AB">
        <w:t>years</w:t>
      </w:r>
      <w:r w:rsidR="000159A6">
        <w:t xml:space="preserve"> </w:t>
      </w:r>
      <w:r w:rsidRPr="00B143AB">
        <w:t>and</w:t>
      </w:r>
      <w:r w:rsidR="000159A6">
        <w:t xml:space="preserve"> </w:t>
      </w:r>
      <w:r w:rsidRPr="00B143AB">
        <w:t>older;</w:t>
      </w:r>
      <w:r w:rsidR="000159A6">
        <w:t xml:space="preserve"> </w:t>
      </w:r>
      <w:r w:rsidRPr="00B143AB">
        <w:t>as</w:t>
      </w:r>
      <w:r w:rsidR="000159A6">
        <w:t xml:space="preserve"> </w:t>
      </w:r>
      <w:r w:rsidRPr="00B143AB">
        <w:t>written,</w:t>
      </w:r>
      <w:r w:rsidR="000159A6">
        <w:t xml:space="preserve"> </w:t>
      </w:r>
      <w:r w:rsidRPr="00B143AB">
        <w:t>the</w:t>
      </w:r>
      <w:r w:rsidR="000159A6">
        <w:t xml:space="preserve"> </w:t>
      </w:r>
      <w:r w:rsidRPr="00B143AB">
        <w:t>CMI</w:t>
      </w:r>
      <w:r w:rsidR="000159A6">
        <w:t xml:space="preserve"> </w:t>
      </w:r>
      <w:r w:rsidRPr="00B143AB">
        <w:t>implies</w:t>
      </w:r>
      <w:r w:rsidR="000159A6">
        <w:t xml:space="preserve"> </w:t>
      </w:r>
      <w:r w:rsidRPr="00B143AB">
        <w:t>that</w:t>
      </w:r>
      <w:r w:rsidR="000159A6">
        <w:t xml:space="preserve"> </w:t>
      </w:r>
      <w:r w:rsidRPr="00B143AB">
        <w:t>the</w:t>
      </w:r>
      <w:r w:rsidR="000159A6">
        <w:t xml:space="preserve"> </w:t>
      </w:r>
      <w:r w:rsidRPr="00B143AB">
        <w:t>vaccine</w:t>
      </w:r>
      <w:r w:rsidR="000159A6">
        <w:t xml:space="preserve"> </w:t>
      </w:r>
      <w:r w:rsidRPr="00B143AB">
        <w:t>could</w:t>
      </w:r>
      <w:r w:rsidR="000159A6">
        <w:t xml:space="preserve"> </w:t>
      </w:r>
      <w:r w:rsidRPr="00B143AB">
        <w:t>be</w:t>
      </w:r>
      <w:r w:rsidR="000159A6">
        <w:t xml:space="preserve"> </w:t>
      </w:r>
      <w:r w:rsidRPr="00B143AB">
        <w:t>used</w:t>
      </w:r>
      <w:r w:rsidR="000159A6">
        <w:t xml:space="preserve"> </w:t>
      </w:r>
      <w:r w:rsidRPr="00B143AB">
        <w:t>in</w:t>
      </w:r>
      <w:r w:rsidR="000159A6">
        <w:t xml:space="preserve"> </w:t>
      </w:r>
      <w:r w:rsidRPr="00B143AB">
        <w:t>women</w:t>
      </w:r>
      <w:r w:rsidR="000159A6">
        <w:t xml:space="preserve"> </w:t>
      </w:r>
      <w:r w:rsidRPr="00B143AB">
        <w:t>of</w:t>
      </w:r>
      <w:r w:rsidR="000159A6">
        <w:t xml:space="preserve"> </w:t>
      </w:r>
      <w:r w:rsidRPr="00B143AB">
        <w:t>child-bear</w:t>
      </w:r>
      <w:r>
        <w:t>ing</w:t>
      </w:r>
      <w:r w:rsidR="000159A6">
        <w:t xml:space="preserve"> </w:t>
      </w:r>
      <w:r>
        <w:t>age,</w:t>
      </w:r>
      <w:r w:rsidR="000159A6">
        <w:t xml:space="preserve"> </w:t>
      </w:r>
      <w:r>
        <w:t>which</w:t>
      </w:r>
      <w:r w:rsidR="000159A6">
        <w:t xml:space="preserve"> </w:t>
      </w:r>
      <w:r>
        <w:t>is</w:t>
      </w:r>
      <w:r w:rsidR="000159A6">
        <w:t xml:space="preserve"> </w:t>
      </w:r>
      <w:r>
        <w:t>not</w:t>
      </w:r>
      <w:r w:rsidR="000159A6">
        <w:t xml:space="preserve"> </w:t>
      </w:r>
      <w:r>
        <w:t>the</w:t>
      </w:r>
      <w:r w:rsidR="000159A6">
        <w:t xml:space="preserve"> </w:t>
      </w:r>
      <w:r>
        <w:t>case.</w:t>
      </w:r>
    </w:p>
    <w:p w14:paraId="34B3D74F" w14:textId="33AB8E42" w:rsidR="00B143AB" w:rsidRPr="00B143AB" w:rsidRDefault="00B143AB" w:rsidP="002E1097">
      <w:pPr>
        <w:pStyle w:val="Heading5"/>
        <w:rPr>
          <w:rFonts w:eastAsiaTheme="minorHAnsi"/>
        </w:rPr>
      </w:pPr>
      <w:r>
        <w:rPr>
          <w:rFonts w:eastAsiaTheme="minorHAnsi"/>
        </w:rPr>
        <w:t>Specific</w:t>
      </w:r>
      <w:r w:rsidR="000159A6">
        <w:rPr>
          <w:rFonts w:eastAsiaTheme="minorHAnsi"/>
        </w:rPr>
        <w:t xml:space="preserve"> </w:t>
      </w:r>
      <w:r w:rsidR="002E1097" w:rsidRPr="002E1097">
        <w:rPr>
          <w:rFonts w:eastAsiaTheme="minorHAnsi"/>
        </w:rPr>
        <w:t>a</w:t>
      </w:r>
      <w:r w:rsidRPr="002E1097">
        <w:rPr>
          <w:rFonts w:eastAsiaTheme="minorHAnsi"/>
        </w:rPr>
        <w:t>dvice</w:t>
      </w:r>
    </w:p>
    <w:p w14:paraId="773DF33A" w14:textId="1080C56B" w:rsidR="00B143AB" w:rsidRPr="00B143AB" w:rsidRDefault="00B143AB" w:rsidP="00B143AB">
      <w:r w:rsidRPr="00B143AB">
        <w:t>The</w:t>
      </w:r>
      <w:r w:rsidR="000159A6">
        <w:t xml:space="preserve"> </w:t>
      </w:r>
      <w:r w:rsidRPr="00B143AB">
        <w:t>ACV</w:t>
      </w:r>
      <w:r w:rsidR="000159A6">
        <w:t xml:space="preserve"> </w:t>
      </w:r>
      <w:r w:rsidRPr="00B143AB">
        <w:t>advised</w:t>
      </w:r>
      <w:r w:rsidR="000159A6">
        <w:t xml:space="preserve"> </w:t>
      </w:r>
      <w:r w:rsidRPr="00B143AB">
        <w:t>the</w:t>
      </w:r>
      <w:r w:rsidR="000159A6">
        <w:t xml:space="preserve"> </w:t>
      </w:r>
      <w:r w:rsidRPr="00B143AB">
        <w:t>following</w:t>
      </w:r>
      <w:r w:rsidR="000159A6">
        <w:t xml:space="preserve"> </w:t>
      </w:r>
      <w:r w:rsidRPr="00B143AB">
        <w:t>in</w:t>
      </w:r>
      <w:r w:rsidR="000159A6">
        <w:t xml:space="preserve"> </w:t>
      </w:r>
      <w:r w:rsidRPr="00B143AB">
        <w:t>response</w:t>
      </w:r>
      <w:r w:rsidR="000159A6">
        <w:t xml:space="preserve"> </w:t>
      </w:r>
      <w:r w:rsidRPr="00B143AB">
        <w:t>to</w:t>
      </w:r>
      <w:r w:rsidR="000159A6">
        <w:t xml:space="preserve"> </w:t>
      </w:r>
      <w:r w:rsidRPr="00B143AB">
        <w:t>the</w:t>
      </w:r>
      <w:r w:rsidR="000159A6">
        <w:t xml:space="preserve"> </w:t>
      </w:r>
      <w:r w:rsidRPr="00B143AB">
        <w:t>Delegate’s</w:t>
      </w:r>
      <w:r w:rsidR="000159A6">
        <w:t xml:space="preserve"> </w:t>
      </w:r>
      <w:r w:rsidRPr="00B143AB">
        <w:t>specif</w:t>
      </w:r>
      <w:r>
        <w:t>ic</w:t>
      </w:r>
      <w:r w:rsidR="000159A6">
        <w:t xml:space="preserve"> </w:t>
      </w:r>
      <w:r>
        <w:t>questions</w:t>
      </w:r>
      <w:r w:rsidR="000159A6">
        <w:t xml:space="preserve"> </w:t>
      </w:r>
      <w:r>
        <w:t>on</w:t>
      </w:r>
      <w:r w:rsidR="000159A6">
        <w:t xml:space="preserve"> </w:t>
      </w:r>
      <w:r>
        <w:t>the</w:t>
      </w:r>
      <w:r w:rsidR="000159A6">
        <w:t xml:space="preserve"> </w:t>
      </w:r>
      <w:r>
        <w:t>submission.</w:t>
      </w:r>
    </w:p>
    <w:p w14:paraId="070DA5A0" w14:textId="1048714E" w:rsidR="00B143AB" w:rsidRPr="00951608" w:rsidRDefault="00B143AB" w:rsidP="00B143AB">
      <w:pPr>
        <w:pStyle w:val="Numberbullet0"/>
        <w:numPr>
          <w:ilvl w:val="0"/>
          <w:numId w:val="37"/>
        </w:numPr>
        <w:rPr>
          <w:i/>
        </w:rPr>
      </w:pPr>
      <w:r w:rsidRPr="00951608">
        <w:rPr>
          <w:i/>
        </w:rPr>
        <w:t>Does</w:t>
      </w:r>
      <w:r w:rsidR="000159A6">
        <w:rPr>
          <w:i/>
        </w:rPr>
        <w:t xml:space="preserve"> </w:t>
      </w:r>
      <w:r w:rsidRPr="00951608">
        <w:rPr>
          <w:i/>
        </w:rPr>
        <w:t>the</w:t>
      </w:r>
      <w:r w:rsidR="000159A6">
        <w:rPr>
          <w:i/>
        </w:rPr>
        <w:t xml:space="preserve"> </w:t>
      </w:r>
      <w:r w:rsidRPr="00951608">
        <w:rPr>
          <w:i/>
        </w:rPr>
        <w:t>ACV</w:t>
      </w:r>
      <w:r w:rsidR="000159A6">
        <w:rPr>
          <w:i/>
        </w:rPr>
        <w:t xml:space="preserve"> </w:t>
      </w:r>
      <w:r w:rsidRPr="00951608">
        <w:rPr>
          <w:i/>
        </w:rPr>
        <w:t>consider</w:t>
      </w:r>
      <w:r w:rsidR="000159A6">
        <w:rPr>
          <w:i/>
        </w:rPr>
        <w:t xml:space="preserve"> </w:t>
      </w:r>
      <w:r w:rsidRPr="00951608">
        <w:rPr>
          <w:i/>
        </w:rPr>
        <w:t>that</w:t>
      </w:r>
      <w:r w:rsidR="000159A6">
        <w:rPr>
          <w:i/>
        </w:rPr>
        <w:t xml:space="preserve"> </w:t>
      </w:r>
      <w:r w:rsidRPr="00951608">
        <w:rPr>
          <w:i/>
        </w:rPr>
        <w:t>the</w:t>
      </w:r>
      <w:r w:rsidR="000159A6">
        <w:rPr>
          <w:i/>
        </w:rPr>
        <w:t xml:space="preserve"> </w:t>
      </w:r>
      <w:r w:rsidRPr="00951608">
        <w:rPr>
          <w:i/>
        </w:rPr>
        <w:t>benefits</w:t>
      </w:r>
      <w:r w:rsidR="000159A6">
        <w:rPr>
          <w:i/>
        </w:rPr>
        <w:t xml:space="preserve"> </w:t>
      </w:r>
      <w:r w:rsidRPr="00951608">
        <w:rPr>
          <w:i/>
        </w:rPr>
        <w:t>of</w:t>
      </w:r>
      <w:r w:rsidR="000159A6">
        <w:rPr>
          <w:i/>
        </w:rPr>
        <w:t xml:space="preserve"> </w:t>
      </w:r>
      <w:r w:rsidR="00FF12AA" w:rsidRPr="00951608">
        <w:rPr>
          <w:i/>
        </w:rPr>
        <w:t>Shingrix</w:t>
      </w:r>
      <w:r w:rsidR="000159A6">
        <w:rPr>
          <w:i/>
        </w:rPr>
        <w:t xml:space="preserve"> </w:t>
      </w:r>
      <w:r w:rsidRPr="00951608">
        <w:rPr>
          <w:i/>
        </w:rPr>
        <w:t>in</w:t>
      </w:r>
      <w:r w:rsidR="000159A6">
        <w:rPr>
          <w:i/>
        </w:rPr>
        <w:t xml:space="preserve"> </w:t>
      </w:r>
      <w:r w:rsidRPr="00951608">
        <w:rPr>
          <w:i/>
        </w:rPr>
        <w:t>the</w:t>
      </w:r>
      <w:r w:rsidR="000159A6">
        <w:rPr>
          <w:i/>
        </w:rPr>
        <w:t xml:space="preserve"> </w:t>
      </w:r>
      <w:r w:rsidRPr="00951608">
        <w:rPr>
          <w:i/>
        </w:rPr>
        <w:t>prevention</w:t>
      </w:r>
      <w:r w:rsidR="000159A6">
        <w:rPr>
          <w:i/>
        </w:rPr>
        <w:t xml:space="preserve"> </w:t>
      </w:r>
      <w:r w:rsidRPr="00951608">
        <w:rPr>
          <w:i/>
        </w:rPr>
        <w:t>of</w:t>
      </w:r>
      <w:r w:rsidR="000159A6">
        <w:rPr>
          <w:i/>
        </w:rPr>
        <w:t xml:space="preserve"> </w:t>
      </w:r>
      <w:r w:rsidRPr="00951608">
        <w:rPr>
          <w:i/>
        </w:rPr>
        <w:t>PHN</w:t>
      </w:r>
      <w:r w:rsidR="000159A6">
        <w:rPr>
          <w:i/>
        </w:rPr>
        <w:t xml:space="preserve"> </w:t>
      </w:r>
      <w:r w:rsidRPr="00951608">
        <w:rPr>
          <w:i/>
        </w:rPr>
        <w:t>are</w:t>
      </w:r>
      <w:r w:rsidR="000159A6">
        <w:rPr>
          <w:i/>
        </w:rPr>
        <w:t xml:space="preserve"> </w:t>
      </w:r>
      <w:r w:rsidRPr="00951608">
        <w:rPr>
          <w:i/>
        </w:rPr>
        <w:t>attributed</w:t>
      </w:r>
      <w:r w:rsidR="000159A6">
        <w:rPr>
          <w:i/>
        </w:rPr>
        <w:t xml:space="preserve"> </w:t>
      </w:r>
      <w:r w:rsidRPr="00951608">
        <w:rPr>
          <w:i/>
        </w:rPr>
        <w:t>to</w:t>
      </w:r>
      <w:r w:rsidR="000159A6">
        <w:rPr>
          <w:i/>
        </w:rPr>
        <w:t xml:space="preserve"> </w:t>
      </w:r>
      <w:r w:rsidRPr="00951608">
        <w:rPr>
          <w:i/>
        </w:rPr>
        <w:t>the</w:t>
      </w:r>
      <w:r w:rsidR="000159A6">
        <w:rPr>
          <w:i/>
        </w:rPr>
        <w:t xml:space="preserve"> </w:t>
      </w:r>
      <w:r w:rsidRPr="00951608">
        <w:rPr>
          <w:i/>
        </w:rPr>
        <w:t>efficacy</w:t>
      </w:r>
      <w:r w:rsidR="000159A6">
        <w:rPr>
          <w:i/>
        </w:rPr>
        <w:t xml:space="preserve"> </w:t>
      </w:r>
      <w:r w:rsidRPr="00951608">
        <w:rPr>
          <w:i/>
        </w:rPr>
        <w:t>of</w:t>
      </w:r>
      <w:r w:rsidR="000159A6">
        <w:rPr>
          <w:i/>
        </w:rPr>
        <w:t xml:space="preserve"> </w:t>
      </w:r>
      <w:r w:rsidRPr="00951608">
        <w:rPr>
          <w:i/>
        </w:rPr>
        <w:t>the</w:t>
      </w:r>
      <w:r w:rsidR="000159A6">
        <w:rPr>
          <w:i/>
        </w:rPr>
        <w:t xml:space="preserve"> </w:t>
      </w:r>
      <w:r w:rsidRPr="00951608">
        <w:rPr>
          <w:i/>
        </w:rPr>
        <w:t>vaccine</w:t>
      </w:r>
      <w:r w:rsidR="000159A6">
        <w:rPr>
          <w:i/>
        </w:rPr>
        <w:t xml:space="preserve"> </w:t>
      </w:r>
      <w:r w:rsidRPr="00951608">
        <w:rPr>
          <w:i/>
        </w:rPr>
        <w:t>on</w:t>
      </w:r>
      <w:r w:rsidR="000159A6">
        <w:rPr>
          <w:i/>
        </w:rPr>
        <w:t xml:space="preserve"> </w:t>
      </w:r>
      <w:r w:rsidRPr="00951608">
        <w:rPr>
          <w:i/>
        </w:rPr>
        <w:t>the</w:t>
      </w:r>
      <w:r w:rsidR="000159A6">
        <w:rPr>
          <w:i/>
        </w:rPr>
        <w:t xml:space="preserve"> </w:t>
      </w:r>
      <w:r w:rsidRPr="00951608">
        <w:rPr>
          <w:i/>
        </w:rPr>
        <w:t>prevention</w:t>
      </w:r>
      <w:r w:rsidR="000159A6">
        <w:rPr>
          <w:i/>
        </w:rPr>
        <w:t xml:space="preserve"> </w:t>
      </w:r>
      <w:r w:rsidRPr="00951608">
        <w:rPr>
          <w:i/>
        </w:rPr>
        <w:t>of</w:t>
      </w:r>
      <w:r w:rsidR="000159A6">
        <w:rPr>
          <w:i/>
        </w:rPr>
        <w:t xml:space="preserve"> </w:t>
      </w:r>
      <w:r w:rsidRPr="00951608">
        <w:rPr>
          <w:i/>
        </w:rPr>
        <w:t>HZ,</w:t>
      </w:r>
      <w:r w:rsidR="000159A6">
        <w:rPr>
          <w:i/>
        </w:rPr>
        <w:t xml:space="preserve"> </w:t>
      </w:r>
      <w:r w:rsidRPr="00951608">
        <w:rPr>
          <w:i/>
        </w:rPr>
        <w:t>as</w:t>
      </w:r>
      <w:r w:rsidR="000159A6">
        <w:rPr>
          <w:i/>
        </w:rPr>
        <w:t xml:space="preserve"> </w:t>
      </w:r>
      <w:r w:rsidRPr="00951608">
        <w:rPr>
          <w:i/>
        </w:rPr>
        <w:t>the</w:t>
      </w:r>
      <w:r w:rsidR="000159A6">
        <w:rPr>
          <w:i/>
        </w:rPr>
        <w:t xml:space="preserve"> </w:t>
      </w:r>
      <w:r w:rsidRPr="00951608">
        <w:rPr>
          <w:i/>
        </w:rPr>
        <w:t>efficacy</w:t>
      </w:r>
      <w:r w:rsidR="000159A6">
        <w:rPr>
          <w:i/>
        </w:rPr>
        <w:t xml:space="preserve"> </w:t>
      </w:r>
      <w:r w:rsidRPr="00951608">
        <w:rPr>
          <w:i/>
        </w:rPr>
        <w:t>of</w:t>
      </w:r>
      <w:r w:rsidR="000159A6">
        <w:rPr>
          <w:i/>
        </w:rPr>
        <w:t xml:space="preserve"> </w:t>
      </w:r>
      <w:r w:rsidR="00FF12AA" w:rsidRPr="00951608">
        <w:rPr>
          <w:i/>
        </w:rPr>
        <w:t>Shingrix</w:t>
      </w:r>
      <w:r w:rsidR="000159A6">
        <w:rPr>
          <w:i/>
        </w:rPr>
        <w:t xml:space="preserve"> </w:t>
      </w:r>
      <w:r w:rsidRPr="00951608">
        <w:rPr>
          <w:i/>
        </w:rPr>
        <w:t>in</w:t>
      </w:r>
      <w:r w:rsidR="000159A6">
        <w:rPr>
          <w:i/>
        </w:rPr>
        <w:t xml:space="preserve"> </w:t>
      </w:r>
      <w:r w:rsidRPr="00951608">
        <w:rPr>
          <w:i/>
        </w:rPr>
        <w:t>prevention</w:t>
      </w:r>
      <w:r w:rsidR="000159A6">
        <w:rPr>
          <w:i/>
        </w:rPr>
        <w:t xml:space="preserve"> </w:t>
      </w:r>
      <w:r w:rsidRPr="00951608">
        <w:rPr>
          <w:i/>
        </w:rPr>
        <w:t>of</w:t>
      </w:r>
      <w:r w:rsidR="000159A6">
        <w:rPr>
          <w:i/>
        </w:rPr>
        <w:t xml:space="preserve"> </w:t>
      </w:r>
      <w:r w:rsidRPr="00951608">
        <w:rPr>
          <w:i/>
        </w:rPr>
        <w:t>PHN</w:t>
      </w:r>
      <w:r w:rsidR="000159A6">
        <w:rPr>
          <w:i/>
        </w:rPr>
        <w:t xml:space="preserve"> </w:t>
      </w:r>
      <w:r w:rsidRPr="00951608">
        <w:rPr>
          <w:i/>
        </w:rPr>
        <w:t>in</w:t>
      </w:r>
      <w:r w:rsidR="000159A6">
        <w:rPr>
          <w:i/>
        </w:rPr>
        <w:t xml:space="preserve"> </w:t>
      </w:r>
      <w:r w:rsidRPr="00951608">
        <w:rPr>
          <w:i/>
        </w:rPr>
        <w:t>subjects</w:t>
      </w:r>
      <w:r w:rsidR="000159A6">
        <w:rPr>
          <w:i/>
        </w:rPr>
        <w:t xml:space="preserve"> </w:t>
      </w:r>
      <w:r w:rsidRPr="00951608">
        <w:rPr>
          <w:i/>
        </w:rPr>
        <w:t>with</w:t>
      </w:r>
      <w:r w:rsidR="000159A6">
        <w:rPr>
          <w:i/>
        </w:rPr>
        <w:t xml:space="preserve"> </w:t>
      </w:r>
      <w:r w:rsidRPr="00951608">
        <w:rPr>
          <w:i/>
        </w:rPr>
        <w:t>confirmed</w:t>
      </w:r>
      <w:r w:rsidR="000159A6">
        <w:rPr>
          <w:i/>
        </w:rPr>
        <w:t xml:space="preserve"> </w:t>
      </w:r>
      <w:r w:rsidRPr="00951608">
        <w:rPr>
          <w:i/>
        </w:rPr>
        <w:t>HZ</w:t>
      </w:r>
      <w:r w:rsidR="000159A6">
        <w:rPr>
          <w:i/>
        </w:rPr>
        <w:t xml:space="preserve"> </w:t>
      </w:r>
      <w:r w:rsidRPr="00951608">
        <w:rPr>
          <w:i/>
        </w:rPr>
        <w:t>could</w:t>
      </w:r>
      <w:r w:rsidR="000159A6">
        <w:rPr>
          <w:i/>
        </w:rPr>
        <w:t xml:space="preserve"> </w:t>
      </w:r>
      <w:r w:rsidRPr="00951608">
        <w:rPr>
          <w:i/>
        </w:rPr>
        <w:t>not</w:t>
      </w:r>
      <w:r w:rsidR="000159A6">
        <w:rPr>
          <w:i/>
        </w:rPr>
        <w:t xml:space="preserve"> </w:t>
      </w:r>
      <w:r w:rsidRPr="00951608">
        <w:rPr>
          <w:i/>
        </w:rPr>
        <w:t>be</w:t>
      </w:r>
      <w:r w:rsidR="000159A6">
        <w:rPr>
          <w:i/>
        </w:rPr>
        <w:t xml:space="preserve"> </w:t>
      </w:r>
      <w:r w:rsidRPr="00951608">
        <w:rPr>
          <w:i/>
        </w:rPr>
        <w:t>confirmed?</w:t>
      </w:r>
    </w:p>
    <w:p w14:paraId="259D25BF" w14:textId="3264570A" w:rsidR="005C0A6F" w:rsidRDefault="00B143AB" w:rsidP="00B143AB">
      <w:r w:rsidRPr="00B143AB">
        <w:t>The</w:t>
      </w:r>
      <w:r w:rsidR="000159A6">
        <w:t xml:space="preserve"> </w:t>
      </w:r>
      <w:r w:rsidRPr="00B143AB">
        <w:t>ACV</w:t>
      </w:r>
      <w:r w:rsidR="000159A6">
        <w:t xml:space="preserve"> </w:t>
      </w:r>
      <w:r w:rsidRPr="00B143AB">
        <w:t>noted</w:t>
      </w:r>
      <w:r w:rsidR="000159A6">
        <w:t xml:space="preserve"> </w:t>
      </w:r>
      <w:r w:rsidRPr="00B143AB">
        <w:t>for</w:t>
      </w:r>
      <w:r w:rsidR="000159A6">
        <w:t xml:space="preserve"> </w:t>
      </w:r>
      <w:r w:rsidRPr="00B143AB">
        <w:t>adults</w:t>
      </w:r>
      <w:r w:rsidR="000159A6">
        <w:t xml:space="preserve"> </w:t>
      </w:r>
      <w:r w:rsidRPr="00B143AB">
        <w:t>o</w:t>
      </w:r>
      <w:r w:rsidR="00733CE8">
        <w:t>ver</w:t>
      </w:r>
      <w:r w:rsidR="000159A6">
        <w:t xml:space="preserve"> </w:t>
      </w:r>
      <w:r w:rsidR="00733CE8">
        <w:t>50</w:t>
      </w:r>
      <w:r w:rsidR="000159A6">
        <w:t xml:space="preserve"> </w:t>
      </w:r>
      <w:r w:rsidR="00733CE8">
        <w:t>years</w:t>
      </w:r>
      <w:r w:rsidR="000159A6">
        <w:t xml:space="preserve"> </w:t>
      </w:r>
      <w:r w:rsidR="00733CE8">
        <w:t>of</w:t>
      </w:r>
      <w:r w:rsidR="000159A6">
        <w:t xml:space="preserve"> </w:t>
      </w:r>
      <w:r w:rsidR="00733CE8">
        <w:t>age</w:t>
      </w:r>
      <w:r w:rsidR="000159A6">
        <w:t xml:space="preserve"> </w:t>
      </w:r>
      <w:r w:rsidR="00733CE8">
        <w:t>with</w:t>
      </w:r>
      <w:r w:rsidR="000159A6">
        <w:t xml:space="preserve"> </w:t>
      </w:r>
      <w:r w:rsidR="00733CE8">
        <w:t>HZ,</w:t>
      </w:r>
      <w:r w:rsidR="000159A6">
        <w:t xml:space="preserve"> </w:t>
      </w:r>
      <w:r w:rsidR="00733CE8">
        <w:t>10</w:t>
      </w:r>
      <w:r w:rsidR="000159A6">
        <w:t xml:space="preserve"> </w:t>
      </w:r>
      <w:r w:rsidR="00733CE8">
        <w:t>to</w:t>
      </w:r>
      <w:r w:rsidR="000159A6">
        <w:t xml:space="preserve"> </w:t>
      </w:r>
      <w:r w:rsidRPr="00B143AB">
        <w:t>18%</w:t>
      </w:r>
      <w:r w:rsidR="000159A6">
        <w:t xml:space="preserve"> </w:t>
      </w:r>
      <w:r w:rsidRPr="00B143AB">
        <w:t>develop</w:t>
      </w:r>
      <w:r w:rsidR="000159A6">
        <w:t xml:space="preserve"> </w:t>
      </w:r>
      <w:r w:rsidRPr="00B143AB">
        <w:t>PHN</w:t>
      </w:r>
      <w:r w:rsidR="000159A6">
        <w:t xml:space="preserve"> </w:t>
      </w:r>
      <w:r w:rsidRPr="00B143AB">
        <w:t>as</w:t>
      </w:r>
      <w:r w:rsidR="000159A6">
        <w:t xml:space="preserve"> </w:t>
      </w:r>
      <w:r w:rsidRPr="00B143AB">
        <w:t>a</w:t>
      </w:r>
      <w:r w:rsidR="000159A6">
        <w:t xml:space="preserve"> </w:t>
      </w:r>
      <w:r w:rsidRPr="00B143AB">
        <w:t>complication.</w:t>
      </w:r>
      <w:r w:rsidR="000159A6">
        <w:t xml:space="preserve"> </w:t>
      </w:r>
      <w:r w:rsidRPr="00B143AB">
        <w:t>Similarly</w:t>
      </w:r>
      <w:r w:rsidR="000159A6">
        <w:t xml:space="preserve"> </w:t>
      </w:r>
      <w:r w:rsidRPr="00B143AB">
        <w:t>to</w:t>
      </w:r>
      <w:r w:rsidR="000159A6">
        <w:t xml:space="preserve"> </w:t>
      </w:r>
      <w:r w:rsidRPr="00B143AB">
        <w:t>HZ,</w:t>
      </w:r>
      <w:r w:rsidR="000159A6">
        <w:t xml:space="preserve"> </w:t>
      </w:r>
      <w:r w:rsidRPr="00B143AB">
        <w:t>the</w:t>
      </w:r>
      <w:r w:rsidR="000159A6">
        <w:t xml:space="preserve"> </w:t>
      </w:r>
      <w:r w:rsidRPr="00B143AB">
        <w:t>incidence</w:t>
      </w:r>
      <w:r w:rsidR="000159A6">
        <w:t xml:space="preserve"> </w:t>
      </w:r>
      <w:r w:rsidRPr="00B143AB">
        <w:t>of</w:t>
      </w:r>
      <w:r w:rsidR="000159A6">
        <w:t xml:space="preserve"> </w:t>
      </w:r>
      <w:r w:rsidRPr="00B143AB">
        <w:t>PHN</w:t>
      </w:r>
      <w:r w:rsidR="000159A6">
        <w:t xml:space="preserve"> </w:t>
      </w:r>
      <w:r w:rsidRPr="00B143AB">
        <w:t>increases</w:t>
      </w:r>
      <w:r w:rsidR="000159A6">
        <w:t xml:space="preserve"> </w:t>
      </w:r>
      <w:r w:rsidRPr="00B143AB">
        <w:t>with</w:t>
      </w:r>
      <w:r w:rsidR="000159A6">
        <w:t xml:space="preserve"> </w:t>
      </w:r>
      <w:r w:rsidRPr="00B143AB">
        <w:t>increasing</w:t>
      </w:r>
      <w:r w:rsidR="000159A6">
        <w:t xml:space="preserve"> </w:t>
      </w:r>
      <w:r w:rsidRPr="00B143AB">
        <w:t>age.</w:t>
      </w:r>
    </w:p>
    <w:p w14:paraId="68514D10" w14:textId="475C7121" w:rsidR="00B143AB" w:rsidRPr="00B143AB" w:rsidRDefault="00B143AB" w:rsidP="002E1097">
      <w:r w:rsidRPr="00B143AB">
        <w:t>Due</w:t>
      </w:r>
      <w:r w:rsidR="000159A6">
        <w:t xml:space="preserve"> </w:t>
      </w:r>
      <w:r w:rsidRPr="00B143AB">
        <w:t>to</w:t>
      </w:r>
      <w:r w:rsidR="000159A6">
        <w:t xml:space="preserve"> </w:t>
      </w:r>
      <w:r w:rsidRPr="00B143AB">
        <w:t>the</w:t>
      </w:r>
      <w:r w:rsidR="000159A6">
        <w:t xml:space="preserve"> </w:t>
      </w:r>
      <w:r w:rsidRPr="00B143AB">
        <w:t>high</w:t>
      </w:r>
      <w:r w:rsidR="000159A6">
        <w:t xml:space="preserve"> </w:t>
      </w:r>
      <w:r w:rsidRPr="00B143AB">
        <w:t>vaccine</w:t>
      </w:r>
      <w:r w:rsidR="000159A6">
        <w:t xml:space="preserve"> </w:t>
      </w:r>
      <w:r w:rsidRPr="00B143AB">
        <w:t>efficacy</w:t>
      </w:r>
      <w:r w:rsidR="000159A6">
        <w:t xml:space="preserve"> </w:t>
      </w:r>
      <w:r w:rsidRPr="00B143AB">
        <w:t>for</w:t>
      </w:r>
      <w:r w:rsidR="000159A6">
        <w:t xml:space="preserve"> </w:t>
      </w:r>
      <w:r w:rsidRPr="00B143AB">
        <w:t>HZ,</w:t>
      </w:r>
      <w:r w:rsidR="000159A6">
        <w:t xml:space="preserve"> </w:t>
      </w:r>
      <w:r w:rsidRPr="00B143AB">
        <w:t>the</w:t>
      </w:r>
      <w:r w:rsidR="000159A6">
        <w:t xml:space="preserve"> </w:t>
      </w:r>
      <w:r w:rsidRPr="00B143AB">
        <w:t>power</w:t>
      </w:r>
      <w:r w:rsidR="000159A6">
        <w:t xml:space="preserve"> </w:t>
      </w:r>
      <w:r w:rsidRPr="00B143AB">
        <w:t>for</w:t>
      </w:r>
      <w:r w:rsidR="000159A6">
        <w:t xml:space="preserve"> </w:t>
      </w:r>
      <w:r w:rsidRPr="00B143AB">
        <w:t>analysis</w:t>
      </w:r>
      <w:r w:rsidR="000159A6">
        <w:t xml:space="preserve"> </w:t>
      </w:r>
      <w:r w:rsidRPr="00B143AB">
        <w:t>of</w:t>
      </w:r>
      <w:r w:rsidR="000159A6">
        <w:t xml:space="preserve"> </w:t>
      </w:r>
      <w:r w:rsidRPr="00B143AB">
        <w:t>secondary</w:t>
      </w:r>
      <w:r w:rsidR="000159A6">
        <w:t xml:space="preserve"> </w:t>
      </w:r>
      <w:r w:rsidRPr="00B143AB">
        <w:t>objectives</w:t>
      </w:r>
      <w:r w:rsidR="000159A6">
        <w:t xml:space="preserve"> </w:t>
      </w:r>
      <w:r w:rsidRPr="00B143AB">
        <w:t>of</w:t>
      </w:r>
      <w:r w:rsidR="000159A6">
        <w:t xml:space="preserve"> </w:t>
      </w:r>
      <w:r w:rsidRPr="00B143AB">
        <w:t>reduction</w:t>
      </w:r>
      <w:r w:rsidR="000159A6">
        <w:t xml:space="preserve"> </w:t>
      </w:r>
      <w:r w:rsidRPr="00B143AB">
        <w:t>in</w:t>
      </w:r>
      <w:r w:rsidR="000159A6">
        <w:t xml:space="preserve"> </w:t>
      </w:r>
      <w:r w:rsidRPr="00B143AB">
        <w:t>the</w:t>
      </w:r>
      <w:r w:rsidR="000159A6">
        <w:t xml:space="preserve"> </w:t>
      </w:r>
      <w:r w:rsidRPr="00B143AB">
        <w:t>incidence</w:t>
      </w:r>
      <w:r w:rsidR="000159A6">
        <w:t xml:space="preserve"> </w:t>
      </w:r>
      <w:r w:rsidRPr="00B143AB">
        <w:t>of</w:t>
      </w:r>
      <w:r w:rsidR="000159A6">
        <w:t xml:space="preserve"> </w:t>
      </w:r>
      <w:r w:rsidRPr="00B143AB">
        <w:t>PHN</w:t>
      </w:r>
      <w:r w:rsidR="000159A6">
        <w:t xml:space="preserve"> </w:t>
      </w:r>
      <w:r w:rsidRPr="00B143AB">
        <w:t>was</w:t>
      </w:r>
      <w:r w:rsidR="000159A6">
        <w:t xml:space="preserve"> </w:t>
      </w:r>
      <w:r w:rsidRPr="00B143AB">
        <w:t>estimated</w:t>
      </w:r>
      <w:r w:rsidR="000159A6">
        <w:t xml:space="preserve"> </w:t>
      </w:r>
      <w:r w:rsidRPr="00B143AB">
        <w:t>to</w:t>
      </w:r>
      <w:r w:rsidR="000159A6">
        <w:t xml:space="preserve"> </w:t>
      </w:r>
      <w:r w:rsidRPr="00B143AB">
        <w:t>be</w:t>
      </w:r>
      <w:r w:rsidR="000159A6">
        <w:t xml:space="preserve"> </w:t>
      </w:r>
      <w:r w:rsidRPr="00B143AB">
        <w:t>very</w:t>
      </w:r>
      <w:r w:rsidR="000159A6">
        <w:t xml:space="preserve"> </w:t>
      </w:r>
      <w:r w:rsidRPr="00B143AB">
        <w:t>small,</w:t>
      </w:r>
      <w:r w:rsidR="000159A6">
        <w:t xml:space="preserve"> </w:t>
      </w:r>
      <w:r w:rsidRPr="00B143AB">
        <w:t>due</w:t>
      </w:r>
      <w:r w:rsidR="000159A6">
        <w:t xml:space="preserve"> </w:t>
      </w:r>
      <w:r w:rsidRPr="00B143AB">
        <w:t>to</w:t>
      </w:r>
      <w:r w:rsidR="000159A6">
        <w:t xml:space="preserve"> </w:t>
      </w:r>
      <w:r w:rsidRPr="00B143AB">
        <w:t>the</w:t>
      </w:r>
      <w:r w:rsidR="000159A6">
        <w:t xml:space="preserve"> </w:t>
      </w:r>
      <w:r w:rsidRPr="00B143AB">
        <w:t>low</w:t>
      </w:r>
      <w:r w:rsidR="000159A6">
        <w:t xml:space="preserve"> </w:t>
      </w:r>
      <w:r w:rsidRPr="00B143AB">
        <w:t>number</w:t>
      </w:r>
      <w:r w:rsidR="000159A6">
        <w:t xml:space="preserve"> </w:t>
      </w:r>
      <w:r w:rsidRPr="00B143AB">
        <w:t>of</w:t>
      </w:r>
      <w:r w:rsidR="000159A6">
        <w:t xml:space="preserve"> </w:t>
      </w:r>
      <w:r w:rsidRPr="00B143AB">
        <w:t>confirmed</w:t>
      </w:r>
      <w:r w:rsidR="000159A6">
        <w:t xml:space="preserve"> </w:t>
      </w:r>
      <w:r w:rsidRPr="00B143AB">
        <w:t>HZ</w:t>
      </w:r>
      <w:r w:rsidR="000159A6">
        <w:t xml:space="preserve"> </w:t>
      </w:r>
      <w:r w:rsidRPr="00B143AB">
        <w:t>cases</w:t>
      </w:r>
      <w:r w:rsidR="000159A6">
        <w:t xml:space="preserve"> </w:t>
      </w:r>
      <w:r w:rsidRPr="00B143AB">
        <w:t>in</w:t>
      </w:r>
      <w:r w:rsidR="000159A6">
        <w:t xml:space="preserve"> </w:t>
      </w:r>
      <w:r w:rsidRPr="00B143AB">
        <w:t>the</w:t>
      </w:r>
      <w:r w:rsidR="000159A6">
        <w:t xml:space="preserve"> </w:t>
      </w:r>
      <w:r w:rsidRPr="00B143AB">
        <w:t>vacc</w:t>
      </w:r>
      <w:r w:rsidR="00525235">
        <w:t>inated</w:t>
      </w:r>
      <w:r w:rsidR="000159A6">
        <w:t xml:space="preserve"> </w:t>
      </w:r>
      <w:r w:rsidR="00525235">
        <w:t>groups</w:t>
      </w:r>
      <w:r w:rsidR="000159A6">
        <w:t xml:space="preserve"> </w:t>
      </w:r>
      <w:r w:rsidR="00525235">
        <w:t>in</w:t>
      </w:r>
      <w:r w:rsidR="000159A6">
        <w:t xml:space="preserve"> </w:t>
      </w:r>
      <w:r w:rsidR="00525235">
        <w:t>S</w:t>
      </w:r>
      <w:r w:rsidRPr="00B143AB">
        <w:t>tudies</w:t>
      </w:r>
      <w:r w:rsidR="000159A6">
        <w:t xml:space="preserve"> </w:t>
      </w:r>
      <w:r w:rsidRPr="00B143AB">
        <w:t>ZOSTER-006</w:t>
      </w:r>
      <w:r w:rsidR="000159A6">
        <w:t xml:space="preserve"> </w:t>
      </w:r>
      <w:r w:rsidRPr="00B143AB">
        <w:t>and</w:t>
      </w:r>
      <w:r w:rsidR="000159A6">
        <w:t xml:space="preserve"> </w:t>
      </w:r>
      <w:r w:rsidRPr="00B143AB">
        <w:t>ZOSTER-022.</w:t>
      </w:r>
      <w:r w:rsidR="000159A6">
        <w:t xml:space="preserve"> </w:t>
      </w:r>
      <w:r w:rsidRPr="00B143AB">
        <w:t>The</w:t>
      </w:r>
      <w:r w:rsidR="000159A6">
        <w:t xml:space="preserve"> </w:t>
      </w:r>
      <w:r w:rsidRPr="00B143AB">
        <w:t>ACV</w:t>
      </w:r>
      <w:r w:rsidR="000159A6">
        <w:t xml:space="preserve"> </w:t>
      </w:r>
      <w:r w:rsidRPr="00B143AB">
        <w:t>noted</w:t>
      </w:r>
      <w:r w:rsidR="000159A6">
        <w:t xml:space="preserve"> </w:t>
      </w:r>
      <w:r w:rsidRPr="00B143AB">
        <w:t>there</w:t>
      </w:r>
      <w:r w:rsidR="000159A6">
        <w:t xml:space="preserve"> </w:t>
      </w:r>
      <w:r w:rsidRPr="00B143AB">
        <w:t>were</w:t>
      </w:r>
      <w:r w:rsidR="000159A6">
        <w:t xml:space="preserve"> </w:t>
      </w:r>
      <w:r w:rsidRPr="00B143AB">
        <w:t>no</w:t>
      </w:r>
      <w:r w:rsidR="000159A6">
        <w:t xml:space="preserve"> </w:t>
      </w:r>
      <w:r w:rsidRPr="00B143AB">
        <w:t>convincing</w:t>
      </w:r>
      <w:r w:rsidR="000159A6">
        <w:t xml:space="preserve"> </w:t>
      </w:r>
      <w:r w:rsidRPr="00B143AB">
        <w:t>data</w:t>
      </w:r>
      <w:r w:rsidR="000159A6">
        <w:t xml:space="preserve"> </w:t>
      </w:r>
      <w:r w:rsidRPr="00B143AB">
        <w:t>to</w:t>
      </w:r>
      <w:r w:rsidR="000159A6">
        <w:t xml:space="preserve"> </w:t>
      </w:r>
      <w:r w:rsidRPr="00B143AB">
        <w:t>show</w:t>
      </w:r>
      <w:r w:rsidR="000159A6">
        <w:t xml:space="preserve"> </w:t>
      </w:r>
      <w:r w:rsidRPr="00B143AB">
        <w:t>that</w:t>
      </w:r>
      <w:r w:rsidR="000159A6">
        <w:t xml:space="preserve"> </w:t>
      </w:r>
      <w:r w:rsidRPr="00B143AB">
        <w:t>the</w:t>
      </w:r>
      <w:r w:rsidR="000159A6">
        <w:t xml:space="preserve"> </w:t>
      </w:r>
      <w:r w:rsidRPr="00B143AB">
        <w:t>vaccine</w:t>
      </w:r>
      <w:r w:rsidR="000159A6">
        <w:t xml:space="preserve"> </w:t>
      </w:r>
      <w:r w:rsidRPr="00B143AB">
        <w:t>affected</w:t>
      </w:r>
      <w:r w:rsidR="000159A6">
        <w:t xml:space="preserve"> </w:t>
      </w:r>
      <w:r w:rsidRPr="00B143AB">
        <w:t>the</w:t>
      </w:r>
      <w:r w:rsidR="000159A6">
        <w:t xml:space="preserve"> </w:t>
      </w:r>
      <w:r w:rsidRPr="00B143AB">
        <w:t>incidence</w:t>
      </w:r>
      <w:r w:rsidR="000159A6">
        <w:t xml:space="preserve"> </w:t>
      </w:r>
      <w:r w:rsidRPr="00B143AB">
        <w:t>of</w:t>
      </w:r>
      <w:r w:rsidR="000159A6">
        <w:t xml:space="preserve"> </w:t>
      </w:r>
      <w:r w:rsidRPr="00B143AB">
        <w:t>PHN</w:t>
      </w:r>
      <w:r w:rsidR="000159A6">
        <w:t xml:space="preserve"> </w:t>
      </w:r>
      <w:r w:rsidRPr="00B143AB">
        <w:t>in</w:t>
      </w:r>
      <w:r w:rsidR="000159A6">
        <w:t xml:space="preserve"> </w:t>
      </w:r>
      <w:r w:rsidRPr="00B143AB">
        <w:t>the</w:t>
      </w:r>
      <w:r w:rsidR="000159A6">
        <w:t xml:space="preserve"> </w:t>
      </w:r>
      <w:r w:rsidRPr="00B143AB">
        <w:t>subpopulation</w:t>
      </w:r>
      <w:r w:rsidR="000159A6">
        <w:t xml:space="preserve"> </w:t>
      </w:r>
      <w:r w:rsidRPr="00B143AB">
        <w:t>with</w:t>
      </w:r>
      <w:r w:rsidR="000159A6">
        <w:t xml:space="preserve"> </w:t>
      </w:r>
      <w:r w:rsidRPr="00B143AB">
        <w:t>breakthrough</w:t>
      </w:r>
      <w:r w:rsidR="000159A6">
        <w:t xml:space="preserve"> </w:t>
      </w:r>
      <w:r w:rsidRPr="00B143AB">
        <w:t>disease</w:t>
      </w:r>
      <w:r w:rsidR="000159A6">
        <w:t xml:space="preserve"> </w:t>
      </w:r>
      <w:r w:rsidRPr="00B143AB">
        <w:t>(</w:t>
      </w:r>
      <w:r w:rsidR="000E6841">
        <w:t>that</w:t>
      </w:r>
      <w:r w:rsidR="000159A6">
        <w:t xml:space="preserve"> </w:t>
      </w:r>
      <w:r w:rsidR="000E6841">
        <w:t>is</w:t>
      </w:r>
      <w:r w:rsidR="000159A6">
        <w:t xml:space="preserve"> </w:t>
      </w:r>
      <w:r w:rsidRPr="00B143AB">
        <w:t>where</w:t>
      </w:r>
      <w:r w:rsidR="000159A6">
        <w:t xml:space="preserve"> </w:t>
      </w:r>
      <w:r w:rsidRPr="00B143AB">
        <w:t>the</w:t>
      </w:r>
      <w:r w:rsidR="000159A6">
        <w:t xml:space="preserve"> </w:t>
      </w:r>
      <w:r w:rsidRPr="00B143AB">
        <w:t>vaccine</w:t>
      </w:r>
      <w:r w:rsidR="000159A6">
        <w:t xml:space="preserve"> </w:t>
      </w:r>
      <w:r w:rsidRPr="00B143AB">
        <w:t>failed</w:t>
      </w:r>
      <w:r w:rsidR="000159A6">
        <w:t xml:space="preserve"> </w:t>
      </w:r>
      <w:r w:rsidRPr="00B143AB">
        <w:t>to</w:t>
      </w:r>
      <w:r w:rsidR="000159A6">
        <w:t xml:space="preserve"> </w:t>
      </w:r>
      <w:r w:rsidRPr="00B143AB">
        <w:t>protect</w:t>
      </w:r>
      <w:r w:rsidR="000159A6">
        <w:t xml:space="preserve"> </w:t>
      </w:r>
      <w:r w:rsidRPr="00B143AB">
        <w:t>against</w:t>
      </w:r>
      <w:r w:rsidR="000159A6">
        <w:t xml:space="preserve"> </w:t>
      </w:r>
      <w:r w:rsidRPr="00B143AB">
        <w:t>HZ).</w:t>
      </w:r>
      <w:r w:rsidR="000159A6">
        <w:t xml:space="preserve"> </w:t>
      </w:r>
      <w:r w:rsidRPr="00B143AB">
        <w:t>However,</w:t>
      </w:r>
      <w:r w:rsidR="000159A6">
        <w:t xml:space="preserve"> </w:t>
      </w:r>
      <w:r w:rsidRPr="00B143AB">
        <w:t>the</w:t>
      </w:r>
      <w:r w:rsidR="000159A6">
        <w:t xml:space="preserve"> </w:t>
      </w:r>
      <w:r w:rsidRPr="00B143AB">
        <w:t>ACV</w:t>
      </w:r>
      <w:r w:rsidR="000159A6">
        <w:t xml:space="preserve"> </w:t>
      </w:r>
      <w:r w:rsidRPr="00B143AB">
        <w:t>advised</w:t>
      </w:r>
      <w:r w:rsidR="000159A6">
        <w:t xml:space="preserve"> </w:t>
      </w:r>
      <w:r w:rsidRPr="00B143AB">
        <w:t>that</w:t>
      </w:r>
      <w:r w:rsidR="000159A6">
        <w:t xml:space="preserve"> </w:t>
      </w:r>
      <w:r w:rsidRPr="00B143AB">
        <w:t>use</w:t>
      </w:r>
      <w:r w:rsidR="000159A6">
        <w:t xml:space="preserve"> </w:t>
      </w:r>
      <w:r w:rsidRPr="00B143AB">
        <w:t>of</w:t>
      </w:r>
      <w:r w:rsidR="000159A6">
        <w:t xml:space="preserve"> </w:t>
      </w:r>
      <w:r w:rsidRPr="00B143AB">
        <w:t>the</w:t>
      </w:r>
      <w:r w:rsidR="000159A6">
        <w:t xml:space="preserve"> </w:t>
      </w:r>
      <w:r w:rsidRPr="00B143AB">
        <w:t>vaccine</w:t>
      </w:r>
      <w:r w:rsidR="000159A6">
        <w:t xml:space="preserve"> </w:t>
      </w:r>
      <w:r w:rsidRPr="00B143AB">
        <w:t>would</w:t>
      </w:r>
      <w:r w:rsidR="000159A6">
        <w:t xml:space="preserve"> </w:t>
      </w:r>
      <w:r w:rsidRPr="00B143AB">
        <w:t>reduce</w:t>
      </w:r>
      <w:r w:rsidR="000159A6">
        <w:t xml:space="preserve"> </w:t>
      </w:r>
      <w:r w:rsidRPr="00B143AB">
        <w:t>the</w:t>
      </w:r>
      <w:r w:rsidR="000159A6">
        <w:t xml:space="preserve"> </w:t>
      </w:r>
      <w:r w:rsidRPr="00B143AB">
        <w:t>incidence</w:t>
      </w:r>
      <w:r w:rsidR="000159A6">
        <w:t xml:space="preserve"> </w:t>
      </w:r>
      <w:r w:rsidRPr="00B143AB">
        <w:t>of</w:t>
      </w:r>
      <w:r w:rsidR="000159A6">
        <w:t xml:space="preserve"> </w:t>
      </w:r>
      <w:r w:rsidRPr="00B143AB">
        <w:t>PHN</w:t>
      </w:r>
      <w:r w:rsidR="000159A6">
        <w:t xml:space="preserve"> </w:t>
      </w:r>
      <w:r w:rsidRPr="00B143AB">
        <w:t>in</w:t>
      </w:r>
      <w:r w:rsidR="000159A6">
        <w:t xml:space="preserve"> </w:t>
      </w:r>
      <w:r w:rsidRPr="00B143AB">
        <w:t>the</w:t>
      </w:r>
      <w:r w:rsidR="000159A6">
        <w:t xml:space="preserve"> </w:t>
      </w:r>
      <w:r w:rsidRPr="00B143AB">
        <w:t>indicated</w:t>
      </w:r>
      <w:r w:rsidR="000159A6">
        <w:t xml:space="preserve"> </w:t>
      </w:r>
      <w:r w:rsidRPr="00B143AB">
        <w:t>population.</w:t>
      </w:r>
      <w:r w:rsidR="000159A6">
        <w:t xml:space="preserve"> </w:t>
      </w:r>
      <w:r w:rsidRPr="00B143AB">
        <w:t>PHN</w:t>
      </w:r>
      <w:r w:rsidR="000159A6">
        <w:t xml:space="preserve"> </w:t>
      </w:r>
      <w:r w:rsidRPr="00B143AB">
        <w:t>is</w:t>
      </w:r>
      <w:r w:rsidR="000159A6">
        <w:t xml:space="preserve"> </w:t>
      </w:r>
      <w:r w:rsidRPr="00B143AB">
        <w:t>a</w:t>
      </w:r>
      <w:r w:rsidR="000159A6">
        <w:t xml:space="preserve"> </w:t>
      </w:r>
      <w:r w:rsidRPr="00B143AB">
        <w:t>condition</w:t>
      </w:r>
      <w:r w:rsidR="000159A6">
        <w:t xml:space="preserve"> </w:t>
      </w:r>
      <w:r w:rsidRPr="00B143AB">
        <w:t>that</w:t>
      </w:r>
      <w:r w:rsidR="000159A6">
        <w:t xml:space="preserve"> </w:t>
      </w:r>
      <w:r w:rsidRPr="00B143AB">
        <w:t>is</w:t>
      </w:r>
      <w:r w:rsidR="000159A6">
        <w:t xml:space="preserve"> </w:t>
      </w:r>
      <w:r w:rsidRPr="00B143AB">
        <w:t>difficult</w:t>
      </w:r>
      <w:r w:rsidR="000159A6">
        <w:t xml:space="preserve"> </w:t>
      </w:r>
      <w:r w:rsidRPr="00B143AB">
        <w:t>to</w:t>
      </w:r>
      <w:r w:rsidR="000159A6">
        <w:t xml:space="preserve"> </w:t>
      </w:r>
      <w:r w:rsidRPr="00B143AB">
        <w:t>treat</w:t>
      </w:r>
      <w:r w:rsidR="000159A6">
        <w:t xml:space="preserve"> </w:t>
      </w:r>
      <w:r w:rsidRPr="00B143AB">
        <w:t>and</w:t>
      </w:r>
      <w:r w:rsidR="000159A6">
        <w:t xml:space="preserve"> </w:t>
      </w:r>
      <w:r w:rsidRPr="00B143AB">
        <w:t>reduction</w:t>
      </w:r>
      <w:r w:rsidR="000159A6">
        <w:t xml:space="preserve"> </w:t>
      </w:r>
      <w:r w:rsidRPr="00B143AB">
        <w:t>in</w:t>
      </w:r>
      <w:r w:rsidR="000159A6">
        <w:t xml:space="preserve"> </w:t>
      </w:r>
      <w:r w:rsidRPr="00B143AB">
        <w:t>the</w:t>
      </w:r>
      <w:r w:rsidR="000159A6">
        <w:t xml:space="preserve"> </w:t>
      </w:r>
      <w:r w:rsidRPr="00B143AB">
        <w:t>risk</w:t>
      </w:r>
      <w:r w:rsidR="000159A6">
        <w:t xml:space="preserve"> </w:t>
      </w:r>
      <w:r w:rsidRPr="00B143AB">
        <w:t>of</w:t>
      </w:r>
      <w:r w:rsidR="000159A6">
        <w:t xml:space="preserve"> </w:t>
      </w:r>
      <w:r w:rsidRPr="00B143AB">
        <w:t>PHN</w:t>
      </w:r>
      <w:r w:rsidR="000159A6">
        <w:t xml:space="preserve"> </w:t>
      </w:r>
      <w:r w:rsidRPr="00B143AB">
        <w:t>is</w:t>
      </w:r>
      <w:r w:rsidR="000159A6">
        <w:t xml:space="preserve"> </w:t>
      </w:r>
      <w:r w:rsidRPr="00B143AB">
        <w:t>in</w:t>
      </w:r>
      <w:r w:rsidR="000159A6">
        <w:t xml:space="preserve"> </w:t>
      </w:r>
      <w:r w:rsidRPr="00B143AB">
        <w:t>itself</w:t>
      </w:r>
      <w:r w:rsidR="000159A6">
        <w:t xml:space="preserve"> </w:t>
      </w:r>
      <w:r w:rsidRPr="00B143AB">
        <w:t>a</w:t>
      </w:r>
      <w:r w:rsidR="000159A6">
        <w:t xml:space="preserve"> </w:t>
      </w:r>
      <w:r w:rsidRPr="00B143AB">
        <w:t>re</w:t>
      </w:r>
      <w:r>
        <w:t>ason</w:t>
      </w:r>
      <w:r w:rsidR="000159A6">
        <w:t xml:space="preserve"> </w:t>
      </w:r>
      <w:r>
        <w:t>to</w:t>
      </w:r>
      <w:r w:rsidR="000159A6">
        <w:t xml:space="preserve"> </w:t>
      </w:r>
      <w:r>
        <w:t>administer</w:t>
      </w:r>
      <w:r w:rsidR="000159A6">
        <w:t xml:space="preserve"> </w:t>
      </w:r>
      <w:r>
        <w:t>the</w:t>
      </w:r>
      <w:r w:rsidR="000159A6">
        <w:t xml:space="preserve"> </w:t>
      </w:r>
      <w:r>
        <w:t>vaccine.</w:t>
      </w:r>
    </w:p>
    <w:p w14:paraId="0C20C4CF" w14:textId="5FE4B44A" w:rsidR="00B143AB" w:rsidRPr="00951608" w:rsidRDefault="00B143AB" w:rsidP="00B143AB">
      <w:pPr>
        <w:pStyle w:val="Numberbullet0"/>
        <w:rPr>
          <w:i/>
        </w:rPr>
      </w:pPr>
      <w:r w:rsidRPr="00951608">
        <w:rPr>
          <w:i/>
        </w:rPr>
        <w:t>Does</w:t>
      </w:r>
      <w:r w:rsidR="000159A6">
        <w:rPr>
          <w:i/>
        </w:rPr>
        <w:t xml:space="preserve"> </w:t>
      </w:r>
      <w:r w:rsidR="00332E3D">
        <w:rPr>
          <w:i/>
        </w:rPr>
        <w:t>the</w:t>
      </w:r>
      <w:r w:rsidR="000159A6">
        <w:rPr>
          <w:i/>
        </w:rPr>
        <w:t xml:space="preserve"> </w:t>
      </w:r>
      <w:r w:rsidRPr="00951608">
        <w:rPr>
          <w:i/>
        </w:rPr>
        <w:t>ACV</w:t>
      </w:r>
      <w:r w:rsidR="000159A6">
        <w:rPr>
          <w:i/>
        </w:rPr>
        <w:t xml:space="preserve"> </w:t>
      </w:r>
      <w:r w:rsidRPr="00951608">
        <w:rPr>
          <w:i/>
        </w:rPr>
        <w:t>consider</w:t>
      </w:r>
      <w:r w:rsidR="000159A6">
        <w:rPr>
          <w:i/>
        </w:rPr>
        <w:t xml:space="preserve"> </w:t>
      </w:r>
      <w:r w:rsidRPr="00951608">
        <w:rPr>
          <w:i/>
        </w:rPr>
        <w:t>that</w:t>
      </w:r>
      <w:r w:rsidR="000159A6">
        <w:rPr>
          <w:i/>
        </w:rPr>
        <w:t xml:space="preserve"> </w:t>
      </w:r>
      <w:r w:rsidRPr="00951608">
        <w:rPr>
          <w:i/>
        </w:rPr>
        <w:t>the</w:t>
      </w:r>
      <w:r w:rsidR="000159A6">
        <w:rPr>
          <w:i/>
        </w:rPr>
        <w:t xml:space="preserve"> </w:t>
      </w:r>
      <w:r w:rsidRPr="00951608">
        <w:rPr>
          <w:i/>
        </w:rPr>
        <w:t>indication</w:t>
      </w:r>
      <w:r w:rsidR="000159A6">
        <w:rPr>
          <w:i/>
        </w:rPr>
        <w:t xml:space="preserve"> </w:t>
      </w:r>
      <w:r w:rsidRPr="00951608">
        <w:rPr>
          <w:i/>
        </w:rPr>
        <w:t>should</w:t>
      </w:r>
      <w:r w:rsidR="000159A6">
        <w:rPr>
          <w:i/>
        </w:rPr>
        <w:t xml:space="preserve"> </w:t>
      </w:r>
      <w:r w:rsidRPr="00951608">
        <w:rPr>
          <w:i/>
        </w:rPr>
        <w:t>be</w:t>
      </w:r>
      <w:r w:rsidR="000159A6">
        <w:rPr>
          <w:i/>
        </w:rPr>
        <w:t xml:space="preserve"> </w:t>
      </w:r>
      <w:r w:rsidRPr="00951608">
        <w:rPr>
          <w:i/>
        </w:rPr>
        <w:t>revised</w:t>
      </w:r>
      <w:r w:rsidR="000159A6">
        <w:rPr>
          <w:i/>
        </w:rPr>
        <w:t xml:space="preserve"> </w:t>
      </w:r>
      <w:r w:rsidRPr="00951608">
        <w:rPr>
          <w:i/>
        </w:rPr>
        <w:t>to:</w:t>
      </w:r>
    </w:p>
    <w:p w14:paraId="6661317F" w14:textId="674485AD" w:rsidR="00B143AB" w:rsidRPr="00332E3D" w:rsidRDefault="00FF12AA" w:rsidP="00B143AB">
      <w:pPr>
        <w:autoSpaceDE w:val="0"/>
        <w:autoSpaceDN w:val="0"/>
        <w:adjustRightInd w:val="0"/>
        <w:spacing w:after="180" w:line="240" w:lineRule="auto"/>
        <w:ind w:left="720"/>
        <w:rPr>
          <w:rFonts w:eastAsiaTheme="minorHAnsi" w:cs="Cambria"/>
          <w:i/>
          <w:color w:val="000000"/>
        </w:rPr>
      </w:pPr>
      <w:r w:rsidRPr="00951608">
        <w:rPr>
          <w:rFonts w:eastAsiaTheme="minorHAnsi" w:cs="Cambria"/>
          <w:bCs/>
          <w:i/>
          <w:color w:val="000000"/>
        </w:rPr>
        <w:t>Shingrix</w:t>
      </w:r>
      <w:r w:rsidR="000159A6">
        <w:rPr>
          <w:rFonts w:eastAsiaTheme="minorHAnsi" w:cs="Cambria"/>
          <w:bCs/>
          <w:i/>
          <w:color w:val="000000"/>
        </w:rPr>
        <w:t xml:space="preserve"> </w:t>
      </w:r>
      <w:r w:rsidR="00B143AB" w:rsidRPr="00951608">
        <w:rPr>
          <w:rFonts w:eastAsiaTheme="minorHAnsi" w:cs="Cambria"/>
          <w:bCs/>
          <w:i/>
          <w:color w:val="000000"/>
        </w:rPr>
        <w:t>is</w:t>
      </w:r>
      <w:r w:rsidR="000159A6">
        <w:rPr>
          <w:rFonts w:eastAsiaTheme="minorHAnsi" w:cs="Cambria"/>
          <w:bCs/>
          <w:i/>
          <w:color w:val="000000"/>
        </w:rPr>
        <w:t xml:space="preserve"> </w:t>
      </w:r>
      <w:r w:rsidR="00B143AB" w:rsidRPr="00951608">
        <w:rPr>
          <w:rFonts w:eastAsiaTheme="minorHAnsi" w:cs="Cambria"/>
          <w:bCs/>
          <w:i/>
          <w:color w:val="000000"/>
        </w:rPr>
        <w:t>indicated</w:t>
      </w:r>
      <w:r w:rsidR="000159A6">
        <w:rPr>
          <w:rFonts w:eastAsiaTheme="minorHAnsi" w:cs="Cambria"/>
          <w:bCs/>
          <w:i/>
          <w:color w:val="000000"/>
        </w:rPr>
        <w:t xml:space="preserve"> </w:t>
      </w:r>
      <w:r w:rsidR="00B143AB" w:rsidRPr="00951608">
        <w:rPr>
          <w:rFonts w:eastAsiaTheme="minorHAnsi" w:cs="Cambria"/>
          <w:bCs/>
          <w:i/>
          <w:color w:val="000000"/>
        </w:rPr>
        <w:t>for</w:t>
      </w:r>
      <w:r w:rsidR="000159A6">
        <w:rPr>
          <w:rFonts w:eastAsiaTheme="minorHAnsi" w:cs="Cambria"/>
          <w:bCs/>
          <w:i/>
          <w:color w:val="000000"/>
        </w:rPr>
        <w:t xml:space="preserve"> </w:t>
      </w:r>
      <w:r w:rsidR="00B143AB" w:rsidRPr="00951608">
        <w:rPr>
          <w:rFonts w:eastAsiaTheme="minorHAnsi" w:cs="Cambria"/>
          <w:bCs/>
          <w:i/>
          <w:color w:val="000000"/>
        </w:rPr>
        <w:t>prevention</w:t>
      </w:r>
      <w:r w:rsidR="000159A6">
        <w:rPr>
          <w:rFonts w:eastAsiaTheme="minorHAnsi" w:cs="Cambria"/>
          <w:bCs/>
          <w:i/>
          <w:color w:val="000000"/>
        </w:rPr>
        <w:t xml:space="preserve"> </w:t>
      </w:r>
      <w:r w:rsidR="00B143AB" w:rsidRPr="00951608">
        <w:rPr>
          <w:rFonts w:eastAsiaTheme="minorHAnsi" w:cs="Cambria"/>
          <w:bCs/>
          <w:i/>
          <w:color w:val="000000"/>
        </w:rPr>
        <w:t>of</w:t>
      </w:r>
      <w:r w:rsidR="000159A6">
        <w:rPr>
          <w:rFonts w:eastAsiaTheme="minorHAnsi" w:cs="Cambria"/>
          <w:bCs/>
          <w:i/>
          <w:color w:val="000000"/>
        </w:rPr>
        <w:t xml:space="preserve"> </w:t>
      </w:r>
      <w:r w:rsidR="00B143AB" w:rsidRPr="00951608">
        <w:rPr>
          <w:rFonts w:eastAsiaTheme="minorHAnsi" w:cs="Cambria"/>
          <w:bCs/>
          <w:i/>
          <w:color w:val="000000"/>
        </w:rPr>
        <w:t>herpes</w:t>
      </w:r>
      <w:r w:rsidR="000159A6">
        <w:rPr>
          <w:rFonts w:eastAsiaTheme="minorHAnsi" w:cs="Cambria"/>
          <w:bCs/>
          <w:i/>
          <w:color w:val="000000"/>
        </w:rPr>
        <w:t xml:space="preserve"> </w:t>
      </w:r>
      <w:r w:rsidR="00B143AB" w:rsidRPr="00951608">
        <w:rPr>
          <w:rFonts w:eastAsiaTheme="minorHAnsi" w:cs="Cambria"/>
          <w:bCs/>
          <w:i/>
          <w:color w:val="000000"/>
        </w:rPr>
        <w:t>zoster</w:t>
      </w:r>
      <w:r w:rsidR="000159A6">
        <w:rPr>
          <w:rFonts w:eastAsiaTheme="minorHAnsi" w:cs="Cambria"/>
          <w:bCs/>
          <w:i/>
          <w:color w:val="000000"/>
        </w:rPr>
        <w:t xml:space="preserve"> </w:t>
      </w:r>
      <w:r w:rsidR="00B143AB" w:rsidRPr="00951608">
        <w:rPr>
          <w:rFonts w:eastAsiaTheme="minorHAnsi" w:cs="Cambria"/>
          <w:bCs/>
          <w:i/>
          <w:color w:val="000000"/>
        </w:rPr>
        <w:t>(shingles)</w:t>
      </w:r>
      <w:r w:rsidR="000159A6">
        <w:rPr>
          <w:rFonts w:eastAsiaTheme="minorHAnsi" w:cs="Cambria"/>
          <w:bCs/>
          <w:i/>
          <w:color w:val="000000"/>
        </w:rPr>
        <w:t xml:space="preserve"> </w:t>
      </w:r>
      <w:r w:rsidR="00B143AB" w:rsidRPr="00951608">
        <w:rPr>
          <w:rFonts w:eastAsiaTheme="minorHAnsi" w:cs="Cambria"/>
          <w:bCs/>
          <w:i/>
          <w:color w:val="000000"/>
        </w:rPr>
        <w:t>in</w:t>
      </w:r>
      <w:r w:rsidR="000159A6">
        <w:rPr>
          <w:rFonts w:eastAsiaTheme="minorHAnsi" w:cs="Cambria"/>
          <w:bCs/>
          <w:i/>
          <w:color w:val="000000"/>
        </w:rPr>
        <w:t xml:space="preserve"> </w:t>
      </w:r>
      <w:r w:rsidR="00B143AB" w:rsidRPr="00951608">
        <w:rPr>
          <w:rFonts w:eastAsiaTheme="minorHAnsi" w:cs="Cambria"/>
          <w:bCs/>
          <w:i/>
          <w:color w:val="000000"/>
        </w:rPr>
        <w:t>adults</w:t>
      </w:r>
      <w:r w:rsidR="000159A6">
        <w:rPr>
          <w:rFonts w:eastAsiaTheme="minorHAnsi" w:cs="Cambria"/>
          <w:bCs/>
          <w:i/>
          <w:color w:val="000000"/>
        </w:rPr>
        <w:t xml:space="preserve"> </w:t>
      </w:r>
      <w:r w:rsidR="00B143AB" w:rsidRPr="00951608">
        <w:rPr>
          <w:rFonts w:eastAsiaTheme="minorHAnsi" w:cs="Cambria"/>
          <w:bCs/>
          <w:i/>
          <w:color w:val="000000"/>
        </w:rPr>
        <w:t>aged</w:t>
      </w:r>
      <w:r w:rsidR="000159A6">
        <w:rPr>
          <w:rFonts w:eastAsiaTheme="minorHAnsi" w:cs="Cambria"/>
          <w:bCs/>
          <w:i/>
          <w:color w:val="000000"/>
        </w:rPr>
        <w:t xml:space="preserve"> </w:t>
      </w:r>
      <w:r w:rsidR="00B143AB" w:rsidRPr="00951608">
        <w:rPr>
          <w:rFonts w:eastAsiaTheme="minorHAnsi" w:cs="Cambria"/>
          <w:bCs/>
          <w:i/>
          <w:color w:val="000000"/>
        </w:rPr>
        <w:t>50</w:t>
      </w:r>
      <w:r w:rsidR="000159A6">
        <w:rPr>
          <w:rFonts w:eastAsiaTheme="minorHAnsi" w:cs="Cambria"/>
          <w:bCs/>
          <w:i/>
          <w:color w:val="000000"/>
        </w:rPr>
        <w:t xml:space="preserve"> </w:t>
      </w:r>
      <w:r w:rsidR="00B143AB" w:rsidRPr="00951608">
        <w:rPr>
          <w:rFonts w:eastAsiaTheme="minorHAnsi" w:cs="Cambria"/>
          <w:bCs/>
          <w:i/>
          <w:color w:val="000000"/>
        </w:rPr>
        <w:t>years</w:t>
      </w:r>
      <w:r w:rsidR="000159A6">
        <w:rPr>
          <w:rFonts w:eastAsiaTheme="minorHAnsi" w:cs="Cambria"/>
          <w:bCs/>
          <w:i/>
          <w:color w:val="000000"/>
        </w:rPr>
        <w:t xml:space="preserve"> </w:t>
      </w:r>
      <w:r w:rsidR="00B143AB" w:rsidRPr="00951608">
        <w:rPr>
          <w:rFonts w:eastAsiaTheme="minorHAnsi" w:cs="Cambria"/>
          <w:bCs/>
          <w:i/>
          <w:color w:val="000000"/>
        </w:rPr>
        <w:t>and</w:t>
      </w:r>
      <w:r w:rsidR="000159A6">
        <w:rPr>
          <w:rFonts w:eastAsiaTheme="minorHAnsi" w:cs="Cambria"/>
          <w:bCs/>
          <w:i/>
          <w:color w:val="000000"/>
        </w:rPr>
        <w:t xml:space="preserve"> </w:t>
      </w:r>
      <w:r w:rsidR="00B143AB" w:rsidRPr="00951608">
        <w:rPr>
          <w:rFonts w:eastAsiaTheme="minorHAnsi" w:cs="Cambria"/>
          <w:bCs/>
          <w:i/>
          <w:color w:val="000000"/>
        </w:rPr>
        <w:t>older.</w:t>
      </w:r>
      <w:r w:rsidR="000159A6">
        <w:rPr>
          <w:rFonts w:eastAsiaTheme="minorHAnsi" w:cs="Cambria"/>
          <w:bCs/>
          <w:i/>
          <w:color w:val="000000"/>
        </w:rPr>
        <w:t xml:space="preserve"> </w:t>
      </w:r>
      <w:r w:rsidR="00B143AB" w:rsidRPr="00951608">
        <w:rPr>
          <w:rFonts w:eastAsiaTheme="minorHAnsi" w:cs="Cambria"/>
          <w:bCs/>
          <w:i/>
          <w:color w:val="000000"/>
        </w:rPr>
        <w:t>The</w:t>
      </w:r>
      <w:r w:rsidR="000159A6">
        <w:rPr>
          <w:rFonts w:eastAsiaTheme="minorHAnsi" w:cs="Cambria"/>
          <w:bCs/>
          <w:i/>
          <w:color w:val="000000"/>
        </w:rPr>
        <w:t xml:space="preserve"> </w:t>
      </w:r>
      <w:r w:rsidR="00B143AB" w:rsidRPr="00951608">
        <w:rPr>
          <w:rFonts w:eastAsiaTheme="minorHAnsi" w:cs="Cambria"/>
          <w:bCs/>
          <w:i/>
          <w:color w:val="000000"/>
        </w:rPr>
        <w:t>vaccine’s</w:t>
      </w:r>
      <w:r w:rsidR="000159A6">
        <w:rPr>
          <w:rFonts w:eastAsiaTheme="minorHAnsi" w:cs="Cambria"/>
          <w:bCs/>
          <w:i/>
          <w:color w:val="000000"/>
        </w:rPr>
        <w:t xml:space="preserve"> </w:t>
      </w:r>
      <w:r w:rsidR="00B143AB" w:rsidRPr="00951608">
        <w:rPr>
          <w:rFonts w:eastAsiaTheme="minorHAnsi" w:cs="Cambria"/>
          <w:bCs/>
          <w:i/>
          <w:color w:val="000000"/>
        </w:rPr>
        <w:t>effect</w:t>
      </w:r>
      <w:r w:rsidR="000159A6">
        <w:rPr>
          <w:rFonts w:eastAsiaTheme="minorHAnsi" w:cs="Cambria"/>
          <w:bCs/>
          <w:i/>
          <w:color w:val="000000"/>
        </w:rPr>
        <w:t xml:space="preserve"> </w:t>
      </w:r>
      <w:r w:rsidR="00B143AB" w:rsidRPr="00951608">
        <w:rPr>
          <w:rFonts w:eastAsiaTheme="minorHAnsi" w:cs="Cambria"/>
          <w:bCs/>
          <w:i/>
          <w:color w:val="000000"/>
        </w:rPr>
        <w:t>on</w:t>
      </w:r>
      <w:r w:rsidR="000159A6">
        <w:rPr>
          <w:rFonts w:eastAsiaTheme="minorHAnsi" w:cs="Cambria"/>
          <w:bCs/>
          <w:i/>
          <w:color w:val="000000"/>
        </w:rPr>
        <w:t xml:space="preserve"> </w:t>
      </w:r>
      <w:r w:rsidR="00B143AB" w:rsidRPr="00951608">
        <w:rPr>
          <w:rFonts w:eastAsiaTheme="minorHAnsi" w:cs="Cambria"/>
          <w:bCs/>
          <w:i/>
          <w:color w:val="000000"/>
        </w:rPr>
        <w:t>the</w:t>
      </w:r>
      <w:r w:rsidR="000159A6">
        <w:rPr>
          <w:rFonts w:eastAsiaTheme="minorHAnsi" w:cs="Cambria"/>
          <w:bCs/>
          <w:i/>
          <w:color w:val="000000"/>
        </w:rPr>
        <w:t xml:space="preserve"> </w:t>
      </w:r>
      <w:r w:rsidR="00B143AB" w:rsidRPr="00951608">
        <w:rPr>
          <w:rFonts w:eastAsiaTheme="minorHAnsi" w:cs="Cambria"/>
          <w:bCs/>
          <w:i/>
          <w:color w:val="000000"/>
        </w:rPr>
        <w:t>prevention</w:t>
      </w:r>
      <w:r w:rsidR="000159A6">
        <w:rPr>
          <w:rFonts w:eastAsiaTheme="minorHAnsi" w:cs="Cambria"/>
          <w:bCs/>
          <w:i/>
          <w:color w:val="000000"/>
        </w:rPr>
        <w:t xml:space="preserve"> </w:t>
      </w:r>
      <w:r w:rsidR="00B143AB" w:rsidRPr="00951608">
        <w:rPr>
          <w:rFonts w:eastAsiaTheme="minorHAnsi" w:cs="Cambria"/>
          <w:bCs/>
          <w:i/>
          <w:color w:val="000000"/>
        </w:rPr>
        <w:t>of</w:t>
      </w:r>
      <w:r w:rsidR="000159A6">
        <w:rPr>
          <w:rFonts w:eastAsiaTheme="minorHAnsi" w:cs="Cambria"/>
          <w:bCs/>
          <w:i/>
          <w:color w:val="000000"/>
        </w:rPr>
        <w:t xml:space="preserve"> </w:t>
      </w:r>
      <w:r w:rsidR="000E6841" w:rsidRPr="00951608">
        <w:rPr>
          <w:rFonts w:eastAsiaTheme="minorHAnsi" w:cs="Cambria"/>
          <w:bCs/>
          <w:i/>
          <w:color w:val="000000"/>
        </w:rPr>
        <w:t>post</w:t>
      </w:r>
      <w:r w:rsidR="000159A6">
        <w:rPr>
          <w:rFonts w:eastAsiaTheme="minorHAnsi" w:cs="Cambria"/>
          <w:bCs/>
          <w:i/>
          <w:color w:val="000000"/>
        </w:rPr>
        <w:t xml:space="preserve"> </w:t>
      </w:r>
      <w:r w:rsidR="000E6841" w:rsidRPr="00951608">
        <w:rPr>
          <w:rFonts w:eastAsiaTheme="minorHAnsi" w:cs="Cambria"/>
          <w:bCs/>
          <w:i/>
          <w:color w:val="000000"/>
        </w:rPr>
        <w:t>herpetic</w:t>
      </w:r>
      <w:r w:rsidR="000159A6">
        <w:rPr>
          <w:rFonts w:eastAsiaTheme="minorHAnsi" w:cs="Cambria"/>
          <w:bCs/>
          <w:i/>
          <w:color w:val="000000"/>
        </w:rPr>
        <w:t xml:space="preserve"> </w:t>
      </w:r>
      <w:r w:rsidR="00B143AB" w:rsidRPr="00951608">
        <w:rPr>
          <w:rFonts w:eastAsiaTheme="minorHAnsi" w:cs="Cambria"/>
          <w:bCs/>
          <w:i/>
          <w:color w:val="000000"/>
        </w:rPr>
        <w:t>neuralgia</w:t>
      </w:r>
      <w:r w:rsidR="000159A6">
        <w:rPr>
          <w:rFonts w:eastAsiaTheme="minorHAnsi" w:cs="Cambria"/>
          <w:bCs/>
          <w:i/>
          <w:color w:val="000000"/>
        </w:rPr>
        <w:t xml:space="preserve"> </w:t>
      </w:r>
      <w:r w:rsidR="00B143AB" w:rsidRPr="00951608">
        <w:rPr>
          <w:rFonts w:eastAsiaTheme="minorHAnsi" w:cs="Cambria"/>
          <w:bCs/>
          <w:i/>
          <w:color w:val="000000"/>
        </w:rPr>
        <w:t>(PHN)</w:t>
      </w:r>
      <w:r w:rsidR="000159A6">
        <w:rPr>
          <w:rFonts w:eastAsiaTheme="minorHAnsi" w:cs="Cambria"/>
          <w:bCs/>
          <w:i/>
          <w:color w:val="000000"/>
        </w:rPr>
        <w:t xml:space="preserve"> </w:t>
      </w:r>
      <w:r w:rsidR="00B143AB" w:rsidRPr="00951608">
        <w:rPr>
          <w:rFonts w:eastAsiaTheme="minorHAnsi" w:cs="Cambria"/>
          <w:bCs/>
          <w:i/>
          <w:color w:val="000000"/>
        </w:rPr>
        <w:t>is</w:t>
      </w:r>
      <w:r w:rsidR="000159A6">
        <w:rPr>
          <w:rFonts w:eastAsiaTheme="minorHAnsi" w:cs="Cambria"/>
          <w:bCs/>
          <w:i/>
          <w:color w:val="000000"/>
        </w:rPr>
        <w:t xml:space="preserve"> </w:t>
      </w:r>
      <w:r w:rsidR="00B143AB" w:rsidRPr="00951608">
        <w:rPr>
          <w:rFonts w:eastAsiaTheme="minorHAnsi" w:cs="Cambria"/>
          <w:bCs/>
          <w:i/>
          <w:color w:val="000000"/>
        </w:rPr>
        <w:t>attributed</w:t>
      </w:r>
      <w:r w:rsidR="000159A6">
        <w:rPr>
          <w:rFonts w:eastAsiaTheme="minorHAnsi" w:cs="Cambria"/>
          <w:bCs/>
          <w:i/>
          <w:color w:val="000000"/>
        </w:rPr>
        <w:t xml:space="preserve"> </w:t>
      </w:r>
      <w:r w:rsidR="00B143AB" w:rsidRPr="00951608">
        <w:rPr>
          <w:rFonts w:eastAsiaTheme="minorHAnsi" w:cs="Cambria"/>
          <w:bCs/>
          <w:i/>
          <w:color w:val="000000"/>
        </w:rPr>
        <w:t>to</w:t>
      </w:r>
      <w:r w:rsidR="000159A6">
        <w:rPr>
          <w:rFonts w:eastAsiaTheme="minorHAnsi" w:cs="Cambria"/>
          <w:bCs/>
          <w:i/>
          <w:color w:val="000000"/>
        </w:rPr>
        <w:t xml:space="preserve"> </w:t>
      </w:r>
      <w:r w:rsidR="00B143AB" w:rsidRPr="00951608">
        <w:rPr>
          <w:rFonts w:eastAsiaTheme="minorHAnsi" w:cs="Cambria"/>
          <w:bCs/>
          <w:i/>
          <w:color w:val="000000"/>
        </w:rPr>
        <w:t>the</w:t>
      </w:r>
      <w:r w:rsidR="000159A6">
        <w:rPr>
          <w:rFonts w:eastAsiaTheme="minorHAnsi" w:cs="Cambria"/>
          <w:bCs/>
          <w:i/>
          <w:color w:val="000000"/>
        </w:rPr>
        <w:t xml:space="preserve"> </w:t>
      </w:r>
      <w:r w:rsidR="00B143AB" w:rsidRPr="00951608">
        <w:rPr>
          <w:rFonts w:eastAsiaTheme="minorHAnsi" w:cs="Cambria"/>
          <w:bCs/>
          <w:i/>
          <w:color w:val="000000"/>
        </w:rPr>
        <w:t>effect</w:t>
      </w:r>
      <w:r w:rsidR="000159A6">
        <w:rPr>
          <w:rFonts w:eastAsiaTheme="minorHAnsi" w:cs="Cambria"/>
          <w:bCs/>
          <w:i/>
          <w:color w:val="000000"/>
        </w:rPr>
        <w:t xml:space="preserve"> </w:t>
      </w:r>
      <w:r w:rsidR="00B143AB" w:rsidRPr="00951608">
        <w:rPr>
          <w:rFonts w:eastAsiaTheme="minorHAnsi" w:cs="Cambria"/>
          <w:bCs/>
          <w:i/>
          <w:color w:val="000000"/>
        </w:rPr>
        <w:t>of</w:t>
      </w:r>
      <w:r w:rsidR="000159A6">
        <w:rPr>
          <w:rFonts w:eastAsiaTheme="minorHAnsi" w:cs="Cambria"/>
          <w:bCs/>
          <w:i/>
          <w:color w:val="000000"/>
        </w:rPr>
        <w:t xml:space="preserve"> </w:t>
      </w:r>
      <w:r w:rsidR="00B143AB" w:rsidRPr="00951608">
        <w:rPr>
          <w:rFonts w:eastAsiaTheme="minorHAnsi" w:cs="Cambria"/>
          <w:bCs/>
          <w:i/>
          <w:color w:val="000000"/>
        </w:rPr>
        <w:t>the</w:t>
      </w:r>
      <w:r w:rsidR="000159A6">
        <w:rPr>
          <w:rFonts w:eastAsiaTheme="minorHAnsi" w:cs="Cambria"/>
          <w:bCs/>
          <w:i/>
          <w:color w:val="000000"/>
        </w:rPr>
        <w:t xml:space="preserve"> </w:t>
      </w:r>
      <w:r w:rsidR="00B143AB" w:rsidRPr="00951608">
        <w:rPr>
          <w:rFonts w:eastAsiaTheme="minorHAnsi" w:cs="Cambria"/>
          <w:bCs/>
          <w:i/>
          <w:color w:val="000000"/>
        </w:rPr>
        <w:t>vaccine</w:t>
      </w:r>
      <w:r w:rsidR="000159A6">
        <w:rPr>
          <w:rFonts w:eastAsiaTheme="minorHAnsi" w:cs="Cambria"/>
          <w:bCs/>
          <w:i/>
          <w:color w:val="000000"/>
        </w:rPr>
        <w:t xml:space="preserve"> </w:t>
      </w:r>
      <w:r w:rsidR="00B143AB" w:rsidRPr="00951608">
        <w:rPr>
          <w:rFonts w:eastAsiaTheme="minorHAnsi" w:cs="Cambria"/>
          <w:bCs/>
          <w:i/>
          <w:color w:val="000000"/>
        </w:rPr>
        <w:t>on</w:t>
      </w:r>
      <w:r w:rsidR="000159A6">
        <w:rPr>
          <w:rFonts w:eastAsiaTheme="minorHAnsi" w:cs="Cambria"/>
          <w:bCs/>
          <w:i/>
          <w:color w:val="000000"/>
        </w:rPr>
        <w:t xml:space="preserve"> </w:t>
      </w:r>
      <w:r w:rsidR="00B143AB" w:rsidRPr="00951608">
        <w:rPr>
          <w:rFonts w:eastAsiaTheme="minorHAnsi" w:cs="Cambria"/>
          <w:bCs/>
          <w:i/>
          <w:color w:val="000000"/>
        </w:rPr>
        <w:t>the</w:t>
      </w:r>
      <w:r w:rsidR="000159A6">
        <w:rPr>
          <w:rFonts w:eastAsiaTheme="minorHAnsi" w:cs="Cambria"/>
          <w:bCs/>
          <w:i/>
          <w:color w:val="000000"/>
        </w:rPr>
        <w:t xml:space="preserve"> </w:t>
      </w:r>
      <w:r w:rsidR="00B143AB" w:rsidRPr="00951608">
        <w:rPr>
          <w:rFonts w:eastAsiaTheme="minorHAnsi" w:cs="Cambria"/>
          <w:bCs/>
          <w:i/>
          <w:color w:val="000000"/>
        </w:rPr>
        <w:t>prevention</w:t>
      </w:r>
      <w:r w:rsidR="000159A6">
        <w:rPr>
          <w:rFonts w:eastAsiaTheme="minorHAnsi" w:cs="Cambria"/>
          <w:bCs/>
          <w:i/>
          <w:color w:val="000000"/>
        </w:rPr>
        <w:t xml:space="preserve"> </w:t>
      </w:r>
      <w:r w:rsidR="00B143AB" w:rsidRPr="00951608">
        <w:rPr>
          <w:rFonts w:eastAsiaTheme="minorHAnsi" w:cs="Cambria"/>
          <w:bCs/>
          <w:i/>
          <w:color w:val="000000"/>
        </w:rPr>
        <w:t>of</w:t>
      </w:r>
      <w:r w:rsidR="000159A6">
        <w:rPr>
          <w:rFonts w:eastAsiaTheme="minorHAnsi" w:cs="Cambria"/>
          <w:bCs/>
          <w:i/>
          <w:color w:val="000000"/>
        </w:rPr>
        <w:t xml:space="preserve"> </w:t>
      </w:r>
      <w:r w:rsidR="00B143AB" w:rsidRPr="00951608">
        <w:rPr>
          <w:rFonts w:eastAsiaTheme="minorHAnsi" w:cs="Cambria"/>
          <w:bCs/>
          <w:i/>
          <w:color w:val="000000"/>
        </w:rPr>
        <w:t>herpes</w:t>
      </w:r>
      <w:r w:rsidR="000159A6">
        <w:rPr>
          <w:rFonts w:eastAsiaTheme="minorHAnsi" w:cs="Cambria"/>
          <w:bCs/>
          <w:i/>
          <w:color w:val="000000"/>
        </w:rPr>
        <w:t xml:space="preserve"> </w:t>
      </w:r>
      <w:r w:rsidR="00B143AB" w:rsidRPr="00951608">
        <w:rPr>
          <w:rFonts w:eastAsiaTheme="minorHAnsi" w:cs="Cambria"/>
          <w:bCs/>
          <w:i/>
          <w:color w:val="000000"/>
        </w:rPr>
        <w:t>zoster.</w:t>
      </w:r>
    </w:p>
    <w:p w14:paraId="0CBE70BD" w14:textId="603A4DFB" w:rsidR="00B143AB" w:rsidRPr="00B143AB" w:rsidRDefault="00B143AB" w:rsidP="00B143AB">
      <w:pPr>
        <w:rPr>
          <w:rFonts w:eastAsiaTheme="minorHAnsi" w:cs="Cambria"/>
          <w:color w:val="000000"/>
        </w:rPr>
      </w:pPr>
      <w:r w:rsidRPr="00B143AB">
        <w:rPr>
          <w:rFonts w:eastAsiaTheme="minorHAnsi" w:cs="Cambria"/>
          <w:color w:val="000000"/>
        </w:rPr>
        <w:t>The</w:t>
      </w:r>
      <w:r w:rsidR="000159A6">
        <w:rPr>
          <w:rFonts w:eastAsiaTheme="minorHAnsi" w:cs="Cambria"/>
          <w:color w:val="000000"/>
        </w:rPr>
        <w:t xml:space="preserve"> </w:t>
      </w:r>
      <w:r w:rsidRPr="00B143AB">
        <w:rPr>
          <w:rFonts w:eastAsiaTheme="minorHAnsi" w:cs="Cambria"/>
          <w:color w:val="000000"/>
        </w:rPr>
        <w:t>ACV</w:t>
      </w:r>
      <w:r w:rsidR="000159A6">
        <w:rPr>
          <w:rFonts w:eastAsiaTheme="minorHAnsi" w:cs="Cambria"/>
          <w:color w:val="000000"/>
        </w:rPr>
        <w:t xml:space="preserve"> </w:t>
      </w:r>
      <w:r w:rsidRPr="00B143AB">
        <w:rPr>
          <w:rFonts w:eastAsiaTheme="minorHAnsi" w:cs="Cambria"/>
          <w:color w:val="000000"/>
        </w:rPr>
        <w:t>advised</w:t>
      </w:r>
      <w:r w:rsidR="000159A6">
        <w:rPr>
          <w:rFonts w:eastAsiaTheme="minorHAnsi" w:cs="Cambria"/>
          <w:color w:val="000000"/>
        </w:rPr>
        <w:t xml:space="preserve"> </w:t>
      </w:r>
      <w:r w:rsidRPr="00B143AB">
        <w:rPr>
          <w:rFonts w:eastAsiaTheme="minorHAnsi" w:cs="Cambria"/>
          <w:color w:val="000000"/>
        </w:rPr>
        <w:t>that</w:t>
      </w:r>
      <w:r w:rsidR="000159A6">
        <w:rPr>
          <w:rFonts w:eastAsiaTheme="minorHAnsi" w:cs="Cambria"/>
          <w:color w:val="000000"/>
        </w:rPr>
        <w:t xml:space="preserve"> </w:t>
      </w:r>
      <w:r w:rsidRPr="00B143AB">
        <w:rPr>
          <w:rFonts w:eastAsiaTheme="minorHAnsi" w:cs="Cambria"/>
          <w:color w:val="000000"/>
        </w:rPr>
        <w:t>overall</w:t>
      </w:r>
      <w:r w:rsidR="000159A6">
        <w:rPr>
          <w:rFonts w:eastAsiaTheme="minorHAnsi" w:cs="Cambria"/>
          <w:color w:val="000000"/>
        </w:rPr>
        <w:t xml:space="preserve"> </w:t>
      </w:r>
      <w:r w:rsidRPr="00B143AB">
        <w:rPr>
          <w:rFonts w:eastAsiaTheme="minorHAnsi" w:cs="Cambria"/>
          <w:color w:val="000000"/>
        </w:rPr>
        <w:t>the</w:t>
      </w:r>
      <w:r w:rsidR="000159A6">
        <w:rPr>
          <w:rFonts w:eastAsiaTheme="minorHAnsi" w:cs="Cambria"/>
          <w:color w:val="000000"/>
        </w:rPr>
        <w:t xml:space="preserve"> </w:t>
      </w:r>
      <w:r w:rsidRPr="00B143AB">
        <w:rPr>
          <w:rFonts w:eastAsiaTheme="minorHAnsi" w:cs="Cambria"/>
          <w:color w:val="000000"/>
        </w:rPr>
        <w:t>revised</w:t>
      </w:r>
      <w:r w:rsidR="000159A6">
        <w:rPr>
          <w:rFonts w:eastAsiaTheme="minorHAnsi" w:cs="Cambria"/>
          <w:color w:val="000000"/>
        </w:rPr>
        <w:t xml:space="preserve"> </w:t>
      </w:r>
      <w:r w:rsidRPr="00B143AB">
        <w:rPr>
          <w:rFonts w:eastAsiaTheme="minorHAnsi" w:cs="Cambria"/>
          <w:color w:val="000000"/>
        </w:rPr>
        <w:t>indication</w:t>
      </w:r>
      <w:r w:rsidR="000159A6">
        <w:rPr>
          <w:rFonts w:eastAsiaTheme="minorHAnsi" w:cs="Cambria"/>
          <w:color w:val="000000"/>
        </w:rPr>
        <w:t xml:space="preserve"> </w:t>
      </w:r>
      <w:r w:rsidRPr="00B143AB">
        <w:rPr>
          <w:rFonts w:eastAsiaTheme="minorHAnsi" w:cs="Cambria"/>
          <w:color w:val="000000"/>
        </w:rPr>
        <w:t>proposed</w:t>
      </w:r>
      <w:r w:rsidR="000159A6">
        <w:rPr>
          <w:rFonts w:eastAsiaTheme="minorHAnsi" w:cs="Cambria"/>
          <w:color w:val="000000"/>
        </w:rPr>
        <w:t xml:space="preserve"> </w:t>
      </w:r>
      <w:r w:rsidRPr="00B143AB">
        <w:rPr>
          <w:rFonts w:eastAsiaTheme="minorHAnsi" w:cs="Cambria"/>
          <w:color w:val="000000"/>
        </w:rPr>
        <w:t>by</w:t>
      </w:r>
      <w:r w:rsidR="000159A6">
        <w:rPr>
          <w:rFonts w:eastAsiaTheme="minorHAnsi" w:cs="Cambria"/>
          <w:color w:val="000000"/>
        </w:rPr>
        <w:t xml:space="preserve"> </w:t>
      </w:r>
      <w:r w:rsidRPr="00B143AB">
        <w:rPr>
          <w:rFonts w:eastAsiaTheme="minorHAnsi" w:cs="Cambria"/>
          <w:color w:val="000000"/>
        </w:rPr>
        <w:t>the</w:t>
      </w:r>
      <w:r w:rsidR="000159A6">
        <w:rPr>
          <w:rFonts w:eastAsiaTheme="minorHAnsi" w:cs="Cambria"/>
          <w:color w:val="000000"/>
        </w:rPr>
        <w:t xml:space="preserve"> </w:t>
      </w:r>
      <w:r w:rsidRPr="00B143AB">
        <w:rPr>
          <w:rFonts w:eastAsiaTheme="minorHAnsi" w:cs="Cambria"/>
          <w:color w:val="000000"/>
        </w:rPr>
        <w:t>sponsor,</w:t>
      </w:r>
      <w:r w:rsidR="000159A6">
        <w:rPr>
          <w:rFonts w:eastAsiaTheme="minorHAnsi" w:cs="Cambria"/>
          <w:color w:val="000000"/>
        </w:rPr>
        <w:t xml:space="preserve"> </w:t>
      </w:r>
      <w:r w:rsidRPr="00B143AB">
        <w:rPr>
          <w:rFonts w:eastAsiaTheme="minorHAnsi" w:cs="Cambria"/>
          <w:color w:val="000000"/>
        </w:rPr>
        <w:t>and</w:t>
      </w:r>
      <w:r w:rsidR="000159A6">
        <w:rPr>
          <w:rFonts w:eastAsiaTheme="minorHAnsi" w:cs="Cambria"/>
          <w:color w:val="000000"/>
        </w:rPr>
        <w:t xml:space="preserve"> </w:t>
      </w:r>
      <w:r w:rsidRPr="00B143AB">
        <w:rPr>
          <w:rFonts w:eastAsiaTheme="minorHAnsi" w:cs="Cambria"/>
          <w:color w:val="000000"/>
        </w:rPr>
        <w:t>recently</w:t>
      </w:r>
      <w:r w:rsidR="000159A6">
        <w:rPr>
          <w:rFonts w:eastAsiaTheme="minorHAnsi" w:cs="Cambria"/>
          <w:color w:val="000000"/>
        </w:rPr>
        <w:t xml:space="preserve"> </w:t>
      </w:r>
      <w:r w:rsidRPr="00B143AB">
        <w:rPr>
          <w:rFonts w:eastAsiaTheme="minorHAnsi" w:cs="Cambria"/>
          <w:color w:val="000000"/>
        </w:rPr>
        <w:t>approved</w:t>
      </w:r>
      <w:r w:rsidR="000159A6">
        <w:rPr>
          <w:rFonts w:eastAsiaTheme="minorHAnsi" w:cs="Cambria"/>
          <w:color w:val="000000"/>
        </w:rPr>
        <w:t xml:space="preserve"> </w:t>
      </w:r>
      <w:r w:rsidRPr="00B143AB">
        <w:rPr>
          <w:rFonts w:eastAsiaTheme="minorHAnsi" w:cs="Cambria"/>
          <w:color w:val="000000"/>
        </w:rPr>
        <w:t>in</w:t>
      </w:r>
      <w:r w:rsidR="000159A6">
        <w:rPr>
          <w:rFonts w:eastAsiaTheme="minorHAnsi" w:cs="Cambria"/>
          <w:color w:val="000000"/>
        </w:rPr>
        <w:t xml:space="preserve"> </w:t>
      </w:r>
      <w:r w:rsidRPr="00B143AB">
        <w:rPr>
          <w:rFonts w:eastAsiaTheme="minorHAnsi" w:cs="Cambria"/>
          <w:color w:val="000000"/>
        </w:rPr>
        <w:t>the</w:t>
      </w:r>
      <w:r w:rsidR="000159A6">
        <w:rPr>
          <w:rFonts w:eastAsiaTheme="minorHAnsi" w:cs="Cambria"/>
          <w:color w:val="000000"/>
        </w:rPr>
        <w:t xml:space="preserve"> </w:t>
      </w:r>
      <w:r w:rsidRPr="00B143AB">
        <w:rPr>
          <w:rFonts w:eastAsiaTheme="minorHAnsi" w:cs="Cambria"/>
          <w:color w:val="000000"/>
        </w:rPr>
        <w:t>European</w:t>
      </w:r>
      <w:r w:rsidR="000159A6">
        <w:rPr>
          <w:rFonts w:eastAsiaTheme="minorHAnsi" w:cs="Cambria"/>
          <w:color w:val="000000"/>
        </w:rPr>
        <w:t xml:space="preserve"> </w:t>
      </w:r>
      <w:r w:rsidRPr="00B143AB">
        <w:rPr>
          <w:rFonts w:eastAsiaTheme="minorHAnsi" w:cs="Cambria"/>
          <w:color w:val="000000"/>
        </w:rPr>
        <w:t>Union,</w:t>
      </w:r>
      <w:r w:rsidR="000159A6">
        <w:rPr>
          <w:rFonts w:eastAsiaTheme="minorHAnsi" w:cs="Cambria"/>
          <w:color w:val="000000"/>
        </w:rPr>
        <w:t xml:space="preserve"> </w:t>
      </w:r>
      <w:r w:rsidRPr="00B143AB">
        <w:rPr>
          <w:rFonts w:eastAsiaTheme="minorHAnsi" w:cs="Cambria"/>
          <w:color w:val="000000"/>
        </w:rPr>
        <w:t>was</w:t>
      </w:r>
      <w:r w:rsidR="000159A6">
        <w:rPr>
          <w:rFonts w:eastAsiaTheme="minorHAnsi" w:cs="Cambria"/>
          <w:color w:val="000000"/>
        </w:rPr>
        <w:t xml:space="preserve"> </w:t>
      </w:r>
      <w:r w:rsidRPr="00B143AB">
        <w:rPr>
          <w:rFonts w:eastAsiaTheme="minorHAnsi" w:cs="Cambria"/>
          <w:color w:val="000000"/>
        </w:rPr>
        <w:t>suitable</w:t>
      </w:r>
      <w:r w:rsidR="000159A6">
        <w:rPr>
          <w:rFonts w:eastAsiaTheme="minorHAnsi" w:cs="Cambria"/>
          <w:color w:val="000000"/>
        </w:rPr>
        <w:t xml:space="preserve"> </w:t>
      </w:r>
      <w:r w:rsidRPr="00B143AB">
        <w:rPr>
          <w:rFonts w:eastAsiaTheme="minorHAnsi" w:cs="Cambria"/>
          <w:color w:val="000000"/>
        </w:rPr>
        <w:t>for</w:t>
      </w:r>
      <w:r w:rsidR="000159A6">
        <w:rPr>
          <w:rFonts w:eastAsiaTheme="minorHAnsi" w:cs="Cambria"/>
          <w:color w:val="000000"/>
        </w:rPr>
        <w:t xml:space="preserve"> </w:t>
      </w:r>
      <w:r w:rsidRPr="00B143AB">
        <w:rPr>
          <w:rFonts w:eastAsiaTheme="minorHAnsi" w:cs="Cambria"/>
          <w:color w:val="000000"/>
        </w:rPr>
        <w:t>Australia.</w:t>
      </w:r>
    </w:p>
    <w:p w14:paraId="206CC0AC" w14:textId="289F1D73" w:rsidR="00B143AB" w:rsidRPr="00951608" w:rsidRDefault="00B143AB" w:rsidP="00B143AB">
      <w:pPr>
        <w:pStyle w:val="Numberbullet0"/>
        <w:keepNext/>
        <w:rPr>
          <w:i/>
        </w:rPr>
      </w:pPr>
      <w:r w:rsidRPr="00951608">
        <w:rPr>
          <w:i/>
        </w:rPr>
        <w:t>Does</w:t>
      </w:r>
      <w:r w:rsidR="000159A6">
        <w:rPr>
          <w:i/>
        </w:rPr>
        <w:t xml:space="preserve"> </w:t>
      </w:r>
      <w:r w:rsidR="00332E3D">
        <w:rPr>
          <w:i/>
        </w:rPr>
        <w:t>the</w:t>
      </w:r>
      <w:r w:rsidR="000159A6">
        <w:rPr>
          <w:i/>
        </w:rPr>
        <w:t xml:space="preserve"> </w:t>
      </w:r>
      <w:r w:rsidRPr="00951608">
        <w:rPr>
          <w:i/>
        </w:rPr>
        <w:t>ACV</w:t>
      </w:r>
      <w:r w:rsidR="000159A6">
        <w:rPr>
          <w:i/>
        </w:rPr>
        <w:t xml:space="preserve"> </w:t>
      </w:r>
      <w:r w:rsidRPr="00951608">
        <w:rPr>
          <w:i/>
        </w:rPr>
        <w:t>consider</w:t>
      </w:r>
      <w:r w:rsidR="000159A6">
        <w:rPr>
          <w:i/>
        </w:rPr>
        <w:t xml:space="preserve"> </w:t>
      </w:r>
      <w:r w:rsidRPr="00951608">
        <w:rPr>
          <w:i/>
        </w:rPr>
        <w:t>that</w:t>
      </w:r>
      <w:r w:rsidR="000159A6">
        <w:rPr>
          <w:i/>
        </w:rPr>
        <w:t xml:space="preserve"> </w:t>
      </w:r>
      <w:r w:rsidRPr="00951608">
        <w:rPr>
          <w:i/>
        </w:rPr>
        <w:t>the</w:t>
      </w:r>
      <w:r w:rsidR="000159A6">
        <w:rPr>
          <w:i/>
        </w:rPr>
        <w:t xml:space="preserve"> </w:t>
      </w:r>
      <w:r w:rsidRPr="00951608">
        <w:rPr>
          <w:i/>
        </w:rPr>
        <w:t>proposed</w:t>
      </w:r>
      <w:r w:rsidR="000159A6">
        <w:rPr>
          <w:i/>
        </w:rPr>
        <w:t xml:space="preserve"> </w:t>
      </w:r>
      <w:r w:rsidRPr="00951608">
        <w:rPr>
          <w:i/>
        </w:rPr>
        <w:t>dose</w:t>
      </w:r>
      <w:r w:rsidR="000159A6">
        <w:rPr>
          <w:i/>
        </w:rPr>
        <w:t xml:space="preserve"> </w:t>
      </w:r>
      <w:r w:rsidRPr="00951608">
        <w:rPr>
          <w:i/>
        </w:rPr>
        <w:t>interval</w:t>
      </w:r>
      <w:r w:rsidR="000159A6">
        <w:rPr>
          <w:i/>
        </w:rPr>
        <w:t xml:space="preserve"> </w:t>
      </w:r>
      <w:r w:rsidRPr="00951608">
        <w:rPr>
          <w:i/>
        </w:rPr>
        <w:t>of</w:t>
      </w:r>
      <w:r w:rsidR="000159A6">
        <w:rPr>
          <w:i/>
        </w:rPr>
        <w:t xml:space="preserve"> </w:t>
      </w:r>
      <w:r w:rsidRPr="00951608">
        <w:rPr>
          <w:i/>
        </w:rPr>
        <w:t>‘an</w:t>
      </w:r>
      <w:r w:rsidR="000159A6">
        <w:rPr>
          <w:i/>
        </w:rPr>
        <w:t xml:space="preserve"> </w:t>
      </w:r>
      <w:r w:rsidRPr="00951608">
        <w:rPr>
          <w:i/>
        </w:rPr>
        <w:t>initial</w:t>
      </w:r>
      <w:r w:rsidR="000159A6">
        <w:rPr>
          <w:i/>
        </w:rPr>
        <w:t xml:space="preserve"> </w:t>
      </w:r>
      <w:r w:rsidRPr="00951608">
        <w:rPr>
          <w:i/>
        </w:rPr>
        <w:t>dose</w:t>
      </w:r>
      <w:r w:rsidR="000159A6">
        <w:rPr>
          <w:i/>
        </w:rPr>
        <w:t xml:space="preserve"> </w:t>
      </w:r>
      <w:r w:rsidRPr="00951608">
        <w:rPr>
          <w:i/>
        </w:rPr>
        <w:t>followed</w:t>
      </w:r>
      <w:r w:rsidR="000159A6">
        <w:rPr>
          <w:i/>
        </w:rPr>
        <w:t xml:space="preserve"> </w:t>
      </w:r>
      <w:r w:rsidRPr="00951608">
        <w:rPr>
          <w:i/>
        </w:rPr>
        <w:t>by</w:t>
      </w:r>
      <w:r w:rsidR="000159A6">
        <w:rPr>
          <w:i/>
        </w:rPr>
        <w:t xml:space="preserve"> </w:t>
      </w:r>
      <w:r w:rsidRPr="00951608">
        <w:rPr>
          <w:i/>
        </w:rPr>
        <w:t>a</w:t>
      </w:r>
      <w:r w:rsidR="000159A6">
        <w:rPr>
          <w:i/>
        </w:rPr>
        <w:t xml:space="preserve"> </w:t>
      </w:r>
      <w:r w:rsidRPr="00951608">
        <w:rPr>
          <w:i/>
        </w:rPr>
        <w:t>second</w:t>
      </w:r>
      <w:r w:rsidR="000159A6">
        <w:rPr>
          <w:i/>
        </w:rPr>
        <w:t xml:space="preserve"> </w:t>
      </w:r>
      <w:r w:rsidRPr="00951608">
        <w:rPr>
          <w:i/>
        </w:rPr>
        <w:t>dose</w:t>
      </w:r>
      <w:r w:rsidR="000159A6">
        <w:rPr>
          <w:i/>
        </w:rPr>
        <w:t xml:space="preserve"> </w:t>
      </w:r>
      <w:r w:rsidRPr="00951608">
        <w:rPr>
          <w:i/>
        </w:rPr>
        <w:t>2</w:t>
      </w:r>
      <w:r w:rsidR="000159A6">
        <w:rPr>
          <w:i/>
        </w:rPr>
        <w:t xml:space="preserve"> </w:t>
      </w:r>
      <w:r w:rsidRPr="00951608">
        <w:rPr>
          <w:i/>
        </w:rPr>
        <w:t>to</w:t>
      </w:r>
      <w:r w:rsidR="000159A6">
        <w:rPr>
          <w:i/>
        </w:rPr>
        <w:t xml:space="preserve"> </w:t>
      </w:r>
      <w:r w:rsidRPr="00951608">
        <w:rPr>
          <w:i/>
        </w:rPr>
        <w:t>6</w:t>
      </w:r>
      <w:r w:rsidR="000159A6">
        <w:rPr>
          <w:i/>
        </w:rPr>
        <w:t xml:space="preserve"> </w:t>
      </w:r>
      <w:r w:rsidRPr="00951608">
        <w:rPr>
          <w:i/>
        </w:rPr>
        <w:t>months</w:t>
      </w:r>
      <w:r w:rsidR="000159A6">
        <w:rPr>
          <w:i/>
        </w:rPr>
        <w:t xml:space="preserve"> </w:t>
      </w:r>
      <w:r w:rsidRPr="00951608">
        <w:rPr>
          <w:i/>
        </w:rPr>
        <w:t>later’</w:t>
      </w:r>
      <w:r w:rsidR="000159A6">
        <w:rPr>
          <w:i/>
        </w:rPr>
        <w:t xml:space="preserve"> </w:t>
      </w:r>
      <w:r w:rsidRPr="00951608">
        <w:rPr>
          <w:i/>
        </w:rPr>
        <w:t>is</w:t>
      </w:r>
      <w:r w:rsidR="000159A6">
        <w:rPr>
          <w:i/>
        </w:rPr>
        <w:t xml:space="preserve"> </w:t>
      </w:r>
      <w:r w:rsidRPr="00951608">
        <w:rPr>
          <w:i/>
        </w:rPr>
        <w:t>acceptable?</w:t>
      </w:r>
    </w:p>
    <w:p w14:paraId="6460E20F" w14:textId="123F40DA" w:rsidR="00B143AB" w:rsidRPr="00B143AB" w:rsidRDefault="00B143AB" w:rsidP="002E1097">
      <w:r w:rsidRPr="00B143AB">
        <w:t>The</w:t>
      </w:r>
      <w:r w:rsidR="000159A6">
        <w:t xml:space="preserve"> </w:t>
      </w:r>
      <w:r w:rsidRPr="00B143AB">
        <w:t>ACV</w:t>
      </w:r>
      <w:r w:rsidR="000159A6">
        <w:t xml:space="preserve"> </w:t>
      </w:r>
      <w:r w:rsidRPr="00B143AB">
        <w:t>advised</w:t>
      </w:r>
      <w:r w:rsidR="000159A6">
        <w:t xml:space="preserve"> </w:t>
      </w:r>
      <w:r w:rsidRPr="00B143AB">
        <w:t>that</w:t>
      </w:r>
      <w:r w:rsidR="000159A6">
        <w:t xml:space="preserve"> </w:t>
      </w:r>
      <w:r w:rsidRPr="00B143AB">
        <w:t>the</w:t>
      </w:r>
      <w:r w:rsidR="000159A6">
        <w:t xml:space="preserve"> </w:t>
      </w:r>
      <w:r w:rsidRPr="00B143AB">
        <w:t>proposed</w:t>
      </w:r>
      <w:r w:rsidR="000159A6">
        <w:t xml:space="preserve"> </w:t>
      </w:r>
      <w:r w:rsidRPr="00B143AB">
        <w:t>interval</w:t>
      </w:r>
      <w:r w:rsidR="000159A6">
        <w:t xml:space="preserve"> </w:t>
      </w:r>
      <w:r w:rsidRPr="00B143AB">
        <w:t>of</w:t>
      </w:r>
      <w:r w:rsidR="000159A6">
        <w:t xml:space="preserve"> </w:t>
      </w:r>
      <w:r w:rsidRPr="00B143AB">
        <w:t>2</w:t>
      </w:r>
      <w:r w:rsidR="000159A6">
        <w:t xml:space="preserve"> </w:t>
      </w:r>
      <w:r w:rsidRPr="00B143AB">
        <w:t>to</w:t>
      </w:r>
      <w:r w:rsidR="000159A6">
        <w:t xml:space="preserve"> </w:t>
      </w:r>
      <w:r w:rsidRPr="00B143AB">
        <w:t>6</w:t>
      </w:r>
      <w:r w:rsidR="000159A6">
        <w:t xml:space="preserve"> </w:t>
      </w:r>
      <w:r w:rsidRPr="00B143AB">
        <w:t>months</w:t>
      </w:r>
      <w:r w:rsidR="000159A6">
        <w:t xml:space="preserve"> </w:t>
      </w:r>
      <w:r w:rsidRPr="00B143AB">
        <w:t>between</w:t>
      </w:r>
      <w:r w:rsidR="000159A6">
        <w:t xml:space="preserve"> </w:t>
      </w:r>
      <w:r w:rsidRPr="00B143AB">
        <w:t>the</w:t>
      </w:r>
      <w:r w:rsidR="000159A6">
        <w:t xml:space="preserve"> </w:t>
      </w:r>
      <w:r w:rsidRPr="00B143AB">
        <w:t>initial</w:t>
      </w:r>
      <w:r w:rsidR="000159A6">
        <w:t xml:space="preserve"> </w:t>
      </w:r>
      <w:r w:rsidRPr="00B143AB">
        <w:t>and</w:t>
      </w:r>
      <w:r w:rsidR="000159A6">
        <w:t xml:space="preserve"> </w:t>
      </w:r>
      <w:r w:rsidRPr="00B143AB">
        <w:t>second</w:t>
      </w:r>
      <w:r w:rsidR="000159A6">
        <w:t xml:space="preserve"> </w:t>
      </w:r>
      <w:r w:rsidRPr="00B143AB">
        <w:t>dose</w:t>
      </w:r>
      <w:r w:rsidR="000159A6">
        <w:t xml:space="preserve"> </w:t>
      </w:r>
      <w:r w:rsidRPr="00B143AB">
        <w:t>was</w:t>
      </w:r>
      <w:r w:rsidR="000159A6">
        <w:t xml:space="preserve"> </w:t>
      </w:r>
      <w:r w:rsidRPr="00B143AB">
        <w:t>acceptable.</w:t>
      </w:r>
      <w:r w:rsidR="000159A6">
        <w:t xml:space="preserve"> </w:t>
      </w:r>
      <w:r w:rsidRPr="00B143AB">
        <w:t>The</w:t>
      </w:r>
      <w:r w:rsidR="000159A6">
        <w:t xml:space="preserve"> </w:t>
      </w:r>
      <w:r w:rsidRPr="00B143AB">
        <w:t>committee</w:t>
      </w:r>
      <w:r w:rsidR="000159A6">
        <w:t xml:space="preserve"> </w:t>
      </w:r>
      <w:r w:rsidRPr="00B143AB">
        <w:t>noted</w:t>
      </w:r>
      <w:r w:rsidR="000159A6">
        <w:t xml:space="preserve"> </w:t>
      </w:r>
      <w:r w:rsidRPr="00B143AB">
        <w:t>that</w:t>
      </w:r>
      <w:r w:rsidR="000159A6">
        <w:t xml:space="preserve"> </w:t>
      </w:r>
      <w:r w:rsidRPr="00B143AB">
        <w:t>a</w:t>
      </w:r>
      <w:r w:rsidR="000159A6">
        <w:t xml:space="preserve"> </w:t>
      </w:r>
      <w:r w:rsidRPr="00B143AB">
        <w:t>dose</w:t>
      </w:r>
      <w:r w:rsidR="000159A6">
        <w:t xml:space="preserve"> </w:t>
      </w:r>
      <w:r w:rsidRPr="00B143AB">
        <w:t>interval</w:t>
      </w:r>
      <w:r w:rsidR="000159A6">
        <w:t xml:space="preserve"> </w:t>
      </w:r>
      <w:r w:rsidRPr="00B143AB">
        <w:t>of</w:t>
      </w:r>
      <w:r w:rsidR="000159A6">
        <w:t xml:space="preserve"> </w:t>
      </w:r>
      <w:r w:rsidRPr="00B143AB">
        <w:t>2</w:t>
      </w:r>
      <w:r w:rsidR="000159A6">
        <w:t xml:space="preserve"> </w:t>
      </w:r>
      <w:r w:rsidRPr="00B143AB">
        <w:t>months</w:t>
      </w:r>
      <w:r w:rsidR="000159A6">
        <w:t xml:space="preserve"> </w:t>
      </w:r>
      <w:r w:rsidRPr="00B143AB">
        <w:t>was</w:t>
      </w:r>
      <w:r w:rsidR="000159A6">
        <w:t xml:space="preserve"> </w:t>
      </w:r>
      <w:r w:rsidRPr="00B143AB">
        <w:t>used</w:t>
      </w:r>
      <w:r w:rsidR="000159A6">
        <w:t xml:space="preserve"> </w:t>
      </w:r>
      <w:r w:rsidRPr="00B143AB">
        <w:t>in</w:t>
      </w:r>
      <w:r w:rsidR="000159A6">
        <w:t xml:space="preserve"> </w:t>
      </w:r>
      <w:r w:rsidRPr="00B143AB">
        <w:t>both</w:t>
      </w:r>
      <w:r w:rsidR="000159A6">
        <w:t xml:space="preserve"> </w:t>
      </w:r>
      <w:r w:rsidRPr="00B143AB">
        <w:t>pivotal</w:t>
      </w:r>
      <w:r w:rsidR="000159A6">
        <w:t xml:space="preserve"> </w:t>
      </w:r>
      <w:r w:rsidRPr="00B143AB">
        <w:t>efficacy</w:t>
      </w:r>
      <w:r w:rsidR="000159A6">
        <w:t xml:space="preserve"> </w:t>
      </w:r>
      <w:r w:rsidRPr="00B143AB">
        <w:t>studies</w:t>
      </w:r>
      <w:r w:rsidR="000159A6">
        <w:t xml:space="preserve"> </w:t>
      </w:r>
      <w:r w:rsidRPr="00B143AB">
        <w:t>but</w:t>
      </w:r>
      <w:r w:rsidR="000159A6">
        <w:t xml:space="preserve"> </w:t>
      </w:r>
      <w:r w:rsidRPr="00B143AB">
        <w:t>that</w:t>
      </w:r>
      <w:r w:rsidR="000159A6">
        <w:t xml:space="preserve"> </w:t>
      </w:r>
      <w:r w:rsidR="00525235">
        <w:t>Study</w:t>
      </w:r>
      <w:r w:rsidR="000159A6">
        <w:t xml:space="preserve"> </w:t>
      </w:r>
      <w:r w:rsidR="00525235">
        <w:t>ZOSTER</w:t>
      </w:r>
      <w:r w:rsidRPr="00B143AB">
        <w:t>-026</w:t>
      </w:r>
      <w:r w:rsidR="000159A6">
        <w:t xml:space="preserve"> </w:t>
      </w:r>
      <w:r w:rsidRPr="00B143AB">
        <w:t>had</w:t>
      </w:r>
      <w:r w:rsidR="000159A6">
        <w:t xml:space="preserve"> </w:t>
      </w:r>
      <w:r w:rsidRPr="00B143AB">
        <w:t>found</w:t>
      </w:r>
      <w:r w:rsidR="000159A6">
        <w:t xml:space="preserve"> </w:t>
      </w:r>
      <w:r w:rsidRPr="00B143AB">
        <w:t>that</w:t>
      </w:r>
      <w:r w:rsidR="000159A6">
        <w:t xml:space="preserve"> </w:t>
      </w:r>
      <w:r w:rsidRPr="00B143AB">
        <w:t>the</w:t>
      </w:r>
      <w:r w:rsidR="000159A6">
        <w:t xml:space="preserve"> </w:t>
      </w:r>
      <w:r w:rsidRPr="00B143AB">
        <w:t>0</w:t>
      </w:r>
      <w:r w:rsidR="000159A6">
        <w:t xml:space="preserve"> </w:t>
      </w:r>
      <w:r w:rsidR="00332E3D">
        <w:t>and</w:t>
      </w:r>
      <w:r w:rsidRPr="00B143AB">
        <w:t>6</w:t>
      </w:r>
      <w:r w:rsidR="000159A6">
        <w:t xml:space="preserve"> </w:t>
      </w:r>
      <w:r w:rsidRPr="00B143AB">
        <w:t>month</w:t>
      </w:r>
      <w:r w:rsidR="000159A6">
        <w:t xml:space="preserve"> </w:t>
      </w:r>
      <w:r w:rsidRPr="00B143AB">
        <w:t>schedule</w:t>
      </w:r>
      <w:r w:rsidR="000159A6">
        <w:t xml:space="preserve"> </w:t>
      </w:r>
      <w:r w:rsidRPr="00B143AB">
        <w:t>was</w:t>
      </w:r>
      <w:r w:rsidR="000159A6">
        <w:t xml:space="preserve"> </w:t>
      </w:r>
      <w:r w:rsidRPr="00B143AB">
        <w:t>non-infe</w:t>
      </w:r>
      <w:r w:rsidR="007553D3">
        <w:t>rior</w:t>
      </w:r>
      <w:r w:rsidR="000159A6">
        <w:t xml:space="preserve"> </w:t>
      </w:r>
      <w:r w:rsidR="007553D3">
        <w:t>to</w:t>
      </w:r>
      <w:r w:rsidR="000159A6">
        <w:t xml:space="preserve"> </w:t>
      </w:r>
      <w:r w:rsidR="007553D3">
        <w:t>the</w:t>
      </w:r>
      <w:r w:rsidR="000159A6">
        <w:t xml:space="preserve"> </w:t>
      </w:r>
      <w:r w:rsidR="007553D3">
        <w:t>0</w:t>
      </w:r>
      <w:r w:rsidR="000159A6">
        <w:t xml:space="preserve"> </w:t>
      </w:r>
      <w:r w:rsidR="00332E3D">
        <w:t>and</w:t>
      </w:r>
      <w:r w:rsidR="000159A6">
        <w:t xml:space="preserve"> </w:t>
      </w:r>
      <w:r w:rsidR="007553D3">
        <w:t>2</w:t>
      </w:r>
      <w:r w:rsidR="000159A6">
        <w:t xml:space="preserve"> </w:t>
      </w:r>
      <w:r w:rsidR="007553D3">
        <w:t>month</w:t>
      </w:r>
      <w:r w:rsidR="000159A6">
        <w:t xml:space="preserve"> </w:t>
      </w:r>
      <w:r w:rsidR="007553D3">
        <w:t>schedule.</w:t>
      </w:r>
    </w:p>
    <w:p w14:paraId="382E14A8" w14:textId="7B6B0A91" w:rsidR="00B143AB" w:rsidRPr="00B143AB" w:rsidRDefault="00B143AB" w:rsidP="00B143AB">
      <w:pPr>
        <w:pStyle w:val="Heading5"/>
        <w:rPr>
          <w:rFonts w:eastAsiaTheme="minorHAnsi"/>
        </w:rPr>
      </w:pPr>
      <w:r>
        <w:rPr>
          <w:rFonts w:eastAsiaTheme="minorHAnsi"/>
        </w:rPr>
        <w:t>Other</w:t>
      </w:r>
      <w:r w:rsidR="000159A6">
        <w:rPr>
          <w:rFonts w:eastAsiaTheme="minorHAnsi"/>
        </w:rPr>
        <w:t xml:space="preserve"> </w:t>
      </w:r>
      <w:r w:rsidR="00332E3D">
        <w:rPr>
          <w:rFonts w:eastAsiaTheme="minorHAnsi"/>
        </w:rPr>
        <w:t>advice</w:t>
      </w:r>
    </w:p>
    <w:p w14:paraId="1E1A23C9" w14:textId="4E22437E" w:rsidR="00B143AB" w:rsidRPr="00B143AB" w:rsidRDefault="00B143AB" w:rsidP="002E1097">
      <w:r w:rsidRPr="00B143AB">
        <w:t>The</w:t>
      </w:r>
      <w:r w:rsidR="000159A6">
        <w:t xml:space="preserve"> </w:t>
      </w:r>
      <w:r w:rsidRPr="00B143AB">
        <w:t>ACV</w:t>
      </w:r>
      <w:r w:rsidR="000159A6">
        <w:t xml:space="preserve"> </w:t>
      </w:r>
      <w:r w:rsidRPr="00B143AB">
        <w:t>noted</w:t>
      </w:r>
      <w:r w:rsidR="000159A6">
        <w:t xml:space="preserve"> </w:t>
      </w:r>
      <w:r w:rsidRPr="00B143AB">
        <w:t>that</w:t>
      </w:r>
      <w:r w:rsidR="000159A6">
        <w:t xml:space="preserve"> </w:t>
      </w:r>
      <w:r w:rsidRPr="00B143AB">
        <w:t>the</w:t>
      </w:r>
      <w:r w:rsidR="000159A6">
        <w:t xml:space="preserve"> </w:t>
      </w:r>
      <w:r w:rsidRPr="00B143AB">
        <w:t>clinical</w:t>
      </w:r>
      <w:r w:rsidR="000159A6">
        <w:t xml:space="preserve"> </w:t>
      </w:r>
      <w:r w:rsidRPr="00B143AB">
        <w:t>trial</w:t>
      </w:r>
      <w:r w:rsidR="000159A6">
        <w:t xml:space="preserve"> </w:t>
      </w:r>
      <w:r w:rsidRPr="00B143AB">
        <w:t>population</w:t>
      </w:r>
      <w:r w:rsidR="000159A6">
        <w:t xml:space="preserve"> </w:t>
      </w:r>
      <w:r w:rsidRPr="00B143AB">
        <w:t>in</w:t>
      </w:r>
      <w:r w:rsidR="000159A6">
        <w:t xml:space="preserve"> </w:t>
      </w:r>
      <w:r w:rsidRPr="00B143AB">
        <w:t>the</w:t>
      </w:r>
      <w:r w:rsidR="000159A6">
        <w:t xml:space="preserve"> </w:t>
      </w:r>
      <w:r w:rsidRPr="00B143AB">
        <w:t>pivotal</w:t>
      </w:r>
      <w:r w:rsidR="000159A6">
        <w:t xml:space="preserve"> </w:t>
      </w:r>
      <w:r w:rsidRPr="00B143AB">
        <w:t>studies</w:t>
      </w:r>
      <w:r w:rsidR="000159A6">
        <w:t xml:space="preserve"> </w:t>
      </w:r>
      <w:r w:rsidRPr="00B143AB">
        <w:t>showed</w:t>
      </w:r>
      <w:r w:rsidR="000159A6">
        <w:t xml:space="preserve"> </w:t>
      </w:r>
      <w:r w:rsidRPr="00B143AB">
        <w:t>a</w:t>
      </w:r>
      <w:r w:rsidR="000159A6">
        <w:t xml:space="preserve"> </w:t>
      </w:r>
      <w:r w:rsidRPr="00B143AB">
        <w:t>lower</w:t>
      </w:r>
      <w:r w:rsidR="000159A6">
        <w:t xml:space="preserve"> </w:t>
      </w:r>
      <w:r w:rsidRPr="00B143AB">
        <w:t>rate</w:t>
      </w:r>
      <w:r w:rsidR="000159A6">
        <w:t xml:space="preserve"> </w:t>
      </w:r>
      <w:r w:rsidRPr="00B143AB">
        <w:t>of</w:t>
      </w:r>
      <w:r w:rsidR="000159A6">
        <w:t xml:space="preserve"> </w:t>
      </w:r>
      <w:r w:rsidRPr="00B143AB">
        <w:t>HZ</w:t>
      </w:r>
      <w:r w:rsidR="000159A6">
        <w:t xml:space="preserve"> </w:t>
      </w:r>
      <w:r w:rsidRPr="00B143AB">
        <w:t>than</w:t>
      </w:r>
      <w:r w:rsidR="000159A6">
        <w:t xml:space="preserve"> </w:t>
      </w:r>
      <w:r w:rsidRPr="00B143AB">
        <w:t>expected,</w:t>
      </w:r>
      <w:r w:rsidR="000159A6">
        <w:t xml:space="preserve"> </w:t>
      </w:r>
      <w:r w:rsidRPr="00B143AB">
        <w:t>in</w:t>
      </w:r>
      <w:r w:rsidR="000159A6">
        <w:t xml:space="preserve"> </w:t>
      </w:r>
      <w:r w:rsidRPr="00B143AB">
        <w:t>comparison</w:t>
      </w:r>
      <w:r w:rsidR="000159A6">
        <w:t xml:space="preserve"> </w:t>
      </w:r>
      <w:r w:rsidRPr="00B143AB">
        <w:t>to</w:t>
      </w:r>
      <w:r w:rsidR="000159A6">
        <w:t xml:space="preserve"> </w:t>
      </w:r>
      <w:r w:rsidRPr="00B143AB">
        <w:t>the</w:t>
      </w:r>
      <w:r w:rsidR="000159A6">
        <w:t xml:space="preserve"> </w:t>
      </w:r>
      <w:r w:rsidRPr="00B143AB">
        <w:t>Australian</w:t>
      </w:r>
      <w:r w:rsidR="000159A6">
        <w:t xml:space="preserve"> </w:t>
      </w:r>
      <w:r w:rsidRPr="00B143AB">
        <w:t>population.</w:t>
      </w:r>
      <w:r w:rsidR="000159A6">
        <w:t xml:space="preserve"> </w:t>
      </w:r>
      <w:r w:rsidRPr="00B143AB">
        <w:t>The</w:t>
      </w:r>
      <w:r w:rsidR="000159A6">
        <w:t xml:space="preserve"> </w:t>
      </w:r>
      <w:r w:rsidRPr="00B143AB">
        <w:t>outcomes</w:t>
      </w:r>
      <w:r w:rsidR="000159A6">
        <w:t xml:space="preserve"> </w:t>
      </w:r>
      <w:r w:rsidRPr="00B143AB">
        <w:t>of</w:t>
      </w:r>
      <w:r w:rsidR="000159A6">
        <w:t xml:space="preserve"> </w:t>
      </w:r>
      <w:r w:rsidRPr="00B143AB">
        <w:t>the</w:t>
      </w:r>
      <w:r w:rsidR="000159A6">
        <w:t xml:space="preserve"> </w:t>
      </w:r>
      <w:r w:rsidRPr="00B143AB">
        <w:t>clinical</w:t>
      </w:r>
      <w:r w:rsidR="000159A6">
        <w:t xml:space="preserve"> </w:t>
      </w:r>
      <w:r w:rsidRPr="00B143AB">
        <w:t>studies,</w:t>
      </w:r>
      <w:r w:rsidR="000159A6">
        <w:t xml:space="preserve"> </w:t>
      </w:r>
      <w:r w:rsidRPr="00B143AB">
        <w:t>in</w:t>
      </w:r>
      <w:r w:rsidR="000159A6">
        <w:t xml:space="preserve"> </w:t>
      </w:r>
      <w:r w:rsidRPr="00B143AB">
        <w:t>a</w:t>
      </w:r>
      <w:r w:rsidR="000159A6">
        <w:t xml:space="preserve"> </w:t>
      </w:r>
      <w:r w:rsidRPr="00B143AB">
        <w:t>possibly</w:t>
      </w:r>
      <w:r w:rsidR="000159A6">
        <w:t xml:space="preserve"> </w:t>
      </w:r>
      <w:r w:rsidRPr="00B143AB">
        <w:t>healthier</w:t>
      </w:r>
      <w:r w:rsidR="000159A6">
        <w:t xml:space="preserve"> </w:t>
      </w:r>
      <w:r w:rsidRPr="00B143AB">
        <w:t>population,</w:t>
      </w:r>
      <w:r w:rsidR="000159A6">
        <w:t xml:space="preserve"> </w:t>
      </w:r>
      <w:r w:rsidRPr="00B143AB">
        <w:t>may</w:t>
      </w:r>
      <w:r w:rsidR="000159A6">
        <w:t xml:space="preserve"> </w:t>
      </w:r>
      <w:r w:rsidRPr="00B143AB">
        <w:t>have</w:t>
      </w:r>
      <w:r w:rsidR="000159A6">
        <w:t xml:space="preserve"> </w:t>
      </w:r>
      <w:r w:rsidRPr="00B143AB">
        <w:t>underestimated</w:t>
      </w:r>
      <w:r w:rsidR="000159A6">
        <w:t xml:space="preserve"> </w:t>
      </w:r>
      <w:r w:rsidRPr="00B143AB">
        <w:t>the</w:t>
      </w:r>
      <w:r w:rsidR="000159A6">
        <w:t xml:space="preserve"> </w:t>
      </w:r>
      <w:r w:rsidRPr="00B143AB">
        <w:t>favourable</w:t>
      </w:r>
      <w:r w:rsidR="000159A6">
        <w:t xml:space="preserve"> </w:t>
      </w:r>
      <w:r w:rsidRPr="00B143AB">
        <w:t>efficacy</w:t>
      </w:r>
      <w:r w:rsidR="000159A6">
        <w:t xml:space="preserve"> </w:t>
      </w:r>
      <w:r w:rsidRPr="00B143AB">
        <w:t>an</w:t>
      </w:r>
      <w:r>
        <w:t>d</w:t>
      </w:r>
      <w:r w:rsidR="000159A6">
        <w:t xml:space="preserve"> </w:t>
      </w:r>
      <w:r>
        <w:t>safety</w:t>
      </w:r>
      <w:r w:rsidR="000159A6">
        <w:t xml:space="preserve"> </w:t>
      </w:r>
      <w:r>
        <w:t>outcomes</w:t>
      </w:r>
      <w:r w:rsidR="000159A6">
        <w:t xml:space="preserve"> </w:t>
      </w:r>
      <w:r>
        <w:t>for</w:t>
      </w:r>
      <w:r w:rsidR="000159A6">
        <w:t xml:space="preserve"> </w:t>
      </w:r>
      <w:r w:rsidR="00FF12AA">
        <w:t>Shingrix</w:t>
      </w:r>
      <w:r>
        <w:t>.</w:t>
      </w:r>
    </w:p>
    <w:p w14:paraId="06F07B6E" w14:textId="3F654816" w:rsidR="00B143AB" w:rsidRDefault="00B143AB" w:rsidP="00B143AB">
      <w:r w:rsidRPr="00B143AB">
        <w:lastRenderedPageBreak/>
        <w:t>The</w:t>
      </w:r>
      <w:r w:rsidR="000159A6">
        <w:t xml:space="preserve"> </w:t>
      </w:r>
      <w:r w:rsidRPr="00B143AB">
        <w:t>ACV</w:t>
      </w:r>
      <w:r w:rsidR="000159A6">
        <w:t xml:space="preserve"> </w:t>
      </w:r>
      <w:r w:rsidRPr="00B143AB">
        <w:t>noted</w:t>
      </w:r>
      <w:r w:rsidR="000159A6">
        <w:t xml:space="preserve"> </w:t>
      </w:r>
      <w:r w:rsidRPr="00B143AB">
        <w:t>that</w:t>
      </w:r>
      <w:r w:rsidR="000159A6">
        <w:t xml:space="preserve"> </w:t>
      </w:r>
      <w:r w:rsidRPr="00B143AB">
        <w:t>administration</w:t>
      </w:r>
      <w:r w:rsidR="000159A6">
        <w:t xml:space="preserve"> </w:t>
      </w:r>
      <w:r w:rsidRPr="00B143AB">
        <w:t>of</w:t>
      </w:r>
      <w:r w:rsidR="000159A6">
        <w:t xml:space="preserve"> </w:t>
      </w:r>
      <w:r w:rsidRPr="00B143AB">
        <w:t>paracetamol</w:t>
      </w:r>
      <w:r w:rsidR="000159A6">
        <w:t xml:space="preserve"> </w:t>
      </w:r>
      <w:r w:rsidRPr="00B143AB">
        <w:t>or</w:t>
      </w:r>
      <w:r w:rsidR="000159A6">
        <w:t xml:space="preserve"> </w:t>
      </w:r>
      <w:r w:rsidRPr="00B143AB">
        <w:t>non-steroidal</w:t>
      </w:r>
      <w:r w:rsidR="000159A6">
        <w:t xml:space="preserve"> </w:t>
      </w:r>
      <w:r w:rsidRPr="00B143AB">
        <w:t>anti-inflammatory</w:t>
      </w:r>
      <w:r w:rsidR="000159A6">
        <w:t xml:space="preserve"> </w:t>
      </w:r>
      <w:r w:rsidRPr="00B143AB">
        <w:t>drugs</w:t>
      </w:r>
      <w:r w:rsidR="000159A6">
        <w:t xml:space="preserve"> </w:t>
      </w:r>
      <w:r w:rsidRPr="00B143AB">
        <w:t>(NSAIDs)</w:t>
      </w:r>
      <w:r w:rsidR="000159A6">
        <w:t xml:space="preserve"> </w:t>
      </w:r>
      <w:r w:rsidRPr="00B143AB">
        <w:t>following</w:t>
      </w:r>
      <w:r w:rsidR="000159A6">
        <w:t xml:space="preserve"> </w:t>
      </w:r>
      <w:r w:rsidRPr="00B143AB">
        <w:t>vaccination</w:t>
      </w:r>
      <w:r w:rsidR="000159A6">
        <w:t xml:space="preserve"> </w:t>
      </w:r>
      <w:r w:rsidRPr="00B143AB">
        <w:t>was</w:t>
      </w:r>
      <w:r w:rsidR="000159A6">
        <w:t xml:space="preserve"> </w:t>
      </w:r>
      <w:r w:rsidRPr="00B143AB">
        <w:t>highly</w:t>
      </w:r>
      <w:r w:rsidR="000159A6">
        <w:t xml:space="preserve"> </w:t>
      </w:r>
      <w:r w:rsidRPr="00B143AB">
        <w:t>likely,</w:t>
      </w:r>
      <w:r w:rsidR="000159A6">
        <w:t xml:space="preserve"> </w:t>
      </w:r>
      <w:r w:rsidRPr="00B143AB">
        <w:t>whether</w:t>
      </w:r>
      <w:r w:rsidR="000159A6">
        <w:t xml:space="preserve"> </w:t>
      </w:r>
      <w:r w:rsidRPr="00B143AB">
        <w:t>suggested</w:t>
      </w:r>
      <w:r w:rsidR="000159A6">
        <w:t xml:space="preserve"> </w:t>
      </w:r>
      <w:r w:rsidRPr="00B143AB">
        <w:t>by</w:t>
      </w:r>
      <w:r w:rsidR="000159A6">
        <w:t xml:space="preserve"> </w:t>
      </w:r>
      <w:r w:rsidRPr="00B143AB">
        <w:t>a</w:t>
      </w:r>
      <w:r w:rsidR="000159A6">
        <w:t xml:space="preserve"> </w:t>
      </w:r>
      <w:r w:rsidRPr="00B143AB">
        <w:t>healthcare</w:t>
      </w:r>
      <w:r w:rsidR="000159A6">
        <w:t xml:space="preserve"> </w:t>
      </w:r>
      <w:r w:rsidRPr="00B143AB">
        <w:t>practitioner</w:t>
      </w:r>
      <w:r w:rsidR="000159A6">
        <w:t xml:space="preserve"> </w:t>
      </w:r>
      <w:r w:rsidRPr="00B143AB">
        <w:t>or</w:t>
      </w:r>
      <w:r w:rsidR="000159A6">
        <w:t xml:space="preserve"> </w:t>
      </w:r>
      <w:r w:rsidRPr="00B143AB">
        <w:t>self-selected,</w:t>
      </w:r>
      <w:r w:rsidR="000159A6">
        <w:t xml:space="preserve"> </w:t>
      </w:r>
      <w:r w:rsidRPr="00B143AB">
        <w:t>given</w:t>
      </w:r>
      <w:r w:rsidR="000159A6">
        <w:t xml:space="preserve"> </w:t>
      </w:r>
      <w:r w:rsidRPr="00B143AB">
        <w:t>the</w:t>
      </w:r>
      <w:r w:rsidR="000159A6">
        <w:t xml:space="preserve"> </w:t>
      </w:r>
      <w:r w:rsidRPr="00B143AB">
        <w:t>profile</w:t>
      </w:r>
      <w:r w:rsidR="000159A6">
        <w:t xml:space="preserve"> </w:t>
      </w:r>
      <w:r w:rsidRPr="00B143AB">
        <w:t>and</w:t>
      </w:r>
      <w:r w:rsidR="000159A6">
        <w:t xml:space="preserve"> </w:t>
      </w:r>
      <w:r w:rsidRPr="00B143AB">
        <w:t>severity</w:t>
      </w:r>
      <w:r w:rsidR="000159A6">
        <w:t xml:space="preserve"> </w:t>
      </w:r>
      <w:r w:rsidRPr="00B143AB">
        <w:t>of</w:t>
      </w:r>
      <w:r w:rsidR="000159A6">
        <w:t xml:space="preserve"> </w:t>
      </w:r>
      <w:r w:rsidRPr="00B143AB">
        <w:t>adverse</w:t>
      </w:r>
      <w:r w:rsidR="000159A6">
        <w:t xml:space="preserve"> </w:t>
      </w:r>
      <w:r w:rsidRPr="00B143AB">
        <w:t>events.</w:t>
      </w:r>
      <w:r w:rsidR="000159A6">
        <w:t xml:space="preserve"> </w:t>
      </w:r>
      <w:r w:rsidRPr="00B143AB">
        <w:t>However,</w:t>
      </w:r>
      <w:r w:rsidR="000159A6">
        <w:t xml:space="preserve"> </w:t>
      </w:r>
      <w:r w:rsidRPr="00B143AB">
        <w:t>there</w:t>
      </w:r>
      <w:r w:rsidR="000159A6">
        <w:t xml:space="preserve"> </w:t>
      </w:r>
      <w:r w:rsidRPr="00B143AB">
        <w:t>was</w:t>
      </w:r>
      <w:r w:rsidR="000159A6">
        <w:t xml:space="preserve"> </w:t>
      </w:r>
      <w:r w:rsidRPr="00B143AB">
        <w:t>no</w:t>
      </w:r>
      <w:r w:rsidR="000159A6">
        <w:t xml:space="preserve"> </w:t>
      </w:r>
      <w:r w:rsidRPr="00B143AB">
        <w:t>information</w:t>
      </w:r>
      <w:r w:rsidR="000159A6">
        <w:t xml:space="preserve"> </w:t>
      </w:r>
      <w:r w:rsidRPr="00B143AB">
        <w:t>in</w:t>
      </w:r>
      <w:r w:rsidR="000159A6">
        <w:t xml:space="preserve"> </w:t>
      </w:r>
      <w:r w:rsidRPr="00B143AB">
        <w:t>the</w:t>
      </w:r>
      <w:r w:rsidR="000159A6">
        <w:t xml:space="preserve"> </w:t>
      </w:r>
      <w:r w:rsidRPr="00B143AB">
        <w:t>PI,</w:t>
      </w:r>
      <w:r w:rsidR="000159A6">
        <w:t xml:space="preserve"> </w:t>
      </w:r>
      <w:r w:rsidRPr="00B143AB">
        <w:t>or</w:t>
      </w:r>
      <w:r w:rsidR="000159A6">
        <w:t xml:space="preserve"> </w:t>
      </w:r>
      <w:r w:rsidRPr="00B143AB">
        <w:t>in</w:t>
      </w:r>
      <w:r w:rsidR="000159A6">
        <w:t xml:space="preserve"> </w:t>
      </w:r>
      <w:r w:rsidRPr="00B143AB">
        <w:t>the</w:t>
      </w:r>
      <w:r w:rsidR="000159A6">
        <w:t xml:space="preserve"> </w:t>
      </w:r>
      <w:r w:rsidRPr="00B143AB">
        <w:t>clinical</w:t>
      </w:r>
      <w:r w:rsidR="000159A6">
        <w:t xml:space="preserve"> </w:t>
      </w:r>
      <w:r w:rsidRPr="00B143AB">
        <w:t>data,</w:t>
      </w:r>
      <w:r w:rsidR="000159A6">
        <w:t xml:space="preserve"> </w:t>
      </w:r>
      <w:r w:rsidRPr="00B143AB">
        <w:t>of</w:t>
      </w:r>
      <w:r w:rsidR="000159A6">
        <w:t xml:space="preserve"> </w:t>
      </w:r>
      <w:r w:rsidRPr="00B143AB">
        <w:t>the</w:t>
      </w:r>
      <w:r w:rsidR="000159A6">
        <w:t xml:space="preserve"> </w:t>
      </w:r>
      <w:r w:rsidRPr="00B143AB">
        <w:t>effect,</w:t>
      </w:r>
      <w:r w:rsidR="000159A6">
        <w:t xml:space="preserve"> </w:t>
      </w:r>
      <w:r w:rsidRPr="00B143AB">
        <w:t>if</w:t>
      </w:r>
      <w:r w:rsidR="000159A6">
        <w:t xml:space="preserve"> </w:t>
      </w:r>
      <w:r w:rsidRPr="00B143AB">
        <w:t>any,</w:t>
      </w:r>
      <w:r w:rsidR="000159A6">
        <w:t xml:space="preserve"> </w:t>
      </w:r>
      <w:r w:rsidRPr="00B143AB">
        <w:t>of</w:t>
      </w:r>
      <w:r w:rsidR="000159A6">
        <w:t xml:space="preserve"> </w:t>
      </w:r>
      <w:r w:rsidRPr="00B143AB">
        <w:t>co-administration</w:t>
      </w:r>
      <w:r w:rsidR="000159A6">
        <w:t xml:space="preserve"> </w:t>
      </w:r>
      <w:r w:rsidRPr="00B143AB">
        <w:t>of</w:t>
      </w:r>
      <w:r w:rsidR="000159A6">
        <w:t xml:space="preserve"> </w:t>
      </w:r>
      <w:r w:rsidRPr="00B143AB">
        <w:t>paracetamol</w:t>
      </w:r>
      <w:r w:rsidR="000159A6">
        <w:t xml:space="preserve"> </w:t>
      </w:r>
      <w:r w:rsidRPr="00B143AB">
        <w:t>or</w:t>
      </w:r>
      <w:r w:rsidR="000159A6">
        <w:t xml:space="preserve"> </w:t>
      </w:r>
      <w:r w:rsidRPr="00B143AB">
        <w:t>NSAIDs</w:t>
      </w:r>
      <w:r w:rsidR="000159A6">
        <w:t xml:space="preserve"> </w:t>
      </w:r>
      <w:r w:rsidRPr="00B143AB">
        <w:t>on</w:t>
      </w:r>
      <w:r w:rsidR="000159A6">
        <w:t xml:space="preserve"> </w:t>
      </w:r>
      <w:r w:rsidRPr="00B143AB">
        <w:t>antibody</w:t>
      </w:r>
      <w:r w:rsidR="000159A6">
        <w:t xml:space="preserve"> </w:t>
      </w:r>
      <w:r w:rsidRPr="00B143AB">
        <w:t>response</w:t>
      </w:r>
      <w:r w:rsidR="000159A6">
        <w:t xml:space="preserve"> </w:t>
      </w:r>
      <w:r w:rsidRPr="00B143AB">
        <w:t>and</w:t>
      </w:r>
      <w:r w:rsidR="000159A6">
        <w:t xml:space="preserve"> </w:t>
      </w:r>
      <w:r w:rsidRPr="00B143AB">
        <w:t>vaccine</w:t>
      </w:r>
      <w:r w:rsidR="000159A6">
        <w:t xml:space="preserve"> </w:t>
      </w:r>
      <w:r w:rsidRPr="00B143AB">
        <w:t>effectiveness.</w:t>
      </w:r>
      <w:r w:rsidR="000159A6">
        <w:t xml:space="preserve"> </w:t>
      </w:r>
      <w:r w:rsidRPr="00B143AB">
        <w:t>The</w:t>
      </w:r>
      <w:r w:rsidR="000159A6">
        <w:t xml:space="preserve"> </w:t>
      </w:r>
      <w:r w:rsidRPr="00B143AB">
        <w:t>ACV</w:t>
      </w:r>
      <w:r w:rsidR="000159A6">
        <w:t xml:space="preserve"> </w:t>
      </w:r>
      <w:r w:rsidRPr="00B143AB">
        <w:t>advised</w:t>
      </w:r>
      <w:r w:rsidR="000159A6">
        <w:t xml:space="preserve"> </w:t>
      </w:r>
      <w:r w:rsidRPr="00B143AB">
        <w:t>that</w:t>
      </w:r>
      <w:r w:rsidR="000159A6">
        <w:t xml:space="preserve"> </w:t>
      </w:r>
      <w:r w:rsidR="00FF12AA">
        <w:t>Shingrix</w:t>
      </w:r>
      <w:r w:rsidR="000159A6">
        <w:t xml:space="preserve"> </w:t>
      </w:r>
      <w:r w:rsidRPr="00B143AB">
        <w:t>packaging</w:t>
      </w:r>
      <w:r w:rsidR="000159A6">
        <w:t xml:space="preserve"> </w:t>
      </w:r>
      <w:r w:rsidRPr="00B143AB">
        <w:t>should</w:t>
      </w:r>
      <w:r w:rsidR="000159A6">
        <w:t xml:space="preserve"> </w:t>
      </w:r>
      <w:r w:rsidRPr="00B143AB">
        <w:t>include</w:t>
      </w:r>
      <w:r w:rsidR="000159A6">
        <w:t xml:space="preserve"> </w:t>
      </w:r>
      <w:r w:rsidRPr="00B143AB">
        <w:t>the</w:t>
      </w:r>
      <w:r w:rsidR="000159A6">
        <w:t xml:space="preserve"> </w:t>
      </w:r>
      <w:r w:rsidRPr="00B143AB">
        <w:t>age</w:t>
      </w:r>
      <w:r w:rsidR="000159A6">
        <w:t xml:space="preserve"> </w:t>
      </w:r>
      <w:r w:rsidRPr="00B143AB">
        <w:t>group</w:t>
      </w:r>
      <w:r w:rsidR="000159A6">
        <w:t xml:space="preserve"> </w:t>
      </w:r>
      <w:r w:rsidRPr="00B143AB">
        <w:t>mentioned</w:t>
      </w:r>
      <w:r w:rsidR="000159A6">
        <w:t xml:space="preserve"> </w:t>
      </w:r>
      <w:r w:rsidRPr="00B143AB">
        <w:t>in</w:t>
      </w:r>
      <w:r w:rsidR="000159A6">
        <w:t xml:space="preserve"> </w:t>
      </w:r>
      <w:r w:rsidRPr="00B143AB">
        <w:t>the</w:t>
      </w:r>
      <w:r w:rsidR="000159A6">
        <w:t xml:space="preserve"> </w:t>
      </w:r>
      <w:r w:rsidRPr="00B143AB">
        <w:t>indication</w:t>
      </w:r>
      <w:r w:rsidR="000159A6">
        <w:t xml:space="preserve"> </w:t>
      </w:r>
      <w:r w:rsidRPr="00B143AB">
        <w:t>and</w:t>
      </w:r>
      <w:r w:rsidR="000159A6">
        <w:t xml:space="preserve"> </w:t>
      </w:r>
      <w:r w:rsidRPr="00B143AB">
        <w:t>the</w:t>
      </w:r>
      <w:r w:rsidR="000159A6">
        <w:t xml:space="preserve"> </w:t>
      </w:r>
      <w:r w:rsidRPr="00B143AB">
        <w:t>route</w:t>
      </w:r>
      <w:r w:rsidR="000159A6">
        <w:t xml:space="preserve"> </w:t>
      </w:r>
      <w:r w:rsidRPr="00B143AB">
        <w:t>of</w:t>
      </w:r>
      <w:r w:rsidR="000159A6">
        <w:t xml:space="preserve"> </w:t>
      </w:r>
      <w:r w:rsidRPr="00B143AB">
        <w:t>administration</w:t>
      </w:r>
      <w:r w:rsidR="000159A6">
        <w:t xml:space="preserve"> </w:t>
      </w:r>
      <w:r w:rsidRPr="00B143AB">
        <w:t>(intramuscular).</w:t>
      </w:r>
      <w:r w:rsidR="000159A6">
        <w:t xml:space="preserve"> </w:t>
      </w:r>
      <w:r w:rsidRPr="00B143AB">
        <w:t>Education</w:t>
      </w:r>
      <w:r w:rsidR="000159A6">
        <w:t xml:space="preserve"> </w:t>
      </w:r>
      <w:r w:rsidRPr="00B143AB">
        <w:t>for</w:t>
      </w:r>
      <w:r w:rsidR="000159A6">
        <w:t xml:space="preserve"> </w:t>
      </w:r>
      <w:r w:rsidRPr="00B143AB">
        <w:t>healthcare</w:t>
      </w:r>
      <w:r w:rsidR="000159A6">
        <w:t xml:space="preserve"> </w:t>
      </w:r>
      <w:r w:rsidRPr="00B143AB">
        <w:t>practitioners</w:t>
      </w:r>
      <w:r w:rsidR="000159A6">
        <w:t xml:space="preserve"> </w:t>
      </w:r>
      <w:r w:rsidRPr="00B143AB">
        <w:t>administering</w:t>
      </w:r>
      <w:r w:rsidR="000159A6">
        <w:t xml:space="preserve"> </w:t>
      </w:r>
      <w:r w:rsidRPr="00B143AB">
        <w:t>the</w:t>
      </w:r>
      <w:r w:rsidR="000159A6">
        <w:t xml:space="preserve"> </w:t>
      </w:r>
      <w:r w:rsidRPr="00B143AB">
        <w:t>vaccine</w:t>
      </w:r>
      <w:r w:rsidR="000159A6">
        <w:t xml:space="preserve"> </w:t>
      </w:r>
      <w:r w:rsidRPr="00B143AB">
        <w:t>should</w:t>
      </w:r>
      <w:r w:rsidR="000159A6">
        <w:t xml:space="preserve"> </w:t>
      </w:r>
      <w:r w:rsidRPr="00B143AB">
        <w:t>emphasise</w:t>
      </w:r>
      <w:r w:rsidR="000159A6">
        <w:t xml:space="preserve"> </w:t>
      </w:r>
      <w:r w:rsidRPr="00B143AB">
        <w:t>the</w:t>
      </w:r>
      <w:r w:rsidR="000159A6">
        <w:t xml:space="preserve"> </w:t>
      </w:r>
      <w:r w:rsidRPr="00B143AB">
        <w:t>high</w:t>
      </w:r>
      <w:r w:rsidR="000159A6">
        <w:t xml:space="preserve"> </w:t>
      </w:r>
      <w:r w:rsidRPr="00B143AB">
        <w:t>rate</w:t>
      </w:r>
      <w:r w:rsidR="000159A6">
        <w:t xml:space="preserve"> </w:t>
      </w:r>
      <w:r w:rsidRPr="00B143AB">
        <w:t>of</w:t>
      </w:r>
      <w:r w:rsidR="000159A6">
        <w:t xml:space="preserve"> </w:t>
      </w:r>
      <w:r w:rsidRPr="00B143AB">
        <w:t>adverse</w:t>
      </w:r>
      <w:r w:rsidR="000159A6">
        <w:t xml:space="preserve"> </w:t>
      </w:r>
      <w:r w:rsidRPr="00B143AB">
        <w:t>events,</w:t>
      </w:r>
      <w:r w:rsidR="000159A6">
        <w:t xml:space="preserve"> </w:t>
      </w:r>
      <w:r w:rsidRPr="00B143AB">
        <w:t>including</w:t>
      </w:r>
      <w:r w:rsidR="000159A6">
        <w:t xml:space="preserve"> </w:t>
      </w:r>
      <w:r w:rsidR="004715B4">
        <w:t>Grade</w:t>
      </w:r>
      <w:r w:rsidR="000159A6">
        <w:t xml:space="preserve"> </w:t>
      </w:r>
      <w:r w:rsidRPr="00B143AB">
        <w:t>3</w:t>
      </w:r>
      <w:r w:rsidR="000159A6">
        <w:t xml:space="preserve"> </w:t>
      </w:r>
      <w:r w:rsidRPr="00B143AB">
        <w:t>reactions.</w:t>
      </w:r>
    </w:p>
    <w:p w14:paraId="7D24A1DB" w14:textId="77777777" w:rsidR="008E7846" w:rsidRPr="00CF240D" w:rsidRDefault="008E7846" w:rsidP="00CF240D">
      <w:pPr>
        <w:pStyle w:val="Heading3"/>
      </w:pPr>
      <w:bookmarkStart w:id="258" w:name="_Toc247691532"/>
      <w:bookmarkStart w:id="259" w:name="_Toc314842516"/>
      <w:bookmarkStart w:id="260" w:name="_Toc1049831"/>
      <w:bookmarkEnd w:id="145"/>
      <w:bookmarkEnd w:id="255"/>
      <w:bookmarkEnd w:id="256"/>
      <w:r w:rsidRPr="00CF240D">
        <w:t>Outc</w:t>
      </w:r>
      <w:r w:rsidRPr="002E1097">
        <w:t>o</w:t>
      </w:r>
      <w:r w:rsidRPr="00CF240D">
        <w:t>me</w:t>
      </w:r>
      <w:bookmarkEnd w:id="258"/>
      <w:bookmarkEnd w:id="259"/>
      <w:bookmarkEnd w:id="260"/>
    </w:p>
    <w:p w14:paraId="6171C642" w14:textId="2CF56B11" w:rsidR="00D23139" w:rsidRPr="007E7B17" w:rsidRDefault="00D23139" w:rsidP="002E1097">
      <w:bookmarkStart w:id="261" w:name="_Toc247691533"/>
      <w:bookmarkStart w:id="262" w:name="_Toc314842517"/>
      <w:r w:rsidRPr="00D23139">
        <w:t>Based</w:t>
      </w:r>
      <w:r w:rsidR="000159A6">
        <w:t xml:space="preserve"> </w:t>
      </w:r>
      <w:r w:rsidRPr="00D23139">
        <w:t>on</w:t>
      </w:r>
      <w:r w:rsidR="000159A6">
        <w:t xml:space="preserve"> </w:t>
      </w:r>
      <w:r w:rsidRPr="00D23139">
        <w:t>a</w:t>
      </w:r>
      <w:r w:rsidR="000159A6">
        <w:t xml:space="preserve"> </w:t>
      </w:r>
      <w:r w:rsidRPr="00D23139">
        <w:t>review</w:t>
      </w:r>
      <w:r w:rsidR="000159A6">
        <w:t xml:space="preserve"> </w:t>
      </w:r>
      <w:r w:rsidRPr="00D23139">
        <w:t>of</w:t>
      </w:r>
      <w:r w:rsidR="000159A6">
        <w:t xml:space="preserve"> </w:t>
      </w:r>
      <w:r w:rsidRPr="00D23139">
        <w:t>quality,</w:t>
      </w:r>
      <w:r w:rsidR="000159A6">
        <w:t xml:space="preserve"> </w:t>
      </w:r>
      <w:r w:rsidRPr="00D23139">
        <w:t>safety</w:t>
      </w:r>
      <w:r w:rsidR="000159A6">
        <w:t xml:space="preserve"> </w:t>
      </w:r>
      <w:r w:rsidRPr="00D23139">
        <w:t>and</w:t>
      </w:r>
      <w:r w:rsidR="000159A6">
        <w:t xml:space="preserve"> </w:t>
      </w:r>
      <w:r w:rsidRPr="00D23139">
        <w:t>efficacy,</w:t>
      </w:r>
      <w:r w:rsidR="000159A6">
        <w:t xml:space="preserve"> </w:t>
      </w:r>
      <w:r w:rsidRPr="00D23139">
        <w:t>TGA</w:t>
      </w:r>
      <w:r w:rsidR="000159A6">
        <w:t xml:space="preserve"> </w:t>
      </w:r>
      <w:r w:rsidRPr="00D23139">
        <w:t>approved</w:t>
      </w:r>
      <w:r w:rsidR="000159A6">
        <w:t xml:space="preserve"> </w:t>
      </w:r>
      <w:r w:rsidRPr="00D23139">
        <w:t>the</w:t>
      </w:r>
      <w:r w:rsidR="000159A6">
        <w:t xml:space="preserve"> </w:t>
      </w:r>
      <w:r w:rsidRPr="00D23139">
        <w:t>registration</w:t>
      </w:r>
      <w:r w:rsidR="000159A6">
        <w:t xml:space="preserve"> </w:t>
      </w:r>
      <w:r w:rsidRPr="00D23139">
        <w:t>of</w:t>
      </w:r>
      <w:r w:rsidR="000159A6">
        <w:t xml:space="preserve"> </w:t>
      </w:r>
      <w:r w:rsidR="00FF12AA">
        <w:t>Shingrix</w:t>
      </w:r>
      <w:r w:rsidR="000159A6">
        <w:t xml:space="preserve"> </w:t>
      </w:r>
      <w:r w:rsidR="007E7B17">
        <w:t>recombinant</w:t>
      </w:r>
      <w:r w:rsidR="000159A6">
        <w:t xml:space="preserve"> </w:t>
      </w:r>
      <w:r w:rsidR="007E7B17">
        <w:t>Varicella</w:t>
      </w:r>
      <w:r w:rsidR="000159A6">
        <w:t xml:space="preserve"> </w:t>
      </w:r>
      <w:r w:rsidR="007E7B17">
        <w:t>Zoster</w:t>
      </w:r>
      <w:r w:rsidR="000159A6">
        <w:t xml:space="preserve"> </w:t>
      </w:r>
      <w:r w:rsidR="007E7B17">
        <w:t>Virus</w:t>
      </w:r>
      <w:r w:rsidR="000159A6">
        <w:t xml:space="preserve"> </w:t>
      </w:r>
      <w:r w:rsidR="007E7B17">
        <w:t>glycoprotein</w:t>
      </w:r>
      <w:r w:rsidR="000159A6">
        <w:t xml:space="preserve"> </w:t>
      </w:r>
      <w:r w:rsidR="007E7B17">
        <w:t>E</w:t>
      </w:r>
      <w:r w:rsidR="000159A6">
        <w:t xml:space="preserve"> </w:t>
      </w:r>
      <w:r w:rsidR="007E7B17">
        <w:t>antigen</w:t>
      </w:r>
      <w:r w:rsidR="000159A6">
        <w:t xml:space="preserve"> </w:t>
      </w:r>
      <w:r w:rsidR="007E7B17">
        <w:t>50</w:t>
      </w:r>
      <w:r w:rsidR="000159A6">
        <w:t xml:space="preserve"> </w:t>
      </w:r>
      <w:r w:rsidR="007E7B17">
        <w:t>micrograms</w:t>
      </w:r>
      <w:r w:rsidR="000159A6">
        <w:t xml:space="preserve"> </w:t>
      </w:r>
      <w:r w:rsidR="007E7B17">
        <w:t>powder</w:t>
      </w:r>
      <w:r w:rsidR="000159A6">
        <w:t xml:space="preserve"> </w:t>
      </w:r>
      <w:r w:rsidR="007E7B17">
        <w:t>and</w:t>
      </w:r>
      <w:r w:rsidR="000159A6">
        <w:t xml:space="preserve"> </w:t>
      </w:r>
      <w:r w:rsidR="007E7B17">
        <w:t>suspension</w:t>
      </w:r>
      <w:r w:rsidR="000159A6">
        <w:t xml:space="preserve"> </w:t>
      </w:r>
      <w:r w:rsidR="007E7B17">
        <w:t>for</w:t>
      </w:r>
      <w:r w:rsidR="000159A6">
        <w:t xml:space="preserve"> </w:t>
      </w:r>
      <w:r w:rsidR="007E7B17">
        <w:t>suspension</w:t>
      </w:r>
      <w:r w:rsidR="000159A6">
        <w:t xml:space="preserve"> </w:t>
      </w:r>
      <w:r w:rsidR="007E7B17">
        <w:t>for</w:t>
      </w:r>
      <w:r w:rsidR="000159A6">
        <w:t xml:space="preserve"> </w:t>
      </w:r>
      <w:r w:rsidR="007E7B17">
        <w:t>injection</w:t>
      </w:r>
      <w:r w:rsidR="000159A6">
        <w:t xml:space="preserve"> </w:t>
      </w:r>
      <w:r w:rsidR="007E7B17">
        <w:t>vial</w:t>
      </w:r>
      <w:r w:rsidR="000159A6">
        <w:t xml:space="preserve"> </w:t>
      </w:r>
      <w:r w:rsidRPr="00D23139">
        <w:t>indicated</w:t>
      </w:r>
      <w:r w:rsidR="000159A6">
        <w:t xml:space="preserve"> </w:t>
      </w:r>
      <w:r w:rsidRPr="00D23139">
        <w:t>for:</w:t>
      </w:r>
    </w:p>
    <w:p w14:paraId="2463C3D4" w14:textId="26041EB9" w:rsidR="005C0A6F" w:rsidRPr="007E7B17" w:rsidRDefault="00FF12AA" w:rsidP="007E7B17">
      <w:pPr>
        <w:ind w:left="720"/>
        <w:rPr>
          <w:i/>
        </w:rPr>
      </w:pPr>
      <w:r>
        <w:rPr>
          <w:i/>
        </w:rPr>
        <w:t>Shingrix</w:t>
      </w:r>
      <w:r w:rsidR="000159A6">
        <w:rPr>
          <w:i/>
        </w:rPr>
        <w:t xml:space="preserve"> </w:t>
      </w:r>
      <w:r w:rsidR="007E7B17" w:rsidRPr="007E7B17">
        <w:rPr>
          <w:i/>
        </w:rPr>
        <w:t>is</w:t>
      </w:r>
      <w:r w:rsidR="000159A6">
        <w:rPr>
          <w:i/>
        </w:rPr>
        <w:t xml:space="preserve"> </w:t>
      </w:r>
      <w:r w:rsidR="007E7B17" w:rsidRPr="007E7B17">
        <w:rPr>
          <w:i/>
        </w:rPr>
        <w:t>indicated</w:t>
      </w:r>
      <w:r w:rsidR="000159A6">
        <w:rPr>
          <w:i/>
        </w:rPr>
        <w:t xml:space="preserve"> </w:t>
      </w:r>
      <w:r w:rsidR="007E7B17" w:rsidRPr="007E7B17">
        <w:rPr>
          <w:i/>
        </w:rPr>
        <w:t>for</w:t>
      </w:r>
      <w:r w:rsidR="000159A6">
        <w:rPr>
          <w:i/>
        </w:rPr>
        <w:t xml:space="preserve"> </w:t>
      </w:r>
      <w:r w:rsidR="007E7B17" w:rsidRPr="007E7B17">
        <w:rPr>
          <w:i/>
        </w:rPr>
        <w:t>the</w:t>
      </w:r>
      <w:r w:rsidR="000159A6">
        <w:rPr>
          <w:i/>
        </w:rPr>
        <w:t xml:space="preserve"> </w:t>
      </w:r>
      <w:r w:rsidR="007E7B17" w:rsidRPr="007E7B17">
        <w:rPr>
          <w:i/>
        </w:rPr>
        <w:t>prevention</w:t>
      </w:r>
      <w:r w:rsidR="000159A6">
        <w:rPr>
          <w:i/>
        </w:rPr>
        <w:t xml:space="preserve"> </w:t>
      </w:r>
      <w:r w:rsidR="007E7B17" w:rsidRPr="007E7B17">
        <w:rPr>
          <w:i/>
        </w:rPr>
        <w:t>of</w:t>
      </w:r>
      <w:r w:rsidR="000159A6">
        <w:rPr>
          <w:i/>
        </w:rPr>
        <w:t xml:space="preserve"> </w:t>
      </w:r>
      <w:r w:rsidR="007E7B17" w:rsidRPr="007E7B17">
        <w:rPr>
          <w:i/>
        </w:rPr>
        <w:t>herpes</w:t>
      </w:r>
      <w:r w:rsidR="000159A6">
        <w:rPr>
          <w:i/>
        </w:rPr>
        <w:t xml:space="preserve"> </w:t>
      </w:r>
      <w:r w:rsidR="007E7B17" w:rsidRPr="007E7B17">
        <w:rPr>
          <w:i/>
        </w:rPr>
        <w:t>zoster</w:t>
      </w:r>
      <w:r w:rsidR="000159A6">
        <w:rPr>
          <w:i/>
        </w:rPr>
        <w:t xml:space="preserve"> </w:t>
      </w:r>
      <w:r w:rsidR="007E7B17" w:rsidRPr="007E7B17">
        <w:rPr>
          <w:i/>
        </w:rPr>
        <w:t>and</w:t>
      </w:r>
      <w:r w:rsidR="000159A6">
        <w:rPr>
          <w:i/>
        </w:rPr>
        <w:t xml:space="preserve"> </w:t>
      </w:r>
      <w:r w:rsidR="000E6841">
        <w:rPr>
          <w:i/>
        </w:rPr>
        <w:t>post</w:t>
      </w:r>
      <w:r w:rsidR="000159A6">
        <w:rPr>
          <w:i/>
        </w:rPr>
        <w:t xml:space="preserve"> </w:t>
      </w:r>
      <w:r w:rsidR="000E6841">
        <w:rPr>
          <w:i/>
        </w:rPr>
        <w:t>herpetic</w:t>
      </w:r>
      <w:r w:rsidR="000159A6">
        <w:rPr>
          <w:i/>
        </w:rPr>
        <w:t xml:space="preserve"> </w:t>
      </w:r>
      <w:r w:rsidR="007E7B17" w:rsidRPr="007E7B17">
        <w:rPr>
          <w:i/>
        </w:rPr>
        <w:t>neuralgia</w:t>
      </w:r>
      <w:r w:rsidR="000159A6">
        <w:rPr>
          <w:i/>
        </w:rPr>
        <w:t xml:space="preserve"> </w:t>
      </w:r>
      <w:r w:rsidR="007E7B17" w:rsidRPr="007E7B17">
        <w:rPr>
          <w:i/>
        </w:rPr>
        <w:t>in</w:t>
      </w:r>
      <w:r w:rsidR="000159A6">
        <w:rPr>
          <w:i/>
        </w:rPr>
        <w:t xml:space="preserve"> </w:t>
      </w:r>
      <w:r w:rsidR="007E7B17" w:rsidRPr="007E7B17">
        <w:rPr>
          <w:i/>
        </w:rPr>
        <w:t>adults</w:t>
      </w:r>
      <w:r w:rsidR="000159A6">
        <w:rPr>
          <w:i/>
        </w:rPr>
        <w:t xml:space="preserve"> </w:t>
      </w:r>
      <w:r w:rsidR="007E7B17" w:rsidRPr="007E7B17">
        <w:rPr>
          <w:i/>
        </w:rPr>
        <w:t>50</w:t>
      </w:r>
      <w:r w:rsidR="000159A6">
        <w:rPr>
          <w:i/>
        </w:rPr>
        <w:t xml:space="preserve"> </w:t>
      </w:r>
      <w:r w:rsidR="007E7B17" w:rsidRPr="007E7B17">
        <w:rPr>
          <w:i/>
        </w:rPr>
        <w:t>years</w:t>
      </w:r>
      <w:r w:rsidR="000159A6">
        <w:rPr>
          <w:i/>
        </w:rPr>
        <w:t xml:space="preserve"> </w:t>
      </w:r>
      <w:r w:rsidR="007E7B17" w:rsidRPr="007E7B17">
        <w:rPr>
          <w:i/>
        </w:rPr>
        <w:t>of</w:t>
      </w:r>
      <w:r w:rsidR="000159A6">
        <w:rPr>
          <w:i/>
        </w:rPr>
        <w:t xml:space="preserve"> </w:t>
      </w:r>
      <w:r w:rsidR="007E7B17" w:rsidRPr="007E7B17">
        <w:rPr>
          <w:i/>
        </w:rPr>
        <w:t>age</w:t>
      </w:r>
      <w:r w:rsidR="000159A6">
        <w:rPr>
          <w:i/>
        </w:rPr>
        <w:t xml:space="preserve"> </w:t>
      </w:r>
      <w:r w:rsidR="007E7B17" w:rsidRPr="007E7B17">
        <w:rPr>
          <w:i/>
        </w:rPr>
        <w:t>or</w:t>
      </w:r>
      <w:r w:rsidR="000159A6">
        <w:rPr>
          <w:i/>
        </w:rPr>
        <w:t xml:space="preserve"> </w:t>
      </w:r>
      <w:r w:rsidR="007E7B17" w:rsidRPr="007E7B17">
        <w:rPr>
          <w:i/>
        </w:rPr>
        <w:t>older</w:t>
      </w:r>
      <w:r w:rsidR="0096043C">
        <w:rPr>
          <w:i/>
        </w:rPr>
        <w:t>.</w:t>
      </w:r>
    </w:p>
    <w:p w14:paraId="3A216A14" w14:textId="1FBD19EB" w:rsidR="00D23139" w:rsidRPr="00CF240D" w:rsidRDefault="00D23139" w:rsidP="002E1097">
      <w:pPr>
        <w:pStyle w:val="Heading4"/>
      </w:pPr>
      <w:r w:rsidRPr="00CF240D">
        <w:t>Specific</w:t>
      </w:r>
      <w:r w:rsidR="000159A6" w:rsidRPr="00CF240D">
        <w:t xml:space="preserve"> </w:t>
      </w:r>
      <w:r w:rsidRPr="00CF240D">
        <w:t>conditions</w:t>
      </w:r>
      <w:r w:rsidR="000159A6" w:rsidRPr="00CF240D">
        <w:t xml:space="preserve"> </w:t>
      </w:r>
      <w:r w:rsidRPr="00CF240D">
        <w:t>of</w:t>
      </w:r>
      <w:r w:rsidR="000159A6" w:rsidRPr="00CF240D">
        <w:t xml:space="preserve"> </w:t>
      </w:r>
      <w:r w:rsidRPr="002E1097">
        <w:t>registration</w:t>
      </w:r>
      <w:r w:rsidR="000159A6" w:rsidRPr="00CF240D">
        <w:t xml:space="preserve"> </w:t>
      </w:r>
      <w:r w:rsidRPr="00CF240D">
        <w:t>applying</w:t>
      </w:r>
      <w:r w:rsidR="000159A6" w:rsidRPr="00CF240D">
        <w:t xml:space="preserve"> </w:t>
      </w:r>
      <w:r w:rsidRPr="00CF240D">
        <w:t>to</w:t>
      </w:r>
      <w:r w:rsidR="000159A6" w:rsidRPr="00CF240D">
        <w:t xml:space="preserve"> </w:t>
      </w:r>
      <w:r w:rsidRPr="00CF240D">
        <w:t>these</w:t>
      </w:r>
      <w:r w:rsidR="000159A6" w:rsidRPr="00CF240D">
        <w:t xml:space="preserve"> </w:t>
      </w:r>
      <w:r w:rsidRPr="00CF240D">
        <w:t>goods</w:t>
      </w:r>
    </w:p>
    <w:p w14:paraId="0515173B" w14:textId="35716978" w:rsidR="007E7B17" w:rsidRPr="007E7B17" w:rsidRDefault="00FF12AA" w:rsidP="002E1097">
      <w:pPr>
        <w:pStyle w:val="ListBullet"/>
      </w:pPr>
      <w:r>
        <w:t>Shingrix</w:t>
      </w:r>
      <w:r w:rsidR="000159A6">
        <w:t xml:space="preserve"> </w:t>
      </w:r>
      <w:r w:rsidR="007E7B17" w:rsidRPr="007E7B17">
        <w:t>(recombinant</w:t>
      </w:r>
      <w:r w:rsidR="000159A6">
        <w:t xml:space="preserve"> </w:t>
      </w:r>
      <w:r w:rsidR="007E7B17" w:rsidRPr="007E7B17">
        <w:t>varicella</w:t>
      </w:r>
      <w:r w:rsidR="000159A6">
        <w:t xml:space="preserve"> </w:t>
      </w:r>
      <w:r w:rsidR="007E7B17" w:rsidRPr="007E7B17">
        <w:t>zoster</w:t>
      </w:r>
      <w:r w:rsidR="000159A6">
        <w:t xml:space="preserve"> </w:t>
      </w:r>
      <w:r w:rsidR="007E7B17" w:rsidRPr="002E1097">
        <w:t>virus</w:t>
      </w:r>
      <w:r w:rsidR="000159A6">
        <w:t xml:space="preserve"> </w:t>
      </w:r>
      <w:r w:rsidR="007E7B17" w:rsidRPr="007E7B17">
        <w:t>(VZV)</w:t>
      </w:r>
      <w:r w:rsidR="000159A6">
        <w:t xml:space="preserve"> </w:t>
      </w:r>
      <w:r w:rsidR="007E7B17" w:rsidRPr="007E7B17">
        <w:t>glycoprotein</w:t>
      </w:r>
      <w:r w:rsidR="000159A6">
        <w:t xml:space="preserve"> </w:t>
      </w:r>
      <w:r w:rsidR="007E7B17" w:rsidRPr="007E7B17">
        <w:t>E</w:t>
      </w:r>
      <w:r w:rsidR="000159A6">
        <w:t xml:space="preserve"> </w:t>
      </w:r>
      <w:r w:rsidR="007E7B17" w:rsidRPr="007E7B17">
        <w:t>(</w:t>
      </w:r>
      <w:proofErr w:type="gramStart"/>
      <w:r w:rsidR="007E7B17" w:rsidRPr="007E7B17">
        <w:t>gE</w:t>
      </w:r>
      <w:proofErr w:type="gramEnd"/>
      <w:r w:rsidR="007E7B17" w:rsidRPr="007E7B17">
        <w:t>)</w:t>
      </w:r>
      <w:r w:rsidR="000159A6">
        <w:t xml:space="preserve"> </w:t>
      </w:r>
      <w:r w:rsidR="007E7B17" w:rsidRPr="007E7B17">
        <w:t>vaccine)</w:t>
      </w:r>
      <w:r w:rsidR="000159A6">
        <w:t xml:space="preserve"> </w:t>
      </w:r>
      <w:r w:rsidR="007E7B17" w:rsidRPr="007E7B17">
        <w:t>is</w:t>
      </w:r>
      <w:r w:rsidR="000159A6">
        <w:t xml:space="preserve"> </w:t>
      </w:r>
      <w:r w:rsidR="007E7B17" w:rsidRPr="007E7B17">
        <w:t>to</w:t>
      </w:r>
      <w:r w:rsidR="000159A6">
        <w:t xml:space="preserve"> </w:t>
      </w:r>
      <w:r w:rsidR="007E7B17" w:rsidRPr="007E7B17">
        <w:t>be</w:t>
      </w:r>
      <w:r w:rsidR="000159A6">
        <w:t xml:space="preserve"> </w:t>
      </w:r>
      <w:r w:rsidR="007E7B17" w:rsidRPr="007E7B17">
        <w:t>included</w:t>
      </w:r>
      <w:r w:rsidR="000159A6">
        <w:t xml:space="preserve"> </w:t>
      </w:r>
      <w:r w:rsidR="007E7B17" w:rsidRPr="007E7B17">
        <w:t>in</w:t>
      </w:r>
      <w:r w:rsidR="000159A6">
        <w:t xml:space="preserve"> </w:t>
      </w:r>
      <w:r w:rsidR="007E7B17" w:rsidRPr="007E7B17">
        <w:t>the</w:t>
      </w:r>
      <w:r w:rsidR="000159A6">
        <w:t xml:space="preserve"> </w:t>
      </w:r>
      <w:r w:rsidR="007E7B17" w:rsidRPr="007E7B17">
        <w:t>Black</w:t>
      </w:r>
      <w:r w:rsidR="000159A6">
        <w:t xml:space="preserve"> </w:t>
      </w:r>
      <w:r w:rsidR="007E7B17" w:rsidRPr="007E7B17">
        <w:t>Triangle</w:t>
      </w:r>
      <w:r w:rsidR="000159A6">
        <w:t xml:space="preserve"> </w:t>
      </w:r>
      <w:r w:rsidR="007E7B17" w:rsidRPr="007E7B17">
        <w:t>Scheme.</w:t>
      </w:r>
      <w:r w:rsidR="000159A6">
        <w:t xml:space="preserve"> </w:t>
      </w:r>
      <w:r w:rsidR="007E7B17" w:rsidRPr="007E7B17">
        <w:t>The</w:t>
      </w:r>
      <w:r w:rsidR="000159A6">
        <w:t xml:space="preserve"> </w:t>
      </w:r>
      <w:r w:rsidR="007E7B17" w:rsidRPr="007E7B17">
        <w:t>PI</w:t>
      </w:r>
      <w:r w:rsidR="000159A6">
        <w:t xml:space="preserve"> </w:t>
      </w:r>
      <w:r w:rsidR="007E7B17" w:rsidRPr="007E7B17">
        <w:t>an</w:t>
      </w:r>
      <w:r w:rsidR="007E7B17">
        <w:t>d</w:t>
      </w:r>
      <w:r w:rsidR="000159A6">
        <w:t xml:space="preserve"> </w:t>
      </w:r>
      <w:r w:rsidR="007E7B17">
        <w:t>CMI</w:t>
      </w:r>
      <w:r w:rsidR="000159A6">
        <w:t xml:space="preserve"> </w:t>
      </w:r>
      <w:r w:rsidR="007E7B17">
        <w:t>for</w:t>
      </w:r>
      <w:r w:rsidR="000159A6">
        <w:t xml:space="preserve"> </w:t>
      </w:r>
      <w:r>
        <w:t>Shingrix</w:t>
      </w:r>
      <w:r w:rsidR="000159A6">
        <w:t xml:space="preserve"> </w:t>
      </w:r>
      <w:r w:rsidR="007E7B17">
        <w:t>must</w:t>
      </w:r>
      <w:r w:rsidR="000159A6">
        <w:t xml:space="preserve"> </w:t>
      </w:r>
      <w:r w:rsidR="007E7B17">
        <w:t>include</w:t>
      </w:r>
      <w:r w:rsidR="000159A6">
        <w:t xml:space="preserve"> </w:t>
      </w:r>
      <w:r w:rsidR="007E7B17" w:rsidRPr="007E7B17">
        <w:t>the</w:t>
      </w:r>
      <w:r w:rsidR="000159A6">
        <w:t xml:space="preserve"> </w:t>
      </w:r>
      <w:r w:rsidR="007E7B17" w:rsidRPr="007E7B17">
        <w:t>black</w:t>
      </w:r>
      <w:r w:rsidR="000159A6">
        <w:t xml:space="preserve"> </w:t>
      </w:r>
      <w:r w:rsidR="007E7B17" w:rsidRPr="007E7B17">
        <w:t>triangle</w:t>
      </w:r>
      <w:r w:rsidR="000159A6">
        <w:t xml:space="preserve"> </w:t>
      </w:r>
      <w:r w:rsidR="007E7B17" w:rsidRPr="007E7B17">
        <w:t>symbol</w:t>
      </w:r>
      <w:r w:rsidR="000159A6">
        <w:t xml:space="preserve"> </w:t>
      </w:r>
      <w:r w:rsidR="007E7B17" w:rsidRPr="007E7B17">
        <w:t>and</w:t>
      </w:r>
      <w:r w:rsidR="000159A6">
        <w:t xml:space="preserve"> </w:t>
      </w:r>
      <w:r w:rsidR="007E7B17" w:rsidRPr="007E7B17">
        <w:t>mandatory</w:t>
      </w:r>
      <w:r w:rsidR="000159A6">
        <w:t xml:space="preserve"> </w:t>
      </w:r>
      <w:r w:rsidR="007E7B17" w:rsidRPr="007E7B17">
        <w:t>accompanying</w:t>
      </w:r>
      <w:r w:rsidR="000159A6">
        <w:t xml:space="preserve"> </w:t>
      </w:r>
      <w:r w:rsidR="007E7B17" w:rsidRPr="007E7B17">
        <w:t>te</w:t>
      </w:r>
      <w:r w:rsidR="007E7B17">
        <w:t>xt</w:t>
      </w:r>
      <w:r w:rsidR="000159A6">
        <w:t xml:space="preserve"> </w:t>
      </w:r>
      <w:r w:rsidR="007E7B17">
        <w:t>for</w:t>
      </w:r>
      <w:r w:rsidR="000159A6">
        <w:t xml:space="preserve"> </w:t>
      </w:r>
      <w:r w:rsidR="007E7B17">
        <w:t>five</w:t>
      </w:r>
      <w:r w:rsidR="000159A6">
        <w:t xml:space="preserve"> </w:t>
      </w:r>
      <w:r w:rsidR="007E7B17">
        <w:t>years,</w:t>
      </w:r>
      <w:r w:rsidR="000159A6">
        <w:t xml:space="preserve"> </w:t>
      </w:r>
      <w:r w:rsidR="007E7B17">
        <w:t>which</w:t>
      </w:r>
      <w:r w:rsidR="000159A6">
        <w:t xml:space="preserve"> </w:t>
      </w:r>
      <w:r w:rsidR="007E7B17">
        <w:t>starts</w:t>
      </w:r>
      <w:r w:rsidR="000159A6">
        <w:t xml:space="preserve"> </w:t>
      </w:r>
      <w:r w:rsidR="007E7B17" w:rsidRPr="007E7B17">
        <w:t>from</w:t>
      </w:r>
      <w:r w:rsidR="000159A6">
        <w:t xml:space="preserve"> </w:t>
      </w:r>
      <w:r w:rsidR="007E7B17" w:rsidRPr="007E7B17">
        <w:t>the</w:t>
      </w:r>
      <w:r w:rsidR="000159A6">
        <w:t xml:space="preserve"> </w:t>
      </w:r>
      <w:r w:rsidR="007E7B17" w:rsidRPr="007E7B17">
        <w:t>date</w:t>
      </w:r>
      <w:r w:rsidR="000159A6">
        <w:t xml:space="preserve"> </w:t>
      </w:r>
      <w:r w:rsidR="007E7B17" w:rsidRPr="007E7B17">
        <w:t>that</w:t>
      </w:r>
      <w:r w:rsidR="000159A6">
        <w:t xml:space="preserve"> </w:t>
      </w:r>
      <w:r w:rsidR="007E7B17" w:rsidRPr="007E7B17">
        <w:t>the</w:t>
      </w:r>
      <w:r w:rsidR="000159A6">
        <w:t xml:space="preserve"> </w:t>
      </w:r>
      <w:r w:rsidR="007E7B17" w:rsidRPr="007E7B17">
        <w:t>sponsor</w:t>
      </w:r>
      <w:r w:rsidR="000159A6">
        <w:t xml:space="preserve"> </w:t>
      </w:r>
      <w:r w:rsidR="007E7B17" w:rsidRPr="007E7B17">
        <w:t>notifies</w:t>
      </w:r>
      <w:r w:rsidR="000159A6">
        <w:t xml:space="preserve"> </w:t>
      </w:r>
      <w:r w:rsidR="007E7B17" w:rsidRPr="007E7B17">
        <w:t>the</w:t>
      </w:r>
      <w:r w:rsidR="000159A6">
        <w:t xml:space="preserve"> </w:t>
      </w:r>
      <w:r w:rsidR="007E7B17" w:rsidRPr="007E7B17">
        <w:t>TGA</w:t>
      </w:r>
      <w:r w:rsidR="000159A6">
        <w:t xml:space="preserve"> </w:t>
      </w:r>
      <w:r w:rsidR="007E7B17" w:rsidRPr="007E7B17">
        <w:t>of</w:t>
      </w:r>
      <w:r w:rsidR="000159A6">
        <w:t xml:space="preserve"> </w:t>
      </w:r>
      <w:r w:rsidR="007E7B17" w:rsidRPr="007E7B17">
        <w:t>supply</w:t>
      </w:r>
      <w:r w:rsidR="000159A6">
        <w:t xml:space="preserve"> </w:t>
      </w:r>
      <w:r w:rsidR="007E7B17" w:rsidRPr="007E7B17">
        <w:t>of</w:t>
      </w:r>
      <w:r w:rsidR="000159A6">
        <w:t xml:space="preserve"> </w:t>
      </w:r>
      <w:r w:rsidR="007E7B17" w:rsidRPr="007E7B17">
        <w:t>the</w:t>
      </w:r>
      <w:r w:rsidR="000159A6">
        <w:t xml:space="preserve"> </w:t>
      </w:r>
      <w:r w:rsidR="007E7B17" w:rsidRPr="007E7B17">
        <w:t>product.</w:t>
      </w:r>
    </w:p>
    <w:p w14:paraId="2412A0C7" w14:textId="39252F45" w:rsidR="007E7B17" w:rsidRPr="007E7B17" w:rsidRDefault="007E7B17" w:rsidP="007E7B17">
      <w:pPr>
        <w:pStyle w:val="ListBullet"/>
      </w:pPr>
      <w:r w:rsidRPr="007E7B17">
        <w:t>The</w:t>
      </w:r>
      <w:r w:rsidR="000159A6">
        <w:t xml:space="preserve"> </w:t>
      </w:r>
      <w:r w:rsidR="00FF12AA">
        <w:t>Shingrix</w:t>
      </w:r>
      <w:r w:rsidR="000159A6">
        <w:t xml:space="preserve"> </w:t>
      </w:r>
      <w:r w:rsidRPr="007E7B17">
        <w:t>EU-Risk</w:t>
      </w:r>
      <w:r w:rsidR="000159A6">
        <w:t xml:space="preserve"> </w:t>
      </w:r>
      <w:r w:rsidRPr="007E7B17">
        <w:t>Management</w:t>
      </w:r>
      <w:r w:rsidR="000159A6">
        <w:t xml:space="preserve"> </w:t>
      </w:r>
      <w:r w:rsidRPr="007E7B17">
        <w:t>Plan</w:t>
      </w:r>
      <w:r w:rsidR="000159A6">
        <w:t xml:space="preserve"> </w:t>
      </w:r>
      <w:r w:rsidRPr="007E7B17">
        <w:t>(RMP)</w:t>
      </w:r>
      <w:r w:rsidR="000159A6">
        <w:t xml:space="preserve"> </w:t>
      </w:r>
      <w:r w:rsidRPr="007E7B17">
        <w:t>(vers</w:t>
      </w:r>
      <w:r>
        <w:t>ion</w:t>
      </w:r>
      <w:r w:rsidR="000159A6">
        <w:t xml:space="preserve"> </w:t>
      </w:r>
      <w:r>
        <w:t>1.0,</w:t>
      </w:r>
      <w:r w:rsidR="000159A6">
        <w:t xml:space="preserve"> </w:t>
      </w:r>
      <w:r>
        <w:t>dated</w:t>
      </w:r>
      <w:r w:rsidR="000159A6">
        <w:t xml:space="preserve"> </w:t>
      </w:r>
      <w:r>
        <w:t>25</w:t>
      </w:r>
      <w:r w:rsidR="000159A6">
        <w:t xml:space="preserve"> </w:t>
      </w:r>
      <w:r>
        <w:t>January</w:t>
      </w:r>
      <w:r w:rsidR="000159A6">
        <w:t xml:space="preserve"> </w:t>
      </w:r>
      <w:r>
        <w:t>2018,</w:t>
      </w:r>
      <w:r w:rsidR="000159A6">
        <w:t xml:space="preserve"> </w:t>
      </w:r>
      <w:r w:rsidRPr="007E7B17">
        <w:t>data</w:t>
      </w:r>
      <w:r w:rsidR="000159A6">
        <w:t xml:space="preserve"> </w:t>
      </w:r>
      <w:r w:rsidRPr="007E7B17">
        <w:t>lock</w:t>
      </w:r>
      <w:r w:rsidR="000159A6">
        <w:t xml:space="preserve"> </w:t>
      </w:r>
      <w:r w:rsidRPr="007E7B17">
        <w:t>point</w:t>
      </w:r>
      <w:r w:rsidR="000159A6">
        <w:t xml:space="preserve"> </w:t>
      </w:r>
      <w:r w:rsidRPr="007E7B17">
        <w:t>12</w:t>
      </w:r>
      <w:r w:rsidR="000159A6">
        <w:t xml:space="preserve"> </w:t>
      </w:r>
      <w:r w:rsidRPr="007E7B17">
        <w:t>October</w:t>
      </w:r>
      <w:r w:rsidR="000159A6">
        <w:t xml:space="preserve"> </w:t>
      </w:r>
      <w:r w:rsidRPr="007E7B17">
        <w:t>2015),</w:t>
      </w:r>
      <w:r w:rsidR="000159A6">
        <w:t xml:space="preserve"> </w:t>
      </w:r>
      <w:r w:rsidRPr="007E7B17">
        <w:t>with</w:t>
      </w:r>
      <w:r w:rsidR="000159A6">
        <w:t xml:space="preserve"> </w:t>
      </w:r>
      <w:r w:rsidRPr="007E7B17">
        <w:t>Australian</w:t>
      </w:r>
      <w:r w:rsidR="000159A6">
        <w:t xml:space="preserve"> </w:t>
      </w:r>
      <w:r w:rsidRPr="007E7B17">
        <w:t>Specifi</w:t>
      </w:r>
      <w:r>
        <w:t>c</w:t>
      </w:r>
      <w:r w:rsidR="000159A6">
        <w:t xml:space="preserve"> </w:t>
      </w:r>
      <w:r>
        <w:t>Annex</w:t>
      </w:r>
      <w:r w:rsidR="000159A6">
        <w:t xml:space="preserve"> </w:t>
      </w:r>
      <w:r>
        <w:t>(version</w:t>
      </w:r>
      <w:r w:rsidR="000159A6">
        <w:t xml:space="preserve"> </w:t>
      </w:r>
      <w:r>
        <w:t>2,</w:t>
      </w:r>
      <w:r w:rsidR="000159A6">
        <w:t xml:space="preserve"> </w:t>
      </w:r>
      <w:r>
        <w:t>dated</w:t>
      </w:r>
      <w:r w:rsidR="000159A6">
        <w:t xml:space="preserve"> </w:t>
      </w:r>
      <w:r>
        <w:t>April</w:t>
      </w:r>
      <w:r w:rsidR="000159A6">
        <w:t xml:space="preserve"> </w:t>
      </w:r>
      <w:r w:rsidRPr="007E7B17">
        <w:t>2018),</w:t>
      </w:r>
      <w:r w:rsidR="000159A6">
        <w:t xml:space="preserve"> </w:t>
      </w:r>
      <w:r w:rsidRPr="007E7B17">
        <w:t>included</w:t>
      </w:r>
      <w:r w:rsidR="000159A6">
        <w:t xml:space="preserve"> </w:t>
      </w:r>
      <w:r w:rsidRPr="007E7B17">
        <w:t>with</w:t>
      </w:r>
      <w:r w:rsidR="000159A6">
        <w:t xml:space="preserve"> </w:t>
      </w:r>
      <w:r w:rsidRPr="007E7B17">
        <w:t>submission</w:t>
      </w:r>
      <w:r w:rsidR="000159A6">
        <w:t xml:space="preserve"> </w:t>
      </w:r>
      <w:r w:rsidRPr="007E7B17">
        <w:t>PM-2017-01784-1-2</w:t>
      </w:r>
      <w:r>
        <w:t>,</w:t>
      </w:r>
      <w:r w:rsidR="000159A6">
        <w:t xml:space="preserve"> </w:t>
      </w:r>
      <w:r>
        <w:t>and</w:t>
      </w:r>
      <w:r w:rsidR="000159A6">
        <w:t xml:space="preserve"> </w:t>
      </w:r>
      <w:r>
        <w:t>any</w:t>
      </w:r>
      <w:r w:rsidR="000159A6">
        <w:t xml:space="preserve"> </w:t>
      </w:r>
      <w:r>
        <w:t>subsequent</w:t>
      </w:r>
      <w:r w:rsidR="000159A6">
        <w:t xml:space="preserve"> </w:t>
      </w:r>
      <w:r>
        <w:t>revisions,</w:t>
      </w:r>
      <w:r w:rsidR="000159A6">
        <w:t xml:space="preserve"> </w:t>
      </w:r>
      <w:r w:rsidRPr="007E7B17">
        <w:t>as</w:t>
      </w:r>
      <w:r w:rsidR="000159A6">
        <w:t xml:space="preserve"> </w:t>
      </w:r>
      <w:r w:rsidRPr="007E7B17">
        <w:t>agreed</w:t>
      </w:r>
      <w:r w:rsidR="000159A6">
        <w:t xml:space="preserve"> </w:t>
      </w:r>
      <w:r w:rsidRPr="007E7B17">
        <w:t>with</w:t>
      </w:r>
      <w:r w:rsidR="000159A6">
        <w:t xml:space="preserve"> </w:t>
      </w:r>
      <w:r w:rsidRPr="007E7B17">
        <w:t>the</w:t>
      </w:r>
      <w:r w:rsidR="000159A6">
        <w:t xml:space="preserve"> </w:t>
      </w:r>
      <w:r w:rsidRPr="007E7B17">
        <w:t>TGA</w:t>
      </w:r>
      <w:r w:rsidR="000159A6">
        <w:t xml:space="preserve"> </w:t>
      </w:r>
      <w:r w:rsidRPr="007E7B17">
        <w:t>will</w:t>
      </w:r>
      <w:r w:rsidR="000159A6">
        <w:t xml:space="preserve"> </w:t>
      </w:r>
      <w:r w:rsidRPr="007E7B17">
        <w:t>be</w:t>
      </w:r>
      <w:r w:rsidR="000159A6">
        <w:t xml:space="preserve"> </w:t>
      </w:r>
      <w:r w:rsidRPr="007E7B17">
        <w:t>implemented</w:t>
      </w:r>
      <w:r w:rsidR="000159A6">
        <w:t xml:space="preserve"> </w:t>
      </w:r>
      <w:r w:rsidRPr="007E7B17">
        <w:t>in</w:t>
      </w:r>
      <w:r w:rsidR="000159A6">
        <w:t xml:space="preserve"> </w:t>
      </w:r>
      <w:r w:rsidRPr="007E7B17">
        <w:t>Australia.</w:t>
      </w:r>
    </w:p>
    <w:p w14:paraId="717D2205" w14:textId="5288F4AF" w:rsidR="007E7B17" w:rsidRPr="007E7B17" w:rsidRDefault="007E7B17" w:rsidP="007E7B17">
      <w:pPr>
        <w:pStyle w:val="ListBullet"/>
      </w:pPr>
      <w:r w:rsidRPr="007E7B17">
        <w:t>Batch</w:t>
      </w:r>
      <w:r w:rsidR="000159A6">
        <w:t xml:space="preserve"> </w:t>
      </w:r>
      <w:r w:rsidRPr="007E7B17">
        <w:t>Release</w:t>
      </w:r>
      <w:r w:rsidR="000159A6">
        <w:t xml:space="preserve"> </w:t>
      </w:r>
      <w:r w:rsidRPr="007E7B17">
        <w:t>Testing</w:t>
      </w:r>
      <w:r w:rsidR="000159A6">
        <w:t xml:space="preserve"> </w:t>
      </w:r>
      <w:r w:rsidRPr="007E7B17">
        <w:t>and</w:t>
      </w:r>
      <w:r w:rsidR="000159A6">
        <w:t xml:space="preserve"> </w:t>
      </w:r>
      <w:r w:rsidRPr="007E7B17">
        <w:t>Compliance</w:t>
      </w:r>
      <w:r w:rsidR="000159A6">
        <w:t xml:space="preserve"> </w:t>
      </w:r>
      <w:r w:rsidRPr="007E7B17">
        <w:t>with</w:t>
      </w:r>
      <w:r w:rsidR="000159A6">
        <w:t xml:space="preserve"> </w:t>
      </w:r>
      <w:r w:rsidRPr="007E7B17">
        <w:t>the</w:t>
      </w:r>
      <w:r w:rsidR="000159A6">
        <w:t xml:space="preserve"> </w:t>
      </w:r>
      <w:r w:rsidRPr="007E7B17">
        <w:t>Certified</w:t>
      </w:r>
      <w:r w:rsidR="000159A6">
        <w:t xml:space="preserve"> </w:t>
      </w:r>
      <w:r w:rsidRPr="007E7B17">
        <w:t>Product</w:t>
      </w:r>
      <w:r w:rsidR="000159A6">
        <w:t xml:space="preserve"> </w:t>
      </w:r>
      <w:r w:rsidRPr="007E7B17">
        <w:t>Details</w:t>
      </w:r>
    </w:p>
    <w:p w14:paraId="74EC64F4" w14:textId="068FF37E" w:rsidR="007E7B17" w:rsidRDefault="007E7B17" w:rsidP="002E1097">
      <w:pPr>
        <w:pStyle w:val="ListBullet2"/>
      </w:pPr>
      <w:r w:rsidRPr="007E7B17">
        <w:t>It</w:t>
      </w:r>
      <w:r w:rsidR="000159A6">
        <w:t xml:space="preserve"> </w:t>
      </w:r>
      <w:r w:rsidRPr="007E7B17">
        <w:t>is</w:t>
      </w:r>
      <w:r w:rsidR="000159A6">
        <w:t xml:space="preserve"> </w:t>
      </w:r>
      <w:r w:rsidRPr="007E7B17">
        <w:t>a</w:t>
      </w:r>
      <w:r w:rsidR="000159A6">
        <w:t xml:space="preserve"> </w:t>
      </w:r>
      <w:r w:rsidRPr="007E7B17">
        <w:t>condition</w:t>
      </w:r>
      <w:r w:rsidR="000159A6">
        <w:t xml:space="preserve"> </w:t>
      </w:r>
      <w:r w:rsidRPr="007E7B17">
        <w:t>of</w:t>
      </w:r>
      <w:r w:rsidR="000159A6">
        <w:t xml:space="preserve"> </w:t>
      </w:r>
      <w:r w:rsidRPr="007E7B17">
        <w:t>registration</w:t>
      </w:r>
      <w:r w:rsidR="000159A6">
        <w:t xml:space="preserve"> </w:t>
      </w:r>
      <w:r w:rsidRPr="007E7B17">
        <w:t>that</w:t>
      </w:r>
      <w:r w:rsidR="000159A6">
        <w:t xml:space="preserve"> </w:t>
      </w:r>
      <w:r w:rsidRPr="007E7B17">
        <w:t>all</w:t>
      </w:r>
      <w:r w:rsidR="000159A6">
        <w:t xml:space="preserve"> </w:t>
      </w:r>
      <w:r w:rsidRPr="007E7B17">
        <w:t>independent</w:t>
      </w:r>
      <w:r w:rsidR="000159A6">
        <w:t xml:space="preserve"> </w:t>
      </w:r>
      <w:r w:rsidRPr="007E7B17">
        <w:t>ba</w:t>
      </w:r>
      <w:r>
        <w:t>tches</w:t>
      </w:r>
      <w:r w:rsidR="000159A6">
        <w:t xml:space="preserve"> </w:t>
      </w:r>
      <w:r>
        <w:t>of</w:t>
      </w:r>
      <w:r w:rsidR="000159A6">
        <w:t xml:space="preserve"> </w:t>
      </w:r>
      <w:r w:rsidR="00FF12AA">
        <w:t>Shingrix</w:t>
      </w:r>
      <w:r w:rsidR="000159A6">
        <w:t xml:space="preserve"> </w:t>
      </w:r>
      <w:r>
        <w:t>imported</w:t>
      </w:r>
      <w:r w:rsidR="000159A6">
        <w:t xml:space="preserve"> </w:t>
      </w:r>
      <w:r>
        <w:t>into</w:t>
      </w:r>
      <w:r w:rsidR="000159A6">
        <w:t xml:space="preserve"> </w:t>
      </w:r>
      <w:r w:rsidRPr="007E7B17">
        <w:t>Australia</w:t>
      </w:r>
      <w:r w:rsidR="000159A6">
        <w:t xml:space="preserve"> </w:t>
      </w:r>
      <w:r w:rsidRPr="007E7B17">
        <w:t>are</w:t>
      </w:r>
      <w:r w:rsidR="000159A6">
        <w:t xml:space="preserve"> </w:t>
      </w:r>
      <w:r w:rsidRPr="007E7B17">
        <w:t>not</w:t>
      </w:r>
      <w:r w:rsidR="000159A6">
        <w:t xml:space="preserve"> </w:t>
      </w:r>
      <w:r w:rsidRPr="007E7B17">
        <w:t>released</w:t>
      </w:r>
      <w:r w:rsidR="000159A6">
        <w:t xml:space="preserve"> </w:t>
      </w:r>
      <w:r w:rsidRPr="007E7B17">
        <w:t>for</w:t>
      </w:r>
      <w:r w:rsidR="000159A6">
        <w:t xml:space="preserve"> </w:t>
      </w:r>
      <w:r w:rsidRPr="007E7B17">
        <w:t>sale</w:t>
      </w:r>
      <w:r w:rsidR="000159A6">
        <w:t xml:space="preserve"> </w:t>
      </w:r>
      <w:r w:rsidRPr="007E7B17">
        <w:t>until</w:t>
      </w:r>
      <w:r w:rsidR="000159A6">
        <w:t xml:space="preserve"> </w:t>
      </w:r>
      <w:r w:rsidRPr="007E7B17">
        <w:t>samples</w:t>
      </w:r>
      <w:r w:rsidR="000159A6">
        <w:t xml:space="preserve"> </w:t>
      </w:r>
      <w:r w:rsidRPr="007E7B17">
        <w:t>and</w:t>
      </w:r>
      <w:r w:rsidR="000159A6">
        <w:t xml:space="preserve"> </w:t>
      </w:r>
      <w:r>
        <w:t>the</w:t>
      </w:r>
      <w:r w:rsidR="000159A6">
        <w:t xml:space="preserve"> </w:t>
      </w:r>
      <w:r>
        <w:t>manufacturer’s</w:t>
      </w:r>
      <w:r w:rsidR="000159A6">
        <w:t xml:space="preserve"> </w:t>
      </w:r>
      <w:r>
        <w:t>release</w:t>
      </w:r>
      <w:r w:rsidR="000159A6">
        <w:t xml:space="preserve"> </w:t>
      </w:r>
      <w:r>
        <w:t>data</w:t>
      </w:r>
      <w:r w:rsidR="000159A6">
        <w:t xml:space="preserve"> </w:t>
      </w:r>
      <w:r w:rsidRPr="007E7B17">
        <w:t>have</w:t>
      </w:r>
      <w:r w:rsidR="000159A6">
        <w:t xml:space="preserve"> </w:t>
      </w:r>
      <w:r w:rsidRPr="007E7B17">
        <w:t>been</w:t>
      </w:r>
      <w:r w:rsidR="000159A6">
        <w:t xml:space="preserve"> </w:t>
      </w:r>
      <w:r w:rsidRPr="002E1097">
        <w:t>assessed</w:t>
      </w:r>
      <w:r w:rsidR="000159A6">
        <w:t xml:space="preserve"> </w:t>
      </w:r>
      <w:r w:rsidRPr="007E7B17">
        <w:t>and</w:t>
      </w:r>
      <w:r w:rsidR="000159A6">
        <w:t xml:space="preserve"> </w:t>
      </w:r>
      <w:r w:rsidRPr="007E7B17">
        <w:t>you</w:t>
      </w:r>
      <w:r w:rsidR="000159A6">
        <w:t xml:space="preserve"> </w:t>
      </w:r>
      <w:r w:rsidRPr="007E7B17">
        <w:t>have</w:t>
      </w:r>
      <w:r w:rsidR="000159A6">
        <w:t xml:space="preserve"> </w:t>
      </w:r>
      <w:r w:rsidRPr="007E7B17">
        <w:t>received</w:t>
      </w:r>
      <w:r w:rsidR="000159A6">
        <w:t xml:space="preserve"> </w:t>
      </w:r>
      <w:r w:rsidRPr="007E7B17">
        <w:t>notification</w:t>
      </w:r>
      <w:r w:rsidR="000159A6">
        <w:t xml:space="preserve"> </w:t>
      </w:r>
      <w:r>
        <w:t>acknowledging</w:t>
      </w:r>
      <w:r w:rsidR="000159A6">
        <w:t xml:space="preserve"> </w:t>
      </w:r>
      <w:r>
        <w:t>release</w:t>
      </w:r>
      <w:r w:rsidR="000159A6">
        <w:t xml:space="preserve"> </w:t>
      </w:r>
      <w:r>
        <w:t>from</w:t>
      </w:r>
      <w:r w:rsidR="000159A6">
        <w:t xml:space="preserve"> </w:t>
      </w:r>
      <w:r>
        <w:t>the</w:t>
      </w:r>
      <w:r w:rsidR="000159A6">
        <w:t xml:space="preserve"> </w:t>
      </w:r>
      <w:r w:rsidRPr="007E7B17">
        <w:t>Laboratories</w:t>
      </w:r>
      <w:r w:rsidR="000159A6">
        <w:t xml:space="preserve"> </w:t>
      </w:r>
      <w:r w:rsidRPr="007E7B17">
        <w:t>Branch,</w:t>
      </w:r>
      <w:r w:rsidR="000159A6">
        <w:t xml:space="preserve"> </w:t>
      </w:r>
      <w:r w:rsidRPr="007E7B17">
        <w:t>TGA.</w:t>
      </w:r>
    </w:p>
    <w:p w14:paraId="472E07EE" w14:textId="35E9463F" w:rsidR="007E7B17" w:rsidRPr="007E7B17" w:rsidRDefault="007E7B17" w:rsidP="007E7B17">
      <w:pPr>
        <w:pStyle w:val="ListBullet2"/>
      </w:pPr>
      <w:r w:rsidRPr="007E7B17">
        <w:t>An</w:t>
      </w:r>
      <w:r w:rsidR="000159A6">
        <w:t xml:space="preserve"> </w:t>
      </w:r>
      <w:r w:rsidRPr="007E7B17">
        <w:t>electronic</w:t>
      </w:r>
      <w:r w:rsidR="000159A6">
        <w:t xml:space="preserve"> </w:t>
      </w:r>
      <w:r w:rsidRPr="007E7B17">
        <w:t>copy</w:t>
      </w:r>
      <w:r w:rsidR="000159A6">
        <w:t xml:space="preserve"> </w:t>
      </w:r>
      <w:r w:rsidRPr="007E7B17">
        <w:t>of</w:t>
      </w:r>
      <w:r w:rsidR="000159A6">
        <w:t xml:space="preserve"> </w:t>
      </w:r>
      <w:r w:rsidRPr="007E7B17">
        <w:t>the</w:t>
      </w:r>
      <w:r w:rsidR="000159A6">
        <w:t xml:space="preserve"> </w:t>
      </w:r>
      <w:r w:rsidRPr="007E7B17">
        <w:t>Certified</w:t>
      </w:r>
      <w:r w:rsidR="000159A6">
        <w:t xml:space="preserve"> </w:t>
      </w:r>
      <w:r w:rsidRPr="007E7B17">
        <w:t>Product</w:t>
      </w:r>
      <w:r w:rsidR="000159A6">
        <w:t xml:space="preserve"> </w:t>
      </w:r>
      <w:r w:rsidRPr="007E7B17">
        <w:t>Details</w:t>
      </w:r>
      <w:r w:rsidR="000159A6">
        <w:t xml:space="preserve"> </w:t>
      </w:r>
      <w:r w:rsidRPr="007E7B17">
        <w:t>(CPD)</w:t>
      </w:r>
      <w:r w:rsidR="000159A6">
        <w:t xml:space="preserve"> </w:t>
      </w:r>
      <w:r w:rsidRPr="007E7B17">
        <w:t>as</w:t>
      </w:r>
      <w:r w:rsidR="000159A6">
        <w:t xml:space="preserve"> </w:t>
      </w:r>
      <w:r w:rsidRPr="007E7B17">
        <w:t>described</w:t>
      </w:r>
      <w:r w:rsidR="000159A6">
        <w:t xml:space="preserve"> </w:t>
      </w:r>
      <w:r w:rsidRPr="007E7B17">
        <w:t>in</w:t>
      </w:r>
      <w:r w:rsidR="000159A6">
        <w:t xml:space="preserve"> </w:t>
      </w:r>
      <w:r w:rsidRPr="007E7B17">
        <w:t>Guidance</w:t>
      </w:r>
      <w:r w:rsidR="000159A6">
        <w:t xml:space="preserve"> </w:t>
      </w:r>
      <w:r w:rsidRPr="007E7B17">
        <w:t>7:</w:t>
      </w:r>
      <w:r w:rsidR="000159A6">
        <w:t xml:space="preserve"> </w:t>
      </w:r>
      <w:r w:rsidRPr="007E7B17">
        <w:t>Certified</w:t>
      </w:r>
      <w:r w:rsidR="000159A6">
        <w:t xml:space="preserve"> </w:t>
      </w:r>
      <w:r w:rsidRPr="007E7B17">
        <w:t>Product</w:t>
      </w:r>
      <w:r w:rsidR="000159A6">
        <w:t xml:space="preserve"> </w:t>
      </w:r>
      <w:r w:rsidRPr="007E7B17">
        <w:t>Details</w:t>
      </w:r>
      <w:r w:rsidR="000159A6">
        <w:t xml:space="preserve"> </w:t>
      </w:r>
      <w:r w:rsidRPr="007E7B17">
        <w:t>of</w:t>
      </w:r>
      <w:r w:rsidR="000159A6">
        <w:t xml:space="preserve"> </w:t>
      </w:r>
      <w:r w:rsidRPr="007E7B17">
        <w:t>the</w:t>
      </w:r>
      <w:r w:rsidR="000159A6">
        <w:t xml:space="preserve"> </w:t>
      </w:r>
      <w:r w:rsidRPr="007E7B17">
        <w:t>Australian</w:t>
      </w:r>
      <w:r w:rsidR="000159A6">
        <w:t xml:space="preserve"> </w:t>
      </w:r>
      <w:r w:rsidRPr="007E7B17">
        <w:t>Regulat</w:t>
      </w:r>
      <w:r>
        <w:t>ory</w:t>
      </w:r>
      <w:r w:rsidR="000159A6">
        <w:t xml:space="preserve"> </w:t>
      </w:r>
      <w:r>
        <w:t>Guidelines</w:t>
      </w:r>
      <w:r w:rsidR="000159A6">
        <w:t xml:space="preserve"> </w:t>
      </w:r>
      <w:r>
        <w:t>for</w:t>
      </w:r>
      <w:r w:rsidR="000159A6">
        <w:t xml:space="preserve"> </w:t>
      </w:r>
      <w:r>
        <w:t>Prescription</w:t>
      </w:r>
      <w:r w:rsidR="000159A6">
        <w:t xml:space="preserve"> </w:t>
      </w:r>
      <w:r w:rsidRPr="007E7B17">
        <w:t>Medicines</w:t>
      </w:r>
      <w:r w:rsidR="000159A6">
        <w:t xml:space="preserve"> </w:t>
      </w:r>
      <w:r w:rsidRPr="007E7B17">
        <w:t>(ARGPM)</w:t>
      </w:r>
      <w:r w:rsidR="000159A6">
        <w:rPr>
          <w:rFonts w:eastAsiaTheme="minorHAnsi" w:cs="Cambria"/>
        </w:rPr>
        <w:t xml:space="preserve"> </w:t>
      </w:r>
      <w:r w:rsidRPr="007E7B17">
        <w:t>should</w:t>
      </w:r>
      <w:r w:rsidR="000159A6">
        <w:t xml:space="preserve"> </w:t>
      </w:r>
      <w:r w:rsidRPr="007E7B17">
        <w:t>be</w:t>
      </w:r>
      <w:r w:rsidR="000159A6">
        <w:t xml:space="preserve"> </w:t>
      </w:r>
      <w:r w:rsidRPr="007E7B17">
        <w:t>provided</w:t>
      </w:r>
      <w:r w:rsidR="000159A6">
        <w:t xml:space="preserve"> </w:t>
      </w:r>
      <w:r w:rsidRPr="007E7B17">
        <w:t>upon</w:t>
      </w:r>
      <w:r w:rsidR="000159A6">
        <w:t xml:space="preserve"> </w:t>
      </w:r>
      <w:r w:rsidRPr="007E7B17">
        <w:t>registration</w:t>
      </w:r>
      <w:r w:rsidR="000159A6">
        <w:t xml:space="preserve"> </w:t>
      </w:r>
      <w:r w:rsidRPr="007E7B17">
        <w:t>of</w:t>
      </w:r>
      <w:r w:rsidR="000159A6">
        <w:t xml:space="preserve"> </w:t>
      </w:r>
      <w:r w:rsidRPr="007E7B17">
        <w:t>the</w:t>
      </w:r>
      <w:r w:rsidR="000159A6">
        <w:t xml:space="preserve"> </w:t>
      </w:r>
      <w:r w:rsidRPr="007E7B17">
        <w:t>therapeutic</w:t>
      </w:r>
      <w:r w:rsidR="000159A6">
        <w:t xml:space="preserve"> </w:t>
      </w:r>
      <w:r w:rsidRPr="007E7B17">
        <w:t>good.</w:t>
      </w:r>
    </w:p>
    <w:p w14:paraId="28777FE6" w14:textId="45E20EEF" w:rsidR="008E7846" w:rsidRPr="00CF240D" w:rsidRDefault="00A80B5B" w:rsidP="002E1097">
      <w:pPr>
        <w:pStyle w:val="Heading2"/>
      </w:pPr>
      <w:bookmarkStart w:id="263" w:name="_Toc1049832"/>
      <w:proofErr w:type="gramStart"/>
      <w:r w:rsidRPr="00CF240D">
        <w:t>Attachment</w:t>
      </w:r>
      <w:r w:rsidR="000159A6" w:rsidRPr="00CF240D">
        <w:t xml:space="preserve"> </w:t>
      </w:r>
      <w:r w:rsidRPr="00CF240D">
        <w:t>1.</w:t>
      </w:r>
      <w:proofErr w:type="gramEnd"/>
      <w:r w:rsidR="000159A6" w:rsidRPr="00CF240D">
        <w:t xml:space="preserve"> </w:t>
      </w:r>
      <w:r w:rsidR="008E7846" w:rsidRPr="00CF240D">
        <w:t>Product</w:t>
      </w:r>
      <w:r w:rsidR="000159A6" w:rsidRPr="00CF240D">
        <w:t xml:space="preserve"> </w:t>
      </w:r>
      <w:r w:rsidR="00AA0ED0" w:rsidRPr="002E1097">
        <w:t>I</w:t>
      </w:r>
      <w:r w:rsidR="008E7846" w:rsidRPr="002E1097">
        <w:t>nformation</w:t>
      </w:r>
      <w:bookmarkEnd w:id="261"/>
      <w:bookmarkEnd w:id="262"/>
      <w:bookmarkEnd w:id="263"/>
    </w:p>
    <w:p w14:paraId="2EC244FC" w14:textId="24BD5563" w:rsidR="00C80137" w:rsidRDefault="006136D7" w:rsidP="007312FC">
      <w:pPr>
        <w:rPr>
          <w:color w:val="000000"/>
          <w:lang w:eastAsia="en-AU"/>
        </w:rPr>
      </w:pPr>
      <w:r w:rsidRPr="002B3624">
        <w:t>The</w:t>
      </w:r>
      <w:r w:rsidR="000159A6">
        <w:t xml:space="preserve"> </w:t>
      </w:r>
      <w:r>
        <w:t>PI</w:t>
      </w:r>
      <w:r w:rsidR="000159A6">
        <w:t xml:space="preserve"> </w:t>
      </w:r>
      <w:r w:rsidRPr="002B3624">
        <w:t>for</w:t>
      </w:r>
      <w:r w:rsidR="000159A6">
        <w:t xml:space="preserve"> </w:t>
      </w:r>
      <w:r w:rsidR="00B143AB">
        <w:t>Shingrix</w:t>
      </w:r>
      <w:r w:rsidR="000159A6">
        <w:t xml:space="preserve"> </w:t>
      </w:r>
      <w:r>
        <w:t>approved</w:t>
      </w:r>
      <w:r w:rsidR="000159A6">
        <w:t xml:space="preserve"> </w:t>
      </w:r>
      <w:r>
        <w:t>with</w:t>
      </w:r>
      <w:r w:rsidR="000159A6">
        <w:t xml:space="preserve"> </w:t>
      </w:r>
      <w:r>
        <w:t>the</w:t>
      </w:r>
      <w:r w:rsidR="000159A6">
        <w:t xml:space="preserve"> </w:t>
      </w:r>
      <w:r>
        <w:t>submission</w:t>
      </w:r>
      <w:r w:rsidR="000159A6">
        <w:t xml:space="preserve"> </w:t>
      </w:r>
      <w:r>
        <w:t>which</w:t>
      </w:r>
      <w:r w:rsidR="000159A6">
        <w:t xml:space="preserve"> </w:t>
      </w:r>
      <w:r>
        <w:t>is</w:t>
      </w:r>
      <w:r w:rsidR="000159A6">
        <w:t xml:space="preserve"> </w:t>
      </w:r>
      <w:r>
        <w:t>described</w:t>
      </w:r>
      <w:r w:rsidR="000159A6">
        <w:t xml:space="preserve"> </w:t>
      </w:r>
      <w:r>
        <w:t>in</w:t>
      </w:r>
      <w:r w:rsidR="000159A6">
        <w:t xml:space="preserve"> </w:t>
      </w:r>
      <w:r w:rsidRPr="002B3624">
        <w:t>this</w:t>
      </w:r>
      <w:r w:rsidR="000159A6">
        <w:t xml:space="preserve"> </w:t>
      </w:r>
      <w:r w:rsidRPr="002B3624">
        <w:t>AusPAR</w:t>
      </w:r>
      <w:r w:rsidR="000159A6">
        <w:t xml:space="preserve"> </w:t>
      </w:r>
      <w:r w:rsidRPr="002B3624">
        <w:t>is</w:t>
      </w:r>
      <w:r w:rsidR="000159A6">
        <w:t xml:space="preserve"> </w:t>
      </w:r>
      <w:r w:rsidRPr="002B3624">
        <w:t>at</w:t>
      </w:r>
      <w:r w:rsidR="000159A6">
        <w:t xml:space="preserve"> </w:t>
      </w:r>
      <w:r w:rsidRPr="002B3624">
        <w:t>Attachment</w:t>
      </w:r>
      <w:r w:rsidR="000159A6">
        <w:t xml:space="preserve"> </w:t>
      </w:r>
      <w:r w:rsidRPr="002B3624">
        <w:t>1.</w:t>
      </w:r>
      <w:r w:rsidR="000159A6">
        <w:t xml:space="preserve"> </w:t>
      </w:r>
      <w:r w:rsidRPr="002B3624">
        <w:t>For</w:t>
      </w:r>
      <w:r w:rsidR="000159A6">
        <w:t xml:space="preserve"> </w:t>
      </w:r>
      <w:r w:rsidRPr="002B3624">
        <w:t>the</w:t>
      </w:r>
      <w:r w:rsidR="000159A6">
        <w:t xml:space="preserve"> </w:t>
      </w:r>
      <w:r w:rsidRPr="002B3624">
        <w:t>most</w:t>
      </w:r>
      <w:r w:rsidR="000159A6">
        <w:t xml:space="preserve"> </w:t>
      </w:r>
      <w:r w:rsidRPr="002B3624">
        <w:t>recent</w:t>
      </w:r>
      <w:r w:rsidR="000159A6">
        <w:t xml:space="preserve"> </w:t>
      </w:r>
      <w:r>
        <w:t>PI,</w:t>
      </w:r>
      <w:r w:rsidR="000159A6">
        <w:t xml:space="preserve"> </w:t>
      </w:r>
      <w:r w:rsidRPr="002B3624">
        <w:t>please</w:t>
      </w:r>
      <w:r w:rsidR="000159A6">
        <w:t xml:space="preserve"> </w:t>
      </w:r>
      <w:r w:rsidRPr="002B3624">
        <w:t>refer</w:t>
      </w:r>
      <w:r w:rsidR="000159A6">
        <w:t xml:space="preserve"> </w:t>
      </w:r>
      <w:r w:rsidRPr="002B3624">
        <w:t>to</w:t>
      </w:r>
      <w:r w:rsidR="000159A6">
        <w:t xml:space="preserve"> </w:t>
      </w:r>
      <w:r w:rsidRPr="002B3624">
        <w:t>the</w:t>
      </w:r>
      <w:r w:rsidR="000159A6">
        <w:t xml:space="preserve"> </w:t>
      </w:r>
      <w:r w:rsidRPr="007C6B9B">
        <w:t>TGA</w:t>
      </w:r>
      <w:r w:rsidR="000159A6">
        <w:t xml:space="preserve"> </w:t>
      </w:r>
      <w:r w:rsidRPr="007C6B9B">
        <w:t>website</w:t>
      </w:r>
      <w:r w:rsidR="000159A6">
        <w:t xml:space="preserve"> </w:t>
      </w:r>
      <w:r w:rsidRPr="007C6B9B">
        <w:t>at</w:t>
      </w:r>
      <w:r w:rsidR="000159A6">
        <w:t xml:space="preserve"> </w:t>
      </w:r>
      <w:r w:rsidR="0037169B">
        <w:t>&lt;</w:t>
      </w:r>
      <w:hyperlink r:id="rId27" w:history="1">
        <w:r w:rsidR="007C6B9B" w:rsidRPr="007C6B9B">
          <w:rPr>
            <w:rStyle w:val="Hyperlink"/>
          </w:rPr>
          <w:t>https://www.tga.gov.au/product-information-pi</w:t>
        </w:r>
      </w:hyperlink>
      <w:r w:rsidR="004715B4">
        <w:t>&gt;</w:t>
      </w:r>
    </w:p>
    <w:p w14:paraId="33F48EB1" w14:textId="0A488851" w:rsidR="00C80137" w:rsidRDefault="00C80137" w:rsidP="002E1097">
      <w:pPr>
        <w:pStyle w:val="Heading2"/>
        <w:rPr>
          <w:lang w:eastAsia="en-AU"/>
        </w:rPr>
      </w:pPr>
      <w:bookmarkStart w:id="264" w:name="_Toc1049833"/>
      <w:proofErr w:type="gramStart"/>
      <w:r w:rsidRPr="00CF240D">
        <w:t>Attachment</w:t>
      </w:r>
      <w:r w:rsidR="000159A6" w:rsidRPr="00CF240D">
        <w:t xml:space="preserve"> </w:t>
      </w:r>
      <w:r w:rsidRPr="00CF240D">
        <w:t>2.</w:t>
      </w:r>
      <w:proofErr w:type="gramEnd"/>
      <w:r w:rsidR="000159A6" w:rsidRPr="00CF240D">
        <w:t xml:space="preserve"> </w:t>
      </w:r>
      <w:r w:rsidRPr="00CF240D">
        <w:t>Extract</w:t>
      </w:r>
      <w:r w:rsidR="000159A6" w:rsidRPr="00CF240D">
        <w:t xml:space="preserve"> </w:t>
      </w:r>
      <w:r w:rsidRPr="00CF240D">
        <w:t>from</w:t>
      </w:r>
      <w:r w:rsidR="000159A6" w:rsidRPr="00CF240D">
        <w:t xml:space="preserve"> </w:t>
      </w:r>
      <w:r w:rsidRPr="002E1097">
        <w:t>the</w:t>
      </w:r>
      <w:r w:rsidR="000159A6" w:rsidRPr="00CF240D">
        <w:t xml:space="preserve"> </w:t>
      </w:r>
      <w:r w:rsidRPr="00CF240D">
        <w:t>Clinical</w:t>
      </w:r>
      <w:r w:rsidR="000159A6" w:rsidRPr="00CF240D">
        <w:t xml:space="preserve"> </w:t>
      </w:r>
      <w:r w:rsidRPr="00CF240D">
        <w:t>Evaluation</w:t>
      </w:r>
      <w:r w:rsidR="000159A6">
        <w:rPr>
          <w:lang w:eastAsia="en-AU"/>
        </w:rPr>
        <w:t xml:space="preserve"> </w:t>
      </w:r>
      <w:r>
        <w:rPr>
          <w:lang w:eastAsia="en-AU"/>
        </w:rPr>
        <w:t>Report</w:t>
      </w:r>
      <w:bookmarkEnd w:id="264"/>
    </w:p>
    <w:p w14:paraId="41049472" w14:textId="66F2715D" w:rsidR="005C0A6F" w:rsidRDefault="005C0A6F" w:rsidP="00B143AB">
      <w:pPr>
        <w:autoSpaceDE w:val="0"/>
        <w:autoSpaceDN w:val="0"/>
        <w:adjustRightInd w:val="0"/>
        <w:spacing w:after="0"/>
        <w:rPr>
          <w:lang w:eastAsia="ja-JP"/>
        </w:rPr>
      </w:pPr>
    </w:p>
    <w:p w14:paraId="7B34A573" w14:textId="77777777" w:rsidR="00C80137" w:rsidRPr="001D043B" w:rsidRDefault="00C80137" w:rsidP="003A7F6C">
      <w:pPr>
        <w:pStyle w:val="TableTitle"/>
        <w:sectPr w:rsidR="00C80137" w:rsidRPr="001D043B" w:rsidSect="00B452CE">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2F21075" w14:textId="77777777" w:rsidTr="00A05FA4">
        <w:trPr>
          <w:trHeight w:hRule="exact" w:val="704"/>
        </w:trPr>
        <w:tc>
          <w:tcPr>
            <w:tcW w:w="9175" w:type="dxa"/>
          </w:tcPr>
          <w:p w14:paraId="5B47379F" w14:textId="739508D2" w:rsidR="001C32CD" w:rsidRPr="00487162" w:rsidRDefault="001C32CD" w:rsidP="00A05FA4">
            <w:pPr>
              <w:pStyle w:val="TGASignoff"/>
            </w:pPr>
            <w:r w:rsidRPr="00487162">
              <w:lastRenderedPageBreak/>
              <w:t>Therapeutic</w:t>
            </w:r>
            <w:r w:rsidR="000159A6">
              <w:t xml:space="preserve"> </w:t>
            </w:r>
            <w:r w:rsidRPr="00487162">
              <w:t>Goods</w:t>
            </w:r>
            <w:r w:rsidR="000159A6">
              <w:t xml:space="preserve"> </w:t>
            </w:r>
            <w:r w:rsidRPr="00487162">
              <w:t>Administration</w:t>
            </w:r>
          </w:p>
        </w:tc>
      </w:tr>
      <w:tr w:rsidR="001C32CD" w:rsidRPr="004C239D" w14:paraId="49E918AA" w14:textId="77777777" w:rsidTr="00A05FA4">
        <w:trPr>
          <w:trHeight w:val="1221"/>
        </w:trPr>
        <w:tc>
          <w:tcPr>
            <w:tcW w:w="9175" w:type="dxa"/>
            <w:tcMar>
              <w:top w:w="28" w:type="dxa"/>
            </w:tcMar>
          </w:tcPr>
          <w:p w14:paraId="055F4C7B" w14:textId="4E013125" w:rsidR="001C32CD" w:rsidRPr="00487162" w:rsidRDefault="001C32CD" w:rsidP="00A05FA4">
            <w:pPr>
              <w:pStyle w:val="Address"/>
            </w:pPr>
            <w:r w:rsidRPr="00487162">
              <w:t>PO</w:t>
            </w:r>
            <w:r w:rsidR="000159A6">
              <w:t xml:space="preserve"> </w:t>
            </w:r>
            <w:r w:rsidRPr="00487162">
              <w:t>Box</w:t>
            </w:r>
            <w:r w:rsidR="000159A6">
              <w:t xml:space="preserve"> </w:t>
            </w:r>
            <w:r w:rsidRPr="00487162">
              <w:t>100</w:t>
            </w:r>
            <w:r w:rsidR="000159A6">
              <w:t xml:space="preserve"> </w:t>
            </w:r>
            <w:r w:rsidRPr="00487162">
              <w:t>Woden</w:t>
            </w:r>
            <w:r w:rsidR="000159A6">
              <w:t xml:space="preserve"> </w:t>
            </w:r>
            <w:r w:rsidRPr="00487162">
              <w:t>ACT</w:t>
            </w:r>
            <w:r w:rsidR="000159A6">
              <w:t xml:space="preserve"> </w:t>
            </w:r>
            <w:r w:rsidRPr="00487162">
              <w:t>2606</w:t>
            </w:r>
            <w:r w:rsidR="000159A6">
              <w:t xml:space="preserve"> </w:t>
            </w:r>
            <w:r w:rsidRPr="00487162">
              <w:t>Australia</w:t>
            </w:r>
          </w:p>
          <w:p w14:paraId="6AFBA2DE" w14:textId="1050DD4B" w:rsidR="001C32CD" w:rsidRPr="00487162" w:rsidRDefault="001C32CD" w:rsidP="00A05FA4">
            <w:pPr>
              <w:pStyle w:val="Address"/>
            </w:pPr>
            <w:r w:rsidRPr="00487162">
              <w:t>Email:</w:t>
            </w:r>
            <w:r w:rsidR="000159A6">
              <w:t xml:space="preserve"> </w:t>
            </w:r>
            <w:hyperlink r:id="rId28" w:history="1">
              <w:r w:rsidRPr="004C239D">
                <w:rPr>
                  <w:rStyle w:val="Hyperlink"/>
                </w:rPr>
                <w:t>info@tga.gov.au</w:t>
              </w:r>
            </w:hyperlink>
            <w:r w:rsidR="000159A6">
              <w:t xml:space="preserve"> </w:t>
            </w:r>
            <w:r w:rsidRPr="00487162">
              <w:t>Phone:</w:t>
            </w:r>
            <w:r w:rsidR="000159A6">
              <w:t xml:space="preserve"> </w:t>
            </w:r>
            <w:r w:rsidRPr="00487162">
              <w:t>1800</w:t>
            </w:r>
            <w:r w:rsidR="000159A6">
              <w:t xml:space="preserve"> </w:t>
            </w:r>
            <w:r w:rsidRPr="00487162">
              <w:t>020</w:t>
            </w:r>
            <w:r w:rsidR="000159A6">
              <w:t xml:space="preserve"> </w:t>
            </w:r>
            <w:r w:rsidRPr="00487162">
              <w:t>653</w:t>
            </w:r>
            <w:r w:rsidR="000159A6">
              <w:t xml:space="preserve"> </w:t>
            </w:r>
            <w:r w:rsidRPr="00487162">
              <w:t>Fax:</w:t>
            </w:r>
            <w:r w:rsidR="000159A6">
              <w:t xml:space="preserve"> </w:t>
            </w:r>
            <w:r w:rsidRPr="00487162">
              <w:t>02</w:t>
            </w:r>
            <w:r w:rsidR="000159A6">
              <w:t xml:space="preserve"> </w:t>
            </w:r>
            <w:r w:rsidRPr="00487162">
              <w:t>6232</w:t>
            </w:r>
            <w:r w:rsidR="000159A6">
              <w:t xml:space="preserve"> </w:t>
            </w:r>
            <w:r w:rsidRPr="00487162">
              <w:t>8605</w:t>
            </w:r>
          </w:p>
          <w:p w14:paraId="3394DBD1" w14:textId="77777777" w:rsidR="001C32CD" w:rsidRPr="004C239D" w:rsidRDefault="00CC47E8"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14:paraId="7F5996B3" w14:textId="77777777" w:rsidR="00774E1D" w:rsidRPr="008A5E0B" w:rsidRDefault="00774E1D" w:rsidP="004C239D"/>
    <w:sectPr w:rsidR="00774E1D" w:rsidRPr="008A5E0B" w:rsidSect="00317D9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F2D2AB" w15:done="0"/>
  <w15:commentEx w15:paraId="299D6864" w15:done="0"/>
  <w15:commentEx w15:paraId="155727A3" w15:done="0"/>
  <w15:commentEx w15:paraId="67B947D1" w15:done="0"/>
  <w15:commentEx w15:paraId="7AC486E0" w15:done="0"/>
  <w15:commentEx w15:paraId="52E147CB" w15:done="0"/>
  <w15:commentEx w15:paraId="5DA117B8" w15:done="0"/>
  <w15:commentEx w15:paraId="68B1103F" w15:done="0"/>
  <w15:commentEx w15:paraId="0E52BA1D" w15:done="0"/>
  <w15:commentEx w15:paraId="6A75634D" w15:done="0"/>
  <w15:commentEx w15:paraId="4305642C" w15:done="0"/>
  <w15:commentEx w15:paraId="72FA67DB" w15:done="0"/>
  <w15:commentEx w15:paraId="1AD31A0E" w15:done="0"/>
  <w15:commentEx w15:paraId="03691447" w15:done="0"/>
  <w15:commentEx w15:paraId="5AF0E674" w15:done="0"/>
  <w15:commentEx w15:paraId="624D3D01" w15:done="0"/>
  <w15:commentEx w15:paraId="00400C5B" w15:done="0"/>
  <w15:commentEx w15:paraId="2FEE1031" w15:done="0"/>
  <w15:commentEx w15:paraId="7583E398" w15:done="0"/>
  <w15:commentEx w15:paraId="3D76C1EF" w15:done="0"/>
  <w15:commentEx w15:paraId="5B56597E" w15:done="0"/>
  <w15:commentEx w15:paraId="0645B2CA" w15:done="0"/>
  <w15:commentEx w15:paraId="755AB2AC" w15:done="0"/>
  <w15:commentEx w15:paraId="7789DFBF" w15:done="0"/>
  <w15:commentEx w15:paraId="0A15544B" w15:done="0"/>
  <w15:commentEx w15:paraId="1AA99C09" w15:done="0"/>
  <w15:commentEx w15:paraId="64705C1C" w15:done="0"/>
  <w15:commentEx w15:paraId="2E573AFF" w15:done="0"/>
  <w15:commentEx w15:paraId="3BE7A4B5" w15:done="0"/>
  <w15:commentEx w15:paraId="5F8F60DA" w15:done="0"/>
  <w15:commentEx w15:paraId="162254D3" w15:done="0"/>
  <w15:commentEx w15:paraId="35934225" w15:done="0"/>
  <w15:commentEx w15:paraId="0CE3419B" w15:done="0"/>
  <w15:commentEx w15:paraId="60D68A06" w15:done="0"/>
  <w15:commentEx w15:paraId="1D92BD1B" w15:done="0"/>
  <w15:commentEx w15:paraId="3AA52111" w15:done="0"/>
  <w15:commentEx w15:paraId="20429375" w15:done="0"/>
  <w15:commentEx w15:paraId="7006F5F9" w15:done="0"/>
  <w15:commentEx w15:paraId="5839F15B" w15:done="0"/>
  <w15:commentEx w15:paraId="0156939D" w15:done="0"/>
  <w15:commentEx w15:paraId="34E3B1EC" w15:done="0"/>
  <w15:commentEx w15:paraId="7D7452EF" w15:done="0"/>
  <w15:commentEx w15:paraId="77923168" w15:done="0"/>
  <w15:commentEx w15:paraId="18333FC0" w15:done="0"/>
  <w15:commentEx w15:paraId="2F4CF23D" w15:done="0"/>
  <w15:commentEx w15:paraId="44B19826" w15:done="0"/>
  <w15:commentEx w15:paraId="15466C68" w15:done="0"/>
  <w15:commentEx w15:paraId="2324747E" w15:done="0"/>
  <w15:commentEx w15:paraId="2D4AB168" w15:done="0"/>
  <w15:commentEx w15:paraId="321722B6" w15:done="0"/>
  <w15:commentEx w15:paraId="6C35CD1F" w15:done="0"/>
  <w15:commentEx w15:paraId="45441A61" w15:done="0"/>
  <w15:commentEx w15:paraId="41E4253B" w15:done="0"/>
  <w15:commentEx w15:paraId="738C760E" w15:done="0"/>
  <w15:commentEx w15:paraId="01603852" w15:done="0"/>
  <w15:commentEx w15:paraId="6827AD17" w15:done="0"/>
  <w15:commentEx w15:paraId="39FCDF59" w15:done="0"/>
  <w15:commentEx w15:paraId="48FE0B94" w15:done="0"/>
  <w15:commentEx w15:paraId="197E0A34" w15:done="0"/>
  <w15:commentEx w15:paraId="4C8262CE" w15:done="0"/>
  <w15:commentEx w15:paraId="32AFA1CE" w15:done="0"/>
  <w15:commentEx w15:paraId="4F7B98C4" w15:done="0"/>
  <w15:commentEx w15:paraId="5E7576F8" w15:done="0"/>
  <w15:commentEx w15:paraId="61EBF4BA" w15:done="0"/>
  <w15:commentEx w15:paraId="09BEC537" w15:done="0"/>
  <w15:commentEx w15:paraId="377EE761" w15:done="0"/>
  <w15:commentEx w15:paraId="1E694225" w15:done="0"/>
  <w15:commentEx w15:paraId="64C0C874" w15:done="0"/>
  <w15:commentEx w15:paraId="5E849048" w15:done="0"/>
  <w15:commentEx w15:paraId="674203AE" w15:done="0"/>
  <w15:commentEx w15:paraId="52718BE6" w15:done="0"/>
  <w15:commentEx w15:paraId="2451EF32" w15:done="0"/>
  <w15:commentEx w15:paraId="4D3B486E" w15:done="0"/>
  <w15:commentEx w15:paraId="4B38CDD7" w15:done="0"/>
  <w15:commentEx w15:paraId="69C622AD" w15:done="0"/>
  <w15:commentEx w15:paraId="520D9342" w15:done="0"/>
  <w15:commentEx w15:paraId="72554B33" w15:done="0"/>
  <w15:commentEx w15:paraId="00F0EC82" w15:done="0"/>
  <w15:commentEx w15:paraId="377EDD51" w15:done="0"/>
  <w15:commentEx w15:paraId="7B969D31" w15:done="0"/>
  <w15:commentEx w15:paraId="0A945B4B" w15:done="0"/>
  <w15:commentEx w15:paraId="3A46D846" w15:done="0"/>
  <w15:commentEx w15:paraId="42E315EA" w15:done="0"/>
  <w15:commentEx w15:paraId="019B5E69" w15:done="0"/>
  <w15:commentEx w15:paraId="5E7AE9E6" w15:done="0"/>
  <w15:commentEx w15:paraId="0457B40A" w15:done="0"/>
  <w15:commentEx w15:paraId="31A57163" w15:done="0"/>
  <w15:commentEx w15:paraId="1D1779EE" w15:done="0"/>
  <w15:commentEx w15:paraId="416CB1A5" w15:done="0"/>
  <w15:commentEx w15:paraId="4CB3FEBF" w15:done="0"/>
  <w15:commentEx w15:paraId="2AF6AB01" w15:done="0"/>
  <w15:commentEx w15:paraId="4ECFE19E" w15:done="0"/>
  <w15:commentEx w15:paraId="52CED155" w15:done="0"/>
  <w15:commentEx w15:paraId="59A9F91A" w15:done="0"/>
  <w15:commentEx w15:paraId="6EE0BDFA" w15:done="0"/>
  <w15:commentEx w15:paraId="5B626C2D" w15:done="0"/>
  <w15:commentEx w15:paraId="5EE2FC69" w15:done="0"/>
  <w15:commentEx w15:paraId="05DBA5F9" w15:done="0"/>
  <w15:commentEx w15:paraId="138709A9" w15:done="0"/>
  <w15:commentEx w15:paraId="3CE312CF" w15:done="0"/>
  <w15:commentEx w15:paraId="3772AFE2" w15:done="0"/>
  <w15:commentEx w15:paraId="72667F8D" w15:done="0"/>
  <w15:commentEx w15:paraId="30B5DE2C" w15:done="0"/>
  <w15:commentEx w15:paraId="1FF93B0B" w15:done="0"/>
  <w15:commentEx w15:paraId="5F2A31C6" w15:done="0"/>
  <w15:commentEx w15:paraId="4D27AFC2" w15:done="0"/>
  <w15:commentEx w15:paraId="55C32D3A" w15:done="0"/>
  <w15:commentEx w15:paraId="32FA1F0E" w15:done="0"/>
  <w15:commentEx w15:paraId="016D2E83" w15:done="0"/>
  <w15:commentEx w15:paraId="3444FA8F" w15:done="0"/>
  <w15:commentEx w15:paraId="392875C6" w15:done="0"/>
  <w15:commentEx w15:paraId="65DFF22C" w15:done="0"/>
  <w15:commentEx w15:paraId="26A74745" w15:done="0"/>
  <w15:commentEx w15:paraId="6BFF7D25" w15:done="0"/>
  <w15:commentEx w15:paraId="2A29501B" w15:done="0"/>
  <w15:commentEx w15:paraId="17618D3E" w15:done="0"/>
  <w15:commentEx w15:paraId="2DF2B6F6" w15:done="0"/>
  <w15:commentEx w15:paraId="0A785B5F" w15:done="0"/>
  <w15:commentEx w15:paraId="01A3C550" w15:done="0"/>
  <w15:commentEx w15:paraId="299E9114" w15:done="0"/>
  <w15:commentEx w15:paraId="15E21835" w15:done="0"/>
  <w15:commentEx w15:paraId="2E0173ED" w15:done="0"/>
  <w15:commentEx w15:paraId="1691ECC9" w15:done="0"/>
  <w15:commentEx w15:paraId="710430E5" w15:done="0"/>
  <w15:commentEx w15:paraId="56E14A2F" w15:done="0"/>
  <w15:commentEx w15:paraId="5F284C8B" w15:done="0"/>
  <w15:commentEx w15:paraId="06986C32" w15:done="0"/>
  <w15:commentEx w15:paraId="0BBDE6E9" w15:done="0"/>
  <w15:commentEx w15:paraId="508A612B" w15:done="0"/>
  <w15:commentEx w15:paraId="14ABA398" w15:done="0"/>
  <w15:commentEx w15:paraId="1179F604" w15:done="0"/>
  <w15:commentEx w15:paraId="1DBB8F3B" w15:done="0"/>
  <w15:commentEx w15:paraId="0CB3551E" w15:done="0"/>
  <w15:commentEx w15:paraId="6A724776" w15:done="0"/>
  <w15:commentEx w15:paraId="1D3A4F97" w15:done="0"/>
  <w15:commentEx w15:paraId="07F481ED" w15:done="0"/>
  <w15:commentEx w15:paraId="58364C04" w15:done="0"/>
  <w15:commentEx w15:paraId="18BCCA86" w15:done="0"/>
  <w15:commentEx w15:paraId="139C93B6" w15:done="0"/>
  <w15:commentEx w15:paraId="64840B43" w15:done="0"/>
  <w15:commentEx w15:paraId="049F161F" w15:done="0"/>
  <w15:commentEx w15:paraId="005AA7ED" w15:done="0"/>
  <w15:commentEx w15:paraId="16ED0F81" w15:done="0"/>
  <w15:commentEx w15:paraId="08F96814" w15:done="0"/>
  <w15:commentEx w15:paraId="2D0C0091" w15:done="0"/>
  <w15:commentEx w15:paraId="653D9CCC" w15:done="0"/>
  <w15:commentEx w15:paraId="2D6F7C5D" w15:done="0"/>
  <w15:commentEx w15:paraId="63771303" w15:done="0"/>
  <w15:commentEx w15:paraId="22EFD344" w15:done="0"/>
  <w15:commentEx w15:paraId="2A48AF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F2D2AB" w16cid:durableId="1F4C9352"/>
  <w16cid:commentId w16cid:paraId="299D6864" w16cid:durableId="1F815DCB"/>
  <w16cid:commentId w16cid:paraId="155727A3" w16cid:durableId="1F4F765B"/>
  <w16cid:commentId w16cid:paraId="67B947D1" w16cid:durableId="1F815DCD"/>
  <w16cid:commentId w16cid:paraId="7AC486E0" w16cid:durableId="1F4C9355"/>
  <w16cid:commentId w16cid:paraId="52E147CB" w16cid:durableId="1F815DCF"/>
  <w16cid:commentId w16cid:paraId="5DA117B8" w16cid:durableId="1F4C9356"/>
  <w16cid:commentId w16cid:paraId="68B1103F" w16cid:durableId="1F815DD1"/>
  <w16cid:commentId w16cid:paraId="0E52BA1D" w16cid:durableId="1F4C9357"/>
  <w16cid:commentId w16cid:paraId="6A75634D" w16cid:durableId="1F815DD3"/>
  <w16cid:commentId w16cid:paraId="4305642C" w16cid:durableId="1F4C9358"/>
  <w16cid:commentId w16cid:paraId="72FA67DB" w16cid:durableId="1F815DD5"/>
  <w16cid:commentId w16cid:paraId="1AD31A0E" w16cid:durableId="1F4C9359"/>
  <w16cid:commentId w16cid:paraId="03691447" w16cid:durableId="1F815DD7"/>
  <w16cid:commentId w16cid:paraId="5AF0E674" w16cid:durableId="1F4C935A"/>
  <w16cid:commentId w16cid:paraId="624D3D01" w16cid:durableId="1F815DD9"/>
  <w16cid:commentId w16cid:paraId="00400C5B" w16cid:durableId="1F4C935B"/>
  <w16cid:commentId w16cid:paraId="2FEE1031" w16cid:durableId="1F815DDB"/>
  <w16cid:commentId w16cid:paraId="7583E398" w16cid:durableId="1F4C935C"/>
  <w16cid:commentId w16cid:paraId="3D76C1EF" w16cid:durableId="1F815DDD"/>
  <w16cid:commentId w16cid:paraId="5B56597E" w16cid:durableId="1F4C935D"/>
  <w16cid:commentId w16cid:paraId="0645B2CA" w16cid:durableId="1F815DDF"/>
  <w16cid:commentId w16cid:paraId="755AB2AC" w16cid:durableId="1F4C935E"/>
  <w16cid:commentId w16cid:paraId="7789DFBF" w16cid:durableId="1F815DE1"/>
  <w16cid:commentId w16cid:paraId="0A15544B" w16cid:durableId="1F4C935F"/>
  <w16cid:commentId w16cid:paraId="1AA99C09" w16cid:durableId="1F815DE3"/>
  <w16cid:commentId w16cid:paraId="64705C1C" w16cid:durableId="1F4C9360"/>
  <w16cid:commentId w16cid:paraId="2E573AFF" w16cid:durableId="1F815DE5"/>
  <w16cid:commentId w16cid:paraId="3BE7A4B5" w16cid:durableId="1F4C9362"/>
  <w16cid:commentId w16cid:paraId="5F8F60DA" w16cid:durableId="1F4C9363"/>
  <w16cid:commentId w16cid:paraId="162254D3" w16cid:durableId="1F815DE8"/>
  <w16cid:commentId w16cid:paraId="35934225" w16cid:durableId="1F4C9365"/>
  <w16cid:commentId w16cid:paraId="0CE3419B" w16cid:durableId="1F815DEA"/>
  <w16cid:commentId w16cid:paraId="60D68A06" w16cid:durableId="1F4C9367"/>
  <w16cid:commentId w16cid:paraId="1D92BD1B" w16cid:durableId="1F815DEC"/>
  <w16cid:commentId w16cid:paraId="3AA52111" w16cid:durableId="1F4C9368"/>
  <w16cid:commentId w16cid:paraId="20429375" w16cid:durableId="1F815DEE"/>
  <w16cid:commentId w16cid:paraId="7006F5F9" w16cid:durableId="1F815EBA"/>
  <w16cid:commentId w16cid:paraId="5839F15B" w16cid:durableId="1F815EFA"/>
  <w16cid:commentId w16cid:paraId="0156939D" w16cid:durableId="1F815F0C"/>
  <w16cid:commentId w16cid:paraId="34E3B1EC" w16cid:durableId="1F815F17"/>
  <w16cid:commentId w16cid:paraId="7D7452EF" w16cid:durableId="1F815F2C"/>
  <w16cid:commentId w16cid:paraId="77923168" w16cid:durableId="1F815F38"/>
  <w16cid:commentId w16cid:paraId="18333FC0" w16cid:durableId="1F815F91"/>
  <w16cid:commentId w16cid:paraId="2F4CF23D" w16cid:durableId="1F815FA3"/>
  <w16cid:commentId w16cid:paraId="44B19826" w16cid:durableId="1F815FAC"/>
  <w16cid:commentId w16cid:paraId="15466C68" w16cid:durableId="1F815FB6"/>
  <w16cid:commentId w16cid:paraId="2324747E" w16cid:durableId="1F815FE1"/>
  <w16cid:commentId w16cid:paraId="2D4AB168" w16cid:durableId="1F4C9369"/>
  <w16cid:commentId w16cid:paraId="321722B6" w16cid:durableId="1F816029"/>
  <w16cid:commentId w16cid:paraId="6C35CD1F" w16cid:durableId="1F4C936A"/>
  <w16cid:commentId w16cid:paraId="45441A61" w16cid:durableId="1F81606F"/>
  <w16cid:commentId w16cid:paraId="41E4253B" w16cid:durableId="1F8160B9"/>
  <w16cid:commentId w16cid:paraId="738C760E" w16cid:durableId="1F4C936B"/>
  <w16cid:commentId w16cid:paraId="01603852" w16cid:durableId="1F81607A"/>
  <w16cid:commentId w16cid:paraId="6827AD17" w16cid:durableId="1F4C936C"/>
  <w16cid:commentId w16cid:paraId="39FCDF59" w16cid:durableId="1F816085"/>
  <w16cid:commentId w16cid:paraId="48FE0B94" w16cid:durableId="1F4C936D"/>
  <w16cid:commentId w16cid:paraId="197E0A34" w16cid:durableId="1F8160A2"/>
  <w16cid:commentId w16cid:paraId="4C8262CE" w16cid:durableId="1F4C936E"/>
  <w16cid:commentId w16cid:paraId="32AFA1CE" w16cid:durableId="1F815DF5"/>
  <w16cid:commentId w16cid:paraId="4F7B98C4" w16cid:durableId="1F816104"/>
  <w16cid:commentId w16cid:paraId="5E7576F8" w16cid:durableId="1F81611F"/>
  <w16cid:commentId w16cid:paraId="61EBF4BA" w16cid:durableId="1F816141"/>
  <w16cid:commentId w16cid:paraId="09BEC537" w16cid:durableId="1F81614F"/>
  <w16cid:commentId w16cid:paraId="377EE761" w16cid:durableId="1F816166"/>
  <w16cid:commentId w16cid:paraId="1E694225" w16cid:durableId="1F816157"/>
  <w16cid:commentId w16cid:paraId="64C0C874" w16cid:durableId="1F81617E"/>
  <w16cid:commentId w16cid:paraId="5E849048" w16cid:durableId="1F81618E"/>
  <w16cid:commentId w16cid:paraId="674203AE" w16cid:durableId="1F816197"/>
  <w16cid:commentId w16cid:paraId="52718BE6" w16cid:durableId="1F8161A1"/>
  <w16cid:commentId w16cid:paraId="2451EF32" w16cid:durableId="1F8161A9"/>
  <w16cid:commentId w16cid:paraId="4D3B486E" w16cid:durableId="1F4C936F"/>
  <w16cid:commentId w16cid:paraId="4B38CDD7" w16cid:durableId="1F815DF7"/>
  <w16cid:commentId w16cid:paraId="69C622AD" w16cid:durableId="1F8161BA"/>
  <w16cid:commentId w16cid:paraId="520D9342" w16cid:durableId="1F8161CC"/>
  <w16cid:commentId w16cid:paraId="72554B33" w16cid:durableId="1F8161D4"/>
  <w16cid:commentId w16cid:paraId="00F0EC82" w16cid:durableId="1F8161DC"/>
  <w16cid:commentId w16cid:paraId="377EDD51" w16cid:durableId="1F8161E5"/>
  <w16cid:commentId w16cid:paraId="7B969D31" w16cid:durableId="1F816204"/>
  <w16cid:commentId w16cid:paraId="0A945B4B" w16cid:durableId="1F81620A"/>
  <w16cid:commentId w16cid:paraId="3A46D846" w16cid:durableId="1F4C9370"/>
  <w16cid:commentId w16cid:paraId="42E315EA" w16cid:durableId="1F816220"/>
  <w16cid:commentId w16cid:paraId="019B5E69" w16cid:durableId="1F4C9371"/>
  <w16cid:commentId w16cid:paraId="5E7AE9E6" w16cid:durableId="1F816237"/>
  <w16cid:commentId w16cid:paraId="0457B40A" w16cid:durableId="1F4C9372"/>
  <w16cid:commentId w16cid:paraId="31A57163" w16cid:durableId="1F816250"/>
  <w16cid:commentId w16cid:paraId="1D1779EE" w16cid:durableId="1F815DFB"/>
  <w16cid:commentId w16cid:paraId="416CB1A5" w16cid:durableId="1F816268"/>
  <w16cid:commentId w16cid:paraId="4CB3FEBF" w16cid:durableId="1F816270"/>
  <w16cid:commentId w16cid:paraId="2AF6AB01" w16cid:durableId="1F81627A"/>
  <w16cid:commentId w16cid:paraId="4ECFE19E" w16cid:durableId="1F816280"/>
  <w16cid:commentId w16cid:paraId="52CED155" w16cid:durableId="1F8162AA"/>
  <w16cid:commentId w16cid:paraId="59A9F91A" w16cid:durableId="1F8162B5"/>
  <w16cid:commentId w16cid:paraId="6EE0BDFA" w16cid:durableId="1F8162C7"/>
  <w16cid:commentId w16cid:paraId="5B626C2D" w16cid:durableId="1F8162E2"/>
  <w16cid:commentId w16cid:paraId="5EE2FC69" w16cid:durableId="1F81634E"/>
  <w16cid:commentId w16cid:paraId="05DBA5F9" w16cid:durableId="1F816357"/>
  <w16cid:commentId w16cid:paraId="138709A9" w16cid:durableId="1F81635D"/>
  <w16cid:commentId w16cid:paraId="3CE312CF" w16cid:durableId="1F81B550"/>
  <w16cid:commentId w16cid:paraId="3772AFE2" w16cid:durableId="1F81B559"/>
  <w16cid:commentId w16cid:paraId="72667F8D" w16cid:durableId="1F816369"/>
  <w16cid:commentId w16cid:paraId="30B5DE2C" w16cid:durableId="1F816379"/>
  <w16cid:commentId w16cid:paraId="1FF93B0B" w16cid:durableId="1F4C9373"/>
  <w16cid:commentId w16cid:paraId="5F2A31C6" w16cid:durableId="1F815DFD"/>
  <w16cid:commentId w16cid:paraId="4D27AFC2" w16cid:durableId="1F4C9374"/>
  <w16cid:commentId w16cid:paraId="55C32D3A" w16cid:durableId="1F815DFF"/>
  <w16cid:commentId w16cid:paraId="32FA1F0E" w16cid:durableId="1F815E00"/>
  <w16cid:commentId w16cid:paraId="016D2E83" w16cid:durableId="1F4F7C7D"/>
  <w16cid:commentId w16cid:paraId="3444FA8F" w16cid:durableId="1F815E02"/>
  <w16cid:commentId w16cid:paraId="392875C6" w16cid:durableId="1F4F7CAA"/>
  <w16cid:commentId w16cid:paraId="65DFF22C" w16cid:durableId="1F815E04"/>
  <w16cid:commentId w16cid:paraId="26A74745" w16cid:durableId="1F4C9376"/>
  <w16cid:commentId w16cid:paraId="6BFF7D25" w16cid:durableId="1F815E06"/>
  <w16cid:commentId w16cid:paraId="2A29501B" w16cid:durableId="1F4F7CEE"/>
  <w16cid:commentId w16cid:paraId="17618D3E" w16cid:durableId="1F815E08"/>
  <w16cid:commentId w16cid:paraId="2DF2B6F6" w16cid:durableId="1F4C9377"/>
  <w16cid:commentId w16cid:paraId="0A785B5F" w16cid:durableId="1F815E0A"/>
  <w16cid:commentId w16cid:paraId="01A3C550" w16cid:durableId="1F4C9378"/>
  <w16cid:commentId w16cid:paraId="299E9114" w16cid:durableId="1F815E0C"/>
  <w16cid:commentId w16cid:paraId="15E21835" w16cid:durableId="1F4C9379"/>
  <w16cid:commentId w16cid:paraId="2E0173ED" w16cid:durableId="1F815E0E"/>
  <w16cid:commentId w16cid:paraId="1691ECC9" w16cid:durableId="1F4C937A"/>
  <w16cid:commentId w16cid:paraId="710430E5" w16cid:durableId="1F815E10"/>
  <w16cid:commentId w16cid:paraId="56E14A2F" w16cid:durableId="1F4C937B"/>
  <w16cid:commentId w16cid:paraId="5F284C8B" w16cid:durableId="1F815E12"/>
  <w16cid:commentId w16cid:paraId="06986C32" w16cid:durableId="1F4C9AB5"/>
  <w16cid:commentId w16cid:paraId="0BBDE6E9" w16cid:durableId="1F815E14"/>
  <w16cid:commentId w16cid:paraId="508A612B" w16cid:durableId="1F815E15"/>
  <w16cid:commentId w16cid:paraId="14ABA398" w16cid:durableId="1F4C937C"/>
  <w16cid:commentId w16cid:paraId="1179F604" w16cid:durableId="1F815E17"/>
  <w16cid:commentId w16cid:paraId="1DBB8F3B" w16cid:durableId="1F4C937D"/>
  <w16cid:commentId w16cid:paraId="0CB3551E" w16cid:durableId="1F815E19"/>
  <w16cid:commentId w16cid:paraId="6A724776" w16cid:durableId="1F4C937E"/>
  <w16cid:commentId w16cid:paraId="1D3A4F97" w16cid:durableId="1F815E1B"/>
  <w16cid:commentId w16cid:paraId="07F481ED" w16cid:durableId="1F81B38E"/>
  <w16cid:commentId w16cid:paraId="58364C04" w16cid:durableId="1F815E1C"/>
  <w16cid:commentId w16cid:paraId="18BCCA86" w16cid:durableId="1F4C937F"/>
  <w16cid:commentId w16cid:paraId="139C93B6" w16cid:durableId="1F4C9381"/>
  <w16cid:commentId w16cid:paraId="64840B43" w16cid:durableId="1F815E1F"/>
  <w16cid:commentId w16cid:paraId="049F161F" w16cid:durableId="1F4C9382"/>
  <w16cid:commentId w16cid:paraId="005AA7ED" w16cid:durableId="1F815E21"/>
  <w16cid:commentId w16cid:paraId="16ED0F81" w16cid:durableId="1F4C9383"/>
  <w16cid:commentId w16cid:paraId="08F96814" w16cid:durableId="1F815E23"/>
  <w16cid:commentId w16cid:paraId="2D0C0091" w16cid:durableId="1F815E24"/>
  <w16cid:commentId w16cid:paraId="653D9CCC" w16cid:durableId="1F4F85E7"/>
  <w16cid:commentId w16cid:paraId="2D6F7C5D" w16cid:durableId="1F4C9385"/>
  <w16cid:commentId w16cid:paraId="63771303" w16cid:durableId="1F815E27"/>
  <w16cid:commentId w16cid:paraId="22EFD344" w16cid:durableId="1F4C9386"/>
  <w16cid:commentId w16cid:paraId="2A48AF9C" w16cid:durableId="1F815E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E936F" w14:textId="77777777" w:rsidR="00CC47E8" w:rsidRDefault="00CC47E8" w:rsidP="00C40A36">
      <w:pPr>
        <w:spacing w:after="0"/>
      </w:pPr>
      <w:r>
        <w:separator/>
      </w:r>
    </w:p>
  </w:endnote>
  <w:endnote w:type="continuationSeparator" w:id="0">
    <w:p w14:paraId="1D4785A3" w14:textId="77777777" w:rsidR="00CC47E8" w:rsidRDefault="00CC47E8" w:rsidP="00C40A36">
      <w:pPr>
        <w:spacing w:after="0"/>
      </w:pPr>
      <w:r>
        <w:continuationSeparator/>
      </w:r>
    </w:p>
  </w:endnote>
  <w:endnote w:type="continuationNotice" w:id="1">
    <w:p w14:paraId="0026C031" w14:textId="77777777" w:rsidR="00CC47E8" w:rsidRDefault="00CC47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00"/>
    <w:family w:val="auto"/>
    <w:notTrueType/>
    <w:pitch w:val="default"/>
    <w:sig w:usb0="00000083" w:usb1="090F0000" w:usb2="00000010" w:usb3="00000000" w:csb0="001A0009" w:csb1="00000000"/>
  </w:font>
  <w:font w:name="Helv">
    <w:panose1 w:val="020B060402020203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NewRoman,Italic">
    <w:panose1 w:val="00000000000000000000"/>
    <w:charset w:val="00"/>
    <w:family w:val="auto"/>
    <w:notTrueType/>
    <w:pitch w:val="default"/>
    <w:sig w:usb0="00000000"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ArialNarrow">
    <w:altName w:val="Arial"/>
    <w:panose1 w:val="00000000000000000000"/>
    <w:charset w:val="00"/>
    <w:family w:val="auto"/>
    <w:notTrueType/>
    <w:pitch w:val="default"/>
    <w:sig w:usb0="00000003" w:usb1="08070000" w:usb2="00000010" w:usb3="00000000" w:csb0="00020001"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655AB" w14:textId="77777777" w:rsidR="00CC47E8" w:rsidRDefault="00CC47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C47E8" w:rsidRPr="00487162" w14:paraId="5683A801" w14:textId="77777777" w:rsidTr="00DB750B">
      <w:trPr>
        <w:trHeight w:val="269"/>
      </w:trPr>
      <w:tc>
        <w:tcPr>
          <w:tcW w:w="7371" w:type="dxa"/>
          <w:tcMar>
            <w:top w:w="142" w:type="dxa"/>
            <w:bottom w:w="0" w:type="dxa"/>
          </w:tcMar>
        </w:tcPr>
        <w:p w14:paraId="5F019594" w14:textId="78E2E130" w:rsidR="00CC47E8" w:rsidRPr="00487162" w:rsidRDefault="00CC47E8" w:rsidP="00595193">
          <w:pPr>
            <w:pStyle w:val="Footer"/>
          </w:pPr>
          <w:r>
            <w:t xml:space="preserve">AusPAR - </w:t>
          </w:r>
          <w:r w:rsidRPr="003517CE">
            <w:t xml:space="preserve">SHINGRIX - Recombinant Varicella Zoster Virus (VZV) glycoprotein E (gE) antigen - GlaxoSmithKline - PM-2017-01784-1-2 </w:t>
          </w:r>
          <w:r>
            <w:t>–</w:t>
          </w:r>
          <w:r w:rsidRPr="003517CE">
            <w:t xml:space="preserve"> </w:t>
          </w:r>
          <w:r>
            <w:t>FINAL 12 December2018</w:t>
          </w:r>
        </w:p>
      </w:tc>
      <w:tc>
        <w:tcPr>
          <w:tcW w:w="1490" w:type="dxa"/>
          <w:tcMar>
            <w:top w:w="142" w:type="dxa"/>
            <w:bottom w:w="0" w:type="dxa"/>
          </w:tcMar>
        </w:tcPr>
        <w:p w14:paraId="4D3271C9" w14:textId="751B5A93" w:rsidR="00CC47E8" w:rsidRPr="00487162" w:rsidRDefault="00CC47E8" w:rsidP="00DB750B">
          <w:pPr>
            <w:pStyle w:val="Footer"/>
            <w:jc w:val="right"/>
          </w:pPr>
          <w:r w:rsidRPr="00487162">
            <w:t xml:space="preserve">Page </w:t>
          </w:r>
          <w:r>
            <w:fldChar w:fldCharType="begin"/>
          </w:r>
          <w:r>
            <w:instrText xml:space="preserve"> PAGE  \* Arabic </w:instrText>
          </w:r>
          <w:r>
            <w:fldChar w:fldCharType="separate"/>
          </w:r>
          <w:r w:rsidR="007312FC">
            <w:rPr>
              <w:noProof/>
            </w:rPr>
            <w:t>5</w:t>
          </w:r>
          <w:r>
            <w:fldChar w:fldCharType="end"/>
          </w:r>
          <w:r w:rsidRPr="00487162">
            <w:t xml:space="preserve"> of </w:t>
          </w:r>
          <w:r>
            <w:fldChar w:fldCharType="begin"/>
          </w:r>
          <w:r>
            <w:instrText xml:space="preserve"> NUMPAGES  \* Arabic </w:instrText>
          </w:r>
          <w:r>
            <w:fldChar w:fldCharType="separate"/>
          </w:r>
          <w:r w:rsidR="007312FC">
            <w:rPr>
              <w:noProof/>
            </w:rPr>
            <w:t>65</w:t>
          </w:r>
          <w:r>
            <w:rPr>
              <w:noProof/>
            </w:rPr>
            <w:fldChar w:fldCharType="end"/>
          </w:r>
        </w:p>
      </w:tc>
    </w:tr>
  </w:tbl>
  <w:p w14:paraId="6A8547F7" w14:textId="77777777" w:rsidR="00CC47E8" w:rsidRDefault="00CC47E8"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01778" w14:textId="77777777" w:rsidR="00CC47E8" w:rsidRDefault="00CC47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C47E8" w:rsidRPr="00487162" w14:paraId="54121C92" w14:textId="77777777" w:rsidTr="00E45619">
      <w:trPr>
        <w:trHeight w:val="269"/>
      </w:trPr>
      <w:tc>
        <w:tcPr>
          <w:tcW w:w="4519" w:type="dxa"/>
          <w:tcBorders>
            <w:top w:val="single" w:sz="4" w:space="0" w:color="auto"/>
          </w:tcBorders>
          <w:tcMar>
            <w:top w:w="142" w:type="dxa"/>
            <w:bottom w:w="0" w:type="dxa"/>
          </w:tcMar>
        </w:tcPr>
        <w:p w14:paraId="129178F6" w14:textId="77777777" w:rsidR="00CC47E8" w:rsidRPr="00487162" w:rsidRDefault="00CC47E8" w:rsidP="00FE1DEE">
          <w:pPr>
            <w:pStyle w:val="Footer"/>
          </w:pPr>
          <w:r w:rsidRPr="00487162">
            <w:t>Document title, Part #, Section # - Section title</w:t>
          </w:r>
        </w:p>
        <w:p w14:paraId="64A013DB" w14:textId="77777777" w:rsidR="00CC47E8" w:rsidRPr="00487162" w:rsidRDefault="00CC47E8" w:rsidP="00FE1DEE">
          <w:pPr>
            <w:pStyle w:val="Footer"/>
          </w:pPr>
          <w:r w:rsidRPr="00487162">
            <w:t>V1.0 October 2010</w:t>
          </w:r>
        </w:p>
      </w:tc>
      <w:tc>
        <w:tcPr>
          <w:tcW w:w="4342" w:type="dxa"/>
          <w:tcBorders>
            <w:top w:val="single" w:sz="4" w:space="0" w:color="auto"/>
          </w:tcBorders>
          <w:tcMar>
            <w:top w:w="142" w:type="dxa"/>
            <w:bottom w:w="0" w:type="dxa"/>
          </w:tcMar>
        </w:tcPr>
        <w:p w14:paraId="42853977" w14:textId="77777777" w:rsidR="00CC47E8" w:rsidRPr="00487162" w:rsidRDefault="00CC47E8"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3</w:t>
          </w:r>
          <w:r>
            <w:rPr>
              <w:noProof/>
            </w:rPr>
            <w:fldChar w:fldCharType="end"/>
          </w:r>
        </w:p>
      </w:tc>
    </w:tr>
  </w:tbl>
  <w:p w14:paraId="3FE1E430" w14:textId="77777777" w:rsidR="00CC47E8" w:rsidRDefault="00CC47E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5618B" w14:textId="77777777" w:rsidR="00CC47E8" w:rsidRPr="001C32CD" w:rsidRDefault="00CC47E8"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C47E8" w14:paraId="355C0889" w14:textId="77777777" w:rsidTr="0010601F">
      <w:trPr>
        <w:trHeight w:val="108"/>
      </w:trPr>
      <w:tc>
        <w:tcPr>
          <w:tcW w:w="8875" w:type="dxa"/>
          <w:gridSpan w:val="2"/>
          <w:tcBorders>
            <w:bottom w:val="single" w:sz="4" w:space="0" w:color="auto"/>
          </w:tcBorders>
          <w:tcMar>
            <w:right w:w="284" w:type="dxa"/>
          </w:tcMar>
        </w:tcPr>
        <w:p w14:paraId="3102FAA8" w14:textId="77777777" w:rsidR="00CC47E8" w:rsidRDefault="00CC47E8" w:rsidP="006E08B3">
          <w:pPr>
            <w:pStyle w:val="Heading3"/>
          </w:pPr>
          <w:r>
            <w:t>Copyright</w:t>
          </w:r>
        </w:p>
        <w:p w14:paraId="118127D1" w14:textId="77777777" w:rsidR="00CC47E8" w:rsidRDefault="00CC47E8" w:rsidP="006E08B3">
          <w:r>
            <w:rPr>
              <w:rFonts w:cs="Arial"/>
            </w:rPr>
            <w:t>©</w:t>
          </w:r>
          <w:r>
            <w:t xml:space="preserve"> Commonwealth of Australia [add year]</w:t>
          </w:r>
        </w:p>
        <w:p w14:paraId="0CDD0E2A" w14:textId="77777777" w:rsidR="00CC47E8" w:rsidRDefault="00CC47E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2672B7D" w14:textId="77777777" w:rsidR="00CC47E8" w:rsidRDefault="00CC47E8" w:rsidP="006E08B3">
          <w:pPr>
            <w:pStyle w:val="Heading3"/>
          </w:pPr>
          <w:r>
            <w:t>Confidentiality</w:t>
          </w:r>
        </w:p>
        <w:p w14:paraId="074C23BE" w14:textId="77777777" w:rsidR="00CC47E8" w:rsidRDefault="00CC47E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21765935" w14:textId="77777777" w:rsidR="00CC47E8" w:rsidRDefault="00CC47E8" w:rsidP="006E08B3">
          <w:r>
            <w:t>For submission made by individuals, all personal details, other than your name, will be removed from your submission before it is published on the TGA’s Internet site.</w:t>
          </w:r>
        </w:p>
        <w:p w14:paraId="0BD6ED62" w14:textId="77777777" w:rsidR="00CC47E8" w:rsidRDefault="00CC47E8"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C47E8" w14:paraId="54808EED" w14:textId="77777777" w:rsidTr="0010601F">
      <w:trPr>
        <w:trHeight w:val="417"/>
      </w:trPr>
      <w:tc>
        <w:tcPr>
          <w:tcW w:w="4519" w:type="dxa"/>
          <w:tcBorders>
            <w:top w:val="single" w:sz="4" w:space="0" w:color="auto"/>
          </w:tcBorders>
          <w:tcMar>
            <w:top w:w="142" w:type="dxa"/>
            <w:bottom w:w="0" w:type="dxa"/>
          </w:tcMar>
        </w:tcPr>
        <w:p w14:paraId="173908E9" w14:textId="77777777" w:rsidR="00CC47E8" w:rsidRDefault="00CC47E8" w:rsidP="006E08B3">
          <w:r>
            <w:t>Document title, Part #, Section # - Section title</w:t>
          </w:r>
        </w:p>
        <w:p w14:paraId="7E2F08C0" w14:textId="77777777" w:rsidR="00CC47E8" w:rsidRDefault="00CC47E8" w:rsidP="006E08B3">
          <w:r>
            <w:t>V1.0 October 2010</w:t>
          </w:r>
        </w:p>
      </w:tc>
      <w:tc>
        <w:tcPr>
          <w:tcW w:w="4356" w:type="dxa"/>
          <w:tcBorders>
            <w:top w:val="single" w:sz="4" w:space="0" w:color="auto"/>
          </w:tcBorders>
          <w:tcMar>
            <w:top w:w="142" w:type="dxa"/>
            <w:bottom w:w="0" w:type="dxa"/>
          </w:tcMar>
        </w:tcPr>
        <w:p w14:paraId="504F0582" w14:textId="77777777" w:rsidR="00CC47E8" w:rsidRDefault="00CC47E8"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3</w:t>
          </w:r>
          <w:r>
            <w:rPr>
              <w:noProof/>
            </w:rPr>
            <w:fldChar w:fldCharType="end"/>
          </w:r>
          <w:r>
            <w:t xml:space="preserve"> </w:t>
          </w:r>
        </w:p>
      </w:tc>
    </w:tr>
  </w:tbl>
  <w:p w14:paraId="0747BC8A" w14:textId="77777777" w:rsidR="00CC47E8" w:rsidRDefault="00CC47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9FE04" w14:textId="77777777" w:rsidR="00CC47E8" w:rsidRDefault="00CC47E8" w:rsidP="00C40A36">
      <w:pPr>
        <w:spacing w:after="0"/>
      </w:pPr>
      <w:r>
        <w:separator/>
      </w:r>
    </w:p>
  </w:footnote>
  <w:footnote w:type="continuationSeparator" w:id="0">
    <w:p w14:paraId="107B43EC" w14:textId="77777777" w:rsidR="00CC47E8" w:rsidRDefault="00CC47E8" w:rsidP="00C40A36">
      <w:pPr>
        <w:spacing w:after="0"/>
      </w:pPr>
      <w:r>
        <w:continuationSeparator/>
      </w:r>
    </w:p>
  </w:footnote>
  <w:footnote w:type="continuationNotice" w:id="1">
    <w:p w14:paraId="0C3E7212" w14:textId="77777777" w:rsidR="00CC47E8" w:rsidRDefault="00CC47E8">
      <w:pPr>
        <w:spacing w:before="0" w:after="0" w:line="240" w:lineRule="auto"/>
      </w:pPr>
    </w:p>
  </w:footnote>
  <w:footnote w:id="2">
    <w:p w14:paraId="5F73FFC3" w14:textId="6A162BC9" w:rsidR="00CC47E8" w:rsidRPr="001141E8" w:rsidRDefault="00CC47E8">
      <w:pPr>
        <w:pStyle w:val="FootnoteText"/>
        <w:rPr>
          <w:lang w:val="en-US"/>
        </w:rPr>
      </w:pPr>
      <w:r>
        <w:rPr>
          <w:rStyle w:val="FootnoteReference"/>
        </w:rPr>
        <w:footnoteRef/>
      </w:r>
      <w:r>
        <w:t xml:space="preserve"> HZ/</w:t>
      </w:r>
      <w:proofErr w:type="spellStart"/>
      <w:r>
        <w:t>su</w:t>
      </w:r>
      <w:proofErr w:type="spellEnd"/>
      <w:r>
        <w:t xml:space="preserve">: The Herpes Zoster subunit vaccine (50 </w:t>
      </w:r>
      <w:proofErr w:type="spellStart"/>
      <w:r>
        <w:t>μg</w:t>
      </w:r>
      <w:proofErr w:type="spellEnd"/>
      <w:r>
        <w:t xml:space="preserve"> </w:t>
      </w:r>
      <w:proofErr w:type="spellStart"/>
      <w:proofErr w:type="gramStart"/>
      <w:r>
        <w:t>gE</w:t>
      </w:r>
      <w:proofErr w:type="spellEnd"/>
      <w:proofErr w:type="gramEnd"/>
      <w:r>
        <w:t>/ AS01</w:t>
      </w:r>
      <w:r w:rsidRPr="00951608">
        <w:rPr>
          <w:vertAlign w:val="subscript"/>
        </w:rPr>
        <w:t>B</w:t>
      </w:r>
      <w:r>
        <w:t xml:space="preserve">), also called </w:t>
      </w:r>
      <w:proofErr w:type="spellStart"/>
      <w:r>
        <w:t>gE</w:t>
      </w:r>
      <w:proofErr w:type="spellEnd"/>
      <w:r>
        <w:t>/AS01</w:t>
      </w:r>
      <w:r w:rsidRPr="00951608">
        <w:rPr>
          <w:vertAlign w:val="subscript"/>
        </w:rPr>
        <w:t>B</w:t>
      </w:r>
      <w:r>
        <w:t xml:space="preserve"> vaccine.</w:t>
      </w:r>
    </w:p>
  </w:footnote>
  <w:footnote w:id="3">
    <w:p w14:paraId="29CB8B89" w14:textId="08C3AD53" w:rsidR="00CC47E8" w:rsidRPr="00FF12AA" w:rsidRDefault="00CC47E8">
      <w:pPr>
        <w:pStyle w:val="FootnoteText"/>
        <w:rPr>
          <w:lang w:val="en-US"/>
        </w:rPr>
      </w:pPr>
      <w:r>
        <w:rPr>
          <w:rStyle w:val="FootnoteReference"/>
        </w:rPr>
        <w:footnoteRef/>
      </w:r>
      <w:r>
        <w:t xml:space="preserve"> </w:t>
      </w:r>
      <w:r w:rsidRPr="00F61B2D">
        <w:t>ICH Q1E</w:t>
      </w:r>
      <w:r>
        <w:t>: ICH harmonised tripartite guideline evaluation for stability data.</w:t>
      </w:r>
    </w:p>
  </w:footnote>
  <w:footnote w:id="4">
    <w:p w14:paraId="7D059CB2" w14:textId="77777777" w:rsidR="00CC47E8" w:rsidRPr="00331AB9" w:rsidRDefault="00CC47E8">
      <w:pPr>
        <w:pStyle w:val="FootnoteText"/>
        <w:rPr>
          <w:lang w:val="en-US"/>
        </w:rPr>
      </w:pPr>
      <w:r>
        <w:rPr>
          <w:rStyle w:val="FootnoteReference"/>
        </w:rPr>
        <w:footnoteRef/>
      </w:r>
      <w:r>
        <w:t xml:space="preserve"> AS01B: Adjuvant System containing 50 μg MPL, 50 μg QS-21 and liposomes</w:t>
      </w:r>
    </w:p>
  </w:footnote>
  <w:footnote w:id="5">
    <w:p w14:paraId="52A30AF2" w14:textId="77777777" w:rsidR="00CC47E8" w:rsidRPr="003F4D2A" w:rsidRDefault="00CC47E8">
      <w:pPr>
        <w:pStyle w:val="FootnoteText"/>
        <w:rPr>
          <w:lang w:val="en-US"/>
        </w:rPr>
      </w:pPr>
      <w:r>
        <w:rPr>
          <w:rStyle w:val="FootnoteReference"/>
        </w:rPr>
        <w:footnoteRef/>
      </w:r>
      <w:r>
        <w:t>CHMP/SWP/465/95; Note for Guidance on preclinical pharmacological and toxicological testing of vaccines.</w:t>
      </w:r>
    </w:p>
  </w:footnote>
  <w:footnote w:id="6">
    <w:p w14:paraId="53FF7B15" w14:textId="77777777" w:rsidR="00CC47E8" w:rsidRPr="009C0E5D" w:rsidRDefault="00CC47E8">
      <w:pPr>
        <w:pStyle w:val="FootnoteText"/>
      </w:pPr>
      <w:r>
        <w:rPr>
          <w:rStyle w:val="FootnoteReference"/>
        </w:rPr>
        <w:footnoteRef/>
      </w:r>
      <w:r>
        <w:t xml:space="preserve"> Pregnancy Category B2 is defined as </w:t>
      </w:r>
      <w:r w:rsidRPr="007678C3">
        <w:t>Drugs which have been taken by only a limited number of pregnant women and women of childbearing age, without an increase in the frequency of malformation or other direct or indirect harmful effects on the human fetus having been observed.</w:t>
      </w:r>
      <w:r>
        <w:t xml:space="preserve"> </w:t>
      </w:r>
      <w:r w:rsidRPr="007678C3">
        <w:t>Studies in animals are inadequate or may be lacking, but available data show no evidence of an increased occurrence of fetal damage.</w:t>
      </w:r>
    </w:p>
  </w:footnote>
  <w:footnote w:id="7">
    <w:p w14:paraId="7DFD2BDE" w14:textId="77777777" w:rsidR="00CC47E8" w:rsidRPr="009C0E5D" w:rsidRDefault="00CC47E8">
      <w:pPr>
        <w:pStyle w:val="FootnoteText"/>
        <w:rPr>
          <w:lang w:val="en-US"/>
        </w:rPr>
      </w:pPr>
      <w:r>
        <w:rPr>
          <w:rStyle w:val="FootnoteReference"/>
        </w:rPr>
        <w:footnoteRef/>
      </w:r>
      <w:r>
        <w:t xml:space="preserve"> </w:t>
      </w:r>
      <w:proofErr w:type="gramStart"/>
      <w:r w:rsidRPr="006023D0">
        <w:rPr>
          <w:color w:val="222222"/>
        </w:rPr>
        <w:t>Australian Technical Advisory Group on Immunisation (ATAGI).</w:t>
      </w:r>
      <w:proofErr w:type="gramEnd"/>
      <w:r w:rsidRPr="006023D0">
        <w:rPr>
          <w:color w:val="222222"/>
        </w:rPr>
        <w:t xml:space="preserve"> </w:t>
      </w:r>
      <w:r w:rsidRPr="006023D0">
        <w:rPr>
          <w:rStyle w:val="Emphasis"/>
          <w:color w:val="222222"/>
        </w:rPr>
        <w:t>The Australian immunisation handbook</w:t>
      </w:r>
      <w:r w:rsidRPr="006023D0">
        <w:rPr>
          <w:color w:val="222222"/>
        </w:rPr>
        <w:t xml:space="preserve"> 10th </w:t>
      </w:r>
      <w:proofErr w:type="spellStart"/>
      <w:proofErr w:type="gramStart"/>
      <w:r w:rsidRPr="006023D0">
        <w:rPr>
          <w:color w:val="222222"/>
        </w:rPr>
        <w:t>ed</w:t>
      </w:r>
      <w:proofErr w:type="spellEnd"/>
      <w:proofErr w:type="gramEnd"/>
      <w:r w:rsidRPr="006023D0">
        <w:rPr>
          <w:color w:val="222222"/>
        </w:rPr>
        <w:t xml:space="preserve"> (2017 update). Canberra: Australian Government Department of Health, 2017.</w:t>
      </w:r>
    </w:p>
  </w:footnote>
  <w:footnote w:id="8">
    <w:p w14:paraId="74C4DCA1" w14:textId="7E510C81" w:rsidR="00CC47E8" w:rsidRPr="009C0E5D" w:rsidRDefault="00CC47E8">
      <w:pPr>
        <w:pStyle w:val="FootnoteText"/>
        <w:rPr>
          <w:lang w:val="en-US"/>
        </w:rPr>
      </w:pPr>
      <w:r>
        <w:rPr>
          <w:rStyle w:val="FootnoteReference"/>
        </w:rPr>
        <w:footnoteRef/>
      </w:r>
      <w:r w:rsidRPr="00951608">
        <w:rPr>
          <w:lang w:val="en-US"/>
        </w:rPr>
        <w:t xml:space="preserve"> </w:t>
      </w:r>
      <w:proofErr w:type="spellStart"/>
      <w:r w:rsidRPr="00951608">
        <w:rPr>
          <w:rFonts w:eastAsia="TimesNewRoman" w:cs="TimesNewRoman"/>
          <w:lang w:val="en-US"/>
        </w:rPr>
        <w:t>MacIntyre</w:t>
      </w:r>
      <w:proofErr w:type="spellEnd"/>
      <w:r w:rsidRPr="00951608">
        <w:rPr>
          <w:rFonts w:eastAsia="TimesNewRoman" w:cs="TimesNewRoman"/>
          <w:lang w:val="en-US"/>
        </w:rPr>
        <w:t xml:space="preserve"> R, et al. </w:t>
      </w:r>
      <w:r w:rsidRPr="002201C2">
        <w:rPr>
          <w:rFonts w:eastAsia="TimesNewRoman" w:cs="TimesNewRoman"/>
        </w:rPr>
        <w:t xml:space="preserve">Increasing Trends of Herpes Zoster in Australia. </w:t>
      </w:r>
      <w:proofErr w:type="spellStart"/>
      <w:r w:rsidRPr="002201C2">
        <w:rPr>
          <w:rFonts w:eastAsia="TimesNewRoman" w:cs="TimesNewRoman,Italic"/>
          <w:i/>
          <w:iCs/>
        </w:rPr>
        <w:t>PLoS</w:t>
      </w:r>
      <w:proofErr w:type="spellEnd"/>
      <w:r w:rsidRPr="002201C2">
        <w:rPr>
          <w:rFonts w:eastAsia="TimesNewRoman" w:cs="TimesNewRoman,Italic"/>
          <w:i/>
          <w:iCs/>
        </w:rPr>
        <w:t xml:space="preserve"> ONE </w:t>
      </w:r>
      <w:r w:rsidRPr="002201C2">
        <w:rPr>
          <w:rFonts w:eastAsia="TimesNewRoman" w:cs="TimesNewRoman"/>
        </w:rPr>
        <w:t>2015; 10(4): e0125025</w:t>
      </w:r>
    </w:p>
  </w:footnote>
  <w:footnote w:id="9">
    <w:p w14:paraId="3770A0E1" w14:textId="4E2FFF66" w:rsidR="00CC47E8" w:rsidRPr="00951608" w:rsidRDefault="00CC47E8">
      <w:pPr>
        <w:pStyle w:val="FootnoteText"/>
        <w:rPr>
          <w:lang w:val="en-US"/>
        </w:rPr>
      </w:pPr>
      <w:r>
        <w:rPr>
          <w:rStyle w:val="FootnoteReference"/>
        </w:rPr>
        <w:footnoteRef/>
      </w:r>
      <w:r>
        <w:t xml:space="preserve"> </w:t>
      </w:r>
      <w:r>
        <w:rPr>
          <w:lang w:val="en-US"/>
        </w:rPr>
        <w:t xml:space="preserve">PHN </w:t>
      </w:r>
      <w:r>
        <w:rPr>
          <w:rFonts w:eastAsia="Times New Roman"/>
          <w:color w:val="222222"/>
          <w:lang w:eastAsia="en-AU"/>
        </w:rPr>
        <w:t>occurs when acute neuropathic pain associated with HZ evolves into a chronic, debilitating pain. PHN is conventionally defined as chronic pain that persists for at least 3 months (≥90 days) after rash onset and can include pain that appears ≥3 months after rash onset.</w:t>
      </w:r>
    </w:p>
  </w:footnote>
  <w:footnote w:id="10">
    <w:p w14:paraId="1B5FD6CB" w14:textId="34DBE381" w:rsidR="00CC47E8" w:rsidRPr="00951608" w:rsidRDefault="00CC47E8">
      <w:pPr>
        <w:pStyle w:val="FootnoteText"/>
        <w:rPr>
          <w:lang w:val="en-US"/>
        </w:rPr>
      </w:pPr>
      <w:r>
        <w:rPr>
          <w:rStyle w:val="FootnoteReference"/>
        </w:rPr>
        <w:footnoteRef/>
      </w:r>
      <w:r>
        <w:t xml:space="preserve"> Clarification: While three doses of vaccine were immunogenic, i</w:t>
      </w:r>
      <w:r w:rsidRPr="00167FD4">
        <w:t>n the 3-dose HZ/</w:t>
      </w:r>
      <w:proofErr w:type="spellStart"/>
      <w:r w:rsidRPr="00167FD4">
        <w:t>su</w:t>
      </w:r>
      <w:proofErr w:type="spellEnd"/>
      <w:r w:rsidRPr="00167FD4">
        <w:t xml:space="preserve"> group of ZOSTER-001, the incremental increase in the immune response after the third dose of HZ/</w:t>
      </w:r>
      <w:proofErr w:type="spellStart"/>
      <w:r w:rsidRPr="00167FD4">
        <w:t>su</w:t>
      </w:r>
      <w:proofErr w:type="spellEnd"/>
      <w:r w:rsidRPr="00167FD4">
        <w:t>, as compared to the res</w:t>
      </w:r>
      <w:r>
        <w:t>ponse after 2 doses was modest.</w:t>
      </w:r>
      <w:r w:rsidRPr="00EF22C7">
        <w:t xml:space="preserve"> </w:t>
      </w:r>
      <w:r>
        <w:t>The 2 dose schedule was immunogenic in immune compromised subjects.</w:t>
      </w:r>
    </w:p>
  </w:footnote>
  <w:footnote w:id="11">
    <w:p w14:paraId="20326B6E" w14:textId="77777777" w:rsidR="00CC47E8" w:rsidRDefault="00CC47E8" w:rsidP="00456765">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1F65C1CF" w14:textId="77777777" w:rsidR="00CC47E8" w:rsidRDefault="00CC47E8" w:rsidP="00456765">
      <w:pPr>
        <w:pStyle w:val="FootnoteText"/>
      </w:pPr>
      <w:r w:rsidRPr="00F12492">
        <w:rPr>
          <w:i/>
        </w:rPr>
        <w:t>Routine pharmacovigilance</w:t>
      </w:r>
      <w:r>
        <w:t xml:space="preserve"> practices involve the following activities:</w:t>
      </w:r>
    </w:p>
    <w:p w14:paraId="489D42BD" w14:textId="77777777" w:rsidR="00CC47E8" w:rsidRDefault="00CC47E8" w:rsidP="00456765">
      <w:pPr>
        <w:pStyle w:val="FootnoteText"/>
        <w:numPr>
          <w:ilvl w:val="0"/>
          <w:numId w:val="28"/>
        </w:numPr>
      </w:pPr>
      <w:r>
        <w:t>All suspected adverse reactions that are reported to the personnel of the company are collected and collated in an accessible manner;</w:t>
      </w:r>
    </w:p>
    <w:p w14:paraId="6D85CF60" w14:textId="77777777" w:rsidR="00CC47E8" w:rsidRDefault="00CC47E8" w:rsidP="00456765">
      <w:pPr>
        <w:pStyle w:val="FootnoteText"/>
        <w:numPr>
          <w:ilvl w:val="0"/>
          <w:numId w:val="28"/>
        </w:numPr>
      </w:pPr>
      <w:r>
        <w:t>Reporting to regulatory authorities;</w:t>
      </w:r>
    </w:p>
    <w:p w14:paraId="4EC67354" w14:textId="0B6E520F" w:rsidR="00CC47E8" w:rsidRDefault="00CC47E8" w:rsidP="00456765">
      <w:pPr>
        <w:pStyle w:val="FootnoteText"/>
        <w:numPr>
          <w:ilvl w:val="0"/>
          <w:numId w:val="28"/>
        </w:numPr>
      </w:pPr>
      <w:r>
        <w:t>Continuous monitoring of the safety profiles of approved products including signal detection and updating of labelling;</w:t>
      </w:r>
    </w:p>
    <w:p w14:paraId="584B60A3" w14:textId="77777777" w:rsidR="00CC47E8" w:rsidRDefault="00CC47E8" w:rsidP="00456765">
      <w:pPr>
        <w:pStyle w:val="FootnoteText"/>
        <w:numPr>
          <w:ilvl w:val="0"/>
          <w:numId w:val="28"/>
        </w:numPr>
      </w:pPr>
      <w:r>
        <w:t>Submission of PSURs;</w:t>
      </w:r>
    </w:p>
    <w:p w14:paraId="71A8970D" w14:textId="77777777" w:rsidR="00CC47E8" w:rsidRPr="00F12492" w:rsidRDefault="00CC47E8" w:rsidP="00456765">
      <w:pPr>
        <w:pStyle w:val="FootnoteText"/>
        <w:numPr>
          <w:ilvl w:val="0"/>
          <w:numId w:val="28"/>
        </w:numPr>
        <w:rPr>
          <w:lang w:val="en-US"/>
        </w:rPr>
      </w:pPr>
      <w:r>
        <w:t>Meeting other local regulatory agency requirements.</w:t>
      </w:r>
    </w:p>
  </w:footnote>
  <w:footnote w:id="12">
    <w:p w14:paraId="274CB89E" w14:textId="77777777" w:rsidR="00CC47E8" w:rsidRPr="00331AB9" w:rsidRDefault="00CC47E8">
      <w:pPr>
        <w:pStyle w:val="FootnoteText"/>
        <w:rPr>
          <w:lang w:val="en-US"/>
        </w:rPr>
      </w:pPr>
      <w:r>
        <w:rPr>
          <w:rStyle w:val="FootnoteReference"/>
        </w:rPr>
        <w:footnoteRef/>
      </w:r>
      <w:r>
        <w:t xml:space="preserve"> </w:t>
      </w:r>
      <w:r w:rsidRPr="005C0A6F">
        <w:t>CBER</w:t>
      </w:r>
      <w:r>
        <w:t xml:space="preserve">: Center for Biologics Evaluation and Research (FDA); </w:t>
      </w:r>
      <w:r w:rsidRPr="005C0A6F">
        <w:t>CHMP</w:t>
      </w:r>
      <w:r>
        <w:t>: Committee for Medicinal Products for Human Use (EMA)</w:t>
      </w:r>
    </w:p>
  </w:footnote>
  <w:footnote w:id="13">
    <w:p w14:paraId="2838B8A2" w14:textId="43678E1D" w:rsidR="00CC47E8" w:rsidRPr="00951608" w:rsidRDefault="00CC47E8">
      <w:pPr>
        <w:pStyle w:val="FootnoteText"/>
        <w:rPr>
          <w:lang w:val="en-US"/>
        </w:rPr>
      </w:pPr>
      <w:r>
        <w:rPr>
          <w:rStyle w:val="FootnoteReference"/>
        </w:rPr>
        <w:footnoteRef/>
      </w:r>
      <w:r>
        <w:t xml:space="preserve"> </w:t>
      </w:r>
      <w:r>
        <w:rPr>
          <w:lang w:val="en-US"/>
        </w:rPr>
        <w:t>Clarification: Data on medically attended visits was only collected for individual studies, not pooled.</w:t>
      </w:r>
    </w:p>
  </w:footnote>
  <w:footnote w:id="14">
    <w:p w14:paraId="02FBD21A" w14:textId="4DF6B30D" w:rsidR="00CC47E8" w:rsidRPr="00951608" w:rsidRDefault="00CC47E8">
      <w:pPr>
        <w:pStyle w:val="FootnoteText"/>
        <w:rPr>
          <w:lang w:val="en-US"/>
        </w:rPr>
      </w:pPr>
      <w:r>
        <w:rPr>
          <w:rStyle w:val="FootnoteReference"/>
        </w:rPr>
        <w:footnoteRef/>
      </w:r>
      <w:r>
        <w:t xml:space="preserve"> </w:t>
      </w:r>
      <w:r>
        <w:rPr>
          <w:lang w:val="en-US"/>
        </w:rPr>
        <w:t>Clarification:</w:t>
      </w:r>
      <w:r w:rsidRPr="0081313B">
        <w:t xml:space="preserve"> </w:t>
      </w:r>
      <w:r>
        <w:t xml:space="preserve">It was agreed during the evaluation that </w:t>
      </w:r>
      <w:proofErr w:type="spellStart"/>
      <w:r>
        <w:t>pIMD</w:t>
      </w:r>
      <w:proofErr w:type="spellEnd"/>
      <w:r>
        <w:t xml:space="preserve"> events did not need to be included in the adverse events section of the PI.</w:t>
      </w:r>
    </w:p>
  </w:footnote>
  <w:footnote w:id="15">
    <w:p w14:paraId="10EC1F5B" w14:textId="77777777" w:rsidR="00CC47E8" w:rsidRPr="00733CE8" w:rsidRDefault="00CC47E8">
      <w:pPr>
        <w:pStyle w:val="FootnoteText"/>
        <w:rPr>
          <w:lang w:val="en-US"/>
        </w:rPr>
      </w:pPr>
      <w:r>
        <w:rPr>
          <w:rStyle w:val="FootnoteReference"/>
        </w:rPr>
        <w:footnoteRef/>
      </w:r>
      <w:r>
        <w:t xml:space="preserve"> </w:t>
      </w:r>
      <w:proofErr w:type="spellStart"/>
      <w:r w:rsidRPr="00733CE8">
        <w:t>Oxman</w:t>
      </w:r>
      <w:proofErr w:type="spellEnd"/>
      <w:r w:rsidRPr="00733CE8">
        <w:t xml:space="preserve"> MN</w:t>
      </w:r>
      <w:proofErr w:type="gramStart"/>
      <w:r w:rsidRPr="00733CE8">
        <w:t>, ,</w:t>
      </w:r>
      <w:proofErr w:type="gramEnd"/>
      <w:r w:rsidRPr="00733CE8">
        <w:t xml:space="preserve"> et al. Shingles Prevention Study Group. </w:t>
      </w:r>
      <w:proofErr w:type="gramStart"/>
      <w:r w:rsidRPr="00733CE8">
        <w:t>A vaccine to prevent herpes zoster and postherpetic neuralgia in older adults.</w:t>
      </w:r>
      <w:proofErr w:type="gramEnd"/>
      <w:r w:rsidRPr="00733CE8">
        <w:t xml:space="preserve"> </w:t>
      </w:r>
      <w:r w:rsidRPr="00733CE8">
        <w:rPr>
          <w:i/>
        </w:rPr>
        <w:t xml:space="preserve">N </w:t>
      </w:r>
      <w:proofErr w:type="spellStart"/>
      <w:r w:rsidRPr="00733CE8">
        <w:rPr>
          <w:i/>
        </w:rPr>
        <w:t>Engl</w:t>
      </w:r>
      <w:proofErr w:type="spellEnd"/>
      <w:r w:rsidRPr="00733CE8">
        <w:rPr>
          <w:i/>
        </w:rPr>
        <w:t xml:space="preserve"> J Med</w:t>
      </w:r>
      <w:r w:rsidRPr="00733CE8">
        <w:t>. 2005; 352: 2271-2284</w:t>
      </w:r>
    </w:p>
  </w:footnote>
  <w:footnote w:id="16">
    <w:p w14:paraId="436F210A" w14:textId="77777777" w:rsidR="00CC47E8" w:rsidRPr="00733CE8" w:rsidRDefault="00CC47E8">
      <w:pPr>
        <w:pStyle w:val="FootnoteText"/>
        <w:rPr>
          <w:lang w:val="en-US"/>
        </w:rPr>
      </w:pPr>
      <w:r>
        <w:rPr>
          <w:rStyle w:val="FootnoteReference"/>
        </w:rPr>
        <w:footnoteRef/>
      </w:r>
      <w:r>
        <w:t xml:space="preserve"> </w:t>
      </w:r>
      <w:r w:rsidRPr="00733CE8">
        <w:t xml:space="preserve">Cohen JI. </w:t>
      </w:r>
      <w:proofErr w:type="gramStart"/>
      <w:r w:rsidRPr="00733CE8">
        <w:t>Herpes zoster.</w:t>
      </w:r>
      <w:proofErr w:type="gramEnd"/>
      <w:r w:rsidRPr="00733CE8">
        <w:t xml:space="preserve"> </w:t>
      </w:r>
      <w:r w:rsidRPr="00733CE8">
        <w:rPr>
          <w:i/>
        </w:rPr>
        <w:t xml:space="preserve">N </w:t>
      </w:r>
      <w:proofErr w:type="spellStart"/>
      <w:r w:rsidRPr="00733CE8">
        <w:rPr>
          <w:i/>
        </w:rPr>
        <w:t>Engl</w:t>
      </w:r>
      <w:proofErr w:type="spellEnd"/>
      <w:r w:rsidRPr="00733CE8">
        <w:rPr>
          <w:i/>
        </w:rPr>
        <w:t xml:space="preserve"> J Med</w:t>
      </w:r>
      <w:r w:rsidRPr="00733CE8">
        <w:t>. 2013; 369: 255-263</w:t>
      </w:r>
    </w:p>
  </w:footnote>
  <w:footnote w:id="17">
    <w:p w14:paraId="3177391D" w14:textId="77777777" w:rsidR="00CC47E8" w:rsidRPr="00B143AB" w:rsidRDefault="00CC47E8">
      <w:pPr>
        <w:pStyle w:val="FootnoteText"/>
        <w:rPr>
          <w:lang w:val="en-US"/>
        </w:rPr>
      </w:pPr>
      <w:r>
        <w:rPr>
          <w:rStyle w:val="FootnoteReference"/>
        </w:rPr>
        <w:footnoteRef/>
      </w:r>
      <w:r>
        <w:t xml:space="preserve"> </w:t>
      </w:r>
      <w:r>
        <w:rPr>
          <w:sz w:val="20"/>
        </w:rPr>
        <w:t>For example, https://clinicaltrials.gov/ct2/show/results/NCT02045836?term=zoster</w:t>
      </w:r>
      <w:r>
        <w:t>+</w:t>
      </w:r>
      <w:r>
        <w:rPr>
          <w:sz w:val="20"/>
        </w:rPr>
        <w:t xml:space="preserve">pneumovax&amp;draw=3&amp;rank=2&amp;sect=X43ec0156&amp;view=results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E96B7" w14:textId="77777777" w:rsidR="00CC47E8" w:rsidRDefault="00CC47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BE9B2" w14:textId="77777777" w:rsidR="00CC47E8" w:rsidRDefault="00CC47E8"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439D" w14:textId="77777777" w:rsidR="00CC47E8" w:rsidRDefault="00CC47E8">
    <w:pPr>
      <w:rPr>
        <w:noProof/>
        <w:lang w:eastAsia="en-AU"/>
      </w:rPr>
    </w:pPr>
    <w:r w:rsidRPr="00347824">
      <w:rPr>
        <w:noProof/>
        <w:lang w:eastAsia="en-AU"/>
      </w:rPr>
      <w:drawing>
        <wp:anchor distT="0" distB="0" distL="114300" distR="114300" simplePos="0" relativeHeight="251658240" behindDoc="1" locked="0" layoutInCell="1" allowOverlap="1" wp14:anchorId="5C75DF3B" wp14:editId="3101AF07">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BA5DC90" w14:textId="77777777" w:rsidR="00CC47E8" w:rsidRDefault="00CC47E8" w:rsidP="00593AD1">
    <w:pPr>
      <w:pStyle w:val="HeaderNoLine"/>
    </w:pPr>
    <w:r>
      <w:rPr>
        <w:noProof/>
        <w:lang w:eastAsia="en-AU"/>
      </w:rPr>
      <w:drawing>
        <wp:inline distT="0" distB="0" distL="0" distR="0" wp14:anchorId="28A47C28" wp14:editId="493BD17D">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D61A6" w14:textId="77777777" w:rsidR="00CC47E8" w:rsidRDefault="00CC47E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BECCB" w14:textId="77777777" w:rsidR="00CC47E8" w:rsidRDefault="00CC47E8">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B5E3E" w14:textId="77777777" w:rsidR="00CC47E8" w:rsidRDefault="00CC47E8">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6622D" w14:textId="77777777" w:rsidR="00CC47E8" w:rsidRDefault="00CC47E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6E4BA" w14:textId="77777777" w:rsidR="00CC47E8" w:rsidRDefault="00CC47E8"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A6FD9" w14:textId="77777777" w:rsidR="00CC47E8" w:rsidRDefault="00CC47E8" w:rsidP="006E08B3">
    <w:r>
      <w:t>Therapeutic Goods Administration</w:t>
    </w:r>
  </w:p>
  <w:p w14:paraId="4AC93770" w14:textId="77777777" w:rsidR="00CC47E8" w:rsidRDefault="00CC47E8"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57177D3"/>
    <w:multiLevelType w:val="hybridMultilevel"/>
    <w:tmpl w:val="03D0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F74E93"/>
    <w:multiLevelType w:val="hybridMultilevel"/>
    <w:tmpl w:val="472E0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4A2C2F"/>
    <w:multiLevelType w:val="hybridMultilevel"/>
    <w:tmpl w:val="58E4A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nsid w:val="11F055AB"/>
    <w:multiLevelType w:val="hybridMultilevel"/>
    <w:tmpl w:val="AA48FB2A"/>
    <w:lvl w:ilvl="0" w:tplc="101E97E6">
      <w:start w:val="1"/>
      <w:numFmt w:val="bullet"/>
      <w:lvlText w:val="-"/>
      <w:lvlJc w:val="left"/>
      <w:pPr>
        <w:ind w:left="720" w:hanging="360"/>
      </w:pPr>
      <w:rPr>
        <w:rFonts w:ascii="Cambria" w:eastAsia="TimesNewRoman" w:hAnsi="Cambria"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nsid w:val="2A652C54"/>
    <w:multiLevelType w:val="multilevel"/>
    <w:tmpl w:val="8E108E7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3FF7931"/>
    <w:multiLevelType w:val="hybridMultilevel"/>
    <w:tmpl w:val="A27C1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9F066DB"/>
    <w:multiLevelType w:val="hybridMultilevel"/>
    <w:tmpl w:val="3E8AC4DC"/>
    <w:lvl w:ilvl="0" w:tplc="F88005D6">
      <w:numFmt w:val="bullet"/>
      <w:lvlText w:val="-"/>
      <w:lvlJc w:val="left"/>
      <w:pPr>
        <w:ind w:left="720" w:hanging="360"/>
      </w:pPr>
      <w:rPr>
        <w:rFonts w:ascii="Cambria" w:eastAsia="Cambria"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489B15D7"/>
    <w:multiLevelType w:val="hybridMultilevel"/>
    <w:tmpl w:val="F3E2B5A0"/>
    <w:lvl w:ilvl="0" w:tplc="6242EEB4">
      <w:start w:val="1"/>
      <w:numFmt w:val="bullet"/>
      <w:pStyle w:val="Bulletpoint"/>
      <w:lvlText w:val=""/>
      <w:lvlJc w:val="left"/>
      <w:pPr>
        <w:tabs>
          <w:tab w:val="num" w:pos="369"/>
        </w:tabs>
        <w:ind w:left="369" w:hanging="227"/>
      </w:pPr>
      <w:rPr>
        <w:rFonts w:ascii="Symbol" w:hAnsi="Symbol" w:hint="default"/>
        <w:position w:val="0"/>
        <w:sz w:val="18"/>
        <w:szCs w:val="18"/>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BC9496E"/>
    <w:multiLevelType w:val="hybridMultilevel"/>
    <w:tmpl w:val="79F0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D0B1B75"/>
    <w:multiLevelType w:val="multilevel"/>
    <w:tmpl w:val="92A67C4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5"/>
        </w:tabs>
        <w:ind w:left="1135" w:hanging="1022"/>
      </w:pPr>
      <w:rPr>
        <w:rFonts w:hint="default"/>
      </w:rPr>
    </w:lvl>
    <w:lvl w:ilvl="2">
      <w:start w:val="1"/>
      <w:numFmt w:val="decimal"/>
      <w:lvlText w:val="%1.%2.%3."/>
      <w:lvlJc w:val="left"/>
      <w:pPr>
        <w:tabs>
          <w:tab w:val="num" w:pos="1134"/>
        </w:tabs>
        <w:ind w:left="1134" w:hanging="964"/>
      </w:pPr>
      <w:rPr>
        <w:rFonts w:hint="default"/>
      </w:rPr>
    </w:lvl>
    <w:lvl w:ilvl="3">
      <w:start w:val="1"/>
      <w:numFmt w:val="decimal"/>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8">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7BD15BB7"/>
    <w:multiLevelType w:val="hybridMultilevel"/>
    <w:tmpl w:val="50986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10"/>
  </w:num>
  <w:num w:numId="5">
    <w:abstractNumId w:val="0"/>
  </w:num>
  <w:num w:numId="6">
    <w:abstractNumId w:val="10"/>
  </w:num>
  <w:num w:numId="7">
    <w:abstractNumId w:val="10"/>
  </w:num>
  <w:num w:numId="8">
    <w:abstractNumId w:val="8"/>
  </w:num>
  <w:num w:numId="9">
    <w:abstractNumId w:val="8"/>
  </w:num>
  <w:num w:numId="10">
    <w:abstractNumId w:val="8"/>
  </w:num>
  <w:num w:numId="11">
    <w:abstractNumId w:val="8"/>
  </w:num>
  <w:num w:numId="12">
    <w:abstractNumId w:val="3"/>
    <w:lvlOverride w:ilvl="0">
      <w:lvl w:ilvl="0">
        <w:numFmt w:val="bullet"/>
        <w:lvlText w:val="•"/>
        <w:legacy w:legacy="1" w:legacySpace="0" w:legacyIndent="0"/>
        <w:lvlJc w:val="left"/>
        <w:rPr>
          <w:rFonts w:ascii="Helv" w:hAnsi="Helv" w:hint="default"/>
        </w:rPr>
      </w:lvl>
    </w:lvlOverride>
  </w:num>
  <w:num w:numId="13">
    <w:abstractNumId w:val="10"/>
  </w:num>
  <w:num w:numId="14">
    <w:abstractNumId w:val="10"/>
  </w:num>
  <w:num w:numId="15">
    <w:abstractNumId w:val="10"/>
  </w:num>
  <w:num w:numId="16">
    <w:abstractNumId w:val="8"/>
  </w:num>
  <w:num w:numId="17">
    <w:abstractNumId w:val="8"/>
  </w:num>
  <w:num w:numId="18">
    <w:abstractNumId w:val="8"/>
  </w:num>
  <w:num w:numId="19">
    <w:abstractNumId w:val="10"/>
  </w:num>
  <w:num w:numId="20">
    <w:abstractNumId w:val="10"/>
  </w:num>
  <w:num w:numId="21">
    <w:abstractNumId w:val="10"/>
  </w:num>
  <w:num w:numId="22">
    <w:abstractNumId w:val="8"/>
  </w:num>
  <w:num w:numId="23">
    <w:abstractNumId w:val="8"/>
  </w:num>
  <w:num w:numId="24">
    <w:abstractNumId w:val="8"/>
  </w:num>
  <w:num w:numId="25">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5"/>
  </w:num>
  <w:num w:numId="28">
    <w:abstractNumId w:val="18"/>
  </w:num>
  <w:num w:numId="29">
    <w:abstractNumId w:val="12"/>
  </w:num>
  <w:num w:numId="30">
    <w:abstractNumId w:val="4"/>
  </w:num>
  <w:num w:numId="31">
    <w:abstractNumId w:val="9"/>
  </w:num>
  <w:num w:numId="32">
    <w:abstractNumId w:val="7"/>
  </w:num>
  <w:num w:numId="33">
    <w:abstractNumId w:val="16"/>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5"/>
  </w:num>
  <w:num w:numId="40">
    <w:abstractNumId w:val="6"/>
  </w:num>
  <w:num w:numId="41">
    <w:abstractNumId w:val="17"/>
  </w:num>
  <w:num w:numId="42">
    <w:abstractNumId w:val="13"/>
  </w:num>
  <w:num w:numId="43">
    <w:abstractNumId w:val="1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48"/>
    <w:rsid w:val="00002031"/>
    <w:rsid w:val="00004734"/>
    <w:rsid w:val="00006B22"/>
    <w:rsid w:val="0001276A"/>
    <w:rsid w:val="00014B40"/>
    <w:rsid w:val="000159A6"/>
    <w:rsid w:val="000246AE"/>
    <w:rsid w:val="00025C67"/>
    <w:rsid w:val="00044772"/>
    <w:rsid w:val="0005559E"/>
    <w:rsid w:val="000604D6"/>
    <w:rsid w:val="00066595"/>
    <w:rsid w:val="000734D8"/>
    <w:rsid w:val="000767A2"/>
    <w:rsid w:val="00077775"/>
    <w:rsid w:val="00077B4F"/>
    <w:rsid w:val="00085361"/>
    <w:rsid w:val="00085853"/>
    <w:rsid w:val="00090471"/>
    <w:rsid w:val="00096AA7"/>
    <w:rsid w:val="000A3AED"/>
    <w:rsid w:val="000B3532"/>
    <w:rsid w:val="000B3A75"/>
    <w:rsid w:val="000C00C2"/>
    <w:rsid w:val="000C5861"/>
    <w:rsid w:val="000C690F"/>
    <w:rsid w:val="000D0435"/>
    <w:rsid w:val="000D1295"/>
    <w:rsid w:val="000D391B"/>
    <w:rsid w:val="000D3D6D"/>
    <w:rsid w:val="000D4FC7"/>
    <w:rsid w:val="000E5290"/>
    <w:rsid w:val="000E6196"/>
    <w:rsid w:val="000E6841"/>
    <w:rsid w:val="000F3CAC"/>
    <w:rsid w:val="000F4869"/>
    <w:rsid w:val="000F5B42"/>
    <w:rsid w:val="000F6E6F"/>
    <w:rsid w:val="00101814"/>
    <w:rsid w:val="0010601F"/>
    <w:rsid w:val="0010788A"/>
    <w:rsid w:val="00107A31"/>
    <w:rsid w:val="00110EA5"/>
    <w:rsid w:val="00112F56"/>
    <w:rsid w:val="001141E8"/>
    <w:rsid w:val="001147E5"/>
    <w:rsid w:val="0012170B"/>
    <w:rsid w:val="00124ACD"/>
    <w:rsid w:val="00125318"/>
    <w:rsid w:val="001305A2"/>
    <w:rsid w:val="001329D1"/>
    <w:rsid w:val="00133238"/>
    <w:rsid w:val="00133A1B"/>
    <w:rsid w:val="0014197B"/>
    <w:rsid w:val="00143CD9"/>
    <w:rsid w:val="001447CD"/>
    <w:rsid w:val="00147CEA"/>
    <w:rsid w:val="001516B1"/>
    <w:rsid w:val="00151A76"/>
    <w:rsid w:val="0015479E"/>
    <w:rsid w:val="00154EBB"/>
    <w:rsid w:val="00156316"/>
    <w:rsid w:val="00161181"/>
    <w:rsid w:val="00162D14"/>
    <w:rsid w:val="00163780"/>
    <w:rsid w:val="00165389"/>
    <w:rsid w:val="00167FD4"/>
    <w:rsid w:val="00175E10"/>
    <w:rsid w:val="0017693F"/>
    <w:rsid w:val="0018110E"/>
    <w:rsid w:val="00181684"/>
    <w:rsid w:val="00181D5D"/>
    <w:rsid w:val="001843C6"/>
    <w:rsid w:val="001850E0"/>
    <w:rsid w:val="001A0AC4"/>
    <w:rsid w:val="001A2158"/>
    <w:rsid w:val="001A525F"/>
    <w:rsid w:val="001B09F9"/>
    <w:rsid w:val="001B5045"/>
    <w:rsid w:val="001B5C90"/>
    <w:rsid w:val="001B6448"/>
    <w:rsid w:val="001C0E49"/>
    <w:rsid w:val="001C32CD"/>
    <w:rsid w:val="001D2984"/>
    <w:rsid w:val="001D3E81"/>
    <w:rsid w:val="001E07CF"/>
    <w:rsid w:val="001E350A"/>
    <w:rsid w:val="001E59F1"/>
    <w:rsid w:val="001F2CEE"/>
    <w:rsid w:val="001F49EB"/>
    <w:rsid w:val="001F6CBA"/>
    <w:rsid w:val="001F6DEC"/>
    <w:rsid w:val="00201D4E"/>
    <w:rsid w:val="002076C9"/>
    <w:rsid w:val="0021040C"/>
    <w:rsid w:val="0021610E"/>
    <w:rsid w:val="002170AB"/>
    <w:rsid w:val="00220B8A"/>
    <w:rsid w:val="002257F3"/>
    <w:rsid w:val="00233456"/>
    <w:rsid w:val="002339A5"/>
    <w:rsid w:val="002341FB"/>
    <w:rsid w:val="00235D7B"/>
    <w:rsid w:val="00257848"/>
    <w:rsid w:val="00262D6C"/>
    <w:rsid w:val="0027084A"/>
    <w:rsid w:val="00286434"/>
    <w:rsid w:val="00286C59"/>
    <w:rsid w:val="00291957"/>
    <w:rsid w:val="002942D1"/>
    <w:rsid w:val="0029501A"/>
    <w:rsid w:val="002A3721"/>
    <w:rsid w:val="002B1638"/>
    <w:rsid w:val="002B2F1E"/>
    <w:rsid w:val="002B3624"/>
    <w:rsid w:val="002C42ED"/>
    <w:rsid w:val="002C4F7B"/>
    <w:rsid w:val="002D0438"/>
    <w:rsid w:val="002D0952"/>
    <w:rsid w:val="002E1097"/>
    <w:rsid w:val="002E3C0B"/>
    <w:rsid w:val="002E40B3"/>
    <w:rsid w:val="002E4C9A"/>
    <w:rsid w:val="002E70AD"/>
    <w:rsid w:val="002F11F8"/>
    <w:rsid w:val="002F3F56"/>
    <w:rsid w:val="002F44B5"/>
    <w:rsid w:val="00302976"/>
    <w:rsid w:val="00311AC0"/>
    <w:rsid w:val="00316881"/>
    <w:rsid w:val="003176FC"/>
    <w:rsid w:val="00317D9D"/>
    <w:rsid w:val="0032583B"/>
    <w:rsid w:val="00326B73"/>
    <w:rsid w:val="00327883"/>
    <w:rsid w:val="00331A1D"/>
    <w:rsid w:val="00331AB9"/>
    <w:rsid w:val="00332E3D"/>
    <w:rsid w:val="00335504"/>
    <w:rsid w:val="00335BC5"/>
    <w:rsid w:val="00340C18"/>
    <w:rsid w:val="00340CD0"/>
    <w:rsid w:val="003421E8"/>
    <w:rsid w:val="003442FD"/>
    <w:rsid w:val="00347824"/>
    <w:rsid w:val="00350567"/>
    <w:rsid w:val="003517CE"/>
    <w:rsid w:val="003521E8"/>
    <w:rsid w:val="003707A3"/>
    <w:rsid w:val="00370CE3"/>
    <w:rsid w:val="0037169B"/>
    <w:rsid w:val="003728F3"/>
    <w:rsid w:val="0037496E"/>
    <w:rsid w:val="0038157D"/>
    <w:rsid w:val="0038311D"/>
    <w:rsid w:val="00383221"/>
    <w:rsid w:val="00386150"/>
    <w:rsid w:val="003874CE"/>
    <w:rsid w:val="00390900"/>
    <w:rsid w:val="00392EF0"/>
    <w:rsid w:val="003A7F6C"/>
    <w:rsid w:val="003B2999"/>
    <w:rsid w:val="003B4D60"/>
    <w:rsid w:val="003B7E39"/>
    <w:rsid w:val="003C27E6"/>
    <w:rsid w:val="003C58DC"/>
    <w:rsid w:val="003C65EC"/>
    <w:rsid w:val="003C7FE3"/>
    <w:rsid w:val="003D1E62"/>
    <w:rsid w:val="003D23D4"/>
    <w:rsid w:val="003E0B99"/>
    <w:rsid w:val="003E2486"/>
    <w:rsid w:val="003E3208"/>
    <w:rsid w:val="003E540C"/>
    <w:rsid w:val="003F0B04"/>
    <w:rsid w:val="003F4D2A"/>
    <w:rsid w:val="0040134E"/>
    <w:rsid w:val="00410EF5"/>
    <w:rsid w:val="004334C7"/>
    <w:rsid w:val="00436177"/>
    <w:rsid w:val="00440509"/>
    <w:rsid w:val="00440A2D"/>
    <w:rsid w:val="00441C3F"/>
    <w:rsid w:val="00453F06"/>
    <w:rsid w:val="004564A7"/>
    <w:rsid w:val="00456765"/>
    <w:rsid w:val="004617BF"/>
    <w:rsid w:val="00463658"/>
    <w:rsid w:val="004637A0"/>
    <w:rsid w:val="00470DCE"/>
    <w:rsid w:val="004715B4"/>
    <w:rsid w:val="004722CC"/>
    <w:rsid w:val="00476177"/>
    <w:rsid w:val="0048276A"/>
    <w:rsid w:val="00486776"/>
    <w:rsid w:val="004936E4"/>
    <w:rsid w:val="00494E60"/>
    <w:rsid w:val="00496C92"/>
    <w:rsid w:val="00497487"/>
    <w:rsid w:val="004A6189"/>
    <w:rsid w:val="004A7390"/>
    <w:rsid w:val="004B3BF4"/>
    <w:rsid w:val="004B7B76"/>
    <w:rsid w:val="004C239D"/>
    <w:rsid w:val="004C2DCA"/>
    <w:rsid w:val="004C3FDB"/>
    <w:rsid w:val="004C61D2"/>
    <w:rsid w:val="004F0C4A"/>
    <w:rsid w:val="004F0F38"/>
    <w:rsid w:val="004F47D6"/>
    <w:rsid w:val="004F7493"/>
    <w:rsid w:val="00500337"/>
    <w:rsid w:val="00501921"/>
    <w:rsid w:val="00503D1B"/>
    <w:rsid w:val="00507966"/>
    <w:rsid w:val="005140A6"/>
    <w:rsid w:val="0052292F"/>
    <w:rsid w:val="00524314"/>
    <w:rsid w:val="00525235"/>
    <w:rsid w:val="00530354"/>
    <w:rsid w:val="0053625B"/>
    <w:rsid w:val="00541F41"/>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95193"/>
    <w:rsid w:val="005969F1"/>
    <w:rsid w:val="005A0BA4"/>
    <w:rsid w:val="005A68B6"/>
    <w:rsid w:val="005B220F"/>
    <w:rsid w:val="005B2B0F"/>
    <w:rsid w:val="005B2FA5"/>
    <w:rsid w:val="005B6459"/>
    <w:rsid w:val="005B64D4"/>
    <w:rsid w:val="005C0A6F"/>
    <w:rsid w:val="005C2425"/>
    <w:rsid w:val="005C5570"/>
    <w:rsid w:val="005C79A4"/>
    <w:rsid w:val="005D0C02"/>
    <w:rsid w:val="005D4C42"/>
    <w:rsid w:val="005D5442"/>
    <w:rsid w:val="005D6F26"/>
    <w:rsid w:val="00603F32"/>
    <w:rsid w:val="006051B3"/>
    <w:rsid w:val="00605AD4"/>
    <w:rsid w:val="006136D7"/>
    <w:rsid w:val="0061510A"/>
    <w:rsid w:val="006178AC"/>
    <w:rsid w:val="00624EB5"/>
    <w:rsid w:val="00625A6E"/>
    <w:rsid w:val="006274B8"/>
    <w:rsid w:val="00632398"/>
    <w:rsid w:val="0063239E"/>
    <w:rsid w:val="00636E01"/>
    <w:rsid w:val="00640FC3"/>
    <w:rsid w:val="00641638"/>
    <w:rsid w:val="00642020"/>
    <w:rsid w:val="006427BF"/>
    <w:rsid w:val="00643548"/>
    <w:rsid w:val="0065337B"/>
    <w:rsid w:val="0065419D"/>
    <w:rsid w:val="00655BBB"/>
    <w:rsid w:val="006604D8"/>
    <w:rsid w:val="0066245E"/>
    <w:rsid w:val="00663BCB"/>
    <w:rsid w:val="00664A5B"/>
    <w:rsid w:val="0066735C"/>
    <w:rsid w:val="00667D44"/>
    <w:rsid w:val="0067578A"/>
    <w:rsid w:val="006763D2"/>
    <w:rsid w:val="00680C08"/>
    <w:rsid w:val="006916A0"/>
    <w:rsid w:val="006931B1"/>
    <w:rsid w:val="006976F7"/>
    <w:rsid w:val="006A15C0"/>
    <w:rsid w:val="006B28FF"/>
    <w:rsid w:val="006B5FDE"/>
    <w:rsid w:val="006B7A12"/>
    <w:rsid w:val="006C3E2A"/>
    <w:rsid w:val="006C43FA"/>
    <w:rsid w:val="006C4D2D"/>
    <w:rsid w:val="006C642F"/>
    <w:rsid w:val="006D03E5"/>
    <w:rsid w:val="006D376B"/>
    <w:rsid w:val="006D5D3E"/>
    <w:rsid w:val="006E08B3"/>
    <w:rsid w:val="006F17AC"/>
    <w:rsid w:val="006F25B8"/>
    <w:rsid w:val="006F572E"/>
    <w:rsid w:val="0070024F"/>
    <w:rsid w:val="007046D6"/>
    <w:rsid w:val="00705DB0"/>
    <w:rsid w:val="00722B57"/>
    <w:rsid w:val="00730F8A"/>
    <w:rsid w:val="007312FC"/>
    <w:rsid w:val="00733CE8"/>
    <w:rsid w:val="00735A8C"/>
    <w:rsid w:val="0074253D"/>
    <w:rsid w:val="0074429B"/>
    <w:rsid w:val="007553D3"/>
    <w:rsid w:val="0076046F"/>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46F5"/>
    <w:rsid w:val="007B32CD"/>
    <w:rsid w:val="007B3954"/>
    <w:rsid w:val="007B6132"/>
    <w:rsid w:val="007B6E9F"/>
    <w:rsid w:val="007C1216"/>
    <w:rsid w:val="007C1AF7"/>
    <w:rsid w:val="007C61C9"/>
    <w:rsid w:val="007C6B9B"/>
    <w:rsid w:val="007E7B17"/>
    <w:rsid w:val="00805D27"/>
    <w:rsid w:val="00806DCB"/>
    <w:rsid w:val="0081313B"/>
    <w:rsid w:val="00821776"/>
    <w:rsid w:val="00827549"/>
    <w:rsid w:val="008321F5"/>
    <w:rsid w:val="00832369"/>
    <w:rsid w:val="00834660"/>
    <w:rsid w:val="00836BC2"/>
    <w:rsid w:val="0085156D"/>
    <w:rsid w:val="00853B82"/>
    <w:rsid w:val="0085641B"/>
    <w:rsid w:val="00857136"/>
    <w:rsid w:val="00875A6B"/>
    <w:rsid w:val="00885B11"/>
    <w:rsid w:val="00886D15"/>
    <w:rsid w:val="00887DD8"/>
    <w:rsid w:val="00891BA9"/>
    <w:rsid w:val="00896018"/>
    <w:rsid w:val="008960DD"/>
    <w:rsid w:val="0089635C"/>
    <w:rsid w:val="00897DB3"/>
    <w:rsid w:val="008A2B9D"/>
    <w:rsid w:val="008A3D9F"/>
    <w:rsid w:val="008A5E0B"/>
    <w:rsid w:val="008A6D59"/>
    <w:rsid w:val="008B4B03"/>
    <w:rsid w:val="008B596F"/>
    <w:rsid w:val="008C138B"/>
    <w:rsid w:val="008C159F"/>
    <w:rsid w:val="008C1623"/>
    <w:rsid w:val="008C1850"/>
    <w:rsid w:val="008C51A9"/>
    <w:rsid w:val="008C7605"/>
    <w:rsid w:val="008D2EB6"/>
    <w:rsid w:val="008D4538"/>
    <w:rsid w:val="008E7846"/>
    <w:rsid w:val="008F02E5"/>
    <w:rsid w:val="008F1CCC"/>
    <w:rsid w:val="008F2967"/>
    <w:rsid w:val="008F6943"/>
    <w:rsid w:val="008F7BC7"/>
    <w:rsid w:val="00902A21"/>
    <w:rsid w:val="0091081C"/>
    <w:rsid w:val="00920330"/>
    <w:rsid w:val="009219D7"/>
    <w:rsid w:val="00922950"/>
    <w:rsid w:val="00922D53"/>
    <w:rsid w:val="00923927"/>
    <w:rsid w:val="00923B70"/>
    <w:rsid w:val="00924482"/>
    <w:rsid w:val="00930237"/>
    <w:rsid w:val="00937C17"/>
    <w:rsid w:val="00940A89"/>
    <w:rsid w:val="00946EA5"/>
    <w:rsid w:val="00951608"/>
    <w:rsid w:val="0096043C"/>
    <w:rsid w:val="00963C08"/>
    <w:rsid w:val="00964A41"/>
    <w:rsid w:val="0096604F"/>
    <w:rsid w:val="009752A5"/>
    <w:rsid w:val="0098585A"/>
    <w:rsid w:val="00991939"/>
    <w:rsid w:val="00993DBD"/>
    <w:rsid w:val="009A4CED"/>
    <w:rsid w:val="009A690D"/>
    <w:rsid w:val="009B1D12"/>
    <w:rsid w:val="009B416B"/>
    <w:rsid w:val="009C0E5D"/>
    <w:rsid w:val="009C4BD5"/>
    <w:rsid w:val="009D7B77"/>
    <w:rsid w:val="009E0BB0"/>
    <w:rsid w:val="009E3FBB"/>
    <w:rsid w:val="009F5BC3"/>
    <w:rsid w:val="009F7353"/>
    <w:rsid w:val="00A00668"/>
    <w:rsid w:val="00A04F85"/>
    <w:rsid w:val="00A05FA4"/>
    <w:rsid w:val="00A102E4"/>
    <w:rsid w:val="00A12C42"/>
    <w:rsid w:val="00A14DF7"/>
    <w:rsid w:val="00A20EFA"/>
    <w:rsid w:val="00A263EB"/>
    <w:rsid w:val="00A3246D"/>
    <w:rsid w:val="00A3488A"/>
    <w:rsid w:val="00A36FA7"/>
    <w:rsid w:val="00A44DDB"/>
    <w:rsid w:val="00A475B7"/>
    <w:rsid w:val="00A47AF7"/>
    <w:rsid w:val="00A47C3E"/>
    <w:rsid w:val="00A47C52"/>
    <w:rsid w:val="00A50226"/>
    <w:rsid w:val="00A60A96"/>
    <w:rsid w:val="00A60BAD"/>
    <w:rsid w:val="00A759A4"/>
    <w:rsid w:val="00A80B5B"/>
    <w:rsid w:val="00A84E36"/>
    <w:rsid w:val="00A853B8"/>
    <w:rsid w:val="00A90983"/>
    <w:rsid w:val="00A9634F"/>
    <w:rsid w:val="00A964D1"/>
    <w:rsid w:val="00A97634"/>
    <w:rsid w:val="00A979D2"/>
    <w:rsid w:val="00AA0ED0"/>
    <w:rsid w:val="00AA4ED3"/>
    <w:rsid w:val="00AB48F4"/>
    <w:rsid w:val="00AC2B40"/>
    <w:rsid w:val="00AC2BB2"/>
    <w:rsid w:val="00AC2C3C"/>
    <w:rsid w:val="00AC512D"/>
    <w:rsid w:val="00AC6477"/>
    <w:rsid w:val="00AC7FA5"/>
    <w:rsid w:val="00AD0083"/>
    <w:rsid w:val="00AD3935"/>
    <w:rsid w:val="00AD5810"/>
    <w:rsid w:val="00AE1448"/>
    <w:rsid w:val="00AE2A98"/>
    <w:rsid w:val="00AE65EB"/>
    <w:rsid w:val="00AE67A7"/>
    <w:rsid w:val="00AE6925"/>
    <w:rsid w:val="00AF1D94"/>
    <w:rsid w:val="00AF60C5"/>
    <w:rsid w:val="00B009C6"/>
    <w:rsid w:val="00B01548"/>
    <w:rsid w:val="00B0230C"/>
    <w:rsid w:val="00B13EBD"/>
    <w:rsid w:val="00B143AB"/>
    <w:rsid w:val="00B15C20"/>
    <w:rsid w:val="00B21D29"/>
    <w:rsid w:val="00B22DD3"/>
    <w:rsid w:val="00B25034"/>
    <w:rsid w:val="00B33588"/>
    <w:rsid w:val="00B33863"/>
    <w:rsid w:val="00B37D17"/>
    <w:rsid w:val="00B4175E"/>
    <w:rsid w:val="00B41C85"/>
    <w:rsid w:val="00B452CE"/>
    <w:rsid w:val="00B54C25"/>
    <w:rsid w:val="00B76B91"/>
    <w:rsid w:val="00B76E4B"/>
    <w:rsid w:val="00B77EB1"/>
    <w:rsid w:val="00B811C6"/>
    <w:rsid w:val="00B85299"/>
    <w:rsid w:val="00B855B0"/>
    <w:rsid w:val="00B92E08"/>
    <w:rsid w:val="00BC622A"/>
    <w:rsid w:val="00BE0A78"/>
    <w:rsid w:val="00BE79F0"/>
    <w:rsid w:val="00BF046D"/>
    <w:rsid w:val="00BF1190"/>
    <w:rsid w:val="00BF2CC3"/>
    <w:rsid w:val="00BF5D04"/>
    <w:rsid w:val="00C009AA"/>
    <w:rsid w:val="00C049B7"/>
    <w:rsid w:val="00C1164D"/>
    <w:rsid w:val="00C16861"/>
    <w:rsid w:val="00C20E5A"/>
    <w:rsid w:val="00C346AB"/>
    <w:rsid w:val="00C404A6"/>
    <w:rsid w:val="00C40A36"/>
    <w:rsid w:val="00C44419"/>
    <w:rsid w:val="00C45E7B"/>
    <w:rsid w:val="00C471B1"/>
    <w:rsid w:val="00C5388D"/>
    <w:rsid w:val="00C5423A"/>
    <w:rsid w:val="00C57AE8"/>
    <w:rsid w:val="00C6316B"/>
    <w:rsid w:val="00C634A9"/>
    <w:rsid w:val="00C64586"/>
    <w:rsid w:val="00C70D53"/>
    <w:rsid w:val="00C73D0B"/>
    <w:rsid w:val="00C7504A"/>
    <w:rsid w:val="00C772FF"/>
    <w:rsid w:val="00C80137"/>
    <w:rsid w:val="00C801AF"/>
    <w:rsid w:val="00C80256"/>
    <w:rsid w:val="00C81857"/>
    <w:rsid w:val="00C94CD4"/>
    <w:rsid w:val="00C95B23"/>
    <w:rsid w:val="00C9747E"/>
    <w:rsid w:val="00CB6BC0"/>
    <w:rsid w:val="00CB72F7"/>
    <w:rsid w:val="00CC0053"/>
    <w:rsid w:val="00CC1B7C"/>
    <w:rsid w:val="00CC47E8"/>
    <w:rsid w:val="00CC727F"/>
    <w:rsid w:val="00CD29CA"/>
    <w:rsid w:val="00CD5352"/>
    <w:rsid w:val="00CF15C3"/>
    <w:rsid w:val="00CF240D"/>
    <w:rsid w:val="00CF2B6F"/>
    <w:rsid w:val="00CF2F3E"/>
    <w:rsid w:val="00CF58B6"/>
    <w:rsid w:val="00CF61E2"/>
    <w:rsid w:val="00D0062D"/>
    <w:rsid w:val="00D017ED"/>
    <w:rsid w:val="00D040D3"/>
    <w:rsid w:val="00D04C65"/>
    <w:rsid w:val="00D0523C"/>
    <w:rsid w:val="00D169E2"/>
    <w:rsid w:val="00D178DD"/>
    <w:rsid w:val="00D201D2"/>
    <w:rsid w:val="00D224FE"/>
    <w:rsid w:val="00D22598"/>
    <w:rsid w:val="00D23139"/>
    <w:rsid w:val="00D30F03"/>
    <w:rsid w:val="00D34A85"/>
    <w:rsid w:val="00D425BB"/>
    <w:rsid w:val="00D51914"/>
    <w:rsid w:val="00D6493E"/>
    <w:rsid w:val="00D7195D"/>
    <w:rsid w:val="00D7301E"/>
    <w:rsid w:val="00D73630"/>
    <w:rsid w:val="00D83AE1"/>
    <w:rsid w:val="00D855D4"/>
    <w:rsid w:val="00D902C9"/>
    <w:rsid w:val="00D93466"/>
    <w:rsid w:val="00DA1124"/>
    <w:rsid w:val="00DA6026"/>
    <w:rsid w:val="00DB6124"/>
    <w:rsid w:val="00DB750B"/>
    <w:rsid w:val="00DB75B7"/>
    <w:rsid w:val="00DC6E02"/>
    <w:rsid w:val="00DD28CD"/>
    <w:rsid w:val="00DE02AE"/>
    <w:rsid w:val="00DF1D7F"/>
    <w:rsid w:val="00DF4BE4"/>
    <w:rsid w:val="00DF7D07"/>
    <w:rsid w:val="00E021B7"/>
    <w:rsid w:val="00E02FB4"/>
    <w:rsid w:val="00E03924"/>
    <w:rsid w:val="00E13FC7"/>
    <w:rsid w:val="00E20571"/>
    <w:rsid w:val="00E22B7E"/>
    <w:rsid w:val="00E235F7"/>
    <w:rsid w:val="00E23659"/>
    <w:rsid w:val="00E239D4"/>
    <w:rsid w:val="00E26130"/>
    <w:rsid w:val="00E367A4"/>
    <w:rsid w:val="00E37ABD"/>
    <w:rsid w:val="00E40B22"/>
    <w:rsid w:val="00E44ED1"/>
    <w:rsid w:val="00E45619"/>
    <w:rsid w:val="00E4588F"/>
    <w:rsid w:val="00E46DA3"/>
    <w:rsid w:val="00E51BB1"/>
    <w:rsid w:val="00E51C07"/>
    <w:rsid w:val="00E60B48"/>
    <w:rsid w:val="00E624A5"/>
    <w:rsid w:val="00E64BA4"/>
    <w:rsid w:val="00E7344E"/>
    <w:rsid w:val="00E73A88"/>
    <w:rsid w:val="00E80B89"/>
    <w:rsid w:val="00E82665"/>
    <w:rsid w:val="00E849D1"/>
    <w:rsid w:val="00E97880"/>
    <w:rsid w:val="00EB0798"/>
    <w:rsid w:val="00EB0A18"/>
    <w:rsid w:val="00EB40AD"/>
    <w:rsid w:val="00EB586E"/>
    <w:rsid w:val="00EB5FC8"/>
    <w:rsid w:val="00EC463D"/>
    <w:rsid w:val="00EC7A85"/>
    <w:rsid w:val="00ED2922"/>
    <w:rsid w:val="00ED3CAD"/>
    <w:rsid w:val="00ED4D28"/>
    <w:rsid w:val="00ED5A41"/>
    <w:rsid w:val="00EE1DE8"/>
    <w:rsid w:val="00EE27C2"/>
    <w:rsid w:val="00EF1F2D"/>
    <w:rsid w:val="00EF22C7"/>
    <w:rsid w:val="00EF4BAD"/>
    <w:rsid w:val="00EF59DC"/>
    <w:rsid w:val="00EF6B3F"/>
    <w:rsid w:val="00F033EC"/>
    <w:rsid w:val="00F04F68"/>
    <w:rsid w:val="00F12670"/>
    <w:rsid w:val="00F14B27"/>
    <w:rsid w:val="00F27E9A"/>
    <w:rsid w:val="00F3148D"/>
    <w:rsid w:val="00F325C5"/>
    <w:rsid w:val="00F32FE0"/>
    <w:rsid w:val="00F35298"/>
    <w:rsid w:val="00F47333"/>
    <w:rsid w:val="00F47E37"/>
    <w:rsid w:val="00F53C07"/>
    <w:rsid w:val="00F54B65"/>
    <w:rsid w:val="00F61B2D"/>
    <w:rsid w:val="00F640B6"/>
    <w:rsid w:val="00F656A7"/>
    <w:rsid w:val="00F666D2"/>
    <w:rsid w:val="00F66DF2"/>
    <w:rsid w:val="00F80E40"/>
    <w:rsid w:val="00F848D9"/>
    <w:rsid w:val="00F869F8"/>
    <w:rsid w:val="00F91572"/>
    <w:rsid w:val="00F922B3"/>
    <w:rsid w:val="00FA5B82"/>
    <w:rsid w:val="00FA639E"/>
    <w:rsid w:val="00FB1C95"/>
    <w:rsid w:val="00FB4184"/>
    <w:rsid w:val="00FC0EEA"/>
    <w:rsid w:val="00FC1FCA"/>
    <w:rsid w:val="00FC25E4"/>
    <w:rsid w:val="00FC4EF7"/>
    <w:rsid w:val="00FD0824"/>
    <w:rsid w:val="00FD119B"/>
    <w:rsid w:val="00FD1EDC"/>
    <w:rsid w:val="00FD50DD"/>
    <w:rsid w:val="00FE1DEE"/>
    <w:rsid w:val="00FF12AA"/>
    <w:rsid w:val="00FF2126"/>
    <w:rsid w:val="00FF5755"/>
    <w:rsid w:val="00FF69BE"/>
    <w:rsid w:val="00FF734A"/>
    <w:rsid w:val="00FF7B93"/>
    <w:rsid w:val="05847519"/>
    <w:rsid w:val="07A65C3D"/>
    <w:rsid w:val="0EE2FD80"/>
    <w:rsid w:val="389E0E61"/>
    <w:rsid w:val="43CDDC3E"/>
    <w:rsid w:val="449E1C43"/>
    <w:rsid w:val="4FD0B528"/>
    <w:rsid w:val="54145F12"/>
    <w:rsid w:val="5F7D060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AA8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312FC"/>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5C0A6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F666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uiPriority w:val="9"/>
    <w:semiHidden/>
    <w:rsid w:val="005C0A6F"/>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5C0A6F"/>
    <w:pPr>
      <w:spacing w:before="0" w:after="0" w:line="240" w:lineRule="auto"/>
      <w:ind w:left="720"/>
      <w:contextualSpacing/>
    </w:pPr>
    <w:rPr>
      <w:rFonts w:eastAsia="Times New Roman"/>
      <w:kern w:val="16"/>
      <w:szCs w:val="24"/>
      <w:lang w:eastAsia="en-AU"/>
    </w:rPr>
  </w:style>
  <w:style w:type="paragraph" w:customStyle="1" w:styleId="Bulletpoint">
    <w:name w:val="Bullet point"/>
    <w:basedOn w:val="Normal"/>
    <w:rsid w:val="005B220F"/>
    <w:pPr>
      <w:numPr>
        <w:numId w:val="38"/>
      </w:numPr>
      <w:tabs>
        <w:tab w:val="left" w:pos="397"/>
      </w:tabs>
      <w:spacing w:before="0" w:after="180" w:line="252" w:lineRule="auto"/>
    </w:pPr>
    <w:rPr>
      <w:rFonts w:eastAsia="Times New Roman"/>
      <w:snapToGrid w:val="0"/>
      <w:kern w:val="16"/>
      <w:szCs w:val="24"/>
    </w:rPr>
  </w:style>
  <w:style w:type="paragraph" w:customStyle="1" w:styleId="SectionHeading">
    <w:name w:val="Section Heading"/>
    <w:basedOn w:val="Normal"/>
    <w:next w:val="Normal"/>
    <w:link w:val="SectionHeadingCharChar"/>
    <w:rsid w:val="005B220F"/>
    <w:pPr>
      <w:keepNext/>
      <w:spacing w:before="0" w:after="220" w:line="252" w:lineRule="auto"/>
      <w:outlineLvl w:val="0"/>
    </w:pPr>
    <w:rPr>
      <w:rFonts w:eastAsia="Times New Roman"/>
      <w:b/>
      <w:caps/>
      <w:snapToGrid w:val="0"/>
      <w:kern w:val="16"/>
      <w:sz w:val="24"/>
      <w:szCs w:val="24"/>
    </w:rPr>
  </w:style>
  <w:style w:type="character" w:customStyle="1" w:styleId="SectionHeadingCharChar">
    <w:name w:val="Section Heading Char Char"/>
    <w:basedOn w:val="DefaultParagraphFont"/>
    <w:link w:val="SectionHeading"/>
    <w:rsid w:val="005B220F"/>
    <w:rPr>
      <w:rFonts w:ascii="Cambria" w:eastAsia="Times New Roman" w:hAnsi="Cambria" w:cs="Times New Roman"/>
      <w:b/>
      <w:caps/>
      <w:snapToGrid w:val="0"/>
      <w:kern w:val="16"/>
      <w:sz w:val="24"/>
      <w:szCs w:val="24"/>
    </w:rPr>
  </w:style>
  <w:style w:type="paragraph" w:customStyle="1" w:styleId="Standard">
    <w:name w:val="Standard"/>
    <w:basedOn w:val="Normal"/>
    <w:link w:val="StandardChar"/>
    <w:qFormat/>
    <w:rsid w:val="005B220F"/>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5B220F"/>
    <w:rPr>
      <w:rFonts w:ascii="Cambria" w:eastAsia="Times New Roman" w:hAnsi="Cambria" w:cs="Times New Roman"/>
      <w:snapToGrid w:val="0"/>
      <w:kern w:val="16"/>
      <w:szCs w:val="24"/>
    </w:rPr>
  </w:style>
  <w:style w:type="paragraph" w:customStyle="1" w:styleId="AssessmentSection">
    <w:name w:val="Assessment Section"/>
    <w:basedOn w:val="Normal"/>
    <w:next w:val="Standard"/>
    <w:rsid w:val="005B220F"/>
    <w:pPr>
      <w:keepNext/>
      <w:spacing w:before="0" w:after="110" w:line="252" w:lineRule="auto"/>
      <w:outlineLvl w:val="1"/>
    </w:pPr>
    <w:rPr>
      <w:rFonts w:eastAsia="Times New Roman"/>
      <w:b/>
      <w:snapToGrid w:val="0"/>
      <w:kern w:val="16"/>
      <w:szCs w:val="24"/>
    </w:rPr>
  </w:style>
  <w:style w:type="paragraph" w:customStyle="1" w:styleId="AssessmentSubsection">
    <w:name w:val="Assessment Subsection"/>
    <w:basedOn w:val="Standard"/>
    <w:next w:val="Standard"/>
    <w:rsid w:val="005B220F"/>
    <w:pPr>
      <w:keepNext/>
      <w:spacing w:after="110"/>
      <w:outlineLvl w:val="2"/>
    </w:pPr>
    <w:rPr>
      <w:b/>
      <w:i/>
    </w:rPr>
  </w:style>
  <w:style w:type="character" w:customStyle="1" w:styleId="TableTitleChar">
    <w:name w:val="Table Title Char"/>
    <w:basedOn w:val="StandardChar"/>
    <w:link w:val="TableTitle"/>
    <w:rsid w:val="005B220F"/>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5B220F"/>
    <w:rPr>
      <w:rFonts w:ascii="Cambria" w:eastAsia="Cambria" w:hAnsi="Cambria" w:cs="Times New Roman"/>
      <w:sz w:val="19"/>
    </w:rPr>
  </w:style>
  <w:style w:type="paragraph" w:customStyle="1" w:styleId="TableHeader">
    <w:name w:val="Table Header"/>
    <w:basedOn w:val="Normal"/>
    <w:rsid w:val="005B220F"/>
    <w:pPr>
      <w:keepNext/>
      <w:keepLines/>
      <w:widowControl w:val="0"/>
      <w:spacing w:before="60" w:after="60" w:line="200" w:lineRule="exact"/>
      <w:jc w:val="center"/>
    </w:pPr>
    <w:rPr>
      <w:rFonts w:eastAsia="MS Mincho" w:cstheme="minorBidi"/>
      <w:b/>
      <w:kern w:val="2"/>
      <w:sz w:val="19"/>
      <w:szCs w:val="19"/>
    </w:rPr>
  </w:style>
  <w:style w:type="paragraph" w:customStyle="1" w:styleId="AssessmentSubsection2">
    <w:name w:val="Assessment Subsection 2"/>
    <w:basedOn w:val="Normal"/>
    <w:next w:val="Normal"/>
    <w:rsid w:val="005B220F"/>
    <w:pPr>
      <w:keepNext/>
      <w:spacing w:before="0" w:after="110" w:line="252" w:lineRule="auto"/>
      <w:outlineLvl w:val="3"/>
    </w:pPr>
    <w:rPr>
      <w:rFonts w:eastAsia="Times New Roman"/>
      <w:i/>
      <w:snapToGrid w:val="0"/>
      <w:kern w:val="16"/>
      <w:szCs w:val="24"/>
    </w:rPr>
  </w:style>
  <w:style w:type="paragraph" w:customStyle="1" w:styleId="WhiteSpace">
    <w:name w:val="White Space"/>
    <w:basedOn w:val="Standard"/>
    <w:next w:val="Standard"/>
    <w:link w:val="WhiteSpaceChar"/>
    <w:rsid w:val="005B220F"/>
    <w:pPr>
      <w:spacing w:after="0"/>
    </w:pPr>
    <w:rPr>
      <w:sz w:val="16"/>
      <w:szCs w:val="16"/>
    </w:rPr>
  </w:style>
  <w:style w:type="character" w:customStyle="1" w:styleId="WhiteSpaceChar">
    <w:name w:val="White Space Char"/>
    <w:basedOn w:val="DefaultParagraphFont"/>
    <w:link w:val="WhiteSpace"/>
    <w:rsid w:val="005B220F"/>
    <w:rPr>
      <w:rFonts w:ascii="Cambria" w:eastAsia="Times New Roman" w:hAnsi="Cambria" w:cs="Times New Roman"/>
      <w:snapToGrid w:val="0"/>
      <w:kern w:val="16"/>
      <w:sz w:val="16"/>
      <w:szCs w:val="16"/>
    </w:rPr>
  </w:style>
  <w:style w:type="paragraph" w:customStyle="1" w:styleId="Bulletlist">
    <w:name w:val="Bullet list"/>
    <w:basedOn w:val="Normal"/>
    <w:link w:val="BulletlistChar"/>
    <w:qFormat/>
    <w:rsid w:val="00D34A85"/>
    <w:pPr>
      <w:numPr>
        <w:numId w:val="40"/>
      </w:numPr>
      <w:spacing w:before="0" w:after="180" w:line="252" w:lineRule="auto"/>
    </w:pPr>
    <w:rPr>
      <w:rFonts w:eastAsia="Times New Roman"/>
      <w:snapToGrid w:val="0"/>
      <w:kern w:val="2"/>
      <w:sz w:val="23"/>
    </w:rPr>
  </w:style>
  <w:style w:type="character" w:customStyle="1" w:styleId="BulletlistChar">
    <w:name w:val="Bullet list Char"/>
    <w:basedOn w:val="DefaultParagraphFont"/>
    <w:link w:val="Bulletlist"/>
    <w:rsid w:val="00D34A85"/>
    <w:rPr>
      <w:rFonts w:ascii="Cambria" w:eastAsia="Times New Roman" w:hAnsi="Cambria" w:cs="Times New Roman"/>
      <w:snapToGrid w:val="0"/>
      <w:kern w:val="2"/>
      <w:sz w:val="23"/>
    </w:rPr>
  </w:style>
  <w:style w:type="character" w:styleId="Strong">
    <w:name w:val="Strong"/>
    <w:basedOn w:val="DefaultParagraphFont"/>
    <w:uiPriority w:val="22"/>
    <w:qFormat/>
    <w:rsid w:val="007553D3"/>
    <w:rPr>
      <w:b/>
      <w:bCs/>
    </w:rPr>
  </w:style>
  <w:style w:type="paragraph" w:customStyle="1" w:styleId="Tabletitle0">
    <w:name w:val="Table title"/>
    <w:basedOn w:val="Normal"/>
    <w:next w:val="Normal"/>
    <w:rsid w:val="00D30F03"/>
    <w:pPr>
      <w:keepNext/>
      <w:spacing w:after="180"/>
      <w:outlineLvl w:val="4"/>
    </w:pPr>
    <w:rPr>
      <w:rFonts w:cstheme="minorBidi"/>
      <w:b/>
    </w:rPr>
  </w:style>
  <w:style w:type="paragraph" w:customStyle="1" w:styleId="Comment1">
    <w:name w:val="Comment 1"/>
    <w:basedOn w:val="Normal"/>
    <w:next w:val="Normal"/>
    <w:qFormat/>
    <w:rsid w:val="001F6DEC"/>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styleId="Emphasis">
    <w:name w:val="Emphasis"/>
    <w:basedOn w:val="DefaultParagraphFont"/>
    <w:uiPriority w:val="20"/>
    <w:qFormat/>
    <w:rsid w:val="009C0E5D"/>
    <w:rPr>
      <w:i/>
      <w:iCs/>
    </w:rPr>
  </w:style>
  <w:style w:type="paragraph" w:styleId="NormalWeb">
    <w:name w:val="Normal (Web)"/>
    <w:basedOn w:val="Normal"/>
    <w:uiPriority w:val="99"/>
    <w:semiHidden/>
    <w:unhideWhenUsed/>
    <w:rsid w:val="00923927"/>
    <w:pPr>
      <w:spacing w:before="100" w:beforeAutospacing="1" w:after="100" w:afterAutospacing="1" w:line="240" w:lineRule="auto"/>
    </w:pPr>
    <w:rPr>
      <w:rFonts w:ascii="Times New Roman" w:eastAsia="Times New Roman" w:hAnsi="Times New Roman"/>
      <w:sz w:val="24"/>
      <w:szCs w:val="24"/>
      <w:lang w:val="fr-BE"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312FC"/>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5C0A6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F666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uiPriority w:val="9"/>
    <w:semiHidden/>
    <w:rsid w:val="005C0A6F"/>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5C0A6F"/>
    <w:pPr>
      <w:spacing w:before="0" w:after="0" w:line="240" w:lineRule="auto"/>
      <w:ind w:left="720"/>
      <w:contextualSpacing/>
    </w:pPr>
    <w:rPr>
      <w:rFonts w:eastAsia="Times New Roman"/>
      <w:kern w:val="16"/>
      <w:szCs w:val="24"/>
      <w:lang w:eastAsia="en-AU"/>
    </w:rPr>
  </w:style>
  <w:style w:type="paragraph" w:customStyle="1" w:styleId="Bulletpoint">
    <w:name w:val="Bullet point"/>
    <w:basedOn w:val="Normal"/>
    <w:rsid w:val="005B220F"/>
    <w:pPr>
      <w:numPr>
        <w:numId w:val="38"/>
      </w:numPr>
      <w:tabs>
        <w:tab w:val="left" w:pos="397"/>
      </w:tabs>
      <w:spacing w:before="0" w:after="180" w:line="252" w:lineRule="auto"/>
    </w:pPr>
    <w:rPr>
      <w:rFonts w:eastAsia="Times New Roman"/>
      <w:snapToGrid w:val="0"/>
      <w:kern w:val="16"/>
      <w:szCs w:val="24"/>
    </w:rPr>
  </w:style>
  <w:style w:type="paragraph" w:customStyle="1" w:styleId="SectionHeading">
    <w:name w:val="Section Heading"/>
    <w:basedOn w:val="Normal"/>
    <w:next w:val="Normal"/>
    <w:link w:val="SectionHeadingCharChar"/>
    <w:rsid w:val="005B220F"/>
    <w:pPr>
      <w:keepNext/>
      <w:spacing w:before="0" w:after="220" w:line="252" w:lineRule="auto"/>
      <w:outlineLvl w:val="0"/>
    </w:pPr>
    <w:rPr>
      <w:rFonts w:eastAsia="Times New Roman"/>
      <w:b/>
      <w:caps/>
      <w:snapToGrid w:val="0"/>
      <w:kern w:val="16"/>
      <w:sz w:val="24"/>
      <w:szCs w:val="24"/>
    </w:rPr>
  </w:style>
  <w:style w:type="character" w:customStyle="1" w:styleId="SectionHeadingCharChar">
    <w:name w:val="Section Heading Char Char"/>
    <w:basedOn w:val="DefaultParagraphFont"/>
    <w:link w:val="SectionHeading"/>
    <w:rsid w:val="005B220F"/>
    <w:rPr>
      <w:rFonts w:ascii="Cambria" w:eastAsia="Times New Roman" w:hAnsi="Cambria" w:cs="Times New Roman"/>
      <w:b/>
      <w:caps/>
      <w:snapToGrid w:val="0"/>
      <w:kern w:val="16"/>
      <w:sz w:val="24"/>
      <w:szCs w:val="24"/>
    </w:rPr>
  </w:style>
  <w:style w:type="paragraph" w:customStyle="1" w:styleId="Standard">
    <w:name w:val="Standard"/>
    <w:basedOn w:val="Normal"/>
    <w:link w:val="StandardChar"/>
    <w:qFormat/>
    <w:rsid w:val="005B220F"/>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5B220F"/>
    <w:rPr>
      <w:rFonts w:ascii="Cambria" w:eastAsia="Times New Roman" w:hAnsi="Cambria" w:cs="Times New Roman"/>
      <w:snapToGrid w:val="0"/>
      <w:kern w:val="16"/>
      <w:szCs w:val="24"/>
    </w:rPr>
  </w:style>
  <w:style w:type="paragraph" w:customStyle="1" w:styleId="AssessmentSection">
    <w:name w:val="Assessment Section"/>
    <w:basedOn w:val="Normal"/>
    <w:next w:val="Standard"/>
    <w:rsid w:val="005B220F"/>
    <w:pPr>
      <w:keepNext/>
      <w:spacing w:before="0" w:after="110" w:line="252" w:lineRule="auto"/>
      <w:outlineLvl w:val="1"/>
    </w:pPr>
    <w:rPr>
      <w:rFonts w:eastAsia="Times New Roman"/>
      <w:b/>
      <w:snapToGrid w:val="0"/>
      <w:kern w:val="16"/>
      <w:szCs w:val="24"/>
    </w:rPr>
  </w:style>
  <w:style w:type="paragraph" w:customStyle="1" w:styleId="AssessmentSubsection">
    <w:name w:val="Assessment Subsection"/>
    <w:basedOn w:val="Standard"/>
    <w:next w:val="Standard"/>
    <w:rsid w:val="005B220F"/>
    <w:pPr>
      <w:keepNext/>
      <w:spacing w:after="110"/>
      <w:outlineLvl w:val="2"/>
    </w:pPr>
    <w:rPr>
      <w:b/>
      <w:i/>
    </w:rPr>
  </w:style>
  <w:style w:type="character" w:customStyle="1" w:styleId="TableTitleChar">
    <w:name w:val="Table Title Char"/>
    <w:basedOn w:val="StandardChar"/>
    <w:link w:val="TableTitle"/>
    <w:rsid w:val="005B220F"/>
    <w:rPr>
      <w:rFonts w:ascii="Cambria" w:eastAsia="Cambria" w:hAnsi="Cambria" w:cs="Times New Roman"/>
      <w:b/>
      <w:snapToGrid/>
      <w:kern w:val="16"/>
      <w:szCs w:val="24"/>
    </w:rPr>
  </w:style>
  <w:style w:type="character" w:customStyle="1" w:styleId="TabletextChar">
    <w:name w:val="Table text Char"/>
    <w:basedOn w:val="DefaultParagraphFont"/>
    <w:link w:val="Tabletext"/>
    <w:rsid w:val="005B220F"/>
    <w:rPr>
      <w:rFonts w:ascii="Cambria" w:eastAsia="Cambria" w:hAnsi="Cambria" w:cs="Times New Roman"/>
      <w:sz w:val="19"/>
    </w:rPr>
  </w:style>
  <w:style w:type="paragraph" w:customStyle="1" w:styleId="TableHeader">
    <w:name w:val="Table Header"/>
    <w:basedOn w:val="Normal"/>
    <w:rsid w:val="005B220F"/>
    <w:pPr>
      <w:keepNext/>
      <w:keepLines/>
      <w:widowControl w:val="0"/>
      <w:spacing w:before="60" w:after="60" w:line="200" w:lineRule="exact"/>
      <w:jc w:val="center"/>
    </w:pPr>
    <w:rPr>
      <w:rFonts w:eastAsia="MS Mincho" w:cstheme="minorBidi"/>
      <w:b/>
      <w:kern w:val="2"/>
      <w:sz w:val="19"/>
      <w:szCs w:val="19"/>
    </w:rPr>
  </w:style>
  <w:style w:type="paragraph" w:customStyle="1" w:styleId="AssessmentSubsection2">
    <w:name w:val="Assessment Subsection 2"/>
    <w:basedOn w:val="Normal"/>
    <w:next w:val="Normal"/>
    <w:rsid w:val="005B220F"/>
    <w:pPr>
      <w:keepNext/>
      <w:spacing w:before="0" w:after="110" w:line="252" w:lineRule="auto"/>
      <w:outlineLvl w:val="3"/>
    </w:pPr>
    <w:rPr>
      <w:rFonts w:eastAsia="Times New Roman"/>
      <w:i/>
      <w:snapToGrid w:val="0"/>
      <w:kern w:val="16"/>
      <w:szCs w:val="24"/>
    </w:rPr>
  </w:style>
  <w:style w:type="paragraph" w:customStyle="1" w:styleId="WhiteSpace">
    <w:name w:val="White Space"/>
    <w:basedOn w:val="Standard"/>
    <w:next w:val="Standard"/>
    <w:link w:val="WhiteSpaceChar"/>
    <w:rsid w:val="005B220F"/>
    <w:pPr>
      <w:spacing w:after="0"/>
    </w:pPr>
    <w:rPr>
      <w:sz w:val="16"/>
      <w:szCs w:val="16"/>
    </w:rPr>
  </w:style>
  <w:style w:type="character" w:customStyle="1" w:styleId="WhiteSpaceChar">
    <w:name w:val="White Space Char"/>
    <w:basedOn w:val="DefaultParagraphFont"/>
    <w:link w:val="WhiteSpace"/>
    <w:rsid w:val="005B220F"/>
    <w:rPr>
      <w:rFonts w:ascii="Cambria" w:eastAsia="Times New Roman" w:hAnsi="Cambria" w:cs="Times New Roman"/>
      <w:snapToGrid w:val="0"/>
      <w:kern w:val="16"/>
      <w:sz w:val="16"/>
      <w:szCs w:val="16"/>
    </w:rPr>
  </w:style>
  <w:style w:type="paragraph" w:customStyle="1" w:styleId="Bulletlist">
    <w:name w:val="Bullet list"/>
    <w:basedOn w:val="Normal"/>
    <w:link w:val="BulletlistChar"/>
    <w:qFormat/>
    <w:rsid w:val="00D34A85"/>
    <w:pPr>
      <w:numPr>
        <w:numId w:val="40"/>
      </w:numPr>
      <w:spacing w:before="0" w:after="180" w:line="252" w:lineRule="auto"/>
    </w:pPr>
    <w:rPr>
      <w:rFonts w:eastAsia="Times New Roman"/>
      <w:snapToGrid w:val="0"/>
      <w:kern w:val="2"/>
      <w:sz w:val="23"/>
    </w:rPr>
  </w:style>
  <w:style w:type="character" w:customStyle="1" w:styleId="BulletlistChar">
    <w:name w:val="Bullet list Char"/>
    <w:basedOn w:val="DefaultParagraphFont"/>
    <w:link w:val="Bulletlist"/>
    <w:rsid w:val="00D34A85"/>
    <w:rPr>
      <w:rFonts w:ascii="Cambria" w:eastAsia="Times New Roman" w:hAnsi="Cambria" w:cs="Times New Roman"/>
      <w:snapToGrid w:val="0"/>
      <w:kern w:val="2"/>
      <w:sz w:val="23"/>
    </w:rPr>
  </w:style>
  <w:style w:type="character" w:styleId="Strong">
    <w:name w:val="Strong"/>
    <w:basedOn w:val="DefaultParagraphFont"/>
    <w:uiPriority w:val="22"/>
    <w:qFormat/>
    <w:rsid w:val="007553D3"/>
    <w:rPr>
      <w:b/>
      <w:bCs/>
    </w:rPr>
  </w:style>
  <w:style w:type="paragraph" w:customStyle="1" w:styleId="Tabletitle0">
    <w:name w:val="Table title"/>
    <w:basedOn w:val="Normal"/>
    <w:next w:val="Normal"/>
    <w:rsid w:val="00D30F03"/>
    <w:pPr>
      <w:keepNext/>
      <w:spacing w:after="180"/>
      <w:outlineLvl w:val="4"/>
    </w:pPr>
    <w:rPr>
      <w:rFonts w:cstheme="minorBidi"/>
      <w:b/>
    </w:rPr>
  </w:style>
  <w:style w:type="paragraph" w:customStyle="1" w:styleId="Comment1">
    <w:name w:val="Comment 1"/>
    <w:basedOn w:val="Normal"/>
    <w:next w:val="Normal"/>
    <w:qFormat/>
    <w:rsid w:val="001F6DEC"/>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styleId="Emphasis">
    <w:name w:val="Emphasis"/>
    <w:basedOn w:val="DefaultParagraphFont"/>
    <w:uiPriority w:val="20"/>
    <w:qFormat/>
    <w:rsid w:val="009C0E5D"/>
    <w:rPr>
      <w:i/>
      <w:iCs/>
    </w:rPr>
  </w:style>
  <w:style w:type="paragraph" w:styleId="NormalWeb">
    <w:name w:val="Normal (Web)"/>
    <w:basedOn w:val="Normal"/>
    <w:uiPriority w:val="99"/>
    <w:semiHidden/>
    <w:unhideWhenUsed/>
    <w:rsid w:val="00923927"/>
    <w:pPr>
      <w:spacing w:before="100" w:beforeAutospacing="1" w:after="100" w:afterAutospacing="1" w:line="240" w:lineRule="auto"/>
    </w:pPr>
    <w:rPr>
      <w:rFonts w:ascii="Times New Roman" w:eastAsia="Times New Roman" w:hAnsi="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7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ga.copyright@tga.gov.au" TargetMode="External"/><Relationship Id="rId18" Type="http://schemas.openxmlformats.org/officeDocument/2006/relationships/header" Target="header3.xml"/><Relationship Id="rId26" Type="http://schemas.openxmlformats.org/officeDocument/2006/relationships/image" Target="media/image4.png"/><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hyperlink" Target="https://www.tga.gov.au" TargetMode="External"/><Relationship Id="rId17" Type="http://schemas.openxmlformats.org/officeDocument/2006/relationships/footer" Target="footer2.xml"/><Relationship Id="rId25" Type="http://schemas.openxmlformats.org/officeDocument/2006/relationships/image" Target="media/image3.png"/><Relationship Id="rId33" Type="http://schemas.openxmlformats.org/officeDocument/2006/relationships/header" Target="header9.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tga.gov.au/product-information-pi" TargetMode="External"/><Relationship Id="rId32" Type="http://schemas.openxmlformats.org/officeDocument/2006/relationships/footer" Target="footer5.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s://www.tga.gov.au/product-information-pi" TargetMode="External"/><Relationship Id="rId30" Type="http://schemas.openxmlformats.org/officeDocument/2006/relationships/header" Target="header7.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803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0F99731B27543A400C8ACA4C29A21" ma:contentTypeVersion="50" ma:contentTypeDescription="Create a new document." ma:contentTypeScope="" ma:versionID="73699dccd8102caf0bc06ceedade1b59">
  <xsd:schema xmlns:xsd="http://www.w3.org/2001/XMLSchema" xmlns:xs="http://www.w3.org/2001/XMLSchema" xmlns:p="http://schemas.microsoft.com/office/2006/metadata/properties" xmlns:ns1="5a73ac6d-96a5-4869-b454-c5ea22e21cf8" targetNamespace="http://schemas.microsoft.com/office/2006/metadata/properties" ma:root="true" ma:fieldsID="ffd8c4947ff629f451720d46725985bb" ns1:_="">
    <xsd:import namespace="5a73ac6d-96a5-4869-b454-c5ea22e21cf8"/>
    <xsd:element name="properties">
      <xsd:complexType>
        <xsd:sequence>
          <xsd:element name="documentManagement">
            <xsd:complexType>
              <xsd:all>
                <xsd:element ref="ns1:V_x0020_Number" minOccurs="0"/>
                <xsd:element ref="ns1:Projects_x002d_Products" minOccurs="0"/>
                <xsd:element ref="ns1:Review_x0020_Due_x0020_Date" minOccurs="0"/>
                <xsd:element ref="ns1:Review_x0020_Cycle" minOccurs="0"/>
                <xsd:element ref="ns1:Disciplines" minOccurs="0"/>
                <xsd:element ref="ns1:_x0031_st_x0020_Reviewer" minOccurs="0"/>
                <xsd:element ref="ns1:Status_x0020_1" minOccurs="0"/>
                <xsd:element ref="ns1:_x0032_nd_x0020_Reviewer" minOccurs="0"/>
                <xsd:element ref="ns1:Status_x0020_2" minOccurs="0"/>
                <xsd:element ref="ns1:_x0033_rd_x0020_Reviewer" minOccurs="0"/>
                <xsd:element ref="ns1:Status_x0020_3" minOccurs="0"/>
                <xsd:element ref="ns1:_x0034_th_x0020_Reviewer" minOccurs="0"/>
                <xsd:element ref="ns1:Status_x0020_4" minOccurs="0"/>
                <xsd:element ref="ns1:_x0035_th_x0020_Reviewer" minOccurs="0"/>
                <xsd:element ref="ns1:Status_x0020_5" minOccurs="0"/>
                <xsd:element ref="ns1:Reviewer_x0020_6" minOccurs="0"/>
                <xsd:element ref="ns1:Status_x0020_6" minOccurs="0"/>
                <xsd:element ref="ns1:Reviewer_x0020_7" minOccurs="0"/>
                <xsd:element ref="ns1:Status_x0020_7" minOccurs="0"/>
                <xsd:element ref="ns1:Additional_x0020_Reviewer_x0028_s_x0029_" minOccurs="0"/>
                <xsd:element ref="ns1:Status_x0020_Additional_x0020_Reviewer_x0028_s_x0029_" minOccurs="0"/>
                <xsd:element ref="ns1:Additional_x0020_Info_x0020_in_x0020_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ac6d-96a5-4869-b454-c5ea22e21cf8" elementFormDefault="qualified">
    <xsd:import namespace="http://schemas.microsoft.com/office/2006/documentManagement/types"/>
    <xsd:import namespace="http://schemas.microsoft.com/office/infopath/2007/PartnerControls"/>
    <xsd:element name="V_x0020_Number" ma:index="0" nillable="true" ma:displayName="V Number" ma:internalName="V_x0020_Number">
      <xsd:simpleType>
        <xsd:restriction base="dms:Text">
          <xsd:maxLength value="255"/>
        </xsd:restriction>
      </xsd:simpleType>
    </xsd:element>
    <xsd:element name="Projects_x002d_Products" ma:index="2" nillable="true" ma:displayName="Projects-Products" ma:list="{115dab5f-5cab-43d3-bad3-b136ccb57af2}" ma:internalName="Projects_x002d_Products" ma:showField="Title">
      <xsd:simpleType>
        <xsd:restriction base="dms:Lookup"/>
      </xsd:simpleType>
    </xsd:element>
    <xsd:element name="Review_x0020_Due_x0020_Date" ma:index="3" nillable="true" ma:displayName="Due Date" ma:description="Enter date in D/M/YYYY format" ma:format="DateOnly" ma:internalName="Review_x0020_Due_x0020_Date">
      <xsd:simpleType>
        <xsd:restriction base="dms:DateTime"/>
      </xsd:simpleType>
    </xsd:element>
    <xsd:element name="Review_x0020_Cycle" ma:index="4" nillable="true" ma:displayName="Cycle" ma:default="1" ma:format="Dropdown" ma:internalName="Review_x0020_Cycle">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element name="Disciplines" ma:index="5" nillable="true" ma:displayName="Disciplines" ma:internalName="Disciplines">
      <xsd:complexType>
        <xsd:complexContent>
          <xsd:extension base="dms:MultiChoice">
            <xsd:sequence>
              <xsd:element name="Value" maxOccurs="unbounded" minOccurs="0" nillable="true">
                <xsd:simpleType>
                  <xsd:restriction base="dms:Choice">
                    <xsd:enumeration value="Clinical"/>
                    <xsd:enumeration value="CMC"/>
                    <xsd:enumeration value="Facilities"/>
                    <xsd:enumeration value="Labelling"/>
                    <xsd:enumeration value="Non-Clinical"/>
                  </xsd:restriction>
                </xsd:simpleType>
              </xsd:element>
            </xsd:sequence>
          </xsd:extension>
        </xsd:complexContent>
      </xsd:complexType>
    </xsd:element>
    <xsd:element name="_x0031_st_x0020_Reviewer" ma:index="6" nillable="true" ma:displayName="Reviewer 1" ma:list="UserInfo" ma:SearchPeopleOnly="false" ma:SharePointGroup="0" ma:internalName="_x0031_st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_x0020_1" ma:index="7" nillable="true" ma:displayName="S1" ma:default="Not started" ma:format="Dropdown" ma:internalName="Status_x0020_1">
      <xsd:simpleType>
        <xsd:restriction base="dms:Choice">
          <xsd:enumeration value="Not started"/>
          <xsd:enumeration value="Under review"/>
          <xsd:enumeration value="Completed with comments"/>
          <xsd:enumeration value="Completed WITHOUT comments"/>
        </xsd:restriction>
      </xsd:simpleType>
    </xsd:element>
    <xsd:element name="_x0032_nd_x0020_Reviewer" ma:index="8" nillable="true" ma:displayName="Reviewer 2" ma:list="UserInfo" ma:SearchPeopleOnly="false" ma:SharePointGroup="0" ma:internalName="_x0032_nd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_x0020_2" ma:index="9" nillable="true" ma:displayName="S2" ma:default="Not started" ma:description="Status 2" ma:format="Dropdown" ma:internalName="Status_x0020_2">
      <xsd:simpleType>
        <xsd:restriction base="dms:Choice">
          <xsd:enumeration value="Not started"/>
          <xsd:enumeration value="Under review"/>
          <xsd:enumeration value="Completed with comments"/>
          <xsd:enumeration value="Completed WITHOUT comments"/>
        </xsd:restriction>
      </xsd:simpleType>
    </xsd:element>
    <xsd:element name="_x0033_rd_x0020_Reviewer" ma:index="10" nillable="true" ma:displayName="Reviewer 3" ma:list="UserInfo" ma:SearchPeopleOnly="false" ma:SharePointGroup="0" ma:internalName="_x0033_rd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_x0020_3" ma:index="11" nillable="true" ma:displayName="S3" ma:default="Not started" ma:description="Status 3" ma:format="Dropdown" ma:internalName="Status_x0020_3">
      <xsd:simpleType>
        <xsd:restriction base="dms:Choice">
          <xsd:enumeration value="Not started"/>
          <xsd:enumeration value="Under review"/>
          <xsd:enumeration value="Completed with comments"/>
          <xsd:enumeration value="Completed WITHOUT comments"/>
        </xsd:restriction>
      </xsd:simpleType>
    </xsd:element>
    <xsd:element name="_x0034_th_x0020_Reviewer" ma:index="12" nillable="true" ma:displayName="Reviewer 4" ma:list="UserInfo" ma:SearchPeopleOnly="false" ma:SharePointGroup="0" ma:internalName="_x0034_th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_x0020_4" ma:index="13" nillable="true" ma:displayName="S4" ma:default="Not started" ma:description="Status 4" ma:format="Dropdown" ma:internalName="Status_x0020_4">
      <xsd:simpleType>
        <xsd:restriction base="dms:Choice">
          <xsd:enumeration value="Not started"/>
          <xsd:enumeration value="Under review"/>
          <xsd:enumeration value="Completed with comments"/>
          <xsd:enumeration value="Completed WITHOUT comments"/>
        </xsd:restriction>
      </xsd:simpleType>
    </xsd:element>
    <xsd:element name="_x0035_th_x0020_Reviewer" ma:index="14" nillable="true" ma:displayName="Reviewer 5" ma:list="UserInfo" ma:SearchPeopleOnly="false" ma:SharePointGroup="0" ma:internalName="_x0035_th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_x0020_5" ma:index="15" nillable="true" ma:displayName="S5" ma:default="Not started" ma:description="Status 5" ma:format="Dropdown" ma:internalName="Status_x0020_5">
      <xsd:simpleType>
        <xsd:restriction base="dms:Choice">
          <xsd:enumeration value="Not started"/>
          <xsd:enumeration value="Under review"/>
          <xsd:enumeration value="Completed with comments"/>
          <xsd:enumeration value="Completed WITHOUT comments"/>
        </xsd:restriction>
      </xsd:simpleType>
    </xsd:element>
    <xsd:element name="Reviewer_x0020_6" ma:index="16" nillable="true" ma:displayName="Reviewer 6" ma:list="UserInfo" ma:SearchPeopleOnly="false" ma:SharePointGroup="0" ma:internalName="Reviewer_x0020_6"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_x0020_6" ma:index="17" nillable="true" ma:displayName="S6" ma:default="Not started" ma:description="Status 6" ma:format="Dropdown" ma:internalName="Status_x0020_6">
      <xsd:simpleType>
        <xsd:restriction base="dms:Choice">
          <xsd:enumeration value="Not started"/>
          <xsd:enumeration value="Under review"/>
          <xsd:enumeration value="Completed with comments"/>
          <xsd:enumeration value="Completed WITHOUT comments"/>
        </xsd:restriction>
      </xsd:simpleType>
    </xsd:element>
    <xsd:element name="Reviewer_x0020_7" ma:index="18" nillable="true" ma:displayName="Reviewer 7" ma:list="UserInfo" ma:SearchPeopleOnly="false" ma:SharePointGroup="0" ma:internalName="Reviewer_x0020_7"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_x0020_7" ma:index="19" nillable="true" ma:displayName="S7" ma:default="Not started" ma:description="Status 7" ma:format="Dropdown" ma:internalName="Status_x0020_7">
      <xsd:simpleType>
        <xsd:restriction base="dms:Choice">
          <xsd:enumeration value="Not started"/>
          <xsd:enumeration value="Under review"/>
          <xsd:enumeration value="Completed with comments"/>
          <xsd:enumeration value="Completed WITHOUT comments"/>
        </xsd:restriction>
      </xsd:simpleType>
    </xsd:element>
    <xsd:element name="Additional_x0020_Reviewer_x0028_s_x0029_" ma:index="20" nillable="true" ma:displayName="Additional Reviewer(s)" ma:list="UserInfo" ma:SearchPeopleOnly="false" ma:SharePointGroup="0" ma:internalName="Additional_x0020_Reviewer_x0028_s_x0029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_x0020_Additional_x0020_Reviewer_x0028_s_x0029_" ma:index="21" nillable="true" ma:displayName="Status Additional Reviewer(s)" ma:default="Not started" ma:format="Dropdown" ma:internalName="Status_x0020_Additional_x0020_Reviewer_x0028_s_x0029_">
      <xsd:simpleType>
        <xsd:restriction base="dms:Choice">
          <xsd:enumeration value="Not started"/>
          <xsd:enumeration value="Under review"/>
          <xsd:enumeration value="Completed with comments"/>
          <xsd:enumeration value="Completed WITHOUT comments"/>
        </xsd:restriction>
      </xsd:simpleType>
    </xsd:element>
    <xsd:element name="Additional_x0020_Info_x0020_in_x0020_email" ma:index="22" nillable="true" ma:displayName="Additional Info in email" ma:internalName="Additional_x0020_Info_x0020_in_x0020_emai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_x0020_Number xmlns="5a73ac6d-96a5-4869-b454-c5ea22e21cf8">NA</V_x0020_Number>
    <Status_x0020_7 xmlns="5a73ac6d-96a5-4869-b454-c5ea22e21cf8">Not started</Status_x0020_7>
    <Disciplines xmlns="5a73ac6d-96a5-4869-b454-c5ea22e21cf8">
      <Value>Clinical</Value>
      <Value>CMC</Value>
      <Value>Facilities</Value>
      <Value>Labelling</Value>
      <Value>Non-Clinical</Value>
    </Disciplines>
    <Additional_x0020_Info_x0020_in_x0020_email xmlns="5a73ac6d-96a5-4869-b454-c5ea22e21cf8" xsi:nil="true"/>
    <Reviewer_x0020_6 xmlns="5a73ac6d-96a5-4869-b454-c5ea22e21cf8">
      <UserInfo>
        <DisplayName>Adriana Bastidas</DisplayName>
        <AccountId>364</AccountId>
        <AccountType/>
      </UserInfo>
    </Reviewer_x0020_6>
    <Additional_x0020_Reviewer_x0028_s_x0029_ xmlns="5a73ac6d-96a5-4869-b454-c5ea22e21cf8">
      <UserInfo>
        <DisplayName>i:0#.w|wmservice\aes27442</DisplayName>
        <AccountId>240</AccountId>
        <AccountType/>
      </UserInfo>
      <UserInfo>
        <DisplayName>i:0#.w|wmservice\cjc83603</DisplayName>
        <AccountId>3084</AccountId>
        <AccountType/>
      </UserInfo>
    </Additional_x0020_Reviewer_x0028_s_x0029_>
    <_x0031_st_x0020_Reviewer xmlns="5a73ac6d-96a5-4869-b454-c5ea22e21cf8">
      <UserInfo>
        <DisplayName>Pierre Beukelaers</DisplayName>
        <AccountId>394</AccountId>
        <AccountType/>
      </UserInfo>
    </_x0031_st_x0020_Reviewer>
    <_x0033_rd_x0020_Reviewer xmlns="5a73ac6d-96a5-4869-b454-c5ea22e21cf8">
      <UserInfo>
        <DisplayName>Marta Lopez Fauqued</DisplayName>
        <AccountId>674</AccountId>
        <AccountType/>
      </UserInfo>
    </_x0033_rd_x0020_Reviewer>
    <Status_x0020_Additional_x0020_Reviewer_x0028_s_x0029_ xmlns="5a73ac6d-96a5-4869-b454-c5ea22e21cf8">Not started</Status_x0020_Additional_x0020_Reviewer_x0028_s_x0029_>
    <Status_x0020_1 xmlns="5a73ac6d-96a5-4869-b454-c5ea22e21cf8">Not started</Status_x0020_1>
    <Status_x0020_4 xmlns="5a73ac6d-96a5-4869-b454-c5ea22e21cf8">Not started</Status_x0020_4>
    <Projects_x002d_Products xmlns="5a73ac6d-96a5-4869-b454-c5ea22e21cf8">130</Projects_x002d_Products>
    <Reviewer_x0020_7 xmlns="5a73ac6d-96a5-4869-b454-c5ea22e21cf8">
      <UserInfo>
        <DisplayName>Fernanda Tavares Da Silva</DisplayName>
        <AccountId>669</AccountId>
        <AccountType/>
      </UserInfo>
    </Reviewer_x0020_7>
    <_x0034_th_x0020_Reviewer xmlns="5a73ac6d-96a5-4869-b454-c5ea22e21cf8">
      <UserInfo>
        <DisplayName>Anne Jourquin</DisplayName>
        <AccountId>664</AccountId>
        <AccountType/>
      </UserInfo>
    </_x0034_th_x0020_Reviewer>
    <Review_x0020_Due_x0020_Date xmlns="5a73ac6d-96a5-4869-b454-c5ea22e21cf8">2018-09-17T22:00:00+00:00</Review_x0020_Due_x0020_Date>
    <Status_x0020_2 xmlns="5a73ac6d-96a5-4869-b454-c5ea22e21cf8">Not started</Status_x0020_2>
    <Status_x0020_5 xmlns="5a73ac6d-96a5-4869-b454-c5ea22e21cf8">Completed with comments</Status_x0020_5>
    <_x0032_nd_x0020_Reviewer xmlns="5a73ac6d-96a5-4869-b454-c5ea22e21cf8">
      <UserInfo>
        <DisplayName>Katrijn Grupping</DisplayName>
        <AccountId>2222</AccountId>
        <AccountType/>
      </UserInfo>
    </_x0032_nd_x0020_Reviewer>
    <_x0035_th_x0020_Reviewer xmlns="5a73ac6d-96a5-4869-b454-c5ea22e21cf8">
      <UserInfo>
        <DisplayName>Sophie Dandois</DisplayName>
        <AccountId>681</AccountId>
        <AccountType/>
      </UserInfo>
    </_x0035_th_x0020_Reviewer>
    <Status_x0020_3 xmlns="5a73ac6d-96a5-4869-b454-c5ea22e21cf8">Not started</Status_x0020_3>
    <Status_x0020_6 xmlns="5a73ac6d-96a5-4869-b454-c5ea22e21cf8">Completed with comments</Status_x0020_6>
    <Review_x0020_Cycle xmlns="5a73ac6d-96a5-4869-b454-c5ea22e21cf8">1</Review_x0020_Cycl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B012-8F95-4FB4-A52F-F5405359E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ac6d-96a5-4869-b454-c5ea22e21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1101A-5015-42B2-BC35-3AF616658314}">
  <ds:schemaRefs>
    <ds:schemaRef ds:uri="http://schemas.microsoft.com/sharepoint/v3/contenttype/forms"/>
  </ds:schemaRefs>
</ds:datastoreItem>
</file>

<file path=customXml/itemProps3.xml><?xml version="1.0" encoding="utf-8"?>
<ds:datastoreItem xmlns:ds="http://schemas.openxmlformats.org/officeDocument/2006/customXml" ds:itemID="{786CE9E1-3999-4138-987B-4B12159142BA}">
  <ds:schemaRefs>
    <ds:schemaRef ds:uri="http://purl.org/dc/terms/"/>
    <ds:schemaRef ds:uri="http://schemas.microsoft.com/office/infopath/2007/PartnerControls"/>
    <ds:schemaRef ds:uri="http://purl.org/dc/elements/1.1/"/>
    <ds:schemaRef ds:uri="5a73ac6d-96a5-4869-b454-c5ea22e21cf8"/>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346BF5E9-DA9D-4630-B9DE-BFCA2C32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339</TotalTime>
  <Pages>65</Pages>
  <Words>25860</Words>
  <Characters>147403</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Australian Public Assessment Report for Recombinant Varicella Zoster Virus (VZV) glycoprotein E (gE) antigen</vt:lpstr>
    </vt:vector>
  </TitlesOfParts>
  <Company/>
  <LinksUpToDate>false</LinksUpToDate>
  <CharactersWithSpaces>172918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Recombinant Varicella Zoster Virus (VZV) glycoprotein E (gE) antigen</dc:title>
  <dc:subject>Prescription medicines</dc:subject>
  <dc:creator>Therapeutic Goods Administration</dc:creator>
  <cp:keywords>AusPARs</cp:keywords>
  <cp:lastPrinted>2015-09-22T23:39:00Z</cp:lastPrinted>
  <dcterms:created xsi:type="dcterms:W3CDTF">2018-12-12T01:00:00Z</dcterms:created>
  <dcterms:modified xsi:type="dcterms:W3CDTF">2019-02-14T04:16:00Z</dcterms:modified>
  <cp:category/>
</cp:coreProperties>
</file>