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2F4FE" w14:textId="77777777" w:rsidR="001139CE" w:rsidRDefault="001139CE">
      <w:bookmarkStart w:id="0" w:name="_GoBack"/>
      <w:bookmarkEnd w:id="0"/>
    </w:p>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2C4D5DC" w14:textId="77777777" w:rsidTr="00BF1190">
        <w:trPr>
          <w:trHeight w:val="1863"/>
        </w:trPr>
        <w:tc>
          <w:tcPr>
            <w:tcW w:w="3652" w:type="dxa"/>
            <w:tcBorders>
              <w:top w:val="nil"/>
              <w:left w:val="nil"/>
              <w:bottom w:val="nil"/>
              <w:right w:val="nil"/>
            </w:tcBorders>
          </w:tcPr>
          <w:p w14:paraId="49920B35" w14:textId="77777777" w:rsidR="008E7846" w:rsidRPr="00096AA7" w:rsidRDefault="000A162F" w:rsidP="000A162F">
            <w:pPr>
              <w:rPr>
                <w:rFonts w:ascii="Arial" w:hAnsi="Arial" w:cs="Arial"/>
                <w:b/>
                <w:color w:val="002C47"/>
                <w:sz w:val="36"/>
                <w:szCs w:val="36"/>
              </w:rPr>
            </w:pPr>
            <w:r>
              <w:rPr>
                <w:rFonts w:ascii="Arial" w:hAnsi="Arial" w:cs="Arial"/>
                <w:b/>
                <w:color w:val="002C47"/>
                <w:sz w:val="36"/>
                <w:szCs w:val="36"/>
              </w:rPr>
              <w:t>November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CA1E28E" w14:textId="77777777" w:rsidTr="0032583B">
        <w:trPr>
          <w:trHeight w:val="868"/>
        </w:trPr>
        <w:tc>
          <w:tcPr>
            <w:tcW w:w="9079" w:type="dxa"/>
          </w:tcPr>
          <w:p w14:paraId="544D1816" w14:textId="77777777" w:rsidR="0032583B" w:rsidRPr="00BA6D39" w:rsidRDefault="0032583B" w:rsidP="009B349D">
            <w:pPr>
              <w:pStyle w:val="Title"/>
              <w:framePr w:hSpace="0" w:wrap="auto" w:vAnchor="margin" w:yAlign="inline"/>
            </w:pPr>
            <w:r w:rsidRPr="00BA6D39">
              <w:t xml:space="preserve">Australian Public Assessment Report for </w:t>
            </w:r>
            <w:r w:rsidR="00BA6D39" w:rsidRPr="00BA6D39">
              <w:rPr>
                <w:szCs w:val="22"/>
              </w:rPr>
              <w:t>Ravulizumab</w:t>
            </w:r>
          </w:p>
        </w:tc>
      </w:tr>
      <w:tr w:rsidR="0032583B" w:rsidRPr="00B64760" w14:paraId="33638186" w14:textId="77777777" w:rsidTr="0032583B">
        <w:tc>
          <w:tcPr>
            <w:tcW w:w="9079" w:type="dxa"/>
          </w:tcPr>
          <w:p w14:paraId="597D34E8" w14:textId="77777777" w:rsidR="0032583B" w:rsidRPr="00BA6D39" w:rsidRDefault="0032583B" w:rsidP="009B349D">
            <w:pPr>
              <w:pStyle w:val="Subtitle"/>
              <w:framePr w:hSpace="0" w:wrap="auto" w:vAnchor="margin" w:yAlign="inline"/>
            </w:pPr>
            <w:r w:rsidRPr="00BA6D39">
              <w:t xml:space="preserve">Proprietary Product Name: </w:t>
            </w:r>
            <w:r w:rsidR="00BA6D39" w:rsidRPr="00BA6D39">
              <w:rPr>
                <w:szCs w:val="22"/>
              </w:rPr>
              <w:t>Ultomiris</w:t>
            </w:r>
          </w:p>
        </w:tc>
      </w:tr>
      <w:tr w:rsidR="0032583B" w:rsidRPr="00B64760" w14:paraId="63F44B16" w14:textId="77777777" w:rsidTr="0032583B">
        <w:trPr>
          <w:trHeight w:val="486"/>
        </w:trPr>
        <w:tc>
          <w:tcPr>
            <w:tcW w:w="9079" w:type="dxa"/>
          </w:tcPr>
          <w:p w14:paraId="0B6CB1F9" w14:textId="77777777" w:rsidR="0032583B" w:rsidRPr="00BA6D39" w:rsidRDefault="00BA6D39" w:rsidP="009B349D">
            <w:pPr>
              <w:pStyle w:val="Subtitle"/>
              <w:framePr w:hSpace="0" w:wrap="auto" w:vAnchor="margin" w:yAlign="inline"/>
            </w:pPr>
            <w:r w:rsidRPr="00BA6D39">
              <w:t xml:space="preserve">Sponsor: </w:t>
            </w:r>
            <w:r w:rsidR="002512A0">
              <w:t>Alexion Pharmaceuticals Australasia Pty Ltd</w:t>
            </w:r>
          </w:p>
        </w:tc>
      </w:tr>
    </w:tbl>
    <w:p w14:paraId="2DF17C96" w14:textId="77777777" w:rsidR="008E7846" w:rsidRPr="0085156D" w:rsidRDefault="008E7846" w:rsidP="0085156D">
      <w:r w:rsidRPr="0085156D">
        <w:br w:type="page"/>
      </w:r>
    </w:p>
    <w:p w14:paraId="2445480E" w14:textId="77777777" w:rsidR="008E7846" w:rsidRPr="001F6CBA" w:rsidRDefault="008E7846" w:rsidP="009B349D">
      <w:pPr>
        <w:pStyle w:val="NonTOCHeading2"/>
      </w:pPr>
      <w:r w:rsidRPr="001F6CBA">
        <w:lastRenderedPageBreak/>
        <w:t>About the Therapeutic Goods Administration (TGA)</w:t>
      </w:r>
    </w:p>
    <w:p w14:paraId="10EA1875"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B8EC0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444039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0499389"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1ADE215"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16C72E73" w14:textId="77777777" w:rsidR="008E7846" w:rsidRDefault="008E7846" w:rsidP="00875A6B">
      <w:pPr>
        <w:pStyle w:val="NonTOCHeading2"/>
      </w:pPr>
      <w:r>
        <w:t>About AusPARs</w:t>
      </w:r>
    </w:p>
    <w:p w14:paraId="724DBE0D"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B80F57B" w14:textId="77777777" w:rsidR="008E7846" w:rsidRDefault="008E7846" w:rsidP="009B349D">
      <w:pPr>
        <w:pStyle w:val="ListBullet"/>
      </w:pPr>
      <w:r>
        <w:t>AusPARs are prepared and published by the TGA.</w:t>
      </w:r>
    </w:p>
    <w:p w14:paraId="0D5633CC"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F0DD0DB"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01240C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74C806B" w14:textId="77777777" w:rsidR="00924482" w:rsidRPr="00DF1D7F" w:rsidRDefault="00924482" w:rsidP="00F54B65">
      <w:pPr>
        <w:pStyle w:val="LegalSubheading"/>
        <w:spacing w:before="3120"/>
      </w:pPr>
      <w:r w:rsidRPr="00DF1D7F">
        <w:t>Copyright</w:t>
      </w:r>
    </w:p>
    <w:p w14:paraId="3CE74617"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0F78A332"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219698B" w14:textId="77777777" w:rsidR="0089635C" w:rsidRPr="0089635C" w:rsidRDefault="0089635C" w:rsidP="0010788A">
          <w:pPr>
            <w:pStyle w:val="Contents"/>
          </w:pPr>
          <w:r w:rsidRPr="0010788A">
            <w:t>Contents</w:t>
          </w:r>
        </w:p>
        <w:p w14:paraId="414704A3" w14:textId="63F91A89" w:rsidR="00F728D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4611054" w:history="1">
            <w:r w:rsidR="00F728DF" w:rsidRPr="00EC646A">
              <w:rPr>
                <w:rStyle w:val="Hyperlink"/>
                <w:noProof/>
              </w:rPr>
              <w:t>Common abbreviations</w:t>
            </w:r>
            <w:r w:rsidR="00F728DF">
              <w:rPr>
                <w:noProof/>
                <w:webHidden/>
              </w:rPr>
              <w:tab/>
            </w:r>
            <w:r w:rsidR="00F728DF">
              <w:rPr>
                <w:noProof/>
                <w:webHidden/>
              </w:rPr>
              <w:fldChar w:fldCharType="begin"/>
            </w:r>
            <w:r w:rsidR="00F728DF">
              <w:rPr>
                <w:noProof/>
                <w:webHidden/>
              </w:rPr>
              <w:instrText xml:space="preserve"> PAGEREF _Toc24611054 \h </w:instrText>
            </w:r>
            <w:r w:rsidR="00F728DF">
              <w:rPr>
                <w:noProof/>
                <w:webHidden/>
              </w:rPr>
            </w:r>
            <w:r w:rsidR="00F728DF">
              <w:rPr>
                <w:noProof/>
                <w:webHidden/>
              </w:rPr>
              <w:fldChar w:fldCharType="separate"/>
            </w:r>
            <w:r w:rsidR="00F728DF">
              <w:rPr>
                <w:noProof/>
                <w:webHidden/>
              </w:rPr>
              <w:t>4</w:t>
            </w:r>
            <w:r w:rsidR="00F728DF">
              <w:rPr>
                <w:noProof/>
                <w:webHidden/>
              </w:rPr>
              <w:fldChar w:fldCharType="end"/>
            </w:r>
          </w:hyperlink>
        </w:p>
        <w:p w14:paraId="5C89BEE0" w14:textId="4AEAB0E9" w:rsidR="00F728DF" w:rsidRDefault="001139CE">
          <w:pPr>
            <w:pStyle w:val="TOC2"/>
            <w:rPr>
              <w:rFonts w:asciiTheme="minorHAnsi" w:eastAsiaTheme="minorEastAsia" w:hAnsiTheme="minorHAnsi" w:cstheme="minorBidi"/>
              <w:b w:val="0"/>
              <w:noProof/>
              <w:sz w:val="22"/>
              <w:lang w:eastAsia="en-AU"/>
            </w:rPr>
          </w:pPr>
          <w:hyperlink w:anchor="_Toc24611055" w:history="1">
            <w:r w:rsidR="00F728DF" w:rsidRPr="00EC646A">
              <w:rPr>
                <w:rStyle w:val="Hyperlink"/>
                <w:noProof/>
              </w:rPr>
              <w:t>I. Introduction to product submission</w:t>
            </w:r>
            <w:r w:rsidR="00F728DF">
              <w:rPr>
                <w:noProof/>
                <w:webHidden/>
              </w:rPr>
              <w:tab/>
            </w:r>
            <w:r w:rsidR="00F728DF">
              <w:rPr>
                <w:noProof/>
                <w:webHidden/>
              </w:rPr>
              <w:fldChar w:fldCharType="begin"/>
            </w:r>
            <w:r w:rsidR="00F728DF">
              <w:rPr>
                <w:noProof/>
                <w:webHidden/>
              </w:rPr>
              <w:instrText xml:space="preserve"> PAGEREF _Toc24611055 \h </w:instrText>
            </w:r>
            <w:r w:rsidR="00F728DF">
              <w:rPr>
                <w:noProof/>
                <w:webHidden/>
              </w:rPr>
            </w:r>
            <w:r w:rsidR="00F728DF">
              <w:rPr>
                <w:noProof/>
                <w:webHidden/>
              </w:rPr>
              <w:fldChar w:fldCharType="separate"/>
            </w:r>
            <w:r w:rsidR="00F728DF">
              <w:rPr>
                <w:noProof/>
                <w:webHidden/>
              </w:rPr>
              <w:t>6</w:t>
            </w:r>
            <w:r w:rsidR="00F728DF">
              <w:rPr>
                <w:noProof/>
                <w:webHidden/>
              </w:rPr>
              <w:fldChar w:fldCharType="end"/>
            </w:r>
          </w:hyperlink>
        </w:p>
        <w:p w14:paraId="2B6C732A" w14:textId="67A78B44" w:rsidR="00F728DF" w:rsidRDefault="001139CE">
          <w:pPr>
            <w:pStyle w:val="TOC3"/>
            <w:rPr>
              <w:rFonts w:asciiTheme="minorHAnsi" w:eastAsiaTheme="minorEastAsia" w:hAnsiTheme="minorHAnsi" w:cstheme="minorBidi"/>
              <w:noProof/>
              <w:lang w:eastAsia="en-AU"/>
            </w:rPr>
          </w:pPr>
          <w:hyperlink w:anchor="_Toc24611056" w:history="1">
            <w:r w:rsidR="00F728DF" w:rsidRPr="00EC646A">
              <w:rPr>
                <w:rStyle w:val="Hyperlink"/>
                <w:noProof/>
                <w:lang w:eastAsia="en-AU"/>
              </w:rPr>
              <w:t>Submission details</w:t>
            </w:r>
            <w:r w:rsidR="00F728DF">
              <w:rPr>
                <w:noProof/>
                <w:webHidden/>
              </w:rPr>
              <w:tab/>
            </w:r>
            <w:r w:rsidR="00F728DF">
              <w:rPr>
                <w:noProof/>
                <w:webHidden/>
              </w:rPr>
              <w:fldChar w:fldCharType="begin"/>
            </w:r>
            <w:r w:rsidR="00F728DF">
              <w:rPr>
                <w:noProof/>
                <w:webHidden/>
              </w:rPr>
              <w:instrText xml:space="preserve"> PAGEREF _Toc24611056 \h </w:instrText>
            </w:r>
            <w:r w:rsidR="00F728DF">
              <w:rPr>
                <w:noProof/>
                <w:webHidden/>
              </w:rPr>
            </w:r>
            <w:r w:rsidR="00F728DF">
              <w:rPr>
                <w:noProof/>
                <w:webHidden/>
              </w:rPr>
              <w:fldChar w:fldCharType="separate"/>
            </w:r>
            <w:r w:rsidR="00F728DF">
              <w:rPr>
                <w:noProof/>
                <w:webHidden/>
              </w:rPr>
              <w:t>6</w:t>
            </w:r>
            <w:r w:rsidR="00F728DF">
              <w:rPr>
                <w:noProof/>
                <w:webHidden/>
              </w:rPr>
              <w:fldChar w:fldCharType="end"/>
            </w:r>
          </w:hyperlink>
        </w:p>
        <w:p w14:paraId="7A8AD949" w14:textId="09E16248" w:rsidR="00F728DF" w:rsidRDefault="001139CE">
          <w:pPr>
            <w:pStyle w:val="TOC3"/>
            <w:rPr>
              <w:rFonts w:asciiTheme="minorHAnsi" w:eastAsiaTheme="minorEastAsia" w:hAnsiTheme="minorHAnsi" w:cstheme="minorBidi"/>
              <w:noProof/>
              <w:lang w:eastAsia="en-AU"/>
            </w:rPr>
          </w:pPr>
          <w:hyperlink w:anchor="_Toc24611057" w:history="1">
            <w:r w:rsidR="00F728DF" w:rsidRPr="00EC646A">
              <w:rPr>
                <w:rStyle w:val="Hyperlink"/>
                <w:noProof/>
              </w:rPr>
              <w:t>Product background</w:t>
            </w:r>
            <w:r w:rsidR="00F728DF">
              <w:rPr>
                <w:noProof/>
                <w:webHidden/>
              </w:rPr>
              <w:tab/>
            </w:r>
            <w:r w:rsidR="00F728DF">
              <w:rPr>
                <w:noProof/>
                <w:webHidden/>
              </w:rPr>
              <w:fldChar w:fldCharType="begin"/>
            </w:r>
            <w:r w:rsidR="00F728DF">
              <w:rPr>
                <w:noProof/>
                <w:webHidden/>
              </w:rPr>
              <w:instrText xml:space="preserve"> PAGEREF _Toc24611057 \h </w:instrText>
            </w:r>
            <w:r w:rsidR="00F728DF">
              <w:rPr>
                <w:noProof/>
                <w:webHidden/>
              </w:rPr>
            </w:r>
            <w:r w:rsidR="00F728DF">
              <w:rPr>
                <w:noProof/>
                <w:webHidden/>
              </w:rPr>
              <w:fldChar w:fldCharType="separate"/>
            </w:r>
            <w:r w:rsidR="00F728DF">
              <w:rPr>
                <w:noProof/>
                <w:webHidden/>
              </w:rPr>
              <w:t>6</w:t>
            </w:r>
            <w:r w:rsidR="00F728DF">
              <w:rPr>
                <w:noProof/>
                <w:webHidden/>
              </w:rPr>
              <w:fldChar w:fldCharType="end"/>
            </w:r>
          </w:hyperlink>
        </w:p>
        <w:p w14:paraId="3BBECD37" w14:textId="6E549AD7" w:rsidR="00F728DF" w:rsidRDefault="001139CE">
          <w:pPr>
            <w:pStyle w:val="TOC3"/>
            <w:rPr>
              <w:rFonts w:asciiTheme="minorHAnsi" w:eastAsiaTheme="minorEastAsia" w:hAnsiTheme="minorHAnsi" w:cstheme="minorBidi"/>
              <w:noProof/>
              <w:lang w:eastAsia="en-AU"/>
            </w:rPr>
          </w:pPr>
          <w:hyperlink w:anchor="_Toc24611058" w:history="1">
            <w:r w:rsidR="00F728DF" w:rsidRPr="00EC646A">
              <w:rPr>
                <w:rStyle w:val="Hyperlink"/>
                <w:noProof/>
              </w:rPr>
              <w:t>Regulatory status</w:t>
            </w:r>
            <w:r w:rsidR="00F728DF">
              <w:rPr>
                <w:noProof/>
                <w:webHidden/>
              </w:rPr>
              <w:tab/>
            </w:r>
            <w:r w:rsidR="00F728DF">
              <w:rPr>
                <w:noProof/>
                <w:webHidden/>
              </w:rPr>
              <w:fldChar w:fldCharType="begin"/>
            </w:r>
            <w:r w:rsidR="00F728DF">
              <w:rPr>
                <w:noProof/>
                <w:webHidden/>
              </w:rPr>
              <w:instrText xml:space="preserve"> PAGEREF _Toc24611058 \h </w:instrText>
            </w:r>
            <w:r w:rsidR="00F728DF">
              <w:rPr>
                <w:noProof/>
                <w:webHidden/>
              </w:rPr>
            </w:r>
            <w:r w:rsidR="00F728DF">
              <w:rPr>
                <w:noProof/>
                <w:webHidden/>
              </w:rPr>
              <w:fldChar w:fldCharType="separate"/>
            </w:r>
            <w:r w:rsidR="00F728DF">
              <w:rPr>
                <w:noProof/>
                <w:webHidden/>
              </w:rPr>
              <w:t>8</w:t>
            </w:r>
            <w:r w:rsidR="00F728DF">
              <w:rPr>
                <w:noProof/>
                <w:webHidden/>
              </w:rPr>
              <w:fldChar w:fldCharType="end"/>
            </w:r>
          </w:hyperlink>
        </w:p>
        <w:p w14:paraId="21D38F06" w14:textId="6B068BF4" w:rsidR="00F728DF" w:rsidRDefault="001139CE">
          <w:pPr>
            <w:pStyle w:val="TOC3"/>
            <w:rPr>
              <w:rFonts w:asciiTheme="minorHAnsi" w:eastAsiaTheme="minorEastAsia" w:hAnsiTheme="minorHAnsi" w:cstheme="minorBidi"/>
              <w:noProof/>
              <w:lang w:eastAsia="en-AU"/>
            </w:rPr>
          </w:pPr>
          <w:hyperlink w:anchor="_Toc24611059" w:history="1">
            <w:r w:rsidR="00F728DF" w:rsidRPr="00EC646A">
              <w:rPr>
                <w:rStyle w:val="Hyperlink"/>
                <w:noProof/>
              </w:rPr>
              <w:t>Product Information</w:t>
            </w:r>
            <w:r w:rsidR="00F728DF">
              <w:rPr>
                <w:noProof/>
                <w:webHidden/>
              </w:rPr>
              <w:tab/>
            </w:r>
            <w:r w:rsidR="00F728DF">
              <w:rPr>
                <w:noProof/>
                <w:webHidden/>
              </w:rPr>
              <w:fldChar w:fldCharType="begin"/>
            </w:r>
            <w:r w:rsidR="00F728DF">
              <w:rPr>
                <w:noProof/>
                <w:webHidden/>
              </w:rPr>
              <w:instrText xml:space="preserve"> PAGEREF _Toc24611059 \h </w:instrText>
            </w:r>
            <w:r w:rsidR="00F728DF">
              <w:rPr>
                <w:noProof/>
                <w:webHidden/>
              </w:rPr>
            </w:r>
            <w:r w:rsidR="00F728DF">
              <w:rPr>
                <w:noProof/>
                <w:webHidden/>
              </w:rPr>
              <w:fldChar w:fldCharType="separate"/>
            </w:r>
            <w:r w:rsidR="00F728DF">
              <w:rPr>
                <w:noProof/>
                <w:webHidden/>
              </w:rPr>
              <w:t>8</w:t>
            </w:r>
            <w:r w:rsidR="00F728DF">
              <w:rPr>
                <w:noProof/>
                <w:webHidden/>
              </w:rPr>
              <w:fldChar w:fldCharType="end"/>
            </w:r>
          </w:hyperlink>
        </w:p>
        <w:p w14:paraId="4C229D10" w14:textId="09EB6581" w:rsidR="00F728DF" w:rsidRDefault="001139CE">
          <w:pPr>
            <w:pStyle w:val="TOC2"/>
            <w:rPr>
              <w:rFonts w:asciiTheme="minorHAnsi" w:eastAsiaTheme="minorEastAsia" w:hAnsiTheme="minorHAnsi" w:cstheme="minorBidi"/>
              <w:b w:val="0"/>
              <w:noProof/>
              <w:sz w:val="22"/>
              <w:lang w:eastAsia="en-AU"/>
            </w:rPr>
          </w:pPr>
          <w:hyperlink w:anchor="_Toc24611060" w:history="1">
            <w:r w:rsidR="00F728DF" w:rsidRPr="00EC646A">
              <w:rPr>
                <w:rStyle w:val="Hyperlink"/>
                <w:noProof/>
              </w:rPr>
              <w:t>II. Registration timeline</w:t>
            </w:r>
            <w:r w:rsidR="00F728DF">
              <w:rPr>
                <w:noProof/>
                <w:webHidden/>
              </w:rPr>
              <w:tab/>
            </w:r>
            <w:r w:rsidR="00F728DF">
              <w:rPr>
                <w:noProof/>
                <w:webHidden/>
              </w:rPr>
              <w:fldChar w:fldCharType="begin"/>
            </w:r>
            <w:r w:rsidR="00F728DF">
              <w:rPr>
                <w:noProof/>
                <w:webHidden/>
              </w:rPr>
              <w:instrText xml:space="preserve"> PAGEREF _Toc24611060 \h </w:instrText>
            </w:r>
            <w:r w:rsidR="00F728DF">
              <w:rPr>
                <w:noProof/>
                <w:webHidden/>
              </w:rPr>
            </w:r>
            <w:r w:rsidR="00F728DF">
              <w:rPr>
                <w:noProof/>
                <w:webHidden/>
              </w:rPr>
              <w:fldChar w:fldCharType="separate"/>
            </w:r>
            <w:r w:rsidR="00F728DF">
              <w:rPr>
                <w:noProof/>
                <w:webHidden/>
              </w:rPr>
              <w:t>8</w:t>
            </w:r>
            <w:r w:rsidR="00F728DF">
              <w:rPr>
                <w:noProof/>
                <w:webHidden/>
              </w:rPr>
              <w:fldChar w:fldCharType="end"/>
            </w:r>
          </w:hyperlink>
        </w:p>
        <w:p w14:paraId="66F05E61" w14:textId="4FF45370" w:rsidR="00F728DF" w:rsidRDefault="001139CE">
          <w:pPr>
            <w:pStyle w:val="TOC2"/>
            <w:rPr>
              <w:rFonts w:asciiTheme="minorHAnsi" w:eastAsiaTheme="minorEastAsia" w:hAnsiTheme="minorHAnsi" w:cstheme="minorBidi"/>
              <w:b w:val="0"/>
              <w:noProof/>
              <w:sz w:val="22"/>
              <w:lang w:eastAsia="en-AU"/>
            </w:rPr>
          </w:pPr>
          <w:hyperlink w:anchor="_Toc24611061" w:history="1">
            <w:r w:rsidR="00F728DF" w:rsidRPr="00EC646A">
              <w:rPr>
                <w:rStyle w:val="Hyperlink"/>
                <w:noProof/>
              </w:rPr>
              <w:t>III. Submission overview and risk/benefit assessment</w:t>
            </w:r>
            <w:r w:rsidR="00F728DF">
              <w:rPr>
                <w:noProof/>
                <w:webHidden/>
              </w:rPr>
              <w:tab/>
            </w:r>
            <w:r w:rsidR="00F728DF">
              <w:rPr>
                <w:noProof/>
                <w:webHidden/>
              </w:rPr>
              <w:fldChar w:fldCharType="begin"/>
            </w:r>
            <w:r w:rsidR="00F728DF">
              <w:rPr>
                <w:noProof/>
                <w:webHidden/>
              </w:rPr>
              <w:instrText xml:space="preserve"> PAGEREF _Toc24611061 \h </w:instrText>
            </w:r>
            <w:r w:rsidR="00F728DF">
              <w:rPr>
                <w:noProof/>
                <w:webHidden/>
              </w:rPr>
            </w:r>
            <w:r w:rsidR="00F728DF">
              <w:rPr>
                <w:noProof/>
                <w:webHidden/>
              </w:rPr>
              <w:fldChar w:fldCharType="separate"/>
            </w:r>
            <w:r w:rsidR="00F728DF">
              <w:rPr>
                <w:noProof/>
                <w:webHidden/>
              </w:rPr>
              <w:t>9</w:t>
            </w:r>
            <w:r w:rsidR="00F728DF">
              <w:rPr>
                <w:noProof/>
                <w:webHidden/>
              </w:rPr>
              <w:fldChar w:fldCharType="end"/>
            </w:r>
          </w:hyperlink>
        </w:p>
        <w:p w14:paraId="2E619AD6" w14:textId="52E60FD3" w:rsidR="00F728DF" w:rsidRDefault="001139CE">
          <w:pPr>
            <w:pStyle w:val="TOC3"/>
            <w:rPr>
              <w:rFonts w:asciiTheme="minorHAnsi" w:eastAsiaTheme="minorEastAsia" w:hAnsiTheme="minorHAnsi" w:cstheme="minorBidi"/>
              <w:noProof/>
              <w:lang w:eastAsia="en-AU"/>
            </w:rPr>
          </w:pPr>
          <w:hyperlink w:anchor="_Toc24611062" w:history="1">
            <w:r w:rsidR="00F728DF" w:rsidRPr="00EC646A">
              <w:rPr>
                <w:rStyle w:val="Hyperlink"/>
                <w:noProof/>
              </w:rPr>
              <w:t>Quality</w:t>
            </w:r>
            <w:r w:rsidR="00F728DF">
              <w:rPr>
                <w:noProof/>
                <w:webHidden/>
              </w:rPr>
              <w:tab/>
            </w:r>
            <w:r w:rsidR="00F728DF">
              <w:rPr>
                <w:noProof/>
                <w:webHidden/>
              </w:rPr>
              <w:fldChar w:fldCharType="begin"/>
            </w:r>
            <w:r w:rsidR="00F728DF">
              <w:rPr>
                <w:noProof/>
                <w:webHidden/>
              </w:rPr>
              <w:instrText xml:space="preserve"> PAGEREF _Toc24611062 \h </w:instrText>
            </w:r>
            <w:r w:rsidR="00F728DF">
              <w:rPr>
                <w:noProof/>
                <w:webHidden/>
              </w:rPr>
            </w:r>
            <w:r w:rsidR="00F728DF">
              <w:rPr>
                <w:noProof/>
                <w:webHidden/>
              </w:rPr>
              <w:fldChar w:fldCharType="separate"/>
            </w:r>
            <w:r w:rsidR="00F728DF">
              <w:rPr>
                <w:noProof/>
                <w:webHidden/>
              </w:rPr>
              <w:t>9</w:t>
            </w:r>
            <w:r w:rsidR="00F728DF">
              <w:rPr>
                <w:noProof/>
                <w:webHidden/>
              </w:rPr>
              <w:fldChar w:fldCharType="end"/>
            </w:r>
          </w:hyperlink>
        </w:p>
        <w:p w14:paraId="717DD749" w14:textId="2F5AD465" w:rsidR="00F728DF" w:rsidRDefault="001139CE">
          <w:pPr>
            <w:pStyle w:val="TOC3"/>
            <w:rPr>
              <w:rFonts w:asciiTheme="minorHAnsi" w:eastAsiaTheme="minorEastAsia" w:hAnsiTheme="minorHAnsi" w:cstheme="minorBidi"/>
              <w:noProof/>
              <w:lang w:eastAsia="en-AU"/>
            </w:rPr>
          </w:pPr>
          <w:hyperlink w:anchor="_Toc24611063" w:history="1">
            <w:r w:rsidR="00F728DF" w:rsidRPr="00EC646A">
              <w:rPr>
                <w:rStyle w:val="Hyperlink"/>
                <w:noProof/>
              </w:rPr>
              <w:t>Nonclinical</w:t>
            </w:r>
            <w:r w:rsidR="00F728DF">
              <w:rPr>
                <w:noProof/>
                <w:webHidden/>
              </w:rPr>
              <w:tab/>
            </w:r>
            <w:r w:rsidR="00F728DF">
              <w:rPr>
                <w:noProof/>
                <w:webHidden/>
              </w:rPr>
              <w:fldChar w:fldCharType="begin"/>
            </w:r>
            <w:r w:rsidR="00F728DF">
              <w:rPr>
                <w:noProof/>
                <w:webHidden/>
              </w:rPr>
              <w:instrText xml:space="preserve"> PAGEREF _Toc24611063 \h </w:instrText>
            </w:r>
            <w:r w:rsidR="00F728DF">
              <w:rPr>
                <w:noProof/>
                <w:webHidden/>
              </w:rPr>
            </w:r>
            <w:r w:rsidR="00F728DF">
              <w:rPr>
                <w:noProof/>
                <w:webHidden/>
              </w:rPr>
              <w:fldChar w:fldCharType="separate"/>
            </w:r>
            <w:r w:rsidR="00F728DF">
              <w:rPr>
                <w:noProof/>
                <w:webHidden/>
              </w:rPr>
              <w:t>11</w:t>
            </w:r>
            <w:r w:rsidR="00F728DF">
              <w:rPr>
                <w:noProof/>
                <w:webHidden/>
              </w:rPr>
              <w:fldChar w:fldCharType="end"/>
            </w:r>
          </w:hyperlink>
        </w:p>
        <w:p w14:paraId="03B8F9AB" w14:textId="66B067C7" w:rsidR="00F728DF" w:rsidRDefault="001139CE">
          <w:pPr>
            <w:pStyle w:val="TOC3"/>
            <w:rPr>
              <w:rFonts w:asciiTheme="minorHAnsi" w:eastAsiaTheme="minorEastAsia" w:hAnsiTheme="minorHAnsi" w:cstheme="minorBidi"/>
              <w:noProof/>
              <w:lang w:eastAsia="en-AU"/>
            </w:rPr>
          </w:pPr>
          <w:hyperlink w:anchor="_Toc24611064" w:history="1">
            <w:r w:rsidR="00F728DF" w:rsidRPr="00EC646A">
              <w:rPr>
                <w:rStyle w:val="Hyperlink"/>
                <w:noProof/>
              </w:rPr>
              <w:t>Clinical</w:t>
            </w:r>
            <w:r w:rsidR="00F728DF">
              <w:rPr>
                <w:noProof/>
                <w:webHidden/>
              </w:rPr>
              <w:tab/>
            </w:r>
            <w:r w:rsidR="00F728DF">
              <w:rPr>
                <w:noProof/>
                <w:webHidden/>
              </w:rPr>
              <w:fldChar w:fldCharType="begin"/>
            </w:r>
            <w:r w:rsidR="00F728DF">
              <w:rPr>
                <w:noProof/>
                <w:webHidden/>
              </w:rPr>
              <w:instrText xml:space="preserve"> PAGEREF _Toc24611064 \h </w:instrText>
            </w:r>
            <w:r w:rsidR="00F728DF">
              <w:rPr>
                <w:noProof/>
                <w:webHidden/>
              </w:rPr>
            </w:r>
            <w:r w:rsidR="00F728DF">
              <w:rPr>
                <w:noProof/>
                <w:webHidden/>
              </w:rPr>
              <w:fldChar w:fldCharType="separate"/>
            </w:r>
            <w:r w:rsidR="00F728DF">
              <w:rPr>
                <w:noProof/>
                <w:webHidden/>
              </w:rPr>
              <w:t>12</w:t>
            </w:r>
            <w:r w:rsidR="00F728DF">
              <w:rPr>
                <w:noProof/>
                <w:webHidden/>
              </w:rPr>
              <w:fldChar w:fldCharType="end"/>
            </w:r>
          </w:hyperlink>
        </w:p>
        <w:p w14:paraId="6A4EC932" w14:textId="5E817642" w:rsidR="00F728DF" w:rsidRDefault="001139CE">
          <w:pPr>
            <w:pStyle w:val="TOC3"/>
            <w:rPr>
              <w:rFonts w:asciiTheme="minorHAnsi" w:eastAsiaTheme="minorEastAsia" w:hAnsiTheme="minorHAnsi" w:cstheme="minorBidi"/>
              <w:noProof/>
              <w:lang w:eastAsia="en-AU"/>
            </w:rPr>
          </w:pPr>
          <w:hyperlink w:anchor="_Toc24611065" w:history="1">
            <w:r w:rsidR="00F728DF" w:rsidRPr="00EC646A">
              <w:rPr>
                <w:rStyle w:val="Hyperlink"/>
                <w:noProof/>
                <w:lang w:eastAsia="en-AU"/>
              </w:rPr>
              <w:t>Risk management plan</w:t>
            </w:r>
            <w:r w:rsidR="00F728DF">
              <w:rPr>
                <w:noProof/>
                <w:webHidden/>
              </w:rPr>
              <w:tab/>
            </w:r>
            <w:r w:rsidR="00F728DF">
              <w:rPr>
                <w:noProof/>
                <w:webHidden/>
              </w:rPr>
              <w:fldChar w:fldCharType="begin"/>
            </w:r>
            <w:r w:rsidR="00F728DF">
              <w:rPr>
                <w:noProof/>
                <w:webHidden/>
              </w:rPr>
              <w:instrText xml:space="preserve"> PAGEREF _Toc24611065 \h </w:instrText>
            </w:r>
            <w:r w:rsidR="00F728DF">
              <w:rPr>
                <w:noProof/>
                <w:webHidden/>
              </w:rPr>
            </w:r>
            <w:r w:rsidR="00F728DF">
              <w:rPr>
                <w:noProof/>
                <w:webHidden/>
              </w:rPr>
              <w:fldChar w:fldCharType="separate"/>
            </w:r>
            <w:r w:rsidR="00F728DF">
              <w:rPr>
                <w:noProof/>
                <w:webHidden/>
              </w:rPr>
              <w:t>16</w:t>
            </w:r>
            <w:r w:rsidR="00F728DF">
              <w:rPr>
                <w:noProof/>
                <w:webHidden/>
              </w:rPr>
              <w:fldChar w:fldCharType="end"/>
            </w:r>
          </w:hyperlink>
        </w:p>
        <w:p w14:paraId="6B896638" w14:textId="50D6776D" w:rsidR="00F728DF" w:rsidRDefault="001139CE">
          <w:pPr>
            <w:pStyle w:val="TOC3"/>
            <w:rPr>
              <w:rFonts w:asciiTheme="minorHAnsi" w:eastAsiaTheme="minorEastAsia" w:hAnsiTheme="minorHAnsi" w:cstheme="minorBidi"/>
              <w:noProof/>
              <w:lang w:eastAsia="en-AU"/>
            </w:rPr>
          </w:pPr>
          <w:hyperlink w:anchor="_Toc24611066" w:history="1">
            <w:r w:rsidR="00F728DF" w:rsidRPr="00EC646A">
              <w:rPr>
                <w:rStyle w:val="Hyperlink"/>
                <w:noProof/>
              </w:rPr>
              <w:t>Risk-benefit analysis</w:t>
            </w:r>
            <w:r w:rsidR="00F728DF">
              <w:rPr>
                <w:noProof/>
                <w:webHidden/>
              </w:rPr>
              <w:tab/>
            </w:r>
            <w:r w:rsidR="00F728DF">
              <w:rPr>
                <w:noProof/>
                <w:webHidden/>
              </w:rPr>
              <w:fldChar w:fldCharType="begin"/>
            </w:r>
            <w:r w:rsidR="00F728DF">
              <w:rPr>
                <w:noProof/>
                <w:webHidden/>
              </w:rPr>
              <w:instrText xml:space="preserve"> PAGEREF _Toc24611066 \h </w:instrText>
            </w:r>
            <w:r w:rsidR="00F728DF">
              <w:rPr>
                <w:noProof/>
                <w:webHidden/>
              </w:rPr>
            </w:r>
            <w:r w:rsidR="00F728DF">
              <w:rPr>
                <w:noProof/>
                <w:webHidden/>
              </w:rPr>
              <w:fldChar w:fldCharType="separate"/>
            </w:r>
            <w:r w:rsidR="00F728DF">
              <w:rPr>
                <w:noProof/>
                <w:webHidden/>
              </w:rPr>
              <w:t>17</w:t>
            </w:r>
            <w:r w:rsidR="00F728DF">
              <w:rPr>
                <w:noProof/>
                <w:webHidden/>
              </w:rPr>
              <w:fldChar w:fldCharType="end"/>
            </w:r>
          </w:hyperlink>
        </w:p>
        <w:p w14:paraId="11235122" w14:textId="5BAC626A" w:rsidR="00F728DF" w:rsidRDefault="001139CE">
          <w:pPr>
            <w:pStyle w:val="TOC3"/>
            <w:rPr>
              <w:rFonts w:asciiTheme="minorHAnsi" w:eastAsiaTheme="minorEastAsia" w:hAnsiTheme="minorHAnsi" w:cstheme="minorBidi"/>
              <w:noProof/>
              <w:lang w:eastAsia="en-AU"/>
            </w:rPr>
          </w:pPr>
          <w:hyperlink w:anchor="_Toc24611067" w:history="1">
            <w:r w:rsidR="00F728DF" w:rsidRPr="00EC646A">
              <w:rPr>
                <w:rStyle w:val="Hyperlink"/>
                <w:noProof/>
              </w:rPr>
              <w:t>Outcome</w:t>
            </w:r>
            <w:r w:rsidR="00F728DF">
              <w:rPr>
                <w:noProof/>
                <w:webHidden/>
              </w:rPr>
              <w:tab/>
            </w:r>
            <w:r w:rsidR="00F728DF">
              <w:rPr>
                <w:noProof/>
                <w:webHidden/>
              </w:rPr>
              <w:fldChar w:fldCharType="begin"/>
            </w:r>
            <w:r w:rsidR="00F728DF">
              <w:rPr>
                <w:noProof/>
                <w:webHidden/>
              </w:rPr>
              <w:instrText xml:space="preserve"> PAGEREF _Toc24611067 \h </w:instrText>
            </w:r>
            <w:r w:rsidR="00F728DF">
              <w:rPr>
                <w:noProof/>
                <w:webHidden/>
              </w:rPr>
            </w:r>
            <w:r w:rsidR="00F728DF">
              <w:rPr>
                <w:noProof/>
                <w:webHidden/>
              </w:rPr>
              <w:fldChar w:fldCharType="separate"/>
            </w:r>
            <w:r w:rsidR="00F728DF">
              <w:rPr>
                <w:noProof/>
                <w:webHidden/>
              </w:rPr>
              <w:t>19</w:t>
            </w:r>
            <w:r w:rsidR="00F728DF">
              <w:rPr>
                <w:noProof/>
                <w:webHidden/>
              </w:rPr>
              <w:fldChar w:fldCharType="end"/>
            </w:r>
          </w:hyperlink>
        </w:p>
        <w:p w14:paraId="12EC304A" w14:textId="22CEA08D" w:rsidR="00F728DF" w:rsidRDefault="001139CE">
          <w:pPr>
            <w:pStyle w:val="TOC2"/>
            <w:rPr>
              <w:rFonts w:asciiTheme="minorHAnsi" w:eastAsiaTheme="minorEastAsia" w:hAnsiTheme="minorHAnsi" w:cstheme="minorBidi"/>
              <w:b w:val="0"/>
              <w:noProof/>
              <w:sz w:val="22"/>
              <w:lang w:eastAsia="en-AU"/>
            </w:rPr>
          </w:pPr>
          <w:hyperlink w:anchor="_Toc24611068" w:history="1">
            <w:r w:rsidR="00F728DF" w:rsidRPr="00EC646A">
              <w:rPr>
                <w:rStyle w:val="Hyperlink"/>
                <w:noProof/>
              </w:rPr>
              <w:t>Attachment 1. Product Information</w:t>
            </w:r>
            <w:r w:rsidR="00F728DF">
              <w:rPr>
                <w:noProof/>
                <w:webHidden/>
              </w:rPr>
              <w:tab/>
            </w:r>
            <w:r w:rsidR="00F728DF">
              <w:rPr>
                <w:noProof/>
                <w:webHidden/>
              </w:rPr>
              <w:fldChar w:fldCharType="begin"/>
            </w:r>
            <w:r w:rsidR="00F728DF">
              <w:rPr>
                <w:noProof/>
                <w:webHidden/>
              </w:rPr>
              <w:instrText xml:space="preserve"> PAGEREF _Toc24611068 \h </w:instrText>
            </w:r>
            <w:r w:rsidR="00F728DF">
              <w:rPr>
                <w:noProof/>
                <w:webHidden/>
              </w:rPr>
            </w:r>
            <w:r w:rsidR="00F728DF">
              <w:rPr>
                <w:noProof/>
                <w:webHidden/>
              </w:rPr>
              <w:fldChar w:fldCharType="separate"/>
            </w:r>
            <w:r w:rsidR="00F728DF">
              <w:rPr>
                <w:noProof/>
                <w:webHidden/>
              </w:rPr>
              <w:t>21</w:t>
            </w:r>
            <w:r w:rsidR="00F728DF">
              <w:rPr>
                <w:noProof/>
                <w:webHidden/>
              </w:rPr>
              <w:fldChar w:fldCharType="end"/>
            </w:r>
          </w:hyperlink>
        </w:p>
        <w:p w14:paraId="78D471B1" w14:textId="081FA69A" w:rsidR="003A7F6C" w:rsidRPr="00B811C6" w:rsidRDefault="00DB6124" w:rsidP="00B811C6">
          <w:pPr>
            <w:pStyle w:val="TOC2"/>
          </w:pPr>
          <w:r>
            <w:fldChar w:fldCharType="end"/>
          </w:r>
        </w:p>
      </w:sdtContent>
    </w:sdt>
    <w:bookmarkStart w:id="3" w:name="_Toc314842482" w:displacedByCustomXml="prev"/>
    <w:p w14:paraId="5915AA94" w14:textId="77777777" w:rsidR="00FD119B" w:rsidRDefault="00441C3F" w:rsidP="009B349D">
      <w:pPr>
        <w:pStyle w:val="Heading2"/>
        <w:pageBreakBefore/>
        <w:spacing w:before="0"/>
      </w:pPr>
      <w:bookmarkStart w:id="4" w:name="_Toc351716269"/>
      <w:bookmarkStart w:id="5" w:name="_Toc351718881"/>
      <w:bookmarkStart w:id="6" w:name="_Toc355338616"/>
      <w:bookmarkStart w:id="7" w:name="_Toc356306144"/>
      <w:bookmarkStart w:id="8" w:name="_Toc24611054"/>
      <w:r>
        <w:lastRenderedPageBreak/>
        <w:t>Common</w:t>
      </w:r>
      <w:r w:rsidR="00FD119B" w:rsidRPr="00FD119B">
        <w:t xml:space="preserve"> abbreviations</w:t>
      </w:r>
      <w:bookmarkEnd w:id="4"/>
      <w:bookmarkEnd w:id="5"/>
      <w:bookmarkEnd w:id="6"/>
      <w:bookmarkEnd w:id="7"/>
      <w:bookmarkEnd w:id="8"/>
    </w:p>
    <w:tbl>
      <w:tblPr>
        <w:tblStyle w:val="TableTGAblue"/>
        <w:tblW w:w="8720" w:type="dxa"/>
        <w:tblLayout w:type="fixed"/>
        <w:tblLook w:val="04A0" w:firstRow="1" w:lastRow="0" w:firstColumn="1" w:lastColumn="0" w:noHBand="0" w:noVBand="1"/>
      </w:tblPr>
      <w:tblGrid>
        <w:gridCol w:w="1951"/>
        <w:gridCol w:w="6769"/>
      </w:tblGrid>
      <w:tr w:rsidR="008D47D9" w14:paraId="3F8F7F90" w14:textId="77777777" w:rsidTr="00050ABC">
        <w:trPr>
          <w:cnfStyle w:val="100000000000" w:firstRow="1" w:lastRow="0" w:firstColumn="0" w:lastColumn="0" w:oddVBand="0" w:evenVBand="0" w:oddHBand="0" w:evenHBand="0" w:firstRowFirstColumn="0" w:firstRowLastColumn="0" w:lastRowFirstColumn="0" w:lastRowLastColumn="0"/>
        </w:trPr>
        <w:tc>
          <w:tcPr>
            <w:tcW w:w="1951" w:type="dxa"/>
          </w:tcPr>
          <w:p w14:paraId="2F3DD286" w14:textId="77777777" w:rsidR="008D47D9" w:rsidRDefault="008D47D9" w:rsidP="00897CD7">
            <w:pPr>
              <w:jc w:val="both"/>
            </w:pPr>
            <w:r>
              <w:t>Abbreviation</w:t>
            </w:r>
          </w:p>
        </w:tc>
        <w:tc>
          <w:tcPr>
            <w:tcW w:w="6769" w:type="dxa"/>
          </w:tcPr>
          <w:p w14:paraId="71C22197" w14:textId="77777777" w:rsidR="008D47D9" w:rsidRDefault="008D47D9" w:rsidP="00897CD7">
            <w:pPr>
              <w:jc w:val="both"/>
            </w:pPr>
            <w:r>
              <w:t>Meaning</w:t>
            </w:r>
          </w:p>
        </w:tc>
      </w:tr>
      <w:tr w:rsidR="00250164" w14:paraId="54F9EA62" w14:textId="77777777" w:rsidTr="00E9182B">
        <w:tc>
          <w:tcPr>
            <w:tcW w:w="1951" w:type="dxa"/>
          </w:tcPr>
          <w:p w14:paraId="14D713A4" w14:textId="12A19AF4" w:rsidR="00250164" w:rsidRDefault="00250164" w:rsidP="00897CD7">
            <w:pPr>
              <w:jc w:val="both"/>
            </w:pPr>
            <w:r>
              <w:t>ACM</w:t>
            </w:r>
          </w:p>
        </w:tc>
        <w:tc>
          <w:tcPr>
            <w:tcW w:w="6769" w:type="dxa"/>
          </w:tcPr>
          <w:p w14:paraId="1A193B05" w14:textId="5CC244F3" w:rsidR="00250164" w:rsidRDefault="00250164" w:rsidP="00897CD7">
            <w:pPr>
              <w:jc w:val="both"/>
            </w:pPr>
            <w:r>
              <w:t>Advisory Committee on Medicines</w:t>
            </w:r>
          </w:p>
        </w:tc>
      </w:tr>
      <w:tr w:rsidR="00250164" w14:paraId="6A692D50" w14:textId="77777777" w:rsidTr="00E9182B">
        <w:tc>
          <w:tcPr>
            <w:tcW w:w="1951" w:type="dxa"/>
          </w:tcPr>
          <w:p w14:paraId="0CAFB53D" w14:textId="6EBFBDC9" w:rsidR="00250164" w:rsidRDefault="00250164" w:rsidP="00897CD7">
            <w:pPr>
              <w:jc w:val="both"/>
            </w:pPr>
            <w:r>
              <w:t>ARGPM</w:t>
            </w:r>
          </w:p>
        </w:tc>
        <w:tc>
          <w:tcPr>
            <w:tcW w:w="6769" w:type="dxa"/>
          </w:tcPr>
          <w:p w14:paraId="4BC89E2E" w14:textId="5FFC57C3" w:rsidR="00250164" w:rsidRDefault="00250164" w:rsidP="00897CD7">
            <w:pPr>
              <w:jc w:val="both"/>
            </w:pPr>
            <w:r w:rsidRPr="00A7732A">
              <w:t>Australian Regulatory Guidelines for Prescription Medicines</w:t>
            </w:r>
          </w:p>
        </w:tc>
      </w:tr>
      <w:tr w:rsidR="00250164" w14:paraId="4261D654" w14:textId="77777777" w:rsidTr="00E9182B">
        <w:tc>
          <w:tcPr>
            <w:tcW w:w="1951" w:type="dxa"/>
          </w:tcPr>
          <w:p w14:paraId="6FFFC255" w14:textId="3DF80888" w:rsidR="00250164" w:rsidRDefault="00250164" w:rsidP="00897CD7">
            <w:pPr>
              <w:jc w:val="both"/>
            </w:pPr>
            <w:r>
              <w:t>ARTG</w:t>
            </w:r>
          </w:p>
        </w:tc>
        <w:tc>
          <w:tcPr>
            <w:tcW w:w="6769" w:type="dxa"/>
          </w:tcPr>
          <w:p w14:paraId="41CF2240" w14:textId="6F6C2976" w:rsidR="00250164" w:rsidRDefault="00250164" w:rsidP="00897CD7">
            <w:pPr>
              <w:jc w:val="both"/>
            </w:pPr>
            <w:r>
              <w:t>Australian Register of Therapeutic Goods</w:t>
            </w:r>
          </w:p>
        </w:tc>
      </w:tr>
      <w:tr w:rsidR="008D47D9" w14:paraId="0A5F44EB" w14:textId="77777777" w:rsidTr="00050ABC">
        <w:tc>
          <w:tcPr>
            <w:tcW w:w="1951" w:type="dxa"/>
          </w:tcPr>
          <w:p w14:paraId="17AF4CF5" w14:textId="77777777" w:rsidR="008D47D9" w:rsidRDefault="008D47D9" w:rsidP="00897CD7">
            <w:pPr>
              <w:jc w:val="both"/>
            </w:pPr>
            <w:r>
              <w:t>CMI</w:t>
            </w:r>
          </w:p>
        </w:tc>
        <w:tc>
          <w:tcPr>
            <w:tcW w:w="6769" w:type="dxa"/>
          </w:tcPr>
          <w:p w14:paraId="3B280BF3" w14:textId="77777777" w:rsidR="008D47D9" w:rsidRDefault="008D47D9" w:rsidP="00897CD7">
            <w:pPr>
              <w:jc w:val="both"/>
            </w:pPr>
            <w:r>
              <w:t>Consumer Medicine Information</w:t>
            </w:r>
          </w:p>
        </w:tc>
      </w:tr>
      <w:tr w:rsidR="008D47D9" w14:paraId="7F5A800D" w14:textId="77777777" w:rsidTr="00050ABC">
        <w:tc>
          <w:tcPr>
            <w:tcW w:w="1951" w:type="dxa"/>
          </w:tcPr>
          <w:p w14:paraId="03E3A478" w14:textId="77777777" w:rsidR="008D47D9" w:rsidRDefault="008D47D9" w:rsidP="00897CD7">
            <w:pPr>
              <w:jc w:val="both"/>
            </w:pPr>
            <w:r>
              <w:t>CI</w:t>
            </w:r>
          </w:p>
        </w:tc>
        <w:tc>
          <w:tcPr>
            <w:tcW w:w="6769" w:type="dxa"/>
          </w:tcPr>
          <w:p w14:paraId="4F2952CE" w14:textId="77777777" w:rsidR="008D47D9" w:rsidRDefault="008D47D9" w:rsidP="00897CD7">
            <w:pPr>
              <w:jc w:val="both"/>
            </w:pPr>
            <w:r>
              <w:t>Confidence interval</w:t>
            </w:r>
          </w:p>
        </w:tc>
      </w:tr>
      <w:tr w:rsidR="00250164" w14:paraId="33CE082E" w14:textId="77777777" w:rsidTr="00E9182B">
        <w:tc>
          <w:tcPr>
            <w:tcW w:w="1951" w:type="dxa"/>
          </w:tcPr>
          <w:p w14:paraId="531FCB77" w14:textId="021C96D2" w:rsidR="00250164" w:rsidRDefault="00250164" w:rsidP="00897CD7">
            <w:pPr>
              <w:jc w:val="both"/>
            </w:pPr>
            <w:r>
              <w:t>CPD</w:t>
            </w:r>
          </w:p>
        </w:tc>
        <w:tc>
          <w:tcPr>
            <w:tcW w:w="6769" w:type="dxa"/>
          </w:tcPr>
          <w:p w14:paraId="05CD65FB" w14:textId="1DD29C0E" w:rsidR="00250164" w:rsidRDefault="00250164" w:rsidP="00897CD7">
            <w:pPr>
              <w:jc w:val="both"/>
            </w:pPr>
            <w:r>
              <w:t>Certified Product Details</w:t>
            </w:r>
          </w:p>
        </w:tc>
      </w:tr>
      <w:tr w:rsidR="008D47D9" w14:paraId="750EC108" w14:textId="77777777" w:rsidTr="00050ABC">
        <w:tc>
          <w:tcPr>
            <w:tcW w:w="1951" w:type="dxa"/>
          </w:tcPr>
          <w:p w14:paraId="6E35910F" w14:textId="77777777" w:rsidR="008D47D9" w:rsidRDefault="008D47D9" w:rsidP="00897CD7">
            <w:pPr>
              <w:jc w:val="both"/>
            </w:pPr>
            <w:r>
              <w:t>CSR</w:t>
            </w:r>
          </w:p>
        </w:tc>
        <w:tc>
          <w:tcPr>
            <w:tcW w:w="6769" w:type="dxa"/>
          </w:tcPr>
          <w:p w14:paraId="180AE563" w14:textId="77777777" w:rsidR="008D47D9" w:rsidRDefault="008D47D9" w:rsidP="00897CD7">
            <w:pPr>
              <w:jc w:val="both"/>
            </w:pPr>
            <w:r>
              <w:t>Clinical study report</w:t>
            </w:r>
          </w:p>
        </w:tc>
      </w:tr>
      <w:tr w:rsidR="008D47D9" w14:paraId="3A837965" w14:textId="77777777" w:rsidTr="00050ABC">
        <w:tc>
          <w:tcPr>
            <w:tcW w:w="1951" w:type="dxa"/>
          </w:tcPr>
          <w:p w14:paraId="52104757" w14:textId="77777777" w:rsidR="008D47D9" w:rsidRDefault="008D47D9" w:rsidP="00897CD7">
            <w:pPr>
              <w:jc w:val="both"/>
            </w:pPr>
            <w:r>
              <w:t>C5</w:t>
            </w:r>
          </w:p>
        </w:tc>
        <w:tc>
          <w:tcPr>
            <w:tcW w:w="6769" w:type="dxa"/>
          </w:tcPr>
          <w:p w14:paraId="558DC320" w14:textId="77777777" w:rsidR="008D47D9" w:rsidRDefault="008D47D9" w:rsidP="00897CD7">
            <w:pPr>
              <w:jc w:val="both"/>
            </w:pPr>
            <w:r>
              <w:t>Complement component 5</w:t>
            </w:r>
          </w:p>
        </w:tc>
      </w:tr>
      <w:tr w:rsidR="00502C33" w14:paraId="5A7FD629" w14:textId="77777777" w:rsidTr="00050ABC">
        <w:tc>
          <w:tcPr>
            <w:tcW w:w="1951" w:type="dxa"/>
          </w:tcPr>
          <w:p w14:paraId="1489AC13" w14:textId="645A8B6A" w:rsidR="00502C33" w:rsidRDefault="00502C33" w:rsidP="00897CD7">
            <w:pPr>
              <w:jc w:val="both"/>
            </w:pPr>
            <w:r>
              <w:t>C5a</w:t>
            </w:r>
          </w:p>
        </w:tc>
        <w:tc>
          <w:tcPr>
            <w:tcW w:w="6769" w:type="dxa"/>
          </w:tcPr>
          <w:p w14:paraId="009B224F" w14:textId="00A34B89" w:rsidR="00502C33" w:rsidRDefault="00502C33" w:rsidP="00897CD7">
            <w:pPr>
              <w:jc w:val="both"/>
            </w:pPr>
            <w:r>
              <w:t>Complement component 5a</w:t>
            </w:r>
          </w:p>
        </w:tc>
      </w:tr>
      <w:tr w:rsidR="00502C33" w14:paraId="1918B814" w14:textId="77777777" w:rsidTr="00050ABC">
        <w:tc>
          <w:tcPr>
            <w:tcW w:w="1951" w:type="dxa"/>
          </w:tcPr>
          <w:p w14:paraId="4B000ED9" w14:textId="13957B13" w:rsidR="00502C33" w:rsidRDefault="00502C33" w:rsidP="00897CD7">
            <w:pPr>
              <w:jc w:val="both"/>
            </w:pPr>
            <w:r>
              <w:t>C5b</w:t>
            </w:r>
          </w:p>
        </w:tc>
        <w:tc>
          <w:tcPr>
            <w:tcW w:w="6769" w:type="dxa"/>
          </w:tcPr>
          <w:p w14:paraId="5C468993" w14:textId="689F3323" w:rsidR="00502C33" w:rsidRDefault="00502C33" w:rsidP="00897CD7">
            <w:pPr>
              <w:jc w:val="both"/>
            </w:pPr>
            <w:r>
              <w:t>Complement component 5b</w:t>
            </w:r>
          </w:p>
        </w:tc>
      </w:tr>
      <w:tr w:rsidR="008D47D9" w14:paraId="56D7C99C" w14:textId="77777777" w:rsidTr="00050ABC">
        <w:tc>
          <w:tcPr>
            <w:tcW w:w="1951" w:type="dxa"/>
          </w:tcPr>
          <w:p w14:paraId="60D4D834" w14:textId="77777777" w:rsidR="008D47D9" w:rsidRDefault="008D47D9" w:rsidP="00897CD7">
            <w:pPr>
              <w:jc w:val="both"/>
            </w:pPr>
            <w:r>
              <w:t>EMA</w:t>
            </w:r>
          </w:p>
        </w:tc>
        <w:tc>
          <w:tcPr>
            <w:tcW w:w="6769" w:type="dxa"/>
          </w:tcPr>
          <w:p w14:paraId="60772BCA" w14:textId="62CAC766" w:rsidR="008D47D9" w:rsidRDefault="008D47D9" w:rsidP="00897CD7">
            <w:pPr>
              <w:jc w:val="both"/>
            </w:pPr>
            <w:r>
              <w:t>European Medicines Agency</w:t>
            </w:r>
            <w:r w:rsidR="00094E78">
              <w:t xml:space="preserve"> (EU)</w:t>
            </w:r>
          </w:p>
        </w:tc>
      </w:tr>
      <w:tr w:rsidR="008D47D9" w14:paraId="7F4B1988" w14:textId="77777777" w:rsidTr="00050ABC">
        <w:tc>
          <w:tcPr>
            <w:tcW w:w="1951" w:type="dxa"/>
          </w:tcPr>
          <w:p w14:paraId="2F5E4EB9" w14:textId="77777777" w:rsidR="008D47D9" w:rsidRDefault="008D47D9" w:rsidP="00897CD7">
            <w:pPr>
              <w:jc w:val="both"/>
            </w:pPr>
            <w:r>
              <w:t>EU</w:t>
            </w:r>
          </w:p>
        </w:tc>
        <w:tc>
          <w:tcPr>
            <w:tcW w:w="6769" w:type="dxa"/>
          </w:tcPr>
          <w:p w14:paraId="4FFEDC02" w14:textId="77777777" w:rsidR="008D47D9" w:rsidRDefault="008D47D9" w:rsidP="00897CD7">
            <w:pPr>
              <w:jc w:val="both"/>
            </w:pPr>
            <w:r>
              <w:t>European Union</w:t>
            </w:r>
          </w:p>
        </w:tc>
      </w:tr>
      <w:tr w:rsidR="008D47D9" w14:paraId="002B75AE" w14:textId="77777777" w:rsidTr="00050ABC">
        <w:tc>
          <w:tcPr>
            <w:tcW w:w="1951" w:type="dxa"/>
          </w:tcPr>
          <w:p w14:paraId="0E58AEA1" w14:textId="77777777" w:rsidR="008D47D9" w:rsidRDefault="008D47D9" w:rsidP="00897CD7">
            <w:pPr>
              <w:jc w:val="both"/>
            </w:pPr>
            <w:r>
              <w:t>FcRn</w:t>
            </w:r>
          </w:p>
        </w:tc>
        <w:tc>
          <w:tcPr>
            <w:tcW w:w="6769" w:type="dxa"/>
          </w:tcPr>
          <w:p w14:paraId="7B301F3E" w14:textId="77777777" w:rsidR="008D47D9" w:rsidRDefault="008D47D9" w:rsidP="00897CD7">
            <w:pPr>
              <w:jc w:val="both"/>
            </w:pPr>
            <w:r>
              <w:t>Fc receptor</w:t>
            </w:r>
          </w:p>
        </w:tc>
      </w:tr>
      <w:tr w:rsidR="008D47D9" w14:paraId="1FEAA151" w14:textId="77777777" w:rsidTr="00050ABC">
        <w:tc>
          <w:tcPr>
            <w:tcW w:w="1951" w:type="dxa"/>
          </w:tcPr>
          <w:p w14:paraId="1E4E33E8" w14:textId="77777777" w:rsidR="008D47D9" w:rsidRDefault="008D47D9" w:rsidP="00897CD7">
            <w:pPr>
              <w:jc w:val="both"/>
            </w:pPr>
            <w:r>
              <w:t>FDA</w:t>
            </w:r>
          </w:p>
        </w:tc>
        <w:tc>
          <w:tcPr>
            <w:tcW w:w="6769" w:type="dxa"/>
          </w:tcPr>
          <w:p w14:paraId="392A1EC1" w14:textId="77777777" w:rsidR="008D47D9" w:rsidRDefault="008D47D9" w:rsidP="00897CD7">
            <w:pPr>
              <w:jc w:val="both"/>
            </w:pPr>
            <w:r>
              <w:t>Food and Drug Administration (USA)</w:t>
            </w:r>
          </w:p>
        </w:tc>
      </w:tr>
      <w:tr w:rsidR="008D47D9" w14:paraId="21E0BA93" w14:textId="77777777" w:rsidTr="00050ABC">
        <w:tc>
          <w:tcPr>
            <w:tcW w:w="1951" w:type="dxa"/>
          </w:tcPr>
          <w:p w14:paraId="073B53AE" w14:textId="77777777" w:rsidR="008D47D9" w:rsidRDefault="008D47D9" w:rsidP="00897CD7">
            <w:pPr>
              <w:jc w:val="both"/>
            </w:pPr>
            <w:r>
              <w:t>Hb</w:t>
            </w:r>
          </w:p>
        </w:tc>
        <w:tc>
          <w:tcPr>
            <w:tcW w:w="6769" w:type="dxa"/>
          </w:tcPr>
          <w:p w14:paraId="0A05F6FB" w14:textId="77777777" w:rsidR="008D47D9" w:rsidRDefault="008D47D9" w:rsidP="00897CD7">
            <w:pPr>
              <w:jc w:val="both"/>
            </w:pPr>
            <w:r>
              <w:t>Haemoglobin</w:t>
            </w:r>
          </w:p>
        </w:tc>
      </w:tr>
      <w:tr w:rsidR="008D47D9" w14:paraId="52A70912" w14:textId="77777777" w:rsidTr="00050ABC">
        <w:tc>
          <w:tcPr>
            <w:tcW w:w="1951" w:type="dxa"/>
          </w:tcPr>
          <w:p w14:paraId="4E8EA96A" w14:textId="77777777" w:rsidR="008D47D9" w:rsidRDefault="008D47D9" w:rsidP="00AA5040">
            <w:pPr>
              <w:jc w:val="both"/>
            </w:pPr>
            <w:r>
              <w:t>ICH</w:t>
            </w:r>
          </w:p>
        </w:tc>
        <w:tc>
          <w:tcPr>
            <w:tcW w:w="6769" w:type="dxa"/>
          </w:tcPr>
          <w:p w14:paraId="52063188" w14:textId="77777777" w:rsidR="008D47D9" w:rsidRDefault="00AA5040" w:rsidP="00AA5040">
            <w:pPr>
              <w:ind w:left="0" w:firstLine="198"/>
              <w:jc w:val="both"/>
            </w:pPr>
            <w:r>
              <w:t>I</w:t>
            </w:r>
            <w:r w:rsidR="008D47D9">
              <w:t>nternatio</w:t>
            </w:r>
            <w:r>
              <w:t>nal Conference on Harmonisation</w:t>
            </w:r>
          </w:p>
        </w:tc>
      </w:tr>
      <w:tr w:rsidR="00250164" w14:paraId="7E78B5D8" w14:textId="77777777" w:rsidTr="00E9182B">
        <w:tc>
          <w:tcPr>
            <w:tcW w:w="1951" w:type="dxa"/>
          </w:tcPr>
          <w:p w14:paraId="75997FD2" w14:textId="29EED2D3" w:rsidR="00250164" w:rsidRDefault="00250164" w:rsidP="00AA5040">
            <w:pPr>
              <w:jc w:val="both"/>
            </w:pPr>
            <w:r>
              <w:t>Ig</w:t>
            </w:r>
          </w:p>
        </w:tc>
        <w:tc>
          <w:tcPr>
            <w:tcW w:w="6769" w:type="dxa"/>
          </w:tcPr>
          <w:p w14:paraId="1CC9A2D6" w14:textId="4A1AB501" w:rsidR="00250164" w:rsidRPr="00250164" w:rsidRDefault="00250164" w:rsidP="00050ABC">
            <w:pPr>
              <w:rPr>
                <w:color w:val="auto"/>
                <w:szCs w:val="22"/>
                <w:lang w:eastAsia="en-US"/>
              </w:rPr>
            </w:pPr>
            <w:r>
              <w:t>Immunoglobulin</w:t>
            </w:r>
          </w:p>
        </w:tc>
      </w:tr>
      <w:tr w:rsidR="008D47D9" w14:paraId="56160F0F" w14:textId="77777777" w:rsidTr="00050ABC">
        <w:tc>
          <w:tcPr>
            <w:tcW w:w="1951" w:type="dxa"/>
          </w:tcPr>
          <w:p w14:paraId="6D13C922" w14:textId="77777777" w:rsidR="008D47D9" w:rsidRDefault="008D47D9" w:rsidP="00897CD7">
            <w:pPr>
              <w:jc w:val="both"/>
            </w:pPr>
            <w:r>
              <w:t>IV</w:t>
            </w:r>
          </w:p>
        </w:tc>
        <w:tc>
          <w:tcPr>
            <w:tcW w:w="6769" w:type="dxa"/>
          </w:tcPr>
          <w:p w14:paraId="2B181623" w14:textId="77777777" w:rsidR="008D47D9" w:rsidRDefault="008D47D9" w:rsidP="00897CD7">
            <w:pPr>
              <w:jc w:val="both"/>
            </w:pPr>
            <w:r>
              <w:t>Intravenous</w:t>
            </w:r>
          </w:p>
        </w:tc>
      </w:tr>
      <w:tr w:rsidR="008D47D9" w14:paraId="3B754819" w14:textId="77777777" w:rsidTr="00050ABC">
        <w:tc>
          <w:tcPr>
            <w:tcW w:w="1951" w:type="dxa"/>
          </w:tcPr>
          <w:p w14:paraId="274CA431" w14:textId="77777777" w:rsidR="008D47D9" w:rsidRDefault="008D47D9" w:rsidP="00897CD7">
            <w:pPr>
              <w:jc w:val="both"/>
            </w:pPr>
            <w:r>
              <w:t>LDH</w:t>
            </w:r>
          </w:p>
        </w:tc>
        <w:tc>
          <w:tcPr>
            <w:tcW w:w="6769" w:type="dxa"/>
          </w:tcPr>
          <w:p w14:paraId="4243BB4D" w14:textId="77777777" w:rsidR="008D47D9" w:rsidRDefault="008D47D9" w:rsidP="00897CD7">
            <w:pPr>
              <w:jc w:val="both"/>
            </w:pPr>
            <w:r>
              <w:t>Lactate dehydrogenase</w:t>
            </w:r>
          </w:p>
        </w:tc>
      </w:tr>
      <w:tr w:rsidR="008D47D9" w14:paraId="56085C75" w14:textId="77777777" w:rsidTr="00050ABC">
        <w:tc>
          <w:tcPr>
            <w:tcW w:w="1951" w:type="dxa"/>
          </w:tcPr>
          <w:p w14:paraId="395F7056" w14:textId="77777777" w:rsidR="008D47D9" w:rsidRDefault="008D47D9" w:rsidP="00897CD7">
            <w:pPr>
              <w:jc w:val="both"/>
            </w:pPr>
            <w:r>
              <w:t>mAb</w:t>
            </w:r>
          </w:p>
        </w:tc>
        <w:tc>
          <w:tcPr>
            <w:tcW w:w="6769" w:type="dxa"/>
          </w:tcPr>
          <w:p w14:paraId="1D65660A" w14:textId="77777777" w:rsidR="008D47D9" w:rsidRDefault="008D47D9" w:rsidP="00897CD7">
            <w:pPr>
              <w:jc w:val="both"/>
            </w:pPr>
            <w:r>
              <w:t>Monoclonal antibody</w:t>
            </w:r>
          </w:p>
        </w:tc>
      </w:tr>
      <w:tr w:rsidR="00502C33" w14:paraId="02D416B9" w14:textId="77777777" w:rsidTr="00050ABC">
        <w:tc>
          <w:tcPr>
            <w:tcW w:w="1951" w:type="dxa"/>
          </w:tcPr>
          <w:p w14:paraId="72BD7D6B" w14:textId="1D78666A" w:rsidR="00502C33" w:rsidRDefault="00502C33" w:rsidP="00897CD7">
            <w:pPr>
              <w:jc w:val="both"/>
            </w:pPr>
            <w:r>
              <w:t>MAC</w:t>
            </w:r>
          </w:p>
        </w:tc>
        <w:tc>
          <w:tcPr>
            <w:tcW w:w="6769" w:type="dxa"/>
          </w:tcPr>
          <w:p w14:paraId="6A8170DF" w14:textId="2EFDB49F" w:rsidR="00502C33" w:rsidRDefault="00502C33" w:rsidP="00897CD7">
            <w:pPr>
              <w:jc w:val="both"/>
            </w:pPr>
            <w:r>
              <w:t>Membrane attacking complex</w:t>
            </w:r>
          </w:p>
        </w:tc>
      </w:tr>
      <w:tr w:rsidR="001F09A0" w14:paraId="7E03CF63" w14:textId="77777777" w:rsidTr="00E9182B">
        <w:tc>
          <w:tcPr>
            <w:tcW w:w="1951" w:type="dxa"/>
          </w:tcPr>
          <w:p w14:paraId="328101DF" w14:textId="7338142E" w:rsidR="001F09A0" w:rsidRDefault="001F09A0" w:rsidP="00897CD7">
            <w:pPr>
              <w:jc w:val="both"/>
            </w:pPr>
            <w:r>
              <w:t>MI</w:t>
            </w:r>
          </w:p>
        </w:tc>
        <w:tc>
          <w:tcPr>
            <w:tcW w:w="6769" w:type="dxa"/>
          </w:tcPr>
          <w:p w14:paraId="1A31A7EC" w14:textId="496B1548" w:rsidR="001F09A0" w:rsidRDefault="001F09A0" w:rsidP="00897CD7">
            <w:pPr>
              <w:jc w:val="both"/>
            </w:pPr>
            <w:r>
              <w:t>Meningococcal infection</w:t>
            </w:r>
          </w:p>
        </w:tc>
      </w:tr>
      <w:tr w:rsidR="008D47D9" w14:paraId="24486830" w14:textId="77777777" w:rsidTr="00050ABC">
        <w:tc>
          <w:tcPr>
            <w:tcW w:w="1951" w:type="dxa"/>
          </w:tcPr>
          <w:p w14:paraId="134A51EF" w14:textId="77777777" w:rsidR="008D47D9" w:rsidRDefault="008D47D9" w:rsidP="00897CD7">
            <w:pPr>
              <w:jc w:val="both"/>
            </w:pPr>
            <w:r>
              <w:t>OR</w:t>
            </w:r>
          </w:p>
        </w:tc>
        <w:tc>
          <w:tcPr>
            <w:tcW w:w="6769" w:type="dxa"/>
          </w:tcPr>
          <w:p w14:paraId="2536041C" w14:textId="77777777" w:rsidR="008D47D9" w:rsidRDefault="008D47D9" w:rsidP="00897CD7">
            <w:pPr>
              <w:jc w:val="both"/>
            </w:pPr>
            <w:r>
              <w:t>Odds ratio</w:t>
            </w:r>
          </w:p>
        </w:tc>
      </w:tr>
      <w:tr w:rsidR="008D47D9" w14:paraId="3D47732E" w14:textId="77777777" w:rsidTr="00050ABC">
        <w:tc>
          <w:tcPr>
            <w:tcW w:w="1951" w:type="dxa"/>
          </w:tcPr>
          <w:p w14:paraId="08D1ADE4" w14:textId="77777777" w:rsidR="008D47D9" w:rsidRDefault="008D47D9" w:rsidP="00897CD7">
            <w:pPr>
              <w:jc w:val="both"/>
            </w:pPr>
            <w:r>
              <w:t>PD</w:t>
            </w:r>
          </w:p>
        </w:tc>
        <w:tc>
          <w:tcPr>
            <w:tcW w:w="6769" w:type="dxa"/>
          </w:tcPr>
          <w:p w14:paraId="6F08BCFF" w14:textId="64ED29D0" w:rsidR="008D47D9" w:rsidRDefault="008D47D9" w:rsidP="00897CD7">
            <w:pPr>
              <w:jc w:val="both"/>
            </w:pPr>
            <w:r>
              <w:t>Pharmacodynamic</w:t>
            </w:r>
            <w:r w:rsidR="00094E78">
              <w:t>(</w:t>
            </w:r>
            <w:r>
              <w:t>s</w:t>
            </w:r>
            <w:r w:rsidR="00094E78">
              <w:t>)</w:t>
            </w:r>
          </w:p>
        </w:tc>
      </w:tr>
      <w:tr w:rsidR="00467E49" w14:paraId="0E1AE9E8" w14:textId="77777777" w:rsidTr="00050ABC">
        <w:tc>
          <w:tcPr>
            <w:tcW w:w="1951" w:type="dxa"/>
          </w:tcPr>
          <w:p w14:paraId="3D72DD0D" w14:textId="1B27DAB0" w:rsidR="00467E49" w:rsidRDefault="00467E49" w:rsidP="00467E49">
            <w:pPr>
              <w:jc w:val="both"/>
            </w:pPr>
            <w:r>
              <w:t>PI</w:t>
            </w:r>
          </w:p>
        </w:tc>
        <w:tc>
          <w:tcPr>
            <w:tcW w:w="6769" w:type="dxa"/>
          </w:tcPr>
          <w:p w14:paraId="7A970154" w14:textId="62FD5DC3" w:rsidR="00467E49" w:rsidRDefault="00467E49" w:rsidP="00467E49">
            <w:pPr>
              <w:jc w:val="both"/>
            </w:pPr>
            <w:r>
              <w:t>Product Information</w:t>
            </w:r>
          </w:p>
        </w:tc>
      </w:tr>
      <w:tr w:rsidR="00467E49" w14:paraId="7D3F1B59" w14:textId="77777777" w:rsidTr="00050ABC">
        <w:tc>
          <w:tcPr>
            <w:tcW w:w="1951" w:type="dxa"/>
          </w:tcPr>
          <w:p w14:paraId="791A7EF4" w14:textId="77777777" w:rsidR="00467E49" w:rsidRDefault="00467E49" w:rsidP="00467E49">
            <w:pPr>
              <w:jc w:val="both"/>
            </w:pPr>
            <w:r>
              <w:lastRenderedPageBreak/>
              <w:t>PK</w:t>
            </w:r>
          </w:p>
        </w:tc>
        <w:tc>
          <w:tcPr>
            <w:tcW w:w="6769" w:type="dxa"/>
          </w:tcPr>
          <w:p w14:paraId="08854F47" w14:textId="71B6878A" w:rsidR="00467E49" w:rsidRDefault="00467E49" w:rsidP="00467E49">
            <w:pPr>
              <w:jc w:val="both"/>
            </w:pPr>
            <w:r>
              <w:t>Pharmacokinetic</w:t>
            </w:r>
            <w:r w:rsidR="00094E78">
              <w:t>(</w:t>
            </w:r>
            <w:r>
              <w:t>s</w:t>
            </w:r>
            <w:r w:rsidR="00094E78">
              <w:t>)</w:t>
            </w:r>
          </w:p>
        </w:tc>
      </w:tr>
      <w:tr w:rsidR="00467E49" w14:paraId="0E7BA509" w14:textId="77777777" w:rsidTr="00050ABC">
        <w:tc>
          <w:tcPr>
            <w:tcW w:w="1951" w:type="dxa"/>
          </w:tcPr>
          <w:p w14:paraId="64DCF7E3" w14:textId="77777777" w:rsidR="00467E49" w:rsidRDefault="00467E49" w:rsidP="00467E49">
            <w:pPr>
              <w:jc w:val="both"/>
            </w:pPr>
            <w:r>
              <w:t>PNH</w:t>
            </w:r>
          </w:p>
        </w:tc>
        <w:tc>
          <w:tcPr>
            <w:tcW w:w="6769" w:type="dxa"/>
          </w:tcPr>
          <w:p w14:paraId="0C1EA3B9" w14:textId="77777777" w:rsidR="00467E49" w:rsidRDefault="00467E49" w:rsidP="00467E49">
            <w:pPr>
              <w:jc w:val="both"/>
            </w:pPr>
            <w:r>
              <w:t>Paroxysmal nocturnal haemoglobinuria</w:t>
            </w:r>
          </w:p>
        </w:tc>
      </w:tr>
      <w:tr w:rsidR="00250164" w14:paraId="5EA0DBC4" w14:textId="77777777" w:rsidTr="00E9182B">
        <w:tc>
          <w:tcPr>
            <w:tcW w:w="1951" w:type="dxa"/>
          </w:tcPr>
          <w:p w14:paraId="11810489" w14:textId="5C1BCD96" w:rsidR="00250164" w:rsidRDefault="00250164" w:rsidP="00467E49">
            <w:pPr>
              <w:jc w:val="both"/>
            </w:pPr>
            <w:r>
              <w:t>PSUR</w:t>
            </w:r>
          </w:p>
        </w:tc>
        <w:tc>
          <w:tcPr>
            <w:tcW w:w="6769" w:type="dxa"/>
          </w:tcPr>
          <w:p w14:paraId="1D97ABA7" w14:textId="31AAD619" w:rsidR="00250164" w:rsidRDefault="00250164" w:rsidP="00467E49">
            <w:pPr>
              <w:jc w:val="both"/>
            </w:pPr>
            <w:r>
              <w:t>Periodic safety update report</w:t>
            </w:r>
          </w:p>
        </w:tc>
      </w:tr>
      <w:tr w:rsidR="00467E49" w14:paraId="3044B71E" w14:textId="77777777" w:rsidTr="00050ABC">
        <w:tc>
          <w:tcPr>
            <w:tcW w:w="1951" w:type="dxa"/>
          </w:tcPr>
          <w:p w14:paraId="5ECF7E36" w14:textId="77777777" w:rsidR="00467E49" w:rsidRDefault="00467E49" w:rsidP="00467E49">
            <w:pPr>
              <w:jc w:val="both"/>
            </w:pPr>
            <w:r>
              <w:t>RBC</w:t>
            </w:r>
          </w:p>
        </w:tc>
        <w:tc>
          <w:tcPr>
            <w:tcW w:w="6769" w:type="dxa"/>
          </w:tcPr>
          <w:p w14:paraId="5929B655" w14:textId="77777777" w:rsidR="00467E49" w:rsidRDefault="00467E49" w:rsidP="00467E49">
            <w:pPr>
              <w:jc w:val="both"/>
            </w:pPr>
            <w:r>
              <w:t>Red blood cell</w:t>
            </w:r>
          </w:p>
        </w:tc>
      </w:tr>
      <w:tr w:rsidR="00250164" w14:paraId="063B8520" w14:textId="77777777" w:rsidTr="00E9182B">
        <w:tc>
          <w:tcPr>
            <w:tcW w:w="1951" w:type="dxa"/>
          </w:tcPr>
          <w:p w14:paraId="79DD4DFC" w14:textId="346ED3EC" w:rsidR="00250164" w:rsidRDefault="00250164" w:rsidP="00467E49">
            <w:pPr>
              <w:jc w:val="both"/>
            </w:pPr>
            <w:r>
              <w:t>RMP</w:t>
            </w:r>
          </w:p>
        </w:tc>
        <w:tc>
          <w:tcPr>
            <w:tcW w:w="6769" w:type="dxa"/>
          </w:tcPr>
          <w:p w14:paraId="3A05A945" w14:textId="1AC4E086" w:rsidR="00250164" w:rsidRDefault="00250164" w:rsidP="00467E49">
            <w:pPr>
              <w:jc w:val="both"/>
            </w:pPr>
            <w:r>
              <w:t>Risk management plan</w:t>
            </w:r>
          </w:p>
        </w:tc>
      </w:tr>
      <w:tr w:rsidR="00467E49" w14:paraId="52FA391A" w14:textId="77777777" w:rsidTr="00050ABC">
        <w:tc>
          <w:tcPr>
            <w:tcW w:w="1951" w:type="dxa"/>
          </w:tcPr>
          <w:p w14:paraId="2793CFEE" w14:textId="77777777" w:rsidR="00467E49" w:rsidRDefault="00467E49" w:rsidP="00467E49">
            <w:pPr>
              <w:jc w:val="both"/>
            </w:pPr>
            <w:r>
              <w:t>SmPC</w:t>
            </w:r>
          </w:p>
        </w:tc>
        <w:tc>
          <w:tcPr>
            <w:tcW w:w="6769" w:type="dxa"/>
          </w:tcPr>
          <w:p w14:paraId="6C9CB5E0" w14:textId="77777777" w:rsidR="00467E49" w:rsidRDefault="00467E49" w:rsidP="00467E49">
            <w:pPr>
              <w:jc w:val="both"/>
            </w:pPr>
            <w:r>
              <w:t>Summary Product Characteristics (EU)</w:t>
            </w:r>
          </w:p>
        </w:tc>
      </w:tr>
      <w:tr w:rsidR="00467E49" w14:paraId="127C5D72" w14:textId="77777777" w:rsidTr="00050ABC">
        <w:tc>
          <w:tcPr>
            <w:tcW w:w="1951" w:type="dxa"/>
          </w:tcPr>
          <w:p w14:paraId="646D757B" w14:textId="77777777" w:rsidR="00467E49" w:rsidRDefault="00467E49" w:rsidP="00467E49">
            <w:pPr>
              <w:jc w:val="both"/>
            </w:pPr>
            <w:r>
              <w:t>TA</w:t>
            </w:r>
          </w:p>
        </w:tc>
        <w:tc>
          <w:tcPr>
            <w:tcW w:w="6769" w:type="dxa"/>
          </w:tcPr>
          <w:p w14:paraId="5640E41F" w14:textId="77777777" w:rsidR="00467E49" w:rsidRDefault="00467E49" w:rsidP="00467E49">
            <w:pPr>
              <w:jc w:val="both"/>
            </w:pPr>
            <w:r>
              <w:t>Transfusion avoidance</w:t>
            </w:r>
          </w:p>
        </w:tc>
      </w:tr>
      <w:tr w:rsidR="00467E49" w14:paraId="3B2DDB1A" w14:textId="77777777" w:rsidTr="00050ABC">
        <w:tc>
          <w:tcPr>
            <w:tcW w:w="1951" w:type="dxa"/>
          </w:tcPr>
          <w:p w14:paraId="3037B5D9" w14:textId="77777777" w:rsidR="00467E49" w:rsidRDefault="00467E49" w:rsidP="00467E49">
            <w:pPr>
              <w:jc w:val="both"/>
            </w:pPr>
            <w:r>
              <w:t>ULN</w:t>
            </w:r>
          </w:p>
        </w:tc>
        <w:tc>
          <w:tcPr>
            <w:tcW w:w="6769" w:type="dxa"/>
          </w:tcPr>
          <w:p w14:paraId="64480D29" w14:textId="77777777" w:rsidR="00467E49" w:rsidRDefault="00467E49" w:rsidP="00467E49">
            <w:pPr>
              <w:jc w:val="both"/>
            </w:pPr>
            <w:r>
              <w:t>Upper limit of normal</w:t>
            </w:r>
          </w:p>
        </w:tc>
      </w:tr>
    </w:tbl>
    <w:p w14:paraId="53F079E4" w14:textId="77777777" w:rsidR="008E7846" w:rsidRDefault="00F53C07" w:rsidP="009B349D">
      <w:pPr>
        <w:pStyle w:val="Heading2"/>
        <w:pageBreakBefore/>
        <w:spacing w:before="0"/>
      </w:pPr>
      <w:bookmarkStart w:id="9" w:name="_Toc24611055"/>
      <w:r>
        <w:lastRenderedPageBreak/>
        <w:t>I.</w:t>
      </w:r>
      <w:r w:rsidR="008E7846">
        <w:t xml:space="preserve"> Introduction to product submission</w:t>
      </w:r>
      <w:bookmarkEnd w:id="9"/>
      <w:bookmarkEnd w:id="1"/>
      <w:bookmarkEnd w:id="3"/>
    </w:p>
    <w:p w14:paraId="4B810282" w14:textId="77777777" w:rsidR="008E7846" w:rsidRDefault="008E7846" w:rsidP="008E7846">
      <w:pPr>
        <w:pStyle w:val="Heading3"/>
        <w:rPr>
          <w:lang w:eastAsia="en-AU"/>
        </w:rPr>
      </w:pPr>
      <w:bookmarkStart w:id="10" w:name="_Toc247691502"/>
      <w:bookmarkStart w:id="11" w:name="_Toc314842483"/>
      <w:bookmarkStart w:id="12" w:name="_Toc2461105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3DDABDD" w14:textId="77777777" w:rsidTr="003735BC">
        <w:tc>
          <w:tcPr>
            <w:tcW w:w="2907" w:type="dxa"/>
          </w:tcPr>
          <w:p w14:paraId="2F4A1789"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875A23C" w14:textId="77777777" w:rsidR="008E7846" w:rsidRPr="003D1E62" w:rsidRDefault="00BA6D39" w:rsidP="00BA6D39">
            <w:r>
              <w:t xml:space="preserve">New </w:t>
            </w:r>
            <w:r w:rsidR="001B5C90">
              <w:t>c</w:t>
            </w:r>
            <w:r w:rsidR="008E7846" w:rsidRPr="003D1E62">
              <w:t xml:space="preserve">hemical </w:t>
            </w:r>
            <w:r w:rsidR="001B5C90">
              <w:t>e</w:t>
            </w:r>
            <w:r w:rsidR="008E7846" w:rsidRPr="003D1E62">
              <w:t>ntity</w:t>
            </w:r>
          </w:p>
        </w:tc>
      </w:tr>
      <w:tr w:rsidR="008E7846" w:rsidRPr="003D1E62" w14:paraId="0BADEC2D" w14:textId="77777777" w:rsidTr="003735BC">
        <w:tc>
          <w:tcPr>
            <w:tcW w:w="2907" w:type="dxa"/>
          </w:tcPr>
          <w:p w14:paraId="4A1735D8" w14:textId="77777777" w:rsidR="008E7846" w:rsidRPr="003D1E62" w:rsidRDefault="008E7846" w:rsidP="003D1E62">
            <w:r w:rsidRPr="003D1E62">
              <w:rPr>
                <w:i/>
              </w:rPr>
              <w:t>Decision</w:t>
            </w:r>
            <w:r w:rsidRPr="003D1E62">
              <w:t>:</w:t>
            </w:r>
          </w:p>
        </w:tc>
        <w:tc>
          <w:tcPr>
            <w:tcW w:w="6307" w:type="dxa"/>
          </w:tcPr>
          <w:p w14:paraId="77798345" w14:textId="77777777" w:rsidR="008E7846" w:rsidRPr="003D1E62" w:rsidRDefault="00BA6D39" w:rsidP="00BA6D39">
            <w:r>
              <w:t>Approved</w:t>
            </w:r>
          </w:p>
        </w:tc>
      </w:tr>
      <w:tr w:rsidR="002F3F55" w:rsidRPr="003D1E62" w14:paraId="23856F2A" w14:textId="77777777" w:rsidTr="003735BC">
        <w:tc>
          <w:tcPr>
            <w:tcW w:w="2907" w:type="dxa"/>
          </w:tcPr>
          <w:p w14:paraId="2A4A2270" w14:textId="77777777" w:rsidR="002F3F55" w:rsidRPr="003D1E62" w:rsidRDefault="002F3F55" w:rsidP="002F3F55">
            <w:pPr>
              <w:rPr>
                <w:i/>
              </w:rPr>
            </w:pPr>
            <w:r w:rsidRPr="003D1E62">
              <w:rPr>
                <w:i/>
              </w:rPr>
              <w:t xml:space="preserve">Date of </w:t>
            </w:r>
            <w:r>
              <w:rPr>
                <w:i/>
              </w:rPr>
              <w:t>d</w:t>
            </w:r>
            <w:r w:rsidRPr="003D1E62">
              <w:rPr>
                <w:i/>
              </w:rPr>
              <w:t>ecision:</w:t>
            </w:r>
          </w:p>
        </w:tc>
        <w:tc>
          <w:tcPr>
            <w:tcW w:w="6307" w:type="dxa"/>
          </w:tcPr>
          <w:p w14:paraId="7917DCFB" w14:textId="77777777" w:rsidR="002F3F55" w:rsidRPr="00F31157" w:rsidRDefault="002F3F55" w:rsidP="002F3F55">
            <w:r w:rsidRPr="00F31157">
              <w:t>8 October 2019</w:t>
            </w:r>
          </w:p>
        </w:tc>
      </w:tr>
      <w:tr w:rsidR="002F3F55" w:rsidRPr="003D1E62" w14:paraId="27A80575" w14:textId="77777777" w:rsidTr="003735BC">
        <w:tc>
          <w:tcPr>
            <w:tcW w:w="2907" w:type="dxa"/>
          </w:tcPr>
          <w:p w14:paraId="510659FA" w14:textId="77777777" w:rsidR="002F3F55" w:rsidRPr="00441C3F" w:rsidRDefault="002F3F55" w:rsidP="002F3F55">
            <w:pPr>
              <w:rPr>
                <w:i/>
              </w:rPr>
            </w:pPr>
            <w:r w:rsidRPr="00441C3F">
              <w:rPr>
                <w:i/>
              </w:rPr>
              <w:t>Date of entry onto ARTG</w:t>
            </w:r>
            <w:r>
              <w:rPr>
                <w:i/>
              </w:rPr>
              <w:t>:</w:t>
            </w:r>
          </w:p>
        </w:tc>
        <w:tc>
          <w:tcPr>
            <w:tcW w:w="6307" w:type="dxa"/>
          </w:tcPr>
          <w:p w14:paraId="7BB69CBD" w14:textId="77777777" w:rsidR="002F3F55" w:rsidRPr="00F31157" w:rsidRDefault="002F3F55" w:rsidP="002F3F55">
            <w:pPr>
              <w:rPr>
                <w:rFonts w:eastAsia="Calibri"/>
              </w:rPr>
            </w:pPr>
            <w:r>
              <w:rPr>
                <w:rFonts w:eastAsia="Calibri"/>
              </w:rPr>
              <w:t>17</w:t>
            </w:r>
            <w:r w:rsidRPr="00F31157">
              <w:rPr>
                <w:rFonts w:eastAsia="Calibri"/>
              </w:rPr>
              <w:t xml:space="preserve"> October 2019</w:t>
            </w:r>
          </w:p>
        </w:tc>
      </w:tr>
      <w:tr w:rsidR="002F3F55" w:rsidRPr="003D1E62" w14:paraId="583AD9CD" w14:textId="77777777" w:rsidTr="003735BC">
        <w:tc>
          <w:tcPr>
            <w:tcW w:w="2907" w:type="dxa"/>
          </w:tcPr>
          <w:p w14:paraId="73E62AA6" w14:textId="6CCF2026" w:rsidR="002F3F55" w:rsidRPr="00441C3F" w:rsidRDefault="002F3F55" w:rsidP="002F3F55">
            <w:pPr>
              <w:rPr>
                <w:i/>
              </w:rPr>
            </w:pPr>
            <w:r>
              <w:rPr>
                <w:i/>
              </w:rPr>
              <w:t>ARTG number:</w:t>
            </w:r>
          </w:p>
        </w:tc>
        <w:tc>
          <w:tcPr>
            <w:tcW w:w="6307" w:type="dxa"/>
          </w:tcPr>
          <w:p w14:paraId="5FFF17A4" w14:textId="77777777" w:rsidR="002F3F55" w:rsidRPr="00441C3F" w:rsidRDefault="002F3F55" w:rsidP="002F3F55">
            <w:r w:rsidRPr="00F31157">
              <w:rPr>
                <w:lang w:eastAsia="en-AU"/>
              </w:rPr>
              <w:t>311926</w:t>
            </w:r>
          </w:p>
        </w:tc>
      </w:tr>
      <w:tr w:rsidR="002F3F55" w:rsidRPr="003D1E62" w14:paraId="2D406CBC" w14:textId="77777777" w:rsidTr="003735BC">
        <w:tc>
          <w:tcPr>
            <w:tcW w:w="2907" w:type="dxa"/>
          </w:tcPr>
          <w:p w14:paraId="64C2648A" w14:textId="77777777" w:rsidR="002F3F55" w:rsidRDefault="002F3F55" w:rsidP="002F3F55">
            <w:pPr>
              <w:rPr>
                <w:i/>
              </w:rPr>
            </w:pPr>
            <w:r>
              <w:rPr>
                <w:rFonts w:ascii="Wingdings 3" w:hAnsi="Wingdings 3"/>
                <w:sz w:val="34"/>
                <w:szCs w:val="34"/>
                <w:lang w:eastAsia="en-AU"/>
              </w:rPr>
              <w:t></w:t>
            </w:r>
            <w:r w:rsidRPr="003735BC">
              <w:rPr>
                <w:i/>
              </w:rPr>
              <w:t>Black Triangle Scheme</w:t>
            </w:r>
          </w:p>
        </w:tc>
        <w:tc>
          <w:tcPr>
            <w:tcW w:w="6307" w:type="dxa"/>
          </w:tcPr>
          <w:p w14:paraId="1097DE86" w14:textId="77777777" w:rsidR="002F3F55" w:rsidRPr="00487162" w:rsidRDefault="002F3F55" w:rsidP="002F3F55">
            <w:r>
              <w:t>Yes. This product will remain in the scheme for 5 years, starting on the date the product is first supplied in Australia.</w:t>
            </w:r>
          </w:p>
        </w:tc>
      </w:tr>
      <w:tr w:rsidR="008E7846" w:rsidRPr="00487162" w14:paraId="7ACCAE87" w14:textId="77777777" w:rsidTr="00BF1190">
        <w:tc>
          <w:tcPr>
            <w:tcW w:w="2907" w:type="dxa"/>
          </w:tcPr>
          <w:p w14:paraId="1B9828AA" w14:textId="61113B9A" w:rsidR="008E7846" w:rsidRPr="00487162" w:rsidRDefault="001B5C90" w:rsidP="00E45619">
            <w:pPr>
              <w:rPr>
                <w:i/>
              </w:rPr>
            </w:pPr>
            <w:r>
              <w:rPr>
                <w:i/>
              </w:rPr>
              <w:t>Active ingredient:</w:t>
            </w:r>
          </w:p>
        </w:tc>
        <w:tc>
          <w:tcPr>
            <w:tcW w:w="6307" w:type="dxa"/>
          </w:tcPr>
          <w:p w14:paraId="375CB65C" w14:textId="77777777" w:rsidR="008E7846" w:rsidRPr="00487162" w:rsidRDefault="00BA6D39" w:rsidP="00E55CB0">
            <w:r>
              <w:t>Ravulizumab</w:t>
            </w:r>
          </w:p>
        </w:tc>
      </w:tr>
      <w:tr w:rsidR="008E7846" w:rsidRPr="00487162" w14:paraId="68DC0737" w14:textId="77777777" w:rsidTr="00BF1190">
        <w:tc>
          <w:tcPr>
            <w:tcW w:w="2907" w:type="dxa"/>
          </w:tcPr>
          <w:p w14:paraId="19505959" w14:textId="6D286F10" w:rsidR="008E7846" w:rsidRPr="00487162" w:rsidRDefault="008E7846" w:rsidP="001B5C90">
            <w:pPr>
              <w:rPr>
                <w:i/>
              </w:rPr>
            </w:pPr>
            <w:r w:rsidRPr="00487162">
              <w:rPr>
                <w:i/>
              </w:rPr>
              <w:t>Product</w:t>
            </w:r>
            <w:r w:rsidR="001B5C90">
              <w:rPr>
                <w:i/>
              </w:rPr>
              <w:t xml:space="preserve"> name:</w:t>
            </w:r>
          </w:p>
        </w:tc>
        <w:tc>
          <w:tcPr>
            <w:tcW w:w="6307" w:type="dxa"/>
          </w:tcPr>
          <w:p w14:paraId="3A8058D0" w14:textId="77777777" w:rsidR="008E7846" w:rsidRPr="00487162" w:rsidRDefault="00BA6D39" w:rsidP="00E45619">
            <w:r>
              <w:t>Ultomiris</w:t>
            </w:r>
          </w:p>
        </w:tc>
      </w:tr>
      <w:tr w:rsidR="008E7846" w:rsidRPr="00487162" w14:paraId="2B90D621" w14:textId="77777777" w:rsidTr="00BF1190">
        <w:tc>
          <w:tcPr>
            <w:tcW w:w="2907" w:type="dxa"/>
          </w:tcPr>
          <w:p w14:paraId="5C0DB92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584BD6D" w14:textId="77777777" w:rsidR="002F3F55" w:rsidRPr="00F31157" w:rsidRDefault="002F3F55" w:rsidP="002F3F55">
            <w:pPr>
              <w:rPr>
                <w:rFonts w:cs="Cambria"/>
                <w:lang w:eastAsia="en-AU"/>
              </w:rPr>
            </w:pPr>
            <w:r w:rsidRPr="00F31157">
              <w:rPr>
                <w:rFonts w:cs="Cambria"/>
                <w:lang w:eastAsia="en-AU"/>
              </w:rPr>
              <w:t>Alexion Pharmaceuticals Australasia Pty Ltd</w:t>
            </w:r>
          </w:p>
          <w:p w14:paraId="2063B12D" w14:textId="77777777" w:rsidR="008E7846" w:rsidRPr="00487162" w:rsidRDefault="002F3F55" w:rsidP="002F3F55">
            <w:r w:rsidRPr="00F31157">
              <w:rPr>
                <w:rFonts w:cs="Cambria"/>
                <w:lang w:eastAsia="en-AU"/>
              </w:rPr>
              <w:t>20 Rodborough Road,</w:t>
            </w:r>
            <w:r>
              <w:rPr>
                <w:rFonts w:cs="Cambria"/>
                <w:lang w:eastAsia="en-AU"/>
              </w:rPr>
              <w:t xml:space="preserve"> </w:t>
            </w:r>
            <w:r w:rsidRPr="00F31157">
              <w:rPr>
                <w:rFonts w:cs="Cambria"/>
                <w:lang w:eastAsia="en-AU"/>
              </w:rPr>
              <w:t>Frenchs Forest NSW 2086</w:t>
            </w:r>
          </w:p>
        </w:tc>
      </w:tr>
      <w:tr w:rsidR="008E7846" w:rsidRPr="00487162" w14:paraId="72B43CC7" w14:textId="77777777" w:rsidTr="00BF1190">
        <w:tc>
          <w:tcPr>
            <w:tcW w:w="2907" w:type="dxa"/>
          </w:tcPr>
          <w:p w14:paraId="6E736E1A" w14:textId="4339BD23" w:rsidR="008E7846" w:rsidRPr="00487162" w:rsidRDefault="001B5C90" w:rsidP="00E45619">
            <w:pPr>
              <w:rPr>
                <w:i/>
              </w:rPr>
            </w:pPr>
            <w:r>
              <w:rPr>
                <w:i/>
              </w:rPr>
              <w:t>Dose form:</w:t>
            </w:r>
          </w:p>
        </w:tc>
        <w:tc>
          <w:tcPr>
            <w:tcW w:w="6307" w:type="dxa"/>
          </w:tcPr>
          <w:p w14:paraId="5D53CB89" w14:textId="77777777" w:rsidR="008E7846" w:rsidRPr="00487162" w:rsidRDefault="002F3F55" w:rsidP="002F3F55">
            <w:r>
              <w:t xml:space="preserve">Injection, intravenous </w:t>
            </w:r>
            <w:r w:rsidR="00BA6D39">
              <w:t>solution</w:t>
            </w:r>
          </w:p>
        </w:tc>
      </w:tr>
      <w:tr w:rsidR="008E7846" w:rsidRPr="00487162" w14:paraId="55DB4AA1" w14:textId="77777777" w:rsidTr="00BF1190">
        <w:tc>
          <w:tcPr>
            <w:tcW w:w="2907" w:type="dxa"/>
          </w:tcPr>
          <w:p w14:paraId="078CA1B9" w14:textId="0123460F" w:rsidR="008E7846" w:rsidRPr="00487162" w:rsidRDefault="009B349D" w:rsidP="00E45619">
            <w:pPr>
              <w:rPr>
                <w:i/>
              </w:rPr>
            </w:pPr>
            <w:r>
              <w:rPr>
                <w:i/>
              </w:rPr>
              <w:t>Strength:</w:t>
            </w:r>
          </w:p>
        </w:tc>
        <w:tc>
          <w:tcPr>
            <w:tcW w:w="6307" w:type="dxa"/>
          </w:tcPr>
          <w:p w14:paraId="3924DA66" w14:textId="77777777" w:rsidR="008E7846" w:rsidRPr="00487162" w:rsidRDefault="00BA6D39" w:rsidP="00E45619">
            <w:r>
              <w:t>10 mg/mL</w:t>
            </w:r>
          </w:p>
        </w:tc>
      </w:tr>
      <w:tr w:rsidR="008E7846" w:rsidRPr="00487162" w14:paraId="4EB0E04B" w14:textId="77777777" w:rsidTr="00BF1190">
        <w:tc>
          <w:tcPr>
            <w:tcW w:w="2907" w:type="dxa"/>
          </w:tcPr>
          <w:p w14:paraId="58CAD894" w14:textId="0AE144BF" w:rsidR="008E7846" w:rsidRPr="00487162" w:rsidRDefault="008E7846" w:rsidP="00E45619">
            <w:pPr>
              <w:rPr>
                <w:i/>
              </w:rPr>
            </w:pPr>
            <w:r w:rsidRPr="00487162">
              <w:rPr>
                <w:i/>
              </w:rPr>
              <w:t>Container:</w:t>
            </w:r>
          </w:p>
        </w:tc>
        <w:tc>
          <w:tcPr>
            <w:tcW w:w="6307" w:type="dxa"/>
          </w:tcPr>
          <w:p w14:paraId="78E39AA7" w14:textId="77777777" w:rsidR="008E7846" w:rsidRPr="00487162" w:rsidRDefault="002F3F55" w:rsidP="00E45619">
            <w:r>
              <w:t>Vial</w:t>
            </w:r>
          </w:p>
        </w:tc>
      </w:tr>
      <w:tr w:rsidR="008E7846" w:rsidRPr="00487162" w14:paraId="6A5CF77D" w14:textId="77777777" w:rsidTr="00BF1190">
        <w:tc>
          <w:tcPr>
            <w:tcW w:w="2907" w:type="dxa"/>
          </w:tcPr>
          <w:p w14:paraId="72997F2D" w14:textId="7F17079C" w:rsidR="008E7846" w:rsidRPr="00487162" w:rsidRDefault="008E7846" w:rsidP="00E45619">
            <w:pPr>
              <w:rPr>
                <w:i/>
              </w:rPr>
            </w:pPr>
            <w:r w:rsidRPr="00487162">
              <w:rPr>
                <w:i/>
              </w:rPr>
              <w:t>Pack size:</w:t>
            </w:r>
          </w:p>
        </w:tc>
        <w:tc>
          <w:tcPr>
            <w:tcW w:w="6307" w:type="dxa"/>
          </w:tcPr>
          <w:p w14:paraId="05B0CAB3" w14:textId="77777777" w:rsidR="008E7846" w:rsidRPr="00487162" w:rsidRDefault="002F3F55" w:rsidP="00E45619">
            <w:r>
              <w:t>1</w:t>
            </w:r>
          </w:p>
        </w:tc>
      </w:tr>
      <w:tr w:rsidR="008E7846" w:rsidRPr="00487162" w14:paraId="419436AC" w14:textId="77777777" w:rsidTr="00BF1190">
        <w:tc>
          <w:tcPr>
            <w:tcW w:w="2907" w:type="dxa"/>
          </w:tcPr>
          <w:p w14:paraId="0B8F54A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4B0114B" w14:textId="77777777" w:rsidR="008E7846" w:rsidRPr="00487162" w:rsidRDefault="002F3F55" w:rsidP="00E45619">
            <w:pPr>
              <w:rPr>
                <w:rFonts w:eastAsia="MS Mincho"/>
                <w:lang w:eastAsia="ja-JP"/>
              </w:rPr>
            </w:pPr>
            <w:r w:rsidRPr="00F31157">
              <w:rPr>
                <w:i/>
                <w:lang w:eastAsia="en-AU"/>
              </w:rPr>
              <w:t>Ultomiris is indicated for the treatment of adult patients with paroxysmal nocturnal haemoglobinuria (PNH).</w:t>
            </w:r>
          </w:p>
        </w:tc>
      </w:tr>
      <w:tr w:rsidR="008E7846" w:rsidRPr="00487162" w14:paraId="4B09ABE2" w14:textId="77777777" w:rsidTr="00BF1190">
        <w:tc>
          <w:tcPr>
            <w:tcW w:w="2907" w:type="dxa"/>
          </w:tcPr>
          <w:p w14:paraId="6E0248D0" w14:textId="318BDCAA" w:rsidR="008E7846" w:rsidRPr="00487162" w:rsidRDefault="008E7846" w:rsidP="00E45619">
            <w:pPr>
              <w:rPr>
                <w:i/>
              </w:rPr>
            </w:pPr>
            <w:r w:rsidRPr="00487162">
              <w:rPr>
                <w:i/>
              </w:rPr>
              <w:t>Route of administration:</w:t>
            </w:r>
          </w:p>
        </w:tc>
        <w:tc>
          <w:tcPr>
            <w:tcW w:w="6307" w:type="dxa"/>
          </w:tcPr>
          <w:p w14:paraId="68B035B7" w14:textId="77777777" w:rsidR="008E7846" w:rsidRPr="00487162" w:rsidRDefault="002F3F55" w:rsidP="00E45619">
            <w:r>
              <w:t>Intravenous (IV)</w:t>
            </w:r>
          </w:p>
        </w:tc>
      </w:tr>
      <w:tr w:rsidR="008E7846" w:rsidRPr="00487162" w14:paraId="1E6852B7" w14:textId="77777777" w:rsidTr="00BF1190">
        <w:tc>
          <w:tcPr>
            <w:tcW w:w="2907" w:type="dxa"/>
          </w:tcPr>
          <w:p w14:paraId="4D13E759" w14:textId="77777777" w:rsidR="008E7846" w:rsidRPr="00487162" w:rsidRDefault="008E7846" w:rsidP="00E45619">
            <w:pPr>
              <w:rPr>
                <w:i/>
              </w:rPr>
            </w:pPr>
            <w:r w:rsidRPr="00487162">
              <w:rPr>
                <w:i/>
              </w:rPr>
              <w:t>Dosage:</w:t>
            </w:r>
          </w:p>
        </w:tc>
        <w:tc>
          <w:tcPr>
            <w:tcW w:w="6307" w:type="dxa"/>
          </w:tcPr>
          <w:p w14:paraId="0F9F30E7" w14:textId="77777777" w:rsidR="002F3F55" w:rsidRPr="00F31157" w:rsidRDefault="002F3F55" w:rsidP="002F3F55">
            <w:r w:rsidRPr="00F31157">
              <w:t xml:space="preserve">The recommended dosing regimen for adult patients (≥ 18 years of age) with </w:t>
            </w:r>
            <w:r>
              <w:t>paroxysmal nocturnal haemoglobinuria (</w:t>
            </w:r>
            <w:r w:rsidRPr="00F31157">
              <w:t>PNH</w:t>
            </w:r>
            <w:r>
              <w:t>)</w:t>
            </w:r>
            <w:r w:rsidRPr="00F31157">
              <w:t xml:space="preserve"> consists of a loading dose followed by maintenance dosing, administered by intravenous infusion. The doses to be administered are based on the patient’s body weight.</w:t>
            </w:r>
            <w:r>
              <w:t xml:space="preserve"> Maintenance doses should be administered at a once every 8 week interval, starting 2 weeks after loading dose administration.</w:t>
            </w:r>
          </w:p>
          <w:p w14:paraId="6923D326" w14:textId="77777777" w:rsidR="008E7846" w:rsidRPr="00487162" w:rsidRDefault="002F3F55" w:rsidP="002F3F55">
            <w:r w:rsidRPr="004863D0">
              <w:t>For further information refer to the Product Information</w:t>
            </w:r>
          </w:p>
        </w:tc>
      </w:tr>
    </w:tbl>
    <w:p w14:paraId="2339FE44" w14:textId="77777777" w:rsidR="008E7846" w:rsidRDefault="008E7846" w:rsidP="009B349D">
      <w:pPr>
        <w:pStyle w:val="Heading3"/>
      </w:pPr>
      <w:bookmarkStart w:id="13" w:name="_Toc247691503"/>
      <w:bookmarkStart w:id="14" w:name="_Toc314842484"/>
      <w:bookmarkStart w:id="15" w:name="_Toc24611057"/>
      <w:r>
        <w:lastRenderedPageBreak/>
        <w:t>Product background</w:t>
      </w:r>
      <w:bookmarkEnd w:id="13"/>
      <w:bookmarkEnd w:id="14"/>
      <w:bookmarkEnd w:id="15"/>
    </w:p>
    <w:p w14:paraId="02DC2AA2" w14:textId="275F002A" w:rsidR="008E7846" w:rsidRDefault="00940A89" w:rsidP="009B349D">
      <w:pPr>
        <w:keepNext/>
      </w:pPr>
      <w:r w:rsidRPr="00940A89">
        <w:t xml:space="preserve">This AusPAR describes the application by </w:t>
      </w:r>
      <w:r w:rsidR="00094E78">
        <w:t>Alexion Pharmaceuticals Austrasia Pty Ltd (</w:t>
      </w:r>
      <w:r w:rsidRPr="00940A89">
        <w:t>the</w:t>
      </w:r>
      <w:r w:rsidR="00094E78">
        <w:t> </w:t>
      </w:r>
      <w:r w:rsidRPr="00940A89">
        <w:t>sponsor</w:t>
      </w:r>
      <w:r w:rsidR="00094E78">
        <w:t>)</w:t>
      </w:r>
      <w:r w:rsidRPr="00940A89">
        <w:t xml:space="preserve"> to register </w:t>
      </w:r>
      <w:r w:rsidR="008D47D9">
        <w:t>the new biological entity ravulizumab as Ultomiris f</w:t>
      </w:r>
      <w:r w:rsidRPr="00940A89">
        <w:t>or the following indication</w:t>
      </w:r>
      <w:r w:rsidR="008D47D9">
        <w:t>:</w:t>
      </w:r>
    </w:p>
    <w:p w14:paraId="535C379B" w14:textId="77777777" w:rsidR="00BA6D39" w:rsidRPr="008D47D9" w:rsidRDefault="00BA6D39" w:rsidP="008D47D9">
      <w:pPr>
        <w:ind w:left="720"/>
        <w:rPr>
          <w:i/>
        </w:rPr>
      </w:pPr>
      <w:r w:rsidRPr="008D47D9">
        <w:rPr>
          <w:i/>
        </w:rPr>
        <w:t>Ultomiris is indicated for the treatment of adult patients with paroxysmal nocturnal haemoglobinuria (PNH).</w:t>
      </w:r>
    </w:p>
    <w:p w14:paraId="13CE1C57" w14:textId="77777777" w:rsidR="008D47D9" w:rsidRDefault="008D47D9" w:rsidP="00940A89">
      <w:r>
        <w:t>The sponsor has proposed the follo</w:t>
      </w:r>
      <w:r w:rsidR="00897CD7">
        <w:t>wing dosage and administration:</w:t>
      </w:r>
    </w:p>
    <w:p w14:paraId="6521F6B7" w14:textId="4FC77F0E" w:rsidR="00940A89" w:rsidRDefault="00467E49" w:rsidP="00897CD7">
      <w:pPr>
        <w:ind w:left="720"/>
      </w:pPr>
      <w:r>
        <w:t>W</w:t>
      </w:r>
      <w:r w:rsidR="00BA6D39">
        <w:t>eight based loading and maint</w:t>
      </w:r>
      <w:r w:rsidR="00897CD7">
        <w:t>ena</w:t>
      </w:r>
      <w:r w:rsidR="00BA6D39">
        <w:t>nce doses. The maintenance doses are administered at 8-weekly intervals commencing 2 weeks after the loading dose.</w:t>
      </w:r>
    </w:p>
    <w:p w14:paraId="6302C4C3" w14:textId="328F7214" w:rsidR="00E90163" w:rsidRPr="00E90163" w:rsidRDefault="00E90163" w:rsidP="00E90163">
      <w:r w:rsidRPr="00E90163">
        <w:t>Paroxysmal nocturnal hemoglobinuria (PNH) is a chronic, progressive, debilitating and life</w:t>
      </w:r>
      <w:r w:rsidR="00502C33">
        <w:t> </w:t>
      </w:r>
      <w:r w:rsidRPr="00E90163">
        <w:t xml:space="preserve">threatening ultra-rare blood disorder </w:t>
      </w:r>
      <w:r w:rsidR="00502C33" w:rsidRPr="00E90163">
        <w:t>characteri</w:t>
      </w:r>
      <w:r w:rsidR="00502C33">
        <w:t>s</w:t>
      </w:r>
      <w:r w:rsidR="00502C33" w:rsidRPr="00E90163">
        <w:t xml:space="preserve">ed </w:t>
      </w:r>
      <w:r w:rsidRPr="00E90163">
        <w:t>by h</w:t>
      </w:r>
      <w:r>
        <w:t>a</w:t>
      </w:r>
      <w:r w:rsidRPr="00E90163">
        <w:t>emolysis (destruction of red blood cells</w:t>
      </w:r>
      <w:r w:rsidR="00502C33">
        <w:t xml:space="preserve"> (RBC)</w:t>
      </w:r>
      <w:r w:rsidRPr="00E90163">
        <w:t>) that is mediated by the uncontrolled activation of the complement system, a component of the body’s immune system</w:t>
      </w:r>
      <w:r>
        <w:t>.</w:t>
      </w:r>
    </w:p>
    <w:p w14:paraId="7C435776" w14:textId="56D6AC19" w:rsidR="00897CD7" w:rsidRDefault="00897CD7" w:rsidP="00897CD7">
      <w:r w:rsidRPr="001A725C">
        <w:t xml:space="preserve">Ravulizumab </w:t>
      </w:r>
      <w:r>
        <w:rPr>
          <w:rFonts w:asciiTheme="minorHAnsi" w:hAnsiTheme="minorHAnsi"/>
        </w:rPr>
        <w:t xml:space="preserve">a humanised antibody </w:t>
      </w:r>
      <w:r w:rsidRPr="001A725C">
        <w:t xml:space="preserve">that specifically binds to the complement </w:t>
      </w:r>
      <w:r w:rsidR="00502C33">
        <w:t>component 5</w:t>
      </w:r>
      <w:r w:rsidR="00502C33" w:rsidRPr="001A725C">
        <w:t xml:space="preserve"> </w:t>
      </w:r>
      <w:r w:rsidR="00502C33">
        <w:t>(</w:t>
      </w:r>
      <w:r w:rsidRPr="001A725C">
        <w:t>C5</w:t>
      </w:r>
      <w:r w:rsidR="00502C33">
        <w:t>)</w:t>
      </w:r>
      <w:r w:rsidRPr="001A725C">
        <w:t xml:space="preserve"> with high affinity, thereby inhibiting its cleavage to </w:t>
      </w:r>
      <w:r w:rsidR="00502C33">
        <w:t>complement component 5a (</w:t>
      </w:r>
      <w:r w:rsidRPr="001A725C">
        <w:t>C5a</w:t>
      </w:r>
      <w:r w:rsidR="00502C33">
        <w:t xml:space="preserve">; </w:t>
      </w:r>
      <w:r w:rsidRPr="001A725C">
        <w:t xml:space="preserve">the pro-inflammatory anaphylatoxin) and </w:t>
      </w:r>
      <w:r w:rsidR="00502C33">
        <w:t>complement component 5b (</w:t>
      </w:r>
      <w:r w:rsidRPr="001A725C">
        <w:t>C5b</w:t>
      </w:r>
      <w:r w:rsidR="00502C33">
        <w:t xml:space="preserve">; </w:t>
      </w:r>
      <w:r w:rsidRPr="001A725C">
        <w:t xml:space="preserve">the initiating subunit of the terminal complement complex </w:t>
      </w:r>
      <w:r w:rsidR="00502C33">
        <w:t>(</w:t>
      </w:r>
      <w:r w:rsidRPr="001A725C">
        <w:t>C5b-9, also known as the membrane attack complex (MAC)</w:t>
      </w:r>
      <w:r w:rsidR="00502C33">
        <w:t>)</w:t>
      </w:r>
      <w:r w:rsidRPr="001A725C">
        <w:t>) preventing the generation of the C5b-9 or MAC</w:t>
      </w:r>
      <w:r w:rsidR="00E90163">
        <w:t xml:space="preserve"> (see Figure 1 for details)</w:t>
      </w:r>
      <w:r w:rsidRPr="001A725C">
        <w:t>. By binding specifically to C5, ravulizumab antagonises terminal complement-mediated inflammation, cell activation and cell lysis while preserving the early components of complement activation that are essential for opsonisation of microorganisms and clearance of immune complexes.</w:t>
      </w:r>
    </w:p>
    <w:p w14:paraId="48E02359" w14:textId="77777777" w:rsidR="00337DE0" w:rsidRPr="00CB2017" w:rsidRDefault="00337DE0" w:rsidP="00337DE0">
      <w:pPr>
        <w:pStyle w:val="FigureTitle"/>
      </w:pPr>
      <w:r w:rsidRPr="00CB2017">
        <w:lastRenderedPageBreak/>
        <w:t>Figure 1: Diagrammatic presentatio</w:t>
      </w:r>
      <w:r>
        <w:t>n of the effect of ravulizumab</w:t>
      </w:r>
    </w:p>
    <w:p w14:paraId="59B8DE41" w14:textId="77777777" w:rsidR="00337DE0" w:rsidRDefault="00337DE0" w:rsidP="00337DE0">
      <w:pPr>
        <w:spacing w:before="0" w:after="0" w:line="240" w:lineRule="auto"/>
        <w:rPr>
          <w:rFonts w:asciiTheme="minorHAnsi" w:hAnsiTheme="minorHAnsi"/>
        </w:rPr>
      </w:pPr>
      <w:r>
        <w:rPr>
          <w:rFonts w:asciiTheme="minorHAnsi" w:hAnsiTheme="minorHAnsi"/>
          <w:noProof/>
          <w:lang w:eastAsia="en-AU"/>
        </w:rPr>
        <w:drawing>
          <wp:inline distT="0" distB="0" distL="0" distR="0" wp14:anchorId="2433440C" wp14:editId="429AB5A4">
            <wp:extent cx="3430928" cy="5034012"/>
            <wp:effectExtent l="19050" t="19050" r="17145" b="14605"/>
            <wp:docPr id="9" name="Picture 9" descr="Figure 1: Diagrammatic presentation of the effect of Ravulizumab (Page 38 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3452893" cy="5066240"/>
                    </a:xfrm>
                    <a:prstGeom prst="rect">
                      <a:avLst/>
                    </a:prstGeom>
                    <a:noFill/>
                    <a:ln>
                      <a:solidFill>
                        <a:schemeClr val="accent1"/>
                      </a:solidFill>
                    </a:ln>
                  </pic:spPr>
                </pic:pic>
              </a:graphicData>
            </a:graphic>
          </wp:inline>
        </w:drawing>
      </w:r>
    </w:p>
    <w:p w14:paraId="3E7F35EA" w14:textId="4F7220D0" w:rsidR="00E90163" w:rsidRDefault="00897CD7" w:rsidP="00897CD7">
      <w:pPr>
        <w:spacing w:before="0" w:after="0" w:line="240" w:lineRule="auto"/>
      </w:pPr>
      <w:r>
        <w:rPr>
          <w:rFonts w:asciiTheme="minorHAnsi" w:hAnsiTheme="minorHAnsi"/>
        </w:rPr>
        <w:t xml:space="preserve">This </w:t>
      </w:r>
      <w:r w:rsidR="00E90163">
        <w:rPr>
          <w:rFonts w:asciiTheme="minorHAnsi" w:hAnsiTheme="minorHAnsi"/>
        </w:rPr>
        <w:t xml:space="preserve">action </w:t>
      </w:r>
      <w:r>
        <w:rPr>
          <w:rFonts w:asciiTheme="minorHAnsi" w:hAnsiTheme="minorHAnsi"/>
        </w:rPr>
        <w:t>reduces complement mediated haemolysis in PNH as the disease is characterised by a lack of complement inhibitors (</w:t>
      </w:r>
      <w:r w:rsidR="00502C33">
        <w:rPr>
          <w:rFonts w:asciiTheme="minorHAnsi" w:hAnsiTheme="minorHAnsi"/>
        </w:rPr>
        <w:t>complement delay accelerating factor (</w:t>
      </w:r>
      <w:r>
        <w:rPr>
          <w:rFonts w:asciiTheme="minorHAnsi" w:hAnsiTheme="minorHAnsi"/>
        </w:rPr>
        <w:t>CD55</w:t>
      </w:r>
      <w:r w:rsidR="00502C33">
        <w:rPr>
          <w:rFonts w:asciiTheme="minorHAnsi" w:hAnsiTheme="minorHAnsi"/>
        </w:rPr>
        <w:t>)</w:t>
      </w:r>
      <w:r>
        <w:rPr>
          <w:rFonts w:asciiTheme="minorHAnsi" w:hAnsiTheme="minorHAnsi"/>
        </w:rPr>
        <w:t xml:space="preserve"> and </w:t>
      </w:r>
      <w:r w:rsidR="00502C33">
        <w:rPr>
          <w:rFonts w:asciiTheme="minorHAnsi" w:hAnsiTheme="minorHAnsi"/>
        </w:rPr>
        <w:t>MAC inhibitory protein (</w:t>
      </w:r>
      <w:r>
        <w:rPr>
          <w:rFonts w:asciiTheme="minorHAnsi" w:hAnsiTheme="minorHAnsi"/>
        </w:rPr>
        <w:t>CD59</w:t>
      </w:r>
      <w:r w:rsidR="00502C33">
        <w:rPr>
          <w:rFonts w:asciiTheme="minorHAnsi" w:hAnsiTheme="minorHAnsi"/>
        </w:rPr>
        <w:t>)</w:t>
      </w:r>
      <w:r>
        <w:rPr>
          <w:rFonts w:asciiTheme="minorHAnsi" w:hAnsiTheme="minorHAnsi"/>
        </w:rPr>
        <w:t xml:space="preserve">) on cell surfaces and provides the clinical rationale </w:t>
      </w:r>
      <w:r w:rsidRPr="001A725C">
        <w:t>for the use of Ultomiris in PNH.</w:t>
      </w:r>
    </w:p>
    <w:p w14:paraId="31442927" w14:textId="77777777" w:rsidR="00897CD7" w:rsidRPr="00337DE0" w:rsidRDefault="00897CD7" w:rsidP="00897CD7">
      <w:r w:rsidRPr="001A725C">
        <w:t xml:space="preserve">Ravulizumab was specifically engineered to dissociate from C5 and associate with human </w:t>
      </w:r>
      <w:r w:rsidRPr="00337DE0">
        <w:t>neonatal Fc receptor (FcRn) at pH 6.0 (while minimising the impact in binding to C5 in intravascular space where the normal pH is 7.4). As a result, dissociation of antibody:C5 complexes in the acidified environment of the early endosome after pinocytosis is increased. Therefore, free antibody is recycled from the early endosome back into the vascular compartment by FcRn, resul</w:t>
      </w:r>
      <w:r w:rsidR="00E90163" w:rsidRPr="00337DE0">
        <w:t>ting in an extended ravulizumab</w:t>
      </w:r>
      <w:r w:rsidRPr="00337DE0">
        <w:t xml:space="preserve"> terminal elimination half-life.</w:t>
      </w:r>
    </w:p>
    <w:p w14:paraId="67E35789" w14:textId="77777777" w:rsidR="00450AE5" w:rsidRDefault="00AA5040" w:rsidP="00897CD7">
      <w:r>
        <w:t>The mechanism of action of r</w:t>
      </w:r>
      <w:r w:rsidR="00BA6D39">
        <w:t xml:space="preserve">avulizumab is similar to </w:t>
      </w:r>
      <w:r w:rsidR="00897CD7">
        <w:t>e</w:t>
      </w:r>
      <w:r w:rsidR="00BA6D39">
        <w:t>culizumab, an antibody which also binds to C5 to prevent activation of the complement cascade.</w:t>
      </w:r>
      <w:r w:rsidR="00897CD7">
        <w:t xml:space="preserve"> </w:t>
      </w:r>
      <w:r w:rsidR="00BA6D39">
        <w:t xml:space="preserve">Eculizumab </w:t>
      </w:r>
      <w:r w:rsidR="00450AE5">
        <w:rPr>
          <w:rFonts w:asciiTheme="minorHAnsi" w:hAnsiTheme="minorHAnsi"/>
          <w:lang w:val="en-GB"/>
        </w:rPr>
        <w:t>(</w:t>
      </w:r>
      <w:r w:rsidR="00450AE5" w:rsidRPr="00DF5865">
        <w:rPr>
          <w:rFonts w:asciiTheme="minorHAnsi" w:hAnsiTheme="minorHAnsi"/>
          <w:lang w:val="en-GB"/>
        </w:rPr>
        <w:t>Soliri</w:t>
      </w:r>
      <w:r w:rsidR="00450AE5">
        <w:rPr>
          <w:rFonts w:asciiTheme="minorHAnsi" w:hAnsiTheme="minorHAnsi"/>
          <w:lang w:val="en-GB"/>
        </w:rPr>
        <w:t xml:space="preserve">s) </w:t>
      </w:r>
      <w:r w:rsidR="00BA6D39">
        <w:t>is currently the only specific treatment fo</w:t>
      </w:r>
      <w:r w:rsidR="00450AE5">
        <w:t>r PNH on the Australian market.</w:t>
      </w:r>
      <w:r w:rsidR="00450AE5" w:rsidRPr="00450AE5">
        <w:rPr>
          <w:rFonts w:asciiTheme="minorHAnsi" w:hAnsiTheme="minorHAnsi"/>
          <w:lang w:val="en-GB"/>
        </w:rPr>
        <w:t xml:space="preserve"> </w:t>
      </w:r>
      <w:r w:rsidR="00450AE5">
        <w:rPr>
          <w:rFonts w:asciiTheme="minorHAnsi" w:hAnsiTheme="minorHAnsi"/>
          <w:lang w:val="en-GB"/>
        </w:rPr>
        <w:t>E</w:t>
      </w:r>
      <w:r w:rsidR="00450AE5" w:rsidRPr="00DF5865">
        <w:rPr>
          <w:rFonts w:asciiTheme="minorHAnsi" w:hAnsiTheme="minorHAnsi"/>
          <w:lang w:val="en-GB"/>
        </w:rPr>
        <w:t>culizumab treatment requires frequent (biweekly) infusions</w:t>
      </w:r>
      <w:r w:rsidR="00450AE5">
        <w:rPr>
          <w:rFonts w:asciiTheme="minorHAnsi" w:hAnsiTheme="minorHAnsi"/>
          <w:lang w:val="en-GB"/>
        </w:rPr>
        <w:t xml:space="preserve"> which imposes a significant burden on patients.</w:t>
      </w:r>
    </w:p>
    <w:p w14:paraId="17A22094" w14:textId="5A201327" w:rsidR="00BA6D39" w:rsidRDefault="00BA6D39" w:rsidP="00897CD7">
      <w:r>
        <w:t>The efficacy trials in this submission are non</w:t>
      </w:r>
      <w:r>
        <w:noBreakHyphen/>
        <w:t xml:space="preserve">inferiority comparisons against </w:t>
      </w:r>
      <w:r w:rsidR="00250164">
        <w:t>e</w:t>
      </w:r>
      <w:r>
        <w:t>culizumab.</w:t>
      </w:r>
    </w:p>
    <w:p w14:paraId="41C88044" w14:textId="77777777" w:rsidR="008E7846" w:rsidRPr="003F31A2" w:rsidRDefault="00386150" w:rsidP="008E7846">
      <w:pPr>
        <w:pStyle w:val="Heading3"/>
      </w:pPr>
      <w:bookmarkStart w:id="16" w:name="_Toc314842485"/>
      <w:bookmarkStart w:id="17" w:name="_Toc247691504"/>
      <w:bookmarkStart w:id="18" w:name="_Toc24611058"/>
      <w:r>
        <w:lastRenderedPageBreak/>
        <w:t>Regulatory s</w:t>
      </w:r>
      <w:r w:rsidR="008E7846">
        <w:t>tatus</w:t>
      </w:r>
      <w:bookmarkEnd w:id="16"/>
      <w:bookmarkEnd w:id="17"/>
      <w:bookmarkEnd w:id="18"/>
    </w:p>
    <w:p w14:paraId="43ED9AE0" w14:textId="77777777" w:rsidR="00940A89" w:rsidRDefault="00940A89" w:rsidP="00940A89">
      <w:bookmarkStart w:id="19" w:name="_Toc247691505"/>
      <w:bookmarkStart w:id="20" w:name="_Toc314842486"/>
      <w:r w:rsidRPr="00940A89">
        <w:t>Th</w:t>
      </w:r>
      <w:r w:rsidR="00BA6D39">
        <w:t>is is an application for a new chemical entity for Australian regulatory purposes.</w:t>
      </w:r>
    </w:p>
    <w:p w14:paraId="0D5B6BFA" w14:textId="0C4A93AF" w:rsidR="00BA6D39" w:rsidRDefault="00BA6D39" w:rsidP="00BA6D39">
      <w:r>
        <w:t xml:space="preserve">Ravulizumab was approved for registration </w:t>
      </w:r>
      <w:r w:rsidR="00897CD7">
        <w:t>by the European Medicines Agency (</w:t>
      </w:r>
      <w:r>
        <w:t>EMA</w:t>
      </w:r>
      <w:r w:rsidR="00897CD7">
        <w:t>)</w:t>
      </w:r>
      <w:r>
        <w:t xml:space="preserve"> in mid-2019, after the commencement of the Australian evaluation, and was approved for registration in the USA in December 2018. The EMA approval is conditional on the provision of the completed trials</w:t>
      </w:r>
      <w:r w:rsidR="00B76D05">
        <w:t>, Studies</w:t>
      </w:r>
      <w:r>
        <w:t xml:space="preserve"> ALXN-1210-PHN-301 and 302</w:t>
      </w:r>
      <w:r w:rsidR="00250164">
        <w:t xml:space="preserve"> (referred to as Studies 301 and 302 respectively in this document)</w:t>
      </w:r>
      <w:r>
        <w:t>.</w:t>
      </w:r>
    </w:p>
    <w:p w14:paraId="074A1F2E" w14:textId="77777777" w:rsidR="008E7846" w:rsidRDefault="008E7846" w:rsidP="00940A89">
      <w:pPr>
        <w:pStyle w:val="Heading3"/>
      </w:pPr>
      <w:bookmarkStart w:id="21" w:name="_Toc24611059"/>
      <w:r>
        <w:t>Product Information</w:t>
      </w:r>
      <w:bookmarkEnd w:id="19"/>
      <w:bookmarkEnd w:id="20"/>
      <w:bookmarkEnd w:id="21"/>
    </w:p>
    <w:p w14:paraId="419AD485"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6BD7BD9E" w14:textId="0E23B689" w:rsidR="00500337" w:rsidRDefault="00F728DF" w:rsidP="00500337">
      <w:pPr>
        <w:pStyle w:val="Heading2"/>
      </w:pPr>
      <w:bookmarkStart w:id="24" w:name="_Toc504480011"/>
      <w:bookmarkStart w:id="25" w:name="_Toc24611060"/>
      <w:r>
        <w:t>II. Registration time</w:t>
      </w:r>
      <w:r w:rsidR="00500337">
        <w:t>line</w:t>
      </w:r>
      <w:bookmarkEnd w:id="24"/>
      <w:bookmarkEnd w:id="25"/>
    </w:p>
    <w:p w14:paraId="4E92454B" w14:textId="77777777" w:rsidR="00500337" w:rsidRDefault="00500337" w:rsidP="00500337">
      <w:r>
        <w:t xml:space="preserve">The following table </w:t>
      </w:r>
      <w:r w:rsidR="008E1855">
        <w:t xml:space="preserve">(Table 1) </w:t>
      </w:r>
      <w:r>
        <w:t>captures the key steps and dates for this application.</w:t>
      </w:r>
    </w:p>
    <w:p w14:paraId="5C79217D" w14:textId="77777777" w:rsidR="006A58A8" w:rsidRDefault="006A58A8" w:rsidP="006A58A8">
      <w:pPr>
        <w:pStyle w:val="TableTitle"/>
      </w:pPr>
      <w:r w:rsidRPr="006A58A8">
        <w:t>Table 1</w:t>
      </w:r>
      <w:r w:rsidR="00E90163">
        <w:t xml:space="preserve"> Timeline for Submission PM-2018</w:t>
      </w:r>
      <w:r w:rsidRPr="006A58A8">
        <w:t>-</w:t>
      </w:r>
      <w:r w:rsidR="00E90163">
        <w:t>05023</w:t>
      </w:r>
      <w:r w:rsidRPr="006A58A8">
        <w:t>-1-</w:t>
      </w:r>
      <w:r w:rsidR="00E90163">
        <w:t>6</w:t>
      </w:r>
    </w:p>
    <w:tbl>
      <w:tblPr>
        <w:tblStyle w:val="TableTGAblue1"/>
        <w:tblW w:w="8969" w:type="dxa"/>
        <w:tblLook w:val="04A0" w:firstRow="1" w:lastRow="0" w:firstColumn="1" w:lastColumn="0" w:noHBand="0" w:noVBand="1"/>
      </w:tblPr>
      <w:tblGrid>
        <w:gridCol w:w="6437"/>
        <w:gridCol w:w="2532"/>
      </w:tblGrid>
      <w:tr w:rsidR="002F3F55" w:rsidRPr="00D75678" w14:paraId="3BC2A230" w14:textId="77777777" w:rsidTr="00897CD7">
        <w:trPr>
          <w:cnfStyle w:val="100000000000" w:firstRow="1" w:lastRow="0" w:firstColumn="0" w:lastColumn="0" w:oddVBand="0" w:evenVBand="0" w:oddHBand="0" w:evenHBand="0" w:firstRowFirstColumn="0" w:firstRowLastColumn="0" w:lastRowFirstColumn="0" w:lastRowLastColumn="0"/>
          <w:cantSplit/>
          <w:trHeight w:val="204"/>
        </w:trPr>
        <w:tc>
          <w:tcPr>
            <w:tcW w:w="6437" w:type="dxa"/>
          </w:tcPr>
          <w:p w14:paraId="2E06B10C" w14:textId="77777777" w:rsidR="002F3F55" w:rsidRPr="00D75678" w:rsidRDefault="002F3F55" w:rsidP="00E90163">
            <w:r w:rsidRPr="00D75678">
              <w:t>Description</w:t>
            </w:r>
          </w:p>
        </w:tc>
        <w:tc>
          <w:tcPr>
            <w:tcW w:w="2532" w:type="dxa"/>
          </w:tcPr>
          <w:p w14:paraId="51C2DDC5" w14:textId="77777777" w:rsidR="002F3F55" w:rsidRPr="00D75678" w:rsidRDefault="002F3F55" w:rsidP="00E90163">
            <w:r w:rsidRPr="00D75678">
              <w:t>Date</w:t>
            </w:r>
          </w:p>
        </w:tc>
      </w:tr>
      <w:tr w:rsidR="002F3F55" w:rsidRPr="001A725C" w14:paraId="3085C4CE" w14:textId="77777777" w:rsidTr="00897CD7">
        <w:trPr>
          <w:trHeight w:val="446"/>
        </w:trPr>
        <w:tc>
          <w:tcPr>
            <w:tcW w:w="6437" w:type="dxa"/>
          </w:tcPr>
          <w:p w14:paraId="34D4DA30" w14:textId="77777777" w:rsidR="002F3F55" w:rsidRPr="00D75678" w:rsidRDefault="002F3F55" w:rsidP="00E90163">
            <w:r w:rsidRPr="00D75678">
              <w:t>Submission dossier accepted and first round evaluation commenced</w:t>
            </w:r>
          </w:p>
        </w:tc>
        <w:tc>
          <w:tcPr>
            <w:tcW w:w="2532" w:type="dxa"/>
          </w:tcPr>
          <w:p w14:paraId="64C3399A" w14:textId="77777777" w:rsidR="002F3F55" w:rsidRPr="001A725C" w:rsidRDefault="002F3F55" w:rsidP="00E90163">
            <w:pPr>
              <w:rPr>
                <w:color w:val="auto"/>
              </w:rPr>
            </w:pPr>
            <w:r w:rsidRPr="001A725C">
              <w:rPr>
                <w:color w:val="auto"/>
              </w:rPr>
              <w:t>2 January 2019</w:t>
            </w:r>
          </w:p>
        </w:tc>
      </w:tr>
      <w:tr w:rsidR="002F3F55" w:rsidRPr="001A725C" w14:paraId="20F7AD96" w14:textId="77777777" w:rsidTr="00897CD7">
        <w:trPr>
          <w:trHeight w:val="446"/>
        </w:trPr>
        <w:tc>
          <w:tcPr>
            <w:tcW w:w="6437" w:type="dxa"/>
          </w:tcPr>
          <w:p w14:paraId="16DBCFFB" w14:textId="77777777" w:rsidR="002F3F55" w:rsidRPr="00D75678" w:rsidRDefault="002F3F55" w:rsidP="00E90163">
            <w:r w:rsidRPr="00D75678">
              <w:t>First round evaluation completed</w:t>
            </w:r>
          </w:p>
        </w:tc>
        <w:tc>
          <w:tcPr>
            <w:tcW w:w="2532" w:type="dxa"/>
          </w:tcPr>
          <w:p w14:paraId="09C68C0E" w14:textId="77777777" w:rsidR="002F3F55" w:rsidRPr="001A725C" w:rsidRDefault="002F3F55" w:rsidP="00E90163">
            <w:pPr>
              <w:rPr>
                <w:color w:val="auto"/>
              </w:rPr>
            </w:pPr>
            <w:r w:rsidRPr="001A725C">
              <w:rPr>
                <w:color w:val="auto"/>
              </w:rPr>
              <w:t>31 May 2019</w:t>
            </w:r>
          </w:p>
        </w:tc>
      </w:tr>
      <w:tr w:rsidR="002F3F55" w:rsidRPr="001A725C" w14:paraId="025D0401" w14:textId="77777777" w:rsidTr="00897CD7">
        <w:trPr>
          <w:trHeight w:val="455"/>
        </w:trPr>
        <w:tc>
          <w:tcPr>
            <w:tcW w:w="6437" w:type="dxa"/>
          </w:tcPr>
          <w:p w14:paraId="58CB0551" w14:textId="77777777" w:rsidR="002F3F55" w:rsidRPr="00D75678" w:rsidRDefault="002F3F55" w:rsidP="00E90163">
            <w:r w:rsidRPr="00D75678">
              <w:t>Sponsor provides responses on questions raised in first round evaluation</w:t>
            </w:r>
          </w:p>
        </w:tc>
        <w:tc>
          <w:tcPr>
            <w:tcW w:w="2532" w:type="dxa"/>
          </w:tcPr>
          <w:p w14:paraId="7F97EC9B" w14:textId="77777777" w:rsidR="002F3F55" w:rsidRPr="001A725C" w:rsidRDefault="002F3F55" w:rsidP="00E90163">
            <w:pPr>
              <w:rPr>
                <w:color w:val="auto"/>
              </w:rPr>
            </w:pPr>
            <w:r w:rsidRPr="001A725C">
              <w:rPr>
                <w:color w:val="auto"/>
              </w:rPr>
              <w:t>27 June 2019</w:t>
            </w:r>
          </w:p>
        </w:tc>
      </w:tr>
      <w:tr w:rsidR="002F3F55" w:rsidRPr="001A725C" w14:paraId="147C498E" w14:textId="77777777" w:rsidTr="00897CD7">
        <w:trPr>
          <w:trHeight w:val="446"/>
        </w:trPr>
        <w:tc>
          <w:tcPr>
            <w:tcW w:w="6437" w:type="dxa"/>
          </w:tcPr>
          <w:p w14:paraId="456F3A0F" w14:textId="77777777" w:rsidR="002F3F55" w:rsidRPr="00D75678" w:rsidRDefault="002F3F55" w:rsidP="00E90163">
            <w:r w:rsidRPr="00D75678">
              <w:t>Second round evaluation completed</w:t>
            </w:r>
          </w:p>
        </w:tc>
        <w:tc>
          <w:tcPr>
            <w:tcW w:w="2532" w:type="dxa"/>
          </w:tcPr>
          <w:p w14:paraId="571324EC" w14:textId="77777777" w:rsidR="002F3F55" w:rsidRPr="001A725C" w:rsidRDefault="002F3F55" w:rsidP="00E90163">
            <w:pPr>
              <w:rPr>
                <w:color w:val="auto"/>
              </w:rPr>
            </w:pPr>
            <w:r w:rsidRPr="001A725C">
              <w:rPr>
                <w:color w:val="auto"/>
              </w:rPr>
              <w:t>21 August 2019</w:t>
            </w:r>
          </w:p>
        </w:tc>
      </w:tr>
      <w:tr w:rsidR="002F3F55" w:rsidRPr="001A725C" w14:paraId="2CC21826" w14:textId="77777777" w:rsidTr="00897CD7">
        <w:trPr>
          <w:trHeight w:val="446"/>
        </w:trPr>
        <w:tc>
          <w:tcPr>
            <w:tcW w:w="6437" w:type="dxa"/>
          </w:tcPr>
          <w:p w14:paraId="7F1E7B90" w14:textId="77777777" w:rsidR="002F3F55" w:rsidRPr="00D75678" w:rsidRDefault="002F3F55" w:rsidP="00E90163">
            <w:r w:rsidRPr="00D75678">
              <w:t>Delegate’s Overall benefit-risk assessment and request for Advisory Committee advice</w:t>
            </w:r>
          </w:p>
        </w:tc>
        <w:tc>
          <w:tcPr>
            <w:tcW w:w="2532" w:type="dxa"/>
          </w:tcPr>
          <w:p w14:paraId="4F773F3E" w14:textId="77777777" w:rsidR="002F3F55" w:rsidRPr="001A725C" w:rsidRDefault="002F3F55" w:rsidP="00E90163">
            <w:pPr>
              <w:rPr>
                <w:color w:val="auto"/>
              </w:rPr>
            </w:pPr>
            <w:r w:rsidRPr="001A725C">
              <w:rPr>
                <w:color w:val="auto"/>
              </w:rPr>
              <w:t>23 September 2019</w:t>
            </w:r>
          </w:p>
        </w:tc>
      </w:tr>
      <w:tr w:rsidR="002F3F55" w:rsidRPr="001A725C" w14:paraId="1C2535D7" w14:textId="77777777" w:rsidTr="00897CD7">
        <w:trPr>
          <w:trHeight w:val="446"/>
        </w:trPr>
        <w:tc>
          <w:tcPr>
            <w:tcW w:w="6437" w:type="dxa"/>
          </w:tcPr>
          <w:p w14:paraId="2D252F7D" w14:textId="77777777" w:rsidR="002F3F55" w:rsidRPr="00D75678" w:rsidRDefault="002F3F55" w:rsidP="00E90163">
            <w:r w:rsidRPr="00D75678">
              <w:t>Sponsor’s pre-Advisory Committee response</w:t>
            </w:r>
          </w:p>
        </w:tc>
        <w:tc>
          <w:tcPr>
            <w:tcW w:w="2532" w:type="dxa"/>
          </w:tcPr>
          <w:p w14:paraId="069BA568" w14:textId="08AEF570" w:rsidR="002F3F55" w:rsidRPr="001A725C" w:rsidRDefault="00B76D05" w:rsidP="00E90163">
            <w:pPr>
              <w:rPr>
                <w:color w:val="auto"/>
              </w:rPr>
            </w:pPr>
            <w:r>
              <w:rPr>
                <w:color w:val="auto"/>
              </w:rPr>
              <w:t>Not applicable</w:t>
            </w:r>
          </w:p>
        </w:tc>
      </w:tr>
      <w:tr w:rsidR="002F3F55" w:rsidRPr="001A725C" w14:paraId="523A72ED" w14:textId="77777777" w:rsidTr="00897CD7">
        <w:trPr>
          <w:trHeight w:val="446"/>
        </w:trPr>
        <w:tc>
          <w:tcPr>
            <w:tcW w:w="6437" w:type="dxa"/>
          </w:tcPr>
          <w:p w14:paraId="5A8F2F47" w14:textId="77777777" w:rsidR="002F3F55" w:rsidRPr="00D75678" w:rsidRDefault="002F3F55" w:rsidP="00E90163">
            <w:r w:rsidRPr="00D75678">
              <w:t>Advisory Committee meeting</w:t>
            </w:r>
          </w:p>
        </w:tc>
        <w:tc>
          <w:tcPr>
            <w:tcW w:w="2532" w:type="dxa"/>
          </w:tcPr>
          <w:p w14:paraId="42159D25" w14:textId="3B0A7200" w:rsidR="002F3F55" w:rsidRPr="001A725C" w:rsidRDefault="00B76D05" w:rsidP="00E90163">
            <w:pPr>
              <w:rPr>
                <w:color w:val="auto"/>
              </w:rPr>
            </w:pPr>
            <w:r>
              <w:rPr>
                <w:color w:val="auto"/>
              </w:rPr>
              <w:t>Not applicable</w:t>
            </w:r>
          </w:p>
        </w:tc>
      </w:tr>
      <w:tr w:rsidR="002F3F55" w:rsidRPr="001A725C" w14:paraId="294D0F94" w14:textId="77777777" w:rsidTr="00897CD7">
        <w:trPr>
          <w:trHeight w:val="446"/>
        </w:trPr>
        <w:tc>
          <w:tcPr>
            <w:tcW w:w="6437" w:type="dxa"/>
          </w:tcPr>
          <w:p w14:paraId="2757C9D0" w14:textId="77777777" w:rsidR="002F3F55" w:rsidRPr="00D75678" w:rsidRDefault="002F3F55" w:rsidP="00E90163">
            <w:r w:rsidRPr="00D75678">
              <w:t>Registration decision (Outcome)</w:t>
            </w:r>
          </w:p>
        </w:tc>
        <w:tc>
          <w:tcPr>
            <w:tcW w:w="2532" w:type="dxa"/>
          </w:tcPr>
          <w:p w14:paraId="6DE5F0A0" w14:textId="77777777" w:rsidR="002F3F55" w:rsidRPr="001A725C" w:rsidRDefault="002F3F55" w:rsidP="00E90163">
            <w:pPr>
              <w:rPr>
                <w:color w:val="auto"/>
              </w:rPr>
            </w:pPr>
            <w:r w:rsidRPr="001A725C">
              <w:rPr>
                <w:color w:val="auto"/>
              </w:rPr>
              <w:t>8 October 2019</w:t>
            </w:r>
          </w:p>
        </w:tc>
      </w:tr>
      <w:tr w:rsidR="002F3F55" w:rsidRPr="001A725C" w14:paraId="041DAAA3" w14:textId="77777777" w:rsidTr="00897CD7">
        <w:trPr>
          <w:trHeight w:val="455"/>
        </w:trPr>
        <w:tc>
          <w:tcPr>
            <w:tcW w:w="6437" w:type="dxa"/>
          </w:tcPr>
          <w:p w14:paraId="0C5B7883" w14:textId="77777777" w:rsidR="002F3F55" w:rsidRPr="00D75678" w:rsidRDefault="002F3F55" w:rsidP="00E90163">
            <w:r w:rsidRPr="00D75678">
              <w:t>Completion of administrative activities and registration on ARTG</w:t>
            </w:r>
          </w:p>
        </w:tc>
        <w:tc>
          <w:tcPr>
            <w:tcW w:w="2532" w:type="dxa"/>
          </w:tcPr>
          <w:p w14:paraId="2C2AE19A" w14:textId="77777777" w:rsidR="002F3F55" w:rsidRPr="001A725C" w:rsidRDefault="002F3F55" w:rsidP="00E90163">
            <w:pPr>
              <w:rPr>
                <w:color w:val="auto"/>
              </w:rPr>
            </w:pPr>
            <w:r>
              <w:rPr>
                <w:color w:val="auto"/>
              </w:rPr>
              <w:t>17</w:t>
            </w:r>
            <w:r w:rsidRPr="001A725C">
              <w:rPr>
                <w:color w:val="auto"/>
              </w:rPr>
              <w:t xml:space="preserve"> October 2019</w:t>
            </w:r>
          </w:p>
        </w:tc>
      </w:tr>
      <w:tr w:rsidR="002F3F55" w:rsidRPr="001A725C" w14:paraId="4140F91F" w14:textId="77777777" w:rsidTr="00897CD7">
        <w:trPr>
          <w:trHeight w:val="446"/>
        </w:trPr>
        <w:tc>
          <w:tcPr>
            <w:tcW w:w="6437" w:type="dxa"/>
          </w:tcPr>
          <w:p w14:paraId="0127F2F4" w14:textId="77777777" w:rsidR="002F3F55" w:rsidRPr="00D75678" w:rsidRDefault="002F3F55" w:rsidP="00E90163">
            <w:r w:rsidRPr="00D75678">
              <w:t>Number of working days from submission dossier acceptance to registration decision*</w:t>
            </w:r>
          </w:p>
        </w:tc>
        <w:tc>
          <w:tcPr>
            <w:tcW w:w="2532" w:type="dxa"/>
          </w:tcPr>
          <w:p w14:paraId="74A035E8" w14:textId="77777777" w:rsidR="002F3F55" w:rsidRPr="001A725C" w:rsidRDefault="002F3F55" w:rsidP="00E90163">
            <w:pPr>
              <w:rPr>
                <w:color w:val="auto"/>
              </w:rPr>
            </w:pPr>
            <w:r>
              <w:rPr>
                <w:color w:val="auto"/>
              </w:rPr>
              <w:t>180</w:t>
            </w:r>
          </w:p>
        </w:tc>
      </w:tr>
    </w:tbl>
    <w:p w14:paraId="74A1F898" w14:textId="77777777" w:rsidR="002F3F55" w:rsidRPr="00D75678" w:rsidRDefault="002F3F55" w:rsidP="002F3F55">
      <w:pPr>
        <w:pStyle w:val="TableDescription"/>
      </w:pPr>
      <w:r>
        <w:t>*</w:t>
      </w:r>
      <w:r w:rsidRPr="00BF3774">
        <w:t xml:space="preserve">Statutory </w:t>
      </w:r>
      <w:r>
        <w:t>timeframe for standard applications is 255 working days.</w:t>
      </w:r>
    </w:p>
    <w:p w14:paraId="04CAD35D" w14:textId="06ABEAD8" w:rsidR="008E7846" w:rsidRPr="00792A32" w:rsidRDefault="00456765" w:rsidP="008E7846">
      <w:pPr>
        <w:pStyle w:val="Heading2"/>
      </w:pPr>
      <w:bookmarkStart w:id="26" w:name="_Toc196046504"/>
      <w:bookmarkStart w:id="27" w:name="_Toc247691527"/>
      <w:bookmarkStart w:id="28" w:name="_Toc314842510"/>
      <w:bookmarkStart w:id="29" w:name="_Toc24611061"/>
      <w:bookmarkStart w:id="30" w:name="_Toc163441390"/>
      <w:bookmarkEnd w:id="22"/>
      <w:bookmarkEnd w:id="23"/>
      <w:bookmarkEnd w:id="2"/>
      <w:r>
        <w:lastRenderedPageBreak/>
        <w:t>I</w:t>
      </w:r>
      <w:r w:rsidR="00DA64CB">
        <w:t>I</w:t>
      </w:r>
      <w:r w:rsidR="008E7846">
        <w:t xml:space="preserve">I. </w:t>
      </w:r>
      <w:r w:rsidR="00F728DF">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741B38E0" w14:textId="3F2D51E2" w:rsidR="008E7846" w:rsidRDefault="008E7846" w:rsidP="008E7846">
      <w:bookmarkStart w:id="31" w:name="_Toc247691528"/>
      <w:r>
        <w:t xml:space="preserve">The submission was summarised in the following </w:t>
      </w:r>
      <w:r w:rsidRPr="00EF5C48">
        <w:t xml:space="preserve">Delegate’s </w:t>
      </w:r>
      <w:r>
        <w:t>overview</w:t>
      </w:r>
      <w:r w:rsidRPr="00EF5C48">
        <w:t xml:space="preserve"> and recommendation</w:t>
      </w:r>
      <w:r>
        <w:t>s</w:t>
      </w:r>
      <w:r w:rsidR="00B76D05">
        <w:t>.</w:t>
      </w:r>
    </w:p>
    <w:p w14:paraId="5361DC04" w14:textId="77777777" w:rsidR="008E7846" w:rsidRDefault="008E7846" w:rsidP="008E7846">
      <w:pPr>
        <w:pStyle w:val="Heading3"/>
      </w:pPr>
      <w:bookmarkStart w:id="32" w:name="_Toc314842511"/>
      <w:bookmarkStart w:id="33" w:name="_Toc24611062"/>
      <w:r>
        <w:t>Quality</w:t>
      </w:r>
      <w:bookmarkEnd w:id="31"/>
      <w:bookmarkEnd w:id="32"/>
      <w:bookmarkEnd w:id="33"/>
    </w:p>
    <w:p w14:paraId="6C425BFE" w14:textId="77777777" w:rsidR="000A0A29" w:rsidRPr="00BC7180" w:rsidRDefault="000A0A29" w:rsidP="00E90163">
      <w:pPr>
        <w:pStyle w:val="Heading4"/>
      </w:pPr>
      <w:bookmarkStart w:id="34" w:name="_Toc491440828"/>
      <w:r w:rsidRPr="00BC7180">
        <w:t>Structure</w:t>
      </w:r>
      <w:bookmarkEnd w:id="34"/>
    </w:p>
    <w:p w14:paraId="48D0179C" w14:textId="70F4C484" w:rsidR="000A0A29" w:rsidRPr="003831A4" w:rsidRDefault="000A0A29" w:rsidP="000A0A29">
      <w:pPr>
        <w:widowControl w:val="0"/>
        <w:rPr>
          <w:rFonts w:asciiTheme="minorHAnsi" w:hAnsiTheme="minorHAnsi"/>
          <w:lang w:val="en-GB"/>
        </w:rPr>
      </w:pPr>
      <w:bookmarkStart w:id="35" w:name="_Toc491440829"/>
      <w:r w:rsidRPr="00BC7180">
        <w:rPr>
          <w:rFonts w:asciiTheme="minorHAnsi" w:hAnsiTheme="minorHAnsi"/>
          <w:lang w:val="en-GB"/>
        </w:rPr>
        <w:t xml:space="preserve">Ravulizumab is a recombinant humanised </w:t>
      </w:r>
      <w:r w:rsidR="00E90163">
        <w:rPr>
          <w:rFonts w:asciiTheme="minorHAnsi" w:hAnsiTheme="minorHAnsi"/>
          <w:lang w:val="en-GB"/>
        </w:rPr>
        <w:t>immunoglobulin (</w:t>
      </w:r>
      <w:r w:rsidRPr="00BC7180">
        <w:rPr>
          <w:rFonts w:asciiTheme="minorHAnsi" w:hAnsiTheme="minorHAnsi"/>
          <w:lang w:val="en-GB"/>
        </w:rPr>
        <w:t>Ig</w:t>
      </w:r>
      <w:r w:rsidR="00E90163">
        <w:rPr>
          <w:rFonts w:asciiTheme="minorHAnsi" w:hAnsiTheme="minorHAnsi"/>
          <w:lang w:val="en-GB"/>
        </w:rPr>
        <w:t xml:space="preserve">) </w:t>
      </w:r>
      <w:r w:rsidRPr="00BC7180">
        <w:rPr>
          <w:rFonts w:asciiTheme="minorHAnsi" w:hAnsiTheme="minorHAnsi"/>
          <w:lang w:val="en-GB"/>
        </w:rPr>
        <w:t xml:space="preserve">G2/4 monoclonal antibody </w:t>
      </w:r>
      <w:r w:rsidR="00B76D05">
        <w:rPr>
          <w:rFonts w:asciiTheme="minorHAnsi" w:hAnsiTheme="minorHAnsi"/>
          <w:lang w:val="en-GB"/>
        </w:rPr>
        <w:t xml:space="preserve">(mAb) </w:t>
      </w:r>
      <w:r w:rsidRPr="00BC7180">
        <w:rPr>
          <w:rFonts w:asciiTheme="minorHAnsi" w:hAnsiTheme="minorHAnsi"/>
          <w:lang w:val="en-GB"/>
        </w:rPr>
        <w:t xml:space="preserve">consisting of two identical heavy chains and two identical light chains linked by </w:t>
      </w:r>
      <w:r w:rsidR="00AA5040" w:rsidRPr="00BC7180">
        <w:rPr>
          <w:rFonts w:asciiTheme="minorHAnsi" w:hAnsiTheme="minorHAnsi"/>
          <w:lang w:val="en-GB"/>
        </w:rPr>
        <w:t>disulphide</w:t>
      </w:r>
      <w:r w:rsidRPr="00BC7180">
        <w:rPr>
          <w:rFonts w:asciiTheme="minorHAnsi" w:hAnsiTheme="minorHAnsi"/>
          <w:lang w:val="en-GB"/>
        </w:rPr>
        <w:t xml:space="preserve"> bonds</w:t>
      </w:r>
      <w:r w:rsidR="00E90163">
        <w:rPr>
          <w:rFonts w:asciiTheme="minorHAnsi" w:hAnsiTheme="minorHAnsi"/>
          <w:lang w:val="en-GB"/>
        </w:rPr>
        <w:t xml:space="preserve"> (</w:t>
      </w:r>
      <w:r w:rsidR="00B76D05">
        <w:rPr>
          <w:rFonts w:asciiTheme="minorHAnsi" w:hAnsiTheme="minorHAnsi"/>
          <w:lang w:val="en-GB"/>
        </w:rPr>
        <w:t xml:space="preserve">see </w:t>
      </w:r>
      <w:r w:rsidR="00E90163">
        <w:rPr>
          <w:rFonts w:asciiTheme="minorHAnsi" w:hAnsiTheme="minorHAnsi"/>
          <w:lang w:val="en-GB"/>
        </w:rPr>
        <w:t>Figure 2)</w:t>
      </w:r>
      <w:r w:rsidRPr="00BC7180">
        <w:rPr>
          <w:rFonts w:asciiTheme="minorHAnsi" w:hAnsiTheme="minorHAnsi"/>
          <w:lang w:val="en-GB"/>
        </w:rPr>
        <w:t xml:space="preserve">. </w:t>
      </w:r>
      <w:r w:rsidRPr="003831A4">
        <w:rPr>
          <w:rFonts w:asciiTheme="minorHAnsi" w:hAnsiTheme="minorHAnsi"/>
          <w:lang w:val="en-GB"/>
        </w:rPr>
        <w:t xml:space="preserve">The recombinant protein is expressed in Chinese </w:t>
      </w:r>
      <w:r w:rsidR="00B76D05">
        <w:rPr>
          <w:rFonts w:asciiTheme="minorHAnsi" w:hAnsiTheme="minorHAnsi"/>
          <w:lang w:val="en-GB"/>
        </w:rPr>
        <w:t>h</w:t>
      </w:r>
      <w:r w:rsidR="00B76D05" w:rsidRPr="003831A4">
        <w:rPr>
          <w:rFonts w:asciiTheme="minorHAnsi" w:hAnsiTheme="minorHAnsi"/>
          <w:lang w:val="en-GB"/>
        </w:rPr>
        <w:t xml:space="preserve">amster </w:t>
      </w:r>
      <w:r w:rsidR="00B76D05">
        <w:rPr>
          <w:rFonts w:asciiTheme="minorHAnsi" w:hAnsiTheme="minorHAnsi"/>
          <w:lang w:val="en-GB"/>
        </w:rPr>
        <w:t>o</w:t>
      </w:r>
      <w:r w:rsidRPr="003831A4">
        <w:rPr>
          <w:rFonts w:asciiTheme="minorHAnsi" w:hAnsiTheme="minorHAnsi"/>
          <w:lang w:val="en-GB"/>
        </w:rPr>
        <w:t>vary cells.</w:t>
      </w:r>
    </w:p>
    <w:p w14:paraId="72268AB8" w14:textId="77777777" w:rsidR="000A0A29" w:rsidRDefault="000A0A29" w:rsidP="000A0A29">
      <w:pPr>
        <w:widowControl w:val="0"/>
        <w:rPr>
          <w:rFonts w:asciiTheme="minorHAnsi" w:hAnsiTheme="minorHAnsi"/>
          <w:lang w:val="en-GB"/>
        </w:rPr>
      </w:pPr>
      <w:r w:rsidRPr="003831A4">
        <w:rPr>
          <w:rFonts w:asciiTheme="minorHAnsi" w:hAnsiTheme="minorHAnsi"/>
          <w:lang w:val="en-GB"/>
        </w:rPr>
        <w:t xml:space="preserve">The theoretical </w:t>
      </w:r>
      <w:r w:rsidRPr="00DB5B26">
        <w:rPr>
          <w:rFonts w:asciiTheme="minorHAnsi" w:hAnsiTheme="minorHAnsi"/>
          <w:lang w:val="en-GB"/>
        </w:rPr>
        <w:t xml:space="preserve">molecular weight is </w:t>
      </w:r>
      <w:r w:rsidRPr="00E670EA">
        <w:rPr>
          <w:rFonts w:asciiTheme="minorHAnsi" w:hAnsiTheme="minorHAnsi"/>
        </w:rPr>
        <w:t xml:space="preserve">148 </w:t>
      </w:r>
      <w:r w:rsidRPr="00E168A2">
        <w:rPr>
          <w:rFonts w:asciiTheme="minorHAnsi" w:hAnsiTheme="minorHAnsi"/>
          <w:lang w:val="en-GB"/>
        </w:rPr>
        <w:t>k</w:t>
      </w:r>
      <w:r w:rsidR="00AA5040">
        <w:rPr>
          <w:rFonts w:asciiTheme="minorHAnsi" w:hAnsiTheme="minorHAnsi"/>
          <w:lang w:val="en-GB"/>
        </w:rPr>
        <w:t xml:space="preserve">ilo </w:t>
      </w:r>
      <w:r w:rsidRPr="00E168A2">
        <w:rPr>
          <w:rFonts w:asciiTheme="minorHAnsi" w:hAnsiTheme="minorHAnsi"/>
          <w:lang w:val="en-GB"/>
        </w:rPr>
        <w:t>Da</w:t>
      </w:r>
      <w:r w:rsidR="00AA5040">
        <w:rPr>
          <w:rFonts w:asciiTheme="minorHAnsi" w:hAnsiTheme="minorHAnsi"/>
          <w:lang w:val="en-GB"/>
        </w:rPr>
        <w:t>lton</w:t>
      </w:r>
      <w:r w:rsidRPr="00E168A2">
        <w:rPr>
          <w:rFonts w:asciiTheme="minorHAnsi" w:hAnsiTheme="minorHAnsi"/>
          <w:lang w:val="en-GB"/>
        </w:rPr>
        <w:t>.</w:t>
      </w:r>
    </w:p>
    <w:p w14:paraId="4BA4A6E2" w14:textId="77777777" w:rsidR="000A0A29" w:rsidRPr="00E168A2" w:rsidRDefault="008D47D9" w:rsidP="008D47D9">
      <w:pPr>
        <w:pStyle w:val="FigureTitle"/>
        <w:rPr>
          <w:highlight w:val="yellow"/>
          <w:lang w:val="en-GB"/>
        </w:rPr>
      </w:pPr>
      <w:r w:rsidRPr="008D47D9">
        <w:rPr>
          <w:lang w:val="en-GB"/>
        </w:rPr>
        <w:t>Figure 2: Struc</w:t>
      </w:r>
      <w:r>
        <w:rPr>
          <w:lang w:val="en-GB"/>
        </w:rPr>
        <w:t>t</w:t>
      </w:r>
      <w:r w:rsidRPr="008D47D9">
        <w:rPr>
          <w:lang w:val="en-GB"/>
        </w:rPr>
        <w:t xml:space="preserve">ure of </w:t>
      </w:r>
      <w:r>
        <w:rPr>
          <w:lang w:val="en-GB"/>
        </w:rPr>
        <w:t>r</w:t>
      </w:r>
      <w:r>
        <w:t>avulizumab</w:t>
      </w:r>
    </w:p>
    <w:p w14:paraId="06A317A1" w14:textId="77777777" w:rsidR="000A0A29" w:rsidRPr="003831A4" w:rsidRDefault="000A0A29" w:rsidP="000A0A29">
      <w:pPr>
        <w:widowControl w:val="0"/>
        <w:rPr>
          <w:rFonts w:asciiTheme="minorHAnsi" w:hAnsiTheme="minorHAnsi"/>
          <w:highlight w:val="yellow"/>
          <w:lang w:val="en-GB"/>
        </w:rPr>
      </w:pPr>
      <w:r w:rsidRPr="003831A4">
        <w:rPr>
          <w:rFonts w:asciiTheme="minorHAnsi" w:hAnsiTheme="minorHAnsi"/>
          <w:noProof/>
          <w:highlight w:val="yellow"/>
          <w:lang w:eastAsia="en-AU"/>
        </w:rPr>
        <w:drawing>
          <wp:inline distT="0" distB="0" distL="0" distR="0" wp14:anchorId="6C1340A3" wp14:editId="39A3A866">
            <wp:extent cx="3657020" cy="2180146"/>
            <wp:effectExtent l="0" t="0" r="635" b="0"/>
            <wp:docPr id="1" name="Picture 1" descr="Structure of ravu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63101" cy="2183771"/>
                    </a:xfrm>
                    <a:prstGeom prst="rect">
                      <a:avLst/>
                    </a:prstGeom>
                  </pic:spPr>
                </pic:pic>
              </a:graphicData>
            </a:graphic>
          </wp:inline>
        </w:drawing>
      </w:r>
    </w:p>
    <w:p w14:paraId="39CE21B4" w14:textId="624E8BC7" w:rsidR="000A0A29" w:rsidRPr="00450AE5" w:rsidRDefault="000A0A29" w:rsidP="00450AE5">
      <w:pPr>
        <w:pStyle w:val="Heading4"/>
      </w:pPr>
      <w:r w:rsidRPr="00C843BC">
        <w:t xml:space="preserve">Physical and </w:t>
      </w:r>
      <w:bookmarkEnd w:id="35"/>
      <w:r w:rsidR="00250164">
        <w:t>c</w:t>
      </w:r>
      <w:r w:rsidR="00250164" w:rsidRPr="00C843BC">
        <w:t xml:space="preserve">hemical </w:t>
      </w:r>
      <w:r w:rsidR="00250164">
        <w:t>p</w:t>
      </w:r>
      <w:r w:rsidR="00250164" w:rsidRPr="00C843BC">
        <w:t>roperties</w:t>
      </w:r>
    </w:p>
    <w:p w14:paraId="33EFC24B" w14:textId="7A5530D3" w:rsidR="000A0A29" w:rsidRDefault="000A0A29" w:rsidP="00050ABC">
      <w:pPr>
        <w:rPr>
          <w:lang w:val="en-GB"/>
        </w:rPr>
      </w:pPr>
      <w:r>
        <w:rPr>
          <w:lang w:val="en-GB"/>
        </w:rPr>
        <w:t>The ravulizumab drug substance is a c</w:t>
      </w:r>
      <w:r w:rsidRPr="00F50056">
        <w:rPr>
          <w:lang w:val="en-GB"/>
        </w:rPr>
        <w:t>lear to translucent, slight whitish colour</w:t>
      </w:r>
      <w:r>
        <w:rPr>
          <w:lang w:val="en-GB"/>
        </w:rPr>
        <w:t xml:space="preserve"> p</w:t>
      </w:r>
      <w:r w:rsidRPr="00F50056">
        <w:rPr>
          <w:lang w:val="en-GB"/>
        </w:rPr>
        <w:t>ractically free from particles</w:t>
      </w:r>
      <w:r>
        <w:rPr>
          <w:lang w:val="en-GB"/>
        </w:rPr>
        <w:t xml:space="preserve"> solution with a pH of </w:t>
      </w:r>
      <w:r w:rsidRPr="00F50056">
        <w:rPr>
          <w:lang w:val="en-GB"/>
        </w:rPr>
        <w:t xml:space="preserve">6.7 </w:t>
      </w:r>
      <w:r w:rsidR="00B76D05">
        <w:rPr>
          <w:lang w:val="en-GB"/>
        </w:rPr>
        <w:t>to</w:t>
      </w:r>
      <w:r w:rsidRPr="00F50056">
        <w:rPr>
          <w:lang w:val="en-GB"/>
        </w:rPr>
        <w:t xml:space="preserve"> 7.3</w:t>
      </w:r>
      <w:r>
        <w:rPr>
          <w:lang w:val="en-GB"/>
        </w:rPr>
        <w:t>.</w:t>
      </w:r>
    </w:p>
    <w:p w14:paraId="0FFD912A" w14:textId="77777777" w:rsidR="000A0A29" w:rsidRDefault="000A0A29" w:rsidP="00050ABC">
      <w:pPr>
        <w:rPr>
          <w:lang w:val="en-GB"/>
        </w:rPr>
      </w:pPr>
      <w:r>
        <w:rPr>
          <w:lang w:val="en-GB"/>
        </w:rPr>
        <w:t xml:space="preserve">The molecule is a </w:t>
      </w:r>
      <w:r w:rsidRPr="00E14B55">
        <w:rPr>
          <w:lang w:val="en-GB"/>
        </w:rPr>
        <w:t>humanised IgG2/4 kappa antibody</w:t>
      </w:r>
      <w:r>
        <w:rPr>
          <w:lang w:val="en-GB"/>
        </w:rPr>
        <w:t xml:space="preserve"> consisting of </w:t>
      </w:r>
      <w:r w:rsidRPr="00A85E46">
        <w:rPr>
          <w:lang w:val="en-GB"/>
        </w:rPr>
        <w:t>two identical 448 amino acid heavy chains and two identical 214 amino acid light chains.</w:t>
      </w:r>
      <w:r w:rsidRPr="00A85E46">
        <w:t xml:space="preserve"> </w:t>
      </w:r>
      <w:r w:rsidRPr="00A85E46">
        <w:rPr>
          <w:lang w:val="en-GB"/>
        </w:rPr>
        <w:t>The constant regions of ravulizumab include the human kappa light chain constant region and the chimeric human IgG2/G4 heavy chain constant region. The heavy chain CH1 domain, hinge region and the first 5 amino acids of the CH2 domain match human IgG2 amino acid sequence, residues 6 to 36 in the CH2 region are common to both human IgG2 and IgG4 amino acid sequence, while the remainder of the CH2 domain and the CH3 domain match human IgG4 amino acid sequence. The heavy and light chain variable regions that form the human C5 binding site consist of human framework regions grafted to murine complementarity-determining regions.</w:t>
      </w:r>
    </w:p>
    <w:p w14:paraId="0DB6AA8A" w14:textId="313EFF32" w:rsidR="000A0A29" w:rsidRPr="00190771" w:rsidRDefault="000A0A29" w:rsidP="00450AE5">
      <w:pPr>
        <w:pStyle w:val="Heading4"/>
        <w:rPr>
          <w:lang w:val="en-GB"/>
        </w:rPr>
      </w:pPr>
      <w:r>
        <w:rPr>
          <w:lang w:val="en-GB"/>
        </w:rPr>
        <w:t xml:space="preserve">Biological </w:t>
      </w:r>
      <w:r w:rsidR="00250164">
        <w:rPr>
          <w:lang w:val="en-GB"/>
        </w:rPr>
        <w:t>p</w:t>
      </w:r>
      <w:r>
        <w:rPr>
          <w:lang w:val="en-GB"/>
        </w:rPr>
        <w:t>roperties</w:t>
      </w:r>
    </w:p>
    <w:p w14:paraId="33B91F0A" w14:textId="3E219199" w:rsidR="000A0A29" w:rsidRDefault="000A0A29" w:rsidP="000A0A29">
      <w:pPr>
        <w:widowControl w:val="0"/>
        <w:rPr>
          <w:rFonts w:asciiTheme="minorHAnsi" w:hAnsiTheme="minorHAnsi"/>
          <w:lang w:val="en-GB"/>
        </w:rPr>
      </w:pPr>
      <w:r>
        <w:rPr>
          <w:rFonts w:asciiTheme="minorHAnsi" w:hAnsiTheme="minorHAnsi"/>
          <w:lang w:val="en-GB"/>
        </w:rPr>
        <w:t>R</w:t>
      </w:r>
      <w:r w:rsidRPr="00BC7180">
        <w:rPr>
          <w:rFonts w:asciiTheme="minorHAnsi" w:hAnsiTheme="minorHAnsi"/>
          <w:lang w:val="en-GB"/>
        </w:rPr>
        <w:t>avulizumab is constructed by introducing four unique mutations into the heavy chain of eculizumab.</w:t>
      </w:r>
      <w:r>
        <w:rPr>
          <w:rFonts w:asciiTheme="minorHAnsi" w:hAnsiTheme="minorHAnsi"/>
          <w:lang w:val="en-GB"/>
        </w:rPr>
        <w:t xml:space="preserve"> These mutations increase the </w:t>
      </w:r>
      <w:r w:rsidRPr="00372A56">
        <w:rPr>
          <w:rFonts w:asciiTheme="minorHAnsi" w:hAnsiTheme="minorHAnsi"/>
          <w:lang w:val="en-GB"/>
        </w:rPr>
        <w:t xml:space="preserve">dissociation of ravulizumab:C5 complexes to free ravulizumab in the acidic environment of the early endosome </w:t>
      </w:r>
      <w:r>
        <w:rPr>
          <w:rFonts w:asciiTheme="minorHAnsi" w:hAnsiTheme="minorHAnsi"/>
          <w:lang w:val="en-GB"/>
        </w:rPr>
        <w:t xml:space="preserve">increasing </w:t>
      </w:r>
      <w:r w:rsidRPr="00372A56">
        <w:rPr>
          <w:rFonts w:asciiTheme="minorHAnsi" w:hAnsiTheme="minorHAnsi"/>
          <w:lang w:val="en-GB"/>
        </w:rPr>
        <w:t>the fraction of free ravulizumab recycled from the early endosome back into the vascular compartment by FcRn thus extending the serum half-life of ravulizumab.</w:t>
      </w:r>
      <w:r>
        <w:rPr>
          <w:rFonts w:asciiTheme="minorHAnsi" w:hAnsiTheme="minorHAnsi"/>
          <w:lang w:val="en-GB"/>
        </w:rPr>
        <w:t xml:space="preserve"> Consequently, the increase in serum half-life translates to an extended patient dosing interval of 8 weeks </w:t>
      </w:r>
      <w:r>
        <w:rPr>
          <w:rFonts w:asciiTheme="minorHAnsi" w:hAnsiTheme="minorHAnsi"/>
          <w:lang w:val="en-GB"/>
        </w:rPr>
        <w:lastRenderedPageBreak/>
        <w:t>compared to</w:t>
      </w:r>
      <w:r w:rsidRPr="00372A56">
        <w:rPr>
          <w:rFonts w:asciiTheme="minorHAnsi" w:hAnsiTheme="minorHAnsi"/>
          <w:lang w:val="en-GB"/>
        </w:rPr>
        <w:t xml:space="preserve"> </w:t>
      </w:r>
      <w:r w:rsidRPr="00DF5865">
        <w:rPr>
          <w:rFonts w:asciiTheme="minorHAnsi" w:hAnsiTheme="minorHAnsi"/>
          <w:lang w:val="en-GB"/>
        </w:rPr>
        <w:t>eculizumab</w:t>
      </w:r>
      <w:r>
        <w:rPr>
          <w:rFonts w:asciiTheme="minorHAnsi" w:hAnsiTheme="minorHAnsi"/>
          <w:lang w:val="en-GB"/>
        </w:rPr>
        <w:t xml:space="preserve"> (biweekly) and therefore reduces the treatment burden for patients with</w:t>
      </w:r>
      <w:r w:rsidRPr="00DF5865">
        <w:rPr>
          <w:rFonts w:asciiTheme="minorHAnsi" w:hAnsiTheme="minorHAnsi"/>
          <w:lang w:val="en-GB"/>
        </w:rPr>
        <w:t xml:space="preserve"> PNH.</w:t>
      </w:r>
    </w:p>
    <w:p w14:paraId="5FE8913B" w14:textId="77777777" w:rsidR="00730F8A" w:rsidRDefault="000A0A29" w:rsidP="00253887">
      <w:pPr>
        <w:pStyle w:val="Heading4"/>
      </w:pPr>
      <w:r>
        <w:t>Manufacture</w:t>
      </w:r>
    </w:p>
    <w:p w14:paraId="78187306" w14:textId="77777777" w:rsidR="000A0A29" w:rsidRDefault="000A0A29" w:rsidP="000A0A29">
      <w:r w:rsidRPr="00C843BC">
        <w:t xml:space="preserve">In process control testing and in process acceptance criteria testing are performed during drug substance manufacture. All manufacturing steps and analytical procedures </w:t>
      </w:r>
      <w:r w:rsidR="005B4183">
        <w:t xml:space="preserve">of the drug substance </w:t>
      </w:r>
      <w:r w:rsidRPr="00C843BC">
        <w:t>are validated.</w:t>
      </w:r>
    </w:p>
    <w:p w14:paraId="5D01B147" w14:textId="77777777" w:rsidR="00253887" w:rsidRPr="00C843BC" w:rsidRDefault="00253887" w:rsidP="005B4183">
      <w:r w:rsidRPr="00C843BC">
        <w:t xml:space="preserve">There are no issues pertaining to manufacture or manufacturer of the </w:t>
      </w:r>
      <w:r>
        <w:t xml:space="preserve">drug </w:t>
      </w:r>
      <w:r w:rsidRPr="00C843BC">
        <w:t>product.</w:t>
      </w:r>
    </w:p>
    <w:p w14:paraId="24FAD3A0" w14:textId="77777777" w:rsidR="000A0A29" w:rsidRDefault="000A0A29" w:rsidP="000A0A29">
      <w:pPr>
        <w:pStyle w:val="Heading4"/>
      </w:pPr>
      <w:r w:rsidRPr="00C843BC">
        <w:t>Stability</w:t>
      </w:r>
    </w:p>
    <w:p w14:paraId="45956B01" w14:textId="77777777" w:rsidR="000A0A29" w:rsidRPr="00C843BC" w:rsidRDefault="00253887" w:rsidP="00253887">
      <w:pPr>
        <w:pStyle w:val="Heading5"/>
      </w:pPr>
      <w:r>
        <w:t>Drug product</w:t>
      </w:r>
    </w:p>
    <w:p w14:paraId="1036E2F4" w14:textId="7F224A47" w:rsidR="000A0A29" w:rsidRDefault="000A0A29" w:rsidP="000A0A29">
      <w:pPr>
        <w:spacing w:after="0" w:line="240" w:lineRule="auto"/>
        <w:ind w:right="-143"/>
      </w:pPr>
      <w:r w:rsidRPr="00AE1C83">
        <w:t xml:space="preserve">The </w:t>
      </w:r>
      <w:r w:rsidR="005B4183">
        <w:t xml:space="preserve">sponsor </w:t>
      </w:r>
      <w:r w:rsidRPr="00AE1C83">
        <w:t>proposed shelf</w:t>
      </w:r>
      <w:r w:rsidR="00B76D05">
        <w:t xml:space="preserve"> </w:t>
      </w:r>
      <w:r w:rsidRPr="00AE1C83">
        <w:t xml:space="preserve">life </w:t>
      </w:r>
      <w:r w:rsidR="005B4183">
        <w:t>is</w:t>
      </w:r>
      <w:r w:rsidRPr="00AE1C83">
        <w:t xml:space="preserve"> </w:t>
      </w:r>
      <w:r>
        <w:t>30</w:t>
      </w:r>
      <w:r w:rsidRPr="00AE1C83">
        <w:t xml:space="preserve"> months </w:t>
      </w:r>
      <w:r w:rsidR="005B4183">
        <w:t>at</w:t>
      </w:r>
      <w:r w:rsidRPr="00AE1C83">
        <w:t xml:space="preserve"> </w:t>
      </w:r>
      <w:r>
        <w:t xml:space="preserve">2 </w:t>
      </w:r>
      <w:r w:rsidR="00B76D05">
        <w:t>to</w:t>
      </w:r>
      <w:r>
        <w:t xml:space="preserve"> 8</w:t>
      </w:r>
      <w:r w:rsidRPr="00AE1C83">
        <w:t>°C</w:t>
      </w:r>
      <w:r>
        <w:t xml:space="preserve"> </w:t>
      </w:r>
      <w:r w:rsidR="005B4183">
        <w:t>and</w:t>
      </w:r>
      <w:r>
        <w:t xml:space="preserve"> protected from light.</w:t>
      </w:r>
    </w:p>
    <w:p w14:paraId="24AD5919" w14:textId="1E2C515F" w:rsidR="000A0A29" w:rsidRPr="005B4183" w:rsidRDefault="000A0A29" w:rsidP="005B4183">
      <w:r w:rsidRPr="00C843BC">
        <w:t>Stability data have been generated under stressed and real time conditions to characterise the stability profile of the product</w:t>
      </w:r>
      <w:r>
        <w:t xml:space="preserve"> and a shelf</w:t>
      </w:r>
      <w:r w:rsidR="00B76D05">
        <w:t xml:space="preserve"> </w:t>
      </w:r>
      <w:r>
        <w:t>life and the data supports a shelf</w:t>
      </w:r>
      <w:r w:rsidR="00B76D05">
        <w:t xml:space="preserve"> </w:t>
      </w:r>
      <w:r>
        <w:t>life of 30</w:t>
      </w:r>
      <w:r w:rsidR="00B76D05">
        <w:t> </w:t>
      </w:r>
      <w:r>
        <w:t xml:space="preserve">months stored at </w:t>
      </w:r>
      <w:r w:rsidRPr="00497281">
        <w:t xml:space="preserve">2 </w:t>
      </w:r>
      <w:r w:rsidR="00B76D05">
        <w:t>to</w:t>
      </w:r>
      <w:r w:rsidRPr="00497281">
        <w:t xml:space="preserve"> 8</w:t>
      </w:r>
      <w:r w:rsidRPr="00497281">
        <w:rPr>
          <w:rFonts w:asciiTheme="minorHAnsi" w:hAnsiTheme="minorHAnsi"/>
          <w:lang w:val="en-GB"/>
        </w:rPr>
        <w:t>°</w:t>
      </w:r>
      <w:r w:rsidRPr="00497281">
        <w:t>C</w:t>
      </w:r>
      <w:r>
        <w:t>.</w:t>
      </w:r>
      <w:r w:rsidRPr="00C843BC">
        <w:t xml:space="preserve"> Photostability data demonstrates that the product is not photostable</w:t>
      </w:r>
      <w:r>
        <w:t xml:space="preserve"> and it is recommended that the </w:t>
      </w:r>
      <w:r w:rsidRPr="005B4183">
        <w:t>product is stored protected from light.</w:t>
      </w:r>
    </w:p>
    <w:p w14:paraId="293FDF3D" w14:textId="25A9A1BD" w:rsidR="000A0A29" w:rsidRPr="005B4183" w:rsidRDefault="000A0A29" w:rsidP="005B4183">
      <w:r w:rsidRPr="005B4183">
        <w:t>Stability studies have been conduct</w:t>
      </w:r>
      <w:r w:rsidR="005B4183" w:rsidRPr="005B4183">
        <w:t>ed in accordance with relevant International Council for Harmonisation</w:t>
      </w:r>
      <w:r w:rsidR="00B76D05">
        <w:t xml:space="preserve"> (ICH)</w:t>
      </w:r>
      <w:r w:rsidR="005B4183" w:rsidRPr="005B4183">
        <w:t xml:space="preserve"> </w:t>
      </w:r>
      <w:r w:rsidR="00B76D05">
        <w:t xml:space="preserve">guidelines for the </w:t>
      </w:r>
      <w:r w:rsidR="005B4183" w:rsidRPr="005B4183">
        <w:t>Technical Requirements for Pharmaceuticals for Human Use</w:t>
      </w:r>
      <w:r w:rsidR="00B76D05">
        <w:t>.</w:t>
      </w:r>
    </w:p>
    <w:p w14:paraId="1263E1C2" w14:textId="4BC5B559" w:rsidR="000A0A29" w:rsidRPr="00006E3B" w:rsidRDefault="000A0A29" w:rsidP="000A0A29">
      <w:r w:rsidRPr="00006E3B">
        <w:t xml:space="preserve">There are no </w:t>
      </w:r>
      <w:r>
        <w:t xml:space="preserve">outstanding </w:t>
      </w:r>
      <w:r w:rsidRPr="00006E3B">
        <w:t xml:space="preserve">issues pertaining to stability of </w:t>
      </w:r>
      <w:r w:rsidR="00B76D05">
        <w:t>the d</w:t>
      </w:r>
      <w:r w:rsidR="00B76D05" w:rsidRPr="00006E3B">
        <w:t xml:space="preserve">rug </w:t>
      </w:r>
      <w:r w:rsidR="00B76D05">
        <w:t>s</w:t>
      </w:r>
      <w:r w:rsidR="00B76D05" w:rsidRPr="00006E3B">
        <w:t xml:space="preserve">ubstance </w:t>
      </w:r>
      <w:r w:rsidRPr="00006E3B">
        <w:t xml:space="preserve">and </w:t>
      </w:r>
      <w:r w:rsidR="00B76D05">
        <w:t>d</w:t>
      </w:r>
      <w:r w:rsidRPr="00006E3B">
        <w:t xml:space="preserve">rug </w:t>
      </w:r>
      <w:r w:rsidR="00B76D05">
        <w:t>p</w:t>
      </w:r>
      <w:r w:rsidRPr="00006E3B">
        <w:t>roduct.</w:t>
      </w:r>
    </w:p>
    <w:p w14:paraId="1CD8849A" w14:textId="77777777" w:rsidR="000A0A29" w:rsidRDefault="000A0A29" w:rsidP="000A0A29">
      <w:r w:rsidRPr="00EF2833">
        <w:t>There are no objections to the registration of this product from sterility; endotoxin, container safety and viral safety related aspects.</w:t>
      </w:r>
    </w:p>
    <w:p w14:paraId="3963D978" w14:textId="77777777" w:rsidR="00955C7C" w:rsidRPr="00BC7180" w:rsidRDefault="00955C7C" w:rsidP="00955C7C">
      <w:pPr>
        <w:pStyle w:val="Heading4"/>
      </w:pPr>
      <w:bookmarkStart w:id="36" w:name="_Toc491440823"/>
      <w:r w:rsidRPr="00BC7180">
        <w:t>Recommendation to the Delegate</w:t>
      </w:r>
      <w:bookmarkEnd w:id="36"/>
    </w:p>
    <w:p w14:paraId="469A9C0C" w14:textId="7ACAF42A" w:rsidR="00955C7C" w:rsidRPr="00BC7180" w:rsidRDefault="00955C7C" w:rsidP="00955C7C">
      <w:r w:rsidRPr="00BC7180">
        <w:t xml:space="preserve">There are no objections on quality grounds to the approval of </w:t>
      </w:r>
      <w:r w:rsidR="00A7732A" w:rsidRPr="00BC7180">
        <w:t xml:space="preserve">Ultomiris </w:t>
      </w:r>
      <w:r w:rsidRPr="00BC7180">
        <w:t xml:space="preserve">ravulizumab 10 mg/mL concentrated solution for </w:t>
      </w:r>
      <w:r>
        <w:t>i</w:t>
      </w:r>
      <w:r w:rsidRPr="00BC7180">
        <w:t>ntravenous infusion</w:t>
      </w:r>
      <w:r w:rsidR="00A7732A">
        <w:t>. The following conditions of registration are recommended</w:t>
      </w:r>
      <w:r w:rsidR="00B76D05">
        <w:t>.</w:t>
      </w:r>
    </w:p>
    <w:p w14:paraId="34614ED4" w14:textId="77777777" w:rsidR="00955C7C" w:rsidRPr="00BC7180" w:rsidRDefault="00955C7C" w:rsidP="00A7732A">
      <w:pPr>
        <w:pStyle w:val="Heading5"/>
      </w:pPr>
      <w:bookmarkStart w:id="37" w:name="_Toc491440825"/>
      <w:r w:rsidRPr="00BC7180">
        <w:t>Proposed conditions of registration</w:t>
      </w:r>
      <w:bookmarkEnd w:id="37"/>
    </w:p>
    <w:p w14:paraId="1419E606" w14:textId="5705F17B" w:rsidR="00955C7C" w:rsidRPr="00A7732A" w:rsidRDefault="00955C7C" w:rsidP="00A7732A">
      <w:pPr>
        <w:pStyle w:val="Heading6"/>
      </w:pPr>
      <w:r w:rsidRPr="00A7732A">
        <w:t xml:space="preserve">Batch release testing </w:t>
      </w:r>
      <w:r w:rsidR="00B76D05">
        <w:t>and</w:t>
      </w:r>
      <w:r w:rsidRPr="00A7732A">
        <w:t xml:space="preserve"> compliance with Certified Product Details (CPD)</w:t>
      </w:r>
    </w:p>
    <w:p w14:paraId="409A20D6" w14:textId="77777777" w:rsidR="00955C7C" w:rsidRPr="00A7732A" w:rsidRDefault="00955C7C" w:rsidP="004738F2">
      <w:pPr>
        <w:pStyle w:val="ListBullet"/>
      </w:pPr>
      <w:r w:rsidRPr="00A7732A">
        <w:t xml:space="preserve">It is a condition of registration that all batches of </w:t>
      </w:r>
      <w:r w:rsidR="00A7732A" w:rsidRPr="00A7732A">
        <w:rPr>
          <w:bCs/>
        </w:rPr>
        <w:t xml:space="preserve">Ultomiris </w:t>
      </w:r>
      <w:r w:rsidRPr="00A7732A">
        <w:rPr>
          <w:bCs/>
        </w:rPr>
        <w:t xml:space="preserve">ravulizumab 10 mg/mL </w:t>
      </w:r>
      <w:r w:rsidRPr="00A7732A">
        <w:t>imported into/manufactured in Australia must comply with the product details and specifications approved during evaluation and detailed in the Certified Product Details (CPD).</w:t>
      </w:r>
    </w:p>
    <w:p w14:paraId="73EA9578" w14:textId="77777777" w:rsidR="00955C7C" w:rsidRPr="00A7732A" w:rsidRDefault="00955C7C" w:rsidP="004738F2">
      <w:pPr>
        <w:pStyle w:val="ListBullet"/>
      </w:pPr>
      <w:r w:rsidRPr="00A7732A">
        <w:t xml:space="preserve">It is a condition of registration that each batch of </w:t>
      </w:r>
      <w:r w:rsidR="00A7732A" w:rsidRPr="00A7732A">
        <w:rPr>
          <w:bCs/>
        </w:rPr>
        <w:t xml:space="preserve">Ultomiris </w:t>
      </w:r>
      <w:r w:rsidRPr="00A7732A">
        <w:rPr>
          <w:bCs/>
        </w:rPr>
        <w:t>ravulizumab 10 mg/mL</w:t>
      </w:r>
      <w:r w:rsidRPr="00A7732A">
        <w:t xml:space="preserve">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097513BC" w14:textId="55E031B3" w:rsidR="00955C7C" w:rsidRPr="00A7732A" w:rsidRDefault="00955C7C" w:rsidP="004738F2">
      <w:pPr>
        <w:pStyle w:val="ListBullet"/>
      </w:pPr>
      <w:r w:rsidRPr="00A7732A">
        <w:t xml:space="preserve">The sponsor should be prepared to provide product samples, reference materials and documentary evidence as defined by the TGA Laboratories branch. The sponsor must contact </w:t>
      </w:r>
      <w:hyperlink r:id="rId19" w:history="1">
        <w:r w:rsidRPr="00A7732A">
          <w:rPr>
            <w:rFonts w:asciiTheme="minorHAnsi" w:hAnsiTheme="minorHAnsi"/>
          </w:rPr>
          <w:t>Biochemistry.Testing@health.gov.au</w:t>
        </w:r>
      </w:hyperlink>
      <w:r w:rsidRPr="00A7732A">
        <w:t xml:space="preserve"> for specific material requirements related to the batch release testing/assessment of the product. More information on TGA testing of biological medicines is available at </w:t>
      </w:r>
      <w:r w:rsidR="00B76D05" w:rsidRPr="00050ABC">
        <w:t>https://www.tga.gov.au/publication/testing-biological-medicines</w:t>
      </w:r>
      <w:r w:rsidRPr="00A7732A">
        <w:t>.</w:t>
      </w:r>
    </w:p>
    <w:p w14:paraId="6B82BF94" w14:textId="77777777" w:rsidR="00955C7C" w:rsidRPr="00A7732A" w:rsidRDefault="00955C7C" w:rsidP="004738F2">
      <w:pPr>
        <w:pStyle w:val="ListBullet"/>
      </w:pPr>
      <w:r w:rsidRPr="00A7732A">
        <w:lastRenderedPageBreak/>
        <w:t>This batch release condition will be reviewed and may be modified on the basis of actual batch quality and consistency. This condition remains in place until you are notified in writing of any variation.</w:t>
      </w:r>
    </w:p>
    <w:p w14:paraId="11FC7805" w14:textId="77777777" w:rsidR="00955C7C" w:rsidRPr="00BC7180" w:rsidRDefault="00955C7C" w:rsidP="00A7732A">
      <w:pPr>
        <w:pStyle w:val="Heading6"/>
      </w:pPr>
      <w:bookmarkStart w:id="38" w:name="_Toc491440826"/>
      <w:r w:rsidRPr="00BC7180">
        <w:t>Certified Product Details</w:t>
      </w:r>
      <w:bookmarkEnd w:id="38"/>
    </w:p>
    <w:p w14:paraId="1D9516FC" w14:textId="5AF4721A" w:rsidR="00955C7C" w:rsidRPr="00A7732A" w:rsidRDefault="00955C7C" w:rsidP="00A7732A">
      <w:r w:rsidRPr="00A7732A">
        <w:t>The Certified Product Details (CPD), as described in Guidance 7: Certified Product Details of the Australian Regulatory Guidelines for Prescription Medicines (ARGPM) [</w:t>
      </w:r>
      <w:r w:rsidR="00B76D05">
        <w:rPr>
          <w:rStyle w:val="Hyperlink"/>
          <w:color w:val="auto"/>
        </w:rPr>
        <w:t>(</w:t>
      </w:r>
      <w:r w:rsidR="00B76D05" w:rsidRPr="00050ABC">
        <w:t>http://www.tga.gov.au/industry/pm-argpm-guidance-7.htm</w:t>
      </w:r>
      <w:r w:rsidR="00B76D05">
        <w:t>)</w:t>
      </w:r>
      <w:r w:rsidRPr="00A7732A">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B9F79BD" w14:textId="77777777" w:rsidR="008E7846" w:rsidRDefault="008E7846" w:rsidP="008E7846">
      <w:pPr>
        <w:pStyle w:val="Heading3"/>
      </w:pPr>
      <w:bookmarkStart w:id="39" w:name="_Toc314842512"/>
      <w:bookmarkStart w:id="40" w:name="_Toc24611063"/>
      <w:r>
        <w:t>Nonclinical</w:t>
      </w:r>
      <w:bookmarkEnd w:id="39"/>
      <w:bookmarkEnd w:id="40"/>
    </w:p>
    <w:p w14:paraId="300E50B5" w14:textId="77777777" w:rsidR="00BA6D39" w:rsidRDefault="00BA6D39" w:rsidP="008D47D9">
      <w:r>
        <w:t>The toxicology assessment noted that ravulizumab is highly related to eculizumab, but has higher affinity for the target at low pH (6.0) which promotes recycling of endocytosed antigen back into the vascular compartment. This increases the circulating half-life for ravulizumab and allows for the extended dosing interval compared to eculizumab.</w:t>
      </w:r>
    </w:p>
    <w:p w14:paraId="303AEBC6" w14:textId="77777777" w:rsidR="00BA6D39" w:rsidRDefault="00BA6D39" w:rsidP="00BA6D39">
      <w:pPr>
        <w:spacing w:before="0" w:after="0" w:line="240" w:lineRule="auto"/>
        <w:rPr>
          <w:rFonts w:asciiTheme="minorHAnsi" w:hAnsiTheme="minorHAnsi"/>
        </w:rPr>
      </w:pPr>
      <w:r>
        <w:rPr>
          <w:rFonts w:asciiTheme="minorHAnsi" w:hAnsiTheme="minorHAnsi"/>
        </w:rPr>
        <w:t>Ravulizumab only recognises human C5 antigen and so direct trials in laboratory animals were not possible. Studies were performed in mice using a murine surrogate antibody. This did not indicate any safety or toxicity issues at 26 weeks.</w:t>
      </w:r>
    </w:p>
    <w:p w14:paraId="5F73D15C" w14:textId="77777777" w:rsidR="00DC1948" w:rsidRPr="00DC1948" w:rsidRDefault="00BA6D39" w:rsidP="008D47D9">
      <w:r>
        <w:t xml:space="preserve">The </w:t>
      </w:r>
      <w:r w:rsidR="005B4183">
        <w:t>nonclinical</w:t>
      </w:r>
      <w:r>
        <w:t xml:space="preserve"> </w:t>
      </w:r>
      <w:r w:rsidR="005B4183">
        <w:t>e</w:t>
      </w:r>
      <w:r>
        <w:t>valuator concluded that there were no issues identified to precl</w:t>
      </w:r>
      <w:r w:rsidR="00F80E11">
        <w:t>ude registration of ravulizumab</w:t>
      </w:r>
      <w:r>
        <w:t xml:space="preserve"> pending amendments to the </w:t>
      </w:r>
      <w:r w:rsidR="00F80E11">
        <w:t>draft PI</w:t>
      </w:r>
      <w:r w:rsidR="005B4183">
        <w:t xml:space="preserve"> </w:t>
      </w:r>
      <w:r w:rsidR="00F80E11">
        <w:t xml:space="preserve">document </w:t>
      </w:r>
      <w:r w:rsidR="005B4183">
        <w:t>the details of which are beyond the scope of this AusPAR</w:t>
      </w:r>
      <w:r>
        <w:t>.</w:t>
      </w:r>
    </w:p>
    <w:p w14:paraId="7933ACBB" w14:textId="77777777" w:rsidR="008E7846" w:rsidRDefault="008E7846" w:rsidP="008E7846">
      <w:pPr>
        <w:pStyle w:val="Heading3"/>
      </w:pPr>
      <w:bookmarkStart w:id="41" w:name="_Toc247691530"/>
      <w:bookmarkStart w:id="42" w:name="_Toc314842513"/>
      <w:bookmarkStart w:id="43" w:name="_Toc24611064"/>
      <w:r>
        <w:t>Clinical</w:t>
      </w:r>
      <w:bookmarkEnd w:id="41"/>
      <w:bookmarkEnd w:id="42"/>
      <w:bookmarkEnd w:id="43"/>
    </w:p>
    <w:p w14:paraId="4E767ADE" w14:textId="77777777" w:rsidR="002F3F55" w:rsidRDefault="002F3F55" w:rsidP="002F3F55">
      <w:pPr>
        <w:pStyle w:val="Heading4"/>
      </w:pPr>
      <w:bookmarkStart w:id="44" w:name="_Toc314842514"/>
      <w:r w:rsidRPr="003F08CF">
        <w:t>Pharmacology</w:t>
      </w:r>
    </w:p>
    <w:p w14:paraId="32547715" w14:textId="60008AAC" w:rsidR="002F3F55" w:rsidRDefault="002F3F55" w:rsidP="008D47D9">
      <w:r>
        <w:t>Pharmacokinetics</w:t>
      </w:r>
      <w:r w:rsidR="00B76D05">
        <w:t xml:space="preserve"> (PK)</w:t>
      </w:r>
      <w:r>
        <w:t xml:space="preserve"> was examined in five studies, three of which were in healthy volunteers and two of which were in patients with PNH. Population pharmacokinetic analysis indicated that steady-state concentrations were achieved after an initial loading dose and sustained with an 8</w:t>
      </w:r>
      <w:r w:rsidR="006C5C04">
        <w:t xml:space="preserve"> </w:t>
      </w:r>
      <w:r>
        <w:t>weekly dosing interval.</w:t>
      </w:r>
      <w:r w:rsidR="00897CD7">
        <w:t xml:space="preserve"> </w:t>
      </w:r>
      <w:r>
        <w:t>Plasma concentrations were dose proportional across then range studied (200</w:t>
      </w:r>
      <w:r w:rsidR="00B76D05">
        <w:t xml:space="preserve"> to </w:t>
      </w:r>
      <w:r>
        <w:t>5400</w:t>
      </w:r>
      <w:r w:rsidR="006C5C04">
        <w:t xml:space="preserve"> </w:t>
      </w:r>
      <w:r>
        <w:t>mg) up to 12 weeks of therapy</w:t>
      </w:r>
      <w:r w:rsidR="007B7518">
        <w:t xml:space="preserve"> (</w:t>
      </w:r>
      <w:r w:rsidR="00B76D05">
        <w:t>see </w:t>
      </w:r>
      <w:r w:rsidR="007B7518">
        <w:t>Table 2)</w:t>
      </w:r>
      <w:r>
        <w:t>.</w:t>
      </w:r>
    </w:p>
    <w:p w14:paraId="6D6931B3" w14:textId="21CDD5DE" w:rsidR="008D47D9" w:rsidRDefault="008D47D9" w:rsidP="008D47D9">
      <w:pPr>
        <w:pStyle w:val="TableTitle"/>
      </w:pPr>
      <w:r>
        <w:lastRenderedPageBreak/>
        <w:t xml:space="preserve">Table 2: </w:t>
      </w:r>
      <w:r w:rsidRPr="006E2FD3">
        <w:rPr>
          <w:rFonts w:asciiTheme="minorHAnsi" w:hAnsiTheme="minorHAnsi"/>
        </w:rPr>
        <w:t xml:space="preserve">Pharmacokinetic parameters for </w:t>
      </w:r>
      <w:r w:rsidR="00B76D05">
        <w:rPr>
          <w:rFonts w:asciiTheme="minorHAnsi" w:hAnsiTheme="minorHAnsi"/>
        </w:rPr>
        <w:t>r</w:t>
      </w:r>
      <w:r w:rsidR="00B76D05" w:rsidRPr="006E2FD3">
        <w:rPr>
          <w:rFonts w:asciiTheme="minorHAnsi" w:hAnsiTheme="minorHAnsi"/>
        </w:rPr>
        <w:t xml:space="preserve">avulizumab </w:t>
      </w:r>
      <w:r w:rsidRPr="006E2FD3">
        <w:rPr>
          <w:rFonts w:asciiTheme="minorHAnsi" w:hAnsiTheme="minorHAnsi"/>
        </w:rPr>
        <w:t>in healthy volunteers and PNH patients</w:t>
      </w:r>
    </w:p>
    <w:p w14:paraId="77A48E65" w14:textId="77777777" w:rsidR="002F3F55" w:rsidRPr="008D47D9" w:rsidRDefault="002512A0" w:rsidP="002512A0">
      <w:pPr>
        <w:spacing w:before="0" w:after="0" w:line="240" w:lineRule="auto"/>
      </w:pPr>
      <w:r>
        <w:rPr>
          <w:noProof/>
          <w:lang w:eastAsia="en-AU"/>
        </w:rPr>
        <w:drawing>
          <wp:inline distT="0" distB="0" distL="0" distR="0" wp14:anchorId="56801C35" wp14:editId="0BC6FE37">
            <wp:extent cx="4228491" cy="4604004"/>
            <wp:effectExtent l="0" t="0" r="635" b="6350"/>
            <wp:docPr id="2" name="Picture 2" descr="Pharmacokinetic parameters for Ravulizumab in healthy volunteers and PN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b="620"/>
                    <a:stretch/>
                  </pic:blipFill>
                  <pic:spPr bwMode="auto">
                    <a:xfrm>
                      <a:off x="0" y="0"/>
                      <a:ext cx="4235922" cy="4612095"/>
                    </a:xfrm>
                    <a:prstGeom prst="rect">
                      <a:avLst/>
                    </a:prstGeom>
                    <a:ln>
                      <a:noFill/>
                    </a:ln>
                    <a:extLst>
                      <a:ext uri="{53640926-AAD7-44D8-BBD7-CCE9431645EC}">
                        <a14:shadowObscured xmlns:a14="http://schemas.microsoft.com/office/drawing/2010/main"/>
                      </a:ext>
                    </a:extLst>
                  </pic:spPr>
                </pic:pic>
              </a:graphicData>
            </a:graphic>
          </wp:inline>
        </w:drawing>
      </w:r>
    </w:p>
    <w:p w14:paraId="7EF7A7F5" w14:textId="77777777" w:rsidR="002F3F55" w:rsidRDefault="002F3F55" w:rsidP="002F3F55">
      <w:r>
        <w:t>There was no relevant difference in pharmacokinetic variables between healthy vo</w:t>
      </w:r>
      <w:r w:rsidR="006C5C04">
        <w:t>lunteers and patients with PNH.</w:t>
      </w:r>
    </w:p>
    <w:p w14:paraId="7DF3582A" w14:textId="77777777" w:rsidR="002F3F55" w:rsidRDefault="002F3F55" w:rsidP="002F3F55">
      <w:r>
        <w:t>No specific studies were performed on drug interactions or in special populations.</w:t>
      </w:r>
    </w:p>
    <w:p w14:paraId="7B8A2E54" w14:textId="5B320548" w:rsidR="002F3F55" w:rsidRDefault="002F3F55" w:rsidP="002F3F55">
      <w:r>
        <w:t>A number of pharmacodynamic</w:t>
      </w:r>
      <w:r w:rsidR="00B76D05">
        <w:t xml:space="preserve"> (PD)</w:t>
      </w:r>
      <w:r>
        <w:t xml:space="preserve"> endpoints were examined in the efficacy studies. These included free C5 concentration, serum </w:t>
      </w:r>
      <w:r w:rsidR="006C5C04">
        <w:t>l</w:t>
      </w:r>
      <w:r>
        <w:t xml:space="preserve">actate dehydrogenase (LDH) concentration, and in vitro chicken RBC haemolysis. These all indicated improvements in patients receiving </w:t>
      </w:r>
      <w:r w:rsidR="006C5C04">
        <w:t>r</w:t>
      </w:r>
      <w:r>
        <w:t>avulizumab compared to their baseline.</w:t>
      </w:r>
    </w:p>
    <w:p w14:paraId="7F203C15" w14:textId="77777777" w:rsidR="002F3F55" w:rsidRDefault="002F3F55" w:rsidP="002F3F55">
      <w:pPr>
        <w:pStyle w:val="Heading4"/>
      </w:pPr>
      <w:r w:rsidRPr="003F08CF">
        <w:t>Efficacy</w:t>
      </w:r>
    </w:p>
    <w:p w14:paraId="12ADDD4E" w14:textId="77777777" w:rsidR="002F3F55" w:rsidRDefault="002F3F55" w:rsidP="008D47D9">
      <w:r>
        <w:t xml:space="preserve">Two pivotal studies, </w:t>
      </w:r>
      <w:r w:rsidR="006C5C04">
        <w:t xml:space="preserve">Studies </w:t>
      </w:r>
      <w:r>
        <w:t xml:space="preserve">ALXN1210-PNH-301 (Study 301) and ALXN1210-PNH-302 (Study 302) examined the efficacy of </w:t>
      </w:r>
      <w:r w:rsidR="006C5C04">
        <w:t>r</w:t>
      </w:r>
      <w:r>
        <w:t>avulizumab in treatment naïve and eculizumab</w:t>
      </w:r>
      <w:r w:rsidR="006C5C04">
        <w:t xml:space="preserve"> </w:t>
      </w:r>
      <w:r>
        <w:t>treated patients respectively. Both trials were non-inferiori</w:t>
      </w:r>
      <w:r w:rsidR="008D47D9">
        <w:t>ty comparisons with eculizumab.</w:t>
      </w:r>
      <w:r w:rsidR="006C5C04">
        <w:t xml:space="preserve"> A summary of the endpoints in the two studies are detailed in Table 3 below.</w:t>
      </w:r>
    </w:p>
    <w:p w14:paraId="330FAD90" w14:textId="77777777" w:rsidR="008D47D9" w:rsidRDefault="008D47D9" w:rsidP="00F80E11">
      <w:pPr>
        <w:pStyle w:val="TableTitle"/>
      </w:pPr>
      <w:r w:rsidRPr="003C2DC2">
        <w:lastRenderedPageBreak/>
        <w:t xml:space="preserve">Table </w:t>
      </w:r>
      <w:r>
        <w:t>3</w:t>
      </w:r>
      <w:r w:rsidRPr="003C2DC2">
        <w:t>: Summary of endpoints in pivotal efficacy trials</w:t>
      </w:r>
      <w:r w:rsidR="00F15718">
        <w:rPr>
          <w:rStyle w:val="FootnoteReference"/>
          <w:rFonts w:asciiTheme="minorHAnsi" w:hAnsiTheme="minorHAnsi"/>
          <w:b w:val="0"/>
        </w:rPr>
        <w:footnoteReference w:id="1"/>
      </w:r>
    </w:p>
    <w:p w14:paraId="7B8237F0" w14:textId="77777777" w:rsidR="002F3F55" w:rsidRDefault="002F3F55" w:rsidP="006C5C04">
      <w:r>
        <w:rPr>
          <w:noProof/>
          <w:lang w:eastAsia="en-AU"/>
        </w:rPr>
        <w:drawing>
          <wp:inline distT="0" distB="0" distL="0" distR="0" wp14:anchorId="6C13391A" wp14:editId="38829255">
            <wp:extent cx="5399532" cy="3308928"/>
            <wp:effectExtent l="19050" t="19050" r="10795" b="25400"/>
            <wp:docPr id="5" name="Picture 5" descr="Summary of endpoints in pivotal efficac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4712" cy="3312103"/>
                    </a:xfrm>
                    <a:prstGeom prst="rect">
                      <a:avLst/>
                    </a:prstGeom>
                    <a:noFill/>
                    <a:ln>
                      <a:solidFill>
                        <a:schemeClr val="accent1"/>
                      </a:solidFill>
                    </a:ln>
                  </pic:spPr>
                </pic:pic>
              </a:graphicData>
            </a:graphic>
          </wp:inline>
        </w:drawing>
      </w:r>
    </w:p>
    <w:p w14:paraId="4DA8EF18" w14:textId="77777777" w:rsidR="006C5C04" w:rsidRDefault="002F3F55" w:rsidP="006C5C04">
      <w:pPr>
        <w:pStyle w:val="Heading5"/>
      </w:pPr>
      <w:r w:rsidRPr="00A018AE">
        <w:t>Study 301</w:t>
      </w:r>
    </w:p>
    <w:p w14:paraId="64E93DC3" w14:textId="77777777" w:rsidR="006C5C04" w:rsidRDefault="006C5C04" w:rsidP="002F3F55">
      <w:r>
        <w:t xml:space="preserve">This study </w:t>
      </w:r>
      <w:r w:rsidR="002F3F55">
        <w:t xml:space="preserve">enrolled 214 patients randomised 1:1 to receive ravulizumab or eculizumab over a </w:t>
      </w:r>
      <w:r w:rsidR="00AA5040">
        <w:t>26 week</w:t>
      </w:r>
      <w:r w:rsidR="002F3F55">
        <w:t xml:space="preserve"> period of randomised therapy, followed by an open extension period of up to 2 years (ongoing). Enrolled patients were adults with PNH who had not received complement inhibitor therapy (eculizumab or ravulizumab) prior to the trial. The primary endpoints of the study were</w:t>
      </w:r>
      <w:r>
        <w:t>:</w:t>
      </w:r>
    </w:p>
    <w:p w14:paraId="62F35E12" w14:textId="1AE00745" w:rsidR="006C5C04" w:rsidRDefault="0038312F" w:rsidP="00050ABC">
      <w:pPr>
        <w:pStyle w:val="ListBullet"/>
      </w:pPr>
      <w:r>
        <w:t xml:space="preserve">transfusion </w:t>
      </w:r>
      <w:r w:rsidR="006C5C04">
        <w:t>avoidance (TA)</w:t>
      </w:r>
      <w:r>
        <w:t>;</w:t>
      </w:r>
      <w:r w:rsidR="006C5C04">
        <w:t xml:space="preserve"> and</w:t>
      </w:r>
    </w:p>
    <w:p w14:paraId="2D6CB886" w14:textId="1F83A8BA" w:rsidR="002F3F55" w:rsidRDefault="0038312F" w:rsidP="00050ABC">
      <w:pPr>
        <w:pStyle w:val="ListBullet"/>
      </w:pPr>
      <w:r>
        <w:t>haemolysis.</w:t>
      </w:r>
    </w:p>
    <w:p w14:paraId="3EEFBA4E" w14:textId="79EF064F" w:rsidR="002F3F55" w:rsidRDefault="002F3F55" w:rsidP="002F3F55">
      <w:r>
        <w:t xml:space="preserve">TA was defined as the proportion of patients who remain transfusion free and do not require a RBC transfusion at </w:t>
      </w:r>
      <w:r w:rsidR="006C5C04">
        <w:t>W</w:t>
      </w:r>
      <w:r>
        <w:t xml:space="preserve">eek 26. The need for transfusion was defined as </w:t>
      </w:r>
      <w:r w:rsidR="006C5C04">
        <w:t>haemoglobin (</w:t>
      </w:r>
      <w:r>
        <w:t>Hb</w:t>
      </w:r>
      <w:r w:rsidR="006C5C04">
        <w:t xml:space="preserve">) </w:t>
      </w:r>
      <w:r>
        <w:t>&lt;</w:t>
      </w:r>
      <w:r w:rsidR="006C5C04">
        <w:t xml:space="preserve"> </w:t>
      </w:r>
      <w:r>
        <w:t>9 g/dL with symptoms</w:t>
      </w:r>
      <w:r w:rsidR="0038312F">
        <w:t>;</w:t>
      </w:r>
      <w:r>
        <w:t xml:space="preserve"> or &lt;</w:t>
      </w:r>
      <w:r w:rsidR="0038312F">
        <w:t xml:space="preserve"> </w:t>
      </w:r>
      <w:r>
        <w:t>7 g/dL regardless of symptoms. Haemolysis was measured through normalisation of plasma LDH.</w:t>
      </w:r>
    </w:p>
    <w:p w14:paraId="0DCB2312" w14:textId="2E05883D" w:rsidR="007B7518" w:rsidRPr="00CB2017" w:rsidRDefault="007B7518" w:rsidP="007B7518">
      <w:r>
        <w:t>Some 73.6% and 66.1% of the patients on ravulizumab and eculizumab respectively remained transfusion free over 26 weeks; a difference of 6.8% (95%</w:t>
      </w:r>
      <w:r w:rsidR="0038312F">
        <w:t xml:space="preserve"> confidence interval (</w:t>
      </w:r>
      <w:r>
        <w:t>CI</w:t>
      </w:r>
      <w:r w:rsidR="0038312F">
        <w:t>)</w:t>
      </w:r>
      <w:r>
        <w:t xml:space="preserve"> -4.66 to 18.14%) (</w:t>
      </w:r>
      <w:r w:rsidR="0038312F">
        <w:t xml:space="preserve">see </w:t>
      </w:r>
      <w:r>
        <w:t xml:space="preserve">Figure 3). The prevalence of normalised LDH levels was 0.536 and 0.494 in the ravulizumab and eculizumab treated patients respectively; an </w:t>
      </w:r>
      <w:r w:rsidR="0038312F">
        <w:t>o</w:t>
      </w:r>
      <w:r>
        <w:t xml:space="preserve">dds </w:t>
      </w:r>
      <w:r w:rsidR="0038312F">
        <w:t>r</w:t>
      </w:r>
      <w:r>
        <w:t>atio</w:t>
      </w:r>
      <w:r w:rsidR="0038312F">
        <w:t xml:space="preserve"> (OR)</w:t>
      </w:r>
      <w:r>
        <w:t xml:space="preserve"> of 1.18 (95%CI 0.796</w:t>
      </w:r>
      <w:r w:rsidR="0038312F">
        <w:t xml:space="preserve"> to </w:t>
      </w:r>
      <w:r>
        <w:t>17.769) in favour of ravulizumab.</w:t>
      </w:r>
    </w:p>
    <w:p w14:paraId="450D301F" w14:textId="77777777" w:rsidR="008D47D9" w:rsidRPr="00A018AE" w:rsidRDefault="008D47D9" w:rsidP="008D47D9">
      <w:pPr>
        <w:pStyle w:val="FigureTitle"/>
      </w:pPr>
      <w:r>
        <w:lastRenderedPageBreak/>
        <w:t>F</w:t>
      </w:r>
      <w:r w:rsidRPr="00A018AE">
        <w:t xml:space="preserve">igure </w:t>
      </w:r>
      <w:r>
        <w:t>3</w:t>
      </w:r>
      <w:r w:rsidRPr="00A018AE">
        <w:t xml:space="preserve">: Comparative efficacy for </w:t>
      </w:r>
      <w:r>
        <w:t>primary endpoints in Study 301</w:t>
      </w:r>
    </w:p>
    <w:p w14:paraId="25FBF326" w14:textId="77777777" w:rsidR="002F3F55" w:rsidRDefault="002F3F55" w:rsidP="008D47D9">
      <w:r>
        <w:rPr>
          <w:noProof/>
          <w:lang w:eastAsia="en-AU"/>
        </w:rPr>
        <w:drawing>
          <wp:inline distT="0" distB="0" distL="0" distR="0" wp14:anchorId="04349256" wp14:editId="6FDE9D58">
            <wp:extent cx="5357295" cy="3223260"/>
            <wp:effectExtent l="19050" t="19050" r="15240" b="15240"/>
            <wp:docPr id="10" name="Picture 10" descr="Comparative efficacy for primary endpoints in Study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r="2415"/>
                    <a:stretch/>
                  </pic:blipFill>
                  <pic:spPr bwMode="auto">
                    <a:xfrm>
                      <a:off x="0" y="0"/>
                      <a:ext cx="5365457" cy="3228171"/>
                    </a:xfrm>
                    <a:prstGeom prst="rect">
                      <a:avLst/>
                    </a:prstGeom>
                    <a:noFill/>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ABC322" w14:textId="77777777" w:rsidR="006C5C04" w:rsidRDefault="002F3F55" w:rsidP="006C5C04">
      <w:pPr>
        <w:pStyle w:val="Heading5"/>
      </w:pPr>
      <w:r>
        <w:t>Study 302</w:t>
      </w:r>
    </w:p>
    <w:p w14:paraId="5169D062" w14:textId="74569152" w:rsidR="002F3F55" w:rsidRDefault="006C5C04" w:rsidP="000A0A29">
      <w:r w:rsidRPr="006C5C04">
        <w:t>This</w:t>
      </w:r>
      <w:r>
        <w:rPr>
          <w:b/>
        </w:rPr>
        <w:t xml:space="preserve"> </w:t>
      </w:r>
      <w:r w:rsidR="002F3F55">
        <w:t xml:space="preserve">was a similar </w:t>
      </w:r>
      <w:r w:rsidR="00AA5040">
        <w:t>26 week</w:t>
      </w:r>
      <w:r w:rsidR="002F3F55">
        <w:t xml:space="preserve"> study in which 208 patients were enrolled a randomised 1:1 to receive ravulizumab or eculizumab. Enrolled patients were stable (LDH</w:t>
      </w:r>
      <w:r w:rsidR="0038312F">
        <w:t xml:space="preserve"> </w:t>
      </w:r>
      <w:r w:rsidR="002F3F55">
        <w:t>&lt;</w:t>
      </w:r>
      <w:r w:rsidR="0038312F">
        <w:t xml:space="preserve"> </w:t>
      </w:r>
      <w:r w:rsidR="002F3F55">
        <w:t xml:space="preserve">1.5 </w:t>
      </w:r>
      <w:r>
        <w:t>upper limit of normal (</w:t>
      </w:r>
      <w:r w:rsidR="002F3F55">
        <w:t>ULN</w:t>
      </w:r>
      <w:r>
        <w:t>)</w:t>
      </w:r>
      <w:r w:rsidR="002F3F55">
        <w:t>) after six months of therapy with eculizumab. The primary endpoint was the perce</w:t>
      </w:r>
      <w:r w:rsidR="008D47D9">
        <w:t xml:space="preserve">nt change in LDH from </w:t>
      </w:r>
      <w:r w:rsidR="0038312F">
        <w:t>B</w:t>
      </w:r>
      <w:r w:rsidR="008D47D9">
        <w:t>aseline</w:t>
      </w:r>
      <w:r>
        <w:t xml:space="preserve"> (see Figure 4)</w:t>
      </w:r>
      <w:r w:rsidR="008D47D9">
        <w:t>.</w:t>
      </w:r>
    </w:p>
    <w:p w14:paraId="636C220E" w14:textId="77777777" w:rsidR="008D47D9" w:rsidRDefault="008D47D9" w:rsidP="008D47D9">
      <w:pPr>
        <w:pStyle w:val="FigureTitle"/>
      </w:pPr>
      <w:r w:rsidRPr="006E4DAF">
        <w:t xml:space="preserve">Figure </w:t>
      </w:r>
      <w:r>
        <w:t>4:</w:t>
      </w:r>
      <w:r w:rsidRPr="006E4DAF">
        <w:t xml:space="preserve"> Change in LDH over treatment </w:t>
      </w:r>
      <w:r>
        <w:t>period for comparator therapies</w:t>
      </w:r>
    </w:p>
    <w:p w14:paraId="466366DA" w14:textId="77777777" w:rsidR="002F3F55" w:rsidRDefault="002F3F55" w:rsidP="000A0A29">
      <w:r>
        <w:rPr>
          <w:noProof/>
          <w:lang w:eastAsia="en-AU"/>
        </w:rPr>
        <w:drawing>
          <wp:inline distT="0" distB="0" distL="0" distR="0" wp14:anchorId="4A472A56" wp14:editId="5A511C57">
            <wp:extent cx="5373379" cy="2952750"/>
            <wp:effectExtent l="19050" t="19050" r="17780" b="19050"/>
            <wp:docPr id="11" name="Picture 11" descr="Change in LDH over treatment period for comparato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lum/>
                      <a:extLst>
                        <a:ext uri="{28A0092B-C50C-407E-A947-70E740481C1C}">
                          <a14:useLocalDpi xmlns:a14="http://schemas.microsoft.com/office/drawing/2010/main" val="0"/>
                        </a:ext>
                      </a:extLst>
                    </a:blip>
                    <a:srcRect l="1782" r="6430"/>
                    <a:stretch/>
                  </pic:blipFill>
                  <pic:spPr bwMode="auto">
                    <a:xfrm>
                      <a:off x="0" y="0"/>
                      <a:ext cx="5381967" cy="2957469"/>
                    </a:xfrm>
                    <a:prstGeom prst="rect">
                      <a:avLst/>
                    </a:prstGeom>
                    <a:noFill/>
                    <a:ln w="9525" cap="flat" cmpd="sng" algn="ctr">
                      <a:solidFill>
                        <a:srgbClr val="002C4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6D8505" w14:textId="74B92373" w:rsidR="002F3F55" w:rsidRDefault="002F3F55" w:rsidP="002F3F55">
      <w:r>
        <w:t>Analysis of the LDH levels over the treatment period indicate</w:t>
      </w:r>
      <w:r w:rsidR="006C5C04">
        <w:t>d non-inferiority to eculizumab;</w:t>
      </w:r>
      <w:r>
        <w:t xml:space="preserve"> with a treatment difference of -9.21%</w:t>
      </w:r>
      <w:r w:rsidR="0038312F">
        <w:t xml:space="preserve"> </w:t>
      </w:r>
      <w:r>
        <w:t>(95% CI -18.84 to 0.42%) in favour of ravulizumab.</w:t>
      </w:r>
    </w:p>
    <w:p w14:paraId="7A950A1F" w14:textId="77777777" w:rsidR="002F3F55" w:rsidRDefault="002F3F55" w:rsidP="002F3F55">
      <w:pPr>
        <w:pStyle w:val="Heading4"/>
      </w:pPr>
      <w:r w:rsidRPr="003F08CF">
        <w:lastRenderedPageBreak/>
        <w:t>Safety</w:t>
      </w:r>
    </w:p>
    <w:p w14:paraId="42B24A76" w14:textId="77777777" w:rsidR="008D47D9" w:rsidRDefault="002F3F55" w:rsidP="002F3F55">
      <w:pPr>
        <w:rPr>
          <w:rFonts w:asciiTheme="minorHAnsi" w:hAnsiTheme="minorHAnsi"/>
          <w:b/>
        </w:rPr>
      </w:pPr>
      <w:r>
        <w:t>Safety data was primarily provided through the pivotal trials</w:t>
      </w:r>
      <w:r w:rsidR="007B7518">
        <w:t xml:space="preserve"> (detailed in Table 4)</w:t>
      </w:r>
      <w:r>
        <w:t>.</w:t>
      </w:r>
    </w:p>
    <w:p w14:paraId="4CDF6CCE" w14:textId="77777777" w:rsidR="002F3F55" w:rsidRDefault="008D47D9" w:rsidP="002F3F55">
      <w:r w:rsidRPr="00CB566B">
        <w:rPr>
          <w:rFonts w:asciiTheme="minorHAnsi" w:hAnsiTheme="minorHAnsi"/>
          <w:b/>
        </w:rPr>
        <w:t xml:space="preserve">Table </w:t>
      </w:r>
      <w:r>
        <w:rPr>
          <w:rFonts w:asciiTheme="minorHAnsi" w:hAnsiTheme="minorHAnsi"/>
          <w:b/>
        </w:rPr>
        <w:t>4:</w:t>
      </w:r>
      <w:r w:rsidR="00C228CE">
        <w:rPr>
          <w:rFonts w:asciiTheme="minorHAnsi" w:hAnsiTheme="minorHAnsi"/>
          <w:b/>
        </w:rPr>
        <w:t xml:space="preserve"> </w:t>
      </w:r>
      <w:r w:rsidRPr="00CB566B">
        <w:rPr>
          <w:rFonts w:asciiTheme="minorHAnsi" w:hAnsiTheme="minorHAnsi"/>
          <w:b/>
        </w:rPr>
        <w:t>Summary of safety populations in submitted trials</w:t>
      </w:r>
    </w:p>
    <w:p w14:paraId="325DEFCE" w14:textId="77777777" w:rsidR="002F3F55" w:rsidRDefault="002F3F55" w:rsidP="002F3F55">
      <w:pPr>
        <w:spacing w:before="0" w:after="0" w:line="240" w:lineRule="auto"/>
        <w:rPr>
          <w:rFonts w:asciiTheme="minorHAnsi" w:hAnsiTheme="minorHAnsi"/>
        </w:rPr>
      </w:pPr>
      <w:r>
        <w:rPr>
          <w:rFonts w:asciiTheme="minorHAnsi" w:hAnsiTheme="minorHAnsi"/>
          <w:noProof/>
          <w:lang w:eastAsia="en-AU"/>
        </w:rPr>
        <w:drawing>
          <wp:inline distT="0" distB="0" distL="0" distR="0" wp14:anchorId="7656E5F0" wp14:editId="7EC01B33">
            <wp:extent cx="5199391" cy="1705297"/>
            <wp:effectExtent l="19050" t="19050" r="20320" b="28575"/>
            <wp:docPr id="12" name="Picture 12" descr="Summary of safety populations in submitted t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211071" cy="1709128"/>
                    </a:xfrm>
                    <a:prstGeom prst="rect">
                      <a:avLst/>
                    </a:prstGeom>
                    <a:noFill/>
                    <a:ln>
                      <a:solidFill>
                        <a:schemeClr val="accent1"/>
                      </a:solidFill>
                    </a:ln>
                  </pic:spPr>
                </pic:pic>
              </a:graphicData>
            </a:graphic>
          </wp:inline>
        </w:drawing>
      </w:r>
    </w:p>
    <w:p w14:paraId="58C58AED" w14:textId="77777777" w:rsidR="002F3F55" w:rsidRDefault="002F3F55" w:rsidP="002F3F55">
      <w:r>
        <w:t xml:space="preserve">The most common treatment related adverse events </w:t>
      </w:r>
      <w:r w:rsidR="007B7518">
        <w:t xml:space="preserve">and those of special interest </w:t>
      </w:r>
      <w:r>
        <w:t>reported are summarised below</w:t>
      </w:r>
      <w:r w:rsidR="007B7518">
        <w:t xml:space="preserve"> in Table 5 and Table 6</w:t>
      </w:r>
      <w:r>
        <w:t>.</w:t>
      </w:r>
    </w:p>
    <w:p w14:paraId="2D6F7ED0" w14:textId="77777777" w:rsidR="008D47D9" w:rsidRDefault="008D47D9" w:rsidP="008D47D9">
      <w:pPr>
        <w:pStyle w:val="TableTitle"/>
      </w:pPr>
      <w:r w:rsidRPr="00CB566B">
        <w:t xml:space="preserve">Table </w:t>
      </w:r>
      <w:r>
        <w:t>5:</w:t>
      </w:r>
      <w:r w:rsidRPr="00CB566B">
        <w:t xml:space="preserve"> Treatment emergency adverse events occurring &gt;5% of the trial population</w:t>
      </w:r>
    </w:p>
    <w:p w14:paraId="2960CDCD" w14:textId="77777777" w:rsidR="002F3F55" w:rsidRDefault="002F3F55" w:rsidP="002F3F55">
      <w:pPr>
        <w:spacing w:before="0" w:after="0" w:line="240" w:lineRule="auto"/>
        <w:rPr>
          <w:rFonts w:asciiTheme="minorHAnsi" w:hAnsiTheme="minorHAnsi"/>
        </w:rPr>
      </w:pPr>
      <w:r>
        <w:rPr>
          <w:rFonts w:asciiTheme="minorHAnsi" w:hAnsiTheme="minorHAnsi"/>
          <w:noProof/>
          <w:lang w:eastAsia="en-AU"/>
        </w:rPr>
        <w:drawing>
          <wp:inline distT="0" distB="0" distL="0" distR="0" wp14:anchorId="2AE06CD6" wp14:editId="7EBC2A93">
            <wp:extent cx="4935121" cy="4684299"/>
            <wp:effectExtent l="19050" t="19050" r="18415" b="21590"/>
            <wp:docPr id="13" name="Picture 13" descr="Treatment emergency adverse events occurring &gt;5% of the tri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938301" cy="4687317"/>
                    </a:xfrm>
                    <a:prstGeom prst="rect">
                      <a:avLst/>
                    </a:prstGeom>
                    <a:noFill/>
                    <a:ln>
                      <a:solidFill>
                        <a:schemeClr val="accent1"/>
                      </a:solidFill>
                    </a:ln>
                  </pic:spPr>
                </pic:pic>
              </a:graphicData>
            </a:graphic>
          </wp:inline>
        </w:drawing>
      </w:r>
    </w:p>
    <w:p w14:paraId="01C3FBF5" w14:textId="77777777" w:rsidR="00C228CE" w:rsidRDefault="00C228CE" w:rsidP="00C228CE">
      <w:pPr>
        <w:pStyle w:val="TableTitle"/>
      </w:pPr>
      <w:r>
        <w:lastRenderedPageBreak/>
        <w:t>Table 6: Summary of adverse events of special interes</w:t>
      </w:r>
      <w:r w:rsidR="007B7518">
        <w:t>t pooled by treatment group in P</w:t>
      </w:r>
      <w:r>
        <w:t>hase III trials</w:t>
      </w:r>
    </w:p>
    <w:p w14:paraId="56A5883F" w14:textId="77777777" w:rsidR="002F3F55" w:rsidRDefault="002F3F55" w:rsidP="002F3F55">
      <w:pPr>
        <w:spacing w:before="0" w:after="0" w:line="240" w:lineRule="auto"/>
        <w:rPr>
          <w:rFonts w:asciiTheme="minorHAnsi" w:hAnsiTheme="minorHAnsi"/>
          <w:b/>
        </w:rPr>
      </w:pPr>
      <w:r>
        <w:rPr>
          <w:rFonts w:asciiTheme="minorHAnsi" w:hAnsiTheme="minorHAnsi"/>
          <w:b/>
          <w:noProof/>
          <w:lang w:eastAsia="en-AU"/>
        </w:rPr>
        <w:drawing>
          <wp:inline distT="0" distB="0" distL="0" distR="0" wp14:anchorId="13BA4BA1" wp14:editId="6CF42DA3">
            <wp:extent cx="5184153" cy="5068824"/>
            <wp:effectExtent l="19050" t="19050" r="16510" b="17780"/>
            <wp:docPr id="14" name="Picture 14" descr="Summary of adverse events of special interest pooled by treatment group in phase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192196" cy="5076688"/>
                    </a:xfrm>
                    <a:prstGeom prst="rect">
                      <a:avLst/>
                    </a:prstGeom>
                    <a:noFill/>
                    <a:ln>
                      <a:solidFill>
                        <a:schemeClr val="accent1"/>
                      </a:solidFill>
                    </a:ln>
                  </pic:spPr>
                </pic:pic>
              </a:graphicData>
            </a:graphic>
          </wp:inline>
        </w:drawing>
      </w:r>
    </w:p>
    <w:p w14:paraId="2768B31B" w14:textId="77777777" w:rsidR="002F3F55" w:rsidRPr="00CB566B" w:rsidRDefault="002F3F55" w:rsidP="00C704F5">
      <w:r>
        <w:t>The rates of adverse events were similar between the two complement inhibitors.</w:t>
      </w:r>
      <w:r w:rsidR="00F80E11">
        <w:t xml:space="preserve"> </w:t>
      </w:r>
      <w:r>
        <w:t>There were two cases of meningococcal sepsis reported in ravulizumab treated patients.</w:t>
      </w:r>
    </w:p>
    <w:p w14:paraId="76ABD198" w14:textId="1291616D" w:rsidR="008E7846" w:rsidRDefault="00386150" w:rsidP="007B6132">
      <w:pPr>
        <w:pStyle w:val="Heading3"/>
        <w:rPr>
          <w:lang w:eastAsia="en-AU"/>
        </w:rPr>
      </w:pPr>
      <w:bookmarkStart w:id="45" w:name="_Toc24611065"/>
      <w:r>
        <w:rPr>
          <w:lang w:eastAsia="en-AU"/>
        </w:rPr>
        <w:t>Risk m</w:t>
      </w:r>
      <w:r w:rsidR="008E7846">
        <w:rPr>
          <w:lang w:eastAsia="en-AU"/>
        </w:rPr>
        <w:t xml:space="preserve">anagement </w:t>
      </w:r>
      <w:r>
        <w:rPr>
          <w:lang w:eastAsia="en-AU"/>
        </w:rPr>
        <w:t>p</w:t>
      </w:r>
      <w:r w:rsidR="008E7846">
        <w:rPr>
          <w:lang w:eastAsia="en-AU"/>
        </w:rPr>
        <w:t>lan</w:t>
      </w:r>
      <w:bookmarkEnd w:id="44"/>
      <w:r w:rsidR="00A903AB">
        <w:rPr>
          <w:rStyle w:val="FootnoteReference"/>
          <w:lang w:eastAsia="en-AU"/>
        </w:rPr>
        <w:footnoteReference w:id="2"/>
      </w:r>
      <w:bookmarkEnd w:id="45"/>
    </w:p>
    <w:p w14:paraId="2F4D3284" w14:textId="430072E8" w:rsidR="00050ABC" w:rsidRPr="003A6F12" w:rsidRDefault="00050ABC" w:rsidP="00E008BD">
      <w:r>
        <w:t>The sponsor</w:t>
      </w:r>
      <w:r w:rsidRPr="003A6F12">
        <w:t xml:space="preserve"> has submitted EU-RMP version 1.0 (date 18 June 2018; </w:t>
      </w:r>
      <w:r>
        <w:t>data lock point (</w:t>
      </w:r>
      <w:r w:rsidRPr="003A6F12">
        <w:t>DLP</w:t>
      </w:r>
      <w:r>
        <w:t>)</w:t>
      </w:r>
      <w:r w:rsidRPr="003A6F12">
        <w:t xml:space="preserve"> 8 March 2018) and ASA version 1.0 (dated 13 November 2018) in support of this application. </w:t>
      </w:r>
      <w:r>
        <w:t>Following the first round RMP evaluation, the sponsor submitted an updated EU RMP version 1.4 (</w:t>
      </w:r>
      <w:r w:rsidRPr="00E72F4C">
        <w:t>date</w:t>
      </w:r>
      <w:r>
        <w:t xml:space="preserve"> 8 March 2018</w:t>
      </w:r>
      <w:r w:rsidRPr="00E72F4C">
        <w:t>; DLP</w:t>
      </w:r>
      <w:r>
        <w:t xml:space="preserve"> 2 May 2019) and an ASA version 2.0 (</w:t>
      </w:r>
      <w:r w:rsidRPr="00E72F4C">
        <w:t xml:space="preserve">date </w:t>
      </w:r>
      <w:r>
        <w:t xml:space="preserve">21 </w:t>
      </w:r>
      <w:r w:rsidRPr="00E72F4C">
        <w:t>June 2019</w:t>
      </w:r>
      <w:r>
        <w:t>).</w:t>
      </w:r>
    </w:p>
    <w:p w14:paraId="3F97AECC" w14:textId="01C6E6E0" w:rsidR="00050ABC" w:rsidRDefault="00050ABC" w:rsidP="00E008BD">
      <w:r w:rsidRPr="009C1D51">
        <w:lastRenderedPageBreak/>
        <w:t xml:space="preserve">The proposed summary of safety concerns and their associated risk monitoring and mitigation strategies are summarised </w:t>
      </w:r>
      <w:r w:rsidR="00E008BD">
        <w:t>in Table 7 below.</w:t>
      </w:r>
    </w:p>
    <w:p w14:paraId="4693BFD2" w14:textId="30B619B2" w:rsidR="00E008BD" w:rsidRPr="009C1D51" w:rsidRDefault="00E008BD" w:rsidP="00E008BD">
      <w:pPr>
        <w:pStyle w:val="TableTitle"/>
      </w:pPr>
      <w:r>
        <w:t>Table 7: Sponsor’s summary of ongoing safety concerns</w:t>
      </w:r>
    </w:p>
    <w:tbl>
      <w:tblPr>
        <w:tblStyle w:val="TableTGAblue"/>
        <w:tblW w:w="9469" w:type="dxa"/>
        <w:tblLayout w:type="fixed"/>
        <w:tblLook w:val="04A0" w:firstRow="1" w:lastRow="0" w:firstColumn="1" w:lastColumn="0" w:noHBand="0" w:noVBand="1"/>
      </w:tblPr>
      <w:tblGrid>
        <w:gridCol w:w="1668"/>
        <w:gridCol w:w="3118"/>
        <w:gridCol w:w="1276"/>
        <w:gridCol w:w="1536"/>
        <w:gridCol w:w="874"/>
        <w:gridCol w:w="997"/>
      </w:tblGrid>
      <w:tr w:rsidR="00050ABC" w:rsidRPr="00E008BD" w14:paraId="7FFAC8A0" w14:textId="77777777" w:rsidTr="00007754">
        <w:trPr>
          <w:cnfStyle w:val="100000000000" w:firstRow="1" w:lastRow="0" w:firstColumn="0" w:lastColumn="0" w:oddVBand="0" w:evenVBand="0" w:oddHBand="0" w:evenHBand="0" w:firstRowFirstColumn="0" w:firstRowLastColumn="0" w:lastRowFirstColumn="0" w:lastRowLastColumn="0"/>
          <w:trHeight w:val="131"/>
        </w:trPr>
        <w:tc>
          <w:tcPr>
            <w:tcW w:w="4786" w:type="dxa"/>
            <w:gridSpan w:val="2"/>
            <w:vMerge w:val="restart"/>
          </w:tcPr>
          <w:p w14:paraId="39198E78" w14:textId="77777777" w:rsidR="00050ABC" w:rsidRPr="00E008BD" w:rsidRDefault="00050ABC" w:rsidP="00E008BD">
            <w:pPr>
              <w:rPr>
                <w:sz w:val="20"/>
                <w:szCs w:val="20"/>
              </w:rPr>
            </w:pPr>
            <w:r w:rsidRPr="00E008BD">
              <w:rPr>
                <w:sz w:val="20"/>
                <w:szCs w:val="20"/>
              </w:rPr>
              <w:t>Summary of safety concerns</w:t>
            </w:r>
          </w:p>
        </w:tc>
        <w:tc>
          <w:tcPr>
            <w:tcW w:w="2812" w:type="dxa"/>
            <w:gridSpan w:val="2"/>
            <w:tcBorders>
              <w:bottom w:val="nil"/>
            </w:tcBorders>
          </w:tcPr>
          <w:p w14:paraId="247B5A93" w14:textId="77777777" w:rsidR="00050ABC" w:rsidRPr="00E008BD" w:rsidRDefault="00050ABC" w:rsidP="00E008BD">
            <w:pPr>
              <w:rPr>
                <w:sz w:val="20"/>
                <w:szCs w:val="20"/>
              </w:rPr>
            </w:pPr>
            <w:r w:rsidRPr="00E008BD">
              <w:rPr>
                <w:sz w:val="20"/>
                <w:szCs w:val="20"/>
              </w:rPr>
              <w:t>Pharmacovigilance</w:t>
            </w:r>
          </w:p>
        </w:tc>
        <w:tc>
          <w:tcPr>
            <w:tcW w:w="1871" w:type="dxa"/>
            <w:gridSpan w:val="2"/>
            <w:tcBorders>
              <w:bottom w:val="nil"/>
            </w:tcBorders>
          </w:tcPr>
          <w:p w14:paraId="2B4E9019" w14:textId="77777777" w:rsidR="00050ABC" w:rsidRPr="00E008BD" w:rsidRDefault="00050ABC" w:rsidP="00E008BD">
            <w:pPr>
              <w:rPr>
                <w:sz w:val="20"/>
                <w:szCs w:val="20"/>
              </w:rPr>
            </w:pPr>
            <w:r w:rsidRPr="00E008BD">
              <w:rPr>
                <w:sz w:val="20"/>
                <w:szCs w:val="20"/>
              </w:rPr>
              <w:t>Risk Minimisation</w:t>
            </w:r>
          </w:p>
        </w:tc>
      </w:tr>
      <w:tr w:rsidR="00007754" w:rsidRPr="00007754" w14:paraId="69E0DC17" w14:textId="77777777" w:rsidTr="00007754">
        <w:trPr>
          <w:trHeight w:val="150"/>
        </w:trPr>
        <w:tc>
          <w:tcPr>
            <w:tcW w:w="4786" w:type="dxa"/>
            <w:gridSpan w:val="2"/>
            <w:vMerge/>
            <w:tcBorders>
              <w:right w:val="nil"/>
            </w:tcBorders>
          </w:tcPr>
          <w:p w14:paraId="52EF8F25" w14:textId="77777777" w:rsidR="00050ABC" w:rsidRPr="00E008BD" w:rsidRDefault="00050ABC" w:rsidP="00E008BD">
            <w:pPr>
              <w:rPr>
                <w:b/>
                <w:sz w:val="20"/>
                <w:szCs w:val="20"/>
              </w:rPr>
            </w:pPr>
          </w:p>
        </w:tc>
        <w:tc>
          <w:tcPr>
            <w:tcW w:w="1276" w:type="dxa"/>
            <w:tcBorders>
              <w:top w:val="nil"/>
              <w:left w:val="nil"/>
              <w:bottom w:val="single" w:sz="8" w:space="0" w:color="000000" w:themeColor="text1"/>
              <w:right w:val="nil"/>
            </w:tcBorders>
            <w:shd w:val="clear" w:color="auto" w:fill="006DA7"/>
          </w:tcPr>
          <w:p w14:paraId="4B53635F" w14:textId="3DC2570C" w:rsidR="00050ABC" w:rsidRPr="00007754" w:rsidRDefault="00050ABC" w:rsidP="00E008BD">
            <w:pPr>
              <w:rPr>
                <w:color w:val="FFFFFF" w:themeColor="background1"/>
                <w:sz w:val="20"/>
                <w:szCs w:val="20"/>
              </w:rPr>
            </w:pPr>
            <w:r w:rsidRPr="00007754">
              <w:rPr>
                <w:color w:val="FFFFFF" w:themeColor="background1"/>
                <w:sz w:val="20"/>
                <w:szCs w:val="20"/>
              </w:rPr>
              <w:t>Routine</w:t>
            </w:r>
            <w:r w:rsidR="00E008BD" w:rsidRPr="00007754">
              <w:rPr>
                <w:color w:val="FFFFFF" w:themeColor="background1"/>
                <w:sz w:val="20"/>
                <w:szCs w:val="20"/>
              </w:rPr>
              <w:t xml:space="preserve"> (R)</w:t>
            </w:r>
          </w:p>
        </w:tc>
        <w:tc>
          <w:tcPr>
            <w:tcW w:w="1536" w:type="dxa"/>
            <w:tcBorders>
              <w:top w:val="nil"/>
              <w:left w:val="nil"/>
              <w:bottom w:val="single" w:sz="8" w:space="0" w:color="000000" w:themeColor="text1"/>
              <w:right w:val="nil"/>
            </w:tcBorders>
            <w:shd w:val="clear" w:color="auto" w:fill="006DA7"/>
          </w:tcPr>
          <w:p w14:paraId="591800B0" w14:textId="344427E3" w:rsidR="00E008BD" w:rsidRPr="00007754" w:rsidRDefault="00050ABC" w:rsidP="00E008BD">
            <w:pPr>
              <w:rPr>
                <w:color w:val="FFFFFF" w:themeColor="background1"/>
                <w:sz w:val="20"/>
                <w:szCs w:val="20"/>
              </w:rPr>
            </w:pPr>
            <w:r w:rsidRPr="00007754">
              <w:rPr>
                <w:color w:val="FFFFFF" w:themeColor="background1"/>
                <w:sz w:val="20"/>
                <w:szCs w:val="20"/>
              </w:rPr>
              <w:t>Additional</w:t>
            </w:r>
            <w:r w:rsidR="00E008BD" w:rsidRPr="00007754">
              <w:rPr>
                <w:color w:val="FFFFFF" w:themeColor="background1"/>
                <w:sz w:val="20"/>
                <w:szCs w:val="20"/>
              </w:rPr>
              <w:t xml:space="preserve"> (A)</w:t>
            </w:r>
          </w:p>
        </w:tc>
        <w:tc>
          <w:tcPr>
            <w:tcW w:w="874" w:type="dxa"/>
            <w:tcBorders>
              <w:top w:val="nil"/>
              <w:left w:val="nil"/>
              <w:bottom w:val="single" w:sz="8" w:space="0" w:color="000000" w:themeColor="text1"/>
              <w:right w:val="nil"/>
            </w:tcBorders>
            <w:shd w:val="clear" w:color="auto" w:fill="006DA7"/>
          </w:tcPr>
          <w:p w14:paraId="08DF3D3A" w14:textId="43F07578" w:rsidR="00050ABC" w:rsidRPr="00007754" w:rsidRDefault="00050ABC" w:rsidP="00E008BD">
            <w:pPr>
              <w:rPr>
                <w:color w:val="FFFFFF" w:themeColor="background1"/>
                <w:sz w:val="20"/>
                <w:szCs w:val="20"/>
              </w:rPr>
            </w:pPr>
            <w:r w:rsidRPr="00007754">
              <w:rPr>
                <w:color w:val="FFFFFF" w:themeColor="background1"/>
                <w:sz w:val="20"/>
                <w:szCs w:val="20"/>
              </w:rPr>
              <w:t>R</w:t>
            </w:r>
          </w:p>
        </w:tc>
        <w:tc>
          <w:tcPr>
            <w:tcW w:w="997" w:type="dxa"/>
            <w:tcBorders>
              <w:top w:val="nil"/>
              <w:left w:val="nil"/>
              <w:bottom w:val="single" w:sz="8" w:space="0" w:color="000000" w:themeColor="text1"/>
              <w:right w:val="single" w:sz="8" w:space="0" w:color="000000" w:themeColor="text1"/>
            </w:tcBorders>
            <w:shd w:val="clear" w:color="auto" w:fill="006DA7"/>
          </w:tcPr>
          <w:p w14:paraId="773C9303" w14:textId="76D614CD" w:rsidR="00050ABC" w:rsidRPr="00007754" w:rsidRDefault="00050ABC" w:rsidP="00E008BD">
            <w:pPr>
              <w:rPr>
                <w:color w:val="FFFFFF" w:themeColor="background1"/>
                <w:sz w:val="20"/>
                <w:szCs w:val="20"/>
              </w:rPr>
            </w:pPr>
            <w:r w:rsidRPr="00007754">
              <w:rPr>
                <w:color w:val="FFFFFF" w:themeColor="background1"/>
                <w:sz w:val="20"/>
                <w:szCs w:val="20"/>
              </w:rPr>
              <w:t>A</w:t>
            </w:r>
          </w:p>
        </w:tc>
      </w:tr>
      <w:tr w:rsidR="00050ABC" w:rsidRPr="00E008BD" w14:paraId="270DDF9B" w14:textId="77777777" w:rsidTr="00007754">
        <w:trPr>
          <w:trHeight w:val="137"/>
        </w:trPr>
        <w:tc>
          <w:tcPr>
            <w:tcW w:w="1668" w:type="dxa"/>
          </w:tcPr>
          <w:p w14:paraId="72683DE3" w14:textId="77777777" w:rsidR="00050ABC" w:rsidRPr="00E008BD" w:rsidRDefault="00050ABC" w:rsidP="00E008BD">
            <w:pPr>
              <w:rPr>
                <w:b/>
                <w:sz w:val="20"/>
                <w:szCs w:val="20"/>
              </w:rPr>
            </w:pPr>
            <w:r w:rsidRPr="00E008BD">
              <w:rPr>
                <w:b/>
                <w:sz w:val="20"/>
                <w:szCs w:val="20"/>
              </w:rPr>
              <w:t>Important identified risks</w:t>
            </w:r>
          </w:p>
        </w:tc>
        <w:tc>
          <w:tcPr>
            <w:tcW w:w="3118" w:type="dxa"/>
          </w:tcPr>
          <w:p w14:paraId="241B1E02" w14:textId="77777777" w:rsidR="00050ABC" w:rsidRPr="00E008BD" w:rsidRDefault="00050ABC" w:rsidP="00E008BD">
            <w:pPr>
              <w:rPr>
                <w:b/>
                <w:sz w:val="20"/>
                <w:szCs w:val="20"/>
              </w:rPr>
            </w:pPr>
            <w:r w:rsidRPr="00E008BD">
              <w:rPr>
                <w:b/>
                <w:sz w:val="20"/>
                <w:szCs w:val="20"/>
              </w:rPr>
              <w:t>Meningococcal infection and sepsis</w:t>
            </w:r>
          </w:p>
        </w:tc>
        <w:tc>
          <w:tcPr>
            <w:tcW w:w="1276" w:type="dxa"/>
            <w:tcBorders>
              <w:top w:val="single" w:sz="8" w:space="0" w:color="000000" w:themeColor="text1"/>
            </w:tcBorders>
          </w:tcPr>
          <w:p w14:paraId="3F5B05F9" w14:textId="77777777" w:rsidR="00050ABC" w:rsidRPr="00E008BD" w:rsidRDefault="00050ABC" w:rsidP="00E008BD">
            <w:pPr>
              <w:rPr>
                <w:sz w:val="20"/>
                <w:szCs w:val="20"/>
              </w:rPr>
            </w:pPr>
            <w:r w:rsidRPr="00E008BD">
              <w:rPr>
                <w:sz w:val="20"/>
                <w:szCs w:val="20"/>
              </w:rPr>
              <w:sym w:font="Wingdings" w:char="F0FC"/>
            </w:r>
            <w:r w:rsidRPr="00E008BD">
              <w:rPr>
                <w:sz w:val="20"/>
                <w:szCs w:val="20"/>
                <w:vertAlign w:val="superscript"/>
              </w:rPr>
              <w:t>§</w:t>
            </w:r>
          </w:p>
        </w:tc>
        <w:tc>
          <w:tcPr>
            <w:tcW w:w="1536" w:type="dxa"/>
            <w:tcBorders>
              <w:top w:val="single" w:sz="8" w:space="0" w:color="000000" w:themeColor="text1"/>
            </w:tcBorders>
          </w:tcPr>
          <w:p w14:paraId="2200F3BB"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Borders>
              <w:top w:val="single" w:sz="8" w:space="0" w:color="000000" w:themeColor="text1"/>
            </w:tcBorders>
          </w:tcPr>
          <w:p w14:paraId="19931159" w14:textId="77777777" w:rsidR="00050ABC" w:rsidRPr="00E008BD" w:rsidRDefault="00050ABC" w:rsidP="00E008BD">
            <w:pPr>
              <w:rPr>
                <w:sz w:val="20"/>
                <w:szCs w:val="20"/>
              </w:rPr>
            </w:pPr>
            <w:r w:rsidRPr="00E008BD">
              <w:rPr>
                <w:sz w:val="20"/>
                <w:szCs w:val="20"/>
              </w:rPr>
              <w:sym w:font="Wingdings" w:char="F0FC"/>
            </w:r>
          </w:p>
        </w:tc>
        <w:tc>
          <w:tcPr>
            <w:tcW w:w="997" w:type="dxa"/>
            <w:tcBorders>
              <w:top w:val="single" w:sz="8" w:space="0" w:color="000000" w:themeColor="text1"/>
            </w:tcBorders>
          </w:tcPr>
          <w:p w14:paraId="3A0D3097"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r w:rsidR="00050ABC" w:rsidRPr="00E008BD" w14:paraId="4F716363" w14:textId="77777777" w:rsidTr="00E008BD">
        <w:trPr>
          <w:trHeight w:val="159"/>
        </w:trPr>
        <w:tc>
          <w:tcPr>
            <w:tcW w:w="1668" w:type="dxa"/>
            <w:vMerge w:val="restart"/>
          </w:tcPr>
          <w:p w14:paraId="5A48137A" w14:textId="77777777" w:rsidR="00050ABC" w:rsidRPr="00E008BD" w:rsidRDefault="00050ABC" w:rsidP="00E008BD">
            <w:pPr>
              <w:rPr>
                <w:b/>
                <w:sz w:val="20"/>
                <w:szCs w:val="20"/>
              </w:rPr>
            </w:pPr>
            <w:r w:rsidRPr="00E008BD">
              <w:rPr>
                <w:b/>
                <w:sz w:val="20"/>
                <w:szCs w:val="20"/>
              </w:rPr>
              <w:t>Important potential risks</w:t>
            </w:r>
          </w:p>
        </w:tc>
        <w:tc>
          <w:tcPr>
            <w:tcW w:w="3118" w:type="dxa"/>
          </w:tcPr>
          <w:p w14:paraId="1A2004D1" w14:textId="77777777" w:rsidR="00050ABC" w:rsidRPr="00E008BD" w:rsidRDefault="00050ABC" w:rsidP="00E008BD">
            <w:pPr>
              <w:rPr>
                <w:b/>
                <w:sz w:val="20"/>
                <w:szCs w:val="20"/>
              </w:rPr>
            </w:pPr>
            <w:r w:rsidRPr="00E008BD">
              <w:rPr>
                <w:b/>
                <w:sz w:val="20"/>
                <w:szCs w:val="20"/>
              </w:rPr>
              <w:t>Serious haemolysis after drug discontinuation in PNH patients</w:t>
            </w:r>
          </w:p>
        </w:tc>
        <w:tc>
          <w:tcPr>
            <w:tcW w:w="1276" w:type="dxa"/>
          </w:tcPr>
          <w:p w14:paraId="59658311" w14:textId="77777777" w:rsidR="00050ABC" w:rsidRPr="00E008BD" w:rsidRDefault="00050ABC" w:rsidP="00E008BD">
            <w:pPr>
              <w:rPr>
                <w:sz w:val="20"/>
                <w:szCs w:val="20"/>
              </w:rPr>
            </w:pPr>
            <w:r w:rsidRPr="00E008BD">
              <w:rPr>
                <w:sz w:val="20"/>
                <w:szCs w:val="20"/>
              </w:rPr>
              <w:sym w:font="Wingdings" w:char="F0FC"/>
            </w:r>
          </w:p>
        </w:tc>
        <w:tc>
          <w:tcPr>
            <w:tcW w:w="1536" w:type="dxa"/>
          </w:tcPr>
          <w:p w14:paraId="26620569"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Pr>
          <w:p w14:paraId="197645A5" w14:textId="77777777" w:rsidR="00050ABC" w:rsidRPr="00E008BD" w:rsidRDefault="00050ABC" w:rsidP="00E008BD">
            <w:pPr>
              <w:rPr>
                <w:sz w:val="20"/>
                <w:szCs w:val="20"/>
              </w:rPr>
            </w:pPr>
            <w:r w:rsidRPr="00E008BD">
              <w:rPr>
                <w:sz w:val="20"/>
                <w:szCs w:val="20"/>
              </w:rPr>
              <w:sym w:font="Wingdings" w:char="F0FC"/>
            </w:r>
          </w:p>
        </w:tc>
        <w:tc>
          <w:tcPr>
            <w:tcW w:w="997" w:type="dxa"/>
          </w:tcPr>
          <w:p w14:paraId="695A7CC4"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r w:rsidR="00050ABC" w:rsidRPr="00E008BD" w14:paraId="5AD5CE2A" w14:textId="77777777" w:rsidTr="00E008BD">
        <w:trPr>
          <w:trHeight w:val="122"/>
        </w:trPr>
        <w:tc>
          <w:tcPr>
            <w:tcW w:w="1668" w:type="dxa"/>
            <w:vMerge/>
          </w:tcPr>
          <w:p w14:paraId="4BFEB44A" w14:textId="77777777" w:rsidR="00050ABC" w:rsidRPr="00E008BD" w:rsidRDefault="00050ABC" w:rsidP="00E008BD">
            <w:pPr>
              <w:rPr>
                <w:b/>
                <w:sz w:val="20"/>
                <w:szCs w:val="20"/>
              </w:rPr>
            </w:pPr>
          </w:p>
        </w:tc>
        <w:tc>
          <w:tcPr>
            <w:tcW w:w="3118" w:type="dxa"/>
          </w:tcPr>
          <w:p w14:paraId="0557673C" w14:textId="77777777" w:rsidR="00050ABC" w:rsidRPr="00E008BD" w:rsidRDefault="00050ABC" w:rsidP="00E008BD">
            <w:pPr>
              <w:rPr>
                <w:b/>
                <w:sz w:val="20"/>
                <w:szCs w:val="20"/>
              </w:rPr>
            </w:pPr>
            <w:r w:rsidRPr="00E008BD">
              <w:rPr>
                <w:b/>
                <w:sz w:val="20"/>
                <w:szCs w:val="20"/>
              </w:rPr>
              <w:t>Immunogenicity</w:t>
            </w:r>
          </w:p>
        </w:tc>
        <w:tc>
          <w:tcPr>
            <w:tcW w:w="1276" w:type="dxa"/>
          </w:tcPr>
          <w:p w14:paraId="05200EF0" w14:textId="77777777" w:rsidR="00050ABC" w:rsidRPr="00E008BD" w:rsidRDefault="00050ABC" w:rsidP="00E008BD">
            <w:pPr>
              <w:rPr>
                <w:sz w:val="20"/>
                <w:szCs w:val="20"/>
              </w:rPr>
            </w:pPr>
            <w:r w:rsidRPr="00E008BD">
              <w:rPr>
                <w:sz w:val="20"/>
                <w:szCs w:val="20"/>
              </w:rPr>
              <w:sym w:font="Wingdings" w:char="F0FC"/>
            </w:r>
          </w:p>
        </w:tc>
        <w:tc>
          <w:tcPr>
            <w:tcW w:w="1536" w:type="dxa"/>
          </w:tcPr>
          <w:p w14:paraId="39E9D21F"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Pr>
          <w:p w14:paraId="5A2ECD4C" w14:textId="77777777" w:rsidR="00050ABC" w:rsidRPr="00E008BD" w:rsidRDefault="00050ABC" w:rsidP="00E008BD">
            <w:pPr>
              <w:rPr>
                <w:sz w:val="20"/>
                <w:szCs w:val="20"/>
              </w:rPr>
            </w:pPr>
            <w:r w:rsidRPr="00E008BD">
              <w:rPr>
                <w:sz w:val="20"/>
                <w:szCs w:val="20"/>
              </w:rPr>
              <w:sym w:font="Wingdings" w:char="F0FC"/>
            </w:r>
          </w:p>
        </w:tc>
        <w:tc>
          <w:tcPr>
            <w:tcW w:w="997" w:type="dxa"/>
          </w:tcPr>
          <w:p w14:paraId="5086B4E0"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r w:rsidR="00050ABC" w:rsidRPr="00E008BD" w14:paraId="1810B0FF" w14:textId="77777777" w:rsidTr="00E008BD">
        <w:trPr>
          <w:trHeight w:val="122"/>
        </w:trPr>
        <w:tc>
          <w:tcPr>
            <w:tcW w:w="1668" w:type="dxa"/>
            <w:vMerge/>
          </w:tcPr>
          <w:p w14:paraId="57530476" w14:textId="77777777" w:rsidR="00050ABC" w:rsidRPr="00E008BD" w:rsidRDefault="00050ABC" w:rsidP="00E008BD">
            <w:pPr>
              <w:rPr>
                <w:b/>
                <w:sz w:val="20"/>
                <w:szCs w:val="20"/>
              </w:rPr>
            </w:pPr>
          </w:p>
        </w:tc>
        <w:tc>
          <w:tcPr>
            <w:tcW w:w="3118" w:type="dxa"/>
          </w:tcPr>
          <w:p w14:paraId="26DF0F97" w14:textId="77777777" w:rsidR="00050ABC" w:rsidRPr="00E008BD" w:rsidRDefault="00050ABC" w:rsidP="00E008BD">
            <w:pPr>
              <w:rPr>
                <w:b/>
                <w:sz w:val="20"/>
                <w:szCs w:val="20"/>
              </w:rPr>
            </w:pPr>
            <w:r w:rsidRPr="00E008BD">
              <w:rPr>
                <w:b/>
                <w:sz w:val="20"/>
                <w:szCs w:val="20"/>
              </w:rPr>
              <w:t>Serious infections</w:t>
            </w:r>
          </w:p>
        </w:tc>
        <w:tc>
          <w:tcPr>
            <w:tcW w:w="1276" w:type="dxa"/>
          </w:tcPr>
          <w:p w14:paraId="5665DCD6" w14:textId="77777777" w:rsidR="00050ABC" w:rsidRPr="00E008BD" w:rsidRDefault="00050ABC" w:rsidP="00E008BD">
            <w:pPr>
              <w:rPr>
                <w:sz w:val="20"/>
                <w:szCs w:val="20"/>
              </w:rPr>
            </w:pPr>
            <w:r w:rsidRPr="00E008BD">
              <w:rPr>
                <w:sz w:val="20"/>
                <w:szCs w:val="20"/>
              </w:rPr>
              <w:sym w:font="Wingdings" w:char="F0FC"/>
            </w:r>
          </w:p>
        </w:tc>
        <w:tc>
          <w:tcPr>
            <w:tcW w:w="1536" w:type="dxa"/>
          </w:tcPr>
          <w:p w14:paraId="1CD5D470"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Pr>
          <w:p w14:paraId="5243863B" w14:textId="77777777" w:rsidR="00050ABC" w:rsidRPr="00E008BD" w:rsidRDefault="00050ABC" w:rsidP="00E008BD">
            <w:pPr>
              <w:rPr>
                <w:sz w:val="20"/>
                <w:szCs w:val="20"/>
              </w:rPr>
            </w:pPr>
            <w:r w:rsidRPr="00E008BD">
              <w:rPr>
                <w:sz w:val="20"/>
                <w:szCs w:val="20"/>
              </w:rPr>
              <w:sym w:font="Wingdings" w:char="F0FC"/>
            </w:r>
          </w:p>
        </w:tc>
        <w:tc>
          <w:tcPr>
            <w:tcW w:w="997" w:type="dxa"/>
          </w:tcPr>
          <w:p w14:paraId="03817275"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r w:rsidR="00050ABC" w:rsidRPr="00E008BD" w14:paraId="41068BB1" w14:textId="77777777" w:rsidTr="00E008BD">
        <w:trPr>
          <w:trHeight w:val="122"/>
        </w:trPr>
        <w:tc>
          <w:tcPr>
            <w:tcW w:w="1668" w:type="dxa"/>
            <w:vMerge/>
          </w:tcPr>
          <w:p w14:paraId="5362ECD8" w14:textId="77777777" w:rsidR="00050ABC" w:rsidRPr="00E008BD" w:rsidRDefault="00050ABC" w:rsidP="00E008BD">
            <w:pPr>
              <w:rPr>
                <w:b/>
                <w:sz w:val="20"/>
                <w:szCs w:val="20"/>
              </w:rPr>
            </w:pPr>
          </w:p>
        </w:tc>
        <w:tc>
          <w:tcPr>
            <w:tcW w:w="3118" w:type="dxa"/>
          </w:tcPr>
          <w:p w14:paraId="1524FBE1" w14:textId="77777777" w:rsidR="00050ABC" w:rsidRPr="00E008BD" w:rsidRDefault="00050ABC" w:rsidP="00E008BD">
            <w:pPr>
              <w:rPr>
                <w:b/>
                <w:sz w:val="20"/>
                <w:szCs w:val="20"/>
              </w:rPr>
            </w:pPr>
            <w:r w:rsidRPr="00E008BD">
              <w:rPr>
                <w:b/>
                <w:sz w:val="20"/>
                <w:szCs w:val="20"/>
              </w:rPr>
              <w:t>Malignancies and haematologic abnormalities</w:t>
            </w:r>
          </w:p>
        </w:tc>
        <w:tc>
          <w:tcPr>
            <w:tcW w:w="1276" w:type="dxa"/>
          </w:tcPr>
          <w:p w14:paraId="46DF9F4F" w14:textId="77777777" w:rsidR="00050ABC" w:rsidRPr="00E008BD" w:rsidRDefault="00050ABC" w:rsidP="00E008BD">
            <w:pPr>
              <w:rPr>
                <w:sz w:val="20"/>
                <w:szCs w:val="20"/>
              </w:rPr>
            </w:pPr>
            <w:r w:rsidRPr="00E008BD">
              <w:rPr>
                <w:sz w:val="20"/>
                <w:szCs w:val="20"/>
              </w:rPr>
              <w:sym w:font="Wingdings" w:char="F0FC"/>
            </w:r>
          </w:p>
        </w:tc>
        <w:tc>
          <w:tcPr>
            <w:tcW w:w="1536" w:type="dxa"/>
          </w:tcPr>
          <w:p w14:paraId="0BEF78DD"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Pr>
          <w:p w14:paraId="7CFC5D9E" w14:textId="77777777" w:rsidR="00050ABC" w:rsidRPr="00E008BD" w:rsidRDefault="00050ABC" w:rsidP="00E008BD">
            <w:pPr>
              <w:rPr>
                <w:sz w:val="20"/>
                <w:szCs w:val="20"/>
              </w:rPr>
            </w:pPr>
            <w:r w:rsidRPr="00E008BD">
              <w:rPr>
                <w:sz w:val="20"/>
                <w:szCs w:val="20"/>
              </w:rPr>
              <w:sym w:font="Wingdings" w:char="F0FC"/>
            </w:r>
          </w:p>
        </w:tc>
        <w:tc>
          <w:tcPr>
            <w:tcW w:w="997" w:type="dxa"/>
          </w:tcPr>
          <w:p w14:paraId="78A08476"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r w:rsidR="00050ABC" w:rsidRPr="00E008BD" w14:paraId="26CAFBE7" w14:textId="77777777" w:rsidTr="00E008BD">
        <w:trPr>
          <w:trHeight w:val="178"/>
        </w:trPr>
        <w:tc>
          <w:tcPr>
            <w:tcW w:w="1668" w:type="dxa"/>
          </w:tcPr>
          <w:p w14:paraId="3329E3A3" w14:textId="77777777" w:rsidR="00050ABC" w:rsidRPr="00E008BD" w:rsidRDefault="00050ABC" w:rsidP="00E008BD">
            <w:pPr>
              <w:rPr>
                <w:b/>
                <w:sz w:val="20"/>
                <w:szCs w:val="20"/>
              </w:rPr>
            </w:pPr>
            <w:r w:rsidRPr="00E008BD">
              <w:rPr>
                <w:b/>
                <w:sz w:val="20"/>
                <w:szCs w:val="20"/>
              </w:rPr>
              <w:t>Missing information</w:t>
            </w:r>
          </w:p>
        </w:tc>
        <w:tc>
          <w:tcPr>
            <w:tcW w:w="3118" w:type="dxa"/>
          </w:tcPr>
          <w:p w14:paraId="690EB1FD" w14:textId="77777777" w:rsidR="00050ABC" w:rsidRPr="00E008BD" w:rsidRDefault="00050ABC" w:rsidP="00E008BD">
            <w:pPr>
              <w:rPr>
                <w:b/>
                <w:sz w:val="20"/>
                <w:szCs w:val="20"/>
              </w:rPr>
            </w:pPr>
            <w:r w:rsidRPr="00E008BD">
              <w:rPr>
                <w:b/>
                <w:sz w:val="20"/>
                <w:szCs w:val="20"/>
              </w:rPr>
              <w:t>Use in pregnant and breast‐feeding women</w:t>
            </w:r>
          </w:p>
        </w:tc>
        <w:tc>
          <w:tcPr>
            <w:tcW w:w="1276" w:type="dxa"/>
          </w:tcPr>
          <w:p w14:paraId="73CF2594" w14:textId="77777777" w:rsidR="00050ABC" w:rsidRPr="00E008BD" w:rsidRDefault="00050ABC" w:rsidP="00E008BD">
            <w:pPr>
              <w:rPr>
                <w:sz w:val="20"/>
                <w:szCs w:val="20"/>
              </w:rPr>
            </w:pPr>
            <w:r w:rsidRPr="00E008BD">
              <w:rPr>
                <w:sz w:val="20"/>
                <w:szCs w:val="20"/>
              </w:rPr>
              <w:sym w:font="Wingdings" w:char="F0FC"/>
            </w:r>
            <w:r w:rsidRPr="00E008BD">
              <w:rPr>
                <w:sz w:val="20"/>
                <w:szCs w:val="20"/>
                <w:vertAlign w:val="superscript"/>
              </w:rPr>
              <w:t>§</w:t>
            </w:r>
          </w:p>
        </w:tc>
        <w:tc>
          <w:tcPr>
            <w:tcW w:w="1536" w:type="dxa"/>
          </w:tcPr>
          <w:p w14:paraId="6CE18378" w14:textId="77777777" w:rsidR="00050ABC" w:rsidRPr="00E008BD" w:rsidRDefault="00050ABC" w:rsidP="00E008BD">
            <w:pPr>
              <w:rPr>
                <w:sz w:val="20"/>
                <w:szCs w:val="20"/>
              </w:rPr>
            </w:pPr>
            <w:r w:rsidRPr="00E008BD">
              <w:rPr>
                <w:sz w:val="20"/>
                <w:szCs w:val="20"/>
              </w:rPr>
              <w:sym w:font="Wingdings" w:char="F0FC"/>
            </w:r>
            <w:r w:rsidRPr="00E008BD">
              <w:rPr>
                <w:sz w:val="20"/>
                <w:szCs w:val="20"/>
              </w:rPr>
              <w:t>*</w:t>
            </w:r>
          </w:p>
        </w:tc>
        <w:tc>
          <w:tcPr>
            <w:tcW w:w="874" w:type="dxa"/>
          </w:tcPr>
          <w:p w14:paraId="227D713B" w14:textId="77777777" w:rsidR="00050ABC" w:rsidRPr="00E008BD" w:rsidRDefault="00050ABC" w:rsidP="00E008BD">
            <w:pPr>
              <w:rPr>
                <w:sz w:val="20"/>
                <w:szCs w:val="20"/>
              </w:rPr>
            </w:pPr>
            <w:r w:rsidRPr="00E008BD">
              <w:rPr>
                <w:sz w:val="20"/>
                <w:szCs w:val="20"/>
              </w:rPr>
              <w:sym w:font="Wingdings" w:char="F0FC"/>
            </w:r>
          </w:p>
        </w:tc>
        <w:tc>
          <w:tcPr>
            <w:tcW w:w="997" w:type="dxa"/>
          </w:tcPr>
          <w:p w14:paraId="416DA7CB" w14:textId="77777777" w:rsidR="00050ABC" w:rsidRPr="00E008BD" w:rsidRDefault="00050ABC" w:rsidP="00E008BD">
            <w:pPr>
              <w:rPr>
                <w:sz w:val="20"/>
                <w:szCs w:val="20"/>
              </w:rPr>
            </w:pPr>
            <w:r w:rsidRPr="00E008BD">
              <w:rPr>
                <w:sz w:val="20"/>
                <w:szCs w:val="20"/>
              </w:rPr>
              <w:sym w:font="Wingdings" w:char="F0FC"/>
            </w:r>
            <w:r w:rsidRPr="00E008BD">
              <w:rPr>
                <w:rFonts w:asciiTheme="majorHAnsi" w:hAnsiTheme="majorHAnsi"/>
                <w:sz w:val="20"/>
                <w:szCs w:val="20"/>
              </w:rPr>
              <w:t>‡</w:t>
            </w:r>
          </w:p>
        </w:tc>
      </w:tr>
    </w:tbl>
    <w:p w14:paraId="69BE6D25" w14:textId="2AA3A0D4" w:rsidR="00050ABC" w:rsidRPr="00F728DF" w:rsidRDefault="00050ABC" w:rsidP="00E008BD">
      <w:pPr>
        <w:pStyle w:val="TableDescription"/>
        <w:rPr>
          <w:sz w:val="20"/>
          <w:szCs w:val="20"/>
        </w:rPr>
      </w:pPr>
      <w:r>
        <w:rPr>
          <w:vertAlign w:val="superscript"/>
        </w:rPr>
        <w:t>*</w:t>
      </w:r>
      <w:r w:rsidRPr="00BD0867">
        <w:t>Clinical trials</w:t>
      </w:r>
      <w:r w:rsidR="009731E7">
        <w:br/>
      </w:r>
      <w:r w:rsidRPr="00BD0867">
        <w:rPr>
          <w:vertAlign w:val="superscript"/>
        </w:rPr>
        <w:t>‡</w:t>
      </w:r>
      <w:r w:rsidRPr="00BD0867">
        <w:t>Physician’s guide, Patient’s information brochure</w:t>
      </w:r>
      <w:r w:rsidR="009731E7">
        <w:br/>
      </w:r>
      <w:r w:rsidRPr="00BD0867">
        <w:rPr>
          <w:vertAlign w:val="superscript"/>
        </w:rPr>
        <w:t>¶</w:t>
      </w:r>
      <w:r w:rsidRPr="00BD0867">
        <w:t>Patient’s safety card, Controlled distribution</w:t>
      </w:r>
      <w:r w:rsidR="009731E7">
        <w:br/>
      </w:r>
      <w:r w:rsidRPr="00BD0867">
        <w:rPr>
          <w:vertAlign w:val="superscript"/>
        </w:rPr>
        <w:t xml:space="preserve">§ </w:t>
      </w:r>
      <w:r w:rsidRPr="00BD0867">
        <w:t>Follow-up questionnaire</w:t>
      </w:r>
    </w:p>
    <w:p w14:paraId="3894BCAA" w14:textId="77777777" w:rsidR="002F3F55" w:rsidRDefault="002F3F55" w:rsidP="009731E7">
      <w:r>
        <w:t xml:space="preserve">The </w:t>
      </w:r>
      <w:r w:rsidR="007B7518">
        <w:t>risk management plan (</w:t>
      </w:r>
      <w:r>
        <w:t>RMP</w:t>
      </w:r>
      <w:r w:rsidR="007B7518">
        <w:t>)</w:t>
      </w:r>
      <w:r>
        <w:t xml:space="preserve"> evaluator has raised no objection to registration of ravulizumab, and has made a number of standard recommendations for the conditions of registration.</w:t>
      </w:r>
    </w:p>
    <w:p w14:paraId="3D1696C1" w14:textId="77777777" w:rsidR="008E7846" w:rsidRDefault="00AA0ED0" w:rsidP="008E7846">
      <w:pPr>
        <w:pStyle w:val="Heading3"/>
      </w:pPr>
      <w:bookmarkStart w:id="46" w:name="_Toc247691531"/>
      <w:bookmarkStart w:id="47" w:name="_Toc314842515"/>
      <w:bookmarkStart w:id="48" w:name="_Toc24611066"/>
      <w:bookmarkStart w:id="49" w:name="_Toc196046505"/>
      <w:bookmarkStart w:id="50" w:name="_Toc196046949"/>
      <w:r>
        <w:t>Risk-benefit a</w:t>
      </w:r>
      <w:r w:rsidR="008E7846">
        <w:t>nalysis</w:t>
      </w:r>
      <w:bookmarkEnd w:id="46"/>
      <w:bookmarkEnd w:id="47"/>
      <w:bookmarkEnd w:id="48"/>
    </w:p>
    <w:p w14:paraId="26A25184" w14:textId="77777777" w:rsidR="00D23139" w:rsidRDefault="00D23139" w:rsidP="00D23139">
      <w:pPr>
        <w:pStyle w:val="Heading4"/>
      </w:pPr>
      <w:r w:rsidRPr="00D23139">
        <w:t xml:space="preserve">Delegate’s considerations </w:t>
      </w:r>
    </w:p>
    <w:p w14:paraId="3C1E01E8" w14:textId="77777777" w:rsidR="002F3F55" w:rsidRDefault="002F3F55" w:rsidP="002F3F55">
      <w:r>
        <w:t>The data supports the safety and efficacy of ravulizumab in the treatment of PNH. It is non-inferior to standard of care treatment in relevant endpoints for controlling haemolysis, as shown in two trials.</w:t>
      </w:r>
    </w:p>
    <w:p w14:paraId="663BE9A9" w14:textId="77777777" w:rsidR="002F3F55" w:rsidRDefault="002F3F55" w:rsidP="002F3F55">
      <w:r>
        <w:t>The safety for ravulizumab appears, with limited patient exposure, to be comparable to eculizumab.</w:t>
      </w:r>
    </w:p>
    <w:p w14:paraId="237FE412" w14:textId="77777777" w:rsidR="002F3F55" w:rsidRPr="005C1AB1" w:rsidRDefault="002F3F55" w:rsidP="002F3F55">
      <w:pPr>
        <w:pStyle w:val="Heading5"/>
      </w:pPr>
      <w:r w:rsidRPr="005C1AB1">
        <w:t>Paediatric data</w:t>
      </w:r>
    </w:p>
    <w:p w14:paraId="7C5D3AB0" w14:textId="6EB91B7E" w:rsidR="002F3F55" w:rsidRDefault="002F3F55" w:rsidP="002F3F55">
      <w:r>
        <w:t>The Delegate notes that the requested indication is for the treatment of PNH in adults, which is consistent with the US and EMA indications. However</w:t>
      </w:r>
      <w:r w:rsidR="007B7518">
        <w:t>,</w:t>
      </w:r>
      <w:r>
        <w:t xml:space="preserve"> 10% of PNH cases occur in children and, being very rare, there is a paucity of data in this group of patients. As the </w:t>
      </w:r>
      <w:r w:rsidR="007B7518">
        <w:t>s</w:t>
      </w:r>
      <w:r>
        <w:t>ponsor has noted in their response to the clinical evaluation report, a paediatric study</w:t>
      </w:r>
      <w:r w:rsidR="007B7518">
        <w:t>,</w:t>
      </w:r>
      <w:r>
        <w:t xml:space="preserve"> </w:t>
      </w:r>
      <w:r w:rsidR="007B7518">
        <w:t xml:space="preserve">Study </w:t>
      </w:r>
      <w:r>
        <w:t>ALXN-1210-PNH-304</w:t>
      </w:r>
      <w:r w:rsidR="007B7518">
        <w:t xml:space="preserve">, </w:t>
      </w:r>
      <w:r>
        <w:t>is ongoing in paediatric patients but this does not</w:t>
      </w:r>
      <w:r w:rsidR="007B7518">
        <w:t xml:space="preserve"> include </w:t>
      </w:r>
      <w:r w:rsidR="007B7518">
        <w:lastRenderedPageBreak/>
        <w:t>Australian sites. The s</w:t>
      </w:r>
      <w:r>
        <w:t>ponsor’s expectation is that once paediatric data is available, the indication will be e</w:t>
      </w:r>
      <w:r w:rsidR="00FD4D0C">
        <w:t>xtended to paediatric patients.</w:t>
      </w:r>
    </w:p>
    <w:p w14:paraId="1FA15BF7" w14:textId="77777777" w:rsidR="002F3F55" w:rsidRDefault="002F3F55" w:rsidP="002F3F55">
      <w:r>
        <w:t xml:space="preserve">While the data in paediatric patients is clearly incomplete, the regulatory issue is whether it reasonable based on the information that is available to exclude the use of ravulizumab in children. The Delegate feels that given the pathophysiology of PNH is the same in adults as children, there is no reason to conclude it would not be effective in paediatric patients. Furthermore, as the </w:t>
      </w:r>
      <w:r w:rsidR="00C456BC">
        <w:t>s</w:t>
      </w:r>
      <w:r>
        <w:t>ponsor has noted</w:t>
      </w:r>
      <w:r>
        <w:rPr>
          <w:rStyle w:val="FootnoteReference"/>
          <w:rFonts w:asciiTheme="minorHAnsi" w:hAnsiTheme="minorHAnsi"/>
        </w:rPr>
        <w:footnoteReference w:id="3"/>
      </w:r>
      <w:r>
        <w:t>:</w:t>
      </w:r>
    </w:p>
    <w:p w14:paraId="0C51C71C" w14:textId="77777777" w:rsidR="00C456BC" w:rsidRPr="007B7518" w:rsidRDefault="00C456BC" w:rsidP="007B7518">
      <w:pPr>
        <w:ind w:left="720"/>
        <w:rPr>
          <w:i/>
        </w:rPr>
      </w:pPr>
      <w:r w:rsidRPr="007B7518">
        <w:rPr>
          <w:i/>
        </w:rPr>
        <w:t>Pharmacokinetic/pharmacodynamic (PK/PD) data are currently unavailable in pediatric patients with PNH. However, based on the similarity of PK/PD results between adult patients with PNH and adult and pediatric patients with complement-mediated TMA disease, including aHUS and between, similar PK/PD results are expected between adult and pediatric patients with PNH. This is further supported by the accumulated data from eculizumab in adult and pediatric patients.</w:t>
      </w:r>
    </w:p>
    <w:p w14:paraId="38502F60" w14:textId="77777777" w:rsidR="002F3F55" w:rsidRDefault="002F3F55" w:rsidP="002F3F55">
      <w:pPr>
        <w:rPr>
          <w:noProof/>
          <w:lang w:eastAsia="en-AU"/>
        </w:rPr>
      </w:pPr>
      <w:r>
        <w:rPr>
          <w:noProof/>
          <w:lang w:eastAsia="en-AU"/>
        </w:rPr>
        <w:t>However, the Delegate has chosen not to pursue an age-non-specific indication for ravulizumab at this time as there is an existing therapy for PNH which is indicated in the paediatric population, and therefore there is not an unmet clinical need which would require pre-empting the availability of paediatric data for ravulizumab.</w:t>
      </w:r>
    </w:p>
    <w:p w14:paraId="7736442C" w14:textId="77777777" w:rsidR="002F3F55" w:rsidRDefault="002F3F55" w:rsidP="002F3F55">
      <w:pPr>
        <w:rPr>
          <w:noProof/>
          <w:lang w:eastAsia="en-AU"/>
        </w:rPr>
      </w:pPr>
      <w:r>
        <w:rPr>
          <w:noProof/>
          <w:lang w:eastAsia="en-AU"/>
        </w:rPr>
        <w:t>The D</w:t>
      </w:r>
      <w:r w:rsidR="007B7518">
        <w:rPr>
          <w:noProof/>
          <w:lang w:eastAsia="en-AU"/>
        </w:rPr>
        <w:t>elegate intends to require the s</w:t>
      </w:r>
      <w:r>
        <w:rPr>
          <w:noProof/>
          <w:lang w:eastAsia="en-AU"/>
        </w:rPr>
        <w:t>ponsor to provide the paediatric data for evaluation as soon as it is available as condition of registration of this product.</w:t>
      </w:r>
    </w:p>
    <w:p w14:paraId="77E24511" w14:textId="77777777" w:rsidR="002F3F55" w:rsidRDefault="002F3F55" w:rsidP="002F3F55">
      <w:pPr>
        <w:spacing w:before="0" w:after="0" w:line="240" w:lineRule="auto"/>
        <w:rPr>
          <w:rFonts w:asciiTheme="minorHAnsi" w:hAnsiTheme="minorHAnsi"/>
          <w:b/>
          <w:noProof/>
          <w:lang w:eastAsia="en-AU"/>
        </w:rPr>
      </w:pPr>
      <w:r>
        <w:rPr>
          <w:rFonts w:asciiTheme="minorHAnsi" w:hAnsiTheme="minorHAnsi"/>
          <w:b/>
          <w:noProof/>
          <w:lang w:eastAsia="en-AU"/>
        </w:rPr>
        <w:t>Risk of infection</w:t>
      </w:r>
    </w:p>
    <w:p w14:paraId="3E808B65" w14:textId="4DE4CBA8" w:rsidR="002F3F55" w:rsidRDefault="002F3F55" w:rsidP="002F3F55">
      <w:pPr>
        <w:rPr>
          <w:noProof/>
          <w:lang w:eastAsia="en-AU"/>
        </w:rPr>
      </w:pPr>
      <w:r>
        <w:rPr>
          <w:noProof/>
          <w:lang w:eastAsia="en-AU"/>
        </w:rPr>
        <w:t>Meni</w:t>
      </w:r>
      <w:r w:rsidR="00FD4D0C">
        <w:rPr>
          <w:noProof/>
          <w:lang w:eastAsia="en-AU"/>
        </w:rPr>
        <w:t>n</w:t>
      </w:r>
      <w:r>
        <w:rPr>
          <w:noProof/>
          <w:lang w:eastAsia="en-AU"/>
        </w:rPr>
        <w:t xml:space="preserve">gococcal </w:t>
      </w:r>
      <w:r w:rsidR="0038312F">
        <w:rPr>
          <w:noProof/>
          <w:lang w:eastAsia="en-AU"/>
        </w:rPr>
        <w:t>i</w:t>
      </w:r>
      <w:r>
        <w:rPr>
          <w:noProof/>
          <w:lang w:eastAsia="en-AU"/>
        </w:rPr>
        <w:t>nfection (MI) is a serious risk in patients receiving ravulizumab and requires speci</w:t>
      </w:r>
      <w:r w:rsidR="007B7518">
        <w:rPr>
          <w:noProof/>
          <w:lang w:eastAsia="en-AU"/>
        </w:rPr>
        <w:t>fic attention from prescribers.</w:t>
      </w:r>
    </w:p>
    <w:p w14:paraId="64708305" w14:textId="482A756D" w:rsidR="002F3F55" w:rsidRDefault="002F3F55" w:rsidP="002F3F55">
      <w:pPr>
        <w:rPr>
          <w:noProof/>
          <w:lang w:eastAsia="en-AU"/>
        </w:rPr>
      </w:pPr>
      <w:r>
        <w:rPr>
          <w:noProof/>
          <w:lang w:eastAsia="en-AU"/>
        </w:rPr>
        <w:t>The De</w:t>
      </w:r>
      <w:r w:rsidR="007B7518">
        <w:rPr>
          <w:noProof/>
          <w:lang w:eastAsia="en-AU"/>
        </w:rPr>
        <w:t>legate notes that the clinical evaluator requested the s</w:t>
      </w:r>
      <w:r>
        <w:rPr>
          <w:noProof/>
          <w:lang w:eastAsia="en-AU"/>
        </w:rPr>
        <w:t xml:space="preserve">ponsor to amend reference to MI in the </w:t>
      </w:r>
      <w:r w:rsidR="007B7518">
        <w:rPr>
          <w:noProof/>
          <w:lang w:eastAsia="en-AU"/>
        </w:rPr>
        <w:t>PI</w:t>
      </w:r>
      <w:r>
        <w:rPr>
          <w:noProof/>
          <w:lang w:eastAsia="en-AU"/>
        </w:rPr>
        <w:t xml:space="preserve">, to which the </w:t>
      </w:r>
      <w:r w:rsidR="007B7518">
        <w:rPr>
          <w:noProof/>
          <w:lang w:eastAsia="en-AU"/>
        </w:rPr>
        <w:t>s</w:t>
      </w:r>
      <w:r>
        <w:rPr>
          <w:noProof/>
          <w:lang w:eastAsia="en-AU"/>
        </w:rPr>
        <w:t>ponsor responded</w:t>
      </w:r>
      <w:r>
        <w:rPr>
          <w:rStyle w:val="FootnoteReference"/>
          <w:rFonts w:asciiTheme="minorHAnsi" w:hAnsiTheme="minorHAnsi"/>
          <w:noProof/>
          <w:lang w:eastAsia="en-AU"/>
        </w:rPr>
        <w:footnoteReference w:id="4"/>
      </w:r>
    </w:p>
    <w:p w14:paraId="4B5F5525" w14:textId="49E5DD2C" w:rsidR="00C549AB" w:rsidRPr="00C549AB" w:rsidRDefault="00C549AB" w:rsidP="007B7518">
      <w:pPr>
        <w:ind w:left="720"/>
        <w:rPr>
          <w:i/>
        </w:rPr>
      </w:pPr>
      <w:r w:rsidRPr="00C549AB">
        <w:rPr>
          <w:i/>
        </w:rPr>
        <w:t xml:space="preserve">Alexion would like to clarify and confirm that to date there have been no fatal cases of meningococcal infections reported with ravulizumab. The intent of this sentence </w:t>
      </w:r>
      <w:r w:rsidR="0038312F">
        <w:rPr>
          <w:i/>
        </w:rPr>
        <w:t>–</w:t>
      </w:r>
      <w:r w:rsidRPr="00C549AB">
        <w:rPr>
          <w:i/>
        </w:rPr>
        <w:t xml:space="preserve"> </w:t>
      </w:r>
      <w:r w:rsidR="0038312F">
        <w:rPr>
          <w:i/>
        </w:rPr>
        <w:t>‘</w:t>
      </w:r>
      <w:r w:rsidRPr="00C549AB">
        <w:rPr>
          <w:i/>
        </w:rPr>
        <w:t xml:space="preserve">Cases of serious or fatal meningococcal </w:t>
      </w:r>
      <w:r w:rsidRPr="00C456BC">
        <w:rPr>
          <w:i/>
        </w:rPr>
        <w:t>infections/sepsis have been reported in patients treated with other terminal complement inhibitors.</w:t>
      </w:r>
      <w:r w:rsidR="0038312F">
        <w:rPr>
          <w:i/>
        </w:rPr>
        <w:t>’</w:t>
      </w:r>
      <w:r w:rsidRPr="00C456BC">
        <w:rPr>
          <w:i/>
        </w:rPr>
        <w:t xml:space="preserve"> in Section 4.4 under Serious </w:t>
      </w:r>
      <w:r w:rsidRPr="00C549AB">
        <w:rPr>
          <w:i/>
        </w:rPr>
        <w:t>meningococcal infection is to inform of serious or fatal cases of meningococcal infections with other terminal complement inhibitors such as eculizumab. Therefore, Alexion believes that it’s critical to retain the word “other” in the aforementioned sentence to differentiate the meningococcal cases with other terminal complement inhibitors from ravulizumab.</w:t>
      </w:r>
    </w:p>
    <w:p w14:paraId="23524FB9" w14:textId="77777777" w:rsidR="002F3F55" w:rsidRDefault="002F3F55" w:rsidP="002F3F55">
      <w:pPr>
        <w:rPr>
          <w:noProof/>
          <w:lang w:eastAsia="en-AU"/>
        </w:rPr>
      </w:pPr>
      <w:r>
        <w:rPr>
          <w:noProof/>
          <w:lang w:eastAsia="en-AU"/>
        </w:rPr>
        <w:t>The Delegate notes that the US prescribing information for ravulizumab states</w:t>
      </w:r>
      <w:r w:rsidR="00C456BC">
        <w:rPr>
          <w:noProof/>
          <w:lang w:eastAsia="en-AU"/>
        </w:rPr>
        <w:t>:</w:t>
      </w:r>
    </w:p>
    <w:p w14:paraId="27C93989" w14:textId="1DE1997F" w:rsidR="00C456BC" w:rsidRPr="00C456BC" w:rsidRDefault="00C456BC" w:rsidP="00050ABC">
      <w:pPr>
        <w:ind w:left="720"/>
        <w:rPr>
          <w:i/>
        </w:rPr>
      </w:pPr>
      <w:r w:rsidRPr="00C456BC">
        <w:rPr>
          <w:i/>
        </w:rPr>
        <w:t xml:space="preserve">Life-threatening meningococcal infections/sepsis have occurred in patients treated with </w:t>
      </w:r>
      <w:r w:rsidR="0038312F">
        <w:rPr>
          <w:i/>
        </w:rPr>
        <w:t xml:space="preserve">Ultomiris </w:t>
      </w:r>
      <w:r w:rsidRPr="00C456BC">
        <w:rPr>
          <w:i/>
        </w:rPr>
        <w:t>and may become rapidly life-threatening or fatal if not recognized and treated early (5.1).</w:t>
      </w:r>
    </w:p>
    <w:p w14:paraId="6DB101A0" w14:textId="77777777" w:rsidR="00C456BC" w:rsidRPr="00C456BC" w:rsidRDefault="00C456BC" w:rsidP="009731E7">
      <w:pPr>
        <w:pStyle w:val="ListBullet"/>
        <w:ind w:left="1134"/>
        <w:rPr>
          <w:i/>
        </w:rPr>
      </w:pPr>
      <w:r w:rsidRPr="00C456BC">
        <w:rPr>
          <w:i/>
        </w:rPr>
        <w:t xml:space="preserve">Comply with the most current Advisory Committee on Immunization Practices (ACIP) recommendations for meningococcal vaccination in patients with complement deficiencies (5.1). </w:t>
      </w:r>
    </w:p>
    <w:p w14:paraId="3A98548E" w14:textId="66DE75E3" w:rsidR="00C456BC" w:rsidRPr="00C456BC" w:rsidRDefault="00C456BC" w:rsidP="009731E7">
      <w:pPr>
        <w:pStyle w:val="ListBullet"/>
        <w:ind w:left="1134"/>
        <w:rPr>
          <w:i/>
        </w:rPr>
      </w:pPr>
      <w:r w:rsidRPr="00C456BC">
        <w:rPr>
          <w:i/>
        </w:rPr>
        <w:t xml:space="preserve">Immunize patients with meningococcal vaccines at least 2 weeks prior to administering the first dose of </w:t>
      </w:r>
      <w:r w:rsidR="0038312F" w:rsidRPr="00C456BC">
        <w:rPr>
          <w:i/>
        </w:rPr>
        <w:t>Ultomiris</w:t>
      </w:r>
      <w:r w:rsidRPr="00C456BC">
        <w:rPr>
          <w:i/>
        </w:rPr>
        <w:t xml:space="preserve">, unless the risks of delaying </w:t>
      </w:r>
      <w:r w:rsidR="00E41562" w:rsidRPr="00C456BC">
        <w:rPr>
          <w:i/>
        </w:rPr>
        <w:t>Ultomiris</w:t>
      </w:r>
      <w:r w:rsidRPr="00C456BC">
        <w:rPr>
          <w:i/>
        </w:rPr>
        <w:t xml:space="preserve"> therapy outweigh the risks of developing a meningococcal infection. (See </w:t>
      </w:r>
      <w:r w:rsidRPr="00C456BC">
        <w:rPr>
          <w:i/>
          <w:iCs/>
        </w:rPr>
        <w:t xml:space="preserve">Warnings and Precautions </w:t>
      </w:r>
      <w:r w:rsidRPr="00C456BC">
        <w:rPr>
          <w:i/>
        </w:rPr>
        <w:t xml:space="preserve">(5.1) for additional guidance on the management of </w:t>
      </w:r>
      <w:r w:rsidRPr="00C456BC">
        <w:rPr>
          <w:i/>
        </w:rPr>
        <w:lastRenderedPageBreak/>
        <w:t>the risk of meningococcal infection.)</w:t>
      </w:r>
      <w:r>
        <w:rPr>
          <w:i/>
        </w:rPr>
        <w:t xml:space="preserve"> </w:t>
      </w:r>
      <w:r w:rsidRPr="00C456BC">
        <w:rPr>
          <w:i/>
        </w:rPr>
        <w:t xml:space="preserve">Vaccination reduces, but does not eliminate, the risk of meningococcal infection. </w:t>
      </w:r>
    </w:p>
    <w:p w14:paraId="00F0A820" w14:textId="77777777" w:rsidR="00C456BC" w:rsidRPr="00C456BC" w:rsidRDefault="00C456BC" w:rsidP="009731E7">
      <w:pPr>
        <w:pStyle w:val="ListBullet"/>
        <w:ind w:left="1134"/>
        <w:rPr>
          <w:i/>
        </w:rPr>
      </w:pPr>
      <w:r w:rsidRPr="00C456BC">
        <w:rPr>
          <w:i/>
        </w:rPr>
        <w:t xml:space="preserve">Monitor patients for early signs of meningococcal infections, and evaluate immediately if infection is suspected. </w:t>
      </w:r>
    </w:p>
    <w:p w14:paraId="2B6E939E" w14:textId="28B9D0B0" w:rsidR="00C456BC" w:rsidRPr="00C456BC" w:rsidRDefault="00E41562" w:rsidP="00C456BC">
      <w:pPr>
        <w:ind w:left="360"/>
        <w:rPr>
          <w:i/>
          <w:noProof/>
          <w:lang w:eastAsia="en-AU"/>
        </w:rPr>
      </w:pPr>
      <w:r w:rsidRPr="00C456BC">
        <w:rPr>
          <w:i/>
        </w:rPr>
        <w:t xml:space="preserve">Ultomiris </w:t>
      </w:r>
      <w:r w:rsidR="00C456BC" w:rsidRPr="00C456BC">
        <w:rPr>
          <w:i/>
        </w:rPr>
        <w:t xml:space="preserve">is available only through a restricted program under a Risk Evaluation and Mitigation Strategy (REMS). Under the </w:t>
      </w:r>
      <w:r w:rsidRPr="00C456BC">
        <w:rPr>
          <w:i/>
        </w:rPr>
        <w:t>Ultomiris</w:t>
      </w:r>
      <w:r w:rsidR="00C456BC" w:rsidRPr="00C456BC">
        <w:rPr>
          <w:i/>
        </w:rPr>
        <w:t xml:space="preserve"> REMS, prescribers must enroll in the program (5.1).</w:t>
      </w:r>
    </w:p>
    <w:p w14:paraId="4C21CC85" w14:textId="77777777" w:rsidR="002F3F55" w:rsidRDefault="002F3F55" w:rsidP="002F3F55">
      <w:pPr>
        <w:rPr>
          <w:noProof/>
          <w:lang w:eastAsia="en-AU"/>
        </w:rPr>
      </w:pPr>
      <w:r>
        <w:rPr>
          <w:noProof/>
          <w:lang w:eastAsia="en-AU"/>
        </w:rPr>
        <w:t>This appear to the Delegate difficult to reconcile with the conclusion that serious or fatal MI only occur in ‘other’ complement inhibitors.</w:t>
      </w:r>
    </w:p>
    <w:p w14:paraId="47AFF188" w14:textId="77777777" w:rsidR="002F3F55" w:rsidRDefault="002F3F55" w:rsidP="002F3F55">
      <w:pPr>
        <w:rPr>
          <w:noProof/>
          <w:lang w:eastAsia="en-AU"/>
        </w:rPr>
      </w:pPr>
      <w:r>
        <w:rPr>
          <w:noProof/>
          <w:lang w:eastAsia="en-AU"/>
        </w:rPr>
        <w:t>The Delegate is of the view that the risk of MI is intrinsic to the mechanism of action of complement inhibitors and that the issue of whether an infection is fatal or merely serious is likely to be influenced by facto</w:t>
      </w:r>
      <w:r w:rsidR="007B7518">
        <w:rPr>
          <w:noProof/>
          <w:lang w:eastAsia="en-AU"/>
        </w:rPr>
        <w:t>rs (such as</w:t>
      </w:r>
      <w:r>
        <w:rPr>
          <w:noProof/>
          <w:lang w:eastAsia="en-AU"/>
        </w:rPr>
        <w:t xml:space="preserve"> time of presentation, suitable antibiotic therapy, age of patient</w:t>
      </w:r>
      <w:r w:rsidR="007B7518">
        <w:rPr>
          <w:noProof/>
          <w:lang w:eastAsia="en-AU"/>
        </w:rPr>
        <w:t xml:space="preserve"> and</w:t>
      </w:r>
      <w:r>
        <w:rPr>
          <w:noProof/>
          <w:lang w:eastAsia="en-AU"/>
        </w:rPr>
        <w:t xml:space="preserve">comorbidities </w:t>
      </w:r>
      <w:r w:rsidR="007B7518">
        <w:rPr>
          <w:noProof/>
          <w:lang w:eastAsia="en-AU"/>
        </w:rPr>
        <w:t>and so on</w:t>
      </w:r>
      <w:r>
        <w:rPr>
          <w:noProof/>
          <w:lang w:eastAsia="en-AU"/>
        </w:rPr>
        <w:t>) which are not relevant to the safety of the specific complement inhibitor received. All MI are serious and potentially life threatening as a consequence of the pathophysiology of the agent involved and so what is relevant for therapy is whether the risk of infection is increased.</w:t>
      </w:r>
    </w:p>
    <w:p w14:paraId="43D1BD15" w14:textId="77777777" w:rsidR="002F3F55" w:rsidRDefault="002F3F55" w:rsidP="002F3F55">
      <w:pPr>
        <w:rPr>
          <w:noProof/>
          <w:lang w:eastAsia="en-AU"/>
        </w:rPr>
      </w:pPr>
      <w:r>
        <w:rPr>
          <w:noProof/>
          <w:lang w:eastAsia="en-AU"/>
        </w:rPr>
        <w:t xml:space="preserve">The Delegate therefore proposes to amend the draft </w:t>
      </w:r>
      <w:r w:rsidR="00EE16EB">
        <w:rPr>
          <w:noProof/>
          <w:lang w:eastAsia="en-AU"/>
        </w:rPr>
        <w:t>PI</w:t>
      </w:r>
      <w:r>
        <w:rPr>
          <w:noProof/>
          <w:lang w:eastAsia="en-AU"/>
        </w:rPr>
        <w:t xml:space="preserve"> to include the US ‘black box’ statement as amended for the Australian context, specifically</w:t>
      </w:r>
    </w:p>
    <w:p w14:paraId="604F9DD4" w14:textId="77777777" w:rsidR="002F3F55" w:rsidRDefault="00EE16EB" w:rsidP="002F3F55">
      <w:pPr>
        <w:pStyle w:val="ListBullet"/>
        <w:rPr>
          <w:noProof/>
          <w:lang w:eastAsia="en-AU"/>
        </w:rPr>
      </w:pPr>
      <w:r>
        <w:rPr>
          <w:noProof/>
          <w:lang w:eastAsia="en-AU"/>
        </w:rPr>
        <w:t>Refer to the ‘</w:t>
      </w:r>
      <w:r w:rsidR="002F3F55">
        <w:rPr>
          <w:noProof/>
          <w:lang w:eastAsia="en-AU"/>
        </w:rPr>
        <w:t>Current Edition of the Australian Immunization Handbook</w:t>
      </w:r>
      <w:r>
        <w:rPr>
          <w:noProof/>
          <w:lang w:eastAsia="en-AU"/>
        </w:rPr>
        <w:t>’</w:t>
      </w:r>
      <w:r w:rsidR="002F3F55">
        <w:rPr>
          <w:noProof/>
          <w:lang w:eastAsia="en-AU"/>
        </w:rPr>
        <w:t xml:space="preserve"> as the relevant guideline for vaccination</w:t>
      </w:r>
    </w:p>
    <w:p w14:paraId="6966A7A1" w14:textId="77777777" w:rsidR="002F3F55" w:rsidRDefault="002F3F55" w:rsidP="002F3F55">
      <w:pPr>
        <w:pStyle w:val="ListBullet"/>
        <w:rPr>
          <w:noProof/>
          <w:lang w:eastAsia="en-AU"/>
        </w:rPr>
      </w:pPr>
      <w:r>
        <w:rPr>
          <w:noProof/>
          <w:lang w:eastAsia="en-AU"/>
        </w:rPr>
        <w:t>Remove reference to the restricted access scheme operating in the USA.</w:t>
      </w:r>
    </w:p>
    <w:p w14:paraId="2239AE9F" w14:textId="77777777" w:rsidR="00EE16EB" w:rsidRDefault="002F3F55" w:rsidP="00EE16EB">
      <w:pPr>
        <w:spacing w:before="0" w:after="0" w:line="240" w:lineRule="auto"/>
        <w:rPr>
          <w:rFonts w:asciiTheme="minorHAnsi" w:hAnsiTheme="minorHAnsi"/>
          <w:noProof/>
          <w:lang w:eastAsia="en-AU"/>
        </w:rPr>
      </w:pPr>
      <w:r>
        <w:rPr>
          <w:rFonts w:asciiTheme="minorHAnsi" w:hAnsiTheme="minorHAnsi"/>
          <w:noProof/>
          <w:lang w:eastAsia="en-AU"/>
        </w:rPr>
        <w:t>The Delegate proposes to amend paragraph 2 of section 4.4 of the Australian P</w:t>
      </w:r>
      <w:r w:rsidR="00EE16EB">
        <w:rPr>
          <w:rFonts w:asciiTheme="minorHAnsi" w:hAnsiTheme="minorHAnsi"/>
          <w:noProof/>
          <w:lang w:eastAsia="en-AU"/>
        </w:rPr>
        <w:t>I</w:t>
      </w:r>
      <w:r>
        <w:rPr>
          <w:rFonts w:asciiTheme="minorHAnsi" w:hAnsiTheme="minorHAnsi"/>
          <w:noProof/>
          <w:lang w:eastAsia="en-AU"/>
        </w:rPr>
        <w:t xml:space="preserve"> to read</w:t>
      </w:r>
      <w:r w:rsidR="00EE16EB">
        <w:rPr>
          <w:rFonts w:asciiTheme="minorHAnsi" w:hAnsiTheme="minorHAnsi"/>
          <w:noProof/>
          <w:lang w:eastAsia="en-AU"/>
        </w:rPr>
        <w:t>:</w:t>
      </w:r>
    </w:p>
    <w:p w14:paraId="19ECC927" w14:textId="553C4211" w:rsidR="002F3F55" w:rsidRPr="00050ABC" w:rsidRDefault="002F3F55" w:rsidP="00050ABC">
      <w:pPr>
        <w:ind w:left="720"/>
        <w:rPr>
          <w:i/>
          <w:noProof/>
          <w:lang w:eastAsia="en-AU"/>
        </w:rPr>
      </w:pPr>
      <w:r w:rsidRPr="00050ABC">
        <w:rPr>
          <w:i/>
          <w:noProof/>
          <w:lang w:eastAsia="en-AU"/>
        </w:rPr>
        <w:t>Cases of life-threatening meningiococcal infections/sepsis have been reported in patients treated with terminal complement inhibitors</w:t>
      </w:r>
      <w:r w:rsidR="00EE16EB" w:rsidRPr="00050ABC">
        <w:rPr>
          <w:i/>
          <w:noProof/>
          <w:lang w:eastAsia="en-AU"/>
        </w:rPr>
        <w:t>.</w:t>
      </w:r>
    </w:p>
    <w:p w14:paraId="2BEDAA45" w14:textId="329AEA3E" w:rsidR="002F3F55" w:rsidRPr="002F3F55" w:rsidRDefault="00F728DF" w:rsidP="002F3F55">
      <w:pPr>
        <w:pStyle w:val="Heading4"/>
      </w:pPr>
      <w:r>
        <w:t>Proposed action</w:t>
      </w:r>
    </w:p>
    <w:p w14:paraId="57A9EF62" w14:textId="5E043780" w:rsidR="002F3F55" w:rsidRDefault="002F3F55" w:rsidP="002F3F55">
      <w:r>
        <w:t xml:space="preserve">The Delegate proposes to include ravulizumab in the </w:t>
      </w:r>
      <w:r w:rsidR="00E41562">
        <w:t>Australian Register of Therapeutic Goods (</w:t>
      </w:r>
      <w:r w:rsidR="00EE16EB">
        <w:t>ARTG</w:t>
      </w:r>
      <w:r w:rsidR="00E41562">
        <w:t>)</w:t>
      </w:r>
      <w:r w:rsidR="00C704F5">
        <w:t xml:space="preserve"> with the indication:</w:t>
      </w:r>
    </w:p>
    <w:p w14:paraId="2D516608" w14:textId="77777777" w:rsidR="00C704F5" w:rsidRDefault="00C704F5" w:rsidP="00EE16EB">
      <w:pPr>
        <w:ind w:left="720"/>
      </w:pPr>
      <w:r>
        <w:rPr>
          <w:i/>
        </w:rPr>
        <w:t>Ultomiris is indicated for the treatment of adult patients with paroxysmal nocturnal haemoglobinuria (PNH).</w:t>
      </w:r>
    </w:p>
    <w:p w14:paraId="26C41C2C" w14:textId="62D22115" w:rsidR="002F3F55" w:rsidRPr="00225622" w:rsidRDefault="002F3F55" w:rsidP="002F3F55">
      <w:r>
        <w:t xml:space="preserve">With a </w:t>
      </w:r>
      <w:r w:rsidR="00EE16EB">
        <w:t>PI</w:t>
      </w:r>
      <w:r>
        <w:t xml:space="preserve"> document as amended from that provided in the </w:t>
      </w:r>
      <w:r w:rsidR="003A0EAC">
        <w:t xml:space="preserve">sponsor’s response to </w:t>
      </w:r>
      <w:r w:rsidR="00E41562">
        <w:t xml:space="preserve">the </w:t>
      </w:r>
      <w:r w:rsidR="003A0EAC">
        <w:t xml:space="preserve">TGA’s consolidated request </w:t>
      </w:r>
      <w:r w:rsidR="003A0EAC" w:rsidRPr="00225622">
        <w:t xml:space="preserve">for further information </w:t>
      </w:r>
      <w:r w:rsidRPr="00225622">
        <w:t>as specified above, and with the additional condition of registration:</w:t>
      </w:r>
    </w:p>
    <w:p w14:paraId="4C79809A" w14:textId="324C1EF0" w:rsidR="00456765" w:rsidRPr="00225622" w:rsidRDefault="00225622" w:rsidP="00EE16EB">
      <w:pPr>
        <w:pStyle w:val="Numberbullet0"/>
        <w:numPr>
          <w:ilvl w:val="0"/>
          <w:numId w:val="35"/>
        </w:numPr>
      </w:pPr>
      <w:r>
        <w:t>The s</w:t>
      </w:r>
      <w:r w:rsidR="002F3F55" w:rsidRPr="00225622">
        <w:t xml:space="preserve">ponsor will provide a study report of trial ALXN1210-PNH-304 to </w:t>
      </w:r>
      <w:r w:rsidR="00E41562">
        <w:t xml:space="preserve">the </w:t>
      </w:r>
      <w:r w:rsidR="002F3F55" w:rsidRPr="00225622">
        <w:t>Therapeutic Goods Administration for evaluation in support of a paediatric indication no later than this trial is first submitted to either the US FDA, EMA or Health Canada in support of a paediatric indication.</w:t>
      </w:r>
    </w:p>
    <w:p w14:paraId="6C476BC2" w14:textId="77777777" w:rsidR="00D23139" w:rsidRDefault="00A22D57" w:rsidP="00D23139">
      <w:pPr>
        <w:pStyle w:val="Heading4"/>
      </w:pPr>
      <w:r>
        <w:t>Request for AC</w:t>
      </w:r>
      <w:r w:rsidR="00D23139" w:rsidRPr="00D23139">
        <w:t>M advice</w:t>
      </w:r>
    </w:p>
    <w:p w14:paraId="0AFDED30" w14:textId="7B05AFEE" w:rsidR="00456765" w:rsidRPr="00A322B3" w:rsidRDefault="00456765" w:rsidP="008E7846">
      <w:r>
        <w:rPr>
          <w:bCs/>
        </w:rPr>
        <w:t>The Delegate did not refer this application to the Advisory Committee on Medicines (ACM) for a</w:t>
      </w:r>
      <w:r w:rsidR="003A0EAC">
        <w:rPr>
          <w:bCs/>
        </w:rPr>
        <w:t>d</w:t>
      </w:r>
      <w:r>
        <w:rPr>
          <w:bCs/>
        </w:rPr>
        <w:t>vice.</w:t>
      </w:r>
    </w:p>
    <w:p w14:paraId="4A80F9B8" w14:textId="77777777" w:rsidR="008E7846" w:rsidRPr="002E238E" w:rsidRDefault="008E7846" w:rsidP="009731E7">
      <w:pPr>
        <w:pStyle w:val="Heading3"/>
      </w:pPr>
      <w:bookmarkStart w:id="51" w:name="_Toc247691532"/>
      <w:bookmarkStart w:id="52" w:name="_Toc314842516"/>
      <w:bookmarkStart w:id="53" w:name="_Toc24611067"/>
      <w:bookmarkEnd w:id="30"/>
      <w:bookmarkEnd w:id="49"/>
      <w:bookmarkEnd w:id="50"/>
      <w:r>
        <w:lastRenderedPageBreak/>
        <w:t>Outcome</w:t>
      </w:r>
      <w:bookmarkEnd w:id="51"/>
      <w:bookmarkEnd w:id="52"/>
      <w:bookmarkEnd w:id="53"/>
    </w:p>
    <w:p w14:paraId="50F8D2EC" w14:textId="48F0A4CC" w:rsidR="00D23139" w:rsidRPr="00D23139" w:rsidRDefault="00D23139" w:rsidP="009731E7">
      <w:pPr>
        <w:keepNext/>
      </w:pPr>
      <w:bookmarkStart w:id="54" w:name="_Toc247691533"/>
      <w:bookmarkStart w:id="55" w:name="_Toc314842517"/>
      <w:r w:rsidRPr="00D23139">
        <w:t xml:space="preserve">Based on a review of quality, safety and efficacy, </w:t>
      </w:r>
      <w:r w:rsidR="00E41562">
        <w:t xml:space="preserve">the </w:t>
      </w:r>
      <w:r w:rsidRPr="00D23139">
        <w:t xml:space="preserve">TGA approved the registration of </w:t>
      </w:r>
      <w:r w:rsidR="003A0EAC" w:rsidRPr="00BC7180">
        <w:t xml:space="preserve">ravulizumab 10 mg/mL concentrated solution for </w:t>
      </w:r>
      <w:r w:rsidR="003A0EAC">
        <w:t>i</w:t>
      </w:r>
      <w:r w:rsidR="003A0EAC" w:rsidRPr="00BC7180">
        <w:t>ntravenous infusion</w:t>
      </w:r>
      <w:r w:rsidRPr="00D23139">
        <w:t>, indicated for:</w:t>
      </w:r>
    </w:p>
    <w:p w14:paraId="74C081B8" w14:textId="77777777" w:rsidR="00D23139" w:rsidRPr="00D23139" w:rsidRDefault="003A0EAC" w:rsidP="00C704F5">
      <w:pPr>
        <w:ind w:left="720"/>
      </w:pPr>
      <w:r w:rsidRPr="00F31157">
        <w:rPr>
          <w:i/>
          <w:lang w:eastAsia="en-AU"/>
        </w:rPr>
        <w:t>Ultomiris is indicated for the treatment of adult patients with paroxysmal nocturnal haemoglobinuria (PNH).</w:t>
      </w:r>
    </w:p>
    <w:p w14:paraId="183D75D1" w14:textId="77777777" w:rsidR="00D23139" w:rsidRDefault="00D23139" w:rsidP="00D23139">
      <w:pPr>
        <w:pStyle w:val="Heading4"/>
      </w:pPr>
      <w:r w:rsidRPr="00D23139">
        <w:t>Specific conditions of registration applying to these goods</w:t>
      </w:r>
    </w:p>
    <w:p w14:paraId="08DDA414" w14:textId="77777777" w:rsidR="003A0EAC" w:rsidRPr="00DB28BC" w:rsidRDefault="003A0EAC" w:rsidP="003A0EAC">
      <w:pPr>
        <w:pStyle w:val="Numberbullet0"/>
        <w:numPr>
          <w:ilvl w:val="0"/>
          <w:numId w:val="30"/>
        </w:numPr>
        <w:spacing w:after="180"/>
        <w:rPr>
          <w:lang w:eastAsia="en-AU"/>
        </w:rPr>
      </w:pPr>
      <w:r w:rsidRPr="00DB28BC">
        <w:rPr>
          <w:lang w:eastAsia="en-AU"/>
        </w:rPr>
        <w:t xml:space="preserve">Ultomiris (ravulizumab </w:t>
      </w:r>
      <w:r w:rsidRPr="003A0EAC">
        <w:rPr>
          <w:i/>
          <w:lang w:eastAsia="en-AU"/>
        </w:rPr>
        <w:t>rch</w:t>
      </w:r>
      <w:r w:rsidRPr="00DB28BC">
        <w:rPr>
          <w:lang w:eastAsia="en-AU"/>
        </w:rPr>
        <w:t>) is to be included in the Black Triangle Scheme. The Product Information (PI) and Consumer Medicines Information (CMI) for Ultomiris must include the black triangle symbol and mandatory accompanying text for five years, which starts from the date that the sponsor notifies the TGA of supply of the product.</w:t>
      </w:r>
    </w:p>
    <w:p w14:paraId="39EC3BE1" w14:textId="77777777" w:rsidR="003A0EAC" w:rsidRPr="00DB28BC" w:rsidRDefault="003A0EAC" w:rsidP="003A0EAC">
      <w:pPr>
        <w:pStyle w:val="Numberbullet0"/>
        <w:numPr>
          <w:ilvl w:val="0"/>
          <w:numId w:val="8"/>
        </w:numPr>
        <w:spacing w:after="180"/>
        <w:rPr>
          <w:lang w:eastAsia="en-AU"/>
        </w:rPr>
      </w:pPr>
      <w:r w:rsidRPr="00DB28BC">
        <w:rPr>
          <w:lang w:eastAsia="en-AU"/>
        </w:rPr>
        <w:t xml:space="preserve">The Ultomiris </w:t>
      </w:r>
      <w:r>
        <w:rPr>
          <w:lang w:eastAsia="en-AU"/>
        </w:rPr>
        <w:t>European Union (</w:t>
      </w:r>
      <w:r w:rsidRPr="00DB28BC">
        <w:rPr>
          <w:lang w:eastAsia="en-AU"/>
        </w:rPr>
        <w:t>EU</w:t>
      </w:r>
      <w:r>
        <w:rPr>
          <w:lang w:eastAsia="en-AU"/>
        </w:rPr>
        <w:t>)</w:t>
      </w:r>
      <w:r w:rsidRPr="00DB28BC">
        <w:rPr>
          <w:lang w:eastAsia="en-AU"/>
        </w:rPr>
        <w:t>-Risk Management Plan (RMP) (version 1.4, dated 8 March 2018; DLP 2 May 2019), with Australian Specific Annex (version 2.0, dated 21 June 2019), included with submission PM-2018-05023-1-6, to be revised to the satisfaction of the TGA, will be implemented in Australia.</w:t>
      </w:r>
    </w:p>
    <w:p w14:paraId="36C1EB73" w14:textId="77777777" w:rsidR="003A0EAC" w:rsidRPr="00DB28BC" w:rsidRDefault="003A0EAC" w:rsidP="003A0EAC">
      <w:pPr>
        <w:pStyle w:val="Numberbullet0"/>
        <w:numPr>
          <w:ilvl w:val="0"/>
          <w:numId w:val="0"/>
        </w:numPr>
        <w:ind w:left="425"/>
        <w:rPr>
          <w:lang w:eastAsia="en-AU"/>
        </w:rPr>
      </w:pPr>
      <w:r w:rsidRPr="00DB28BC">
        <w:rPr>
          <w:lang w:eastAsia="en-AU"/>
        </w:rPr>
        <w:t>An obligatory component of risk management plans is routine pharmacovigilance. Routine pharmacovigilance includes the submission of periodic safety update reports (PSURs).</w:t>
      </w:r>
    </w:p>
    <w:p w14:paraId="487263E8" w14:textId="77777777" w:rsidR="003A0EAC" w:rsidRPr="00DB28BC" w:rsidRDefault="003A0EAC" w:rsidP="003A0EAC">
      <w:pPr>
        <w:pStyle w:val="Numberbullet0"/>
        <w:numPr>
          <w:ilvl w:val="0"/>
          <w:numId w:val="0"/>
        </w:numPr>
        <w:ind w:left="425"/>
        <w:rPr>
          <w:lang w:eastAsia="en-AU"/>
        </w:rPr>
      </w:pPr>
      <w:r w:rsidRPr="00DB28BC">
        <w:rPr>
          <w:lang w:eastAsia="en-AU"/>
        </w:rPr>
        <w:t>Reports are to be provided in line with the current published list of EU reference dates and frequency of submission of PSURs until the period covered by such reports is not less than three years from the date of this approval letter.</w:t>
      </w:r>
    </w:p>
    <w:p w14:paraId="676F9FE8" w14:textId="77777777" w:rsidR="003A0EAC" w:rsidRDefault="003A0EAC" w:rsidP="003A0EAC">
      <w:pPr>
        <w:pStyle w:val="Numberbullet0"/>
        <w:numPr>
          <w:ilvl w:val="0"/>
          <w:numId w:val="0"/>
        </w:numPr>
        <w:ind w:left="425"/>
        <w:rPr>
          <w:lang w:eastAsia="en-AU"/>
        </w:rPr>
      </w:pPr>
      <w:r w:rsidRPr="00DB28BC">
        <w:rPr>
          <w:lang w:eastAsia="en-AU"/>
        </w:rPr>
        <w:t>The reports are to at least meet the requirements for PSURs as described in the European M</w:t>
      </w:r>
      <w:r>
        <w:rPr>
          <w:lang w:eastAsia="en-AU"/>
        </w:rPr>
        <w:t>edicines Agency’s Guideline on Good Pharmacovigilance P</w:t>
      </w:r>
      <w:r w:rsidRPr="00DB28BC">
        <w:rPr>
          <w:lang w:eastAsia="en-AU"/>
        </w:rPr>
        <w:t>ractices (GVP) Module VII-periodic safety update report (Rev 1), Part VII.B Structures and processes. Note that submission of a PSUR does not constitute an application to vary the registration.</w:t>
      </w:r>
    </w:p>
    <w:p w14:paraId="40568550" w14:textId="77777777" w:rsidR="00225622" w:rsidRDefault="00225622" w:rsidP="00225622">
      <w:pPr>
        <w:pStyle w:val="Numberbullet0"/>
      </w:pPr>
      <w:r>
        <w:t>Batch release testing &amp; compliance with Certified Product Details</w:t>
      </w:r>
      <w:r>
        <w:rPr>
          <w:spacing w:val="-17"/>
        </w:rPr>
        <w:t xml:space="preserve"> </w:t>
      </w:r>
      <w:r>
        <w:t>(CPD)</w:t>
      </w:r>
    </w:p>
    <w:p w14:paraId="52451578" w14:textId="4B1593D3" w:rsidR="00225622" w:rsidRDefault="00225622" w:rsidP="00225622">
      <w:pPr>
        <w:pStyle w:val="Numberbullet2"/>
      </w:pPr>
      <w:r>
        <w:t xml:space="preserve">It is a condition of registration that all batches </w:t>
      </w:r>
      <w:r w:rsidRPr="00E41562">
        <w:t xml:space="preserve">of </w:t>
      </w:r>
      <w:r w:rsidR="00E41562" w:rsidRPr="00050ABC">
        <w:t>U</w:t>
      </w:r>
      <w:r w:rsidR="00E41562">
        <w:t>ltomiris</w:t>
      </w:r>
      <w:r w:rsidR="00E41562" w:rsidRPr="00050ABC">
        <w:t xml:space="preserve"> </w:t>
      </w:r>
      <w:r w:rsidRPr="00050ABC">
        <w:t>ravulizumab 10</w:t>
      </w:r>
      <w:r w:rsidR="00E41562">
        <w:t> </w:t>
      </w:r>
      <w:r w:rsidRPr="00050ABC">
        <w:t>mg/mL</w:t>
      </w:r>
      <w:r>
        <w:rPr>
          <w:b/>
        </w:rPr>
        <w:t xml:space="preserve"> </w:t>
      </w:r>
      <w:r>
        <w:t>imported into/manufactured in Australia must comply with the product details and specifications approved during evaluation and detailed in the Certified Product Details</w:t>
      </w:r>
      <w:r>
        <w:rPr>
          <w:spacing w:val="-5"/>
        </w:rPr>
        <w:t xml:space="preserve"> </w:t>
      </w:r>
      <w:r>
        <w:t>(CPD).</w:t>
      </w:r>
    </w:p>
    <w:p w14:paraId="3F557A68" w14:textId="464076B2" w:rsidR="00225622" w:rsidRDefault="00225622" w:rsidP="00225622">
      <w:pPr>
        <w:pStyle w:val="Numberbullet2"/>
      </w:pPr>
      <w:r>
        <w:t>It is a condition of registration that each batch of</w:t>
      </w:r>
      <w:r w:rsidRPr="00E41562">
        <w:t xml:space="preserve"> </w:t>
      </w:r>
      <w:r w:rsidR="00E41562" w:rsidRPr="00050ABC">
        <w:t>U</w:t>
      </w:r>
      <w:r w:rsidR="00E41562">
        <w:t>ltomiris</w:t>
      </w:r>
      <w:r w:rsidR="00E41562" w:rsidRPr="00050ABC">
        <w:t xml:space="preserve"> </w:t>
      </w:r>
      <w:r w:rsidRPr="00050ABC">
        <w:t>ravulizumab 10</w:t>
      </w:r>
      <w:r w:rsidR="00E41562">
        <w:t> </w:t>
      </w:r>
      <w:r w:rsidRPr="00050ABC">
        <w:t>mg/mL</w:t>
      </w:r>
      <w:r>
        <w:rPr>
          <w:b/>
        </w:rPr>
        <w:t xml:space="preserve"> </w:t>
      </w:r>
      <w:r>
        <w:t>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w:t>
      </w:r>
      <w:r w:rsidR="00E41562">
        <w:t xml:space="preserve"> http://www.tga.gov.au/ws-labs-index.</w:t>
      </w:r>
    </w:p>
    <w:p w14:paraId="4D45AB24" w14:textId="1599A790" w:rsidR="00225622" w:rsidRDefault="00225622" w:rsidP="00225622">
      <w:pPr>
        <w:pStyle w:val="Numberbullet2"/>
      </w:pPr>
      <w:r>
        <w:t>The sponsor should be prepared to provide product samples, reference materials and documentary evidence as defined by the TGA Laboratories branch. The sponsor must contact</w:t>
      </w:r>
      <w:r>
        <w:rPr>
          <w:color w:val="0000FF"/>
        </w:rPr>
        <w:t xml:space="preserve"> </w:t>
      </w:r>
      <w:r w:rsidR="00E41562">
        <w:rPr>
          <w:color w:val="0000FF"/>
          <w:u w:val="single" w:color="0000FF"/>
        </w:rPr>
        <w:t>Biochemistry.Testing@health.gov.au</w:t>
      </w:r>
      <w:r w:rsidR="00E41562">
        <w:rPr>
          <w:color w:val="0000FF"/>
        </w:rPr>
        <w:t xml:space="preserve"> </w:t>
      </w:r>
      <w:r>
        <w:t>for specific material requirements related to the batch release testing/assessment of the product. More information on TGA testing of biological medicines is available at</w:t>
      </w:r>
      <w:r w:rsidR="00E41562">
        <w:rPr>
          <w:color w:val="0000FF"/>
        </w:rPr>
        <w:t xml:space="preserve"> </w:t>
      </w:r>
      <w:r w:rsidR="00E41562">
        <w:rPr>
          <w:color w:val="0000FF"/>
          <w:u w:val="single" w:color="0000FF"/>
        </w:rPr>
        <w:t>https://www.tga.gov.au/publication/testing-biological-medicines</w:t>
      </w:r>
      <w:r w:rsidR="00E41562">
        <w:t>.</w:t>
      </w:r>
    </w:p>
    <w:p w14:paraId="04C3693C" w14:textId="77777777" w:rsidR="00225622" w:rsidRPr="00225622" w:rsidRDefault="00225622" w:rsidP="00225622">
      <w:pPr>
        <w:pStyle w:val="Numberbullet2"/>
        <w:numPr>
          <w:ilvl w:val="0"/>
          <w:numId w:val="0"/>
        </w:numPr>
        <w:spacing w:before="100" w:line="257" w:lineRule="exact"/>
        <w:ind w:left="851"/>
      </w:pPr>
      <w:r>
        <w:t xml:space="preserve">This batch release condition will be reviewed and may be modified on the basis of actual batch quality and </w:t>
      </w:r>
      <w:r w:rsidRPr="00225622">
        <w:t>consistency. This condition remains in place until you are notified in writing of any variation.</w:t>
      </w:r>
    </w:p>
    <w:p w14:paraId="57A8DE83" w14:textId="77777777" w:rsidR="00225622" w:rsidRDefault="00225622" w:rsidP="00225622">
      <w:pPr>
        <w:pStyle w:val="Numberbullet0"/>
      </w:pPr>
      <w:r>
        <w:lastRenderedPageBreak/>
        <w:t>Certified Product Details</w:t>
      </w:r>
    </w:p>
    <w:p w14:paraId="046D3EE1" w14:textId="7C165239" w:rsidR="00225622" w:rsidRDefault="00225622" w:rsidP="00575AF5">
      <w:pPr>
        <w:pStyle w:val="BodyText"/>
        <w:ind w:left="426" w:right="1099"/>
      </w:pPr>
      <w:r>
        <w:t xml:space="preserve">The </w:t>
      </w:r>
      <w:r w:rsidR="004533B9">
        <w:t>s</w:t>
      </w:r>
      <w:r>
        <w:t xml:space="preserve">Certified Product Details (CPD), as described in Guidance 7: Certified Product Details of the Australian Regulatory Guidelines for Prescription Medicines (ARGPM) </w:t>
      </w:r>
      <w:r w:rsidR="00E41562">
        <w:t>(</w:t>
      </w:r>
      <w:r w:rsidR="00E41562">
        <w:rPr>
          <w:color w:val="0000FF"/>
          <w:u w:val="single" w:color="0000FF"/>
        </w:rPr>
        <w:t>http://www.tga.gov.au/industry/pm-argpm-guidance-7.htm</w:t>
      </w:r>
      <w:r w:rsidR="00E41562">
        <w:t>)</w:t>
      </w:r>
      <w:r>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E11F7CE" w14:textId="77777777" w:rsidR="00225622" w:rsidRDefault="00225622" w:rsidP="00225622">
      <w:pPr>
        <w:pStyle w:val="Numberbullet0"/>
      </w:pPr>
      <w:r>
        <w:t>The sponsor will provide a study report of trial ALXN1210-PNH-304 to Therapeutic Goods Administration for evaluation in support of a paediatric indication no later than this trial is first submitted to either the US FDA, EMA or Health Canada in support of a paediatric</w:t>
      </w:r>
      <w:r>
        <w:rPr>
          <w:spacing w:val="-4"/>
        </w:rPr>
        <w:t xml:space="preserve"> </w:t>
      </w:r>
      <w:r>
        <w:t>indication.</w:t>
      </w:r>
    </w:p>
    <w:p w14:paraId="425C9146" w14:textId="77777777" w:rsidR="003A0EAC" w:rsidRPr="003A0EAC" w:rsidRDefault="003A0EAC" w:rsidP="003A0EAC">
      <w:pPr>
        <w:pStyle w:val="Numberbullet0"/>
      </w:pPr>
      <w:r w:rsidRPr="00DB28BC">
        <w:rPr>
          <w:lang w:eastAsia="en-AU"/>
        </w:rPr>
        <w:t>For all injectable products the Product Information must be included with the product as a package insert.</w:t>
      </w:r>
    </w:p>
    <w:p w14:paraId="743DF295" w14:textId="77777777" w:rsidR="008E7846" w:rsidRDefault="00A80B5B" w:rsidP="00D23139">
      <w:pPr>
        <w:pStyle w:val="Heading2"/>
      </w:pPr>
      <w:bookmarkStart w:id="56" w:name="_Toc24611068"/>
      <w:r>
        <w:t xml:space="preserve">Attachment 1. </w:t>
      </w:r>
      <w:r w:rsidR="008E7846">
        <w:t xml:space="preserve">Product </w:t>
      </w:r>
      <w:r w:rsidR="00AA0ED0">
        <w:t>I</w:t>
      </w:r>
      <w:r w:rsidR="008E7846">
        <w:t>nformation</w:t>
      </w:r>
      <w:bookmarkEnd w:id="54"/>
      <w:bookmarkEnd w:id="55"/>
      <w:bookmarkEnd w:id="56"/>
    </w:p>
    <w:p w14:paraId="07903B43" w14:textId="7C89AF9C" w:rsidR="00291957" w:rsidRDefault="006136D7" w:rsidP="00EE16EB">
      <w:pPr>
        <w:rPr>
          <w:lang w:eastAsia="ja-JP"/>
        </w:rPr>
      </w:pPr>
      <w:r w:rsidRPr="002B3624">
        <w:t xml:space="preserve">The </w:t>
      </w:r>
      <w:r>
        <w:t>PI</w:t>
      </w:r>
      <w:r w:rsidRPr="002B3624">
        <w:t xml:space="preserve"> for </w:t>
      </w:r>
      <w:r w:rsidR="002F3F55">
        <w:t>Ultomiris</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2F3F55">
        <w:t>&gt;.</w:t>
      </w:r>
    </w:p>
    <w:p w14:paraId="433E3A01"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E13D6BA" w14:textId="77777777" w:rsidTr="00A05FA4">
        <w:trPr>
          <w:trHeight w:hRule="exact" w:val="704"/>
        </w:trPr>
        <w:tc>
          <w:tcPr>
            <w:tcW w:w="9175" w:type="dxa"/>
          </w:tcPr>
          <w:p w14:paraId="454408D6" w14:textId="77777777" w:rsidR="001C32CD" w:rsidRPr="00487162" w:rsidRDefault="001C32CD" w:rsidP="00A05FA4">
            <w:pPr>
              <w:pStyle w:val="TGASignoff"/>
            </w:pPr>
            <w:r w:rsidRPr="00487162">
              <w:lastRenderedPageBreak/>
              <w:t>Therapeutic Goods Administration</w:t>
            </w:r>
          </w:p>
        </w:tc>
      </w:tr>
      <w:tr w:rsidR="001C32CD" w:rsidRPr="004C239D" w14:paraId="342853D7" w14:textId="77777777" w:rsidTr="00A05FA4">
        <w:trPr>
          <w:trHeight w:val="1221"/>
        </w:trPr>
        <w:tc>
          <w:tcPr>
            <w:tcW w:w="9175" w:type="dxa"/>
            <w:tcMar>
              <w:top w:w="28" w:type="dxa"/>
            </w:tcMar>
          </w:tcPr>
          <w:p w14:paraId="3A21875F" w14:textId="77777777" w:rsidR="001C32CD" w:rsidRPr="00487162" w:rsidRDefault="001C32CD" w:rsidP="00A05FA4">
            <w:pPr>
              <w:pStyle w:val="Address"/>
            </w:pPr>
            <w:r w:rsidRPr="00487162">
              <w:t>PO Box 100 Woden ACT 2606 Australia</w:t>
            </w:r>
          </w:p>
          <w:p w14:paraId="33530D45" w14:textId="77777777" w:rsidR="001C32CD" w:rsidRPr="00487162" w:rsidRDefault="001C32CD" w:rsidP="00A05FA4">
            <w:pPr>
              <w:pStyle w:val="Address"/>
            </w:pPr>
            <w:r w:rsidRPr="00487162">
              <w:t xml:space="preserve">Email: </w:t>
            </w:r>
            <w:hyperlink r:id="rId33" w:history="1">
              <w:r w:rsidRPr="004C239D">
                <w:rPr>
                  <w:rStyle w:val="Hyperlink"/>
                </w:rPr>
                <w:t>info@tga.gov.au</w:t>
              </w:r>
            </w:hyperlink>
            <w:r w:rsidR="00897CD7">
              <w:t xml:space="preserve"> </w:t>
            </w:r>
            <w:r w:rsidRPr="00487162">
              <w:t>Phone: 1800 020 653</w:t>
            </w:r>
            <w:r w:rsidR="00897CD7">
              <w:t xml:space="preserve"> </w:t>
            </w:r>
            <w:r w:rsidRPr="00487162">
              <w:t>Fax: 02 6232 8605</w:t>
            </w:r>
          </w:p>
          <w:p w14:paraId="1430EE08" w14:textId="77777777" w:rsidR="001C32CD" w:rsidRPr="004C239D" w:rsidRDefault="001139CE"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0A253C05"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ECD74" w16cid:durableId="216A8AD5"/>
  <w16cid:commentId w16cid:paraId="516CE8EE" w16cid:durableId="216A8B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14BED" w14:textId="77777777" w:rsidR="00050ABC" w:rsidRDefault="00050ABC" w:rsidP="00C40A36">
      <w:pPr>
        <w:spacing w:after="0"/>
      </w:pPr>
      <w:r>
        <w:separator/>
      </w:r>
    </w:p>
  </w:endnote>
  <w:endnote w:type="continuationSeparator" w:id="0">
    <w:p w14:paraId="5F351BA8" w14:textId="77777777" w:rsidR="00050ABC" w:rsidRDefault="00050AB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50ABC" w:rsidRPr="00487162" w14:paraId="3F027478" w14:textId="77777777" w:rsidTr="00DB750B">
      <w:trPr>
        <w:trHeight w:val="269"/>
      </w:trPr>
      <w:tc>
        <w:tcPr>
          <w:tcW w:w="7371" w:type="dxa"/>
          <w:tcMar>
            <w:top w:w="142" w:type="dxa"/>
            <w:bottom w:w="0" w:type="dxa"/>
          </w:tcMar>
        </w:tcPr>
        <w:p w14:paraId="2F148A0E" w14:textId="68CCEDB2" w:rsidR="00050ABC" w:rsidRPr="00487162" w:rsidRDefault="00050ABC" w:rsidP="00E008BD">
          <w:pPr>
            <w:pStyle w:val="Footer"/>
          </w:pPr>
          <w:r w:rsidRPr="00487162">
            <w:t>AusPA</w:t>
          </w:r>
          <w:r>
            <w:t xml:space="preserve">R Ultomiris Ravulizumab </w:t>
          </w:r>
          <w:r w:rsidRPr="002512A0">
            <w:rPr>
              <w:sz w:val="18"/>
              <w:szCs w:val="18"/>
            </w:rPr>
            <w:t>Alexion Pharmaceuticals Australasia Pty Ltd PM-2018-05023-1-6</w:t>
          </w:r>
          <w:r w:rsidRPr="002512A0">
            <w:rPr>
              <w:sz w:val="18"/>
              <w:szCs w:val="18"/>
            </w:rPr>
            <w:br/>
          </w:r>
          <w:r w:rsidR="00E008BD">
            <w:rPr>
              <w:sz w:val="18"/>
              <w:szCs w:val="18"/>
            </w:rPr>
            <w:t>Final 13 November 2019</w:t>
          </w:r>
        </w:p>
      </w:tc>
      <w:tc>
        <w:tcPr>
          <w:tcW w:w="1490" w:type="dxa"/>
          <w:tcMar>
            <w:top w:w="142" w:type="dxa"/>
            <w:bottom w:w="0" w:type="dxa"/>
          </w:tcMar>
        </w:tcPr>
        <w:p w14:paraId="420117FF" w14:textId="52A39995" w:rsidR="00050ABC" w:rsidRPr="00487162" w:rsidRDefault="00050ABC" w:rsidP="00DB750B">
          <w:pPr>
            <w:pStyle w:val="Footer"/>
            <w:jc w:val="right"/>
          </w:pPr>
          <w:r w:rsidRPr="00487162">
            <w:t xml:space="preserve">Page </w:t>
          </w:r>
          <w:r>
            <w:fldChar w:fldCharType="begin"/>
          </w:r>
          <w:r>
            <w:instrText xml:space="preserve"> PAGE  \* Arabic </w:instrText>
          </w:r>
          <w:r>
            <w:fldChar w:fldCharType="separate"/>
          </w:r>
          <w:r w:rsidR="001139CE">
            <w:rPr>
              <w:noProof/>
            </w:rPr>
            <w:t>2</w:t>
          </w:r>
          <w:r>
            <w:fldChar w:fldCharType="end"/>
          </w:r>
          <w:r w:rsidRPr="00487162">
            <w:t xml:space="preserve"> of </w:t>
          </w:r>
          <w:fldSimple w:instr=" NUMPAGES  \* Arabic ">
            <w:r w:rsidR="001139CE">
              <w:rPr>
                <w:noProof/>
              </w:rPr>
              <w:t>23</w:t>
            </w:r>
          </w:fldSimple>
        </w:p>
      </w:tc>
    </w:tr>
  </w:tbl>
  <w:p w14:paraId="5C3AE979" w14:textId="77777777" w:rsidR="00050ABC" w:rsidRDefault="00050AB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50ABC" w:rsidRPr="00487162" w14:paraId="4A8DF90A" w14:textId="77777777" w:rsidTr="00E45619">
      <w:trPr>
        <w:trHeight w:val="269"/>
      </w:trPr>
      <w:tc>
        <w:tcPr>
          <w:tcW w:w="4519" w:type="dxa"/>
          <w:tcBorders>
            <w:top w:val="single" w:sz="4" w:space="0" w:color="auto"/>
          </w:tcBorders>
          <w:tcMar>
            <w:top w:w="142" w:type="dxa"/>
            <w:bottom w:w="0" w:type="dxa"/>
          </w:tcMar>
        </w:tcPr>
        <w:p w14:paraId="32279EBA" w14:textId="77777777" w:rsidR="00050ABC" w:rsidRPr="00487162" w:rsidRDefault="00050ABC" w:rsidP="00FE1DEE">
          <w:pPr>
            <w:pStyle w:val="Footer"/>
          </w:pPr>
          <w:r w:rsidRPr="00487162">
            <w:t>Document title, Part #, Section # - Section title</w:t>
          </w:r>
        </w:p>
        <w:p w14:paraId="35010F27" w14:textId="77777777" w:rsidR="00050ABC" w:rsidRPr="00487162" w:rsidRDefault="00050ABC" w:rsidP="00FE1DEE">
          <w:pPr>
            <w:pStyle w:val="Footer"/>
          </w:pPr>
          <w:r w:rsidRPr="00487162">
            <w:t>V1.0 October 2010</w:t>
          </w:r>
        </w:p>
      </w:tc>
      <w:tc>
        <w:tcPr>
          <w:tcW w:w="4342" w:type="dxa"/>
          <w:tcBorders>
            <w:top w:val="single" w:sz="4" w:space="0" w:color="auto"/>
          </w:tcBorders>
          <w:tcMar>
            <w:top w:w="142" w:type="dxa"/>
            <w:bottom w:w="0" w:type="dxa"/>
          </w:tcMar>
        </w:tcPr>
        <w:p w14:paraId="04AF0CE2" w14:textId="219224A8" w:rsidR="00050ABC" w:rsidRPr="00487162" w:rsidRDefault="00050AB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337DE0">
              <w:rPr>
                <w:noProof/>
              </w:rPr>
              <w:t>23</w:t>
            </w:r>
          </w:fldSimple>
        </w:p>
      </w:tc>
    </w:tr>
  </w:tbl>
  <w:p w14:paraId="4397E4A7" w14:textId="77777777" w:rsidR="00050ABC" w:rsidRDefault="00050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68FBB" w14:textId="77777777" w:rsidR="00050ABC" w:rsidRPr="001C32CD" w:rsidRDefault="00050AB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50ABC" w14:paraId="638F3886" w14:textId="77777777" w:rsidTr="0010601F">
      <w:trPr>
        <w:trHeight w:val="108"/>
      </w:trPr>
      <w:tc>
        <w:tcPr>
          <w:tcW w:w="8875" w:type="dxa"/>
          <w:gridSpan w:val="2"/>
          <w:tcBorders>
            <w:bottom w:val="single" w:sz="4" w:space="0" w:color="auto"/>
          </w:tcBorders>
          <w:tcMar>
            <w:right w:w="284" w:type="dxa"/>
          </w:tcMar>
        </w:tcPr>
        <w:p w14:paraId="75A41EE2" w14:textId="77777777" w:rsidR="00050ABC" w:rsidRDefault="00050ABC" w:rsidP="006E08B3">
          <w:pPr>
            <w:pStyle w:val="Heading3"/>
          </w:pPr>
          <w:r>
            <w:t>Copyright</w:t>
          </w:r>
        </w:p>
        <w:p w14:paraId="3441BF6F" w14:textId="77777777" w:rsidR="00050ABC" w:rsidRDefault="00050ABC" w:rsidP="006E08B3">
          <w:r>
            <w:rPr>
              <w:rFonts w:cs="Arial"/>
            </w:rPr>
            <w:t>©</w:t>
          </w:r>
          <w:r>
            <w:t xml:space="preserve"> Commonwealth of Australia [add year]</w:t>
          </w:r>
        </w:p>
        <w:p w14:paraId="5959DE90" w14:textId="77777777" w:rsidR="00050ABC" w:rsidRDefault="00050ABC" w:rsidP="006E08B3"/>
        <w:p w14:paraId="67BC20F6" w14:textId="77777777" w:rsidR="00050ABC" w:rsidRDefault="00050AB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74977BA" w14:textId="77777777" w:rsidR="00050ABC" w:rsidRDefault="00050ABC" w:rsidP="006E08B3"/>
        <w:p w14:paraId="1882E5CD" w14:textId="77777777" w:rsidR="00050ABC" w:rsidRDefault="00050ABC" w:rsidP="006E08B3">
          <w:pPr>
            <w:pStyle w:val="Heading3"/>
          </w:pPr>
          <w:r>
            <w:t>Confidentiality</w:t>
          </w:r>
        </w:p>
        <w:p w14:paraId="70B6AB08" w14:textId="77777777" w:rsidR="00050ABC" w:rsidRDefault="00050AB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ACC4FA3" w14:textId="77777777" w:rsidR="00050ABC" w:rsidRDefault="00050ABC" w:rsidP="006E08B3"/>
        <w:p w14:paraId="7B17F242" w14:textId="77777777" w:rsidR="00050ABC" w:rsidRDefault="00050ABC" w:rsidP="006E08B3">
          <w:r>
            <w:t>For submission made by individuals, all personal details, other than your name, will be removed from your submission before it is published on the TGA’s Internet site.</w:t>
          </w:r>
        </w:p>
        <w:p w14:paraId="60B5CA35" w14:textId="77777777" w:rsidR="00050ABC" w:rsidRDefault="00050ABC" w:rsidP="006E08B3"/>
        <w:p w14:paraId="391B3363" w14:textId="77777777" w:rsidR="00050ABC" w:rsidRDefault="00050ABC" w:rsidP="006E08B3">
          <w:r>
            <w:t>In addition, a list of parties making submissions will be published. If you do not wish to be identified with your submission you must specifically request this in the space provided ib the submission coversheet.</w:t>
          </w:r>
        </w:p>
      </w:tc>
    </w:tr>
    <w:tr w:rsidR="00050ABC" w14:paraId="3080485E" w14:textId="77777777" w:rsidTr="0010601F">
      <w:trPr>
        <w:trHeight w:val="417"/>
      </w:trPr>
      <w:tc>
        <w:tcPr>
          <w:tcW w:w="4519" w:type="dxa"/>
          <w:tcBorders>
            <w:top w:val="single" w:sz="4" w:space="0" w:color="auto"/>
          </w:tcBorders>
          <w:tcMar>
            <w:top w:w="142" w:type="dxa"/>
            <w:bottom w:w="0" w:type="dxa"/>
          </w:tcMar>
        </w:tcPr>
        <w:p w14:paraId="08786B89" w14:textId="77777777" w:rsidR="00050ABC" w:rsidRDefault="00050ABC" w:rsidP="006E08B3">
          <w:r>
            <w:t>Document title, Part #, Section # - Section title</w:t>
          </w:r>
        </w:p>
        <w:p w14:paraId="0EC22E1B" w14:textId="77777777" w:rsidR="00050ABC" w:rsidRDefault="00050ABC" w:rsidP="006E08B3">
          <w:r>
            <w:t>V1.0 October 2010</w:t>
          </w:r>
        </w:p>
      </w:tc>
      <w:tc>
        <w:tcPr>
          <w:tcW w:w="4356" w:type="dxa"/>
          <w:tcBorders>
            <w:top w:val="single" w:sz="4" w:space="0" w:color="auto"/>
          </w:tcBorders>
          <w:tcMar>
            <w:top w:w="142" w:type="dxa"/>
            <w:bottom w:w="0" w:type="dxa"/>
          </w:tcMar>
        </w:tcPr>
        <w:p w14:paraId="4A6F7249" w14:textId="20CD7E3C" w:rsidR="00050ABC" w:rsidRDefault="00050AB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337DE0">
              <w:rPr>
                <w:noProof/>
              </w:rPr>
              <w:t>23</w:t>
            </w:r>
          </w:fldSimple>
          <w:r>
            <w:t xml:space="preserve"> </w:t>
          </w:r>
        </w:p>
      </w:tc>
    </w:tr>
  </w:tbl>
  <w:p w14:paraId="4464FC90" w14:textId="77777777" w:rsidR="00050ABC" w:rsidRDefault="00050A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E900C" w14:textId="77777777" w:rsidR="00050ABC" w:rsidRDefault="00050ABC" w:rsidP="00C40A36">
      <w:pPr>
        <w:spacing w:after="0"/>
      </w:pPr>
      <w:r>
        <w:separator/>
      </w:r>
    </w:p>
  </w:footnote>
  <w:footnote w:type="continuationSeparator" w:id="0">
    <w:p w14:paraId="5D0E0E40" w14:textId="77777777" w:rsidR="00050ABC" w:rsidRDefault="00050ABC" w:rsidP="00C40A36">
      <w:pPr>
        <w:spacing w:after="0"/>
      </w:pPr>
      <w:r>
        <w:continuationSeparator/>
      </w:r>
    </w:p>
  </w:footnote>
  <w:footnote w:id="1">
    <w:p w14:paraId="6399B85C" w14:textId="19D4F30C" w:rsidR="00050ABC" w:rsidRDefault="00050ABC">
      <w:pPr>
        <w:pStyle w:val="FootnoteText"/>
      </w:pPr>
      <w:r>
        <w:rPr>
          <w:rStyle w:val="FootnoteReference"/>
        </w:rPr>
        <w:footnoteRef/>
      </w:r>
      <w:r>
        <w:t xml:space="preserve"> European Public Assessment Report (EPAR) for Ultomiris </w:t>
      </w:r>
      <w:r w:rsidRPr="00F15718">
        <w:t>https://www.ema.europa.eu/en/documents/assessment-report/ultomiris-epar-public-assessment-report_en.pdf</w:t>
      </w:r>
    </w:p>
  </w:footnote>
  <w:footnote w:id="2">
    <w:p w14:paraId="5DC80861" w14:textId="77777777" w:rsidR="00050ABC" w:rsidRDefault="00050ABC" w:rsidP="00A903AB">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p w14:paraId="5DF64827" w14:textId="77777777" w:rsidR="00050ABC" w:rsidRDefault="00050ABC" w:rsidP="00A903AB">
      <w:pPr>
        <w:pStyle w:val="FootnoteText"/>
      </w:pPr>
      <w:r>
        <w:t>Routine pharmacovigilance practices involve the following activities:</w:t>
      </w:r>
    </w:p>
    <w:p w14:paraId="4C3AF4FB" w14:textId="583BB820" w:rsidR="00050ABC" w:rsidRDefault="00050ABC" w:rsidP="00C0044B">
      <w:pPr>
        <w:pStyle w:val="FootnoteText"/>
        <w:ind w:left="284" w:hanging="284"/>
      </w:pPr>
      <w:r>
        <w:t>•</w:t>
      </w:r>
      <w:r w:rsidR="00C0044B">
        <w:tab/>
      </w:r>
      <w:r>
        <w:t>All suspected adverse reactions that are reported to the personnel of the company are collected and collated in an accessible manner;</w:t>
      </w:r>
    </w:p>
    <w:p w14:paraId="0CD521D8" w14:textId="77777777" w:rsidR="00050ABC" w:rsidRDefault="00050ABC" w:rsidP="00C0044B">
      <w:pPr>
        <w:pStyle w:val="FootnoteText"/>
        <w:ind w:left="284" w:hanging="284"/>
      </w:pPr>
      <w:r>
        <w:t>•</w:t>
      </w:r>
      <w:r>
        <w:tab/>
        <w:t>Reporting to regulatory authorities;</w:t>
      </w:r>
    </w:p>
    <w:p w14:paraId="67801B15" w14:textId="09E9C398" w:rsidR="00050ABC" w:rsidRDefault="00050ABC" w:rsidP="00C0044B">
      <w:pPr>
        <w:pStyle w:val="FootnoteText"/>
        <w:ind w:left="284" w:hanging="284"/>
      </w:pPr>
      <w:r>
        <w:t>•</w:t>
      </w:r>
      <w:r>
        <w:tab/>
        <w:t xml:space="preserve">Continuous monitoring of the safety profiles of approved products including signal detection and updating of </w:t>
      </w:r>
      <w:r w:rsidR="00F728DF">
        <w:t>labelling</w:t>
      </w:r>
      <w:r>
        <w:t>;</w:t>
      </w:r>
    </w:p>
    <w:p w14:paraId="389BD6A3" w14:textId="77777777" w:rsidR="00050ABC" w:rsidRDefault="00050ABC" w:rsidP="00C0044B">
      <w:pPr>
        <w:pStyle w:val="FootnoteText"/>
        <w:ind w:left="284" w:hanging="284"/>
      </w:pPr>
      <w:r>
        <w:t>•</w:t>
      </w:r>
      <w:r>
        <w:tab/>
        <w:t>Submission of PSURs;</w:t>
      </w:r>
    </w:p>
    <w:p w14:paraId="3DF51BC9" w14:textId="4D85F52B" w:rsidR="00050ABC" w:rsidRPr="00050ABC" w:rsidRDefault="00050ABC" w:rsidP="00C0044B">
      <w:pPr>
        <w:pStyle w:val="FootnoteText"/>
        <w:ind w:left="284" w:hanging="284"/>
        <w:rPr>
          <w:lang w:val="en-GB"/>
        </w:rPr>
      </w:pPr>
      <w:r>
        <w:t>•</w:t>
      </w:r>
      <w:r>
        <w:tab/>
        <w:t>Meeting other local regulatory agency requirements.</w:t>
      </w:r>
    </w:p>
  </w:footnote>
  <w:footnote w:id="3">
    <w:p w14:paraId="1B4287A0" w14:textId="042DF7AA" w:rsidR="00050ABC" w:rsidRDefault="00050ABC" w:rsidP="002F3F55">
      <w:pPr>
        <w:pStyle w:val="FootnoteText"/>
      </w:pPr>
      <w:r>
        <w:rPr>
          <w:rStyle w:val="FootnoteReference"/>
        </w:rPr>
        <w:footnoteRef/>
      </w:r>
      <w:r>
        <w:t xml:space="preserve"> Post-first round evaluation questions; response to Question 1.</w:t>
      </w:r>
    </w:p>
  </w:footnote>
  <w:footnote w:id="4">
    <w:p w14:paraId="6259D5AC" w14:textId="01ABB37E" w:rsidR="00050ABC" w:rsidRDefault="00050ABC" w:rsidP="002F3F55">
      <w:pPr>
        <w:pStyle w:val="FootnoteText"/>
      </w:pPr>
      <w:r>
        <w:rPr>
          <w:rStyle w:val="FootnoteReference"/>
        </w:rPr>
        <w:footnoteRef/>
      </w:r>
      <w:r>
        <w:t xml:space="preserve"> Post-first round evaluation response regarding tabulated changes to the Australian Ultomiris PI.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6144" w14:textId="77777777" w:rsidR="00050ABC" w:rsidRDefault="00050AB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43D50" w14:textId="77777777" w:rsidR="00050ABC" w:rsidRDefault="00050ABC">
    <w:pPr>
      <w:rPr>
        <w:noProof/>
        <w:lang w:eastAsia="en-AU"/>
      </w:rPr>
    </w:pPr>
    <w:r w:rsidRPr="00347824">
      <w:rPr>
        <w:noProof/>
        <w:lang w:eastAsia="en-AU"/>
      </w:rPr>
      <w:drawing>
        <wp:anchor distT="0" distB="0" distL="114300" distR="114300" simplePos="0" relativeHeight="251659264" behindDoc="1" locked="0" layoutInCell="1" allowOverlap="1" wp14:anchorId="1150B168" wp14:editId="5FB2A611">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42311794" w14:textId="77777777" w:rsidR="00050ABC" w:rsidRDefault="00050ABC"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EB9B3" w14:textId="77777777" w:rsidR="00050ABC" w:rsidRDefault="00050A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E3C3" w14:textId="77777777" w:rsidR="00050ABC" w:rsidRDefault="00050AB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36D0" w14:textId="77777777" w:rsidR="00050ABC" w:rsidRDefault="00050AB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66E83" w14:textId="77777777" w:rsidR="00050ABC" w:rsidRDefault="00050A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93B4" w14:textId="77777777" w:rsidR="00050ABC" w:rsidRDefault="00050AB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724C7" w14:textId="77777777" w:rsidR="00050ABC" w:rsidRDefault="00050ABC" w:rsidP="006E08B3">
    <w:r>
      <w:t>Therapeutic Goods Administration</w:t>
    </w:r>
  </w:p>
  <w:p w14:paraId="7CDA920C" w14:textId="77777777" w:rsidR="00050ABC" w:rsidRDefault="00050ABC"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B826122"/>
    <w:lvl w:ilvl="0">
      <w:start w:val="1"/>
      <w:numFmt w:val="lowerRoman"/>
      <w:pStyle w:val="ListNumber2"/>
      <w:lvlText w:val="(%1)"/>
      <w:lvlJc w:val="left"/>
      <w:pPr>
        <w:ind w:left="720" w:hanging="360"/>
      </w:pPr>
      <w:rPr>
        <w:rFonts w:hint="default"/>
      </w:rPr>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616491"/>
    <w:multiLevelType w:val="hybridMultilevel"/>
    <w:tmpl w:val="FF10B76C"/>
    <w:lvl w:ilvl="0" w:tplc="3F483D8E">
      <w:start w:val="73"/>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B415E6"/>
    <w:multiLevelType w:val="hybridMultilevel"/>
    <w:tmpl w:val="8CBA1C82"/>
    <w:lvl w:ilvl="0" w:tplc="23E2F2F6">
      <w:start w:val="1"/>
      <w:numFmt w:val="decimal"/>
      <w:lvlText w:val="%1."/>
      <w:lvlJc w:val="left"/>
      <w:pPr>
        <w:ind w:left="1401" w:hanging="361"/>
      </w:pPr>
      <w:rPr>
        <w:rFonts w:ascii="Cambria" w:eastAsia="Cambria" w:hAnsi="Cambria" w:cs="Cambria" w:hint="default"/>
        <w:w w:val="100"/>
        <w:sz w:val="22"/>
        <w:szCs w:val="22"/>
      </w:rPr>
    </w:lvl>
    <w:lvl w:ilvl="1" w:tplc="70E6C176">
      <w:numFmt w:val="bullet"/>
      <w:lvlText w:val="•"/>
      <w:lvlJc w:val="left"/>
      <w:pPr>
        <w:ind w:left="2298" w:hanging="361"/>
      </w:pPr>
      <w:rPr>
        <w:rFonts w:hint="default"/>
      </w:rPr>
    </w:lvl>
    <w:lvl w:ilvl="2" w:tplc="3E5A921C">
      <w:numFmt w:val="bullet"/>
      <w:lvlText w:val="•"/>
      <w:lvlJc w:val="left"/>
      <w:pPr>
        <w:ind w:left="3197" w:hanging="361"/>
      </w:pPr>
      <w:rPr>
        <w:rFonts w:hint="default"/>
      </w:rPr>
    </w:lvl>
    <w:lvl w:ilvl="3" w:tplc="E62CDCBE">
      <w:numFmt w:val="bullet"/>
      <w:lvlText w:val="•"/>
      <w:lvlJc w:val="left"/>
      <w:pPr>
        <w:ind w:left="4095" w:hanging="361"/>
      </w:pPr>
      <w:rPr>
        <w:rFonts w:hint="default"/>
      </w:rPr>
    </w:lvl>
    <w:lvl w:ilvl="4" w:tplc="0A9A0BDA">
      <w:numFmt w:val="bullet"/>
      <w:lvlText w:val="•"/>
      <w:lvlJc w:val="left"/>
      <w:pPr>
        <w:ind w:left="4994" w:hanging="361"/>
      </w:pPr>
      <w:rPr>
        <w:rFonts w:hint="default"/>
      </w:rPr>
    </w:lvl>
    <w:lvl w:ilvl="5" w:tplc="ED5EEEB4">
      <w:numFmt w:val="bullet"/>
      <w:lvlText w:val="•"/>
      <w:lvlJc w:val="left"/>
      <w:pPr>
        <w:ind w:left="5893" w:hanging="361"/>
      </w:pPr>
      <w:rPr>
        <w:rFonts w:hint="default"/>
      </w:rPr>
    </w:lvl>
    <w:lvl w:ilvl="6" w:tplc="1CD44EC8">
      <w:numFmt w:val="bullet"/>
      <w:lvlText w:val="•"/>
      <w:lvlJc w:val="left"/>
      <w:pPr>
        <w:ind w:left="6791" w:hanging="361"/>
      </w:pPr>
      <w:rPr>
        <w:rFonts w:hint="default"/>
      </w:rPr>
    </w:lvl>
    <w:lvl w:ilvl="7" w:tplc="A2DC45F8">
      <w:numFmt w:val="bullet"/>
      <w:lvlText w:val="•"/>
      <w:lvlJc w:val="left"/>
      <w:pPr>
        <w:ind w:left="7690" w:hanging="361"/>
      </w:pPr>
      <w:rPr>
        <w:rFonts w:hint="default"/>
      </w:rPr>
    </w:lvl>
    <w:lvl w:ilvl="8" w:tplc="8AD80C6A">
      <w:numFmt w:val="bullet"/>
      <w:lvlText w:val="•"/>
      <w:lvlJc w:val="left"/>
      <w:pPr>
        <w:ind w:left="8589" w:hanging="361"/>
      </w:pPr>
      <w:rPr>
        <w:rFonts w:hint="default"/>
      </w:rPr>
    </w:lvl>
  </w:abstractNum>
  <w:abstractNum w:abstractNumId="11" w15:restartNumberingAfterBreak="0">
    <w:nsid w:val="48454065"/>
    <w:multiLevelType w:val="hybridMultilevel"/>
    <w:tmpl w:val="61B28260"/>
    <w:lvl w:ilvl="0" w:tplc="121AC686">
      <w:start w:val="1"/>
      <w:numFmt w:val="decimal"/>
      <w:lvlText w:val="%1."/>
      <w:lvlJc w:val="left"/>
      <w:pPr>
        <w:ind w:left="1247" w:hanging="567"/>
      </w:pPr>
      <w:rPr>
        <w:rFonts w:ascii="Cambria" w:eastAsia="Cambria" w:hAnsi="Cambria" w:cs="Cambria" w:hint="default"/>
        <w:w w:val="100"/>
        <w:sz w:val="22"/>
        <w:szCs w:val="22"/>
      </w:rPr>
    </w:lvl>
    <w:lvl w:ilvl="1" w:tplc="95229E2E">
      <w:start w:val="1"/>
      <w:numFmt w:val="lowerLetter"/>
      <w:lvlText w:val="(%2)"/>
      <w:lvlJc w:val="left"/>
      <w:pPr>
        <w:ind w:left="1814" w:hanging="567"/>
      </w:pPr>
      <w:rPr>
        <w:rFonts w:ascii="Cambria" w:eastAsia="Cambria" w:hAnsi="Cambria" w:cs="Cambria" w:hint="default"/>
        <w:spacing w:val="-1"/>
        <w:w w:val="100"/>
        <w:sz w:val="22"/>
        <w:szCs w:val="22"/>
      </w:rPr>
    </w:lvl>
    <w:lvl w:ilvl="2" w:tplc="B63490D0">
      <w:numFmt w:val="bullet"/>
      <w:lvlText w:val="•"/>
      <w:lvlJc w:val="left"/>
      <w:pPr>
        <w:ind w:left="2771" w:hanging="567"/>
      </w:pPr>
      <w:rPr>
        <w:rFonts w:hint="default"/>
      </w:rPr>
    </w:lvl>
    <w:lvl w:ilvl="3" w:tplc="22D83E6E">
      <w:numFmt w:val="bullet"/>
      <w:lvlText w:val="•"/>
      <w:lvlJc w:val="left"/>
      <w:pPr>
        <w:ind w:left="3723" w:hanging="567"/>
      </w:pPr>
      <w:rPr>
        <w:rFonts w:hint="default"/>
      </w:rPr>
    </w:lvl>
    <w:lvl w:ilvl="4" w:tplc="80BAC402">
      <w:numFmt w:val="bullet"/>
      <w:lvlText w:val="•"/>
      <w:lvlJc w:val="left"/>
      <w:pPr>
        <w:ind w:left="4675" w:hanging="567"/>
      </w:pPr>
      <w:rPr>
        <w:rFonts w:hint="default"/>
      </w:rPr>
    </w:lvl>
    <w:lvl w:ilvl="5" w:tplc="2710FD5C">
      <w:numFmt w:val="bullet"/>
      <w:lvlText w:val="•"/>
      <w:lvlJc w:val="left"/>
      <w:pPr>
        <w:ind w:left="5627" w:hanging="567"/>
      </w:pPr>
      <w:rPr>
        <w:rFonts w:hint="default"/>
      </w:rPr>
    </w:lvl>
    <w:lvl w:ilvl="6" w:tplc="778A7A14">
      <w:numFmt w:val="bullet"/>
      <w:lvlText w:val="•"/>
      <w:lvlJc w:val="left"/>
      <w:pPr>
        <w:ind w:left="6579" w:hanging="567"/>
      </w:pPr>
      <w:rPr>
        <w:rFonts w:hint="default"/>
      </w:rPr>
    </w:lvl>
    <w:lvl w:ilvl="7" w:tplc="F0C42E46">
      <w:numFmt w:val="bullet"/>
      <w:lvlText w:val="•"/>
      <w:lvlJc w:val="left"/>
      <w:pPr>
        <w:ind w:left="7530" w:hanging="567"/>
      </w:pPr>
      <w:rPr>
        <w:rFonts w:hint="default"/>
      </w:rPr>
    </w:lvl>
    <w:lvl w:ilvl="8" w:tplc="8DDE060A">
      <w:numFmt w:val="bullet"/>
      <w:lvlText w:val="•"/>
      <w:lvlJc w:val="left"/>
      <w:pPr>
        <w:ind w:left="8482" w:hanging="567"/>
      </w:pPr>
      <w:rPr>
        <w:rFont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F676F8"/>
    <w:multiLevelType w:val="hybridMultilevel"/>
    <w:tmpl w:val="FCBA21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7"/>
  </w:num>
  <w:num w:numId="4">
    <w:abstractNumId w:val="7"/>
  </w:num>
  <w:num w:numId="5">
    <w:abstractNumId w:val="1"/>
  </w:num>
  <w:num w:numId="6">
    <w:abstractNumId w:val="7"/>
  </w:num>
  <w:num w:numId="7">
    <w:abstractNumId w:val="7"/>
  </w:num>
  <w:num w:numId="8">
    <w:abstractNumId w:val="6"/>
  </w:num>
  <w:num w:numId="9">
    <w:abstractNumId w:val="6"/>
  </w:num>
  <w:num w:numId="10">
    <w:abstractNumId w:val="6"/>
  </w:num>
  <w:num w:numId="11">
    <w:abstractNumId w:val="6"/>
  </w:num>
  <w:num w:numId="12">
    <w:abstractNumId w:val="4"/>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0"/>
  </w:num>
  <w:num w:numId="33">
    <w:abstractNumId w:val="8"/>
  </w:num>
  <w:num w:numId="34">
    <w:abstractNumId w:val="13"/>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2"/>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62F"/>
    <w:rsid w:val="00002031"/>
    <w:rsid w:val="00004734"/>
    <w:rsid w:val="00006B22"/>
    <w:rsid w:val="00007754"/>
    <w:rsid w:val="0001276A"/>
    <w:rsid w:val="000246AE"/>
    <w:rsid w:val="00025C67"/>
    <w:rsid w:val="00044772"/>
    <w:rsid w:val="0004541C"/>
    <w:rsid w:val="00050ABC"/>
    <w:rsid w:val="0005559E"/>
    <w:rsid w:val="000604D6"/>
    <w:rsid w:val="000734D8"/>
    <w:rsid w:val="00077775"/>
    <w:rsid w:val="00090471"/>
    <w:rsid w:val="00094E78"/>
    <w:rsid w:val="00096AA7"/>
    <w:rsid w:val="000A0A29"/>
    <w:rsid w:val="000A162F"/>
    <w:rsid w:val="000A3AED"/>
    <w:rsid w:val="000B3532"/>
    <w:rsid w:val="000B3A75"/>
    <w:rsid w:val="000C00C2"/>
    <w:rsid w:val="000C690F"/>
    <w:rsid w:val="000D1295"/>
    <w:rsid w:val="000D391B"/>
    <w:rsid w:val="000D3D6D"/>
    <w:rsid w:val="000D4FC7"/>
    <w:rsid w:val="000E6196"/>
    <w:rsid w:val="000F4869"/>
    <w:rsid w:val="000F5B42"/>
    <w:rsid w:val="000F6E6F"/>
    <w:rsid w:val="000F7967"/>
    <w:rsid w:val="0010601F"/>
    <w:rsid w:val="0010788A"/>
    <w:rsid w:val="00107A31"/>
    <w:rsid w:val="00110EA5"/>
    <w:rsid w:val="00112F56"/>
    <w:rsid w:val="001139CE"/>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09A0"/>
    <w:rsid w:val="001F2CEE"/>
    <w:rsid w:val="001F49EB"/>
    <w:rsid w:val="001F6CBA"/>
    <w:rsid w:val="00201D4E"/>
    <w:rsid w:val="002076C9"/>
    <w:rsid w:val="00220B8A"/>
    <w:rsid w:val="00225622"/>
    <w:rsid w:val="002257F3"/>
    <w:rsid w:val="00233456"/>
    <w:rsid w:val="002339A5"/>
    <w:rsid w:val="00244546"/>
    <w:rsid w:val="00250164"/>
    <w:rsid w:val="002512A0"/>
    <w:rsid w:val="00253887"/>
    <w:rsid w:val="00257848"/>
    <w:rsid w:val="0027084A"/>
    <w:rsid w:val="00280265"/>
    <w:rsid w:val="00286434"/>
    <w:rsid w:val="00286C59"/>
    <w:rsid w:val="00291957"/>
    <w:rsid w:val="002942D1"/>
    <w:rsid w:val="0029501A"/>
    <w:rsid w:val="002A3721"/>
    <w:rsid w:val="002B1638"/>
    <w:rsid w:val="002B3624"/>
    <w:rsid w:val="002D0952"/>
    <w:rsid w:val="002E40B3"/>
    <w:rsid w:val="002E4C9A"/>
    <w:rsid w:val="002F11F8"/>
    <w:rsid w:val="002F3F55"/>
    <w:rsid w:val="002F3F56"/>
    <w:rsid w:val="002F44B5"/>
    <w:rsid w:val="002F5122"/>
    <w:rsid w:val="00311AC0"/>
    <w:rsid w:val="003176FC"/>
    <w:rsid w:val="0032583B"/>
    <w:rsid w:val="00327883"/>
    <w:rsid w:val="00335504"/>
    <w:rsid w:val="00337DE0"/>
    <w:rsid w:val="00340C18"/>
    <w:rsid w:val="003442FD"/>
    <w:rsid w:val="00347824"/>
    <w:rsid w:val="00350567"/>
    <w:rsid w:val="003521E8"/>
    <w:rsid w:val="00370CE3"/>
    <w:rsid w:val="003728F3"/>
    <w:rsid w:val="003735BC"/>
    <w:rsid w:val="0037496E"/>
    <w:rsid w:val="0038312F"/>
    <w:rsid w:val="00383221"/>
    <w:rsid w:val="00386150"/>
    <w:rsid w:val="003874CE"/>
    <w:rsid w:val="00390900"/>
    <w:rsid w:val="003A0EAC"/>
    <w:rsid w:val="003A7F6C"/>
    <w:rsid w:val="003B4D60"/>
    <w:rsid w:val="003B7E39"/>
    <w:rsid w:val="003C58DC"/>
    <w:rsid w:val="003D1E62"/>
    <w:rsid w:val="003E0388"/>
    <w:rsid w:val="003E0B99"/>
    <w:rsid w:val="003E2486"/>
    <w:rsid w:val="003E3208"/>
    <w:rsid w:val="003F0B04"/>
    <w:rsid w:val="0040134E"/>
    <w:rsid w:val="004334C7"/>
    <w:rsid w:val="00440A2D"/>
    <w:rsid w:val="00441C3F"/>
    <w:rsid w:val="00444D1A"/>
    <w:rsid w:val="00450AE5"/>
    <w:rsid w:val="0045186A"/>
    <w:rsid w:val="004533B9"/>
    <w:rsid w:val="004564A7"/>
    <w:rsid w:val="00456765"/>
    <w:rsid w:val="004617BF"/>
    <w:rsid w:val="00463658"/>
    <w:rsid w:val="004637A0"/>
    <w:rsid w:val="00467E49"/>
    <w:rsid w:val="004722CC"/>
    <w:rsid w:val="004738F2"/>
    <w:rsid w:val="00490483"/>
    <w:rsid w:val="004936E4"/>
    <w:rsid w:val="00494E60"/>
    <w:rsid w:val="00497487"/>
    <w:rsid w:val="004A2771"/>
    <w:rsid w:val="004A6189"/>
    <w:rsid w:val="004A7390"/>
    <w:rsid w:val="004B7B76"/>
    <w:rsid w:val="004C239D"/>
    <w:rsid w:val="004C2DCA"/>
    <w:rsid w:val="004C61D2"/>
    <w:rsid w:val="004F0C4A"/>
    <w:rsid w:val="004F0F38"/>
    <w:rsid w:val="004F47D6"/>
    <w:rsid w:val="00500337"/>
    <w:rsid w:val="00501921"/>
    <w:rsid w:val="00502C33"/>
    <w:rsid w:val="00530354"/>
    <w:rsid w:val="0053625B"/>
    <w:rsid w:val="005434C6"/>
    <w:rsid w:val="00543B39"/>
    <w:rsid w:val="00546154"/>
    <w:rsid w:val="00550096"/>
    <w:rsid w:val="00555280"/>
    <w:rsid w:val="00557FF9"/>
    <w:rsid w:val="00562327"/>
    <w:rsid w:val="00566D7E"/>
    <w:rsid w:val="005711D5"/>
    <w:rsid w:val="00575AF5"/>
    <w:rsid w:val="00576378"/>
    <w:rsid w:val="00577130"/>
    <w:rsid w:val="00577945"/>
    <w:rsid w:val="00577E38"/>
    <w:rsid w:val="00585322"/>
    <w:rsid w:val="005857C6"/>
    <w:rsid w:val="00592F6E"/>
    <w:rsid w:val="00593AD1"/>
    <w:rsid w:val="005A68B6"/>
    <w:rsid w:val="005B4183"/>
    <w:rsid w:val="005C5570"/>
    <w:rsid w:val="005C79A4"/>
    <w:rsid w:val="005D5442"/>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74B"/>
    <w:rsid w:val="006C3E2A"/>
    <w:rsid w:val="006C5C04"/>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B7518"/>
    <w:rsid w:val="007C1216"/>
    <w:rsid w:val="007C1AF7"/>
    <w:rsid w:val="007C6B9B"/>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97CD7"/>
    <w:rsid w:val="008A2B9D"/>
    <w:rsid w:val="008A3D9F"/>
    <w:rsid w:val="008A5E0B"/>
    <w:rsid w:val="008A6D59"/>
    <w:rsid w:val="008B4B03"/>
    <w:rsid w:val="008B596F"/>
    <w:rsid w:val="008C159F"/>
    <w:rsid w:val="008C1623"/>
    <w:rsid w:val="008C1850"/>
    <w:rsid w:val="008C51A9"/>
    <w:rsid w:val="008D34F9"/>
    <w:rsid w:val="008D47D9"/>
    <w:rsid w:val="008E1855"/>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55C7C"/>
    <w:rsid w:val="00963C08"/>
    <w:rsid w:val="009731E7"/>
    <w:rsid w:val="009752A5"/>
    <w:rsid w:val="0098585A"/>
    <w:rsid w:val="009A4CED"/>
    <w:rsid w:val="009A690D"/>
    <w:rsid w:val="009B1D12"/>
    <w:rsid w:val="009B349D"/>
    <w:rsid w:val="009B416B"/>
    <w:rsid w:val="009C4BD5"/>
    <w:rsid w:val="009D7B77"/>
    <w:rsid w:val="009E0BB0"/>
    <w:rsid w:val="009E3FBB"/>
    <w:rsid w:val="009F7353"/>
    <w:rsid w:val="00A04F85"/>
    <w:rsid w:val="00A05FA4"/>
    <w:rsid w:val="00A102E4"/>
    <w:rsid w:val="00A1219C"/>
    <w:rsid w:val="00A12C42"/>
    <w:rsid w:val="00A14DF7"/>
    <w:rsid w:val="00A22D57"/>
    <w:rsid w:val="00A3246D"/>
    <w:rsid w:val="00A32E57"/>
    <w:rsid w:val="00A36FA7"/>
    <w:rsid w:val="00A44DDB"/>
    <w:rsid w:val="00A475B7"/>
    <w:rsid w:val="00A47AF7"/>
    <w:rsid w:val="00A47C3E"/>
    <w:rsid w:val="00A50226"/>
    <w:rsid w:val="00A60BAD"/>
    <w:rsid w:val="00A7732A"/>
    <w:rsid w:val="00A77F87"/>
    <w:rsid w:val="00A80B5B"/>
    <w:rsid w:val="00A84E36"/>
    <w:rsid w:val="00A903AB"/>
    <w:rsid w:val="00A936F1"/>
    <w:rsid w:val="00A964D1"/>
    <w:rsid w:val="00AA0ED0"/>
    <w:rsid w:val="00AA5040"/>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76B91"/>
    <w:rsid w:val="00B76D05"/>
    <w:rsid w:val="00B77EB1"/>
    <w:rsid w:val="00B811C6"/>
    <w:rsid w:val="00B855B0"/>
    <w:rsid w:val="00B92E08"/>
    <w:rsid w:val="00BA4BB2"/>
    <w:rsid w:val="00BA6D39"/>
    <w:rsid w:val="00BC622A"/>
    <w:rsid w:val="00BE0A78"/>
    <w:rsid w:val="00BE79F0"/>
    <w:rsid w:val="00BF046D"/>
    <w:rsid w:val="00BF1190"/>
    <w:rsid w:val="00BF3774"/>
    <w:rsid w:val="00BF5D04"/>
    <w:rsid w:val="00C0044B"/>
    <w:rsid w:val="00C009AA"/>
    <w:rsid w:val="00C1164D"/>
    <w:rsid w:val="00C16861"/>
    <w:rsid w:val="00C228CE"/>
    <w:rsid w:val="00C346AB"/>
    <w:rsid w:val="00C404A6"/>
    <w:rsid w:val="00C40A36"/>
    <w:rsid w:val="00C44419"/>
    <w:rsid w:val="00C456BC"/>
    <w:rsid w:val="00C45E7B"/>
    <w:rsid w:val="00C471B1"/>
    <w:rsid w:val="00C52E24"/>
    <w:rsid w:val="00C549AB"/>
    <w:rsid w:val="00C55647"/>
    <w:rsid w:val="00C6316B"/>
    <w:rsid w:val="00C634A9"/>
    <w:rsid w:val="00C64586"/>
    <w:rsid w:val="00C67F37"/>
    <w:rsid w:val="00C704F5"/>
    <w:rsid w:val="00C70D53"/>
    <w:rsid w:val="00C73D0B"/>
    <w:rsid w:val="00C772FF"/>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C65"/>
    <w:rsid w:val="00D153D8"/>
    <w:rsid w:val="00D201D2"/>
    <w:rsid w:val="00D224FE"/>
    <w:rsid w:val="00D23139"/>
    <w:rsid w:val="00D33723"/>
    <w:rsid w:val="00D425BB"/>
    <w:rsid w:val="00D453FA"/>
    <w:rsid w:val="00D6493E"/>
    <w:rsid w:val="00D7195D"/>
    <w:rsid w:val="00D7301E"/>
    <w:rsid w:val="00D73808"/>
    <w:rsid w:val="00D80ACB"/>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08BD"/>
    <w:rsid w:val="00E02382"/>
    <w:rsid w:val="00E02FB4"/>
    <w:rsid w:val="00E13FC7"/>
    <w:rsid w:val="00E20571"/>
    <w:rsid w:val="00E235F7"/>
    <w:rsid w:val="00E23659"/>
    <w:rsid w:val="00E239D4"/>
    <w:rsid w:val="00E26130"/>
    <w:rsid w:val="00E40B22"/>
    <w:rsid w:val="00E41562"/>
    <w:rsid w:val="00E44ED1"/>
    <w:rsid w:val="00E45619"/>
    <w:rsid w:val="00E4588F"/>
    <w:rsid w:val="00E46DA3"/>
    <w:rsid w:val="00E51BB1"/>
    <w:rsid w:val="00E55CB0"/>
    <w:rsid w:val="00E624A5"/>
    <w:rsid w:val="00E64BA4"/>
    <w:rsid w:val="00E7344E"/>
    <w:rsid w:val="00E8213B"/>
    <w:rsid w:val="00E82665"/>
    <w:rsid w:val="00E90163"/>
    <w:rsid w:val="00E9182B"/>
    <w:rsid w:val="00EB0798"/>
    <w:rsid w:val="00EB40AD"/>
    <w:rsid w:val="00EB586E"/>
    <w:rsid w:val="00EB5FC8"/>
    <w:rsid w:val="00EC3A80"/>
    <w:rsid w:val="00EC463D"/>
    <w:rsid w:val="00EC7A85"/>
    <w:rsid w:val="00ED2922"/>
    <w:rsid w:val="00ED3CAD"/>
    <w:rsid w:val="00ED5A41"/>
    <w:rsid w:val="00EE16EB"/>
    <w:rsid w:val="00EE1DE8"/>
    <w:rsid w:val="00EE27C2"/>
    <w:rsid w:val="00EF4BAD"/>
    <w:rsid w:val="00EF59DC"/>
    <w:rsid w:val="00F033EC"/>
    <w:rsid w:val="00F04F68"/>
    <w:rsid w:val="00F12670"/>
    <w:rsid w:val="00F14B27"/>
    <w:rsid w:val="00F15718"/>
    <w:rsid w:val="00F3148D"/>
    <w:rsid w:val="00F325C5"/>
    <w:rsid w:val="00F32FE0"/>
    <w:rsid w:val="00F35298"/>
    <w:rsid w:val="00F47333"/>
    <w:rsid w:val="00F47E37"/>
    <w:rsid w:val="00F53C07"/>
    <w:rsid w:val="00F54B65"/>
    <w:rsid w:val="00F640B6"/>
    <w:rsid w:val="00F66DF2"/>
    <w:rsid w:val="00F728DF"/>
    <w:rsid w:val="00F80E11"/>
    <w:rsid w:val="00F80E40"/>
    <w:rsid w:val="00F848D9"/>
    <w:rsid w:val="00FA5069"/>
    <w:rsid w:val="00FA5B82"/>
    <w:rsid w:val="00FA639E"/>
    <w:rsid w:val="00FC1FCA"/>
    <w:rsid w:val="00FC25E4"/>
    <w:rsid w:val="00FC4EF7"/>
    <w:rsid w:val="00FD0824"/>
    <w:rsid w:val="00FD119B"/>
    <w:rsid w:val="00FD1EDC"/>
    <w:rsid w:val="00FD2B63"/>
    <w:rsid w:val="00FD4D0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BDB548"/>
  <w15:docId w15:val="{C6F5C036-478E-42D8-AFDD-D17AD880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0AE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B349D"/>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B349D"/>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B349D"/>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B349D"/>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2F3F55"/>
    <w:pPr>
      <w:adjustRightInd w:val="0"/>
      <w:snapToGrid w:val="0"/>
      <w:spacing w:before="180" w:after="180"/>
      <w:ind w:left="720"/>
      <w:contextualSpacing/>
    </w:pPr>
    <w:rPr>
      <w:rFonts w:eastAsia="MS Mincho"/>
      <w:szCs w:val="20"/>
      <w:lang w:eastAsia="ja-JP"/>
    </w:rPr>
  </w:style>
  <w:style w:type="table" w:customStyle="1" w:styleId="TableTGAblue1">
    <w:name w:val="Table TGA blue1"/>
    <w:basedOn w:val="TableNormal"/>
    <w:uiPriority w:val="99"/>
    <w:qFormat/>
    <w:rsid w:val="002F3F55"/>
    <w:pPr>
      <w:spacing w:after="0" w:line="240" w:lineRule="auto"/>
      <w:ind w:left="170" w:right="170"/>
    </w:pPr>
    <w:rPr>
      <w:rFonts w:ascii="Cambria" w:eastAsia="Calibri"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Tabletextparagraphs">
    <w:name w:val="Table text (paragraphs)"/>
    <w:basedOn w:val="Normal"/>
    <w:rsid w:val="000A0A29"/>
    <w:pPr>
      <w:keepNext/>
      <w:adjustRightInd w:val="0"/>
      <w:snapToGrid w:val="0"/>
      <w:spacing w:before="40" w:after="40" w:line="200" w:lineRule="atLeast"/>
      <w:ind w:left="170" w:right="57" w:hanging="113"/>
    </w:pPr>
    <w:rPr>
      <w:rFonts w:eastAsia="Times New Roman"/>
      <w:snapToGrid w:val="0"/>
      <w:kern w:val="2"/>
      <w:sz w:val="18"/>
      <w:szCs w:val="18"/>
      <w:lang w:val="en-GB"/>
    </w:rPr>
  </w:style>
  <w:style w:type="paragraph" w:customStyle="1" w:styleId="Default">
    <w:name w:val="Default"/>
    <w:rsid w:val="00C549AB"/>
    <w:pPr>
      <w:autoSpaceDE w:val="0"/>
      <w:autoSpaceDN w:val="0"/>
      <w:adjustRightInd w:val="0"/>
      <w:spacing w:after="0" w:line="240" w:lineRule="auto"/>
    </w:pPr>
    <w:rPr>
      <w:rFonts w:ascii="Calibri" w:hAnsi="Calibri" w:cs="Calibri"/>
      <w:color w:val="000000"/>
      <w:sz w:val="24"/>
      <w:szCs w:val="24"/>
    </w:rPr>
  </w:style>
  <w:style w:type="paragraph" w:customStyle="1" w:styleId="CM2">
    <w:name w:val="CM2"/>
    <w:basedOn w:val="Default"/>
    <w:next w:val="Default"/>
    <w:uiPriority w:val="99"/>
    <w:rsid w:val="00C456BC"/>
    <w:pPr>
      <w:spacing w:line="186" w:lineRule="atLeast"/>
    </w:pPr>
    <w:rPr>
      <w:rFonts w:ascii="Times New Roman" w:hAnsi="Times New Roman" w:cs="Times New Roman"/>
      <w:color w:val="auto"/>
    </w:rPr>
  </w:style>
  <w:style w:type="character" w:styleId="Emphasis">
    <w:name w:val="Emphasis"/>
    <w:basedOn w:val="DefaultParagraphFont"/>
    <w:uiPriority w:val="20"/>
    <w:qFormat/>
    <w:rsid w:val="005B4183"/>
    <w:rPr>
      <w:b/>
      <w:bCs/>
      <w:i w:val="0"/>
      <w:iCs w:val="0"/>
    </w:rPr>
  </w:style>
  <w:style w:type="character" w:customStyle="1" w:styleId="st1">
    <w:name w:val="st1"/>
    <w:basedOn w:val="DefaultParagraphFont"/>
    <w:rsid w:val="005B4183"/>
  </w:style>
  <w:style w:type="paragraph" w:styleId="ListNumber">
    <w:name w:val="List Number"/>
    <w:basedOn w:val="ListParagraph"/>
    <w:uiPriority w:val="99"/>
    <w:unhideWhenUsed/>
    <w:rsid w:val="00955C7C"/>
    <w:pPr>
      <w:numPr>
        <w:numId w:val="34"/>
      </w:numPr>
      <w:adjustRightInd/>
      <w:snapToGrid/>
      <w:spacing w:before="0" w:after="120" w:line="240" w:lineRule="auto"/>
      <w:ind w:left="426" w:hanging="426"/>
    </w:pPr>
    <w:rPr>
      <w:rFonts w:asciiTheme="minorHAnsi" w:eastAsia="Times New Roman" w:hAnsiTheme="minorHAnsi"/>
      <w:b/>
      <w:szCs w:val="22"/>
      <w:lang w:eastAsia="en-AU"/>
    </w:rPr>
  </w:style>
  <w:style w:type="paragraph" w:styleId="ListNumber2">
    <w:name w:val="List Number 2"/>
    <w:basedOn w:val="Normal"/>
    <w:uiPriority w:val="99"/>
    <w:unhideWhenUsed/>
    <w:rsid w:val="00955C7C"/>
    <w:pPr>
      <w:numPr>
        <w:numId w:val="32"/>
      </w:numPr>
      <w:adjustRightInd w:val="0"/>
      <w:snapToGrid w:val="0"/>
      <w:spacing w:before="0"/>
      <w:ind w:left="0" w:firstLine="0"/>
      <w:contextualSpacing/>
    </w:pPr>
    <w:rPr>
      <w:rFonts w:eastAsia="MS Mincho"/>
      <w:szCs w:val="20"/>
      <w:lang w:eastAsia="ja-JP"/>
    </w:rPr>
  </w:style>
  <w:style w:type="paragraph" w:styleId="BodyText">
    <w:name w:val="Body Text"/>
    <w:basedOn w:val="Normal"/>
    <w:link w:val="BodyTextChar"/>
    <w:uiPriority w:val="1"/>
    <w:qFormat/>
    <w:rsid w:val="00225622"/>
    <w:pPr>
      <w:widowControl w:val="0"/>
      <w:autoSpaceDE w:val="0"/>
      <w:autoSpaceDN w:val="0"/>
      <w:spacing w:before="0" w:after="0" w:line="240" w:lineRule="auto"/>
    </w:pPr>
    <w:rPr>
      <w:rFonts w:cs="Cambria"/>
      <w:lang w:val="en-US"/>
    </w:rPr>
  </w:style>
  <w:style w:type="character" w:customStyle="1" w:styleId="BodyTextChar">
    <w:name w:val="Body Text Char"/>
    <w:basedOn w:val="DefaultParagraphFont"/>
    <w:link w:val="BodyText"/>
    <w:uiPriority w:val="1"/>
    <w:rsid w:val="00225622"/>
    <w:rPr>
      <w:rFonts w:ascii="Cambria" w:eastAsia="Cambria" w:hAnsi="Cambria" w:cs="Cambria"/>
      <w:lang w:val="en-US"/>
    </w:rPr>
  </w:style>
  <w:style w:type="paragraph" w:customStyle="1" w:styleId="Standard">
    <w:name w:val="Standard"/>
    <w:basedOn w:val="Normal"/>
    <w:link w:val="StandardChar"/>
    <w:qFormat/>
    <w:rsid w:val="00050AB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50ABC"/>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050ABC"/>
    <w:pPr>
      <w:numPr>
        <w:numId w:val="38"/>
      </w:numPr>
      <w:spacing w:after="180"/>
    </w:pPr>
    <w:rPr>
      <w:kern w:val="2"/>
    </w:rPr>
  </w:style>
  <w:style w:type="character" w:customStyle="1" w:styleId="TabletextChar">
    <w:name w:val="Table text Char"/>
    <w:basedOn w:val="StandardChar"/>
    <w:link w:val="Tabletext"/>
    <w:rsid w:val="00050ABC"/>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050ABC"/>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050ABC"/>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50ABC"/>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footer" Target="footer4.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yperlink" Target="https://www.tga.gov.au/product-information-pi" TargetMode="External"/><Relationship Id="rId25" Type="http://schemas.openxmlformats.org/officeDocument/2006/relationships/image" Target="media/image8.emf"/><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mailto:Biochemistry.Testing@tga.gov.au" TargetMode="External"/><Relationship Id="rId31" Type="http://schemas.openxmlformats.org/officeDocument/2006/relationships/header" Target="header5.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6340\D19-5975235%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4B1ADBBF614A46A5E5DE164B2AAC16" ma:contentTypeVersion="3" ma:contentTypeDescription="Create a new document." ma:contentTypeScope="" ma:versionID="e08c71b94d69db12cc8d259244466adc">
  <xsd:schema xmlns:xsd="http://www.w3.org/2001/XMLSchema" xmlns:xs="http://www.w3.org/2001/XMLSchema" xmlns:p="http://schemas.microsoft.com/office/2006/metadata/properties" targetNamespace="http://schemas.microsoft.com/office/2006/metadata/properties" ma:root="true" ma:fieldsID="1a1dc3a0c6c1ed0c2604bb933269bb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074E2-1E7D-4BDC-B19A-30ECAAA1C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E8B6C8E-D2EB-4905-84F8-5D10289C084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77ED142-7085-49CC-A89D-9F8DD9DE2CA3}">
  <ds:schemaRefs>
    <ds:schemaRef ds:uri="http://schemas.microsoft.com/sharepoint/v3/contenttype/forms"/>
  </ds:schemaRefs>
</ds:datastoreItem>
</file>

<file path=customXml/itemProps4.xml><?xml version="1.0" encoding="utf-8"?>
<ds:datastoreItem xmlns:ds="http://schemas.openxmlformats.org/officeDocument/2006/customXml" ds:itemID="{E841EC64-69A2-4834-B6AB-9EBD6D30D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D19-5975235  AusPAR - template - streamlined.DOTX</Template>
  <TotalTime>42</TotalTime>
  <Pages>23</Pages>
  <Words>4982</Words>
  <Characters>29050</Characters>
  <Application>Microsoft Office Word</Application>
  <DocSecurity>0</DocSecurity>
  <Lines>691</Lines>
  <Paragraphs>425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Ravulizumab</dc:title>
  <dc:subject>prescription medicine regulation</dc:subject>
  <dc:creator>Therapeutic Goods Administration</dc:creator>
  <cp:keywords>AusPARs</cp:keywords>
  <cp:lastPrinted>2019-10-24T03:53:00Z</cp:lastPrinted>
  <dcterms:created xsi:type="dcterms:W3CDTF">2019-11-13T01:35:00Z</dcterms:created>
  <dcterms:modified xsi:type="dcterms:W3CDTF">2019-12-12T11:09:00Z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0x010100EF4B1ADBBF614A46A5E5DE164B2AAC16</vt:lpwstr>
  </property>
</Properties>
</file>