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49" w:rsidRPr="00FC6FDF" w:rsidRDefault="006E4CBF" w:rsidP="00557741">
      <w:pPr>
        <w:pStyle w:val="Title"/>
        <w:spacing w:before="0" w:after="0"/>
        <w:jc w:val="right"/>
        <w:rPr>
          <w:b w:val="0"/>
          <w:bCs w:val="0"/>
          <w:sz w:val="24"/>
          <w:szCs w:val="24"/>
          <w:lang w:val="fr-FR"/>
        </w:rPr>
      </w:pPr>
      <w:r w:rsidRPr="00FC6FDF">
        <w:rPr>
          <w:b w:val="0"/>
          <w:bCs w:val="0"/>
          <w:sz w:val="24"/>
          <w:szCs w:val="24"/>
          <w:lang w:val="fr-FR"/>
        </w:rPr>
        <w:tab/>
      </w:r>
    </w:p>
    <w:p w:rsidR="004D3249" w:rsidRPr="005A23AE" w:rsidRDefault="006D791E">
      <w:pPr>
        <w:pStyle w:val="Title"/>
        <w:spacing w:before="0" w:after="0"/>
        <w:jc w:val="left"/>
        <w:rPr>
          <w:i/>
          <w:iCs/>
          <w:lang w:val="en-US"/>
        </w:rPr>
      </w:pPr>
      <w:r w:rsidRPr="006D791E">
        <w:rPr>
          <w:lang w:val="en-US"/>
        </w:rPr>
        <w:t>LUCENTIS</w:t>
      </w:r>
      <w:r w:rsidR="004D3249" w:rsidRPr="00FC6FDF">
        <w:rPr>
          <w:vertAlign w:val="superscript"/>
        </w:rPr>
        <w:sym w:font="Symbol" w:char="F0D2"/>
      </w:r>
    </w:p>
    <w:p w:rsidR="004D3249" w:rsidRPr="005A23AE" w:rsidRDefault="006D791E">
      <w:pPr>
        <w:rPr>
          <w:lang w:val="en-US"/>
        </w:rPr>
      </w:pPr>
      <w:proofErr w:type="spellStart"/>
      <w:proofErr w:type="gramStart"/>
      <w:r w:rsidRPr="006D791E">
        <w:rPr>
          <w:b/>
          <w:bCs/>
          <w:sz w:val="28"/>
          <w:szCs w:val="28"/>
          <w:lang w:val="en-US"/>
        </w:rPr>
        <w:t>ranibizumab</w:t>
      </w:r>
      <w:proofErr w:type="spellEnd"/>
      <w:proofErr w:type="gramEnd"/>
      <w:r w:rsidRPr="006D791E">
        <w:rPr>
          <w:b/>
          <w:bCs/>
          <w:sz w:val="28"/>
          <w:szCs w:val="28"/>
          <w:lang w:val="en-US"/>
        </w:rPr>
        <w:t xml:space="preserve"> (</w:t>
      </w:r>
      <w:proofErr w:type="spellStart"/>
      <w:r w:rsidRPr="006D791E">
        <w:rPr>
          <w:b/>
          <w:bCs/>
          <w:sz w:val="28"/>
          <w:szCs w:val="28"/>
          <w:lang w:val="en-US"/>
        </w:rPr>
        <w:t>rbe</w:t>
      </w:r>
      <w:proofErr w:type="spellEnd"/>
      <w:r w:rsidRPr="006D791E">
        <w:rPr>
          <w:b/>
          <w:bCs/>
          <w:sz w:val="28"/>
          <w:szCs w:val="28"/>
          <w:lang w:val="en-US"/>
        </w:rPr>
        <w:t>)</w:t>
      </w:r>
    </w:p>
    <w:p w:rsidR="004D3249" w:rsidRPr="005A23AE" w:rsidRDefault="004D3249">
      <w:pPr>
        <w:rPr>
          <w:lang w:val="en-US"/>
        </w:rPr>
      </w:pPr>
    </w:p>
    <w:p w:rsidR="004D3249" w:rsidRPr="00FC6FDF" w:rsidRDefault="004D3249">
      <w:pPr>
        <w:pStyle w:val="Heading1"/>
      </w:pPr>
      <w:r w:rsidRPr="00FC6FDF">
        <w:t xml:space="preserve">NAME OF THE </w:t>
      </w:r>
      <w:r w:rsidR="006E00B6" w:rsidRPr="00FC6FDF">
        <w:t>MEDICINE</w:t>
      </w:r>
    </w:p>
    <w:p w:rsidR="004D3249" w:rsidRPr="00FC6FDF" w:rsidRDefault="004D3249">
      <w:pPr>
        <w:pStyle w:val="Header"/>
        <w:tabs>
          <w:tab w:val="clear" w:pos="4153"/>
          <w:tab w:val="clear" w:pos="8306"/>
        </w:tabs>
      </w:pPr>
    </w:p>
    <w:p w:rsidR="004D3249" w:rsidRPr="00FC6FDF" w:rsidRDefault="004D3249" w:rsidP="00456B4D">
      <w:pPr>
        <w:tabs>
          <w:tab w:val="left" w:pos="2552"/>
        </w:tabs>
        <w:rPr>
          <w:highlight w:val="yellow"/>
        </w:rPr>
      </w:pPr>
      <w:r w:rsidRPr="00FC6FDF">
        <w:t>Active ingredient:</w:t>
      </w:r>
      <w:r w:rsidRPr="00FC6FDF">
        <w:tab/>
      </w:r>
      <w:proofErr w:type="spellStart"/>
      <w:r w:rsidRPr="00FC6FDF">
        <w:t>Ranibizumab</w:t>
      </w:r>
      <w:proofErr w:type="spellEnd"/>
    </w:p>
    <w:p w:rsidR="004D3249" w:rsidRPr="00FC6FDF" w:rsidRDefault="004D3249" w:rsidP="002238CF">
      <w:pPr>
        <w:tabs>
          <w:tab w:val="left" w:pos="2552"/>
        </w:tabs>
        <w:ind w:left="2552" w:hanging="2552"/>
      </w:pPr>
      <w:r w:rsidRPr="00FC6FDF">
        <w:t>Chemical name:</w:t>
      </w:r>
      <w:r w:rsidRPr="00FC6FDF">
        <w:tab/>
        <w:t xml:space="preserve">Immunoglobulin G1, anti-(human vascular endothelial growth factor) Fab fragment (human-mouse monoclonal </w:t>
      </w:r>
      <w:proofErr w:type="spellStart"/>
      <w:r w:rsidRPr="00FC6FDF">
        <w:t>rhuFab</w:t>
      </w:r>
      <w:proofErr w:type="spellEnd"/>
      <w:r w:rsidRPr="00FC6FDF">
        <w:t xml:space="preserve"> V2 γ1-chain), </w:t>
      </w:r>
      <w:proofErr w:type="spellStart"/>
      <w:r w:rsidRPr="00FC6FDF">
        <w:t>disulfide</w:t>
      </w:r>
      <w:proofErr w:type="spellEnd"/>
      <w:r w:rsidRPr="00FC6FDF">
        <w:t xml:space="preserve"> with human-mouse monoclonal </w:t>
      </w:r>
      <w:proofErr w:type="spellStart"/>
      <w:r w:rsidRPr="00FC6FDF">
        <w:t>rhuFab</w:t>
      </w:r>
      <w:proofErr w:type="spellEnd"/>
      <w:r w:rsidRPr="00FC6FDF">
        <w:t xml:space="preserve"> V2 к-chain</w:t>
      </w:r>
    </w:p>
    <w:p w:rsidR="004D3249" w:rsidRPr="00FC6FDF" w:rsidRDefault="004D3249" w:rsidP="00456B4D">
      <w:pPr>
        <w:tabs>
          <w:tab w:val="left" w:pos="2552"/>
        </w:tabs>
      </w:pPr>
      <w:r w:rsidRPr="00FC6FDF">
        <w:t>CAS number:</w:t>
      </w:r>
      <w:r w:rsidRPr="00FC6FDF">
        <w:tab/>
        <w:t>347396-82-1</w:t>
      </w:r>
    </w:p>
    <w:p w:rsidR="004D3249" w:rsidRPr="00FC6FDF" w:rsidRDefault="004D3249" w:rsidP="00456B4D">
      <w:pPr>
        <w:tabs>
          <w:tab w:val="left" w:pos="2552"/>
        </w:tabs>
      </w:pPr>
      <w:r w:rsidRPr="00FC6FDF">
        <w:t>Molecular weight:</w:t>
      </w:r>
      <w:r w:rsidRPr="00FC6FDF">
        <w:tab/>
        <w:t>Approximately 48kDa</w:t>
      </w:r>
    </w:p>
    <w:p w:rsidR="004D3249" w:rsidRPr="00FC6FDF" w:rsidRDefault="004D3249" w:rsidP="00D96823">
      <w:pPr>
        <w:tabs>
          <w:tab w:val="left" w:pos="2552"/>
        </w:tabs>
        <w:ind w:left="2552" w:hanging="2552"/>
      </w:pPr>
      <w:r w:rsidRPr="00FC6FDF">
        <w:t>Structure:</w:t>
      </w:r>
      <w:r w:rsidRPr="00FC6FDF">
        <w:tab/>
      </w:r>
      <w:proofErr w:type="spellStart"/>
      <w:r w:rsidRPr="00FC6FDF">
        <w:t>Ranibizumab</w:t>
      </w:r>
      <w:proofErr w:type="spellEnd"/>
      <w:r w:rsidRPr="00FC6FDF">
        <w:t xml:space="preserve"> is the Fab moiety of a high affinity version of recombinant humanised monoclonal antibody </w:t>
      </w:r>
      <w:proofErr w:type="spellStart"/>
      <w:r w:rsidRPr="00FC6FDF">
        <w:t>rhuMAb</w:t>
      </w:r>
      <w:proofErr w:type="spellEnd"/>
      <w:r w:rsidRPr="00FC6FDF">
        <w:t xml:space="preserve"> vascular endothelial growth factor</w:t>
      </w:r>
      <w:r w:rsidR="00B84059" w:rsidRPr="00FC6FDF">
        <w:t xml:space="preserve"> (VEGF</w:t>
      </w:r>
      <w:r w:rsidRPr="00FC6FDF">
        <w:t xml:space="preserve">). It consists of a 214-residue light chain linked by a </w:t>
      </w:r>
      <w:proofErr w:type="spellStart"/>
      <w:r w:rsidRPr="00FC6FDF">
        <w:t>disulfide</w:t>
      </w:r>
      <w:proofErr w:type="spellEnd"/>
      <w:r w:rsidRPr="00FC6FDF">
        <w:t xml:space="preserve"> bond at its C-terminus to the 231-residue N-terminal segment of the heavy chain. The expected amino acid sequences of the heavy and light chains are shown in Figures 1a and 1b.</w:t>
      </w:r>
    </w:p>
    <w:p w:rsidR="004D3249" w:rsidRPr="00FC6FDF" w:rsidRDefault="004D3249" w:rsidP="00D96823">
      <w:pPr>
        <w:pStyle w:val="Nottoc-headings"/>
      </w:pPr>
      <w:r w:rsidRPr="00FC6FDF">
        <w:t>Figure 1a</w:t>
      </w:r>
      <w:r w:rsidRPr="00FC6FDF">
        <w:tab/>
      </w:r>
      <w:proofErr w:type="gramStart"/>
      <w:r w:rsidRPr="00FC6FDF">
        <w:t>The</w:t>
      </w:r>
      <w:proofErr w:type="gramEnd"/>
      <w:r w:rsidRPr="00FC6FDF">
        <w:t xml:space="preserve"> amino acid sequence of the heavy chain of </w:t>
      </w:r>
      <w:proofErr w:type="spellStart"/>
      <w:r w:rsidRPr="00FC6FDF">
        <w:t>ranibizumab</w:t>
      </w:r>
      <w:proofErr w:type="spellEnd"/>
    </w:p>
    <w:p w:rsidR="004D3249" w:rsidRPr="00FC6FDF" w:rsidRDefault="004D3249" w:rsidP="00D96823">
      <w:pPr>
        <w:pStyle w:val="TableFigureSpace"/>
      </w:pPr>
    </w:p>
    <w:p w:rsidR="004D3249" w:rsidRPr="00FC6FDF" w:rsidRDefault="004D3249" w:rsidP="00D96823">
      <w:pPr>
        <w:tabs>
          <w:tab w:val="center" w:pos="1350"/>
          <w:tab w:val="center" w:pos="2700"/>
          <w:tab w:val="center" w:pos="4140"/>
          <w:tab w:val="center" w:pos="5580"/>
          <w:tab w:val="center" w:pos="7020"/>
          <w:tab w:val="center" w:pos="8280"/>
          <w:tab w:val="center" w:pos="9900"/>
          <w:tab w:val="center" w:pos="11880"/>
        </w:tabs>
        <w:rPr>
          <w:rFonts w:ascii="Courier" w:hAnsi="Courier" w:cs="Courier"/>
          <w:b/>
          <w:bCs/>
        </w:rPr>
      </w:pPr>
      <w:r w:rsidRPr="00FC6FDF">
        <w:rPr>
          <w:rFonts w:ascii="Courier" w:hAnsi="Courier" w:cs="Courier"/>
          <w:b/>
          <w:bCs/>
        </w:rPr>
        <w:tab/>
      </w:r>
      <w:r w:rsidRPr="00FC6FDF">
        <w:rPr>
          <w:rFonts w:ascii="Courier" w:hAnsi="Courier" w:cs="Courier"/>
        </w:rPr>
        <w:t>10</w:t>
      </w:r>
      <w:r w:rsidRPr="00FC6FDF">
        <w:rPr>
          <w:rFonts w:ascii="Courier" w:hAnsi="Courier" w:cs="Courier"/>
        </w:rPr>
        <w:tab/>
        <w:t>20</w:t>
      </w:r>
      <w:r w:rsidRPr="00FC6FDF">
        <w:rPr>
          <w:rFonts w:ascii="Courier" w:hAnsi="Courier" w:cs="Courier"/>
        </w:rPr>
        <w:tab/>
        <w:t>30</w:t>
      </w:r>
      <w:r w:rsidRPr="00FC6FDF">
        <w:rPr>
          <w:rFonts w:ascii="Courier" w:hAnsi="Courier" w:cs="Courier"/>
        </w:rPr>
        <w:tab/>
        <w:t>40</w:t>
      </w:r>
      <w:r w:rsidRPr="00FC6FDF">
        <w:rPr>
          <w:rFonts w:ascii="Courier" w:hAnsi="Courier" w:cs="Courier"/>
        </w:rPr>
        <w:tab/>
        <w:t>50</w:t>
      </w:r>
      <w:r w:rsidRPr="00FC6FDF">
        <w:rPr>
          <w:rFonts w:ascii="Courier" w:hAnsi="Courier" w:cs="Courier"/>
        </w:rPr>
        <w:tab/>
        <w:t>60</w:t>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2592"/>
        <w:rPr>
          <w:rFonts w:ascii="Courier" w:hAnsi="Courier" w:cs="Courier"/>
          <w:b/>
          <w:bCs/>
        </w:rPr>
      </w:pPr>
      <w:r w:rsidRPr="00FC6FDF">
        <w:rPr>
          <w:rFonts w:ascii="Courier" w:hAnsi="Courier" w:cs="Courier"/>
        </w:rPr>
        <w:tab/>
        <w:t>EVQLVESGGGLVQPGGSLRLSCAAS</w:t>
      </w:r>
      <w:r w:rsidRPr="00FC6FDF">
        <w:rPr>
          <w:rFonts w:ascii="Courier" w:hAnsi="Courier" w:cs="Courier"/>
          <w:u w:val="single"/>
        </w:rPr>
        <w:t>GYDFTHYGMN</w:t>
      </w:r>
      <w:r w:rsidRPr="00FC6FDF">
        <w:rPr>
          <w:rFonts w:ascii="Courier" w:hAnsi="Courier" w:cs="Courier"/>
        </w:rPr>
        <w:t>WVRQAPGKGLEWVG</w:t>
      </w:r>
      <w:r w:rsidRPr="00FC6FDF">
        <w:rPr>
          <w:rFonts w:ascii="Courier" w:hAnsi="Courier" w:cs="Courier"/>
          <w:u w:val="single"/>
        </w:rPr>
        <w:t>WINTYTGEPTY</w:t>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2592"/>
        <w:rPr>
          <w:rFonts w:ascii="Courier" w:hAnsi="Courier" w:cs="Courier"/>
        </w:rPr>
      </w:pPr>
      <w:r w:rsidRPr="00FC6FDF">
        <w:rPr>
          <w:rFonts w:ascii="Courier" w:hAnsi="Courier" w:cs="Courier"/>
        </w:rPr>
        <w:tab/>
        <w:t>70</w:t>
      </w:r>
      <w:r w:rsidRPr="00FC6FDF">
        <w:rPr>
          <w:rFonts w:ascii="Courier" w:hAnsi="Courier" w:cs="Courier"/>
        </w:rPr>
        <w:tab/>
        <w:t>80</w:t>
      </w:r>
      <w:r w:rsidRPr="00FC6FDF">
        <w:rPr>
          <w:rFonts w:ascii="Courier" w:hAnsi="Courier" w:cs="Courier"/>
        </w:rPr>
        <w:tab/>
        <w:t>90</w:t>
      </w:r>
      <w:r w:rsidRPr="00FC6FDF">
        <w:rPr>
          <w:rFonts w:ascii="Courier" w:hAnsi="Courier" w:cs="Courier"/>
        </w:rPr>
        <w:tab/>
        <w:t>100</w:t>
      </w:r>
      <w:r w:rsidRPr="00FC6FDF">
        <w:rPr>
          <w:rFonts w:ascii="Courier" w:hAnsi="Courier" w:cs="Courier"/>
        </w:rPr>
        <w:tab/>
        <w:t>110</w:t>
      </w:r>
      <w:r w:rsidRPr="00FC6FDF">
        <w:rPr>
          <w:rFonts w:ascii="Courier" w:hAnsi="Courier" w:cs="Courier"/>
        </w:rPr>
        <w:tab/>
        <w:t>120</w:t>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2592"/>
        <w:rPr>
          <w:rFonts w:ascii="Courier" w:hAnsi="Courier" w:cs="Courier"/>
        </w:rPr>
      </w:pPr>
      <w:r w:rsidRPr="00FC6FDF">
        <w:rPr>
          <w:rFonts w:ascii="Courier" w:hAnsi="Courier" w:cs="Courier"/>
          <w:u w:val="single"/>
        </w:rPr>
        <w:t>AADFKR</w:t>
      </w:r>
      <w:r w:rsidRPr="00FC6FDF">
        <w:rPr>
          <w:rFonts w:ascii="Courier" w:hAnsi="Courier" w:cs="Courier"/>
        </w:rPr>
        <w:t>RFTFSLDTSKSTAYLQMNSLRAEDTAVYYCAK</w:t>
      </w:r>
      <w:r w:rsidRPr="00FC6FDF">
        <w:rPr>
          <w:rFonts w:ascii="Courier" w:hAnsi="Courier" w:cs="Courier"/>
          <w:u w:val="single"/>
        </w:rPr>
        <w:t>YPYYYGTSHWYFDV</w:t>
      </w:r>
      <w:r w:rsidRPr="00FC6FDF">
        <w:rPr>
          <w:rFonts w:ascii="Courier" w:hAnsi="Courier" w:cs="Courier"/>
        </w:rPr>
        <w:t>WGQGTLVT</w:t>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2592"/>
        <w:rPr>
          <w:rFonts w:ascii="Courier" w:hAnsi="Courier" w:cs="Courier"/>
        </w:rPr>
      </w:pPr>
      <w:r w:rsidRPr="00FC6FDF">
        <w:rPr>
          <w:rFonts w:ascii="Courier" w:hAnsi="Courier" w:cs="Courier"/>
        </w:rPr>
        <w:tab/>
        <w:t>130</w:t>
      </w:r>
      <w:r w:rsidRPr="00FC6FDF">
        <w:rPr>
          <w:rFonts w:ascii="Courier" w:hAnsi="Courier" w:cs="Courier"/>
        </w:rPr>
        <w:tab/>
        <w:t>140</w:t>
      </w:r>
      <w:r w:rsidRPr="00FC6FDF">
        <w:rPr>
          <w:rFonts w:ascii="Courier" w:hAnsi="Courier" w:cs="Courier"/>
        </w:rPr>
        <w:tab/>
        <w:t>150</w:t>
      </w:r>
      <w:r w:rsidRPr="00FC6FDF">
        <w:rPr>
          <w:rFonts w:ascii="Courier" w:hAnsi="Courier" w:cs="Courier"/>
        </w:rPr>
        <w:tab/>
        <w:t>160</w:t>
      </w:r>
      <w:r w:rsidRPr="00FC6FDF">
        <w:rPr>
          <w:rFonts w:ascii="Courier" w:hAnsi="Courier" w:cs="Courier"/>
        </w:rPr>
        <w:tab/>
        <w:t>170</w:t>
      </w:r>
      <w:r w:rsidRPr="00FC6FDF">
        <w:rPr>
          <w:rFonts w:ascii="Courier" w:hAnsi="Courier" w:cs="Courier"/>
        </w:rPr>
        <w:tab/>
        <w:t>180</w:t>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2592"/>
        <w:rPr>
          <w:rFonts w:ascii="Courier" w:hAnsi="Courier" w:cs="Courier"/>
        </w:rPr>
      </w:pPr>
      <w:r w:rsidRPr="00FC6FDF">
        <w:rPr>
          <w:rFonts w:ascii="Courier" w:hAnsi="Courier" w:cs="Courier"/>
        </w:rPr>
        <w:t>VSSASTKGPSVFPLAPSSKSTSGGTAALGCLVKDYFPEPVTVSWNSGALTSGVHTFPAVL</w:t>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2592"/>
        <w:rPr>
          <w:rFonts w:ascii="Courier" w:hAnsi="Courier" w:cs="Courier"/>
        </w:rPr>
      </w:pPr>
      <w:r w:rsidRPr="00FC6FDF">
        <w:rPr>
          <w:rFonts w:ascii="Courier" w:hAnsi="Courier" w:cs="Courier"/>
        </w:rPr>
        <w:tab/>
        <w:t>190</w:t>
      </w:r>
      <w:r w:rsidRPr="00FC6FDF">
        <w:rPr>
          <w:rFonts w:ascii="Courier" w:hAnsi="Courier" w:cs="Courier"/>
        </w:rPr>
        <w:tab/>
        <w:t>200</w:t>
      </w:r>
      <w:r w:rsidRPr="00FC6FDF">
        <w:rPr>
          <w:rFonts w:ascii="Courier" w:hAnsi="Courier" w:cs="Courier"/>
        </w:rPr>
        <w:tab/>
        <w:t>210</w:t>
      </w:r>
      <w:r w:rsidRPr="00FC6FDF">
        <w:rPr>
          <w:rFonts w:ascii="Courier" w:hAnsi="Courier" w:cs="Courier"/>
        </w:rPr>
        <w:tab/>
        <w:t>220</w:t>
      </w:r>
      <w:r w:rsidRPr="00FC6FDF">
        <w:rPr>
          <w:rFonts w:ascii="Courier" w:hAnsi="Courier" w:cs="Courier"/>
        </w:rPr>
        <w:tab/>
        <w:t>230</w:t>
      </w:r>
      <w:r w:rsidRPr="00FC6FDF">
        <w:rPr>
          <w:rFonts w:ascii="Courier" w:hAnsi="Courier" w:cs="Courier"/>
        </w:rPr>
        <w:tab/>
      </w:r>
      <w:r w:rsidRPr="00FC6FDF">
        <w:rPr>
          <w:rFonts w:ascii="Courier" w:hAnsi="Courier" w:cs="Courier"/>
        </w:rPr>
        <w:br/>
      </w:r>
    </w:p>
    <w:p w:rsidR="004D3249" w:rsidRPr="00FC6FDF" w:rsidRDefault="004D3249" w:rsidP="00D96823">
      <w:pPr>
        <w:tabs>
          <w:tab w:val="center" w:pos="1350"/>
          <w:tab w:val="center" w:pos="2700"/>
          <w:tab w:val="left" w:pos="3960"/>
          <w:tab w:val="center" w:pos="4140"/>
          <w:tab w:val="center" w:pos="5580"/>
          <w:tab w:val="center" w:pos="7020"/>
          <w:tab w:val="center" w:pos="8280"/>
          <w:tab w:val="center" w:pos="9900"/>
          <w:tab w:val="center" w:pos="11880"/>
        </w:tabs>
        <w:ind w:right="-1800"/>
        <w:rPr>
          <w:rFonts w:ascii="Courier" w:hAnsi="Courier" w:cs="Courier"/>
        </w:rPr>
      </w:pPr>
      <w:r w:rsidRPr="00FC6FDF">
        <w:rPr>
          <w:rFonts w:ascii="Courier" w:hAnsi="Courier" w:cs="Courier"/>
        </w:rPr>
        <w:t>QSSGLYSLSSVVTVPSSSLGTQTYICNVNHKPSNTKVDKKVEPKSCDKTHL</w:t>
      </w:r>
    </w:p>
    <w:p w:rsidR="004D3249" w:rsidRPr="00FC6FDF" w:rsidRDefault="004D3249" w:rsidP="00D96823">
      <w:pPr>
        <w:pStyle w:val="TableFigureSpace"/>
      </w:pPr>
    </w:p>
    <w:p w:rsidR="004D3249" w:rsidRPr="00FC6FDF" w:rsidRDefault="004D3249" w:rsidP="00D96823">
      <w:pPr>
        <w:pStyle w:val="Text"/>
      </w:pPr>
      <w:r w:rsidRPr="00FC6FDF">
        <w:t>Complementarity-determining regions (CDR) are underlined.</w:t>
      </w:r>
    </w:p>
    <w:p w:rsidR="004D3249" w:rsidRPr="00FC6FDF" w:rsidRDefault="004D3249" w:rsidP="00D96823">
      <w:pPr>
        <w:pStyle w:val="Nottoc-headings"/>
        <w:pageBreakBefore/>
      </w:pPr>
      <w:r w:rsidRPr="00FC6FDF">
        <w:lastRenderedPageBreak/>
        <w:t>Figure 1b</w:t>
      </w:r>
      <w:r w:rsidRPr="00FC6FDF">
        <w:tab/>
      </w:r>
      <w:proofErr w:type="gramStart"/>
      <w:r w:rsidRPr="00FC6FDF">
        <w:t>The</w:t>
      </w:r>
      <w:proofErr w:type="gramEnd"/>
      <w:r w:rsidRPr="00FC6FDF">
        <w:t xml:space="preserve"> amino acid sequence of the light chain of </w:t>
      </w:r>
      <w:proofErr w:type="spellStart"/>
      <w:r w:rsidRPr="00FC6FDF">
        <w:t>Ranibizumab</w:t>
      </w:r>
      <w:proofErr w:type="spellEnd"/>
    </w:p>
    <w:p w:rsidR="004D3249" w:rsidRPr="00FC6FDF" w:rsidRDefault="004D3249" w:rsidP="00D96823">
      <w:pPr>
        <w:pStyle w:val="TableFigureSpace"/>
      </w:pP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rPr>
          <w:rFonts w:ascii="Courier" w:hAnsi="Courier" w:cs="Courier"/>
        </w:rPr>
      </w:pPr>
      <w:r w:rsidRPr="00FC6FDF">
        <w:rPr>
          <w:rFonts w:ascii="Courier" w:hAnsi="Courier" w:cs="Courier"/>
          <w:b/>
          <w:bCs/>
        </w:rPr>
        <w:tab/>
      </w:r>
      <w:r w:rsidRPr="00FC6FDF">
        <w:rPr>
          <w:rFonts w:ascii="Courier" w:hAnsi="Courier" w:cs="Courier"/>
        </w:rPr>
        <w:t>10</w:t>
      </w:r>
      <w:r w:rsidRPr="00FC6FDF">
        <w:rPr>
          <w:rFonts w:ascii="Courier" w:hAnsi="Courier" w:cs="Courier"/>
        </w:rPr>
        <w:tab/>
        <w:t>20</w:t>
      </w:r>
      <w:r w:rsidRPr="00FC6FDF">
        <w:rPr>
          <w:rFonts w:ascii="Courier" w:hAnsi="Courier" w:cs="Courier"/>
        </w:rPr>
        <w:tab/>
        <w:t>30</w:t>
      </w:r>
      <w:r w:rsidRPr="00FC6FDF">
        <w:rPr>
          <w:rFonts w:ascii="Courier" w:hAnsi="Courier" w:cs="Courier"/>
        </w:rPr>
        <w:tab/>
        <w:t>40</w:t>
      </w:r>
      <w:r w:rsidRPr="00FC6FDF">
        <w:rPr>
          <w:rFonts w:ascii="Courier" w:hAnsi="Courier" w:cs="Courier"/>
        </w:rPr>
        <w:tab/>
        <w:t>50</w:t>
      </w:r>
      <w:r w:rsidRPr="00FC6FDF">
        <w:rPr>
          <w:rFonts w:ascii="Courier" w:hAnsi="Courier" w:cs="Courier"/>
        </w:rPr>
        <w:tab/>
        <w:t>60</w:t>
      </w:r>
      <w:r w:rsidRPr="00FC6FDF">
        <w:rPr>
          <w:rFonts w:ascii="Courier" w:hAnsi="Courier" w:cs="Courier"/>
        </w:rPr>
        <w:br/>
      </w: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ind w:right="-2592"/>
        <w:rPr>
          <w:rFonts w:ascii="Courier" w:hAnsi="Courier" w:cs="Courier"/>
        </w:rPr>
      </w:pPr>
      <w:r w:rsidRPr="00FC6FDF">
        <w:rPr>
          <w:rFonts w:ascii="Courier" w:hAnsi="Courier" w:cs="Courier"/>
        </w:rPr>
        <w:t>DIQLTQSPSSLSASVGDRVTITC</w:t>
      </w:r>
      <w:r w:rsidRPr="00FC6FDF">
        <w:rPr>
          <w:rFonts w:ascii="Courier" w:hAnsi="Courier" w:cs="Courier"/>
          <w:u w:val="single"/>
        </w:rPr>
        <w:t>SASQDISNYLN</w:t>
      </w:r>
      <w:r w:rsidRPr="00FC6FDF">
        <w:rPr>
          <w:rFonts w:ascii="Courier" w:hAnsi="Courier" w:cs="Courier"/>
        </w:rPr>
        <w:t>WYQQKPGKAPKVLIY</w:t>
      </w:r>
      <w:r w:rsidRPr="00FC6FDF">
        <w:rPr>
          <w:rFonts w:ascii="Courier" w:hAnsi="Courier" w:cs="Courier"/>
          <w:u w:val="single"/>
        </w:rPr>
        <w:t>FTSSLHS</w:t>
      </w:r>
      <w:r w:rsidRPr="00FC6FDF">
        <w:rPr>
          <w:rFonts w:ascii="Courier" w:hAnsi="Courier" w:cs="Courier"/>
        </w:rPr>
        <w:t>GVPS</w:t>
      </w:r>
      <w:r w:rsidRPr="00FC6FDF">
        <w:rPr>
          <w:rFonts w:ascii="Courier" w:hAnsi="Courier" w:cs="Courier"/>
        </w:rPr>
        <w:br/>
      </w: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ind w:right="-2592"/>
        <w:rPr>
          <w:rFonts w:ascii="Courier" w:hAnsi="Courier" w:cs="Courier"/>
        </w:rPr>
      </w:pPr>
      <w:r w:rsidRPr="00FC6FDF">
        <w:rPr>
          <w:rFonts w:ascii="Courier" w:hAnsi="Courier" w:cs="Courier"/>
        </w:rPr>
        <w:tab/>
        <w:t>70</w:t>
      </w:r>
      <w:r w:rsidRPr="00FC6FDF">
        <w:rPr>
          <w:rFonts w:ascii="Courier" w:hAnsi="Courier" w:cs="Courier"/>
        </w:rPr>
        <w:tab/>
        <w:t>80</w:t>
      </w:r>
      <w:r w:rsidRPr="00FC6FDF">
        <w:rPr>
          <w:rFonts w:ascii="Courier" w:hAnsi="Courier" w:cs="Courier"/>
        </w:rPr>
        <w:tab/>
        <w:t>90</w:t>
      </w:r>
      <w:r w:rsidRPr="00FC6FDF">
        <w:rPr>
          <w:rFonts w:ascii="Courier" w:hAnsi="Courier" w:cs="Courier"/>
        </w:rPr>
        <w:tab/>
        <w:t>100</w:t>
      </w:r>
      <w:r w:rsidRPr="00FC6FDF">
        <w:rPr>
          <w:rFonts w:ascii="Courier" w:hAnsi="Courier" w:cs="Courier"/>
        </w:rPr>
        <w:tab/>
        <w:t>110</w:t>
      </w:r>
      <w:r w:rsidRPr="00FC6FDF">
        <w:rPr>
          <w:rFonts w:ascii="Courier" w:hAnsi="Courier" w:cs="Courier"/>
        </w:rPr>
        <w:tab/>
        <w:t>120</w:t>
      </w:r>
      <w:r w:rsidRPr="00FC6FDF">
        <w:rPr>
          <w:rFonts w:ascii="Courier" w:hAnsi="Courier" w:cs="Courier"/>
        </w:rPr>
        <w:br/>
      </w: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ind w:right="-2592"/>
        <w:rPr>
          <w:rFonts w:ascii="Courier" w:hAnsi="Courier" w:cs="Courier"/>
        </w:rPr>
      </w:pPr>
      <w:r w:rsidRPr="00FC6FDF">
        <w:rPr>
          <w:rFonts w:ascii="Courier" w:hAnsi="Courier" w:cs="Courier"/>
        </w:rPr>
        <w:t>RFSGSGSGTDFTLTISSLQPEDFATYYC</w:t>
      </w:r>
      <w:r w:rsidRPr="00FC6FDF">
        <w:rPr>
          <w:rFonts w:ascii="Courier" w:hAnsi="Courier" w:cs="Courier"/>
          <w:u w:val="single"/>
        </w:rPr>
        <w:t>QQYSTVPWT</w:t>
      </w:r>
      <w:r w:rsidRPr="00FC6FDF">
        <w:rPr>
          <w:rFonts w:ascii="Courier" w:hAnsi="Courier" w:cs="Courier"/>
        </w:rPr>
        <w:t>FGQGTKVEIKRTVAAPSVFIFPP</w:t>
      </w:r>
      <w:r w:rsidRPr="00FC6FDF">
        <w:rPr>
          <w:rFonts w:ascii="Courier" w:hAnsi="Courier" w:cs="Courier"/>
        </w:rPr>
        <w:br/>
      </w: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ind w:right="-2592"/>
        <w:rPr>
          <w:rFonts w:ascii="Courier" w:hAnsi="Courier" w:cs="Courier"/>
        </w:rPr>
      </w:pPr>
      <w:r w:rsidRPr="00FC6FDF">
        <w:rPr>
          <w:rFonts w:ascii="Courier" w:hAnsi="Courier" w:cs="Courier"/>
        </w:rPr>
        <w:tab/>
        <w:t>130</w:t>
      </w:r>
      <w:r w:rsidRPr="00FC6FDF">
        <w:rPr>
          <w:rFonts w:ascii="Courier" w:hAnsi="Courier" w:cs="Courier"/>
        </w:rPr>
        <w:tab/>
        <w:t>140</w:t>
      </w:r>
      <w:r w:rsidRPr="00FC6FDF">
        <w:rPr>
          <w:rFonts w:ascii="Courier" w:hAnsi="Courier" w:cs="Courier"/>
        </w:rPr>
        <w:tab/>
        <w:t>150</w:t>
      </w:r>
      <w:r w:rsidRPr="00FC6FDF">
        <w:rPr>
          <w:rFonts w:ascii="Courier" w:hAnsi="Courier" w:cs="Courier"/>
        </w:rPr>
        <w:tab/>
        <w:t>160</w:t>
      </w:r>
      <w:r w:rsidRPr="00FC6FDF">
        <w:rPr>
          <w:rFonts w:ascii="Courier" w:hAnsi="Courier" w:cs="Courier"/>
        </w:rPr>
        <w:tab/>
        <w:t>170</w:t>
      </w:r>
      <w:r w:rsidRPr="00FC6FDF">
        <w:rPr>
          <w:rFonts w:ascii="Courier" w:hAnsi="Courier" w:cs="Courier"/>
        </w:rPr>
        <w:tab/>
        <w:t>180</w:t>
      </w:r>
      <w:r w:rsidRPr="00FC6FDF">
        <w:rPr>
          <w:rFonts w:ascii="Courier" w:hAnsi="Courier" w:cs="Courier"/>
        </w:rPr>
        <w:br/>
      </w: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ind w:right="-2592"/>
        <w:rPr>
          <w:rFonts w:ascii="Courier" w:hAnsi="Courier" w:cs="Courier"/>
        </w:rPr>
      </w:pPr>
      <w:r w:rsidRPr="00FC6FDF">
        <w:rPr>
          <w:rFonts w:ascii="Courier" w:hAnsi="Courier" w:cs="Courier"/>
        </w:rPr>
        <w:t>SDEQLKSGTASVVCLLNNFYPREAKVQWKVDNALQSGNSQESVTEQDSKDSTYSLSSTLT</w:t>
      </w:r>
      <w:r w:rsidRPr="00FC6FDF">
        <w:rPr>
          <w:rFonts w:ascii="Courier" w:hAnsi="Courier" w:cs="Courier"/>
        </w:rPr>
        <w:br/>
      </w:r>
    </w:p>
    <w:p w:rsidR="004D3249" w:rsidRPr="00FC6FDF" w:rsidRDefault="004D3249" w:rsidP="00D96823">
      <w:pPr>
        <w:tabs>
          <w:tab w:val="center" w:pos="1350"/>
          <w:tab w:val="center" w:pos="2700"/>
          <w:tab w:val="center" w:pos="4140"/>
          <w:tab w:val="center" w:pos="5490"/>
          <w:tab w:val="center" w:pos="6930"/>
          <w:tab w:val="center" w:pos="8370"/>
          <w:tab w:val="center" w:pos="9900"/>
          <w:tab w:val="center" w:pos="11880"/>
        </w:tabs>
        <w:ind w:right="-2592"/>
        <w:rPr>
          <w:rFonts w:ascii="Courier" w:hAnsi="Courier" w:cs="Courier"/>
        </w:rPr>
      </w:pPr>
      <w:r w:rsidRPr="00FC6FDF">
        <w:rPr>
          <w:rFonts w:ascii="Courier" w:hAnsi="Courier" w:cs="Courier"/>
        </w:rPr>
        <w:tab/>
        <w:t>190</w:t>
      </w:r>
      <w:r w:rsidRPr="00FC6FDF">
        <w:rPr>
          <w:rFonts w:ascii="Courier" w:hAnsi="Courier" w:cs="Courier"/>
        </w:rPr>
        <w:tab/>
        <w:t>200</w:t>
      </w:r>
      <w:r w:rsidRPr="00FC6FDF">
        <w:rPr>
          <w:rFonts w:ascii="Courier" w:hAnsi="Courier" w:cs="Courier"/>
        </w:rPr>
        <w:tab/>
        <w:t>210</w:t>
      </w:r>
    </w:p>
    <w:p w:rsidR="004D3249" w:rsidRPr="00FC6FDF" w:rsidRDefault="004D3249" w:rsidP="00D96823">
      <w:pPr>
        <w:pStyle w:val="XPara"/>
        <w:spacing w:line="480" w:lineRule="atLeast"/>
        <w:ind w:left="0"/>
        <w:rPr>
          <w:rFonts w:ascii="Courier" w:hAnsi="Courier" w:cs="Courier"/>
          <w:i w:val="0"/>
          <w:iCs w:val="0"/>
          <w:sz w:val="24"/>
          <w:szCs w:val="24"/>
        </w:rPr>
      </w:pPr>
      <w:r w:rsidRPr="00FC6FDF">
        <w:rPr>
          <w:rFonts w:ascii="Courier" w:hAnsi="Courier" w:cs="Courier"/>
          <w:i w:val="0"/>
          <w:iCs w:val="0"/>
          <w:sz w:val="24"/>
          <w:szCs w:val="24"/>
        </w:rPr>
        <w:t>LSKADYEKHKVYACEVTHQGLSSPVTKSFNRGEC</w:t>
      </w:r>
    </w:p>
    <w:p w:rsidR="004D3249" w:rsidRPr="00FC6FDF" w:rsidRDefault="004D3249" w:rsidP="00D96823">
      <w:pPr>
        <w:pStyle w:val="TableFigureSpace"/>
      </w:pPr>
    </w:p>
    <w:p w:rsidR="004D3249" w:rsidRPr="00FC6FDF" w:rsidRDefault="004D3249" w:rsidP="00D96823">
      <w:pPr>
        <w:pStyle w:val="Text"/>
      </w:pPr>
      <w:r w:rsidRPr="00FC6FDF">
        <w:t>Complementarity-determining regions (CDR) are underlined.</w:t>
      </w:r>
    </w:p>
    <w:p w:rsidR="004D3249" w:rsidRPr="00FC6FDF" w:rsidRDefault="004D3249" w:rsidP="00456B4D">
      <w:pPr>
        <w:rPr>
          <w:strike/>
          <w:highlight w:val="yellow"/>
        </w:rPr>
      </w:pPr>
    </w:p>
    <w:p w:rsidR="004D3249" w:rsidRPr="00FC6FDF" w:rsidRDefault="004D3249">
      <w:pPr>
        <w:pStyle w:val="Heading1"/>
      </w:pPr>
      <w:r w:rsidRPr="00FC6FDF">
        <w:t>DESCRIPTION</w:t>
      </w:r>
    </w:p>
    <w:p w:rsidR="004D3249" w:rsidRPr="00FC6FDF" w:rsidRDefault="004D3249"/>
    <w:p w:rsidR="004D3249" w:rsidRPr="00FC6FDF" w:rsidRDefault="004D3249">
      <w:proofErr w:type="spellStart"/>
      <w:r w:rsidRPr="00FC6FDF">
        <w:t>Ranibizumab</w:t>
      </w:r>
      <w:proofErr w:type="spellEnd"/>
      <w:r w:rsidRPr="00FC6FDF">
        <w:t xml:space="preserve"> is a humanised monoclonal antibody fragment produced in </w:t>
      </w:r>
      <w:r w:rsidRPr="00FC6FDF">
        <w:rPr>
          <w:i/>
          <w:iCs/>
        </w:rPr>
        <w:t>Escheric</w:t>
      </w:r>
      <w:r w:rsidR="00D11DAE" w:rsidRPr="00FC6FDF">
        <w:rPr>
          <w:i/>
          <w:iCs/>
        </w:rPr>
        <w:t>h</w:t>
      </w:r>
      <w:r w:rsidRPr="00FC6FDF">
        <w:rPr>
          <w:i/>
          <w:iCs/>
        </w:rPr>
        <w:t>ia coli</w:t>
      </w:r>
      <w:r w:rsidRPr="00FC6FDF">
        <w:t xml:space="preserve"> cells by recombinant DNA technology.</w:t>
      </w:r>
    </w:p>
    <w:p w:rsidR="004D3249" w:rsidRDefault="004D3249"/>
    <w:p w:rsidR="00785838" w:rsidRDefault="00785838" w:rsidP="00785838">
      <w:pPr>
        <w:autoSpaceDE w:val="0"/>
        <w:autoSpaceDN w:val="0"/>
        <w:adjustRightInd w:val="0"/>
        <w:spacing w:line="240" w:lineRule="auto"/>
        <w:rPr>
          <w:rFonts w:ascii="TimesNewRomanPSMT" w:hAnsi="TimesNewRomanPSMT" w:cs="TimesNewRomanPSMT"/>
          <w:lang w:val="en-US" w:eastAsia="zh-CN"/>
        </w:rPr>
      </w:pPr>
      <w:proofErr w:type="spellStart"/>
      <w:r>
        <w:rPr>
          <w:rFonts w:ascii="TimesNewRomanPSMT" w:hAnsi="TimesNewRomanPSMT" w:cs="TimesNewRomanPSMT"/>
          <w:lang w:val="en-US" w:eastAsia="zh-CN"/>
        </w:rPr>
        <w:t>Lucentis</w:t>
      </w:r>
      <w:proofErr w:type="spellEnd"/>
      <w:r>
        <w:rPr>
          <w:rFonts w:ascii="TimesNewRomanPSMT" w:hAnsi="TimesNewRomanPSMT" w:cs="TimesNewRomanPSMT"/>
          <w:lang w:val="en-US" w:eastAsia="zh-CN"/>
        </w:rPr>
        <w:t xml:space="preserve"> is supplied in a vial or a pre-filled syringe.</w:t>
      </w:r>
    </w:p>
    <w:p w:rsidR="00785838" w:rsidRDefault="00785838" w:rsidP="00785838">
      <w:pPr>
        <w:autoSpaceDE w:val="0"/>
        <w:autoSpaceDN w:val="0"/>
        <w:adjustRightInd w:val="0"/>
        <w:spacing w:line="240" w:lineRule="auto"/>
        <w:rPr>
          <w:rFonts w:ascii="TimesNewRomanPSMT" w:hAnsi="TimesNewRomanPSMT" w:cs="TimesNewRomanPSMT"/>
          <w:lang w:val="en-US" w:eastAsia="zh-CN"/>
        </w:rPr>
      </w:pPr>
    </w:p>
    <w:p w:rsidR="00785838" w:rsidRPr="00FC6FDF" w:rsidRDefault="00785838" w:rsidP="00785838">
      <w:r>
        <w:rPr>
          <w:b/>
          <w:bCs/>
          <w:lang w:val="en-US" w:eastAsia="zh-CN"/>
        </w:rPr>
        <w:t>Vial</w:t>
      </w:r>
    </w:p>
    <w:p w:rsidR="004D3249" w:rsidRDefault="00D17870">
      <w:r w:rsidRPr="00FC6FDF">
        <w:t xml:space="preserve">Each vial contains 2.3 mg of </w:t>
      </w:r>
      <w:proofErr w:type="spellStart"/>
      <w:r w:rsidRPr="00FC6FDF">
        <w:t>ranibizumab</w:t>
      </w:r>
      <w:proofErr w:type="spellEnd"/>
      <w:r w:rsidRPr="00FC6FDF">
        <w:t xml:space="preserve"> in 0.23 mL solution for </w:t>
      </w:r>
      <w:proofErr w:type="spellStart"/>
      <w:r w:rsidRPr="00FC6FDF">
        <w:t>intravitreal</w:t>
      </w:r>
      <w:proofErr w:type="spellEnd"/>
      <w:r w:rsidRPr="00FC6FDF">
        <w:t xml:space="preserve"> injection. The solution is sterile, clear, </w:t>
      </w:r>
      <w:proofErr w:type="gramStart"/>
      <w:r w:rsidRPr="00FC6FDF">
        <w:t>colourless</w:t>
      </w:r>
      <w:proofErr w:type="gramEnd"/>
      <w:r w:rsidRPr="00FC6FDF">
        <w:t xml:space="preserve"> to pale yellow, aqueous and preservative free.</w:t>
      </w:r>
    </w:p>
    <w:p w:rsidR="00785838" w:rsidRDefault="00785838" w:rsidP="00785838">
      <w:pPr>
        <w:autoSpaceDE w:val="0"/>
        <w:autoSpaceDN w:val="0"/>
        <w:adjustRightInd w:val="0"/>
        <w:spacing w:line="240" w:lineRule="auto"/>
        <w:rPr>
          <w:b/>
          <w:bCs/>
          <w:lang w:val="en-US" w:eastAsia="zh-CN"/>
        </w:rPr>
      </w:pPr>
      <w:r>
        <w:rPr>
          <w:b/>
          <w:bCs/>
          <w:lang w:val="en-US" w:eastAsia="zh-CN"/>
        </w:rPr>
        <w:t>Pre-filled syringe</w:t>
      </w:r>
    </w:p>
    <w:p w:rsidR="00785838" w:rsidRDefault="00785838" w:rsidP="00785838">
      <w:pPr>
        <w:autoSpaceDE w:val="0"/>
        <w:autoSpaceDN w:val="0"/>
        <w:adjustRightInd w:val="0"/>
        <w:spacing w:line="240" w:lineRule="auto"/>
        <w:rPr>
          <w:rFonts w:ascii="TimesNewRomanPSMT" w:hAnsi="TimesNewRomanPSMT" w:cs="TimesNewRomanPSMT"/>
          <w:lang w:val="en-US" w:eastAsia="zh-CN"/>
        </w:rPr>
      </w:pPr>
      <w:r>
        <w:rPr>
          <w:rFonts w:ascii="TimesNewRomanPSMT" w:hAnsi="TimesNewRomanPSMT" w:cs="TimesNewRomanPSMT"/>
          <w:lang w:val="en-US" w:eastAsia="zh-CN"/>
        </w:rPr>
        <w:t xml:space="preserve">Each pre-filled syringe contains 1.65 mg of </w:t>
      </w:r>
      <w:proofErr w:type="spellStart"/>
      <w:r>
        <w:rPr>
          <w:rFonts w:ascii="TimesNewRomanPSMT" w:hAnsi="TimesNewRomanPSMT" w:cs="TimesNewRomanPSMT"/>
          <w:lang w:val="en-US" w:eastAsia="zh-CN"/>
        </w:rPr>
        <w:t>ranibizumab</w:t>
      </w:r>
      <w:proofErr w:type="spellEnd"/>
      <w:r>
        <w:rPr>
          <w:rFonts w:ascii="TimesNewRomanPSMT" w:hAnsi="TimesNewRomanPSMT" w:cs="TimesNewRomanPSMT"/>
          <w:lang w:val="en-US" w:eastAsia="zh-CN"/>
        </w:rPr>
        <w:t xml:space="preserve"> in 0.165mL solution.</w:t>
      </w:r>
    </w:p>
    <w:p w:rsidR="00785838" w:rsidRPr="00FC6FDF" w:rsidRDefault="00785838" w:rsidP="00785838">
      <w:r>
        <w:rPr>
          <w:rFonts w:ascii="TimesNewRomanPSMT" w:hAnsi="TimesNewRomanPSMT" w:cs="TimesNewRomanPSMT"/>
          <w:lang w:val="en-US" w:eastAsia="zh-CN"/>
        </w:rPr>
        <w:t xml:space="preserve">The solution is sterile, clear, </w:t>
      </w:r>
      <w:proofErr w:type="spellStart"/>
      <w:proofErr w:type="gramStart"/>
      <w:r>
        <w:rPr>
          <w:rFonts w:ascii="TimesNewRomanPSMT" w:hAnsi="TimesNewRomanPSMT" w:cs="TimesNewRomanPSMT"/>
          <w:lang w:val="en-US" w:eastAsia="zh-CN"/>
        </w:rPr>
        <w:t>colourless</w:t>
      </w:r>
      <w:proofErr w:type="spellEnd"/>
      <w:proofErr w:type="gramEnd"/>
      <w:r>
        <w:rPr>
          <w:rFonts w:ascii="TimesNewRomanPSMT" w:hAnsi="TimesNewRomanPSMT" w:cs="TimesNewRomanPSMT"/>
          <w:lang w:val="en-US" w:eastAsia="zh-CN"/>
        </w:rPr>
        <w:t xml:space="preserve"> to pale yellow, aqueous and preservative free</w:t>
      </w:r>
      <w:r w:rsidR="00436788">
        <w:rPr>
          <w:rFonts w:ascii="TimesNewRomanPSMT" w:hAnsi="TimesNewRomanPSMT" w:cs="TimesNewRomanPSMT"/>
          <w:lang w:val="en-US" w:eastAsia="zh-CN"/>
        </w:rPr>
        <w:t>.</w:t>
      </w:r>
    </w:p>
    <w:p w:rsidR="004D3249" w:rsidRPr="00FC6FDF" w:rsidRDefault="004D3249"/>
    <w:p w:rsidR="004D3249" w:rsidRPr="00FC6FDF" w:rsidRDefault="004D3249">
      <w:r w:rsidRPr="00FC6FDF">
        <w:rPr>
          <w:u w:val="single"/>
        </w:rPr>
        <w:t>Excipients:</w:t>
      </w:r>
      <w:r w:rsidRPr="00FC6FDF">
        <w:rPr>
          <w:i/>
          <w:iCs/>
        </w:rPr>
        <w:t xml:space="preserve"> </w:t>
      </w:r>
      <w:proofErr w:type="spellStart"/>
      <w:r w:rsidRPr="00FC6FDF">
        <w:t>Trehalose</w:t>
      </w:r>
      <w:proofErr w:type="spellEnd"/>
      <w:r w:rsidRPr="00FC6FDF">
        <w:t xml:space="preserve"> </w:t>
      </w:r>
      <w:proofErr w:type="spellStart"/>
      <w:r w:rsidRPr="00FC6FDF">
        <w:t>dihydrate</w:t>
      </w:r>
      <w:proofErr w:type="spellEnd"/>
      <w:r w:rsidRPr="00FC6FDF">
        <w:t xml:space="preserve">, histidine hydrochloride monohydrate, histidine, </w:t>
      </w:r>
      <w:proofErr w:type="spellStart"/>
      <w:r w:rsidRPr="00FC6FDF">
        <w:t>polysorbate</w:t>
      </w:r>
      <w:proofErr w:type="spellEnd"/>
      <w:r w:rsidRPr="00FC6FDF">
        <w:t xml:space="preserve"> 20, water for injections.</w:t>
      </w:r>
    </w:p>
    <w:p w:rsidR="004D3249" w:rsidRPr="00FC6FDF" w:rsidRDefault="004D3249"/>
    <w:p w:rsidR="004D3249" w:rsidRPr="00FC6FDF" w:rsidRDefault="004D3249">
      <w:pPr>
        <w:pStyle w:val="Heading1"/>
        <w:keepLines/>
      </w:pPr>
      <w:r w:rsidRPr="00FC6FDF">
        <w:t>PHARMACOLOGY</w:t>
      </w:r>
    </w:p>
    <w:p w:rsidR="004D3249" w:rsidRPr="00FC6FDF" w:rsidRDefault="004D3249"/>
    <w:p w:rsidR="006E00B6" w:rsidRPr="00FC6FDF" w:rsidRDefault="004D3249" w:rsidP="00456B4D">
      <w:pPr>
        <w:rPr>
          <w:b/>
        </w:rPr>
      </w:pPr>
      <w:proofErr w:type="spellStart"/>
      <w:r w:rsidRPr="00FC6FDF">
        <w:rPr>
          <w:b/>
          <w:u w:val="single"/>
        </w:rPr>
        <w:t>Pharmacotherapeutic</w:t>
      </w:r>
      <w:proofErr w:type="spellEnd"/>
      <w:r w:rsidRPr="00FC6FDF">
        <w:rPr>
          <w:b/>
          <w:u w:val="single"/>
        </w:rPr>
        <w:t xml:space="preserve"> group</w:t>
      </w:r>
      <w:r w:rsidR="006E00B6" w:rsidRPr="00FC6FDF">
        <w:rPr>
          <w:b/>
          <w:u w:val="single"/>
        </w:rPr>
        <w:t xml:space="preserve">, ATC </w:t>
      </w:r>
    </w:p>
    <w:p w:rsidR="004D3249" w:rsidRPr="00FC6FDF" w:rsidRDefault="004D3249" w:rsidP="00456B4D">
      <w:proofErr w:type="spellStart"/>
      <w:r w:rsidRPr="00FC6FDF">
        <w:t>Antineovascularisation</w:t>
      </w:r>
      <w:proofErr w:type="spellEnd"/>
      <w:r w:rsidRPr="00FC6FDF">
        <w:t xml:space="preserve"> agents, ATC code: S01LA04.</w:t>
      </w:r>
    </w:p>
    <w:p w:rsidR="006E00B6" w:rsidRPr="00FC6FDF" w:rsidRDefault="006E00B6" w:rsidP="006E00B6"/>
    <w:p w:rsidR="004D3249" w:rsidRPr="00FC6FDF" w:rsidRDefault="006E00B6" w:rsidP="006E00B6">
      <w:pPr>
        <w:rPr>
          <w:b/>
        </w:rPr>
      </w:pPr>
      <w:r w:rsidRPr="00FC6FDF">
        <w:rPr>
          <w:b/>
        </w:rPr>
        <w:lastRenderedPageBreak/>
        <w:t>Mechanism of action</w:t>
      </w:r>
    </w:p>
    <w:p w:rsidR="00A97788" w:rsidRDefault="004D3249" w:rsidP="006E00B6">
      <w:proofErr w:type="spellStart"/>
      <w:r w:rsidRPr="00FC6FDF">
        <w:t>Ranibizumab</w:t>
      </w:r>
      <w:proofErr w:type="spellEnd"/>
      <w:r w:rsidRPr="00FC6FDF">
        <w:t xml:space="preserve"> is a humanised recombinant monoclonal antibody fragment targeted against human vascular endothelial growth factor A (VEGF-A). It binds with high affinity to the VEGF-</w:t>
      </w:r>
      <w:proofErr w:type="gramStart"/>
      <w:r w:rsidRPr="00FC6FDF">
        <w:t>A</w:t>
      </w:r>
      <w:proofErr w:type="gramEnd"/>
      <w:r w:rsidRPr="00FC6FDF">
        <w:t xml:space="preserve"> isoforms (e.g. VEGF</w:t>
      </w:r>
      <w:r w:rsidRPr="00FC6FDF">
        <w:rPr>
          <w:vertAlign w:val="subscript"/>
        </w:rPr>
        <w:t>110</w:t>
      </w:r>
      <w:r w:rsidRPr="00FC6FDF">
        <w:t>,</w:t>
      </w:r>
      <w:r w:rsidRPr="00FC6FDF">
        <w:rPr>
          <w:vertAlign w:val="subscript"/>
        </w:rPr>
        <w:t xml:space="preserve"> </w:t>
      </w:r>
      <w:r w:rsidRPr="00FC6FDF">
        <w:t>VEGF</w:t>
      </w:r>
      <w:r w:rsidRPr="00FC6FDF">
        <w:rPr>
          <w:vertAlign w:val="subscript"/>
        </w:rPr>
        <w:t>121</w:t>
      </w:r>
      <w:r w:rsidRPr="00FC6FDF">
        <w:t xml:space="preserve"> and VEGF</w:t>
      </w:r>
      <w:r w:rsidRPr="00FC6FDF">
        <w:rPr>
          <w:vertAlign w:val="subscript"/>
        </w:rPr>
        <w:t>165</w:t>
      </w:r>
      <w:r w:rsidRPr="00FC6FDF">
        <w:t xml:space="preserve">), thereby preventing binding of VEGF-A to its receptors VEGFR-1 and VEGFR-2. </w:t>
      </w:r>
    </w:p>
    <w:p w:rsidR="00A97788" w:rsidRDefault="00A97788" w:rsidP="006E00B6"/>
    <w:p w:rsidR="006E00B6" w:rsidRPr="00FC6FDF" w:rsidRDefault="006E00B6" w:rsidP="006E00B6">
      <w:pPr>
        <w:rPr>
          <w:b/>
          <w:bCs/>
          <w:u w:val="single"/>
        </w:rPr>
      </w:pPr>
      <w:r w:rsidRPr="00FC6FDF">
        <w:rPr>
          <w:b/>
          <w:bCs/>
          <w:u w:val="single"/>
        </w:rPr>
        <w:t>Pharmacodynamics</w:t>
      </w:r>
    </w:p>
    <w:p w:rsidR="004D3249" w:rsidRPr="00FC6FDF" w:rsidRDefault="004D3249" w:rsidP="00456B4D">
      <w:r w:rsidRPr="00FC6FDF">
        <w:t xml:space="preserve">Binding of VEGF-A to its receptors leads to endothelial cell proliferation and neovascularisation, as well as vascular leakage, all of which are thought to contribute to the progression of the </w:t>
      </w:r>
      <w:proofErr w:type="spellStart"/>
      <w:r w:rsidRPr="00FC6FDF">
        <w:t>neovascular</w:t>
      </w:r>
      <w:proofErr w:type="spellEnd"/>
      <w:r w:rsidRPr="00FC6FDF">
        <w:t xml:space="preserve"> form of age-related macular degeneration</w:t>
      </w:r>
      <w:r w:rsidR="00547346">
        <w:t xml:space="preserve"> </w:t>
      </w:r>
      <w:r w:rsidR="00547346" w:rsidRPr="00DD19EE">
        <w:t>or pathologic myopia</w:t>
      </w:r>
      <w:r w:rsidR="00436788">
        <w:rPr>
          <w:rStyle w:val="CommentReference"/>
        </w:rPr>
        <w:t>.</w:t>
      </w:r>
      <w:r w:rsidR="00074C98" w:rsidRPr="00FC6FDF">
        <w:t xml:space="preserve"> </w:t>
      </w:r>
      <w:proofErr w:type="gramStart"/>
      <w:r w:rsidR="00074C98" w:rsidRPr="00FC6FDF">
        <w:t>and</w:t>
      </w:r>
      <w:proofErr w:type="gramEnd"/>
      <w:r w:rsidR="00074C98" w:rsidRPr="00FC6FDF">
        <w:t xml:space="preserve"> the </w:t>
      </w:r>
      <w:r w:rsidR="009B1531" w:rsidRPr="00FC6FDF">
        <w:t>macular oedema causing visual impairment in diabetes and retinal vein occlusion.</w:t>
      </w:r>
    </w:p>
    <w:p w:rsidR="004D3249" w:rsidRPr="00FC6FDF" w:rsidRDefault="004D3249" w:rsidP="00456B4D"/>
    <w:p w:rsidR="004D3249" w:rsidRPr="00FC6FDF" w:rsidRDefault="004D3249">
      <w:pPr>
        <w:pStyle w:val="Heading2"/>
      </w:pPr>
      <w:r w:rsidRPr="00FC6FDF">
        <w:t>Pharmacokinetics</w:t>
      </w:r>
    </w:p>
    <w:p w:rsidR="006E00B6" w:rsidRPr="00FC6FDF" w:rsidRDefault="006E00B6" w:rsidP="006E00B6">
      <w:r w:rsidRPr="00FC6FDF">
        <w:t>Absorption:</w:t>
      </w:r>
    </w:p>
    <w:p w:rsidR="004D3249" w:rsidRPr="00FC6FDF" w:rsidRDefault="004D3249" w:rsidP="00793839">
      <w:r w:rsidRPr="00FC6FDF">
        <w:t xml:space="preserve">Following monthly </w:t>
      </w:r>
      <w:proofErr w:type="spellStart"/>
      <w:r w:rsidRPr="00FC6FDF">
        <w:t>intravitreal</w:t>
      </w:r>
      <w:proofErr w:type="spellEnd"/>
      <w:r w:rsidRPr="00FC6FDF">
        <w:t xml:space="preserve"> administration of </w:t>
      </w:r>
      <w:proofErr w:type="spellStart"/>
      <w:r w:rsidRPr="00FC6FDF">
        <w:t>Lucentis</w:t>
      </w:r>
      <w:proofErr w:type="spellEnd"/>
      <w:r w:rsidRPr="00FC6FDF">
        <w:t xml:space="preserve"> to patients with </w:t>
      </w:r>
      <w:proofErr w:type="spellStart"/>
      <w:r w:rsidRPr="00FC6FDF">
        <w:t>neovascular</w:t>
      </w:r>
      <w:proofErr w:type="spellEnd"/>
      <w:r w:rsidRPr="00FC6FDF">
        <w:t xml:space="preserve"> AMD, serum concentrations of </w:t>
      </w:r>
      <w:proofErr w:type="spellStart"/>
      <w:r w:rsidRPr="00FC6FDF">
        <w:t>ranibizumab</w:t>
      </w:r>
      <w:proofErr w:type="spellEnd"/>
      <w:r w:rsidRPr="00FC6FDF">
        <w:t xml:space="preserve"> were generally low, with maximum levels (</w:t>
      </w:r>
      <w:proofErr w:type="spellStart"/>
      <w:r w:rsidRPr="00FC6FDF">
        <w:t>C</w:t>
      </w:r>
      <w:r w:rsidRPr="00FC6FDF">
        <w:rPr>
          <w:vertAlign w:val="subscript"/>
        </w:rPr>
        <w:t>max</w:t>
      </w:r>
      <w:proofErr w:type="spellEnd"/>
      <w:r w:rsidRPr="00FC6FDF">
        <w:t xml:space="preserve">) generally below the </w:t>
      </w:r>
      <w:proofErr w:type="spellStart"/>
      <w:r w:rsidRPr="00FC6FDF">
        <w:t>ranibizumab</w:t>
      </w:r>
      <w:proofErr w:type="spellEnd"/>
      <w:r w:rsidRPr="00FC6FDF">
        <w:t xml:space="preserve"> concentration necessary to inhibit the biological activity of VEGF by 50% (11 to 27 ng/mL, as assessed in an </w:t>
      </w:r>
      <w:r w:rsidRPr="00FC6FDF">
        <w:rPr>
          <w:i/>
          <w:iCs/>
        </w:rPr>
        <w:t>in vitro</w:t>
      </w:r>
      <w:r w:rsidRPr="00FC6FDF">
        <w:t xml:space="preserve"> cellular proliferation assay). </w:t>
      </w:r>
      <w:proofErr w:type="spellStart"/>
      <w:r w:rsidRPr="00FC6FDF">
        <w:t>C</w:t>
      </w:r>
      <w:r w:rsidRPr="00FC6FDF">
        <w:rPr>
          <w:vertAlign w:val="subscript"/>
        </w:rPr>
        <w:t>max</w:t>
      </w:r>
      <w:proofErr w:type="spellEnd"/>
      <w:r w:rsidRPr="00FC6FDF">
        <w:t xml:space="preserve"> was dose proportional over the dose range of 0.05 to 1.0 mg/eye.</w:t>
      </w:r>
      <w:r w:rsidR="00672183" w:rsidRPr="00FC6FDF">
        <w:t xml:space="preserve"> </w:t>
      </w:r>
      <w:r w:rsidR="004F0737" w:rsidRPr="00FC6FDF">
        <w:t xml:space="preserve">Upon monthly </w:t>
      </w:r>
      <w:proofErr w:type="spellStart"/>
      <w:r w:rsidR="004F0737" w:rsidRPr="00FC6FDF">
        <w:t>intravitreal</w:t>
      </w:r>
      <w:proofErr w:type="spellEnd"/>
      <w:r w:rsidR="004F0737" w:rsidRPr="00FC6FDF">
        <w:t xml:space="preserve"> administration of </w:t>
      </w:r>
      <w:proofErr w:type="spellStart"/>
      <w:r w:rsidR="004F0737" w:rsidRPr="00FC6FDF">
        <w:t>Lucentis</w:t>
      </w:r>
      <w:proofErr w:type="spellEnd"/>
      <w:r w:rsidR="004F0737" w:rsidRPr="00FC6FDF">
        <w:t xml:space="preserve"> 0.5 mg/eye, serum </w:t>
      </w:r>
      <w:proofErr w:type="spellStart"/>
      <w:r w:rsidR="004F0737" w:rsidRPr="00FC6FDF">
        <w:t>ranibizumab</w:t>
      </w:r>
      <w:proofErr w:type="spellEnd"/>
      <w:r w:rsidR="004F0737" w:rsidRPr="00FC6FDF">
        <w:t xml:space="preserve"> </w:t>
      </w:r>
      <w:proofErr w:type="spellStart"/>
      <w:r w:rsidR="004F0737" w:rsidRPr="00FC6FDF">
        <w:t>C</w:t>
      </w:r>
      <w:r w:rsidR="004F0737" w:rsidRPr="00FC6FDF">
        <w:rPr>
          <w:vertAlign w:val="subscript"/>
        </w:rPr>
        <w:t>max</w:t>
      </w:r>
      <w:proofErr w:type="spellEnd"/>
      <w:r w:rsidR="004F0737" w:rsidRPr="00FC6FDF">
        <w:t xml:space="preserve">, attained approximately 1 day after dosing, is predicted to generally range between 0.79 and 2.90 ng/mL, and </w:t>
      </w:r>
      <w:proofErr w:type="spellStart"/>
      <w:r w:rsidR="004F0737" w:rsidRPr="00FC6FDF">
        <w:t>C</w:t>
      </w:r>
      <w:r w:rsidR="004F0737" w:rsidRPr="00FC6FDF">
        <w:rPr>
          <w:vertAlign w:val="subscript"/>
        </w:rPr>
        <w:t>min</w:t>
      </w:r>
      <w:proofErr w:type="spellEnd"/>
      <w:r w:rsidR="004F0737" w:rsidRPr="00FC6FDF">
        <w:t xml:space="preserve"> is predicted to generally range between 0.07 and 0.49 ng/L. </w:t>
      </w:r>
      <w:r w:rsidR="009B1531" w:rsidRPr="00FC6FDF">
        <w:t xml:space="preserve">Serum </w:t>
      </w:r>
      <w:proofErr w:type="spellStart"/>
      <w:r w:rsidR="009B1531" w:rsidRPr="00FC6FDF">
        <w:t>ranibizumab</w:t>
      </w:r>
      <w:proofErr w:type="spellEnd"/>
      <w:r w:rsidR="009B1531" w:rsidRPr="00FC6FDF">
        <w:t xml:space="preserve"> concentrations in RVO patients were similar to those observed in </w:t>
      </w:r>
      <w:proofErr w:type="spellStart"/>
      <w:r w:rsidR="009B1531" w:rsidRPr="00FC6FDF">
        <w:t>neovascular</w:t>
      </w:r>
      <w:proofErr w:type="spellEnd"/>
      <w:r w:rsidR="009B1531" w:rsidRPr="00FC6FDF">
        <w:t xml:space="preserve"> AMD patients.</w:t>
      </w:r>
    </w:p>
    <w:p w:rsidR="004D3249" w:rsidRPr="00FC6FDF" w:rsidRDefault="004D3249" w:rsidP="00793839"/>
    <w:p w:rsidR="004F0737" w:rsidRPr="00FC6FDF" w:rsidRDefault="004F0737" w:rsidP="004F0737">
      <w:r w:rsidRPr="00FC6FDF">
        <w:t>Distribution and Elimination:</w:t>
      </w:r>
    </w:p>
    <w:p w:rsidR="004D3249" w:rsidRPr="00FC6FDF" w:rsidRDefault="004D3249" w:rsidP="00793839">
      <w:r w:rsidRPr="00FC6FDF">
        <w:t xml:space="preserve">Based on analysis of population pharmacokinetics and disappearance of </w:t>
      </w:r>
      <w:proofErr w:type="spellStart"/>
      <w:r w:rsidRPr="00FC6FDF">
        <w:t>ranibizumab</w:t>
      </w:r>
      <w:proofErr w:type="spellEnd"/>
      <w:r w:rsidRPr="00FC6FDF">
        <w:t xml:space="preserve"> from serum for patients</w:t>
      </w:r>
      <w:r w:rsidR="00672183" w:rsidRPr="00FC6FDF">
        <w:t xml:space="preserve"> </w:t>
      </w:r>
      <w:r w:rsidR="009B1531" w:rsidRPr="00FC6FDF">
        <w:t xml:space="preserve">with </w:t>
      </w:r>
      <w:proofErr w:type="spellStart"/>
      <w:r w:rsidR="009B1531" w:rsidRPr="00FC6FDF">
        <w:t>neovascular</w:t>
      </w:r>
      <w:proofErr w:type="spellEnd"/>
      <w:r w:rsidR="009B1531" w:rsidRPr="00FC6FDF">
        <w:t xml:space="preserve"> AMD</w:t>
      </w:r>
      <w:r w:rsidRPr="00FC6FDF">
        <w:t xml:space="preserve"> treated with the 0.5 mg dose, the average vitreous elimination half-life of </w:t>
      </w:r>
      <w:proofErr w:type="spellStart"/>
      <w:r w:rsidRPr="00FC6FDF">
        <w:t>ranibizumab</w:t>
      </w:r>
      <w:proofErr w:type="spellEnd"/>
      <w:r w:rsidRPr="00FC6FDF">
        <w:t xml:space="preserve"> is approximately 9 days. Serum </w:t>
      </w:r>
      <w:proofErr w:type="spellStart"/>
      <w:r w:rsidRPr="00FC6FDF">
        <w:t>ranibizumab</w:t>
      </w:r>
      <w:proofErr w:type="spellEnd"/>
      <w:r w:rsidRPr="00FC6FDF">
        <w:t xml:space="preserve"> exposure is predicted to be approximately 90,000-fold lower than </w:t>
      </w:r>
      <w:proofErr w:type="spellStart"/>
      <w:r w:rsidRPr="00FC6FDF">
        <w:t>vitreal</w:t>
      </w:r>
      <w:proofErr w:type="spellEnd"/>
      <w:r w:rsidRPr="00FC6FDF">
        <w:t xml:space="preserve"> </w:t>
      </w:r>
      <w:proofErr w:type="spellStart"/>
      <w:r w:rsidRPr="00FC6FDF">
        <w:t>ranibizumab</w:t>
      </w:r>
      <w:proofErr w:type="spellEnd"/>
      <w:r w:rsidRPr="00FC6FDF">
        <w:t xml:space="preserve"> exposure.</w:t>
      </w:r>
    </w:p>
    <w:p w:rsidR="004D3249" w:rsidRPr="00FC6FDF" w:rsidRDefault="004D3249" w:rsidP="00793839"/>
    <w:p w:rsidR="004D3249" w:rsidRPr="00FC6FDF" w:rsidRDefault="004D3249" w:rsidP="00793839">
      <w:r w:rsidRPr="00FC6FDF">
        <w:rPr>
          <w:u w:val="single"/>
        </w:rPr>
        <w:t>Renal impairment:</w:t>
      </w:r>
      <w:r w:rsidRPr="00FC6FDF">
        <w:t xml:space="preserve"> No formal studies have been conducted to examine the pharmacokinetics of </w:t>
      </w:r>
      <w:proofErr w:type="spellStart"/>
      <w:r w:rsidRPr="00FC6FDF">
        <w:t>Lucentis</w:t>
      </w:r>
      <w:proofErr w:type="spellEnd"/>
      <w:r w:rsidRPr="00FC6FDF">
        <w:t xml:space="preserve"> in patients with renal impairment. </w:t>
      </w:r>
      <w:r w:rsidR="009B1531" w:rsidRPr="00FC6FDF">
        <w:t xml:space="preserve">In a population pharmacokinetic analysis of </w:t>
      </w:r>
      <w:proofErr w:type="spellStart"/>
      <w:r w:rsidR="009B1531" w:rsidRPr="00FC6FDF">
        <w:t>neovascular</w:t>
      </w:r>
      <w:proofErr w:type="spellEnd"/>
      <w:r w:rsidR="009B1531" w:rsidRPr="00FC6FDF">
        <w:t xml:space="preserve"> AMD patients, 68%</w:t>
      </w:r>
      <w:r w:rsidRPr="00FC6FDF">
        <w:t xml:space="preserve"> (136 of 200) of patients in a population pharmacokinetic analysis had renal impairment (46.5% mild [50 to 80 mL/min], 20% moderate [30 to 50 mL/min] and 1.5% severe [&lt; 30 mL/min]). </w:t>
      </w:r>
      <w:r w:rsidR="009B1531" w:rsidRPr="00FC6FDF">
        <w:t>In RVO patients, 48.2% (253 of 525) had renal impairment (36.4% mild, 9.5% moderate and 2.3% severe).</w:t>
      </w:r>
      <w:r w:rsidR="00672183" w:rsidRPr="00FC6FDF">
        <w:t xml:space="preserve"> </w:t>
      </w:r>
      <w:r w:rsidRPr="00FC6FDF">
        <w:t>Systemic clearance was slightly lower, but this was not clinically significant.</w:t>
      </w:r>
    </w:p>
    <w:p w:rsidR="004D3249" w:rsidRPr="00FC6FDF" w:rsidRDefault="004D3249" w:rsidP="00793839"/>
    <w:p w:rsidR="004D3249" w:rsidRPr="00FC6FDF" w:rsidRDefault="004D3249" w:rsidP="00793839">
      <w:r w:rsidRPr="00FC6FDF">
        <w:rPr>
          <w:u w:val="single"/>
        </w:rPr>
        <w:lastRenderedPageBreak/>
        <w:t>Hepatic impairment:</w:t>
      </w:r>
      <w:r w:rsidRPr="00FC6FDF">
        <w:t xml:space="preserve"> No formal studies have been conducted to examine the pharmacokinetics of </w:t>
      </w:r>
      <w:proofErr w:type="spellStart"/>
      <w:r w:rsidRPr="00FC6FDF">
        <w:t>Lucentis</w:t>
      </w:r>
      <w:proofErr w:type="spellEnd"/>
      <w:r w:rsidRPr="00FC6FDF">
        <w:t xml:space="preserve"> in patients with hepatic impairment.</w:t>
      </w:r>
    </w:p>
    <w:p w:rsidR="004D3249" w:rsidRPr="00FC6FDF" w:rsidRDefault="004D3249"/>
    <w:p w:rsidR="00A97788" w:rsidRDefault="00A97788">
      <w:pPr>
        <w:pStyle w:val="Heading1"/>
      </w:pPr>
    </w:p>
    <w:p w:rsidR="00A97788" w:rsidRDefault="00A97788">
      <w:pPr>
        <w:pStyle w:val="Heading1"/>
      </w:pPr>
    </w:p>
    <w:p w:rsidR="00A97788" w:rsidRDefault="00A97788">
      <w:pPr>
        <w:pStyle w:val="Heading1"/>
      </w:pPr>
    </w:p>
    <w:p w:rsidR="004D3249" w:rsidRPr="00FC6FDF" w:rsidRDefault="004D3249">
      <w:pPr>
        <w:pStyle w:val="Heading1"/>
      </w:pPr>
      <w:r w:rsidRPr="00FC6FDF">
        <w:t>CLINICAL TRIALS</w:t>
      </w:r>
    </w:p>
    <w:p w:rsidR="004D3249" w:rsidRPr="00FC6FDF" w:rsidRDefault="004D3249"/>
    <w:p w:rsidR="00074C98" w:rsidRPr="00FC6FDF" w:rsidRDefault="00074C98" w:rsidP="00793839">
      <w:pPr>
        <w:rPr>
          <w:b/>
          <w:u w:val="single"/>
        </w:rPr>
      </w:pPr>
      <w:r w:rsidRPr="00FC6FDF">
        <w:rPr>
          <w:b/>
          <w:u w:val="single"/>
        </w:rPr>
        <w:t>Treatment of Wet AMD</w:t>
      </w:r>
    </w:p>
    <w:p w:rsidR="004D3249" w:rsidRPr="00FC6FDF" w:rsidRDefault="00074C98" w:rsidP="00793839">
      <w:r w:rsidRPr="00FC6FDF">
        <w:t>In wet AMD, t</w:t>
      </w:r>
      <w:r w:rsidR="004D3249" w:rsidRPr="00FC6FDF">
        <w:t xml:space="preserve">he clinical safety and efficacy of </w:t>
      </w:r>
      <w:proofErr w:type="spellStart"/>
      <w:r w:rsidR="004D3249" w:rsidRPr="00FC6FDF">
        <w:t>Lucentis</w:t>
      </w:r>
      <w:proofErr w:type="spellEnd"/>
      <w:r w:rsidR="004D3249" w:rsidRPr="00FC6FDF">
        <w:t xml:space="preserve"> have been assessed in three randomised, double-masked, sham</w:t>
      </w:r>
      <w:r w:rsidR="00130CB6" w:rsidRPr="00FC6FDF">
        <w:t>**</w:t>
      </w:r>
      <w:r w:rsidR="004D3249" w:rsidRPr="00FC6FDF">
        <w:t xml:space="preserve">- or active-controlled studies in patients with </w:t>
      </w:r>
      <w:proofErr w:type="spellStart"/>
      <w:r w:rsidR="004D3249" w:rsidRPr="00FC6FDF">
        <w:t>neovascular</w:t>
      </w:r>
      <w:proofErr w:type="spellEnd"/>
      <w:r w:rsidR="004D3249" w:rsidRPr="00FC6FDF">
        <w:t xml:space="preserve"> age-related macular degeneration (AMD). A total of 1,323 patients (879 active and 444 </w:t>
      </w:r>
      <w:proofErr w:type="gramStart"/>
      <w:r w:rsidR="004D3249" w:rsidRPr="00FC6FDF">
        <w:t>control</w:t>
      </w:r>
      <w:proofErr w:type="gramEnd"/>
      <w:r w:rsidR="004D3249" w:rsidRPr="00FC6FDF">
        <w:t>) was enrolled in these studies.</w:t>
      </w:r>
    </w:p>
    <w:p w:rsidR="004D3249" w:rsidRPr="00FC6FDF" w:rsidRDefault="004D3249" w:rsidP="00793839"/>
    <w:p w:rsidR="004D3249" w:rsidRPr="00FC6FDF" w:rsidRDefault="004D3249" w:rsidP="00312EAF">
      <w:r w:rsidRPr="00FC6FDF">
        <w:t xml:space="preserve">In study FVF2598g (MARINA), patients with minimally classic or occult with no classic </w:t>
      </w:r>
      <w:proofErr w:type="spellStart"/>
      <w:r w:rsidRPr="00FC6FDF">
        <w:t>choroidal</w:t>
      </w:r>
      <w:proofErr w:type="spellEnd"/>
      <w:r w:rsidRPr="00FC6FDF">
        <w:t xml:space="preserve"> neovascularisation (CNV) received monthly </w:t>
      </w:r>
      <w:proofErr w:type="spellStart"/>
      <w:r w:rsidRPr="00FC6FDF">
        <w:t>intravitreal</w:t>
      </w:r>
      <w:proofErr w:type="spellEnd"/>
      <w:r w:rsidRPr="00FC6FDF">
        <w:t xml:space="preserve"> injections of </w:t>
      </w:r>
      <w:proofErr w:type="spellStart"/>
      <w:r w:rsidRPr="00FC6FDF">
        <w:t>Lucentis</w:t>
      </w:r>
      <w:proofErr w:type="spellEnd"/>
      <w:r w:rsidRPr="00FC6FDF">
        <w:t xml:space="preserve"> 0.3 mg or 0.5 mg or sham injections. A total of 716 patients </w:t>
      </w:r>
      <w:proofErr w:type="gramStart"/>
      <w:r w:rsidRPr="00FC6FDF">
        <w:t>was</w:t>
      </w:r>
      <w:proofErr w:type="gramEnd"/>
      <w:r w:rsidRPr="00FC6FDF">
        <w:t xml:space="preserve"> enrolled in this study (sham, 238; </w:t>
      </w:r>
      <w:proofErr w:type="spellStart"/>
      <w:r w:rsidRPr="00FC6FDF">
        <w:t>Lucentis</w:t>
      </w:r>
      <w:proofErr w:type="spellEnd"/>
      <w:r w:rsidRPr="00FC6FDF">
        <w:t xml:space="preserve"> 0.3 mg, 238; </w:t>
      </w:r>
      <w:proofErr w:type="spellStart"/>
      <w:r w:rsidRPr="00FC6FDF">
        <w:t>Lucentis</w:t>
      </w:r>
      <w:proofErr w:type="spellEnd"/>
      <w:r w:rsidRPr="00FC6FDF">
        <w:t xml:space="preserve"> 0.5 mg, 240). A total of 664 subjects (92.7%) completed </w:t>
      </w:r>
      <w:r w:rsidR="009F75AE" w:rsidRPr="00FC6FDF">
        <w:t>m</w:t>
      </w:r>
      <w:r w:rsidRPr="00FC6FDF">
        <w:t xml:space="preserve">onth 12 (defined as having a visual acuity score for the study eye at </w:t>
      </w:r>
      <w:r w:rsidR="009F75AE" w:rsidRPr="00FC6FDF">
        <w:t>m</w:t>
      </w:r>
      <w:r w:rsidRPr="00FC6FDF">
        <w:t>onth 12) and a total of 615 subjects (85.9%) completed the 2-year study period</w:t>
      </w:r>
      <w:r w:rsidR="009F75AE" w:rsidRPr="00FC6FDF">
        <w:t>.</w:t>
      </w:r>
      <w:r w:rsidRPr="00FC6FDF">
        <w:t xml:space="preserve"> Data are available up to the end of month 24.</w:t>
      </w:r>
    </w:p>
    <w:p w:rsidR="004D3249" w:rsidRPr="00FC6FDF" w:rsidRDefault="004D3249" w:rsidP="00793839"/>
    <w:p w:rsidR="004D3249" w:rsidRPr="00FC6FDF" w:rsidRDefault="004D3249" w:rsidP="00793839">
      <w:r w:rsidRPr="00FC6FDF">
        <w:t xml:space="preserve">In study FVF2587g (ANCHOR), patients with predominantly classic CNV lesions received either: 1) monthly </w:t>
      </w:r>
      <w:proofErr w:type="spellStart"/>
      <w:r w:rsidRPr="00FC6FDF">
        <w:t>intravitreal</w:t>
      </w:r>
      <w:proofErr w:type="spellEnd"/>
      <w:r w:rsidRPr="00FC6FDF">
        <w:t xml:space="preserve"> injections of </w:t>
      </w:r>
      <w:proofErr w:type="spellStart"/>
      <w:r w:rsidRPr="00FC6FDF">
        <w:t>Lucentis</w:t>
      </w:r>
      <w:proofErr w:type="spellEnd"/>
      <w:r w:rsidRPr="00FC6FDF">
        <w:t xml:space="preserve"> 0.3 mg and sham photodynamic therapy (PDT); 2) monthly </w:t>
      </w:r>
      <w:proofErr w:type="spellStart"/>
      <w:r w:rsidRPr="00FC6FDF">
        <w:t>intravitreal</w:t>
      </w:r>
      <w:proofErr w:type="spellEnd"/>
      <w:r w:rsidRPr="00FC6FDF">
        <w:t xml:space="preserve"> injections of </w:t>
      </w:r>
      <w:proofErr w:type="spellStart"/>
      <w:r w:rsidRPr="00FC6FDF">
        <w:t>Lucentis</w:t>
      </w:r>
      <w:proofErr w:type="spellEnd"/>
      <w:r w:rsidRPr="00FC6FDF">
        <w:t xml:space="preserve"> 0.5 mg and sham PDT; or 3) sham </w:t>
      </w:r>
      <w:proofErr w:type="spellStart"/>
      <w:r w:rsidRPr="00FC6FDF">
        <w:t>intravitreal</w:t>
      </w:r>
      <w:proofErr w:type="spellEnd"/>
      <w:r w:rsidRPr="00FC6FDF">
        <w:t xml:space="preserve"> injections and active </w:t>
      </w:r>
      <w:proofErr w:type="spellStart"/>
      <w:r w:rsidRPr="00FC6FDF">
        <w:t>verteporfin</w:t>
      </w:r>
      <w:proofErr w:type="spellEnd"/>
      <w:r w:rsidRPr="00FC6FDF">
        <w:t xml:space="preserve"> PDT. Sham or active </w:t>
      </w:r>
      <w:proofErr w:type="spellStart"/>
      <w:r w:rsidRPr="00FC6FDF">
        <w:t>verteporfin</w:t>
      </w:r>
      <w:proofErr w:type="spellEnd"/>
      <w:r w:rsidRPr="00FC6FDF">
        <w:t xml:space="preserve"> PDT was given with the initial </w:t>
      </w:r>
      <w:proofErr w:type="spellStart"/>
      <w:r w:rsidRPr="00FC6FDF">
        <w:t>Lucentis</w:t>
      </w:r>
      <w:proofErr w:type="spellEnd"/>
      <w:r w:rsidRPr="00FC6FDF">
        <w:t xml:space="preserve"> injection and every 3 months thereafter if fluorescein angiography showed persistence or recurrence of vascular leakage. A total of 423 patients </w:t>
      </w:r>
      <w:proofErr w:type="gramStart"/>
      <w:r w:rsidRPr="00FC6FDF">
        <w:t>was</w:t>
      </w:r>
      <w:proofErr w:type="gramEnd"/>
      <w:r w:rsidRPr="00FC6FDF">
        <w:t xml:space="preserve"> enrolled in this study (sham, 143; </w:t>
      </w:r>
      <w:proofErr w:type="spellStart"/>
      <w:r w:rsidRPr="00FC6FDF">
        <w:t>Lucentis</w:t>
      </w:r>
      <w:proofErr w:type="spellEnd"/>
      <w:r w:rsidRPr="00FC6FDF">
        <w:t xml:space="preserve"> 0.3 mg, 140; </w:t>
      </w:r>
      <w:proofErr w:type="spellStart"/>
      <w:r w:rsidRPr="00FC6FDF">
        <w:t>Lucentis</w:t>
      </w:r>
      <w:proofErr w:type="spellEnd"/>
      <w:r w:rsidRPr="00FC6FDF">
        <w:t xml:space="preserve"> 0.5 mg, 140). A total of 386 subjects (91.3%) completed </w:t>
      </w:r>
      <w:r w:rsidR="009F75AE" w:rsidRPr="00FC6FDF">
        <w:t>m</w:t>
      </w:r>
      <w:r w:rsidRPr="00FC6FDF">
        <w:t xml:space="preserve">onth 12 of the study and 343 subjects (81.1%) completed </w:t>
      </w:r>
      <w:r w:rsidR="009F75AE" w:rsidRPr="00FC6FDF">
        <w:t>m</w:t>
      </w:r>
      <w:r w:rsidRPr="00FC6FDF">
        <w:t>onth 24 of the study. Data are available up to the end of month 24.</w:t>
      </w:r>
    </w:p>
    <w:p w:rsidR="009F75AE" w:rsidRPr="00FC6FDF" w:rsidRDefault="009F75AE" w:rsidP="00793839">
      <w:pPr>
        <w:rPr>
          <w:i/>
        </w:rPr>
      </w:pPr>
    </w:p>
    <w:p w:rsidR="000E42B0" w:rsidRPr="00FC6FDF" w:rsidRDefault="000E42B0" w:rsidP="000E42B0">
      <w:pPr>
        <w:pStyle w:val="Text"/>
        <w:spacing w:before="0"/>
        <w:jc w:val="left"/>
        <w:rPr>
          <w:i/>
        </w:rPr>
      </w:pPr>
      <w:r w:rsidRPr="00FC6FDF">
        <w:rPr>
          <w:i/>
        </w:rPr>
        <w:t xml:space="preserve">** The sham </w:t>
      </w:r>
      <w:proofErr w:type="spellStart"/>
      <w:r w:rsidRPr="00FC6FDF">
        <w:rPr>
          <w:i/>
        </w:rPr>
        <w:t>Lucentis</w:t>
      </w:r>
      <w:proofErr w:type="spellEnd"/>
      <w:r w:rsidRPr="00FC6FDF">
        <w:rPr>
          <w:i/>
        </w:rPr>
        <w:t xml:space="preserve"> injection control procedure involved anesthetising the eye in a manner identical to a </w:t>
      </w:r>
      <w:proofErr w:type="spellStart"/>
      <w:r w:rsidRPr="00FC6FDF">
        <w:rPr>
          <w:i/>
        </w:rPr>
        <w:t>Lucentis</w:t>
      </w:r>
      <w:proofErr w:type="spellEnd"/>
      <w:r w:rsidRPr="00FC6FDF">
        <w:rPr>
          <w:i/>
        </w:rPr>
        <w:t xml:space="preserve"> </w:t>
      </w:r>
      <w:proofErr w:type="spellStart"/>
      <w:r w:rsidRPr="00FC6FDF">
        <w:rPr>
          <w:i/>
        </w:rPr>
        <w:t>intravitreal</w:t>
      </w:r>
      <w:proofErr w:type="spellEnd"/>
      <w:r w:rsidRPr="00FC6FDF">
        <w:rPr>
          <w:i/>
        </w:rPr>
        <w:t xml:space="preserve"> injection. The tip of a needleless syringe was then pressed against the conjunctiva and the plunger of the needleless syringe depressed.</w:t>
      </w:r>
    </w:p>
    <w:p w:rsidR="000E42B0" w:rsidRPr="00FC6FDF" w:rsidRDefault="000E42B0" w:rsidP="00793839">
      <w:pPr>
        <w:rPr>
          <w:i/>
        </w:rPr>
      </w:pPr>
    </w:p>
    <w:p w:rsidR="004D3249" w:rsidRPr="00FC6FDF" w:rsidRDefault="004D3249" w:rsidP="00793839">
      <w:r w:rsidRPr="00FC6FDF">
        <w:t xml:space="preserve">In both studies the primary efficacy endpoint was the proportion of patients who maintained vision, defined as losing fewer than 15 letters of visual acuity at 12 months compared to baseline. Almost all </w:t>
      </w:r>
      <w:proofErr w:type="spellStart"/>
      <w:r w:rsidRPr="00FC6FDF">
        <w:t>Lucentis</w:t>
      </w:r>
      <w:proofErr w:type="spellEnd"/>
      <w:r w:rsidRPr="00FC6FDF">
        <w:t xml:space="preserve">-treated patients (approximately 95%) maintained their visual acuity. 34 to 40% of </w:t>
      </w:r>
      <w:proofErr w:type="spellStart"/>
      <w:r w:rsidRPr="00FC6FDF">
        <w:t>Lucentis</w:t>
      </w:r>
      <w:proofErr w:type="spellEnd"/>
      <w:r w:rsidRPr="00FC6FDF">
        <w:t>-treated patients experienced a clinically significant improvement in vision, defined as gaining 15 or more letters at 12 months. The size of the lesion did not significantly affect the results.</w:t>
      </w:r>
    </w:p>
    <w:p w:rsidR="004D3249" w:rsidRPr="00FC6FDF" w:rsidRDefault="004D3249" w:rsidP="00793839"/>
    <w:p w:rsidR="004D3249" w:rsidRPr="00FC6FDF" w:rsidRDefault="004D3249" w:rsidP="00582A73">
      <w:r w:rsidRPr="00FC6FDF">
        <w:t xml:space="preserve">In MARINA, the primary endpoint was fewer than 15 letters loss at 12 months. 148 of 238 randomised to sham injections met this criterion, as did 225 of 238 injected with 0.3 mg, and 227 of 240 injected with 0.5 mg. The difference between sham and injected groups is statistically (p&lt;0.0001) and clinically significant but the difference between the two </w:t>
      </w:r>
      <w:proofErr w:type="spellStart"/>
      <w:r w:rsidRPr="00FC6FDF">
        <w:t>ranibizumab</w:t>
      </w:r>
      <w:proofErr w:type="spellEnd"/>
      <w:r w:rsidRPr="00FC6FDF">
        <w:t xml:space="preserve"> dose groups is not, as shown in Figure </w:t>
      </w:r>
      <w:r w:rsidR="00106C5E" w:rsidRPr="00FC6FDF">
        <w:t>2</w:t>
      </w:r>
      <w:r w:rsidRPr="00FC6FDF">
        <w:t>.</w:t>
      </w:r>
    </w:p>
    <w:p w:rsidR="004D3249" w:rsidRPr="00FC6FDF" w:rsidRDefault="004D3249" w:rsidP="00582A73"/>
    <w:p w:rsidR="00A97788" w:rsidRDefault="004D3249" w:rsidP="00A97788">
      <w:r w:rsidRPr="00FC6FDF">
        <w:t xml:space="preserve">The visual acuity gain with </w:t>
      </w:r>
      <w:proofErr w:type="spellStart"/>
      <w:r w:rsidRPr="00FC6FDF">
        <w:t>ranibizumab</w:t>
      </w:r>
      <w:proofErr w:type="spellEnd"/>
      <w:r w:rsidRPr="00FC6FDF">
        <w:t xml:space="preserve"> is present at 1 month, continues to increase up to month 3, and is maintained up to month 24, compared to a gradual deterioration in the sham treatment group, as shown in Figure </w:t>
      </w:r>
      <w:r w:rsidR="00130CB6" w:rsidRPr="00FC6FDF">
        <w:t>2</w:t>
      </w:r>
      <w:r w:rsidRPr="00FC6FDF">
        <w:t>.</w:t>
      </w:r>
    </w:p>
    <w:p w:rsidR="00A97788" w:rsidRDefault="00A97788" w:rsidP="00A97788"/>
    <w:p w:rsidR="004D3249" w:rsidRPr="00FC6FDF" w:rsidRDefault="004D3249" w:rsidP="00A97788">
      <w:pPr>
        <w:rPr>
          <w:b/>
          <w:bCs/>
        </w:rPr>
      </w:pPr>
      <w:r w:rsidRPr="00FC6FDF">
        <w:rPr>
          <w:b/>
          <w:bCs/>
        </w:rPr>
        <w:t xml:space="preserve">Figure </w:t>
      </w:r>
      <w:r w:rsidR="00130CB6" w:rsidRPr="00FC6FDF">
        <w:rPr>
          <w:b/>
          <w:bCs/>
        </w:rPr>
        <w:t>2</w:t>
      </w:r>
      <w:r w:rsidRPr="00FC6FDF">
        <w:rPr>
          <w:b/>
          <w:bCs/>
        </w:rPr>
        <w:tab/>
        <w:t xml:space="preserve">Mean change in visual acuity from baseline to month 24 in study FVF2598g (MARINA): </w:t>
      </w:r>
      <w:r w:rsidR="00324282" w:rsidRPr="00FC6FDF">
        <w:rPr>
          <w:b/>
          <w:bCs/>
          <w:i/>
          <w:iCs/>
        </w:rPr>
        <w:t>I</w:t>
      </w:r>
      <w:r w:rsidRPr="00FC6FDF">
        <w:rPr>
          <w:b/>
          <w:bCs/>
          <w:i/>
          <w:iCs/>
        </w:rPr>
        <w:t>TT population</w:t>
      </w:r>
    </w:p>
    <w:p w:rsidR="004D3249" w:rsidRPr="00FC6FDF" w:rsidRDefault="009326B0" w:rsidP="00582A73">
      <w:r>
        <w:rPr>
          <w:noProof/>
          <w:lang w:val="en-AU" w:eastAsia="en-AU"/>
        </w:rPr>
        <w:drawing>
          <wp:inline distT="0" distB="0" distL="0" distR="0" wp14:anchorId="55BDAA1F" wp14:editId="68344046">
            <wp:extent cx="5747385" cy="306387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7385" cy="3063875"/>
                    </a:xfrm>
                    <a:prstGeom prst="rect">
                      <a:avLst/>
                    </a:prstGeom>
                    <a:noFill/>
                    <a:ln>
                      <a:noFill/>
                    </a:ln>
                  </pic:spPr>
                </pic:pic>
              </a:graphicData>
            </a:graphic>
          </wp:inline>
        </w:drawing>
      </w:r>
    </w:p>
    <w:p w:rsidR="004D3249" w:rsidRPr="00FC6FDF" w:rsidRDefault="004D3249" w:rsidP="00582A73"/>
    <w:p w:rsidR="004D3249" w:rsidRPr="00FC6FDF" w:rsidRDefault="004D3249" w:rsidP="00F05AE7">
      <w:pPr>
        <w:autoSpaceDE w:val="0"/>
        <w:autoSpaceDN w:val="0"/>
        <w:adjustRightInd w:val="0"/>
        <w:rPr>
          <w:rFonts w:ascii="TimesNewRomanPSMT" w:hAnsi="TimesNewRomanPSMT" w:cs="TimesNewRomanPSMT"/>
        </w:rPr>
      </w:pPr>
      <w:r w:rsidRPr="00FC6FDF">
        <w:t>In ANCHOR,</w:t>
      </w:r>
      <w:r w:rsidRPr="00FC6FDF">
        <w:rPr>
          <w:rFonts w:ascii="TimesNewRomanPSMT" w:hAnsi="TimesNewRomanPSMT" w:cs="TimesNewRomanPSMT"/>
        </w:rPr>
        <w:t xml:space="preserve"> the primary endpoint was fewer than 15 letters loss at 12 months. 92 of 143 randomised to sham injections and </w:t>
      </w:r>
      <w:proofErr w:type="spellStart"/>
      <w:r w:rsidRPr="00FC6FDF">
        <w:rPr>
          <w:rFonts w:ascii="TimesNewRomanPSMT" w:hAnsi="TimesNewRomanPSMT" w:cs="TimesNewRomanPSMT"/>
        </w:rPr>
        <w:t>verteporfin</w:t>
      </w:r>
      <w:proofErr w:type="spellEnd"/>
      <w:r w:rsidRPr="00FC6FDF">
        <w:rPr>
          <w:rFonts w:ascii="TimesNewRomanPSMT" w:hAnsi="TimesNewRomanPSMT" w:cs="TimesNewRomanPSMT"/>
        </w:rPr>
        <w:t xml:space="preserve"> met this criterion, as did 132 of 140 injected with 0.3 mg </w:t>
      </w:r>
      <w:proofErr w:type="spellStart"/>
      <w:r w:rsidRPr="00FC6FDF">
        <w:rPr>
          <w:rFonts w:ascii="TimesNewRomanPSMT" w:hAnsi="TimesNewRomanPSMT" w:cs="TimesNewRomanPSMT"/>
        </w:rPr>
        <w:t>ranibizumab</w:t>
      </w:r>
      <w:proofErr w:type="spellEnd"/>
      <w:r w:rsidRPr="00FC6FDF">
        <w:rPr>
          <w:rFonts w:ascii="TimesNewRomanPSMT" w:hAnsi="TimesNewRomanPSMT" w:cs="TimesNewRomanPSMT"/>
        </w:rPr>
        <w:t>, and 134 of 140 injected with 0.5 mg.</w:t>
      </w:r>
    </w:p>
    <w:p w:rsidR="004D3249" w:rsidRPr="00FC6FDF" w:rsidRDefault="004D3249" w:rsidP="00F05AE7">
      <w:pPr>
        <w:autoSpaceDE w:val="0"/>
        <w:autoSpaceDN w:val="0"/>
        <w:adjustRightInd w:val="0"/>
        <w:rPr>
          <w:rFonts w:ascii="TimesNewRomanPSMT" w:hAnsi="TimesNewRomanPSMT" w:cs="TimesNewRomanPSMT"/>
        </w:rPr>
      </w:pPr>
    </w:p>
    <w:p w:rsidR="004D3249" w:rsidRPr="00FC6FDF" w:rsidRDefault="004D3249" w:rsidP="00F05AE7">
      <w:pPr>
        <w:autoSpaceDE w:val="0"/>
        <w:autoSpaceDN w:val="0"/>
        <w:adjustRightInd w:val="0"/>
        <w:rPr>
          <w:rFonts w:ascii="TimesNewRomanPSMT" w:hAnsi="TimesNewRomanPSMT" w:cs="TimesNewRomanPSMT"/>
        </w:rPr>
      </w:pPr>
      <w:r w:rsidRPr="00FC6FDF">
        <w:rPr>
          <w:rFonts w:ascii="TimesNewRomanPSMT" w:hAnsi="TimesNewRomanPSMT" w:cs="TimesNewRomanPSMT"/>
        </w:rPr>
        <w:t xml:space="preserve">The difference between sham and injected groups is statistically (p&lt;0.0001) and clinically significant but the difference between the two doses of </w:t>
      </w:r>
      <w:proofErr w:type="spellStart"/>
      <w:r w:rsidRPr="00FC6FDF">
        <w:rPr>
          <w:rFonts w:ascii="TimesNewRomanPSMT" w:hAnsi="TimesNewRomanPSMT" w:cs="TimesNewRomanPSMT"/>
        </w:rPr>
        <w:t>ranibizumab</w:t>
      </w:r>
      <w:proofErr w:type="spellEnd"/>
      <w:r w:rsidRPr="00FC6FDF">
        <w:rPr>
          <w:rFonts w:ascii="TimesNewRomanPSMT" w:hAnsi="TimesNewRomanPSMT" w:cs="TimesNewRomanPSMT"/>
        </w:rPr>
        <w:t xml:space="preserve"> is not. The secondary endpoint of a (clinically significant) gain of at least 15 letters was met in 8 of the 143 </w:t>
      </w:r>
      <w:proofErr w:type="spellStart"/>
      <w:r w:rsidRPr="00FC6FDF">
        <w:rPr>
          <w:rFonts w:ascii="TimesNewRomanPSMT" w:hAnsi="TimesNewRomanPSMT" w:cs="TimesNewRomanPSMT"/>
        </w:rPr>
        <w:t>verteporfin</w:t>
      </w:r>
      <w:proofErr w:type="spellEnd"/>
      <w:r w:rsidRPr="00FC6FDF">
        <w:rPr>
          <w:rFonts w:ascii="TimesNewRomanPSMT" w:hAnsi="TimesNewRomanPSMT" w:cs="TimesNewRomanPSMT"/>
        </w:rPr>
        <w:t xml:space="preserve"> group and in 50 of the 140 0.3 mg </w:t>
      </w:r>
      <w:proofErr w:type="gramStart"/>
      <w:r w:rsidRPr="00FC6FDF">
        <w:rPr>
          <w:rFonts w:ascii="TimesNewRomanPSMT" w:hAnsi="TimesNewRomanPSMT" w:cs="TimesNewRomanPSMT"/>
        </w:rPr>
        <w:t>group</w:t>
      </w:r>
      <w:proofErr w:type="gramEnd"/>
      <w:r w:rsidRPr="00FC6FDF">
        <w:rPr>
          <w:rFonts w:ascii="TimesNewRomanPSMT" w:hAnsi="TimesNewRomanPSMT" w:cs="TimesNewRomanPSMT"/>
        </w:rPr>
        <w:t>: χ</w:t>
      </w:r>
      <w:r w:rsidRPr="00FC6FDF">
        <w:rPr>
          <w:rFonts w:ascii="TimesNewRomanPSMT" w:hAnsi="TimesNewRomanPSMT" w:cs="TimesNewRomanPSMT"/>
          <w:sz w:val="16"/>
          <w:szCs w:val="16"/>
        </w:rPr>
        <w:t>2</w:t>
      </w:r>
      <w:r w:rsidRPr="00FC6FDF">
        <w:rPr>
          <w:rFonts w:ascii="TimesNewRomanPSMT" w:hAnsi="TimesNewRomanPSMT" w:cs="TimesNewRomanPSMT"/>
        </w:rPr>
        <w:t xml:space="preserve">= 37.6, p&lt;0.0001. 56 of the 140 0.5 mg </w:t>
      </w:r>
      <w:proofErr w:type="gramStart"/>
      <w:r w:rsidRPr="00FC6FDF">
        <w:rPr>
          <w:rFonts w:ascii="TimesNewRomanPSMT" w:hAnsi="TimesNewRomanPSMT" w:cs="TimesNewRomanPSMT"/>
        </w:rPr>
        <w:t>group</w:t>
      </w:r>
      <w:proofErr w:type="gramEnd"/>
      <w:r w:rsidRPr="00FC6FDF">
        <w:rPr>
          <w:rFonts w:ascii="TimesNewRomanPSMT" w:hAnsi="TimesNewRomanPSMT" w:cs="TimesNewRomanPSMT"/>
        </w:rPr>
        <w:t xml:space="preserve"> met this criterion also, statistically not significantly better than the 0.3 mg group: χ</w:t>
      </w:r>
      <w:r w:rsidRPr="00FC6FDF">
        <w:rPr>
          <w:rFonts w:ascii="TimesNewRomanPSMT" w:hAnsi="TimesNewRomanPSMT" w:cs="TimesNewRomanPSMT"/>
          <w:sz w:val="16"/>
          <w:szCs w:val="16"/>
        </w:rPr>
        <w:t>2</w:t>
      </w:r>
      <w:r w:rsidRPr="00FC6FDF">
        <w:rPr>
          <w:rFonts w:ascii="TimesNewRomanPSMT" w:hAnsi="TimesNewRomanPSMT" w:cs="TimesNewRomanPSMT"/>
        </w:rPr>
        <w:t>=0.38, p&gt;0.8.</w:t>
      </w:r>
    </w:p>
    <w:p w:rsidR="004D3249" w:rsidRPr="00FC6FDF" w:rsidRDefault="004D3249" w:rsidP="00F05AE7">
      <w:pPr>
        <w:autoSpaceDE w:val="0"/>
        <w:autoSpaceDN w:val="0"/>
        <w:adjustRightInd w:val="0"/>
        <w:rPr>
          <w:rFonts w:ascii="TimesNewRomanPSMT" w:hAnsi="TimesNewRomanPSMT" w:cs="TimesNewRomanPSMT"/>
        </w:rPr>
      </w:pPr>
    </w:p>
    <w:p w:rsidR="004D3249" w:rsidRPr="00FC6FDF" w:rsidRDefault="004D3249" w:rsidP="00F05AE7">
      <w:pPr>
        <w:autoSpaceDE w:val="0"/>
        <w:autoSpaceDN w:val="0"/>
        <w:adjustRightInd w:val="0"/>
        <w:rPr>
          <w:rFonts w:ascii="TimesNewRomanPSMT" w:hAnsi="TimesNewRomanPSMT" w:cs="TimesNewRomanPSMT"/>
        </w:rPr>
      </w:pPr>
      <w:r w:rsidRPr="00FC6FDF">
        <w:rPr>
          <w:rFonts w:ascii="TimesNewRomanPSMT" w:hAnsi="TimesNewRomanPSMT" w:cs="TimesNewRomanPSMT"/>
        </w:rPr>
        <w:lastRenderedPageBreak/>
        <w:t xml:space="preserve">The visual acuity gain with </w:t>
      </w:r>
      <w:proofErr w:type="spellStart"/>
      <w:r w:rsidRPr="00FC6FDF">
        <w:rPr>
          <w:rFonts w:ascii="TimesNewRomanPSMT" w:hAnsi="TimesNewRomanPSMT" w:cs="TimesNewRomanPSMT"/>
        </w:rPr>
        <w:t>ranibizumab</w:t>
      </w:r>
      <w:proofErr w:type="spellEnd"/>
      <w:r w:rsidRPr="00FC6FDF">
        <w:rPr>
          <w:rFonts w:ascii="TimesNewRomanPSMT" w:hAnsi="TimesNewRomanPSMT" w:cs="TimesNewRomanPSMT"/>
        </w:rPr>
        <w:t xml:space="preserve"> is present at 1 month, continues to increase up to month 3, and is maintained up to month 12 compared to a gradual deterioration in the </w:t>
      </w:r>
      <w:proofErr w:type="spellStart"/>
      <w:r w:rsidRPr="00FC6FDF">
        <w:rPr>
          <w:rFonts w:ascii="TimesNewRomanPSMT" w:hAnsi="TimesNewRomanPSMT" w:cs="TimesNewRomanPSMT"/>
        </w:rPr>
        <w:t>verteporfin</w:t>
      </w:r>
      <w:proofErr w:type="spellEnd"/>
      <w:r w:rsidRPr="00FC6FDF">
        <w:rPr>
          <w:rFonts w:ascii="TimesNewRomanPSMT" w:hAnsi="TimesNewRomanPSMT" w:cs="TimesNewRomanPSMT"/>
        </w:rPr>
        <w:t xml:space="preserve"> treatment group, as shown in Figure </w:t>
      </w:r>
      <w:r w:rsidR="00130CB6" w:rsidRPr="00FC6FDF">
        <w:rPr>
          <w:rFonts w:ascii="TimesNewRomanPSMT" w:hAnsi="TimesNewRomanPSMT" w:cs="TimesNewRomanPSMT"/>
        </w:rPr>
        <w:t>3</w:t>
      </w:r>
      <w:r w:rsidRPr="00FC6FDF">
        <w:rPr>
          <w:rFonts w:ascii="TimesNewRomanPSMT" w:hAnsi="TimesNewRomanPSMT" w:cs="TimesNewRomanPSMT"/>
        </w:rPr>
        <w:t>.</w:t>
      </w:r>
    </w:p>
    <w:p w:rsidR="004D3249" w:rsidRPr="00FC6FDF" w:rsidRDefault="004D3249" w:rsidP="00F05AE7"/>
    <w:p w:rsidR="004D3249" w:rsidRPr="00FC6FDF" w:rsidRDefault="004D3249" w:rsidP="005E759F">
      <w:pPr>
        <w:autoSpaceDE w:val="0"/>
        <w:autoSpaceDN w:val="0"/>
        <w:adjustRightInd w:val="0"/>
        <w:ind w:left="1418" w:hanging="1418"/>
        <w:rPr>
          <w:rFonts w:ascii="TimesNewRomanPSMT" w:hAnsi="TimesNewRomanPSMT" w:cs="TimesNewRomanPSMT"/>
          <w:b/>
          <w:bCs/>
        </w:rPr>
      </w:pPr>
      <w:r w:rsidRPr="00FC6FDF">
        <w:rPr>
          <w:rFonts w:ascii="TimesNewRomanPSMT" w:hAnsi="TimesNewRomanPSMT" w:cs="TimesNewRomanPSMT"/>
          <w:b/>
          <w:bCs/>
        </w:rPr>
        <w:t xml:space="preserve">Figure </w:t>
      </w:r>
      <w:r w:rsidR="00130CB6" w:rsidRPr="00FC6FDF">
        <w:rPr>
          <w:rFonts w:ascii="TimesNewRomanPSMT" w:hAnsi="TimesNewRomanPSMT" w:cs="TimesNewRomanPSMT"/>
          <w:b/>
          <w:bCs/>
        </w:rPr>
        <w:t>3</w:t>
      </w:r>
      <w:r w:rsidRPr="00FC6FDF">
        <w:rPr>
          <w:rFonts w:ascii="TimesNewRomanPSMT" w:hAnsi="TimesNewRomanPSMT" w:cs="TimesNewRomanPSMT"/>
          <w:b/>
          <w:bCs/>
        </w:rPr>
        <w:tab/>
        <w:t xml:space="preserve">Mean change in visual acuity from baseline to month 24 in study FVF2587g (ANCHOR): </w:t>
      </w:r>
      <w:r w:rsidRPr="00FC6FDF">
        <w:rPr>
          <w:rFonts w:ascii="TimesNewRomanPSMT" w:hAnsi="TimesNewRomanPSMT" w:cs="TimesNewRomanPSMT"/>
          <w:b/>
          <w:bCs/>
          <w:i/>
          <w:iCs/>
        </w:rPr>
        <w:t>ITT population</w:t>
      </w:r>
    </w:p>
    <w:p w:rsidR="004D3249" w:rsidRPr="00FC6FDF" w:rsidRDefault="009326B0" w:rsidP="005E759F">
      <w:pPr>
        <w:autoSpaceDE w:val="0"/>
        <w:autoSpaceDN w:val="0"/>
        <w:adjustRightInd w:val="0"/>
        <w:ind w:left="1418" w:hanging="1418"/>
        <w:rPr>
          <w:rFonts w:ascii="TimesNewRomanPSMT" w:hAnsi="TimesNewRomanPSMT" w:cs="TimesNewRomanPSMT"/>
        </w:rPr>
      </w:pPr>
      <w:r>
        <w:rPr>
          <w:rFonts w:ascii="TimesNewRomanPSMT" w:hAnsi="TimesNewRomanPSMT" w:cs="TimesNewRomanPSMT"/>
          <w:noProof/>
          <w:lang w:val="en-AU" w:eastAsia="en-AU"/>
        </w:rPr>
        <w:drawing>
          <wp:inline distT="0" distB="0" distL="0" distR="0" wp14:anchorId="3792B58A" wp14:editId="124B4F7E">
            <wp:extent cx="4761865" cy="29451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2945130"/>
                    </a:xfrm>
                    <a:prstGeom prst="rect">
                      <a:avLst/>
                    </a:prstGeom>
                    <a:noFill/>
                    <a:ln>
                      <a:noFill/>
                    </a:ln>
                  </pic:spPr>
                </pic:pic>
              </a:graphicData>
            </a:graphic>
          </wp:inline>
        </w:drawing>
      </w:r>
    </w:p>
    <w:p w:rsidR="003F5545" w:rsidRPr="00FC6FDF" w:rsidRDefault="003F5545" w:rsidP="00793839"/>
    <w:p w:rsidR="004D3249" w:rsidRPr="00FC6FDF" w:rsidRDefault="004D3249" w:rsidP="00793839">
      <w:r w:rsidRPr="00FC6FDF">
        <w:t>Detailed results are shown in the tables below:</w:t>
      </w:r>
    </w:p>
    <w:p w:rsidR="004D3249" w:rsidRPr="00FC6FDF" w:rsidRDefault="004D3249" w:rsidP="00793839"/>
    <w:p w:rsidR="004D3249" w:rsidRPr="00FC6FDF" w:rsidRDefault="004D3249" w:rsidP="0088003C">
      <w:pPr>
        <w:pStyle w:val="Text"/>
        <w:spacing w:after="120"/>
        <w:rPr>
          <w:b/>
          <w:bCs/>
        </w:rPr>
      </w:pPr>
      <w:r w:rsidRPr="00FC6FDF">
        <w:rPr>
          <w:b/>
          <w:bCs/>
        </w:rPr>
        <w:t>Table 1</w:t>
      </w:r>
      <w:r w:rsidRPr="00FC6FDF">
        <w:rPr>
          <w:b/>
          <w:bCs/>
        </w:rPr>
        <w:tab/>
        <w:t>Outcomes at month 12 and month 24 in study FVF2598g (MARINA)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44"/>
        <w:gridCol w:w="1530"/>
        <w:gridCol w:w="1852"/>
        <w:gridCol w:w="1720"/>
      </w:tblGrid>
      <w:tr w:rsidR="004D3249" w:rsidRPr="00FC6FDF">
        <w:tc>
          <w:tcPr>
            <w:tcW w:w="2414" w:type="dxa"/>
          </w:tcPr>
          <w:p w:rsidR="004D3249" w:rsidRPr="00FC6FDF" w:rsidRDefault="004D3249" w:rsidP="0088003C">
            <w:r w:rsidRPr="00FC6FDF">
              <w:t>Outcome measure</w:t>
            </w:r>
          </w:p>
        </w:tc>
        <w:tc>
          <w:tcPr>
            <w:tcW w:w="1591" w:type="dxa"/>
          </w:tcPr>
          <w:p w:rsidR="004D3249" w:rsidRPr="00FC6FDF" w:rsidRDefault="004D3249" w:rsidP="00220541">
            <w:pPr>
              <w:jc w:val="center"/>
            </w:pPr>
            <w:r w:rsidRPr="00FC6FDF">
              <w:t>Month</w:t>
            </w:r>
          </w:p>
        </w:tc>
        <w:tc>
          <w:tcPr>
            <w:tcW w:w="1567" w:type="dxa"/>
          </w:tcPr>
          <w:p w:rsidR="004D3249" w:rsidRPr="00FC6FDF" w:rsidRDefault="004D3249" w:rsidP="00220541">
            <w:pPr>
              <w:jc w:val="center"/>
            </w:pPr>
            <w:r w:rsidRPr="00FC6FDF">
              <w:t>Sham</w:t>
            </w:r>
          </w:p>
          <w:p w:rsidR="004D3249" w:rsidRPr="00FC6FDF" w:rsidRDefault="004D3249" w:rsidP="00220541">
            <w:pPr>
              <w:jc w:val="center"/>
            </w:pPr>
            <w:r w:rsidRPr="00FC6FDF">
              <w:t>(n=238)</w:t>
            </w:r>
          </w:p>
        </w:tc>
        <w:tc>
          <w:tcPr>
            <w:tcW w:w="1907" w:type="dxa"/>
          </w:tcPr>
          <w:p w:rsidR="004D3249" w:rsidRPr="00FC6FDF" w:rsidRDefault="004D3249" w:rsidP="00220541">
            <w:pPr>
              <w:jc w:val="center"/>
            </w:pPr>
            <w:proofErr w:type="spellStart"/>
            <w:r w:rsidRPr="00FC6FDF">
              <w:t>Lucentis</w:t>
            </w:r>
            <w:proofErr w:type="spellEnd"/>
            <w:r w:rsidRPr="00FC6FDF">
              <w:t xml:space="preserve"> 0.3 mg</w:t>
            </w:r>
          </w:p>
          <w:p w:rsidR="004D3249" w:rsidRPr="00FC6FDF" w:rsidRDefault="004D3249" w:rsidP="00220541">
            <w:pPr>
              <w:jc w:val="center"/>
            </w:pPr>
            <w:r w:rsidRPr="00FC6FDF">
              <w:t>(n=238)</w:t>
            </w:r>
          </w:p>
        </w:tc>
        <w:tc>
          <w:tcPr>
            <w:tcW w:w="1766" w:type="dxa"/>
          </w:tcPr>
          <w:p w:rsidR="004D3249" w:rsidRPr="00FC6FDF" w:rsidRDefault="004D3249" w:rsidP="00220541">
            <w:pPr>
              <w:jc w:val="center"/>
            </w:pPr>
            <w:proofErr w:type="spellStart"/>
            <w:r w:rsidRPr="00FC6FDF">
              <w:t>Lucentis</w:t>
            </w:r>
            <w:proofErr w:type="spellEnd"/>
            <w:r w:rsidRPr="00FC6FDF">
              <w:t xml:space="preserve"> 0.5 mg</w:t>
            </w:r>
          </w:p>
          <w:p w:rsidR="004D3249" w:rsidRPr="00FC6FDF" w:rsidRDefault="004D3249" w:rsidP="00220541">
            <w:pPr>
              <w:jc w:val="center"/>
            </w:pPr>
            <w:r w:rsidRPr="00FC6FDF">
              <w:t>(n=240)</w:t>
            </w:r>
          </w:p>
        </w:tc>
      </w:tr>
      <w:tr w:rsidR="004D3249" w:rsidRPr="00FC6FDF">
        <w:tc>
          <w:tcPr>
            <w:tcW w:w="2414" w:type="dxa"/>
            <w:vMerge w:val="restart"/>
          </w:tcPr>
          <w:p w:rsidR="004D3249" w:rsidRPr="00FC6FDF" w:rsidRDefault="004D3249" w:rsidP="0088003C">
            <w:r w:rsidRPr="00FC6FDF">
              <w:t xml:space="preserve">Loss of &lt;15 letters in visual acuity </w:t>
            </w:r>
            <w:r w:rsidR="003F5545" w:rsidRPr="00FC6FDF">
              <w:t xml:space="preserve"> n </w:t>
            </w:r>
            <w:r w:rsidRPr="00FC6FDF">
              <w:t>(%)</w:t>
            </w:r>
            <w:r w:rsidRPr="00FC6FDF">
              <w:rPr>
                <w:vertAlign w:val="superscript"/>
              </w:rPr>
              <w:t>a</w:t>
            </w:r>
            <w:r w:rsidRPr="00FC6FDF">
              <w:t xml:space="preserve"> (Maintenance of vision)</w:t>
            </w:r>
          </w:p>
        </w:tc>
        <w:tc>
          <w:tcPr>
            <w:tcW w:w="1591" w:type="dxa"/>
          </w:tcPr>
          <w:p w:rsidR="004D3249" w:rsidRPr="00FC6FDF" w:rsidRDefault="004D3249" w:rsidP="00220541">
            <w:pPr>
              <w:jc w:val="center"/>
            </w:pPr>
            <w:r w:rsidRPr="00FC6FDF">
              <w:t>Month 12</w:t>
            </w:r>
          </w:p>
        </w:tc>
        <w:tc>
          <w:tcPr>
            <w:tcW w:w="1567" w:type="dxa"/>
          </w:tcPr>
          <w:p w:rsidR="004D3249" w:rsidRPr="00FC6FDF" w:rsidRDefault="004D3249" w:rsidP="00157AAD">
            <w:pPr>
              <w:jc w:val="center"/>
            </w:pPr>
            <w:r w:rsidRPr="00FC6FDF">
              <w:t xml:space="preserve">148 (62.2%) </w:t>
            </w:r>
          </w:p>
        </w:tc>
        <w:tc>
          <w:tcPr>
            <w:tcW w:w="1907" w:type="dxa"/>
          </w:tcPr>
          <w:p w:rsidR="004D3249" w:rsidRPr="00FC6FDF" w:rsidRDefault="004D3249" w:rsidP="00157AAD">
            <w:pPr>
              <w:jc w:val="center"/>
            </w:pPr>
            <w:r w:rsidRPr="00FC6FDF">
              <w:t xml:space="preserve">225 (94.5%) </w:t>
            </w:r>
          </w:p>
        </w:tc>
        <w:tc>
          <w:tcPr>
            <w:tcW w:w="1766" w:type="dxa"/>
          </w:tcPr>
          <w:p w:rsidR="004D3249" w:rsidRPr="00FC6FDF" w:rsidRDefault="004D3249" w:rsidP="00157AAD">
            <w:pPr>
              <w:jc w:val="center"/>
            </w:pPr>
            <w:r w:rsidRPr="00FC6FDF">
              <w:t xml:space="preserve">227 (94.6%) </w:t>
            </w:r>
          </w:p>
        </w:tc>
      </w:tr>
      <w:tr w:rsidR="004D3249" w:rsidRPr="00FC6FDF">
        <w:tc>
          <w:tcPr>
            <w:tcW w:w="2414" w:type="dxa"/>
            <w:vMerge/>
          </w:tcPr>
          <w:p w:rsidR="004D3249" w:rsidRPr="00FC6FDF" w:rsidRDefault="004D3249" w:rsidP="0088003C"/>
        </w:tc>
        <w:tc>
          <w:tcPr>
            <w:tcW w:w="1591" w:type="dxa"/>
          </w:tcPr>
          <w:p w:rsidR="004D3249" w:rsidRPr="00FC6FDF" w:rsidRDefault="004D3249" w:rsidP="00220541">
            <w:pPr>
              <w:jc w:val="center"/>
            </w:pPr>
            <w:r w:rsidRPr="00FC6FDF">
              <w:t>Month 24</w:t>
            </w:r>
          </w:p>
        </w:tc>
        <w:tc>
          <w:tcPr>
            <w:tcW w:w="1567" w:type="dxa"/>
          </w:tcPr>
          <w:p w:rsidR="004D3249" w:rsidRPr="00FC6FDF" w:rsidRDefault="004D3249" w:rsidP="00220541">
            <w:pPr>
              <w:jc w:val="center"/>
            </w:pPr>
            <w:r w:rsidRPr="00FC6FDF">
              <w:t xml:space="preserve">126 (52.9%) </w:t>
            </w:r>
          </w:p>
        </w:tc>
        <w:tc>
          <w:tcPr>
            <w:tcW w:w="1907" w:type="dxa"/>
          </w:tcPr>
          <w:p w:rsidR="004D3249" w:rsidRPr="00FC6FDF" w:rsidRDefault="004D3249" w:rsidP="00157AAD">
            <w:pPr>
              <w:jc w:val="center"/>
            </w:pPr>
            <w:r w:rsidRPr="00FC6FDF">
              <w:t xml:space="preserve">219 (92.0%) </w:t>
            </w:r>
          </w:p>
        </w:tc>
        <w:tc>
          <w:tcPr>
            <w:tcW w:w="1766" w:type="dxa"/>
          </w:tcPr>
          <w:p w:rsidR="004D3249" w:rsidRPr="00FC6FDF" w:rsidRDefault="004D3249" w:rsidP="00220541">
            <w:pPr>
              <w:jc w:val="center"/>
            </w:pPr>
            <w:r w:rsidRPr="00FC6FDF">
              <w:t xml:space="preserve">216 (90.0%) </w:t>
            </w:r>
          </w:p>
        </w:tc>
      </w:tr>
      <w:tr w:rsidR="004D3249" w:rsidRPr="00FC6FDF">
        <w:tc>
          <w:tcPr>
            <w:tcW w:w="2414" w:type="dxa"/>
            <w:vMerge w:val="restart"/>
          </w:tcPr>
          <w:p w:rsidR="004D3249" w:rsidRPr="00FC6FDF" w:rsidRDefault="004D3249" w:rsidP="0088003C">
            <w:r w:rsidRPr="00FC6FDF">
              <w:t xml:space="preserve">Gain of ≥15 letters in visual acuity </w:t>
            </w:r>
            <w:r w:rsidR="003F5545" w:rsidRPr="00FC6FDF">
              <w:t xml:space="preserve"> n </w:t>
            </w:r>
            <w:r w:rsidRPr="00FC6FDF">
              <w:t>(%)</w:t>
            </w:r>
            <w:r w:rsidRPr="00FC6FDF">
              <w:rPr>
                <w:vertAlign w:val="superscript"/>
              </w:rPr>
              <w:t>a</w:t>
            </w:r>
          </w:p>
        </w:tc>
        <w:tc>
          <w:tcPr>
            <w:tcW w:w="1591" w:type="dxa"/>
          </w:tcPr>
          <w:p w:rsidR="004D3249" w:rsidRPr="00FC6FDF" w:rsidRDefault="004D3249" w:rsidP="00220541">
            <w:pPr>
              <w:jc w:val="center"/>
            </w:pPr>
            <w:r w:rsidRPr="00FC6FDF">
              <w:t>Month 12</w:t>
            </w:r>
          </w:p>
        </w:tc>
        <w:tc>
          <w:tcPr>
            <w:tcW w:w="1567" w:type="dxa"/>
          </w:tcPr>
          <w:p w:rsidR="004D3249" w:rsidRPr="00FC6FDF" w:rsidRDefault="004D3249" w:rsidP="00157AAD">
            <w:pPr>
              <w:jc w:val="center"/>
            </w:pPr>
            <w:r w:rsidRPr="00FC6FDF">
              <w:t>11 (4.6%)</w:t>
            </w:r>
          </w:p>
        </w:tc>
        <w:tc>
          <w:tcPr>
            <w:tcW w:w="1907" w:type="dxa"/>
          </w:tcPr>
          <w:p w:rsidR="004D3249" w:rsidRPr="00FC6FDF" w:rsidRDefault="004D3249" w:rsidP="00157AAD">
            <w:pPr>
              <w:jc w:val="center"/>
            </w:pPr>
            <w:r w:rsidRPr="00FC6FDF">
              <w:t>59 (24.8%)</w:t>
            </w:r>
          </w:p>
        </w:tc>
        <w:tc>
          <w:tcPr>
            <w:tcW w:w="1766" w:type="dxa"/>
          </w:tcPr>
          <w:p w:rsidR="004D3249" w:rsidRPr="00FC6FDF" w:rsidRDefault="004D3249" w:rsidP="00C472A3">
            <w:pPr>
              <w:jc w:val="center"/>
            </w:pPr>
            <w:r w:rsidRPr="00FC6FDF">
              <w:t>81 (33.8%)</w:t>
            </w:r>
          </w:p>
        </w:tc>
      </w:tr>
      <w:tr w:rsidR="004D3249" w:rsidRPr="00FC6FDF">
        <w:tc>
          <w:tcPr>
            <w:tcW w:w="2414" w:type="dxa"/>
            <w:vMerge/>
          </w:tcPr>
          <w:p w:rsidR="004D3249" w:rsidRPr="00FC6FDF" w:rsidRDefault="004D3249" w:rsidP="0088003C"/>
        </w:tc>
        <w:tc>
          <w:tcPr>
            <w:tcW w:w="1591" w:type="dxa"/>
          </w:tcPr>
          <w:p w:rsidR="004D3249" w:rsidRPr="00FC6FDF" w:rsidRDefault="004D3249" w:rsidP="00220541">
            <w:pPr>
              <w:jc w:val="center"/>
            </w:pPr>
            <w:r w:rsidRPr="00FC6FDF">
              <w:t>Month 24</w:t>
            </w:r>
          </w:p>
        </w:tc>
        <w:tc>
          <w:tcPr>
            <w:tcW w:w="1567" w:type="dxa"/>
          </w:tcPr>
          <w:p w:rsidR="004D3249" w:rsidRPr="00FC6FDF" w:rsidRDefault="004D3249" w:rsidP="00220541">
            <w:pPr>
              <w:jc w:val="center"/>
            </w:pPr>
            <w:r w:rsidRPr="00FC6FDF">
              <w:t>9 (3.8%)</w:t>
            </w:r>
          </w:p>
        </w:tc>
        <w:tc>
          <w:tcPr>
            <w:tcW w:w="1907" w:type="dxa"/>
          </w:tcPr>
          <w:p w:rsidR="004D3249" w:rsidRPr="00FC6FDF" w:rsidRDefault="004D3249" w:rsidP="00157AAD">
            <w:pPr>
              <w:jc w:val="center"/>
            </w:pPr>
            <w:r w:rsidRPr="00FC6FDF">
              <w:t>62 (26.1%)</w:t>
            </w:r>
          </w:p>
        </w:tc>
        <w:tc>
          <w:tcPr>
            <w:tcW w:w="1766" w:type="dxa"/>
          </w:tcPr>
          <w:p w:rsidR="004D3249" w:rsidRPr="00FC6FDF" w:rsidRDefault="004D3249" w:rsidP="00157AAD">
            <w:pPr>
              <w:jc w:val="center"/>
            </w:pPr>
            <w:r w:rsidRPr="00FC6FDF">
              <w:t>80 (33.3%)</w:t>
            </w:r>
          </w:p>
        </w:tc>
      </w:tr>
      <w:tr w:rsidR="004D3249" w:rsidRPr="00FC6FDF">
        <w:tc>
          <w:tcPr>
            <w:tcW w:w="2414" w:type="dxa"/>
            <w:vMerge w:val="restart"/>
            <w:tcBorders>
              <w:bottom w:val="nil"/>
            </w:tcBorders>
          </w:tcPr>
          <w:p w:rsidR="004D3249" w:rsidRPr="00FC6FDF" w:rsidRDefault="004D3249" w:rsidP="0088003C">
            <w:r w:rsidRPr="00FC6FDF">
              <w:t>Mean change in visual acuity (letters) (SD)</w:t>
            </w:r>
            <w:r w:rsidRPr="00FC6FDF">
              <w:rPr>
                <w:vertAlign w:val="superscript"/>
              </w:rPr>
              <w:t>a</w:t>
            </w:r>
          </w:p>
        </w:tc>
        <w:tc>
          <w:tcPr>
            <w:tcW w:w="1591" w:type="dxa"/>
          </w:tcPr>
          <w:p w:rsidR="004D3249" w:rsidRPr="00FC6FDF" w:rsidRDefault="004D3249" w:rsidP="00220541">
            <w:pPr>
              <w:jc w:val="center"/>
            </w:pPr>
            <w:r w:rsidRPr="00FC6FDF">
              <w:t>Month 12</w:t>
            </w:r>
          </w:p>
        </w:tc>
        <w:tc>
          <w:tcPr>
            <w:tcW w:w="1567" w:type="dxa"/>
          </w:tcPr>
          <w:p w:rsidR="004D3249" w:rsidRPr="00FC6FDF" w:rsidRDefault="004D3249" w:rsidP="00220541">
            <w:pPr>
              <w:jc w:val="center"/>
            </w:pPr>
            <w:r w:rsidRPr="00FC6FDF">
              <w:t>-10.5 (16.6)</w:t>
            </w:r>
          </w:p>
        </w:tc>
        <w:tc>
          <w:tcPr>
            <w:tcW w:w="1907" w:type="dxa"/>
          </w:tcPr>
          <w:p w:rsidR="004D3249" w:rsidRPr="00FC6FDF" w:rsidRDefault="004D3249" w:rsidP="00220541">
            <w:pPr>
              <w:jc w:val="center"/>
            </w:pPr>
            <w:r w:rsidRPr="00FC6FDF">
              <w:t>+6.5 (12.7)</w:t>
            </w:r>
          </w:p>
        </w:tc>
        <w:tc>
          <w:tcPr>
            <w:tcW w:w="1766" w:type="dxa"/>
          </w:tcPr>
          <w:p w:rsidR="004D3249" w:rsidRPr="00FC6FDF" w:rsidRDefault="004D3249" w:rsidP="00220541">
            <w:pPr>
              <w:jc w:val="center"/>
            </w:pPr>
            <w:r w:rsidRPr="00FC6FDF">
              <w:t>+7.2 (14.4)</w:t>
            </w:r>
          </w:p>
        </w:tc>
      </w:tr>
      <w:tr w:rsidR="004D3249" w:rsidRPr="00FC6FDF">
        <w:tc>
          <w:tcPr>
            <w:tcW w:w="2414" w:type="dxa"/>
            <w:vMerge/>
          </w:tcPr>
          <w:p w:rsidR="004D3249" w:rsidRPr="00FC6FDF" w:rsidRDefault="004D3249" w:rsidP="0088003C"/>
        </w:tc>
        <w:tc>
          <w:tcPr>
            <w:tcW w:w="1591" w:type="dxa"/>
          </w:tcPr>
          <w:p w:rsidR="004D3249" w:rsidRPr="00FC6FDF" w:rsidRDefault="004D3249" w:rsidP="00220541">
            <w:pPr>
              <w:jc w:val="center"/>
            </w:pPr>
            <w:r w:rsidRPr="00FC6FDF">
              <w:t>Month 24</w:t>
            </w:r>
          </w:p>
        </w:tc>
        <w:tc>
          <w:tcPr>
            <w:tcW w:w="1567" w:type="dxa"/>
          </w:tcPr>
          <w:p w:rsidR="004D3249" w:rsidRPr="00FC6FDF" w:rsidRDefault="004D3249" w:rsidP="00220541">
            <w:pPr>
              <w:jc w:val="center"/>
            </w:pPr>
            <w:r w:rsidRPr="00FC6FDF">
              <w:t>-14.9 (18.7)</w:t>
            </w:r>
          </w:p>
        </w:tc>
        <w:tc>
          <w:tcPr>
            <w:tcW w:w="1907" w:type="dxa"/>
          </w:tcPr>
          <w:p w:rsidR="004D3249" w:rsidRPr="00FC6FDF" w:rsidRDefault="004D3249" w:rsidP="00220541">
            <w:pPr>
              <w:jc w:val="center"/>
            </w:pPr>
            <w:r w:rsidRPr="00FC6FDF">
              <w:t>+5.4 (15.2)</w:t>
            </w:r>
          </w:p>
        </w:tc>
        <w:tc>
          <w:tcPr>
            <w:tcW w:w="1766" w:type="dxa"/>
          </w:tcPr>
          <w:p w:rsidR="004D3249" w:rsidRPr="00FC6FDF" w:rsidRDefault="004D3249" w:rsidP="00220541">
            <w:pPr>
              <w:jc w:val="center"/>
            </w:pPr>
            <w:r w:rsidRPr="00FC6FDF">
              <w:t>+6.6 (16.5)</w:t>
            </w:r>
          </w:p>
        </w:tc>
      </w:tr>
      <w:tr w:rsidR="004D3249" w:rsidRPr="00FC6FDF">
        <w:tc>
          <w:tcPr>
            <w:tcW w:w="2414" w:type="dxa"/>
            <w:tcBorders>
              <w:left w:val="nil"/>
              <w:bottom w:val="nil"/>
              <w:right w:val="nil"/>
            </w:tcBorders>
          </w:tcPr>
          <w:p w:rsidR="004D3249" w:rsidRPr="00FC6FDF" w:rsidRDefault="004D3249" w:rsidP="0088003C">
            <w:proofErr w:type="gramStart"/>
            <w:r w:rsidRPr="00FC6FDF">
              <w:rPr>
                <w:vertAlign w:val="superscript"/>
              </w:rPr>
              <w:t>a</w:t>
            </w:r>
            <w:proofErr w:type="gramEnd"/>
            <w:r w:rsidRPr="00FC6FDF">
              <w:t xml:space="preserve"> p</w:t>
            </w:r>
            <w:r w:rsidRPr="00FC6FDF">
              <w:sym w:font="Symbol" w:char="F03C"/>
            </w:r>
            <w:r w:rsidRPr="00FC6FDF">
              <w:t>0.01.</w:t>
            </w:r>
          </w:p>
        </w:tc>
        <w:tc>
          <w:tcPr>
            <w:tcW w:w="1591" w:type="dxa"/>
            <w:tcBorders>
              <w:left w:val="nil"/>
              <w:bottom w:val="nil"/>
              <w:right w:val="nil"/>
            </w:tcBorders>
          </w:tcPr>
          <w:p w:rsidR="004D3249" w:rsidRPr="00FC6FDF" w:rsidRDefault="004D3249" w:rsidP="00220541">
            <w:pPr>
              <w:jc w:val="center"/>
            </w:pPr>
          </w:p>
        </w:tc>
        <w:tc>
          <w:tcPr>
            <w:tcW w:w="1567" w:type="dxa"/>
            <w:tcBorders>
              <w:left w:val="nil"/>
              <w:bottom w:val="nil"/>
              <w:right w:val="nil"/>
            </w:tcBorders>
          </w:tcPr>
          <w:p w:rsidR="004D3249" w:rsidRPr="00FC6FDF" w:rsidRDefault="004D3249" w:rsidP="00220541">
            <w:pPr>
              <w:jc w:val="center"/>
            </w:pPr>
          </w:p>
        </w:tc>
        <w:tc>
          <w:tcPr>
            <w:tcW w:w="1907" w:type="dxa"/>
            <w:tcBorders>
              <w:left w:val="nil"/>
              <w:bottom w:val="nil"/>
              <w:right w:val="nil"/>
            </w:tcBorders>
          </w:tcPr>
          <w:p w:rsidR="004D3249" w:rsidRPr="00FC6FDF" w:rsidRDefault="004D3249" w:rsidP="00220541">
            <w:pPr>
              <w:jc w:val="center"/>
            </w:pPr>
          </w:p>
        </w:tc>
        <w:tc>
          <w:tcPr>
            <w:tcW w:w="1766" w:type="dxa"/>
            <w:tcBorders>
              <w:left w:val="nil"/>
              <w:bottom w:val="nil"/>
              <w:right w:val="nil"/>
            </w:tcBorders>
          </w:tcPr>
          <w:p w:rsidR="004D3249" w:rsidRPr="00FC6FDF" w:rsidRDefault="004D3249" w:rsidP="00220541">
            <w:pPr>
              <w:jc w:val="center"/>
            </w:pPr>
          </w:p>
        </w:tc>
      </w:tr>
    </w:tbl>
    <w:p w:rsidR="004D3249" w:rsidRPr="00FC6FDF" w:rsidRDefault="004D3249" w:rsidP="0088003C">
      <w:pPr>
        <w:spacing w:after="120"/>
      </w:pPr>
    </w:p>
    <w:p w:rsidR="004D3249" w:rsidRPr="00FC6FDF" w:rsidRDefault="004D3249" w:rsidP="0088003C">
      <w:pPr>
        <w:spacing w:after="120"/>
      </w:pPr>
      <w:r w:rsidRPr="00FC6FDF">
        <w:rPr>
          <w:b/>
          <w:bCs/>
        </w:rPr>
        <w:br w:type="page"/>
      </w:r>
      <w:r w:rsidRPr="00FC6FDF">
        <w:rPr>
          <w:b/>
          <w:bCs/>
        </w:rPr>
        <w:lastRenderedPageBreak/>
        <w:t>Table 2</w:t>
      </w:r>
      <w:r w:rsidRPr="00FC6FDF">
        <w:rPr>
          <w:b/>
          <w:bCs/>
        </w:rPr>
        <w:tab/>
        <w:t>Outcomes at month 12 and 24 in study FVF2587g (ANCHOR)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398"/>
        <w:gridCol w:w="1775"/>
        <w:gridCol w:w="1537"/>
        <w:gridCol w:w="1489"/>
      </w:tblGrid>
      <w:tr w:rsidR="004D3249" w:rsidRPr="00FC6FDF">
        <w:tc>
          <w:tcPr>
            <w:tcW w:w="2901" w:type="dxa"/>
          </w:tcPr>
          <w:p w:rsidR="004D3249" w:rsidRPr="00FC6FDF" w:rsidRDefault="004D3249" w:rsidP="0088003C">
            <w:r w:rsidRPr="00FC6FDF">
              <w:t>Outcome measure</w:t>
            </w:r>
          </w:p>
        </w:tc>
        <w:tc>
          <w:tcPr>
            <w:tcW w:w="1439" w:type="dxa"/>
          </w:tcPr>
          <w:p w:rsidR="004D3249" w:rsidRPr="00FC6FDF" w:rsidRDefault="004D3249" w:rsidP="00220541">
            <w:pPr>
              <w:jc w:val="center"/>
            </w:pPr>
            <w:r w:rsidRPr="00FC6FDF">
              <w:t>Month</w:t>
            </w:r>
          </w:p>
        </w:tc>
        <w:tc>
          <w:tcPr>
            <w:tcW w:w="1808" w:type="dxa"/>
          </w:tcPr>
          <w:p w:rsidR="004D3249" w:rsidRPr="00FC6FDF" w:rsidRDefault="004D3249" w:rsidP="00220541">
            <w:pPr>
              <w:jc w:val="center"/>
            </w:pPr>
            <w:proofErr w:type="spellStart"/>
            <w:r w:rsidRPr="00FC6FDF">
              <w:t>Verteporfin</w:t>
            </w:r>
            <w:proofErr w:type="spellEnd"/>
            <w:r w:rsidRPr="00FC6FDF">
              <w:t xml:space="preserve"> PDT</w:t>
            </w:r>
          </w:p>
          <w:p w:rsidR="004D3249" w:rsidRPr="00FC6FDF" w:rsidRDefault="004D3249" w:rsidP="00220541">
            <w:pPr>
              <w:jc w:val="center"/>
            </w:pPr>
            <w:r w:rsidRPr="00FC6FDF">
              <w:t>(n=143)</w:t>
            </w:r>
          </w:p>
        </w:tc>
        <w:tc>
          <w:tcPr>
            <w:tcW w:w="1574" w:type="dxa"/>
          </w:tcPr>
          <w:p w:rsidR="004D3249" w:rsidRPr="00FC6FDF" w:rsidRDefault="004D3249" w:rsidP="00220541">
            <w:pPr>
              <w:jc w:val="center"/>
            </w:pPr>
            <w:proofErr w:type="spellStart"/>
            <w:r w:rsidRPr="00FC6FDF">
              <w:t>Lucentis</w:t>
            </w:r>
            <w:proofErr w:type="spellEnd"/>
            <w:r w:rsidRPr="00FC6FDF">
              <w:t xml:space="preserve"> 0.3 mg</w:t>
            </w:r>
          </w:p>
          <w:p w:rsidR="004D3249" w:rsidRPr="00FC6FDF" w:rsidRDefault="004D3249" w:rsidP="00220541">
            <w:pPr>
              <w:jc w:val="center"/>
              <w:rPr>
                <w:highlight w:val="green"/>
              </w:rPr>
            </w:pPr>
            <w:r w:rsidRPr="00FC6FDF">
              <w:t>(n=140)</w:t>
            </w:r>
          </w:p>
        </w:tc>
        <w:tc>
          <w:tcPr>
            <w:tcW w:w="1523" w:type="dxa"/>
          </w:tcPr>
          <w:p w:rsidR="004D3249" w:rsidRPr="00FC6FDF" w:rsidRDefault="004D3249" w:rsidP="00220541">
            <w:pPr>
              <w:jc w:val="center"/>
            </w:pPr>
            <w:proofErr w:type="spellStart"/>
            <w:r w:rsidRPr="00FC6FDF">
              <w:t>Lucentis</w:t>
            </w:r>
            <w:proofErr w:type="spellEnd"/>
            <w:r w:rsidRPr="00FC6FDF">
              <w:t xml:space="preserve"> 0.5 mg</w:t>
            </w:r>
          </w:p>
          <w:p w:rsidR="004D3249" w:rsidRPr="00FC6FDF" w:rsidRDefault="004D3249" w:rsidP="00220541">
            <w:pPr>
              <w:jc w:val="center"/>
            </w:pPr>
            <w:r w:rsidRPr="00FC6FDF">
              <w:t>(n=140)</w:t>
            </w:r>
          </w:p>
        </w:tc>
      </w:tr>
      <w:tr w:rsidR="004D3249" w:rsidRPr="00FC6FDF">
        <w:trPr>
          <w:trHeight w:val="318"/>
        </w:trPr>
        <w:tc>
          <w:tcPr>
            <w:tcW w:w="2901" w:type="dxa"/>
            <w:vMerge w:val="restart"/>
          </w:tcPr>
          <w:p w:rsidR="004D3249" w:rsidRPr="00FC6FDF" w:rsidRDefault="004D3249" w:rsidP="0088003C">
            <w:r w:rsidRPr="00FC6FDF">
              <w:t xml:space="preserve">Loss of &lt;15 letters in visual acuity </w:t>
            </w:r>
            <w:r w:rsidR="003F5545" w:rsidRPr="00FC6FDF">
              <w:t xml:space="preserve"> </w:t>
            </w:r>
            <w:r w:rsidRPr="00FC6FDF">
              <w:t>n (%)</w:t>
            </w:r>
            <w:r w:rsidRPr="00FC6FDF">
              <w:rPr>
                <w:vertAlign w:val="superscript"/>
              </w:rPr>
              <w:t>a</w:t>
            </w:r>
          </w:p>
          <w:p w:rsidR="004D3249" w:rsidRPr="00FC6FDF" w:rsidRDefault="004D3249" w:rsidP="0088003C">
            <w:r w:rsidRPr="00FC6FDF">
              <w:t>(Maintenance of vision)</w:t>
            </w:r>
          </w:p>
        </w:tc>
        <w:tc>
          <w:tcPr>
            <w:tcW w:w="1439" w:type="dxa"/>
          </w:tcPr>
          <w:p w:rsidR="004D3249" w:rsidRPr="00FC6FDF" w:rsidRDefault="004D3249" w:rsidP="00220541">
            <w:pPr>
              <w:jc w:val="center"/>
            </w:pPr>
            <w:r w:rsidRPr="00FC6FDF">
              <w:t>Month 12</w:t>
            </w:r>
          </w:p>
        </w:tc>
        <w:tc>
          <w:tcPr>
            <w:tcW w:w="1808" w:type="dxa"/>
          </w:tcPr>
          <w:p w:rsidR="004D3249" w:rsidRPr="00FC6FDF" w:rsidRDefault="004D3249" w:rsidP="00220541">
            <w:pPr>
              <w:jc w:val="center"/>
            </w:pPr>
            <w:r w:rsidRPr="00FC6FDF">
              <w:t>92 (64%)</w:t>
            </w:r>
          </w:p>
        </w:tc>
        <w:tc>
          <w:tcPr>
            <w:tcW w:w="1574" w:type="dxa"/>
          </w:tcPr>
          <w:p w:rsidR="004D3249" w:rsidRPr="00FC6FDF" w:rsidRDefault="004D3249" w:rsidP="00220541">
            <w:pPr>
              <w:jc w:val="center"/>
            </w:pPr>
            <w:r w:rsidRPr="00FC6FDF">
              <w:t>132</w:t>
            </w:r>
            <w:r w:rsidR="00BC21CF" w:rsidRPr="00FC6FDF">
              <w:t xml:space="preserve"> </w:t>
            </w:r>
            <w:r w:rsidRPr="00FC6FDF">
              <w:t>(94%)</w:t>
            </w:r>
          </w:p>
        </w:tc>
        <w:tc>
          <w:tcPr>
            <w:tcW w:w="1523" w:type="dxa"/>
          </w:tcPr>
          <w:p w:rsidR="004D3249" w:rsidRPr="00FC6FDF" w:rsidRDefault="004D3249" w:rsidP="00220541">
            <w:pPr>
              <w:jc w:val="center"/>
            </w:pPr>
            <w:r w:rsidRPr="00FC6FDF">
              <w:t>134 (96%)</w:t>
            </w:r>
          </w:p>
        </w:tc>
      </w:tr>
      <w:tr w:rsidR="004D3249" w:rsidRPr="00FC6FDF">
        <w:trPr>
          <w:trHeight w:val="336"/>
        </w:trPr>
        <w:tc>
          <w:tcPr>
            <w:tcW w:w="2901" w:type="dxa"/>
            <w:vMerge/>
          </w:tcPr>
          <w:p w:rsidR="004D3249" w:rsidRPr="00FC6FDF" w:rsidRDefault="004D3249" w:rsidP="0088003C"/>
        </w:tc>
        <w:tc>
          <w:tcPr>
            <w:tcW w:w="1439" w:type="dxa"/>
          </w:tcPr>
          <w:p w:rsidR="004D3249" w:rsidRPr="00FC6FDF" w:rsidRDefault="004D3249" w:rsidP="00220541">
            <w:pPr>
              <w:jc w:val="center"/>
            </w:pPr>
            <w:r w:rsidRPr="00FC6FDF">
              <w:t>Month 24</w:t>
            </w:r>
          </w:p>
        </w:tc>
        <w:tc>
          <w:tcPr>
            <w:tcW w:w="1808" w:type="dxa"/>
          </w:tcPr>
          <w:p w:rsidR="004D3249" w:rsidRPr="00FC6FDF" w:rsidRDefault="004D3249" w:rsidP="00220541">
            <w:pPr>
              <w:jc w:val="center"/>
            </w:pPr>
            <w:r w:rsidRPr="00FC6FDF">
              <w:t>94(66%)</w:t>
            </w:r>
          </w:p>
        </w:tc>
        <w:tc>
          <w:tcPr>
            <w:tcW w:w="1574" w:type="dxa"/>
          </w:tcPr>
          <w:p w:rsidR="004D3249" w:rsidRPr="00FC6FDF" w:rsidRDefault="004D3249" w:rsidP="00220541">
            <w:pPr>
              <w:jc w:val="center"/>
            </w:pPr>
            <w:r w:rsidRPr="00FC6FDF">
              <w:t>126 (90%)</w:t>
            </w:r>
          </w:p>
        </w:tc>
        <w:tc>
          <w:tcPr>
            <w:tcW w:w="1523" w:type="dxa"/>
          </w:tcPr>
          <w:p w:rsidR="004D3249" w:rsidRPr="00FC6FDF" w:rsidRDefault="004D3249" w:rsidP="00220541">
            <w:pPr>
              <w:jc w:val="center"/>
            </w:pPr>
            <w:r w:rsidRPr="00FC6FDF">
              <w:t>125 (90%)</w:t>
            </w:r>
          </w:p>
        </w:tc>
      </w:tr>
      <w:tr w:rsidR="004D3249" w:rsidRPr="00FC6FDF">
        <w:trPr>
          <w:trHeight w:val="319"/>
        </w:trPr>
        <w:tc>
          <w:tcPr>
            <w:tcW w:w="2901" w:type="dxa"/>
            <w:vMerge w:val="restart"/>
          </w:tcPr>
          <w:p w:rsidR="004D3249" w:rsidRPr="00FC6FDF" w:rsidRDefault="004D3249" w:rsidP="0088003C">
            <w:r w:rsidRPr="00FC6FDF">
              <w:t xml:space="preserve">Gain of ≥15 letters in visual acuity </w:t>
            </w:r>
            <w:r w:rsidR="003F5545" w:rsidRPr="00FC6FDF">
              <w:t xml:space="preserve"> </w:t>
            </w:r>
            <w:r w:rsidRPr="00FC6FDF">
              <w:t>n (%)</w:t>
            </w:r>
            <w:r w:rsidRPr="00FC6FDF">
              <w:rPr>
                <w:vertAlign w:val="superscript"/>
              </w:rPr>
              <w:t>a</w:t>
            </w:r>
          </w:p>
        </w:tc>
        <w:tc>
          <w:tcPr>
            <w:tcW w:w="1439" w:type="dxa"/>
          </w:tcPr>
          <w:p w:rsidR="004D3249" w:rsidRPr="00FC6FDF" w:rsidRDefault="004D3249" w:rsidP="00220541">
            <w:pPr>
              <w:jc w:val="center"/>
            </w:pPr>
            <w:r w:rsidRPr="00FC6FDF">
              <w:t>Month 12</w:t>
            </w:r>
          </w:p>
        </w:tc>
        <w:tc>
          <w:tcPr>
            <w:tcW w:w="1808" w:type="dxa"/>
          </w:tcPr>
          <w:p w:rsidR="004D3249" w:rsidRPr="00FC6FDF" w:rsidRDefault="004D3249" w:rsidP="00220541">
            <w:pPr>
              <w:jc w:val="center"/>
            </w:pPr>
            <w:r w:rsidRPr="00FC6FDF">
              <w:t>8 (6%)</w:t>
            </w:r>
          </w:p>
        </w:tc>
        <w:tc>
          <w:tcPr>
            <w:tcW w:w="1574" w:type="dxa"/>
          </w:tcPr>
          <w:p w:rsidR="004D3249" w:rsidRPr="00FC6FDF" w:rsidRDefault="004D3249" w:rsidP="00220541">
            <w:pPr>
              <w:jc w:val="center"/>
            </w:pPr>
            <w:r w:rsidRPr="00FC6FDF">
              <w:t>50 (36%)</w:t>
            </w:r>
          </w:p>
        </w:tc>
        <w:tc>
          <w:tcPr>
            <w:tcW w:w="1523" w:type="dxa"/>
          </w:tcPr>
          <w:p w:rsidR="004D3249" w:rsidRPr="00FC6FDF" w:rsidRDefault="004D3249" w:rsidP="00220541">
            <w:pPr>
              <w:jc w:val="center"/>
            </w:pPr>
            <w:r w:rsidRPr="00FC6FDF">
              <w:t>56</w:t>
            </w:r>
            <w:r w:rsidR="00BC21CF" w:rsidRPr="00FC6FDF">
              <w:t xml:space="preserve"> </w:t>
            </w:r>
            <w:r w:rsidRPr="00FC6FDF">
              <w:t>(40%)</w:t>
            </w:r>
          </w:p>
        </w:tc>
      </w:tr>
      <w:tr w:rsidR="004D3249" w:rsidRPr="00FC6FDF">
        <w:trPr>
          <w:trHeight w:val="319"/>
        </w:trPr>
        <w:tc>
          <w:tcPr>
            <w:tcW w:w="2901" w:type="dxa"/>
            <w:vMerge/>
          </w:tcPr>
          <w:p w:rsidR="004D3249" w:rsidRPr="00FC6FDF" w:rsidRDefault="004D3249" w:rsidP="0088003C"/>
        </w:tc>
        <w:tc>
          <w:tcPr>
            <w:tcW w:w="1439" w:type="dxa"/>
          </w:tcPr>
          <w:p w:rsidR="004D3249" w:rsidRPr="00FC6FDF" w:rsidRDefault="004D3249" w:rsidP="00220541">
            <w:pPr>
              <w:jc w:val="center"/>
            </w:pPr>
            <w:r w:rsidRPr="00FC6FDF">
              <w:t>Month 24</w:t>
            </w:r>
          </w:p>
        </w:tc>
        <w:tc>
          <w:tcPr>
            <w:tcW w:w="1808" w:type="dxa"/>
          </w:tcPr>
          <w:p w:rsidR="004D3249" w:rsidRPr="00FC6FDF" w:rsidRDefault="004D3249" w:rsidP="00220541">
            <w:pPr>
              <w:jc w:val="center"/>
            </w:pPr>
            <w:r w:rsidRPr="00FC6FDF">
              <w:t>9(6%)</w:t>
            </w:r>
          </w:p>
        </w:tc>
        <w:tc>
          <w:tcPr>
            <w:tcW w:w="1574" w:type="dxa"/>
          </w:tcPr>
          <w:p w:rsidR="004D3249" w:rsidRPr="00FC6FDF" w:rsidRDefault="004D3249" w:rsidP="00220541">
            <w:pPr>
              <w:jc w:val="center"/>
            </w:pPr>
            <w:r w:rsidRPr="00FC6FDF">
              <w:t>48 (34%)</w:t>
            </w:r>
          </w:p>
        </w:tc>
        <w:tc>
          <w:tcPr>
            <w:tcW w:w="1523" w:type="dxa"/>
          </w:tcPr>
          <w:p w:rsidR="004D3249" w:rsidRPr="00FC6FDF" w:rsidRDefault="004D3249" w:rsidP="00220541">
            <w:pPr>
              <w:jc w:val="center"/>
            </w:pPr>
            <w:r w:rsidRPr="00FC6FDF">
              <w:t>57 (41%)</w:t>
            </w:r>
          </w:p>
        </w:tc>
      </w:tr>
      <w:tr w:rsidR="004D3249" w:rsidRPr="00FC6FDF">
        <w:trPr>
          <w:trHeight w:val="319"/>
        </w:trPr>
        <w:tc>
          <w:tcPr>
            <w:tcW w:w="2901" w:type="dxa"/>
            <w:vMerge w:val="restart"/>
          </w:tcPr>
          <w:p w:rsidR="004D3249" w:rsidRPr="00FC6FDF" w:rsidRDefault="004D3249" w:rsidP="0088003C">
            <w:r w:rsidRPr="00FC6FDF">
              <w:t>Mean change in visual acuity (letters) (SD)</w:t>
            </w:r>
            <w:r w:rsidRPr="00FC6FDF">
              <w:rPr>
                <w:vertAlign w:val="superscript"/>
              </w:rPr>
              <w:t>a</w:t>
            </w:r>
          </w:p>
        </w:tc>
        <w:tc>
          <w:tcPr>
            <w:tcW w:w="1439" w:type="dxa"/>
          </w:tcPr>
          <w:p w:rsidR="004D3249" w:rsidRPr="00FC6FDF" w:rsidRDefault="004D3249" w:rsidP="00220541">
            <w:pPr>
              <w:jc w:val="center"/>
            </w:pPr>
            <w:r w:rsidRPr="00FC6FDF">
              <w:t>Month 12</w:t>
            </w:r>
          </w:p>
        </w:tc>
        <w:tc>
          <w:tcPr>
            <w:tcW w:w="1808" w:type="dxa"/>
          </w:tcPr>
          <w:p w:rsidR="004D3249" w:rsidRPr="00FC6FDF" w:rsidRDefault="004D3249" w:rsidP="00220541">
            <w:pPr>
              <w:jc w:val="center"/>
            </w:pPr>
            <w:r w:rsidRPr="00FC6FDF">
              <w:t>-9.5 (16.4)</w:t>
            </w:r>
          </w:p>
        </w:tc>
        <w:tc>
          <w:tcPr>
            <w:tcW w:w="1574" w:type="dxa"/>
          </w:tcPr>
          <w:p w:rsidR="004D3249" w:rsidRPr="00FC6FDF" w:rsidRDefault="004D3249" w:rsidP="00220541">
            <w:pPr>
              <w:jc w:val="center"/>
              <w:rPr>
                <w:highlight w:val="yellow"/>
              </w:rPr>
            </w:pPr>
            <w:r w:rsidRPr="00FC6FDF">
              <w:t>+8.5 (14.6)</w:t>
            </w:r>
          </w:p>
        </w:tc>
        <w:tc>
          <w:tcPr>
            <w:tcW w:w="1523" w:type="dxa"/>
          </w:tcPr>
          <w:p w:rsidR="004D3249" w:rsidRPr="00FC6FDF" w:rsidRDefault="004D3249" w:rsidP="00220541">
            <w:pPr>
              <w:jc w:val="center"/>
            </w:pPr>
            <w:r w:rsidRPr="00FC6FDF">
              <w:t>+11.3 (14.6)</w:t>
            </w:r>
          </w:p>
        </w:tc>
      </w:tr>
      <w:tr w:rsidR="004D3249" w:rsidRPr="00FC6FDF">
        <w:trPr>
          <w:trHeight w:val="319"/>
        </w:trPr>
        <w:tc>
          <w:tcPr>
            <w:tcW w:w="2901" w:type="dxa"/>
            <w:vMerge/>
          </w:tcPr>
          <w:p w:rsidR="004D3249" w:rsidRPr="00FC6FDF" w:rsidRDefault="004D3249" w:rsidP="0088003C"/>
        </w:tc>
        <w:tc>
          <w:tcPr>
            <w:tcW w:w="1439" w:type="dxa"/>
          </w:tcPr>
          <w:p w:rsidR="004D3249" w:rsidRPr="00FC6FDF" w:rsidRDefault="004D3249" w:rsidP="00220541">
            <w:pPr>
              <w:jc w:val="center"/>
            </w:pPr>
            <w:r w:rsidRPr="00FC6FDF">
              <w:t>Month 24</w:t>
            </w:r>
          </w:p>
        </w:tc>
        <w:tc>
          <w:tcPr>
            <w:tcW w:w="1808" w:type="dxa"/>
          </w:tcPr>
          <w:p w:rsidR="004D3249" w:rsidRPr="00FC6FDF" w:rsidRDefault="004D3249" w:rsidP="00220541">
            <w:pPr>
              <w:jc w:val="center"/>
            </w:pPr>
            <w:r w:rsidRPr="00FC6FDF">
              <w:t>-9.8 (17.6)</w:t>
            </w:r>
          </w:p>
        </w:tc>
        <w:tc>
          <w:tcPr>
            <w:tcW w:w="1574" w:type="dxa"/>
          </w:tcPr>
          <w:p w:rsidR="004D3249" w:rsidRPr="00FC6FDF" w:rsidRDefault="004D3249" w:rsidP="00220541">
            <w:pPr>
              <w:jc w:val="center"/>
              <w:rPr>
                <w:highlight w:val="yellow"/>
              </w:rPr>
            </w:pPr>
            <w:r w:rsidRPr="00FC6FDF">
              <w:t>+8.1 (16.2)</w:t>
            </w:r>
          </w:p>
        </w:tc>
        <w:tc>
          <w:tcPr>
            <w:tcW w:w="1523" w:type="dxa"/>
          </w:tcPr>
          <w:p w:rsidR="004D3249" w:rsidRPr="00FC6FDF" w:rsidRDefault="004D3249" w:rsidP="00220541">
            <w:pPr>
              <w:jc w:val="center"/>
            </w:pPr>
            <w:r w:rsidRPr="00FC6FDF">
              <w:t>+10.7 (16.5)</w:t>
            </w:r>
          </w:p>
        </w:tc>
      </w:tr>
      <w:tr w:rsidR="004D3249" w:rsidRPr="00FC6FDF">
        <w:tc>
          <w:tcPr>
            <w:tcW w:w="2901" w:type="dxa"/>
            <w:tcBorders>
              <w:left w:val="nil"/>
              <w:bottom w:val="nil"/>
              <w:right w:val="nil"/>
            </w:tcBorders>
          </w:tcPr>
          <w:p w:rsidR="004D3249" w:rsidRPr="00FC6FDF" w:rsidRDefault="004D3249" w:rsidP="0088003C">
            <w:r w:rsidRPr="00FC6FDF">
              <w:rPr>
                <w:vertAlign w:val="superscript"/>
              </w:rPr>
              <w:t xml:space="preserve">a </w:t>
            </w:r>
            <w:r w:rsidRPr="00FC6FDF">
              <w:t>p&lt;0.01</w:t>
            </w:r>
          </w:p>
        </w:tc>
        <w:tc>
          <w:tcPr>
            <w:tcW w:w="1439" w:type="dxa"/>
            <w:tcBorders>
              <w:left w:val="nil"/>
              <w:bottom w:val="nil"/>
              <w:right w:val="nil"/>
            </w:tcBorders>
          </w:tcPr>
          <w:p w:rsidR="004D3249" w:rsidRPr="00FC6FDF" w:rsidRDefault="004D3249" w:rsidP="0088003C"/>
        </w:tc>
        <w:tc>
          <w:tcPr>
            <w:tcW w:w="1808" w:type="dxa"/>
            <w:tcBorders>
              <w:left w:val="nil"/>
              <w:bottom w:val="nil"/>
              <w:right w:val="nil"/>
            </w:tcBorders>
          </w:tcPr>
          <w:p w:rsidR="004D3249" w:rsidRPr="00FC6FDF" w:rsidRDefault="004D3249" w:rsidP="0088003C"/>
        </w:tc>
        <w:tc>
          <w:tcPr>
            <w:tcW w:w="1574" w:type="dxa"/>
            <w:tcBorders>
              <w:left w:val="nil"/>
              <w:bottom w:val="nil"/>
              <w:right w:val="nil"/>
            </w:tcBorders>
          </w:tcPr>
          <w:p w:rsidR="004D3249" w:rsidRPr="00FC6FDF" w:rsidRDefault="004D3249" w:rsidP="0088003C"/>
        </w:tc>
        <w:tc>
          <w:tcPr>
            <w:tcW w:w="1523" w:type="dxa"/>
            <w:tcBorders>
              <w:left w:val="nil"/>
              <w:bottom w:val="nil"/>
              <w:right w:val="nil"/>
            </w:tcBorders>
          </w:tcPr>
          <w:p w:rsidR="004D3249" w:rsidRPr="00FC6FDF" w:rsidRDefault="004D3249" w:rsidP="0088003C"/>
        </w:tc>
      </w:tr>
    </w:tbl>
    <w:p w:rsidR="004D3249" w:rsidRPr="00FC6FDF" w:rsidRDefault="004D3249" w:rsidP="0088003C"/>
    <w:p w:rsidR="004D3249" w:rsidRPr="00FC6FDF" w:rsidRDefault="004D3249" w:rsidP="00EF32A2">
      <w:r w:rsidRPr="00FC6FDF">
        <w:t xml:space="preserve">Patients in the group treated with </w:t>
      </w:r>
      <w:proofErr w:type="spellStart"/>
      <w:r w:rsidRPr="00FC6FDF">
        <w:t>Lucentis</w:t>
      </w:r>
      <w:proofErr w:type="spellEnd"/>
      <w:r w:rsidRPr="00FC6FDF">
        <w:t xml:space="preserve"> had minimal observable CNV lesion growth, on average. At month 12, the mean change in the total area of the CNV lesion was 0.1 to 0.3 DA for </w:t>
      </w:r>
      <w:proofErr w:type="spellStart"/>
      <w:r w:rsidRPr="00FC6FDF">
        <w:t>Lucentis</w:t>
      </w:r>
      <w:proofErr w:type="spellEnd"/>
      <w:r w:rsidRPr="00FC6FDF">
        <w:t xml:space="preserve"> versus 2.3 to 2.6 DA for the control arms.</w:t>
      </w:r>
    </w:p>
    <w:p w:rsidR="004D3249" w:rsidRPr="00FC6FDF" w:rsidRDefault="004D3249" w:rsidP="00EF32A2"/>
    <w:p w:rsidR="004D3249" w:rsidRPr="00FC6FDF" w:rsidRDefault="004D3249" w:rsidP="00EF32A2">
      <w:r w:rsidRPr="00FC6FDF">
        <w:t xml:space="preserve">The use of </w:t>
      </w:r>
      <w:proofErr w:type="spellStart"/>
      <w:r w:rsidRPr="00FC6FDF">
        <w:t>Lucentis</w:t>
      </w:r>
      <w:proofErr w:type="spellEnd"/>
      <w:r w:rsidRPr="00FC6FDF">
        <w:t xml:space="preserve"> beyond 24 months has not been studied.</w:t>
      </w:r>
    </w:p>
    <w:p w:rsidR="004D3249" w:rsidRPr="00FC6FDF" w:rsidRDefault="004D3249" w:rsidP="00EF32A2"/>
    <w:p w:rsidR="004D3249" w:rsidRPr="00FC6FDF" w:rsidRDefault="004D3249" w:rsidP="00F05AE7">
      <w:r w:rsidRPr="00FC6FDF">
        <w:t xml:space="preserve">In MARINA, at month 12, patients treated with </w:t>
      </w:r>
      <w:proofErr w:type="spellStart"/>
      <w:r w:rsidRPr="00FC6FDF">
        <w:t>Lucentis</w:t>
      </w:r>
      <w:proofErr w:type="spellEnd"/>
      <w:r w:rsidRPr="00FC6FDF">
        <w:t xml:space="preserve"> reported, on average, a statistically and clinically meaningful improvement in their ability to perform activities related to near vision, distance vision and vision-specific dependency, as measured by the NEI VFQ-25, while sham-treated patients reported a decrease in their ability to perform these activities. On the near activities scale, patients treated with 0.5 mg </w:t>
      </w:r>
      <w:proofErr w:type="spellStart"/>
      <w:r w:rsidRPr="00FC6FDF">
        <w:t>Lucentis</w:t>
      </w:r>
      <w:proofErr w:type="spellEnd"/>
      <w:r w:rsidRPr="00FC6FDF">
        <w:t xml:space="preserve"> reported a +10.4 point increase (0.3 mg: +9.4), while sham-treated patients had a -2.6 point decrease (p&lt; 0.01). On the distance activities scale, </w:t>
      </w:r>
      <w:proofErr w:type="spellStart"/>
      <w:r w:rsidRPr="00FC6FDF">
        <w:t>Lucentis</w:t>
      </w:r>
      <w:proofErr w:type="spellEnd"/>
      <w:r w:rsidRPr="00FC6FDF">
        <w:t xml:space="preserve"> 0.5 mg-treated patients had a +7.0 point increase (0.3 mg: +6.7), while sham-treated patients had a -5.9 point decrease (p&lt; 0.01). On the vision-specific dependency scale, </w:t>
      </w:r>
      <w:proofErr w:type="spellStart"/>
      <w:r w:rsidRPr="00FC6FDF">
        <w:t>Lucentis</w:t>
      </w:r>
      <w:proofErr w:type="spellEnd"/>
      <w:r w:rsidRPr="00FC6FDF">
        <w:t xml:space="preserve"> 0.5 mg-treated patients experienced +6.8 point increase (0.3 mg: +3.6), while sham-treated patients reported a decrease of -4.7 points (p&lt; 0.01).</w:t>
      </w:r>
    </w:p>
    <w:p w:rsidR="004D3249" w:rsidRPr="00FC6FDF" w:rsidRDefault="004D3249" w:rsidP="00F05AE7"/>
    <w:p w:rsidR="004D3249" w:rsidRPr="00FC6FDF" w:rsidRDefault="004D3249" w:rsidP="00F05AE7">
      <w:r w:rsidRPr="00FC6FDF">
        <w:t xml:space="preserve">This increase from baseline in each of these three VFQ-25 subscales at month 12 was maintained at month 24 for </w:t>
      </w:r>
      <w:proofErr w:type="spellStart"/>
      <w:r w:rsidRPr="00FC6FDF">
        <w:t>Lucentis</w:t>
      </w:r>
      <w:proofErr w:type="spellEnd"/>
      <w:r w:rsidRPr="00FC6FDF">
        <w:t xml:space="preserve">-treated patients, while in the sham-injection group the mean change from baseline decreased further from month 12 to month 24 in each of these subscales. Therefore, the treatment benefit of </w:t>
      </w:r>
      <w:proofErr w:type="spellStart"/>
      <w:r w:rsidRPr="00FC6FDF">
        <w:t>Lucentis</w:t>
      </w:r>
      <w:proofErr w:type="spellEnd"/>
      <w:r w:rsidRPr="00FC6FDF">
        <w:t xml:space="preserve"> over the sham control at month 24 was greater than that at month 12.</w:t>
      </w:r>
    </w:p>
    <w:p w:rsidR="004D3249" w:rsidRPr="00FC6FDF" w:rsidRDefault="004D3249" w:rsidP="00F05AE7"/>
    <w:p w:rsidR="004D3249" w:rsidRPr="00FC6FDF" w:rsidRDefault="004D3249" w:rsidP="00F05AE7">
      <w:r w:rsidRPr="00FC6FDF">
        <w:t xml:space="preserve">In ANCHOR, at month 12, patients treated with </w:t>
      </w:r>
      <w:proofErr w:type="spellStart"/>
      <w:r w:rsidRPr="00FC6FDF">
        <w:t>Lucentis</w:t>
      </w:r>
      <w:proofErr w:type="spellEnd"/>
      <w:r w:rsidRPr="00FC6FDF">
        <w:t xml:space="preserve"> reported a statistically and clinically meaningful improvement in their ability to perform activities related to near vision, distance vision and vision-specific dependency compared to patients receiving </w:t>
      </w:r>
      <w:proofErr w:type="spellStart"/>
      <w:r w:rsidRPr="00FC6FDF">
        <w:t>verteporfin</w:t>
      </w:r>
      <w:proofErr w:type="spellEnd"/>
      <w:r w:rsidRPr="00FC6FDF">
        <w:t xml:space="preserve"> PDT treatment. On the near activities scale, patients treated with 0.5 mg </w:t>
      </w:r>
      <w:proofErr w:type="spellStart"/>
      <w:r w:rsidRPr="00FC6FDF">
        <w:t>Lucentis</w:t>
      </w:r>
      <w:proofErr w:type="spellEnd"/>
      <w:r w:rsidRPr="00FC6FDF">
        <w:t xml:space="preserve"> reported a +9.1 point increase (0.3 mg: +6.6), while </w:t>
      </w:r>
      <w:proofErr w:type="spellStart"/>
      <w:r w:rsidRPr="00FC6FDF">
        <w:t>verteporfin</w:t>
      </w:r>
      <w:proofErr w:type="spellEnd"/>
      <w:r w:rsidRPr="00FC6FDF">
        <w:t xml:space="preserve"> PDT-treated </w:t>
      </w:r>
      <w:r w:rsidRPr="00FC6FDF">
        <w:lastRenderedPageBreak/>
        <w:t xml:space="preserve">patients had a +3.7 point increase (p&lt; 0.01). On the distance activities scale, </w:t>
      </w:r>
      <w:proofErr w:type="spellStart"/>
      <w:r w:rsidRPr="00FC6FDF">
        <w:t>Lucentis</w:t>
      </w:r>
      <w:proofErr w:type="spellEnd"/>
      <w:r w:rsidRPr="00FC6FDF">
        <w:t xml:space="preserve"> 0.5 mg-treated patients reported a +9.3 point increase (0.3 mg: +6.4), while </w:t>
      </w:r>
      <w:proofErr w:type="spellStart"/>
      <w:r w:rsidRPr="00FC6FDF">
        <w:t>verteporfin</w:t>
      </w:r>
      <w:proofErr w:type="spellEnd"/>
      <w:r w:rsidRPr="00FC6FDF">
        <w:t xml:space="preserve"> PDT-treated patients had a +1.7 point increase (p&lt; 0.01). On the vision-specific dependency scale, </w:t>
      </w:r>
      <w:proofErr w:type="spellStart"/>
      <w:r w:rsidRPr="00FC6FDF">
        <w:t>Lucentis</w:t>
      </w:r>
      <w:proofErr w:type="spellEnd"/>
      <w:r w:rsidRPr="00FC6FDF">
        <w:t xml:space="preserve"> 0.5 mg-treated patients reported a +8.9 point increase (0.3 mg: +7.6), while </w:t>
      </w:r>
      <w:proofErr w:type="spellStart"/>
      <w:r w:rsidRPr="00FC6FDF">
        <w:t>verteporfin</w:t>
      </w:r>
      <w:proofErr w:type="spellEnd"/>
      <w:r w:rsidRPr="00FC6FDF">
        <w:t xml:space="preserve"> PDT-treated patients had a -1.4 point decrease (p&lt;0.01). In the </w:t>
      </w:r>
      <w:proofErr w:type="spellStart"/>
      <w:r w:rsidRPr="00FC6FDF">
        <w:t>verteporfin</w:t>
      </w:r>
      <w:proofErr w:type="spellEnd"/>
      <w:r w:rsidRPr="00FC6FDF">
        <w:t xml:space="preserve"> PDT group, the mean </w:t>
      </w:r>
      <w:proofErr w:type="gramStart"/>
      <w:r w:rsidRPr="00FC6FDF">
        <w:t>improvement from baseline in the near activities and distance activities subscale scores at month 12 were</w:t>
      </w:r>
      <w:proofErr w:type="gramEnd"/>
      <w:r w:rsidRPr="00FC6FDF">
        <w:t xml:space="preserve"> lost at month 24, while the mean decrease from baseline in the vision-specific dependency subscale score at month 12 was maintained at month 24. These changes between months 12 and 24 within each treatment group resulted in either maintained or greater treatment benefit of </w:t>
      </w:r>
      <w:proofErr w:type="spellStart"/>
      <w:r w:rsidRPr="00FC6FDF">
        <w:t>ranibizumab</w:t>
      </w:r>
      <w:proofErr w:type="spellEnd"/>
      <w:r w:rsidRPr="00FC6FDF">
        <w:t xml:space="preserve"> over </w:t>
      </w:r>
      <w:proofErr w:type="spellStart"/>
      <w:r w:rsidRPr="00FC6FDF">
        <w:t>verteporfin</w:t>
      </w:r>
      <w:proofErr w:type="spellEnd"/>
      <w:r w:rsidRPr="00FC6FDF">
        <w:t xml:space="preserve"> PDT compared with month 12, while the treatment benefit of </w:t>
      </w:r>
      <w:proofErr w:type="spellStart"/>
      <w:r w:rsidRPr="00FC6FDF">
        <w:t>ranibizumab</w:t>
      </w:r>
      <w:proofErr w:type="spellEnd"/>
      <w:r w:rsidRPr="00FC6FDF">
        <w:t xml:space="preserve"> in the vision-specific dependency subscale was smaller at month 24 compared with month 12 (p-values ranging from 0.0023 to 0.0006).</w:t>
      </w:r>
    </w:p>
    <w:p w:rsidR="004D3249" w:rsidRPr="00FC6FDF" w:rsidRDefault="004D3249" w:rsidP="00F05AE7"/>
    <w:p w:rsidR="004D3249" w:rsidRPr="00FC6FDF" w:rsidRDefault="004D3249" w:rsidP="005173C0">
      <w:r w:rsidRPr="00FC6FDF">
        <w:t xml:space="preserve">Study FVF3689g (SAILOR) was a Phase </w:t>
      </w:r>
      <w:proofErr w:type="spellStart"/>
      <w:r w:rsidRPr="00FC6FDF">
        <w:t>IIIb</w:t>
      </w:r>
      <w:proofErr w:type="spellEnd"/>
      <w:r w:rsidRPr="00FC6FDF">
        <w:t>, single-masked, one-year multicentre study in naïve and previously treated subjects with CNV secondary to AMD. The primary study objective was to estimate the incidence of ocular and non-ocular serious adverse events in subjects treated for 12 months. Two thousand three hundred seventy eight patients were randomi</w:t>
      </w:r>
      <w:r w:rsidR="004F0737" w:rsidRPr="00FC6FDF">
        <w:t>s</w:t>
      </w:r>
      <w:r w:rsidRPr="00FC6FDF">
        <w:t xml:space="preserve">ed in a 1:1 ratio to receive one </w:t>
      </w:r>
      <w:proofErr w:type="spellStart"/>
      <w:r w:rsidRPr="00FC6FDF">
        <w:t>intravitreal</w:t>
      </w:r>
      <w:proofErr w:type="spellEnd"/>
      <w:r w:rsidRPr="00FC6FDF">
        <w:t xml:space="preserve"> injection of 0.3 mg or 0.5 mg </w:t>
      </w:r>
      <w:proofErr w:type="spellStart"/>
      <w:r w:rsidRPr="00FC6FDF">
        <w:t>ranibizumab</w:t>
      </w:r>
      <w:proofErr w:type="spellEnd"/>
      <w:r w:rsidRPr="00FC6FDF">
        <w:t xml:space="preserve"> every month for three consecutive months followed by as-needed re-treatment not more often than monthly.</w:t>
      </w:r>
    </w:p>
    <w:p w:rsidR="004D3249" w:rsidRPr="00FC6FDF" w:rsidRDefault="004D3249" w:rsidP="005173C0"/>
    <w:p w:rsidR="004D3249" w:rsidRPr="00FC6FDF" w:rsidRDefault="004D3249" w:rsidP="00036257">
      <w:pPr>
        <w:jc w:val="both"/>
      </w:pPr>
      <w:r w:rsidRPr="00FC6FDF">
        <w:t xml:space="preserve">Overall, no imbalances between the two dose groups were observed in the frequency of ocular and non-ocular adverse events. There was a statistically </w:t>
      </w:r>
      <w:proofErr w:type="spellStart"/>
      <w:r w:rsidRPr="00FC6FDF">
        <w:t>non significant</w:t>
      </w:r>
      <w:proofErr w:type="spellEnd"/>
      <w:r w:rsidRPr="00FC6FDF">
        <w:t xml:space="preserve"> trend towards a higher stroke rate in the 0.5 mg group compared to the 0.3 mg group. The respective 95% CIs for the overall stroke rate were wide (0.3% to 1.3% for the 0.3 mg group vs. 0.7% to 2.0% for the 0.5 mg group). The number of strokes was small in both dose groups, and there is not sufficient evidence to conclude (or rule out) that there is a true difference in stroke rates among the treatment groups. The difference in stroke rates may be greater in patients with known risk factors for stroke, including history of prior stroke and transient ischaemic attack.</w:t>
      </w:r>
    </w:p>
    <w:p w:rsidR="004D3249" w:rsidRPr="00FC6FDF" w:rsidRDefault="004D3249" w:rsidP="00F05AE7"/>
    <w:p w:rsidR="004D3249" w:rsidRPr="00FC6FDF" w:rsidRDefault="004D3249" w:rsidP="000B2347">
      <w:pPr>
        <w:pStyle w:val="Heading2"/>
        <w:rPr>
          <w:b w:val="0"/>
          <w:u w:val="none"/>
        </w:rPr>
      </w:pPr>
      <w:r w:rsidRPr="00FC6FDF">
        <w:rPr>
          <w:b w:val="0"/>
        </w:rPr>
        <w:t xml:space="preserve">Quarterly Dosing after </w:t>
      </w:r>
      <w:r w:rsidR="00BC21CF" w:rsidRPr="00FC6FDF">
        <w:rPr>
          <w:b w:val="0"/>
        </w:rPr>
        <w:t>Three Consecutive Monthly Doses</w:t>
      </w:r>
      <w:r w:rsidR="000B2347" w:rsidRPr="00FC6FDF">
        <w:rPr>
          <w:b w:val="0"/>
        </w:rPr>
        <w:t>:</w:t>
      </w:r>
      <w:r w:rsidR="000B2347" w:rsidRPr="00FC6FDF">
        <w:rPr>
          <w:b w:val="0"/>
          <w:u w:val="none"/>
        </w:rPr>
        <w:t xml:space="preserve"> </w:t>
      </w:r>
      <w:r w:rsidRPr="00FC6FDF">
        <w:rPr>
          <w:b w:val="0"/>
          <w:u w:val="none"/>
        </w:rPr>
        <w:t xml:space="preserve">Study FVF3192g (PIER) was a randomised, double-masked, sham-controlled, two-year study designed to assess the safety and efficacy of </w:t>
      </w:r>
      <w:proofErr w:type="spellStart"/>
      <w:r w:rsidRPr="00FC6FDF">
        <w:rPr>
          <w:b w:val="0"/>
          <w:u w:val="none"/>
        </w:rPr>
        <w:t>Lucentis</w:t>
      </w:r>
      <w:proofErr w:type="spellEnd"/>
      <w:r w:rsidRPr="00FC6FDF">
        <w:rPr>
          <w:b w:val="0"/>
          <w:u w:val="none"/>
        </w:rPr>
        <w:t xml:space="preserve"> in patients with </w:t>
      </w:r>
      <w:proofErr w:type="spellStart"/>
      <w:r w:rsidRPr="00FC6FDF">
        <w:rPr>
          <w:b w:val="0"/>
          <w:u w:val="none"/>
        </w:rPr>
        <w:t>neovascular</w:t>
      </w:r>
      <w:proofErr w:type="spellEnd"/>
      <w:r w:rsidRPr="00FC6FDF">
        <w:rPr>
          <w:b w:val="0"/>
          <w:u w:val="none"/>
        </w:rPr>
        <w:t xml:space="preserve"> AMD (with or without a classic CNV component). Data are available up to the end of month 12. Patients received </w:t>
      </w:r>
      <w:proofErr w:type="spellStart"/>
      <w:r w:rsidRPr="00FC6FDF">
        <w:rPr>
          <w:b w:val="0"/>
          <w:u w:val="none"/>
        </w:rPr>
        <w:t>Lucentis</w:t>
      </w:r>
      <w:proofErr w:type="spellEnd"/>
      <w:r w:rsidRPr="00FC6FDF">
        <w:rPr>
          <w:b w:val="0"/>
          <w:u w:val="none"/>
        </w:rPr>
        <w:t xml:space="preserve"> 0.3 mg or 0.5 mg </w:t>
      </w:r>
      <w:proofErr w:type="spellStart"/>
      <w:r w:rsidRPr="00FC6FDF">
        <w:rPr>
          <w:b w:val="0"/>
          <w:u w:val="none"/>
        </w:rPr>
        <w:t>intravitreal</w:t>
      </w:r>
      <w:proofErr w:type="spellEnd"/>
      <w:r w:rsidRPr="00FC6FDF">
        <w:rPr>
          <w:b w:val="0"/>
          <w:u w:val="none"/>
        </w:rPr>
        <w:t xml:space="preserve"> injections or sham injections once a month for three consecutive doses, followed by a dose administered once every 3 months. A total of 184 patients was enrolled in this study (</w:t>
      </w:r>
      <w:proofErr w:type="spellStart"/>
      <w:r w:rsidRPr="00FC6FDF">
        <w:rPr>
          <w:b w:val="0"/>
          <w:u w:val="none"/>
        </w:rPr>
        <w:t>Lucentis</w:t>
      </w:r>
      <w:proofErr w:type="spellEnd"/>
      <w:r w:rsidRPr="00FC6FDF">
        <w:rPr>
          <w:b w:val="0"/>
          <w:u w:val="none"/>
        </w:rPr>
        <w:t xml:space="preserve"> 0.3 mg, 60; </w:t>
      </w:r>
      <w:proofErr w:type="spellStart"/>
      <w:r w:rsidRPr="00FC6FDF">
        <w:rPr>
          <w:b w:val="0"/>
          <w:u w:val="none"/>
        </w:rPr>
        <w:t>Lucentis</w:t>
      </w:r>
      <w:proofErr w:type="spellEnd"/>
      <w:r w:rsidRPr="00FC6FDF">
        <w:rPr>
          <w:b w:val="0"/>
          <w:u w:val="none"/>
        </w:rPr>
        <w:t xml:space="preserve"> 0.5 mg, 61; sham, 63); 171 (93%) completed 12 months of this study. Patients treated with </w:t>
      </w:r>
      <w:proofErr w:type="spellStart"/>
      <w:r w:rsidRPr="00FC6FDF">
        <w:rPr>
          <w:b w:val="0"/>
          <w:u w:val="none"/>
        </w:rPr>
        <w:t>Lucentis</w:t>
      </w:r>
      <w:proofErr w:type="spellEnd"/>
      <w:r w:rsidRPr="00FC6FDF">
        <w:rPr>
          <w:b w:val="0"/>
          <w:u w:val="none"/>
        </w:rPr>
        <w:t xml:space="preserve"> in PIER received a mean of 6 total treatments out of possible 6 from day 0 to month 12.</w:t>
      </w:r>
    </w:p>
    <w:p w:rsidR="004D3249" w:rsidRPr="00FC6FDF" w:rsidRDefault="004D3249" w:rsidP="00EF32A2"/>
    <w:p w:rsidR="004D3249" w:rsidRPr="00FC6FDF" w:rsidRDefault="004D3249" w:rsidP="00EF32A2">
      <w:r w:rsidRPr="00FC6FDF">
        <w:lastRenderedPageBreak/>
        <w:t xml:space="preserve">In PIER, the primary efficacy endpoint was mean change in visual acuity at 12 months compared with baseline (see Figure </w:t>
      </w:r>
      <w:r w:rsidR="00E55BD1" w:rsidRPr="00FC6FDF">
        <w:t>4</w:t>
      </w:r>
      <w:r w:rsidRPr="00FC6FDF">
        <w:t xml:space="preserve">). After an initial increase in visual acuity (following monthly dosing), on average, patients dosed once every three months with </w:t>
      </w:r>
      <w:proofErr w:type="spellStart"/>
      <w:r w:rsidRPr="00FC6FDF">
        <w:t>Lucentis</w:t>
      </w:r>
      <w:proofErr w:type="spellEnd"/>
      <w:r w:rsidRPr="00FC6FDF">
        <w:t xml:space="preserve"> </w:t>
      </w:r>
      <w:r w:rsidRPr="00FC6FDF">
        <w:rPr>
          <w:b/>
          <w:bCs/>
        </w:rPr>
        <w:t>lost the initial visual acuity gain</w:t>
      </w:r>
      <w:r w:rsidRPr="00FC6FDF">
        <w:t xml:space="preserve">, returning to </w:t>
      </w:r>
      <w:r w:rsidRPr="00FC6FDF">
        <w:rPr>
          <w:b/>
          <w:bCs/>
        </w:rPr>
        <w:t>baseline</w:t>
      </w:r>
      <w:r w:rsidRPr="00FC6FDF">
        <w:t xml:space="preserve"> at month 12. In PIER, almost all </w:t>
      </w:r>
      <w:proofErr w:type="spellStart"/>
      <w:r w:rsidRPr="00FC6FDF">
        <w:t>Lucentis</w:t>
      </w:r>
      <w:proofErr w:type="spellEnd"/>
      <w:r w:rsidRPr="00FC6FDF">
        <w:t>-treated patients (90%) maintained their visual acuity at month 12.</w:t>
      </w:r>
    </w:p>
    <w:p w:rsidR="004D3249" w:rsidRPr="00FC6FDF" w:rsidRDefault="004D3249" w:rsidP="00EF32A2"/>
    <w:p w:rsidR="004D3249" w:rsidRPr="00FC6FDF" w:rsidRDefault="004D3249" w:rsidP="0088003C">
      <w:pPr>
        <w:pStyle w:val="Text"/>
        <w:ind w:left="1440" w:hanging="1440"/>
        <w:rPr>
          <w:b/>
          <w:bCs/>
          <w:i/>
          <w:iCs/>
        </w:rPr>
      </w:pPr>
      <w:r w:rsidRPr="00FC6FDF">
        <w:rPr>
          <w:b/>
          <w:bCs/>
        </w:rPr>
        <w:t xml:space="preserve">Figure </w:t>
      </w:r>
      <w:r w:rsidR="00E55BD1" w:rsidRPr="00FC6FDF">
        <w:rPr>
          <w:b/>
          <w:bCs/>
        </w:rPr>
        <w:t>4</w:t>
      </w:r>
      <w:r w:rsidRPr="00FC6FDF">
        <w:rPr>
          <w:b/>
          <w:bCs/>
        </w:rPr>
        <w:tab/>
        <w:t xml:space="preserve">Mean change in visual acuity from baseline to month 12 in Study FVF3192g (PIER): </w:t>
      </w:r>
      <w:r w:rsidRPr="00FC6FDF">
        <w:rPr>
          <w:b/>
          <w:bCs/>
          <w:i/>
          <w:iCs/>
        </w:rPr>
        <w:t>ITT population</w:t>
      </w:r>
    </w:p>
    <w:p w:rsidR="004D3249" w:rsidRPr="00FC6FDF" w:rsidRDefault="009326B0" w:rsidP="0088003C">
      <w:pPr>
        <w:pStyle w:val="Text"/>
      </w:pPr>
      <w:r>
        <w:rPr>
          <w:noProof/>
          <w:lang w:val="en-AU" w:eastAsia="en-AU"/>
        </w:rPr>
        <w:drawing>
          <wp:inline distT="0" distB="0" distL="0" distR="0" wp14:anchorId="6E355EE0" wp14:editId="1085A9DE">
            <wp:extent cx="5450840" cy="2576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0840" cy="2576830"/>
                    </a:xfrm>
                    <a:prstGeom prst="rect">
                      <a:avLst/>
                    </a:prstGeom>
                    <a:noFill/>
                    <a:ln>
                      <a:noFill/>
                    </a:ln>
                  </pic:spPr>
                </pic:pic>
              </a:graphicData>
            </a:graphic>
          </wp:inline>
        </w:drawing>
      </w:r>
    </w:p>
    <w:p w:rsidR="004D3249" w:rsidRPr="00FC6FDF" w:rsidRDefault="004D3249" w:rsidP="008D29FC">
      <w:pPr>
        <w:ind w:left="709"/>
      </w:pPr>
      <w:r w:rsidRPr="00FC6FDF">
        <w:t xml:space="preserve">Note: The LOCF method was used to impute missing data. Vertical bars are </w:t>
      </w:r>
      <w:r w:rsidRPr="00FC6FDF">
        <w:sym w:font="Symbol" w:char="F0B1"/>
      </w:r>
      <w:r w:rsidRPr="00FC6FDF">
        <w:rPr>
          <w:sz w:val="10"/>
          <w:szCs w:val="10"/>
        </w:rPr>
        <w:t> </w:t>
      </w:r>
      <w:r w:rsidRPr="00FC6FDF">
        <w:t>1 standard error of the mean.</w:t>
      </w:r>
    </w:p>
    <w:p w:rsidR="004D3249" w:rsidRPr="00FC6FDF" w:rsidRDefault="004D3249" w:rsidP="000C60D9">
      <w:pPr>
        <w:widowControl w:val="0"/>
        <w:spacing w:line="240" w:lineRule="auto"/>
      </w:pPr>
    </w:p>
    <w:p w:rsidR="004D3249" w:rsidRPr="00FC6FDF" w:rsidRDefault="004D3249" w:rsidP="00212DEF">
      <w:r w:rsidRPr="00FC6FDF">
        <w:rPr>
          <w:u w:val="single"/>
        </w:rPr>
        <w:t>Interpretation of PIER</w:t>
      </w:r>
      <w:r w:rsidRPr="00FC6FDF">
        <w:t>: Although less effective, treatment might be reduced to one injection every 3 months after the first three injections (e.g. if monthly injections are not feasible) but, compared to continued monthly doses, dosing every 3 months may lead to an approximate 5-letter (1-line) loss of visual acuity benefit, on average, over the following nine months. Patients should be evaluated regularly.</w:t>
      </w:r>
    </w:p>
    <w:p w:rsidR="000B2347" w:rsidRPr="00FC6FDF" w:rsidRDefault="000B2347" w:rsidP="00212DEF"/>
    <w:p w:rsidR="000B2347" w:rsidRPr="00FC6FDF" w:rsidRDefault="000B2347" w:rsidP="00212DEF">
      <w:pPr>
        <w:rPr>
          <w:b/>
          <w:u w:val="single"/>
        </w:rPr>
      </w:pPr>
      <w:r w:rsidRPr="00FC6FDF">
        <w:rPr>
          <w:b/>
          <w:u w:val="single"/>
        </w:rPr>
        <w:t>Treatment of Visual Impairment Due to DME</w:t>
      </w:r>
    </w:p>
    <w:p w:rsidR="000B2347" w:rsidRPr="00FC6FDF" w:rsidRDefault="004F0737" w:rsidP="000B2347">
      <w:pPr>
        <w:pStyle w:val="Text"/>
        <w:spacing w:before="0"/>
        <w:jc w:val="left"/>
      </w:pPr>
      <w:r w:rsidRPr="00FC6FDF">
        <w:rPr>
          <w:iCs/>
        </w:rPr>
        <w:t xml:space="preserve">The efficacy and safety of </w:t>
      </w:r>
      <w:proofErr w:type="spellStart"/>
      <w:r w:rsidRPr="00FC6FDF">
        <w:rPr>
          <w:iCs/>
        </w:rPr>
        <w:t>Lucentis</w:t>
      </w:r>
      <w:proofErr w:type="spellEnd"/>
      <w:r w:rsidRPr="00FC6FDF">
        <w:rPr>
          <w:iCs/>
        </w:rPr>
        <w:t xml:space="preserve"> have been assessed in two randomized, double-masked, sham- or active controlled studies of 12 months duration in patients with visual impairment due to diabetic macular </w:t>
      </w:r>
      <w:r w:rsidR="00D11DAE" w:rsidRPr="00FC6FDF">
        <w:rPr>
          <w:iCs/>
        </w:rPr>
        <w:t>o</w:t>
      </w:r>
      <w:r w:rsidRPr="00FC6FDF">
        <w:rPr>
          <w:iCs/>
        </w:rPr>
        <w:t xml:space="preserve">edema. A total of 496 patients (336 active and 160 </w:t>
      </w:r>
      <w:proofErr w:type="gramStart"/>
      <w:r w:rsidRPr="00FC6FDF">
        <w:rPr>
          <w:iCs/>
        </w:rPr>
        <w:t>control</w:t>
      </w:r>
      <w:proofErr w:type="gramEnd"/>
      <w:r w:rsidRPr="00FC6FDF">
        <w:rPr>
          <w:iCs/>
        </w:rPr>
        <w:t>) w</w:t>
      </w:r>
      <w:r w:rsidR="00D75108" w:rsidRPr="00FC6FDF">
        <w:rPr>
          <w:iCs/>
        </w:rPr>
        <w:t>as</w:t>
      </w:r>
      <w:r w:rsidRPr="00FC6FDF">
        <w:rPr>
          <w:iCs/>
        </w:rPr>
        <w:t xml:space="preserve"> enrolled in these studies, the majority had type II diabetes, 28 </w:t>
      </w:r>
      <w:proofErr w:type="spellStart"/>
      <w:r w:rsidRPr="00FC6FDF">
        <w:rPr>
          <w:iCs/>
        </w:rPr>
        <w:t>ranibizumab</w:t>
      </w:r>
      <w:proofErr w:type="spellEnd"/>
      <w:r w:rsidRPr="00FC6FDF">
        <w:rPr>
          <w:iCs/>
        </w:rPr>
        <w:t>-treated patients had type I diabetes.</w:t>
      </w:r>
    </w:p>
    <w:p w:rsidR="000B2347" w:rsidRPr="00FC6FDF" w:rsidRDefault="000B2347" w:rsidP="000B2347">
      <w:pPr>
        <w:pStyle w:val="Text"/>
        <w:spacing w:before="0"/>
        <w:jc w:val="left"/>
      </w:pPr>
    </w:p>
    <w:p w:rsidR="00106C5E" w:rsidRPr="00FC6FDF" w:rsidRDefault="000B2347" w:rsidP="004B7A44">
      <w:pPr>
        <w:pStyle w:val="Text"/>
        <w:spacing w:before="0"/>
        <w:jc w:val="left"/>
      </w:pPr>
      <w:r w:rsidRPr="00FC6FDF">
        <w:t xml:space="preserve">In study D2301 (RESTORE), a total of 345 patients with visual impairment due to macular </w:t>
      </w:r>
      <w:r w:rsidR="007F29A6" w:rsidRPr="00FC6FDF">
        <w:t>o</w:t>
      </w:r>
      <w:r w:rsidRPr="00FC6FDF">
        <w:t xml:space="preserve">edema was </w:t>
      </w:r>
      <w:r w:rsidR="004F0737" w:rsidRPr="00FC6FDF">
        <w:t xml:space="preserve">randomised </w:t>
      </w:r>
      <w:r w:rsidRPr="00FC6FDF">
        <w:t xml:space="preserve">to receive either initial </w:t>
      </w:r>
      <w:proofErr w:type="spellStart"/>
      <w:r w:rsidRPr="00FC6FDF">
        <w:t>intravitreal</w:t>
      </w:r>
      <w:proofErr w:type="spellEnd"/>
      <w:r w:rsidRPr="00FC6FDF">
        <w:t xml:space="preserve"> injection of </w:t>
      </w:r>
      <w:proofErr w:type="spellStart"/>
      <w:r w:rsidRPr="00FC6FDF">
        <w:t>ranibizumab</w:t>
      </w:r>
      <w:proofErr w:type="spellEnd"/>
      <w:r w:rsidRPr="00FC6FDF">
        <w:t xml:space="preserve"> 0.5 mg as monotherapy and sham laser photocoagulation</w:t>
      </w:r>
      <w:r w:rsidR="004F0737" w:rsidRPr="00FC6FDF">
        <w:t xml:space="preserve"> (n=116)</w:t>
      </w:r>
      <w:r w:rsidRPr="00FC6FDF">
        <w:t xml:space="preserve">, combined </w:t>
      </w:r>
      <w:proofErr w:type="spellStart"/>
      <w:r w:rsidRPr="00FC6FDF">
        <w:t>ranibizumab</w:t>
      </w:r>
      <w:proofErr w:type="spellEnd"/>
      <w:r w:rsidRPr="00FC6FDF">
        <w:t xml:space="preserve"> 0.5 mg and laser photocoagulation</w:t>
      </w:r>
      <w:r w:rsidR="004F0737" w:rsidRPr="00FC6FDF">
        <w:t xml:space="preserve"> (n=118)</w:t>
      </w:r>
      <w:r w:rsidRPr="00FC6FDF">
        <w:t>, or sham</w:t>
      </w:r>
      <w:r w:rsidR="009B1531" w:rsidRPr="00FC6FDF">
        <w:t>**</w:t>
      </w:r>
      <w:r w:rsidRPr="00FC6FDF">
        <w:t xml:space="preserve"> injection and laser photocoagulation </w:t>
      </w:r>
      <w:r w:rsidR="004F0737" w:rsidRPr="00FC6FDF">
        <w:t>(n=111)</w:t>
      </w:r>
      <w:r w:rsidRPr="00FC6FDF">
        <w:t xml:space="preserve">. Treatment with </w:t>
      </w:r>
      <w:proofErr w:type="spellStart"/>
      <w:r w:rsidRPr="00FC6FDF">
        <w:t>ranibizumab</w:t>
      </w:r>
      <w:proofErr w:type="spellEnd"/>
      <w:r w:rsidRPr="00FC6FDF">
        <w:t xml:space="preserve"> was started with monthly </w:t>
      </w:r>
      <w:proofErr w:type="spellStart"/>
      <w:r w:rsidRPr="00FC6FDF">
        <w:lastRenderedPageBreak/>
        <w:t>intravitreal</w:t>
      </w:r>
      <w:proofErr w:type="spellEnd"/>
      <w:r w:rsidRPr="00FC6FDF">
        <w:t xml:space="preserve"> injections</w:t>
      </w:r>
      <w:r w:rsidR="004F0737" w:rsidRPr="00FC6FDF">
        <w:t xml:space="preserve"> and continued until </w:t>
      </w:r>
      <w:r w:rsidRPr="00FC6FDF">
        <w:t xml:space="preserve">visual acuity </w:t>
      </w:r>
      <w:r w:rsidR="004F0737" w:rsidRPr="00FC6FDF">
        <w:t xml:space="preserve">was </w:t>
      </w:r>
      <w:r w:rsidRPr="00FC6FDF">
        <w:t>stab</w:t>
      </w:r>
      <w:r w:rsidR="00D11DAE" w:rsidRPr="00FC6FDF">
        <w:t>l</w:t>
      </w:r>
      <w:r w:rsidR="004F0737" w:rsidRPr="00FC6FDF">
        <w:t>e</w:t>
      </w:r>
      <w:r w:rsidRPr="00FC6FDF">
        <w:t xml:space="preserve"> </w:t>
      </w:r>
      <w:r w:rsidR="004F0737" w:rsidRPr="00FC6FDF">
        <w:t xml:space="preserve">for at least </w:t>
      </w:r>
      <w:r w:rsidRPr="00FC6FDF">
        <w:t xml:space="preserve">three consecutive </w:t>
      </w:r>
      <w:r w:rsidR="004F0737" w:rsidRPr="00FC6FDF">
        <w:t>monthly assessments</w:t>
      </w:r>
      <w:r w:rsidRPr="00FC6FDF">
        <w:t>. The treatment was reinitiated when there was a reduction in best corrected visual acuity (BCVA) due to DME progression. Laser photocoagulation was administered at baseline</w:t>
      </w:r>
      <w:r w:rsidR="004F0737" w:rsidRPr="00FC6FDF">
        <w:t xml:space="preserve"> on the same day, at least 30 minutes before injection of </w:t>
      </w:r>
      <w:proofErr w:type="spellStart"/>
      <w:r w:rsidR="004F0737" w:rsidRPr="00FC6FDF">
        <w:t>ranibizumab</w:t>
      </w:r>
      <w:proofErr w:type="spellEnd"/>
      <w:r w:rsidRPr="00FC6FDF">
        <w:t xml:space="preserve">, and then as needed based on ETDRS criteria. </w:t>
      </w:r>
    </w:p>
    <w:p w:rsidR="00106C5E" w:rsidRPr="00FC6FDF" w:rsidRDefault="00106C5E" w:rsidP="004B7A44">
      <w:pPr>
        <w:pStyle w:val="Text"/>
        <w:spacing w:before="0"/>
        <w:jc w:val="left"/>
      </w:pPr>
    </w:p>
    <w:p w:rsidR="000B2347" w:rsidRPr="00FC6FDF" w:rsidRDefault="004B7A44" w:rsidP="004B7A44">
      <w:pPr>
        <w:pStyle w:val="Text"/>
        <w:spacing w:before="0"/>
        <w:jc w:val="left"/>
      </w:pPr>
      <w:r w:rsidRPr="00FC6FDF">
        <w:t xml:space="preserve">Key outcomes are summarised in </w:t>
      </w:r>
      <w:r w:rsidR="000B2347" w:rsidRPr="00FC6FDF">
        <w:t>Table</w:t>
      </w:r>
      <w:r w:rsidRPr="00FC6FDF">
        <w:t>s</w:t>
      </w:r>
      <w:r w:rsidR="000B2347" w:rsidRPr="00FC6FDF">
        <w:t xml:space="preserve"> 3</w:t>
      </w:r>
      <w:r w:rsidRPr="00FC6FDF">
        <w:t xml:space="preserve"> and 4</w:t>
      </w:r>
      <w:r w:rsidR="000B2347" w:rsidRPr="00FC6FDF">
        <w:t xml:space="preserve"> and Figure </w:t>
      </w:r>
      <w:r w:rsidR="004D7FBA" w:rsidRPr="00FC6FDF">
        <w:t>5</w:t>
      </w:r>
      <w:r w:rsidR="000B2347" w:rsidRPr="00FC6FDF">
        <w:t>.</w:t>
      </w:r>
    </w:p>
    <w:p w:rsidR="00875D4D" w:rsidRPr="00FC6FDF" w:rsidRDefault="00875D4D" w:rsidP="000B2347">
      <w:pPr>
        <w:pStyle w:val="Text"/>
        <w:spacing w:before="0"/>
        <w:jc w:val="left"/>
      </w:pPr>
    </w:p>
    <w:p w:rsidR="001025AD" w:rsidRPr="00FC6FDF" w:rsidRDefault="000B2347" w:rsidP="001025AD">
      <w:pPr>
        <w:rPr>
          <w:b/>
        </w:rPr>
      </w:pPr>
      <w:r w:rsidRPr="00FC6FDF">
        <w:rPr>
          <w:b/>
        </w:rPr>
        <w:t>Table</w:t>
      </w:r>
      <w:r w:rsidR="00C21572" w:rsidRPr="00FC6FDF">
        <w:rPr>
          <w:b/>
        </w:rPr>
        <w:t xml:space="preserve"> 3</w:t>
      </w:r>
      <w:r w:rsidRPr="00FC6FDF">
        <w:rPr>
          <w:b/>
        </w:rPr>
        <w:tab/>
      </w:r>
      <w:r w:rsidR="00E42C09" w:rsidRPr="00FC6FDF">
        <w:rPr>
          <w:b/>
        </w:rPr>
        <w:t xml:space="preserve">Primary Efficacy </w:t>
      </w:r>
      <w:r w:rsidRPr="00FC6FDF">
        <w:rPr>
          <w:b/>
        </w:rPr>
        <w:t>Outcomes at month 12 in study D2301 (RESTORE)</w:t>
      </w:r>
    </w:p>
    <w:p w:rsidR="001025AD" w:rsidRPr="00FC6FDF" w:rsidRDefault="001025AD" w:rsidP="00AF6CC7">
      <w:pPr>
        <w:pStyle w:val="Heading6"/>
        <w:spacing w:before="0" w:after="120"/>
        <w:ind w:left="0" w:firstLine="0"/>
        <w:jc w:val="both"/>
      </w:pPr>
    </w:p>
    <w:p w:rsidR="00AF6CC7" w:rsidRPr="00FC6FDF" w:rsidRDefault="00AF6CC7" w:rsidP="00AF6CC7">
      <w:pPr>
        <w:pStyle w:val="Heading6"/>
        <w:spacing w:before="0" w:after="120"/>
        <w:ind w:left="0" w:firstLine="0"/>
        <w:jc w:val="both"/>
      </w:pPr>
      <w:bookmarkStart w:id="0" w:name="_Toc261013330"/>
      <w:r w:rsidRPr="00FC6FDF">
        <w:t>Visual acuity of the study eye (letters): Mean average change from Month 1 to Month 12 compared to baseline (Full analysis set / LOCF)</w:t>
      </w:r>
      <w:bookmarkStart w:id="1" w:name="_188119563Table_114569Visual_acuit"/>
      <w:bookmarkStart w:id="2" w:name="_189123387Table_114569Visual_acuit"/>
      <w:bookmarkStart w:id="3" w:name="_189123388Table_114569Visual_acuit"/>
      <w:bookmarkStart w:id="4" w:name="_189123444Table_114569Visual_acuit"/>
      <w:bookmarkStart w:id="5" w:name="_189123500Table_114569Visual_acuit"/>
      <w:bookmarkStart w:id="6" w:name="_189123556Table_114569Visual_acuit"/>
      <w:bookmarkStart w:id="7" w:name="_189123612Table_114569Visual_acuit"/>
      <w:bookmarkStart w:id="8" w:name="_189123668Table_114569Visual_acuit"/>
      <w:bookmarkStart w:id="9" w:name="_189123724Table_114569Visual_acuit"/>
      <w:bookmarkStart w:id="10" w:name="_189123780Table_114569Visual_acuit"/>
      <w:bookmarkStart w:id="11" w:name="_189123836Table_114569Visual_acuit"/>
      <w:bookmarkStart w:id="12" w:name="_189123892Table_114569Visual_acuit"/>
      <w:bookmarkStart w:id="13" w:name="_189123948Table_114569Visual_acuit"/>
      <w:bookmarkStart w:id="14" w:name="_189123994Table_114569Visual_acuit"/>
      <w:bookmarkStart w:id="15" w:name="_189124050Table_114569Visual_acuit"/>
      <w:bookmarkStart w:id="16" w:name="_189124106Table_114569Visual_acuit"/>
      <w:bookmarkStart w:id="17" w:name="_189124162Table_114569Visual_acuit"/>
      <w:bookmarkStart w:id="18" w:name="_189124218Table_114569Visual_acuit"/>
      <w:bookmarkStart w:id="19" w:name="_189124274Table_114569Visual_acuit"/>
      <w:bookmarkStart w:id="20" w:name="_189124330Table_114569Visual_acuit"/>
      <w:bookmarkStart w:id="21" w:name="_189124386Table_114569Visual_acuit"/>
      <w:bookmarkStart w:id="22" w:name="_189124442Table_114569Visual_acuit"/>
      <w:bookmarkStart w:id="23" w:name="_189124498Table_114569Visual_acuit"/>
      <w:bookmarkStart w:id="24" w:name="_189124554Table_114569Visual_acuit"/>
      <w:bookmarkStart w:id="25" w:name="_189124610Table_114569Visual_acuit"/>
      <w:bookmarkStart w:id="26" w:name="_189124666Table_114569Visual_acuit"/>
      <w:bookmarkStart w:id="27" w:name="_189124722Table_114569Visual_acuit"/>
      <w:bookmarkStart w:id="28" w:name="_189124104Table_114569Visual_acuit"/>
      <w:bookmarkStart w:id="29" w:name="_189124161Table_114569Visual_acuit"/>
      <w:bookmarkStart w:id="30" w:name="_189124217Table_114569Visual_acuit"/>
      <w:bookmarkStart w:id="31" w:name="_189124272Table_114569Visual_acuit"/>
      <w:bookmarkStart w:id="32" w:name="_189124321Table_114569Visual_acui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0" w:type="auto"/>
        <w:jc w:val="center"/>
        <w:tblInd w:w="-4" w:type="dxa"/>
        <w:tblLayout w:type="fixed"/>
        <w:tblCellMar>
          <w:left w:w="60" w:type="dxa"/>
          <w:right w:w="60" w:type="dxa"/>
        </w:tblCellMar>
        <w:tblLook w:val="0000" w:firstRow="0" w:lastRow="0" w:firstColumn="0" w:lastColumn="0" w:noHBand="0" w:noVBand="0"/>
      </w:tblPr>
      <w:tblGrid>
        <w:gridCol w:w="2160"/>
        <w:gridCol w:w="2520"/>
        <w:gridCol w:w="1440"/>
        <w:gridCol w:w="1560"/>
        <w:gridCol w:w="1399"/>
      </w:tblGrid>
      <w:tr w:rsidR="00AF6CC7" w:rsidRPr="00FC6FDF" w:rsidTr="00AF6CC7">
        <w:trPr>
          <w:cantSplit/>
          <w:tblHeader/>
          <w:jc w:val="center"/>
        </w:trPr>
        <w:tc>
          <w:tcPr>
            <w:tcW w:w="2160" w:type="dxa"/>
            <w:tcBorders>
              <w:top w:val="single" w:sz="6" w:space="0" w:color="000000"/>
              <w:left w:val="nil"/>
              <w:bottom w:val="single" w:sz="3" w:space="0" w:color="000000"/>
              <w:right w:val="nil"/>
            </w:tcBorders>
            <w:shd w:val="clear" w:color="auto" w:fill="FFFFFF"/>
            <w:vAlign w:val="bottom"/>
          </w:tcPr>
          <w:p w:rsidR="00AF6CC7" w:rsidRPr="00FC6FDF" w:rsidRDefault="00AF6CC7" w:rsidP="00AF6CC7">
            <w:pPr>
              <w:pStyle w:val="table0"/>
              <w:rPr>
                <w:rFonts w:cs="Arial"/>
                <w:b/>
                <w:sz w:val="18"/>
                <w:szCs w:val="18"/>
              </w:rPr>
            </w:pPr>
            <w:r w:rsidRPr="00FC6FDF">
              <w:rPr>
                <w:rFonts w:cs="Arial"/>
                <w:b/>
                <w:sz w:val="18"/>
                <w:szCs w:val="18"/>
              </w:rPr>
              <w:t>Parameter</w:t>
            </w:r>
          </w:p>
        </w:tc>
        <w:tc>
          <w:tcPr>
            <w:tcW w:w="2520" w:type="dxa"/>
            <w:tcBorders>
              <w:top w:val="single" w:sz="6" w:space="0" w:color="000000"/>
              <w:left w:val="nil"/>
              <w:bottom w:val="single" w:sz="3" w:space="0" w:color="000000"/>
              <w:right w:val="nil"/>
            </w:tcBorders>
            <w:shd w:val="clear" w:color="auto" w:fill="FFFFFF"/>
            <w:vAlign w:val="bottom"/>
          </w:tcPr>
          <w:p w:rsidR="00AF6CC7" w:rsidRPr="00FC6FDF" w:rsidRDefault="00AF6CC7" w:rsidP="00AF6CC7">
            <w:pPr>
              <w:pStyle w:val="table0"/>
              <w:rPr>
                <w:rFonts w:cs="Arial"/>
                <w:b/>
                <w:sz w:val="18"/>
                <w:szCs w:val="18"/>
              </w:rPr>
            </w:pPr>
            <w:r w:rsidRPr="00FC6FDF">
              <w:rPr>
                <w:rFonts w:cs="Arial"/>
                <w:b/>
                <w:sz w:val="18"/>
                <w:szCs w:val="18"/>
              </w:rPr>
              <w:t>Statistic</w:t>
            </w:r>
          </w:p>
        </w:tc>
        <w:tc>
          <w:tcPr>
            <w:tcW w:w="1440" w:type="dxa"/>
            <w:tcBorders>
              <w:top w:val="single" w:sz="6" w:space="0" w:color="000000"/>
              <w:left w:val="nil"/>
              <w:bottom w:val="single" w:sz="3" w:space="0" w:color="000000"/>
              <w:right w:val="nil"/>
            </w:tcBorders>
            <w:shd w:val="clear" w:color="auto" w:fill="FFFFFF"/>
            <w:vAlign w:val="center"/>
          </w:tcPr>
          <w:p w:rsidR="00AF6CC7" w:rsidRPr="00FC6FDF" w:rsidRDefault="00AF6CC7" w:rsidP="00AF6CC7">
            <w:pPr>
              <w:pStyle w:val="table0"/>
              <w:jc w:val="center"/>
              <w:rPr>
                <w:rFonts w:cs="Arial"/>
                <w:b/>
                <w:sz w:val="18"/>
                <w:szCs w:val="18"/>
              </w:rPr>
            </w:pPr>
            <w:proofErr w:type="spellStart"/>
            <w:r w:rsidRPr="00FC6FDF">
              <w:rPr>
                <w:rFonts w:cs="Arial"/>
                <w:b/>
                <w:sz w:val="18"/>
                <w:szCs w:val="18"/>
              </w:rPr>
              <w:t>Ranibizumab</w:t>
            </w:r>
            <w:proofErr w:type="spellEnd"/>
            <w:r w:rsidRPr="00FC6FDF">
              <w:rPr>
                <w:rFonts w:cs="Arial"/>
                <w:b/>
                <w:sz w:val="18"/>
                <w:szCs w:val="18"/>
              </w:rPr>
              <w:br/>
              <w:t>0.5 mg</w:t>
            </w:r>
            <w:r w:rsidRPr="00FC6FDF">
              <w:rPr>
                <w:rFonts w:cs="Arial"/>
                <w:b/>
                <w:sz w:val="18"/>
                <w:szCs w:val="18"/>
              </w:rPr>
              <w:br/>
              <w:t>N = 115</w:t>
            </w:r>
          </w:p>
        </w:tc>
        <w:tc>
          <w:tcPr>
            <w:tcW w:w="1560" w:type="dxa"/>
            <w:tcBorders>
              <w:top w:val="single" w:sz="6" w:space="0" w:color="000000"/>
              <w:left w:val="nil"/>
              <w:bottom w:val="single" w:sz="3" w:space="0" w:color="000000"/>
              <w:right w:val="nil"/>
            </w:tcBorders>
            <w:shd w:val="clear" w:color="auto" w:fill="FFFFFF"/>
            <w:vAlign w:val="center"/>
          </w:tcPr>
          <w:p w:rsidR="00AF6CC7" w:rsidRPr="00FC6FDF" w:rsidRDefault="00AF6CC7" w:rsidP="00AF6CC7">
            <w:pPr>
              <w:pStyle w:val="table0"/>
              <w:jc w:val="center"/>
              <w:rPr>
                <w:rFonts w:cs="Arial"/>
                <w:b/>
                <w:sz w:val="18"/>
                <w:szCs w:val="18"/>
              </w:rPr>
            </w:pPr>
            <w:proofErr w:type="spellStart"/>
            <w:r w:rsidRPr="00FC6FDF">
              <w:rPr>
                <w:rFonts w:cs="Arial"/>
                <w:b/>
                <w:sz w:val="18"/>
                <w:szCs w:val="18"/>
              </w:rPr>
              <w:t>Ranibizumab</w:t>
            </w:r>
            <w:proofErr w:type="spellEnd"/>
            <w:r w:rsidRPr="00FC6FDF">
              <w:rPr>
                <w:rFonts w:cs="Arial"/>
                <w:b/>
                <w:sz w:val="18"/>
                <w:szCs w:val="18"/>
              </w:rPr>
              <w:br/>
              <w:t>0.5mg + Laser</w:t>
            </w:r>
            <w:r w:rsidRPr="00FC6FDF">
              <w:rPr>
                <w:rFonts w:cs="Arial"/>
                <w:b/>
                <w:sz w:val="18"/>
                <w:szCs w:val="18"/>
              </w:rPr>
              <w:br/>
              <w:t>N = 118</w:t>
            </w:r>
          </w:p>
        </w:tc>
        <w:tc>
          <w:tcPr>
            <w:tcW w:w="1399" w:type="dxa"/>
            <w:tcBorders>
              <w:top w:val="single" w:sz="6" w:space="0" w:color="000000"/>
              <w:left w:val="nil"/>
              <w:bottom w:val="single" w:sz="3" w:space="0" w:color="000000"/>
              <w:right w:val="nil"/>
            </w:tcBorders>
            <w:shd w:val="clear" w:color="auto" w:fill="FFFFFF"/>
            <w:vAlign w:val="center"/>
          </w:tcPr>
          <w:p w:rsidR="00AF6CC7" w:rsidRPr="00FC6FDF" w:rsidRDefault="00AF6CC7" w:rsidP="00AF6CC7">
            <w:pPr>
              <w:pStyle w:val="table0"/>
              <w:jc w:val="center"/>
              <w:rPr>
                <w:rFonts w:cs="Arial"/>
                <w:b/>
                <w:sz w:val="18"/>
                <w:szCs w:val="18"/>
              </w:rPr>
            </w:pPr>
            <w:r w:rsidRPr="00FC6FDF">
              <w:rPr>
                <w:rFonts w:cs="Arial"/>
                <w:b/>
                <w:sz w:val="18"/>
                <w:szCs w:val="18"/>
              </w:rPr>
              <w:t>Laser</w:t>
            </w:r>
            <w:r w:rsidRPr="00FC6FDF">
              <w:rPr>
                <w:rFonts w:cs="Arial"/>
                <w:b/>
                <w:sz w:val="18"/>
                <w:szCs w:val="18"/>
              </w:rPr>
              <w:br/>
              <w:t>N = 110</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Baseline</w:t>
            </w: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n</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115</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118</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110</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Mean (SD)</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64.7 (10.07)</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63.4 (9.99)</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62.6 (11.01)</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Median</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68.0</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65.0</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65.0</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Min - Max</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38.0 - 81.0</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38.0 - 79.0</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36.0 - 78.0</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Average Month 1 to Month 12</w:t>
            </w: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n</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115</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118</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110</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Mean (SD)</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70.8 (10.53)</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69.2 (11.44)</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63.4 (12.26)</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Median</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73.7</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71.5</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66.2</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Min - Max</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38.6 - 88.7</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28.5 - 93.3</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32.0 - 84.2</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Average change from baseline</w:t>
            </w: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n</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115</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118</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110</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Mean (SD)</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6.1 (6.43)</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5.9 (7.92)</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0.8 (8.56)</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Median</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6.1</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6.0</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1.3</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Min - Max</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-10.9 - 25.2</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-26.7 - 27.6</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-37.8 - 26.8</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95% CI for mean (1)</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(4.9, 7.3)</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(4.4, 7.3)</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(-0.8, 2.4)</w:t>
            </w:r>
          </w:p>
        </w:tc>
      </w:tr>
      <w:tr w:rsidR="00AF6CC7" w:rsidRPr="00FC6FDF" w:rsidTr="00AF6CC7">
        <w:trPr>
          <w:cantSplit/>
          <w:jc w:val="center"/>
        </w:trPr>
        <w:tc>
          <w:tcPr>
            <w:tcW w:w="216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Comparison vs. Laser</w:t>
            </w:r>
          </w:p>
        </w:tc>
        <w:tc>
          <w:tcPr>
            <w:tcW w:w="2520" w:type="dxa"/>
            <w:tcBorders>
              <w:top w:val="nil"/>
              <w:left w:val="nil"/>
              <w:bottom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Difference in LS means (2)</w:t>
            </w:r>
          </w:p>
        </w:tc>
        <w:tc>
          <w:tcPr>
            <w:tcW w:w="144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5.4</w:t>
            </w:r>
          </w:p>
        </w:tc>
        <w:tc>
          <w:tcPr>
            <w:tcW w:w="1560"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4.9</w:t>
            </w:r>
          </w:p>
        </w:tc>
        <w:tc>
          <w:tcPr>
            <w:tcW w:w="1399" w:type="dxa"/>
            <w:tcBorders>
              <w:top w:val="nil"/>
              <w:left w:val="nil"/>
              <w:bottom w:val="nil"/>
              <w:right w:val="nil"/>
            </w:tcBorders>
            <w:shd w:val="clear" w:color="auto" w:fill="FFFFFF"/>
            <w:vAlign w:val="center"/>
          </w:tcPr>
          <w:p w:rsidR="00AF6CC7" w:rsidRPr="00FC6FDF" w:rsidRDefault="00AF6CC7" w:rsidP="00AF6CC7">
            <w:pPr>
              <w:pStyle w:val="table0"/>
              <w:jc w:val="center"/>
              <w:rPr>
                <w:rFonts w:cs="Arial"/>
                <w:sz w:val="18"/>
                <w:szCs w:val="18"/>
              </w:rPr>
            </w:pPr>
          </w:p>
        </w:tc>
      </w:tr>
      <w:tr w:rsidR="00AF6CC7" w:rsidRPr="00FC6FDF" w:rsidTr="00AF6CC7">
        <w:trPr>
          <w:cantSplit/>
          <w:jc w:val="center"/>
        </w:trPr>
        <w:tc>
          <w:tcPr>
            <w:tcW w:w="2160" w:type="dxa"/>
            <w:tcBorders>
              <w:top w:val="nil"/>
              <w:left w:val="nil"/>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95% CI for difference (2)</w:t>
            </w:r>
          </w:p>
        </w:tc>
        <w:tc>
          <w:tcPr>
            <w:tcW w:w="1440" w:type="dxa"/>
            <w:tcBorders>
              <w:top w:val="nil"/>
              <w:left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(3.5, 7.4)</w:t>
            </w:r>
          </w:p>
        </w:tc>
        <w:tc>
          <w:tcPr>
            <w:tcW w:w="1560" w:type="dxa"/>
            <w:tcBorders>
              <w:top w:val="nil"/>
              <w:left w:val="nil"/>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(2.8, 7.0)</w:t>
            </w:r>
          </w:p>
        </w:tc>
        <w:tc>
          <w:tcPr>
            <w:tcW w:w="1399" w:type="dxa"/>
            <w:tcBorders>
              <w:top w:val="nil"/>
              <w:left w:val="nil"/>
              <w:right w:val="nil"/>
            </w:tcBorders>
            <w:shd w:val="clear" w:color="auto" w:fill="FFFFFF"/>
            <w:vAlign w:val="center"/>
          </w:tcPr>
          <w:p w:rsidR="00AF6CC7" w:rsidRPr="00FC6FDF" w:rsidRDefault="00AF6CC7" w:rsidP="00AF6CC7">
            <w:pPr>
              <w:pStyle w:val="table0"/>
              <w:jc w:val="center"/>
              <w:rPr>
                <w:rFonts w:cs="Arial"/>
                <w:sz w:val="18"/>
                <w:szCs w:val="18"/>
              </w:rPr>
            </w:pPr>
          </w:p>
        </w:tc>
      </w:tr>
      <w:tr w:rsidR="00AF6CC7" w:rsidRPr="00FC6FDF" w:rsidTr="00AF6CC7">
        <w:trPr>
          <w:cantSplit/>
          <w:jc w:val="center"/>
        </w:trPr>
        <w:tc>
          <w:tcPr>
            <w:tcW w:w="2160" w:type="dxa"/>
            <w:tcBorders>
              <w:top w:val="nil"/>
              <w:left w:val="nil"/>
              <w:bottom w:val="single" w:sz="4" w:space="0" w:color="auto"/>
              <w:right w:val="nil"/>
            </w:tcBorders>
            <w:shd w:val="clear" w:color="auto" w:fill="FFFFFF"/>
          </w:tcPr>
          <w:p w:rsidR="00AF6CC7" w:rsidRPr="00FC6FDF" w:rsidRDefault="00AF6CC7" w:rsidP="00AF6CC7">
            <w:pPr>
              <w:pStyle w:val="table0"/>
              <w:rPr>
                <w:rFonts w:cs="Arial"/>
                <w:sz w:val="18"/>
                <w:szCs w:val="18"/>
              </w:rPr>
            </w:pPr>
          </w:p>
        </w:tc>
        <w:tc>
          <w:tcPr>
            <w:tcW w:w="2520" w:type="dxa"/>
            <w:tcBorders>
              <w:top w:val="nil"/>
              <w:left w:val="nil"/>
              <w:bottom w:val="single" w:sz="4" w:space="0" w:color="auto"/>
              <w:right w:val="nil"/>
            </w:tcBorders>
            <w:shd w:val="clear" w:color="auto" w:fill="FFFFFF"/>
          </w:tcPr>
          <w:p w:rsidR="00AF6CC7" w:rsidRPr="00FC6FDF" w:rsidRDefault="00AF6CC7" w:rsidP="00AF6CC7">
            <w:pPr>
              <w:pStyle w:val="table0"/>
              <w:rPr>
                <w:rFonts w:cs="Arial"/>
                <w:sz w:val="18"/>
                <w:szCs w:val="18"/>
              </w:rPr>
            </w:pPr>
            <w:r w:rsidRPr="00FC6FDF">
              <w:rPr>
                <w:rFonts w:cs="Arial"/>
                <w:sz w:val="18"/>
                <w:szCs w:val="18"/>
              </w:rPr>
              <w:t>p-value (3)</w:t>
            </w:r>
          </w:p>
        </w:tc>
        <w:tc>
          <w:tcPr>
            <w:tcW w:w="1440" w:type="dxa"/>
            <w:tcBorders>
              <w:top w:val="nil"/>
              <w:left w:val="nil"/>
              <w:bottom w:val="single" w:sz="4" w:space="0" w:color="auto"/>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&lt;.0001</w:t>
            </w:r>
          </w:p>
        </w:tc>
        <w:tc>
          <w:tcPr>
            <w:tcW w:w="1560" w:type="dxa"/>
            <w:tcBorders>
              <w:top w:val="nil"/>
              <w:left w:val="nil"/>
              <w:bottom w:val="single" w:sz="4" w:space="0" w:color="auto"/>
              <w:right w:val="nil"/>
            </w:tcBorders>
            <w:shd w:val="clear" w:color="auto" w:fill="FFFFFF"/>
            <w:vAlign w:val="center"/>
          </w:tcPr>
          <w:p w:rsidR="00AF6CC7" w:rsidRPr="00FC6FDF" w:rsidRDefault="00AF6CC7" w:rsidP="00AF6CC7">
            <w:pPr>
              <w:pStyle w:val="table0"/>
              <w:jc w:val="center"/>
              <w:rPr>
                <w:rFonts w:cs="Arial"/>
                <w:sz w:val="18"/>
                <w:szCs w:val="18"/>
              </w:rPr>
            </w:pPr>
            <w:r w:rsidRPr="00FC6FDF">
              <w:rPr>
                <w:rFonts w:cs="Arial"/>
                <w:sz w:val="18"/>
                <w:szCs w:val="18"/>
              </w:rPr>
              <w:t>&lt;.0001</w:t>
            </w:r>
          </w:p>
        </w:tc>
        <w:tc>
          <w:tcPr>
            <w:tcW w:w="1399" w:type="dxa"/>
            <w:tcBorders>
              <w:top w:val="nil"/>
              <w:left w:val="nil"/>
              <w:bottom w:val="single" w:sz="4" w:space="0" w:color="auto"/>
              <w:right w:val="nil"/>
            </w:tcBorders>
            <w:shd w:val="clear" w:color="auto" w:fill="FFFFFF"/>
            <w:vAlign w:val="center"/>
          </w:tcPr>
          <w:p w:rsidR="00AF6CC7" w:rsidRPr="00FC6FDF" w:rsidRDefault="00AF6CC7" w:rsidP="00AF6CC7">
            <w:pPr>
              <w:pStyle w:val="table0"/>
              <w:jc w:val="center"/>
              <w:rPr>
                <w:rFonts w:cs="Arial"/>
                <w:sz w:val="18"/>
                <w:szCs w:val="18"/>
              </w:rPr>
            </w:pPr>
          </w:p>
        </w:tc>
      </w:tr>
    </w:tbl>
    <w:p w:rsidR="00AF6CC7" w:rsidRPr="00FC6FDF" w:rsidRDefault="00AF6CC7" w:rsidP="00AF6CC7">
      <w:pPr>
        <w:pStyle w:val="Text"/>
        <w:spacing w:before="0" w:line="240" w:lineRule="auto"/>
        <w:jc w:val="left"/>
      </w:pPr>
      <w:r w:rsidRPr="00FC6FDF">
        <w:rPr>
          <w:sz w:val="18"/>
          <w:szCs w:val="18"/>
        </w:rPr>
        <w:t xml:space="preserve">- </w:t>
      </w:r>
      <w:proofErr w:type="gramStart"/>
      <w:r w:rsidRPr="00FC6FDF">
        <w:rPr>
          <w:sz w:val="18"/>
          <w:szCs w:val="18"/>
        </w:rPr>
        <w:t>n</w:t>
      </w:r>
      <w:proofErr w:type="gramEnd"/>
      <w:r w:rsidRPr="00FC6FDF">
        <w:rPr>
          <w:sz w:val="18"/>
          <w:szCs w:val="18"/>
        </w:rPr>
        <w:t xml:space="preserve"> is the number of patients with a value for both baseline and average Month 1 to Month 12.</w:t>
      </w:r>
      <w:r w:rsidRPr="00FC6FDF">
        <w:rPr>
          <w:sz w:val="18"/>
          <w:szCs w:val="18"/>
        </w:rPr>
        <w:br/>
        <w:t>- Stratified analysis includes DME type (focal, diffuse/other) and baseline visual acuity (&lt;=60, 61-73, &gt;73 letters).</w:t>
      </w:r>
      <w:r w:rsidRPr="00FC6FDF">
        <w:rPr>
          <w:sz w:val="18"/>
          <w:szCs w:val="18"/>
        </w:rPr>
        <w:br/>
        <w:t>- (1) Two-sided 95% confidence intervals (CI) are based on the t-distribution.</w:t>
      </w:r>
      <w:r w:rsidRPr="00FC6FDF">
        <w:rPr>
          <w:sz w:val="18"/>
          <w:szCs w:val="18"/>
        </w:rPr>
        <w:br/>
        <w:t>- (2) Differences in LS means and the two-sided 95% CIs are estimated from pair wise ANOVA (stratified) model.</w:t>
      </w:r>
      <w:r w:rsidRPr="00FC6FDF">
        <w:rPr>
          <w:sz w:val="18"/>
          <w:szCs w:val="18"/>
        </w:rPr>
        <w:br/>
        <w:t>- (3) p-values for treatment difference are from the two-sided stratified Cochran-Mantel-</w:t>
      </w:r>
      <w:proofErr w:type="spellStart"/>
      <w:r w:rsidRPr="00FC6FDF">
        <w:rPr>
          <w:sz w:val="18"/>
          <w:szCs w:val="18"/>
        </w:rPr>
        <w:t>Haenszel</w:t>
      </w:r>
      <w:proofErr w:type="spellEnd"/>
      <w:r w:rsidRPr="00FC6FDF">
        <w:rPr>
          <w:sz w:val="18"/>
          <w:szCs w:val="18"/>
        </w:rPr>
        <w:t xml:space="preserve"> test using the row means score</w:t>
      </w:r>
    </w:p>
    <w:p w:rsidR="001025AD" w:rsidRPr="00FC6FDF" w:rsidRDefault="001025AD" w:rsidP="00875D4D">
      <w:pPr>
        <w:pStyle w:val="Text"/>
        <w:spacing w:before="0"/>
      </w:pPr>
    </w:p>
    <w:p w:rsidR="00EC1904" w:rsidRDefault="00EC1904">
      <w:pPr>
        <w:spacing w:line="240" w:lineRule="auto"/>
        <w:rPr>
          <w:b/>
        </w:rPr>
      </w:pPr>
      <w:r>
        <w:rPr>
          <w:b/>
        </w:rPr>
        <w:br w:type="page"/>
      </w:r>
    </w:p>
    <w:p w:rsidR="005515E9" w:rsidRPr="00FC6FDF" w:rsidRDefault="005515E9" w:rsidP="005515E9">
      <w:pPr>
        <w:pStyle w:val="Text"/>
        <w:tabs>
          <w:tab w:val="left" w:pos="1418"/>
        </w:tabs>
        <w:spacing w:before="0" w:after="120"/>
        <w:rPr>
          <w:rFonts w:ascii="Arial" w:hAnsi="Arial" w:cs="Arial"/>
          <w:b/>
          <w:bCs/>
          <w:sz w:val="18"/>
          <w:szCs w:val="18"/>
          <w:lang w:val="en-US"/>
        </w:rPr>
      </w:pPr>
      <w:r w:rsidRPr="00FC6FDF">
        <w:rPr>
          <w:b/>
        </w:rPr>
        <w:lastRenderedPageBreak/>
        <w:t>Table 4</w:t>
      </w:r>
      <w:r w:rsidRPr="00FC6FDF">
        <w:rPr>
          <w:b/>
        </w:rPr>
        <w:tab/>
        <w:t>Secondary Efficacy Outcomes at month 12 in study D2301 (RESTORE)</w:t>
      </w:r>
      <w:proofErr w:type="gramStart"/>
      <w:r w:rsidRPr="00FC6FDF">
        <w:t>:</w:t>
      </w:r>
      <w:proofErr w:type="gramEnd"/>
      <w:r w:rsidRPr="00FC6FDF">
        <w:br/>
      </w:r>
      <w:r w:rsidRPr="00FC6FDF">
        <w:rPr>
          <w:rFonts w:ascii="Arial" w:hAnsi="Arial" w:cs="Arial"/>
          <w:b/>
          <w:bCs/>
          <w:sz w:val="18"/>
          <w:szCs w:val="18"/>
          <w:lang w:val="en-US"/>
        </w:rPr>
        <w:t>Visual acuity of the study eye (letters): Categorized change from baseline at Month 12 (FAS / LOCF)</w:t>
      </w:r>
    </w:p>
    <w:tbl>
      <w:tblPr>
        <w:tblW w:w="0" w:type="auto"/>
        <w:tblInd w:w="60" w:type="dxa"/>
        <w:tblLayout w:type="fixed"/>
        <w:tblCellMar>
          <w:left w:w="60" w:type="dxa"/>
          <w:right w:w="60" w:type="dxa"/>
        </w:tblCellMar>
        <w:tblLook w:val="0000" w:firstRow="0" w:lastRow="0" w:firstColumn="0" w:lastColumn="0" w:noHBand="0" w:noVBand="0"/>
      </w:tblPr>
      <w:tblGrid>
        <w:gridCol w:w="3921"/>
        <w:gridCol w:w="1560"/>
        <w:gridCol w:w="1479"/>
        <w:gridCol w:w="1161"/>
      </w:tblGrid>
      <w:tr w:rsidR="005515E9" w:rsidRPr="00FC6FDF" w:rsidTr="00AB69AE">
        <w:trPr>
          <w:cantSplit/>
          <w:tblHeader/>
        </w:trPr>
        <w:tc>
          <w:tcPr>
            <w:tcW w:w="3921" w:type="dxa"/>
            <w:tcBorders>
              <w:top w:val="single" w:sz="6" w:space="0" w:color="000000"/>
              <w:left w:val="nil"/>
              <w:bottom w:val="single" w:sz="3" w:space="0" w:color="000000"/>
              <w:right w:val="nil"/>
            </w:tcBorders>
            <w:shd w:val="clear" w:color="auto" w:fill="FFFFFF"/>
            <w:vAlign w:val="bottom"/>
          </w:tcPr>
          <w:p w:rsidR="005515E9" w:rsidRPr="00FC6FDF" w:rsidRDefault="005515E9" w:rsidP="00AB69AE">
            <w:pPr>
              <w:pStyle w:val="table0"/>
              <w:rPr>
                <w:b/>
                <w:sz w:val="18"/>
                <w:szCs w:val="18"/>
              </w:rPr>
            </w:pPr>
            <w:bookmarkStart w:id="33" w:name="_191129397Table_114599Visual_acuit"/>
            <w:bookmarkStart w:id="34" w:name="_192134964Table_114599Visual_acuit"/>
            <w:bookmarkStart w:id="35" w:name="_192134965Table_114599Visual_acuit"/>
            <w:bookmarkStart w:id="36" w:name="_192135021Table_114599Visual_acuit"/>
            <w:bookmarkStart w:id="37" w:name="_192135077Table_114599Visual_acuit"/>
            <w:bookmarkStart w:id="38" w:name="_192135133Table_114599Visual_acuit"/>
            <w:bookmarkStart w:id="39" w:name="_192135189Table_114599Visual_acuit"/>
            <w:bookmarkStart w:id="40" w:name="_192135245Table_114599Visual_acuit"/>
            <w:bookmarkStart w:id="41" w:name="_192135301Table_114599Visual_acuit"/>
            <w:bookmarkStart w:id="42" w:name="_192135357Table_114599Visual_acuit"/>
            <w:bookmarkStart w:id="43" w:name="_192135413Table_114599Visual_acuit"/>
            <w:bookmarkStart w:id="44" w:name="_192135469Table_114599Visual_acuit"/>
            <w:bookmarkStart w:id="45" w:name="_192135525Table_114599Visual_acuit"/>
            <w:bookmarkStart w:id="46" w:name="_192135571Table_114599Visual_acuit"/>
            <w:bookmarkStart w:id="47" w:name="_192135627Table_114599Visual_acuit"/>
            <w:bookmarkStart w:id="48" w:name="_192135683Table_114599Visual_acuit"/>
            <w:bookmarkStart w:id="49" w:name="_192135739Table_114599Visual_acuit"/>
            <w:bookmarkStart w:id="50" w:name="_192135795Table_114599Visual_acuit"/>
            <w:bookmarkStart w:id="51" w:name="_192135851Table_114599Visual_acuit"/>
            <w:bookmarkStart w:id="52" w:name="_192135907Table_114599Visual_acuit"/>
            <w:bookmarkStart w:id="53" w:name="_192135963Table_114599Visual_acuit"/>
            <w:bookmarkStart w:id="54" w:name="_192136019Table_114599Visual_acuit"/>
            <w:bookmarkStart w:id="55" w:name="_192136075Table_114599Visual_acuit"/>
            <w:bookmarkStart w:id="56" w:name="_192136131Table_114599Visual_acuit"/>
            <w:bookmarkStart w:id="57" w:name="_192136187Table_114599Visual_acuit"/>
            <w:bookmarkStart w:id="58" w:name="_192136243Table_114599Visual_acuit"/>
            <w:bookmarkStart w:id="59" w:name="_192136299Table_114599Visual_acuit"/>
            <w:bookmarkStart w:id="60" w:name="_192136355Table_114599Visual_acuit"/>
            <w:bookmarkStart w:id="61" w:name="_192136411Table_114599Visual_acuit"/>
            <w:bookmarkStart w:id="62" w:name="_192136467Table_114599Visual_acuit"/>
            <w:bookmarkStart w:id="63" w:name="_192136523Table_114599Visual_acuit"/>
            <w:bookmarkStart w:id="64" w:name="_192135905Table_114599Visual_acuit"/>
            <w:bookmarkStart w:id="65" w:name="_192135962Table_114599Visual_acuit"/>
            <w:bookmarkStart w:id="66" w:name="_192136018Table_114599Visual_acuit"/>
            <w:bookmarkStart w:id="67" w:name="_192136073Table_114599Visual_acuit"/>
            <w:bookmarkStart w:id="68" w:name="_192136135Table_114599Visual_acuit"/>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C6FDF">
              <w:rPr>
                <w:b/>
                <w:sz w:val="18"/>
                <w:szCs w:val="18"/>
              </w:rPr>
              <w:t>Categorized change from baseline</w:t>
            </w:r>
          </w:p>
        </w:tc>
        <w:tc>
          <w:tcPr>
            <w:tcW w:w="1560" w:type="dxa"/>
            <w:tcBorders>
              <w:top w:val="single" w:sz="6" w:space="0" w:color="000000"/>
              <w:left w:val="nil"/>
              <w:bottom w:val="single" w:sz="3" w:space="0" w:color="000000"/>
              <w:right w:val="nil"/>
            </w:tcBorders>
            <w:shd w:val="clear" w:color="auto" w:fill="FFFFFF"/>
            <w:vAlign w:val="center"/>
          </w:tcPr>
          <w:p w:rsidR="005515E9" w:rsidRPr="00FC6FDF" w:rsidRDefault="005515E9" w:rsidP="00AB69AE">
            <w:pPr>
              <w:pStyle w:val="table0"/>
              <w:jc w:val="center"/>
              <w:rPr>
                <w:b/>
                <w:sz w:val="18"/>
                <w:szCs w:val="18"/>
              </w:rPr>
            </w:pPr>
            <w:proofErr w:type="spellStart"/>
            <w:r w:rsidRPr="00FC6FDF">
              <w:rPr>
                <w:b/>
                <w:sz w:val="18"/>
                <w:szCs w:val="18"/>
              </w:rPr>
              <w:t>Ranibizumab</w:t>
            </w:r>
            <w:proofErr w:type="spellEnd"/>
            <w:r w:rsidRPr="00FC6FDF">
              <w:rPr>
                <w:b/>
                <w:sz w:val="18"/>
                <w:szCs w:val="18"/>
              </w:rPr>
              <w:br/>
              <w:t>0.5 mg</w:t>
            </w:r>
            <w:r w:rsidRPr="00FC6FDF">
              <w:rPr>
                <w:b/>
                <w:sz w:val="18"/>
                <w:szCs w:val="18"/>
              </w:rPr>
              <w:br/>
              <w:t>N = 115</w:t>
            </w:r>
          </w:p>
        </w:tc>
        <w:tc>
          <w:tcPr>
            <w:tcW w:w="1479" w:type="dxa"/>
            <w:tcBorders>
              <w:top w:val="single" w:sz="6" w:space="0" w:color="000000"/>
              <w:left w:val="nil"/>
              <w:bottom w:val="single" w:sz="3" w:space="0" w:color="000000"/>
              <w:right w:val="nil"/>
            </w:tcBorders>
            <w:shd w:val="clear" w:color="auto" w:fill="FFFFFF"/>
            <w:vAlign w:val="center"/>
          </w:tcPr>
          <w:p w:rsidR="005515E9" w:rsidRPr="00FC6FDF" w:rsidRDefault="005515E9" w:rsidP="00AB69AE">
            <w:pPr>
              <w:pStyle w:val="table0"/>
              <w:jc w:val="center"/>
              <w:rPr>
                <w:b/>
                <w:sz w:val="18"/>
                <w:szCs w:val="18"/>
              </w:rPr>
            </w:pPr>
            <w:proofErr w:type="spellStart"/>
            <w:r w:rsidRPr="00FC6FDF">
              <w:rPr>
                <w:b/>
                <w:sz w:val="18"/>
                <w:szCs w:val="18"/>
              </w:rPr>
              <w:t>Ranibizumab</w:t>
            </w:r>
            <w:proofErr w:type="spellEnd"/>
            <w:r w:rsidRPr="00FC6FDF">
              <w:rPr>
                <w:b/>
                <w:sz w:val="18"/>
                <w:szCs w:val="18"/>
              </w:rPr>
              <w:br/>
              <w:t>0.5mg + Laser</w:t>
            </w:r>
            <w:r w:rsidRPr="00FC6FDF">
              <w:rPr>
                <w:b/>
                <w:sz w:val="18"/>
                <w:szCs w:val="18"/>
              </w:rPr>
              <w:br/>
              <w:t>N = 118</w:t>
            </w:r>
          </w:p>
        </w:tc>
        <w:tc>
          <w:tcPr>
            <w:tcW w:w="1161" w:type="dxa"/>
            <w:tcBorders>
              <w:top w:val="single" w:sz="6" w:space="0" w:color="000000"/>
              <w:left w:val="nil"/>
              <w:bottom w:val="single" w:sz="3" w:space="0" w:color="000000"/>
              <w:right w:val="nil"/>
            </w:tcBorders>
            <w:shd w:val="clear" w:color="auto" w:fill="FFFFFF"/>
            <w:vAlign w:val="center"/>
          </w:tcPr>
          <w:p w:rsidR="005515E9" w:rsidRPr="00FC6FDF" w:rsidRDefault="005515E9" w:rsidP="00AB69AE">
            <w:pPr>
              <w:pStyle w:val="table0"/>
              <w:jc w:val="center"/>
              <w:rPr>
                <w:b/>
                <w:sz w:val="18"/>
                <w:szCs w:val="18"/>
              </w:rPr>
            </w:pPr>
            <w:r w:rsidRPr="00FC6FDF">
              <w:rPr>
                <w:b/>
                <w:sz w:val="18"/>
                <w:szCs w:val="18"/>
              </w:rPr>
              <w:br/>
              <w:t>Laser</w:t>
            </w:r>
            <w:r w:rsidRPr="00FC6FDF">
              <w:rPr>
                <w:b/>
                <w:sz w:val="18"/>
                <w:szCs w:val="18"/>
              </w:rPr>
              <w:br/>
              <w:t>N = 110</w:t>
            </w:r>
          </w:p>
        </w:tc>
      </w:tr>
      <w:tr w:rsidR="005515E9" w:rsidRPr="00FC6FDF" w:rsidTr="00AB69AE">
        <w:trPr>
          <w:cantSplit/>
        </w:trPr>
        <w:tc>
          <w:tcPr>
            <w:tcW w:w="3921" w:type="dxa"/>
            <w:tcBorders>
              <w:top w:val="nil"/>
              <w:left w:val="nil"/>
              <w:bottom w:val="nil"/>
              <w:right w:val="nil"/>
            </w:tcBorders>
            <w:shd w:val="clear" w:color="auto" w:fill="FFFFFF"/>
          </w:tcPr>
          <w:p w:rsidR="005515E9" w:rsidRPr="00FC6FDF" w:rsidRDefault="005515E9" w:rsidP="00AB69AE">
            <w:pPr>
              <w:pStyle w:val="table0"/>
              <w:rPr>
                <w:sz w:val="18"/>
                <w:szCs w:val="18"/>
              </w:rPr>
            </w:pPr>
            <w:r w:rsidRPr="00FC6FDF">
              <w:rPr>
                <w:sz w:val="18"/>
                <w:szCs w:val="18"/>
              </w:rPr>
              <w:t>N</w:t>
            </w:r>
          </w:p>
        </w:tc>
        <w:tc>
          <w:tcPr>
            <w:tcW w:w="1560"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115</w:t>
            </w:r>
          </w:p>
        </w:tc>
        <w:tc>
          <w:tcPr>
            <w:tcW w:w="1479"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118</w:t>
            </w:r>
          </w:p>
        </w:tc>
        <w:tc>
          <w:tcPr>
            <w:tcW w:w="1161"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110</w:t>
            </w:r>
          </w:p>
        </w:tc>
      </w:tr>
      <w:tr w:rsidR="005515E9" w:rsidRPr="00FC6FDF" w:rsidTr="00AB69AE">
        <w:trPr>
          <w:cantSplit/>
        </w:trPr>
        <w:tc>
          <w:tcPr>
            <w:tcW w:w="3921" w:type="dxa"/>
            <w:tcBorders>
              <w:top w:val="nil"/>
              <w:left w:val="nil"/>
              <w:bottom w:val="nil"/>
              <w:right w:val="nil"/>
            </w:tcBorders>
            <w:shd w:val="clear" w:color="auto" w:fill="FFFFFF"/>
          </w:tcPr>
          <w:p w:rsidR="005515E9" w:rsidRPr="00FC6FDF" w:rsidRDefault="005515E9" w:rsidP="00AB69AE">
            <w:pPr>
              <w:pStyle w:val="table0"/>
              <w:rPr>
                <w:sz w:val="18"/>
                <w:szCs w:val="18"/>
              </w:rPr>
            </w:pPr>
            <w:r w:rsidRPr="00FC6FDF">
              <w:rPr>
                <w:sz w:val="18"/>
                <w:szCs w:val="18"/>
              </w:rPr>
              <w:t>Gain of ≥ 10 letters [1]</w:t>
            </w:r>
          </w:p>
        </w:tc>
        <w:tc>
          <w:tcPr>
            <w:tcW w:w="1560"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43 (37.4)</w:t>
            </w:r>
          </w:p>
        </w:tc>
        <w:tc>
          <w:tcPr>
            <w:tcW w:w="1479"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51 (43.2)</w:t>
            </w:r>
          </w:p>
        </w:tc>
        <w:tc>
          <w:tcPr>
            <w:tcW w:w="1161"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17 (15.5)</w:t>
            </w:r>
          </w:p>
        </w:tc>
      </w:tr>
      <w:tr w:rsidR="005515E9" w:rsidRPr="00FC6FDF" w:rsidTr="00AB69AE">
        <w:trPr>
          <w:cantSplit/>
        </w:trPr>
        <w:tc>
          <w:tcPr>
            <w:tcW w:w="3921" w:type="dxa"/>
            <w:tcBorders>
              <w:top w:val="nil"/>
              <w:left w:val="nil"/>
              <w:bottom w:val="nil"/>
              <w:right w:val="nil"/>
            </w:tcBorders>
            <w:shd w:val="clear" w:color="auto" w:fill="FFFFFF"/>
          </w:tcPr>
          <w:p w:rsidR="005515E9" w:rsidRPr="00FC6FDF" w:rsidRDefault="005515E9" w:rsidP="00AB69AE">
            <w:pPr>
              <w:pStyle w:val="table0"/>
              <w:rPr>
                <w:sz w:val="18"/>
                <w:szCs w:val="18"/>
              </w:rPr>
            </w:pPr>
            <w:r w:rsidRPr="00FC6FDF">
              <w:rPr>
                <w:sz w:val="18"/>
                <w:szCs w:val="18"/>
              </w:rPr>
              <w:t>Loss of ≥ 10 letters</w:t>
            </w:r>
          </w:p>
        </w:tc>
        <w:tc>
          <w:tcPr>
            <w:tcW w:w="1560"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4 ( 3.5)</w:t>
            </w:r>
          </w:p>
        </w:tc>
        <w:tc>
          <w:tcPr>
            <w:tcW w:w="1479"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5 ( 4.2)</w:t>
            </w:r>
          </w:p>
        </w:tc>
        <w:tc>
          <w:tcPr>
            <w:tcW w:w="1161"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14 (12.7)</w:t>
            </w:r>
          </w:p>
        </w:tc>
      </w:tr>
      <w:tr w:rsidR="005515E9" w:rsidRPr="00FC6FDF" w:rsidTr="00AB69AE">
        <w:trPr>
          <w:cantSplit/>
        </w:trPr>
        <w:tc>
          <w:tcPr>
            <w:tcW w:w="3921" w:type="dxa"/>
            <w:tcBorders>
              <w:top w:val="nil"/>
              <w:left w:val="nil"/>
              <w:bottom w:val="nil"/>
              <w:right w:val="nil"/>
            </w:tcBorders>
            <w:shd w:val="clear" w:color="auto" w:fill="FFFFFF"/>
          </w:tcPr>
          <w:p w:rsidR="005515E9" w:rsidRPr="00FC6FDF" w:rsidRDefault="005515E9" w:rsidP="00AB69AE">
            <w:pPr>
              <w:pStyle w:val="table0"/>
              <w:rPr>
                <w:sz w:val="18"/>
                <w:szCs w:val="18"/>
              </w:rPr>
            </w:pPr>
            <w:r w:rsidRPr="00FC6FDF">
              <w:rPr>
                <w:sz w:val="18"/>
                <w:szCs w:val="18"/>
              </w:rPr>
              <w:t>Gain of ≥ 15 letters [1]</w:t>
            </w:r>
          </w:p>
        </w:tc>
        <w:tc>
          <w:tcPr>
            <w:tcW w:w="1560"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26 (22.6)</w:t>
            </w:r>
          </w:p>
        </w:tc>
        <w:tc>
          <w:tcPr>
            <w:tcW w:w="1479"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27 (22.9)</w:t>
            </w:r>
          </w:p>
        </w:tc>
        <w:tc>
          <w:tcPr>
            <w:tcW w:w="1161" w:type="dxa"/>
            <w:tcBorders>
              <w:top w:val="nil"/>
              <w:left w:val="nil"/>
              <w:bottom w:val="nil"/>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9 ( 8.2)</w:t>
            </w:r>
          </w:p>
        </w:tc>
      </w:tr>
      <w:tr w:rsidR="005515E9" w:rsidRPr="00FC6FDF" w:rsidTr="00AB69AE">
        <w:trPr>
          <w:cantSplit/>
        </w:trPr>
        <w:tc>
          <w:tcPr>
            <w:tcW w:w="3921" w:type="dxa"/>
            <w:tcBorders>
              <w:top w:val="nil"/>
              <w:left w:val="nil"/>
              <w:bottom w:val="single" w:sz="4" w:space="0" w:color="auto"/>
              <w:right w:val="nil"/>
            </w:tcBorders>
            <w:shd w:val="clear" w:color="auto" w:fill="FFFFFF"/>
          </w:tcPr>
          <w:p w:rsidR="005515E9" w:rsidRPr="00FC6FDF" w:rsidRDefault="005515E9" w:rsidP="00AB69AE">
            <w:pPr>
              <w:pStyle w:val="table0"/>
              <w:rPr>
                <w:sz w:val="18"/>
                <w:szCs w:val="18"/>
              </w:rPr>
            </w:pPr>
            <w:r w:rsidRPr="00FC6FDF">
              <w:rPr>
                <w:sz w:val="18"/>
                <w:szCs w:val="18"/>
              </w:rPr>
              <w:t>Loss of ≥ 15 letters</w:t>
            </w:r>
          </w:p>
        </w:tc>
        <w:tc>
          <w:tcPr>
            <w:tcW w:w="1560" w:type="dxa"/>
            <w:tcBorders>
              <w:top w:val="nil"/>
              <w:left w:val="nil"/>
              <w:bottom w:val="single" w:sz="4" w:space="0" w:color="auto"/>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1 ( 0.9)</w:t>
            </w:r>
          </w:p>
        </w:tc>
        <w:tc>
          <w:tcPr>
            <w:tcW w:w="1479" w:type="dxa"/>
            <w:tcBorders>
              <w:top w:val="nil"/>
              <w:left w:val="nil"/>
              <w:bottom w:val="single" w:sz="4" w:space="0" w:color="auto"/>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4 ( 3.4)</w:t>
            </w:r>
          </w:p>
        </w:tc>
        <w:tc>
          <w:tcPr>
            <w:tcW w:w="1161" w:type="dxa"/>
            <w:tcBorders>
              <w:top w:val="nil"/>
              <w:left w:val="nil"/>
              <w:bottom w:val="single" w:sz="4" w:space="0" w:color="auto"/>
              <w:right w:val="nil"/>
            </w:tcBorders>
            <w:shd w:val="clear" w:color="auto" w:fill="FFFFFF"/>
            <w:vAlign w:val="center"/>
          </w:tcPr>
          <w:p w:rsidR="005515E9" w:rsidRPr="00FC6FDF" w:rsidRDefault="005515E9" w:rsidP="00AB69AE">
            <w:pPr>
              <w:pStyle w:val="table0"/>
              <w:jc w:val="center"/>
              <w:rPr>
                <w:sz w:val="18"/>
                <w:szCs w:val="18"/>
              </w:rPr>
            </w:pPr>
            <w:r w:rsidRPr="00FC6FDF">
              <w:rPr>
                <w:sz w:val="18"/>
                <w:szCs w:val="18"/>
              </w:rPr>
              <w:t>9 ( 8.2)</w:t>
            </w:r>
          </w:p>
        </w:tc>
      </w:tr>
    </w:tbl>
    <w:p w:rsidR="005515E9" w:rsidRPr="00FC6FDF" w:rsidRDefault="005515E9" w:rsidP="005515E9">
      <w:pPr>
        <w:pStyle w:val="Text"/>
        <w:spacing w:before="0"/>
        <w:rPr>
          <w:sz w:val="18"/>
          <w:szCs w:val="18"/>
        </w:rPr>
      </w:pPr>
      <w:r w:rsidRPr="00FC6FDF">
        <w:rPr>
          <w:sz w:val="18"/>
          <w:szCs w:val="18"/>
        </w:rPr>
        <w:t>- N is the number of patients with a value at both baseline and the Month 12 visit.</w:t>
      </w:r>
    </w:p>
    <w:p w:rsidR="005515E9" w:rsidRPr="00FC6FDF" w:rsidRDefault="005515E9" w:rsidP="005515E9">
      <w:pPr>
        <w:pStyle w:val="Text"/>
        <w:spacing w:before="0"/>
        <w:rPr>
          <w:sz w:val="18"/>
          <w:szCs w:val="18"/>
        </w:rPr>
      </w:pPr>
      <w:r w:rsidRPr="00FC6FDF">
        <w:rPr>
          <w:sz w:val="18"/>
          <w:szCs w:val="18"/>
        </w:rPr>
        <w:t>- [1] specified gain, or BCVA of 84 letters or more</w:t>
      </w:r>
    </w:p>
    <w:p w:rsidR="00652467" w:rsidRPr="00FC6FDF" w:rsidRDefault="00652467">
      <w:pPr>
        <w:pStyle w:val="Text"/>
        <w:tabs>
          <w:tab w:val="left" w:pos="1418"/>
        </w:tabs>
        <w:spacing w:before="0"/>
        <w:rPr>
          <w:b/>
        </w:rPr>
      </w:pPr>
    </w:p>
    <w:p w:rsidR="00652467" w:rsidRPr="00FC6FDF" w:rsidRDefault="000B2347">
      <w:pPr>
        <w:pStyle w:val="Text"/>
        <w:tabs>
          <w:tab w:val="left" w:pos="1418"/>
        </w:tabs>
        <w:spacing w:before="0"/>
        <w:rPr>
          <w:b/>
        </w:rPr>
      </w:pPr>
      <w:r w:rsidRPr="00FC6FDF">
        <w:rPr>
          <w:b/>
        </w:rPr>
        <w:t>Figure</w:t>
      </w:r>
      <w:r w:rsidR="00875D4D" w:rsidRPr="00FC6FDF">
        <w:rPr>
          <w:b/>
        </w:rPr>
        <w:t xml:space="preserve"> </w:t>
      </w:r>
      <w:r w:rsidR="004D7FBA" w:rsidRPr="00FC6FDF">
        <w:rPr>
          <w:b/>
        </w:rPr>
        <w:t>5</w:t>
      </w:r>
      <w:r w:rsidRPr="00FC6FDF">
        <w:rPr>
          <w:b/>
        </w:rPr>
        <w:tab/>
        <w:t>Mean BCVA change from baseline over time in study D2301 (RESTORE)</w:t>
      </w:r>
    </w:p>
    <w:p w:rsidR="00875D4D" w:rsidRPr="00FC6FDF" w:rsidRDefault="009326B0" w:rsidP="00875D4D">
      <w:pPr>
        <w:pStyle w:val="Text"/>
        <w:spacing w:before="0"/>
      </w:pPr>
      <w:r>
        <w:rPr>
          <w:b/>
          <w:i/>
          <w:noProof/>
          <w:lang w:val="en-AU" w:eastAsia="en-AU"/>
        </w:rPr>
        <w:drawing>
          <wp:inline distT="0" distB="0" distL="0" distR="0" wp14:anchorId="72D2721A" wp14:editId="0E704217">
            <wp:extent cx="5854700" cy="402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4700" cy="4025900"/>
                    </a:xfrm>
                    <a:prstGeom prst="rect">
                      <a:avLst/>
                    </a:prstGeom>
                    <a:noFill/>
                    <a:ln>
                      <a:noFill/>
                    </a:ln>
                  </pic:spPr>
                </pic:pic>
              </a:graphicData>
            </a:graphic>
          </wp:inline>
        </w:drawing>
      </w:r>
    </w:p>
    <w:p w:rsidR="000B2347" w:rsidRPr="00FC6FDF" w:rsidRDefault="000B2347" w:rsidP="000B2347">
      <w:pPr>
        <w:pStyle w:val="Text"/>
        <w:rPr>
          <w:b/>
          <w:i/>
        </w:rPr>
      </w:pPr>
    </w:p>
    <w:p w:rsidR="009C0C5B" w:rsidRPr="00FC6FDF" w:rsidRDefault="000B2347" w:rsidP="009C0C5B">
      <w:pPr>
        <w:pStyle w:val="Text"/>
        <w:spacing w:before="0"/>
        <w:jc w:val="left"/>
      </w:pPr>
      <w:r w:rsidRPr="00FC6FDF">
        <w:t xml:space="preserve">In </w:t>
      </w:r>
      <w:r w:rsidR="00E42C09" w:rsidRPr="00FC6FDF">
        <w:t xml:space="preserve">a supportive, partly exploratory </w:t>
      </w:r>
      <w:r w:rsidRPr="00FC6FDF">
        <w:t xml:space="preserve">study D2201 (RESOLVE), a total of 151 patients with </w:t>
      </w:r>
      <w:r w:rsidR="00E42C09" w:rsidRPr="00FC6FDF">
        <w:rPr>
          <w:lang w:val="en-US"/>
        </w:rPr>
        <w:t xml:space="preserve">DME with </w:t>
      </w:r>
      <w:proofErr w:type="spellStart"/>
      <w:r w:rsidR="00E42C09" w:rsidRPr="00FC6FDF">
        <w:rPr>
          <w:lang w:val="en-US"/>
        </w:rPr>
        <w:t>centre</w:t>
      </w:r>
      <w:proofErr w:type="spellEnd"/>
      <w:r w:rsidR="00E42C09" w:rsidRPr="00FC6FDF">
        <w:rPr>
          <w:lang w:val="en-US"/>
        </w:rPr>
        <w:t xml:space="preserve"> involvement in at least one eye, including those with focal or diffuse DME,</w:t>
      </w:r>
      <w:r w:rsidR="00E42C09" w:rsidRPr="00FC6FDF" w:rsidDel="007A46DF">
        <w:t xml:space="preserve"> </w:t>
      </w:r>
      <w:r w:rsidRPr="00FC6FDF">
        <w:t xml:space="preserve">causing visual impairment </w:t>
      </w:r>
      <w:r w:rsidR="00E42C09" w:rsidRPr="00FC6FDF">
        <w:t xml:space="preserve">were treated with </w:t>
      </w:r>
      <w:proofErr w:type="spellStart"/>
      <w:r w:rsidR="00E42C09" w:rsidRPr="00FC6FDF">
        <w:t>ranibizumab</w:t>
      </w:r>
      <w:proofErr w:type="spellEnd"/>
      <w:r w:rsidR="00E42C09" w:rsidRPr="00FC6FDF">
        <w:t xml:space="preserve"> (6 mg/mL, n=51, 10 mg/mL, n=51) or sham (n=49) by monthly </w:t>
      </w:r>
      <w:proofErr w:type="spellStart"/>
      <w:r w:rsidR="00E42C09" w:rsidRPr="00FC6FDF">
        <w:t>intravitreal</w:t>
      </w:r>
      <w:proofErr w:type="spellEnd"/>
      <w:r w:rsidR="00E42C09" w:rsidRPr="00FC6FDF">
        <w:t xml:space="preserve"> injections until pre-defined treatment stopping criteria were met.</w:t>
      </w:r>
      <w:r w:rsidRPr="00FC6FDF">
        <w:t xml:space="preserve"> The initial </w:t>
      </w:r>
      <w:proofErr w:type="spellStart"/>
      <w:r w:rsidRPr="00FC6FDF">
        <w:t>ranibizumab</w:t>
      </w:r>
      <w:proofErr w:type="spellEnd"/>
      <w:r w:rsidRPr="00FC6FDF">
        <w:t xml:space="preserve"> dose </w:t>
      </w:r>
      <w:r w:rsidR="00E42C09" w:rsidRPr="00FC6FDF">
        <w:t xml:space="preserve">(0.3 mg or 0.5 mg) </w:t>
      </w:r>
      <w:r w:rsidRPr="00FC6FDF">
        <w:lastRenderedPageBreak/>
        <w:t xml:space="preserve">could be doubled at any time during the study after the first injection </w:t>
      </w:r>
      <w:r w:rsidR="00E42C09" w:rsidRPr="00FC6FDF">
        <w:t>if at the Month 1 visit, retinal thickness in the study eye remained &gt; 300 µm; or if at any monthly visit after Month 1, retinal thickness in the study eye was &gt; 225 µm and reduction in retinal oedema from the previous assessment was &lt; 50 µm</w:t>
      </w:r>
      <w:r w:rsidRPr="00FC6FDF">
        <w:t xml:space="preserve">. Laser photocoagulation rescue treatment was allowed </w:t>
      </w:r>
      <w:r w:rsidR="00E42C09" w:rsidRPr="00FC6FDF">
        <w:t>from</w:t>
      </w:r>
      <w:r w:rsidRPr="00FC6FDF">
        <w:t xml:space="preserve"> month 3 </w:t>
      </w:r>
      <w:r w:rsidR="00E42C09" w:rsidRPr="00FC6FDF">
        <w:t>in both treatment arms</w:t>
      </w:r>
      <w:r w:rsidR="00875D4D" w:rsidRPr="00FC6FDF">
        <w:t>.</w:t>
      </w:r>
    </w:p>
    <w:p w:rsidR="009C0C5B" w:rsidRPr="00FC6FDF" w:rsidRDefault="009C0C5B" w:rsidP="009C0C5B">
      <w:pPr>
        <w:pStyle w:val="Text"/>
        <w:spacing w:before="0"/>
        <w:jc w:val="left"/>
      </w:pPr>
    </w:p>
    <w:p w:rsidR="0009104B" w:rsidRPr="00FC6FDF" w:rsidRDefault="0009104B" w:rsidP="009C0C5B">
      <w:pPr>
        <w:pStyle w:val="Text"/>
        <w:spacing w:before="0"/>
        <w:jc w:val="left"/>
      </w:pPr>
      <w:r w:rsidRPr="00FC6FDF">
        <w:t xml:space="preserve">The average injection doses in the 6 mg/mL group, 10 mg/mL group, and pooled group, were 0.47 mg, 0.76 mg and 0.62 mg, respectively. A total of 86% of patients in the </w:t>
      </w:r>
      <w:proofErr w:type="spellStart"/>
      <w:r w:rsidRPr="00FC6FDF">
        <w:t>ranibizumab</w:t>
      </w:r>
      <w:proofErr w:type="spellEnd"/>
      <w:r w:rsidRPr="00FC6FDF">
        <w:t xml:space="preserve"> treated groups received doses of 0.5 mg/injection or higher, of which 69% received doses of 0.6 mg/injection or higher.</w:t>
      </w:r>
    </w:p>
    <w:p w:rsidR="0009104B" w:rsidRPr="00FC6FDF" w:rsidRDefault="0009104B" w:rsidP="009C0C5B">
      <w:pPr>
        <w:pStyle w:val="Text"/>
        <w:spacing w:before="0"/>
        <w:jc w:val="left"/>
      </w:pPr>
    </w:p>
    <w:p w:rsidR="009C0C5B" w:rsidRPr="00FC6FDF" w:rsidRDefault="000B2347" w:rsidP="009C0C5B">
      <w:pPr>
        <w:pStyle w:val="Text"/>
        <w:spacing w:before="0"/>
        <w:jc w:val="left"/>
      </w:pPr>
      <w:r w:rsidRPr="00FC6FDF">
        <w:t xml:space="preserve">The study </w:t>
      </w:r>
      <w:r w:rsidR="0009104B" w:rsidRPr="00FC6FDF">
        <w:t xml:space="preserve">was </w:t>
      </w:r>
      <w:r w:rsidRPr="00FC6FDF">
        <w:t xml:space="preserve">comprised </w:t>
      </w:r>
      <w:r w:rsidR="0009104B" w:rsidRPr="00FC6FDF">
        <w:t xml:space="preserve">of </w:t>
      </w:r>
      <w:r w:rsidRPr="00FC6FDF">
        <w:t>two parts: an exploratory part (</w:t>
      </w:r>
      <w:r w:rsidR="0009104B" w:rsidRPr="00FC6FDF">
        <w:t>the first</w:t>
      </w:r>
      <w:r w:rsidRPr="00FC6FDF">
        <w:t xml:space="preserve"> 42 patients analysed at months </w:t>
      </w:r>
      <w:r w:rsidR="00106C5E" w:rsidRPr="00FC6FDF">
        <w:t>6</w:t>
      </w:r>
      <w:r w:rsidR="0009104B" w:rsidRPr="00FC6FDF">
        <w:t>)</w:t>
      </w:r>
      <w:r w:rsidRPr="00FC6FDF">
        <w:t>, and a confirmatory part (</w:t>
      </w:r>
      <w:r w:rsidR="0009104B" w:rsidRPr="00FC6FDF">
        <w:t>the remaining</w:t>
      </w:r>
      <w:r w:rsidRPr="00FC6FDF">
        <w:t xml:space="preserve"> 109 patients analysed at months</w:t>
      </w:r>
      <w:r w:rsidR="0009104B" w:rsidRPr="00FC6FDF">
        <w:t xml:space="preserve"> 12)</w:t>
      </w:r>
      <w:r w:rsidRPr="00FC6FDF">
        <w:t xml:space="preserve">. </w:t>
      </w:r>
    </w:p>
    <w:p w:rsidR="00106C5E" w:rsidRPr="00FC6FDF" w:rsidRDefault="00106C5E" w:rsidP="009C0C5B">
      <w:pPr>
        <w:pStyle w:val="Text"/>
        <w:spacing w:before="0"/>
        <w:jc w:val="left"/>
      </w:pPr>
    </w:p>
    <w:p w:rsidR="0065100D" w:rsidRPr="00FC6FDF" w:rsidRDefault="0009104B" w:rsidP="0065100D">
      <w:pPr>
        <w:pStyle w:val="Text"/>
        <w:spacing w:before="0"/>
        <w:jc w:val="left"/>
      </w:pPr>
      <w:r w:rsidRPr="00FC6FDF">
        <w:rPr>
          <w:lang w:val="en-US"/>
        </w:rPr>
        <w:t>The exploratory analysis revealed no sign of a clinically relevant response to dose doubling (in terms of efficacy neither for visual acuity nor for central retinal thickness). The results of this study therefore do not support the concept of dose doubling</w:t>
      </w:r>
      <w:r w:rsidR="00DB1B96" w:rsidRPr="00FC6FDF">
        <w:rPr>
          <w:rFonts w:ascii="Arial" w:hAnsi="Arial" w:cs="Arial"/>
          <w:sz w:val="20"/>
          <w:szCs w:val="20"/>
          <w:lang w:val="en-US"/>
        </w:rPr>
        <w:t xml:space="preserve"> </w:t>
      </w:r>
      <w:r w:rsidR="00DB1B96" w:rsidRPr="00FC6FDF">
        <w:rPr>
          <w:lang w:val="en-US"/>
        </w:rPr>
        <w:t>where response to the recommended dose is considered inadequate</w:t>
      </w:r>
      <w:r w:rsidRPr="00FC6FDF">
        <w:rPr>
          <w:lang w:val="en-US"/>
        </w:rPr>
        <w:t xml:space="preserve">. </w:t>
      </w:r>
      <w:r w:rsidRPr="00FC6FDF">
        <w:t xml:space="preserve">Key outcomes from the confirmatory part of the study (2/3 patients) are summarised </w:t>
      </w:r>
      <w:r w:rsidR="000B2347" w:rsidRPr="00FC6FDF">
        <w:t>in Table</w:t>
      </w:r>
      <w:r w:rsidRPr="00FC6FDF">
        <w:t>s</w:t>
      </w:r>
      <w:r w:rsidR="000B2347" w:rsidRPr="00FC6FDF">
        <w:t xml:space="preserve"> </w:t>
      </w:r>
      <w:r w:rsidRPr="00FC6FDF">
        <w:t>5 and 6</w:t>
      </w:r>
      <w:r w:rsidR="000B2347" w:rsidRPr="00FC6FDF">
        <w:t xml:space="preserve"> and Figure </w:t>
      </w:r>
      <w:r w:rsidRPr="00FC6FDF">
        <w:t>6</w:t>
      </w:r>
      <w:r w:rsidR="000B2347" w:rsidRPr="00FC6FDF">
        <w:t>.</w:t>
      </w:r>
    </w:p>
    <w:p w:rsidR="0065100D" w:rsidRPr="00FC6FDF" w:rsidRDefault="0065100D" w:rsidP="0065100D">
      <w:pPr>
        <w:pStyle w:val="Text"/>
        <w:spacing w:before="0"/>
        <w:jc w:val="left"/>
      </w:pPr>
    </w:p>
    <w:p w:rsidR="00E34BCF" w:rsidRDefault="00E34BCF">
      <w:pPr>
        <w:spacing w:line="240" w:lineRule="auto"/>
        <w:rPr>
          <w:b/>
        </w:rPr>
      </w:pPr>
      <w:r>
        <w:rPr>
          <w:b/>
        </w:rPr>
        <w:br w:type="page"/>
      </w:r>
    </w:p>
    <w:p w:rsidR="005515E9" w:rsidRPr="00FC6FDF" w:rsidRDefault="005515E9" w:rsidP="0065100D">
      <w:pPr>
        <w:pStyle w:val="Text"/>
        <w:spacing w:before="0"/>
        <w:ind w:left="1276" w:hanging="1276"/>
        <w:jc w:val="left"/>
        <w:rPr>
          <w:b/>
        </w:rPr>
      </w:pPr>
      <w:r w:rsidRPr="00FC6FDF">
        <w:rPr>
          <w:b/>
        </w:rPr>
        <w:lastRenderedPageBreak/>
        <w:t>Table 5</w:t>
      </w:r>
      <w:r w:rsidRPr="00FC6FDF">
        <w:rPr>
          <w:b/>
        </w:rPr>
        <w:tab/>
        <w:t xml:space="preserve">Overall Population, VA (study eye), mean average change in letters from baseline from month 1 to month 12; FAS, LOCF of study D2201 (RESOLVE): </w:t>
      </w:r>
    </w:p>
    <w:p w:rsidR="005515E9" w:rsidRPr="00FC6FDF" w:rsidRDefault="005515E9" w:rsidP="005515E9">
      <w:pPr>
        <w:pStyle w:val="Heading6"/>
        <w:ind w:left="0" w:firstLine="0"/>
      </w:pPr>
      <w:bookmarkStart w:id="69" w:name="_Toc240375291"/>
      <w:bookmarkStart w:id="70" w:name="_Toc239647615"/>
      <w:r w:rsidRPr="00FC6FDF">
        <w:t>Visual acuity of the study eye (letters): Mean average change from baseline from Month 1 to Month 12 (Group A+B; FAS / LOCF)</w:t>
      </w:r>
      <w:bookmarkStart w:id="71" w:name="_14172Table_1110Visual_acuity_of_the_s"/>
      <w:bookmarkStart w:id="72" w:name="_14173Table_1110Visual_acuity_of_the_s"/>
      <w:bookmarkStart w:id="73" w:name="_13969Table_1110Visual_acuity_of_the_s"/>
      <w:bookmarkStart w:id="74" w:name="_14168Table_1110Visual_acuity_of_the_s"/>
      <w:bookmarkStart w:id="75" w:name="_13968Table_1110Visual_acuity_of_the_s"/>
      <w:bookmarkStart w:id="76" w:name="_13961Table_1110Visual_acuity_of_the_s"/>
      <w:bookmarkStart w:id="77" w:name="_13960Table_1110Visual_acuity_of_the_s"/>
      <w:bookmarkStart w:id="78" w:name="_10758Table_1110Visual_acuity_of_the_s"/>
      <w:bookmarkStart w:id="79" w:name="_11359Table_1110Visual_acuity_of_the_"/>
      <w:bookmarkStart w:id="80" w:name="_11358Table_1110Visual_acuity_of_the_"/>
      <w:bookmarkStart w:id="81" w:name="_11358Table_910Visual_acuity_of_the_s"/>
      <w:bookmarkStart w:id="82" w:name="_11458Table_1110Visual_acuity_of_the_s"/>
      <w:bookmarkStart w:id="83" w:name="_11458Table_1110Visual_acuity_of_the_"/>
      <w:bookmarkStart w:id="84" w:name="_11357Table_1110Visual_acuity_of_the_s"/>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W w:w="0" w:type="auto"/>
        <w:jc w:val="center"/>
        <w:tblBorders>
          <w:top w:val="single" w:sz="4" w:space="0" w:color="auto"/>
          <w:bottom w:val="single" w:sz="4" w:space="0" w:color="auto"/>
          <w:insideH w:val="single" w:sz="4" w:space="0" w:color="auto"/>
        </w:tblBorders>
        <w:tblLayout w:type="fixed"/>
        <w:tblCellMar>
          <w:left w:w="60" w:type="dxa"/>
          <w:right w:w="60" w:type="dxa"/>
        </w:tblCellMar>
        <w:tblLook w:val="0000" w:firstRow="0" w:lastRow="0" w:firstColumn="0" w:lastColumn="0" w:noHBand="0" w:noVBand="0"/>
      </w:tblPr>
      <w:tblGrid>
        <w:gridCol w:w="1828"/>
        <w:gridCol w:w="1431"/>
        <w:gridCol w:w="1486"/>
        <w:gridCol w:w="1440"/>
        <w:gridCol w:w="1680"/>
        <w:gridCol w:w="1273"/>
      </w:tblGrid>
      <w:tr w:rsidR="005515E9" w:rsidRPr="00FC6FDF" w:rsidTr="00AB69AE">
        <w:trPr>
          <w:cantSplit/>
          <w:tblHeader/>
          <w:jc w:val="center"/>
        </w:trPr>
        <w:tc>
          <w:tcPr>
            <w:tcW w:w="1828" w:type="dxa"/>
            <w:tcBorders>
              <w:bottom w:val="single" w:sz="4" w:space="0" w:color="auto"/>
            </w:tcBorders>
            <w:shd w:val="clear" w:color="auto" w:fill="FFFFFF"/>
            <w:vAlign w:val="bottom"/>
          </w:tcPr>
          <w:p w:rsidR="005515E9" w:rsidRPr="00FC6FDF" w:rsidRDefault="005515E9" w:rsidP="00AB69AE">
            <w:pPr>
              <w:pStyle w:val="Table"/>
              <w:rPr>
                <w:b/>
                <w:sz w:val="18"/>
                <w:szCs w:val="18"/>
              </w:rPr>
            </w:pPr>
            <w:r w:rsidRPr="00FC6FDF">
              <w:rPr>
                <w:b/>
                <w:sz w:val="18"/>
                <w:szCs w:val="18"/>
              </w:rPr>
              <w:t>Parameter</w:t>
            </w:r>
          </w:p>
        </w:tc>
        <w:tc>
          <w:tcPr>
            <w:tcW w:w="1431" w:type="dxa"/>
            <w:tcBorders>
              <w:bottom w:val="single" w:sz="4" w:space="0" w:color="auto"/>
            </w:tcBorders>
            <w:shd w:val="clear" w:color="auto" w:fill="FFFFFF"/>
            <w:vAlign w:val="bottom"/>
          </w:tcPr>
          <w:p w:rsidR="005515E9" w:rsidRPr="00FC6FDF" w:rsidRDefault="005515E9" w:rsidP="00AB69AE">
            <w:pPr>
              <w:pStyle w:val="Table"/>
              <w:rPr>
                <w:b/>
                <w:sz w:val="18"/>
                <w:szCs w:val="18"/>
              </w:rPr>
            </w:pPr>
            <w:r w:rsidRPr="00FC6FDF">
              <w:rPr>
                <w:b/>
                <w:sz w:val="18"/>
                <w:szCs w:val="18"/>
              </w:rPr>
              <w:t>Statistic</w:t>
            </w:r>
          </w:p>
        </w:tc>
        <w:tc>
          <w:tcPr>
            <w:tcW w:w="1486" w:type="dxa"/>
            <w:tcBorders>
              <w:bottom w:val="single" w:sz="4" w:space="0" w:color="auto"/>
            </w:tcBorders>
            <w:shd w:val="clear" w:color="auto" w:fill="FFFFFF"/>
            <w:vAlign w:val="bottom"/>
          </w:tcPr>
          <w:p w:rsidR="005515E9" w:rsidRPr="00FC6FDF" w:rsidRDefault="005515E9" w:rsidP="00AB69AE">
            <w:pPr>
              <w:pStyle w:val="Table"/>
              <w:jc w:val="center"/>
              <w:rPr>
                <w:b/>
                <w:sz w:val="18"/>
                <w:szCs w:val="18"/>
              </w:rPr>
            </w:pPr>
            <w:proofErr w:type="spellStart"/>
            <w:r w:rsidRPr="00FC6FDF">
              <w:rPr>
                <w:b/>
                <w:sz w:val="18"/>
                <w:szCs w:val="18"/>
              </w:rPr>
              <w:t>Ranibizumab</w:t>
            </w:r>
            <w:proofErr w:type="spellEnd"/>
            <w:r w:rsidRPr="00FC6FDF">
              <w:rPr>
                <w:b/>
                <w:sz w:val="18"/>
                <w:szCs w:val="18"/>
              </w:rPr>
              <w:br/>
              <w:t>6 mg/ml</w:t>
            </w:r>
            <w:r w:rsidRPr="00FC6FDF">
              <w:rPr>
                <w:b/>
                <w:sz w:val="18"/>
                <w:szCs w:val="18"/>
              </w:rPr>
              <w:br/>
              <w:t>N=51</w:t>
            </w:r>
          </w:p>
        </w:tc>
        <w:tc>
          <w:tcPr>
            <w:tcW w:w="1440" w:type="dxa"/>
            <w:tcBorders>
              <w:bottom w:val="single" w:sz="4" w:space="0" w:color="auto"/>
            </w:tcBorders>
            <w:shd w:val="clear" w:color="auto" w:fill="FFFFFF"/>
            <w:vAlign w:val="bottom"/>
          </w:tcPr>
          <w:p w:rsidR="005515E9" w:rsidRPr="00FC6FDF" w:rsidRDefault="005515E9" w:rsidP="00AB69AE">
            <w:pPr>
              <w:pStyle w:val="Table"/>
              <w:jc w:val="center"/>
              <w:rPr>
                <w:b/>
                <w:sz w:val="18"/>
                <w:szCs w:val="18"/>
              </w:rPr>
            </w:pPr>
            <w:proofErr w:type="spellStart"/>
            <w:r w:rsidRPr="00FC6FDF">
              <w:rPr>
                <w:b/>
                <w:sz w:val="18"/>
                <w:szCs w:val="18"/>
              </w:rPr>
              <w:t>Ranibizumab</w:t>
            </w:r>
            <w:proofErr w:type="spellEnd"/>
            <w:r w:rsidRPr="00FC6FDF">
              <w:rPr>
                <w:b/>
                <w:sz w:val="18"/>
                <w:szCs w:val="18"/>
              </w:rPr>
              <w:br/>
              <w:t>10 mg/ml</w:t>
            </w:r>
            <w:r w:rsidRPr="00FC6FDF">
              <w:rPr>
                <w:b/>
                <w:sz w:val="18"/>
                <w:szCs w:val="18"/>
              </w:rPr>
              <w:br/>
              <w:t>N=51</w:t>
            </w:r>
          </w:p>
        </w:tc>
        <w:tc>
          <w:tcPr>
            <w:tcW w:w="1680" w:type="dxa"/>
            <w:tcBorders>
              <w:bottom w:val="single" w:sz="4" w:space="0" w:color="auto"/>
            </w:tcBorders>
            <w:shd w:val="clear" w:color="auto" w:fill="FFFFFF"/>
            <w:vAlign w:val="bottom"/>
          </w:tcPr>
          <w:p w:rsidR="005515E9" w:rsidRPr="00FC6FDF" w:rsidRDefault="005515E9" w:rsidP="00AB69AE">
            <w:pPr>
              <w:pStyle w:val="Table"/>
              <w:jc w:val="center"/>
              <w:rPr>
                <w:b/>
                <w:sz w:val="18"/>
                <w:szCs w:val="18"/>
              </w:rPr>
            </w:pPr>
            <w:proofErr w:type="spellStart"/>
            <w:r w:rsidRPr="00FC6FDF">
              <w:rPr>
                <w:b/>
                <w:sz w:val="18"/>
                <w:szCs w:val="18"/>
              </w:rPr>
              <w:t>Ranibizumab</w:t>
            </w:r>
            <w:proofErr w:type="spellEnd"/>
            <w:r w:rsidRPr="00FC6FDF">
              <w:rPr>
                <w:b/>
                <w:sz w:val="18"/>
                <w:szCs w:val="18"/>
              </w:rPr>
              <w:br/>
              <w:t>Pooled</w:t>
            </w:r>
            <w:r w:rsidRPr="00FC6FDF">
              <w:rPr>
                <w:b/>
                <w:sz w:val="18"/>
                <w:szCs w:val="18"/>
              </w:rPr>
              <w:br/>
              <w:t>N=102</w:t>
            </w:r>
          </w:p>
        </w:tc>
        <w:tc>
          <w:tcPr>
            <w:tcW w:w="1273" w:type="dxa"/>
            <w:tcBorders>
              <w:bottom w:val="single" w:sz="4" w:space="0" w:color="auto"/>
            </w:tcBorders>
            <w:shd w:val="clear" w:color="auto" w:fill="FFFFFF"/>
            <w:vAlign w:val="bottom"/>
          </w:tcPr>
          <w:p w:rsidR="005515E9" w:rsidRPr="00FC6FDF" w:rsidRDefault="005515E9" w:rsidP="00AB69AE">
            <w:pPr>
              <w:pStyle w:val="Table"/>
              <w:jc w:val="center"/>
              <w:rPr>
                <w:b/>
                <w:sz w:val="18"/>
                <w:szCs w:val="18"/>
              </w:rPr>
            </w:pPr>
            <w:r w:rsidRPr="00FC6FDF">
              <w:rPr>
                <w:b/>
                <w:sz w:val="18"/>
                <w:szCs w:val="18"/>
              </w:rPr>
              <w:t>Sham</w:t>
            </w:r>
            <w:r w:rsidRPr="00FC6FDF">
              <w:rPr>
                <w:b/>
                <w:sz w:val="18"/>
                <w:szCs w:val="18"/>
              </w:rPr>
              <w:br/>
              <w:t>N=49</w:t>
            </w:r>
          </w:p>
        </w:tc>
      </w:tr>
      <w:tr w:rsidR="005515E9" w:rsidRPr="00FC6FDF" w:rsidTr="00AB69AE">
        <w:trPr>
          <w:cantSplit/>
          <w:jc w:val="center"/>
        </w:trPr>
        <w:tc>
          <w:tcPr>
            <w:tcW w:w="1828" w:type="dxa"/>
            <w:tcBorders>
              <w:bottom w:val="nil"/>
            </w:tcBorders>
            <w:shd w:val="clear" w:color="auto" w:fill="FFFFFF"/>
          </w:tcPr>
          <w:p w:rsidR="005515E9" w:rsidRPr="00FC6FDF" w:rsidRDefault="005515E9" w:rsidP="00AB69AE">
            <w:pPr>
              <w:pStyle w:val="Table"/>
              <w:rPr>
                <w:sz w:val="18"/>
                <w:szCs w:val="18"/>
              </w:rPr>
            </w:pPr>
            <w:r w:rsidRPr="00FC6FDF">
              <w:rPr>
                <w:sz w:val="18"/>
                <w:szCs w:val="18"/>
              </w:rPr>
              <w:t>Baseline</w:t>
            </w:r>
          </w:p>
        </w:tc>
        <w:tc>
          <w:tcPr>
            <w:tcW w:w="1431" w:type="dxa"/>
            <w:tcBorders>
              <w:bottom w:val="nil"/>
            </w:tcBorders>
            <w:shd w:val="clear" w:color="auto" w:fill="FFFFFF"/>
          </w:tcPr>
          <w:p w:rsidR="005515E9" w:rsidRPr="00FC6FDF" w:rsidRDefault="005515E9" w:rsidP="00AB69AE">
            <w:pPr>
              <w:pStyle w:val="Table"/>
              <w:rPr>
                <w:sz w:val="18"/>
                <w:szCs w:val="18"/>
              </w:rPr>
            </w:pPr>
            <w:r w:rsidRPr="00FC6FDF">
              <w:rPr>
                <w:sz w:val="18"/>
                <w:szCs w:val="18"/>
              </w:rPr>
              <w:t>n</w:t>
            </w:r>
          </w:p>
        </w:tc>
        <w:tc>
          <w:tcPr>
            <w:tcW w:w="1486" w:type="dxa"/>
            <w:tcBorders>
              <w:bottom w:val="nil"/>
            </w:tcBorders>
            <w:shd w:val="clear" w:color="auto" w:fill="FFFFFF"/>
          </w:tcPr>
          <w:p w:rsidR="005515E9" w:rsidRPr="00FC6FDF" w:rsidRDefault="005515E9" w:rsidP="00AB69AE">
            <w:pPr>
              <w:pStyle w:val="Table"/>
              <w:jc w:val="center"/>
              <w:rPr>
                <w:sz w:val="18"/>
                <w:szCs w:val="18"/>
              </w:rPr>
            </w:pPr>
            <w:r w:rsidRPr="00FC6FDF">
              <w:rPr>
                <w:sz w:val="18"/>
                <w:szCs w:val="18"/>
              </w:rPr>
              <w:t>51</w:t>
            </w:r>
          </w:p>
        </w:tc>
        <w:tc>
          <w:tcPr>
            <w:tcW w:w="1440" w:type="dxa"/>
            <w:tcBorders>
              <w:bottom w:val="nil"/>
            </w:tcBorders>
            <w:shd w:val="clear" w:color="auto" w:fill="FFFFFF"/>
          </w:tcPr>
          <w:p w:rsidR="005515E9" w:rsidRPr="00FC6FDF" w:rsidRDefault="005515E9" w:rsidP="00AB69AE">
            <w:pPr>
              <w:pStyle w:val="Table"/>
              <w:jc w:val="center"/>
              <w:rPr>
                <w:sz w:val="18"/>
                <w:szCs w:val="18"/>
              </w:rPr>
            </w:pPr>
            <w:r w:rsidRPr="00FC6FDF">
              <w:rPr>
                <w:sz w:val="18"/>
                <w:szCs w:val="18"/>
              </w:rPr>
              <w:t>51</w:t>
            </w:r>
          </w:p>
        </w:tc>
        <w:tc>
          <w:tcPr>
            <w:tcW w:w="1680" w:type="dxa"/>
            <w:tcBorders>
              <w:bottom w:val="nil"/>
            </w:tcBorders>
            <w:shd w:val="clear" w:color="auto" w:fill="FFFFFF"/>
          </w:tcPr>
          <w:p w:rsidR="005515E9" w:rsidRPr="00FC6FDF" w:rsidRDefault="005515E9" w:rsidP="00AB69AE">
            <w:pPr>
              <w:pStyle w:val="Table"/>
              <w:jc w:val="center"/>
              <w:rPr>
                <w:sz w:val="18"/>
                <w:szCs w:val="18"/>
              </w:rPr>
            </w:pPr>
            <w:r w:rsidRPr="00FC6FDF">
              <w:rPr>
                <w:sz w:val="18"/>
                <w:szCs w:val="18"/>
              </w:rPr>
              <w:t>102</w:t>
            </w:r>
          </w:p>
        </w:tc>
        <w:tc>
          <w:tcPr>
            <w:tcW w:w="1273" w:type="dxa"/>
            <w:tcBorders>
              <w:bottom w:val="nil"/>
            </w:tcBorders>
            <w:shd w:val="clear" w:color="auto" w:fill="FFFFFF"/>
          </w:tcPr>
          <w:p w:rsidR="005515E9" w:rsidRPr="00FC6FDF" w:rsidRDefault="005515E9" w:rsidP="00AB69AE">
            <w:pPr>
              <w:pStyle w:val="Table"/>
              <w:jc w:val="center"/>
              <w:rPr>
                <w:sz w:val="18"/>
                <w:szCs w:val="18"/>
              </w:rPr>
            </w:pPr>
            <w:r w:rsidRPr="00FC6FDF">
              <w:rPr>
                <w:sz w:val="18"/>
                <w:szCs w:val="18"/>
              </w:rPr>
              <w:t>49</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Mean (SD)</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59.2 (10.23)</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61.2 (9.48)</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60.2 (9.86)</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61.1 (9.04)</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Median</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61.0</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61.0</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61.0</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63.0</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Min-Max</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37.0-73.0</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39.0-79.0</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37.0-79.0</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39.0-76.0</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Average Month 1 to Month 12</w:t>
            </w: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Mean (SD)</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68.4 (11.09)</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67.5 (12.37)</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68.0 (11.70)</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61.0 (13.91)</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Median</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69.4</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70.4</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70.3</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63.0</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Min-Max</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38.9-87.9</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34.8-88.3</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34.8-88.3</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19.9-83.1</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Average change from baseline</w:t>
            </w: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Mean (SD)</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9.2 (5.60)</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6.4 (9.21)</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7.8 (7.72)</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-0.1 (9.77)</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Median</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9.5</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7.4</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8.2</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2.8</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Min-Max</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-2.9-24.3</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-24.9-21.4</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-24.9-24.3</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-36.1-14.8</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95% CI for mean (1)</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(7.7, 10.8)</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(3.8, 9.0)</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(6.3, 9.3)</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(-2.9, 2.7)</w:t>
            </w: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Comparison vs. sham</w:t>
            </w: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Difference in LS means (2)</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9.4</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6.7</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7.9</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p>
        </w:tc>
      </w:tr>
      <w:tr w:rsidR="005515E9" w:rsidRPr="00FC6FDF" w:rsidTr="00AB69AE">
        <w:trPr>
          <w:cantSplit/>
          <w:jc w:val="center"/>
        </w:trPr>
        <w:tc>
          <w:tcPr>
            <w:tcW w:w="1828" w:type="dxa"/>
            <w:tcBorders>
              <w:top w:val="nil"/>
              <w:bottom w:val="nil"/>
            </w:tcBorders>
            <w:shd w:val="clear" w:color="auto" w:fill="FFFFFF"/>
          </w:tcPr>
          <w:p w:rsidR="005515E9" w:rsidRPr="00FC6FDF" w:rsidRDefault="005515E9" w:rsidP="00AB69AE">
            <w:pPr>
              <w:pStyle w:val="Table"/>
              <w:rPr>
                <w:sz w:val="18"/>
                <w:szCs w:val="18"/>
              </w:rPr>
            </w:pPr>
          </w:p>
        </w:tc>
        <w:tc>
          <w:tcPr>
            <w:tcW w:w="1431" w:type="dxa"/>
            <w:tcBorders>
              <w:top w:val="nil"/>
              <w:bottom w:val="nil"/>
            </w:tcBorders>
            <w:shd w:val="clear" w:color="auto" w:fill="FFFFFF"/>
          </w:tcPr>
          <w:p w:rsidR="005515E9" w:rsidRPr="00FC6FDF" w:rsidRDefault="005515E9" w:rsidP="00AB69AE">
            <w:pPr>
              <w:pStyle w:val="Table"/>
              <w:rPr>
                <w:sz w:val="18"/>
                <w:szCs w:val="18"/>
              </w:rPr>
            </w:pPr>
            <w:r w:rsidRPr="00FC6FDF">
              <w:rPr>
                <w:sz w:val="18"/>
                <w:szCs w:val="18"/>
              </w:rPr>
              <w:t>95% CI for difference (2)</w:t>
            </w:r>
          </w:p>
        </w:tc>
        <w:tc>
          <w:tcPr>
            <w:tcW w:w="1486"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(6.2, 12.6)</w:t>
            </w:r>
          </w:p>
        </w:tc>
        <w:tc>
          <w:tcPr>
            <w:tcW w:w="144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(3.0, 10.5)</w:t>
            </w:r>
          </w:p>
        </w:tc>
        <w:tc>
          <w:tcPr>
            <w:tcW w:w="1680" w:type="dxa"/>
            <w:tcBorders>
              <w:top w:val="nil"/>
              <w:bottom w:val="nil"/>
            </w:tcBorders>
            <w:shd w:val="clear" w:color="auto" w:fill="FFFFFF"/>
          </w:tcPr>
          <w:p w:rsidR="005515E9" w:rsidRPr="00FC6FDF" w:rsidRDefault="005515E9" w:rsidP="00AB69AE">
            <w:pPr>
              <w:pStyle w:val="Table"/>
              <w:jc w:val="center"/>
              <w:rPr>
                <w:sz w:val="18"/>
                <w:szCs w:val="18"/>
              </w:rPr>
            </w:pPr>
            <w:r w:rsidRPr="00FC6FDF">
              <w:rPr>
                <w:sz w:val="18"/>
                <w:szCs w:val="18"/>
              </w:rPr>
              <w:t>(5.0, 10.9)</w:t>
            </w:r>
          </w:p>
        </w:tc>
        <w:tc>
          <w:tcPr>
            <w:tcW w:w="1273" w:type="dxa"/>
            <w:tcBorders>
              <w:top w:val="nil"/>
              <w:bottom w:val="nil"/>
            </w:tcBorders>
            <w:shd w:val="clear" w:color="auto" w:fill="FFFFFF"/>
          </w:tcPr>
          <w:p w:rsidR="005515E9" w:rsidRPr="00FC6FDF" w:rsidRDefault="005515E9" w:rsidP="00AB69AE">
            <w:pPr>
              <w:pStyle w:val="Table"/>
              <w:jc w:val="center"/>
              <w:rPr>
                <w:sz w:val="18"/>
                <w:szCs w:val="18"/>
              </w:rPr>
            </w:pPr>
          </w:p>
        </w:tc>
      </w:tr>
      <w:tr w:rsidR="005515E9" w:rsidRPr="00FC6FDF" w:rsidTr="00AB69AE">
        <w:trPr>
          <w:cantSplit/>
          <w:jc w:val="center"/>
        </w:trPr>
        <w:tc>
          <w:tcPr>
            <w:tcW w:w="1828" w:type="dxa"/>
            <w:tcBorders>
              <w:top w:val="nil"/>
              <w:bottom w:val="single" w:sz="4" w:space="0" w:color="auto"/>
            </w:tcBorders>
            <w:shd w:val="clear" w:color="auto" w:fill="FFFFFF"/>
          </w:tcPr>
          <w:p w:rsidR="005515E9" w:rsidRPr="00FC6FDF" w:rsidRDefault="005515E9" w:rsidP="00AB69AE">
            <w:pPr>
              <w:pStyle w:val="Table"/>
              <w:rPr>
                <w:sz w:val="18"/>
                <w:szCs w:val="18"/>
              </w:rPr>
            </w:pPr>
          </w:p>
        </w:tc>
        <w:tc>
          <w:tcPr>
            <w:tcW w:w="1431" w:type="dxa"/>
            <w:tcBorders>
              <w:top w:val="nil"/>
              <w:bottom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p-value (3)</w:t>
            </w:r>
          </w:p>
        </w:tc>
        <w:tc>
          <w:tcPr>
            <w:tcW w:w="1486" w:type="dxa"/>
            <w:tcBorders>
              <w:top w:val="nil"/>
              <w:bottom w:val="single" w:sz="4" w:space="0" w:color="auto"/>
            </w:tcBorders>
            <w:shd w:val="clear" w:color="auto" w:fill="FFFFFF"/>
          </w:tcPr>
          <w:p w:rsidR="005515E9" w:rsidRPr="00FC6FDF" w:rsidRDefault="005515E9" w:rsidP="00AB69AE">
            <w:pPr>
              <w:pStyle w:val="Table"/>
              <w:jc w:val="center"/>
              <w:rPr>
                <w:sz w:val="18"/>
                <w:szCs w:val="18"/>
              </w:rPr>
            </w:pPr>
            <w:r w:rsidRPr="00FC6FDF">
              <w:rPr>
                <w:sz w:val="18"/>
                <w:szCs w:val="18"/>
              </w:rPr>
              <w:t>&lt;0.0001</w:t>
            </w:r>
          </w:p>
        </w:tc>
        <w:tc>
          <w:tcPr>
            <w:tcW w:w="1440" w:type="dxa"/>
            <w:tcBorders>
              <w:top w:val="nil"/>
              <w:bottom w:val="single" w:sz="4" w:space="0" w:color="auto"/>
            </w:tcBorders>
            <w:shd w:val="clear" w:color="auto" w:fill="FFFFFF"/>
          </w:tcPr>
          <w:p w:rsidR="005515E9" w:rsidRPr="00FC6FDF" w:rsidRDefault="005515E9" w:rsidP="00AB69AE">
            <w:pPr>
              <w:pStyle w:val="Table"/>
              <w:jc w:val="center"/>
              <w:rPr>
                <w:sz w:val="18"/>
                <w:szCs w:val="18"/>
              </w:rPr>
            </w:pPr>
            <w:r w:rsidRPr="00FC6FDF">
              <w:rPr>
                <w:sz w:val="18"/>
                <w:szCs w:val="18"/>
              </w:rPr>
              <w:t>0.0004</w:t>
            </w:r>
          </w:p>
        </w:tc>
        <w:tc>
          <w:tcPr>
            <w:tcW w:w="1680" w:type="dxa"/>
            <w:tcBorders>
              <w:top w:val="nil"/>
              <w:bottom w:val="single" w:sz="4" w:space="0" w:color="auto"/>
            </w:tcBorders>
            <w:shd w:val="clear" w:color="auto" w:fill="FFFFFF"/>
          </w:tcPr>
          <w:p w:rsidR="005515E9" w:rsidRPr="00FC6FDF" w:rsidRDefault="005515E9" w:rsidP="00AB69AE">
            <w:pPr>
              <w:pStyle w:val="Table"/>
              <w:jc w:val="center"/>
              <w:rPr>
                <w:sz w:val="18"/>
                <w:szCs w:val="18"/>
              </w:rPr>
            </w:pPr>
            <w:r w:rsidRPr="00FC6FDF">
              <w:rPr>
                <w:sz w:val="18"/>
                <w:szCs w:val="18"/>
              </w:rPr>
              <w:t>&lt;0.0001</w:t>
            </w:r>
          </w:p>
        </w:tc>
        <w:tc>
          <w:tcPr>
            <w:tcW w:w="1273" w:type="dxa"/>
            <w:tcBorders>
              <w:top w:val="nil"/>
              <w:bottom w:val="single" w:sz="4" w:space="0" w:color="auto"/>
            </w:tcBorders>
            <w:shd w:val="clear" w:color="auto" w:fill="FFFFFF"/>
          </w:tcPr>
          <w:p w:rsidR="005515E9" w:rsidRPr="00FC6FDF" w:rsidRDefault="005515E9" w:rsidP="00AB69AE">
            <w:pPr>
              <w:pStyle w:val="Table"/>
              <w:jc w:val="center"/>
              <w:rPr>
                <w:sz w:val="18"/>
                <w:szCs w:val="18"/>
              </w:rPr>
            </w:pPr>
          </w:p>
        </w:tc>
      </w:tr>
      <w:tr w:rsidR="005515E9" w:rsidRPr="00FC6FDF" w:rsidTr="00AB69AE">
        <w:trPr>
          <w:cantSplit/>
          <w:jc w:val="center"/>
        </w:trPr>
        <w:tc>
          <w:tcPr>
            <w:tcW w:w="9138" w:type="dxa"/>
            <w:gridSpan w:val="6"/>
            <w:tcBorders>
              <w:bottom w:val="nil"/>
            </w:tcBorders>
            <w:shd w:val="clear" w:color="auto" w:fill="FFFFFF"/>
          </w:tcPr>
          <w:p w:rsidR="005515E9" w:rsidRPr="00FC6FDF" w:rsidRDefault="005515E9" w:rsidP="00AB69AE">
            <w:pPr>
              <w:pStyle w:val="Text"/>
              <w:spacing w:before="0" w:line="240" w:lineRule="auto"/>
              <w:jc w:val="left"/>
              <w:rPr>
                <w:sz w:val="18"/>
                <w:szCs w:val="18"/>
              </w:rPr>
            </w:pPr>
            <w:r w:rsidRPr="00FC6FDF">
              <w:rPr>
                <w:sz w:val="18"/>
                <w:szCs w:val="18"/>
              </w:rPr>
              <w:t>- n is the number of patients with a value for both baseline and average Month 1 to Month 12</w:t>
            </w:r>
            <w:r w:rsidRPr="00FC6FDF">
              <w:rPr>
                <w:sz w:val="18"/>
                <w:szCs w:val="18"/>
              </w:rPr>
              <w:br/>
              <w:t>- Stratified analysis includes baseline visual acuity (&lt;=60, &gt;60 letters) and baseline central retinal thickness (&lt;=400, &gt;400 µm).</w:t>
            </w:r>
            <w:r w:rsidRPr="00FC6FDF">
              <w:rPr>
                <w:sz w:val="18"/>
                <w:szCs w:val="18"/>
              </w:rPr>
              <w:br/>
              <w:t>- (1) Two-sided 95% confidence intervals (CI) are based on t-distribution.</w:t>
            </w:r>
            <w:r w:rsidRPr="00FC6FDF">
              <w:rPr>
                <w:sz w:val="18"/>
                <w:szCs w:val="18"/>
              </w:rPr>
              <w:br/>
              <w:t>- (2) Differences in LS means and the two-sided 95% CIs are estimated from pair wise ANOVA (stratified) model.</w:t>
            </w:r>
            <w:r w:rsidRPr="00FC6FDF">
              <w:rPr>
                <w:sz w:val="18"/>
                <w:szCs w:val="18"/>
              </w:rPr>
              <w:br/>
              <w:t>- (3) p-values for treatment difference are from the two-sided stratified Cochran-Mantel-</w:t>
            </w:r>
            <w:proofErr w:type="spellStart"/>
            <w:r w:rsidRPr="00FC6FDF">
              <w:rPr>
                <w:sz w:val="18"/>
                <w:szCs w:val="18"/>
              </w:rPr>
              <w:t>Haenszel</w:t>
            </w:r>
            <w:proofErr w:type="spellEnd"/>
            <w:r w:rsidRPr="00FC6FDF">
              <w:rPr>
                <w:sz w:val="18"/>
                <w:szCs w:val="18"/>
              </w:rPr>
              <w:t xml:space="preserve"> test using the row means score statistics.</w:t>
            </w:r>
          </w:p>
        </w:tc>
      </w:tr>
    </w:tbl>
    <w:p w:rsidR="005515E9" w:rsidRPr="00FC6FDF" w:rsidRDefault="005515E9" w:rsidP="005515E9"/>
    <w:p w:rsidR="005515E9" w:rsidRPr="00FC6FDF" w:rsidRDefault="001025AD" w:rsidP="005515E9">
      <w:pPr>
        <w:pStyle w:val="Heading7"/>
        <w:keepNext w:val="0"/>
        <w:widowControl w:val="0"/>
        <w:tabs>
          <w:tab w:val="left" w:pos="1418"/>
        </w:tabs>
        <w:ind w:left="1418" w:hanging="1418"/>
        <w:rPr>
          <w:u w:val="none"/>
        </w:rPr>
      </w:pPr>
      <w:r w:rsidRPr="00FC6FDF">
        <w:rPr>
          <w:u w:val="none"/>
        </w:rPr>
        <w:br w:type="page"/>
      </w:r>
      <w:r w:rsidR="005515E9" w:rsidRPr="00FC6FDF">
        <w:rPr>
          <w:u w:val="none"/>
        </w:rPr>
        <w:lastRenderedPageBreak/>
        <w:t>Table 6</w:t>
      </w:r>
      <w:r w:rsidR="005515E9" w:rsidRPr="00FC6FDF">
        <w:rPr>
          <w:u w:val="none"/>
        </w:rPr>
        <w:tab/>
        <w:t>Overall Population, treatment comparisons key secondary efficacy variables; FAS (LOCF) of study D2201 (RESOLVE)</w:t>
      </w:r>
    </w:p>
    <w:p w:rsidR="005515E9" w:rsidRPr="00FC6FDF" w:rsidRDefault="005515E9" w:rsidP="005515E9"/>
    <w:tbl>
      <w:tblPr>
        <w:tblW w:w="0" w:type="auto"/>
        <w:jc w:val="center"/>
        <w:tblBorders>
          <w:top w:val="single" w:sz="4" w:space="0" w:color="auto"/>
          <w:bottom w:val="single" w:sz="4" w:space="0" w:color="auto"/>
          <w:insideH w:val="single" w:sz="4" w:space="0" w:color="auto"/>
        </w:tblBorders>
        <w:tblLayout w:type="fixed"/>
        <w:tblCellMar>
          <w:left w:w="60" w:type="dxa"/>
          <w:right w:w="60" w:type="dxa"/>
        </w:tblCellMar>
        <w:tblLook w:val="0000" w:firstRow="0" w:lastRow="0" w:firstColumn="0" w:lastColumn="0" w:noHBand="0" w:noVBand="0"/>
      </w:tblPr>
      <w:tblGrid>
        <w:gridCol w:w="3399"/>
        <w:gridCol w:w="1440"/>
        <w:gridCol w:w="1440"/>
        <w:gridCol w:w="1440"/>
        <w:gridCol w:w="1225"/>
      </w:tblGrid>
      <w:tr w:rsidR="005515E9" w:rsidRPr="00FC6FDF" w:rsidTr="00AB69AE">
        <w:trPr>
          <w:cantSplit/>
          <w:tblHeader/>
          <w:jc w:val="center"/>
        </w:trPr>
        <w:tc>
          <w:tcPr>
            <w:tcW w:w="3399" w:type="dxa"/>
            <w:tcBorders>
              <w:left w:val="nil"/>
              <w:bottom w:val="single" w:sz="4" w:space="0" w:color="auto"/>
              <w:right w:val="single" w:sz="4" w:space="0" w:color="auto"/>
            </w:tcBorders>
            <w:shd w:val="clear" w:color="auto" w:fill="FFFFFF"/>
          </w:tcPr>
          <w:p w:rsidR="005515E9" w:rsidRPr="00FC6FDF" w:rsidRDefault="005515E9" w:rsidP="00AB69AE">
            <w:pPr>
              <w:pStyle w:val="Table"/>
              <w:spacing w:before="0" w:after="0" w:line="240" w:lineRule="auto"/>
              <w:rPr>
                <w:b/>
                <w:sz w:val="18"/>
                <w:szCs w:val="18"/>
              </w:rPr>
            </w:pPr>
            <w:r w:rsidRPr="00FC6FDF">
              <w:rPr>
                <w:b/>
                <w:sz w:val="18"/>
                <w:szCs w:val="18"/>
              </w:rPr>
              <w:t>Variable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5515E9" w:rsidRPr="00FC6FDF" w:rsidRDefault="005515E9" w:rsidP="00AB69AE">
            <w:pPr>
              <w:pStyle w:val="Table"/>
              <w:spacing w:before="0" w:after="0" w:line="240" w:lineRule="auto"/>
              <w:rPr>
                <w:b/>
                <w:sz w:val="18"/>
                <w:szCs w:val="18"/>
              </w:rPr>
            </w:pPr>
            <w:r w:rsidRPr="00FC6FDF">
              <w:rPr>
                <w:b/>
                <w:sz w:val="18"/>
                <w:szCs w:val="18"/>
              </w:rPr>
              <w:t>Ran 6mg/mL</w:t>
            </w:r>
          </w:p>
          <w:p w:rsidR="005515E9" w:rsidRPr="00FC6FDF" w:rsidRDefault="005515E9" w:rsidP="00AB69AE">
            <w:pPr>
              <w:pStyle w:val="Table"/>
              <w:spacing w:before="0" w:after="0" w:line="240" w:lineRule="auto"/>
              <w:rPr>
                <w:b/>
                <w:sz w:val="18"/>
                <w:szCs w:val="18"/>
              </w:rPr>
            </w:pPr>
            <w:r w:rsidRPr="00FC6FDF">
              <w:rPr>
                <w:b/>
                <w:sz w:val="18"/>
                <w:szCs w:val="18"/>
              </w:rPr>
              <w:t>(n=51)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5515E9" w:rsidRPr="00FC6FDF" w:rsidRDefault="005515E9" w:rsidP="00AB69AE">
            <w:pPr>
              <w:pStyle w:val="Table"/>
              <w:spacing w:before="0" w:after="0" w:line="240" w:lineRule="auto"/>
              <w:rPr>
                <w:b/>
                <w:sz w:val="18"/>
                <w:szCs w:val="18"/>
              </w:rPr>
            </w:pPr>
            <w:r w:rsidRPr="00FC6FDF">
              <w:rPr>
                <w:b/>
                <w:sz w:val="18"/>
                <w:szCs w:val="18"/>
              </w:rPr>
              <w:t>Ran 10mg/mL</w:t>
            </w:r>
          </w:p>
          <w:p w:rsidR="005515E9" w:rsidRPr="00FC6FDF" w:rsidRDefault="005515E9" w:rsidP="00AB69AE">
            <w:pPr>
              <w:pStyle w:val="Table"/>
              <w:spacing w:before="0" w:after="0" w:line="240" w:lineRule="auto"/>
              <w:rPr>
                <w:b/>
                <w:sz w:val="18"/>
                <w:szCs w:val="18"/>
              </w:rPr>
            </w:pPr>
            <w:r w:rsidRPr="00FC6FDF">
              <w:rPr>
                <w:b/>
                <w:sz w:val="18"/>
                <w:szCs w:val="18"/>
              </w:rPr>
              <w:t>(n=51)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5515E9" w:rsidRPr="00FC6FDF" w:rsidRDefault="005515E9" w:rsidP="00AB69AE">
            <w:pPr>
              <w:pStyle w:val="Table"/>
              <w:spacing w:before="0" w:after="0" w:line="240" w:lineRule="auto"/>
              <w:rPr>
                <w:b/>
                <w:sz w:val="18"/>
                <w:szCs w:val="18"/>
              </w:rPr>
            </w:pPr>
            <w:r w:rsidRPr="00FC6FDF">
              <w:rPr>
                <w:b/>
                <w:sz w:val="18"/>
                <w:szCs w:val="18"/>
              </w:rPr>
              <w:t>Ran Pooled</w:t>
            </w:r>
          </w:p>
          <w:p w:rsidR="005515E9" w:rsidRPr="00FC6FDF" w:rsidRDefault="005515E9" w:rsidP="00AB69AE">
            <w:pPr>
              <w:pStyle w:val="Table"/>
              <w:spacing w:before="0" w:after="0" w:line="240" w:lineRule="auto"/>
              <w:rPr>
                <w:b/>
                <w:sz w:val="18"/>
                <w:szCs w:val="18"/>
              </w:rPr>
            </w:pPr>
            <w:r w:rsidRPr="00FC6FDF">
              <w:rPr>
                <w:b/>
                <w:sz w:val="18"/>
                <w:szCs w:val="18"/>
              </w:rPr>
              <w:t>(n=102)</w:t>
            </w:r>
          </w:p>
        </w:tc>
        <w:tc>
          <w:tcPr>
            <w:tcW w:w="1225" w:type="dxa"/>
            <w:tcBorders>
              <w:top w:val="single" w:sz="4" w:space="0" w:color="auto"/>
              <w:left w:val="single" w:sz="4" w:space="0" w:color="auto"/>
              <w:bottom w:val="single" w:sz="4" w:space="0" w:color="auto"/>
              <w:right w:val="nil"/>
            </w:tcBorders>
            <w:shd w:val="clear" w:color="auto" w:fill="FFFFFF"/>
            <w:vAlign w:val="bottom"/>
          </w:tcPr>
          <w:p w:rsidR="005515E9" w:rsidRPr="00FC6FDF" w:rsidRDefault="005515E9" w:rsidP="00AB69AE">
            <w:pPr>
              <w:pStyle w:val="Table"/>
              <w:spacing w:before="0" w:after="0" w:line="240" w:lineRule="auto"/>
              <w:rPr>
                <w:b/>
                <w:sz w:val="18"/>
                <w:szCs w:val="18"/>
              </w:rPr>
            </w:pPr>
            <w:r w:rsidRPr="00FC6FDF">
              <w:rPr>
                <w:b/>
                <w:sz w:val="18"/>
                <w:szCs w:val="18"/>
              </w:rPr>
              <w:t>Sham</w:t>
            </w:r>
          </w:p>
          <w:p w:rsidR="005515E9" w:rsidRPr="00FC6FDF" w:rsidRDefault="005515E9" w:rsidP="00AB69AE">
            <w:pPr>
              <w:pStyle w:val="Table"/>
              <w:spacing w:before="0" w:after="0" w:line="240" w:lineRule="auto"/>
              <w:rPr>
                <w:b/>
                <w:sz w:val="18"/>
                <w:szCs w:val="18"/>
              </w:rPr>
            </w:pPr>
            <w:r w:rsidRPr="00FC6FDF">
              <w:rPr>
                <w:b/>
                <w:sz w:val="18"/>
                <w:szCs w:val="18"/>
              </w:rPr>
              <w:t>(n=49)</w:t>
            </w:r>
          </w:p>
        </w:tc>
      </w:tr>
      <w:tr w:rsidR="005515E9" w:rsidRPr="00FC6FDF" w:rsidTr="00AB69AE">
        <w:trPr>
          <w:cantSplit/>
          <w:jc w:val="center"/>
        </w:trPr>
        <w:tc>
          <w:tcPr>
            <w:tcW w:w="3399" w:type="dxa"/>
            <w:tcBorders>
              <w:left w:val="nil"/>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Gain ≥ 15 letters [Δ BL to month 12]</w:t>
            </w:r>
            <w:r w:rsidRPr="00FC6FDF">
              <w:rPr>
                <w:sz w:val="18"/>
                <w:szCs w:val="18"/>
                <w:vertAlign w:val="superscript"/>
              </w:rPr>
              <w:t>1</w:t>
            </w:r>
          </w:p>
          <w:p w:rsidR="005515E9" w:rsidRPr="00FC6FDF" w:rsidRDefault="005515E9" w:rsidP="00AB69AE">
            <w:pPr>
              <w:pStyle w:val="Table"/>
              <w:rPr>
                <w:sz w:val="18"/>
                <w:szCs w:val="18"/>
              </w:rPr>
            </w:pPr>
            <w:r w:rsidRPr="00FC6FDF">
              <w:rPr>
                <w:sz w:val="18"/>
                <w:szCs w:val="18"/>
              </w:rPr>
              <w:t>Loss ≥ 15 letters [Δ BL to month 12]</w:t>
            </w:r>
            <w:r w:rsidRPr="00FC6FDF">
              <w:rPr>
                <w:sz w:val="18"/>
                <w:szCs w:val="18"/>
                <w:vertAlign w:val="superscript"/>
              </w:rPr>
              <w:t xml:space="preserve"> 1</w:t>
            </w:r>
          </w:p>
        </w:tc>
        <w:tc>
          <w:tcPr>
            <w:tcW w:w="1440" w:type="dxa"/>
            <w:tcBorders>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35.3% (n=18)</w:t>
            </w:r>
          </w:p>
          <w:p w:rsidR="005515E9" w:rsidRPr="00FC6FDF" w:rsidRDefault="005515E9" w:rsidP="00AB69AE">
            <w:pPr>
              <w:pStyle w:val="Table"/>
              <w:rPr>
                <w:sz w:val="18"/>
                <w:szCs w:val="18"/>
                <w:highlight w:val="yellow"/>
              </w:rPr>
            </w:pPr>
            <w:r w:rsidRPr="00FC6FDF">
              <w:rPr>
                <w:sz w:val="18"/>
                <w:szCs w:val="18"/>
              </w:rPr>
              <w:t>0%</w:t>
            </w:r>
          </w:p>
        </w:tc>
        <w:tc>
          <w:tcPr>
            <w:tcW w:w="1440" w:type="dxa"/>
            <w:tcBorders>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29.4% (n=15)</w:t>
            </w:r>
          </w:p>
          <w:p w:rsidR="005515E9" w:rsidRPr="00FC6FDF" w:rsidRDefault="005515E9" w:rsidP="00AB69AE">
            <w:pPr>
              <w:pStyle w:val="Table"/>
              <w:rPr>
                <w:sz w:val="18"/>
                <w:szCs w:val="18"/>
                <w:highlight w:val="yellow"/>
              </w:rPr>
            </w:pPr>
            <w:r w:rsidRPr="00FC6FDF">
              <w:rPr>
                <w:sz w:val="18"/>
                <w:szCs w:val="18"/>
              </w:rPr>
              <w:t>5.9% (n=3)</w:t>
            </w:r>
          </w:p>
        </w:tc>
        <w:tc>
          <w:tcPr>
            <w:tcW w:w="1440" w:type="dxa"/>
            <w:tcBorders>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32.4% (n=33)</w:t>
            </w:r>
          </w:p>
          <w:p w:rsidR="005515E9" w:rsidRPr="00FC6FDF" w:rsidRDefault="005515E9" w:rsidP="00AB69AE">
            <w:pPr>
              <w:pStyle w:val="Table"/>
              <w:rPr>
                <w:sz w:val="18"/>
                <w:szCs w:val="18"/>
              </w:rPr>
            </w:pPr>
            <w:r w:rsidRPr="00FC6FDF">
              <w:rPr>
                <w:sz w:val="18"/>
                <w:szCs w:val="18"/>
              </w:rPr>
              <w:t>2.9% (n=2)</w:t>
            </w:r>
          </w:p>
        </w:tc>
        <w:tc>
          <w:tcPr>
            <w:tcW w:w="1225" w:type="dxa"/>
            <w:tcBorders>
              <w:left w:val="single" w:sz="4" w:space="0" w:color="auto"/>
              <w:bottom w:val="single" w:sz="4" w:space="0" w:color="auto"/>
              <w:right w:val="nil"/>
            </w:tcBorders>
            <w:shd w:val="clear" w:color="auto" w:fill="FFFFFF"/>
          </w:tcPr>
          <w:p w:rsidR="005515E9" w:rsidRPr="00FC6FDF" w:rsidRDefault="005515E9" w:rsidP="00AB69AE">
            <w:pPr>
              <w:pStyle w:val="Table"/>
              <w:rPr>
                <w:sz w:val="18"/>
                <w:szCs w:val="18"/>
              </w:rPr>
            </w:pPr>
            <w:r w:rsidRPr="00FC6FDF">
              <w:rPr>
                <w:sz w:val="18"/>
                <w:szCs w:val="18"/>
              </w:rPr>
              <w:t>10.2% (n=5)</w:t>
            </w:r>
          </w:p>
          <w:p w:rsidR="005515E9" w:rsidRPr="00FC6FDF" w:rsidRDefault="005515E9" w:rsidP="00AB69AE">
            <w:pPr>
              <w:pStyle w:val="Table"/>
              <w:rPr>
                <w:sz w:val="18"/>
                <w:szCs w:val="18"/>
              </w:rPr>
            </w:pPr>
            <w:r w:rsidRPr="00FC6FDF">
              <w:rPr>
                <w:sz w:val="18"/>
                <w:szCs w:val="18"/>
              </w:rPr>
              <w:t>20.4% (n=10)</w:t>
            </w:r>
          </w:p>
        </w:tc>
      </w:tr>
      <w:tr w:rsidR="005515E9" w:rsidRPr="00FC6FDF" w:rsidTr="00AB69AE">
        <w:trPr>
          <w:cantSplit/>
          <w:jc w:val="center"/>
        </w:trPr>
        <w:tc>
          <w:tcPr>
            <w:tcW w:w="3399" w:type="dxa"/>
            <w:tcBorders>
              <w:left w:val="nil"/>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Gain ≥ 10 letters [Δ BL to month 12]</w:t>
            </w:r>
            <w:r w:rsidRPr="00FC6FDF">
              <w:rPr>
                <w:sz w:val="18"/>
                <w:szCs w:val="18"/>
                <w:vertAlign w:val="superscript"/>
              </w:rPr>
              <w:t>2</w:t>
            </w:r>
          </w:p>
          <w:p w:rsidR="005515E9" w:rsidRPr="00FC6FDF" w:rsidRDefault="005515E9" w:rsidP="00AB69AE">
            <w:pPr>
              <w:pStyle w:val="Table"/>
              <w:rPr>
                <w:sz w:val="18"/>
                <w:szCs w:val="18"/>
              </w:rPr>
            </w:pPr>
            <w:r w:rsidRPr="00FC6FDF">
              <w:rPr>
                <w:sz w:val="18"/>
                <w:szCs w:val="18"/>
              </w:rPr>
              <w:t>Loss ≥ 10 letters [Δ BL to month 12]</w:t>
            </w:r>
            <w:r w:rsidRPr="00FC6FDF">
              <w:rPr>
                <w:sz w:val="18"/>
                <w:szCs w:val="18"/>
                <w:vertAlign w:val="superscript"/>
              </w:rPr>
              <w:t xml:space="preserve"> 2</w:t>
            </w:r>
          </w:p>
        </w:tc>
        <w:tc>
          <w:tcPr>
            <w:tcW w:w="1440" w:type="dxa"/>
            <w:tcBorders>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72.5% (n=37)</w:t>
            </w:r>
          </w:p>
          <w:p w:rsidR="005515E9" w:rsidRPr="00FC6FDF" w:rsidRDefault="005515E9" w:rsidP="00AB69AE">
            <w:pPr>
              <w:pStyle w:val="Table"/>
              <w:rPr>
                <w:sz w:val="18"/>
                <w:szCs w:val="18"/>
              </w:rPr>
            </w:pPr>
            <w:r w:rsidRPr="00FC6FDF">
              <w:rPr>
                <w:sz w:val="18"/>
                <w:szCs w:val="18"/>
              </w:rPr>
              <w:t>0%</w:t>
            </w:r>
          </w:p>
        </w:tc>
        <w:tc>
          <w:tcPr>
            <w:tcW w:w="1440" w:type="dxa"/>
            <w:tcBorders>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49.0% (n=25)</w:t>
            </w:r>
          </w:p>
          <w:p w:rsidR="005515E9" w:rsidRPr="00FC6FDF" w:rsidRDefault="005515E9" w:rsidP="00AB69AE">
            <w:pPr>
              <w:pStyle w:val="Table"/>
              <w:rPr>
                <w:sz w:val="18"/>
                <w:szCs w:val="18"/>
              </w:rPr>
            </w:pPr>
            <w:r w:rsidRPr="00FC6FDF">
              <w:rPr>
                <w:sz w:val="18"/>
                <w:szCs w:val="18"/>
              </w:rPr>
              <w:t>9.8% (n=5)</w:t>
            </w:r>
          </w:p>
        </w:tc>
        <w:tc>
          <w:tcPr>
            <w:tcW w:w="1440" w:type="dxa"/>
            <w:tcBorders>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60.8% (n=62)</w:t>
            </w:r>
          </w:p>
          <w:p w:rsidR="005515E9" w:rsidRPr="00FC6FDF" w:rsidRDefault="005515E9" w:rsidP="00AB69AE">
            <w:pPr>
              <w:pStyle w:val="Table"/>
              <w:rPr>
                <w:sz w:val="18"/>
                <w:szCs w:val="18"/>
                <w:highlight w:val="yellow"/>
              </w:rPr>
            </w:pPr>
            <w:r w:rsidRPr="00FC6FDF">
              <w:rPr>
                <w:sz w:val="18"/>
                <w:szCs w:val="18"/>
              </w:rPr>
              <w:t>4.9% (n=5)</w:t>
            </w:r>
          </w:p>
        </w:tc>
        <w:tc>
          <w:tcPr>
            <w:tcW w:w="1225" w:type="dxa"/>
            <w:tcBorders>
              <w:left w:val="single" w:sz="4" w:space="0" w:color="auto"/>
              <w:bottom w:val="single" w:sz="4" w:space="0" w:color="auto"/>
              <w:right w:val="nil"/>
            </w:tcBorders>
            <w:shd w:val="clear" w:color="auto" w:fill="FFFFFF"/>
          </w:tcPr>
          <w:p w:rsidR="005515E9" w:rsidRPr="00FC6FDF" w:rsidRDefault="005515E9" w:rsidP="00AB69AE">
            <w:pPr>
              <w:pStyle w:val="Table"/>
              <w:rPr>
                <w:sz w:val="18"/>
                <w:szCs w:val="18"/>
              </w:rPr>
            </w:pPr>
            <w:r w:rsidRPr="00FC6FDF">
              <w:rPr>
                <w:sz w:val="18"/>
                <w:szCs w:val="18"/>
              </w:rPr>
              <w:t>18.4% (n=9)</w:t>
            </w:r>
          </w:p>
          <w:p w:rsidR="005515E9" w:rsidRPr="00FC6FDF" w:rsidRDefault="005515E9" w:rsidP="00AB69AE">
            <w:pPr>
              <w:pStyle w:val="Table"/>
              <w:rPr>
                <w:sz w:val="18"/>
                <w:szCs w:val="18"/>
              </w:rPr>
            </w:pPr>
            <w:r w:rsidRPr="00FC6FDF">
              <w:rPr>
                <w:sz w:val="18"/>
                <w:szCs w:val="18"/>
              </w:rPr>
              <w:t>24.5% (n=12)</w:t>
            </w:r>
          </w:p>
        </w:tc>
      </w:tr>
      <w:tr w:rsidR="005515E9" w:rsidRPr="00FC6FDF" w:rsidTr="00AB69AE">
        <w:trPr>
          <w:cantSplit/>
          <w:jc w:val="center"/>
        </w:trPr>
        <w:tc>
          <w:tcPr>
            <w:tcW w:w="3399" w:type="dxa"/>
            <w:tcBorders>
              <w:top w:val="single" w:sz="4" w:space="0" w:color="auto"/>
              <w:left w:val="nil"/>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 xml:space="preserve">CRT </w:t>
            </w:r>
            <w:proofErr w:type="spellStart"/>
            <w:r w:rsidRPr="00FC6FDF">
              <w:rPr>
                <w:rFonts w:ascii="Sabon" w:hAnsi="Sabon"/>
                <w:sz w:val="18"/>
                <w:szCs w:val="18"/>
              </w:rPr>
              <w:t>μ</w:t>
            </w:r>
            <w:r w:rsidRPr="00FC6FDF">
              <w:rPr>
                <w:sz w:val="18"/>
                <w:szCs w:val="18"/>
              </w:rPr>
              <w:t>m</w:t>
            </w:r>
            <w:proofErr w:type="spellEnd"/>
            <w:r w:rsidRPr="00FC6FDF">
              <w:rPr>
                <w:sz w:val="18"/>
                <w:szCs w:val="18"/>
              </w:rPr>
              <w:t xml:space="preserve"> mean (SE) [Δ BL to month 12]</w:t>
            </w:r>
            <w:r w:rsidRPr="00FC6FDF">
              <w:rPr>
                <w:sz w:val="18"/>
                <w:szCs w:val="18"/>
                <w:vertAlign w:val="superscript"/>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-200.7 (17.11)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-187.6 (20.70)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-194.2 (13.38)</w:t>
            </w:r>
          </w:p>
        </w:tc>
        <w:tc>
          <w:tcPr>
            <w:tcW w:w="1225" w:type="dxa"/>
            <w:tcBorders>
              <w:top w:val="single" w:sz="4" w:space="0" w:color="auto"/>
              <w:left w:val="single" w:sz="4" w:space="0" w:color="auto"/>
              <w:bottom w:val="single" w:sz="4" w:space="0" w:color="auto"/>
              <w:right w:val="nil"/>
            </w:tcBorders>
            <w:shd w:val="clear" w:color="auto" w:fill="FFFFFF"/>
          </w:tcPr>
          <w:p w:rsidR="005515E9" w:rsidRPr="00FC6FDF" w:rsidRDefault="005515E9" w:rsidP="00AB69AE">
            <w:pPr>
              <w:pStyle w:val="Table"/>
              <w:rPr>
                <w:sz w:val="18"/>
                <w:szCs w:val="18"/>
              </w:rPr>
            </w:pPr>
            <w:r w:rsidRPr="00FC6FDF">
              <w:rPr>
                <w:sz w:val="18"/>
                <w:szCs w:val="18"/>
              </w:rPr>
              <w:t>-48.4 (21.92)</w:t>
            </w:r>
          </w:p>
        </w:tc>
      </w:tr>
      <w:tr w:rsidR="005515E9" w:rsidRPr="00FC6FDF" w:rsidTr="00AB69AE">
        <w:trPr>
          <w:cantSplit/>
          <w:jc w:val="center"/>
        </w:trPr>
        <w:tc>
          <w:tcPr>
            <w:tcW w:w="3399" w:type="dxa"/>
            <w:tcBorders>
              <w:top w:val="single" w:sz="4" w:space="0" w:color="auto"/>
              <w:left w:val="nil"/>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 xml:space="preserve">CRT &lt; 225 </w:t>
            </w:r>
            <w:proofErr w:type="spellStart"/>
            <w:r w:rsidRPr="00FC6FDF">
              <w:rPr>
                <w:rFonts w:ascii="Sabon" w:hAnsi="Sabon"/>
                <w:sz w:val="18"/>
                <w:szCs w:val="18"/>
              </w:rPr>
              <w:t>μ</w:t>
            </w:r>
            <w:r w:rsidRPr="00FC6FDF">
              <w:rPr>
                <w:sz w:val="18"/>
                <w:szCs w:val="18"/>
              </w:rPr>
              <w:t>m</w:t>
            </w:r>
            <w:proofErr w:type="spellEnd"/>
            <w:r w:rsidRPr="00FC6FDF">
              <w:rPr>
                <w:sz w:val="18"/>
                <w:szCs w:val="18"/>
              </w:rPr>
              <w:t xml:space="preserve"> (%) at month 12</w:t>
            </w:r>
            <w:r w:rsidRPr="00FC6FDF">
              <w:rPr>
                <w:sz w:val="18"/>
                <w:szCs w:val="18"/>
                <w:vertAlign w:val="superscript"/>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31.4% (n=16)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39.2% (n=20)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515E9" w:rsidRPr="00FC6FDF" w:rsidRDefault="005515E9" w:rsidP="00AB69AE">
            <w:pPr>
              <w:pStyle w:val="Table"/>
              <w:rPr>
                <w:sz w:val="18"/>
                <w:szCs w:val="18"/>
              </w:rPr>
            </w:pPr>
            <w:r w:rsidRPr="00FC6FDF">
              <w:rPr>
                <w:sz w:val="18"/>
                <w:szCs w:val="18"/>
              </w:rPr>
              <w:t>35.3% (n=36)</w:t>
            </w:r>
          </w:p>
        </w:tc>
        <w:tc>
          <w:tcPr>
            <w:tcW w:w="1225" w:type="dxa"/>
            <w:tcBorders>
              <w:top w:val="single" w:sz="4" w:space="0" w:color="auto"/>
              <w:left w:val="single" w:sz="4" w:space="0" w:color="auto"/>
              <w:bottom w:val="single" w:sz="4" w:space="0" w:color="auto"/>
              <w:right w:val="nil"/>
            </w:tcBorders>
            <w:shd w:val="clear" w:color="auto" w:fill="FFFFFF"/>
          </w:tcPr>
          <w:p w:rsidR="005515E9" w:rsidRPr="00FC6FDF" w:rsidRDefault="005515E9" w:rsidP="00AB69AE">
            <w:pPr>
              <w:pStyle w:val="Table"/>
              <w:rPr>
                <w:sz w:val="18"/>
                <w:szCs w:val="18"/>
              </w:rPr>
            </w:pPr>
            <w:r w:rsidRPr="00FC6FDF">
              <w:rPr>
                <w:sz w:val="18"/>
                <w:szCs w:val="18"/>
              </w:rPr>
              <w:t>10.2% (n=5)</w:t>
            </w:r>
          </w:p>
        </w:tc>
      </w:tr>
      <w:tr w:rsidR="005515E9" w:rsidRPr="00FC6FDF" w:rsidTr="00AB69AE">
        <w:trPr>
          <w:cantSplit/>
          <w:jc w:val="center"/>
        </w:trPr>
        <w:tc>
          <w:tcPr>
            <w:tcW w:w="8944" w:type="dxa"/>
            <w:gridSpan w:val="5"/>
            <w:tcBorders>
              <w:top w:val="single" w:sz="4" w:space="0" w:color="auto"/>
              <w:left w:val="nil"/>
              <w:bottom w:val="nil"/>
              <w:right w:val="nil"/>
            </w:tcBorders>
            <w:shd w:val="clear" w:color="auto" w:fill="FFFFFF"/>
          </w:tcPr>
          <w:p w:rsidR="005515E9" w:rsidRPr="00FC6FDF" w:rsidRDefault="005515E9" w:rsidP="00AB69AE">
            <w:pPr>
              <w:pStyle w:val="Table"/>
              <w:spacing w:before="0" w:after="0" w:line="240" w:lineRule="auto"/>
              <w:rPr>
                <w:rFonts w:ascii="Times New Roman" w:hAnsi="Times New Roman" w:cs="Times New Roman"/>
                <w:sz w:val="18"/>
                <w:szCs w:val="18"/>
                <w:lang w:val="en-GB"/>
              </w:rPr>
            </w:pPr>
            <w:r w:rsidRPr="00FC6FDF">
              <w:rPr>
                <w:rFonts w:ascii="Times New Roman" w:hAnsi="Times New Roman" w:cs="Times New Roman"/>
                <w:sz w:val="18"/>
                <w:szCs w:val="18"/>
                <w:lang w:val="en-GB"/>
              </w:rPr>
              <w:t>Δ BL = change from baseline</w:t>
            </w:r>
          </w:p>
          <w:p w:rsidR="005515E9" w:rsidRPr="00FC6FDF" w:rsidRDefault="005515E9" w:rsidP="00AB69AE">
            <w:pPr>
              <w:pStyle w:val="Table"/>
              <w:spacing w:before="0" w:after="0" w:line="240" w:lineRule="auto"/>
              <w:rPr>
                <w:rFonts w:ascii="Times New Roman" w:hAnsi="Times New Roman" w:cs="Times New Roman"/>
                <w:sz w:val="18"/>
                <w:szCs w:val="18"/>
                <w:lang w:val="en-GB"/>
              </w:rPr>
            </w:pPr>
            <w:r w:rsidRPr="00FC6FDF">
              <w:rPr>
                <w:rFonts w:ascii="Times New Roman" w:hAnsi="Times New Roman" w:cs="Times New Roman"/>
                <w:sz w:val="18"/>
                <w:szCs w:val="18"/>
                <w:vertAlign w:val="superscript"/>
                <w:lang w:val="en-GB"/>
              </w:rPr>
              <w:t>1</w:t>
            </w:r>
            <w:r w:rsidRPr="00FC6FDF">
              <w:rPr>
                <w:rFonts w:ascii="Times New Roman" w:hAnsi="Times New Roman" w:cs="Times New Roman"/>
                <w:sz w:val="18"/>
                <w:szCs w:val="18"/>
                <w:lang w:val="en-GB"/>
              </w:rPr>
              <w:t>CMH test, stratified: 6 mg/mL vs sham p=0.0001; 10 mg/mL vs sham p=0.0037; and pooled p=0.0001</w:t>
            </w:r>
          </w:p>
          <w:p w:rsidR="005515E9" w:rsidRPr="00FC6FDF" w:rsidRDefault="005515E9" w:rsidP="00AB69AE">
            <w:pPr>
              <w:pStyle w:val="Table"/>
              <w:spacing w:before="0" w:after="0" w:line="240" w:lineRule="auto"/>
              <w:rPr>
                <w:rFonts w:ascii="Times New Roman" w:hAnsi="Times New Roman" w:cs="Times New Roman"/>
                <w:sz w:val="18"/>
                <w:szCs w:val="18"/>
                <w:lang w:val="en-GB"/>
              </w:rPr>
            </w:pPr>
            <w:r w:rsidRPr="00FC6FDF">
              <w:rPr>
                <w:rFonts w:ascii="Times New Roman" w:hAnsi="Times New Roman" w:cs="Times New Roman"/>
                <w:sz w:val="18"/>
                <w:szCs w:val="18"/>
                <w:vertAlign w:val="superscript"/>
                <w:lang w:val="en-GB"/>
              </w:rPr>
              <w:t>2</w:t>
            </w:r>
            <w:r w:rsidRPr="00FC6FDF">
              <w:rPr>
                <w:rFonts w:ascii="Times New Roman" w:hAnsi="Times New Roman" w:cs="Times New Roman"/>
                <w:sz w:val="18"/>
                <w:szCs w:val="18"/>
                <w:lang w:val="en-GB"/>
              </w:rPr>
              <w:t>CMH test, stratified: 6 mg/mL vs sham p&lt;0.0001; 10 mg/mL vs sham p=0.0010; and pooled p&lt;0.0001</w:t>
            </w:r>
          </w:p>
          <w:p w:rsidR="005515E9" w:rsidRPr="00FC6FDF" w:rsidRDefault="005515E9" w:rsidP="00AB69AE">
            <w:pPr>
              <w:pStyle w:val="Table"/>
              <w:spacing w:before="0" w:after="0" w:line="240" w:lineRule="auto"/>
              <w:rPr>
                <w:rFonts w:ascii="Times New Roman" w:hAnsi="Times New Roman" w:cs="Times New Roman"/>
                <w:sz w:val="18"/>
                <w:szCs w:val="18"/>
                <w:lang w:val="en-GB"/>
              </w:rPr>
            </w:pPr>
            <w:r w:rsidRPr="00FC6FDF">
              <w:rPr>
                <w:rFonts w:ascii="Times New Roman" w:hAnsi="Times New Roman" w:cs="Times New Roman"/>
                <w:sz w:val="18"/>
                <w:szCs w:val="18"/>
                <w:vertAlign w:val="superscript"/>
                <w:lang w:val="en-GB"/>
              </w:rPr>
              <w:t>3</w:t>
            </w:r>
            <w:r w:rsidRPr="00FC6FDF">
              <w:rPr>
                <w:rFonts w:ascii="Times New Roman" w:hAnsi="Times New Roman" w:cs="Times New Roman"/>
                <w:sz w:val="18"/>
                <w:szCs w:val="18"/>
                <w:lang w:val="en-GB"/>
              </w:rPr>
              <w:t>CMH test, stratified: 6 mg/mL vs sham p&lt;0.0001; 10 mg/mL vs sham p&lt;0.0001; and pooled p&lt;0.0001</w:t>
            </w:r>
          </w:p>
          <w:p w:rsidR="005515E9" w:rsidRPr="00FC6FDF" w:rsidRDefault="005515E9" w:rsidP="00AB69AE">
            <w:pPr>
              <w:pStyle w:val="Table"/>
              <w:spacing w:before="0" w:after="0" w:line="240" w:lineRule="auto"/>
              <w:rPr>
                <w:rFonts w:ascii="Times New Roman" w:hAnsi="Times New Roman" w:cs="Times New Roman"/>
                <w:sz w:val="18"/>
                <w:szCs w:val="18"/>
                <w:lang w:val="en-GB"/>
              </w:rPr>
            </w:pPr>
            <w:r w:rsidRPr="00FC6FDF">
              <w:rPr>
                <w:rFonts w:ascii="Times New Roman" w:hAnsi="Times New Roman" w:cs="Times New Roman"/>
                <w:sz w:val="18"/>
                <w:szCs w:val="18"/>
                <w:vertAlign w:val="superscript"/>
                <w:lang w:val="en-GB"/>
              </w:rPr>
              <w:t>4</w:t>
            </w:r>
            <w:r w:rsidRPr="00FC6FDF">
              <w:rPr>
                <w:rFonts w:ascii="Times New Roman" w:hAnsi="Times New Roman" w:cs="Times New Roman"/>
                <w:sz w:val="18"/>
                <w:szCs w:val="18"/>
                <w:lang w:val="en-GB"/>
              </w:rPr>
              <w:t>CMH test, stratified: 6 mg/mL vs sham p=0.0108; 10 mg/mL vs sham p=0.0007; and pooled p=0.0011</w:t>
            </w:r>
          </w:p>
          <w:p w:rsidR="005515E9" w:rsidRPr="00FC6FDF" w:rsidRDefault="005515E9" w:rsidP="00AB69AE">
            <w:pPr>
              <w:pStyle w:val="Table"/>
              <w:spacing w:before="0" w:after="0" w:line="240" w:lineRule="auto"/>
              <w:rPr>
                <w:rFonts w:ascii="Times New Roman" w:hAnsi="Times New Roman" w:cs="Times New Roman"/>
                <w:sz w:val="18"/>
                <w:szCs w:val="18"/>
                <w:lang w:val="en-GB"/>
              </w:rPr>
            </w:pPr>
          </w:p>
        </w:tc>
      </w:tr>
    </w:tbl>
    <w:p w:rsidR="00652467" w:rsidRPr="00FC6FDF" w:rsidRDefault="00652467"/>
    <w:p w:rsidR="00652467" w:rsidRPr="00FC6FDF" w:rsidRDefault="00652467"/>
    <w:p w:rsidR="000B2347" w:rsidRPr="00FC6FDF" w:rsidRDefault="000B2347" w:rsidP="009C0C5B">
      <w:pPr>
        <w:pStyle w:val="Heading7"/>
        <w:keepNext w:val="0"/>
        <w:widowControl w:val="0"/>
        <w:tabs>
          <w:tab w:val="left" w:pos="1418"/>
        </w:tabs>
        <w:ind w:left="1418" w:hanging="1418"/>
        <w:rPr>
          <w:u w:val="none"/>
        </w:rPr>
      </w:pPr>
      <w:r w:rsidRPr="00FC6FDF">
        <w:rPr>
          <w:u w:val="none"/>
        </w:rPr>
        <w:t>Figure</w:t>
      </w:r>
      <w:r w:rsidR="009C0C5B" w:rsidRPr="00FC6FDF">
        <w:rPr>
          <w:u w:val="none"/>
        </w:rPr>
        <w:t xml:space="preserve"> </w:t>
      </w:r>
      <w:r w:rsidR="0009104B" w:rsidRPr="00FC6FDF">
        <w:rPr>
          <w:u w:val="none"/>
        </w:rPr>
        <w:t>5</w:t>
      </w:r>
      <w:r w:rsidRPr="00FC6FDF">
        <w:rPr>
          <w:u w:val="none"/>
        </w:rPr>
        <w:tab/>
        <w:t xml:space="preserve">Mean change in visual acuity from baseline over time in study D2201 (RESOLVE) </w:t>
      </w:r>
      <w:r w:rsidR="0009104B" w:rsidRPr="00FC6FDF">
        <w:rPr>
          <w:u w:val="none"/>
        </w:rPr>
        <w:t>(overall population)</w:t>
      </w:r>
    </w:p>
    <w:p w:rsidR="000B2347" w:rsidRPr="00FC6FDF" w:rsidRDefault="009326B0" w:rsidP="009C0C5B">
      <w:pPr>
        <w:pStyle w:val="Text"/>
        <w:spacing w:before="0"/>
      </w:pPr>
      <w:r>
        <w:rPr>
          <w:b/>
          <w:i/>
          <w:noProof/>
          <w:lang w:val="en-AU" w:eastAsia="en-AU"/>
        </w:rPr>
        <w:drawing>
          <wp:inline distT="0" distB="0" distL="0" distR="0" wp14:anchorId="03A41C63" wp14:editId="49E1C600">
            <wp:extent cx="5759450" cy="38474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847465"/>
                    </a:xfrm>
                    <a:prstGeom prst="rect">
                      <a:avLst/>
                    </a:prstGeom>
                    <a:noFill/>
                    <a:ln>
                      <a:noFill/>
                    </a:ln>
                  </pic:spPr>
                </pic:pic>
              </a:graphicData>
            </a:graphic>
          </wp:inline>
        </w:drawing>
      </w:r>
    </w:p>
    <w:p w:rsidR="009C0C5B" w:rsidRPr="00FC6FDF" w:rsidRDefault="009C0C5B" w:rsidP="009C0C5B">
      <w:pPr>
        <w:pStyle w:val="Text"/>
        <w:widowControl w:val="0"/>
        <w:spacing w:before="0"/>
        <w:jc w:val="left"/>
      </w:pPr>
    </w:p>
    <w:p w:rsidR="000B2347" w:rsidRPr="00FC6FDF" w:rsidRDefault="000B2347" w:rsidP="009C0C5B">
      <w:pPr>
        <w:pStyle w:val="Text"/>
        <w:widowControl w:val="0"/>
        <w:spacing w:before="0"/>
        <w:jc w:val="left"/>
      </w:pPr>
      <w:r w:rsidRPr="00FC6FDF">
        <w:t xml:space="preserve">Patients treated with </w:t>
      </w:r>
      <w:proofErr w:type="spellStart"/>
      <w:r w:rsidRPr="00FC6FDF">
        <w:t>ranibizumab</w:t>
      </w:r>
      <w:proofErr w:type="spellEnd"/>
      <w:r w:rsidRPr="00FC6FDF">
        <w:t xml:space="preserve"> experienced a continuous reduction in central retina thickness. At month 12, the mean CRT change from baseline was -194 micrometr</w:t>
      </w:r>
      <w:r w:rsidR="009C0C5B" w:rsidRPr="00FC6FDF">
        <w:t>e</w:t>
      </w:r>
      <w:r w:rsidRPr="00FC6FDF">
        <w:t xml:space="preserve">s for </w:t>
      </w:r>
      <w:proofErr w:type="spellStart"/>
      <w:r w:rsidRPr="00FC6FDF">
        <w:t>ranibizumab</w:t>
      </w:r>
      <w:proofErr w:type="spellEnd"/>
      <w:r w:rsidRPr="00FC6FDF">
        <w:t xml:space="preserve"> versus -48 micrometr</w:t>
      </w:r>
      <w:r w:rsidR="009C0C5B" w:rsidRPr="00FC6FDF">
        <w:t>e</w:t>
      </w:r>
      <w:r w:rsidRPr="00FC6FDF">
        <w:t>s for sham control.</w:t>
      </w:r>
    </w:p>
    <w:p w:rsidR="009C0C5B" w:rsidRPr="00FC6FDF" w:rsidRDefault="009C0C5B" w:rsidP="001025AD">
      <w:pPr>
        <w:pStyle w:val="Text"/>
      </w:pPr>
    </w:p>
    <w:p w:rsidR="000B2347" w:rsidRPr="00FC6FDF" w:rsidRDefault="000B2347" w:rsidP="009C0C5B">
      <w:r w:rsidRPr="00FC6FDF">
        <w:t>Overall, ocular and non-ocular safety findings in DME patients of both studies D2201 and D2301 were comparable with the previously known safety profile observed in wet AMD patients.</w:t>
      </w:r>
    </w:p>
    <w:p w:rsidR="00E61EFD" w:rsidRPr="00FC6FDF" w:rsidRDefault="00E61EFD" w:rsidP="009C0C5B"/>
    <w:p w:rsidR="000E1D6A" w:rsidRPr="00FC6FDF" w:rsidRDefault="009B1531" w:rsidP="00C7065A">
      <w:pPr>
        <w:rPr>
          <w:u w:val="single"/>
        </w:rPr>
      </w:pPr>
      <w:r w:rsidRPr="00FC6FDF">
        <w:rPr>
          <w:b/>
          <w:u w:val="single"/>
        </w:rPr>
        <w:t xml:space="preserve">Treatment of visual impairment due to macular oedema secondary to RVO </w:t>
      </w:r>
    </w:p>
    <w:p w:rsidR="00E61EFD" w:rsidRPr="00FC6FDF" w:rsidRDefault="00B52128" w:rsidP="0091473E">
      <w:pPr>
        <w:pStyle w:val="Text"/>
        <w:spacing w:before="0"/>
        <w:jc w:val="left"/>
      </w:pPr>
      <w:r w:rsidRPr="00FC6FDF">
        <w:t>The c</w:t>
      </w:r>
      <w:r w:rsidR="009B1531" w:rsidRPr="00FC6FDF">
        <w:t xml:space="preserve">linical safety and efficacy of </w:t>
      </w:r>
      <w:proofErr w:type="spellStart"/>
      <w:r w:rsidR="009B1531" w:rsidRPr="00FC6FDF">
        <w:t>Lucentis</w:t>
      </w:r>
      <w:proofErr w:type="spellEnd"/>
      <w:r w:rsidR="009B1531" w:rsidRPr="00FC6FDF">
        <w:t xml:space="preserve"> in patients with visual impairment due to macular oedema secondary to RVO have been assessed in the randomised, double-masked, controlled studies BRAVO and CRUISE</w:t>
      </w:r>
      <w:r w:rsidRPr="00FC6FDF">
        <w:t xml:space="preserve"> that recruited subjects with BRVO (n=397) and CRVO (n=392), respectively</w:t>
      </w:r>
      <w:r w:rsidR="009B1531" w:rsidRPr="00FC6FDF">
        <w:t>.</w:t>
      </w:r>
      <w:r w:rsidRPr="00FC6FDF">
        <w:t xml:space="preserve"> </w:t>
      </w:r>
      <w:r w:rsidRPr="00FC6FDF">
        <w:rPr>
          <w:lang w:val="en-US"/>
        </w:rPr>
        <w:t xml:space="preserve">In both studies, subjects received either 0.3 mg or 0.5 mg </w:t>
      </w:r>
      <w:proofErr w:type="spellStart"/>
      <w:r w:rsidRPr="00FC6FDF">
        <w:rPr>
          <w:lang w:val="en-US"/>
        </w:rPr>
        <w:t>intravitreal</w:t>
      </w:r>
      <w:proofErr w:type="spellEnd"/>
      <w:r w:rsidRPr="00FC6FDF">
        <w:rPr>
          <w:lang w:val="en-US"/>
        </w:rPr>
        <w:t xml:space="preserve"> </w:t>
      </w:r>
      <w:proofErr w:type="spellStart"/>
      <w:r w:rsidRPr="00FC6FDF">
        <w:rPr>
          <w:lang w:val="en-US"/>
        </w:rPr>
        <w:t>ranibizumab</w:t>
      </w:r>
      <w:proofErr w:type="spellEnd"/>
      <w:r w:rsidRPr="00FC6FDF">
        <w:rPr>
          <w:lang w:val="en-US"/>
        </w:rPr>
        <w:t xml:space="preserve"> or sham** injections. </w:t>
      </w:r>
      <w:r w:rsidR="000E6DDC" w:rsidRPr="00FC6FDF">
        <w:rPr>
          <w:lang w:val="en-US"/>
        </w:rPr>
        <w:t xml:space="preserve">Patients were initially treated monthly for 6 months. </w:t>
      </w:r>
      <w:r w:rsidR="004E1B97" w:rsidRPr="00FC6FDF">
        <w:t xml:space="preserve">Neither study compared a flexible versus fixed dosing regimen. </w:t>
      </w:r>
      <w:r w:rsidR="000E6DDC" w:rsidRPr="00FC6FDF">
        <w:rPr>
          <w:lang w:val="en-US"/>
        </w:rPr>
        <w:t xml:space="preserve">Thereafter, treatment was given as needed following pre-specified re-treatment criteria. </w:t>
      </w:r>
      <w:r w:rsidRPr="00FC6FDF">
        <w:rPr>
          <w:lang w:val="en-US"/>
        </w:rPr>
        <w:t xml:space="preserve">After 6 months, patients in the sham-control arms were crossed over to 0.5 mg </w:t>
      </w:r>
      <w:proofErr w:type="spellStart"/>
      <w:r w:rsidRPr="00FC6FDF">
        <w:rPr>
          <w:lang w:val="en-US"/>
        </w:rPr>
        <w:t>ranibizumab</w:t>
      </w:r>
      <w:proofErr w:type="spellEnd"/>
      <w:r w:rsidRPr="00FC6FDF">
        <w:rPr>
          <w:lang w:val="en-US"/>
        </w:rPr>
        <w:t>. In BRAVO, laser photocoagulation as rescue was allowed in all arms from Month 3.</w:t>
      </w:r>
      <w:r w:rsidR="00241CF5" w:rsidRPr="00FC6FDF">
        <w:rPr>
          <w:lang w:val="en-US"/>
        </w:rPr>
        <w:t xml:space="preserve"> </w:t>
      </w:r>
    </w:p>
    <w:p w:rsidR="0091473E" w:rsidRPr="00FC6FDF" w:rsidRDefault="0091473E" w:rsidP="0091473E">
      <w:pPr>
        <w:pStyle w:val="Text"/>
        <w:spacing w:before="0"/>
        <w:jc w:val="left"/>
      </w:pPr>
    </w:p>
    <w:p w:rsidR="004E1B97" w:rsidRPr="00FC6FDF" w:rsidRDefault="004E1B97" w:rsidP="004E1B97">
      <w:pPr>
        <w:pStyle w:val="Text"/>
        <w:spacing w:before="0"/>
        <w:jc w:val="left"/>
        <w:rPr>
          <w:noProof/>
          <w:lang w:eastAsia="zh-TW"/>
        </w:rPr>
      </w:pPr>
      <w:r w:rsidRPr="00FC6FDF">
        <w:t xml:space="preserve"> </w:t>
      </w:r>
      <w:r w:rsidRPr="00FC6FDF">
        <w:rPr>
          <w:noProof/>
          <w:lang w:eastAsia="zh-TW"/>
        </w:rPr>
        <w:t>Laser therapy was not used as a comparative treatment. During the first six months, laser rescue treatment was administered to 27 (20.1%) patients in the ranibizumab 0.3 mg group, 28 (21.4%) in the ranibizumab 0.5 mg group and 76 (57.6%) in the sham group.</w:t>
      </w:r>
    </w:p>
    <w:p w:rsidR="004E1B97" w:rsidRPr="00FC6FDF" w:rsidRDefault="004E1B97" w:rsidP="004E1B97">
      <w:pPr>
        <w:pStyle w:val="Text"/>
        <w:rPr>
          <w:noProof/>
          <w:lang w:eastAsia="zh-TW"/>
        </w:rPr>
      </w:pPr>
    </w:p>
    <w:p w:rsidR="004E1B97" w:rsidRPr="00FC6FDF" w:rsidRDefault="004E1B97" w:rsidP="004E1B97">
      <w:pPr>
        <w:pStyle w:val="Text"/>
        <w:rPr>
          <w:noProof/>
          <w:lang w:eastAsia="zh-TW"/>
        </w:rPr>
      </w:pPr>
      <w:r w:rsidRPr="00FC6FDF">
        <w:rPr>
          <w:bCs/>
          <w:noProof/>
          <w:lang w:eastAsia="zh-TW"/>
        </w:rPr>
        <w:t xml:space="preserve">In the first six months, ranibizumab was given monthly. In the second six month period, all patients were given only ranibizumab as needed i.e. </w:t>
      </w:r>
      <w:r w:rsidRPr="00FC6FDF">
        <w:rPr>
          <w:noProof/>
          <w:lang w:eastAsia="zh-TW"/>
        </w:rPr>
        <w:t>were given only active treatment as required (0.5mg monthly if previously on sham treatment) and at monthly intervals as necessary, the latter determined by a best corrected visual acuity of 20/40 - or worse - or mean central subfield thickness ≥ 250 μm on optical coherence tomography.</w:t>
      </w:r>
    </w:p>
    <w:p w:rsidR="004E1B97" w:rsidRPr="00FC6FDF" w:rsidRDefault="004E1B97" w:rsidP="004E1B97">
      <w:pPr>
        <w:pStyle w:val="Text"/>
        <w:rPr>
          <w:noProof/>
          <w:lang w:eastAsia="zh-TW"/>
        </w:rPr>
      </w:pPr>
    </w:p>
    <w:p w:rsidR="004E1B97" w:rsidRPr="00FC6FDF" w:rsidRDefault="004E1B97" w:rsidP="004E1B97">
      <w:pPr>
        <w:pStyle w:val="Text"/>
        <w:rPr>
          <w:noProof/>
          <w:lang w:eastAsia="zh-TW"/>
        </w:rPr>
      </w:pPr>
      <w:r w:rsidRPr="00FC6FDF">
        <w:rPr>
          <w:noProof/>
          <w:lang w:eastAsia="zh-TW"/>
        </w:rPr>
        <w:t>Out of the 525 patients who received active treatment in the first 6 months, 501 patients entered into the observation period, with 87.2% (n=437) of them receiving at least one injection. Overall, patients received from 0 to 6 injections, with the lowest percentage of patients (10%) receiving 1 injection and the highest percentage of patients (20.8%) receiving 6 injections. The average number of injections was 3.3.</w:t>
      </w:r>
    </w:p>
    <w:p w:rsidR="004E1B97" w:rsidRPr="00FC6FDF" w:rsidRDefault="004E1B97" w:rsidP="004E1B97">
      <w:pPr>
        <w:pStyle w:val="Text"/>
        <w:rPr>
          <w:noProof/>
          <w:lang w:eastAsia="zh-TW"/>
        </w:rPr>
      </w:pPr>
    </w:p>
    <w:p w:rsidR="00E61EFD" w:rsidRPr="00FC6FDF" w:rsidRDefault="004E1B97" w:rsidP="004D7FBA">
      <w:pPr>
        <w:pStyle w:val="Text"/>
        <w:spacing w:before="0"/>
        <w:jc w:val="left"/>
      </w:pPr>
      <w:r w:rsidRPr="00FC6FDF">
        <w:rPr>
          <w:noProof/>
          <w:lang w:eastAsia="zh-TW"/>
        </w:rPr>
        <w:t xml:space="preserve">While numerically the better results were seen for 0.5 mg the differences between the two doses of Lucentis are not clinically significant. </w:t>
      </w:r>
      <w:r w:rsidR="00B52128" w:rsidRPr="00FC6FDF">
        <w:rPr>
          <w:lang w:val="en-US"/>
        </w:rPr>
        <w:t xml:space="preserve">Key outcomes from BRAVO and CRUISE are </w:t>
      </w:r>
      <w:proofErr w:type="spellStart"/>
      <w:r w:rsidR="00B52128" w:rsidRPr="00FC6FDF">
        <w:rPr>
          <w:lang w:val="en-US"/>
        </w:rPr>
        <w:t>summarised</w:t>
      </w:r>
      <w:proofErr w:type="spellEnd"/>
      <w:r w:rsidR="00B52128" w:rsidRPr="00FC6FDF">
        <w:rPr>
          <w:lang w:val="en-US"/>
        </w:rPr>
        <w:t xml:space="preserve"> in </w:t>
      </w:r>
      <w:r w:rsidR="00C21572" w:rsidRPr="00FC6FDF">
        <w:t xml:space="preserve">Tables </w:t>
      </w:r>
      <w:r w:rsidR="00470D35" w:rsidRPr="00FC6FDF">
        <w:t>7</w:t>
      </w:r>
      <w:r w:rsidR="009B1531" w:rsidRPr="00FC6FDF">
        <w:t xml:space="preserve"> and </w:t>
      </w:r>
      <w:r w:rsidR="00470D35" w:rsidRPr="00FC6FDF">
        <w:t>8</w:t>
      </w:r>
      <w:r w:rsidR="00C21572" w:rsidRPr="00FC6FDF">
        <w:t xml:space="preserve"> and Figure</w:t>
      </w:r>
      <w:r w:rsidR="00B52128" w:rsidRPr="00FC6FDF">
        <w:t>s</w:t>
      </w:r>
      <w:r w:rsidR="00C21572" w:rsidRPr="00FC6FDF">
        <w:t xml:space="preserve"> </w:t>
      </w:r>
      <w:r w:rsidR="00470D35" w:rsidRPr="00FC6FDF">
        <w:t>6</w:t>
      </w:r>
      <w:r w:rsidR="00B52128" w:rsidRPr="00FC6FDF">
        <w:t xml:space="preserve"> and </w:t>
      </w:r>
      <w:r w:rsidR="00470D35" w:rsidRPr="00FC6FDF">
        <w:t>7</w:t>
      </w:r>
      <w:r w:rsidR="009B1531" w:rsidRPr="00FC6FDF">
        <w:t>.</w:t>
      </w:r>
      <w:r w:rsidR="00241CF5" w:rsidRPr="00FC6FDF">
        <w:t xml:space="preserve"> </w:t>
      </w:r>
    </w:p>
    <w:p w:rsidR="00E61EFD" w:rsidRPr="00FC6FDF" w:rsidRDefault="00E61EFD" w:rsidP="00E61EFD">
      <w:pPr>
        <w:pStyle w:val="Text"/>
      </w:pPr>
    </w:p>
    <w:p w:rsidR="000E1D6A" w:rsidRPr="00FC6FDF" w:rsidRDefault="00E70B72">
      <w:pPr>
        <w:pStyle w:val="Heading7"/>
      </w:pPr>
      <w:bookmarkStart w:id="85" w:name="_Toc266702250"/>
      <w:bookmarkStart w:id="86" w:name="_Toc266875426"/>
      <w:bookmarkStart w:id="87" w:name="_Toc266886013"/>
      <w:r w:rsidRPr="00FC6FDF">
        <w:br w:type="page"/>
      </w:r>
      <w:r w:rsidR="00C21572" w:rsidRPr="00FC6FDF">
        <w:lastRenderedPageBreak/>
        <w:t xml:space="preserve">Table </w:t>
      </w:r>
      <w:r w:rsidR="00470D35" w:rsidRPr="00FC6FDF">
        <w:t>7</w:t>
      </w:r>
      <w:r w:rsidR="009B1531" w:rsidRPr="00FC6FDF">
        <w:tab/>
      </w:r>
      <w:r w:rsidR="00B52128" w:rsidRPr="00FC6FDF">
        <w:t>Outcomes at Month 6 and 12</w:t>
      </w:r>
      <w:r w:rsidR="009B1531" w:rsidRPr="00FC6FDF">
        <w:t xml:space="preserve"> (BRAVO)</w:t>
      </w:r>
      <w:bookmarkStart w:id="88" w:name="_179Table_21BCVA_secondary_efficacy_ou"/>
      <w:bookmarkEnd w:id="85"/>
      <w:bookmarkEnd w:id="86"/>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1969"/>
        <w:gridCol w:w="1837"/>
        <w:gridCol w:w="1837"/>
      </w:tblGrid>
      <w:tr w:rsidR="00856946" w:rsidRPr="00FC6FDF" w:rsidTr="00856946">
        <w:tc>
          <w:tcPr>
            <w:tcW w:w="1866" w:type="pct"/>
          </w:tcPr>
          <w:p w:rsidR="00856946" w:rsidRPr="00FC6FDF" w:rsidRDefault="00856946" w:rsidP="00E61EFD">
            <w:pPr>
              <w:pStyle w:val="Text"/>
              <w:keepNext/>
              <w:outlineLvl w:val="6"/>
            </w:pPr>
          </w:p>
        </w:tc>
        <w:tc>
          <w:tcPr>
            <w:tcW w:w="1093" w:type="pct"/>
          </w:tcPr>
          <w:p w:rsidR="00856946" w:rsidRPr="00FC6FDF" w:rsidRDefault="00856946" w:rsidP="00E61EFD">
            <w:pPr>
              <w:pStyle w:val="Text"/>
              <w:jc w:val="center"/>
              <w:rPr>
                <w:b/>
                <w:bCs/>
              </w:rPr>
            </w:pPr>
            <w:r w:rsidRPr="00FC6FDF">
              <w:rPr>
                <w:b/>
                <w:bCs/>
              </w:rPr>
              <w:t>Sham/</w:t>
            </w:r>
            <w:proofErr w:type="spellStart"/>
            <w:r w:rsidRPr="00FC6FDF">
              <w:rPr>
                <w:b/>
                <w:bCs/>
              </w:rPr>
              <w:t>Lucentis</w:t>
            </w:r>
            <w:proofErr w:type="spellEnd"/>
            <w:r w:rsidRPr="00FC6FDF">
              <w:rPr>
                <w:b/>
                <w:bCs/>
              </w:rPr>
              <w:t xml:space="preserve"> 0.5 mg</w:t>
            </w:r>
          </w:p>
          <w:p w:rsidR="00856946" w:rsidRPr="00FC6FDF" w:rsidRDefault="00856946" w:rsidP="00E61EFD">
            <w:pPr>
              <w:pStyle w:val="Text"/>
              <w:jc w:val="center"/>
              <w:rPr>
                <w:b/>
                <w:bCs/>
              </w:rPr>
            </w:pPr>
            <w:r w:rsidRPr="00FC6FDF">
              <w:rPr>
                <w:b/>
                <w:bCs/>
              </w:rPr>
              <w:t>(n=130)</w:t>
            </w:r>
          </w:p>
        </w:tc>
        <w:tc>
          <w:tcPr>
            <w:tcW w:w="1020" w:type="pct"/>
          </w:tcPr>
          <w:p w:rsidR="00856946" w:rsidRPr="00FC6FDF" w:rsidRDefault="00856946" w:rsidP="006E00B6">
            <w:pPr>
              <w:pStyle w:val="Text"/>
              <w:keepNext/>
              <w:keepLines/>
              <w:jc w:val="center"/>
              <w:rPr>
                <w:b/>
                <w:bCs/>
              </w:rPr>
            </w:pPr>
            <w:proofErr w:type="spellStart"/>
            <w:r w:rsidRPr="00FC6FDF">
              <w:rPr>
                <w:b/>
                <w:bCs/>
              </w:rPr>
              <w:t>Lucentis</w:t>
            </w:r>
            <w:proofErr w:type="spellEnd"/>
            <w:r w:rsidRPr="00FC6FDF">
              <w:rPr>
                <w:b/>
                <w:bCs/>
              </w:rPr>
              <w:t xml:space="preserve"> 0.3 mg</w:t>
            </w:r>
          </w:p>
          <w:p w:rsidR="00856946" w:rsidRPr="00FC6FDF" w:rsidRDefault="00856946" w:rsidP="00E61EFD">
            <w:pPr>
              <w:pStyle w:val="Text"/>
              <w:jc w:val="center"/>
              <w:rPr>
                <w:b/>
                <w:bCs/>
              </w:rPr>
            </w:pPr>
            <w:r w:rsidRPr="00FC6FDF">
              <w:rPr>
                <w:b/>
                <w:bCs/>
              </w:rPr>
              <w:t>(n=134)</w:t>
            </w:r>
          </w:p>
        </w:tc>
        <w:tc>
          <w:tcPr>
            <w:tcW w:w="1020" w:type="pct"/>
          </w:tcPr>
          <w:p w:rsidR="00856946" w:rsidRPr="00FC6FDF" w:rsidRDefault="00856946" w:rsidP="00E61EFD">
            <w:pPr>
              <w:pStyle w:val="Text"/>
              <w:jc w:val="center"/>
              <w:rPr>
                <w:b/>
                <w:bCs/>
              </w:rPr>
            </w:pPr>
            <w:proofErr w:type="spellStart"/>
            <w:r w:rsidRPr="00FC6FDF">
              <w:rPr>
                <w:b/>
                <w:bCs/>
              </w:rPr>
              <w:t>Lucentis</w:t>
            </w:r>
            <w:proofErr w:type="spellEnd"/>
            <w:r w:rsidRPr="00FC6FDF">
              <w:rPr>
                <w:b/>
                <w:bCs/>
              </w:rPr>
              <w:t xml:space="preserve"> 0.5 mg</w:t>
            </w:r>
          </w:p>
          <w:p w:rsidR="00856946" w:rsidRPr="00FC6FDF" w:rsidRDefault="00856946" w:rsidP="00E61EFD">
            <w:pPr>
              <w:pStyle w:val="Text"/>
              <w:jc w:val="center"/>
              <w:rPr>
                <w:b/>
                <w:bCs/>
              </w:rPr>
            </w:pPr>
            <w:r w:rsidRPr="00FC6FDF">
              <w:rPr>
                <w:b/>
                <w:bCs/>
              </w:rPr>
              <w:t>(n=130)</w:t>
            </w:r>
          </w:p>
        </w:tc>
      </w:tr>
      <w:tr w:rsidR="00856946" w:rsidRPr="00FC6FDF" w:rsidTr="00856946">
        <w:tc>
          <w:tcPr>
            <w:tcW w:w="1866" w:type="pct"/>
          </w:tcPr>
          <w:p w:rsidR="00856946" w:rsidRPr="00FC6FDF" w:rsidRDefault="00856946" w:rsidP="00286376">
            <w:pPr>
              <w:pStyle w:val="Text"/>
            </w:pPr>
            <w:r w:rsidRPr="00FC6FDF">
              <w:t xml:space="preserve">Mean change in visual acuity from baseline at Month </w:t>
            </w:r>
            <w:r w:rsidR="00501FD5" w:rsidRPr="00FC6FDF">
              <w:t>6</w:t>
            </w:r>
            <w:r w:rsidRPr="00FC6FDF">
              <w:rPr>
                <w:vertAlign w:val="superscript"/>
              </w:rPr>
              <w:t>a</w:t>
            </w:r>
            <w:r w:rsidRPr="00FC6FDF">
              <w:t xml:space="preserve"> (letters) (primary endpoint)</w:t>
            </w:r>
          </w:p>
        </w:tc>
        <w:tc>
          <w:tcPr>
            <w:tcW w:w="1093" w:type="pct"/>
          </w:tcPr>
          <w:p w:rsidR="00856946" w:rsidRPr="00FC6FDF" w:rsidRDefault="00856946" w:rsidP="00E61EFD">
            <w:pPr>
              <w:pStyle w:val="Text"/>
              <w:jc w:val="center"/>
            </w:pPr>
            <w:r w:rsidRPr="00FC6FDF">
              <w:t>+7.3</w:t>
            </w:r>
          </w:p>
        </w:tc>
        <w:tc>
          <w:tcPr>
            <w:tcW w:w="1020" w:type="pct"/>
          </w:tcPr>
          <w:p w:rsidR="00856946" w:rsidRPr="00FC6FDF" w:rsidRDefault="00856946" w:rsidP="00E61EFD">
            <w:pPr>
              <w:pStyle w:val="Text"/>
              <w:jc w:val="center"/>
            </w:pPr>
            <w:r w:rsidRPr="00FC6FDF">
              <w:t>+16.6</w:t>
            </w:r>
          </w:p>
        </w:tc>
        <w:tc>
          <w:tcPr>
            <w:tcW w:w="1020" w:type="pct"/>
          </w:tcPr>
          <w:p w:rsidR="00856946" w:rsidRPr="00FC6FDF" w:rsidRDefault="00856946" w:rsidP="00E61EFD">
            <w:pPr>
              <w:pStyle w:val="Text"/>
              <w:jc w:val="center"/>
            </w:pPr>
            <w:r w:rsidRPr="00FC6FDF">
              <w:t>+18.3</w:t>
            </w:r>
          </w:p>
        </w:tc>
      </w:tr>
      <w:tr w:rsidR="00856946" w:rsidRPr="00FC6FDF" w:rsidTr="00856946">
        <w:tc>
          <w:tcPr>
            <w:tcW w:w="1866" w:type="pct"/>
          </w:tcPr>
          <w:p w:rsidR="00856946" w:rsidRPr="00FC6FDF" w:rsidRDefault="00856946" w:rsidP="00286376">
            <w:pPr>
              <w:pStyle w:val="Text"/>
            </w:pPr>
            <w:r w:rsidRPr="00FC6FDF">
              <w:rPr>
                <w:rFonts w:eastAsia="MS Mincho"/>
              </w:rPr>
              <w:t xml:space="preserve">Mean change in visual acuity from baseline at Month 12 (letters) </w:t>
            </w:r>
          </w:p>
        </w:tc>
        <w:tc>
          <w:tcPr>
            <w:tcW w:w="1093" w:type="pct"/>
          </w:tcPr>
          <w:p w:rsidR="00856946" w:rsidRPr="00FC6FDF" w:rsidRDefault="00856946" w:rsidP="00E61EFD">
            <w:pPr>
              <w:pStyle w:val="Text"/>
              <w:jc w:val="center"/>
            </w:pPr>
            <w:r w:rsidRPr="00FC6FDF">
              <w:rPr>
                <w:rFonts w:eastAsia="MS Mincho"/>
              </w:rPr>
              <w:t>+12.1</w:t>
            </w:r>
          </w:p>
        </w:tc>
        <w:tc>
          <w:tcPr>
            <w:tcW w:w="1020" w:type="pct"/>
          </w:tcPr>
          <w:p w:rsidR="00856946" w:rsidRPr="00FC6FDF" w:rsidRDefault="00856946" w:rsidP="00E61EFD">
            <w:pPr>
              <w:pStyle w:val="Text"/>
              <w:jc w:val="center"/>
              <w:rPr>
                <w:rFonts w:eastAsia="MS Mincho"/>
              </w:rPr>
            </w:pPr>
            <w:r w:rsidRPr="00FC6FDF">
              <w:rPr>
                <w:rFonts w:eastAsia="MS Mincho"/>
              </w:rPr>
              <w:t>+16.4</w:t>
            </w:r>
          </w:p>
        </w:tc>
        <w:tc>
          <w:tcPr>
            <w:tcW w:w="1020" w:type="pct"/>
          </w:tcPr>
          <w:p w:rsidR="00856946" w:rsidRPr="00FC6FDF" w:rsidRDefault="00856946" w:rsidP="00E61EFD">
            <w:pPr>
              <w:pStyle w:val="Text"/>
              <w:jc w:val="center"/>
            </w:pPr>
            <w:r w:rsidRPr="00FC6FDF">
              <w:rPr>
                <w:rFonts w:eastAsia="MS Mincho"/>
              </w:rPr>
              <w:t>+18.3</w:t>
            </w:r>
          </w:p>
        </w:tc>
      </w:tr>
      <w:tr w:rsidR="00856946" w:rsidRPr="00FC6FDF" w:rsidTr="00856946">
        <w:tc>
          <w:tcPr>
            <w:tcW w:w="1866" w:type="pct"/>
          </w:tcPr>
          <w:p w:rsidR="00856946" w:rsidRPr="00FC6FDF" w:rsidRDefault="00856946" w:rsidP="00E61EFD">
            <w:pPr>
              <w:pStyle w:val="Text"/>
            </w:pPr>
            <w:r w:rsidRPr="00FC6FDF">
              <w:t xml:space="preserve">Proportion of patients gained </w:t>
            </w:r>
            <w:r w:rsidRPr="00FC6FDF">
              <w:rPr>
                <w:u w:val="single"/>
              </w:rPr>
              <w:t>≥</w:t>
            </w:r>
            <w:r w:rsidRPr="00FC6FDF">
              <w:t>15 letters in BCVA from baseline at Month 6</w:t>
            </w:r>
            <w:r w:rsidRPr="00FC6FDF">
              <w:rPr>
                <w:vertAlign w:val="superscript"/>
              </w:rPr>
              <w:t>a</w:t>
            </w:r>
          </w:p>
        </w:tc>
        <w:tc>
          <w:tcPr>
            <w:tcW w:w="1093" w:type="pct"/>
          </w:tcPr>
          <w:p w:rsidR="00856946" w:rsidRPr="00FC6FDF" w:rsidRDefault="00856946" w:rsidP="00E61EFD">
            <w:pPr>
              <w:pStyle w:val="Text"/>
              <w:jc w:val="center"/>
            </w:pPr>
            <w:r w:rsidRPr="00FC6FDF">
              <w:t>28.8 %</w:t>
            </w:r>
          </w:p>
        </w:tc>
        <w:tc>
          <w:tcPr>
            <w:tcW w:w="1020" w:type="pct"/>
          </w:tcPr>
          <w:p w:rsidR="00856946" w:rsidRPr="00FC6FDF" w:rsidRDefault="00856946" w:rsidP="00E61EFD">
            <w:pPr>
              <w:pStyle w:val="Text"/>
              <w:jc w:val="center"/>
            </w:pPr>
            <w:r w:rsidRPr="00FC6FDF">
              <w:t>55.2%</w:t>
            </w:r>
          </w:p>
        </w:tc>
        <w:tc>
          <w:tcPr>
            <w:tcW w:w="1020" w:type="pct"/>
          </w:tcPr>
          <w:p w:rsidR="00856946" w:rsidRPr="00FC6FDF" w:rsidRDefault="00856946" w:rsidP="00E61EFD">
            <w:pPr>
              <w:pStyle w:val="Text"/>
              <w:jc w:val="center"/>
            </w:pPr>
            <w:r w:rsidRPr="00FC6FDF">
              <w:t>61.1 %</w:t>
            </w:r>
          </w:p>
        </w:tc>
      </w:tr>
      <w:tr w:rsidR="00856946" w:rsidRPr="00FC6FDF" w:rsidTr="00856946">
        <w:tc>
          <w:tcPr>
            <w:tcW w:w="1866" w:type="pct"/>
          </w:tcPr>
          <w:p w:rsidR="00856946" w:rsidRPr="00FC6FDF" w:rsidRDefault="00856946" w:rsidP="00E61EFD">
            <w:pPr>
              <w:pStyle w:val="Text"/>
            </w:pPr>
            <w:r w:rsidRPr="00FC6FDF">
              <w:rPr>
                <w:rFonts w:eastAsia="MS Mincho"/>
              </w:rPr>
              <w:t xml:space="preserve">Proportion of patients gained </w:t>
            </w:r>
            <w:r w:rsidRPr="00FC6FDF">
              <w:rPr>
                <w:rFonts w:eastAsia="MS Mincho"/>
                <w:u w:val="single"/>
              </w:rPr>
              <w:t>≥</w:t>
            </w:r>
            <w:r w:rsidRPr="00FC6FDF">
              <w:rPr>
                <w:rFonts w:eastAsia="MS Mincho"/>
              </w:rPr>
              <w:t>15 letters in BCVA from baseline at Month 12</w:t>
            </w:r>
          </w:p>
        </w:tc>
        <w:tc>
          <w:tcPr>
            <w:tcW w:w="1093" w:type="pct"/>
          </w:tcPr>
          <w:p w:rsidR="00856946" w:rsidRPr="00FC6FDF" w:rsidRDefault="00856946" w:rsidP="00E61EFD">
            <w:pPr>
              <w:pStyle w:val="Text"/>
              <w:jc w:val="center"/>
            </w:pPr>
            <w:r w:rsidRPr="00FC6FDF">
              <w:rPr>
                <w:rFonts w:eastAsia="MS Mincho"/>
              </w:rPr>
              <w:t>43.9 %</w:t>
            </w:r>
          </w:p>
        </w:tc>
        <w:tc>
          <w:tcPr>
            <w:tcW w:w="1020" w:type="pct"/>
          </w:tcPr>
          <w:p w:rsidR="00856946" w:rsidRPr="00FC6FDF" w:rsidRDefault="00856946" w:rsidP="00E61EFD">
            <w:pPr>
              <w:pStyle w:val="Text"/>
              <w:jc w:val="center"/>
              <w:rPr>
                <w:rFonts w:eastAsia="MS Mincho"/>
              </w:rPr>
            </w:pPr>
            <w:r w:rsidRPr="00FC6FDF">
              <w:rPr>
                <w:rFonts w:eastAsia="MS Mincho"/>
              </w:rPr>
              <w:t>56.0%</w:t>
            </w:r>
          </w:p>
        </w:tc>
        <w:tc>
          <w:tcPr>
            <w:tcW w:w="1020" w:type="pct"/>
          </w:tcPr>
          <w:p w:rsidR="00856946" w:rsidRPr="00FC6FDF" w:rsidRDefault="00856946" w:rsidP="00E61EFD">
            <w:pPr>
              <w:pStyle w:val="Text"/>
              <w:jc w:val="center"/>
            </w:pPr>
            <w:r w:rsidRPr="00FC6FDF">
              <w:rPr>
                <w:rFonts w:eastAsia="MS Mincho"/>
              </w:rPr>
              <w:t>60.3 %</w:t>
            </w:r>
          </w:p>
        </w:tc>
      </w:tr>
      <w:tr w:rsidR="00856946" w:rsidRPr="00FC6FDF" w:rsidTr="00856946">
        <w:tc>
          <w:tcPr>
            <w:tcW w:w="1866" w:type="pct"/>
          </w:tcPr>
          <w:p w:rsidR="00856946" w:rsidRPr="00FC6FDF" w:rsidRDefault="00856946" w:rsidP="00E61EFD">
            <w:pPr>
              <w:pStyle w:val="Text"/>
            </w:pPr>
            <w:r w:rsidRPr="00FC6FDF">
              <w:rPr>
                <w:rFonts w:eastAsia="MS Mincho"/>
              </w:rPr>
              <w:t>Proportion of patients receiving laser rescue over 12 months</w:t>
            </w:r>
          </w:p>
        </w:tc>
        <w:tc>
          <w:tcPr>
            <w:tcW w:w="1093" w:type="pct"/>
          </w:tcPr>
          <w:p w:rsidR="00856946" w:rsidRPr="00FC6FDF" w:rsidRDefault="00856946" w:rsidP="00E61EFD">
            <w:pPr>
              <w:pStyle w:val="Text"/>
              <w:jc w:val="center"/>
            </w:pPr>
            <w:r w:rsidRPr="00FC6FDF">
              <w:rPr>
                <w:rFonts w:eastAsia="MS Mincho"/>
              </w:rPr>
              <w:t>61.4 %</w:t>
            </w:r>
          </w:p>
        </w:tc>
        <w:tc>
          <w:tcPr>
            <w:tcW w:w="1020" w:type="pct"/>
          </w:tcPr>
          <w:p w:rsidR="00856946" w:rsidRPr="00FC6FDF" w:rsidRDefault="00856946" w:rsidP="00E61EFD">
            <w:pPr>
              <w:pStyle w:val="Text"/>
              <w:jc w:val="center"/>
              <w:rPr>
                <w:rFonts w:eastAsia="MS Mincho"/>
              </w:rPr>
            </w:pPr>
            <w:r w:rsidRPr="00FC6FDF">
              <w:rPr>
                <w:rFonts w:eastAsia="MS Mincho"/>
              </w:rPr>
              <w:t>41.0%</w:t>
            </w:r>
          </w:p>
        </w:tc>
        <w:tc>
          <w:tcPr>
            <w:tcW w:w="1020" w:type="pct"/>
          </w:tcPr>
          <w:p w:rsidR="00856946" w:rsidRPr="00FC6FDF" w:rsidRDefault="00856946" w:rsidP="00E61EFD">
            <w:pPr>
              <w:pStyle w:val="Text"/>
              <w:jc w:val="center"/>
            </w:pPr>
            <w:r w:rsidRPr="00FC6FDF">
              <w:rPr>
                <w:rFonts w:eastAsia="MS Mincho"/>
              </w:rPr>
              <w:t>34.4 %</w:t>
            </w:r>
          </w:p>
        </w:tc>
      </w:tr>
    </w:tbl>
    <w:p w:rsidR="000E1D6A" w:rsidRPr="00FC6FDF" w:rsidRDefault="004D7FBA" w:rsidP="00286376">
      <w:pPr>
        <w:pStyle w:val="Text"/>
        <w:spacing w:before="0"/>
      </w:pPr>
      <w:bookmarkStart w:id="89" w:name="_Ref266885943"/>
      <w:bookmarkStart w:id="90" w:name="_Toc266702251"/>
      <w:bookmarkStart w:id="91" w:name="_Toc266875427"/>
      <w:bookmarkStart w:id="92" w:name="_Toc266886014"/>
      <w:proofErr w:type="gramStart"/>
      <w:r w:rsidRPr="00FC6FDF">
        <w:rPr>
          <w:vertAlign w:val="superscript"/>
        </w:rPr>
        <w:t>a</w:t>
      </w:r>
      <w:proofErr w:type="gramEnd"/>
      <w:r w:rsidR="009B1531" w:rsidRPr="00FC6FDF">
        <w:t xml:space="preserve"> p&lt;0.0001 </w:t>
      </w:r>
    </w:p>
    <w:p w:rsidR="000E1D6A" w:rsidRPr="00FC6FDF" w:rsidRDefault="000E1D6A">
      <w:pPr>
        <w:pStyle w:val="Text"/>
        <w:spacing w:before="0"/>
        <w:rPr>
          <w:sz w:val="16"/>
          <w:szCs w:val="16"/>
        </w:rPr>
      </w:pPr>
    </w:p>
    <w:p w:rsidR="000E1D6A" w:rsidRPr="00FC6FDF" w:rsidRDefault="002C4D27" w:rsidP="006236C0">
      <w:pPr>
        <w:pStyle w:val="Heading7"/>
        <w:rPr>
          <w:rFonts w:ascii="Arial" w:eastAsia="MS Gothic" w:hAnsi="Arial"/>
          <w:b w:val="0"/>
        </w:rPr>
      </w:pPr>
      <w:bookmarkStart w:id="93" w:name="_Toc266886031"/>
      <w:bookmarkEnd w:id="89"/>
      <w:bookmarkEnd w:id="90"/>
      <w:bookmarkEnd w:id="91"/>
      <w:bookmarkEnd w:id="92"/>
      <w:r w:rsidRPr="00FC6FDF">
        <w:t xml:space="preserve">Figure </w:t>
      </w:r>
      <w:r w:rsidR="00470D35" w:rsidRPr="00FC6FDF">
        <w:t>6</w:t>
      </w:r>
      <w:r w:rsidR="009B1531" w:rsidRPr="00FC6FDF">
        <w:tab/>
        <w:t xml:space="preserve">Mean Change from Baseline BCVA over </w:t>
      </w:r>
      <w:r w:rsidR="00286376" w:rsidRPr="00FC6FDF">
        <w:t>t</w:t>
      </w:r>
      <w:r w:rsidR="009B1531" w:rsidRPr="00FC6FDF">
        <w:t xml:space="preserve">ime to </w:t>
      </w:r>
      <w:r w:rsidR="00286376" w:rsidRPr="00FC6FDF">
        <w:t xml:space="preserve">Month 6 and </w:t>
      </w:r>
      <w:r w:rsidR="009B1531" w:rsidRPr="00FC6FDF">
        <w:t>Month 12 (BRAVO)</w:t>
      </w:r>
      <w:bookmarkStart w:id="94" w:name="_169Figure_21Mean_Change_from_Baseline"/>
      <w:bookmarkEnd w:id="93"/>
      <w:bookmarkEnd w:id="94"/>
    </w:p>
    <w:p w:rsidR="00E61EFD" w:rsidRPr="00FC6FDF" w:rsidRDefault="009326B0" w:rsidP="00E61EFD">
      <w:pPr>
        <w:pStyle w:val="Text"/>
      </w:pPr>
      <w:r>
        <w:rPr>
          <w:noProof/>
          <w:lang w:val="en-AU" w:eastAsia="en-AU"/>
        </w:rPr>
        <w:drawing>
          <wp:inline distT="0" distB="0" distL="0" distR="0" wp14:anchorId="7575C523" wp14:editId="4218D96F">
            <wp:extent cx="5783580" cy="32181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3580" cy="3218180"/>
                    </a:xfrm>
                    <a:prstGeom prst="rect">
                      <a:avLst/>
                    </a:prstGeom>
                    <a:noFill/>
                    <a:ln>
                      <a:noFill/>
                    </a:ln>
                  </pic:spPr>
                </pic:pic>
              </a:graphicData>
            </a:graphic>
          </wp:inline>
        </w:drawing>
      </w:r>
    </w:p>
    <w:p w:rsidR="00BF1030" w:rsidRPr="00FC6FDF" w:rsidRDefault="00BF1030" w:rsidP="004D7FBA">
      <w:pPr>
        <w:pStyle w:val="Text"/>
        <w:spacing w:before="0"/>
        <w:jc w:val="left"/>
      </w:pPr>
    </w:p>
    <w:p w:rsidR="000E1D6A" w:rsidRPr="00FC6FDF" w:rsidRDefault="002F6580">
      <w:pPr>
        <w:pStyle w:val="Heading7"/>
      </w:pPr>
      <w:bookmarkStart w:id="95" w:name="_Toc266702252"/>
      <w:bookmarkStart w:id="96" w:name="_Toc266875428"/>
      <w:bookmarkStart w:id="97" w:name="_Toc266886015"/>
      <w:r w:rsidRPr="00FC6FDF">
        <w:lastRenderedPageBreak/>
        <w:t xml:space="preserve">Table </w:t>
      </w:r>
      <w:r w:rsidR="00470D35" w:rsidRPr="00FC6FDF">
        <w:t>8</w:t>
      </w:r>
      <w:r w:rsidR="009B1531" w:rsidRPr="00FC6FDF">
        <w:tab/>
      </w:r>
      <w:r w:rsidR="00921A3F" w:rsidRPr="00FC6FDF">
        <w:t>O</w:t>
      </w:r>
      <w:r w:rsidR="009B1531" w:rsidRPr="00FC6FDF">
        <w:t xml:space="preserve">utcomes at Month 6 </w:t>
      </w:r>
      <w:r w:rsidR="00921A3F" w:rsidRPr="00FC6FDF">
        <w:t xml:space="preserve">and 12 </w:t>
      </w:r>
      <w:r w:rsidR="009B1531" w:rsidRPr="00FC6FDF">
        <w:t>(CRUISE)</w:t>
      </w:r>
      <w:bookmarkStart w:id="98" w:name="_2111Table_22BCVA_secondary_efficacy_o"/>
      <w:bookmarkEnd w:id="95"/>
      <w:bookmarkEnd w:id="96"/>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1921"/>
        <w:gridCol w:w="2006"/>
        <w:gridCol w:w="2004"/>
      </w:tblGrid>
      <w:tr w:rsidR="00856946" w:rsidRPr="00FC6FDF" w:rsidTr="00856946">
        <w:tc>
          <w:tcPr>
            <w:tcW w:w="1706" w:type="pct"/>
          </w:tcPr>
          <w:p w:rsidR="00856946" w:rsidRPr="00FC6FDF" w:rsidRDefault="00856946" w:rsidP="00E61EFD">
            <w:pPr>
              <w:pStyle w:val="Text"/>
              <w:keepNext/>
              <w:keepLines/>
              <w:outlineLvl w:val="6"/>
            </w:pPr>
          </w:p>
        </w:tc>
        <w:tc>
          <w:tcPr>
            <w:tcW w:w="1067" w:type="pct"/>
          </w:tcPr>
          <w:p w:rsidR="00856946" w:rsidRPr="00FC6FDF" w:rsidRDefault="00856946" w:rsidP="00E61EFD">
            <w:pPr>
              <w:pStyle w:val="Text"/>
              <w:keepNext/>
              <w:keepLines/>
              <w:jc w:val="center"/>
              <w:rPr>
                <w:b/>
                <w:bCs/>
              </w:rPr>
            </w:pPr>
            <w:r w:rsidRPr="00FC6FDF">
              <w:rPr>
                <w:b/>
                <w:bCs/>
              </w:rPr>
              <w:t>Sham/</w:t>
            </w:r>
            <w:proofErr w:type="spellStart"/>
            <w:r w:rsidRPr="00FC6FDF">
              <w:rPr>
                <w:b/>
                <w:bCs/>
              </w:rPr>
              <w:t>Lucentis</w:t>
            </w:r>
            <w:proofErr w:type="spellEnd"/>
            <w:r w:rsidRPr="00FC6FDF">
              <w:rPr>
                <w:b/>
                <w:bCs/>
              </w:rPr>
              <w:t xml:space="preserve"> 0.5 mg</w:t>
            </w:r>
          </w:p>
          <w:p w:rsidR="00856946" w:rsidRPr="00FC6FDF" w:rsidRDefault="00856946" w:rsidP="00921A3F">
            <w:pPr>
              <w:pStyle w:val="Text"/>
              <w:keepNext/>
              <w:keepLines/>
              <w:jc w:val="center"/>
              <w:rPr>
                <w:b/>
                <w:bCs/>
              </w:rPr>
            </w:pPr>
            <w:r w:rsidRPr="00FC6FDF">
              <w:rPr>
                <w:b/>
                <w:bCs/>
              </w:rPr>
              <w:t>(n=130)</w:t>
            </w:r>
          </w:p>
        </w:tc>
        <w:tc>
          <w:tcPr>
            <w:tcW w:w="1114" w:type="pct"/>
          </w:tcPr>
          <w:p w:rsidR="00856946" w:rsidRPr="00FC6FDF" w:rsidRDefault="00856946" w:rsidP="00E61EFD">
            <w:pPr>
              <w:pStyle w:val="Text"/>
              <w:keepNext/>
              <w:keepLines/>
              <w:jc w:val="center"/>
              <w:rPr>
                <w:b/>
                <w:bCs/>
              </w:rPr>
            </w:pPr>
            <w:proofErr w:type="spellStart"/>
            <w:r w:rsidRPr="00FC6FDF">
              <w:rPr>
                <w:b/>
                <w:bCs/>
              </w:rPr>
              <w:t>Lucentis</w:t>
            </w:r>
            <w:proofErr w:type="spellEnd"/>
            <w:r w:rsidRPr="00FC6FDF">
              <w:rPr>
                <w:b/>
                <w:bCs/>
              </w:rPr>
              <w:t xml:space="preserve"> 0.3 mg</w:t>
            </w:r>
          </w:p>
          <w:p w:rsidR="00856946" w:rsidRPr="00FC6FDF" w:rsidRDefault="00856946" w:rsidP="00E61EFD">
            <w:pPr>
              <w:pStyle w:val="Text"/>
              <w:keepNext/>
              <w:keepLines/>
              <w:jc w:val="center"/>
              <w:rPr>
                <w:b/>
                <w:bCs/>
              </w:rPr>
            </w:pPr>
            <w:r w:rsidRPr="00FC6FDF">
              <w:rPr>
                <w:b/>
                <w:bCs/>
              </w:rPr>
              <w:t>(n=132)</w:t>
            </w:r>
          </w:p>
        </w:tc>
        <w:tc>
          <w:tcPr>
            <w:tcW w:w="1113" w:type="pct"/>
          </w:tcPr>
          <w:p w:rsidR="00856946" w:rsidRPr="00FC6FDF" w:rsidRDefault="00856946" w:rsidP="00E61EFD">
            <w:pPr>
              <w:pStyle w:val="Text"/>
              <w:keepNext/>
              <w:keepLines/>
              <w:jc w:val="center"/>
              <w:rPr>
                <w:b/>
                <w:bCs/>
              </w:rPr>
            </w:pPr>
            <w:proofErr w:type="spellStart"/>
            <w:r w:rsidRPr="00FC6FDF">
              <w:rPr>
                <w:b/>
                <w:bCs/>
              </w:rPr>
              <w:t>Lucentis</w:t>
            </w:r>
            <w:proofErr w:type="spellEnd"/>
            <w:r w:rsidRPr="00FC6FDF">
              <w:rPr>
                <w:b/>
                <w:bCs/>
              </w:rPr>
              <w:t xml:space="preserve"> 0.5 mg</w:t>
            </w:r>
          </w:p>
          <w:p w:rsidR="00856946" w:rsidRPr="00FC6FDF" w:rsidRDefault="00856946" w:rsidP="00921A3F">
            <w:pPr>
              <w:pStyle w:val="Text"/>
              <w:keepNext/>
              <w:keepLines/>
              <w:jc w:val="center"/>
              <w:rPr>
                <w:b/>
                <w:bCs/>
              </w:rPr>
            </w:pPr>
            <w:r w:rsidRPr="00FC6FDF">
              <w:rPr>
                <w:b/>
                <w:bCs/>
              </w:rPr>
              <w:t>(n=130)</w:t>
            </w:r>
          </w:p>
        </w:tc>
      </w:tr>
      <w:tr w:rsidR="00856946" w:rsidRPr="00FC6FDF" w:rsidTr="00856946">
        <w:tc>
          <w:tcPr>
            <w:tcW w:w="1706" w:type="pct"/>
          </w:tcPr>
          <w:p w:rsidR="00856946" w:rsidRPr="00FC6FDF" w:rsidRDefault="00856946" w:rsidP="00921A3F">
            <w:pPr>
              <w:pStyle w:val="Text"/>
              <w:keepNext/>
              <w:keepLines/>
              <w:jc w:val="left"/>
            </w:pPr>
            <w:r w:rsidRPr="00FC6FDF">
              <w:t>Mean change in visual acuity from baseline at Month 6 (letters)</w:t>
            </w:r>
            <w:r w:rsidRPr="00FC6FDF">
              <w:rPr>
                <w:vertAlign w:val="superscript"/>
              </w:rPr>
              <w:t>a</w:t>
            </w:r>
          </w:p>
        </w:tc>
        <w:tc>
          <w:tcPr>
            <w:tcW w:w="1067" w:type="pct"/>
          </w:tcPr>
          <w:p w:rsidR="00856946" w:rsidRPr="00FC6FDF" w:rsidRDefault="00856946" w:rsidP="00E61EFD">
            <w:pPr>
              <w:pStyle w:val="Text"/>
              <w:keepNext/>
              <w:keepLines/>
              <w:jc w:val="center"/>
            </w:pPr>
            <w:r w:rsidRPr="00FC6FDF">
              <w:t>+0.8</w:t>
            </w:r>
          </w:p>
        </w:tc>
        <w:tc>
          <w:tcPr>
            <w:tcW w:w="1114" w:type="pct"/>
          </w:tcPr>
          <w:p w:rsidR="00856946" w:rsidRPr="00FC6FDF" w:rsidRDefault="00856946" w:rsidP="00856946">
            <w:pPr>
              <w:pStyle w:val="Text"/>
              <w:keepNext/>
              <w:keepLines/>
              <w:jc w:val="center"/>
            </w:pPr>
            <w:r w:rsidRPr="00FC6FDF">
              <w:t>+12.7</w:t>
            </w:r>
          </w:p>
        </w:tc>
        <w:tc>
          <w:tcPr>
            <w:tcW w:w="1113" w:type="pct"/>
          </w:tcPr>
          <w:p w:rsidR="00856946" w:rsidRPr="00FC6FDF" w:rsidRDefault="00856946" w:rsidP="00E61EFD">
            <w:pPr>
              <w:pStyle w:val="Text"/>
              <w:keepNext/>
              <w:keepLines/>
              <w:jc w:val="center"/>
            </w:pPr>
            <w:r w:rsidRPr="00FC6FDF">
              <w:t>+14.9</w:t>
            </w:r>
          </w:p>
        </w:tc>
      </w:tr>
      <w:tr w:rsidR="00856946" w:rsidRPr="00FC6FDF" w:rsidTr="00856946">
        <w:tc>
          <w:tcPr>
            <w:tcW w:w="1706" w:type="pct"/>
          </w:tcPr>
          <w:p w:rsidR="00856946" w:rsidRPr="00FC6FDF" w:rsidRDefault="00856946" w:rsidP="00921A3F">
            <w:pPr>
              <w:pStyle w:val="Text"/>
              <w:keepNext/>
              <w:keepLines/>
              <w:jc w:val="left"/>
            </w:pPr>
            <w:r w:rsidRPr="00FC6FDF">
              <w:rPr>
                <w:rFonts w:eastAsia="MS Mincho"/>
              </w:rPr>
              <w:t>Mean change in visual acuity from baseline at Month 12 (letters)</w:t>
            </w:r>
          </w:p>
        </w:tc>
        <w:tc>
          <w:tcPr>
            <w:tcW w:w="1067" w:type="pct"/>
          </w:tcPr>
          <w:p w:rsidR="00856946" w:rsidRPr="00FC6FDF" w:rsidRDefault="00856946" w:rsidP="00E61EFD">
            <w:pPr>
              <w:pStyle w:val="Text"/>
              <w:keepNext/>
              <w:keepLines/>
              <w:jc w:val="center"/>
            </w:pPr>
            <w:r w:rsidRPr="00FC6FDF">
              <w:rPr>
                <w:rFonts w:eastAsia="MS Mincho"/>
              </w:rPr>
              <w:t>+7.3</w:t>
            </w:r>
          </w:p>
        </w:tc>
        <w:tc>
          <w:tcPr>
            <w:tcW w:w="1114" w:type="pct"/>
          </w:tcPr>
          <w:p w:rsidR="00856946" w:rsidRPr="00FC6FDF" w:rsidRDefault="00856946" w:rsidP="00E61EFD">
            <w:pPr>
              <w:pStyle w:val="Text"/>
              <w:keepNext/>
              <w:keepLines/>
              <w:jc w:val="center"/>
              <w:rPr>
                <w:rFonts w:eastAsia="MS Mincho"/>
              </w:rPr>
            </w:pPr>
            <w:r w:rsidRPr="00FC6FDF">
              <w:rPr>
                <w:rFonts w:eastAsia="MS Mincho"/>
              </w:rPr>
              <w:t>+13.9</w:t>
            </w:r>
          </w:p>
        </w:tc>
        <w:tc>
          <w:tcPr>
            <w:tcW w:w="1113" w:type="pct"/>
          </w:tcPr>
          <w:p w:rsidR="00856946" w:rsidRPr="00FC6FDF" w:rsidRDefault="00856946" w:rsidP="00E61EFD">
            <w:pPr>
              <w:pStyle w:val="Text"/>
              <w:keepNext/>
              <w:keepLines/>
              <w:jc w:val="center"/>
            </w:pPr>
            <w:r w:rsidRPr="00FC6FDF">
              <w:rPr>
                <w:rFonts w:eastAsia="MS Mincho"/>
              </w:rPr>
              <w:t>+13.9</w:t>
            </w:r>
          </w:p>
        </w:tc>
      </w:tr>
      <w:tr w:rsidR="00856946" w:rsidRPr="00FC6FDF" w:rsidTr="00856946">
        <w:tc>
          <w:tcPr>
            <w:tcW w:w="1706" w:type="pct"/>
          </w:tcPr>
          <w:p w:rsidR="00856946" w:rsidRPr="00FC6FDF" w:rsidRDefault="00856946" w:rsidP="00921A3F">
            <w:pPr>
              <w:pStyle w:val="Text"/>
              <w:keepNext/>
              <w:keepLines/>
              <w:jc w:val="left"/>
            </w:pPr>
            <w:r w:rsidRPr="00FC6FDF">
              <w:t xml:space="preserve">Proportion of patients gained </w:t>
            </w:r>
            <w:r w:rsidRPr="00FC6FDF">
              <w:rPr>
                <w:u w:val="single"/>
              </w:rPr>
              <w:t>&gt;</w:t>
            </w:r>
            <w:r w:rsidRPr="00FC6FDF">
              <w:t xml:space="preserve"> 15 letters in BCVA from baseline at Month</w:t>
            </w:r>
            <w:r w:rsidRPr="00FC6FDF">
              <w:rPr>
                <w:lang w:val="en-US"/>
              </w:rPr>
              <w:t> </w:t>
            </w:r>
            <w:r w:rsidRPr="00FC6FDF">
              <w:t>6</w:t>
            </w:r>
            <w:r w:rsidRPr="00FC6FDF">
              <w:rPr>
                <w:vertAlign w:val="superscript"/>
              </w:rPr>
              <w:t xml:space="preserve"> a</w:t>
            </w:r>
          </w:p>
        </w:tc>
        <w:tc>
          <w:tcPr>
            <w:tcW w:w="1067" w:type="pct"/>
          </w:tcPr>
          <w:p w:rsidR="00856946" w:rsidRPr="00FC6FDF" w:rsidRDefault="00856946" w:rsidP="00E61EFD">
            <w:pPr>
              <w:pStyle w:val="Text"/>
              <w:keepNext/>
              <w:keepLines/>
              <w:jc w:val="center"/>
            </w:pPr>
            <w:r w:rsidRPr="00FC6FDF">
              <w:t>16.9 %</w:t>
            </w:r>
          </w:p>
        </w:tc>
        <w:tc>
          <w:tcPr>
            <w:tcW w:w="1114" w:type="pct"/>
          </w:tcPr>
          <w:p w:rsidR="00856946" w:rsidRPr="00FC6FDF" w:rsidRDefault="00856946" w:rsidP="00E61EFD">
            <w:pPr>
              <w:pStyle w:val="Text"/>
              <w:keepNext/>
              <w:keepLines/>
              <w:jc w:val="center"/>
            </w:pPr>
            <w:r w:rsidRPr="00FC6FDF">
              <w:t>46.2%</w:t>
            </w:r>
          </w:p>
        </w:tc>
        <w:tc>
          <w:tcPr>
            <w:tcW w:w="1113" w:type="pct"/>
          </w:tcPr>
          <w:p w:rsidR="00856946" w:rsidRPr="00FC6FDF" w:rsidRDefault="00856946" w:rsidP="00E61EFD">
            <w:pPr>
              <w:pStyle w:val="Text"/>
              <w:keepNext/>
              <w:keepLines/>
              <w:jc w:val="center"/>
            </w:pPr>
            <w:r w:rsidRPr="00FC6FDF">
              <w:t>47.7 %</w:t>
            </w:r>
          </w:p>
        </w:tc>
      </w:tr>
      <w:tr w:rsidR="00856946" w:rsidRPr="00FC6FDF" w:rsidTr="00856946">
        <w:tc>
          <w:tcPr>
            <w:tcW w:w="1706" w:type="pct"/>
          </w:tcPr>
          <w:p w:rsidR="00856946" w:rsidRPr="00FC6FDF" w:rsidRDefault="00856946" w:rsidP="00921A3F">
            <w:pPr>
              <w:pStyle w:val="Text"/>
              <w:keepNext/>
              <w:keepLines/>
              <w:jc w:val="left"/>
            </w:pPr>
            <w:r w:rsidRPr="00FC6FDF">
              <w:rPr>
                <w:rFonts w:eastAsia="MS Mincho"/>
              </w:rPr>
              <w:t xml:space="preserve">Proportion of patients gained </w:t>
            </w:r>
            <w:r w:rsidRPr="00FC6FDF">
              <w:rPr>
                <w:rFonts w:eastAsia="MS Mincho"/>
                <w:u w:val="single"/>
              </w:rPr>
              <w:t>&gt;</w:t>
            </w:r>
            <w:r w:rsidRPr="00FC6FDF">
              <w:rPr>
                <w:rFonts w:eastAsia="MS Mincho"/>
              </w:rPr>
              <w:t xml:space="preserve"> 15 letters in BCVA from baseline at Month 12</w:t>
            </w:r>
          </w:p>
        </w:tc>
        <w:tc>
          <w:tcPr>
            <w:tcW w:w="1067" w:type="pct"/>
          </w:tcPr>
          <w:p w:rsidR="00856946" w:rsidRPr="00FC6FDF" w:rsidRDefault="00856946" w:rsidP="00E61EFD">
            <w:pPr>
              <w:pStyle w:val="Text"/>
              <w:keepNext/>
              <w:keepLines/>
              <w:jc w:val="center"/>
            </w:pPr>
            <w:r w:rsidRPr="00FC6FDF">
              <w:rPr>
                <w:rFonts w:eastAsia="MS Mincho"/>
              </w:rPr>
              <w:t>33.1 %</w:t>
            </w:r>
          </w:p>
        </w:tc>
        <w:tc>
          <w:tcPr>
            <w:tcW w:w="1114" w:type="pct"/>
          </w:tcPr>
          <w:p w:rsidR="00856946" w:rsidRPr="00FC6FDF" w:rsidRDefault="00856946" w:rsidP="00E61EFD">
            <w:pPr>
              <w:pStyle w:val="Text"/>
              <w:keepNext/>
              <w:keepLines/>
              <w:jc w:val="center"/>
              <w:rPr>
                <w:rFonts w:eastAsia="MS Mincho"/>
              </w:rPr>
            </w:pPr>
            <w:r w:rsidRPr="00FC6FDF">
              <w:rPr>
                <w:rFonts w:eastAsia="MS Mincho"/>
              </w:rPr>
              <w:t>47.0%</w:t>
            </w:r>
          </w:p>
        </w:tc>
        <w:tc>
          <w:tcPr>
            <w:tcW w:w="1113" w:type="pct"/>
          </w:tcPr>
          <w:p w:rsidR="00856946" w:rsidRPr="00FC6FDF" w:rsidRDefault="00856946" w:rsidP="00E61EFD">
            <w:pPr>
              <w:pStyle w:val="Text"/>
              <w:keepNext/>
              <w:keepLines/>
              <w:jc w:val="center"/>
            </w:pPr>
            <w:r w:rsidRPr="00FC6FDF">
              <w:rPr>
                <w:rFonts w:eastAsia="MS Mincho"/>
              </w:rPr>
              <w:t>50.8 %</w:t>
            </w:r>
          </w:p>
        </w:tc>
      </w:tr>
    </w:tbl>
    <w:p w:rsidR="001025AD" w:rsidRPr="00FC6FDF" w:rsidRDefault="004D7FBA" w:rsidP="004D7FBA">
      <w:pPr>
        <w:pStyle w:val="Text"/>
        <w:spacing w:before="0"/>
      </w:pPr>
      <w:bookmarkStart w:id="99" w:name="_Ref266886068"/>
      <w:bookmarkStart w:id="100" w:name="_Toc266702253"/>
      <w:bookmarkStart w:id="101" w:name="_Toc266875429"/>
      <w:bookmarkStart w:id="102" w:name="_Toc266886016"/>
      <w:proofErr w:type="gramStart"/>
      <w:r w:rsidRPr="00FC6FDF">
        <w:rPr>
          <w:vertAlign w:val="superscript"/>
        </w:rPr>
        <w:t>a</w:t>
      </w:r>
      <w:proofErr w:type="gramEnd"/>
      <w:r w:rsidR="009B1531" w:rsidRPr="00FC6FDF">
        <w:t xml:space="preserve"> p&lt;0.0001 </w:t>
      </w:r>
    </w:p>
    <w:p w:rsidR="00E70B72" w:rsidRPr="00FC6FDF" w:rsidRDefault="00E70B72" w:rsidP="004D7FBA">
      <w:pPr>
        <w:pStyle w:val="Text"/>
        <w:spacing w:before="0"/>
      </w:pPr>
    </w:p>
    <w:p w:rsidR="00E61EFD" w:rsidRPr="00FC6FDF" w:rsidRDefault="002C4D27" w:rsidP="00E61EFD">
      <w:pPr>
        <w:pStyle w:val="Heading7"/>
        <w:jc w:val="both"/>
        <w:rPr>
          <w:lang w:bidi="th-TH"/>
        </w:rPr>
      </w:pPr>
      <w:bookmarkStart w:id="103" w:name="_Toc266886033"/>
      <w:bookmarkEnd w:id="99"/>
      <w:bookmarkEnd w:id="100"/>
      <w:bookmarkEnd w:id="101"/>
      <w:bookmarkEnd w:id="102"/>
      <w:r w:rsidRPr="00FC6FDF">
        <w:t xml:space="preserve">Figure </w:t>
      </w:r>
      <w:r w:rsidR="00470D35" w:rsidRPr="00FC6FDF">
        <w:t>7</w:t>
      </w:r>
      <w:r w:rsidR="009B1531" w:rsidRPr="00FC6FDF">
        <w:tab/>
        <w:t xml:space="preserve">Mean </w:t>
      </w:r>
      <w:r w:rsidR="009B1531" w:rsidRPr="00FC6FDF">
        <w:rPr>
          <w:lang w:bidi="th-TH"/>
        </w:rPr>
        <w:t xml:space="preserve">Change from Baseline BCVA over </w:t>
      </w:r>
      <w:r w:rsidR="00921A3F" w:rsidRPr="00FC6FDF">
        <w:rPr>
          <w:lang w:bidi="th-TH"/>
        </w:rPr>
        <w:t>t</w:t>
      </w:r>
      <w:r w:rsidR="009B1531" w:rsidRPr="00FC6FDF">
        <w:rPr>
          <w:lang w:bidi="th-TH"/>
        </w:rPr>
        <w:t xml:space="preserve">ime to </w:t>
      </w:r>
      <w:r w:rsidR="00921A3F" w:rsidRPr="00FC6FDF">
        <w:rPr>
          <w:lang w:bidi="th-TH"/>
        </w:rPr>
        <w:t xml:space="preserve">Month 6 and </w:t>
      </w:r>
      <w:r w:rsidR="009B1531" w:rsidRPr="00FC6FDF">
        <w:rPr>
          <w:lang w:bidi="th-TH"/>
        </w:rPr>
        <w:t>Month 12 (CRUISE)</w:t>
      </w:r>
      <w:bookmarkStart w:id="104" w:name="_2011Figure_23Mean_Change_from_Baselin"/>
      <w:bookmarkEnd w:id="103"/>
      <w:bookmarkEnd w:id="104"/>
    </w:p>
    <w:p w:rsidR="00E61EFD" w:rsidRPr="00FC6FDF" w:rsidRDefault="00E61EFD" w:rsidP="00E61EFD">
      <w:pPr>
        <w:pStyle w:val="Text"/>
      </w:pPr>
    </w:p>
    <w:p w:rsidR="00921A3F" w:rsidRPr="00FC6FDF" w:rsidRDefault="009326B0" w:rsidP="00921A3F">
      <w:pPr>
        <w:pStyle w:val="Text"/>
        <w:spacing w:before="0"/>
        <w:jc w:val="left"/>
      </w:pPr>
      <w:r>
        <w:rPr>
          <w:noProof/>
          <w:lang w:val="en-AU" w:eastAsia="en-AU"/>
        </w:rPr>
        <w:drawing>
          <wp:inline distT="0" distB="0" distL="0" distR="0" wp14:anchorId="4E5A4B9E" wp14:editId="7913D37F">
            <wp:extent cx="5688330" cy="3182620"/>
            <wp:effectExtent l="0" t="0" r="0" b="0"/>
            <wp:docPr id="7" name="Picture 7" descr="dVAovertimeC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VAovertimeCS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8330" cy="3182620"/>
                    </a:xfrm>
                    <a:prstGeom prst="rect">
                      <a:avLst/>
                    </a:prstGeom>
                    <a:noFill/>
                    <a:ln>
                      <a:noFill/>
                    </a:ln>
                  </pic:spPr>
                </pic:pic>
              </a:graphicData>
            </a:graphic>
          </wp:inline>
        </w:drawing>
      </w:r>
    </w:p>
    <w:p w:rsidR="00E61EFD" w:rsidRPr="00FC6FDF" w:rsidRDefault="00E61EFD" w:rsidP="00E61EFD">
      <w:pPr>
        <w:pStyle w:val="Text"/>
      </w:pPr>
    </w:p>
    <w:p w:rsidR="00E61EFD" w:rsidRPr="00FC6FDF" w:rsidRDefault="009B1531" w:rsidP="00C7065A">
      <w:pPr>
        <w:rPr>
          <w:bCs/>
          <w:iCs/>
          <w:szCs w:val="22"/>
        </w:rPr>
      </w:pPr>
      <w:r w:rsidRPr="00FC6FDF">
        <w:t xml:space="preserve">In both studies, </w:t>
      </w:r>
      <w:r w:rsidRPr="00FC6FDF">
        <w:rPr>
          <w:bCs/>
          <w:iCs/>
          <w:szCs w:val="22"/>
        </w:rPr>
        <w:t xml:space="preserve">the improvement of vision </w:t>
      </w:r>
      <w:r w:rsidRPr="00FC6FDF">
        <w:t xml:space="preserve">was accompanied by a </w:t>
      </w:r>
      <w:r w:rsidRPr="00FC6FDF">
        <w:rPr>
          <w:bCs/>
          <w:iCs/>
          <w:szCs w:val="22"/>
        </w:rPr>
        <w:t>continuous decrease in the macular oedema as measured by central retinal thickness.</w:t>
      </w:r>
    </w:p>
    <w:p w:rsidR="0091473E" w:rsidRPr="00FC6FDF" w:rsidRDefault="0091473E" w:rsidP="00C7065A"/>
    <w:p w:rsidR="00E61EFD" w:rsidRPr="00FC6FDF" w:rsidRDefault="009B1531" w:rsidP="00C7065A">
      <w:pPr>
        <w:widowControl w:val="0"/>
      </w:pPr>
      <w:r w:rsidRPr="00FC6FDF">
        <w:t xml:space="preserve">The improvement in visual acuity seen with </w:t>
      </w:r>
      <w:proofErr w:type="spellStart"/>
      <w:r w:rsidRPr="00FC6FDF">
        <w:t>ranibizumab</w:t>
      </w:r>
      <w:proofErr w:type="spellEnd"/>
      <w:r w:rsidRPr="00FC6FDF">
        <w:t xml:space="preserve"> treatment at 6 and 12 months was accompanied by patient-reported benefits as measured by the National Eye Institute Visual Function Questionnaire (VFQ-25) sub-scales related to near and distance activity, a pre-specified secondary efficacy endpoint. The difference between </w:t>
      </w:r>
      <w:proofErr w:type="spellStart"/>
      <w:r w:rsidRPr="00FC6FDF">
        <w:t>Lucentis</w:t>
      </w:r>
      <w:proofErr w:type="spellEnd"/>
      <w:r w:rsidRPr="00FC6FDF">
        <w:t xml:space="preserve"> 0.5 mg and the control group was assessed at Month 6 with p-values of 0.02 to 0.0002. </w:t>
      </w:r>
    </w:p>
    <w:p w:rsidR="00AA7C97" w:rsidRPr="00FC6FDF" w:rsidRDefault="00AA7C97" w:rsidP="00C7065A">
      <w:pPr>
        <w:widowControl w:val="0"/>
      </w:pPr>
    </w:p>
    <w:p w:rsidR="0091473E" w:rsidRDefault="00CF7CC3" w:rsidP="00C7065A">
      <w:pPr>
        <w:widowControl w:val="0"/>
      </w:pPr>
      <w:r w:rsidRPr="00FC6FDF">
        <w:t>Efficacy and safety</w:t>
      </w:r>
      <w:r w:rsidR="00AA7C97" w:rsidRPr="00FC6FDF">
        <w:t xml:space="preserve"> of </w:t>
      </w:r>
      <w:proofErr w:type="spellStart"/>
      <w:r w:rsidR="00AA7C97" w:rsidRPr="00FC6FDF">
        <w:t>Lucentis</w:t>
      </w:r>
      <w:proofErr w:type="spellEnd"/>
      <w:r w:rsidR="00AA7C97" w:rsidRPr="00FC6FDF">
        <w:t xml:space="preserve"> for treatment of visual impairment due to macular oedema secondary to RVO has not been </w:t>
      </w:r>
      <w:r w:rsidR="001A0862" w:rsidRPr="00FC6FDF">
        <w:t>evaluated</w:t>
      </w:r>
      <w:r w:rsidRPr="00FC6FDF">
        <w:t xml:space="preserve"> beyond 12 months</w:t>
      </w:r>
      <w:r w:rsidR="001A0862" w:rsidRPr="00FC6FDF">
        <w:t>.</w:t>
      </w:r>
    </w:p>
    <w:p w:rsidR="00756C49" w:rsidRDefault="00756C49" w:rsidP="00C7065A">
      <w:pPr>
        <w:widowControl w:val="0"/>
      </w:pPr>
    </w:p>
    <w:p w:rsidR="003039B8" w:rsidRPr="00B46DAD" w:rsidRDefault="003039B8" w:rsidP="00B46DAD">
      <w:pPr>
        <w:rPr>
          <w:b/>
          <w:u w:val="single"/>
        </w:rPr>
      </w:pPr>
      <w:r w:rsidRPr="00B46DAD">
        <w:rPr>
          <w:b/>
          <w:u w:val="single"/>
        </w:rPr>
        <w:t xml:space="preserve">Treatment of visual impairment due to </w:t>
      </w:r>
      <w:proofErr w:type="spellStart"/>
      <w:r w:rsidR="00062566" w:rsidRPr="00B46DAD">
        <w:rPr>
          <w:b/>
          <w:u w:val="single"/>
        </w:rPr>
        <w:t>choroidal</w:t>
      </w:r>
      <w:proofErr w:type="spellEnd"/>
      <w:r w:rsidR="00062566" w:rsidRPr="00B46DAD">
        <w:rPr>
          <w:b/>
          <w:u w:val="single"/>
        </w:rPr>
        <w:t xml:space="preserve"> neovascularization (</w:t>
      </w:r>
      <w:r w:rsidRPr="00B46DAD">
        <w:rPr>
          <w:b/>
          <w:u w:val="single"/>
        </w:rPr>
        <w:t>CNV</w:t>
      </w:r>
      <w:r w:rsidR="00062566" w:rsidRPr="00B46DAD">
        <w:rPr>
          <w:b/>
          <w:u w:val="single"/>
        </w:rPr>
        <w:t>)</w:t>
      </w:r>
      <w:r w:rsidRPr="00B46DAD">
        <w:rPr>
          <w:b/>
          <w:u w:val="single"/>
        </w:rPr>
        <w:t xml:space="preserve"> secondary to</w:t>
      </w:r>
      <w:r w:rsidR="00062566" w:rsidRPr="00B46DAD">
        <w:rPr>
          <w:b/>
          <w:u w:val="single"/>
        </w:rPr>
        <w:t xml:space="preserve"> Pathologic myopia (</w:t>
      </w:r>
      <w:r w:rsidRPr="00B46DAD">
        <w:rPr>
          <w:b/>
          <w:u w:val="single"/>
        </w:rPr>
        <w:t>PM</w:t>
      </w:r>
      <w:r w:rsidR="00062566" w:rsidRPr="00B46DAD">
        <w:rPr>
          <w:b/>
          <w:u w:val="single"/>
        </w:rPr>
        <w:t>)</w:t>
      </w:r>
      <w:r w:rsidRPr="00B46DAD">
        <w:rPr>
          <w:b/>
          <w:u w:val="single"/>
        </w:rPr>
        <w:t xml:space="preserve"> </w:t>
      </w:r>
    </w:p>
    <w:p w:rsidR="003039B8" w:rsidRDefault="003039B8" w:rsidP="003039B8">
      <w:pPr>
        <w:pStyle w:val="Text"/>
      </w:pPr>
      <w:r w:rsidRPr="00A25828">
        <w:t xml:space="preserve">The clinical safety and efficacy of </w:t>
      </w:r>
      <w:proofErr w:type="spellStart"/>
      <w:r w:rsidRPr="00A25828">
        <w:t>Lucentis</w:t>
      </w:r>
      <w:proofErr w:type="spellEnd"/>
      <w:r w:rsidRPr="00A25828">
        <w:t xml:space="preserve"> in patients with visual impairment due to CNV </w:t>
      </w:r>
      <w:r>
        <w:t>in</w:t>
      </w:r>
      <w:r w:rsidRPr="00A25828">
        <w:t xml:space="preserve"> PM have been assessed</w:t>
      </w:r>
      <w:r>
        <w:t xml:space="preserve"> based on the 12-month</w:t>
      </w:r>
      <w:r w:rsidRPr="00A25828">
        <w:t xml:space="preserve"> </w:t>
      </w:r>
      <w:r>
        <w:t xml:space="preserve">data of the </w:t>
      </w:r>
      <w:r w:rsidRPr="00A25828">
        <w:t xml:space="preserve">randomized, double-masked, controlled </w:t>
      </w:r>
      <w:r>
        <w:t xml:space="preserve">pivotal </w:t>
      </w:r>
      <w:r w:rsidRPr="00A25828">
        <w:t xml:space="preserve">study F2301 </w:t>
      </w:r>
      <w:r w:rsidR="006C1276">
        <w:t>(RADIANCE</w:t>
      </w:r>
      <w:r w:rsidR="00436788">
        <w:t>)</w:t>
      </w:r>
      <w:r w:rsidR="006C1276">
        <w:t xml:space="preserve"> </w:t>
      </w:r>
      <w:r w:rsidRPr="00A25828">
        <w:t xml:space="preserve">which was designed to evaluate two different dosing regimens of 0.5 mg </w:t>
      </w:r>
      <w:proofErr w:type="spellStart"/>
      <w:r w:rsidRPr="00A25828">
        <w:t>ranibizumab</w:t>
      </w:r>
      <w:proofErr w:type="spellEnd"/>
      <w:r w:rsidRPr="00A25828">
        <w:t xml:space="preserve"> given as </w:t>
      </w:r>
      <w:proofErr w:type="spellStart"/>
      <w:r w:rsidRPr="00A25828">
        <w:t>intravitreal</w:t>
      </w:r>
      <w:proofErr w:type="spellEnd"/>
      <w:r w:rsidRPr="00A25828">
        <w:t xml:space="preserve"> injection in comparison to </w:t>
      </w:r>
      <w:proofErr w:type="spellStart"/>
      <w:r w:rsidRPr="00A25828">
        <w:t>verteporfin</w:t>
      </w:r>
      <w:proofErr w:type="spellEnd"/>
      <w:r w:rsidRPr="00A25828">
        <w:t xml:space="preserve"> PDT (</w:t>
      </w:r>
      <w:proofErr w:type="spellStart"/>
      <w:r w:rsidRPr="00A25828">
        <w:t>vPDT</w:t>
      </w:r>
      <w:proofErr w:type="spellEnd"/>
      <w:r w:rsidRPr="00A25828">
        <w:t xml:space="preserve">, </w:t>
      </w:r>
      <w:proofErr w:type="spellStart"/>
      <w:r w:rsidRPr="00A25828">
        <w:t>Visudyne</w:t>
      </w:r>
      <w:proofErr w:type="spellEnd"/>
      <w:r w:rsidRPr="00A25828">
        <w:t xml:space="preserve"> photodynamic therapy). </w:t>
      </w:r>
    </w:p>
    <w:p w:rsidR="00756C49" w:rsidRPr="00A25828" w:rsidRDefault="00756C49" w:rsidP="003039B8">
      <w:pPr>
        <w:pStyle w:val="Text"/>
      </w:pPr>
      <w:r>
        <w:t xml:space="preserve">Patients with retinal detachment, cataract, pre-retinal membrane of the macula, history of </w:t>
      </w:r>
      <w:proofErr w:type="spellStart"/>
      <w:r>
        <w:t>panretinal</w:t>
      </w:r>
      <w:proofErr w:type="spellEnd"/>
      <w:r>
        <w:t xml:space="preserve"> or focal/grid laser photocoagulation with involvement of the macular area, history of intraocular treatment with any anti-VEGF or </w:t>
      </w:r>
      <w:proofErr w:type="spellStart"/>
      <w:r>
        <w:t>vPDT</w:t>
      </w:r>
      <w:proofErr w:type="spellEnd"/>
      <w:r>
        <w:t>, history of intra-ocular surgery or treatment with corticosteroids in preceding 3 months were excluded from the trial.</w:t>
      </w:r>
    </w:p>
    <w:p w:rsidR="003039B8" w:rsidRDefault="00756C49" w:rsidP="003039B8">
      <w:pPr>
        <w:pStyle w:val="Text"/>
      </w:pPr>
      <w:r>
        <w:t>A total of</w:t>
      </w:r>
      <w:r w:rsidRPr="00A25828">
        <w:t xml:space="preserve"> </w:t>
      </w:r>
      <w:r w:rsidR="003039B8" w:rsidRPr="00A25828">
        <w:t xml:space="preserve">277 </w:t>
      </w:r>
      <w:r>
        <w:t xml:space="preserve">eligible </w:t>
      </w:r>
      <w:r w:rsidR="003039B8" w:rsidRPr="00A25828">
        <w:t xml:space="preserve">patients </w:t>
      </w:r>
      <w:r>
        <w:t>participated in the trial. The mean (SD) age of all</w:t>
      </w:r>
      <w:r w:rsidR="003039B8" w:rsidRPr="00A25828">
        <w:t xml:space="preserve"> randomized</w:t>
      </w:r>
      <w:r w:rsidR="003039B8">
        <w:t xml:space="preserve"> </w:t>
      </w:r>
      <w:r>
        <w:t xml:space="preserve">patients was 55.5 (13.94) years. At baseline, the mean (SD) BCVA was 55.4 (13.11) letters. The mean (SD) axial length was 29.07 (1.892) mm and the mean refraction-sphere was -12 </w:t>
      </w:r>
      <w:proofErr w:type="spellStart"/>
      <w:r>
        <w:t>diopters</w:t>
      </w:r>
      <w:proofErr w:type="spellEnd"/>
      <w:r>
        <w:t xml:space="preserve"> (range -6 to ~-30) at baseline. A total of 68.6% patients had </w:t>
      </w:r>
      <w:proofErr w:type="spellStart"/>
      <w:r>
        <w:t>subfoveal</w:t>
      </w:r>
      <w:proofErr w:type="spellEnd"/>
      <w:r>
        <w:t xml:space="preserve">, 23.8% patients had </w:t>
      </w:r>
      <w:proofErr w:type="spellStart"/>
      <w:r>
        <w:t>juxtafoveal</w:t>
      </w:r>
      <w:proofErr w:type="spellEnd"/>
      <w:r>
        <w:t xml:space="preserve"> and 4.0% patients had </w:t>
      </w:r>
      <w:proofErr w:type="spellStart"/>
      <w:r>
        <w:t>extrafoveal</w:t>
      </w:r>
      <w:proofErr w:type="spellEnd"/>
      <w:r>
        <w:t xml:space="preserve"> lesions. The patients were randomised to the following three treatment groups</w:t>
      </w:r>
      <w:r w:rsidR="003039B8" w:rsidRPr="00546B76">
        <w:t>:</w:t>
      </w:r>
      <w:r w:rsidR="003039B8" w:rsidRPr="001C2505">
        <w:t xml:space="preserve"> </w:t>
      </w:r>
    </w:p>
    <w:p w:rsidR="003039B8" w:rsidRDefault="003039B8" w:rsidP="003039B8">
      <w:pPr>
        <w:pStyle w:val="Text"/>
        <w:numPr>
          <w:ilvl w:val="0"/>
          <w:numId w:val="32"/>
        </w:numPr>
        <w:spacing w:line="240" w:lineRule="auto"/>
      </w:pPr>
      <w:r w:rsidRPr="001C2505">
        <w:t>Group I (</w:t>
      </w:r>
      <w:proofErr w:type="spellStart"/>
      <w:r w:rsidRPr="001C2505">
        <w:t>ranibizumab</w:t>
      </w:r>
      <w:proofErr w:type="spellEnd"/>
      <w:r w:rsidRPr="001C2505">
        <w:t xml:space="preserve"> 0.5mg, dosing regimen driven by “stability” criteria</w:t>
      </w:r>
      <w:r w:rsidRPr="00B10A35">
        <w:t xml:space="preserve"> </w:t>
      </w:r>
      <w:r w:rsidRPr="001C2505">
        <w:t xml:space="preserve">defined as no change in BCVA compared to two preceding monthly evaluations) </w:t>
      </w:r>
    </w:p>
    <w:p w:rsidR="00A2188E" w:rsidRDefault="00A2188E" w:rsidP="00A2188E">
      <w:pPr>
        <w:pStyle w:val="Text"/>
        <w:numPr>
          <w:ilvl w:val="0"/>
          <w:numId w:val="32"/>
        </w:numPr>
        <w:spacing w:line="240" w:lineRule="auto"/>
      </w:pPr>
      <w:r w:rsidRPr="001C2505">
        <w:t>Group II (</w:t>
      </w:r>
      <w:proofErr w:type="spellStart"/>
      <w:r w:rsidRPr="001C2505">
        <w:t>ranibizumab</w:t>
      </w:r>
      <w:proofErr w:type="spellEnd"/>
      <w:r w:rsidRPr="001C2505">
        <w:t xml:space="preserve"> 0.5mg, dosing regimen driven by “disease activity” criteria</w:t>
      </w:r>
      <w:r w:rsidRPr="00B10A35">
        <w:t xml:space="preserve"> </w:t>
      </w:r>
      <w:r w:rsidRPr="001C2505">
        <w:t>defined as vision im</w:t>
      </w:r>
      <w:r>
        <w:t>pairment attributable to intra-or-</w:t>
      </w:r>
      <w:proofErr w:type="spellStart"/>
      <w:r w:rsidRPr="001C2505">
        <w:t>subretinal</w:t>
      </w:r>
      <w:proofErr w:type="spellEnd"/>
      <w:r w:rsidRPr="001C2505">
        <w:t xml:space="preserve"> fluid or active leakage du</w:t>
      </w:r>
      <w:r>
        <w:t>e to the CNV lesion</w:t>
      </w:r>
      <w:r w:rsidRPr="001C2505">
        <w:t xml:space="preserve"> as assessed by </w:t>
      </w:r>
      <w:r w:rsidR="00756C49">
        <w:t>Optical Coherence Tomography (</w:t>
      </w:r>
      <w:r w:rsidRPr="001C2505">
        <w:t>OCT</w:t>
      </w:r>
      <w:r w:rsidR="00756C49">
        <w:t>)</w:t>
      </w:r>
      <w:r w:rsidRPr="001C2505">
        <w:t xml:space="preserve"> and/or </w:t>
      </w:r>
      <w:r w:rsidR="00AB02D4" w:rsidRPr="0087204D">
        <w:t>Fluorescein Tomography</w:t>
      </w:r>
      <w:r w:rsidR="00AB02D4">
        <w:rPr>
          <w:rFonts w:ascii="Arial" w:hAnsi="Arial" w:cs="Arial"/>
          <w:sz w:val="20"/>
          <w:szCs w:val="20"/>
        </w:rPr>
        <w:t xml:space="preserve"> (</w:t>
      </w:r>
      <w:r w:rsidRPr="001C2505">
        <w:t>FA</w:t>
      </w:r>
      <w:r w:rsidR="00AB02D4">
        <w:t>)</w:t>
      </w:r>
      <w:r>
        <w:t>)</w:t>
      </w:r>
      <w:r w:rsidRPr="001C2505">
        <w:t xml:space="preserve"> </w:t>
      </w:r>
    </w:p>
    <w:p w:rsidR="00A2188E" w:rsidRDefault="00A2188E" w:rsidP="00A2188E">
      <w:pPr>
        <w:pStyle w:val="Text"/>
        <w:numPr>
          <w:ilvl w:val="0"/>
          <w:numId w:val="32"/>
        </w:numPr>
        <w:spacing w:line="240" w:lineRule="auto"/>
      </w:pPr>
      <w:r w:rsidRPr="001C2505">
        <w:t>Group III (</w:t>
      </w:r>
      <w:proofErr w:type="spellStart"/>
      <w:r w:rsidRPr="001C2505">
        <w:t>vPDT</w:t>
      </w:r>
      <w:proofErr w:type="spellEnd"/>
      <w:r>
        <w:t xml:space="preserve"> - patients </w:t>
      </w:r>
      <w:r w:rsidRPr="001C2505">
        <w:t xml:space="preserve">were allowed to receive </w:t>
      </w:r>
      <w:proofErr w:type="spellStart"/>
      <w:r w:rsidRPr="001C2505">
        <w:t>ranibizumab</w:t>
      </w:r>
      <w:proofErr w:type="spellEnd"/>
      <w:r w:rsidRPr="001C2505">
        <w:t xml:space="preserve"> treatment as of Month 3</w:t>
      </w:r>
      <w:r>
        <w:t>)</w:t>
      </w:r>
      <w:r w:rsidRPr="001C2505">
        <w:t xml:space="preserve"> </w:t>
      </w:r>
    </w:p>
    <w:p w:rsidR="00A2188E" w:rsidRPr="001C2505" w:rsidRDefault="00A2188E" w:rsidP="00A2188E">
      <w:pPr>
        <w:pStyle w:val="Text"/>
      </w:pPr>
      <w:r>
        <w:t>Over the 12 months of the study patients received on average 4.6 injections</w:t>
      </w:r>
      <w:r w:rsidR="006C1276">
        <w:t xml:space="preserve"> (range 1-11)</w:t>
      </w:r>
      <w:r>
        <w:t xml:space="preserve"> in Group I and 3.5 injections</w:t>
      </w:r>
      <w:r w:rsidR="006C1276">
        <w:t xml:space="preserve"> (range 1-12)</w:t>
      </w:r>
      <w:r>
        <w:t xml:space="preserve"> in Group II.</w:t>
      </w:r>
      <w:r w:rsidR="006C1276">
        <w:t xml:space="preserve"> In Group II (in which patients received the recommended treatment regimen based on disease activity, see section 4 Dosage and administration), 50.9% of patients required 1 or 2 injections, 34.5% required 3 to 5 </w:t>
      </w:r>
      <w:r w:rsidR="006C1276">
        <w:lastRenderedPageBreak/>
        <w:t>injections and 14.7% required 6 to 12 injections over the 12-month study period. In Group II, 62.9% of patients did not require injections in the second 6 months of the study</w:t>
      </w:r>
      <w:r w:rsidR="00756C49">
        <w:t>.</w:t>
      </w:r>
    </w:p>
    <w:p w:rsidR="00502C2D" w:rsidRDefault="00A2188E" w:rsidP="00A2188E">
      <w:pPr>
        <w:pStyle w:val="Text"/>
      </w:pPr>
      <w:r>
        <w:t xml:space="preserve">Key outcomes from </w:t>
      </w:r>
      <w:r w:rsidR="006C1276">
        <w:t>RADIANCE</w:t>
      </w:r>
      <w:r w:rsidR="00756C49">
        <w:t xml:space="preserve"> </w:t>
      </w:r>
      <w:r>
        <w:t>are summarised in Table</w:t>
      </w:r>
      <w:r w:rsidRPr="00D11555">
        <w:t xml:space="preserve"> </w:t>
      </w:r>
      <w:r w:rsidR="00F90AAB">
        <w:t>9</w:t>
      </w:r>
      <w:r>
        <w:t xml:space="preserve"> </w:t>
      </w:r>
      <w:r w:rsidRPr="00D11555">
        <w:t>and Figure</w:t>
      </w:r>
      <w:r>
        <w:t xml:space="preserve"> </w:t>
      </w:r>
      <w:r w:rsidR="00F90AAB">
        <w:t>8</w:t>
      </w:r>
      <w:r w:rsidRPr="00D11555">
        <w:t>.</w:t>
      </w:r>
    </w:p>
    <w:p w:rsidR="00A2188E" w:rsidRDefault="00A2188E" w:rsidP="00A2188E">
      <w:pPr>
        <w:pStyle w:val="Heading6"/>
      </w:pPr>
      <w:bookmarkStart w:id="105" w:name="_Toc332028242"/>
      <w:r>
        <w:t xml:space="preserve">Table </w:t>
      </w:r>
      <w:r w:rsidR="000C774D">
        <w:t>9</w:t>
      </w:r>
      <w:r>
        <w:tab/>
        <w:t>Outcomes at Month 3 and Month 12 (</w:t>
      </w:r>
      <w:r w:rsidR="006C1276">
        <w:t>RADIANCE</w:t>
      </w:r>
      <w:r w:rsidR="00436788">
        <w:rPr>
          <w:rStyle w:val="CommentReference"/>
          <w:rFonts w:ascii="Times New Roman" w:hAnsi="Times New Roman" w:cs="Times New Roman"/>
          <w:b w:val="0"/>
          <w:bCs w:val="0"/>
          <w:lang w:val="en-GB"/>
        </w:rPr>
        <w:t>)</w:t>
      </w:r>
      <w:bookmarkEnd w:id="105"/>
    </w:p>
    <w:tbl>
      <w:tblPr>
        <w:tblW w:w="0" w:type="auto"/>
        <w:tblBorders>
          <w:top w:val="single" w:sz="4" w:space="0" w:color="auto"/>
          <w:bottom w:val="single" w:sz="4" w:space="0" w:color="auto"/>
        </w:tblBorders>
        <w:tblLayout w:type="fixed"/>
        <w:tblLook w:val="0000" w:firstRow="0" w:lastRow="0" w:firstColumn="0" w:lastColumn="0" w:noHBand="0" w:noVBand="0"/>
      </w:tblPr>
      <w:tblGrid>
        <w:gridCol w:w="3794"/>
        <w:gridCol w:w="2268"/>
        <w:gridCol w:w="1701"/>
        <w:gridCol w:w="1530"/>
      </w:tblGrid>
      <w:tr w:rsidR="00A2188E" w:rsidTr="007777CA">
        <w:trPr>
          <w:tblHeader/>
        </w:trPr>
        <w:tc>
          <w:tcPr>
            <w:tcW w:w="3794" w:type="dxa"/>
            <w:tcBorders>
              <w:top w:val="single" w:sz="4" w:space="0" w:color="auto"/>
              <w:bottom w:val="single" w:sz="4" w:space="0" w:color="auto"/>
            </w:tcBorders>
            <w:shd w:val="clear" w:color="auto" w:fill="auto"/>
          </w:tcPr>
          <w:p w:rsidR="00A2188E" w:rsidRDefault="00A2188E" w:rsidP="007777CA">
            <w:pPr>
              <w:pStyle w:val="Table"/>
            </w:pPr>
          </w:p>
        </w:tc>
        <w:tc>
          <w:tcPr>
            <w:tcW w:w="2268" w:type="dxa"/>
            <w:tcBorders>
              <w:top w:val="single" w:sz="4" w:space="0" w:color="auto"/>
              <w:bottom w:val="single" w:sz="4" w:space="0" w:color="auto"/>
            </w:tcBorders>
            <w:shd w:val="clear" w:color="auto" w:fill="auto"/>
          </w:tcPr>
          <w:p w:rsidR="00A2188E" w:rsidRPr="00146D3D" w:rsidRDefault="00A2188E" w:rsidP="007777CA">
            <w:pPr>
              <w:pStyle w:val="Text"/>
              <w:spacing w:before="0"/>
              <w:jc w:val="center"/>
              <w:rPr>
                <w:rFonts w:ascii="Arial" w:hAnsi="Arial" w:cs="Arial"/>
                <w:b/>
                <w:bCs/>
                <w:sz w:val="18"/>
              </w:rPr>
            </w:pPr>
            <w:r w:rsidRPr="00146D3D">
              <w:rPr>
                <w:rFonts w:ascii="Arial" w:hAnsi="Arial" w:cs="Arial"/>
                <w:b/>
                <w:bCs/>
                <w:sz w:val="18"/>
              </w:rPr>
              <w:t>Group I</w:t>
            </w:r>
          </w:p>
          <w:p w:rsidR="00A2188E" w:rsidRDefault="00A2188E" w:rsidP="007777CA">
            <w:pPr>
              <w:pStyle w:val="Text"/>
              <w:spacing w:before="0"/>
              <w:jc w:val="center"/>
              <w:rPr>
                <w:rFonts w:ascii="Arial" w:hAnsi="Arial" w:cs="Arial"/>
                <w:b/>
                <w:bCs/>
                <w:sz w:val="18"/>
              </w:rPr>
            </w:pPr>
            <w:proofErr w:type="spellStart"/>
            <w:r w:rsidRPr="00146D3D">
              <w:rPr>
                <w:rFonts w:ascii="Arial" w:hAnsi="Arial" w:cs="Arial"/>
                <w:b/>
                <w:bCs/>
                <w:sz w:val="18"/>
              </w:rPr>
              <w:t>Ranibizumab</w:t>
            </w:r>
            <w:proofErr w:type="spellEnd"/>
            <w:r w:rsidRPr="00146D3D">
              <w:rPr>
                <w:rFonts w:ascii="Arial" w:hAnsi="Arial" w:cs="Arial"/>
                <w:b/>
                <w:bCs/>
                <w:sz w:val="18"/>
              </w:rPr>
              <w:t xml:space="preserve"> </w:t>
            </w:r>
          </w:p>
          <w:p w:rsidR="00A2188E" w:rsidRPr="00146D3D" w:rsidRDefault="00A2188E" w:rsidP="007777CA">
            <w:pPr>
              <w:pStyle w:val="Text"/>
              <w:spacing w:before="0"/>
              <w:jc w:val="center"/>
              <w:rPr>
                <w:rFonts w:ascii="Arial" w:hAnsi="Arial" w:cs="Arial"/>
                <w:b/>
                <w:bCs/>
                <w:sz w:val="18"/>
              </w:rPr>
            </w:pPr>
            <w:r w:rsidRPr="00146D3D">
              <w:rPr>
                <w:rFonts w:ascii="Arial" w:hAnsi="Arial" w:cs="Arial"/>
                <w:b/>
                <w:bCs/>
                <w:sz w:val="18"/>
              </w:rPr>
              <w:t xml:space="preserve">0.5mg </w:t>
            </w:r>
          </w:p>
          <w:p w:rsidR="00A2188E" w:rsidRPr="00146D3D" w:rsidRDefault="00A2188E" w:rsidP="007777CA">
            <w:pPr>
              <w:pStyle w:val="Text"/>
              <w:spacing w:before="0"/>
              <w:jc w:val="center"/>
              <w:rPr>
                <w:rFonts w:ascii="Arial" w:hAnsi="Arial" w:cs="Arial"/>
                <w:b/>
                <w:bCs/>
                <w:sz w:val="18"/>
              </w:rPr>
            </w:pPr>
            <w:r w:rsidRPr="00146D3D">
              <w:rPr>
                <w:rFonts w:ascii="Arial" w:hAnsi="Arial" w:cs="Arial"/>
                <w:b/>
                <w:bCs/>
                <w:sz w:val="18"/>
              </w:rPr>
              <w:t>`</w:t>
            </w:r>
            <w:r>
              <w:rPr>
                <w:rFonts w:ascii="Arial" w:hAnsi="Arial" w:cs="Arial"/>
                <w:b/>
                <w:bCs/>
                <w:sz w:val="18"/>
              </w:rPr>
              <w:t xml:space="preserve"> visual acuity </w:t>
            </w:r>
            <w:r w:rsidRPr="00146D3D">
              <w:rPr>
                <w:rFonts w:ascii="Arial" w:hAnsi="Arial" w:cs="Arial"/>
                <w:b/>
                <w:bCs/>
                <w:sz w:val="18"/>
              </w:rPr>
              <w:t>stability`</w:t>
            </w:r>
          </w:p>
          <w:p w:rsidR="00A2188E" w:rsidRDefault="00A2188E" w:rsidP="007777CA">
            <w:pPr>
              <w:pStyle w:val="Table"/>
              <w:spacing w:before="0" w:after="0"/>
              <w:jc w:val="center"/>
            </w:pPr>
            <w:r w:rsidRPr="00146D3D">
              <w:rPr>
                <w:b/>
                <w:bCs/>
                <w:sz w:val="18"/>
              </w:rPr>
              <w:t>(n=105)</w:t>
            </w:r>
          </w:p>
        </w:tc>
        <w:tc>
          <w:tcPr>
            <w:tcW w:w="1701" w:type="dxa"/>
            <w:tcBorders>
              <w:top w:val="single" w:sz="4" w:space="0" w:color="auto"/>
              <w:bottom w:val="single" w:sz="4" w:space="0" w:color="auto"/>
            </w:tcBorders>
            <w:shd w:val="clear" w:color="auto" w:fill="auto"/>
          </w:tcPr>
          <w:p w:rsidR="00A2188E" w:rsidRPr="00146D3D" w:rsidRDefault="00A2188E" w:rsidP="007777CA">
            <w:pPr>
              <w:pStyle w:val="Text"/>
              <w:spacing w:before="0"/>
              <w:jc w:val="center"/>
              <w:rPr>
                <w:rFonts w:ascii="Arial" w:hAnsi="Arial" w:cs="Arial"/>
                <w:b/>
                <w:bCs/>
                <w:sz w:val="18"/>
              </w:rPr>
            </w:pPr>
            <w:r w:rsidRPr="00146D3D">
              <w:rPr>
                <w:rFonts w:ascii="Arial" w:hAnsi="Arial" w:cs="Arial"/>
                <w:b/>
                <w:bCs/>
                <w:sz w:val="18"/>
              </w:rPr>
              <w:t>Group II</w:t>
            </w:r>
          </w:p>
          <w:p w:rsidR="00A2188E" w:rsidRPr="00146D3D" w:rsidRDefault="00A2188E" w:rsidP="007777CA">
            <w:pPr>
              <w:pStyle w:val="Text"/>
              <w:spacing w:before="0"/>
              <w:jc w:val="center"/>
              <w:rPr>
                <w:rFonts w:ascii="Arial" w:hAnsi="Arial" w:cs="Arial"/>
                <w:b/>
                <w:bCs/>
                <w:sz w:val="18"/>
              </w:rPr>
            </w:pPr>
            <w:proofErr w:type="spellStart"/>
            <w:r w:rsidRPr="00146D3D">
              <w:rPr>
                <w:rFonts w:ascii="Arial" w:hAnsi="Arial" w:cs="Arial"/>
                <w:b/>
                <w:bCs/>
                <w:sz w:val="18"/>
              </w:rPr>
              <w:t>Ranibizumab</w:t>
            </w:r>
            <w:proofErr w:type="spellEnd"/>
            <w:r w:rsidRPr="00146D3D">
              <w:rPr>
                <w:rFonts w:ascii="Arial" w:hAnsi="Arial" w:cs="Arial"/>
                <w:b/>
                <w:bCs/>
                <w:sz w:val="18"/>
              </w:rPr>
              <w:t xml:space="preserve"> 0.5mg </w:t>
            </w:r>
          </w:p>
          <w:p w:rsidR="00A2188E" w:rsidRPr="00146D3D" w:rsidRDefault="00A2188E" w:rsidP="007777CA">
            <w:pPr>
              <w:pStyle w:val="Text"/>
              <w:spacing w:before="0"/>
              <w:jc w:val="center"/>
              <w:rPr>
                <w:rFonts w:ascii="Arial" w:hAnsi="Arial" w:cs="Arial"/>
                <w:b/>
                <w:bCs/>
                <w:sz w:val="18"/>
              </w:rPr>
            </w:pPr>
            <w:r w:rsidRPr="00146D3D">
              <w:rPr>
                <w:rFonts w:ascii="Arial" w:hAnsi="Arial" w:cs="Arial"/>
                <w:b/>
                <w:bCs/>
                <w:sz w:val="18"/>
              </w:rPr>
              <w:t>`</w:t>
            </w:r>
            <w:r>
              <w:rPr>
                <w:rFonts w:ascii="Arial" w:hAnsi="Arial" w:cs="Arial"/>
                <w:b/>
                <w:bCs/>
                <w:sz w:val="18"/>
              </w:rPr>
              <w:t xml:space="preserve">disease </w:t>
            </w:r>
            <w:r w:rsidRPr="00146D3D">
              <w:rPr>
                <w:rFonts w:ascii="Arial" w:hAnsi="Arial" w:cs="Arial"/>
                <w:b/>
                <w:bCs/>
                <w:sz w:val="18"/>
              </w:rPr>
              <w:t>activity`</w:t>
            </w:r>
          </w:p>
          <w:p w:rsidR="00A2188E" w:rsidRDefault="00A2188E" w:rsidP="007777CA">
            <w:pPr>
              <w:pStyle w:val="Table"/>
              <w:spacing w:before="0" w:after="0"/>
              <w:jc w:val="center"/>
            </w:pPr>
            <w:r w:rsidRPr="00146D3D">
              <w:rPr>
                <w:b/>
                <w:bCs/>
                <w:sz w:val="18"/>
              </w:rPr>
              <w:t>(</w:t>
            </w:r>
            <w:r w:rsidR="006C1276">
              <w:rPr>
                <w:b/>
                <w:bCs/>
                <w:sz w:val="18"/>
              </w:rPr>
              <w:t>n=</w:t>
            </w:r>
            <w:r w:rsidRPr="00146D3D">
              <w:rPr>
                <w:b/>
                <w:bCs/>
                <w:sz w:val="18"/>
              </w:rPr>
              <w:t>116)</w:t>
            </w:r>
          </w:p>
        </w:tc>
        <w:tc>
          <w:tcPr>
            <w:tcW w:w="1530" w:type="dxa"/>
            <w:tcBorders>
              <w:top w:val="single" w:sz="4" w:space="0" w:color="auto"/>
              <w:bottom w:val="single" w:sz="4" w:space="0" w:color="auto"/>
            </w:tcBorders>
            <w:shd w:val="clear" w:color="auto" w:fill="auto"/>
          </w:tcPr>
          <w:p w:rsidR="00A2188E" w:rsidRPr="00146D3D" w:rsidRDefault="00A2188E" w:rsidP="007777CA">
            <w:pPr>
              <w:pStyle w:val="Text"/>
              <w:spacing w:before="0"/>
              <w:jc w:val="center"/>
              <w:rPr>
                <w:rFonts w:ascii="Arial" w:hAnsi="Arial" w:cs="Arial"/>
                <w:b/>
                <w:bCs/>
                <w:sz w:val="18"/>
              </w:rPr>
            </w:pPr>
            <w:r w:rsidRPr="00146D3D">
              <w:rPr>
                <w:rFonts w:ascii="Arial" w:hAnsi="Arial" w:cs="Arial"/>
                <w:b/>
                <w:bCs/>
                <w:sz w:val="18"/>
              </w:rPr>
              <w:t>Group III</w:t>
            </w:r>
          </w:p>
          <w:p w:rsidR="00A2188E" w:rsidRPr="00146D3D" w:rsidRDefault="00A2188E" w:rsidP="007777CA">
            <w:pPr>
              <w:pStyle w:val="Text"/>
              <w:spacing w:before="0"/>
              <w:jc w:val="center"/>
              <w:rPr>
                <w:rFonts w:ascii="Arial" w:hAnsi="Arial" w:cs="Arial"/>
                <w:b/>
                <w:bCs/>
                <w:sz w:val="18"/>
              </w:rPr>
            </w:pPr>
            <w:proofErr w:type="spellStart"/>
            <w:r>
              <w:rPr>
                <w:rFonts w:ascii="Arial" w:hAnsi="Arial" w:cs="Arial"/>
                <w:b/>
                <w:bCs/>
                <w:sz w:val="18"/>
              </w:rPr>
              <w:t>vPDT</w:t>
            </w:r>
            <w:proofErr w:type="spellEnd"/>
            <w:r>
              <w:rPr>
                <w:rFonts w:ascii="Arial" w:hAnsi="Arial" w:cs="Arial"/>
                <w:b/>
                <w:bCs/>
                <w:sz w:val="18"/>
              </w:rPr>
              <w:t>*</w:t>
            </w:r>
          </w:p>
          <w:p w:rsidR="00A2188E" w:rsidRDefault="00A2188E" w:rsidP="007777CA">
            <w:pPr>
              <w:pStyle w:val="Text"/>
              <w:spacing w:before="0"/>
              <w:jc w:val="center"/>
              <w:rPr>
                <w:rFonts w:ascii="Arial" w:hAnsi="Arial" w:cs="Arial"/>
                <w:b/>
                <w:bCs/>
                <w:sz w:val="18"/>
              </w:rPr>
            </w:pPr>
          </w:p>
          <w:p w:rsidR="00A2188E" w:rsidRPr="00146D3D" w:rsidRDefault="00A2188E" w:rsidP="007777CA">
            <w:pPr>
              <w:pStyle w:val="Text"/>
              <w:spacing w:before="0"/>
              <w:jc w:val="center"/>
              <w:rPr>
                <w:rFonts w:ascii="Arial" w:hAnsi="Arial" w:cs="Arial"/>
                <w:b/>
                <w:bCs/>
                <w:sz w:val="18"/>
              </w:rPr>
            </w:pPr>
          </w:p>
          <w:p w:rsidR="00A2188E" w:rsidRDefault="00A2188E" w:rsidP="007777CA">
            <w:pPr>
              <w:pStyle w:val="Table"/>
              <w:spacing w:before="0" w:after="0"/>
              <w:jc w:val="center"/>
            </w:pPr>
            <w:r w:rsidRPr="00146D3D">
              <w:rPr>
                <w:b/>
                <w:bCs/>
                <w:sz w:val="18"/>
              </w:rPr>
              <w:t>(n=55)</w:t>
            </w:r>
          </w:p>
        </w:tc>
      </w:tr>
      <w:tr w:rsidR="00A2188E" w:rsidTr="007777CA">
        <w:tc>
          <w:tcPr>
            <w:tcW w:w="3794" w:type="dxa"/>
            <w:tcBorders>
              <w:top w:val="single" w:sz="4" w:space="0" w:color="auto"/>
            </w:tcBorders>
            <w:shd w:val="clear" w:color="auto" w:fill="auto"/>
          </w:tcPr>
          <w:p w:rsidR="00A2188E" w:rsidRPr="001B2DE4" w:rsidRDefault="00A2188E" w:rsidP="007777CA">
            <w:pPr>
              <w:pStyle w:val="Table"/>
              <w:rPr>
                <w:b/>
              </w:rPr>
            </w:pPr>
            <w:r w:rsidRPr="001B2DE4">
              <w:rPr>
                <w:b/>
              </w:rPr>
              <w:t xml:space="preserve">Month 3 </w:t>
            </w:r>
          </w:p>
        </w:tc>
        <w:tc>
          <w:tcPr>
            <w:tcW w:w="2268" w:type="dxa"/>
            <w:tcBorders>
              <w:top w:val="single" w:sz="4" w:space="0" w:color="auto"/>
            </w:tcBorders>
            <w:shd w:val="clear" w:color="auto" w:fill="auto"/>
          </w:tcPr>
          <w:p w:rsidR="00A2188E" w:rsidRDefault="00A2188E" w:rsidP="007777CA">
            <w:pPr>
              <w:pStyle w:val="Table"/>
            </w:pPr>
          </w:p>
        </w:tc>
        <w:tc>
          <w:tcPr>
            <w:tcW w:w="1701" w:type="dxa"/>
            <w:tcBorders>
              <w:top w:val="single" w:sz="4" w:space="0" w:color="auto"/>
            </w:tcBorders>
            <w:shd w:val="clear" w:color="auto" w:fill="auto"/>
          </w:tcPr>
          <w:p w:rsidR="00A2188E" w:rsidRDefault="00A2188E" w:rsidP="007777CA">
            <w:pPr>
              <w:pStyle w:val="Table"/>
            </w:pPr>
          </w:p>
        </w:tc>
        <w:tc>
          <w:tcPr>
            <w:tcW w:w="1530" w:type="dxa"/>
            <w:tcBorders>
              <w:top w:val="single" w:sz="4" w:space="0" w:color="auto"/>
            </w:tcBorders>
            <w:shd w:val="clear" w:color="auto" w:fill="auto"/>
          </w:tcPr>
          <w:p w:rsidR="00A2188E" w:rsidRDefault="00A2188E" w:rsidP="007777CA">
            <w:pPr>
              <w:pStyle w:val="Table"/>
            </w:pPr>
          </w:p>
        </w:tc>
      </w:tr>
      <w:tr w:rsidR="00A2188E" w:rsidTr="007777CA">
        <w:tc>
          <w:tcPr>
            <w:tcW w:w="3794" w:type="dxa"/>
            <w:shd w:val="clear" w:color="auto" w:fill="auto"/>
          </w:tcPr>
          <w:p w:rsidR="00A2188E" w:rsidRPr="001B2DE4" w:rsidRDefault="00A2188E" w:rsidP="007777CA">
            <w:pPr>
              <w:pStyle w:val="Table"/>
              <w:spacing w:before="0" w:after="0"/>
            </w:pPr>
            <w:r w:rsidRPr="001B2DE4">
              <w:rPr>
                <w:sz w:val="18"/>
              </w:rPr>
              <w:t xml:space="preserve">Mean average BCVA change from Month 1 to Month 3 compared to </w:t>
            </w:r>
            <w:proofErr w:type="spellStart"/>
            <w:r w:rsidRPr="001B2DE4">
              <w:rPr>
                <w:sz w:val="18"/>
              </w:rPr>
              <w:t>baseline</w:t>
            </w:r>
            <w:r w:rsidRPr="001B2DE4">
              <w:rPr>
                <w:sz w:val="18"/>
                <w:vertAlign w:val="superscript"/>
              </w:rPr>
              <w:t>a</w:t>
            </w:r>
            <w:proofErr w:type="spellEnd"/>
            <w:r w:rsidRPr="001B2DE4">
              <w:rPr>
                <w:sz w:val="18"/>
              </w:rPr>
              <w:t xml:space="preserve"> (letters)</w:t>
            </w:r>
          </w:p>
        </w:tc>
        <w:tc>
          <w:tcPr>
            <w:tcW w:w="2268" w:type="dxa"/>
            <w:shd w:val="clear" w:color="auto" w:fill="auto"/>
          </w:tcPr>
          <w:p w:rsidR="00A2188E" w:rsidRPr="00546B76" w:rsidRDefault="00A2188E" w:rsidP="007777CA">
            <w:pPr>
              <w:pStyle w:val="Text"/>
              <w:spacing w:before="0"/>
              <w:jc w:val="center"/>
              <w:rPr>
                <w:rFonts w:ascii="Arial" w:hAnsi="Arial" w:cs="Arial"/>
                <w:sz w:val="18"/>
              </w:rPr>
            </w:pPr>
            <w:r w:rsidRPr="00546B76">
              <w:rPr>
                <w:rFonts w:ascii="Arial" w:hAnsi="Arial" w:cs="Arial"/>
                <w:sz w:val="18"/>
              </w:rPr>
              <w:t>+10.5</w:t>
            </w:r>
          </w:p>
        </w:tc>
        <w:tc>
          <w:tcPr>
            <w:tcW w:w="1701" w:type="dxa"/>
            <w:shd w:val="clear" w:color="auto" w:fill="auto"/>
          </w:tcPr>
          <w:p w:rsidR="00A2188E" w:rsidRPr="00546B76" w:rsidRDefault="00A2188E" w:rsidP="007777CA">
            <w:pPr>
              <w:pStyle w:val="Text"/>
              <w:spacing w:before="0"/>
              <w:jc w:val="center"/>
              <w:rPr>
                <w:rFonts w:ascii="Arial" w:hAnsi="Arial" w:cs="Arial"/>
                <w:sz w:val="18"/>
              </w:rPr>
            </w:pPr>
            <w:r w:rsidRPr="00546B76">
              <w:rPr>
                <w:rFonts w:ascii="Arial" w:hAnsi="Arial" w:cs="Arial"/>
                <w:sz w:val="18"/>
              </w:rPr>
              <w:t>+10.6</w:t>
            </w:r>
          </w:p>
        </w:tc>
        <w:tc>
          <w:tcPr>
            <w:tcW w:w="1530" w:type="dxa"/>
            <w:shd w:val="clear" w:color="auto" w:fill="auto"/>
          </w:tcPr>
          <w:p w:rsidR="00A2188E" w:rsidRPr="00546B76" w:rsidRDefault="00A2188E" w:rsidP="007777CA">
            <w:pPr>
              <w:pStyle w:val="Text"/>
              <w:spacing w:before="0"/>
              <w:jc w:val="center"/>
              <w:rPr>
                <w:rFonts w:ascii="Arial" w:hAnsi="Arial" w:cs="Arial"/>
                <w:sz w:val="18"/>
              </w:rPr>
            </w:pPr>
            <w:r w:rsidRPr="00546B76">
              <w:rPr>
                <w:rFonts w:ascii="Arial" w:hAnsi="Arial" w:cs="Arial"/>
                <w:sz w:val="18"/>
              </w:rPr>
              <w:t>+2.2</w:t>
            </w:r>
          </w:p>
        </w:tc>
      </w:tr>
      <w:tr w:rsidR="00A2188E" w:rsidTr="007777CA">
        <w:tc>
          <w:tcPr>
            <w:tcW w:w="3794" w:type="dxa"/>
            <w:shd w:val="clear" w:color="auto" w:fill="auto"/>
          </w:tcPr>
          <w:p w:rsidR="00A2188E" w:rsidRDefault="00A2188E" w:rsidP="007777CA">
            <w:pPr>
              <w:pStyle w:val="Text"/>
              <w:rPr>
                <w:rFonts w:ascii="Arial" w:hAnsi="Arial" w:cs="Arial"/>
                <w:sz w:val="18"/>
              </w:rPr>
            </w:pPr>
            <w:r w:rsidRPr="00146D3D">
              <w:rPr>
                <w:rFonts w:ascii="Arial" w:hAnsi="Arial" w:cs="Arial"/>
                <w:sz w:val="18"/>
              </w:rPr>
              <w:t xml:space="preserve">Proportion of patients who gained </w:t>
            </w:r>
          </w:p>
          <w:p w:rsidR="00A2188E" w:rsidRDefault="00A2188E" w:rsidP="007777CA">
            <w:pPr>
              <w:pStyle w:val="Text"/>
              <w:spacing w:after="120"/>
              <w:rPr>
                <w:rFonts w:ascii="Arial" w:hAnsi="Arial" w:cs="Arial"/>
                <w:sz w:val="18"/>
              </w:rPr>
            </w:pPr>
            <w:r w:rsidRPr="00146D3D">
              <w:rPr>
                <w:rFonts w:ascii="Arial" w:hAnsi="Arial" w:cs="Arial"/>
                <w:sz w:val="18"/>
              </w:rPr>
              <w:t>≥ 10 letters, or reached ≥ 84 letters in BCVA</w:t>
            </w:r>
          </w:p>
          <w:p w:rsidR="00A2188E" w:rsidRPr="009E02F2" w:rsidRDefault="00A2188E" w:rsidP="007777CA">
            <w:pPr>
              <w:pStyle w:val="Text"/>
              <w:spacing w:before="0"/>
              <w:rPr>
                <w:rFonts w:ascii="Arial" w:hAnsi="Arial" w:cs="Arial"/>
                <w:sz w:val="18"/>
              </w:rPr>
            </w:pPr>
            <w:r w:rsidRPr="00146D3D">
              <w:rPr>
                <w:rFonts w:ascii="Arial" w:hAnsi="Arial" w:cs="Arial"/>
                <w:sz w:val="18"/>
              </w:rPr>
              <w:t>≥ 15 letters, or reached ≥ 84 letters in BCVA</w:t>
            </w:r>
          </w:p>
        </w:tc>
        <w:tc>
          <w:tcPr>
            <w:tcW w:w="2268" w:type="dxa"/>
            <w:shd w:val="clear" w:color="auto" w:fill="auto"/>
          </w:tcPr>
          <w:p w:rsidR="00A2188E" w:rsidRDefault="00A2188E" w:rsidP="007777CA">
            <w:pPr>
              <w:pStyle w:val="Text"/>
              <w:spacing w:after="120"/>
              <w:jc w:val="center"/>
              <w:rPr>
                <w:rFonts w:ascii="Arial" w:hAnsi="Arial" w:cs="Arial"/>
                <w:sz w:val="18"/>
              </w:rPr>
            </w:pPr>
          </w:p>
          <w:p w:rsidR="00A2188E" w:rsidRDefault="00A2188E" w:rsidP="007777CA">
            <w:pPr>
              <w:pStyle w:val="Text"/>
              <w:spacing w:before="0" w:after="120"/>
              <w:jc w:val="center"/>
              <w:rPr>
                <w:rFonts w:ascii="Arial" w:hAnsi="Arial" w:cs="Arial"/>
                <w:sz w:val="18"/>
              </w:rPr>
            </w:pPr>
            <w:r w:rsidRPr="00146D3D">
              <w:rPr>
                <w:rFonts w:ascii="Arial" w:hAnsi="Arial" w:cs="Arial"/>
                <w:sz w:val="18"/>
              </w:rPr>
              <w:t>61.9 %</w:t>
            </w:r>
          </w:p>
          <w:p w:rsidR="00A2188E" w:rsidRPr="003B4B2F" w:rsidRDefault="00A2188E" w:rsidP="007777CA">
            <w:pPr>
              <w:pStyle w:val="Text"/>
              <w:tabs>
                <w:tab w:val="center" w:pos="1053"/>
                <w:tab w:val="right" w:pos="2107"/>
              </w:tabs>
              <w:spacing w:before="0" w:after="120"/>
              <w:jc w:val="center"/>
              <w:rPr>
                <w:rFonts w:ascii="Arial" w:hAnsi="Arial" w:cs="Arial"/>
                <w:sz w:val="18"/>
              </w:rPr>
            </w:pPr>
            <w:r w:rsidRPr="00146D3D">
              <w:rPr>
                <w:rFonts w:ascii="Arial" w:hAnsi="Arial" w:cs="Arial"/>
                <w:sz w:val="18"/>
              </w:rPr>
              <w:t>38.1 %</w:t>
            </w:r>
          </w:p>
        </w:tc>
        <w:tc>
          <w:tcPr>
            <w:tcW w:w="1701" w:type="dxa"/>
            <w:shd w:val="clear" w:color="auto" w:fill="auto"/>
          </w:tcPr>
          <w:p w:rsidR="00A2188E" w:rsidRPr="00146D3D" w:rsidRDefault="00A2188E" w:rsidP="007777CA">
            <w:pPr>
              <w:pStyle w:val="Text"/>
              <w:spacing w:after="120"/>
              <w:jc w:val="center"/>
              <w:rPr>
                <w:rFonts w:ascii="Arial" w:hAnsi="Arial" w:cs="Arial"/>
                <w:sz w:val="18"/>
              </w:rPr>
            </w:pPr>
          </w:p>
          <w:p w:rsidR="00A2188E" w:rsidRDefault="00A2188E" w:rsidP="007777CA">
            <w:pPr>
              <w:pStyle w:val="Text"/>
              <w:spacing w:before="0" w:after="120"/>
              <w:jc w:val="center"/>
              <w:rPr>
                <w:rFonts w:ascii="Arial" w:hAnsi="Arial" w:cs="Arial"/>
                <w:sz w:val="18"/>
              </w:rPr>
            </w:pPr>
            <w:r w:rsidRPr="00146D3D">
              <w:rPr>
                <w:rFonts w:ascii="Arial" w:hAnsi="Arial" w:cs="Arial"/>
                <w:sz w:val="18"/>
              </w:rPr>
              <w:t>65.5 %</w:t>
            </w:r>
          </w:p>
          <w:p w:rsidR="00A2188E" w:rsidRPr="003B4B2F" w:rsidRDefault="00A2188E" w:rsidP="007777CA">
            <w:pPr>
              <w:pStyle w:val="Text"/>
              <w:spacing w:before="0" w:after="120"/>
              <w:jc w:val="center"/>
              <w:rPr>
                <w:rFonts w:ascii="Arial" w:hAnsi="Arial" w:cs="Arial"/>
                <w:sz w:val="18"/>
              </w:rPr>
            </w:pPr>
            <w:r w:rsidRPr="00146D3D">
              <w:rPr>
                <w:rFonts w:ascii="Arial" w:hAnsi="Arial" w:cs="Arial"/>
                <w:sz w:val="18"/>
              </w:rPr>
              <w:t>43.1 %</w:t>
            </w:r>
          </w:p>
        </w:tc>
        <w:tc>
          <w:tcPr>
            <w:tcW w:w="1530" w:type="dxa"/>
            <w:shd w:val="clear" w:color="auto" w:fill="auto"/>
          </w:tcPr>
          <w:p w:rsidR="00A2188E" w:rsidRPr="00146D3D" w:rsidRDefault="00A2188E" w:rsidP="007777CA">
            <w:pPr>
              <w:pStyle w:val="Text"/>
              <w:spacing w:after="120"/>
              <w:jc w:val="center"/>
              <w:rPr>
                <w:rFonts w:ascii="Arial" w:hAnsi="Arial" w:cs="Arial"/>
                <w:sz w:val="18"/>
              </w:rPr>
            </w:pPr>
          </w:p>
          <w:p w:rsidR="00A2188E" w:rsidRDefault="00A2188E" w:rsidP="007777CA">
            <w:pPr>
              <w:pStyle w:val="Text"/>
              <w:spacing w:before="0" w:after="120"/>
              <w:jc w:val="center"/>
              <w:rPr>
                <w:rFonts w:ascii="Arial" w:hAnsi="Arial" w:cs="Arial"/>
                <w:sz w:val="18"/>
              </w:rPr>
            </w:pPr>
            <w:r w:rsidRPr="00146D3D">
              <w:rPr>
                <w:rFonts w:ascii="Arial" w:hAnsi="Arial" w:cs="Arial"/>
                <w:sz w:val="18"/>
              </w:rPr>
              <w:t>27.3 %</w:t>
            </w:r>
          </w:p>
          <w:p w:rsidR="00A2188E" w:rsidRPr="003B4B2F" w:rsidRDefault="00A2188E" w:rsidP="007777CA">
            <w:pPr>
              <w:pStyle w:val="Text"/>
              <w:spacing w:before="0" w:after="120"/>
              <w:jc w:val="center"/>
              <w:rPr>
                <w:rFonts w:ascii="Arial" w:hAnsi="Arial" w:cs="Arial"/>
                <w:sz w:val="18"/>
              </w:rPr>
            </w:pPr>
            <w:r w:rsidRPr="00146D3D">
              <w:rPr>
                <w:rFonts w:ascii="Arial" w:hAnsi="Arial" w:cs="Arial"/>
                <w:sz w:val="18"/>
              </w:rPr>
              <w:t>14.5 %</w:t>
            </w:r>
          </w:p>
        </w:tc>
      </w:tr>
      <w:tr w:rsidR="00A2188E" w:rsidTr="007777CA">
        <w:tc>
          <w:tcPr>
            <w:tcW w:w="3794" w:type="dxa"/>
            <w:shd w:val="clear" w:color="auto" w:fill="auto"/>
          </w:tcPr>
          <w:p w:rsidR="00A2188E" w:rsidRPr="001B2DE4" w:rsidRDefault="00A2188E" w:rsidP="007777CA">
            <w:pPr>
              <w:pStyle w:val="Table"/>
              <w:rPr>
                <w:b/>
              </w:rPr>
            </w:pPr>
            <w:r w:rsidRPr="001B2DE4">
              <w:rPr>
                <w:b/>
              </w:rPr>
              <w:t xml:space="preserve">Month </w:t>
            </w:r>
            <w:r>
              <w:rPr>
                <w:b/>
              </w:rPr>
              <w:t>12</w:t>
            </w:r>
          </w:p>
        </w:tc>
        <w:tc>
          <w:tcPr>
            <w:tcW w:w="2268" w:type="dxa"/>
            <w:shd w:val="clear" w:color="auto" w:fill="auto"/>
          </w:tcPr>
          <w:p w:rsidR="00A2188E" w:rsidRDefault="00A2188E" w:rsidP="007777CA">
            <w:pPr>
              <w:pStyle w:val="Table"/>
              <w:jc w:val="center"/>
            </w:pPr>
          </w:p>
        </w:tc>
        <w:tc>
          <w:tcPr>
            <w:tcW w:w="1701" w:type="dxa"/>
            <w:shd w:val="clear" w:color="auto" w:fill="auto"/>
          </w:tcPr>
          <w:p w:rsidR="00A2188E" w:rsidRDefault="00A2188E" w:rsidP="007777CA">
            <w:pPr>
              <w:pStyle w:val="Table"/>
              <w:jc w:val="center"/>
            </w:pPr>
          </w:p>
        </w:tc>
        <w:tc>
          <w:tcPr>
            <w:tcW w:w="1530" w:type="dxa"/>
            <w:shd w:val="clear" w:color="auto" w:fill="auto"/>
          </w:tcPr>
          <w:p w:rsidR="00A2188E" w:rsidRDefault="00A2188E" w:rsidP="007777CA">
            <w:pPr>
              <w:pStyle w:val="Table"/>
              <w:jc w:val="center"/>
            </w:pPr>
          </w:p>
        </w:tc>
      </w:tr>
      <w:tr w:rsidR="006C1276" w:rsidTr="007777CA">
        <w:tc>
          <w:tcPr>
            <w:tcW w:w="3794" w:type="dxa"/>
            <w:shd w:val="clear" w:color="auto" w:fill="auto"/>
          </w:tcPr>
          <w:p w:rsidR="006C1276" w:rsidRPr="001B2DE4" w:rsidRDefault="006C1276" w:rsidP="007777CA">
            <w:pPr>
              <w:pStyle w:val="Table"/>
              <w:rPr>
                <w:sz w:val="18"/>
              </w:rPr>
            </w:pPr>
            <w:r>
              <w:rPr>
                <w:sz w:val="18"/>
              </w:rPr>
              <w:t>Number of injections up to Month 12:</w:t>
            </w:r>
          </w:p>
        </w:tc>
        <w:tc>
          <w:tcPr>
            <w:tcW w:w="2268" w:type="dxa"/>
            <w:shd w:val="clear" w:color="auto" w:fill="auto"/>
          </w:tcPr>
          <w:p w:rsidR="006C1276" w:rsidRPr="00FC722C" w:rsidRDefault="006C1276" w:rsidP="007777CA">
            <w:pPr>
              <w:pStyle w:val="Table"/>
              <w:jc w:val="center"/>
              <w:rPr>
                <w:sz w:val="18"/>
              </w:rPr>
            </w:pPr>
          </w:p>
        </w:tc>
        <w:tc>
          <w:tcPr>
            <w:tcW w:w="1701" w:type="dxa"/>
            <w:shd w:val="clear" w:color="auto" w:fill="auto"/>
          </w:tcPr>
          <w:p w:rsidR="006C1276" w:rsidRPr="00FC722C" w:rsidRDefault="006C1276" w:rsidP="007777CA">
            <w:pPr>
              <w:pStyle w:val="Table"/>
              <w:jc w:val="center"/>
              <w:rPr>
                <w:sz w:val="18"/>
              </w:rPr>
            </w:pPr>
          </w:p>
        </w:tc>
        <w:tc>
          <w:tcPr>
            <w:tcW w:w="1530" w:type="dxa"/>
            <w:shd w:val="clear" w:color="auto" w:fill="auto"/>
          </w:tcPr>
          <w:p w:rsidR="006C1276" w:rsidRPr="00FC722C" w:rsidRDefault="006C1276" w:rsidP="007777CA">
            <w:pPr>
              <w:pStyle w:val="Table"/>
              <w:jc w:val="center"/>
              <w:rPr>
                <w:sz w:val="18"/>
              </w:rPr>
            </w:pPr>
          </w:p>
        </w:tc>
      </w:tr>
      <w:tr w:rsidR="006C1276" w:rsidTr="007777CA">
        <w:tc>
          <w:tcPr>
            <w:tcW w:w="3794" w:type="dxa"/>
            <w:shd w:val="clear" w:color="auto" w:fill="auto"/>
          </w:tcPr>
          <w:p w:rsidR="006C1276" w:rsidRPr="001B2DE4" w:rsidRDefault="006C1276" w:rsidP="007777CA">
            <w:pPr>
              <w:pStyle w:val="Table"/>
              <w:rPr>
                <w:sz w:val="18"/>
              </w:rPr>
            </w:pPr>
            <w:r>
              <w:rPr>
                <w:sz w:val="18"/>
              </w:rPr>
              <w:t>Mean</w:t>
            </w:r>
          </w:p>
        </w:tc>
        <w:tc>
          <w:tcPr>
            <w:tcW w:w="2268" w:type="dxa"/>
            <w:shd w:val="clear" w:color="auto" w:fill="auto"/>
          </w:tcPr>
          <w:p w:rsidR="006C1276" w:rsidRPr="00FC722C" w:rsidRDefault="006C1276" w:rsidP="007777CA">
            <w:pPr>
              <w:pStyle w:val="Table"/>
              <w:jc w:val="center"/>
              <w:rPr>
                <w:sz w:val="18"/>
              </w:rPr>
            </w:pPr>
            <w:r>
              <w:rPr>
                <w:sz w:val="18"/>
              </w:rPr>
              <w:t>4.6</w:t>
            </w:r>
          </w:p>
        </w:tc>
        <w:tc>
          <w:tcPr>
            <w:tcW w:w="1701" w:type="dxa"/>
            <w:shd w:val="clear" w:color="auto" w:fill="auto"/>
          </w:tcPr>
          <w:p w:rsidR="006C1276" w:rsidRPr="00FC722C" w:rsidRDefault="006C1276" w:rsidP="007777CA">
            <w:pPr>
              <w:pStyle w:val="Table"/>
              <w:jc w:val="center"/>
              <w:rPr>
                <w:sz w:val="18"/>
              </w:rPr>
            </w:pPr>
            <w:r>
              <w:rPr>
                <w:sz w:val="18"/>
              </w:rPr>
              <w:t>3.5</w:t>
            </w:r>
          </w:p>
        </w:tc>
        <w:tc>
          <w:tcPr>
            <w:tcW w:w="1530" w:type="dxa"/>
            <w:shd w:val="clear" w:color="auto" w:fill="auto"/>
          </w:tcPr>
          <w:p w:rsidR="006C1276" w:rsidRPr="00FC722C" w:rsidRDefault="006C1276" w:rsidP="007777CA">
            <w:pPr>
              <w:pStyle w:val="Table"/>
              <w:jc w:val="center"/>
              <w:rPr>
                <w:sz w:val="18"/>
              </w:rPr>
            </w:pPr>
            <w:r>
              <w:rPr>
                <w:sz w:val="18"/>
              </w:rPr>
              <w:t>N/A</w:t>
            </w:r>
          </w:p>
        </w:tc>
      </w:tr>
      <w:tr w:rsidR="006C1276" w:rsidTr="007777CA">
        <w:tc>
          <w:tcPr>
            <w:tcW w:w="3794" w:type="dxa"/>
            <w:shd w:val="clear" w:color="auto" w:fill="auto"/>
          </w:tcPr>
          <w:p w:rsidR="006C1276" w:rsidRPr="001B2DE4" w:rsidRDefault="006C1276" w:rsidP="007777CA">
            <w:pPr>
              <w:pStyle w:val="Table"/>
              <w:rPr>
                <w:sz w:val="18"/>
              </w:rPr>
            </w:pPr>
            <w:r>
              <w:rPr>
                <w:sz w:val="18"/>
              </w:rPr>
              <w:t>Median</w:t>
            </w:r>
          </w:p>
        </w:tc>
        <w:tc>
          <w:tcPr>
            <w:tcW w:w="2268" w:type="dxa"/>
            <w:shd w:val="clear" w:color="auto" w:fill="auto"/>
          </w:tcPr>
          <w:p w:rsidR="006C1276" w:rsidRPr="00FC722C" w:rsidRDefault="006C1276" w:rsidP="007777CA">
            <w:pPr>
              <w:pStyle w:val="Table"/>
              <w:jc w:val="center"/>
              <w:rPr>
                <w:sz w:val="18"/>
              </w:rPr>
            </w:pPr>
            <w:r>
              <w:rPr>
                <w:sz w:val="18"/>
              </w:rPr>
              <w:t>4.0</w:t>
            </w:r>
          </w:p>
        </w:tc>
        <w:tc>
          <w:tcPr>
            <w:tcW w:w="1701" w:type="dxa"/>
            <w:shd w:val="clear" w:color="auto" w:fill="auto"/>
          </w:tcPr>
          <w:p w:rsidR="006C1276" w:rsidRPr="00FC722C" w:rsidRDefault="006C1276" w:rsidP="007777CA">
            <w:pPr>
              <w:pStyle w:val="Table"/>
              <w:jc w:val="center"/>
              <w:rPr>
                <w:sz w:val="18"/>
              </w:rPr>
            </w:pPr>
            <w:r>
              <w:rPr>
                <w:sz w:val="18"/>
              </w:rPr>
              <w:t>2.0</w:t>
            </w:r>
          </w:p>
        </w:tc>
        <w:tc>
          <w:tcPr>
            <w:tcW w:w="1530" w:type="dxa"/>
            <w:shd w:val="clear" w:color="auto" w:fill="auto"/>
          </w:tcPr>
          <w:p w:rsidR="006C1276" w:rsidRPr="00FC722C" w:rsidRDefault="006C1276" w:rsidP="00DD0F43">
            <w:pPr>
              <w:pStyle w:val="Table"/>
              <w:jc w:val="center"/>
              <w:rPr>
                <w:sz w:val="18"/>
              </w:rPr>
            </w:pPr>
            <w:r>
              <w:rPr>
                <w:sz w:val="18"/>
              </w:rPr>
              <w:t>N/A</w:t>
            </w:r>
          </w:p>
        </w:tc>
      </w:tr>
      <w:tr w:rsidR="00A2188E" w:rsidTr="007777CA">
        <w:tc>
          <w:tcPr>
            <w:tcW w:w="3794" w:type="dxa"/>
            <w:shd w:val="clear" w:color="auto" w:fill="auto"/>
          </w:tcPr>
          <w:p w:rsidR="00A2188E" w:rsidRPr="001B2DE4" w:rsidRDefault="00A2188E" w:rsidP="007777CA">
            <w:pPr>
              <w:pStyle w:val="Table"/>
            </w:pPr>
            <w:r w:rsidRPr="001B2DE4">
              <w:rPr>
                <w:sz w:val="18"/>
              </w:rPr>
              <w:t xml:space="preserve">Mean average BCVA change from Month 1 to Month </w:t>
            </w:r>
            <w:r>
              <w:rPr>
                <w:sz w:val="18"/>
              </w:rPr>
              <w:t>12</w:t>
            </w:r>
            <w:r w:rsidRPr="001B2DE4">
              <w:rPr>
                <w:sz w:val="18"/>
              </w:rPr>
              <w:t xml:space="preserve"> compared to baseline (letters)</w:t>
            </w:r>
          </w:p>
        </w:tc>
        <w:tc>
          <w:tcPr>
            <w:tcW w:w="2268" w:type="dxa"/>
            <w:shd w:val="clear" w:color="auto" w:fill="auto"/>
          </w:tcPr>
          <w:p w:rsidR="00A2188E" w:rsidRPr="00FC722C" w:rsidRDefault="00A2188E" w:rsidP="007777CA">
            <w:pPr>
              <w:pStyle w:val="Table"/>
              <w:jc w:val="center"/>
              <w:rPr>
                <w:sz w:val="18"/>
              </w:rPr>
            </w:pPr>
            <w:r w:rsidRPr="00FC722C">
              <w:rPr>
                <w:sz w:val="18"/>
              </w:rPr>
              <w:t>+</w:t>
            </w:r>
            <w:r>
              <w:rPr>
                <w:sz w:val="18"/>
              </w:rPr>
              <w:t>12.8</w:t>
            </w:r>
          </w:p>
        </w:tc>
        <w:tc>
          <w:tcPr>
            <w:tcW w:w="1701" w:type="dxa"/>
            <w:shd w:val="clear" w:color="auto" w:fill="auto"/>
          </w:tcPr>
          <w:p w:rsidR="00A2188E" w:rsidRPr="00FC722C" w:rsidRDefault="00A2188E" w:rsidP="007777CA">
            <w:pPr>
              <w:pStyle w:val="Table"/>
              <w:jc w:val="center"/>
              <w:rPr>
                <w:sz w:val="18"/>
              </w:rPr>
            </w:pPr>
            <w:r w:rsidRPr="00FC722C">
              <w:rPr>
                <w:sz w:val="18"/>
              </w:rPr>
              <w:t>+</w:t>
            </w:r>
            <w:r>
              <w:rPr>
                <w:sz w:val="18"/>
              </w:rPr>
              <w:t>12.5</w:t>
            </w:r>
          </w:p>
        </w:tc>
        <w:tc>
          <w:tcPr>
            <w:tcW w:w="1530" w:type="dxa"/>
            <w:shd w:val="clear" w:color="auto" w:fill="auto"/>
          </w:tcPr>
          <w:p w:rsidR="00A2188E" w:rsidRPr="00FC722C" w:rsidRDefault="00A2188E" w:rsidP="007777CA">
            <w:pPr>
              <w:pStyle w:val="Table"/>
              <w:jc w:val="center"/>
              <w:rPr>
                <w:sz w:val="18"/>
              </w:rPr>
            </w:pPr>
            <w:r w:rsidRPr="00FC722C">
              <w:rPr>
                <w:sz w:val="18"/>
              </w:rPr>
              <w:t>N/A</w:t>
            </w:r>
          </w:p>
        </w:tc>
      </w:tr>
      <w:tr w:rsidR="00A2188E" w:rsidTr="007777CA">
        <w:tc>
          <w:tcPr>
            <w:tcW w:w="3794" w:type="dxa"/>
            <w:shd w:val="clear" w:color="auto" w:fill="auto"/>
          </w:tcPr>
          <w:p w:rsidR="00A2188E" w:rsidRDefault="00A2188E" w:rsidP="007777CA">
            <w:pPr>
              <w:pStyle w:val="Text"/>
              <w:rPr>
                <w:rFonts w:ascii="Arial" w:hAnsi="Arial" w:cs="Arial"/>
                <w:sz w:val="18"/>
              </w:rPr>
            </w:pPr>
            <w:r w:rsidRPr="00146D3D">
              <w:rPr>
                <w:rFonts w:ascii="Arial" w:hAnsi="Arial" w:cs="Arial"/>
                <w:sz w:val="18"/>
              </w:rPr>
              <w:t xml:space="preserve">Proportion of patients who gained </w:t>
            </w:r>
          </w:p>
          <w:p w:rsidR="00A2188E" w:rsidRDefault="00A2188E" w:rsidP="007777CA">
            <w:pPr>
              <w:pStyle w:val="Text"/>
              <w:rPr>
                <w:rFonts w:ascii="Arial" w:hAnsi="Arial" w:cs="Arial"/>
                <w:sz w:val="18"/>
              </w:rPr>
            </w:pPr>
            <w:r w:rsidRPr="00146D3D">
              <w:rPr>
                <w:rFonts w:ascii="Arial" w:hAnsi="Arial" w:cs="Arial"/>
                <w:sz w:val="18"/>
              </w:rPr>
              <w:t>≥ 10 letters, or reached ≥ 84 letters in BCVA</w:t>
            </w:r>
          </w:p>
          <w:p w:rsidR="00A2188E" w:rsidRPr="00665E82" w:rsidRDefault="00A2188E" w:rsidP="007777CA">
            <w:pPr>
              <w:pStyle w:val="Text"/>
              <w:rPr>
                <w:rFonts w:ascii="Arial" w:hAnsi="Arial" w:cs="Arial"/>
                <w:sz w:val="18"/>
              </w:rPr>
            </w:pPr>
            <w:r w:rsidRPr="00146D3D">
              <w:rPr>
                <w:rFonts w:ascii="Arial" w:hAnsi="Arial" w:cs="Arial"/>
                <w:sz w:val="18"/>
              </w:rPr>
              <w:t>≥ 15 letters, or reached ≥ 84 letters in BCVA</w:t>
            </w:r>
          </w:p>
        </w:tc>
        <w:tc>
          <w:tcPr>
            <w:tcW w:w="2268" w:type="dxa"/>
            <w:shd w:val="clear" w:color="auto" w:fill="auto"/>
          </w:tcPr>
          <w:p w:rsidR="00A2188E" w:rsidRPr="00FC722C" w:rsidRDefault="00A2188E" w:rsidP="007777CA">
            <w:pPr>
              <w:pStyle w:val="Table"/>
              <w:spacing w:before="120" w:after="120"/>
              <w:rPr>
                <w:sz w:val="18"/>
              </w:rPr>
            </w:pPr>
          </w:p>
          <w:p w:rsidR="00A2188E" w:rsidRPr="00FC722C" w:rsidRDefault="00A2188E" w:rsidP="007777CA">
            <w:pPr>
              <w:pStyle w:val="Table"/>
              <w:spacing w:before="0" w:after="120"/>
              <w:jc w:val="center"/>
              <w:rPr>
                <w:sz w:val="18"/>
              </w:rPr>
            </w:pPr>
            <w:r>
              <w:rPr>
                <w:sz w:val="18"/>
              </w:rPr>
              <w:t>69.5</w:t>
            </w:r>
            <w:r w:rsidRPr="00FC722C">
              <w:rPr>
                <w:sz w:val="18"/>
              </w:rPr>
              <w:t xml:space="preserve"> %</w:t>
            </w:r>
          </w:p>
          <w:p w:rsidR="00A2188E" w:rsidRPr="00FC722C" w:rsidRDefault="00A2188E" w:rsidP="007777CA">
            <w:pPr>
              <w:pStyle w:val="Table"/>
              <w:spacing w:before="0" w:after="120"/>
              <w:jc w:val="center"/>
            </w:pPr>
            <w:r>
              <w:rPr>
                <w:sz w:val="18"/>
              </w:rPr>
              <w:t>53.3</w:t>
            </w:r>
            <w:r w:rsidRPr="00FC722C">
              <w:rPr>
                <w:sz w:val="18"/>
              </w:rPr>
              <w:t xml:space="preserve"> %</w:t>
            </w:r>
          </w:p>
        </w:tc>
        <w:tc>
          <w:tcPr>
            <w:tcW w:w="1701" w:type="dxa"/>
            <w:shd w:val="clear" w:color="auto" w:fill="auto"/>
          </w:tcPr>
          <w:p w:rsidR="00A2188E" w:rsidRPr="00FC722C" w:rsidRDefault="00A2188E" w:rsidP="007777CA">
            <w:pPr>
              <w:pStyle w:val="Table"/>
              <w:spacing w:before="120" w:after="120"/>
              <w:jc w:val="center"/>
              <w:rPr>
                <w:sz w:val="18"/>
              </w:rPr>
            </w:pPr>
          </w:p>
          <w:p w:rsidR="00A2188E" w:rsidRPr="00FC722C" w:rsidRDefault="00A2188E" w:rsidP="007777CA">
            <w:pPr>
              <w:pStyle w:val="Table"/>
              <w:spacing w:before="0" w:after="120"/>
              <w:jc w:val="center"/>
              <w:rPr>
                <w:sz w:val="18"/>
              </w:rPr>
            </w:pPr>
            <w:r>
              <w:rPr>
                <w:sz w:val="18"/>
              </w:rPr>
              <w:t>69.0</w:t>
            </w:r>
            <w:r w:rsidRPr="00FC722C">
              <w:rPr>
                <w:sz w:val="18"/>
              </w:rPr>
              <w:t xml:space="preserve"> %</w:t>
            </w:r>
          </w:p>
          <w:p w:rsidR="00A2188E" w:rsidRPr="00FC722C" w:rsidRDefault="00A2188E" w:rsidP="007777CA">
            <w:pPr>
              <w:pStyle w:val="Table"/>
              <w:spacing w:before="0" w:after="120"/>
              <w:jc w:val="center"/>
            </w:pPr>
            <w:r>
              <w:rPr>
                <w:sz w:val="18"/>
              </w:rPr>
              <w:t>51.7</w:t>
            </w:r>
            <w:r w:rsidRPr="00FC722C">
              <w:rPr>
                <w:sz w:val="18"/>
              </w:rPr>
              <w:t xml:space="preserve"> %</w:t>
            </w:r>
          </w:p>
        </w:tc>
        <w:tc>
          <w:tcPr>
            <w:tcW w:w="1530" w:type="dxa"/>
            <w:shd w:val="clear" w:color="auto" w:fill="auto"/>
          </w:tcPr>
          <w:p w:rsidR="00A2188E" w:rsidRPr="00FC722C" w:rsidRDefault="00A2188E" w:rsidP="007777CA">
            <w:pPr>
              <w:pStyle w:val="Table"/>
              <w:spacing w:before="120" w:after="120"/>
              <w:jc w:val="center"/>
              <w:rPr>
                <w:sz w:val="18"/>
              </w:rPr>
            </w:pPr>
          </w:p>
          <w:p w:rsidR="00A2188E" w:rsidRPr="00FC722C" w:rsidRDefault="00A2188E" w:rsidP="007777CA">
            <w:pPr>
              <w:pStyle w:val="Table"/>
              <w:spacing w:before="0" w:after="120"/>
              <w:jc w:val="center"/>
              <w:rPr>
                <w:sz w:val="18"/>
              </w:rPr>
            </w:pPr>
            <w:r w:rsidRPr="00FC722C">
              <w:rPr>
                <w:sz w:val="18"/>
              </w:rPr>
              <w:t>N/A</w:t>
            </w:r>
          </w:p>
          <w:p w:rsidR="00A2188E" w:rsidRPr="00FC722C" w:rsidRDefault="00A2188E" w:rsidP="007777CA">
            <w:pPr>
              <w:pStyle w:val="Table"/>
              <w:spacing w:before="0" w:after="120"/>
              <w:jc w:val="center"/>
              <w:rPr>
                <w:sz w:val="18"/>
              </w:rPr>
            </w:pPr>
            <w:r w:rsidRPr="00FC722C">
              <w:rPr>
                <w:sz w:val="18"/>
              </w:rPr>
              <w:t>N/A</w:t>
            </w:r>
          </w:p>
        </w:tc>
      </w:tr>
    </w:tbl>
    <w:p w:rsidR="00A2188E" w:rsidRPr="00442E6A" w:rsidRDefault="00A2188E" w:rsidP="00A2188E">
      <w:pPr>
        <w:pStyle w:val="Legend"/>
        <w:rPr>
          <w:sz w:val="18"/>
          <w:szCs w:val="18"/>
        </w:rPr>
      </w:pPr>
      <w:r w:rsidRPr="00442E6A">
        <w:rPr>
          <w:sz w:val="18"/>
          <w:szCs w:val="18"/>
        </w:rPr>
        <w:t xml:space="preserve">* Comparative control up to Month 3. Patients randomized to </w:t>
      </w:r>
      <w:proofErr w:type="spellStart"/>
      <w:r w:rsidRPr="00442E6A">
        <w:rPr>
          <w:sz w:val="18"/>
          <w:szCs w:val="18"/>
        </w:rPr>
        <w:t>vPDT</w:t>
      </w:r>
      <w:proofErr w:type="spellEnd"/>
      <w:r w:rsidRPr="00442E6A">
        <w:rPr>
          <w:sz w:val="18"/>
          <w:szCs w:val="18"/>
        </w:rPr>
        <w:t xml:space="preserve"> were allowed to receive </w:t>
      </w:r>
      <w:proofErr w:type="spellStart"/>
      <w:r w:rsidRPr="00442E6A">
        <w:rPr>
          <w:sz w:val="18"/>
          <w:szCs w:val="18"/>
        </w:rPr>
        <w:t>ranibizumab</w:t>
      </w:r>
      <w:proofErr w:type="spellEnd"/>
      <w:r w:rsidRPr="00442E6A">
        <w:rPr>
          <w:sz w:val="18"/>
          <w:szCs w:val="18"/>
        </w:rPr>
        <w:t xml:space="preserve"> treatment </w:t>
      </w:r>
      <w:r w:rsidR="006C1276">
        <w:rPr>
          <w:sz w:val="18"/>
          <w:szCs w:val="18"/>
        </w:rPr>
        <w:t xml:space="preserve">as of </w:t>
      </w:r>
      <w:r w:rsidRPr="00442E6A">
        <w:rPr>
          <w:sz w:val="18"/>
          <w:szCs w:val="18"/>
        </w:rPr>
        <w:t xml:space="preserve">Month 3 </w:t>
      </w:r>
      <w:r w:rsidR="006C1276">
        <w:rPr>
          <w:sz w:val="18"/>
          <w:szCs w:val="18"/>
        </w:rPr>
        <w:t xml:space="preserve">(in Group III, 38 patients received </w:t>
      </w:r>
      <w:proofErr w:type="spellStart"/>
      <w:r w:rsidR="006C1276">
        <w:rPr>
          <w:sz w:val="18"/>
          <w:szCs w:val="18"/>
        </w:rPr>
        <w:t>ranibizumab</w:t>
      </w:r>
      <w:proofErr w:type="spellEnd"/>
      <w:r w:rsidR="006C1276">
        <w:rPr>
          <w:sz w:val="18"/>
          <w:szCs w:val="18"/>
        </w:rPr>
        <w:t xml:space="preserve"> from month 3 onwards</w:t>
      </w:r>
      <w:r w:rsidR="00436788">
        <w:rPr>
          <w:sz w:val="18"/>
          <w:szCs w:val="18"/>
        </w:rPr>
        <w:t>)</w:t>
      </w:r>
    </w:p>
    <w:p w:rsidR="00A2188E" w:rsidRDefault="00A2188E" w:rsidP="00A2188E">
      <w:pPr>
        <w:pStyle w:val="Legend"/>
        <w:rPr>
          <w:sz w:val="18"/>
          <w:szCs w:val="18"/>
        </w:rPr>
      </w:pPr>
      <w:proofErr w:type="gramStart"/>
      <w:r w:rsidRPr="00442E6A">
        <w:rPr>
          <w:sz w:val="18"/>
          <w:szCs w:val="18"/>
        </w:rPr>
        <w:t>a</w:t>
      </w:r>
      <w:proofErr w:type="gramEnd"/>
      <w:r w:rsidRPr="00442E6A">
        <w:rPr>
          <w:sz w:val="18"/>
          <w:szCs w:val="18"/>
        </w:rPr>
        <w:t xml:space="preserve">: p&lt;0.00001 comparison with </w:t>
      </w:r>
      <w:proofErr w:type="spellStart"/>
      <w:r w:rsidRPr="00442E6A">
        <w:rPr>
          <w:sz w:val="18"/>
          <w:szCs w:val="18"/>
        </w:rPr>
        <w:t>vPDT</w:t>
      </w:r>
      <w:proofErr w:type="spellEnd"/>
      <w:r w:rsidRPr="00442E6A">
        <w:rPr>
          <w:sz w:val="18"/>
          <w:szCs w:val="18"/>
        </w:rPr>
        <w:t xml:space="preserve"> control</w:t>
      </w:r>
    </w:p>
    <w:p w:rsidR="00502C2D" w:rsidRPr="00442E6A" w:rsidRDefault="00502C2D" w:rsidP="00A2188E">
      <w:pPr>
        <w:pStyle w:val="Legend"/>
        <w:rPr>
          <w:sz w:val="18"/>
          <w:szCs w:val="18"/>
        </w:rPr>
      </w:pPr>
    </w:p>
    <w:p w:rsidR="00A2188E" w:rsidRDefault="00A2188E" w:rsidP="00A2188E">
      <w:pPr>
        <w:pStyle w:val="Heading7"/>
      </w:pPr>
      <w:bookmarkStart w:id="106" w:name="_Toc332028248"/>
      <w:r>
        <w:lastRenderedPageBreak/>
        <w:t xml:space="preserve">Figure </w:t>
      </w:r>
      <w:r w:rsidR="00F90AAB">
        <w:t>8</w:t>
      </w:r>
      <w:r>
        <w:tab/>
      </w:r>
      <w:bookmarkStart w:id="107" w:name="_Toc58831470"/>
      <w:bookmarkStart w:id="108" w:name="_Toc94946165"/>
      <w:r>
        <w:t>Mean change from Baseline BCVA over time up to Month 12</w:t>
      </w:r>
      <w:bookmarkEnd w:id="106"/>
      <w:r w:rsidR="006C1276">
        <w:t xml:space="preserve"> (RADIANCE</w:t>
      </w:r>
      <w:r w:rsidR="00436788">
        <w:rPr>
          <w:rStyle w:val="CommentReference"/>
          <w:b w:val="0"/>
          <w:bCs w:val="0"/>
          <w:u w:val="none"/>
        </w:rPr>
        <w:t>)</w:t>
      </w:r>
      <w:r>
        <w:t xml:space="preserve"> </w:t>
      </w:r>
      <w:bookmarkEnd w:id="107"/>
      <w:bookmarkEnd w:id="108"/>
    </w:p>
    <w:p w:rsidR="00901953" w:rsidRDefault="00901953" w:rsidP="00901953">
      <w:pPr>
        <w:adjustRightInd w:val="0"/>
        <w:jc w:val="center"/>
      </w:pPr>
      <w:r>
        <w:rPr>
          <w:noProof/>
          <w:lang w:val="en-AU" w:eastAsia="en-AU"/>
        </w:rPr>
        <mc:AlternateContent>
          <mc:Choice Requires="wps">
            <w:drawing>
              <wp:anchor distT="0" distB="0" distL="114300" distR="114300" simplePos="0" relativeHeight="251663872" behindDoc="0" locked="0" layoutInCell="1" allowOverlap="1" wp14:anchorId="3EAA8DB4" wp14:editId="300AFED2">
                <wp:simplePos x="0" y="0"/>
                <wp:positionH relativeFrom="column">
                  <wp:posOffset>1005840</wp:posOffset>
                </wp:positionH>
                <wp:positionV relativeFrom="paragraph">
                  <wp:posOffset>4319905</wp:posOffset>
                </wp:positionV>
                <wp:extent cx="1943100" cy="542925"/>
                <wp:effectExtent l="0" t="0" r="0" b="9525"/>
                <wp:wrapNone/>
                <wp:docPr id="548"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adjustRightInd w:val="0"/>
                              <w:rPr>
                                <w:sz w:val="20"/>
                              </w:rPr>
                            </w:pPr>
                            <w:proofErr w:type="spellStart"/>
                            <w:proofErr w:type="gramStart"/>
                            <w:r>
                              <w:rPr>
                                <w:rFonts w:ascii="Arial" w:hAnsi="Arial" w:cs="Arial"/>
                                <w:color w:val="000000"/>
                                <w:sz w:val="20"/>
                              </w:rPr>
                              <w:t>vPDT</w:t>
                            </w:r>
                            <w:proofErr w:type="spellEnd"/>
                            <w:proofErr w:type="gramEnd"/>
                            <w:r>
                              <w:rPr>
                                <w:rFonts w:ascii="Arial" w:hAnsi="Arial" w:cs="Arial"/>
                                <w:color w:val="000000"/>
                                <w:sz w:val="20"/>
                              </w:rPr>
                              <w:t xml:space="preserve"> Group III up to Month 3 (N=55)</w:t>
                            </w:r>
                          </w:p>
                          <w:p w:rsidR="00A97788" w:rsidRDefault="00A97788" w:rsidP="0090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8" o:spid="_x0000_s1026" type="#_x0000_t202" style="position:absolute;left:0;text-align:left;margin-left:79.2pt;margin-top:340.15pt;width:153pt;height:4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" stroked="f">
                <v:textbox>
                  <w:txbxContent>
                    <w:p w:rsidR="00A97788" w:rsidRDefault="00A97788" w:rsidP="00901953">
                      <w:pPr>
                        <w:adjustRightInd w:val="0"/>
                        <w:rPr>
                          <w:sz w:val="20"/>
                        </w:rPr>
                      </w:pPr>
                      <w:proofErr w:type="spellStart"/>
                      <w:proofErr w:type="gramStart"/>
                      <w:r>
                        <w:rPr>
                          <w:rFonts w:ascii="Arial" w:hAnsi="Arial" w:cs="Arial"/>
                          <w:color w:val="000000"/>
                          <w:sz w:val="20"/>
                        </w:rPr>
                        <w:t>vPDT</w:t>
                      </w:r>
                      <w:proofErr w:type="spellEnd"/>
                      <w:proofErr w:type="gramEnd"/>
                      <w:r>
                        <w:rPr>
                          <w:rFonts w:ascii="Arial" w:hAnsi="Arial" w:cs="Arial"/>
                          <w:color w:val="000000"/>
                          <w:sz w:val="20"/>
                        </w:rPr>
                        <w:t xml:space="preserve"> Group III up to Month 3 (N=55)</w:t>
                      </w:r>
                    </w:p>
                    <w:p w:rsidR="00A97788" w:rsidRDefault="00A97788" w:rsidP="00901953"/>
                  </w:txbxContent>
                </v:textbox>
              </v:shape>
            </w:pict>
          </mc:Fallback>
        </mc:AlternateContent>
      </w:r>
      <w:r>
        <w:rPr>
          <w:noProof/>
          <w:lang w:val="en-AU" w:eastAsia="en-AU"/>
        </w:rPr>
        <mc:AlternateContent>
          <mc:Choice Requires="wps">
            <w:drawing>
              <wp:anchor distT="0" distB="0" distL="114300" distR="114300" simplePos="0" relativeHeight="251661824" behindDoc="0" locked="0" layoutInCell="1" allowOverlap="1" wp14:anchorId="30DE7C42" wp14:editId="6251ABC4">
                <wp:simplePos x="0" y="0"/>
                <wp:positionH relativeFrom="column">
                  <wp:posOffset>3463290</wp:posOffset>
                </wp:positionH>
                <wp:positionV relativeFrom="paragraph">
                  <wp:posOffset>4319905</wp:posOffset>
                </wp:positionV>
                <wp:extent cx="2324100" cy="542925"/>
                <wp:effectExtent l="0" t="0" r="0" b="9525"/>
                <wp:wrapNone/>
                <wp:docPr id="54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adjustRightInd w:val="0"/>
                            </w:pPr>
                            <w:proofErr w:type="spellStart"/>
                            <w:r>
                              <w:rPr>
                                <w:rFonts w:ascii="Arial" w:hAnsi="Arial" w:cs="Arial"/>
                                <w:color w:val="000000"/>
                                <w:sz w:val="20"/>
                              </w:rPr>
                              <w:t>Ranibizumab</w:t>
                            </w:r>
                            <w:proofErr w:type="spellEnd"/>
                            <w:r>
                              <w:rPr>
                                <w:rFonts w:ascii="Arial" w:hAnsi="Arial" w:cs="Arial"/>
                                <w:color w:val="000000"/>
                                <w:sz w:val="20"/>
                              </w:rPr>
                              <w:t xml:space="preserve"> 0.5 mg/</w:t>
                            </w:r>
                            <w:proofErr w:type="spellStart"/>
                            <w:r>
                              <w:rPr>
                                <w:rFonts w:ascii="Arial" w:hAnsi="Arial" w:cs="Arial"/>
                                <w:color w:val="000000"/>
                                <w:sz w:val="20"/>
                              </w:rPr>
                              <w:t>vPDT</w:t>
                            </w:r>
                            <w:proofErr w:type="spellEnd"/>
                            <w:r>
                              <w:rPr>
                                <w:rFonts w:ascii="Arial" w:hAnsi="Arial" w:cs="Arial"/>
                                <w:color w:val="000000"/>
                                <w:sz w:val="20"/>
                              </w:rPr>
                              <w:t xml:space="preserve"> Group III from Month 3</w:t>
                            </w:r>
                            <w:r>
                              <w:rPr>
                                <w:rFonts w:ascii="Arial" w:hAnsi="Arial" w:cs="Arial"/>
                                <w:color w:val="000000"/>
                              </w:rPr>
                              <w:t xml:space="preserve"> </w:t>
                            </w:r>
                            <w:r>
                              <w:rPr>
                                <w:rFonts w:ascii="Arial" w:hAnsi="Arial" w:cs="Arial"/>
                                <w:color w:val="000000"/>
                                <w:sz w:val="20"/>
                              </w:rPr>
                              <w:t>onwards (N=55)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o:spid="_x0000_s1027" type="#_x0000_t202" style="position:absolute;left:0;text-align:left;margin-left:272.7pt;margin-top:340.15pt;width:183pt;height:4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PEhgIAABo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" stroked="f">
                <v:textbox>
                  <w:txbxContent>
                    <w:p w:rsidR="00A97788" w:rsidRDefault="00A97788" w:rsidP="00901953">
                      <w:pPr>
                        <w:adjustRightInd w:val="0"/>
                      </w:pPr>
                      <w:proofErr w:type="spellStart"/>
                      <w:r>
                        <w:rPr>
                          <w:rFonts w:ascii="Arial" w:hAnsi="Arial" w:cs="Arial"/>
                          <w:color w:val="000000"/>
                          <w:sz w:val="20"/>
                        </w:rPr>
                        <w:t>Ranibizumab</w:t>
                      </w:r>
                      <w:proofErr w:type="spellEnd"/>
                      <w:r>
                        <w:rPr>
                          <w:rFonts w:ascii="Arial" w:hAnsi="Arial" w:cs="Arial"/>
                          <w:color w:val="000000"/>
                          <w:sz w:val="20"/>
                        </w:rPr>
                        <w:t xml:space="preserve"> 0.5 mg/</w:t>
                      </w:r>
                      <w:proofErr w:type="spellStart"/>
                      <w:r>
                        <w:rPr>
                          <w:rFonts w:ascii="Arial" w:hAnsi="Arial" w:cs="Arial"/>
                          <w:color w:val="000000"/>
                          <w:sz w:val="20"/>
                        </w:rPr>
                        <w:t>vPDT</w:t>
                      </w:r>
                      <w:proofErr w:type="spellEnd"/>
                      <w:r>
                        <w:rPr>
                          <w:rFonts w:ascii="Arial" w:hAnsi="Arial" w:cs="Arial"/>
                          <w:color w:val="000000"/>
                          <w:sz w:val="20"/>
                        </w:rPr>
                        <w:t xml:space="preserve"> Group III from Month 3</w:t>
                      </w:r>
                      <w:r>
                        <w:rPr>
                          <w:rFonts w:ascii="Arial" w:hAnsi="Arial" w:cs="Arial"/>
                          <w:color w:val="000000"/>
                        </w:rPr>
                        <w:t xml:space="preserve"> </w:t>
                      </w:r>
                      <w:r>
                        <w:rPr>
                          <w:rFonts w:ascii="Arial" w:hAnsi="Arial" w:cs="Arial"/>
                          <w:color w:val="000000"/>
                          <w:sz w:val="20"/>
                        </w:rPr>
                        <w:t>onwards (N=55)</w:t>
                      </w:r>
                    </w:p>
                  </w:txbxContent>
                </v:textbox>
              </v:shape>
            </w:pict>
          </mc:Fallback>
        </mc:AlternateContent>
      </w:r>
      <w:r>
        <w:rPr>
          <w:noProof/>
          <w:lang w:val="en-AU" w:eastAsia="en-AU"/>
        </w:rPr>
        <mc:AlternateContent>
          <mc:Choice Requires="wps">
            <w:drawing>
              <wp:anchor distT="0" distB="0" distL="114300" distR="114300" simplePos="0" relativeHeight="251660800" behindDoc="0" locked="0" layoutInCell="1" allowOverlap="1" wp14:anchorId="72377C74" wp14:editId="55AE70D1">
                <wp:simplePos x="0" y="0"/>
                <wp:positionH relativeFrom="column">
                  <wp:posOffset>3472815</wp:posOffset>
                </wp:positionH>
                <wp:positionV relativeFrom="paragraph">
                  <wp:posOffset>3834130</wp:posOffset>
                </wp:positionV>
                <wp:extent cx="1896745" cy="485775"/>
                <wp:effectExtent l="0" t="0" r="8255" b="9525"/>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adjustRightInd w:val="0"/>
                              <w:rPr>
                                <w:rFonts w:ascii="Arial" w:hAnsi="Arial" w:cs="Arial"/>
                                <w:color w:val="000000"/>
                                <w:sz w:val="20"/>
                              </w:rPr>
                            </w:pPr>
                            <w:proofErr w:type="spellStart"/>
                            <w:r>
                              <w:rPr>
                                <w:rFonts w:ascii="Arial" w:hAnsi="Arial" w:cs="Arial"/>
                                <w:color w:val="000000"/>
                                <w:sz w:val="20"/>
                              </w:rPr>
                              <w:t>Ranibizumab</w:t>
                            </w:r>
                            <w:proofErr w:type="spellEnd"/>
                            <w:r>
                              <w:rPr>
                                <w:rFonts w:ascii="Arial" w:hAnsi="Arial" w:cs="Arial"/>
                                <w:color w:val="000000"/>
                                <w:sz w:val="20"/>
                              </w:rPr>
                              <w:t xml:space="preserve"> 0.5 mg Group II by disease activity (N=116)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028" type="#_x0000_t202" style="position:absolute;left:0;text-align:left;margin-left:273.45pt;margin-top:301.9pt;width:149.3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" stroked="f">
                <v:textbox>
                  <w:txbxContent>
                    <w:p w:rsidR="00A97788" w:rsidRDefault="00A97788" w:rsidP="00901953">
                      <w:pPr>
                        <w:adjustRightInd w:val="0"/>
                        <w:rPr>
                          <w:rFonts w:ascii="Arial" w:hAnsi="Arial" w:cs="Arial"/>
                          <w:color w:val="000000"/>
                          <w:sz w:val="20"/>
                        </w:rPr>
                      </w:pPr>
                      <w:proofErr w:type="spellStart"/>
                      <w:r>
                        <w:rPr>
                          <w:rFonts w:ascii="Arial" w:hAnsi="Arial" w:cs="Arial"/>
                          <w:color w:val="000000"/>
                          <w:sz w:val="20"/>
                        </w:rPr>
                        <w:t>Ranibizumab</w:t>
                      </w:r>
                      <w:proofErr w:type="spellEnd"/>
                      <w:r>
                        <w:rPr>
                          <w:rFonts w:ascii="Arial" w:hAnsi="Arial" w:cs="Arial"/>
                          <w:color w:val="000000"/>
                          <w:sz w:val="20"/>
                        </w:rPr>
                        <w:t xml:space="preserve"> 0.5 mg Group II by disease activity (N=116)</w:t>
                      </w:r>
                    </w:p>
                  </w:txbxContent>
                </v:textbox>
              </v:shape>
            </w:pict>
          </mc:Fallback>
        </mc:AlternateContent>
      </w:r>
      <w:r>
        <w:rPr>
          <w:noProof/>
          <w:lang w:val="en-AU" w:eastAsia="en-AU"/>
        </w:rPr>
        <mc:AlternateContent>
          <mc:Choice Requires="wps">
            <w:drawing>
              <wp:anchor distT="0" distB="0" distL="114300" distR="114300" simplePos="0" relativeHeight="251662848" behindDoc="0" locked="0" layoutInCell="1" allowOverlap="1" wp14:anchorId="202AD360" wp14:editId="25FBCE5D">
                <wp:simplePos x="0" y="0"/>
                <wp:positionH relativeFrom="column">
                  <wp:posOffset>1005840</wp:posOffset>
                </wp:positionH>
                <wp:positionV relativeFrom="paragraph">
                  <wp:posOffset>3834130</wp:posOffset>
                </wp:positionV>
                <wp:extent cx="1878330" cy="571500"/>
                <wp:effectExtent l="0" t="0" r="7620" b="0"/>
                <wp:wrapNone/>
                <wp:docPr id="54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adjustRightInd w:val="0"/>
                            </w:pPr>
                            <w:proofErr w:type="spellStart"/>
                            <w:r>
                              <w:rPr>
                                <w:rFonts w:ascii="Arial" w:hAnsi="Arial" w:cs="Arial"/>
                                <w:color w:val="000000"/>
                                <w:sz w:val="20"/>
                              </w:rPr>
                              <w:t>Ranibizumab</w:t>
                            </w:r>
                            <w:proofErr w:type="spellEnd"/>
                            <w:r>
                              <w:rPr>
                                <w:rFonts w:ascii="Arial" w:hAnsi="Arial" w:cs="Arial"/>
                                <w:color w:val="000000"/>
                                <w:sz w:val="20"/>
                              </w:rPr>
                              <w:t xml:space="preserve"> 0.5 mg Group I by stabilization (N=105)</w:t>
                            </w:r>
                          </w:p>
                          <w:p w:rsidR="00A97788" w:rsidRDefault="00A97788" w:rsidP="0090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029" type="#_x0000_t202" style="position:absolute;left:0;text-align:left;margin-left:79.2pt;margin-top:301.9pt;width:147.9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" stroked="f">
                <v:textbox>
                  <w:txbxContent>
                    <w:p w:rsidR="00A97788" w:rsidRDefault="00A97788" w:rsidP="00901953">
                      <w:pPr>
                        <w:adjustRightInd w:val="0"/>
                      </w:pPr>
                      <w:proofErr w:type="spellStart"/>
                      <w:r>
                        <w:rPr>
                          <w:rFonts w:ascii="Arial" w:hAnsi="Arial" w:cs="Arial"/>
                          <w:color w:val="000000"/>
                          <w:sz w:val="20"/>
                        </w:rPr>
                        <w:t>Ranibizumab</w:t>
                      </w:r>
                      <w:proofErr w:type="spellEnd"/>
                      <w:r>
                        <w:rPr>
                          <w:rFonts w:ascii="Arial" w:hAnsi="Arial" w:cs="Arial"/>
                          <w:color w:val="000000"/>
                          <w:sz w:val="20"/>
                        </w:rPr>
                        <w:t xml:space="preserve"> 0.5 mg Group I by stabilization (N=105)</w:t>
                      </w:r>
                    </w:p>
                    <w:p w:rsidR="00A97788" w:rsidRDefault="00A97788" w:rsidP="00901953"/>
                  </w:txbxContent>
                </v:textbox>
              </v:shape>
            </w:pict>
          </mc:Fallback>
        </mc:AlternateContent>
      </w:r>
      <w:r>
        <w:rPr>
          <w:noProof/>
          <w:lang w:val="en-AU" w:eastAsia="en-AU"/>
        </w:rPr>
        <mc:AlternateContent>
          <mc:Choice Requires="wps">
            <w:drawing>
              <wp:anchor distT="0" distB="0" distL="114300" distR="114300" simplePos="0" relativeHeight="251670016" behindDoc="0" locked="0" layoutInCell="1" allowOverlap="1" wp14:anchorId="48287A03" wp14:editId="53DD8FB8">
                <wp:simplePos x="0" y="0"/>
                <wp:positionH relativeFrom="column">
                  <wp:posOffset>5027295</wp:posOffset>
                </wp:positionH>
                <wp:positionV relativeFrom="paragraph">
                  <wp:posOffset>1798320</wp:posOffset>
                </wp:positionV>
                <wp:extent cx="435610" cy="288925"/>
                <wp:effectExtent l="0" t="0" r="4445" b="0"/>
                <wp:wrapNone/>
                <wp:docPr id="55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rPr>
                                <w:rFonts w:ascii="Arial" w:hAnsi="Arial" w:cs="Arial"/>
                                <w:b/>
                                <w:sz w:val="20"/>
                                <w:lang w:val="de-CH"/>
                              </w:rPr>
                            </w:pPr>
                            <w:r>
                              <w:rPr>
                                <w:rFonts w:ascii="Arial" w:hAnsi="Arial" w:cs="Arial"/>
                                <w:b/>
                                <w:sz w:val="20"/>
                                <w:lang w:val="de-CH"/>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030" type="#_x0000_t202" style="position:absolute;left:0;text-align:left;margin-left:395.85pt;margin-top:141.6pt;width:34.3pt;height:2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" stroked="f">
                <v:textbox>
                  <w:txbxContent>
                    <w:p w:rsidR="00A97788" w:rsidRDefault="00A97788" w:rsidP="00901953">
                      <w:pPr>
                        <w:rPr>
                          <w:rFonts w:ascii="Arial" w:hAnsi="Arial" w:cs="Arial"/>
                          <w:b/>
                          <w:sz w:val="20"/>
                          <w:lang w:val="de-CH"/>
                        </w:rPr>
                      </w:pPr>
                      <w:r>
                        <w:rPr>
                          <w:rFonts w:ascii="Arial" w:hAnsi="Arial" w:cs="Arial"/>
                          <w:b/>
                          <w:sz w:val="20"/>
                          <w:lang w:val="de-CH"/>
                        </w:rPr>
                        <w:t>+9.3</w:t>
                      </w:r>
                    </w:p>
                  </w:txbxContent>
                </v:textbox>
              </v:shape>
            </w:pict>
          </mc:Fallback>
        </mc:AlternateContent>
      </w:r>
      <w:r>
        <w:rPr>
          <w:noProof/>
          <w:lang w:val="en-AU" w:eastAsia="en-AU"/>
        </w:rPr>
        <mc:AlternateContent>
          <mc:Choice Requires="wps">
            <w:drawing>
              <wp:anchor distT="0" distB="0" distL="114300" distR="114300" simplePos="0" relativeHeight="251668992" behindDoc="0" locked="0" layoutInCell="1" allowOverlap="1" wp14:anchorId="75DF5C62" wp14:editId="14E813F0">
                <wp:simplePos x="0" y="0"/>
                <wp:positionH relativeFrom="column">
                  <wp:posOffset>4973955</wp:posOffset>
                </wp:positionH>
                <wp:positionV relativeFrom="paragraph">
                  <wp:posOffset>1122045</wp:posOffset>
                </wp:positionV>
                <wp:extent cx="556260" cy="211455"/>
                <wp:effectExtent l="1905" t="0" r="3810" b="0"/>
                <wp:wrapNone/>
                <wp:docPr id="55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rPr>
                                <w:rFonts w:ascii="Arial" w:hAnsi="Arial" w:cs="Arial"/>
                                <w:b/>
                                <w:sz w:val="20"/>
                                <w:lang w:val="de-CH"/>
                              </w:rPr>
                            </w:pPr>
                            <w:r>
                              <w:rPr>
                                <w:rFonts w:ascii="Arial" w:hAnsi="Arial" w:cs="Arial"/>
                                <w:b/>
                                <w:sz w:val="20"/>
                                <w:lang w:val="de-CH"/>
                              </w:rPr>
                              <w:t>+13.8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31" type="#_x0000_t202" style="position:absolute;left:0;text-align:left;margin-left:391.65pt;margin-top:88.35pt;width:43.8pt;height:16.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" stroked="f">
                <v:textbox>
                  <w:txbxContent>
                    <w:p w:rsidR="00A97788" w:rsidRDefault="00A97788" w:rsidP="00901953">
                      <w:pPr>
                        <w:rPr>
                          <w:rFonts w:ascii="Arial" w:hAnsi="Arial" w:cs="Arial"/>
                          <w:b/>
                          <w:sz w:val="20"/>
                          <w:lang w:val="de-CH"/>
                        </w:rPr>
                      </w:pPr>
                      <w:r>
                        <w:rPr>
                          <w:rFonts w:ascii="Arial" w:hAnsi="Arial" w:cs="Arial"/>
                          <w:b/>
                          <w:sz w:val="20"/>
                          <w:lang w:val="de-CH"/>
                        </w:rPr>
                        <w:t>+13.8</w:t>
                      </w:r>
                    </w:p>
                  </w:txbxContent>
                </v:textbox>
              </v:shape>
            </w:pict>
          </mc:Fallback>
        </mc:AlternateContent>
      </w:r>
      <w:r>
        <w:rPr>
          <w:noProof/>
          <w:lang w:val="en-AU" w:eastAsia="en-AU"/>
        </w:rPr>
        <mc:AlternateContent>
          <mc:Choice Requires="wps">
            <w:drawing>
              <wp:anchor distT="0" distB="0" distL="114300" distR="114300" simplePos="0" relativeHeight="251667968" behindDoc="0" locked="0" layoutInCell="1" allowOverlap="1" wp14:anchorId="2651AD17" wp14:editId="266A0919">
                <wp:simplePos x="0" y="0"/>
                <wp:positionH relativeFrom="column">
                  <wp:posOffset>4973955</wp:posOffset>
                </wp:positionH>
                <wp:positionV relativeFrom="paragraph">
                  <wp:posOffset>481965</wp:posOffset>
                </wp:positionV>
                <wp:extent cx="556260" cy="238760"/>
                <wp:effectExtent l="1905" t="0" r="3810" b="3175"/>
                <wp:wrapNone/>
                <wp:docPr id="553"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rPr>
                                <w:rFonts w:ascii="Arial" w:hAnsi="Arial" w:cs="Arial"/>
                                <w:b/>
                                <w:sz w:val="20"/>
                                <w:lang w:val="de-CH"/>
                              </w:rPr>
                            </w:pPr>
                            <w:r>
                              <w:rPr>
                                <w:rFonts w:ascii="Arial" w:hAnsi="Arial" w:cs="Arial"/>
                                <w:b/>
                                <w:sz w:val="20"/>
                                <w:lang w:val="de-CH"/>
                              </w:rPr>
                              <w:t>+14.4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3" o:spid="_x0000_s1032" type="#_x0000_t202" style="position:absolute;left:0;text-align:left;margin-left:391.65pt;margin-top:37.95pt;width:43.8pt;height:18.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brhQIAABk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" stroked="f">
                <v:textbox>
                  <w:txbxContent>
                    <w:p w:rsidR="00A97788" w:rsidRDefault="00A97788" w:rsidP="00901953">
                      <w:pPr>
                        <w:rPr>
                          <w:rFonts w:ascii="Arial" w:hAnsi="Arial" w:cs="Arial"/>
                          <w:b/>
                          <w:sz w:val="20"/>
                          <w:lang w:val="de-CH"/>
                        </w:rPr>
                      </w:pPr>
                      <w:r>
                        <w:rPr>
                          <w:rFonts w:ascii="Arial" w:hAnsi="Arial" w:cs="Arial"/>
                          <w:b/>
                          <w:sz w:val="20"/>
                          <w:lang w:val="de-CH"/>
                        </w:rPr>
                        <w:t>+14.4</w:t>
                      </w:r>
                    </w:p>
                  </w:txbxContent>
                </v:textbox>
              </v:shape>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4CEBD155" wp14:editId="0DCA8E23">
                <wp:simplePos x="0" y="0"/>
                <wp:positionH relativeFrom="column">
                  <wp:posOffset>1785620</wp:posOffset>
                </wp:positionH>
                <wp:positionV relativeFrom="paragraph">
                  <wp:posOffset>2461895</wp:posOffset>
                </wp:positionV>
                <wp:extent cx="478790" cy="228600"/>
                <wp:effectExtent l="4445" t="4445" r="2540" b="0"/>
                <wp:wrapNone/>
                <wp:docPr id="55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rPr>
                                <w:rFonts w:ascii="Arial" w:hAnsi="Arial" w:cs="Arial"/>
                                <w:b/>
                                <w:sz w:val="20"/>
                                <w:lang w:val="de-CH"/>
                              </w:rPr>
                            </w:pPr>
                            <w:r>
                              <w:rPr>
                                <w:rFonts w:ascii="Arial" w:hAnsi="Arial" w:cs="Arial"/>
                                <w:b/>
                                <w:sz w:val="20"/>
                                <w:lang w:val="de-CH"/>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033" type="#_x0000_t202" style="position:absolute;left:0;text-align:left;margin-left:140.6pt;margin-top:193.85pt;width:37.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LThwIAABk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" stroked="f">
                <v:textbox>
                  <w:txbxContent>
                    <w:p w:rsidR="00A97788" w:rsidRDefault="00A97788" w:rsidP="00901953">
                      <w:pPr>
                        <w:rPr>
                          <w:rFonts w:ascii="Arial" w:hAnsi="Arial" w:cs="Arial"/>
                          <w:b/>
                          <w:sz w:val="20"/>
                          <w:lang w:val="de-CH"/>
                        </w:rPr>
                      </w:pPr>
                      <w:r>
                        <w:rPr>
                          <w:rFonts w:ascii="Arial" w:hAnsi="Arial" w:cs="Arial"/>
                          <w:b/>
                          <w:sz w:val="20"/>
                          <w:lang w:val="de-CH"/>
                        </w:rPr>
                        <w:t>+1.4</w:t>
                      </w:r>
                    </w:p>
                  </w:txbxContent>
                </v:textbox>
              </v:shape>
            </w:pict>
          </mc:Fallback>
        </mc:AlternateContent>
      </w:r>
      <w:r>
        <w:rPr>
          <w:noProof/>
          <w:lang w:val="en-AU" w:eastAsia="en-AU"/>
        </w:rPr>
        <mc:AlternateContent>
          <mc:Choice Requires="wps">
            <w:drawing>
              <wp:anchor distT="0" distB="0" distL="114300" distR="114300" simplePos="0" relativeHeight="251671040" behindDoc="0" locked="0" layoutInCell="1" allowOverlap="1" wp14:anchorId="2EBB898A" wp14:editId="6B984F24">
                <wp:simplePos x="0" y="0"/>
                <wp:positionH relativeFrom="column">
                  <wp:posOffset>592455</wp:posOffset>
                </wp:positionH>
                <wp:positionV relativeFrom="paragraph">
                  <wp:posOffset>3093720</wp:posOffset>
                </wp:positionV>
                <wp:extent cx="2297430" cy="290195"/>
                <wp:effectExtent l="1905" t="0" r="0" b="0"/>
                <wp:wrapNone/>
                <wp:docPr id="55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jc w:val="center"/>
                              <w:rPr>
                                <w:rFonts w:ascii="Arial" w:hAnsi="Arial" w:cs="Arial"/>
                                <w:b/>
                                <w:sz w:val="20"/>
                                <w:lang w:val="de-CH"/>
                              </w:rPr>
                            </w:pPr>
                            <w:r>
                              <w:rPr>
                                <w:rFonts w:ascii="Arial" w:hAnsi="Arial" w:cs="Arial"/>
                                <w:b/>
                                <w:sz w:val="20"/>
                                <w:lang w:val="de-CH"/>
                              </w:rPr>
                              <w:t>Ranibizumab allowed</w:t>
                            </w:r>
                          </w:p>
                          <w:p w:rsidR="00A97788" w:rsidRDefault="00A97788" w:rsidP="00901953">
                            <w:pPr>
                              <w:jc w:val="center"/>
                              <w:rPr>
                                <w:rFonts w:ascii="Arial" w:hAnsi="Arial" w:cs="Arial"/>
                                <w:b/>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034" type="#_x0000_t202" style="position:absolute;left:0;text-align:left;margin-left:46.65pt;margin-top:243.6pt;width:180.9pt;height:22.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chgIAABo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" stroked="f">
                <v:textbox>
                  <w:txbxContent>
                    <w:p w:rsidR="00A97788" w:rsidRDefault="00A97788" w:rsidP="00901953">
                      <w:pPr>
                        <w:jc w:val="center"/>
                        <w:rPr>
                          <w:rFonts w:ascii="Arial" w:hAnsi="Arial" w:cs="Arial"/>
                          <w:b/>
                          <w:sz w:val="20"/>
                          <w:lang w:val="de-CH"/>
                        </w:rPr>
                      </w:pPr>
                      <w:r>
                        <w:rPr>
                          <w:rFonts w:ascii="Arial" w:hAnsi="Arial" w:cs="Arial"/>
                          <w:b/>
                          <w:sz w:val="20"/>
                          <w:lang w:val="de-CH"/>
                        </w:rPr>
                        <w:t>Ranibizumab allowed</w:t>
                      </w:r>
                    </w:p>
                    <w:p w:rsidR="00A97788" w:rsidRDefault="00A97788" w:rsidP="00901953">
                      <w:pPr>
                        <w:jc w:val="center"/>
                        <w:rPr>
                          <w:rFonts w:ascii="Arial" w:hAnsi="Arial" w:cs="Arial"/>
                          <w:b/>
                          <w:lang w:val="de-CH"/>
                        </w:rPr>
                      </w:pPr>
                    </w:p>
                  </w:txbxContent>
                </v:textbox>
              </v:shape>
            </w:pict>
          </mc:Fallback>
        </mc:AlternateContent>
      </w:r>
      <w:r>
        <w:rPr>
          <w:noProof/>
          <w:lang w:val="en-AU" w:eastAsia="en-AU"/>
        </w:rPr>
        <mc:AlternateContent>
          <mc:Choice Requires="wps">
            <w:drawing>
              <wp:anchor distT="0" distB="0" distL="114300" distR="114300" simplePos="0" relativeHeight="251672064" behindDoc="0" locked="0" layoutInCell="1" allowOverlap="1" wp14:anchorId="4D211A61" wp14:editId="09FDD049">
                <wp:simplePos x="0" y="0"/>
                <wp:positionH relativeFrom="column">
                  <wp:posOffset>1654810</wp:posOffset>
                </wp:positionH>
                <wp:positionV relativeFrom="paragraph">
                  <wp:posOffset>2847340</wp:posOffset>
                </wp:positionV>
                <wp:extent cx="90805" cy="200025"/>
                <wp:effectExtent l="35560" t="27940" r="35560" b="10160"/>
                <wp:wrapNone/>
                <wp:docPr id="550" name="Up Arrow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0025"/>
                        </a:xfrm>
                        <a:prstGeom prst="upArrow">
                          <a:avLst>
                            <a:gd name="adj1" fmla="val 50000"/>
                            <a:gd name="adj2" fmla="val 55070"/>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50" o:spid="_x0000_s1026" type="#_x0000_t68" style="position:absolute;margin-left:130.3pt;margin-top:224.2pt;width:7.1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" strokeweight="1.5pt">
                <v:textbox style="layout-flow:vertical-ideographic"/>
              </v:shape>
            </w:pict>
          </mc:Fallback>
        </mc:AlternateContent>
      </w:r>
      <w:r>
        <w:rPr>
          <w:noProof/>
          <w:lang w:val="en-AU" w:eastAsia="en-AU"/>
        </w:rPr>
        <mc:AlternateContent>
          <mc:Choice Requires="wps">
            <w:drawing>
              <wp:anchor distT="0" distB="0" distL="114300" distR="114300" simplePos="0" relativeHeight="251664896" behindDoc="0" locked="0" layoutInCell="1" allowOverlap="1" wp14:anchorId="692C3A36" wp14:editId="60C22493">
                <wp:simplePos x="0" y="0"/>
                <wp:positionH relativeFrom="column">
                  <wp:posOffset>-59690</wp:posOffset>
                </wp:positionH>
                <wp:positionV relativeFrom="paragraph">
                  <wp:posOffset>445770</wp:posOffset>
                </wp:positionV>
                <wp:extent cx="333375" cy="2472690"/>
                <wp:effectExtent l="0" t="0" r="2540" b="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adjustRightInd w:val="0"/>
                              <w:rPr>
                                <w:rFonts w:ascii="Arial" w:hAnsi="Arial" w:cs="Arial"/>
                                <w:color w:val="000000"/>
                                <w:sz w:val="20"/>
                              </w:rPr>
                            </w:pPr>
                            <w:r>
                              <w:rPr>
                                <w:rFonts w:ascii="Arial" w:hAnsi="Arial" w:cs="Arial"/>
                                <w:color w:val="000000"/>
                                <w:sz w:val="20"/>
                              </w:rPr>
                              <w:t>Mean VA change from BL ± SE (letters)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9" o:spid="_x0000_s1035" type="#_x0000_t202" style="position:absolute;left:0;text-align:left;margin-left:-4.7pt;margin-top:35.1pt;width:26.25pt;height:19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" stroked="f">
                <v:textbox style="layout-flow:vertical;mso-layout-flow-alt:bottom-to-top">
                  <w:txbxContent>
                    <w:p w:rsidR="00A97788" w:rsidRDefault="00A97788" w:rsidP="00901953">
                      <w:pPr>
                        <w:adjustRightInd w:val="0"/>
                        <w:rPr>
                          <w:rFonts w:ascii="Arial" w:hAnsi="Arial" w:cs="Arial"/>
                          <w:color w:val="000000"/>
                          <w:sz w:val="20"/>
                        </w:rPr>
                      </w:pPr>
                      <w:r>
                        <w:rPr>
                          <w:rFonts w:ascii="Arial" w:hAnsi="Arial" w:cs="Arial"/>
                          <w:color w:val="000000"/>
                          <w:sz w:val="20"/>
                        </w:rPr>
                        <w:t>Mean VA change from BL ± SE (letters)</w:t>
                      </w:r>
                    </w:p>
                  </w:txbxContent>
                </v:textbox>
              </v:shape>
            </w:pict>
          </mc:Fallback>
        </mc:AlternateContent>
      </w:r>
      <w:r>
        <w:rPr>
          <w:noProof/>
          <w:lang w:val="en-AU" w:eastAsia="en-AU"/>
        </w:rPr>
        <mc:AlternateContent>
          <mc:Choice Requires="wps">
            <w:drawing>
              <wp:anchor distT="0" distB="0" distL="114300" distR="114300" simplePos="0" relativeHeight="251665920" behindDoc="0" locked="0" layoutInCell="1" allowOverlap="1" wp14:anchorId="1301F804" wp14:editId="4D947869">
                <wp:simplePos x="0" y="0"/>
                <wp:positionH relativeFrom="column">
                  <wp:posOffset>1424940</wp:posOffset>
                </wp:positionH>
                <wp:positionV relativeFrom="paragraph">
                  <wp:posOffset>1333500</wp:posOffset>
                </wp:positionV>
                <wp:extent cx="671830" cy="322580"/>
                <wp:effectExtent l="0" t="0" r="0" b="127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rPr>
                                <w:rFonts w:ascii="Arial" w:hAnsi="Arial" w:cs="Arial"/>
                                <w:b/>
                                <w:sz w:val="20"/>
                                <w:lang w:val="de-CH"/>
                              </w:rPr>
                            </w:pPr>
                            <w:r>
                              <w:rPr>
                                <w:rFonts w:ascii="Arial" w:hAnsi="Arial" w:cs="Arial"/>
                                <w:b/>
                                <w:sz w:val="20"/>
                                <w:lang w:val="de-CH"/>
                              </w:rP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o:spid="_x0000_s1036" type="#_x0000_t202" style="position:absolute;left:0;text-align:left;margin-left:112.2pt;margin-top:105pt;width:52.9pt;height:2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Rv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" stroked="f">
                <v:textbox>
                  <w:txbxContent>
                    <w:p w:rsidR="00A97788" w:rsidRDefault="00A97788" w:rsidP="00901953">
                      <w:pPr>
                        <w:rPr>
                          <w:rFonts w:ascii="Arial" w:hAnsi="Arial" w:cs="Arial"/>
                          <w:b/>
                          <w:sz w:val="20"/>
                          <w:lang w:val="de-CH"/>
                        </w:rPr>
                      </w:pPr>
                      <w:r>
                        <w:rPr>
                          <w:rFonts w:ascii="Arial" w:hAnsi="Arial" w:cs="Arial"/>
                          <w:b/>
                          <w:sz w:val="20"/>
                          <w:lang w:val="de-CH"/>
                        </w:rPr>
                        <w:t>+12.1</w:t>
                      </w:r>
                    </w:p>
                  </w:txbxContent>
                </v:textbox>
              </v:shape>
            </w:pict>
          </mc:Fallback>
        </mc:AlternateContent>
      </w:r>
      <w:r>
        <w:rPr>
          <w:noProof/>
          <w:lang w:val="en-AU" w:eastAsia="en-AU"/>
        </w:rPr>
        <mc:AlternateContent>
          <mc:Choice Requires="wps">
            <w:drawing>
              <wp:anchor distT="0" distB="0" distL="114300" distR="114300" simplePos="0" relativeHeight="251666944" behindDoc="0" locked="0" layoutInCell="1" allowOverlap="1" wp14:anchorId="53DC2E82" wp14:editId="40F10D50">
                <wp:simplePos x="0" y="0"/>
                <wp:positionH relativeFrom="column">
                  <wp:posOffset>1424940</wp:posOffset>
                </wp:positionH>
                <wp:positionV relativeFrom="paragraph">
                  <wp:posOffset>621030</wp:posOffset>
                </wp:positionV>
                <wp:extent cx="671830" cy="276225"/>
                <wp:effectExtent l="0" t="1905" r="0" b="0"/>
                <wp:wrapNone/>
                <wp:docPr id="543"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901953">
                            <w:pPr>
                              <w:rPr>
                                <w:rFonts w:ascii="Arial" w:hAnsi="Arial" w:cs="Arial"/>
                                <w:b/>
                                <w:sz w:val="20"/>
                                <w:lang w:val="de-CH"/>
                              </w:rPr>
                            </w:pPr>
                            <w:r>
                              <w:rPr>
                                <w:rFonts w:ascii="Arial" w:hAnsi="Arial" w:cs="Arial"/>
                                <w:b/>
                                <w:sz w:val="20"/>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3" o:spid="_x0000_s1037" type="#_x0000_t202" style="position:absolute;left:0;text-align:left;margin-left:112.2pt;margin-top:48.9pt;width:52.9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gBhg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" stroked="f">
                <v:textbox>
                  <w:txbxContent>
                    <w:p w:rsidR="00A97788" w:rsidRDefault="00A97788" w:rsidP="00901953">
                      <w:pPr>
                        <w:rPr>
                          <w:rFonts w:ascii="Arial" w:hAnsi="Arial" w:cs="Arial"/>
                          <w:b/>
                          <w:sz w:val="20"/>
                          <w:lang w:val="de-CH"/>
                        </w:rPr>
                      </w:pPr>
                      <w:r>
                        <w:rPr>
                          <w:rFonts w:ascii="Arial" w:hAnsi="Arial" w:cs="Arial"/>
                          <w:b/>
                          <w:sz w:val="20"/>
                          <w:lang w:val="de-CH"/>
                        </w:rPr>
                        <w:t>+12.5</w:t>
                      </w:r>
                    </w:p>
                  </w:txbxContent>
                </v:textbox>
              </v:shape>
            </w:pict>
          </mc:Fallback>
        </mc:AlternateContent>
      </w:r>
      <w:r>
        <w:rPr>
          <w:noProof/>
          <w:lang w:val="en-AU" w:eastAsia="en-AU"/>
        </w:rPr>
        <w:drawing>
          <wp:inline distT="0" distB="0" distL="0" distR="0" wp14:anchorId="7A9898F7" wp14:editId="4B3132F1">
            <wp:extent cx="5372100" cy="4505325"/>
            <wp:effectExtent l="0" t="0" r="0" b="952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4505325"/>
                    </a:xfrm>
                    <a:prstGeom prst="rect">
                      <a:avLst/>
                    </a:prstGeom>
                    <a:noFill/>
                    <a:ln>
                      <a:noFill/>
                    </a:ln>
                  </pic:spPr>
                </pic:pic>
              </a:graphicData>
            </a:graphic>
          </wp:inline>
        </w:drawing>
      </w:r>
    </w:p>
    <w:p w:rsidR="00901953" w:rsidRPr="00901953" w:rsidRDefault="00901953" w:rsidP="00300AD3"/>
    <w:p w:rsidR="00901953" w:rsidRDefault="00901953" w:rsidP="00A2188E">
      <w:pPr>
        <w:pStyle w:val="Text"/>
        <w:spacing w:before="0"/>
      </w:pPr>
    </w:p>
    <w:p w:rsidR="00A2188E" w:rsidRPr="004073BA" w:rsidRDefault="00A2188E" w:rsidP="00A2188E">
      <w:pPr>
        <w:pStyle w:val="Text"/>
        <w:spacing w:before="0"/>
        <w:rPr>
          <w:rFonts w:ascii="Arial" w:hAnsi="Arial" w:cs="Arial"/>
          <w:color w:val="000000"/>
          <w:sz w:val="20"/>
        </w:rPr>
      </w:pPr>
      <w:r>
        <w:rPr>
          <w:rFonts w:ascii="Arial" w:hAnsi="Arial" w:cs="Arial"/>
          <w:color w:val="000000"/>
          <w:sz w:val="20"/>
        </w:rPr>
        <w:t xml:space="preserve">BL = </w:t>
      </w:r>
      <w:r w:rsidRPr="004073BA">
        <w:rPr>
          <w:rFonts w:ascii="Arial" w:hAnsi="Arial" w:cs="Arial"/>
          <w:color w:val="000000"/>
          <w:sz w:val="20"/>
        </w:rPr>
        <w:t xml:space="preserve">baseline; SE = standard error of the mean.  </w:t>
      </w:r>
    </w:p>
    <w:p w:rsidR="00A2188E" w:rsidRDefault="00A2188E" w:rsidP="00A2188E">
      <w:pPr>
        <w:pStyle w:val="Text"/>
        <w:spacing w:before="0"/>
        <w:rPr>
          <w:rFonts w:ascii="Arial" w:hAnsi="Arial" w:cs="Arial"/>
          <w:color w:val="000000"/>
          <w:sz w:val="20"/>
        </w:rPr>
      </w:pPr>
      <w:r w:rsidRPr="004073BA">
        <w:rPr>
          <w:rFonts w:ascii="Arial" w:hAnsi="Arial" w:cs="Arial"/>
          <w:color w:val="000000"/>
          <w:sz w:val="20"/>
        </w:rPr>
        <w:t xml:space="preserve">Patients randomized to </w:t>
      </w:r>
      <w:proofErr w:type="spellStart"/>
      <w:r w:rsidRPr="004073BA">
        <w:rPr>
          <w:rFonts w:ascii="Arial" w:hAnsi="Arial" w:cs="Arial"/>
          <w:color w:val="000000"/>
          <w:sz w:val="20"/>
        </w:rPr>
        <w:t>vPDT</w:t>
      </w:r>
      <w:proofErr w:type="spellEnd"/>
      <w:r w:rsidRPr="004073BA">
        <w:rPr>
          <w:rFonts w:ascii="Arial" w:hAnsi="Arial" w:cs="Arial"/>
          <w:color w:val="000000"/>
          <w:sz w:val="20"/>
        </w:rPr>
        <w:t xml:space="preserve"> were allowed to receive </w:t>
      </w:r>
      <w:proofErr w:type="spellStart"/>
      <w:r w:rsidRPr="004073BA">
        <w:rPr>
          <w:rFonts w:ascii="Arial" w:hAnsi="Arial" w:cs="Arial"/>
          <w:color w:val="000000"/>
          <w:sz w:val="20"/>
        </w:rPr>
        <w:t>ranibizumab</w:t>
      </w:r>
      <w:proofErr w:type="spellEnd"/>
      <w:r w:rsidRPr="004073BA">
        <w:rPr>
          <w:rFonts w:ascii="Arial" w:hAnsi="Arial" w:cs="Arial"/>
          <w:color w:val="000000"/>
          <w:sz w:val="20"/>
        </w:rPr>
        <w:t xml:space="preserve"> from Month 3 onwards.</w:t>
      </w:r>
    </w:p>
    <w:p w:rsidR="00B9783A" w:rsidRDefault="00B9783A" w:rsidP="00A2188E">
      <w:pPr>
        <w:pStyle w:val="Text"/>
        <w:spacing w:before="0"/>
        <w:rPr>
          <w:rFonts w:ascii="Arial" w:hAnsi="Arial" w:cs="Arial"/>
          <w:color w:val="000000"/>
          <w:sz w:val="20"/>
        </w:rPr>
      </w:pPr>
    </w:p>
    <w:p w:rsidR="00A2188E" w:rsidRPr="00D11555" w:rsidRDefault="00A2188E" w:rsidP="00A2188E">
      <w:pPr>
        <w:pStyle w:val="Text"/>
      </w:pPr>
      <w:r w:rsidRPr="006F452B">
        <w:t>T</w:t>
      </w:r>
      <w:r w:rsidRPr="006F452B">
        <w:rPr>
          <w:bCs/>
          <w:iCs/>
        </w:rPr>
        <w:t xml:space="preserve">he improvement of vision </w:t>
      </w:r>
      <w:r w:rsidRPr="006F452B">
        <w:t xml:space="preserve">was accompanied by a </w:t>
      </w:r>
      <w:r w:rsidRPr="006F452B">
        <w:rPr>
          <w:bCs/>
          <w:iCs/>
        </w:rPr>
        <w:t>reduction in central retinal thickness.</w:t>
      </w:r>
    </w:p>
    <w:p w:rsidR="00A2188E" w:rsidRPr="00D11555" w:rsidRDefault="00A2188E" w:rsidP="006C51F8">
      <w:pPr>
        <w:pStyle w:val="Text"/>
        <w:spacing w:before="0" w:line="240" w:lineRule="auto"/>
      </w:pPr>
      <w:bookmarkStart w:id="109" w:name="_Toc295363844"/>
      <w:bookmarkEnd w:id="109"/>
      <w:r>
        <w:t>P</w:t>
      </w:r>
      <w:r w:rsidRPr="003F772B">
        <w:t xml:space="preserve">atient-reported benefits </w:t>
      </w:r>
      <w:r>
        <w:t xml:space="preserve">were observed with </w:t>
      </w:r>
      <w:r w:rsidR="00901953">
        <w:t>the</w:t>
      </w:r>
      <w:r>
        <w:t xml:space="preserve"> </w:t>
      </w:r>
      <w:proofErr w:type="spellStart"/>
      <w:r>
        <w:t>ranibizumab</w:t>
      </w:r>
      <w:proofErr w:type="spellEnd"/>
      <w:r>
        <w:t xml:space="preserve"> treatment arms over </w:t>
      </w:r>
      <w:proofErr w:type="spellStart"/>
      <w:r>
        <w:t>vPDT</w:t>
      </w:r>
      <w:proofErr w:type="spellEnd"/>
      <w:r>
        <w:t xml:space="preserve"> (p-value &lt;0.05) </w:t>
      </w:r>
      <w:r w:rsidRPr="003F772B">
        <w:t>in terms of improvement in the composite score and several subscales (general vision, near activities, mental health and dependency)</w:t>
      </w:r>
      <w:r>
        <w:t xml:space="preserve"> of the VFQ-25</w:t>
      </w:r>
      <w:r w:rsidRPr="003F772B">
        <w:t>.</w:t>
      </w:r>
    </w:p>
    <w:p w:rsidR="00A2188E" w:rsidRDefault="00A2188E" w:rsidP="00A2188E">
      <w:pPr>
        <w:pStyle w:val="Text"/>
      </w:pPr>
    </w:p>
    <w:p w:rsidR="004D3249" w:rsidRPr="00FC6FDF" w:rsidRDefault="004D3249">
      <w:pPr>
        <w:pStyle w:val="Heading1"/>
      </w:pPr>
      <w:r w:rsidRPr="00FC6FDF">
        <w:t>INDICATIONS</w:t>
      </w:r>
    </w:p>
    <w:p w:rsidR="004D3249" w:rsidRPr="00FC6FDF" w:rsidRDefault="004D3249"/>
    <w:p w:rsidR="00486FFC" w:rsidRPr="00FC6FDF" w:rsidRDefault="004D3249">
      <w:proofErr w:type="spellStart"/>
      <w:r w:rsidRPr="00FC6FDF">
        <w:t>Lucentis</w:t>
      </w:r>
      <w:proofErr w:type="spellEnd"/>
      <w:r w:rsidRPr="00FC6FDF">
        <w:t xml:space="preserve"> (</w:t>
      </w:r>
      <w:proofErr w:type="spellStart"/>
      <w:r w:rsidRPr="00FC6FDF">
        <w:t>ranibizumab</w:t>
      </w:r>
      <w:proofErr w:type="spellEnd"/>
      <w:r w:rsidRPr="00FC6FDF">
        <w:t>) is indicated</w:t>
      </w:r>
      <w:r w:rsidR="00756C49">
        <w:t xml:space="preserve"> in adults</w:t>
      </w:r>
      <w:r w:rsidRPr="00FC6FDF">
        <w:t xml:space="preserve"> for</w:t>
      </w:r>
      <w:r w:rsidR="00486FFC" w:rsidRPr="00FC6FDF">
        <w:t>:</w:t>
      </w:r>
    </w:p>
    <w:p w:rsidR="00DC74B3" w:rsidRPr="00FC6FDF" w:rsidRDefault="004D3249">
      <w:pPr>
        <w:numPr>
          <w:ilvl w:val="0"/>
          <w:numId w:val="31"/>
        </w:numPr>
      </w:pPr>
      <w:proofErr w:type="gramStart"/>
      <w:r w:rsidRPr="00FC6FDF">
        <w:t>the</w:t>
      </w:r>
      <w:proofErr w:type="gramEnd"/>
      <w:r w:rsidRPr="00FC6FDF">
        <w:t xml:space="preserve"> treatment of </w:t>
      </w:r>
      <w:proofErr w:type="spellStart"/>
      <w:r w:rsidRPr="00FC6FDF">
        <w:t>neovascular</w:t>
      </w:r>
      <w:proofErr w:type="spellEnd"/>
      <w:r w:rsidRPr="00FC6FDF">
        <w:t xml:space="preserve"> (wet) age-related macular degeneration (AMD</w:t>
      </w:r>
      <w:r w:rsidR="00A07A63" w:rsidRPr="00FC6FDF">
        <w:t>).</w:t>
      </w:r>
    </w:p>
    <w:p w:rsidR="00DC74B3" w:rsidRPr="00FC6FDF" w:rsidRDefault="00B642D7">
      <w:pPr>
        <w:numPr>
          <w:ilvl w:val="0"/>
          <w:numId w:val="31"/>
        </w:numPr>
      </w:pPr>
      <w:proofErr w:type="gramStart"/>
      <w:r w:rsidRPr="00FC6FDF">
        <w:t>t</w:t>
      </w:r>
      <w:r w:rsidR="00486FFC" w:rsidRPr="00FC6FDF">
        <w:t>he</w:t>
      </w:r>
      <w:proofErr w:type="gramEnd"/>
      <w:r w:rsidR="00486FFC" w:rsidRPr="00FC6FDF">
        <w:t xml:space="preserve"> treatment of visual impairment due to diabetic macular oedema (DME).</w:t>
      </w:r>
    </w:p>
    <w:p w:rsidR="00A07A63" w:rsidRDefault="00A07A63">
      <w:pPr>
        <w:numPr>
          <w:ilvl w:val="0"/>
          <w:numId w:val="31"/>
        </w:numPr>
      </w:pPr>
      <w:proofErr w:type="gramStart"/>
      <w:r w:rsidRPr="00FC6FDF">
        <w:t>the</w:t>
      </w:r>
      <w:proofErr w:type="gramEnd"/>
      <w:r w:rsidRPr="00FC6FDF">
        <w:t xml:space="preserve"> treatment of visual impairment due to macular oedema secondary to retinal vein occlusion (RVO).</w:t>
      </w:r>
    </w:p>
    <w:p w:rsidR="00A2188E" w:rsidRPr="007777CA" w:rsidRDefault="00A2188E" w:rsidP="006C51F8">
      <w:pPr>
        <w:pStyle w:val="Listlevel1"/>
        <w:numPr>
          <w:ilvl w:val="0"/>
          <w:numId w:val="31"/>
        </w:numPr>
        <w:jc w:val="both"/>
      </w:pPr>
      <w:r w:rsidRPr="001870BE">
        <w:rPr>
          <w:iCs/>
        </w:rPr>
        <w:lastRenderedPageBreak/>
        <w:t xml:space="preserve">the treatment of visual impairment due to </w:t>
      </w:r>
      <w:proofErr w:type="spellStart"/>
      <w:r w:rsidRPr="001870BE">
        <w:rPr>
          <w:iCs/>
        </w:rPr>
        <w:t>choroidal</w:t>
      </w:r>
      <w:proofErr w:type="spellEnd"/>
      <w:r w:rsidRPr="001870BE">
        <w:rPr>
          <w:iCs/>
        </w:rPr>
        <w:t xml:space="preserve"> </w:t>
      </w:r>
      <w:proofErr w:type="spellStart"/>
      <w:r w:rsidRPr="001870BE">
        <w:rPr>
          <w:iCs/>
        </w:rPr>
        <w:t>neovascularisation</w:t>
      </w:r>
      <w:proofErr w:type="spellEnd"/>
      <w:r w:rsidRPr="001870BE">
        <w:rPr>
          <w:iCs/>
        </w:rPr>
        <w:t xml:space="preserve"> (CNV) secondary to pathologic myopia (PM) </w:t>
      </w:r>
    </w:p>
    <w:p w:rsidR="004D3249" w:rsidRPr="00FC6FDF" w:rsidRDefault="004D3249"/>
    <w:p w:rsidR="004D3249" w:rsidRPr="00FC6FDF" w:rsidRDefault="004D3249">
      <w:pPr>
        <w:pStyle w:val="Heading1"/>
      </w:pPr>
      <w:r w:rsidRPr="00FC6FDF">
        <w:t>CONTRAINDICATIONS</w:t>
      </w:r>
    </w:p>
    <w:p w:rsidR="004D3249" w:rsidRPr="00FC6FDF" w:rsidRDefault="004D3249"/>
    <w:p w:rsidR="004D3249" w:rsidRPr="00FC6FDF" w:rsidRDefault="004D3249" w:rsidP="009E1F10">
      <w:pPr>
        <w:numPr>
          <w:ilvl w:val="0"/>
          <w:numId w:val="24"/>
        </w:numPr>
      </w:pPr>
      <w:r w:rsidRPr="00FC6FDF">
        <w:t>Hypersensitivity to the active substance or to any of the excipients.</w:t>
      </w:r>
    </w:p>
    <w:p w:rsidR="004D3249" w:rsidRPr="00FC6FDF" w:rsidRDefault="004D3249" w:rsidP="009E1F10">
      <w:pPr>
        <w:numPr>
          <w:ilvl w:val="0"/>
          <w:numId w:val="24"/>
        </w:numPr>
      </w:pPr>
      <w:r w:rsidRPr="00FC6FDF">
        <w:t xml:space="preserve">Patients with active or suspected ocular or </w:t>
      </w:r>
      <w:proofErr w:type="spellStart"/>
      <w:r w:rsidRPr="00FC6FDF">
        <w:t>periocular</w:t>
      </w:r>
      <w:proofErr w:type="spellEnd"/>
      <w:r w:rsidRPr="00FC6FDF">
        <w:t xml:space="preserve"> infections.</w:t>
      </w:r>
    </w:p>
    <w:p w:rsidR="004D3249" w:rsidRPr="00FC6FDF" w:rsidRDefault="004D3249" w:rsidP="009E1F10">
      <w:pPr>
        <w:numPr>
          <w:ilvl w:val="0"/>
          <w:numId w:val="24"/>
        </w:numPr>
      </w:pPr>
      <w:r w:rsidRPr="00FC6FDF">
        <w:t>Patients with active intraocular inflammation.</w:t>
      </w:r>
    </w:p>
    <w:p w:rsidR="004D3249" w:rsidRPr="00FC6FDF" w:rsidRDefault="004D3249" w:rsidP="00814D30"/>
    <w:p w:rsidR="004D3249" w:rsidRPr="00FC6FDF" w:rsidRDefault="004D3249">
      <w:pPr>
        <w:pStyle w:val="Heading1"/>
      </w:pPr>
      <w:r w:rsidRPr="00FC6FDF">
        <w:t>PRECAUTIONS</w:t>
      </w:r>
    </w:p>
    <w:p w:rsidR="004D3249" w:rsidRPr="00FC6FDF" w:rsidRDefault="004D3249"/>
    <w:p w:rsidR="00BC21CF" w:rsidRPr="00FC6FDF" w:rsidRDefault="004D3249" w:rsidP="00814D30">
      <w:bookmarkStart w:id="110" w:name="_Toc441044451"/>
      <w:proofErr w:type="spellStart"/>
      <w:r w:rsidRPr="00FC6FDF">
        <w:t>Intravitreal</w:t>
      </w:r>
      <w:proofErr w:type="spellEnd"/>
      <w:r w:rsidRPr="00FC6FDF">
        <w:t xml:space="preserve"> injections, including those with </w:t>
      </w:r>
      <w:proofErr w:type="spellStart"/>
      <w:r w:rsidRPr="00FC6FDF">
        <w:t>Lucentis</w:t>
      </w:r>
      <w:proofErr w:type="spellEnd"/>
      <w:r w:rsidRPr="00FC6FDF">
        <w:t xml:space="preserve">, have been associated with </w:t>
      </w:r>
      <w:proofErr w:type="spellStart"/>
      <w:r w:rsidRPr="00FC6FDF">
        <w:t>endophthalmitis</w:t>
      </w:r>
      <w:proofErr w:type="spellEnd"/>
      <w:r w:rsidRPr="00FC6FDF">
        <w:t xml:space="preserve">, intraocular inflammation, </w:t>
      </w:r>
      <w:proofErr w:type="spellStart"/>
      <w:r w:rsidRPr="00FC6FDF">
        <w:t>rhegmatogenous</w:t>
      </w:r>
      <w:proofErr w:type="spellEnd"/>
      <w:r w:rsidRPr="00FC6FDF">
        <w:t xml:space="preserve"> retinal detachment, retinal </w:t>
      </w:r>
      <w:proofErr w:type="gramStart"/>
      <w:r w:rsidRPr="00FC6FDF">
        <w:t>tear</w:t>
      </w:r>
      <w:r w:rsidR="00470D35" w:rsidRPr="00FC6FDF">
        <w:t>,</w:t>
      </w:r>
      <w:proofErr w:type="gramEnd"/>
      <w:r w:rsidRPr="00FC6FDF">
        <w:t xml:space="preserve"> iatrogenic traumatic cataract </w:t>
      </w:r>
      <w:r w:rsidR="00F80CC3" w:rsidRPr="00FC6FDF">
        <w:t xml:space="preserve">and increased intraocular pressure </w:t>
      </w:r>
      <w:r w:rsidRPr="00FC6FDF">
        <w:t xml:space="preserve">(see </w:t>
      </w:r>
      <w:r w:rsidRPr="00FC6FDF">
        <w:rPr>
          <w:b/>
          <w:bCs/>
          <w:u w:val="single"/>
        </w:rPr>
        <w:t xml:space="preserve">ADVERSE </w:t>
      </w:r>
      <w:r w:rsidR="00F80CC3" w:rsidRPr="00FC6FDF">
        <w:rPr>
          <w:b/>
          <w:bCs/>
          <w:u w:val="single"/>
        </w:rPr>
        <w:t>EFFECTS</w:t>
      </w:r>
      <w:r w:rsidRPr="00FC6FDF">
        <w:t>).</w:t>
      </w:r>
      <w:r w:rsidR="00D75108" w:rsidRPr="00FC6FDF">
        <w:t xml:space="preserve"> </w:t>
      </w:r>
      <w:r w:rsidR="00D75108" w:rsidRPr="00FC6FDF">
        <w:rPr>
          <w:lang w:val="en-US"/>
        </w:rPr>
        <w:t>Symptoms of these adverse effects should be explained and the patient should be given a copy of the consumer medicine information document. The patient should be given contact details in the case of adverse effects.</w:t>
      </w:r>
    </w:p>
    <w:p w:rsidR="00BC21CF" w:rsidRPr="00FC6FDF" w:rsidRDefault="00BC21CF" w:rsidP="00814D30"/>
    <w:p w:rsidR="004D3249" w:rsidRPr="00FC6FDF" w:rsidRDefault="004D3249" w:rsidP="00814D30">
      <w:r w:rsidRPr="00FC6FDF">
        <w:t xml:space="preserve">Proper aseptic injection techniques must always be used when administering </w:t>
      </w:r>
      <w:proofErr w:type="spellStart"/>
      <w:r w:rsidRPr="00FC6FDF">
        <w:t>Lucentis</w:t>
      </w:r>
      <w:proofErr w:type="spellEnd"/>
      <w:r w:rsidRPr="00FC6FDF">
        <w:t xml:space="preserve">. In addition, patients should be </w:t>
      </w:r>
      <w:r w:rsidR="00D75108" w:rsidRPr="00FC6FDF">
        <w:t xml:space="preserve">reviewed </w:t>
      </w:r>
      <w:r w:rsidRPr="00FC6FDF">
        <w:t xml:space="preserve">during the week following the injection to permit early treatment if an infection occurs. Patients should be instructed to report any symptoms suggestive of </w:t>
      </w:r>
      <w:proofErr w:type="spellStart"/>
      <w:r w:rsidRPr="00FC6FDF">
        <w:t>endophthalmitis</w:t>
      </w:r>
      <w:proofErr w:type="spellEnd"/>
      <w:r w:rsidRPr="00FC6FDF">
        <w:t xml:space="preserve"> or any of the above-mentioned events without delay.</w:t>
      </w:r>
    </w:p>
    <w:p w:rsidR="004D3249" w:rsidRPr="00FC6FDF" w:rsidRDefault="004D3249" w:rsidP="00814D30"/>
    <w:p w:rsidR="004D3249" w:rsidRPr="00FC6FDF" w:rsidRDefault="00F80CC3" w:rsidP="00814D30">
      <w:r w:rsidRPr="00FC6FDF">
        <w:t>Transient i</w:t>
      </w:r>
      <w:r w:rsidR="004D3249" w:rsidRPr="00FC6FDF">
        <w:t xml:space="preserve">ncreases in intraocular pressure </w:t>
      </w:r>
      <w:r w:rsidRPr="00FC6FDF">
        <w:t xml:space="preserve">(IOP) </w:t>
      </w:r>
      <w:r w:rsidR="004D3249" w:rsidRPr="00FC6FDF">
        <w:t xml:space="preserve">have been seen within 60 minutes of injection of </w:t>
      </w:r>
      <w:proofErr w:type="spellStart"/>
      <w:r w:rsidR="004D3249" w:rsidRPr="00FC6FDF">
        <w:t>Lucentis</w:t>
      </w:r>
      <w:proofErr w:type="spellEnd"/>
      <w:r w:rsidR="004D3249" w:rsidRPr="00FC6FDF">
        <w:t xml:space="preserve"> (see </w:t>
      </w:r>
      <w:r w:rsidR="004D3249" w:rsidRPr="00FC6FDF">
        <w:rPr>
          <w:b/>
          <w:bCs/>
          <w:u w:val="single"/>
        </w:rPr>
        <w:t xml:space="preserve">ADVERSE </w:t>
      </w:r>
      <w:r w:rsidRPr="00FC6FDF">
        <w:rPr>
          <w:b/>
          <w:bCs/>
          <w:u w:val="single"/>
        </w:rPr>
        <w:t>EFFECTS</w:t>
      </w:r>
      <w:r w:rsidR="004D3249" w:rsidRPr="00FC6FDF">
        <w:t xml:space="preserve">). </w:t>
      </w:r>
      <w:r w:rsidRPr="00FC6FDF">
        <w:t>Sustained IOP increases have also been reported</w:t>
      </w:r>
      <w:r w:rsidR="00D75108" w:rsidRPr="00FC6FDF">
        <w:rPr>
          <w:lang w:val="en-US"/>
        </w:rPr>
        <w:t xml:space="preserve"> but the frequency is unclear</w:t>
      </w:r>
      <w:r w:rsidRPr="00FC6FDF">
        <w:t xml:space="preserve">. </w:t>
      </w:r>
      <w:r w:rsidR="004D3249" w:rsidRPr="00FC6FDF">
        <w:t>Both intraocular pressure and the perfusion of the optic nerve head must therefore be monitored and managed appropriately.</w:t>
      </w:r>
      <w:r w:rsidRPr="00FC6FDF">
        <w:t xml:space="preserve"> Patients should be reviewed for IOP rise pre-injection and 60 minutes post-injection.</w:t>
      </w:r>
    </w:p>
    <w:p w:rsidR="004D3249" w:rsidRPr="00FC6FDF" w:rsidRDefault="004D3249" w:rsidP="00814D30"/>
    <w:p w:rsidR="004D3249" w:rsidRDefault="004D3249" w:rsidP="00814D30">
      <w:r w:rsidRPr="00757470">
        <w:t xml:space="preserve">The safety and efficacy of </w:t>
      </w:r>
      <w:proofErr w:type="spellStart"/>
      <w:r w:rsidRPr="00757470">
        <w:t>Lucentis</w:t>
      </w:r>
      <w:proofErr w:type="spellEnd"/>
      <w:r w:rsidRPr="00757470">
        <w:t xml:space="preserve"> therapy administered to both eyes concurrently have not</w:t>
      </w:r>
      <w:r w:rsidRPr="00757470">
        <w:rPr>
          <w:rFonts w:eastAsia="MS Mincho"/>
          <w:lang w:eastAsia="ja-JP"/>
        </w:rPr>
        <w:t xml:space="preserve"> </w:t>
      </w:r>
      <w:r w:rsidRPr="00757470">
        <w:t xml:space="preserve">been studied (see </w:t>
      </w:r>
      <w:r w:rsidRPr="00757470">
        <w:rPr>
          <w:b/>
          <w:bCs/>
          <w:u w:val="single"/>
        </w:rPr>
        <w:t>DOSAGE AND ADMINISTRATION</w:t>
      </w:r>
      <w:r w:rsidR="00436788">
        <w:t>).</w:t>
      </w:r>
    </w:p>
    <w:p w:rsidR="0037312C" w:rsidRPr="00FC6FDF" w:rsidRDefault="0037312C" w:rsidP="00814D30"/>
    <w:p w:rsidR="004D3249" w:rsidRPr="00FC6FDF" w:rsidRDefault="004D3249" w:rsidP="00445C2F">
      <w:r w:rsidRPr="00FC6FDF">
        <w:t xml:space="preserve">There is a potential risk of arterial thromboembolic events following </w:t>
      </w:r>
      <w:proofErr w:type="spellStart"/>
      <w:r w:rsidRPr="00FC6FDF">
        <w:t>intravitreal</w:t>
      </w:r>
      <w:proofErr w:type="spellEnd"/>
      <w:r w:rsidRPr="00FC6FDF">
        <w:t xml:space="preserve"> use of inhibitors of VEGF. </w:t>
      </w:r>
      <w:r w:rsidR="005C4423">
        <w:t>A</w:t>
      </w:r>
      <w:r w:rsidR="005C4423" w:rsidRPr="00FC6FDF">
        <w:t xml:space="preserve">rterial thromboembolic events </w:t>
      </w:r>
      <w:r w:rsidR="005A23AE" w:rsidRPr="005A23AE">
        <w:t>are defined as nonfatal stroke, nonfatal myocardial infarction, or vascular death (including deaths of unknown cause)</w:t>
      </w:r>
      <w:r w:rsidR="005A23AE">
        <w:t xml:space="preserve">. </w:t>
      </w:r>
      <w:r w:rsidRPr="00FC6FDF">
        <w:t xml:space="preserve">In the </w:t>
      </w:r>
      <w:r w:rsidR="00EB718F" w:rsidRPr="00FC6FDF">
        <w:t xml:space="preserve">wet AMD </w:t>
      </w:r>
      <w:r w:rsidRPr="00FC6FDF">
        <w:t xml:space="preserve">Phase III studies, the overall frequency of arterial thromboembolic events was similar between </w:t>
      </w:r>
      <w:proofErr w:type="spellStart"/>
      <w:r w:rsidRPr="00FC6FDF">
        <w:t>ranibizumab</w:t>
      </w:r>
      <w:proofErr w:type="spellEnd"/>
      <w:r w:rsidRPr="00FC6FDF">
        <w:t xml:space="preserve"> and control. A numerically higher stroke rate was observed in patients treated with </w:t>
      </w:r>
      <w:proofErr w:type="spellStart"/>
      <w:r w:rsidRPr="00FC6FDF">
        <w:t>ranibizumab</w:t>
      </w:r>
      <w:proofErr w:type="spellEnd"/>
      <w:r w:rsidRPr="00FC6FDF">
        <w:t xml:space="preserve"> 0.5 mg compared to </w:t>
      </w:r>
      <w:proofErr w:type="spellStart"/>
      <w:r w:rsidRPr="00FC6FDF">
        <w:t>ranibizumab</w:t>
      </w:r>
      <w:proofErr w:type="spellEnd"/>
      <w:r w:rsidRPr="00FC6FDF">
        <w:t xml:space="preserve"> 0.3 mg or </w:t>
      </w:r>
      <w:proofErr w:type="gramStart"/>
      <w:r w:rsidRPr="00FC6FDF">
        <w:t>control,</w:t>
      </w:r>
      <w:proofErr w:type="gramEnd"/>
      <w:r w:rsidRPr="00FC6FDF">
        <w:t xml:space="preserve"> however, the differences were not statistically significant. The difference in stroke rates may be greater in patients with known risk factors for stroke, including history of prior stroke or transient ischemic attack. Therefore, these patients should be carefully </w:t>
      </w:r>
      <w:r w:rsidRPr="00FC6FDF">
        <w:lastRenderedPageBreak/>
        <w:t xml:space="preserve">evaluated by their physicians as to whether </w:t>
      </w:r>
      <w:proofErr w:type="spellStart"/>
      <w:r w:rsidRPr="00FC6FDF">
        <w:t>Lucentis</w:t>
      </w:r>
      <w:proofErr w:type="spellEnd"/>
      <w:r w:rsidRPr="00FC6FDF">
        <w:t xml:space="preserve"> treatment is appropriate and the benefit outweighs the potential risk.</w:t>
      </w:r>
    </w:p>
    <w:p w:rsidR="004D3249" w:rsidRPr="00FC6FDF" w:rsidRDefault="004D3249" w:rsidP="00814D30"/>
    <w:p w:rsidR="004D3249" w:rsidRPr="00FC6FDF" w:rsidRDefault="004D3249" w:rsidP="00814D30">
      <w:r w:rsidRPr="00FC6FDF">
        <w:t xml:space="preserve">As with all therapeutic proteins, there is a potential for immunogenicity with </w:t>
      </w:r>
      <w:proofErr w:type="spellStart"/>
      <w:r w:rsidRPr="00FC6FDF">
        <w:t>Lucentis</w:t>
      </w:r>
      <w:proofErr w:type="spellEnd"/>
      <w:r w:rsidRPr="00FC6FDF">
        <w:t>.</w:t>
      </w:r>
    </w:p>
    <w:p w:rsidR="004D3249" w:rsidRPr="00FC6FDF" w:rsidRDefault="004D3249" w:rsidP="00814D30"/>
    <w:p w:rsidR="00EB718F" w:rsidRPr="00FC6FDF" w:rsidRDefault="00F80CC3" w:rsidP="00814D30">
      <w:r w:rsidRPr="00FC6FDF">
        <w:t xml:space="preserve">There is only limited experience in the treatment of subjects with DME due to type I diabetes. </w:t>
      </w:r>
      <w:proofErr w:type="spellStart"/>
      <w:r w:rsidRPr="00FC6FDF">
        <w:t>Lucentis</w:t>
      </w:r>
      <w:proofErr w:type="spellEnd"/>
      <w:r w:rsidRPr="00FC6FDF">
        <w:t xml:space="preserve"> has not been studied in patients who have previously received </w:t>
      </w:r>
      <w:proofErr w:type="spellStart"/>
      <w:r w:rsidRPr="00FC6FDF">
        <w:t>intravitreal</w:t>
      </w:r>
      <w:proofErr w:type="spellEnd"/>
      <w:r w:rsidRPr="00FC6FDF">
        <w:t xml:space="preserve"> injections, in patients with active systemic infections, proliferative diabetic retinopathy, or in patients with concurrent eye conditions such as retinal detachment or macular hole. There is also no experience of treatment with </w:t>
      </w:r>
      <w:proofErr w:type="spellStart"/>
      <w:r w:rsidRPr="00FC6FDF">
        <w:t>Lucentis</w:t>
      </w:r>
      <w:proofErr w:type="spellEnd"/>
      <w:r w:rsidRPr="00FC6FDF">
        <w:t xml:space="preserve"> in diabetic patients with an HbA1c over 12% and uncontrolled hypertension.</w:t>
      </w:r>
    </w:p>
    <w:p w:rsidR="002739A6" w:rsidRPr="00FC6FDF" w:rsidRDefault="002739A6" w:rsidP="002739A6"/>
    <w:p w:rsidR="002739A6" w:rsidRPr="00FC6FDF" w:rsidRDefault="002739A6" w:rsidP="00814D30">
      <w:r w:rsidRPr="00FC6FDF">
        <w:t>There is limited experience with treatment of patients with prior episodes of RVO and of patients with ischemic branch RVO (BRVO) and central RVO (CRVO). In patients with RVO presenting with clinical signs of irreversible ischemic visual function loss, treatment is not recommended.</w:t>
      </w:r>
    </w:p>
    <w:bookmarkEnd w:id="110"/>
    <w:p w:rsidR="004D3249" w:rsidRPr="00FC6FDF" w:rsidRDefault="004D3249" w:rsidP="00B638BB"/>
    <w:p w:rsidR="004D3249" w:rsidRPr="00FC6FDF" w:rsidRDefault="004D3249" w:rsidP="003D0D88">
      <w:pPr>
        <w:pStyle w:val="Heading2"/>
      </w:pPr>
      <w:r w:rsidRPr="00FC6FDF">
        <w:t>Effects on Fertility</w:t>
      </w:r>
    </w:p>
    <w:p w:rsidR="004D3249" w:rsidRPr="00FC6FDF" w:rsidRDefault="004D3249" w:rsidP="00B638BB">
      <w:r w:rsidRPr="00FC6FDF">
        <w:t xml:space="preserve">No study has been conducted to investigate the effects of </w:t>
      </w:r>
      <w:proofErr w:type="spellStart"/>
      <w:r w:rsidRPr="00FC6FDF">
        <w:t>ranibizumab</w:t>
      </w:r>
      <w:proofErr w:type="spellEnd"/>
      <w:r w:rsidRPr="00FC6FDF">
        <w:t xml:space="preserve"> on male or female fertility. In animal studies with </w:t>
      </w:r>
      <w:proofErr w:type="spellStart"/>
      <w:r w:rsidRPr="00FC6FDF">
        <w:t>bevacizumab</w:t>
      </w:r>
      <w:proofErr w:type="spellEnd"/>
      <w:r w:rsidRPr="00FC6FDF">
        <w:t xml:space="preserve">, a closely related recombinant anti-VEGF monoclonal antibody, a reversible inhibition of ovarian function was observed in rabbits and </w:t>
      </w:r>
      <w:proofErr w:type="spellStart"/>
      <w:r w:rsidRPr="00FC6FDF">
        <w:t>cynomolgus</w:t>
      </w:r>
      <w:proofErr w:type="spellEnd"/>
      <w:r w:rsidRPr="00FC6FDF">
        <w:t xml:space="preserve"> monkeys following intravenous treatment. This finding is thought to be associated with inhibitory effects of </w:t>
      </w:r>
      <w:proofErr w:type="spellStart"/>
      <w:r w:rsidRPr="00FC6FDF">
        <w:t>bevacizumab</w:t>
      </w:r>
      <w:proofErr w:type="spellEnd"/>
      <w:r w:rsidRPr="00FC6FDF">
        <w:t xml:space="preserve"> on angiogenesis. The clinical relevance of this finding to </w:t>
      </w:r>
      <w:proofErr w:type="spellStart"/>
      <w:r w:rsidRPr="00FC6FDF">
        <w:t>Lucentis</w:t>
      </w:r>
      <w:proofErr w:type="spellEnd"/>
      <w:r w:rsidRPr="00FC6FDF">
        <w:t xml:space="preserve"> is unclear.</w:t>
      </w:r>
    </w:p>
    <w:p w:rsidR="004D3249" w:rsidRPr="00FC6FDF" w:rsidRDefault="004D3249" w:rsidP="00814D30"/>
    <w:p w:rsidR="004D3249" w:rsidRPr="00FC6FDF" w:rsidRDefault="004D3249">
      <w:pPr>
        <w:pStyle w:val="Heading2"/>
        <w:rPr>
          <w:b w:val="0"/>
          <w:bCs w:val="0"/>
          <w:u w:val="none"/>
        </w:rPr>
      </w:pPr>
      <w:r w:rsidRPr="00FC6FDF">
        <w:t>Use in Pregnancy</w:t>
      </w:r>
      <w:r w:rsidRPr="00FC6FDF">
        <w:rPr>
          <w:u w:val="none"/>
        </w:rPr>
        <w:t xml:space="preserve"> </w:t>
      </w:r>
      <w:r w:rsidRPr="00FC6FDF">
        <w:rPr>
          <w:b w:val="0"/>
          <w:bCs w:val="0"/>
          <w:u w:val="none"/>
        </w:rPr>
        <w:t>(Category D)</w:t>
      </w:r>
    </w:p>
    <w:p w:rsidR="00B642D7" w:rsidRPr="00FC6FDF" w:rsidRDefault="00DB68A2" w:rsidP="00B642D7">
      <w:pPr>
        <w:pStyle w:val="Text"/>
        <w:spacing w:before="0"/>
        <w:jc w:val="left"/>
      </w:pPr>
      <w:r w:rsidRPr="00FC6FDF">
        <w:t xml:space="preserve">For </w:t>
      </w:r>
      <w:proofErr w:type="spellStart"/>
      <w:r w:rsidRPr="00FC6FDF">
        <w:t>ranibizumab</w:t>
      </w:r>
      <w:proofErr w:type="spellEnd"/>
      <w:r w:rsidRPr="00FC6FDF">
        <w:t>, no clinical data on exposed pregnancies are available.</w:t>
      </w:r>
      <w:r w:rsidR="00822D18" w:rsidRPr="00FC6FDF">
        <w:t xml:space="preserve"> The potential risk for humans is unknown. </w:t>
      </w:r>
    </w:p>
    <w:p w:rsidR="00B642D7" w:rsidRPr="00FC6FDF" w:rsidRDefault="00B642D7" w:rsidP="00B642D7">
      <w:pPr>
        <w:pStyle w:val="Text"/>
        <w:spacing w:before="0"/>
        <w:jc w:val="left"/>
      </w:pPr>
    </w:p>
    <w:p w:rsidR="00B642D7" w:rsidRPr="00FC6FDF" w:rsidRDefault="008D1B28" w:rsidP="00B642D7">
      <w:pPr>
        <w:pStyle w:val="Text"/>
        <w:spacing w:before="0"/>
        <w:jc w:val="left"/>
      </w:pPr>
      <w:r w:rsidRPr="00FC6FDF">
        <w:t xml:space="preserve">In pregnant monkeys, </w:t>
      </w:r>
      <w:proofErr w:type="spellStart"/>
      <w:r w:rsidRPr="00FC6FDF">
        <w:t>intravitreal</w:t>
      </w:r>
      <w:proofErr w:type="spellEnd"/>
      <w:r w:rsidRPr="00FC6FDF">
        <w:t xml:space="preserve"> </w:t>
      </w:r>
      <w:proofErr w:type="spellStart"/>
      <w:r w:rsidRPr="00FC6FDF">
        <w:t>ranibizumab</w:t>
      </w:r>
      <w:proofErr w:type="spellEnd"/>
      <w:r w:rsidRPr="00FC6FDF">
        <w:t xml:space="preserve"> treatment did not elicit developmental toxicity or teratogenicity, and had no effect on weight or structure of the placenta</w:t>
      </w:r>
      <w:proofErr w:type="gramStart"/>
      <w:r w:rsidRPr="00FC6FDF">
        <w:t xml:space="preserve">,  </w:t>
      </w:r>
      <w:r w:rsidR="00F80CC3" w:rsidRPr="00FC6FDF">
        <w:t>at</w:t>
      </w:r>
      <w:proofErr w:type="gramEnd"/>
      <w:r w:rsidR="00F80CC3" w:rsidRPr="00FC6FDF">
        <w:t xml:space="preserve"> doses up to 1 mg/eye/fortnight, yielding systemic exposure levels estimated to be up to 58-times those expected clinically. However,</w:t>
      </w:r>
      <w:r w:rsidR="00470D35" w:rsidRPr="00FC6FDF">
        <w:t xml:space="preserve"> </w:t>
      </w:r>
      <w:r w:rsidRPr="00FC6FDF">
        <w:t xml:space="preserve">based on its pharmacological effect </w:t>
      </w:r>
      <w:proofErr w:type="spellStart"/>
      <w:r w:rsidRPr="00FC6FDF">
        <w:t>ranibizumab</w:t>
      </w:r>
      <w:proofErr w:type="spellEnd"/>
      <w:r w:rsidRPr="00FC6FDF">
        <w:t xml:space="preserve"> should be regarded as potentially teratogenic and embryo-</w:t>
      </w:r>
      <w:proofErr w:type="spellStart"/>
      <w:r w:rsidRPr="00FC6FDF">
        <w:t>foetotoxic</w:t>
      </w:r>
      <w:proofErr w:type="spellEnd"/>
      <w:r w:rsidRPr="00FC6FDF">
        <w:t>.</w:t>
      </w:r>
      <w:r w:rsidR="00B642D7" w:rsidRPr="00FC6FDF">
        <w:t xml:space="preserve"> </w:t>
      </w:r>
      <w:r w:rsidR="00F80CC3" w:rsidRPr="00FC6FDF">
        <w:t xml:space="preserve"> For women who wish to become pregnant and have been treated with </w:t>
      </w:r>
      <w:proofErr w:type="spellStart"/>
      <w:r w:rsidR="00F80CC3" w:rsidRPr="00FC6FDF">
        <w:t>ranibizumab</w:t>
      </w:r>
      <w:proofErr w:type="spellEnd"/>
      <w:r w:rsidR="00F80CC3" w:rsidRPr="00FC6FDF">
        <w:t xml:space="preserve">, it is recommended to wait at least 3 months after the last dose of </w:t>
      </w:r>
      <w:proofErr w:type="spellStart"/>
      <w:r w:rsidR="00F80CC3" w:rsidRPr="00FC6FDF">
        <w:t>ranibizumab</w:t>
      </w:r>
      <w:proofErr w:type="spellEnd"/>
      <w:r w:rsidR="00F80CC3" w:rsidRPr="00FC6FDF">
        <w:t xml:space="preserve"> before conceiving a child.</w:t>
      </w:r>
    </w:p>
    <w:p w:rsidR="00B642D7" w:rsidRPr="00FC6FDF" w:rsidRDefault="00B642D7" w:rsidP="00B642D7">
      <w:pPr>
        <w:pStyle w:val="Text"/>
        <w:spacing w:before="0"/>
        <w:jc w:val="left"/>
      </w:pPr>
    </w:p>
    <w:p w:rsidR="00B642D7" w:rsidRPr="00FC6FDF" w:rsidRDefault="008D1B28" w:rsidP="00B642D7">
      <w:pPr>
        <w:pStyle w:val="Text"/>
        <w:spacing w:before="0"/>
        <w:jc w:val="left"/>
      </w:pPr>
      <w:r w:rsidRPr="00FC6FDF">
        <w:t xml:space="preserve">The absence of </w:t>
      </w:r>
      <w:proofErr w:type="spellStart"/>
      <w:r w:rsidRPr="00FC6FDF">
        <w:t>ranibizumab</w:t>
      </w:r>
      <w:proofErr w:type="spellEnd"/>
      <w:r w:rsidRPr="00FC6FDF">
        <w:t xml:space="preserve">-mediated effects on the embryo-foetal development is plausibly related to the </w:t>
      </w:r>
      <w:r w:rsidR="00F80CC3" w:rsidRPr="00FC6FDF">
        <w:t xml:space="preserve">expected </w:t>
      </w:r>
      <w:r w:rsidRPr="00FC6FDF">
        <w:t>inability of the Fab fragment to cross the placenta.</w:t>
      </w:r>
      <w:r w:rsidR="00B642D7" w:rsidRPr="00FC6FDF">
        <w:t xml:space="preserve"> </w:t>
      </w:r>
      <w:r w:rsidRPr="00FC6FDF">
        <w:t xml:space="preserve">Nevertheless, </w:t>
      </w:r>
      <w:proofErr w:type="spellStart"/>
      <w:r w:rsidR="00F80CC3" w:rsidRPr="00FC6FDF">
        <w:t>ranibizumab</w:t>
      </w:r>
      <w:proofErr w:type="spellEnd"/>
      <w:r w:rsidR="00F80CC3" w:rsidRPr="00FC6FDF">
        <w:t xml:space="preserve"> was detected in a f</w:t>
      </w:r>
      <w:r w:rsidR="00D11DAE" w:rsidRPr="00FC6FDF">
        <w:t>o</w:t>
      </w:r>
      <w:r w:rsidR="00F80CC3" w:rsidRPr="00FC6FDF">
        <w:t xml:space="preserve">etus coincident </w:t>
      </w:r>
      <w:r w:rsidRPr="00FC6FDF">
        <w:t xml:space="preserve">with high maternal </w:t>
      </w:r>
      <w:proofErr w:type="spellStart"/>
      <w:r w:rsidRPr="00FC6FDF">
        <w:t>ranibizumab</w:t>
      </w:r>
      <w:proofErr w:type="spellEnd"/>
      <w:r w:rsidRPr="00FC6FDF">
        <w:t xml:space="preserve"> </w:t>
      </w:r>
      <w:r w:rsidR="00F80CC3" w:rsidRPr="00FC6FDF">
        <w:t>and anti-</w:t>
      </w:r>
      <w:proofErr w:type="spellStart"/>
      <w:r w:rsidR="00F80CC3" w:rsidRPr="00FC6FDF">
        <w:t>ranibizumab</w:t>
      </w:r>
      <w:proofErr w:type="spellEnd"/>
      <w:r w:rsidR="00F80CC3" w:rsidRPr="00FC6FDF">
        <w:t xml:space="preserve"> antibody</w:t>
      </w:r>
      <w:r w:rsidR="00F80CC3" w:rsidRPr="00FC6FDF">
        <w:rPr>
          <w:i/>
        </w:rPr>
        <w:t xml:space="preserve"> </w:t>
      </w:r>
      <w:r w:rsidRPr="00FC6FDF">
        <w:t xml:space="preserve">serum </w:t>
      </w:r>
      <w:r w:rsidR="00D11DAE" w:rsidRPr="00FC6FDF">
        <w:t>levels,</w:t>
      </w:r>
      <w:r w:rsidR="00F80CC3" w:rsidRPr="00FC6FDF">
        <w:t xml:space="preserve"> possibly because</w:t>
      </w:r>
      <w:r w:rsidRPr="00FC6FDF">
        <w:t xml:space="preserve"> the anti-</w:t>
      </w:r>
      <w:proofErr w:type="spellStart"/>
      <w:r w:rsidRPr="00FC6FDF">
        <w:lastRenderedPageBreak/>
        <w:t>ranibizumab</w:t>
      </w:r>
      <w:proofErr w:type="spellEnd"/>
      <w:r w:rsidRPr="00FC6FDF">
        <w:t xml:space="preserve"> antibody acted as a (Fc region containing) carrier protein for </w:t>
      </w:r>
      <w:proofErr w:type="spellStart"/>
      <w:r w:rsidRPr="00FC6FDF">
        <w:t>ranibizumab</w:t>
      </w:r>
      <w:proofErr w:type="spellEnd"/>
      <w:r w:rsidRPr="00FC6FDF">
        <w:t>, thereby decreasing its maternal serum clearance and enabling its placental transfer.</w:t>
      </w:r>
    </w:p>
    <w:p w:rsidR="00B642D7" w:rsidRPr="00FC6FDF" w:rsidRDefault="00B642D7" w:rsidP="00B642D7">
      <w:pPr>
        <w:pStyle w:val="Text"/>
        <w:spacing w:before="0"/>
        <w:jc w:val="left"/>
      </w:pPr>
    </w:p>
    <w:p w:rsidR="004D3249" w:rsidRPr="00FC6FDF" w:rsidRDefault="008D1B28" w:rsidP="00B642D7">
      <w:pPr>
        <w:pStyle w:val="Text"/>
        <w:spacing w:before="0"/>
        <w:jc w:val="left"/>
      </w:pPr>
      <w:r w:rsidRPr="00FC6FDF">
        <w:t xml:space="preserve">As the embryo-foetal development investigations were performed in healthy pregnant animals and disease (e.g. diabetes) may modify the permeability of the placenta towards a Fab fragment, </w:t>
      </w:r>
      <w:proofErr w:type="spellStart"/>
      <w:r w:rsidRPr="00FC6FDF">
        <w:t>ranibizumab</w:t>
      </w:r>
      <w:proofErr w:type="spellEnd"/>
      <w:r w:rsidRPr="00FC6FDF">
        <w:t xml:space="preserve"> should be used with caution in women of child bearing potential in general, and during pregnancy in particular.</w:t>
      </w:r>
    </w:p>
    <w:p w:rsidR="004D3249" w:rsidRPr="00FC6FDF" w:rsidRDefault="004D3249" w:rsidP="00814D30"/>
    <w:p w:rsidR="004D3249" w:rsidRPr="00FC6FDF" w:rsidRDefault="004D3249" w:rsidP="001B20D5">
      <w:pPr>
        <w:pStyle w:val="Heading2"/>
      </w:pPr>
      <w:r w:rsidRPr="00FC6FDF">
        <w:t>Women of Childbearing Potential</w:t>
      </w:r>
    </w:p>
    <w:p w:rsidR="004D3249" w:rsidRPr="00FC6FDF" w:rsidRDefault="004D3249" w:rsidP="00814D30">
      <w:r w:rsidRPr="00FC6FDF">
        <w:t>Women of childbearing potential should use effective contraception during treatment</w:t>
      </w:r>
      <w:r w:rsidR="008D1B28" w:rsidRPr="00FC6FDF">
        <w:t xml:space="preserve"> (see </w:t>
      </w:r>
      <w:r w:rsidR="008D1B28" w:rsidRPr="00FC6FDF">
        <w:rPr>
          <w:b/>
          <w:u w:val="single"/>
        </w:rPr>
        <w:t>PRECAUTIONS Use in Pregnancy</w:t>
      </w:r>
      <w:r w:rsidR="008D1B28" w:rsidRPr="00FC6FDF">
        <w:t>)</w:t>
      </w:r>
      <w:r w:rsidRPr="00FC6FDF">
        <w:t>.</w:t>
      </w:r>
    </w:p>
    <w:p w:rsidR="004D3249" w:rsidRPr="00FC6FDF" w:rsidRDefault="004D3249"/>
    <w:p w:rsidR="004D3249" w:rsidRPr="00FC6FDF" w:rsidRDefault="004D3249">
      <w:pPr>
        <w:pStyle w:val="Heading2"/>
      </w:pPr>
      <w:r w:rsidRPr="00FC6FDF">
        <w:t>Use in Lactation</w:t>
      </w:r>
    </w:p>
    <w:p w:rsidR="004D3249" w:rsidRPr="00FC6FDF" w:rsidRDefault="004D3249" w:rsidP="00814D30">
      <w:r w:rsidRPr="00FC6FDF">
        <w:t xml:space="preserve">It is not known whether </w:t>
      </w:r>
      <w:proofErr w:type="spellStart"/>
      <w:r w:rsidRPr="00FC6FDF">
        <w:t>ranibizumab</w:t>
      </w:r>
      <w:proofErr w:type="spellEnd"/>
      <w:r w:rsidRPr="00FC6FDF">
        <w:t xml:space="preserve"> is excreted in human milk. As a precautionary measure, breast-feeding is not recommended during the use of </w:t>
      </w:r>
      <w:proofErr w:type="spellStart"/>
      <w:r w:rsidRPr="00FC6FDF">
        <w:t>Lucentis</w:t>
      </w:r>
      <w:proofErr w:type="spellEnd"/>
      <w:r w:rsidRPr="00FC6FDF">
        <w:t>.</w:t>
      </w:r>
    </w:p>
    <w:p w:rsidR="004D3249" w:rsidRPr="00FC6FDF" w:rsidRDefault="004D3249"/>
    <w:p w:rsidR="004D3249" w:rsidRPr="00FC6FDF" w:rsidRDefault="004D3249">
      <w:pPr>
        <w:pStyle w:val="Heading2"/>
      </w:pPr>
      <w:r w:rsidRPr="00FC6FDF">
        <w:t>Children and Adolescents (below 18 years of age)</w:t>
      </w:r>
      <w:r w:rsidRPr="00FC6FDF" w:rsidDel="00B638BB">
        <w:t xml:space="preserve"> </w:t>
      </w:r>
    </w:p>
    <w:p w:rsidR="004D3249" w:rsidRPr="00FC6FDF" w:rsidRDefault="00DC3F9E" w:rsidP="00814D30">
      <w:r w:rsidRPr="00FC6FDF">
        <w:t xml:space="preserve">Safety and efficacy of </w:t>
      </w:r>
      <w:proofErr w:type="spellStart"/>
      <w:r w:rsidRPr="00FC6FDF">
        <w:t>Lucentis</w:t>
      </w:r>
      <w:proofErr w:type="spellEnd"/>
      <w:r w:rsidRPr="00FC6FDF">
        <w:t xml:space="preserve"> have not been tested in children and adolescents below 18 years of age. </w:t>
      </w:r>
      <w:proofErr w:type="spellStart"/>
      <w:r w:rsidR="004D3249" w:rsidRPr="00FC6FDF">
        <w:t>Lucentis</w:t>
      </w:r>
      <w:proofErr w:type="spellEnd"/>
      <w:r w:rsidR="004D3249" w:rsidRPr="00FC6FDF">
        <w:t xml:space="preserve"> is </w:t>
      </w:r>
      <w:r w:rsidRPr="00FC6FDF">
        <w:t xml:space="preserve">therefore </w:t>
      </w:r>
      <w:r w:rsidR="004D3249" w:rsidRPr="00FC6FDF">
        <w:t xml:space="preserve">not recommended for </w:t>
      </w:r>
      <w:proofErr w:type="gramStart"/>
      <w:r w:rsidR="004D3249" w:rsidRPr="00FC6FDF">
        <w:t>use  in</w:t>
      </w:r>
      <w:proofErr w:type="gramEnd"/>
      <w:r w:rsidR="004D3249" w:rsidRPr="00FC6FDF">
        <w:t xml:space="preserve"> these sub-populations.</w:t>
      </w:r>
    </w:p>
    <w:p w:rsidR="004D3249" w:rsidRPr="00FC6FDF" w:rsidRDefault="004D3249"/>
    <w:p w:rsidR="004D3249" w:rsidRPr="00FC6FDF" w:rsidRDefault="004D3249" w:rsidP="009E1F10">
      <w:pPr>
        <w:pStyle w:val="Heading2"/>
      </w:pPr>
      <w:r w:rsidRPr="00FC6FDF">
        <w:t>Elderly (65 years and above)</w:t>
      </w:r>
    </w:p>
    <w:p w:rsidR="004D3249" w:rsidRPr="00FC6FDF" w:rsidRDefault="004D3249" w:rsidP="00B638BB">
      <w:r w:rsidRPr="00FC6FDF">
        <w:t>No dose adjustment is required in the elderly.</w:t>
      </w:r>
    </w:p>
    <w:p w:rsidR="004D3249" w:rsidRPr="00FC6FDF" w:rsidRDefault="004D3249"/>
    <w:p w:rsidR="004D3249" w:rsidRPr="00FC6FDF" w:rsidRDefault="004D3249" w:rsidP="005A67C7">
      <w:pPr>
        <w:pStyle w:val="Heading2"/>
      </w:pPr>
      <w:r w:rsidRPr="00FC6FDF">
        <w:t>Hepatic Impairment</w:t>
      </w:r>
    </w:p>
    <w:p w:rsidR="004D3249" w:rsidRPr="00FC6FDF" w:rsidRDefault="004D3249">
      <w:proofErr w:type="spellStart"/>
      <w:r w:rsidRPr="00FC6FDF">
        <w:t>Lucentis</w:t>
      </w:r>
      <w:proofErr w:type="spellEnd"/>
      <w:r w:rsidRPr="00FC6FDF">
        <w:t xml:space="preserve"> has not been studied in patients with hepatic impairment. However, as systemic exposure is negligible, no special measures are considered necessary in this population.</w:t>
      </w:r>
    </w:p>
    <w:p w:rsidR="004D3249" w:rsidRPr="00FC6FDF" w:rsidRDefault="004D3249"/>
    <w:p w:rsidR="004D3249" w:rsidRPr="00FC6FDF" w:rsidRDefault="004D3249" w:rsidP="009B5D54">
      <w:pPr>
        <w:pStyle w:val="Heading2"/>
      </w:pPr>
      <w:r w:rsidRPr="00FC6FDF">
        <w:t>Renal Impairment:</w:t>
      </w:r>
    </w:p>
    <w:p w:rsidR="004D3249" w:rsidRPr="00FC6FDF" w:rsidRDefault="004D3249" w:rsidP="009B5D54">
      <w:r w:rsidRPr="00FC6FDF">
        <w:t xml:space="preserve">Dose adjustment is not needed in patients with renal impairment (see </w:t>
      </w:r>
      <w:r w:rsidRPr="00FC6FDF">
        <w:rPr>
          <w:b/>
          <w:bCs/>
          <w:u w:val="single"/>
        </w:rPr>
        <w:t>PHARMACOLOG</w:t>
      </w:r>
      <w:r w:rsidRPr="00FC6FDF">
        <w:rPr>
          <w:b/>
          <w:bCs/>
        </w:rPr>
        <w:t xml:space="preserve">Y </w:t>
      </w:r>
      <w:r w:rsidRPr="00FC6FDF">
        <w:rPr>
          <w:b/>
          <w:bCs/>
          <w:u w:val="single"/>
        </w:rPr>
        <w:t>Pharmacokinetics</w:t>
      </w:r>
      <w:r w:rsidRPr="00FC6FDF">
        <w:t>).</w:t>
      </w:r>
    </w:p>
    <w:p w:rsidR="00DC3F9E" w:rsidRPr="00FC6FDF" w:rsidRDefault="00DC3F9E" w:rsidP="00DC3F9E"/>
    <w:p w:rsidR="00DC3F9E" w:rsidRPr="00FC6FDF" w:rsidRDefault="00DC3F9E" w:rsidP="00DC3F9E">
      <w:pPr>
        <w:rPr>
          <w:b/>
          <w:bCs/>
          <w:u w:val="single"/>
        </w:rPr>
      </w:pPr>
      <w:r w:rsidRPr="00FC6FDF">
        <w:rPr>
          <w:b/>
          <w:bCs/>
          <w:u w:val="single"/>
        </w:rPr>
        <w:t>Carcinogenicity</w:t>
      </w:r>
    </w:p>
    <w:p w:rsidR="00DC3F9E" w:rsidRPr="00FC6FDF" w:rsidRDefault="00DC3F9E" w:rsidP="00DC3F9E">
      <w:r w:rsidRPr="00FC6FDF">
        <w:t xml:space="preserve">No carcinogenicity studies were performed with </w:t>
      </w:r>
      <w:proofErr w:type="spellStart"/>
      <w:r w:rsidRPr="00FC6FDF">
        <w:t>ranibizumab</w:t>
      </w:r>
      <w:proofErr w:type="spellEnd"/>
      <w:r w:rsidRPr="00FC6FDF">
        <w:t>.</w:t>
      </w:r>
    </w:p>
    <w:p w:rsidR="00DC3F9E" w:rsidRPr="00FC6FDF" w:rsidRDefault="00DC3F9E" w:rsidP="00DC3F9E"/>
    <w:p w:rsidR="00DC3F9E" w:rsidRPr="00FC6FDF" w:rsidRDefault="00DC3F9E" w:rsidP="00DC3F9E">
      <w:pPr>
        <w:rPr>
          <w:b/>
          <w:bCs/>
          <w:u w:val="single"/>
        </w:rPr>
      </w:pPr>
      <w:proofErr w:type="spellStart"/>
      <w:r w:rsidRPr="00FC6FDF">
        <w:rPr>
          <w:b/>
          <w:bCs/>
          <w:u w:val="single"/>
        </w:rPr>
        <w:t>Genotoxicity</w:t>
      </w:r>
      <w:proofErr w:type="spellEnd"/>
    </w:p>
    <w:p w:rsidR="00DC3F9E" w:rsidRPr="00FC6FDF" w:rsidRDefault="00DC3F9E" w:rsidP="00DC3F9E">
      <w:r w:rsidRPr="00FC6FDF">
        <w:t xml:space="preserve">No </w:t>
      </w:r>
      <w:proofErr w:type="spellStart"/>
      <w:r w:rsidRPr="00FC6FDF">
        <w:t>genotoxicity</w:t>
      </w:r>
      <w:proofErr w:type="spellEnd"/>
      <w:r w:rsidRPr="00FC6FDF">
        <w:t xml:space="preserve"> studies were performed with </w:t>
      </w:r>
      <w:proofErr w:type="spellStart"/>
      <w:r w:rsidRPr="00FC6FDF">
        <w:t>ranibizumab</w:t>
      </w:r>
      <w:proofErr w:type="spellEnd"/>
      <w:r w:rsidRPr="00FC6FDF">
        <w:t>.</w:t>
      </w:r>
    </w:p>
    <w:p w:rsidR="00DC3F9E" w:rsidRPr="00FC6FDF" w:rsidRDefault="00DC3F9E" w:rsidP="00DC3F9E"/>
    <w:p w:rsidR="004D3249" w:rsidRPr="00FC6FDF" w:rsidRDefault="004D3249">
      <w:pPr>
        <w:pStyle w:val="Heading2"/>
      </w:pPr>
      <w:r w:rsidRPr="00FC6FDF">
        <w:t>Interactions with Other Drugs</w:t>
      </w:r>
    </w:p>
    <w:p w:rsidR="004D3249" w:rsidRPr="00FC6FDF" w:rsidRDefault="004D3249" w:rsidP="00F44B6D">
      <w:r w:rsidRPr="00FC6FDF">
        <w:t xml:space="preserve">No formal interaction studies have been performed (see </w:t>
      </w:r>
      <w:r w:rsidRPr="00FC6FDF">
        <w:rPr>
          <w:b/>
          <w:bCs/>
          <w:u w:val="single"/>
        </w:rPr>
        <w:t>CLINICAL TRIALS</w:t>
      </w:r>
      <w:r w:rsidRPr="00FC6FDF">
        <w:t>).</w:t>
      </w:r>
    </w:p>
    <w:p w:rsidR="00DB68A2" w:rsidRPr="00FC6FDF" w:rsidRDefault="00DB68A2" w:rsidP="00F44B6D"/>
    <w:p w:rsidR="00DB68A2" w:rsidRPr="00FC6FDF" w:rsidRDefault="00DB68A2" w:rsidP="00F44B6D">
      <w:r w:rsidRPr="00FC6FDF">
        <w:t xml:space="preserve">For the adjunctive use of </w:t>
      </w:r>
      <w:proofErr w:type="spellStart"/>
      <w:r w:rsidRPr="00FC6FDF">
        <w:t>verteporfin</w:t>
      </w:r>
      <w:proofErr w:type="spellEnd"/>
      <w:r w:rsidRPr="00FC6FDF">
        <w:t xml:space="preserve"> and </w:t>
      </w:r>
      <w:proofErr w:type="spellStart"/>
      <w:r w:rsidRPr="00FC6FDF">
        <w:t>Lucentis</w:t>
      </w:r>
      <w:proofErr w:type="spellEnd"/>
      <w:r w:rsidRPr="00FC6FDF">
        <w:t xml:space="preserve"> in wet AMD</w:t>
      </w:r>
      <w:r w:rsidR="00CD5E39">
        <w:t xml:space="preserve"> and PM</w:t>
      </w:r>
      <w:r w:rsidRPr="00FC6FDF">
        <w:t xml:space="preserve">, see </w:t>
      </w:r>
      <w:r w:rsidRPr="00FC6FDF">
        <w:rPr>
          <w:b/>
          <w:u w:val="single"/>
        </w:rPr>
        <w:t>CLINICAL TRIALS</w:t>
      </w:r>
      <w:r w:rsidRPr="00FC6FDF">
        <w:t>.</w:t>
      </w:r>
    </w:p>
    <w:p w:rsidR="00DB68A2" w:rsidRPr="00FC6FDF" w:rsidRDefault="00DB68A2" w:rsidP="00F44B6D"/>
    <w:p w:rsidR="00DB68A2" w:rsidRPr="00FC6FDF" w:rsidRDefault="00DB68A2" w:rsidP="00F44B6D">
      <w:r w:rsidRPr="00FC6FDF">
        <w:t xml:space="preserve">For the adjunctive use of laser photocoagulation and </w:t>
      </w:r>
      <w:proofErr w:type="spellStart"/>
      <w:r w:rsidRPr="00FC6FDF">
        <w:t>Lucentis</w:t>
      </w:r>
      <w:proofErr w:type="spellEnd"/>
      <w:r w:rsidRPr="00FC6FDF">
        <w:t xml:space="preserve"> in </w:t>
      </w:r>
      <w:r w:rsidR="009B1531" w:rsidRPr="00FC6FDF">
        <w:t>DME and BRVO,</w:t>
      </w:r>
      <w:r w:rsidRPr="00FC6FDF">
        <w:t xml:space="preserve"> see </w:t>
      </w:r>
      <w:r w:rsidRPr="00FC6FDF">
        <w:rPr>
          <w:b/>
          <w:u w:val="single"/>
        </w:rPr>
        <w:t>CLINICAL TRIALS</w:t>
      </w:r>
      <w:r w:rsidRPr="00FC6FDF">
        <w:t xml:space="preserve"> and </w:t>
      </w:r>
      <w:r w:rsidRPr="00FC6FDF">
        <w:rPr>
          <w:b/>
          <w:u w:val="single"/>
        </w:rPr>
        <w:t>DOSAGE AND ADMINISTRATION</w:t>
      </w:r>
      <w:r w:rsidRPr="00FC6FDF">
        <w:t>.</w:t>
      </w:r>
    </w:p>
    <w:p w:rsidR="004D3249" w:rsidRPr="00FC6FDF" w:rsidRDefault="004D3249" w:rsidP="00F44B6D"/>
    <w:p w:rsidR="004D3249" w:rsidRPr="00FC6FDF" w:rsidRDefault="004D3249">
      <w:pPr>
        <w:pStyle w:val="Heading2"/>
      </w:pPr>
      <w:r w:rsidRPr="00FC6FDF">
        <w:t>Effects on Ability to Drive and Use Machines</w:t>
      </w:r>
    </w:p>
    <w:p w:rsidR="004D3249" w:rsidRPr="00FC6FDF" w:rsidRDefault="004D3249" w:rsidP="00F44B6D">
      <w:r w:rsidRPr="00FC6FDF">
        <w:rPr>
          <w:rFonts w:eastAsia="MS Mincho"/>
          <w:lang w:eastAsia="ja-JP"/>
        </w:rPr>
        <w:t xml:space="preserve">The </w:t>
      </w:r>
      <w:proofErr w:type="spellStart"/>
      <w:r w:rsidRPr="00FC6FDF">
        <w:rPr>
          <w:rFonts w:eastAsia="MS Mincho"/>
          <w:lang w:eastAsia="ja-JP"/>
        </w:rPr>
        <w:t>Lucentis</w:t>
      </w:r>
      <w:proofErr w:type="spellEnd"/>
      <w:r w:rsidRPr="00FC6FDF">
        <w:rPr>
          <w:rFonts w:eastAsia="MS Mincho"/>
          <w:lang w:eastAsia="ja-JP"/>
        </w:rPr>
        <w:t xml:space="preserve"> treatment procedure may induce temporary visual disturbances, which may affect the ability to drive or use machines (see </w:t>
      </w:r>
      <w:r w:rsidRPr="00FC6FDF">
        <w:rPr>
          <w:rFonts w:eastAsia="MS Mincho"/>
          <w:b/>
          <w:bCs/>
          <w:u w:val="single"/>
          <w:lang w:eastAsia="ja-JP"/>
        </w:rPr>
        <w:t xml:space="preserve">ADVERSE </w:t>
      </w:r>
      <w:r w:rsidR="00DC3F9E" w:rsidRPr="00FC6FDF">
        <w:rPr>
          <w:rFonts w:eastAsia="MS Mincho"/>
          <w:b/>
          <w:bCs/>
          <w:u w:val="single"/>
          <w:lang w:eastAsia="ja-JP"/>
        </w:rPr>
        <w:t>EFFECTS</w:t>
      </w:r>
      <w:r w:rsidRPr="00FC6FDF">
        <w:rPr>
          <w:rFonts w:eastAsia="MS Mincho"/>
          <w:lang w:eastAsia="ja-JP"/>
        </w:rPr>
        <w:t>). Patients who experience these signs must not drive or use machines until these temporary visual disturbances subside.</w:t>
      </w:r>
    </w:p>
    <w:p w:rsidR="004D3249" w:rsidRPr="00FC6FDF" w:rsidRDefault="004D3249"/>
    <w:p w:rsidR="004D3249" w:rsidRPr="00FC6FDF" w:rsidRDefault="004D3249">
      <w:pPr>
        <w:pStyle w:val="Heading1"/>
      </w:pPr>
      <w:r w:rsidRPr="00FC6FDF">
        <w:t xml:space="preserve">ADVERSE </w:t>
      </w:r>
      <w:r w:rsidR="00DC3F9E" w:rsidRPr="00FC6FDF">
        <w:t>EFFECTS</w:t>
      </w:r>
    </w:p>
    <w:p w:rsidR="004D3249" w:rsidRPr="00FC6FDF" w:rsidRDefault="004D3249" w:rsidP="00F44B6D"/>
    <w:p w:rsidR="00257182" w:rsidRPr="00FC6FDF" w:rsidRDefault="00257182" w:rsidP="00844EC2">
      <w:pPr>
        <w:rPr>
          <w:b/>
          <w:u w:val="single"/>
        </w:rPr>
      </w:pPr>
      <w:r w:rsidRPr="00FC6FDF">
        <w:rPr>
          <w:b/>
          <w:u w:val="single"/>
        </w:rPr>
        <w:t>Wet AMD Population</w:t>
      </w:r>
    </w:p>
    <w:p w:rsidR="004D3249" w:rsidRPr="00FC6FDF" w:rsidRDefault="004D3249" w:rsidP="00844EC2">
      <w:r w:rsidRPr="00FC6FDF">
        <w:t xml:space="preserve">A total of 1,315 patients constituted the safety population in the three </w:t>
      </w:r>
      <w:proofErr w:type="gramStart"/>
      <w:r w:rsidRPr="00FC6FDF">
        <w:t>phase</w:t>
      </w:r>
      <w:proofErr w:type="gramEnd"/>
      <w:r w:rsidRPr="00FC6FDF">
        <w:t xml:space="preserve"> III studies </w:t>
      </w:r>
      <w:r w:rsidR="00257182" w:rsidRPr="00FC6FDF">
        <w:t xml:space="preserve">in wet AMD </w:t>
      </w:r>
      <w:r w:rsidRPr="00FC6FDF">
        <w:t xml:space="preserve">with 24 months exposure to </w:t>
      </w:r>
      <w:proofErr w:type="spellStart"/>
      <w:r w:rsidRPr="00FC6FDF">
        <w:t>Lucentis</w:t>
      </w:r>
      <w:proofErr w:type="spellEnd"/>
      <w:r w:rsidRPr="00FC6FDF">
        <w:t xml:space="preserve"> and 440 patients were treated with the 0.5mg dose.</w:t>
      </w:r>
    </w:p>
    <w:p w:rsidR="004D3249" w:rsidRPr="00FC6FDF" w:rsidRDefault="004D3249" w:rsidP="00844EC2"/>
    <w:p w:rsidR="004D3249" w:rsidRPr="00FC6FDF" w:rsidRDefault="004D3249" w:rsidP="00AD2F70">
      <w:pPr>
        <w:autoSpaceDE w:val="0"/>
        <w:autoSpaceDN w:val="0"/>
        <w:adjustRightInd w:val="0"/>
        <w:spacing w:line="240" w:lineRule="auto"/>
        <w:rPr>
          <w:i/>
          <w:iCs/>
        </w:rPr>
      </w:pPr>
      <w:r w:rsidRPr="00FC6FDF">
        <w:t xml:space="preserve">Serious adverse events related to the injection procedure included </w:t>
      </w:r>
      <w:proofErr w:type="spellStart"/>
      <w:proofErr w:type="gramStart"/>
      <w:r w:rsidRPr="00FC6FDF">
        <w:t>endophthalmitis</w:t>
      </w:r>
      <w:proofErr w:type="spellEnd"/>
      <w:r w:rsidRPr="00FC6FDF">
        <w:t>,</w:t>
      </w:r>
      <w:proofErr w:type="gramEnd"/>
      <w:r w:rsidRPr="00FC6FDF">
        <w:t xml:space="preserve"> </w:t>
      </w:r>
      <w:proofErr w:type="spellStart"/>
      <w:r w:rsidRPr="00FC6FDF">
        <w:t>rhegmatogenous</w:t>
      </w:r>
      <w:proofErr w:type="spellEnd"/>
      <w:r w:rsidRPr="00FC6FDF">
        <w:t xml:space="preserve"> retinal detachment, retinal tear and iatrogenic traumatic cataract (see </w:t>
      </w:r>
      <w:r w:rsidRPr="00FC6FDF">
        <w:rPr>
          <w:b/>
          <w:bCs/>
          <w:u w:val="single"/>
        </w:rPr>
        <w:t>PRECAUTIONS</w:t>
      </w:r>
      <w:r w:rsidRPr="00FC6FDF">
        <w:t xml:space="preserve">). The cumulative 2-year incidence of </w:t>
      </w:r>
      <w:proofErr w:type="spellStart"/>
      <w:r w:rsidRPr="00FC6FDF">
        <w:t>endophthalmitis</w:t>
      </w:r>
      <w:proofErr w:type="spellEnd"/>
      <w:r w:rsidRPr="00FC6FDF">
        <w:t xml:space="preserve"> (serious and non-serious)</w:t>
      </w:r>
      <w:r w:rsidR="00AD2F70" w:rsidRPr="00FC6FDF">
        <w:t xml:space="preserve"> </w:t>
      </w:r>
      <w:r w:rsidRPr="00FC6FDF">
        <w:rPr>
          <w:iCs/>
          <w:lang w:val="en-US"/>
        </w:rPr>
        <w:t>in the pooled pivotal trials (i</w:t>
      </w:r>
      <w:r w:rsidR="00AD2F70" w:rsidRPr="00FC6FDF">
        <w:rPr>
          <w:iCs/>
          <w:lang w:val="en-US"/>
        </w:rPr>
        <w:t>.</w:t>
      </w:r>
      <w:r w:rsidRPr="00FC6FDF">
        <w:rPr>
          <w:iCs/>
          <w:lang w:val="en-US"/>
        </w:rPr>
        <w:t>e</w:t>
      </w:r>
      <w:r w:rsidR="00AD2F70" w:rsidRPr="00FC6FDF">
        <w:rPr>
          <w:iCs/>
          <w:lang w:val="en-US"/>
        </w:rPr>
        <w:t>.</w:t>
      </w:r>
      <w:r w:rsidRPr="00FC6FDF">
        <w:rPr>
          <w:iCs/>
          <w:lang w:val="en-US"/>
        </w:rPr>
        <w:t xml:space="preserve"> studies </w:t>
      </w:r>
      <w:proofErr w:type="gramStart"/>
      <w:r w:rsidRPr="00FC6FDF">
        <w:rPr>
          <w:iCs/>
          <w:lang w:val="en-US"/>
        </w:rPr>
        <w:t>FVF2598g(</w:t>
      </w:r>
      <w:proofErr w:type="gramEnd"/>
      <w:r w:rsidRPr="00FC6FDF">
        <w:rPr>
          <w:iCs/>
          <w:lang w:val="en-US"/>
        </w:rPr>
        <w:t>MARINA), FVF2587g (ANCHOR), and FVF3192g (PIER))</w:t>
      </w:r>
      <w:r w:rsidR="00AD2F70" w:rsidRPr="00FC6FDF">
        <w:rPr>
          <w:iCs/>
          <w:lang w:val="en-US"/>
        </w:rPr>
        <w:t xml:space="preserve"> </w:t>
      </w:r>
      <w:r w:rsidRPr="00FC6FDF">
        <w:rPr>
          <w:iCs/>
        </w:rPr>
        <w:t>was about 1%.</w:t>
      </w:r>
    </w:p>
    <w:p w:rsidR="004D3249" w:rsidRPr="00FC6FDF" w:rsidRDefault="004D3249" w:rsidP="00F44B6D"/>
    <w:p w:rsidR="004D3249" w:rsidRPr="00FC6FDF" w:rsidRDefault="004D3249" w:rsidP="000619F3">
      <w:r w:rsidRPr="00FC6FDF">
        <w:t xml:space="preserve">Other serious ocular events observed among </w:t>
      </w:r>
      <w:proofErr w:type="spellStart"/>
      <w:r w:rsidRPr="00FC6FDF">
        <w:t>Lucentis</w:t>
      </w:r>
      <w:proofErr w:type="spellEnd"/>
      <w:r w:rsidRPr="00FC6FDF">
        <w:t xml:space="preserve">-treated patients included intraocular inflammation and increased intraocular pressure (see </w:t>
      </w:r>
      <w:r w:rsidRPr="00FC6FDF">
        <w:rPr>
          <w:b/>
          <w:bCs/>
          <w:u w:val="single"/>
        </w:rPr>
        <w:t>PRECAUTIONS</w:t>
      </w:r>
      <w:r w:rsidRPr="00FC6FDF">
        <w:t>).</w:t>
      </w:r>
    </w:p>
    <w:p w:rsidR="004D3249" w:rsidRPr="00FC6FDF" w:rsidRDefault="004D3249" w:rsidP="00F44B6D"/>
    <w:p w:rsidR="004D3249" w:rsidRPr="00FC6FDF" w:rsidRDefault="004D3249" w:rsidP="00F44B6D">
      <w:r w:rsidRPr="00FC6FDF">
        <w:t xml:space="preserve">The adverse events listed below occurred at a higher rate (at least 2 percentage points) in patients receiving treatment with </w:t>
      </w:r>
      <w:proofErr w:type="spellStart"/>
      <w:r w:rsidRPr="00FC6FDF">
        <w:t>Lucentis</w:t>
      </w:r>
      <w:proofErr w:type="spellEnd"/>
      <w:r w:rsidRPr="00FC6FDF">
        <w:t xml:space="preserve"> 0.5 mg than in those receiving control treatment (sham </w:t>
      </w:r>
      <w:r w:rsidR="00257182" w:rsidRPr="00FC6FDF">
        <w:t xml:space="preserve">injection (see definition under </w:t>
      </w:r>
      <w:r w:rsidR="00257182" w:rsidRPr="00FC6FDF">
        <w:rPr>
          <w:b/>
          <w:u w:val="single"/>
        </w:rPr>
        <w:t>CLINICAL TRIALS</w:t>
      </w:r>
      <w:r w:rsidR="00257182" w:rsidRPr="00FC6FDF">
        <w:t xml:space="preserve">) </w:t>
      </w:r>
      <w:r w:rsidRPr="00FC6FDF">
        <w:t xml:space="preserve">or </w:t>
      </w:r>
      <w:proofErr w:type="spellStart"/>
      <w:r w:rsidRPr="00FC6FDF">
        <w:t>verteporfin</w:t>
      </w:r>
      <w:proofErr w:type="spellEnd"/>
      <w:r w:rsidRPr="00FC6FDF">
        <w:t xml:space="preserve"> photodynamic therapy (PDT)) in the pooled data of the three controlled </w:t>
      </w:r>
      <w:r w:rsidR="00257182" w:rsidRPr="00FC6FDF">
        <w:t xml:space="preserve">wet AMD </w:t>
      </w:r>
      <w:r w:rsidRPr="00FC6FDF">
        <w:t>phase III studies FVF2598g (MARINA), FVF2587g (ANCHOR) and FVF3192g (PIER). They were therefore considered potential adverse drug reactions. The safety data described below also include all adverse events suspected to be at least potentially related to the injection procedure or medicinal product in the 440 patients of the combined 0.5 mg treatment groups</w:t>
      </w:r>
      <w:r w:rsidR="00257182" w:rsidRPr="00FC6FDF">
        <w:t xml:space="preserve"> in wet AMD</w:t>
      </w:r>
      <w:r w:rsidRPr="00FC6FDF">
        <w:t>. The adverse event rates for the 0.3 mg dose were comparable to those for 0.5 mg.</w:t>
      </w:r>
    </w:p>
    <w:p w:rsidR="00BF1030" w:rsidRPr="00FC6FDF" w:rsidRDefault="00BF1030" w:rsidP="00F44B6D"/>
    <w:p w:rsidR="000E1D6A" w:rsidRPr="00FC6FDF" w:rsidRDefault="009B1531" w:rsidP="0091473E">
      <w:pPr>
        <w:rPr>
          <w:u w:val="single"/>
        </w:rPr>
      </w:pPr>
      <w:r w:rsidRPr="00FC6FDF">
        <w:rPr>
          <w:b/>
          <w:u w:val="single"/>
        </w:rPr>
        <w:t>DME population</w:t>
      </w:r>
    </w:p>
    <w:p w:rsidR="00212FD3" w:rsidRPr="00FC6FDF" w:rsidRDefault="009B1531" w:rsidP="0091473E">
      <w:pPr>
        <w:tabs>
          <w:tab w:val="left" w:pos="540"/>
        </w:tabs>
        <w:autoSpaceDE w:val="0"/>
        <w:autoSpaceDN w:val="0"/>
        <w:adjustRightInd w:val="0"/>
        <w:rPr>
          <w:iCs/>
        </w:rPr>
      </w:pPr>
      <w:r w:rsidRPr="00FC6FDF">
        <w:rPr>
          <w:iCs/>
        </w:rPr>
        <w:t xml:space="preserve">The safety of </w:t>
      </w:r>
      <w:proofErr w:type="spellStart"/>
      <w:r w:rsidRPr="00FC6FDF">
        <w:rPr>
          <w:iCs/>
        </w:rPr>
        <w:t>Lucentis</w:t>
      </w:r>
      <w:proofErr w:type="spellEnd"/>
      <w:r w:rsidRPr="00FC6FDF">
        <w:rPr>
          <w:iCs/>
        </w:rPr>
        <w:t xml:space="preserve"> was studied in a one-year sham-controlled trial (RESOLVE) and in a one-year laser-controlled trial (RESTORE) conducted respectively in 102 and 235 </w:t>
      </w:r>
      <w:proofErr w:type="spellStart"/>
      <w:r w:rsidRPr="00FC6FDF">
        <w:rPr>
          <w:iCs/>
        </w:rPr>
        <w:t>ranibizumab</w:t>
      </w:r>
      <w:proofErr w:type="spellEnd"/>
      <w:r w:rsidRPr="00FC6FDF">
        <w:rPr>
          <w:iCs/>
        </w:rPr>
        <w:t xml:space="preserve">-treated patients with visual impairment due to DME (see </w:t>
      </w:r>
      <w:r w:rsidRPr="00FC6FDF">
        <w:rPr>
          <w:b/>
          <w:u w:val="single"/>
        </w:rPr>
        <w:t>CLINICAL TRIALS</w:t>
      </w:r>
      <w:r w:rsidRPr="00FC6FDF">
        <w:rPr>
          <w:iCs/>
        </w:rPr>
        <w:t xml:space="preserve">). </w:t>
      </w:r>
    </w:p>
    <w:p w:rsidR="00212FD3" w:rsidRPr="00FC6FDF" w:rsidRDefault="00212FD3" w:rsidP="0091473E">
      <w:pPr>
        <w:tabs>
          <w:tab w:val="left" w:pos="540"/>
        </w:tabs>
        <w:autoSpaceDE w:val="0"/>
        <w:autoSpaceDN w:val="0"/>
        <w:adjustRightInd w:val="0"/>
        <w:rPr>
          <w:iCs/>
        </w:rPr>
      </w:pPr>
    </w:p>
    <w:p w:rsidR="00BF1030" w:rsidRPr="00FC6FDF" w:rsidRDefault="009B1531" w:rsidP="0091473E">
      <w:pPr>
        <w:tabs>
          <w:tab w:val="left" w:pos="540"/>
        </w:tabs>
        <w:autoSpaceDE w:val="0"/>
        <w:autoSpaceDN w:val="0"/>
        <w:adjustRightInd w:val="0"/>
      </w:pPr>
      <w:r w:rsidRPr="00FC6FDF">
        <w:rPr>
          <w:iCs/>
        </w:rPr>
        <w:lastRenderedPageBreak/>
        <w:t xml:space="preserve">The event of urinary tract infection, in the common frequency category, met the criteria for the table </w:t>
      </w:r>
      <w:r w:rsidR="00470D35" w:rsidRPr="00FC6FDF">
        <w:rPr>
          <w:iCs/>
        </w:rPr>
        <w:t>above</w:t>
      </w:r>
      <w:r w:rsidRPr="00FC6FDF">
        <w:rPr>
          <w:iCs/>
        </w:rPr>
        <w:t>; otherwise ocular and non-ocular events in the RESOLVE and RESTORE trials were reported with a frequency and severity similar to those seen in the wet AMD trials</w:t>
      </w:r>
      <w:r w:rsidRPr="00FC6FDF">
        <w:t>.</w:t>
      </w:r>
    </w:p>
    <w:p w:rsidR="004E1B97" w:rsidRPr="00FC6FDF" w:rsidRDefault="004E1B97" w:rsidP="004E1B97">
      <w:pPr>
        <w:tabs>
          <w:tab w:val="left" w:pos="540"/>
        </w:tabs>
        <w:autoSpaceDE w:val="0"/>
        <w:autoSpaceDN w:val="0"/>
        <w:adjustRightInd w:val="0"/>
        <w:rPr>
          <w:szCs w:val="22"/>
          <w:u w:val="single"/>
        </w:rPr>
      </w:pPr>
    </w:p>
    <w:p w:rsidR="004E1B97" w:rsidRPr="00FC6FDF" w:rsidRDefault="004E1B97" w:rsidP="004E1B97">
      <w:pPr>
        <w:tabs>
          <w:tab w:val="left" w:pos="540"/>
        </w:tabs>
        <w:autoSpaceDE w:val="0"/>
        <w:autoSpaceDN w:val="0"/>
        <w:adjustRightInd w:val="0"/>
        <w:rPr>
          <w:szCs w:val="22"/>
          <w:u w:val="single"/>
        </w:rPr>
      </w:pPr>
      <w:r w:rsidRPr="00FC6FDF">
        <w:rPr>
          <w:szCs w:val="22"/>
          <w:u w:val="single"/>
        </w:rPr>
        <w:t>Post-Registration Study in DME population</w:t>
      </w:r>
    </w:p>
    <w:p w:rsidR="004E1B97" w:rsidRPr="00FC6FDF" w:rsidRDefault="004E1B97" w:rsidP="004E1B97">
      <w:pPr>
        <w:tabs>
          <w:tab w:val="left" w:pos="540"/>
        </w:tabs>
        <w:autoSpaceDE w:val="0"/>
        <w:autoSpaceDN w:val="0"/>
        <w:adjustRightInd w:val="0"/>
        <w:rPr>
          <w:szCs w:val="22"/>
        </w:rPr>
      </w:pPr>
      <w:r w:rsidRPr="00FC6FDF">
        <w:rPr>
          <w:szCs w:val="22"/>
        </w:rPr>
        <w:t xml:space="preserve">An analysis of 24-month data from two Phase III studies in DME, RIDE and RISE, is available. Both studies are randomised, sham-controlled studies of monthly </w:t>
      </w:r>
      <w:proofErr w:type="spellStart"/>
      <w:r w:rsidRPr="00FC6FDF">
        <w:rPr>
          <w:szCs w:val="22"/>
        </w:rPr>
        <w:t>intravitreal</w:t>
      </w:r>
      <w:proofErr w:type="spellEnd"/>
      <w:r w:rsidRPr="00FC6FDF">
        <w:rPr>
          <w:szCs w:val="22"/>
        </w:rPr>
        <w:t xml:space="preserve"> </w:t>
      </w:r>
      <w:proofErr w:type="spellStart"/>
      <w:r w:rsidRPr="00FC6FDF">
        <w:rPr>
          <w:szCs w:val="22"/>
        </w:rPr>
        <w:t>ranibizumab</w:t>
      </w:r>
      <w:proofErr w:type="spellEnd"/>
      <w:r w:rsidRPr="00FC6FDF">
        <w:rPr>
          <w:szCs w:val="22"/>
        </w:rPr>
        <w:t xml:space="preserve"> injections (0.5 mg or 0.3 mg) for a total of 36 months in patients with clinically significant macular oedema with centre involvement secondary to diabetes mellitus (type 1 or type 2). The patients are treated using a fixed dosing regimen which requires monthly injections as opposed to the approved individualised dosing regimen (see </w:t>
      </w:r>
      <w:r w:rsidRPr="00FC6FDF">
        <w:rPr>
          <w:b/>
          <w:bCs/>
          <w:szCs w:val="22"/>
          <w:u w:val="single"/>
        </w:rPr>
        <w:t>DOSAGE AND ADMINISTRATION</w:t>
      </w:r>
      <w:r w:rsidRPr="00FC6FDF">
        <w:rPr>
          <w:szCs w:val="22"/>
        </w:rPr>
        <w:t>). A total of 500 patients were exposed</w:t>
      </w:r>
      <w:r w:rsidRPr="00FC6FDF">
        <w:rPr>
          <w:szCs w:val="22"/>
          <w:lang w:val="en-US"/>
        </w:rPr>
        <w:t xml:space="preserve"> to </w:t>
      </w:r>
      <w:proofErr w:type="spellStart"/>
      <w:r w:rsidRPr="00FC6FDF">
        <w:rPr>
          <w:szCs w:val="22"/>
          <w:lang w:val="en-US"/>
        </w:rPr>
        <w:t>ranibizumab</w:t>
      </w:r>
      <w:proofErr w:type="spellEnd"/>
      <w:r w:rsidRPr="00FC6FDF">
        <w:rPr>
          <w:szCs w:val="22"/>
          <w:lang w:val="en-US"/>
        </w:rPr>
        <w:t xml:space="preserve"> treatment in the pooled studies (250 patients in each</w:t>
      </w:r>
      <w:r w:rsidRPr="00FC6FDF">
        <w:rPr>
          <w:szCs w:val="22"/>
        </w:rPr>
        <w:t xml:space="preserve"> pooled </w:t>
      </w:r>
      <w:proofErr w:type="spellStart"/>
      <w:r w:rsidRPr="00FC6FDF">
        <w:rPr>
          <w:szCs w:val="22"/>
        </w:rPr>
        <w:t>ranibizumab</w:t>
      </w:r>
      <w:proofErr w:type="spellEnd"/>
      <w:r w:rsidRPr="00FC6FDF">
        <w:rPr>
          <w:szCs w:val="22"/>
        </w:rPr>
        <w:t xml:space="preserve"> 0.3mg and 0.5mg arm as well as the sham arm.</w:t>
      </w:r>
    </w:p>
    <w:p w:rsidR="004E1B97" w:rsidRPr="00FC6FDF" w:rsidRDefault="004E1B97" w:rsidP="004E1B97">
      <w:pPr>
        <w:tabs>
          <w:tab w:val="left" w:pos="540"/>
        </w:tabs>
        <w:autoSpaceDE w:val="0"/>
        <w:autoSpaceDN w:val="0"/>
        <w:adjustRightInd w:val="0"/>
        <w:rPr>
          <w:szCs w:val="22"/>
        </w:rPr>
      </w:pPr>
    </w:p>
    <w:p w:rsidR="004E1B97" w:rsidRPr="00FC6FDF" w:rsidRDefault="004E1B97" w:rsidP="004E1B97">
      <w:pPr>
        <w:tabs>
          <w:tab w:val="left" w:pos="540"/>
        </w:tabs>
        <w:autoSpaceDE w:val="0"/>
        <w:autoSpaceDN w:val="0"/>
        <w:adjustRightInd w:val="0"/>
        <w:rPr>
          <w:szCs w:val="22"/>
        </w:rPr>
      </w:pPr>
      <w:r w:rsidRPr="00FC6FDF">
        <w:rPr>
          <w:szCs w:val="22"/>
        </w:rPr>
        <w:t xml:space="preserve">The pooled safety analysis showed a numerically higher, but not </w:t>
      </w:r>
      <w:r w:rsidRPr="00FC6FDF">
        <w:rPr>
          <w:szCs w:val="22"/>
          <w:lang w:val="en-US"/>
        </w:rPr>
        <w:t xml:space="preserve">statistically significant, number of deaths and cerebrovascular events in the 0.5mg group as compared to the 0.3mg or sham groups. The stroke rate at 2 years was 3.2% (8/250) with 0.5mg </w:t>
      </w:r>
      <w:proofErr w:type="spellStart"/>
      <w:r w:rsidRPr="00FC6FDF">
        <w:rPr>
          <w:szCs w:val="22"/>
          <w:lang w:val="en-US"/>
        </w:rPr>
        <w:t>ranibizumab</w:t>
      </w:r>
      <w:proofErr w:type="spellEnd"/>
      <w:r w:rsidRPr="00FC6FDF">
        <w:rPr>
          <w:szCs w:val="22"/>
          <w:lang w:val="en-US"/>
        </w:rPr>
        <w:t xml:space="preserve">, 1.2% (3/250) with 0.3mg </w:t>
      </w:r>
      <w:proofErr w:type="spellStart"/>
      <w:r w:rsidRPr="00FC6FDF">
        <w:rPr>
          <w:szCs w:val="22"/>
          <w:lang w:val="en-US"/>
        </w:rPr>
        <w:t>ranibizumab</w:t>
      </w:r>
      <w:proofErr w:type="spellEnd"/>
      <w:r w:rsidRPr="00FC6FDF">
        <w:rPr>
          <w:szCs w:val="22"/>
          <w:lang w:val="en-US"/>
        </w:rPr>
        <w:t xml:space="preserve">, and 1.6% (4/250) with sham. Fatalities in the first 2 years occurred in 4.4% (11/250) of patients treated with 0.5mg </w:t>
      </w:r>
      <w:proofErr w:type="spellStart"/>
      <w:r w:rsidRPr="00FC6FDF">
        <w:rPr>
          <w:szCs w:val="22"/>
          <w:lang w:val="en-US"/>
        </w:rPr>
        <w:t>ranibizumab</w:t>
      </w:r>
      <w:proofErr w:type="spellEnd"/>
      <w:r w:rsidRPr="00FC6FDF">
        <w:rPr>
          <w:szCs w:val="22"/>
          <w:lang w:val="en-US"/>
        </w:rPr>
        <w:t xml:space="preserve">, in 2.8% (7/250) treated with 0.3mg </w:t>
      </w:r>
      <w:proofErr w:type="spellStart"/>
      <w:r w:rsidRPr="00FC6FDF">
        <w:rPr>
          <w:szCs w:val="22"/>
          <w:lang w:val="en-US"/>
        </w:rPr>
        <w:t>ranibizumab</w:t>
      </w:r>
      <w:proofErr w:type="spellEnd"/>
      <w:r w:rsidRPr="00FC6FDF">
        <w:rPr>
          <w:szCs w:val="22"/>
          <w:lang w:val="en-US"/>
        </w:rPr>
        <w:t>, and in 1.2% (3/250) of control patients.</w:t>
      </w:r>
    </w:p>
    <w:p w:rsidR="00BF1030" w:rsidRPr="00FC6FDF" w:rsidRDefault="00BF1030" w:rsidP="0091473E">
      <w:pPr>
        <w:tabs>
          <w:tab w:val="left" w:pos="540"/>
        </w:tabs>
        <w:autoSpaceDE w:val="0"/>
        <w:autoSpaceDN w:val="0"/>
        <w:adjustRightInd w:val="0"/>
        <w:rPr>
          <w:szCs w:val="22"/>
        </w:rPr>
      </w:pPr>
    </w:p>
    <w:p w:rsidR="000E1D6A" w:rsidRPr="00FC6FDF" w:rsidRDefault="009B1531" w:rsidP="0091473E">
      <w:pPr>
        <w:rPr>
          <w:u w:val="single"/>
        </w:rPr>
      </w:pPr>
      <w:r w:rsidRPr="00FC6FDF">
        <w:rPr>
          <w:b/>
          <w:u w:val="single"/>
        </w:rPr>
        <w:t>RVO population</w:t>
      </w:r>
    </w:p>
    <w:p w:rsidR="000E1D6A" w:rsidRPr="00FC6FDF" w:rsidRDefault="009B1531" w:rsidP="0091473E">
      <w:pPr>
        <w:pStyle w:val="Text"/>
        <w:spacing w:before="0"/>
        <w:jc w:val="left"/>
      </w:pPr>
      <w:r w:rsidRPr="00FC6FDF">
        <w:t xml:space="preserve">The safety of </w:t>
      </w:r>
      <w:proofErr w:type="spellStart"/>
      <w:r w:rsidRPr="00FC6FDF">
        <w:t>Lucentis</w:t>
      </w:r>
      <w:proofErr w:type="spellEnd"/>
      <w:r w:rsidRPr="00FC6FDF">
        <w:t xml:space="preserve"> was studied in two 12-month trials (BRAVO and CRUISE) conducted respectively in 264 and 261 </w:t>
      </w:r>
      <w:proofErr w:type="spellStart"/>
      <w:r w:rsidRPr="00FC6FDF">
        <w:t>ranibizumab</w:t>
      </w:r>
      <w:proofErr w:type="spellEnd"/>
      <w:r w:rsidRPr="00FC6FDF">
        <w:t>-treated patients with visual impairment due to macular oedema secondary to Branch RVO (BRVO) and Central RVO (CRVO), respectively (</w:t>
      </w:r>
      <w:r w:rsidRPr="00FC6FDF">
        <w:rPr>
          <w:iCs/>
        </w:rPr>
        <w:t xml:space="preserve">see </w:t>
      </w:r>
      <w:r w:rsidRPr="00FC6FDF">
        <w:rPr>
          <w:b/>
          <w:u w:val="single"/>
        </w:rPr>
        <w:t>CLINICAL TRIALS</w:t>
      </w:r>
      <w:r w:rsidRPr="00FC6FDF">
        <w:t>). Ocular and non-ocular events in the BRAVO and CRUISE trials were reported with a frequency and severity similar to those seen in the wet-AMD trials.</w:t>
      </w:r>
    </w:p>
    <w:p w:rsidR="004D3249" w:rsidRDefault="004D3249" w:rsidP="00F44B6D"/>
    <w:p w:rsidR="00755223" w:rsidRPr="00B46DAD" w:rsidRDefault="0037312C" w:rsidP="00B46DAD">
      <w:pPr>
        <w:rPr>
          <w:b/>
          <w:u w:val="single"/>
        </w:rPr>
      </w:pPr>
      <w:r w:rsidRPr="00DD0F43">
        <w:rPr>
          <w:b/>
          <w:u w:val="single"/>
        </w:rPr>
        <w:t>Pathologic Myopia (</w:t>
      </w:r>
      <w:r w:rsidR="00755223" w:rsidRPr="00DD0F43">
        <w:rPr>
          <w:b/>
          <w:u w:val="single"/>
        </w:rPr>
        <w:t>PM</w:t>
      </w:r>
      <w:r w:rsidRPr="00DD0F43">
        <w:rPr>
          <w:b/>
          <w:u w:val="single"/>
        </w:rPr>
        <w:t>)</w:t>
      </w:r>
      <w:r w:rsidR="00755223" w:rsidRPr="00DD0F43">
        <w:rPr>
          <w:b/>
          <w:u w:val="single"/>
        </w:rPr>
        <w:t xml:space="preserve"> population</w:t>
      </w:r>
    </w:p>
    <w:p w:rsidR="00755223" w:rsidRDefault="00755223" w:rsidP="00E34BCF">
      <w:pPr>
        <w:jc w:val="both"/>
      </w:pPr>
      <w:r w:rsidRPr="009728E6">
        <w:t xml:space="preserve">The safety of </w:t>
      </w:r>
      <w:proofErr w:type="spellStart"/>
      <w:r w:rsidRPr="009728E6">
        <w:t>Lucentis</w:t>
      </w:r>
      <w:proofErr w:type="spellEnd"/>
      <w:r w:rsidRPr="009728E6">
        <w:t xml:space="preserve"> </w:t>
      </w:r>
      <w:r w:rsidRPr="00774639">
        <w:t>was studied in</w:t>
      </w:r>
      <w:r w:rsidRPr="009728E6">
        <w:t xml:space="preserve"> the 12-month clinical study (</w:t>
      </w:r>
      <w:r w:rsidR="006C1276">
        <w:t>RADIANCE</w:t>
      </w:r>
      <w:r w:rsidRPr="009728E6">
        <w:t xml:space="preserve">), which included </w:t>
      </w:r>
      <w:r w:rsidRPr="002220CD">
        <w:t>224</w:t>
      </w:r>
      <w:r w:rsidRPr="009728E6">
        <w:t xml:space="preserve"> </w:t>
      </w:r>
      <w:proofErr w:type="spellStart"/>
      <w:r w:rsidRPr="009728E6">
        <w:t>ranibizumab</w:t>
      </w:r>
      <w:proofErr w:type="spellEnd"/>
      <w:r w:rsidRPr="009728E6">
        <w:t>-treated patients with PM (</w:t>
      </w:r>
      <w:r w:rsidR="000C774D" w:rsidRPr="00FC6FDF">
        <w:t xml:space="preserve">see </w:t>
      </w:r>
      <w:r w:rsidR="000C774D" w:rsidRPr="00FC6FDF">
        <w:rPr>
          <w:b/>
          <w:bCs/>
          <w:u w:val="single"/>
        </w:rPr>
        <w:t>CLINICAL TRIALS</w:t>
      </w:r>
      <w:r w:rsidRPr="009728E6">
        <w:t>). Ocular and non-ocular events in this trial were reported with a frequency and severity similar to those seen in the wet-AMD trials</w:t>
      </w:r>
      <w:r w:rsidR="00EC48B0">
        <w:t>.</w:t>
      </w:r>
    </w:p>
    <w:p w:rsidR="0037312C" w:rsidRDefault="0037312C" w:rsidP="00E34BCF">
      <w:pPr>
        <w:jc w:val="both"/>
      </w:pPr>
    </w:p>
    <w:p w:rsidR="0037312C" w:rsidRDefault="00513CC9" w:rsidP="00E34BCF">
      <w:pPr>
        <w:jc w:val="both"/>
      </w:pPr>
      <w:r w:rsidRPr="00513CC9">
        <w:t xml:space="preserve">Patients with PM have an increased risk for retinal detachment and retinal tear. </w:t>
      </w:r>
      <w:r w:rsidR="0037312C" w:rsidRPr="00513CC9">
        <w:t xml:space="preserve">No case of ‘retinal detachment’ was reported in </w:t>
      </w:r>
      <w:r w:rsidRPr="00513CC9">
        <w:t xml:space="preserve">the </w:t>
      </w:r>
      <w:r w:rsidR="0037312C" w:rsidRPr="00513CC9">
        <w:t xml:space="preserve">pivotal </w:t>
      </w:r>
      <w:r w:rsidRPr="00513CC9">
        <w:t>clinical trial (RADIANCE) in PM and</w:t>
      </w:r>
      <w:r w:rsidR="0037312C" w:rsidRPr="00513CC9">
        <w:t xml:space="preserve"> </w:t>
      </w:r>
      <w:r w:rsidRPr="00513CC9">
        <w:t>t</w:t>
      </w:r>
      <w:r w:rsidR="0037312C" w:rsidRPr="00513CC9">
        <w:t xml:space="preserve">hree events coded as ‘retinal tear’ were reported. This incidence (1.3%) is higher than that seen in other approved indications for </w:t>
      </w:r>
      <w:proofErr w:type="spellStart"/>
      <w:r w:rsidR="0037312C" w:rsidRPr="00513CC9">
        <w:t>ranibizumab</w:t>
      </w:r>
      <w:proofErr w:type="spellEnd"/>
      <w:r w:rsidR="0037312C" w:rsidRPr="00513CC9">
        <w:t xml:space="preserve"> (0 to 1.1% in wet AM</w:t>
      </w:r>
      <w:r w:rsidRPr="00513CC9">
        <w:t xml:space="preserve">D, 0 to 0.8% in </w:t>
      </w:r>
      <w:r w:rsidRPr="00513CC9">
        <w:lastRenderedPageBreak/>
        <w:t>DME and in RVO) and consistent with the reporting rate for retinal tear described in Table 10</w:t>
      </w:r>
      <w:r w:rsidR="00436788">
        <w:t>.</w:t>
      </w:r>
    </w:p>
    <w:p w:rsidR="00755223" w:rsidRPr="00FC6FDF" w:rsidRDefault="00755223" w:rsidP="00F44B6D"/>
    <w:p w:rsidR="00470D35" w:rsidRPr="00FC6FDF" w:rsidRDefault="00470D35" w:rsidP="000E0970">
      <w:pPr>
        <w:rPr>
          <w:b/>
          <w:u w:val="single"/>
        </w:rPr>
      </w:pPr>
      <w:r w:rsidRPr="00FC6FDF">
        <w:rPr>
          <w:b/>
          <w:u w:val="single"/>
        </w:rPr>
        <w:t>Tabulated summary of adverse effects from clinical trials</w:t>
      </w:r>
    </w:p>
    <w:p w:rsidR="004D3249" w:rsidRPr="00FC6FDF" w:rsidRDefault="004D3249" w:rsidP="000E0970">
      <w:r w:rsidRPr="00FC6FDF">
        <w:t xml:space="preserve">The adverse </w:t>
      </w:r>
      <w:r w:rsidR="00212FD3" w:rsidRPr="00FC6FDF">
        <w:t xml:space="preserve">effects from clinical trials </w:t>
      </w:r>
      <w:r w:rsidRPr="00FC6FDF">
        <w:t xml:space="preserve">are listed by </w:t>
      </w:r>
      <w:proofErr w:type="spellStart"/>
      <w:r w:rsidR="00212FD3" w:rsidRPr="00FC6FDF">
        <w:t>MedDRA</w:t>
      </w:r>
      <w:proofErr w:type="spellEnd"/>
      <w:r w:rsidR="00212FD3" w:rsidRPr="00FC6FDF">
        <w:t xml:space="preserve"> </w:t>
      </w:r>
      <w:r w:rsidRPr="00FC6FDF">
        <w:t>system organ class</w:t>
      </w:r>
      <w:r w:rsidR="00212FD3" w:rsidRPr="00FC6FDF">
        <w:t>.</w:t>
      </w:r>
      <w:r w:rsidRPr="00FC6FDF">
        <w:t xml:space="preserve"> </w:t>
      </w:r>
      <w:r w:rsidR="00212FD3" w:rsidRPr="00FC6FDF">
        <w:t xml:space="preserve">Within each system organ class, the adverse effects are ranked by </w:t>
      </w:r>
      <w:r w:rsidRPr="00FC6FDF">
        <w:t>frequency</w:t>
      </w:r>
      <w:r w:rsidR="00212FD3" w:rsidRPr="00FC6FDF">
        <w:t xml:space="preserve">, with the most frequent reactions first. Within each frequency grouping, adverse drug reactions are presented in order of decreasing seriousness. In addition, the corresponding frequency category for each adverse drug reaction is based on </w:t>
      </w:r>
      <w:r w:rsidRPr="00FC6FDF">
        <w:t>the following convention</w:t>
      </w:r>
      <w:r w:rsidR="00212FD3" w:rsidRPr="00FC6FDF">
        <w:t xml:space="preserve"> (CIOMS)</w:t>
      </w:r>
      <w:r w:rsidRPr="00FC6FDF">
        <w:t>: very common (≥ 1/10), common (≥ 1/100 to &lt; 1/10), uncommon (≥ 1/1,000 to &lt; 1/100), rare (≥ 1/10,000 to &lt; 1/1,000), very rare (&lt; 1/10,000).</w:t>
      </w:r>
    </w:p>
    <w:p w:rsidR="004D3249" w:rsidRPr="00FC6FDF" w:rsidRDefault="004D3249" w:rsidP="00F44B6D"/>
    <w:p w:rsidR="00212FD3" w:rsidRPr="00FC6FDF" w:rsidRDefault="00E70B72" w:rsidP="00F44B6D">
      <w:r w:rsidRPr="00FC6FDF">
        <w:rPr>
          <w:b/>
          <w:bCs/>
        </w:rPr>
        <w:br w:type="page"/>
      </w:r>
      <w:r w:rsidR="00212FD3" w:rsidRPr="00FC6FDF">
        <w:rPr>
          <w:b/>
          <w:bCs/>
        </w:rPr>
        <w:lastRenderedPageBreak/>
        <w:t xml:space="preserve">Table </w:t>
      </w:r>
      <w:r w:rsidR="00F90AAB">
        <w:rPr>
          <w:b/>
          <w:bCs/>
        </w:rPr>
        <w:t>10</w:t>
      </w:r>
      <w:r w:rsidR="00212FD3" w:rsidRPr="00FC6FDF">
        <w:rPr>
          <w:b/>
          <w:bCs/>
        </w:rPr>
        <w:tab/>
        <w:t>Adverse Effects from Clinical Trials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4D3249" w:rsidRPr="00FC6FDF" w:rsidTr="002A545B">
        <w:tc>
          <w:tcPr>
            <w:tcW w:w="8789" w:type="dxa"/>
            <w:gridSpan w:val="2"/>
          </w:tcPr>
          <w:p w:rsidR="004D3249" w:rsidRPr="00FC6FDF" w:rsidRDefault="004D3249" w:rsidP="000E0970">
            <w:pPr>
              <w:rPr>
                <w:b/>
                <w:bCs/>
              </w:rPr>
            </w:pPr>
            <w:r w:rsidRPr="00FC6FDF">
              <w:rPr>
                <w:b/>
                <w:bCs/>
              </w:rPr>
              <w:t>Infections and Infestations</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Very common</w:t>
            </w:r>
          </w:p>
        </w:tc>
        <w:tc>
          <w:tcPr>
            <w:tcW w:w="6804" w:type="dxa"/>
          </w:tcPr>
          <w:p w:rsidR="004D3249" w:rsidRPr="00FC6FDF" w:rsidRDefault="004D3249" w:rsidP="000E0970">
            <w:proofErr w:type="spellStart"/>
            <w:r w:rsidRPr="00FC6FDF">
              <w:t>Nasopharyngitis</w:t>
            </w:r>
            <w:proofErr w:type="spellEnd"/>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Common</w:t>
            </w:r>
          </w:p>
        </w:tc>
        <w:tc>
          <w:tcPr>
            <w:tcW w:w="6804" w:type="dxa"/>
          </w:tcPr>
          <w:p w:rsidR="004D3249" w:rsidRPr="00FC6FDF" w:rsidRDefault="004D3249" w:rsidP="000E0970">
            <w:r w:rsidRPr="00FC6FDF">
              <w:t>Influenza</w:t>
            </w:r>
            <w:r w:rsidR="00257182" w:rsidRPr="00FC6FDF">
              <w:t>, urinary tract infection*</w:t>
            </w:r>
          </w:p>
        </w:tc>
      </w:tr>
      <w:tr w:rsidR="004D3249" w:rsidRPr="00FC6FDF" w:rsidTr="002A545B">
        <w:tc>
          <w:tcPr>
            <w:tcW w:w="8789" w:type="dxa"/>
            <w:gridSpan w:val="2"/>
          </w:tcPr>
          <w:p w:rsidR="004D3249" w:rsidRPr="00FC6FDF" w:rsidRDefault="004D3249" w:rsidP="000E0970">
            <w:pPr>
              <w:rPr>
                <w:b/>
                <w:bCs/>
              </w:rPr>
            </w:pPr>
            <w:r w:rsidRPr="00FC6FDF">
              <w:rPr>
                <w:b/>
                <w:bCs/>
              </w:rPr>
              <w:t>Blood and lymphatic system disorders</w:t>
            </w:r>
          </w:p>
        </w:tc>
      </w:tr>
      <w:tr w:rsidR="004D3249" w:rsidRPr="00FC6FDF" w:rsidTr="002A545B">
        <w:tc>
          <w:tcPr>
            <w:tcW w:w="1985" w:type="dxa"/>
          </w:tcPr>
          <w:p w:rsidR="004D3249" w:rsidRPr="00FC6FDF" w:rsidRDefault="004D3249" w:rsidP="000E0970">
            <w:pPr>
              <w:rPr>
                <w:i/>
                <w:iCs/>
              </w:rPr>
            </w:pPr>
            <w:r w:rsidRPr="00FC6FDF">
              <w:rPr>
                <w:i/>
                <w:iCs/>
              </w:rPr>
              <w:t>Common</w:t>
            </w:r>
          </w:p>
        </w:tc>
        <w:tc>
          <w:tcPr>
            <w:tcW w:w="6804" w:type="dxa"/>
          </w:tcPr>
          <w:p w:rsidR="004D3249" w:rsidRPr="00FC6FDF" w:rsidRDefault="004D3249" w:rsidP="000E0970">
            <w:r w:rsidRPr="00FC6FDF">
              <w:t>Anaemia</w:t>
            </w:r>
          </w:p>
        </w:tc>
      </w:tr>
      <w:tr w:rsidR="004D3249" w:rsidRPr="00FC6FDF" w:rsidTr="002A545B">
        <w:tc>
          <w:tcPr>
            <w:tcW w:w="8789" w:type="dxa"/>
            <w:gridSpan w:val="2"/>
          </w:tcPr>
          <w:p w:rsidR="004D3249" w:rsidRPr="00FC6FDF" w:rsidRDefault="004D3249" w:rsidP="000E0970">
            <w:pPr>
              <w:rPr>
                <w:b/>
                <w:bCs/>
              </w:rPr>
            </w:pPr>
            <w:r w:rsidRPr="00FC6FDF">
              <w:rPr>
                <w:b/>
                <w:bCs/>
              </w:rPr>
              <w:t>Psychiatric disorders</w:t>
            </w:r>
          </w:p>
        </w:tc>
      </w:tr>
      <w:tr w:rsidR="004D3249" w:rsidRPr="00FC6FDF" w:rsidTr="002A545B">
        <w:tc>
          <w:tcPr>
            <w:tcW w:w="1985" w:type="dxa"/>
          </w:tcPr>
          <w:p w:rsidR="004D3249" w:rsidRPr="00FC6FDF" w:rsidRDefault="004D3249" w:rsidP="000E0970">
            <w:pPr>
              <w:rPr>
                <w:i/>
                <w:iCs/>
              </w:rPr>
            </w:pPr>
            <w:r w:rsidRPr="00FC6FDF">
              <w:rPr>
                <w:i/>
                <w:iCs/>
              </w:rPr>
              <w:t>Common</w:t>
            </w:r>
          </w:p>
        </w:tc>
        <w:tc>
          <w:tcPr>
            <w:tcW w:w="6804" w:type="dxa"/>
          </w:tcPr>
          <w:p w:rsidR="004D3249" w:rsidRPr="00FC6FDF" w:rsidRDefault="004D3249" w:rsidP="000E0970">
            <w:r w:rsidRPr="00FC6FDF">
              <w:t>Anxiety</w:t>
            </w:r>
          </w:p>
        </w:tc>
      </w:tr>
      <w:tr w:rsidR="004D3249" w:rsidRPr="00FC6FDF" w:rsidTr="002A545B">
        <w:tc>
          <w:tcPr>
            <w:tcW w:w="8789" w:type="dxa"/>
            <w:gridSpan w:val="2"/>
          </w:tcPr>
          <w:p w:rsidR="004D3249" w:rsidRPr="00FC6FDF" w:rsidRDefault="004D3249" w:rsidP="000E0970">
            <w:r w:rsidRPr="00FC6FDF">
              <w:rPr>
                <w:b/>
                <w:bCs/>
              </w:rPr>
              <w:t>Nervous system disorders</w:t>
            </w:r>
          </w:p>
        </w:tc>
      </w:tr>
      <w:tr w:rsidR="004D3249" w:rsidRPr="00FC6FDF" w:rsidTr="002A545B">
        <w:tc>
          <w:tcPr>
            <w:tcW w:w="1985" w:type="dxa"/>
          </w:tcPr>
          <w:p w:rsidR="004D3249" w:rsidRPr="00FC6FDF" w:rsidRDefault="004D3249" w:rsidP="00220541">
            <w:pPr>
              <w:pStyle w:val="Text"/>
              <w:spacing w:before="0"/>
              <w:jc w:val="left"/>
            </w:pPr>
            <w:r w:rsidRPr="00FC6FDF">
              <w:rPr>
                <w:i/>
                <w:iCs/>
              </w:rPr>
              <w:t>Very common</w:t>
            </w:r>
          </w:p>
        </w:tc>
        <w:tc>
          <w:tcPr>
            <w:tcW w:w="6804" w:type="dxa"/>
          </w:tcPr>
          <w:p w:rsidR="004D3249" w:rsidRPr="00FC6FDF" w:rsidRDefault="004D3249" w:rsidP="000E0970">
            <w:r w:rsidRPr="00FC6FDF">
              <w:t>Headache</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Common</w:t>
            </w:r>
          </w:p>
        </w:tc>
        <w:tc>
          <w:tcPr>
            <w:tcW w:w="6804" w:type="dxa"/>
          </w:tcPr>
          <w:p w:rsidR="004D3249" w:rsidRPr="00FC6FDF" w:rsidRDefault="004D3249" w:rsidP="00142D70">
            <w:r w:rsidRPr="00FC6FDF">
              <w:t>Stroke</w:t>
            </w:r>
          </w:p>
        </w:tc>
      </w:tr>
      <w:tr w:rsidR="004D3249" w:rsidRPr="00FC6FDF" w:rsidTr="002A545B">
        <w:tc>
          <w:tcPr>
            <w:tcW w:w="8789" w:type="dxa"/>
            <w:gridSpan w:val="2"/>
          </w:tcPr>
          <w:p w:rsidR="004D3249" w:rsidRPr="00FC6FDF" w:rsidRDefault="004D3249" w:rsidP="00220541">
            <w:pPr>
              <w:pStyle w:val="Text"/>
              <w:spacing w:before="0"/>
              <w:jc w:val="left"/>
            </w:pPr>
            <w:r w:rsidRPr="00FC6FDF">
              <w:rPr>
                <w:b/>
                <w:bCs/>
              </w:rPr>
              <w:t>Eye disorders</w:t>
            </w:r>
          </w:p>
        </w:tc>
      </w:tr>
      <w:tr w:rsidR="004D3249" w:rsidRPr="00FC6FDF" w:rsidTr="002A545B">
        <w:tc>
          <w:tcPr>
            <w:tcW w:w="1985" w:type="dxa"/>
          </w:tcPr>
          <w:p w:rsidR="004D3249" w:rsidRPr="00FC6FDF" w:rsidRDefault="004D3249" w:rsidP="00220541">
            <w:pPr>
              <w:pStyle w:val="Text"/>
              <w:spacing w:before="0"/>
              <w:jc w:val="left"/>
            </w:pPr>
            <w:r w:rsidRPr="00FC6FDF">
              <w:rPr>
                <w:i/>
                <w:iCs/>
              </w:rPr>
              <w:t>Very common</w:t>
            </w:r>
          </w:p>
        </w:tc>
        <w:tc>
          <w:tcPr>
            <w:tcW w:w="6804" w:type="dxa"/>
          </w:tcPr>
          <w:p w:rsidR="004D3249" w:rsidRPr="00FC6FDF" w:rsidRDefault="004D3249" w:rsidP="00220541">
            <w:pPr>
              <w:pStyle w:val="Text"/>
              <w:spacing w:before="0"/>
              <w:jc w:val="left"/>
            </w:pPr>
            <w:r w:rsidRPr="00FC6FDF">
              <w:t xml:space="preserve">Intraocular inflammation, </w:t>
            </w:r>
            <w:proofErr w:type="spellStart"/>
            <w:r w:rsidRPr="00FC6FDF">
              <w:t>vitritis</w:t>
            </w:r>
            <w:proofErr w:type="spellEnd"/>
            <w:r w:rsidRPr="00FC6FDF">
              <w:t xml:space="preserve">, vitreous detachment, retinal haemorrhage, visual disturbance, eye pain, vitreous floaters, </w:t>
            </w:r>
            <w:proofErr w:type="spellStart"/>
            <w:r w:rsidRPr="00FC6FDF">
              <w:t>conjunctival</w:t>
            </w:r>
            <w:proofErr w:type="spellEnd"/>
            <w:r w:rsidRPr="00FC6FDF">
              <w:t xml:space="preserve"> haemorrhage, eye irritation, foreign body sensation in eyes, lacrimation increased, </w:t>
            </w:r>
            <w:proofErr w:type="spellStart"/>
            <w:r w:rsidRPr="00FC6FDF">
              <w:t>blepharitis</w:t>
            </w:r>
            <w:proofErr w:type="spellEnd"/>
            <w:r w:rsidRPr="00FC6FDF">
              <w:t xml:space="preserve">, dry eye, ocular hyperaemia, eye </w:t>
            </w:r>
            <w:proofErr w:type="spellStart"/>
            <w:r w:rsidRPr="00FC6FDF">
              <w:t>pruritis</w:t>
            </w:r>
            <w:proofErr w:type="spellEnd"/>
            <w:r w:rsidRPr="00FC6FDF">
              <w:t>.</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 xml:space="preserve">Common </w:t>
            </w:r>
          </w:p>
        </w:tc>
        <w:tc>
          <w:tcPr>
            <w:tcW w:w="6804" w:type="dxa"/>
          </w:tcPr>
          <w:p w:rsidR="004D3249" w:rsidRPr="00FC6FDF" w:rsidRDefault="004D3249" w:rsidP="00220541">
            <w:pPr>
              <w:pStyle w:val="Text"/>
              <w:spacing w:before="0"/>
              <w:jc w:val="left"/>
            </w:pPr>
            <w:r w:rsidRPr="00FC6FDF">
              <w:t xml:space="preserve">Retinal degeneration, retinal disorder, retinal detachment, retinal tear, detachment of the retinal pigment epithelium, retinal pigment epithelium tear, visual acuity reduced, vitreous haemorrhage, vitreous disorder, uveitis, </w:t>
            </w:r>
            <w:proofErr w:type="spellStart"/>
            <w:r w:rsidRPr="00FC6FDF">
              <w:t>iritis</w:t>
            </w:r>
            <w:proofErr w:type="spellEnd"/>
            <w:r w:rsidRPr="00FC6FDF">
              <w:t xml:space="preserve">, </w:t>
            </w:r>
            <w:proofErr w:type="spellStart"/>
            <w:r w:rsidRPr="00FC6FDF">
              <w:t>iridocyclitis</w:t>
            </w:r>
            <w:proofErr w:type="spellEnd"/>
            <w:r w:rsidRPr="00FC6FDF">
              <w:t xml:space="preserve">, cataract, cataract </w:t>
            </w:r>
            <w:proofErr w:type="spellStart"/>
            <w:r w:rsidRPr="00FC6FDF">
              <w:t>subcapsular</w:t>
            </w:r>
            <w:proofErr w:type="spellEnd"/>
            <w:r w:rsidRPr="00FC6FDF">
              <w:t xml:space="preserve">, posterior capsule </w:t>
            </w:r>
            <w:proofErr w:type="spellStart"/>
            <w:r w:rsidRPr="00FC6FDF">
              <w:t>opacification</w:t>
            </w:r>
            <w:proofErr w:type="spellEnd"/>
            <w:r w:rsidRPr="00FC6FDF">
              <w:t xml:space="preserve">, punctate keratitis, corneal abrasion, anterior chamber flare, vision blurred, injection site haemorrhage, eye haemorrhage, conjunctivitis, conjunctivitis allergic, eye discharge, </w:t>
            </w:r>
            <w:proofErr w:type="spellStart"/>
            <w:r w:rsidRPr="00FC6FDF">
              <w:t>photopsia</w:t>
            </w:r>
            <w:proofErr w:type="spellEnd"/>
            <w:r w:rsidRPr="00FC6FDF">
              <w:t xml:space="preserve">, photophobia, ocular discomfort, eyelid oedema, eyelid pain, </w:t>
            </w:r>
            <w:proofErr w:type="spellStart"/>
            <w:r w:rsidRPr="00FC6FDF">
              <w:t>conjunctival</w:t>
            </w:r>
            <w:proofErr w:type="spellEnd"/>
            <w:r w:rsidRPr="00FC6FDF">
              <w:t xml:space="preserve"> hyperaemia.</w:t>
            </w:r>
          </w:p>
        </w:tc>
      </w:tr>
      <w:tr w:rsidR="004D3249" w:rsidRPr="00FC6FDF" w:rsidTr="002A545B">
        <w:tc>
          <w:tcPr>
            <w:tcW w:w="1985" w:type="dxa"/>
          </w:tcPr>
          <w:p w:rsidR="004D3249" w:rsidRPr="00FC6FDF" w:rsidRDefault="004D3249" w:rsidP="00220541">
            <w:pPr>
              <w:pStyle w:val="Text"/>
              <w:spacing w:before="0"/>
              <w:jc w:val="left"/>
            </w:pPr>
            <w:r w:rsidRPr="00FC6FDF">
              <w:rPr>
                <w:i/>
                <w:iCs/>
              </w:rPr>
              <w:t>Uncommon</w:t>
            </w:r>
          </w:p>
        </w:tc>
        <w:tc>
          <w:tcPr>
            <w:tcW w:w="6804" w:type="dxa"/>
          </w:tcPr>
          <w:p w:rsidR="004D3249" w:rsidRPr="00FC6FDF" w:rsidRDefault="004D3249" w:rsidP="00220541">
            <w:pPr>
              <w:pStyle w:val="Text"/>
              <w:spacing w:before="0"/>
              <w:jc w:val="left"/>
              <w:rPr>
                <w:i/>
                <w:iCs/>
              </w:rPr>
            </w:pPr>
            <w:r w:rsidRPr="00FC6FDF">
              <w:t xml:space="preserve">Blindness, </w:t>
            </w:r>
            <w:proofErr w:type="spellStart"/>
            <w:r w:rsidRPr="00FC6FDF">
              <w:t>endophthalmitis</w:t>
            </w:r>
            <w:proofErr w:type="spellEnd"/>
            <w:r w:rsidRPr="00FC6FDF">
              <w:t xml:space="preserve">, </w:t>
            </w:r>
            <w:proofErr w:type="spellStart"/>
            <w:r w:rsidRPr="00FC6FDF">
              <w:t>hypopyon</w:t>
            </w:r>
            <w:proofErr w:type="spellEnd"/>
            <w:r w:rsidRPr="00FC6FDF">
              <w:t xml:space="preserve">, </w:t>
            </w:r>
            <w:proofErr w:type="spellStart"/>
            <w:r w:rsidRPr="00FC6FDF">
              <w:t>hyph</w:t>
            </w:r>
            <w:r w:rsidR="00257182" w:rsidRPr="00FC6FDF">
              <w:t>a</w:t>
            </w:r>
            <w:r w:rsidRPr="00FC6FDF">
              <w:t>ema</w:t>
            </w:r>
            <w:proofErr w:type="spellEnd"/>
            <w:r w:rsidRPr="00FC6FDF">
              <w:t xml:space="preserve">, </w:t>
            </w:r>
            <w:proofErr w:type="spellStart"/>
            <w:r w:rsidRPr="00FC6FDF">
              <w:t>keratopathy</w:t>
            </w:r>
            <w:proofErr w:type="spellEnd"/>
            <w:r w:rsidRPr="00FC6FDF">
              <w:t xml:space="preserve">, iris adhesions, corneal deposits, corneal oedema, corneal </w:t>
            </w:r>
            <w:proofErr w:type="spellStart"/>
            <w:r w:rsidRPr="00FC6FDF">
              <w:t>striae</w:t>
            </w:r>
            <w:proofErr w:type="spellEnd"/>
            <w:r w:rsidRPr="00FC6FDF">
              <w:t>, injection site pain, injection site irritation, abnormal sensation in eye, eyelid irritation.</w:t>
            </w:r>
          </w:p>
        </w:tc>
      </w:tr>
      <w:tr w:rsidR="004D3249" w:rsidRPr="00FC6FDF" w:rsidTr="002A545B">
        <w:tc>
          <w:tcPr>
            <w:tcW w:w="8789" w:type="dxa"/>
            <w:gridSpan w:val="2"/>
          </w:tcPr>
          <w:p w:rsidR="004D3249" w:rsidRPr="00FC6FDF" w:rsidDel="00694F4C" w:rsidRDefault="004D3249" w:rsidP="00220541">
            <w:pPr>
              <w:pStyle w:val="Text"/>
              <w:spacing w:before="0"/>
              <w:jc w:val="left"/>
              <w:rPr>
                <w:b/>
                <w:bCs/>
              </w:rPr>
            </w:pPr>
            <w:r w:rsidRPr="00FC6FDF">
              <w:rPr>
                <w:b/>
                <w:bCs/>
              </w:rPr>
              <w:t xml:space="preserve">Respiratory, thoracic and </w:t>
            </w:r>
            <w:proofErr w:type="spellStart"/>
            <w:r w:rsidRPr="00FC6FDF">
              <w:rPr>
                <w:b/>
                <w:bCs/>
              </w:rPr>
              <w:t>mediastinal</w:t>
            </w:r>
            <w:proofErr w:type="spellEnd"/>
            <w:r w:rsidRPr="00FC6FDF">
              <w:rPr>
                <w:b/>
                <w:bCs/>
              </w:rPr>
              <w:t xml:space="preserve"> disorders</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Common</w:t>
            </w:r>
          </w:p>
        </w:tc>
        <w:tc>
          <w:tcPr>
            <w:tcW w:w="6804" w:type="dxa"/>
          </w:tcPr>
          <w:p w:rsidR="004D3249" w:rsidRPr="00FC6FDF" w:rsidDel="00694F4C" w:rsidRDefault="004D3249" w:rsidP="00220541">
            <w:pPr>
              <w:pStyle w:val="Text"/>
              <w:spacing w:before="0"/>
              <w:jc w:val="left"/>
            </w:pPr>
            <w:r w:rsidRPr="00FC6FDF">
              <w:t>Cough</w:t>
            </w:r>
          </w:p>
        </w:tc>
      </w:tr>
      <w:tr w:rsidR="004D3249" w:rsidRPr="00FC6FDF" w:rsidTr="002A545B">
        <w:tc>
          <w:tcPr>
            <w:tcW w:w="8789" w:type="dxa"/>
            <w:gridSpan w:val="2"/>
          </w:tcPr>
          <w:p w:rsidR="004D3249" w:rsidRPr="00FC6FDF" w:rsidDel="00694F4C" w:rsidRDefault="004D3249" w:rsidP="00220541">
            <w:pPr>
              <w:pStyle w:val="Text"/>
              <w:spacing w:before="0"/>
              <w:jc w:val="left"/>
              <w:rPr>
                <w:b/>
                <w:bCs/>
              </w:rPr>
            </w:pPr>
            <w:r w:rsidRPr="00FC6FDF">
              <w:rPr>
                <w:b/>
                <w:bCs/>
              </w:rPr>
              <w:t>Gastrointestinal disorders</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Common</w:t>
            </w:r>
          </w:p>
        </w:tc>
        <w:tc>
          <w:tcPr>
            <w:tcW w:w="6804" w:type="dxa"/>
          </w:tcPr>
          <w:p w:rsidR="004D3249" w:rsidRPr="00FC6FDF" w:rsidDel="00694F4C" w:rsidRDefault="004D3249" w:rsidP="00220541">
            <w:pPr>
              <w:pStyle w:val="Text"/>
              <w:spacing w:before="0"/>
              <w:jc w:val="left"/>
            </w:pPr>
            <w:r w:rsidRPr="00FC6FDF">
              <w:t>Nausea</w:t>
            </w:r>
          </w:p>
        </w:tc>
      </w:tr>
      <w:tr w:rsidR="004D3249" w:rsidRPr="00FC6FDF" w:rsidTr="002A545B">
        <w:tc>
          <w:tcPr>
            <w:tcW w:w="8789" w:type="dxa"/>
            <w:gridSpan w:val="2"/>
          </w:tcPr>
          <w:p w:rsidR="004D3249" w:rsidRPr="00FC6FDF" w:rsidDel="00694F4C" w:rsidRDefault="004D3249" w:rsidP="00220541">
            <w:pPr>
              <w:pStyle w:val="Text"/>
              <w:spacing w:before="0"/>
              <w:jc w:val="left"/>
              <w:rPr>
                <w:b/>
                <w:bCs/>
              </w:rPr>
            </w:pPr>
            <w:r w:rsidRPr="00FC6FDF">
              <w:rPr>
                <w:b/>
                <w:bCs/>
              </w:rPr>
              <w:t>Skin and subcutaneous tissue disorders</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Common</w:t>
            </w:r>
          </w:p>
        </w:tc>
        <w:tc>
          <w:tcPr>
            <w:tcW w:w="6804" w:type="dxa"/>
          </w:tcPr>
          <w:p w:rsidR="004D3249" w:rsidRPr="00FC6FDF" w:rsidDel="00694F4C" w:rsidRDefault="004D3249" w:rsidP="00220541">
            <w:pPr>
              <w:pStyle w:val="Text"/>
              <w:spacing w:before="0"/>
              <w:jc w:val="left"/>
            </w:pPr>
            <w:r w:rsidRPr="00FC6FDF">
              <w:t xml:space="preserve">Allergic reactions (rash, </w:t>
            </w:r>
            <w:proofErr w:type="spellStart"/>
            <w:r w:rsidRPr="00FC6FDF">
              <w:t>urticaria</w:t>
            </w:r>
            <w:proofErr w:type="spellEnd"/>
            <w:r w:rsidRPr="00FC6FDF">
              <w:t xml:space="preserve">, </w:t>
            </w:r>
            <w:proofErr w:type="spellStart"/>
            <w:r w:rsidRPr="00FC6FDF">
              <w:t>pruritis</w:t>
            </w:r>
            <w:proofErr w:type="spellEnd"/>
            <w:r w:rsidRPr="00FC6FDF">
              <w:t>, erythema)</w:t>
            </w:r>
          </w:p>
        </w:tc>
      </w:tr>
      <w:tr w:rsidR="004D3249" w:rsidRPr="00FC6FDF" w:rsidTr="002A545B">
        <w:tc>
          <w:tcPr>
            <w:tcW w:w="8789" w:type="dxa"/>
            <w:gridSpan w:val="2"/>
          </w:tcPr>
          <w:p w:rsidR="004D3249" w:rsidRPr="00FC6FDF" w:rsidDel="00694F4C" w:rsidRDefault="004D3249" w:rsidP="00220541">
            <w:pPr>
              <w:pStyle w:val="Text"/>
              <w:spacing w:before="0"/>
              <w:jc w:val="left"/>
              <w:rPr>
                <w:b/>
                <w:bCs/>
              </w:rPr>
            </w:pPr>
            <w:r w:rsidRPr="00FC6FDF">
              <w:rPr>
                <w:b/>
                <w:bCs/>
              </w:rPr>
              <w:t>Musculoskeletal and connective tissue disorders</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Very common</w:t>
            </w:r>
          </w:p>
        </w:tc>
        <w:tc>
          <w:tcPr>
            <w:tcW w:w="6804" w:type="dxa"/>
          </w:tcPr>
          <w:p w:rsidR="004D3249" w:rsidRPr="00FC6FDF" w:rsidDel="00694F4C" w:rsidRDefault="004D3249" w:rsidP="00220541">
            <w:pPr>
              <w:pStyle w:val="Text"/>
              <w:spacing w:before="0"/>
              <w:jc w:val="left"/>
            </w:pPr>
            <w:r w:rsidRPr="00FC6FDF">
              <w:t>Arthralgia</w:t>
            </w:r>
          </w:p>
        </w:tc>
      </w:tr>
      <w:tr w:rsidR="004D3249" w:rsidRPr="00FC6FDF" w:rsidTr="002A545B">
        <w:tc>
          <w:tcPr>
            <w:tcW w:w="8789" w:type="dxa"/>
            <w:gridSpan w:val="2"/>
          </w:tcPr>
          <w:p w:rsidR="004D3249" w:rsidRPr="00FC6FDF" w:rsidDel="00694F4C" w:rsidRDefault="004D3249" w:rsidP="00220541">
            <w:pPr>
              <w:pStyle w:val="Text"/>
              <w:spacing w:before="0"/>
              <w:jc w:val="left"/>
              <w:rPr>
                <w:b/>
                <w:bCs/>
              </w:rPr>
            </w:pPr>
            <w:r w:rsidRPr="00FC6FDF">
              <w:rPr>
                <w:b/>
                <w:bCs/>
              </w:rPr>
              <w:t>Investigations</w:t>
            </w:r>
          </w:p>
        </w:tc>
      </w:tr>
      <w:tr w:rsidR="004D3249" w:rsidRPr="00FC6FDF" w:rsidTr="002A545B">
        <w:tc>
          <w:tcPr>
            <w:tcW w:w="1985" w:type="dxa"/>
          </w:tcPr>
          <w:p w:rsidR="004D3249" w:rsidRPr="00FC6FDF" w:rsidRDefault="004D3249" w:rsidP="00220541">
            <w:pPr>
              <w:pStyle w:val="Text"/>
              <w:spacing w:before="0"/>
              <w:jc w:val="left"/>
              <w:rPr>
                <w:i/>
                <w:iCs/>
              </w:rPr>
            </w:pPr>
            <w:r w:rsidRPr="00FC6FDF">
              <w:rPr>
                <w:i/>
                <w:iCs/>
              </w:rPr>
              <w:t>Very common</w:t>
            </w:r>
          </w:p>
        </w:tc>
        <w:tc>
          <w:tcPr>
            <w:tcW w:w="6804" w:type="dxa"/>
          </w:tcPr>
          <w:p w:rsidR="004D3249" w:rsidRPr="00FC6FDF" w:rsidDel="00694F4C" w:rsidRDefault="004D3249" w:rsidP="00257182">
            <w:pPr>
              <w:pStyle w:val="Text"/>
              <w:spacing w:before="0"/>
              <w:jc w:val="left"/>
            </w:pPr>
            <w:r w:rsidRPr="00FC6FDF">
              <w:t>Intraocular pressure increase</w:t>
            </w:r>
          </w:p>
        </w:tc>
      </w:tr>
    </w:tbl>
    <w:p w:rsidR="004D3249" w:rsidRPr="00FC6FDF" w:rsidRDefault="00074C98" w:rsidP="00F44B6D">
      <w:pPr>
        <w:rPr>
          <w:bCs/>
        </w:rPr>
      </w:pPr>
      <w:r w:rsidRPr="00FC6FDF">
        <w:rPr>
          <w:bCs/>
        </w:rPr>
        <w:t>*Observed only in the DME population</w:t>
      </w:r>
    </w:p>
    <w:p w:rsidR="00257182" w:rsidRPr="00FC6FDF" w:rsidRDefault="00257182" w:rsidP="00F44B6D">
      <w:pPr>
        <w:rPr>
          <w:bCs/>
        </w:rPr>
      </w:pPr>
    </w:p>
    <w:p w:rsidR="00257182" w:rsidRPr="00FC6FDF" w:rsidRDefault="00257182" w:rsidP="00F44B6D">
      <w:pPr>
        <w:rPr>
          <w:b/>
          <w:bCs/>
        </w:rPr>
      </w:pPr>
    </w:p>
    <w:p w:rsidR="004D3249" w:rsidRPr="00FC6FDF" w:rsidRDefault="004D3249">
      <w:pPr>
        <w:pStyle w:val="Heading1"/>
      </w:pPr>
      <w:r w:rsidRPr="00FC6FDF">
        <w:t>DOSAGE AND ADMINISTRATION</w:t>
      </w:r>
    </w:p>
    <w:p w:rsidR="004D3249" w:rsidRPr="00FC6FDF" w:rsidRDefault="004D3249"/>
    <w:p w:rsidR="004D3249" w:rsidRPr="00FC6FDF" w:rsidRDefault="004D3249">
      <w:proofErr w:type="gramStart"/>
      <w:r w:rsidRPr="00FC6FDF">
        <w:t xml:space="preserve">Single-use vial for </w:t>
      </w:r>
      <w:proofErr w:type="spellStart"/>
      <w:r w:rsidRPr="00FC6FDF">
        <w:t>intravitreal</w:t>
      </w:r>
      <w:proofErr w:type="spellEnd"/>
      <w:r w:rsidRPr="00FC6FDF">
        <w:t xml:space="preserve"> use only.</w:t>
      </w:r>
      <w:proofErr w:type="gramEnd"/>
      <w:r w:rsidR="00486FFC" w:rsidRPr="00FC6FDF">
        <w:t xml:space="preserve"> Use of more than one injection from a vial</w:t>
      </w:r>
      <w:r w:rsidR="00B642D7" w:rsidRPr="00FC6FDF">
        <w:t xml:space="preserve"> </w:t>
      </w:r>
      <w:r w:rsidR="00486FFC" w:rsidRPr="00FC6FDF">
        <w:t>can lead to contamination and subsequent infection.</w:t>
      </w:r>
    </w:p>
    <w:p w:rsidR="004D3249" w:rsidRPr="00FC6FDF" w:rsidRDefault="004D3249"/>
    <w:p w:rsidR="004D3249" w:rsidRPr="00FC6FDF" w:rsidRDefault="004D3249" w:rsidP="008628B1">
      <w:bookmarkStart w:id="111" w:name="_Toc441044447"/>
      <w:bookmarkStart w:id="112" w:name="_Toc459729539"/>
      <w:proofErr w:type="spellStart"/>
      <w:r w:rsidRPr="00FC6FDF">
        <w:t>Lucentis</w:t>
      </w:r>
      <w:proofErr w:type="spellEnd"/>
      <w:r w:rsidRPr="00FC6FDF">
        <w:t xml:space="preserve"> must be administered by a qualified ophthalmologist experienced in </w:t>
      </w:r>
      <w:proofErr w:type="spellStart"/>
      <w:r w:rsidRPr="00FC6FDF">
        <w:t>intravitreal</w:t>
      </w:r>
      <w:proofErr w:type="spellEnd"/>
      <w:r w:rsidRPr="00FC6FDF">
        <w:t xml:space="preserve"> injections. </w:t>
      </w:r>
    </w:p>
    <w:p w:rsidR="004D3249" w:rsidRPr="00FC6FDF" w:rsidRDefault="004D3249" w:rsidP="008628B1"/>
    <w:p w:rsidR="004D3249" w:rsidRDefault="004D3249" w:rsidP="008628B1">
      <w:r w:rsidRPr="00FC6FDF">
        <w:t xml:space="preserve">The recommended maximal dose (0.5 mg) should not be exceeded. One eye only should be injected on each occasion and post-injection monitoring is recommended (see </w:t>
      </w:r>
      <w:r w:rsidRPr="00FC6FDF">
        <w:rPr>
          <w:b/>
          <w:bCs/>
          <w:u w:val="single"/>
        </w:rPr>
        <w:t>PRECAUTIONS</w:t>
      </w:r>
      <w:r w:rsidRPr="00FC6FDF">
        <w:t>).</w:t>
      </w:r>
    </w:p>
    <w:p w:rsidR="00785838" w:rsidRDefault="00785838" w:rsidP="008628B1"/>
    <w:p w:rsidR="00785838" w:rsidRDefault="00785838" w:rsidP="00785838">
      <w:pPr>
        <w:autoSpaceDE w:val="0"/>
        <w:autoSpaceDN w:val="0"/>
        <w:adjustRightInd w:val="0"/>
        <w:spacing w:line="240" w:lineRule="auto"/>
        <w:rPr>
          <w:rFonts w:ascii="TimesNewRomanPSMT" w:hAnsi="TimesNewRomanPSMT" w:cs="TimesNewRomanPSMT"/>
          <w:lang w:val="en-US" w:eastAsia="zh-CN"/>
        </w:rPr>
      </w:pPr>
      <w:r>
        <w:rPr>
          <w:rFonts w:ascii="TimesNewRomanPSMT" w:hAnsi="TimesNewRomanPSMT" w:cs="TimesNewRomanPSMT"/>
          <w:lang w:val="en-US" w:eastAsia="zh-CN"/>
        </w:rPr>
        <w:t>The pre-filled syringe can only deliver a dose of 0.5mg (0.05 mL) due to a fixed dose</w:t>
      </w:r>
    </w:p>
    <w:p w:rsidR="00785838" w:rsidRPr="00FC6FDF" w:rsidRDefault="00785838" w:rsidP="00785838">
      <w:proofErr w:type="gramStart"/>
      <w:r>
        <w:rPr>
          <w:rFonts w:ascii="TimesNewRomanPSMT" w:hAnsi="TimesNewRomanPSMT" w:cs="TimesNewRomanPSMT"/>
          <w:lang w:val="en-US" w:eastAsia="zh-CN"/>
        </w:rPr>
        <w:t>mark</w:t>
      </w:r>
      <w:proofErr w:type="gramEnd"/>
      <w:r>
        <w:rPr>
          <w:rFonts w:ascii="TimesNewRomanPSMT" w:hAnsi="TimesNewRomanPSMT" w:cs="TimesNewRomanPSMT"/>
          <w:lang w:val="en-US" w:eastAsia="zh-CN"/>
        </w:rPr>
        <w:t>. The single-use vial must be used when a dose of 0.3mg (0.03 mL) is required</w:t>
      </w:r>
      <w:r w:rsidR="00436788">
        <w:rPr>
          <w:rStyle w:val="CommentReference"/>
        </w:rPr>
        <w:t>.</w:t>
      </w:r>
    </w:p>
    <w:p w:rsidR="004D3249" w:rsidRPr="00FC6FDF" w:rsidRDefault="004D3249" w:rsidP="008628B1"/>
    <w:p w:rsidR="00486FFC" w:rsidRPr="00FC6FDF" w:rsidRDefault="00486FFC" w:rsidP="00083762">
      <w:r w:rsidRPr="00FC6FDF">
        <w:rPr>
          <w:b/>
          <w:u w:val="single"/>
        </w:rPr>
        <w:t>Treatment of Wet AMD</w:t>
      </w:r>
    </w:p>
    <w:p w:rsidR="00486FFC" w:rsidRPr="00FC6FDF" w:rsidRDefault="00486FFC" w:rsidP="00083762">
      <w:r w:rsidRPr="00FC6FDF">
        <w:t xml:space="preserve">The recommended dose of </w:t>
      </w:r>
      <w:proofErr w:type="spellStart"/>
      <w:r w:rsidRPr="00FC6FDF">
        <w:t>Lucentis</w:t>
      </w:r>
      <w:proofErr w:type="spellEnd"/>
      <w:r w:rsidRPr="00FC6FDF">
        <w:t xml:space="preserve"> is 0.5 mg (0.05 mL) or 0.3 mg (0.03 mL) given as a single </w:t>
      </w:r>
      <w:proofErr w:type="spellStart"/>
      <w:r w:rsidRPr="00FC6FDF">
        <w:t>intravitreal</w:t>
      </w:r>
      <w:proofErr w:type="spellEnd"/>
      <w:r w:rsidRPr="00FC6FDF">
        <w:t xml:space="preserve"> injection.</w:t>
      </w:r>
    </w:p>
    <w:p w:rsidR="00486FFC" w:rsidRPr="00FC6FDF" w:rsidRDefault="00486FFC" w:rsidP="00083762"/>
    <w:p w:rsidR="004D3249" w:rsidRPr="00FC6FDF" w:rsidRDefault="004D3249" w:rsidP="00083762">
      <w:proofErr w:type="spellStart"/>
      <w:r w:rsidRPr="00FC6FDF">
        <w:t>Lucentis</w:t>
      </w:r>
      <w:proofErr w:type="spellEnd"/>
      <w:r w:rsidRPr="00FC6FDF">
        <w:t xml:space="preserve"> is given monthly. The interval between two doses should not be shorter than 1 month. Although less effective, treatment might be reduced to one injection every 3 months after the first three injections (e.g. if monthly injections are not feasible) but, compared to continued monthly doses, dosing every 3 months may lead to an approximate 5-letter (1-line) loss of visual acuity benefit, on average, over the following nine months. Patients should be evaluated regularly.</w:t>
      </w:r>
    </w:p>
    <w:p w:rsidR="004D3249" w:rsidRPr="00FC6FDF" w:rsidRDefault="004D3249" w:rsidP="00083762"/>
    <w:p w:rsidR="00486FFC" w:rsidRPr="00FC6FDF" w:rsidRDefault="00486FFC" w:rsidP="00083762">
      <w:pPr>
        <w:rPr>
          <w:b/>
          <w:u w:val="single"/>
        </w:rPr>
      </w:pPr>
      <w:r w:rsidRPr="00FC6FDF">
        <w:rPr>
          <w:b/>
          <w:u w:val="single"/>
        </w:rPr>
        <w:t>Treatment of Visual Impairment due to DME</w:t>
      </w:r>
    </w:p>
    <w:p w:rsidR="00470D35" w:rsidRPr="00FC6FDF" w:rsidRDefault="00486FFC" w:rsidP="00212FD3">
      <w:pPr>
        <w:autoSpaceDE w:val="0"/>
        <w:autoSpaceDN w:val="0"/>
        <w:adjustRightInd w:val="0"/>
        <w:rPr>
          <w:iCs/>
        </w:rPr>
      </w:pPr>
      <w:r w:rsidRPr="00FC6FDF">
        <w:t xml:space="preserve">The recommended dose of </w:t>
      </w:r>
      <w:proofErr w:type="spellStart"/>
      <w:r w:rsidRPr="00FC6FDF">
        <w:t>Lucentis</w:t>
      </w:r>
      <w:proofErr w:type="spellEnd"/>
      <w:r w:rsidRPr="00FC6FDF">
        <w:t xml:space="preserve"> is 0.5 mg (0.05 mL) given as a single </w:t>
      </w:r>
      <w:proofErr w:type="spellStart"/>
      <w:r w:rsidRPr="00FC6FDF">
        <w:t>intravitreal</w:t>
      </w:r>
      <w:proofErr w:type="spellEnd"/>
      <w:r w:rsidRPr="00FC6FDF">
        <w:t xml:space="preserve"> injection. </w:t>
      </w:r>
    </w:p>
    <w:p w:rsidR="00470D35" w:rsidRPr="00FC6FDF" w:rsidRDefault="00470D35" w:rsidP="00212FD3">
      <w:pPr>
        <w:autoSpaceDE w:val="0"/>
        <w:autoSpaceDN w:val="0"/>
        <w:adjustRightInd w:val="0"/>
        <w:rPr>
          <w:iCs/>
        </w:rPr>
      </w:pPr>
    </w:p>
    <w:p w:rsidR="00486FFC" w:rsidRPr="00FC6FDF" w:rsidRDefault="00212FD3" w:rsidP="00212FD3">
      <w:pPr>
        <w:autoSpaceDE w:val="0"/>
        <w:autoSpaceDN w:val="0"/>
        <w:adjustRightInd w:val="0"/>
        <w:rPr>
          <w:iCs/>
        </w:rPr>
      </w:pPr>
      <w:r w:rsidRPr="00FC6FDF">
        <w:rPr>
          <w:iCs/>
        </w:rPr>
        <w:t xml:space="preserve">Treatment is given monthly and continued until maximum visual acuity is achieved, confirmed by stable visual acuity for three consecutive monthly assessments performed while on </w:t>
      </w:r>
      <w:proofErr w:type="spellStart"/>
      <w:r w:rsidRPr="00FC6FDF">
        <w:rPr>
          <w:iCs/>
        </w:rPr>
        <w:t>ranibizumab</w:t>
      </w:r>
      <w:proofErr w:type="spellEnd"/>
      <w:r w:rsidRPr="00FC6FDF">
        <w:rPr>
          <w:iCs/>
        </w:rPr>
        <w:t xml:space="preserve"> treatment. </w:t>
      </w:r>
      <w:r w:rsidR="00486FFC" w:rsidRPr="00FC6FDF">
        <w:rPr>
          <w:iCs/>
        </w:rPr>
        <w:t>Thereafter patients should be monitored monthly for visual acuity. Treatment is resumed with monthly injections when monitoring indicates a loss of visual acuity due to DME and continued until stable visual acuity is reached again for three consecutive monthly assessments.</w:t>
      </w:r>
      <w:r w:rsidRPr="00FC6FDF">
        <w:rPr>
          <w:iCs/>
        </w:rPr>
        <w:t xml:space="preserve"> The interval between two doses should not be shorter than one month.</w:t>
      </w:r>
    </w:p>
    <w:p w:rsidR="00486FFC" w:rsidRPr="00FC6FDF" w:rsidRDefault="00486FFC" w:rsidP="00470D35">
      <w:pPr>
        <w:autoSpaceDE w:val="0"/>
        <w:autoSpaceDN w:val="0"/>
        <w:adjustRightInd w:val="0"/>
        <w:rPr>
          <w:iCs/>
        </w:rPr>
      </w:pPr>
    </w:p>
    <w:p w:rsidR="00470D35" w:rsidRPr="00FC6FDF" w:rsidRDefault="00486FFC" w:rsidP="00470D35">
      <w:pPr>
        <w:autoSpaceDE w:val="0"/>
        <w:autoSpaceDN w:val="0"/>
        <w:adjustRightInd w:val="0"/>
        <w:rPr>
          <w:b/>
          <w:iCs/>
        </w:rPr>
      </w:pPr>
      <w:proofErr w:type="spellStart"/>
      <w:r w:rsidRPr="00FC6FDF">
        <w:rPr>
          <w:b/>
          <w:iCs/>
          <w:u w:val="single"/>
        </w:rPr>
        <w:t>Lucentis</w:t>
      </w:r>
      <w:proofErr w:type="spellEnd"/>
      <w:r w:rsidRPr="00FC6FDF">
        <w:rPr>
          <w:b/>
          <w:iCs/>
          <w:u w:val="single"/>
        </w:rPr>
        <w:t xml:space="preserve"> and Laser Photocoagulation in DME</w:t>
      </w:r>
    </w:p>
    <w:p w:rsidR="00486FFC" w:rsidRPr="00FC6FDF" w:rsidRDefault="00486FFC" w:rsidP="00470D35">
      <w:pPr>
        <w:autoSpaceDE w:val="0"/>
        <w:autoSpaceDN w:val="0"/>
        <w:adjustRightInd w:val="0"/>
      </w:pPr>
      <w:proofErr w:type="spellStart"/>
      <w:r w:rsidRPr="00FC6FDF">
        <w:rPr>
          <w:iCs/>
        </w:rPr>
        <w:t>Lucentis</w:t>
      </w:r>
      <w:proofErr w:type="spellEnd"/>
      <w:r w:rsidRPr="00FC6FDF">
        <w:rPr>
          <w:iCs/>
        </w:rPr>
        <w:t xml:space="preserve"> </w:t>
      </w:r>
      <w:r w:rsidR="00212FD3" w:rsidRPr="00FC6FDF">
        <w:rPr>
          <w:iCs/>
        </w:rPr>
        <w:t xml:space="preserve">has been used </w:t>
      </w:r>
      <w:r w:rsidRPr="00FC6FDF">
        <w:rPr>
          <w:iCs/>
        </w:rPr>
        <w:t xml:space="preserve">concomitantly with laser photocoagulation </w:t>
      </w:r>
      <w:r w:rsidR="00212FD3" w:rsidRPr="00FC6FDF">
        <w:rPr>
          <w:iCs/>
        </w:rPr>
        <w:t xml:space="preserve">in clinical trials (see </w:t>
      </w:r>
      <w:r w:rsidR="00212FD3" w:rsidRPr="00FC6FDF">
        <w:rPr>
          <w:b/>
          <w:iCs/>
        </w:rPr>
        <w:t>CLINICAL TRIALS</w:t>
      </w:r>
      <w:r w:rsidR="00212FD3" w:rsidRPr="00FC6FDF">
        <w:rPr>
          <w:iCs/>
        </w:rPr>
        <w:t>)</w:t>
      </w:r>
      <w:r w:rsidRPr="00FC6FDF">
        <w:rPr>
          <w:iCs/>
        </w:rPr>
        <w:t xml:space="preserve">. When given on the same day, </w:t>
      </w:r>
      <w:proofErr w:type="spellStart"/>
      <w:r w:rsidRPr="00FC6FDF">
        <w:rPr>
          <w:iCs/>
        </w:rPr>
        <w:t>Lucentis</w:t>
      </w:r>
      <w:proofErr w:type="spellEnd"/>
      <w:r w:rsidRPr="00FC6FDF">
        <w:rPr>
          <w:iCs/>
        </w:rPr>
        <w:t xml:space="preserve"> should be administered at </w:t>
      </w:r>
      <w:r w:rsidRPr="00FC6FDF">
        <w:rPr>
          <w:iCs/>
        </w:rPr>
        <w:lastRenderedPageBreak/>
        <w:t>least 30 minutes after laser photocoagulation</w:t>
      </w:r>
      <w:r w:rsidRPr="00FC6FDF">
        <w:t>.</w:t>
      </w:r>
      <w:r w:rsidR="00212FD3" w:rsidRPr="00FC6FDF">
        <w:t xml:space="preserve"> </w:t>
      </w:r>
      <w:proofErr w:type="spellStart"/>
      <w:r w:rsidR="00212FD3" w:rsidRPr="00FC6FDF">
        <w:t>Lucentis</w:t>
      </w:r>
      <w:proofErr w:type="spellEnd"/>
      <w:r w:rsidR="00212FD3" w:rsidRPr="00FC6FDF">
        <w:t xml:space="preserve"> can be administered in patients who have received previous laser photocoagulation.</w:t>
      </w:r>
    </w:p>
    <w:p w:rsidR="007E15AE" w:rsidRPr="00FC6FDF" w:rsidRDefault="007E15AE">
      <w:pPr>
        <w:rPr>
          <w:u w:val="single"/>
        </w:rPr>
      </w:pPr>
    </w:p>
    <w:p w:rsidR="000E1D6A" w:rsidRPr="00FC6FDF" w:rsidRDefault="009B1531">
      <w:pPr>
        <w:rPr>
          <w:u w:val="single"/>
        </w:rPr>
      </w:pPr>
      <w:r w:rsidRPr="00FC6FDF">
        <w:rPr>
          <w:b/>
          <w:u w:val="single"/>
        </w:rPr>
        <w:t>Treatment of visual impairment due to macular oedema secondary to RVO</w:t>
      </w:r>
    </w:p>
    <w:p w:rsidR="00DF656B" w:rsidRPr="00FC6FDF" w:rsidRDefault="00DF656B">
      <w:pPr>
        <w:autoSpaceDE w:val="0"/>
        <w:autoSpaceDN w:val="0"/>
        <w:adjustRightInd w:val="0"/>
      </w:pPr>
      <w:r w:rsidRPr="00FC6FDF">
        <w:t xml:space="preserve">The recommended dose of </w:t>
      </w:r>
      <w:proofErr w:type="spellStart"/>
      <w:r w:rsidRPr="00FC6FDF">
        <w:t>Lucentis</w:t>
      </w:r>
      <w:proofErr w:type="spellEnd"/>
      <w:r w:rsidRPr="00FC6FDF">
        <w:t xml:space="preserve"> is 0.5 mg (0.05 mL) </w:t>
      </w:r>
      <w:r w:rsidR="004E1B97" w:rsidRPr="00FC6FDF">
        <w:t xml:space="preserve">or 0.3 mg (0.03 mL) </w:t>
      </w:r>
      <w:r w:rsidRPr="00FC6FDF">
        <w:t xml:space="preserve">given as a single </w:t>
      </w:r>
      <w:proofErr w:type="spellStart"/>
      <w:r w:rsidRPr="00FC6FDF">
        <w:t>intravitreal</w:t>
      </w:r>
      <w:proofErr w:type="spellEnd"/>
      <w:r w:rsidRPr="00FC6FDF">
        <w:t xml:space="preserve"> injection. The interval between two doses should not be shorter than one month.</w:t>
      </w:r>
    </w:p>
    <w:p w:rsidR="00DF656B" w:rsidRPr="00FC6FDF" w:rsidRDefault="00DF656B">
      <w:pPr>
        <w:autoSpaceDE w:val="0"/>
        <w:autoSpaceDN w:val="0"/>
        <w:adjustRightInd w:val="0"/>
      </w:pPr>
    </w:p>
    <w:p w:rsidR="000E1D6A" w:rsidRPr="00FC6FDF" w:rsidRDefault="009B1531">
      <w:pPr>
        <w:autoSpaceDE w:val="0"/>
        <w:autoSpaceDN w:val="0"/>
        <w:adjustRightInd w:val="0"/>
      </w:pPr>
      <w:r w:rsidRPr="00FC6FDF">
        <w:t xml:space="preserve">Treatment is given monthly </w:t>
      </w:r>
      <w:r w:rsidR="004E1B97" w:rsidRPr="00FC6FDF">
        <w:t>for six months</w:t>
      </w:r>
      <w:r w:rsidRPr="00FC6FDF">
        <w:t>.</w:t>
      </w:r>
      <w:r w:rsidR="004E1B97" w:rsidRPr="00FC6FDF">
        <w:t xml:space="preserve"> Consideration should be given to ceasing treatment if no response is seen after 3-4 injections.</w:t>
      </w:r>
    </w:p>
    <w:p w:rsidR="000E1D6A" w:rsidRPr="00FC6FDF" w:rsidRDefault="000E1D6A">
      <w:pPr>
        <w:autoSpaceDE w:val="0"/>
        <w:autoSpaceDN w:val="0"/>
        <w:adjustRightInd w:val="0"/>
      </w:pPr>
    </w:p>
    <w:p w:rsidR="001A0862" w:rsidRPr="00FC6FDF" w:rsidRDefault="009B1531">
      <w:pPr>
        <w:autoSpaceDE w:val="0"/>
        <w:autoSpaceDN w:val="0"/>
        <w:adjustRightInd w:val="0"/>
      </w:pPr>
      <w:r w:rsidRPr="00FC6FDF">
        <w:t>T</w:t>
      </w:r>
      <w:r w:rsidR="004E1B97" w:rsidRPr="00FC6FDF">
        <w:t>hereafter, t</w:t>
      </w:r>
      <w:r w:rsidRPr="00FC6FDF">
        <w:t xml:space="preserve">reatment is resumed with monthly injections when monitoring indicates a loss of visual acuity due to macular oedema secondary to RVO and continued until stable visual acuity is reached for three consecutive monthly assessments. </w:t>
      </w:r>
      <w:r w:rsidR="0014794D" w:rsidRPr="00FC6FDF">
        <w:t>Experience in the clinical trials regarding individual needs during the second 6-month period shows a wide variation in the number of injections required (see CLINICAL TRIALS). Evaluated experience beyond a total of 12 months and a maximum of 12 injections is not available.</w:t>
      </w:r>
    </w:p>
    <w:p w:rsidR="000E1D6A" w:rsidRPr="00FC6FDF" w:rsidRDefault="000E1D6A">
      <w:pPr>
        <w:autoSpaceDE w:val="0"/>
        <w:autoSpaceDN w:val="0"/>
        <w:adjustRightInd w:val="0"/>
      </w:pPr>
    </w:p>
    <w:p w:rsidR="000E1D6A" w:rsidRDefault="009B1531">
      <w:proofErr w:type="spellStart"/>
      <w:r w:rsidRPr="00FC6FDF">
        <w:rPr>
          <w:u w:val="single"/>
        </w:rPr>
        <w:t>Lucentis</w:t>
      </w:r>
      <w:proofErr w:type="spellEnd"/>
      <w:r w:rsidRPr="00FC6FDF">
        <w:rPr>
          <w:u w:val="single"/>
        </w:rPr>
        <w:t xml:space="preserve"> and laser photocoagulation in Branch RVO (BRVO):</w:t>
      </w:r>
      <w:r w:rsidRPr="00FC6FDF">
        <w:t xml:space="preserve"> </w:t>
      </w:r>
      <w:proofErr w:type="spellStart"/>
      <w:r w:rsidRPr="00FC6FDF">
        <w:t>Lucentis</w:t>
      </w:r>
      <w:proofErr w:type="spellEnd"/>
      <w:r w:rsidRPr="00FC6FDF">
        <w:t xml:space="preserve"> </w:t>
      </w:r>
      <w:r w:rsidR="002739A6" w:rsidRPr="00FC6FDF">
        <w:t xml:space="preserve">has been used </w:t>
      </w:r>
      <w:r w:rsidRPr="00FC6FDF">
        <w:t>concomitantly with laser photocoagulation</w:t>
      </w:r>
      <w:r w:rsidR="002739A6" w:rsidRPr="00FC6FDF">
        <w:t xml:space="preserve"> in clinical studies (see </w:t>
      </w:r>
      <w:r w:rsidR="002739A6" w:rsidRPr="00FC6FDF">
        <w:rPr>
          <w:b/>
          <w:u w:val="single"/>
        </w:rPr>
        <w:t>CLINICAL TRIALS</w:t>
      </w:r>
      <w:r w:rsidR="002739A6" w:rsidRPr="00FC6FDF">
        <w:t>)</w:t>
      </w:r>
      <w:r w:rsidRPr="00FC6FDF">
        <w:t xml:space="preserve">. When given on the same day, </w:t>
      </w:r>
      <w:proofErr w:type="spellStart"/>
      <w:r w:rsidRPr="00FC6FDF">
        <w:t>Lucentis</w:t>
      </w:r>
      <w:proofErr w:type="spellEnd"/>
      <w:r w:rsidRPr="00FC6FDF">
        <w:t xml:space="preserve"> should be administered at least 30 minutes after laser photocoagulation.</w:t>
      </w:r>
      <w:r w:rsidR="002739A6" w:rsidRPr="00FC6FDF">
        <w:t xml:space="preserve"> </w:t>
      </w:r>
      <w:proofErr w:type="spellStart"/>
      <w:r w:rsidR="002739A6" w:rsidRPr="00FC6FDF">
        <w:t>Lucentis</w:t>
      </w:r>
      <w:proofErr w:type="spellEnd"/>
      <w:r w:rsidR="002739A6" w:rsidRPr="00FC6FDF">
        <w:t xml:space="preserve"> can be administered in patients who have received previous laser photocoagulation.</w:t>
      </w:r>
    </w:p>
    <w:p w:rsidR="005D0951" w:rsidRDefault="005D0951"/>
    <w:p w:rsidR="005D0951" w:rsidRPr="00B46DAD" w:rsidRDefault="005D0951" w:rsidP="00B46DAD">
      <w:pPr>
        <w:rPr>
          <w:b/>
          <w:u w:val="single"/>
        </w:rPr>
      </w:pPr>
      <w:r w:rsidRPr="00B46DAD">
        <w:rPr>
          <w:b/>
          <w:u w:val="single"/>
        </w:rPr>
        <w:t>Treatment of visual impairment due to CNV secondary to PM</w:t>
      </w:r>
    </w:p>
    <w:p w:rsidR="005313D4" w:rsidRDefault="005313D4" w:rsidP="005D0951">
      <w:pPr>
        <w:pStyle w:val="Text"/>
      </w:pPr>
      <w:r w:rsidRPr="00FC6FDF">
        <w:t xml:space="preserve">The recommended dose of </w:t>
      </w:r>
      <w:proofErr w:type="spellStart"/>
      <w:r w:rsidRPr="00FC6FDF">
        <w:t>Lucentis</w:t>
      </w:r>
      <w:proofErr w:type="spellEnd"/>
      <w:r w:rsidRPr="00FC6FDF">
        <w:t xml:space="preserve"> is 0.5 mg (0.05 mL) given as a single </w:t>
      </w:r>
      <w:proofErr w:type="spellStart"/>
      <w:r w:rsidRPr="00FC6FDF">
        <w:t>intravitreal</w:t>
      </w:r>
      <w:proofErr w:type="spellEnd"/>
      <w:r w:rsidRPr="00FC6FDF">
        <w:t xml:space="preserve"> injection</w:t>
      </w:r>
      <w:r>
        <w:t>.</w:t>
      </w:r>
    </w:p>
    <w:p w:rsidR="005D0951" w:rsidRPr="005D229E" w:rsidRDefault="005D0951" w:rsidP="005D0951">
      <w:pPr>
        <w:pStyle w:val="Text"/>
      </w:pPr>
      <w:r w:rsidRPr="005D229E">
        <w:t>Treatment is initiated with a single injection.</w:t>
      </w:r>
    </w:p>
    <w:p w:rsidR="005D0951" w:rsidRDefault="005D0951" w:rsidP="005D0951">
      <w:pPr>
        <w:pStyle w:val="Text"/>
      </w:pPr>
      <w:r w:rsidRPr="001C39C7">
        <w:t>If monitoring reveals signs of disease activity</w:t>
      </w:r>
      <w:r w:rsidR="0059008E">
        <w:t xml:space="preserve"> </w:t>
      </w:r>
      <w:r w:rsidR="0059008E" w:rsidRPr="0059008E">
        <w:t xml:space="preserve">e.g. reduced visual acuity and/or </w:t>
      </w:r>
      <w:proofErr w:type="gramStart"/>
      <w:r w:rsidR="0059008E" w:rsidRPr="0059008E">
        <w:t>signs of lesion activity</w:t>
      </w:r>
      <w:r w:rsidRPr="001C39C7">
        <w:t>, further treatment is</w:t>
      </w:r>
      <w:proofErr w:type="gramEnd"/>
      <w:r w:rsidRPr="001C39C7">
        <w:t xml:space="preserve"> recommended</w:t>
      </w:r>
      <w:r>
        <w:t>.</w:t>
      </w:r>
      <w:r w:rsidR="00646C15">
        <w:t xml:space="preserve"> While many patients may only need one or two injections during the first year, some patients may need more frequent treatment. Therefore, monitoring is recommended monthly for the first two months and at least every three months thereafter during the first year. After the first year, the frequency of monitoring should be determined by the treating physician</w:t>
      </w:r>
      <w:r w:rsidR="0059008E">
        <w:t xml:space="preserve"> (see CLINICAL TRIALS)</w:t>
      </w:r>
      <w:r w:rsidR="00646C15">
        <w:t>.</w:t>
      </w:r>
    </w:p>
    <w:p w:rsidR="005313D4" w:rsidRDefault="005313D4" w:rsidP="005D0951">
      <w:pPr>
        <w:pStyle w:val="Text"/>
      </w:pPr>
      <w:r w:rsidRPr="00FC6FDF">
        <w:t>The interval between two doses should not be shorter than one month</w:t>
      </w:r>
      <w:r>
        <w:t>.</w:t>
      </w:r>
    </w:p>
    <w:p w:rsidR="005D0951" w:rsidRPr="00FC6FDF" w:rsidRDefault="00607738">
      <w:r>
        <w:t xml:space="preserve">There is no experience in using </w:t>
      </w:r>
      <w:proofErr w:type="spellStart"/>
      <w:r>
        <w:t>Lucentis</w:t>
      </w:r>
      <w:proofErr w:type="spellEnd"/>
      <w:r>
        <w:t xml:space="preserve"> in combination with </w:t>
      </w:r>
      <w:proofErr w:type="spellStart"/>
      <w:r>
        <w:t>Visudyne</w:t>
      </w:r>
      <w:proofErr w:type="spellEnd"/>
      <w:r w:rsidR="00436788">
        <w:t>.</w:t>
      </w:r>
    </w:p>
    <w:p w:rsidR="00486FFC" w:rsidRPr="00FC6FDF" w:rsidRDefault="00486FFC" w:rsidP="00083762"/>
    <w:p w:rsidR="00486FFC" w:rsidRPr="00FC6FDF" w:rsidRDefault="00486FFC" w:rsidP="00083762">
      <w:pPr>
        <w:rPr>
          <w:b/>
          <w:u w:val="single"/>
        </w:rPr>
      </w:pPr>
      <w:r w:rsidRPr="00FC6FDF">
        <w:rPr>
          <w:b/>
          <w:u w:val="single"/>
        </w:rPr>
        <w:t>Mode of Administration</w:t>
      </w:r>
    </w:p>
    <w:p w:rsidR="004D3249" w:rsidRPr="00FC6FDF" w:rsidRDefault="004D3249" w:rsidP="00083762">
      <w:r w:rsidRPr="00FC6FDF">
        <w:t xml:space="preserve">As with all medicinal products for parenteral use, </w:t>
      </w:r>
      <w:proofErr w:type="spellStart"/>
      <w:r w:rsidRPr="00FC6FDF">
        <w:t>Lucentis</w:t>
      </w:r>
      <w:proofErr w:type="spellEnd"/>
      <w:r w:rsidRPr="00FC6FDF">
        <w:t xml:space="preserve"> should be inspected visually for particulate matter and discolouration prior to administration.</w:t>
      </w:r>
    </w:p>
    <w:p w:rsidR="004D3249" w:rsidRPr="00FC6FDF" w:rsidRDefault="004D3249" w:rsidP="004660F1"/>
    <w:p w:rsidR="004D3249" w:rsidRPr="00FC6FDF" w:rsidRDefault="004D3249" w:rsidP="004660F1">
      <w:r w:rsidRPr="00FC6FDF">
        <w:lastRenderedPageBreak/>
        <w:t xml:space="preserve">The injection procedure should be carried out under aseptic conditions, which include the use of surgical hand disinfection, sterile gloves, a sterile drape and a sterile eyelid speculum (or equivalent), and the availability of sterile </w:t>
      </w:r>
      <w:proofErr w:type="spellStart"/>
      <w:r w:rsidRPr="00FC6FDF">
        <w:t>paracentesis</w:t>
      </w:r>
      <w:proofErr w:type="spellEnd"/>
      <w:r w:rsidRPr="00FC6FDF">
        <w:t xml:space="preserve"> (if required). The patient’s medical history should be carefully evaluated for hypersensitivity reactions prior to performing the </w:t>
      </w:r>
      <w:proofErr w:type="spellStart"/>
      <w:r w:rsidRPr="00FC6FDF">
        <w:t>intravitreal</w:t>
      </w:r>
      <w:proofErr w:type="spellEnd"/>
      <w:r w:rsidRPr="00FC6FDF">
        <w:t xml:space="preserve"> procedure (see </w:t>
      </w:r>
      <w:r w:rsidRPr="00FC6FDF">
        <w:rPr>
          <w:b/>
          <w:bCs/>
          <w:u w:val="single"/>
        </w:rPr>
        <w:t>CONTRAINDICATIONS</w:t>
      </w:r>
      <w:r w:rsidRPr="00FC6FDF">
        <w:t xml:space="preserve">). The </w:t>
      </w:r>
      <w:proofErr w:type="spellStart"/>
      <w:r w:rsidRPr="00FC6FDF">
        <w:t>periocular</w:t>
      </w:r>
      <w:proofErr w:type="spellEnd"/>
      <w:r w:rsidRPr="00FC6FDF">
        <w:t xml:space="preserve"> skin, eyelid and ocular surface should be disinfected. Adequate anaesthesia and a broad-spectrum topical microbicide should be administered prior to the injection.</w:t>
      </w:r>
    </w:p>
    <w:p w:rsidR="004D3249" w:rsidRPr="00FC6FDF" w:rsidRDefault="004D3249" w:rsidP="004660F1"/>
    <w:p w:rsidR="004D3249" w:rsidRPr="00FC6FDF" w:rsidRDefault="004D3249" w:rsidP="00083762">
      <w:bookmarkStart w:id="113" w:name="_GoBack"/>
      <w:bookmarkEnd w:id="113"/>
      <w:r w:rsidRPr="00FC6FDF">
        <w:t xml:space="preserve">For information on preparation of </w:t>
      </w:r>
      <w:proofErr w:type="spellStart"/>
      <w:r w:rsidRPr="00FC6FDF">
        <w:t>Lucentis</w:t>
      </w:r>
      <w:proofErr w:type="spellEnd"/>
      <w:r w:rsidRPr="00FC6FDF">
        <w:t xml:space="preserve">, see </w:t>
      </w:r>
      <w:r w:rsidRPr="00FC6FDF">
        <w:rPr>
          <w:b/>
          <w:bCs/>
        </w:rPr>
        <w:t>Instructions for Use and Handling</w:t>
      </w:r>
      <w:r w:rsidRPr="00FC6FDF">
        <w:t>.</w:t>
      </w:r>
    </w:p>
    <w:p w:rsidR="004D3249" w:rsidRPr="00FC6FDF" w:rsidRDefault="004D3249" w:rsidP="00083762"/>
    <w:p w:rsidR="004D3249" w:rsidRPr="00FC6FDF" w:rsidRDefault="004D3249" w:rsidP="00083762">
      <w:r w:rsidRPr="00FC6FDF">
        <w:t xml:space="preserve">The injection needle should be inserted 3.5 to 4.0 mm posterior to the </w:t>
      </w:r>
      <w:proofErr w:type="spellStart"/>
      <w:r w:rsidRPr="00FC6FDF">
        <w:t>limbus</w:t>
      </w:r>
      <w:proofErr w:type="spellEnd"/>
      <w:r w:rsidRPr="00FC6FDF">
        <w:t xml:space="preserve"> into the vitreous cavity, avoiding the horizontal meridian and aiming towards the centre of the globe. The injection volume of 0.05 mL or 0.03 mL is then delivered; the scleral site should be rotated for subsequent injections.</w:t>
      </w:r>
    </w:p>
    <w:p w:rsidR="004D3249" w:rsidRPr="00FC6FDF" w:rsidRDefault="004D3249" w:rsidP="00083762"/>
    <w:p w:rsidR="004D3249" w:rsidRPr="00FC6FDF" w:rsidRDefault="005220E2" w:rsidP="002A7766">
      <w:pPr>
        <w:pStyle w:val="Heading2"/>
      </w:pPr>
      <w:r w:rsidRPr="00FC6FDF">
        <w:br w:type="page"/>
      </w:r>
      <w:r w:rsidR="004D3249" w:rsidRPr="00FC6FDF">
        <w:lastRenderedPageBreak/>
        <w:t>Instructions for Use and Handling</w:t>
      </w:r>
    </w:p>
    <w:p w:rsidR="00D03298" w:rsidRDefault="00D03298" w:rsidP="00083762">
      <w:pPr>
        <w:rPr>
          <w:b/>
          <w:bCs/>
          <w:lang w:val="en-US" w:eastAsia="zh-CN"/>
        </w:rPr>
      </w:pPr>
      <w:r>
        <w:rPr>
          <w:b/>
          <w:bCs/>
          <w:lang w:val="en-US" w:eastAsia="zh-CN"/>
        </w:rPr>
        <w:t>Vial pack</w:t>
      </w:r>
    </w:p>
    <w:p w:rsidR="004D3249" w:rsidRPr="00FC6FDF" w:rsidRDefault="004D3249" w:rsidP="00083762">
      <w:r w:rsidRPr="00FC6FDF">
        <w:t>Vials are for single use only</w:t>
      </w:r>
      <w:r w:rsidR="00D03298">
        <w:t xml:space="preserve"> </w:t>
      </w:r>
      <w:r w:rsidR="00D03298">
        <w:rPr>
          <w:rFonts w:ascii="TimesNewRomanPSMT" w:hAnsi="TimesNewRomanPSMT" w:cs="TimesNewRomanPSMT"/>
          <w:lang w:val="en-US" w:eastAsia="zh-CN"/>
        </w:rPr>
        <w:t>(see Dosage and administration</w:t>
      </w:r>
      <w:r w:rsidR="00436788">
        <w:rPr>
          <w:rStyle w:val="CommentReference"/>
        </w:rPr>
        <w:t>).</w:t>
      </w:r>
    </w:p>
    <w:p w:rsidR="004D3249" w:rsidRPr="00FC6FDF" w:rsidRDefault="004D3249" w:rsidP="00083762"/>
    <w:p w:rsidR="004D3249" w:rsidRPr="00FC6FDF" w:rsidRDefault="004D3249" w:rsidP="00083762">
      <w:r w:rsidRPr="00FC6FDF">
        <w:t xml:space="preserve">To prepare </w:t>
      </w:r>
      <w:proofErr w:type="spellStart"/>
      <w:r w:rsidRPr="00FC6FDF">
        <w:t>Lucentis</w:t>
      </w:r>
      <w:proofErr w:type="spellEnd"/>
      <w:r w:rsidRPr="00FC6FDF">
        <w:t xml:space="preserve"> for </w:t>
      </w:r>
      <w:proofErr w:type="spellStart"/>
      <w:r w:rsidRPr="00FC6FDF">
        <w:t>intravitreal</w:t>
      </w:r>
      <w:proofErr w:type="spellEnd"/>
      <w:r w:rsidRPr="00FC6FDF">
        <w:t xml:space="preserve"> injection, please adhere to the following instructions:</w:t>
      </w:r>
    </w:p>
    <w:tbl>
      <w:tblPr>
        <w:tblW w:w="0" w:type="auto"/>
        <w:tblLook w:val="01E0" w:firstRow="1" w:lastRow="1" w:firstColumn="1" w:lastColumn="1" w:noHBand="0" w:noVBand="0"/>
      </w:tblPr>
      <w:tblGrid>
        <w:gridCol w:w="2941"/>
        <w:gridCol w:w="6063"/>
      </w:tblGrid>
      <w:tr w:rsidR="001B7649" w:rsidRPr="00FC6FDF" w:rsidTr="001B7649">
        <w:tc>
          <w:tcPr>
            <w:tcW w:w="2942" w:type="dxa"/>
          </w:tcPr>
          <w:p w:rsidR="001B7649" w:rsidRPr="00FC6FDF" w:rsidRDefault="001B7649" w:rsidP="00486FFC">
            <w:pPr>
              <w:widowControl w:val="0"/>
              <w:numPr>
                <w:ilvl w:val="12"/>
                <w:numId w:val="0"/>
              </w:numPr>
              <w:spacing w:line="240" w:lineRule="auto"/>
              <w:ind w:right="-2"/>
            </w:pPr>
            <w:r w:rsidRPr="00FC6FDF">
              <w:t>A.</w:t>
            </w:r>
          </w:p>
          <w:p w:rsidR="001B7649" w:rsidRPr="00FC6FDF" w:rsidRDefault="009326B0" w:rsidP="00486FFC">
            <w:pPr>
              <w:widowControl w:val="0"/>
              <w:numPr>
                <w:ilvl w:val="12"/>
                <w:numId w:val="0"/>
              </w:numPr>
              <w:spacing w:line="240" w:lineRule="auto"/>
              <w:ind w:right="-2"/>
            </w:pPr>
            <w:r>
              <w:rPr>
                <w:noProof/>
                <w:lang w:val="en-AU" w:eastAsia="en-AU"/>
              </w:rPr>
              <w:drawing>
                <wp:inline distT="0" distB="0" distL="0" distR="0" wp14:anchorId="1883749B" wp14:editId="061D2D36">
                  <wp:extent cx="1330325" cy="169799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0325" cy="1697990"/>
                          </a:xfrm>
                          <a:prstGeom prst="rect">
                            <a:avLst/>
                          </a:prstGeom>
                          <a:noFill/>
                          <a:ln>
                            <a:noFill/>
                          </a:ln>
                        </pic:spPr>
                      </pic:pic>
                    </a:graphicData>
                  </a:graphic>
                </wp:inline>
              </w:drawing>
            </w:r>
          </w:p>
        </w:tc>
        <w:tc>
          <w:tcPr>
            <w:tcW w:w="6303" w:type="dxa"/>
          </w:tcPr>
          <w:p w:rsidR="001B7649" w:rsidRPr="00FC6FDF" w:rsidRDefault="001B7649" w:rsidP="00486FFC">
            <w:pPr>
              <w:widowControl w:val="0"/>
              <w:spacing w:line="240" w:lineRule="auto"/>
            </w:pPr>
            <w:r w:rsidRPr="00FC6FDF">
              <w:t>1. Before withdrawal, the outer part of the rubber stopper of the vial should be disinfected.</w:t>
            </w:r>
          </w:p>
          <w:p w:rsidR="001B7649" w:rsidRPr="00FC6FDF" w:rsidRDefault="001B7649" w:rsidP="00486FFC">
            <w:pPr>
              <w:widowControl w:val="0"/>
              <w:spacing w:line="240" w:lineRule="auto"/>
            </w:pPr>
          </w:p>
          <w:p w:rsidR="001B7649" w:rsidRPr="00FC6FDF" w:rsidRDefault="001B7649" w:rsidP="00486FFC">
            <w:pPr>
              <w:widowControl w:val="0"/>
              <w:spacing w:line="240" w:lineRule="auto"/>
            </w:pPr>
            <w:r w:rsidRPr="00FC6FDF">
              <w:t>2. Assemble the 5 µm filter needle (provided) onto the 1 mL syringe (provided) using aseptic technique. Push the blunt filter needle into the centre of the vial stopper until the needle touches the bottom edge of the vial.</w:t>
            </w:r>
          </w:p>
          <w:p w:rsidR="001B7649" w:rsidRPr="00FC6FDF" w:rsidRDefault="001B7649" w:rsidP="00486FFC">
            <w:pPr>
              <w:widowControl w:val="0"/>
              <w:spacing w:line="240" w:lineRule="auto"/>
            </w:pPr>
          </w:p>
          <w:p w:rsidR="001B7649" w:rsidRPr="00FC6FDF" w:rsidRDefault="001B7649" w:rsidP="00486FFC">
            <w:pPr>
              <w:widowControl w:val="0"/>
              <w:spacing w:line="240" w:lineRule="auto"/>
            </w:pPr>
            <w:r w:rsidRPr="00FC6FDF">
              <w:t>3. Withdraw all the liquid from the vial, keeping the vial in an upright position, slightly inclined to ease complete withdrawal.</w:t>
            </w:r>
          </w:p>
          <w:p w:rsidR="001B7649" w:rsidRPr="00FC6FDF" w:rsidRDefault="001B7649" w:rsidP="00486FFC">
            <w:pPr>
              <w:widowControl w:val="0"/>
              <w:spacing w:line="240" w:lineRule="auto"/>
            </w:pPr>
          </w:p>
        </w:tc>
      </w:tr>
      <w:tr w:rsidR="001B7649" w:rsidRPr="00FC6FDF" w:rsidTr="001B7649">
        <w:tc>
          <w:tcPr>
            <w:tcW w:w="2942" w:type="dxa"/>
          </w:tcPr>
          <w:p w:rsidR="001B7649" w:rsidRPr="00FC6FDF" w:rsidRDefault="001B7649" w:rsidP="00486FFC">
            <w:pPr>
              <w:widowControl w:val="0"/>
              <w:numPr>
                <w:ilvl w:val="12"/>
                <w:numId w:val="0"/>
              </w:numPr>
              <w:spacing w:line="240" w:lineRule="auto"/>
              <w:ind w:right="-2"/>
            </w:pPr>
            <w:r w:rsidRPr="00FC6FDF">
              <w:t>B.</w:t>
            </w:r>
          </w:p>
          <w:p w:rsidR="001B7649" w:rsidRPr="00FC6FDF" w:rsidRDefault="009326B0" w:rsidP="00486FFC">
            <w:pPr>
              <w:widowControl w:val="0"/>
              <w:numPr>
                <w:ilvl w:val="12"/>
                <w:numId w:val="0"/>
              </w:numPr>
              <w:spacing w:line="240" w:lineRule="auto"/>
              <w:ind w:right="-2"/>
            </w:pPr>
            <w:r>
              <w:rPr>
                <w:noProof/>
                <w:lang w:val="en-AU" w:eastAsia="en-AU"/>
              </w:rPr>
              <w:drawing>
                <wp:inline distT="0" distB="0" distL="0" distR="0" wp14:anchorId="285C2E5C" wp14:editId="736B4CAC">
                  <wp:extent cx="1235075" cy="1686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5075" cy="1686560"/>
                          </a:xfrm>
                          <a:prstGeom prst="rect">
                            <a:avLst/>
                          </a:prstGeom>
                          <a:noFill/>
                          <a:ln>
                            <a:noFill/>
                          </a:ln>
                        </pic:spPr>
                      </pic:pic>
                    </a:graphicData>
                  </a:graphic>
                </wp:inline>
              </w:drawing>
            </w:r>
          </w:p>
        </w:tc>
        <w:tc>
          <w:tcPr>
            <w:tcW w:w="6303" w:type="dxa"/>
          </w:tcPr>
          <w:p w:rsidR="001B7649" w:rsidRPr="00FC6FDF" w:rsidRDefault="001B7649" w:rsidP="00486FFC">
            <w:pPr>
              <w:widowControl w:val="0"/>
              <w:spacing w:line="240" w:lineRule="auto"/>
            </w:pPr>
          </w:p>
          <w:p w:rsidR="001B7649" w:rsidRPr="00FC6FDF" w:rsidRDefault="001B7649" w:rsidP="00486FFC">
            <w:pPr>
              <w:widowControl w:val="0"/>
              <w:spacing w:line="240" w:lineRule="auto"/>
            </w:pPr>
            <w:r w:rsidRPr="00FC6FDF">
              <w:t>4. Ensure that the plunger rod is drawn sufficiently back when emptying the vial in order to completely empty the filter needle.</w:t>
            </w:r>
          </w:p>
          <w:p w:rsidR="001B7649" w:rsidRPr="00FC6FDF" w:rsidRDefault="001B7649" w:rsidP="001B7649">
            <w:pPr>
              <w:widowControl w:val="0"/>
              <w:spacing w:line="240" w:lineRule="auto"/>
            </w:pPr>
          </w:p>
          <w:p w:rsidR="001B7649" w:rsidRPr="00FC6FDF" w:rsidRDefault="001B7649" w:rsidP="00486FFC">
            <w:pPr>
              <w:widowControl w:val="0"/>
              <w:spacing w:line="240" w:lineRule="auto"/>
            </w:pPr>
            <w:r w:rsidRPr="00FC6FDF">
              <w:t xml:space="preserve">5. Leave the blunt filter needle in the vial and disconnect the syringe from the blunt filter needle. The filter needle should be discarded after withdrawal of the vial contents and should not be used for the </w:t>
            </w:r>
            <w:proofErr w:type="spellStart"/>
            <w:r w:rsidRPr="00FC6FDF">
              <w:t>intravitreal</w:t>
            </w:r>
            <w:proofErr w:type="spellEnd"/>
            <w:r w:rsidRPr="00FC6FDF">
              <w:t xml:space="preserve"> injection.</w:t>
            </w:r>
          </w:p>
        </w:tc>
      </w:tr>
      <w:tr w:rsidR="001B7649" w:rsidRPr="00FC6FDF" w:rsidTr="001B7649">
        <w:tc>
          <w:tcPr>
            <w:tcW w:w="2942" w:type="dxa"/>
          </w:tcPr>
          <w:p w:rsidR="001B7649" w:rsidRPr="00FC6FDF" w:rsidRDefault="001B7649" w:rsidP="00486FFC">
            <w:pPr>
              <w:widowControl w:val="0"/>
              <w:numPr>
                <w:ilvl w:val="12"/>
                <w:numId w:val="0"/>
              </w:numPr>
              <w:spacing w:line="240" w:lineRule="auto"/>
              <w:ind w:right="-2"/>
            </w:pPr>
            <w:r w:rsidRPr="00FC6FDF">
              <w:t>C.</w:t>
            </w:r>
          </w:p>
          <w:p w:rsidR="001B7649" w:rsidRPr="00FC6FDF" w:rsidRDefault="001B7649" w:rsidP="00486FFC">
            <w:pPr>
              <w:widowControl w:val="0"/>
              <w:numPr>
                <w:ilvl w:val="12"/>
                <w:numId w:val="0"/>
              </w:numPr>
              <w:spacing w:line="240" w:lineRule="auto"/>
              <w:ind w:right="-2"/>
            </w:pPr>
          </w:p>
          <w:p w:rsidR="001B7649" w:rsidRPr="00FC6FDF" w:rsidRDefault="009326B0" w:rsidP="00486FFC">
            <w:pPr>
              <w:widowControl w:val="0"/>
              <w:numPr>
                <w:ilvl w:val="12"/>
                <w:numId w:val="0"/>
              </w:numPr>
              <w:spacing w:line="240" w:lineRule="auto"/>
              <w:ind w:right="-2"/>
            </w:pPr>
            <w:r>
              <w:rPr>
                <w:noProof/>
                <w:lang w:val="en-AU" w:eastAsia="en-AU"/>
              </w:rPr>
              <w:drawing>
                <wp:inline distT="0" distB="0" distL="0" distR="0" wp14:anchorId="766946BC" wp14:editId="3FCB9BD9">
                  <wp:extent cx="1151890" cy="1697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1890" cy="1697990"/>
                          </a:xfrm>
                          <a:prstGeom prst="rect">
                            <a:avLst/>
                          </a:prstGeom>
                          <a:noFill/>
                          <a:ln>
                            <a:noFill/>
                          </a:ln>
                        </pic:spPr>
                      </pic:pic>
                    </a:graphicData>
                  </a:graphic>
                </wp:inline>
              </w:drawing>
            </w:r>
          </w:p>
        </w:tc>
        <w:tc>
          <w:tcPr>
            <w:tcW w:w="6303" w:type="dxa"/>
          </w:tcPr>
          <w:p w:rsidR="001B7649" w:rsidRPr="00FC6FDF" w:rsidRDefault="001B7649" w:rsidP="00486FFC">
            <w:pPr>
              <w:widowControl w:val="0"/>
              <w:spacing w:line="240" w:lineRule="auto"/>
            </w:pPr>
          </w:p>
          <w:p w:rsidR="001B7649" w:rsidRPr="00FC6FDF" w:rsidRDefault="001B7649" w:rsidP="00486FFC">
            <w:pPr>
              <w:widowControl w:val="0"/>
              <w:spacing w:line="240" w:lineRule="auto"/>
            </w:pPr>
            <w:r w:rsidRPr="00FC6FDF">
              <w:t>6. Aseptically and firmly assemble the injection needle (provided) onto the syringe.</w:t>
            </w:r>
          </w:p>
          <w:p w:rsidR="001B7649" w:rsidRPr="00FC6FDF" w:rsidRDefault="001B7649" w:rsidP="001B7649">
            <w:pPr>
              <w:widowControl w:val="0"/>
              <w:spacing w:line="240" w:lineRule="auto"/>
            </w:pPr>
          </w:p>
          <w:p w:rsidR="001B7649" w:rsidRPr="00FC6FDF" w:rsidRDefault="001B7649" w:rsidP="00486FFC">
            <w:pPr>
              <w:widowControl w:val="0"/>
              <w:spacing w:line="240" w:lineRule="auto"/>
            </w:pPr>
            <w:r w:rsidRPr="00FC6FDF">
              <w:t>7. Carefully remove the cap from the injection needle without disconnecting the injection needle from the syringe.</w:t>
            </w:r>
          </w:p>
          <w:p w:rsidR="001B7649" w:rsidRPr="00FC6FDF" w:rsidRDefault="001B7649" w:rsidP="001B7649">
            <w:pPr>
              <w:widowControl w:val="0"/>
              <w:spacing w:line="240" w:lineRule="auto"/>
            </w:pPr>
          </w:p>
          <w:p w:rsidR="001B7649" w:rsidRPr="00FC6FDF" w:rsidRDefault="001B7649" w:rsidP="00486FFC">
            <w:pPr>
              <w:widowControl w:val="0"/>
              <w:spacing w:line="240" w:lineRule="auto"/>
            </w:pPr>
            <w:r w:rsidRPr="00FC6FDF">
              <w:t>Note: Grip at the yellow hub of the injection needle while removing the cap.</w:t>
            </w:r>
          </w:p>
          <w:p w:rsidR="001B7649" w:rsidRPr="00FC6FDF" w:rsidRDefault="001B7649" w:rsidP="001B7649">
            <w:pPr>
              <w:widowControl w:val="0"/>
              <w:spacing w:line="240" w:lineRule="auto"/>
            </w:pPr>
          </w:p>
        </w:tc>
      </w:tr>
      <w:tr w:rsidR="001B7649" w:rsidRPr="00FC6FDF">
        <w:tc>
          <w:tcPr>
            <w:tcW w:w="2942" w:type="dxa"/>
          </w:tcPr>
          <w:p w:rsidR="001B7649" w:rsidRPr="00FC6FDF" w:rsidRDefault="001B7649" w:rsidP="00486FFC">
            <w:pPr>
              <w:widowControl w:val="0"/>
              <w:numPr>
                <w:ilvl w:val="12"/>
                <w:numId w:val="0"/>
              </w:numPr>
              <w:spacing w:line="240" w:lineRule="auto"/>
              <w:ind w:right="-2"/>
            </w:pPr>
            <w:r w:rsidRPr="00FC6FDF">
              <w:rPr>
                <w:szCs w:val="22"/>
              </w:rPr>
              <w:t>D.</w:t>
            </w:r>
          </w:p>
          <w:p w:rsidR="001B7649" w:rsidRPr="00FC6FDF" w:rsidRDefault="009326B0" w:rsidP="00486FFC">
            <w:pPr>
              <w:widowControl w:val="0"/>
              <w:numPr>
                <w:ilvl w:val="12"/>
                <w:numId w:val="0"/>
              </w:numPr>
              <w:spacing w:line="240" w:lineRule="auto"/>
              <w:ind w:right="-2"/>
            </w:pPr>
            <w:r>
              <w:rPr>
                <w:noProof/>
                <w:szCs w:val="22"/>
                <w:lang w:val="en-AU" w:eastAsia="en-AU"/>
              </w:rPr>
              <w:lastRenderedPageBreak/>
              <mc:AlternateContent>
                <mc:Choice Requires="wps">
                  <w:drawing>
                    <wp:anchor distT="0" distB="0" distL="114300" distR="114300" simplePos="0" relativeHeight="251657728" behindDoc="0" locked="0" layoutInCell="1" allowOverlap="1" wp14:anchorId="0126AFEC" wp14:editId="4437AD47">
                      <wp:simplePos x="0" y="0"/>
                      <wp:positionH relativeFrom="column">
                        <wp:posOffset>245110</wp:posOffset>
                      </wp:positionH>
                      <wp:positionV relativeFrom="paragraph">
                        <wp:posOffset>715645</wp:posOffset>
                      </wp:positionV>
                      <wp:extent cx="800100" cy="8001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788" w:rsidRDefault="00A97788" w:rsidP="000331C4">
                                  <w:pPr>
                                    <w:rPr>
                                      <w:b/>
                                      <w:sz w:val="26"/>
                                      <w:szCs w:val="26"/>
                                      <w:lang w:val="de-CH"/>
                                    </w:rPr>
                                  </w:pPr>
                                  <w:r w:rsidRPr="000331C4">
                                    <w:rPr>
                                      <w:b/>
                                      <w:sz w:val="26"/>
                                      <w:szCs w:val="26"/>
                                      <w:lang w:val="de-CH"/>
                                    </w:rPr>
                                    <w:t>0.05 mL</w:t>
                                  </w:r>
                                </w:p>
                                <w:p w:rsidR="00A97788" w:rsidRDefault="00A97788" w:rsidP="000331C4">
                                  <w:pPr>
                                    <w:rPr>
                                      <w:b/>
                                      <w:sz w:val="26"/>
                                      <w:szCs w:val="26"/>
                                      <w:lang w:val="de-CH"/>
                                    </w:rPr>
                                  </w:pPr>
                                  <w:r>
                                    <w:rPr>
                                      <w:b/>
                                      <w:sz w:val="26"/>
                                      <w:szCs w:val="26"/>
                                      <w:lang w:val="de-CH"/>
                                    </w:rPr>
                                    <w:t>or</w:t>
                                  </w:r>
                                </w:p>
                                <w:p w:rsidR="00A97788" w:rsidRPr="000331C4" w:rsidRDefault="00A97788" w:rsidP="000331C4">
                                  <w:pPr>
                                    <w:rPr>
                                      <w:b/>
                                      <w:bCs/>
                                      <w:sz w:val="26"/>
                                      <w:szCs w:val="26"/>
                                      <w:lang w:val="de-CH"/>
                                    </w:rPr>
                                  </w:pPr>
                                  <w:r>
                                    <w:rPr>
                                      <w:b/>
                                      <w:sz w:val="26"/>
                                      <w:szCs w:val="26"/>
                                      <w:lang w:val="de-CH"/>
                                    </w:rPr>
                                    <w:t>0.03mL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19.3pt;margin-top:56.3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" stroked="f">
                      <v:textbox>
                        <w:txbxContent>
                          <w:p w:rsidR="00A97788" w:rsidRDefault="00A97788" w:rsidP="000331C4">
                            <w:pPr>
                              <w:rPr>
                                <w:b/>
                                <w:sz w:val="26"/>
                                <w:szCs w:val="26"/>
                                <w:lang w:val="de-CH"/>
                              </w:rPr>
                            </w:pPr>
                            <w:r w:rsidRPr="000331C4">
                              <w:rPr>
                                <w:b/>
                                <w:sz w:val="26"/>
                                <w:szCs w:val="26"/>
                                <w:lang w:val="de-CH"/>
                              </w:rPr>
                              <w:t>0.05 mL</w:t>
                            </w:r>
                          </w:p>
                          <w:p w:rsidR="00A97788" w:rsidRDefault="00A97788" w:rsidP="000331C4">
                            <w:pPr>
                              <w:rPr>
                                <w:b/>
                                <w:sz w:val="26"/>
                                <w:szCs w:val="26"/>
                                <w:lang w:val="de-CH"/>
                              </w:rPr>
                            </w:pPr>
                            <w:r>
                              <w:rPr>
                                <w:b/>
                                <w:sz w:val="26"/>
                                <w:szCs w:val="26"/>
                                <w:lang w:val="de-CH"/>
                              </w:rPr>
                              <w:t>or</w:t>
                            </w:r>
                          </w:p>
                          <w:p w:rsidR="00A97788" w:rsidRPr="000331C4" w:rsidRDefault="00A97788" w:rsidP="000331C4">
                            <w:pPr>
                              <w:rPr>
                                <w:b/>
                                <w:bCs/>
                                <w:sz w:val="26"/>
                                <w:szCs w:val="26"/>
                                <w:lang w:val="de-CH"/>
                              </w:rPr>
                            </w:pPr>
                            <w:r>
                              <w:rPr>
                                <w:b/>
                                <w:sz w:val="26"/>
                                <w:szCs w:val="26"/>
                                <w:lang w:val="de-CH"/>
                              </w:rPr>
                              <w:t>0.03mL</w:t>
                            </w:r>
                          </w:p>
                        </w:txbxContent>
                      </v:textbox>
                    </v:shape>
                  </w:pict>
                </mc:Fallback>
              </mc:AlternateContent>
            </w:r>
            <w:r>
              <w:rPr>
                <w:noProof/>
                <w:lang w:val="en-AU" w:eastAsia="en-AU"/>
              </w:rPr>
              <w:drawing>
                <wp:inline distT="0" distB="0" distL="0" distR="0" wp14:anchorId="26FF4DA5" wp14:editId="2B527182">
                  <wp:extent cx="1710055" cy="1710055"/>
                  <wp:effectExtent l="0" t="0" r="4445" b="4445"/>
                  <wp:docPr id="11" name="Picture 1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0055" cy="1710055"/>
                          </a:xfrm>
                          <a:prstGeom prst="rect">
                            <a:avLst/>
                          </a:prstGeom>
                          <a:noFill/>
                          <a:ln>
                            <a:noFill/>
                          </a:ln>
                        </pic:spPr>
                      </pic:pic>
                    </a:graphicData>
                  </a:graphic>
                </wp:inline>
              </w:drawing>
            </w:r>
          </w:p>
        </w:tc>
        <w:tc>
          <w:tcPr>
            <w:tcW w:w="6303" w:type="dxa"/>
          </w:tcPr>
          <w:p w:rsidR="001B7649" w:rsidRPr="00FC6FDF" w:rsidRDefault="001B7649" w:rsidP="005D2EFE">
            <w:pPr>
              <w:widowControl w:val="0"/>
              <w:spacing w:line="240" w:lineRule="auto"/>
            </w:pPr>
          </w:p>
          <w:p w:rsidR="001B7649" w:rsidRPr="00FC6FDF" w:rsidRDefault="001B7649" w:rsidP="005D2EFE">
            <w:pPr>
              <w:widowControl w:val="0"/>
              <w:spacing w:line="240" w:lineRule="auto"/>
            </w:pPr>
            <w:r w:rsidRPr="00FC6FDF">
              <w:t>8. Carefully expel the air from the syringe and adjust the dose to the 0.05 mL or 0.03mL mark on the syringe. The syringe is ready for injection.</w:t>
            </w:r>
          </w:p>
          <w:p w:rsidR="001B7649" w:rsidRPr="00FC6FDF" w:rsidRDefault="001B7649" w:rsidP="005D2EFE">
            <w:pPr>
              <w:widowControl w:val="0"/>
              <w:numPr>
                <w:ilvl w:val="12"/>
                <w:numId w:val="0"/>
              </w:numPr>
              <w:spacing w:line="240" w:lineRule="auto"/>
              <w:ind w:right="-2"/>
            </w:pPr>
          </w:p>
          <w:p w:rsidR="001B7649" w:rsidRDefault="001B7649" w:rsidP="005D2EFE">
            <w:pPr>
              <w:widowControl w:val="0"/>
              <w:numPr>
                <w:ilvl w:val="12"/>
                <w:numId w:val="0"/>
              </w:numPr>
              <w:spacing w:line="240" w:lineRule="auto"/>
              <w:ind w:right="-2"/>
            </w:pPr>
            <w:r w:rsidRPr="00FC6FDF">
              <w:t>Note</w:t>
            </w:r>
            <w:r w:rsidRPr="00FC6FDF">
              <w:rPr>
                <w:b/>
                <w:bCs/>
              </w:rPr>
              <w:t>:</w:t>
            </w:r>
            <w:r w:rsidRPr="00FC6FDF">
              <w:t xml:space="preserve"> Do not wipe the injection needle. Do not pull back on the plunger.</w:t>
            </w:r>
          </w:p>
          <w:p w:rsidR="00D03298" w:rsidRDefault="00D03298" w:rsidP="005D2EFE">
            <w:pPr>
              <w:widowControl w:val="0"/>
              <w:numPr>
                <w:ilvl w:val="12"/>
                <w:numId w:val="0"/>
              </w:numPr>
              <w:spacing w:line="240" w:lineRule="auto"/>
              <w:ind w:right="-2"/>
            </w:pPr>
          </w:p>
          <w:p w:rsidR="00D03298" w:rsidRPr="00FC6FDF" w:rsidRDefault="00D03298" w:rsidP="00D03298">
            <w:r w:rsidRPr="00FC6FDF">
              <w:t xml:space="preserve">Any unused product or waste material should be disposed of </w:t>
            </w:r>
            <w:r w:rsidRPr="00FC6FDF">
              <w:lastRenderedPageBreak/>
              <w:t>in accordance with local requirements.</w:t>
            </w:r>
          </w:p>
          <w:p w:rsidR="00D03298" w:rsidRPr="00FC6FDF" w:rsidRDefault="00D03298" w:rsidP="005D2EFE">
            <w:pPr>
              <w:widowControl w:val="0"/>
              <w:numPr>
                <w:ilvl w:val="12"/>
                <w:numId w:val="0"/>
              </w:numPr>
              <w:spacing w:line="240" w:lineRule="auto"/>
              <w:ind w:right="-2"/>
            </w:pPr>
          </w:p>
        </w:tc>
      </w:tr>
    </w:tbl>
    <w:p w:rsidR="004D3249" w:rsidRPr="00FC6FDF" w:rsidRDefault="004D3249" w:rsidP="00083762"/>
    <w:p w:rsidR="00D03298" w:rsidRDefault="00D03298" w:rsidP="00D03298">
      <w:pPr>
        <w:autoSpaceDE w:val="0"/>
        <w:autoSpaceDN w:val="0"/>
        <w:adjustRightInd w:val="0"/>
        <w:spacing w:line="240" w:lineRule="auto"/>
        <w:rPr>
          <w:b/>
          <w:bCs/>
          <w:lang w:val="en-US" w:eastAsia="zh-CN"/>
        </w:rPr>
      </w:pPr>
      <w:r>
        <w:rPr>
          <w:b/>
          <w:bCs/>
          <w:lang w:val="en-US" w:eastAsia="zh-CN"/>
        </w:rPr>
        <w:t>Pre-filled syringe pack</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r>
        <w:rPr>
          <w:rFonts w:ascii="TimesNewRomanPSMT" w:hAnsi="TimesNewRomanPSMT" w:cs="TimesNewRomanPSMT"/>
          <w:lang w:val="en-US" w:eastAsia="zh-CN"/>
        </w:rPr>
        <w:t>The pre-filled syringe is for single use only (see Dosage and administration).</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p>
    <w:p w:rsidR="00D03298" w:rsidRDefault="00D03298" w:rsidP="00D03298">
      <w:pPr>
        <w:autoSpaceDE w:val="0"/>
        <w:autoSpaceDN w:val="0"/>
        <w:adjustRightInd w:val="0"/>
        <w:spacing w:line="240" w:lineRule="auto"/>
        <w:rPr>
          <w:rFonts w:ascii="TimesNewRomanPSMT" w:hAnsi="TimesNewRomanPSMT" w:cs="TimesNewRomanPSMT"/>
          <w:lang w:val="en-US" w:eastAsia="zh-CN"/>
        </w:rPr>
      </w:pPr>
      <w:r>
        <w:rPr>
          <w:rFonts w:ascii="TimesNewRomanPSMT" w:hAnsi="TimesNewRomanPSMT" w:cs="TimesNewRomanPSMT"/>
          <w:lang w:val="en-US" w:eastAsia="zh-CN"/>
        </w:rPr>
        <w:t>The pre-filled syringe is sterile. Do not use the pre-filled syringe if the packaging is</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proofErr w:type="gramStart"/>
      <w:r>
        <w:rPr>
          <w:rFonts w:ascii="TimesNewRomanPSMT" w:hAnsi="TimesNewRomanPSMT" w:cs="TimesNewRomanPSMT"/>
          <w:lang w:val="en-US" w:eastAsia="zh-CN"/>
        </w:rPr>
        <w:t>damaged</w:t>
      </w:r>
      <w:proofErr w:type="gramEnd"/>
      <w:r>
        <w:rPr>
          <w:rFonts w:ascii="TimesNewRomanPSMT" w:hAnsi="TimesNewRomanPSMT" w:cs="TimesNewRomanPSMT"/>
          <w:lang w:val="en-US" w:eastAsia="zh-CN"/>
        </w:rPr>
        <w:t>. The sterility of the pre-filled syringe cannot be guaranteed unless the tray</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proofErr w:type="gramStart"/>
      <w:r>
        <w:rPr>
          <w:rFonts w:ascii="TimesNewRomanPSMT" w:hAnsi="TimesNewRomanPSMT" w:cs="TimesNewRomanPSMT"/>
          <w:lang w:val="en-US" w:eastAsia="zh-CN"/>
        </w:rPr>
        <w:t>remains</w:t>
      </w:r>
      <w:proofErr w:type="gramEnd"/>
      <w:r>
        <w:rPr>
          <w:rFonts w:ascii="TimesNewRomanPSMT" w:hAnsi="TimesNewRomanPSMT" w:cs="TimesNewRomanPSMT"/>
          <w:lang w:val="en-US" w:eastAsia="zh-CN"/>
        </w:rPr>
        <w:t xml:space="preserve"> sealed. Do not use the pre-filled syringe if the solution is </w:t>
      </w:r>
      <w:proofErr w:type="spellStart"/>
      <w:r>
        <w:rPr>
          <w:rFonts w:ascii="TimesNewRomanPSMT" w:hAnsi="TimesNewRomanPSMT" w:cs="TimesNewRomanPSMT"/>
          <w:lang w:val="en-US" w:eastAsia="zh-CN"/>
        </w:rPr>
        <w:t>discoloured</w:t>
      </w:r>
      <w:proofErr w:type="spellEnd"/>
      <w:r>
        <w:rPr>
          <w:rFonts w:ascii="TimesNewRomanPSMT" w:hAnsi="TimesNewRomanPSMT" w:cs="TimesNewRomanPSMT"/>
          <w:lang w:val="en-US" w:eastAsia="zh-CN"/>
        </w:rPr>
        <w:t>, cloudy, or</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proofErr w:type="gramStart"/>
      <w:r>
        <w:rPr>
          <w:rFonts w:ascii="TimesNewRomanPSMT" w:hAnsi="TimesNewRomanPSMT" w:cs="TimesNewRomanPSMT"/>
          <w:lang w:val="en-US" w:eastAsia="zh-CN"/>
        </w:rPr>
        <w:t>contains</w:t>
      </w:r>
      <w:proofErr w:type="gramEnd"/>
      <w:r>
        <w:rPr>
          <w:rFonts w:ascii="TimesNewRomanPSMT" w:hAnsi="TimesNewRomanPSMT" w:cs="TimesNewRomanPSMT"/>
          <w:lang w:val="en-US" w:eastAsia="zh-CN"/>
        </w:rPr>
        <w:t xml:space="preserve"> particulates.</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p>
    <w:p w:rsidR="00D03298" w:rsidRDefault="00D03298" w:rsidP="00D03298">
      <w:pPr>
        <w:autoSpaceDE w:val="0"/>
        <w:autoSpaceDN w:val="0"/>
        <w:adjustRightInd w:val="0"/>
        <w:spacing w:line="240" w:lineRule="auto"/>
        <w:rPr>
          <w:rFonts w:ascii="TimesNewRomanPSMT" w:hAnsi="TimesNewRomanPSMT" w:cs="TimesNewRomanPSMT"/>
          <w:lang w:val="en-US" w:eastAsia="zh-CN"/>
        </w:rPr>
      </w:pPr>
      <w:r>
        <w:rPr>
          <w:rFonts w:ascii="TimesNewRomanPSMT" w:hAnsi="TimesNewRomanPSMT" w:cs="TimesNewRomanPSMT"/>
          <w:lang w:val="en-US" w:eastAsia="zh-CN"/>
        </w:rPr>
        <w:t xml:space="preserve">For the </w:t>
      </w:r>
      <w:proofErr w:type="spellStart"/>
      <w:r>
        <w:rPr>
          <w:rFonts w:ascii="TimesNewRomanPSMT" w:hAnsi="TimesNewRomanPSMT" w:cs="TimesNewRomanPSMT"/>
          <w:lang w:val="en-US" w:eastAsia="zh-CN"/>
        </w:rPr>
        <w:t>intravitreal</w:t>
      </w:r>
      <w:proofErr w:type="spellEnd"/>
      <w:r>
        <w:rPr>
          <w:rFonts w:ascii="TimesNewRomanPSMT" w:hAnsi="TimesNewRomanPSMT" w:cs="TimesNewRomanPSMT"/>
          <w:lang w:val="en-US" w:eastAsia="zh-CN"/>
        </w:rPr>
        <w:t xml:space="preserve"> injection, a 30G x 1/2 inch injection needle should be used.</w:t>
      </w:r>
    </w:p>
    <w:p w:rsidR="00D03298" w:rsidRDefault="00D03298" w:rsidP="00D03298">
      <w:pPr>
        <w:autoSpaceDE w:val="0"/>
        <w:autoSpaceDN w:val="0"/>
        <w:adjustRightInd w:val="0"/>
        <w:spacing w:line="240" w:lineRule="auto"/>
        <w:rPr>
          <w:rFonts w:ascii="TimesNewRomanPSMT" w:hAnsi="TimesNewRomanPSMT" w:cs="TimesNewRomanPSMT"/>
          <w:lang w:val="en-US" w:eastAsia="zh-CN"/>
        </w:rPr>
      </w:pPr>
    </w:p>
    <w:p w:rsidR="00D03298" w:rsidRDefault="00D03298" w:rsidP="00D03298">
      <w:pPr>
        <w:autoSpaceDE w:val="0"/>
        <w:autoSpaceDN w:val="0"/>
        <w:adjustRightInd w:val="0"/>
        <w:spacing w:line="240" w:lineRule="auto"/>
        <w:rPr>
          <w:rFonts w:ascii="TimesNewRomanPSMT" w:hAnsi="TimesNewRomanPSMT" w:cs="TimesNewRomanPSMT"/>
          <w:lang w:val="en-US" w:eastAsia="zh-CN"/>
        </w:rPr>
      </w:pPr>
      <w:r>
        <w:rPr>
          <w:rFonts w:ascii="TimesNewRomanPSMT" w:hAnsi="TimesNewRomanPSMT" w:cs="TimesNewRomanPSMT"/>
          <w:lang w:val="en-US" w:eastAsia="zh-CN"/>
        </w:rPr>
        <w:t xml:space="preserve">To prepare </w:t>
      </w:r>
      <w:proofErr w:type="spellStart"/>
      <w:r>
        <w:rPr>
          <w:rFonts w:ascii="TimesNewRomanPSMT" w:hAnsi="TimesNewRomanPSMT" w:cs="TimesNewRomanPSMT"/>
          <w:lang w:val="en-US" w:eastAsia="zh-CN"/>
        </w:rPr>
        <w:t>Lucentis</w:t>
      </w:r>
      <w:proofErr w:type="spellEnd"/>
      <w:r>
        <w:rPr>
          <w:rFonts w:ascii="TimesNewRomanPSMT" w:hAnsi="TimesNewRomanPSMT" w:cs="TimesNewRomanPSMT"/>
          <w:lang w:val="en-US" w:eastAsia="zh-CN"/>
        </w:rPr>
        <w:t xml:space="preserve"> for </w:t>
      </w:r>
      <w:proofErr w:type="spellStart"/>
      <w:r>
        <w:rPr>
          <w:rFonts w:ascii="TimesNewRomanPSMT" w:hAnsi="TimesNewRomanPSMT" w:cs="TimesNewRomanPSMT"/>
          <w:lang w:val="en-US" w:eastAsia="zh-CN"/>
        </w:rPr>
        <w:t>intravitreal</w:t>
      </w:r>
      <w:proofErr w:type="spellEnd"/>
      <w:r>
        <w:rPr>
          <w:rFonts w:ascii="TimesNewRomanPSMT" w:hAnsi="TimesNewRomanPSMT" w:cs="TimesNewRomanPSMT"/>
          <w:lang w:val="en-US" w:eastAsia="zh-CN"/>
        </w:rPr>
        <w:t xml:space="preserve"> administration, please adhere to the instructions for</w:t>
      </w:r>
    </w:p>
    <w:p w:rsidR="004D3249" w:rsidRDefault="00D03298" w:rsidP="00D03298">
      <w:pPr>
        <w:rPr>
          <w:rFonts w:ascii="TimesNewRomanPSMT" w:hAnsi="TimesNewRomanPSMT" w:cs="TimesNewRomanPSMT"/>
          <w:lang w:val="en-US" w:eastAsia="zh-CN"/>
        </w:rPr>
      </w:pPr>
      <w:proofErr w:type="gramStart"/>
      <w:r>
        <w:rPr>
          <w:rFonts w:ascii="TimesNewRomanPSMT" w:hAnsi="TimesNewRomanPSMT" w:cs="TimesNewRomanPSMT"/>
          <w:lang w:val="en-US" w:eastAsia="zh-CN"/>
        </w:rPr>
        <w:t>use</w:t>
      </w:r>
      <w:proofErr w:type="gramEnd"/>
      <w:r>
        <w:rPr>
          <w:rFonts w:ascii="TimesNewRomanPSMT" w:hAnsi="TimesNewRomanPSMT" w:cs="TimesNewRomanPSMT"/>
          <w:lang w:val="en-US" w:eastAsia="zh-CN"/>
        </w:rPr>
        <w:t>:</w:t>
      </w:r>
    </w:p>
    <w:p w:rsidR="00D03298" w:rsidRDefault="00D03298" w:rsidP="00D03298"/>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3260"/>
      </w:tblGrid>
      <w:tr w:rsidR="00D03298" w:rsidRPr="00B72408" w:rsidTr="00D03298">
        <w:trPr>
          <w:tblHeader/>
        </w:trPr>
        <w:tc>
          <w:tcPr>
            <w:tcW w:w="1701" w:type="dxa"/>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ext"/>
              <w:ind w:right="-392"/>
              <w:rPr>
                <w:b/>
                <w:bCs/>
                <w:lang w:eastAsia="ja-JP"/>
              </w:rPr>
            </w:pPr>
            <w:r w:rsidRPr="00B72408">
              <w:rPr>
                <w:b/>
                <w:bCs/>
              </w:rPr>
              <w:t>Heading</w:t>
            </w:r>
          </w:p>
        </w:tc>
        <w:tc>
          <w:tcPr>
            <w:tcW w:w="4253" w:type="dxa"/>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ext"/>
              <w:jc w:val="center"/>
              <w:rPr>
                <w:b/>
                <w:bCs/>
                <w:lang w:eastAsia="ja-JP"/>
              </w:rPr>
            </w:pPr>
            <w:r w:rsidRPr="00B72408">
              <w:rPr>
                <w:b/>
                <w:bCs/>
              </w:rPr>
              <w:t>Instructions</w:t>
            </w:r>
          </w:p>
        </w:tc>
        <w:tc>
          <w:tcPr>
            <w:tcW w:w="3260" w:type="dxa"/>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ext"/>
              <w:jc w:val="center"/>
              <w:rPr>
                <w:b/>
                <w:bCs/>
                <w:lang w:eastAsia="ja-JP"/>
              </w:rPr>
            </w:pPr>
            <w:r w:rsidRPr="00B72408">
              <w:rPr>
                <w:b/>
                <w:bCs/>
              </w:rPr>
              <w:t>Diagram/Image</w:t>
            </w:r>
          </w:p>
        </w:tc>
      </w:tr>
      <w:tr w:rsidR="00D03298" w:rsidRPr="00B72408" w:rsidTr="00D03298">
        <w:tc>
          <w:tcPr>
            <w:tcW w:w="1701" w:type="dxa"/>
            <w:tcBorders>
              <w:top w:val="single" w:sz="4" w:space="0" w:color="auto"/>
              <w:left w:val="single" w:sz="4" w:space="0" w:color="auto"/>
              <w:bottom w:val="single" w:sz="4" w:space="0" w:color="auto"/>
              <w:right w:val="single" w:sz="4" w:space="0" w:color="auto"/>
            </w:tcBorders>
          </w:tcPr>
          <w:p w:rsidR="00D03298" w:rsidRPr="00B72408" w:rsidRDefault="00D03298" w:rsidP="00D047DC">
            <w:pPr>
              <w:pStyle w:val="Table"/>
              <w:rPr>
                <w:rFonts w:ascii="Times New Roman" w:hAnsi="Times New Roman" w:cs="Times New Roman"/>
                <w:b/>
                <w:sz w:val="24"/>
                <w:lang w:val="en-GB" w:eastAsia="en-GB"/>
              </w:rPr>
            </w:pPr>
          </w:p>
        </w:tc>
        <w:tc>
          <w:tcPr>
            <w:tcW w:w="4253" w:type="dxa"/>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able"/>
              <w:tabs>
                <w:tab w:val="clear" w:pos="284"/>
                <w:tab w:val="left" w:pos="720"/>
              </w:tabs>
              <w:spacing w:before="120"/>
              <w:ind w:left="34"/>
              <w:jc w:val="both"/>
              <w:rPr>
                <w:rFonts w:ascii="Times New Roman" w:eastAsia="MS Mincho" w:hAnsi="Times New Roman" w:cs="Times New Roman"/>
                <w:sz w:val="24"/>
                <w:lang w:val="en-GB" w:eastAsia="en-GB"/>
              </w:rPr>
            </w:pPr>
            <w:r w:rsidRPr="00B72408">
              <w:rPr>
                <w:rFonts w:ascii="Times New Roman" w:hAnsi="Times New Roman" w:cs="Times New Roman"/>
                <w:sz w:val="24"/>
                <w:lang w:val="en-GB" w:eastAsia="en-GB"/>
              </w:rPr>
              <w:t xml:space="preserve">Read all the instructions carefully before using </w:t>
            </w:r>
            <w:r w:rsidRPr="00B72408">
              <w:rPr>
                <w:rFonts w:ascii="Times New Roman" w:hAnsi="Times New Roman" w:cs="Times New Roman"/>
                <w:sz w:val="24"/>
                <w:szCs w:val="24"/>
                <w:lang w:val="en-GB" w:eastAsia="en-GB"/>
              </w:rPr>
              <w:t xml:space="preserve">the </w:t>
            </w:r>
            <w:r w:rsidRPr="00B72408">
              <w:rPr>
                <w:rFonts w:ascii="Times New Roman" w:hAnsi="Times New Roman" w:cs="Times New Roman"/>
                <w:sz w:val="24"/>
                <w:szCs w:val="24"/>
                <w:lang w:eastAsia="en-GB"/>
              </w:rPr>
              <w:t>pre-filled syringe</w:t>
            </w:r>
            <w:r w:rsidRPr="00B72408">
              <w:rPr>
                <w:rFonts w:ascii="Times New Roman" w:hAnsi="Times New Roman" w:cs="Times New Roman"/>
                <w:sz w:val="24"/>
                <w:szCs w:val="24"/>
                <w:lang w:val="en-GB" w:eastAsia="en-GB"/>
              </w:rPr>
              <w:t>.</w:t>
            </w:r>
            <w:r w:rsidRPr="00B72408">
              <w:rPr>
                <w:rFonts w:ascii="Times New Roman" w:hAnsi="Times New Roman" w:cs="Times New Roman"/>
                <w:sz w:val="24"/>
                <w:lang w:val="en-GB" w:eastAsia="en-GB"/>
              </w:rPr>
              <w:t xml:space="preserve"> </w:t>
            </w:r>
          </w:p>
          <w:p w:rsidR="00D03298" w:rsidRPr="00B72408" w:rsidRDefault="00D03298" w:rsidP="00D047DC">
            <w:pPr>
              <w:pStyle w:val="Table"/>
              <w:tabs>
                <w:tab w:val="clear" w:pos="284"/>
                <w:tab w:val="left" w:pos="720"/>
              </w:tabs>
              <w:spacing w:before="120"/>
              <w:ind w:left="36"/>
              <w:jc w:val="both"/>
              <w:rPr>
                <w:rFonts w:ascii="Times New Roman" w:hAnsi="Times New Roman" w:cs="Times New Roman"/>
                <w:sz w:val="24"/>
                <w:szCs w:val="24"/>
                <w:lang w:val="en-GB" w:eastAsia="en-GB"/>
              </w:rPr>
            </w:pPr>
            <w:r w:rsidRPr="00B72408">
              <w:rPr>
                <w:rFonts w:ascii="Times New Roman" w:hAnsi="Times New Roman" w:cs="Times New Roman"/>
                <w:sz w:val="24"/>
                <w:szCs w:val="24"/>
                <w:lang w:val="en-GB" w:eastAsia="en-GB"/>
              </w:rPr>
              <w:t xml:space="preserve">The </w:t>
            </w:r>
            <w:r w:rsidRPr="00B72408">
              <w:rPr>
                <w:rFonts w:ascii="Times New Roman" w:hAnsi="Times New Roman" w:cs="Times New Roman"/>
                <w:sz w:val="24"/>
                <w:szCs w:val="24"/>
                <w:lang w:eastAsia="en-GB"/>
              </w:rPr>
              <w:t>pre-filled syringe</w:t>
            </w:r>
            <w:r w:rsidRPr="00B72408">
              <w:rPr>
                <w:rFonts w:ascii="Times New Roman" w:hAnsi="Times New Roman" w:cs="Times New Roman"/>
                <w:sz w:val="24"/>
                <w:szCs w:val="24"/>
                <w:lang w:val="en-GB" w:eastAsia="en-GB"/>
              </w:rPr>
              <w:t xml:space="preserve"> is for single use only. </w:t>
            </w:r>
            <w:r w:rsidRPr="00B72408">
              <w:rPr>
                <w:rFonts w:ascii="Times New Roman" w:hAnsi="Times New Roman" w:cs="Times New Roman"/>
                <w:sz w:val="24"/>
                <w:szCs w:val="24"/>
                <w:lang w:eastAsia="en-GB"/>
              </w:rPr>
              <w:t xml:space="preserve">The pre-filled syringe </w:t>
            </w:r>
            <w:r w:rsidRPr="00B72408">
              <w:rPr>
                <w:rFonts w:ascii="Times New Roman" w:hAnsi="Times New Roman" w:cs="Times New Roman"/>
                <w:sz w:val="24"/>
                <w:szCs w:val="24"/>
                <w:lang w:val="en-GB" w:eastAsia="en-GB"/>
              </w:rPr>
              <w:t xml:space="preserve">is sterile. Do not </w:t>
            </w:r>
            <w:proofErr w:type="gramStart"/>
            <w:r w:rsidRPr="00B72408">
              <w:rPr>
                <w:rFonts w:ascii="Times New Roman" w:hAnsi="Times New Roman" w:cs="Times New Roman"/>
                <w:sz w:val="24"/>
                <w:szCs w:val="24"/>
                <w:lang w:val="en-GB" w:eastAsia="en-GB"/>
              </w:rPr>
              <w:t xml:space="preserve">use  </w:t>
            </w:r>
            <w:r w:rsidRPr="00B72408">
              <w:rPr>
                <w:rFonts w:ascii="Times New Roman" w:hAnsi="Times New Roman" w:cs="Times New Roman"/>
                <w:sz w:val="24"/>
                <w:szCs w:val="24"/>
                <w:lang w:eastAsia="en-GB"/>
              </w:rPr>
              <w:t>the</w:t>
            </w:r>
            <w:proofErr w:type="gramEnd"/>
            <w:r w:rsidRPr="00B72408">
              <w:rPr>
                <w:rFonts w:ascii="Times New Roman" w:hAnsi="Times New Roman" w:cs="Times New Roman"/>
                <w:sz w:val="24"/>
                <w:szCs w:val="24"/>
                <w:lang w:eastAsia="en-GB"/>
              </w:rPr>
              <w:t xml:space="preserve"> product if the </w:t>
            </w:r>
            <w:r w:rsidRPr="00B72408">
              <w:rPr>
                <w:rFonts w:ascii="Times New Roman" w:hAnsi="Times New Roman" w:cs="Times New Roman"/>
                <w:sz w:val="24"/>
                <w:szCs w:val="24"/>
                <w:lang w:val="en-GB" w:eastAsia="en-GB"/>
              </w:rPr>
              <w:t xml:space="preserve">packaging is damaged. </w:t>
            </w:r>
            <w:r w:rsidRPr="00B72408">
              <w:rPr>
                <w:rFonts w:ascii="Times New Roman" w:hAnsi="Times New Roman" w:cs="Times New Roman"/>
                <w:sz w:val="24"/>
                <w:szCs w:val="24"/>
                <w:lang w:eastAsia="en-GB"/>
              </w:rPr>
              <w:t xml:space="preserve">The opening of the sealed tray and all subsequent steps should be done under aseptic conditions.   </w:t>
            </w:r>
          </w:p>
          <w:p w:rsidR="00D03298" w:rsidRPr="00B72408" w:rsidRDefault="00D03298" w:rsidP="00D047DC">
            <w:pPr>
              <w:pStyle w:val="Table"/>
              <w:tabs>
                <w:tab w:val="clear" w:pos="284"/>
                <w:tab w:val="left" w:pos="720"/>
              </w:tabs>
              <w:spacing w:before="120"/>
              <w:ind w:left="34" w:hanging="34"/>
              <w:jc w:val="both"/>
              <w:rPr>
                <w:rFonts w:ascii="Times New Roman" w:hAnsi="Times New Roman" w:cs="Times New Roman"/>
                <w:sz w:val="24"/>
                <w:lang w:val="en-GB" w:eastAsia="en-GB"/>
              </w:rPr>
            </w:pPr>
          </w:p>
          <w:p w:rsidR="00D03298" w:rsidRPr="00B72408" w:rsidRDefault="00D03298" w:rsidP="00D047DC">
            <w:pPr>
              <w:pStyle w:val="Table"/>
              <w:tabs>
                <w:tab w:val="clear" w:pos="284"/>
                <w:tab w:val="left" w:pos="720"/>
              </w:tabs>
              <w:spacing w:before="120"/>
              <w:ind w:left="34"/>
              <w:jc w:val="both"/>
              <w:rPr>
                <w:rFonts w:ascii="Times New Roman" w:hAnsi="Times New Roman" w:cs="Times New Roman"/>
                <w:b/>
                <w:lang w:val="en-GB" w:eastAsia="en-GB"/>
              </w:rPr>
            </w:pPr>
            <w:r w:rsidRPr="00B72408">
              <w:rPr>
                <w:rFonts w:ascii="Times New Roman" w:hAnsi="Times New Roman" w:cs="Times New Roman"/>
                <w:b/>
                <w:sz w:val="24"/>
                <w:lang w:val="en-GB" w:eastAsia="en-GB"/>
              </w:rPr>
              <w:t>Note:  The dose must be set to 0.05 mL</w:t>
            </w:r>
          </w:p>
        </w:tc>
        <w:tc>
          <w:tcPr>
            <w:tcW w:w="3260" w:type="dxa"/>
            <w:tcBorders>
              <w:top w:val="single" w:sz="4" w:space="0" w:color="auto"/>
              <w:left w:val="single" w:sz="4" w:space="0" w:color="auto"/>
              <w:bottom w:val="single" w:sz="4" w:space="0" w:color="auto"/>
              <w:right w:val="single" w:sz="4" w:space="0" w:color="auto"/>
            </w:tcBorders>
            <w:vAlign w:val="center"/>
          </w:tcPr>
          <w:p w:rsidR="00D03298" w:rsidRPr="00B72408" w:rsidRDefault="00D03298" w:rsidP="00D047DC">
            <w:pPr>
              <w:pStyle w:val="Table"/>
              <w:rPr>
                <w:rFonts w:ascii="Times New Roman" w:hAnsi="Times New Roman" w:cs="Times New Roman"/>
                <w:i/>
                <w:color w:val="A6A6A6"/>
                <w:sz w:val="24"/>
                <w:lang w:val="en-GB" w:eastAsia="en-GB"/>
              </w:rPr>
            </w:pPr>
          </w:p>
        </w:tc>
      </w:tr>
      <w:tr w:rsidR="00D03298" w:rsidRPr="00B72408" w:rsidTr="00D03298">
        <w:tc>
          <w:tcPr>
            <w:tcW w:w="1701" w:type="dxa"/>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able"/>
              <w:rPr>
                <w:rFonts w:ascii="Times New Roman" w:hAnsi="Times New Roman" w:cs="Times New Roman"/>
                <w:b/>
                <w:sz w:val="24"/>
                <w:lang w:val="en-GB" w:eastAsia="en-GB"/>
              </w:rPr>
            </w:pPr>
            <w:r w:rsidRPr="00B72408">
              <w:rPr>
                <w:rFonts w:ascii="Times New Roman" w:hAnsi="Times New Roman" w:cs="Times New Roman"/>
                <w:b/>
                <w:sz w:val="24"/>
                <w:lang w:val="en-GB" w:eastAsia="en-GB"/>
              </w:rPr>
              <w:lastRenderedPageBreak/>
              <w:t>Pre-filled syringe description</w:t>
            </w:r>
          </w:p>
        </w:tc>
        <w:tc>
          <w:tcPr>
            <w:tcW w:w="7513" w:type="dxa"/>
            <w:gridSpan w:val="2"/>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able"/>
              <w:rPr>
                <w:rFonts w:ascii="Times New Roman" w:hAnsi="Times New Roman" w:cs="Times New Roman"/>
                <w:i/>
                <w:color w:val="A6A6A6"/>
                <w:sz w:val="24"/>
                <w:lang w:val="en-GB" w:eastAsia="en-GB"/>
              </w:rPr>
            </w:pPr>
            <w:r w:rsidRPr="00DD0F43">
              <w:rPr>
                <w:rFonts w:ascii="Times New Roman" w:hAnsi="Times New Roman" w:cs="Times New Roman"/>
                <w:b/>
                <w:noProof/>
                <w:lang w:val="en-AU" w:eastAsia="en-AU"/>
              </w:rPr>
              <w:drawing>
                <wp:inline distT="0" distB="0" distL="0" distR="0" wp14:anchorId="14D95568" wp14:editId="70AE2DB3">
                  <wp:extent cx="4095750" cy="1790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0" cy="1790700"/>
                          </a:xfrm>
                          <a:prstGeom prst="rect">
                            <a:avLst/>
                          </a:prstGeom>
                          <a:noFill/>
                          <a:ln>
                            <a:noFill/>
                          </a:ln>
                        </pic:spPr>
                      </pic:pic>
                    </a:graphicData>
                  </a:graphic>
                </wp:inline>
              </w:drawing>
            </w:r>
          </w:p>
        </w:tc>
      </w:tr>
      <w:tr w:rsidR="00D03298" w:rsidRPr="00B72408" w:rsidTr="00D03298">
        <w:tc>
          <w:tcPr>
            <w:tcW w:w="1701" w:type="dxa"/>
            <w:tcBorders>
              <w:top w:val="single" w:sz="4" w:space="0" w:color="auto"/>
              <w:left w:val="single" w:sz="4" w:space="0" w:color="auto"/>
              <w:bottom w:val="single" w:sz="4" w:space="0" w:color="auto"/>
              <w:right w:val="single" w:sz="4" w:space="0" w:color="auto"/>
            </w:tcBorders>
            <w:hideMark/>
          </w:tcPr>
          <w:p w:rsidR="00D03298" w:rsidRPr="00B72408" w:rsidRDefault="00D03298" w:rsidP="00D047DC">
            <w:pPr>
              <w:pStyle w:val="Table"/>
              <w:rPr>
                <w:rFonts w:ascii="Times New Roman" w:hAnsi="Times New Roman" w:cs="Times New Roman"/>
                <w:sz w:val="24"/>
                <w:lang w:eastAsia="ja-JP"/>
              </w:rPr>
            </w:pPr>
            <w:r w:rsidRPr="00B72408">
              <w:rPr>
                <w:rFonts w:ascii="Times New Roman" w:hAnsi="Times New Roman" w:cs="Times New Roman"/>
                <w:b/>
                <w:sz w:val="24"/>
                <w:lang w:val="en-GB" w:eastAsia="en-GB"/>
              </w:rPr>
              <w:t>Prepare</w:t>
            </w:r>
          </w:p>
        </w:tc>
        <w:tc>
          <w:tcPr>
            <w:tcW w:w="4253" w:type="dxa"/>
            <w:tcBorders>
              <w:top w:val="single" w:sz="4" w:space="0" w:color="auto"/>
              <w:left w:val="single" w:sz="4" w:space="0" w:color="auto"/>
              <w:bottom w:val="single" w:sz="4" w:space="0" w:color="auto"/>
              <w:right w:val="single" w:sz="4" w:space="0" w:color="auto"/>
            </w:tcBorders>
          </w:tcPr>
          <w:p w:rsidR="00D03298" w:rsidRPr="00B72408" w:rsidRDefault="00D03298" w:rsidP="00D047DC">
            <w:pPr>
              <w:pStyle w:val="Table"/>
              <w:ind w:left="284" w:hanging="284"/>
              <w:jc w:val="both"/>
              <w:rPr>
                <w:rFonts w:ascii="Times New Roman" w:eastAsia="MS Mincho" w:hAnsi="Times New Roman" w:cs="Times New Roman"/>
                <w:sz w:val="24"/>
                <w:lang w:val="en-GB" w:eastAsia="en-GB"/>
              </w:rPr>
            </w:pPr>
            <w:r w:rsidRPr="00B72408">
              <w:rPr>
                <w:rFonts w:ascii="Times New Roman" w:hAnsi="Times New Roman" w:cs="Times New Roman"/>
                <w:sz w:val="24"/>
                <w:lang w:val="en-GB" w:eastAsia="en-GB"/>
              </w:rPr>
              <w:t>1.</w:t>
            </w:r>
            <w:r w:rsidRPr="00B72408">
              <w:rPr>
                <w:rFonts w:ascii="Times New Roman" w:hAnsi="Times New Roman" w:cs="Times New Roman"/>
                <w:sz w:val="24"/>
                <w:lang w:val="en-GB" w:eastAsia="en-GB"/>
              </w:rPr>
              <w:tab/>
              <w:t>Make sure that your pack contains:</w:t>
            </w:r>
          </w:p>
          <w:p w:rsidR="00D03298" w:rsidRPr="00B72408" w:rsidRDefault="00D03298" w:rsidP="00D03298">
            <w:pPr>
              <w:pStyle w:val="Listlevel1"/>
              <w:numPr>
                <w:ilvl w:val="0"/>
                <w:numId w:val="34"/>
              </w:numPr>
              <w:tabs>
                <w:tab w:val="left" w:pos="284"/>
              </w:tabs>
              <w:ind w:left="568" w:hanging="284"/>
              <w:jc w:val="both"/>
              <w:rPr>
                <w:szCs w:val="24"/>
                <w:lang w:val="en-GB" w:eastAsia="en-GB"/>
              </w:rPr>
            </w:pPr>
            <w:proofErr w:type="gramStart"/>
            <w:r w:rsidRPr="00B72408">
              <w:rPr>
                <w:szCs w:val="24"/>
                <w:lang w:val="en-GB" w:eastAsia="en-GB"/>
              </w:rPr>
              <w:t>a</w:t>
            </w:r>
            <w:proofErr w:type="gramEnd"/>
            <w:r w:rsidRPr="00B72408">
              <w:rPr>
                <w:szCs w:val="24"/>
                <w:lang w:val="en-GB" w:eastAsia="en-GB"/>
              </w:rPr>
              <w:t xml:space="preserve"> sterile pre-filled syringe in a sealed tray.</w:t>
            </w:r>
          </w:p>
          <w:p w:rsidR="00D03298" w:rsidRPr="00B72408" w:rsidRDefault="00D03298" w:rsidP="00D047DC">
            <w:pPr>
              <w:pStyle w:val="Table"/>
              <w:ind w:left="284" w:hanging="284"/>
              <w:jc w:val="both"/>
              <w:rPr>
                <w:rFonts w:ascii="Times New Roman" w:hAnsi="Times New Roman" w:cs="Times New Roman"/>
                <w:sz w:val="24"/>
                <w:szCs w:val="24"/>
                <w:lang w:val="en-GB" w:eastAsia="en-GB"/>
              </w:rPr>
            </w:pPr>
            <w:r w:rsidRPr="00B72408">
              <w:rPr>
                <w:rFonts w:ascii="Times New Roman" w:hAnsi="Times New Roman" w:cs="Times New Roman"/>
                <w:sz w:val="24"/>
                <w:lang w:val="en-GB" w:eastAsia="en-GB"/>
              </w:rPr>
              <w:t>2.</w:t>
            </w:r>
            <w:r w:rsidRPr="00B72408">
              <w:rPr>
                <w:rFonts w:ascii="Times New Roman" w:hAnsi="Times New Roman" w:cs="Times New Roman"/>
                <w:sz w:val="24"/>
                <w:lang w:val="en-GB" w:eastAsia="en-GB"/>
              </w:rPr>
              <w:tab/>
              <w:t>Peel the lid off the syringe tray and, using aseptic technique, carefully remove the syringe.</w:t>
            </w:r>
          </w:p>
          <w:p w:rsidR="00D03298" w:rsidRPr="00B72408" w:rsidRDefault="00D03298" w:rsidP="00D047DC">
            <w:pPr>
              <w:pStyle w:val="Table"/>
              <w:ind w:left="284" w:hanging="284"/>
              <w:rPr>
                <w:rFonts w:ascii="Times New Roman" w:hAnsi="Times New Roman" w:cs="Times New Roman"/>
                <w:b/>
                <w:bCs/>
                <w:sz w:val="24"/>
                <w:lang w:eastAsia="ja-JP"/>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03298" w:rsidRPr="00B72408" w:rsidRDefault="00D03298" w:rsidP="00D047DC">
            <w:pPr>
              <w:pStyle w:val="Table"/>
              <w:rPr>
                <w:rFonts w:ascii="Times New Roman" w:hAnsi="Times New Roman" w:cs="Times New Roman"/>
                <w:b/>
                <w:bCs/>
                <w:i/>
                <w:color w:val="A6A6A6"/>
                <w:sz w:val="24"/>
                <w:lang w:eastAsia="ja-JP"/>
              </w:rPr>
            </w:pPr>
          </w:p>
        </w:tc>
      </w:tr>
      <w:tr w:rsidR="00D03298" w:rsidRPr="00B72408" w:rsidTr="00D047DC">
        <w:tblPrEx>
          <w:tblLook w:val="0000" w:firstRow="0" w:lastRow="0" w:firstColumn="0" w:lastColumn="0" w:noHBand="0" w:noVBand="0"/>
        </w:tblPrEx>
        <w:tc>
          <w:tcPr>
            <w:tcW w:w="1701" w:type="dxa"/>
          </w:tcPr>
          <w:p w:rsidR="00D03298" w:rsidRPr="00B72408" w:rsidRDefault="00D03298" w:rsidP="00D047DC">
            <w:pPr>
              <w:pStyle w:val="Table"/>
              <w:rPr>
                <w:rFonts w:ascii="Times New Roman" w:hAnsi="Times New Roman" w:cs="Times New Roman"/>
                <w:b/>
                <w:sz w:val="24"/>
                <w:lang w:val="en-GB" w:eastAsia="en-GB"/>
              </w:rPr>
            </w:pPr>
            <w:r w:rsidRPr="00B72408">
              <w:rPr>
                <w:rFonts w:ascii="Times New Roman" w:hAnsi="Times New Roman" w:cs="Times New Roman"/>
                <w:b/>
                <w:sz w:val="24"/>
                <w:lang w:val="en-GB" w:eastAsia="en-GB"/>
              </w:rPr>
              <w:t>Check syringe</w:t>
            </w:r>
          </w:p>
        </w:tc>
        <w:tc>
          <w:tcPr>
            <w:tcW w:w="4253" w:type="dxa"/>
          </w:tcPr>
          <w:p w:rsidR="00D03298" w:rsidRPr="00B72408" w:rsidRDefault="00D03298" w:rsidP="00D047DC">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3.</w:t>
            </w:r>
            <w:r w:rsidRPr="00B72408">
              <w:rPr>
                <w:rFonts w:ascii="Times New Roman" w:hAnsi="Times New Roman" w:cs="Times New Roman"/>
                <w:sz w:val="24"/>
                <w:lang w:val="en-GB" w:eastAsia="en-GB"/>
              </w:rPr>
              <w:tab/>
              <w:t>Check that:</w:t>
            </w:r>
          </w:p>
          <w:p w:rsidR="00D03298" w:rsidRPr="00B72408" w:rsidRDefault="00D03298" w:rsidP="00D03298">
            <w:pPr>
              <w:pStyle w:val="Listlevel1"/>
              <w:numPr>
                <w:ilvl w:val="0"/>
                <w:numId w:val="34"/>
              </w:numPr>
              <w:tabs>
                <w:tab w:val="clear" w:pos="357"/>
                <w:tab w:val="left" w:pos="284"/>
              </w:tabs>
              <w:ind w:left="568" w:hanging="284"/>
              <w:jc w:val="both"/>
              <w:rPr>
                <w:szCs w:val="24"/>
                <w:lang w:val="en-GB" w:eastAsia="en-GB"/>
              </w:rPr>
            </w:pPr>
            <w:proofErr w:type="gramStart"/>
            <w:r w:rsidRPr="00B72408">
              <w:rPr>
                <w:szCs w:val="24"/>
                <w:lang w:val="en-GB" w:eastAsia="en-GB"/>
              </w:rPr>
              <w:t>the</w:t>
            </w:r>
            <w:proofErr w:type="gramEnd"/>
            <w:r w:rsidRPr="00B72408">
              <w:rPr>
                <w:szCs w:val="24"/>
                <w:lang w:val="en-GB" w:eastAsia="en-GB"/>
              </w:rPr>
              <w:t xml:space="preserve"> syringe cap is not detached from the </w:t>
            </w:r>
            <w:proofErr w:type="spellStart"/>
            <w:r w:rsidRPr="00B72408">
              <w:rPr>
                <w:szCs w:val="24"/>
                <w:lang w:val="en-GB" w:eastAsia="en-GB"/>
              </w:rPr>
              <w:t>Luer</w:t>
            </w:r>
            <w:proofErr w:type="spellEnd"/>
            <w:r w:rsidRPr="00B72408">
              <w:rPr>
                <w:szCs w:val="24"/>
                <w:lang w:val="en-GB" w:eastAsia="en-GB"/>
              </w:rPr>
              <w:t xml:space="preserve"> Lock.</w:t>
            </w:r>
          </w:p>
          <w:p w:rsidR="00D03298" w:rsidRPr="00B72408" w:rsidRDefault="00D03298" w:rsidP="00D03298">
            <w:pPr>
              <w:pStyle w:val="Listlevel1"/>
              <w:numPr>
                <w:ilvl w:val="0"/>
                <w:numId w:val="34"/>
              </w:numPr>
              <w:tabs>
                <w:tab w:val="clear" w:pos="357"/>
                <w:tab w:val="left" w:pos="284"/>
              </w:tabs>
              <w:ind w:left="568" w:hanging="284"/>
              <w:jc w:val="both"/>
              <w:rPr>
                <w:szCs w:val="24"/>
                <w:lang w:val="en-GB" w:eastAsia="en-GB"/>
              </w:rPr>
            </w:pPr>
            <w:proofErr w:type="gramStart"/>
            <w:r w:rsidRPr="00B72408">
              <w:rPr>
                <w:szCs w:val="24"/>
                <w:lang w:val="en-GB" w:eastAsia="en-GB"/>
              </w:rPr>
              <w:t>the</w:t>
            </w:r>
            <w:proofErr w:type="gramEnd"/>
            <w:r w:rsidRPr="00B72408">
              <w:rPr>
                <w:szCs w:val="24"/>
                <w:lang w:val="en-GB" w:eastAsia="en-GB"/>
              </w:rPr>
              <w:t xml:space="preserve"> syringe is not damaged.</w:t>
            </w:r>
          </w:p>
          <w:p w:rsidR="00D03298" w:rsidRPr="00B72408" w:rsidRDefault="00D03298" w:rsidP="00D03298">
            <w:pPr>
              <w:pStyle w:val="Listlevel1"/>
              <w:numPr>
                <w:ilvl w:val="0"/>
                <w:numId w:val="34"/>
              </w:numPr>
              <w:tabs>
                <w:tab w:val="clear" w:pos="357"/>
                <w:tab w:val="left" w:pos="284"/>
              </w:tabs>
              <w:ind w:left="568" w:hanging="284"/>
              <w:jc w:val="both"/>
              <w:rPr>
                <w:szCs w:val="24"/>
                <w:lang w:val="en-GB" w:eastAsia="en-GB"/>
              </w:rPr>
            </w:pPr>
            <w:proofErr w:type="gramStart"/>
            <w:r w:rsidRPr="00B72408">
              <w:rPr>
                <w:szCs w:val="24"/>
                <w:lang w:val="en-GB" w:eastAsia="en-GB"/>
              </w:rPr>
              <w:t>the</w:t>
            </w:r>
            <w:proofErr w:type="gramEnd"/>
            <w:r w:rsidRPr="00B72408">
              <w:rPr>
                <w:szCs w:val="24"/>
                <w:lang w:val="en-GB" w:eastAsia="en-GB"/>
              </w:rPr>
              <w:t xml:space="preserve"> drug solution looks clear, colourless to pale </w:t>
            </w:r>
            <w:r w:rsidRPr="00B72408">
              <w:rPr>
                <w:lang w:val="en-GB"/>
              </w:rPr>
              <w:t xml:space="preserve">yellow </w:t>
            </w:r>
            <w:r w:rsidRPr="00B72408">
              <w:rPr>
                <w:szCs w:val="24"/>
                <w:lang w:val="en-GB" w:eastAsia="en-GB"/>
              </w:rPr>
              <w:t>and does not contain any particulates.</w:t>
            </w:r>
          </w:p>
          <w:p w:rsidR="00D03298" w:rsidRPr="00B72408" w:rsidRDefault="00D03298" w:rsidP="00D047DC">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4.</w:t>
            </w:r>
            <w:r w:rsidRPr="00B72408">
              <w:rPr>
                <w:rFonts w:ascii="Times New Roman" w:hAnsi="Times New Roman" w:cs="Times New Roman"/>
                <w:sz w:val="24"/>
                <w:lang w:val="en-GB" w:eastAsia="en-GB"/>
              </w:rPr>
              <w:tab/>
              <w:t>If any of the above is not true, discard the pre-filled syringe and use a new one.</w:t>
            </w:r>
          </w:p>
        </w:tc>
        <w:tc>
          <w:tcPr>
            <w:tcW w:w="3260" w:type="dxa"/>
            <w:vAlign w:val="center"/>
          </w:tcPr>
          <w:p w:rsidR="00D03298" w:rsidRPr="00B72408" w:rsidRDefault="00D03298" w:rsidP="00D047DC">
            <w:pPr>
              <w:pStyle w:val="Text"/>
              <w:jc w:val="left"/>
              <w:rPr>
                <w:i/>
                <w:color w:val="808080"/>
                <w:lang w:eastAsia="en-GB"/>
              </w:rPr>
            </w:pPr>
          </w:p>
        </w:tc>
      </w:tr>
      <w:tr w:rsidR="00D03298" w:rsidRPr="00B72408" w:rsidTr="00D047DC">
        <w:tblPrEx>
          <w:tblLook w:val="0000" w:firstRow="0" w:lastRow="0" w:firstColumn="0" w:lastColumn="0" w:noHBand="0" w:noVBand="0"/>
        </w:tblPrEx>
        <w:trPr>
          <w:trHeight w:val="2665"/>
        </w:trPr>
        <w:tc>
          <w:tcPr>
            <w:tcW w:w="1701" w:type="dxa"/>
          </w:tcPr>
          <w:p w:rsidR="00D03298" w:rsidRPr="00B72408" w:rsidRDefault="00D03298" w:rsidP="00D047DC">
            <w:pPr>
              <w:pStyle w:val="Table"/>
              <w:rPr>
                <w:rFonts w:ascii="Times New Roman" w:hAnsi="Times New Roman" w:cs="Times New Roman"/>
                <w:b/>
                <w:sz w:val="24"/>
              </w:rPr>
            </w:pPr>
            <w:r w:rsidRPr="00B72408">
              <w:rPr>
                <w:rFonts w:ascii="Times New Roman" w:hAnsi="Times New Roman" w:cs="Times New Roman"/>
                <w:b/>
                <w:sz w:val="24"/>
                <w:lang w:val="en-GB" w:eastAsia="en-GB"/>
              </w:rPr>
              <w:t>Remove syringe cap</w:t>
            </w:r>
          </w:p>
        </w:tc>
        <w:tc>
          <w:tcPr>
            <w:tcW w:w="4253" w:type="dxa"/>
          </w:tcPr>
          <w:p w:rsidR="00D03298" w:rsidRPr="00B72408" w:rsidRDefault="00D03298" w:rsidP="00D047DC">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5.</w:t>
            </w:r>
            <w:r w:rsidRPr="00B72408">
              <w:rPr>
                <w:rFonts w:ascii="Times New Roman" w:hAnsi="Times New Roman" w:cs="Times New Roman"/>
                <w:sz w:val="24"/>
                <w:lang w:val="en-GB" w:eastAsia="en-GB"/>
              </w:rPr>
              <w:tab/>
              <w:t>Snap off (do not turn or twist) the syringe cap (see Figure 2).</w:t>
            </w:r>
          </w:p>
          <w:p w:rsidR="00D03298" w:rsidRPr="00B72408" w:rsidRDefault="00D03298" w:rsidP="00D047DC">
            <w:pPr>
              <w:pStyle w:val="Table"/>
              <w:ind w:left="284" w:hanging="284"/>
              <w:jc w:val="both"/>
              <w:rPr>
                <w:rFonts w:ascii="Times New Roman" w:hAnsi="Times New Roman" w:cs="Times New Roman"/>
                <w:b/>
                <w:bCs/>
                <w:sz w:val="24"/>
              </w:rPr>
            </w:pPr>
            <w:r w:rsidRPr="00B72408">
              <w:rPr>
                <w:rFonts w:ascii="Times New Roman" w:hAnsi="Times New Roman" w:cs="Times New Roman"/>
                <w:sz w:val="24"/>
                <w:lang w:val="en-GB" w:eastAsia="en-GB"/>
              </w:rPr>
              <w:t>6.</w:t>
            </w:r>
            <w:r w:rsidRPr="00B72408">
              <w:rPr>
                <w:rFonts w:ascii="Times New Roman" w:hAnsi="Times New Roman" w:cs="Times New Roman"/>
                <w:sz w:val="24"/>
                <w:lang w:val="en-GB" w:eastAsia="en-GB"/>
              </w:rPr>
              <w:tab/>
              <w:t>Dispose of the syringe cap (see Figure 3).</w:t>
            </w:r>
          </w:p>
        </w:tc>
        <w:tc>
          <w:tcPr>
            <w:tcW w:w="3260" w:type="dxa"/>
          </w:tcPr>
          <w:p w:rsidR="00D03298" w:rsidRPr="00B72408" w:rsidRDefault="00D03298" w:rsidP="00D047DC">
            <w:pPr>
              <w:pStyle w:val="Text"/>
              <w:jc w:val="left"/>
              <w:rPr>
                <w:b/>
                <w:bCs/>
              </w:rPr>
            </w:pPr>
            <w:r w:rsidRPr="00DD0F43">
              <w:rPr>
                <w:b/>
                <w:bCs/>
                <w:noProof/>
                <w:lang w:val="en-AU" w:eastAsia="en-AU"/>
              </w:rPr>
              <w:drawing>
                <wp:inline distT="0" distB="0" distL="0" distR="0" wp14:anchorId="651C31B3" wp14:editId="05AB7BAB">
                  <wp:extent cx="1943100" cy="1447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69264"/>
                          <a:stretch>
                            <a:fillRect/>
                          </a:stretch>
                        </pic:blipFill>
                        <pic:spPr bwMode="auto">
                          <a:xfrm>
                            <a:off x="0" y="0"/>
                            <a:ext cx="1943100" cy="1447800"/>
                          </a:xfrm>
                          <a:prstGeom prst="rect">
                            <a:avLst/>
                          </a:prstGeom>
                          <a:noFill/>
                          <a:ln>
                            <a:noFill/>
                          </a:ln>
                        </pic:spPr>
                      </pic:pic>
                    </a:graphicData>
                  </a:graphic>
                </wp:inline>
              </w:drawing>
            </w:r>
          </w:p>
          <w:p w:rsidR="00D03298" w:rsidRPr="00B72408" w:rsidRDefault="00D03298" w:rsidP="00D047DC">
            <w:pPr>
              <w:pStyle w:val="Text"/>
              <w:jc w:val="left"/>
              <w:rPr>
                <w:b/>
                <w:bCs/>
              </w:rPr>
            </w:pPr>
            <w:r w:rsidRPr="00DD0F43">
              <w:rPr>
                <w:b/>
                <w:bCs/>
                <w:noProof/>
                <w:lang w:val="en-AU" w:eastAsia="en-AU"/>
              </w:rPr>
              <w:lastRenderedPageBreak/>
              <w:drawing>
                <wp:inline distT="0" distB="0" distL="0" distR="0" wp14:anchorId="1EB40838" wp14:editId="7BAC0F8D">
                  <wp:extent cx="1819275" cy="1466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9275" cy="1466850"/>
                          </a:xfrm>
                          <a:prstGeom prst="rect">
                            <a:avLst/>
                          </a:prstGeom>
                          <a:noFill/>
                          <a:ln>
                            <a:noFill/>
                          </a:ln>
                        </pic:spPr>
                      </pic:pic>
                    </a:graphicData>
                  </a:graphic>
                </wp:inline>
              </w:drawing>
            </w:r>
          </w:p>
        </w:tc>
      </w:tr>
      <w:tr w:rsidR="00D03298" w:rsidRPr="00B72408" w:rsidTr="00D047DC">
        <w:tblPrEx>
          <w:tblLook w:val="0000" w:firstRow="0" w:lastRow="0" w:firstColumn="0" w:lastColumn="0" w:noHBand="0" w:noVBand="0"/>
        </w:tblPrEx>
        <w:trPr>
          <w:trHeight w:val="3674"/>
        </w:trPr>
        <w:tc>
          <w:tcPr>
            <w:tcW w:w="1701" w:type="dxa"/>
          </w:tcPr>
          <w:p w:rsidR="00D03298" w:rsidRPr="00B72408" w:rsidRDefault="00D03298" w:rsidP="00D047DC">
            <w:pPr>
              <w:pStyle w:val="Table"/>
              <w:rPr>
                <w:rFonts w:ascii="Times New Roman" w:hAnsi="Times New Roman" w:cs="Times New Roman"/>
                <w:b/>
                <w:sz w:val="24"/>
              </w:rPr>
            </w:pPr>
            <w:r w:rsidRPr="00B72408">
              <w:rPr>
                <w:rFonts w:ascii="Times New Roman" w:hAnsi="Times New Roman" w:cs="Times New Roman"/>
                <w:b/>
                <w:sz w:val="24"/>
                <w:lang w:val="en-GB" w:eastAsia="en-GB"/>
              </w:rPr>
              <w:lastRenderedPageBreak/>
              <w:t>Attach needle</w:t>
            </w:r>
          </w:p>
        </w:tc>
        <w:tc>
          <w:tcPr>
            <w:tcW w:w="4253" w:type="dxa"/>
          </w:tcPr>
          <w:p w:rsidR="00D03298" w:rsidRPr="00B72408" w:rsidRDefault="00D03298" w:rsidP="00D047DC">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7.</w:t>
            </w:r>
            <w:r w:rsidRPr="00B72408">
              <w:rPr>
                <w:rFonts w:ascii="Times New Roman" w:hAnsi="Times New Roman" w:cs="Times New Roman"/>
                <w:sz w:val="24"/>
                <w:lang w:val="en-GB" w:eastAsia="en-GB"/>
              </w:rPr>
              <w:tab/>
              <w:t xml:space="preserve">Attach </w:t>
            </w:r>
            <w:r w:rsidRPr="00B72408">
              <w:rPr>
                <w:rFonts w:ascii="Times New Roman" w:hAnsi="Times New Roman" w:cs="Times New Roman"/>
                <w:sz w:val="24"/>
                <w:szCs w:val="24"/>
                <w:lang w:val="en-GB" w:eastAsia="en-GB"/>
              </w:rPr>
              <w:t xml:space="preserve">a </w:t>
            </w:r>
            <w:r w:rsidRPr="00B72408">
              <w:rPr>
                <w:rFonts w:ascii="Times New Roman" w:hAnsi="Times New Roman" w:cs="Times New Roman"/>
                <w:sz w:val="24"/>
                <w:szCs w:val="24"/>
                <w:lang w:eastAsia="en-GB"/>
              </w:rPr>
              <w:t>30G x 1/2 inch sterile injection</w:t>
            </w:r>
            <w:r>
              <w:rPr>
                <w:rFonts w:ascii="Times New Roman" w:hAnsi="Times New Roman" w:cs="Times New Roman"/>
                <w:sz w:val="24"/>
                <w:szCs w:val="24"/>
                <w:lang w:eastAsia="en-GB"/>
              </w:rPr>
              <w:t xml:space="preserve"> </w:t>
            </w:r>
            <w:r w:rsidRPr="00B72408">
              <w:rPr>
                <w:rFonts w:ascii="Times New Roman" w:hAnsi="Times New Roman" w:cs="Times New Roman"/>
                <w:sz w:val="24"/>
                <w:szCs w:val="24"/>
                <w:lang w:val="en-GB" w:eastAsia="en-GB"/>
              </w:rPr>
              <w:t>needle firmly onto the syringe</w:t>
            </w:r>
            <w:r w:rsidRPr="00B72408">
              <w:rPr>
                <w:rFonts w:ascii="Times New Roman" w:hAnsi="Times New Roman" w:cs="Times New Roman"/>
                <w:sz w:val="24"/>
                <w:lang w:val="en-GB" w:eastAsia="en-GB"/>
              </w:rPr>
              <w:t xml:space="preserve"> by screwing it tightly onto the </w:t>
            </w:r>
            <w:proofErr w:type="spellStart"/>
            <w:r w:rsidRPr="00B72408">
              <w:rPr>
                <w:rFonts w:ascii="Times New Roman" w:hAnsi="Times New Roman" w:cs="Times New Roman"/>
                <w:sz w:val="24"/>
                <w:lang w:val="en-GB" w:eastAsia="en-GB"/>
              </w:rPr>
              <w:t>Luer</w:t>
            </w:r>
            <w:proofErr w:type="spellEnd"/>
            <w:r w:rsidRPr="00B72408">
              <w:rPr>
                <w:rFonts w:ascii="Times New Roman" w:hAnsi="Times New Roman" w:cs="Times New Roman"/>
                <w:sz w:val="24"/>
                <w:lang w:val="en-GB" w:eastAsia="en-GB"/>
              </w:rPr>
              <w:t xml:space="preserve"> Lock (see Figure 4).</w:t>
            </w:r>
          </w:p>
          <w:p w:rsidR="00D03298" w:rsidRPr="00B72408" w:rsidRDefault="00D03298" w:rsidP="00D047DC">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8.</w:t>
            </w:r>
            <w:r w:rsidRPr="00B72408">
              <w:rPr>
                <w:rFonts w:ascii="Times New Roman" w:hAnsi="Times New Roman" w:cs="Times New Roman"/>
                <w:sz w:val="24"/>
                <w:lang w:val="en-GB" w:eastAsia="en-GB"/>
              </w:rPr>
              <w:tab/>
              <w:t>Carefully remove the needle cap by pulling it straight off (see Figure 5).</w:t>
            </w:r>
          </w:p>
          <w:p w:rsidR="00D03298" w:rsidRPr="00B72408" w:rsidRDefault="00D03298" w:rsidP="00D047DC">
            <w:pPr>
              <w:pStyle w:val="Table"/>
              <w:jc w:val="both"/>
              <w:rPr>
                <w:rFonts w:ascii="Times New Roman" w:hAnsi="Times New Roman" w:cs="Times New Roman"/>
                <w:b/>
                <w:bCs/>
                <w:sz w:val="24"/>
              </w:rPr>
            </w:pPr>
            <w:r w:rsidRPr="00B72408">
              <w:rPr>
                <w:rFonts w:ascii="Times New Roman" w:hAnsi="Times New Roman" w:cs="Times New Roman"/>
                <w:b/>
                <w:sz w:val="24"/>
                <w:lang w:val="en-GB" w:eastAsia="en-GB"/>
              </w:rPr>
              <w:t>Note: Do not wipe the needle at any time.</w:t>
            </w:r>
          </w:p>
        </w:tc>
        <w:tc>
          <w:tcPr>
            <w:tcW w:w="3260" w:type="dxa"/>
          </w:tcPr>
          <w:p w:rsidR="00D03298" w:rsidRPr="00B72408" w:rsidRDefault="00D03298" w:rsidP="00D047DC">
            <w:pPr>
              <w:pStyle w:val="Text"/>
              <w:jc w:val="left"/>
              <w:rPr>
                <w:b/>
                <w:bCs/>
              </w:rPr>
            </w:pPr>
            <w:r w:rsidRPr="00DD0F43">
              <w:rPr>
                <w:b/>
                <w:bCs/>
                <w:noProof/>
                <w:lang w:val="en-AU" w:eastAsia="en-AU"/>
              </w:rPr>
              <w:drawing>
                <wp:inline distT="0" distB="0" distL="0" distR="0" wp14:anchorId="12DD91CE" wp14:editId="592F4FCB">
                  <wp:extent cx="1981200" cy="1914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1914525"/>
                          </a:xfrm>
                          <a:prstGeom prst="rect">
                            <a:avLst/>
                          </a:prstGeom>
                          <a:noFill/>
                          <a:ln>
                            <a:noFill/>
                          </a:ln>
                        </pic:spPr>
                      </pic:pic>
                    </a:graphicData>
                  </a:graphic>
                </wp:inline>
              </w:drawing>
            </w:r>
          </w:p>
        </w:tc>
      </w:tr>
      <w:tr w:rsidR="00D03298" w:rsidRPr="00B72408" w:rsidTr="00D03298">
        <w:tblPrEx>
          <w:tblLook w:val="0000" w:firstRow="0" w:lastRow="0" w:firstColumn="0" w:lastColumn="0" w:noHBand="0" w:noVBand="0"/>
        </w:tblPrEx>
        <w:trPr>
          <w:trHeight w:val="3674"/>
        </w:trPr>
        <w:tc>
          <w:tcPr>
            <w:tcW w:w="1701" w:type="dxa"/>
            <w:tcBorders>
              <w:top w:val="single" w:sz="4" w:space="0" w:color="auto"/>
              <w:left w:val="single" w:sz="4" w:space="0" w:color="auto"/>
              <w:bottom w:val="single" w:sz="4" w:space="0" w:color="auto"/>
              <w:right w:val="single" w:sz="4" w:space="0" w:color="auto"/>
            </w:tcBorders>
          </w:tcPr>
          <w:p w:rsidR="00D03298" w:rsidRPr="00D03298" w:rsidRDefault="00D03298" w:rsidP="00D047DC">
            <w:pPr>
              <w:pStyle w:val="Table"/>
              <w:rPr>
                <w:rFonts w:ascii="Times New Roman" w:hAnsi="Times New Roman" w:cs="Times New Roman"/>
                <w:b/>
                <w:sz w:val="24"/>
                <w:lang w:val="en-GB" w:eastAsia="en-GB"/>
              </w:rPr>
            </w:pPr>
            <w:r w:rsidRPr="00B72408">
              <w:rPr>
                <w:rFonts w:ascii="Times New Roman" w:hAnsi="Times New Roman" w:cs="Times New Roman"/>
                <w:b/>
                <w:sz w:val="24"/>
                <w:lang w:val="en-GB" w:eastAsia="en-GB"/>
              </w:rPr>
              <w:t>Dislodge air bubbles</w:t>
            </w:r>
          </w:p>
        </w:tc>
        <w:tc>
          <w:tcPr>
            <w:tcW w:w="4253" w:type="dxa"/>
            <w:tcBorders>
              <w:top w:val="single" w:sz="4" w:space="0" w:color="auto"/>
              <w:left w:val="single" w:sz="4" w:space="0" w:color="auto"/>
              <w:bottom w:val="single" w:sz="4" w:space="0" w:color="auto"/>
              <w:right w:val="single" w:sz="4" w:space="0" w:color="auto"/>
            </w:tcBorders>
          </w:tcPr>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9.</w:t>
            </w:r>
            <w:r w:rsidRPr="00B72408">
              <w:rPr>
                <w:rFonts w:ascii="Times New Roman" w:hAnsi="Times New Roman" w:cs="Times New Roman"/>
                <w:sz w:val="24"/>
                <w:lang w:val="en-GB" w:eastAsia="en-GB"/>
              </w:rPr>
              <w:tab/>
              <w:t>Hold the syringe upright.</w:t>
            </w:r>
          </w:p>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10.</w:t>
            </w:r>
            <w:r w:rsidRPr="00B72408">
              <w:rPr>
                <w:rFonts w:ascii="Times New Roman" w:hAnsi="Times New Roman" w:cs="Times New Roman"/>
                <w:sz w:val="24"/>
                <w:lang w:val="en-GB" w:eastAsia="en-GB"/>
              </w:rPr>
              <w:tab/>
              <w:t>If there are any air bubbles, gently tap the syringe with your finger until the bubbles rise to the top (see Figure 6).</w:t>
            </w:r>
          </w:p>
        </w:tc>
        <w:tc>
          <w:tcPr>
            <w:tcW w:w="3260" w:type="dxa"/>
            <w:tcBorders>
              <w:top w:val="single" w:sz="4" w:space="0" w:color="auto"/>
              <w:left w:val="single" w:sz="4" w:space="0" w:color="auto"/>
              <w:bottom w:val="single" w:sz="4" w:space="0" w:color="auto"/>
              <w:right w:val="single" w:sz="4" w:space="0" w:color="auto"/>
            </w:tcBorders>
          </w:tcPr>
          <w:p w:rsidR="00D03298" w:rsidRPr="00D03298" w:rsidRDefault="00D03298" w:rsidP="00D03298">
            <w:pPr>
              <w:pStyle w:val="Text"/>
              <w:rPr>
                <w:b/>
                <w:bCs/>
                <w:noProof/>
                <w:lang w:val="en-US"/>
              </w:rPr>
            </w:pPr>
            <w:r w:rsidRPr="00DD0F43">
              <w:rPr>
                <w:b/>
                <w:bCs/>
                <w:noProof/>
                <w:lang w:val="en-AU" w:eastAsia="en-AU"/>
              </w:rPr>
              <w:drawing>
                <wp:inline distT="0" distB="0" distL="0" distR="0" wp14:anchorId="07151549" wp14:editId="4EDE52A2">
                  <wp:extent cx="1609725" cy="2076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2076450"/>
                          </a:xfrm>
                          <a:prstGeom prst="rect">
                            <a:avLst/>
                          </a:prstGeom>
                          <a:noFill/>
                          <a:ln>
                            <a:noFill/>
                          </a:ln>
                        </pic:spPr>
                      </pic:pic>
                    </a:graphicData>
                  </a:graphic>
                </wp:inline>
              </w:drawing>
            </w:r>
          </w:p>
        </w:tc>
      </w:tr>
      <w:tr w:rsidR="00D03298" w:rsidRPr="00B72408" w:rsidTr="00D03298">
        <w:tblPrEx>
          <w:tblLook w:val="0000" w:firstRow="0" w:lastRow="0" w:firstColumn="0" w:lastColumn="0" w:noHBand="0" w:noVBand="0"/>
        </w:tblPrEx>
        <w:trPr>
          <w:trHeight w:val="3674"/>
        </w:trPr>
        <w:tc>
          <w:tcPr>
            <w:tcW w:w="1701" w:type="dxa"/>
            <w:tcBorders>
              <w:top w:val="single" w:sz="4" w:space="0" w:color="auto"/>
              <w:left w:val="single" w:sz="4" w:space="0" w:color="auto"/>
              <w:bottom w:val="single" w:sz="4" w:space="0" w:color="auto"/>
              <w:right w:val="single" w:sz="4" w:space="0" w:color="auto"/>
            </w:tcBorders>
          </w:tcPr>
          <w:p w:rsidR="00D03298" w:rsidRPr="00D03298" w:rsidRDefault="00D03298" w:rsidP="00D047DC">
            <w:pPr>
              <w:pStyle w:val="Table"/>
              <w:rPr>
                <w:rFonts w:ascii="Times New Roman" w:hAnsi="Times New Roman" w:cs="Times New Roman"/>
                <w:b/>
                <w:sz w:val="24"/>
                <w:lang w:val="en-GB" w:eastAsia="en-GB"/>
              </w:rPr>
            </w:pPr>
            <w:r w:rsidRPr="00B72408">
              <w:rPr>
                <w:rFonts w:ascii="Times New Roman" w:hAnsi="Times New Roman" w:cs="Times New Roman"/>
                <w:b/>
                <w:sz w:val="24"/>
                <w:lang w:val="en-GB" w:eastAsia="en-GB"/>
              </w:rPr>
              <w:lastRenderedPageBreak/>
              <w:t>Set dose</w:t>
            </w:r>
          </w:p>
        </w:tc>
        <w:tc>
          <w:tcPr>
            <w:tcW w:w="4253" w:type="dxa"/>
            <w:tcBorders>
              <w:top w:val="single" w:sz="4" w:space="0" w:color="auto"/>
              <w:left w:val="single" w:sz="4" w:space="0" w:color="auto"/>
              <w:bottom w:val="single" w:sz="4" w:space="0" w:color="auto"/>
              <w:right w:val="single" w:sz="4" w:space="0" w:color="auto"/>
            </w:tcBorders>
          </w:tcPr>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11.</w:t>
            </w:r>
            <w:r w:rsidRPr="00B72408">
              <w:rPr>
                <w:rFonts w:ascii="Times New Roman" w:hAnsi="Times New Roman" w:cs="Times New Roman"/>
                <w:sz w:val="24"/>
                <w:lang w:val="en-GB" w:eastAsia="en-GB"/>
              </w:rPr>
              <w:tab/>
              <w:t xml:space="preserve">Hold the syringe at eye level and carefully push the plunger until the </w:t>
            </w:r>
            <w:r w:rsidRPr="00D03298">
              <w:rPr>
                <w:rFonts w:ascii="Times New Roman" w:hAnsi="Times New Roman" w:cs="Times New Roman"/>
                <w:sz w:val="24"/>
                <w:lang w:val="en-GB" w:eastAsia="en-GB"/>
              </w:rPr>
              <w:t>edge below the dome of the rubber stopper</w:t>
            </w:r>
            <w:r w:rsidRPr="00B72408">
              <w:rPr>
                <w:rFonts w:ascii="Times New Roman" w:hAnsi="Times New Roman" w:cs="Times New Roman"/>
                <w:sz w:val="24"/>
                <w:lang w:val="en-GB" w:eastAsia="en-GB"/>
              </w:rPr>
              <w:t xml:space="preserve"> is aligned with the dose mark (see Figure 7).</w:t>
            </w:r>
          </w:p>
          <w:p w:rsidR="00D03298" w:rsidRPr="00D03298" w:rsidRDefault="00D03298" w:rsidP="00D03298">
            <w:pPr>
              <w:pStyle w:val="Listlevel1"/>
              <w:numPr>
                <w:ilvl w:val="0"/>
                <w:numId w:val="35"/>
              </w:numPr>
              <w:tabs>
                <w:tab w:val="clear" w:pos="357"/>
                <w:tab w:val="left" w:pos="284"/>
              </w:tabs>
              <w:ind w:left="743" w:hanging="283"/>
              <w:jc w:val="both"/>
              <w:rPr>
                <w:rFonts w:eastAsia="Times New Roman"/>
                <w:lang w:val="en-GB" w:eastAsia="en-GB"/>
              </w:rPr>
            </w:pPr>
            <w:r w:rsidRPr="00D03298">
              <w:rPr>
                <w:rFonts w:eastAsia="Times New Roman"/>
                <w:lang w:val="en-GB" w:eastAsia="en-GB"/>
              </w:rPr>
              <w:t xml:space="preserve">This will expel the air and the excess solution and set the dose to 0.05 </w:t>
            </w:r>
            <w:proofErr w:type="spellStart"/>
            <w:r w:rsidRPr="00D03298">
              <w:rPr>
                <w:rFonts w:eastAsia="Times New Roman"/>
                <w:lang w:val="en-GB" w:eastAsia="en-GB"/>
              </w:rPr>
              <w:t>mL.</w:t>
            </w:r>
            <w:proofErr w:type="spellEnd"/>
          </w:p>
          <w:p w:rsidR="00D03298" w:rsidRPr="00D03298" w:rsidRDefault="00D03298" w:rsidP="00D03298">
            <w:pPr>
              <w:pStyle w:val="Table"/>
              <w:ind w:left="284" w:hanging="284"/>
              <w:jc w:val="both"/>
              <w:rPr>
                <w:rFonts w:ascii="Times New Roman" w:hAnsi="Times New Roman" w:cs="Times New Roman"/>
                <w:sz w:val="24"/>
                <w:lang w:val="en-GB" w:eastAsia="en-GB"/>
              </w:rPr>
            </w:pPr>
            <w:r w:rsidRPr="00D03298">
              <w:rPr>
                <w:rFonts w:ascii="Times New Roman" w:hAnsi="Times New Roman" w:cs="Times New Roman"/>
                <w:sz w:val="24"/>
                <w:lang w:val="en-GB" w:eastAsia="en-GB"/>
              </w:rPr>
              <w:t>Note: the plunger rod is not attached to the rubber stopper – this is to prevent air being drawn into the syringe.</w:t>
            </w:r>
          </w:p>
        </w:tc>
        <w:tc>
          <w:tcPr>
            <w:tcW w:w="3260" w:type="dxa"/>
            <w:tcBorders>
              <w:top w:val="single" w:sz="4" w:space="0" w:color="auto"/>
              <w:left w:val="single" w:sz="4" w:space="0" w:color="auto"/>
              <w:bottom w:val="single" w:sz="4" w:space="0" w:color="auto"/>
              <w:right w:val="single" w:sz="4" w:space="0" w:color="auto"/>
            </w:tcBorders>
          </w:tcPr>
          <w:p w:rsidR="00D03298" w:rsidRPr="00D03298" w:rsidRDefault="00D03298" w:rsidP="00D047DC">
            <w:pPr>
              <w:pStyle w:val="Text"/>
              <w:jc w:val="left"/>
              <w:rPr>
                <w:b/>
                <w:bCs/>
                <w:noProof/>
                <w:lang w:val="en-US"/>
              </w:rPr>
            </w:pPr>
            <w:r w:rsidRPr="00DD0F43">
              <w:rPr>
                <w:b/>
                <w:bCs/>
                <w:noProof/>
                <w:lang w:val="en-AU" w:eastAsia="en-AU"/>
              </w:rPr>
              <w:drawing>
                <wp:inline distT="0" distB="0" distL="0" distR="0" wp14:anchorId="4214E4C5" wp14:editId="36994431">
                  <wp:extent cx="1962150" cy="1981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62150" cy="1981200"/>
                          </a:xfrm>
                          <a:prstGeom prst="rect">
                            <a:avLst/>
                          </a:prstGeom>
                          <a:noFill/>
                          <a:ln>
                            <a:noFill/>
                          </a:ln>
                        </pic:spPr>
                      </pic:pic>
                    </a:graphicData>
                  </a:graphic>
                </wp:inline>
              </w:drawing>
            </w:r>
          </w:p>
        </w:tc>
      </w:tr>
      <w:tr w:rsidR="00D03298" w:rsidRPr="00B72408" w:rsidTr="00D03298">
        <w:tblPrEx>
          <w:tblLook w:val="0000" w:firstRow="0" w:lastRow="0" w:firstColumn="0" w:lastColumn="0" w:noHBand="0" w:noVBand="0"/>
        </w:tblPrEx>
        <w:trPr>
          <w:trHeight w:val="3674"/>
        </w:trPr>
        <w:tc>
          <w:tcPr>
            <w:tcW w:w="1701" w:type="dxa"/>
            <w:tcBorders>
              <w:top w:val="single" w:sz="4" w:space="0" w:color="auto"/>
              <w:left w:val="single" w:sz="4" w:space="0" w:color="auto"/>
              <w:bottom w:val="single" w:sz="4" w:space="0" w:color="auto"/>
              <w:right w:val="single" w:sz="4" w:space="0" w:color="auto"/>
            </w:tcBorders>
          </w:tcPr>
          <w:p w:rsidR="00D03298" w:rsidRPr="00B72408" w:rsidRDefault="00D03298" w:rsidP="00D047DC">
            <w:pPr>
              <w:pStyle w:val="Table"/>
              <w:rPr>
                <w:rFonts w:ascii="Times New Roman" w:hAnsi="Times New Roman" w:cs="Times New Roman"/>
                <w:b/>
                <w:sz w:val="24"/>
                <w:lang w:val="en-GB" w:eastAsia="en-GB"/>
              </w:rPr>
            </w:pPr>
            <w:r w:rsidRPr="00B72408">
              <w:rPr>
                <w:rFonts w:ascii="Times New Roman" w:hAnsi="Times New Roman" w:cs="Times New Roman"/>
                <w:b/>
                <w:sz w:val="24"/>
                <w:lang w:val="en-GB" w:eastAsia="en-GB"/>
              </w:rPr>
              <w:t>Inject</w:t>
            </w:r>
          </w:p>
        </w:tc>
        <w:tc>
          <w:tcPr>
            <w:tcW w:w="4253" w:type="dxa"/>
            <w:tcBorders>
              <w:top w:val="single" w:sz="4" w:space="0" w:color="auto"/>
              <w:left w:val="single" w:sz="4" w:space="0" w:color="auto"/>
              <w:bottom w:val="single" w:sz="4" w:space="0" w:color="auto"/>
              <w:right w:val="single" w:sz="4" w:space="0" w:color="auto"/>
            </w:tcBorders>
          </w:tcPr>
          <w:p w:rsidR="00D03298" w:rsidRPr="00D03298" w:rsidRDefault="00D03298" w:rsidP="00D03298">
            <w:pPr>
              <w:pStyle w:val="Table"/>
              <w:ind w:left="284" w:hanging="284"/>
              <w:jc w:val="both"/>
              <w:rPr>
                <w:rFonts w:ascii="Times New Roman" w:hAnsi="Times New Roman" w:cs="Times New Roman"/>
                <w:sz w:val="24"/>
                <w:lang w:val="en-GB" w:eastAsia="en-GB"/>
              </w:rPr>
            </w:pPr>
            <w:r w:rsidRPr="00D03298">
              <w:rPr>
                <w:rFonts w:ascii="Times New Roman" w:hAnsi="Times New Roman" w:cs="Times New Roman"/>
                <w:sz w:val="24"/>
                <w:lang w:val="en-GB" w:eastAsia="en-GB"/>
              </w:rPr>
              <w:t xml:space="preserve">The injection procedure should be carried out under aseptic conditions. </w:t>
            </w:r>
          </w:p>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12.</w:t>
            </w:r>
            <w:r w:rsidRPr="00B72408">
              <w:rPr>
                <w:rFonts w:ascii="Times New Roman" w:hAnsi="Times New Roman" w:cs="Times New Roman"/>
                <w:sz w:val="24"/>
                <w:lang w:val="en-GB" w:eastAsia="en-GB"/>
              </w:rPr>
              <w:tab/>
              <w:t>The injection needle should be inserted 3.5 - 4.0 mm posterior to the</w:t>
            </w:r>
            <w:r w:rsidRPr="00D03298">
              <w:rPr>
                <w:rFonts w:ascii="Times New Roman" w:hAnsi="Times New Roman" w:cs="Times New Roman"/>
                <w:sz w:val="24"/>
                <w:lang w:val="en-GB" w:eastAsia="en-GB"/>
              </w:rPr>
              <w:t xml:space="preserve"> </w:t>
            </w:r>
            <w:proofErr w:type="spellStart"/>
            <w:r w:rsidRPr="00D03298">
              <w:rPr>
                <w:rFonts w:ascii="Times New Roman" w:hAnsi="Times New Roman" w:cs="Times New Roman"/>
                <w:sz w:val="24"/>
                <w:lang w:val="en-GB" w:eastAsia="en-GB"/>
              </w:rPr>
              <w:t>limbus</w:t>
            </w:r>
            <w:proofErr w:type="spellEnd"/>
            <w:r w:rsidRPr="00B72408">
              <w:rPr>
                <w:rFonts w:ascii="Times New Roman" w:hAnsi="Times New Roman" w:cs="Times New Roman"/>
                <w:sz w:val="24"/>
                <w:lang w:val="en-GB" w:eastAsia="en-GB"/>
              </w:rPr>
              <w:t xml:space="preserve"> into the vitreous cavity, avoiding the horizontal meridian and aiming towards the centre of the globe.</w:t>
            </w:r>
          </w:p>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13.</w:t>
            </w:r>
            <w:r w:rsidRPr="00B72408">
              <w:rPr>
                <w:rFonts w:ascii="Times New Roman" w:hAnsi="Times New Roman" w:cs="Times New Roman"/>
                <w:sz w:val="24"/>
                <w:lang w:val="en-GB" w:eastAsia="en-GB"/>
              </w:rPr>
              <w:tab/>
              <w:t xml:space="preserve">Inject slowly until the rubber stopper reaches the bottom of the syringe to deliver the volume of 0.05 </w:t>
            </w:r>
            <w:proofErr w:type="spellStart"/>
            <w:r w:rsidRPr="00B72408">
              <w:rPr>
                <w:rFonts w:ascii="Times New Roman" w:hAnsi="Times New Roman" w:cs="Times New Roman"/>
                <w:sz w:val="24"/>
                <w:lang w:val="en-GB" w:eastAsia="en-GB"/>
              </w:rPr>
              <w:t>mL.</w:t>
            </w:r>
            <w:proofErr w:type="spellEnd"/>
          </w:p>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14.</w:t>
            </w:r>
            <w:r w:rsidRPr="00B72408">
              <w:rPr>
                <w:rFonts w:ascii="Times New Roman" w:hAnsi="Times New Roman" w:cs="Times New Roman"/>
                <w:sz w:val="24"/>
                <w:lang w:val="en-GB" w:eastAsia="en-GB"/>
              </w:rPr>
              <w:tab/>
              <w:t>A different</w:t>
            </w:r>
            <w:r w:rsidRPr="00D03298">
              <w:rPr>
                <w:rFonts w:ascii="Times New Roman" w:hAnsi="Times New Roman" w:cs="Times New Roman"/>
                <w:sz w:val="24"/>
                <w:lang w:val="en-GB" w:eastAsia="en-GB"/>
              </w:rPr>
              <w:t xml:space="preserve"> scleral</w:t>
            </w:r>
            <w:r w:rsidRPr="00B72408">
              <w:rPr>
                <w:rFonts w:ascii="Times New Roman" w:hAnsi="Times New Roman" w:cs="Times New Roman"/>
                <w:sz w:val="24"/>
                <w:lang w:val="en-GB" w:eastAsia="en-GB"/>
              </w:rPr>
              <w:t xml:space="preserve"> site should be used for subsequent injections.</w:t>
            </w:r>
          </w:p>
          <w:p w:rsidR="00D03298" w:rsidRPr="00B72408" w:rsidRDefault="00D03298" w:rsidP="00D03298">
            <w:pPr>
              <w:pStyle w:val="Table"/>
              <w:ind w:left="284" w:hanging="284"/>
              <w:jc w:val="both"/>
              <w:rPr>
                <w:rFonts w:ascii="Times New Roman" w:hAnsi="Times New Roman" w:cs="Times New Roman"/>
                <w:sz w:val="24"/>
                <w:lang w:val="en-GB" w:eastAsia="en-GB"/>
              </w:rPr>
            </w:pPr>
            <w:r w:rsidRPr="00B72408">
              <w:rPr>
                <w:rFonts w:ascii="Times New Roman" w:hAnsi="Times New Roman" w:cs="Times New Roman"/>
                <w:sz w:val="24"/>
                <w:lang w:val="en-GB" w:eastAsia="en-GB"/>
              </w:rPr>
              <w:t>15.</w:t>
            </w:r>
            <w:r w:rsidRPr="00B72408">
              <w:rPr>
                <w:rFonts w:ascii="Times New Roman" w:hAnsi="Times New Roman" w:cs="Times New Roman"/>
                <w:sz w:val="24"/>
                <w:lang w:val="en-GB" w:eastAsia="en-GB"/>
              </w:rPr>
              <w:tab/>
            </w:r>
            <w:r w:rsidRPr="00D03298">
              <w:rPr>
                <w:rFonts w:ascii="Times New Roman" w:hAnsi="Times New Roman" w:cs="Times New Roman"/>
                <w:sz w:val="24"/>
                <w:lang w:val="en-GB" w:eastAsia="en-GB"/>
              </w:rPr>
              <w:t>After injection, do not recap the needle or detach it from the syringe. Dispose of the used syringe together with the needle in a sharps disposal container or in accordance with local requirements</w:t>
            </w:r>
            <w:r w:rsidRPr="00B72408">
              <w:rPr>
                <w:rFonts w:ascii="Times New Roman" w:hAnsi="Times New Roman" w:cs="Times New Roman"/>
                <w:sz w:val="24"/>
                <w:lang w:val="en-GB" w:eastAsia="en-GB"/>
              </w:rPr>
              <w:t>.</w:t>
            </w:r>
          </w:p>
          <w:p w:rsidR="00D03298" w:rsidRPr="00D03298" w:rsidRDefault="00D03298" w:rsidP="00D03298">
            <w:pPr>
              <w:pStyle w:val="Table"/>
              <w:ind w:left="284" w:hanging="284"/>
              <w:jc w:val="both"/>
              <w:rPr>
                <w:rFonts w:ascii="Times New Roman" w:hAnsi="Times New Roman" w:cs="Times New Roman"/>
                <w:sz w:val="24"/>
                <w:lang w:val="en-GB" w:eastAsia="en-GB"/>
              </w:rPr>
            </w:pPr>
          </w:p>
        </w:tc>
        <w:tc>
          <w:tcPr>
            <w:tcW w:w="3260" w:type="dxa"/>
            <w:tcBorders>
              <w:top w:val="single" w:sz="4" w:space="0" w:color="auto"/>
              <w:left w:val="single" w:sz="4" w:space="0" w:color="auto"/>
              <w:bottom w:val="single" w:sz="4" w:space="0" w:color="auto"/>
              <w:right w:val="single" w:sz="4" w:space="0" w:color="auto"/>
            </w:tcBorders>
          </w:tcPr>
          <w:p w:rsidR="00D03298" w:rsidRPr="00D03298" w:rsidRDefault="00D03298" w:rsidP="00D047DC">
            <w:pPr>
              <w:pStyle w:val="Text"/>
              <w:jc w:val="left"/>
              <w:rPr>
                <w:b/>
                <w:bCs/>
                <w:noProof/>
                <w:lang w:val="en-US"/>
              </w:rPr>
            </w:pPr>
          </w:p>
        </w:tc>
      </w:tr>
    </w:tbl>
    <w:p w:rsidR="00D03298" w:rsidRPr="00FC6FDF" w:rsidRDefault="00D03298" w:rsidP="00D03298"/>
    <w:p w:rsidR="004D3249" w:rsidRPr="00FC6FDF" w:rsidRDefault="004D3249" w:rsidP="00083762">
      <w:proofErr w:type="spellStart"/>
      <w:r w:rsidRPr="00FC6FDF">
        <w:t>Lucentis</w:t>
      </w:r>
      <w:proofErr w:type="spellEnd"/>
      <w:r w:rsidRPr="00FC6FDF">
        <w:t xml:space="preserve"> contains no antimicrobial agent. Product is for single use in one patient only. Discard any residue.</w:t>
      </w:r>
    </w:p>
    <w:p w:rsidR="004D3249" w:rsidRPr="00FC6FDF" w:rsidRDefault="004D3249" w:rsidP="00083762"/>
    <w:p w:rsidR="004D3249" w:rsidRPr="00FC6FDF" w:rsidRDefault="004D3249" w:rsidP="007E3A6A">
      <w:r w:rsidRPr="00FC6FDF">
        <w:rPr>
          <w:bCs/>
          <w:u w:val="single"/>
        </w:rPr>
        <w:t>Incompatibilities:</w:t>
      </w:r>
      <w:r w:rsidRPr="00FC6FDF">
        <w:rPr>
          <w:bCs/>
        </w:rPr>
        <w:t xml:space="preserve"> </w:t>
      </w:r>
      <w:r w:rsidRPr="00FC6FDF">
        <w:t>In the absence of compatibility studies, this medicinal product must not be mixed with other medicinal products.</w:t>
      </w:r>
    </w:p>
    <w:p w:rsidR="004D3249" w:rsidRPr="00FC6FDF" w:rsidRDefault="004D3249" w:rsidP="00083762"/>
    <w:p w:rsidR="004D3249" w:rsidRPr="00FC6FDF" w:rsidRDefault="004D3249">
      <w:pPr>
        <w:rPr>
          <w:snapToGrid w:val="0"/>
        </w:rPr>
      </w:pPr>
    </w:p>
    <w:bookmarkEnd w:id="111"/>
    <w:bookmarkEnd w:id="112"/>
    <w:p w:rsidR="004D3249" w:rsidRPr="00FC6FDF" w:rsidRDefault="004D3249">
      <w:pPr>
        <w:pStyle w:val="Heading1"/>
      </w:pPr>
      <w:r w:rsidRPr="00FC6FDF">
        <w:lastRenderedPageBreak/>
        <w:t>OVERDOSAGE</w:t>
      </w:r>
    </w:p>
    <w:p w:rsidR="004D3249" w:rsidRPr="00FC6FDF" w:rsidRDefault="004D3249"/>
    <w:p w:rsidR="004D3249" w:rsidRPr="00FC6FDF" w:rsidRDefault="004D3249" w:rsidP="004660F1">
      <w:pPr>
        <w:widowControl w:val="0"/>
      </w:pPr>
      <w:r w:rsidRPr="00FC6FDF">
        <w:t xml:space="preserve">Cases of accidental overdose have been reported from the clinical studies </w:t>
      </w:r>
      <w:r w:rsidR="00074C98" w:rsidRPr="00FC6FDF">
        <w:t xml:space="preserve">in wet AMD </w:t>
      </w:r>
      <w:r w:rsidRPr="00FC6FDF">
        <w:t>and post-marketing data. Adverse reactions most frequently associated with these reported cases were intraocular pressure increased and eye pain. If an overdose occurs, intraocular pressure should be monitored and treated, if deemed necessary by the attending physician.</w:t>
      </w:r>
    </w:p>
    <w:p w:rsidR="004D3249" w:rsidRPr="00FC6FDF" w:rsidRDefault="004D3249" w:rsidP="004660F1">
      <w:pPr>
        <w:widowControl w:val="0"/>
      </w:pPr>
    </w:p>
    <w:p w:rsidR="004D3249" w:rsidRPr="00FC6FDF" w:rsidRDefault="004D3249" w:rsidP="00A53BCA">
      <w:pPr>
        <w:rPr>
          <w:lang w:val="en-US"/>
        </w:rPr>
      </w:pPr>
      <w:r w:rsidRPr="00FC6FDF">
        <w:rPr>
          <w:lang w:val="en-US"/>
        </w:rPr>
        <w:t>Contact the Poisons Information Centre on 13 11 26 for advice on management.</w:t>
      </w:r>
    </w:p>
    <w:p w:rsidR="004D3249" w:rsidRPr="00FC6FDF" w:rsidRDefault="004D3249" w:rsidP="00A53BCA"/>
    <w:p w:rsidR="004D3249" w:rsidRPr="00FC6FDF" w:rsidRDefault="004D3249">
      <w:pPr>
        <w:pStyle w:val="Heading1"/>
      </w:pPr>
      <w:r w:rsidRPr="00FC6FDF">
        <w:t>PRESENTATION</w:t>
      </w:r>
      <w:r w:rsidR="00DD21DB">
        <w:t xml:space="preserve"> AND STORAGE CONDITIONS</w:t>
      </w:r>
    </w:p>
    <w:p w:rsidR="004D3249" w:rsidRPr="00FC6FDF" w:rsidRDefault="004D3249"/>
    <w:p w:rsidR="00D03298" w:rsidRPr="00B72408" w:rsidRDefault="00D03298" w:rsidP="00D03298">
      <w:pPr>
        <w:rPr>
          <w:b/>
        </w:rPr>
      </w:pPr>
      <w:r w:rsidRPr="00B72408">
        <w:rPr>
          <w:b/>
        </w:rPr>
        <w:t>Vial pack</w:t>
      </w:r>
    </w:p>
    <w:p w:rsidR="004D3249" w:rsidRDefault="00D17870" w:rsidP="00C2256C">
      <w:proofErr w:type="spellStart"/>
      <w:r w:rsidRPr="00FC6FDF">
        <w:t>Lucentis</w:t>
      </w:r>
      <w:proofErr w:type="spellEnd"/>
      <w:r w:rsidRPr="00FC6FDF">
        <w:t xml:space="preserve"> is supplied as 0.23 mL solution for injection in glass vials (colourless type I glass) with </w:t>
      </w:r>
      <w:proofErr w:type="spellStart"/>
      <w:r w:rsidRPr="00FC6FDF">
        <w:t>chlorobutyl</w:t>
      </w:r>
      <w:proofErr w:type="spellEnd"/>
      <w:r w:rsidRPr="00FC6FDF">
        <w:t xml:space="preserve"> rubber stopper. One pack contains one vial, one filter needle for withdrawal of the vial contents, one needle for </w:t>
      </w:r>
      <w:proofErr w:type="spellStart"/>
      <w:r w:rsidRPr="00FC6FDF">
        <w:t>intravitreal</w:t>
      </w:r>
      <w:proofErr w:type="spellEnd"/>
      <w:r w:rsidRPr="00FC6FDF">
        <w:t xml:space="preserve"> injection and one syringe for withdrawal of the vial contents and for </w:t>
      </w:r>
      <w:proofErr w:type="spellStart"/>
      <w:r w:rsidRPr="00FC6FDF">
        <w:t>intravitreal</w:t>
      </w:r>
      <w:proofErr w:type="spellEnd"/>
      <w:r w:rsidRPr="00FC6FDF">
        <w:t xml:space="preserve"> injection. Each vial contains 2.3 mg of </w:t>
      </w:r>
      <w:proofErr w:type="spellStart"/>
      <w:r w:rsidRPr="00FC6FDF">
        <w:t>ranibizumab</w:t>
      </w:r>
      <w:proofErr w:type="spellEnd"/>
      <w:r w:rsidR="00C75727" w:rsidRPr="00FC6FDF">
        <w:t xml:space="preserve"> in 0.23 mL solution</w:t>
      </w:r>
      <w:r w:rsidRPr="00FC6FDF">
        <w:t>.</w:t>
      </w:r>
    </w:p>
    <w:p w:rsidR="00D03298" w:rsidRDefault="00D03298" w:rsidP="00C2256C"/>
    <w:p w:rsidR="00D03298" w:rsidRPr="00B72408" w:rsidRDefault="00D03298" w:rsidP="00D03298">
      <w:pPr>
        <w:rPr>
          <w:b/>
          <w:bCs/>
          <w:snapToGrid w:val="0"/>
        </w:rPr>
      </w:pPr>
      <w:r w:rsidRPr="00B72408">
        <w:rPr>
          <w:b/>
          <w:bCs/>
          <w:snapToGrid w:val="0"/>
        </w:rPr>
        <w:t>Pre-filled syringe pack</w:t>
      </w:r>
    </w:p>
    <w:p w:rsidR="00D03298" w:rsidRPr="00B72408" w:rsidRDefault="00D03298" w:rsidP="00D03298">
      <w:pPr>
        <w:rPr>
          <w:b/>
          <w:bCs/>
          <w:snapToGrid w:val="0"/>
          <w:u w:val="single"/>
        </w:rPr>
      </w:pPr>
      <w:proofErr w:type="spellStart"/>
      <w:r w:rsidRPr="00B72408">
        <w:rPr>
          <w:bCs/>
          <w:snapToGrid w:val="0"/>
        </w:rPr>
        <w:t>Lucentis</w:t>
      </w:r>
      <w:proofErr w:type="spellEnd"/>
      <w:r w:rsidRPr="00B72408">
        <w:rPr>
          <w:bCs/>
          <w:snapToGrid w:val="0"/>
        </w:rPr>
        <w:t xml:space="preserve"> is supplied as </w:t>
      </w:r>
      <w:r w:rsidRPr="00B72408">
        <w:t xml:space="preserve">0.165 mL sterile solution in a pre-filled syringe (type I glass) with a </w:t>
      </w:r>
      <w:proofErr w:type="spellStart"/>
      <w:r w:rsidRPr="00B72408">
        <w:t>bromobutyl</w:t>
      </w:r>
      <w:proofErr w:type="spellEnd"/>
      <w:r w:rsidRPr="00B72408">
        <w:t xml:space="preserve"> rubber plunger stopper and a syringe cap consisting of a white, tamper-evident rigid seal with a grey </w:t>
      </w:r>
      <w:proofErr w:type="spellStart"/>
      <w:r w:rsidRPr="00B72408">
        <w:t>bromobutyl</w:t>
      </w:r>
      <w:proofErr w:type="spellEnd"/>
      <w:r w:rsidRPr="00B72408">
        <w:t xml:space="preserve"> rubber tip cap and a </w:t>
      </w:r>
      <w:proofErr w:type="spellStart"/>
      <w:r w:rsidRPr="00B72408">
        <w:t>Luer</w:t>
      </w:r>
      <w:proofErr w:type="spellEnd"/>
      <w:r w:rsidRPr="00B72408">
        <w:t xml:space="preserve"> Lock adapter. The pre-filled syringe has a plunger rod and a finger grip, and is packed in a sealed tray. One pack contains </w:t>
      </w:r>
      <w:proofErr w:type="gramStart"/>
      <w:r w:rsidRPr="00B72408">
        <w:t>one  pre</w:t>
      </w:r>
      <w:proofErr w:type="gramEnd"/>
      <w:r w:rsidRPr="00B72408">
        <w:t xml:space="preserve">-filled syringe. Each pre-filled syringe contains 1.65 mg of </w:t>
      </w:r>
      <w:proofErr w:type="spellStart"/>
      <w:r w:rsidRPr="00B72408">
        <w:t>ranibizumab</w:t>
      </w:r>
      <w:proofErr w:type="spellEnd"/>
      <w:r w:rsidRPr="00B72408">
        <w:t xml:space="preserve"> in 0.165mL solution. </w:t>
      </w:r>
    </w:p>
    <w:p w:rsidR="00D03298" w:rsidRPr="00B72408" w:rsidRDefault="00D03298" w:rsidP="00D03298">
      <w:pPr>
        <w:rPr>
          <w:b/>
          <w:bCs/>
          <w:snapToGrid w:val="0"/>
          <w:u w:val="single"/>
        </w:rPr>
      </w:pPr>
    </w:p>
    <w:p w:rsidR="00D03298" w:rsidRPr="006C51F8" w:rsidRDefault="00D03298" w:rsidP="00C2256C">
      <w:pPr>
        <w:rPr>
          <w:bCs/>
          <w:snapToGrid w:val="0"/>
        </w:rPr>
      </w:pPr>
      <w:r w:rsidRPr="00B72408">
        <w:rPr>
          <w:bCs/>
          <w:snapToGrid w:val="0"/>
        </w:rPr>
        <w:t>Not all presentations may be marketed.</w:t>
      </w:r>
    </w:p>
    <w:p w:rsidR="00DD21DB" w:rsidRDefault="00DD21DB" w:rsidP="00C2256C"/>
    <w:p w:rsidR="00D03298" w:rsidRDefault="00DD21DB" w:rsidP="00DD21DB">
      <w:pPr>
        <w:rPr>
          <w:b/>
          <w:bCs/>
          <w:snapToGrid w:val="0"/>
        </w:rPr>
      </w:pPr>
      <w:r w:rsidRPr="00FC6FDF">
        <w:rPr>
          <w:bCs/>
          <w:snapToGrid w:val="0"/>
          <w:u w:val="single"/>
        </w:rPr>
        <w:t>Storage:</w:t>
      </w:r>
      <w:r w:rsidRPr="00FC6FDF">
        <w:rPr>
          <w:b/>
          <w:bCs/>
          <w:snapToGrid w:val="0"/>
        </w:rPr>
        <w:t xml:space="preserve"> </w:t>
      </w:r>
    </w:p>
    <w:p w:rsidR="00D03298" w:rsidRPr="00B72408" w:rsidRDefault="00D03298" w:rsidP="00D03298">
      <w:pPr>
        <w:rPr>
          <w:b/>
        </w:rPr>
      </w:pPr>
      <w:r w:rsidRPr="00B72408">
        <w:rPr>
          <w:b/>
        </w:rPr>
        <w:t>Vial pack</w:t>
      </w:r>
    </w:p>
    <w:p w:rsidR="00DD21DB" w:rsidRPr="00FC6FDF" w:rsidRDefault="00DD21DB" w:rsidP="00DD21DB">
      <w:pPr>
        <w:rPr>
          <w:snapToGrid w:val="0"/>
        </w:rPr>
      </w:pPr>
      <w:r w:rsidRPr="00FC6FDF">
        <w:rPr>
          <w:snapToGrid w:val="0"/>
        </w:rPr>
        <w:t>Store at 2°C to 8°C (refrigerate - do not freeze). Protect from light.</w:t>
      </w:r>
    </w:p>
    <w:p w:rsidR="00DD21DB" w:rsidRDefault="00DD21DB" w:rsidP="00DD21DB">
      <w:pPr>
        <w:rPr>
          <w:snapToGrid w:val="0"/>
        </w:rPr>
      </w:pPr>
      <w:r w:rsidRPr="00FC6FDF">
        <w:rPr>
          <w:snapToGrid w:val="0"/>
        </w:rPr>
        <w:t>Keep the vial in the outer carton in order to protect from light.</w:t>
      </w:r>
    </w:p>
    <w:p w:rsidR="00D03298" w:rsidRDefault="00D03298" w:rsidP="00DD21DB">
      <w:pPr>
        <w:rPr>
          <w:snapToGrid w:val="0"/>
        </w:rPr>
      </w:pPr>
    </w:p>
    <w:p w:rsidR="00D03298" w:rsidRPr="0087204D" w:rsidRDefault="00D03298" w:rsidP="00D03298">
      <w:pPr>
        <w:rPr>
          <w:b/>
          <w:bCs/>
          <w:snapToGrid w:val="0"/>
        </w:rPr>
      </w:pPr>
      <w:r w:rsidRPr="0087204D">
        <w:rPr>
          <w:b/>
          <w:bCs/>
          <w:snapToGrid w:val="0"/>
        </w:rPr>
        <w:t>Pre-filled syringe pack</w:t>
      </w:r>
    </w:p>
    <w:p w:rsidR="00D03298" w:rsidRPr="00B72408" w:rsidRDefault="00D03298" w:rsidP="00D03298">
      <w:pPr>
        <w:rPr>
          <w:b/>
          <w:bCs/>
          <w:snapToGrid w:val="0"/>
          <w:u w:val="single"/>
        </w:rPr>
      </w:pPr>
      <w:r w:rsidRPr="00B72408">
        <w:rPr>
          <w:snapToGrid w:val="0"/>
        </w:rPr>
        <w:t>Store at 2°C to 8°C (refrigerate - do not freeze). Protect from light.</w:t>
      </w:r>
    </w:p>
    <w:p w:rsidR="00D03298" w:rsidRPr="006C51F8" w:rsidRDefault="00D03298" w:rsidP="006C51F8">
      <w:pPr>
        <w:pStyle w:val="Text"/>
      </w:pPr>
      <w:r w:rsidRPr="00B72408">
        <w:t xml:space="preserve">Keep the pre-filled syringe in its sealed tray in the carton in order to protect from light. Prior to usage, the unopened tray may be kept at room temperature (25°C) for up to 24 hours. </w:t>
      </w:r>
    </w:p>
    <w:p w:rsidR="00DD21DB" w:rsidRPr="00FC6FDF" w:rsidRDefault="00DD21DB" w:rsidP="00C2256C"/>
    <w:p w:rsidR="00A57690" w:rsidRDefault="00DD21DB">
      <w:pPr>
        <w:pStyle w:val="Heading1"/>
      </w:pPr>
      <w:r>
        <w:t>POISON SCHEDULE OF THE MEDICINE</w:t>
      </w:r>
    </w:p>
    <w:p w:rsidR="00DD21DB" w:rsidRPr="00FC6FDF" w:rsidRDefault="00DD21DB"/>
    <w:p w:rsidR="004D3249" w:rsidRPr="00FC6FDF" w:rsidRDefault="004D3249">
      <w:r w:rsidRPr="00FC6FDF">
        <w:rPr>
          <w:u w:val="single"/>
        </w:rPr>
        <w:t>Poisons Schedule:</w:t>
      </w:r>
      <w:r w:rsidRPr="00FC6FDF">
        <w:t xml:space="preserve"> Schedule 4.</w:t>
      </w:r>
    </w:p>
    <w:p w:rsidR="004D3249" w:rsidRPr="00FC6FDF" w:rsidRDefault="004D3249"/>
    <w:p w:rsidR="004D3249" w:rsidRPr="00FC6FDF" w:rsidRDefault="00DD21DB">
      <w:pPr>
        <w:pStyle w:val="Heading1"/>
      </w:pPr>
      <w:r>
        <w:t xml:space="preserve">NAME AND ADDRESS OF THE </w:t>
      </w:r>
      <w:r w:rsidR="004D3249" w:rsidRPr="00FC6FDF">
        <w:t>SPONSOR</w:t>
      </w:r>
    </w:p>
    <w:p w:rsidR="004D3249" w:rsidRPr="00FC6FDF" w:rsidRDefault="004D3249"/>
    <w:p w:rsidR="004D3249" w:rsidRPr="00FC6FDF" w:rsidRDefault="004D3249">
      <w:r w:rsidRPr="00FC6FDF">
        <w:t>Novartis Pharmaceuticals Australia Pty Limited</w:t>
      </w:r>
    </w:p>
    <w:p w:rsidR="004D3249" w:rsidRPr="00FC6FDF" w:rsidRDefault="004D3249">
      <w:r w:rsidRPr="00FC6FDF">
        <w:t>ABN 18 004 244 160</w:t>
      </w:r>
    </w:p>
    <w:p w:rsidR="004D3249" w:rsidRPr="00FC6FDF" w:rsidRDefault="004D3249">
      <w:r w:rsidRPr="00FC6FDF">
        <w:t>54 Waterloo Road</w:t>
      </w:r>
    </w:p>
    <w:p w:rsidR="004D3249" w:rsidRPr="00FC6FDF" w:rsidRDefault="004D3249">
      <w:r w:rsidRPr="00FC6FDF">
        <w:t xml:space="preserve">North </w:t>
      </w:r>
      <w:proofErr w:type="spellStart"/>
      <w:r w:rsidRPr="00FC6FDF">
        <w:t>Ryde</w:t>
      </w:r>
      <w:proofErr w:type="spellEnd"/>
      <w:r w:rsidRPr="00FC6FDF">
        <w:t xml:space="preserve"> NSW 2113</w:t>
      </w:r>
    </w:p>
    <w:p w:rsidR="004D3249" w:rsidRDefault="004D3249"/>
    <w:p w:rsidR="00DD21DB" w:rsidRDefault="006D791E">
      <w:pPr>
        <w:rPr>
          <w:sz w:val="32"/>
        </w:rPr>
      </w:pPr>
      <w:r w:rsidRPr="006D791E">
        <w:rPr>
          <w:b/>
          <w:bCs/>
          <w:sz w:val="30"/>
          <w:szCs w:val="30"/>
          <w:u w:val="single"/>
        </w:rPr>
        <w:t xml:space="preserve">DATE OF FIRST INCLUSION IN THE AUSTRALIAN REGISTER OF </w:t>
      </w:r>
      <w:r w:rsidR="00DD21DB">
        <w:rPr>
          <w:b/>
          <w:bCs/>
          <w:sz w:val="30"/>
          <w:szCs w:val="30"/>
          <w:u w:val="single"/>
        </w:rPr>
        <w:t>THERAPEUTIC GOODS (THE ARTG)</w:t>
      </w:r>
      <w:r w:rsidRPr="006D791E">
        <w:rPr>
          <w:sz w:val="32"/>
        </w:rPr>
        <w:t xml:space="preserve">  </w:t>
      </w:r>
    </w:p>
    <w:p w:rsidR="00DD21DB" w:rsidRDefault="00DD21DB">
      <w:r>
        <w:t>27 February 2007</w:t>
      </w:r>
    </w:p>
    <w:p w:rsidR="00DD21DB" w:rsidRPr="00FC6FDF" w:rsidRDefault="00DD21DB"/>
    <w:p w:rsidR="00DD21DB" w:rsidRPr="00DD21DB" w:rsidRDefault="00DD21DB" w:rsidP="00445C2F">
      <w:pPr>
        <w:rPr>
          <w:b/>
          <w:bCs/>
          <w:sz w:val="30"/>
          <w:szCs w:val="30"/>
          <w:u w:val="single"/>
        </w:rPr>
      </w:pPr>
      <w:r w:rsidRPr="00DD21DB">
        <w:rPr>
          <w:b/>
          <w:bCs/>
          <w:sz w:val="30"/>
          <w:szCs w:val="30"/>
          <w:u w:val="single"/>
        </w:rPr>
        <w:t xml:space="preserve">DATE OF MOST RECENT AMENDMENT </w:t>
      </w:r>
    </w:p>
    <w:p w:rsidR="004D3249" w:rsidRPr="00FC6FDF" w:rsidRDefault="00413DE0" w:rsidP="00445C2F">
      <w:r>
        <w:t>28 April 2014</w:t>
      </w:r>
    </w:p>
    <w:p w:rsidR="004D3249" w:rsidRPr="00FC6FDF" w:rsidRDefault="004D3249" w:rsidP="00445C2F"/>
    <w:p w:rsidR="004D3249" w:rsidRPr="00FC6FDF" w:rsidRDefault="004D3249"/>
    <w:p w:rsidR="004D3249" w:rsidRPr="00FC6FDF" w:rsidRDefault="004D3249">
      <w:r w:rsidRPr="00FC6FDF">
        <w:rPr>
          <w:vertAlign w:val="superscript"/>
        </w:rPr>
        <w:t>®</w:t>
      </w:r>
      <w:r w:rsidRPr="00FC6FDF">
        <w:t xml:space="preserve"> = Registered trademark</w:t>
      </w:r>
    </w:p>
    <w:p w:rsidR="004D3249" w:rsidRPr="00FC6FDF" w:rsidRDefault="004D3249" w:rsidP="000C3CC5">
      <w:pPr>
        <w:pBdr>
          <w:bottom w:val="single" w:sz="12" w:space="1" w:color="auto"/>
        </w:pBdr>
      </w:pPr>
    </w:p>
    <w:p w:rsidR="001D621B" w:rsidRPr="00FC6FDF" w:rsidRDefault="001D621B" w:rsidP="000C3CC5"/>
    <w:p w:rsidR="004D3249" w:rsidRPr="00FC6FDF" w:rsidRDefault="004D3249" w:rsidP="000C3CC5">
      <w:pPr>
        <w:tabs>
          <w:tab w:val="left" w:pos="-720"/>
        </w:tabs>
      </w:pPr>
      <w:r w:rsidRPr="00FC6FDF">
        <w:t>For Internal Use Only</w:t>
      </w:r>
    </w:p>
    <w:p w:rsidR="004D3249" w:rsidRPr="004E2928" w:rsidRDefault="004D3249" w:rsidP="00287A1B">
      <w:pPr>
        <w:pStyle w:val="Default"/>
      </w:pPr>
      <w:r w:rsidRPr="004E2928">
        <w:rPr>
          <w:rFonts w:ascii="Times New Roman" w:hAnsi="Times New Roman" w:cs="Times New Roman"/>
          <w:color w:val="auto"/>
          <w:lang w:val="en-GB" w:eastAsia="en-US"/>
        </w:rPr>
        <w:t>(</w:t>
      </w:r>
      <w:r w:rsidR="00D02E6B" w:rsidRPr="00287A1B">
        <w:rPr>
          <w:rFonts w:ascii="Times New Roman" w:hAnsi="Times New Roman" w:cs="Times New Roman"/>
          <w:color w:val="auto"/>
          <w:lang w:val="en-GB" w:eastAsia="en-US"/>
        </w:rPr>
        <w:t>luc</w:t>
      </w:r>
      <w:r w:rsidR="00413DE0">
        <w:rPr>
          <w:rFonts w:ascii="Times New Roman" w:hAnsi="Times New Roman" w:cs="Times New Roman"/>
          <w:color w:val="auto"/>
          <w:lang w:val="en-GB" w:eastAsia="en-US"/>
        </w:rPr>
        <w:t>28</w:t>
      </w:r>
      <w:r w:rsidR="008E7C5B">
        <w:rPr>
          <w:rFonts w:ascii="Times New Roman" w:hAnsi="Times New Roman" w:cs="Times New Roman"/>
          <w:color w:val="auto"/>
          <w:lang w:val="en-GB" w:eastAsia="en-US"/>
        </w:rPr>
        <w:t>04</w:t>
      </w:r>
      <w:r w:rsidR="004E2928" w:rsidRPr="00287A1B">
        <w:rPr>
          <w:rFonts w:ascii="Times New Roman" w:hAnsi="Times New Roman" w:cs="Times New Roman"/>
          <w:color w:val="auto"/>
          <w:lang w:val="en-GB" w:eastAsia="en-US"/>
        </w:rPr>
        <w:t>14</w:t>
      </w:r>
      <w:r w:rsidR="00D02E6B" w:rsidRPr="00287A1B">
        <w:rPr>
          <w:rFonts w:ascii="Times New Roman" w:hAnsi="Times New Roman" w:cs="Times New Roman"/>
          <w:color w:val="auto"/>
          <w:lang w:val="en-GB" w:eastAsia="en-US"/>
        </w:rPr>
        <w:t>i</w:t>
      </w:r>
      <w:r w:rsidR="009B1531" w:rsidRPr="00287A1B">
        <w:rPr>
          <w:rFonts w:ascii="Times New Roman" w:hAnsi="Times New Roman" w:cs="Times New Roman"/>
          <w:color w:val="auto"/>
          <w:lang w:val="en-GB" w:eastAsia="en-US"/>
        </w:rPr>
        <w:t xml:space="preserve">.doc) based on </w:t>
      </w:r>
      <w:r w:rsidR="005A02F3" w:rsidRPr="00287A1B">
        <w:rPr>
          <w:rFonts w:ascii="Times New Roman" w:hAnsi="Times New Roman" w:cs="Times New Roman"/>
          <w:color w:val="auto"/>
          <w:lang w:val="en-GB" w:eastAsia="en-US"/>
        </w:rPr>
        <w:t xml:space="preserve">CDS dated </w:t>
      </w:r>
      <w:r w:rsidR="000A3C24" w:rsidRPr="00287A1B">
        <w:rPr>
          <w:rFonts w:ascii="Times New Roman" w:hAnsi="Times New Roman" w:cs="Times New Roman"/>
          <w:color w:val="auto"/>
          <w:lang w:val="en-GB" w:eastAsia="en-US"/>
        </w:rPr>
        <w:t>31 Oct</w:t>
      </w:r>
      <w:r w:rsidR="00D02E6B" w:rsidRPr="00287A1B">
        <w:rPr>
          <w:rFonts w:ascii="Times New Roman" w:hAnsi="Times New Roman" w:cs="Times New Roman"/>
          <w:color w:val="auto"/>
          <w:lang w:val="en-GB" w:eastAsia="en-US"/>
        </w:rPr>
        <w:t xml:space="preserve"> 2013</w:t>
      </w:r>
      <w:r w:rsidR="004E2928" w:rsidRPr="00287A1B">
        <w:rPr>
          <w:rFonts w:ascii="Times New Roman" w:hAnsi="Times New Roman" w:cs="Times New Roman"/>
          <w:color w:val="auto"/>
          <w:lang w:val="en-GB" w:eastAsia="en-US"/>
        </w:rPr>
        <w:t xml:space="preserve"> and DO PM-2013-00985-1-5</w:t>
      </w:r>
      <w:r w:rsidR="008E7C5B">
        <w:rPr>
          <w:rFonts w:ascii="Times New Roman" w:hAnsi="Times New Roman" w:cs="Times New Roman"/>
          <w:color w:val="auto"/>
          <w:lang w:val="en-GB" w:eastAsia="en-US"/>
        </w:rPr>
        <w:t xml:space="preserve"> and post-ACPM recommendations</w:t>
      </w:r>
      <w:r w:rsidR="00D02E6B" w:rsidRPr="00287A1B">
        <w:rPr>
          <w:rFonts w:ascii="Times New Roman" w:hAnsi="Times New Roman" w:cs="Times New Roman"/>
          <w:color w:val="auto"/>
          <w:lang w:val="en-GB" w:eastAsia="en-US"/>
        </w:rPr>
        <w:t>.</w:t>
      </w:r>
      <w:r w:rsidR="005A02F3" w:rsidRPr="004E2928">
        <w:rPr>
          <w:rFonts w:ascii="Times New Roman" w:hAnsi="Times New Roman" w:cs="Times New Roman"/>
          <w:color w:val="auto"/>
          <w:lang w:val="en-GB" w:eastAsia="en-US"/>
        </w:rPr>
        <w:t xml:space="preserve"> </w:t>
      </w:r>
    </w:p>
    <w:p w:rsidR="004D3249" w:rsidRPr="0087204D" w:rsidRDefault="004D3249">
      <w:pPr>
        <w:rPr>
          <w:lang w:val="en-US"/>
        </w:rPr>
      </w:pPr>
    </w:p>
    <w:sectPr w:rsidR="004D3249" w:rsidRPr="0087204D" w:rsidSect="0065100D">
      <w:headerReference w:type="default" r:id="rId27"/>
      <w:type w:val="continuous"/>
      <w:pgSz w:w="11907" w:h="16839" w:code="9"/>
      <w:pgMar w:top="1276" w:right="1418" w:bottom="99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88" w:rsidRDefault="00A97788">
      <w:pPr>
        <w:spacing w:line="240" w:lineRule="auto"/>
      </w:pPr>
      <w:r>
        <w:separator/>
      </w:r>
    </w:p>
  </w:endnote>
  <w:endnote w:type="continuationSeparator" w:id="0">
    <w:p w:rsidR="00A97788" w:rsidRDefault="00A97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abon">
    <w:altName w:val="Constantia"/>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88" w:rsidRDefault="00A97788">
      <w:pPr>
        <w:spacing w:line="240" w:lineRule="auto"/>
      </w:pPr>
      <w:r>
        <w:separator/>
      </w:r>
    </w:p>
  </w:footnote>
  <w:footnote w:type="continuationSeparator" w:id="0">
    <w:p w:rsidR="00A97788" w:rsidRDefault="00A977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DD" w:rsidRPr="00996FDD" w:rsidRDefault="00996FDD" w:rsidP="00996FDD">
    <w:pPr>
      <w:pBdr>
        <w:top w:val="single" w:sz="4" w:space="1" w:color="auto"/>
        <w:left w:val="single" w:sz="4" w:space="4" w:color="auto"/>
        <w:bottom w:val="single" w:sz="4" w:space="1" w:color="auto"/>
        <w:right w:val="single" w:sz="4" w:space="4" w:color="auto"/>
      </w:pBdr>
      <w:shd w:val="clear" w:color="auto" w:fill="E4F2E0"/>
      <w:spacing w:line="240" w:lineRule="auto"/>
      <w:rPr>
        <w:rFonts w:ascii="Cambria" w:hAnsi="Cambria"/>
        <w:b/>
        <w:sz w:val="20"/>
        <w:szCs w:val="20"/>
      </w:rPr>
    </w:pPr>
    <w:r w:rsidRPr="00996FDD">
      <w:rPr>
        <w:rFonts w:ascii="Cambria" w:hAnsi="Cambria"/>
        <w:b/>
        <w:sz w:val="20"/>
        <w:szCs w:val="20"/>
      </w:rPr>
      <w:t xml:space="preserve">Attachment 1: Product information for </w:t>
    </w:r>
    <w:proofErr w:type="spellStart"/>
    <w:r w:rsidRPr="00996FDD">
      <w:rPr>
        <w:rFonts w:ascii="Cambria" w:hAnsi="Cambria"/>
        <w:b/>
        <w:sz w:val="20"/>
        <w:szCs w:val="20"/>
        <w:lang w:val="fr-CH"/>
      </w:rPr>
      <w:t>AusPAR</w:t>
    </w:r>
    <w:proofErr w:type="spellEnd"/>
    <w:r w:rsidRPr="00996FDD">
      <w:rPr>
        <w:rFonts w:ascii="Cambria" w:hAnsi="Cambria"/>
        <w:b/>
        <w:sz w:val="20"/>
        <w:szCs w:val="20"/>
        <w:lang w:val="fr-CH"/>
      </w:rPr>
      <w:t xml:space="preserve"> </w:t>
    </w:r>
    <w:proofErr w:type="spellStart"/>
    <w:r w:rsidRPr="00996FDD">
      <w:rPr>
        <w:rFonts w:ascii="Cambria" w:hAnsi="Cambria"/>
        <w:b/>
        <w:sz w:val="20"/>
        <w:szCs w:val="20"/>
        <w:lang w:val="fr-CH"/>
      </w:rPr>
      <w:t>Lucentis</w:t>
    </w:r>
    <w:proofErr w:type="spellEnd"/>
    <w:r w:rsidRPr="00996FDD">
      <w:rPr>
        <w:rFonts w:ascii="Cambria" w:hAnsi="Cambria"/>
        <w:b/>
        <w:sz w:val="20"/>
        <w:szCs w:val="20"/>
        <w:lang w:val="fr-CH"/>
      </w:rPr>
      <w:t xml:space="preserve"> </w:t>
    </w:r>
    <w:proofErr w:type="spellStart"/>
    <w:r w:rsidRPr="00996FDD">
      <w:rPr>
        <w:rFonts w:ascii="Cambria" w:hAnsi="Cambria"/>
        <w:b/>
        <w:sz w:val="20"/>
        <w:szCs w:val="20"/>
        <w:lang w:val="fr-CH"/>
      </w:rPr>
      <w:t>Ranibizumab</w:t>
    </w:r>
    <w:proofErr w:type="spellEnd"/>
    <w:r w:rsidRPr="00996FDD">
      <w:rPr>
        <w:rFonts w:ascii="Cambria" w:hAnsi="Cambria"/>
        <w:b/>
        <w:sz w:val="20"/>
        <w:szCs w:val="20"/>
        <w:lang w:val="fr-CH"/>
      </w:rPr>
      <w:t xml:space="preserve"> Novartis Pharmaceuticals </w:t>
    </w:r>
    <w:proofErr w:type="spellStart"/>
    <w:r w:rsidRPr="00996FDD">
      <w:rPr>
        <w:rFonts w:ascii="Cambria" w:hAnsi="Cambria"/>
        <w:b/>
        <w:sz w:val="20"/>
        <w:szCs w:val="20"/>
        <w:lang w:val="fr-CH"/>
      </w:rPr>
      <w:t>Australia</w:t>
    </w:r>
    <w:proofErr w:type="spellEnd"/>
    <w:r w:rsidRPr="00996FDD">
      <w:rPr>
        <w:rFonts w:ascii="Cambria" w:hAnsi="Cambria"/>
        <w:b/>
        <w:sz w:val="20"/>
        <w:szCs w:val="20"/>
        <w:lang w:val="fr-CH"/>
      </w:rPr>
      <w:t xml:space="preserve"> PM-2013-00985-1-5</w:t>
    </w:r>
    <w:r w:rsidRPr="00996FDD">
      <w:rPr>
        <w:rFonts w:ascii="Cambria" w:hAnsi="Cambria"/>
        <w:b/>
        <w:sz w:val="20"/>
        <w:szCs w:val="20"/>
        <w:lang w:val="fr-CH"/>
      </w:rPr>
      <w:t xml:space="preserve"> </w:t>
    </w:r>
    <w:r w:rsidRPr="00996FDD">
      <w:rPr>
        <w:rFonts w:ascii="Cambria" w:hAnsi="Cambria"/>
        <w:b/>
        <w:sz w:val="20"/>
        <w:szCs w:val="20"/>
        <w:lang w:val="fr-CH"/>
      </w:rPr>
      <w:t xml:space="preserve">Final 14 </w:t>
    </w:r>
    <w:proofErr w:type="spellStart"/>
    <w:r w:rsidRPr="00996FDD">
      <w:rPr>
        <w:rFonts w:ascii="Cambria" w:hAnsi="Cambria"/>
        <w:b/>
        <w:sz w:val="20"/>
        <w:szCs w:val="20"/>
        <w:lang w:val="fr-CH"/>
      </w:rPr>
      <w:t>October</w:t>
    </w:r>
    <w:proofErr w:type="spellEnd"/>
    <w:r w:rsidRPr="00996FDD">
      <w:rPr>
        <w:rFonts w:ascii="Cambria" w:hAnsi="Cambria"/>
        <w:b/>
        <w:sz w:val="20"/>
        <w:szCs w:val="20"/>
        <w:lang w:val="fr-CH"/>
      </w:rPr>
      <w:t xml:space="preserve"> 2014</w:t>
    </w:r>
    <w:r w:rsidRPr="00996FDD">
      <w:rPr>
        <w:rFonts w:ascii="Cambria" w:hAnsi="Cambria"/>
        <w:b/>
        <w:sz w:val="20"/>
        <w:szCs w:val="20"/>
      </w:rPr>
      <w:t xml:space="preserve">. This Product Information was approved at the time this </w:t>
    </w:r>
    <w:proofErr w:type="spellStart"/>
    <w:r w:rsidRPr="00996FDD">
      <w:rPr>
        <w:rFonts w:ascii="Cambria" w:hAnsi="Cambria"/>
        <w:b/>
        <w:sz w:val="20"/>
        <w:szCs w:val="20"/>
      </w:rPr>
      <w:t>AusPAR</w:t>
    </w:r>
    <w:proofErr w:type="spellEnd"/>
    <w:r w:rsidRPr="00996FDD">
      <w:rPr>
        <w:rFonts w:ascii="Cambria" w:hAnsi="Cambria"/>
        <w:b/>
        <w:sz w:val="20"/>
        <w:szCs w:val="20"/>
      </w:rPr>
      <w:t xml:space="preserve"> was published.</w:t>
    </w:r>
  </w:p>
  <w:p w:rsidR="00996FDD" w:rsidRDefault="00996FDD" w:rsidP="00557741">
    <w:pPr>
      <w:pStyle w:val="Header"/>
    </w:pPr>
  </w:p>
  <w:p w:rsidR="00A97788" w:rsidRDefault="00A97788" w:rsidP="00557741">
    <w:pPr>
      <w:pStyle w:val="Header"/>
      <w:rPr>
        <w:b/>
        <w:bCs/>
      </w:rPr>
    </w:pPr>
    <w:r>
      <w:tab/>
    </w:r>
    <w:r>
      <w:tab/>
    </w:r>
    <w:r>
      <w:rPr>
        <w:rStyle w:val="PageNumber"/>
        <w:b/>
        <w:bCs/>
      </w:rPr>
      <w:fldChar w:fldCharType="begin"/>
    </w:r>
    <w:r>
      <w:rPr>
        <w:rStyle w:val="PageNumber"/>
        <w:b/>
        <w:bCs/>
      </w:rPr>
      <w:instrText xml:space="preserve"> PAGE </w:instrText>
    </w:r>
    <w:r>
      <w:rPr>
        <w:rStyle w:val="PageNumber"/>
        <w:b/>
        <w:bCs/>
      </w:rPr>
      <w:fldChar w:fldCharType="separate"/>
    </w:r>
    <w:r w:rsidR="00A1085B">
      <w:rPr>
        <w:rStyle w:val="PageNumber"/>
        <w:b/>
        <w:bCs/>
        <w:noProof/>
      </w:rPr>
      <w:t>2</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239"/>
    <w:multiLevelType w:val="hybridMultilevel"/>
    <w:tmpl w:val="49AA93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7567DE"/>
    <w:multiLevelType w:val="hybridMultilevel"/>
    <w:tmpl w:val="FA6213A0"/>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C3A32FE"/>
    <w:multiLevelType w:val="multilevel"/>
    <w:tmpl w:val="FA6213A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E587C5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
    <w:nsid w:val="116A554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nsid w:val="12A328F2"/>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nsid w:val="16A570E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7">
    <w:nsid w:val="1B49081B"/>
    <w:multiLevelType w:val="multilevel"/>
    <w:tmpl w:val="52063354"/>
    <w:lvl w:ilvl="0">
      <w:start w:val="1"/>
      <w:numFmt w:val="decimal"/>
      <w:lvlText w:val="%1."/>
      <w:lvlJc w:val="left"/>
      <w:pPr>
        <w:tabs>
          <w:tab w:val="num" w:pos="360"/>
        </w:tabs>
        <w:ind w:left="360" w:hanging="360"/>
      </w:pPr>
    </w:lvl>
    <w:lvl w:ilvl="1">
      <w:start w:val="2"/>
      <w:numFmt w:val="decimal"/>
      <w:isLgl/>
      <w:lvlText w:val="%1.%2"/>
      <w:lvlJc w:val="left"/>
      <w:pPr>
        <w:tabs>
          <w:tab w:val="num" w:pos="855"/>
        </w:tabs>
        <w:ind w:left="855" w:hanging="855"/>
      </w:pPr>
      <w:rPr>
        <w:rFonts w:hint="default"/>
      </w:rPr>
    </w:lvl>
    <w:lvl w:ilvl="2">
      <w:start w:val="1"/>
      <w:numFmt w:val="lowerLetter"/>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1E3E633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9">
    <w:nsid w:val="1EA12EB6"/>
    <w:multiLevelType w:val="singleLevel"/>
    <w:tmpl w:val="D1BC940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10">
    <w:nsid w:val="235A68E3"/>
    <w:multiLevelType w:val="hybridMultilevel"/>
    <w:tmpl w:val="3AB6BAB2"/>
    <w:lvl w:ilvl="0" w:tplc="B40A7190">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26A4165C"/>
    <w:multiLevelType w:val="singleLevel"/>
    <w:tmpl w:val="1A7681C6"/>
    <w:lvl w:ilvl="0">
      <w:start w:val="5"/>
      <w:numFmt w:val="decimal"/>
      <w:lvlText w:val="%1."/>
      <w:lvlJc w:val="left"/>
      <w:pPr>
        <w:tabs>
          <w:tab w:val="num" w:pos="420"/>
        </w:tabs>
        <w:ind w:left="420" w:hanging="420"/>
      </w:pPr>
      <w:rPr>
        <w:rFonts w:hint="default"/>
      </w:rPr>
    </w:lvl>
  </w:abstractNum>
  <w:abstractNum w:abstractNumId="12">
    <w:nsid w:val="2CAF72A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nsid w:val="2EED779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5">
    <w:nsid w:val="428B0F24"/>
    <w:multiLevelType w:val="singleLevel"/>
    <w:tmpl w:val="7B7E03C2"/>
    <w:lvl w:ilvl="0">
      <w:start w:val="4"/>
      <w:numFmt w:val="bullet"/>
      <w:lvlText w:val="-"/>
      <w:lvlJc w:val="left"/>
      <w:pPr>
        <w:tabs>
          <w:tab w:val="num" w:pos="360"/>
        </w:tabs>
        <w:ind w:left="360" w:hanging="360"/>
      </w:pPr>
      <w:rPr>
        <w:rFonts w:hint="default"/>
      </w:rPr>
    </w:lvl>
  </w:abstractNum>
  <w:abstractNum w:abstractNumId="16">
    <w:nsid w:val="43014F4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7">
    <w:nsid w:val="430C5D19"/>
    <w:multiLevelType w:val="singleLevel"/>
    <w:tmpl w:val="E70EA3D6"/>
    <w:lvl w:ilvl="0">
      <w:start w:val="1"/>
      <w:numFmt w:val="decimal"/>
      <w:lvlText w:val="%1."/>
      <w:lvlJc w:val="left"/>
      <w:pPr>
        <w:tabs>
          <w:tab w:val="num" w:pos="360"/>
        </w:tabs>
        <w:ind w:left="360" w:hanging="360"/>
      </w:pPr>
      <w:rPr>
        <w:rFonts w:hint="default"/>
      </w:rPr>
    </w:lvl>
  </w:abstractNum>
  <w:abstractNum w:abstractNumId="18">
    <w:nsid w:val="45383A02"/>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9">
    <w:nsid w:val="48B22289"/>
    <w:multiLevelType w:val="hybridMultilevel"/>
    <w:tmpl w:val="58508DAA"/>
    <w:lvl w:ilvl="0" w:tplc="AE48A5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5A3CA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21">
    <w:nsid w:val="499B04AD"/>
    <w:multiLevelType w:val="singleLevel"/>
    <w:tmpl w:val="BEB48580"/>
    <w:lvl w:ilvl="0">
      <w:start w:val="1"/>
      <w:numFmt w:val="bullet"/>
      <w:lvlText w:val=""/>
      <w:lvlJc w:val="left"/>
      <w:pPr>
        <w:tabs>
          <w:tab w:val="num" w:pos="360"/>
        </w:tabs>
        <w:ind w:left="360" w:hanging="360"/>
      </w:pPr>
      <w:rPr>
        <w:rFonts w:ascii="Symbol" w:hAnsi="Symbol" w:cs="Symbol" w:hint="default"/>
      </w:rPr>
    </w:lvl>
  </w:abstractNum>
  <w:abstractNum w:abstractNumId="22">
    <w:nsid w:val="5AED7DE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3">
    <w:nsid w:val="62B20126"/>
    <w:multiLevelType w:val="singleLevel"/>
    <w:tmpl w:val="6B56522A"/>
    <w:lvl w:ilvl="0">
      <w:start w:val="1"/>
      <w:numFmt w:val="lowerRoman"/>
      <w:lvlText w:val="(%1)"/>
      <w:lvlJc w:val="left"/>
      <w:pPr>
        <w:tabs>
          <w:tab w:val="num" w:pos="720"/>
        </w:tabs>
        <w:ind w:left="720" w:hanging="720"/>
      </w:pPr>
      <w:rPr>
        <w:b/>
        <w:bCs/>
        <w:i w:val="0"/>
        <w:iCs w:val="0"/>
      </w:rPr>
    </w:lvl>
  </w:abstractNum>
  <w:abstractNum w:abstractNumId="24">
    <w:nsid w:val="656F0EAB"/>
    <w:multiLevelType w:val="singleLevel"/>
    <w:tmpl w:val="0809000F"/>
    <w:lvl w:ilvl="0">
      <w:start w:val="1"/>
      <w:numFmt w:val="decimal"/>
      <w:lvlText w:val="%1."/>
      <w:lvlJc w:val="left"/>
      <w:pPr>
        <w:tabs>
          <w:tab w:val="num" w:pos="360"/>
        </w:tabs>
        <w:ind w:left="360" w:hanging="360"/>
      </w:pPr>
    </w:lvl>
  </w:abstractNum>
  <w:abstractNum w:abstractNumId="25">
    <w:nsid w:val="674633C2"/>
    <w:multiLevelType w:val="singleLevel"/>
    <w:tmpl w:val="E70EA3D6"/>
    <w:lvl w:ilvl="0">
      <w:start w:val="2"/>
      <w:numFmt w:val="decimal"/>
      <w:lvlText w:val="%1."/>
      <w:lvlJc w:val="left"/>
      <w:pPr>
        <w:tabs>
          <w:tab w:val="num" w:pos="360"/>
        </w:tabs>
        <w:ind w:left="360" w:hanging="360"/>
      </w:pPr>
      <w:rPr>
        <w:rFonts w:hint="default"/>
      </w:rPr>
    </w:lvl>
  </w:abstractNum>
  <w:abstractNum w:abstractNumId="26">
    <w:nsid w:val="69FD67D6"/>
    <w:multiLevelType w:val="hybridMultilevel"/>
    <w:tmpl w:val="6E04F11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7">
    <w:nsid w:val="6C582B4F"/>
    <w:multiLevelType w:val="hybridMultilevel"/>
    <w:tmpl w:val="48EABA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3D928D8"/>
    <w:multiLevelType w:val="singleLevel"/>
    <w:tmpl w:val="AF8E75DA"/>
    <w:lvl w:ilvl="0">
      <w:start w:val="7"/>
      <w:numFmt w:val="decimal"/>
      <w:lvlText w:val="%1"/>
      <w:lvlJc w:val="left"/>
      <w:pPr>
        <w:tabs>
          <w:tab w:val="num" w:pos="420"/>
        </w:tabs>
        <w:ind w:left="420" w:hanging="420"/>
      </w:pPr>
      <w:rPr>
        <w:b w:val="0"/>
        <w:bCs w:val="0"/>
        <w:i w:val="0"/>
        <w:iCs w:val="0"/>
        <w:u w:val="none"/>
      </w:rPr>
    </w:lvl>
  </w:abstractNum>
  <w:abstractNum w:abstractNumId="29">
    <w:nsid w:val="73E61938"/>
    <w:multiLevelType w:val="singleLevel"/>
    <w:tmpl w:val="7B7E03C2"/>
    <w:lvl w:ilvl="0">
      <w:start w:val="4"/>
      <w:numFmt w:val="bullet"/>
      <w:lvlText w:val="-"/>
      <w:lvlJc w:val="left"/>
      <w:pPr>
        <w:tabs>
          <w:tab w:val="num" w:pos="360"/>
        </w:tabs>
        <w:ind w:left="360" w:hanging="360"/>
      </w:pPr>
      <w:rPr>
        <w:rFonts w:hint="default"/>
      </w:rPr>
    </w:lvl>
  </w:abstractNum>
  <w:abstractNum w:abstractNumId="30">
    <w:nsid w:val="74331B9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1">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73D38E0"/>
    <w:multiLevelType w:val="hybridMultilevel"/>
    <w:tmpl w:val="759A0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4B508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4">
    <w:nsid w:val="7F315FA8"/>
    <w:multiLevelType w:val="singleLevel"/>
    <w:tmpl w:val="E6E2EC64"/>
    <w:lvl w:ilvl="0">
      <w:start w:val="1"/>
      <w:numFmt w:val="decimal"/>
      <w:lvlText w:val="%1."/>
      <w:legacy w:legacy="1" w:legacySpace="0" w:legacyIndent="0"/>
      <w:lvlJc w:val="left"/>
      <w:rPr>
        <w:rFonts w:ascii="Helv" w:hAnsi="Helv" w:cs="Helv" w:hint="default"/>
        <w:b w:val="0"/>
        <w:bCs w:val="0"/>
      </w:rPr>
    </w:lvl>
  </w:abstractNum>
  <w:num w:numId="1">
    <w:abstractNumId w:val="24"/>
  </w:num>
  <w:num w:numId="2">
    <w:abstractNumId w:val="11"/>
  </w:num>
  <w:num w:numId="3">
    <w:abstractNumId w:val="28"/>
  </w:num>
  <w:num w:numId="4">
    <w:abstractNumId w:val="23"/>
  </w:num>
  <w:num w:numId="5">
    <w:abstractNumId w:val="7"/>
  </w:num>
  <w:num w:numId="6">
    <w:abstractNumId w:val="29"/>
  </w:num>
  <w:num w:numId="7">
    <w:abstractNumId w:val="15"/>
  </w:num>
  <w:num w:numId="8">
    <w:abstractNumId w:val="18"/>
  </w:num>
  <w:num w:numId="9">
    <w:abstractNumId w:val="5"/>
  </w:num>
  <w:num w:numId="10">
    <w:abstractNumId w:val="33"/>
  </w:num>
  <w:num w:numId="11">
    <w:abstractNumId w:val="21"/>
  </w:num>
  <w:num w:numId="12">
    <w:abstractNumId w:val="9"/>
  </w:num>
  <w:num w:numId="13">
    <w:abstractNumId w:val="22"/>
  </w:num>
  <w:num w:numId="14">
    <w:abstractNumId w:val="13"/>
  </w:num>
  <w:num w:numId="15">
    <w:abstractNumId w:val="4"/>
  </w:num>
  <w:num w:numId="16">
    <w:abstractNumId w:val="16"/>
  </w:num>
  <w:num w:numId="17">
    <w:abstractNumId w:val="30"/>
  </w:num>
  <w:num w:numId="18">
    <w:abstractNumId w:val="3"/>
  </w:num>
  <w:num w:numId="19">
    <w:abstractNumId w:val="6"/>
  </w:num>
  <w:num w:numId="20">
    <w:abstractNumId w:val="12"/>
  </w:num>
  <w:num w:numId="21">
    <w:abstractNumId w:val="8"/>
  </w:num>
  <w:num w:numId="22">
    <w:abstractNumId w:val="25"/>
  </w:num>
  <w:num w:numId="23">
    <w:abstractNumId w:val="17"/>
  </w:num>
  <w:num w:numId="24">
    <w:abstractNumId w:val="10"/>
  </w:num>
  <w:num w:numId="25">
    <w:abstractNumId w:val="1"/>
  </w:num>
  <w:num w:numId="26">
    <w:abstractNumId w:val="2"/>
  </w:num>
  <w:num w:numId="27">
    <w:abstractNumId w:val="26"/>
  </w:num>
  <w:num w:numId="28">
    <w:abstractNumId w:val="27"/>
  </w:num>
  <w:num w:numId="29">
    <w:abstractNumId w:val="0"/>
  </w:num>
  <w:num w:numId="30">
    <w:abstractNumId w:val="34"/>
  </w:num>
  <w:num w:numId="31">
    <w:abstractNumId w:val="32"/>
  </w:num>
  <w:num w:numId="32">
    <w:abstractNumId w:val="31"/>
  </w:num>
  <w:num w:numId="33">
    <w:abstractNumId w:val="19"/>
  </w:num>
  <w:num w:numId="34">
    <w:abstractNumId w:val="1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7C"/>
    <w:rsid w:val="00004651"/>
    <w:rsid w:val="00026F1C"/>
    <w:rsid w:val="000331C4"/>
    <w:rsid w:val="00036257"/>
    <w:rsid w:val="00041B89"/>
    <w:rsid w:val="000469E2"/>
    <w:rsid w:val="000612C1"/>
    <w:rsid w:val="000619F3"/>
    <w:rsid w:val="00062048"/>
    <w:rsid w:val="00062566"/>
    <w:rsid w:val="00074C98"/>
    <w:rsid w:val="00083762"/>
    <w:rsid w:val="00085A1C"/>
    <w:rsid w:val="00090241"/>
    <w:rsid w:val="0009104B"/>
    <w:rsid w:val="0009381B"/>
    <w:rsid w:val="0009469B"/>
    <w:rsid w:val="00096249"/>
    <w:rsid w:val="000A0969"/>
    <w:rsid w:val="000A2556"/>
    <w:rsid w:val="000A3159"/>
    <w:rsid w:val="000A3C24"/>
    <w:rsid w:val="000A4193"/>
    <w:rsid w:val="000A7AE4"/>
    <w:rsid w:val="000B2347"/>
    <w:rsid w:val="000B791C"/>
    <w:rsid w:val="000B7CD8"/>
    <w:rsid w:val="000C3CC5"/>
    <w:rsid w:val="000C5217"/>
    <w:rsid w:val="000C60D9"/>
    <w:rsid w:val="000C774D"/>
    <w:rsid w:val="000E0970"/>
    <w:rsid w:val="000E1D6A"/>
    <w:rsid w:val="000E2644"/>
    <w:rsid w:val="000E42B0"/>
    <w:rsid w:val="000E6DDC"/>
    <w:rsid w:val="000F04E2"/>
    <w:rsid w:val="000F453A"/>
    <w:rsid w:val="000F5122"/>
    <w:rsid w:val="00102238"/>
    <w:rsid w:val="001025AD"/>
    <w:rsid w:val="00106C5E"/>
    <w:rsid w:val="00115CBC"/>
    <w:rsid w:val="001269AC"/>
    <w:rsid w:val="00130CB6"/>
    <w:rsid w:val="001368CB"/>
    <w:rsid w:val="0014109E"/>
    <w:rsid w:val="00142D70"/>
    <w:rsid w:val="0014794D"/>
    <w:rsid w:val="0015335C"/>
    <w:rsid w:val="0015583A"/>
    <w:rsid w:val="00157AAD"/>
    <w:rsid w:val="001601B8"/>
    <w:rsid w:val="00163E01"/>
    <w:rsid w:val="00165F14"/>
    <w:rsid w:val="00175723"/>
    <w:rsid w:val="001828D7"/>
    <w:rsid w:val="00184928"/>
    <w:rsid w:val="00191193"/>
    <w:rsid w:val="001A01CC"/>
    <w:rsid w:val="001A0862"/>
    <w:rsid w:val="001B20D5"/>
    <w:rsid w:val="001B23C0"/>
    <w:rsid w:val="001B48B1"/>
    <w:rsid w:val="001B6C86"/>
    <w:rsid w:val="001B7649"/>
    <w:rsid w:val="001C1ED6"/>
    <w:rsid w:val="001D1608"/>
    <w:rsid w:val="001D473B"/>
    <w:rsid w:val="001D621B"/>
    <w:rsid w:val="001D69FE"/>
    <w:rsid w:val="001E1AD0"/>
    <w:rsid w:val="001E2D60"/>
    <w:rsid w:val="001F232D"/>
    <w:rsid w:val="001F2E5C"/>
    <w:rsid w:val="001F3955"/>
    <w:rsid w:val="001F3C97"/>
    <w:rsid w:val="001F5FAC"/>
    <w:rsid w:val="001F5FCB"/>
    <w:rsid w:val="00212DEF"/>
    <w:rsid w:val="00212FD3"/>
    <w:rsid w:val="00214903"/>
    <w:rsid w:val="00220541"/>
    <w:rsid w:val="002238CF"/>
    <w:rsid w:val="00223CDF"/>
    <w:rsid w:val="00226E3F"/>
    <w:rsid w:val="00230D50"/>
    <w:rsid w:val="002320AC"/>
    <w:rsid w:val="00234F8E"/>
    <w:rsid w:val="00241AE7"/>
    <w:rsid w:val="00241CF5"/>
    <w:rsid w:val="00241DEB"/>
    <w:rsid w:val="002439CF"/>
    <w:rsid w:val="0025256B"/>
    <w:rsid w:val="00252E69"/>
    <w:rsid w:val="00254CC4"/>
    <w:rsid w:val="00257182"/>
    <w:rsid w:val="00261F87"/>
    <w:rsid w:val="0026298A"/>
    <w:rsid w:val="002717ED"/>
    <w:rsid w:val="00272BCB"/>
    <w:rsid w:val="002739A6"/>
    <w:rsid w:val="00274ED4"/>
    <w:rsid w:val="00281223"/>
    <w:rsid w:val="002813D7"/>
    <w:rsid w:val="00283027"/>
    <w:rsid w:val="00286376"/>
    <w:rsid w:val="00287A1B"/>
    <w:rsid w:val="00290DC6"/>
    <w:rsid w:val="002A545B"/>
    <w:rsid w:val="002A7766"/>
    <w:rsid w:val="002B286E"/>
    <w:rsid w:val="002C4D27"/>
    <w:rsid w:val="002C7E7B"/>
    <w:rsid w:val="002D2615"/>
    <w:rsid w:val="002E13CE"/>
    <w:rsid w:val="002E17BA"/>
    <w:rsid w:val="002F11C8"/>
    <w:rsid w:val="002F4DE6"/>
    <w:rsid w:val="002F6580"/>
    <w:rsid w:val="002F78BF"/>
    <w:rsid w:val="00300AD3"/>
    <w:rsid w:val="003039B8"/>
    <w:rsid w:val="00312A22"/>
    <w:rsid w:val="00312EAF"/>
    <w:rsid w:val="00324282"/>
    <w:rsid w:val="00326D8B"/>
    <w:rsid w:val="003342A5"/>
    <w:rsid w:val="00336C9A"/>
    <w:rsid w:val="003419A0"/>
    <w:rsid w:val="003434B1"/>
    <w:rsid w:val="00354207"/>
    <w:rsid w:val="00366B81"/>
    <w:rsid w:val="0037312C"/>
    <w:rsid w:val="0037652A"/>
    <w:rsid w:val="00380833"/>
    <w:rsid w:val="003857B9"/>
    <w:rsid w:val="003859AA"/>
    <w:rsid w:val="00390B56"/>
    <w:rsid w:val="00393894"/>
    <w:rsid w:val="003A089B"/>
    <w:rsid w:val="003A2D48"/>
    <w:rsid w:val="003A7861"/>
    <w:rsid w:val="003B23F7"/>
    <w:rsid w:val="003D043C"/>
    <w:rsid w:val="003D0D88"/>
    <w:rsid w:val="003D0E14"/>
    <w:rsid w:val="003D5485"/>
    <w:rsid w:val="003D7B2D"/>
    <w:rsid w:val="003E3360"/>
    <w:rsid w:val="003F1305"/>
    <w:rsid w:val="003F5545"/>
    <w:rsid w:val="00401A68"/>
    <w:rsid w:val="00406C6C"/>
    <w:rsid w:val="00413DE0"/>
    <w:rsid w:val="00416D4B"/>
    <w:rsid w:val="00425721"/>
    <w:rsid w:val="00427A0A"/>
    <w:rsid w:val="0043587E"/>
    <w:rsid w:val="00436788"/>
    <w:rsid w:val="00445C2F"/>
    <w:rsid w:val="00456B4D"/>
    <w:rsid w:val="004607EE"/>
    <w:rsid w:val="004660F1"/>
    <w:rsid w:val="00470D35"/>
    <w:rsid w:val="00483E51"/>
    <w:rsid w:val="00486FFC"/>
    <w:rsid w:val="0049108D"/>
    <w:rsid w:val="004A0E59"/>
    <w:rsid w:val="004A32EC"/>
    <w:rsid w:val="004B5E60"/>
    <w:rsid w:val="004B7A44"/>
    <w:rsid w:val="004C60FF"/>
    <w:rsid w:val="004C658E"/>
    <w:rsid w:val="004D02F3"/>
    <w:rsid w:val="004D0D36"/>
    <w:rsid w:val="004D1136"/>
    <w:rsid w:val="004D3249"/>
    <w:rsid w:val="004D7FBA"/>
    <w:rsid w:val="004E1B97"/>
    <w:rsid w:val="004E2928"/>
    <w:rsid w:val="004F0737"/>
    <w:rsid w:val="00501FD5"/>
    <w:rsid w:val="00502C2D"/>
    <w:rsid w:val="005079D1"/>
    <w:rsid w:val="00507F53"/>
    <w:rsid w:val="0051264C"/>
    <w:rsid w:val="00512A3F"/>
    <w:rsid w:val="00513CC9"/>
    <w:rsid w:val="005173C0"/>
    <w:rsid w:val="00520202"/>
    <w:rsid w:val="005220E2"/>
    <w:rsid w:val="00522E01"/>
    <w:rsid w:val="00525FC3"/>
    <w:rsid w:val="005313D4"/>
    <w:rsid w:val="00541A8D"/>
    <w:rsid w:val="00541AD3"/>
    <w:rsid w:val="00547346"/>
    <w:rsid w:val="005515E9"/>
    <w:rsid w:val="005535DE"/>
    <w:rsid w:val="00557741"/>
    <w:rsid w:val="00563199"/>
    <w:rsid w:val="0056764A"/>
    <w:rsid w:val="00567888"/>
    <w:rsid w:val="0056792F"/>
    <w:rsid w:val="00582A73"/>
    <w:rsid w:val="00582A84"/>
    <w:rsid w:val="0059008E"/>
    <w:rsid w:val="00591F5B"/>
    <w:rsid w:val="00592E5E"/>
    <w:rsid w:val="005A02F3"/>
    <w:rsid w:val="005A22FB"/>
    <w:rsid w:val="005A23AE"/>
    <w:rsid w:val="005A5562"/>
    <w:rsid w:val="005A67C7"/>
    <w:rsid w:val="005A694B"/>
    <w:rsid w:val="005A7513"/>
    <w:rsid w:val="005B5B44"/>
    <w:rsid w:val="005B6CC8"/>
    <w:rsid w:val="005C1E80"/>
    <w:rsid w:val="005C4423"/>
    <w:rsid w:val="005D0951"/>
    <w:rsid w:val="005D0FB0"/>
    <w:rsid w:val="005D2BD8"/>
    <w:rsid w:val="005D2EFE"/>
    <w:rsid w:val="005D689E"/>
    <w:rsid w:val="005D7EE3"/>
    <w:rsid w:val="005E40DB"/>
    <w:rsid w:val="005E759F"/>
    <w:rsid w:val="005F06E8"/>
    <w:rsid w:val="005F2172"/>
    <w:rsid w:val="005F4E7A"/>
    <w:rsid w:val="00604893"/>
    <w:rsid w:val="00607738"/>
    <w:rsid w:val="00610ECB"/>
    <w:rsid w:val="00611486"/>
    <w:rsid w:val="00614A23"/>
    <w:rsid w:val="006236C0"/>
    <w:rsid w:val="00624E73"/>
    <w:rsid w:val="00625703"/>
    <w:rsid w:val="0063408B"/>
    <w:rsid w:val="00640763"/>
    <w:rsid w:val="00646C15"/>
    <w:rsid w:val="0065100D"/>
    <w:rsid w:val="00652467"/>
    <w:rsid w:val="006534F6"/>
    <w:rsid w:val="0066007C"/>
    <w:rsid w:val="00661A16"/>
    <w:rsid w:val="006669A7"/>
    <w:rsid w:val="00667C1A"/>
    <w:rsid w:val="006709A0"/>
    <w:rsid w:val="00672183"/>
    <w:rsid w:val="006738DB"/>
    <w:rsid w:val="0069042A"/>
    <w:rsid w:val="006912C5"/>
    <w:rsid w:val="00693127"/>
    <w:rsid w:val="00694F4C"/>
    <w:rsid w:val="006957C3"/>
    <w:rsid w:val="006967F0"/>
    <w:rsid w:val="006A141F"/>
    <w:rsid w:val="006A1504"/>
    <w:rsid w:val="006B3CAB"/>
    <w:rsid w:val="006B7F5A"/>
    <w:rsid w:val="006C1276"/>
    <w:rsid w:val="006C51F8"/>
    <w:rsid w:val="006D1F9C"/>
    <w:rsid w:val="006D2DCA"/>
    <w:rsid w:val="006D791E"/>
    <w:rsid w:val="006E00B6"/>
    <w:rsid w:val="006E0954"/>
    <w:rsid w:val="006E0FE5"/>
    <w:rsid w:val="006E3A4E"/>
    <w:rsid w:val="006E4CBF"/>
    <w:rsid w:val="006E5832"/>
    <w:rsid w:val="006F2E5E"/>
    <w:rsid w:val="006F3E69"/>
    <w:rsid w:val="006F4CF7"/>
    <w:rsid w:val="006F5777"/>
    <w:rsid w:val="006F5902"/>
    <w:rsid w:val="007013BF"/>
    <w:rsid w:val="00705109"/>
    <w:rsid w:val="007373AC"/>
    <w:rsid w:val="0074427D"/>
    <w:rsid w:val="00753FE4"/>
    <w:rsid w:val="00754E15"/>
    <w:rsid w:val="00755223"/>
    <w:rsid w:val="00756C49"/>
    <w:rsid w:val="00757470"/>
    <w:rsid w:val="00763DA8"/>
    <w:rsid w:val="0076648A"/>
    <w:rsid w:val="007777CA"/>
    <w:rsid w:val="0078429B"/>
    <w:rsid w:val="00785838"/>
    <w:rsid w:val="00786C3D"/>
    <w:rsid w:val="00793839"/>
    <w:rsid w:val="00795088"/>
    <w:rsid w:val="007A0F35"/>
    <w:rsid w:val="007A2006"/>
    <w:rsid w:val="007B0651"/>
    <w:rsid w:val="007B7FF1"/>
    <w:rsid w:val="007C4289"/>
    <w:rsid w:val="007D0A65"/>
    <w:rsid w:val="007D31FB"/>
    <w:rsid w:val="007E15AE"/>
    <w:rsid w:val="007E3A6A"/>
    <w:rsid w:val="007F16D5"/>
    <w:rsid w:val="007F29A6"/>
    <w:rsid w:val="00803B33"/>
    <w:rsid w:val="00814D30"/>
    <w:rsid w:val="00814FF9"/>
    <w:rsid w:val="00815226"/>
    <w:rsid w:val="00820707"/>
    <w:rsid w:val="00822D18"/>
    <w:rsid w:val="00835796"/>
    <w:rsid w:val="0084152B"/>
    <w:rsid w:val="00844EC2"/>
    <w:rsid w:val="008451CD"/>
    <w:rsid w:val="00847DC1"/>
    <w:rsid w:val="00856946"/>
    <w:rsid w:val="008628B1"/>
    <w:rsid w:val="0087204D"/>
    <w:rsid w:val="00874569"/>
    <w:rsid w:val="00874C53"/>
    <w:rsid w:val="0087588A"/>
    <w:rsid w:val="00875D4D"/>
    <w:rsid w:val="0088003C"/>
    <w:rsid w:val="008867C4"/>
    <w:rsid w:val="00890E04"/>
    <w:rsid w:val="0089136E"/>
    <w:rsid w:val="0089209B"/>
    <w:rsid w:val="00892AA4"/>
    <w:rsid w:val="00897DC6"/>
    <w:rsid w:val="008A2ECB"/>
    <w:rsid w:val="008A4587"/>
    <w:rsid w:val="008A674D"/>
    <w:rsid w:val="008B2F53"/>
    <w:rsid w:val="008C121D"/>
    <w:rsid w:val="008C44A8"/>
    <w:rsid w:val="008D1681"/>
    <w:rsid w:val="008D1B28"/>
    <w:rsid w:val="008D29FC"/>
    <w:rsid w:val="008E520E"/>
    <w:rsid w:val="008E7C5B"/>
    <w:rsid w:val="00900050"/>
    <w:rsid w:val="00901953"/>
    <w:rsid w:val="0091473E"/>
    <w:rsid w:val="00921A3F"/>
    <w:rsid w:val="00925153"/>
    <w:rsid w:val="009326B0"/>
    <w:rsid w:val="00937D23"/>
    <w:rsid w:val="009427A9"/>
    <w:rsid w:val="00962B2F"/>
    <w:rsid w:val="00966DE5"/>
    <w:rsid w:val="00967388"/>
    <w:rsid w:val="00993537"/>
    <w:rsid w:val="00994C50"/>
    <w:rsid w:val="00996FDD"/>
    <w:rsid w:val="009A0B1E"/>
    <w:rsid w:val="009A1A5E"/>
    <w:rsid w:val="009A4B00"/>
    <w:rsid w:val="009A669F"/>
    <w:rsid w:val="009B1531"/>
    <w:rsid w:val="009B31A2"/>
    <w:rsid w:val="009B5D54"/>
    <w:rsid w:val="009C0C5B"/>
    <w:rsid w:val="009C6D1E"/>
    <w:rsid w:val="009D41D4"/>
    <w:rsid w:val="009D6C83"/>
    <w:rsid w:val="009E03A7"/>
    <w:rsid w:val="009E1F10"/>
    <w:rsid w:val="009F75AE"/>
    <w:rsid w:val="00A047D1"/>
    <w:rsid w:val="00A07A63"/>
    <w:rsid w:val="00A1085B"/>
    <w:rsid w:val="00A1708E"/>
    <w:rsid w:val="00A17AC6"/>
    <w:rsid w:val="00A2188E"/>
    <w:rsid w:val="00A21C6E"/>
    <w:rsid w:val="00A24D8B"/>
    <w:rsid w:val="00A24F29"/>
    <w:rsid w:val="00A2612F"/>
    <w:rsid w:val="00A35D46"/>
    <w:rsid w:val="00A432AB"/>
    <w:rsid w:val="00A51945"/>
    <w:rsid w:val="00A53BCA"/>
    <w:rsid w:val="00A56567"/>
    <w:rsid w:val="00A5708A"/>
    <w:rsid w:val="00A57690"/>
    <w:rsid w:val="00A60344"/>
    <w:rsid w:val="00A71C2B"/>
    <w:rsid w:val="00A74251"/>
    <w:rsid w:val="00A93C98"/>
    <w:rsid w:val="00A95CBD"/>
    <w:rsid w:val="00A97540"/>
    <w:rsid w:val="00A97788"/>
    <w:rsid w:val="00AA4FF7"/>
    <w:rsid w:val="00AA5E1C"/>
    <w:rsid w:val="00AA7C97"/>
    <w:rsid w:val="00AB02D4"/>
    <w:rsid w:val="00AB230B"/>
    <w:rsid w:val="00AB69AE"/>
    <w:rsid w:val="00AB7E35"/>
    <w:rsid w:val="00AC70A6"/>
    <w:rsid w:val="00AD1AE5"/>
    <w:rsid w:val="00AD2F70"/>
    <w:rsid w:val="00AE4BE1"/>
    <w:rsid w:val="00AF0507"/>
    <w:rsid w:val="00AF2F4D"/>
    <w:rsid w:val="00AF6CC7"/>
    <w:rsid w:val="00B0481A"/>
    <w:rsid w:val="00B1547B"/>
    <w:rsid w:val="00B20386"/>
    <w:rsid w:val="00B26402"/>
    <w:rsid w:val="00B31B1E"/>
    <w:rsid w:val="00B33583"/>
    <w:rsid w:val="00B3776C"/>
    <w:rsid w:val="00B42846"/>
    <w:rsid w:val="00B4338D"/>
    <w:rsid w:val="00B46DAD"/>
    <w:rsid w:val="00B520FE"/>
    <w:rsid w:val="00B52128"/>
    <w:rsid w:val="00B554A4"/>
    <w:rsid w:val="00B57F76"/>
    <w:rsid w:val="00B62309"/>
    <w:rsid w:val="00B638BB"/>
    <w:rsid w:val="00B6391D"/>
    <w:rsid w:val="00B642D7"/>
    <w:rsid w:val="00B73574"/>
    <w:rsid w:val="00B75B1E"/>
    <w:rsid w:val="00B84059"/>
    <w:rsid w:val="00B9783A"/>
    <w:rsid w:val="00B97C5A"/>
    <w:rsid w:val="00BA108E"/>
    <w:rsid w:val="00BC18F9"/>
    <w:rsid w:val="00BC21CF"/>
    <w:rsid w:val="00BC6BE5"/>
    <w:rsid w:val="00BD0AF6"/>
    <w:rsid w:val="00BF1030"/>
    <w:rsid w:val="00BF7A8F"/>
    <w:rsid w:val="00C0350C"/>
    <w:rsid w:val="00C156FD"/>
    <w:rsid w:val="00C21572"/>
    <w:rsid w:val="00C2256C"/>
    <w:rsid w:val="00C31930"/>
    <w:rsid w:val="00C333E7"/>
    <w:rsid w:val="00C44A8C"/>
    <w:rsid w:val="00C472A3"/>
    <w:rsid w:val="00C6143E"/>
    <w:rsid w:val="00C67E76"/>
    <w:rsid w:val="00C7065A"/>
    <w:rsid w:val="00C73A0D"/>
    <w:rsid w:val="00C75727"/>
    <w:rsid w:val="00C76E19"/>
    <w:rsid w:val="00C85A61"/>
    <w:rsid w:val="00C86BFA"/>
    <w:rsid w:val="00CA1248"/>
    <w:rsid w:val="00CA1509"/>
    <w:rsid w:val="00CA436A"/>
    <w:rsid w:val="00CA5E05"/>
    <w:rsid w:val="00CB0DE8"/>
    <w:rsid w:val="00CB54C7"/>
    <w:rsid w:val="00CC04D2"/>
    <w:rsid w:val="00CC4811"/>
    <w:rsid w:val="00CD1DDE"/>
    <w:rsid w:val="00CD5E39"/>
    <w:rsid w:val="00CD6286"/>
    <w:rsid w:val="00CD6A47"/>
    <w:rsid w:val="00CE187C"/>
    <w:rsid w:val="00CF2F3E"/>
    <w:rsid w:val="00CF3D31"/>
    <w:rsid w:val="00CF7147"/>
    <w:rsid w:val="00CF7CC3"/>
    <w:rsid w:val="00D02E6B"/>
    <w:rsid w:val="00D03298"/>
    <w:rsid w:val="00D047DC"/>
    <w:rsid w:val="00D11DAE"/>
    <w:rsid w:val="00D150ED"/>
    <w:rsid w:val="00D17870"/>
    <w:rsid w:val="00D37596"/>
    <w:rsid w:val="00D405CB"/>
    <w:rsid w:val="00D4765D"/>
    <w:rsid w:val="00D538F1"/>
    <w:rsid w:val="00D72977"/>
    <w:rsid w:val="00D7380E"/>
    <w:rsid w:val="00D75108"/>
    <w:rsid w:val="00D91D96"/>
    <w:rsid w:val="00D94FCD"/>
    <w:rsid w:val="00D96823"/>
    <w:rsid w:val="00DB1B96"/>
    <w:rsid w:val="00DB3770"/>
    <w:rsid w:val="00DB4912"/>
    <w:rsid w:val="00DB68A2"/>
    <w:rsid w:val="00DC3F9E"/>
    <w:rsid w:val="00DC6721"/>
    <w:rsid w:val="00DC74B3"/>
    <w:rsid w:val="00DD0F43"/>
    <w:rsid w:val="00DD21DB"/>
    <w:rsid w:val="00DE111C"/>
    <w:rsid w:val="00DF656B"/>
    <w:rsid w:val="00DF6D0C"/>
    <w:rsid w:val="00E01B0C"/>
    <w:rsid w:val="00E02623"/>
    <w:rsid w:val="00E02DE4"/>
    <w:rsid w:val="00E03FA5"/>
    <w:rsid w:val="00E13C45"/>
    <w:rsid w:val="00E144BD"/>
    <w:rsid w:val="00E16AE1"/>
    <w:rsid w:val="00E25C0E"/>
    <w:rsid w:val="00E34BCF"/>
    <w:rsid w:val="00E42C09"/>
    <w:rsid w:val="00E45E6A"/>
    <w:rsid w:val="00E55AD2"/>
    <w:rsid w:val="00E55BD1"/>
    <w:rsid w:val="00E57670"/>
    <w:rsid w:val="00E61EFD"/>
    <w:rsid w:val="00E62B66"/>
    <w:rsid w:val="00E62D0D"/>
    <w:rsid w:val="00E62F96"/>
    <w:rsid w:val="00E70B72"/>
    <w:rsid w:val="00E7386A"/>
    <w:rsid w:val="00E8175D"/>
    <w:rsid w:val="00EA2A0A"/>
    <w:rsid w:val="00EB2F9F"/>
    <w:rsid w:val="00EB718F"/>
    <w:rsid w:val="00EC1651"/>
    <w:rsid w:val="00EC1904"/>
    <w:rsid w:val="00EC31E3"/>
    <w:rsid w:val="00EC48B0"/>
    <w:rsid w:val="00EC4CE9"/>
    <w:rsid w:val="00EE1AD2"/>
    <w:rsid w:val="00EF2546"/>
    <w:rsid w:val="00EF32A2"/>
    <w:rsid w:val="00F00189"/>
    <w:rsid w:val="00F03665"/>
    <w:rsid w:val="00F03A2B"/>
    <w:rsid w:val="00F05AE7"/>
    <w:rsid w:val="00F109D8"/>
    <w:rsid w:val="00F122B3"/>
    <w:rsid w:val="00F2098C"/>
    <w:rsid w:val="00F21222"/>
    <w:rsid w:val="00F25046"/>
    <w:rsid w:val="00F30309"/>
    <w:rsid w:val="00F354BA"/>
    <w:rsid w:val="00F376E1"/>
    <w:rsid w:val="00F411C2"/>
    <w:rsid w:val="00F44B6D"/>
    <w:rsid w:val="00F5169F"/>
    <w:rsid w:val="00F63DC4"/>
    <w:rsid w:val="00F63FA0"/>
    <w:rsid w:val="00F673A5"/>
    <w:rsid w:val="00F7295A"/>
    <w:rsid w:val="00F73DB5"/>
    <w:rsid w:val="00F80CC3"/>
    <w:rsid w:val="00F8111C"/>
    <w:rsid w:val="00F84319"/>
    <w:rsid w:val="00F844B8"/>
    <w:rsid w:val="00F84C74"/>
    <w:rsid w:val="00F9021D"/>
    <w:rsid w:val="00F90AAB"/>
    <w:rsid w:val="00F93B98"/>
    <w:rsid w:val="00FA3B3D"/>
    <w:rsid w:val="00FA4A71"/>
    <w:rsid w:val="00FC139B"/>
    <w:rsid w:val="00FC42CD"/>
    <w:rsid w:val="00FC6FDF"/>
    <w:rsid w:val="00FE0110"/>
    <w:rsid w:val="00FF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B286E"/>
    <w:pPr>
      <w:spacing w:line="320" w:lineRule="atLeast"/>
    </w:pPr>
    <w:rPr>
      <w:sz w:val="24"/>
      <w:szCs w:val="24"/>
      <w:lang w:val="en-GB" w:eastAsia="en-US"/>
    </w:rPr>
  </w:style>
  <w:style w:type="paragraph" w:styleId="Heading1">
    <w:name w:val="heading 1"/>
    <w:basedOn w:val="Normal"/>
    <w:next w:val="Normal"/>
    <w:link w:val="Heading1Char"/>
    <w:uiPriority w:val="99"/>
    <w:qFormat/>
    <w:rsid w:val="002B286E"/>
    <w:pPr>
      <w:keepNext/>
      <w:outlineLvl w:val="0"/>
    </w:pPr>
    <w:rPr>
      <w:b/>
      <w:bCs/>
      <w:sz w:val="30"/>
      <w:szCs w:val="30"/>
      <w:u w:val="single"/>
    </w:rPr>
  </w:style>
  <w:style w:type="paragraph" w:styleId="Heading2">
    <w:name w:val="heading 2"/>
    <w:basedOn w:val="Normal"/>
    <w:next w:val="Text"/>
    <w:link w:val="Heading2Char"/>
    <w:uiPriority w:val="99"/>
    <w:qFormat/>
    <w:rsid w:val="002B286E"/>
    <w:pPr>
      <w:keepNext/>
      <w:keepLines/>
      <w:outlineLvl w:val="1"/>
    </w:pPr>
    <w:rPr>
      <w:b/>
      <w:bCs/>
      <w:u w:val="single"/>
    </w:rPr>
  </w:style>
  <w:style w:type="paragraph" w:styleId="Heading3">
    <w:name w:val="heading 3"/>
    <w:basedOn w:val="Normal"/>
    <w:next w:val="Text"/>
    <w:link w:val="Heading3Char"/>
    <w:uiPriority w:val="99"/>
    <w:qFormat/>
    <w:rsid w:val="002B286E"/>
    <w:pPr>
      <w:keepNext/>
      <w:keepLines/>
      <w:outlineLvl w:val="2"/>
    </w:pPr>
    <w:rPr>
      <w:b/>
      <w:bCs/>
    </w:rPr>
  </w:style>
  <w:style w:type="paragraph" w:styleId="Heading4">
    <w:name w:val="heading 4"/>
    <w:basedOn w:val="Normal"/>
    <w:next w:val="Normal"/>
    <w:link w:val="Heading4Char"/>
    <w:uiPriority w:val="99"/>
    <w:qFormat/>
    <w:rsid w:val="002B286E"/>
    <w:pPr>
      <w:keepNext/>
      <w:widowControl w:val="0"/>
      <w:outlineLvl w:val="3"/>
    </w:pPr>
    <w:rPr>
      <w:u w:val="single"/>
    </w:rPr>
  </w:style>
  <w:style w:type="paragraph" w:styleId="Heading5">
    <w:name w:val="heading 5"/>
    <w:basedOn w:val="Normal"/>
    <w:next w:val="Normal"/>
    <w:link w:val="Heading5Char"/>
    <w:uiPriority w:val="99"/>
    <w:qFormat/>
    <w:rsid w:val="002B286E"/>
    <w:pPr>
      <w:keepNext/>
      <w:outlineLvl w:val="4"/>
    </w:pPr>
    <w:rPr>
      <w:b/>
      <w:bCs/>
      <w:sz w:val="30"/>
      <w:szCs w:val="30"/>
      <w:u w:val="single"/>
    </w:rPr>
  </w:style>
  <w:style w:type="paragraph" w:styleId="Heading6">
    <w:name w:val="heading 6"/>
    <w:basedOn w:val="Normal"/>
    <w:next w:val="Text"/>
    <w:link w:val="Heading6Char"/>
    <w:uiPriority w:val="99"/>
    <w:qFormat/>
    <w:rsid w:val="002B286E"/>
    <w:pPr>
      <w:keepNext/>
      <w:keepLines/>
      <w:spacing w:before="200" w:after="60"/>
      <w:ind w:left="1021" w:hanging="1021"/>
      <w:outlineLvl w:val="5"/>
    </w:pPr>
    <w:rPr>
      <w:rFonts w:ascii="Arial" w:hAnsi="Arial" w:cs="Arial"/>
      <w:b/>
      <w:bCs/>
      <w:sz w:val="18"/>
      <w:szCs w:val="18"/>
      <w:lang w:val="en-US"/>
    </w:rPr>
  </w:style>
  <w:style w:type="paragraph" w:styleId="Heading7">
    <w:name w:val="heading 7"/>
    <w:basedOn w:val="Normal"/>
    <w:next w:val="Normal"/>
    <w:link w:val="Heading7Char"/>
    <w:uiPriority w:val="99"/>
    <w:qFormat/>
    <w:rsid w:val="002B286E"/>
    <w:pPr>
      <w:keepNext/>
      <w:outlineLvl w:val="6"/>
    </w:pPr>
    <w:rPr>
      <w:b/>
      <w:bCs/>
      <w:u w:val="single"/>
    </w:rPr>
  </w:style>
  <w:style w:type="paragraph" w:styleId="Heading8">
    <w:name w:val="heading 8"/>
    <w:basedOn w:val="Normal"/>
    <w:next w:val="Normal"/>
    <w:link w:val="Heading8Char"/>
    <w:uiPriority w:val="99"/>
    <w:qFormat/>
    <w:rsid w:val="002B286E"/>
    <w:pPr>
      <w:keepNext/>
      <w:outlineLvl w:val="7"/>
    </w:pPr>
    <w:rPr>
      <w:b/>
      <w:bCs/>
    </w:rPr>
  </w:style>
  <w:style w:type="paragraph" w:styleId="Heading9">
    <w:name w:val="heading 9"/>
    <w:basedOn w:val="Normal"/>
    <w:next w:val="Normal"/>
    <w:link w:val="Heading9Char"/>
    <w:uiPriority w:val="99"/>
    <w:qFormat/>
    <w:rsid w:val="002B286E"/>
    <w:pPr>
      <w:keepNext/>
      <w:outlineLvl w:val="8"/>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81B"/>
    <w:rPr>
      <w:rFonts w:ascii="Cambria" w:hAnsi="Cambria" w:cs="Cambria"/>
      <w:b/>
      <w:bCs/>
      <w:kern w:val="32"/>
      <w:sz w:val="32"/>
      <w:szCs w:val="32"/>
      <w:lang w:val="en-GB"/>
    </w:rPr>
  </w:style>
  <w:style w:type="character" w:customStyle="1" w:styleId="Heading2Char">
    <w:name w:val="Heading 2 Char"/>
    <w:link w:val="Heading2"/>
    <w:uiPriority w:val="99"/>
    <w:semiHidden/>
    <w:rsid w:val="0009381B"/>
    <w:rPr>
      <w:rFonts w:ascii="Cambria" w:hAnsi="Cambria" w:cs="Cambria"/>
      <w:b/>
      <w:bCs/>
      <w:i/>
      <w:iCs/>
      <w:sz w:val="28"/>
      <w:szCs w:val="28"/>
      <w:lang w:val="en-GB"/>
    </w:rPr>
  </w:style>
  <w:style w:type="character" w:customStyle="1" w:styleId="Heading3Char">
    <w:name w:val="Heading 3 Char"/>
    <w:link w:val="Heading3"/>
    <w:uiPriority w:val="99"/>
    <w:semiHidden/>
    <w:rsid w:val="0009381B"/>
    <w:rPr>
      <w:rFonts w:ascii="Cambria" w:hAnsi="Cambria" w:cs="Cambria"/>
      <w:b/>
      <w:bCs/>
      <w:sz w:val="26"/>
      <w:szCs w:val="26"/>
      <w:lang w:val="en-GB"/>
    </w:rPr>
  </w:style>
  <w:style w:type="character" w:customStyle="1" w:styleId="Heading4Char">
    <w:name w:val="Heading 4 Char"/>
    <w:link w:val="Heading4"/>
    <w:uiPriority w:val="99"/>
    <w:semiHidden/>
    <w:rsid w:val="0009381B"/>
    <w:rPr>
      <w:rFonts w:ascii="Calibri" w:hAnsi="Calibri" w:cs="Calibri"/>
      <w:b/>
      <w:bCs/>
      <w:sz w:val="28"/>
      <w:szCs w:val="28"/>
      <w:lang w:val="en-GB"/>
    </w:rPr>
  </w:style>
  <w:style w:type="character" w:customStyle="1" w:styleId="Heading5Char">
    <w:name w:val="Heading 5 Char"/>
    <w:link w:val="Heading5"/>
    <w:uiPriority w:val="99"/>
    <w:semiHidden/>
    <w:rsid w:val="0009381B"/>
    <w:rPr>
      <w:rFonts w:ascii="Calibri" w:hAnsi="Calibri" w:cs="Calibri"/>
      <w:b/>
      <w:bCs/>
      <w:i/>
      <w:iCs/>
      <w:sz w:val="26"/>
      <w:szCs w:val="26"/>
      <w:lang w:val="en-GB"/>
    </w:rPr>
  </w:style>
  <w:style w:type="character" w:customStyle="1" w:styleId="Heading6Char">
    <w:name w:val="Heading 6 Char"/>
    <w:link w:val="Heading6"/>
    <w:uiPriority w:val="99"/>
    <w:semiHidden/>
    <w:rsid w:val="0009381B"/>
    <w:rPr>
      <w:rFonts w:ascii="Calibri" w:hAnsi="Calibri" w:cs="Calibri"/>
      <w:b/>
      <w:bCs/>
      <w:lang w:val="en-GB"/>
    </w:rPr>
  </w:style>
  <w:style w:type="character" w:customStyle="1" w:styleId="Heading7Char">
    <w:name w:val="Heading 7 Char"/>
    <w:link w:val="Heading7"/>
    <w:uiPriority w:val="99"/>
    <w:semiHidden/>
    <w:rsid w:val="0009381B"/>
    <w:rPr>
      <w:rFonts w:ascii="Calibri" w:hAnsi="Calibri" w:cs="Calibri"/>
      <w:sz w:val="24"/>
      <w:szCs w:val="24"/>
      <w:lang w:val="en-GB"/>
    </w:rPr>
  </w:style>
  <w:style w:type="character" w:customStyle="1" w:styleId="Heading8Char">
    <w:name w:val="Heading 8 Char"/>
    <w:link w:val="Heading8"/>
    <w:uiPriority w:val="99"/>
    <w:semiHidden/>
    <w:rsid w:val="0009381B"/>
    <w:rPr>
      <w:rFonts w:ascii="Calibri" w:hAnsi="Calibri" w:cs="Calibri"/>
      <w:i/>
      <w:iCs/>
      <w:sz w:val="24"/>
      <w:szCs w:val="24"/>
      <w:lang w:val="en-GB"/>
    </w:rPr>
  </w:style>
  <w:style w:type="character" w:customStyle="1" w:styleId="Heading9Char">
    <w:name w:val="Heading 9 Char"/>
    <w:link w:val="Heading9"/>
    <w:uiPriority w:val="99"/>
    <w:semiHidden/>
    <w:rsid w:val="0009381B"/>
    <w:rPr>
      <w:rFonts w:ascii="Cambria" w:hAnsi="Cambria" w:cs="Cambria"/>
      <w:lang w:val="en-GB"/>
    </w:rPr>
  </w:style>
  <w:style w:type="paragraph" w:customStyle="1" w:styleId="Text">
    <w:name w:val="Text"/>
    <w:basedOn w:val="Normal"/>
    <w:link w:val="TextChar"/>
    <w:rsid w:val="002B286E"/>
    <w:pPr>
      <w:spacing w:before="120"/>
      <w:jc w:val="both"/>
    </w:pPr>
  </w:style>
  <w:style w:type="paragraph" w:styleId="Header">
    <w:name w:val="header"/>
    <w:basedOn w:val="Normal"/>
    <w:link w:val="HeaderChar"/>
    <w:uiPriority w:val="99"/>
    <w:rsid w:val="002B286E"/>
    <w:pPr>
      <w:tabs>
        <w:tab w:val="center" w:pos="4153"/>
        <w:tab w:val="right" w:pos="8306"/>
      </w:tabs>
    </w:pPr>
  </w:style>
  <w:style w:type="character" w:customStyle="1" w:styleId="HeaderChar">
    <w:name w:val="Header Char"/>
    <w:link w:val="Header"/>
    <w:uiPriority w:val="99"/>
    <w:semiHidden/>
    <w:rsid w:val="0009381B"/>
    <w:rPr>
      <w:sz w:val="24"/>
      <w:szCs w:val="24"/>
      <w:lang w:val="en-GB"/>
    </w:rPr>
  </w:style>
  <w:style w:type="paragraph" w:styleId="Footer">
    <w:name w:val="footer"/>
    <w:basedOn w:val="Normal"/>
    <w:link w:val="FooterChar"/>
    <w:uiPriority w:val="99"/>
    <w:rsid w:val="002B286E"/>
    <w:pPr>
      <w:tabs>
        <w:tab w:val="center" w:pos="4153"/>
        <w:tab w:val="right" w:pos="8306"/>
      </w:tabs>
    </w:pPr>
  </w:style>
  <w:style w:type="character" w:customStyle="1" w:styleId="FooterChar">
    <w:name w:val="Footer Char"/>
    <w:link w:val="Footer"/>
    <w:uiPriority w:val="99"/>
    <w:semiHidden/>
    <w:rsid w:val="0009381B"/>
    <w:rPr>
      <w:sz w:val="24"/>
      <w:szCs w:val="24"/>
      <w:lang w:val="en-GB"/>
    </w:rPr>
  </w:style>
  <w:style w:type="character" w:styleId="PageNumber">
    <w:name w:val="page number"/>
    <w:basedOn w:val="DefaultParagraphFont"/>
    <w:uiPriority w:val="99"/>
    <w:rsid w:val="002B286E"/>
  </w:style>
  <w:style w:type="paragraph" w:customStyle="1" w:styleId="paragraph">
    <w:name w:val="paragraph"/>
    <w:basedOn w:val="Normal"/>
    <w:uiPriority w:val="99"/>
    <w:rsid w:val="002B286E"/>
    <w:pPr>
      <w:spacing w:before="120"/>
      <w:jc w:val="both"/>
    </w:pPr>
  </w:style>
  <w:style w:type="character" w:styleId="EndnoteReference">
    <w:name w:val="endnote reference"/>
    <w:uiPriority w:val="99"/>
    <w:semiHidden/>
    <w:rsid w:val="002B286E"/>
    <w:rPr>
      <w:vertAlign w:val="baseline"/>
    </w:rPr>
  </w:style>
  <w:style w:type="paragraph" w:styleId="EndnoteText">
    <w:name w:val="endnote text"/>
    <w:basedOn w:val="Normal"/>
    <w:link w:val="EndnoteTextChar"/>
    <w:uiPriority w:val="99"/>
    <w:semiHidden/>
    <w:rsid w:val="002B286E"/>
    <w:pPr>
      <w:spacing w:before="80" w:after="60"/>
      <w:ind w:left="567" w:hanging="567"/>
    </w:pPr>
    <w:rPr>
      <w:lang w:val="en-US"/>
    </w:rPr>
  </w:style>
  <w:style w:type="character" w:customStyle="1" w:styleId="EndnoteTextChar">
    <w:name w:val="Endnote Text Char"/>
    <w:link w:val="EndnoteText"/>
    <w:uiPriority w:val="99"/>
    <w:semiHidden/>
    <w:rsid w:val="0009381B"/>
    <w:rPr>
      <w:sz w:val="20"/>
      <w:szCs w:val="20"/>
      <w:lang w:val="en-GB"/>
    </w:rPr>
  </w:style>
  <w:style w:type="paragraph" w:customStyle="1" w:styleId="Table">
    <w:name w:val="Table"/>
    <w:aliases w:val="10 pt  Bold,9 pt"/>
    <w:basedOn w:val="Normal"/>
    <w:link w:val="TableChar"/>
    <w:rsid w:val="002B286E"/>
    <w:pPr>
      <w:keepLines/>
      <w:tabs>
        <w:tab w:val="left" w:pos="284"/>
      </w:tabs>
      <w:spacing w:before="40" w:after="20"/>
    </w:pPr>
    <w:rPr>
      <w:rFonts w:ascii="Arial" w:hAnsi="Arial" w:cs="Arial"/>
      <w:sz w:val="20"/>
      <w:szCs w:val="20"/>
      <w:lang w:val="en-US"/>
    </w:rPr>
  </w:style>
  <w:style w:type="paragraph" w:styleId="FootnoteText">
    <w:name w:val="footnote text"/>
    <w:basedOn w:val="Normal"/>
    <w:link w:val="FootnoteTextChar"/>
    <w:uiPriority w:val="99"/>
    <w:semiHidden/>
    <w:rsid w:val="002B286E"/>
    <w:rPr>
      <w:sz w:val="20"/>
      <w:szCs w:val="20"/>
    </w:rPr>
  </w:style>
  <w:style w:type="character" w:customStyle="1" w:styleId="FootnoteTextChar">
    <w:name w:val="Footnote Text Char"/>
    <w:link w:val="FootnoteText"/>
    <w:uiPriority w:val="99"/>
    <w:semiHidden/>
    <w:rsid w:val="0009381B"/>
    <w:rPr>
      <w:sz w:val="20"/>
      <w:szCs w:val="20"/>
      <w:lang w:val="en-GB"/>
    </w:rPr>
  </w:style>
  <w:style w:type="character" w:styleId="FootnoteReference">
    <w:name w:val="footnote reference"/>
    <w:uiPriority w:val="99"/>
    <w:semiHidden/>
    <w:rsid w:val="002B286E"/>
    <w:rPr>
      <w:vertAlign w:val="superscript"/>
    </w:rPr>
  </w:style>
  <w:style w:type="paragraph" w:customStyle="1" w:styleId="NormalBody">
    <w:name w:val="NormalBody"/>
    <w:basedOn w:val="Normal"/>
    <w:uiPriority w:val="99"/>
    <w:rsid w:val="002B286E"/>
    <w:pPr>
      <w:spacing w:after="270" w:line="270" w:lineRule="atLeast"/>
    </w:pPr>
    <w:rPr>
      <w:rFonts w:ascii="Sabon" w:hAnsi="Sabon" w:cs="Sabon"/>
      <w:sz w:val="22"/>
      <w:szCs w:val="22"/>
      <w:lang w:val="en-US"/>
    </w:rPr>
  </w:style>
  <w:style w:type="paragraph" w:customStyle="1" w:styleId="tablefootnote">
    <w:name w:val="tablefootnote"/>
    <w:basedOn w:val="Table"/>
    <w:uiPriority w:val="99"/>
    <w:rsid w:val="002B286E"/>
    <w:pPr>
      <w:keepNext/>
      <w:keepLines w:val="0"/>
      <w:spacing w:before="0" w:after="0"/>
    </w:pPr>
    <w:rPr>
      <w:sz w:val="18"/>
      <w:szCs w:val="18"/>
    </w:rPr>
  </w:style>
  <w:style w:type="paragraph" w:styleId="BodyText">
    <w:name w:val="Body Text"/>
    <w:basedOn w:val="Normal"/>
    <w:link w:val="BodyTextChar"/>
    <w:uiPriority w:val="99"/>
    <w:rsid w:val="002B286E"/>
    <w:pPr>
      <w:tabs>
        <w:tab w:val="left" w:pos="-720"/>
      </w:tabs>
    </w:pPr>
    <w:rPr>
      <w:color w:val="0000FF"/>
    </w:rPr>
  </w:style>
  <w:style w:type="character" w:customStyle="1" w:styleId="BodyTextChar">
    <w:name w:val="Body Text Char"/>
    <w:link w:val="BodyText"/>
    <w:uiPriority w:val="99"/>
    <w:semiHidden/>
    <w:rsid w:val="0009381B"/>
    <w:rPr>
      <w:sz w:val="24"/>
      <w:szCs w:val="24"/>
      <w:lang w:val="en-GB"/>
    </w:rPr>
  </w:style>
  <w:style w:type="paragraph" w:styleId="BodyText2">
    <w:name w:val="Body Text 2"/>
    <w:basedOn w:val="Normal"/>
    <w:link w:val="BodyText2Char"/>
    <w:uiPriority w:val="99"/>
    <w:rsid w:val="002B286E"/>
    <w:rPr>
      <w:color w:val="000000"/>
    </w:rPr>
  </w:style>
  <w:style w:type="character" w:customStyle="1" w:styleId="BodyText2Char">
    <w:name w:val="Body Text 2 Char"/>
    <w:link w:val="BodyText2"/>
    <w:uiPriority w:val="99"/>
    <w:semiHidden/>
    <w:rsid w:val="0009381B"/>
    <w:rPr>
      <w:sz w:val="24"/>
      <w:szCs w:val="24"/>
      <w:lang w:val="en-GB"/>
    </w:rPr>
  </w:style>
  <w:style w:type="paragraph" w:styleId="BalloonText">
    <w:name w:val="Balloon Text"/>
    <w:basedOn w:val="Normal"/>
    <w:link w:val="BalloonTextChar"/>
    <w:uiPriority w:val="99"/>
    <w:semiHidden/>
    <w:rsid w:val="0076648A"/>
    <w:rPr>
      <w:rFonts w:ascii="Tahoma" w:hAnsi="Tahoma" w:cs="Tahoma"/>
      <w:sz w:val="16"/>
      <w:szCs w:val="16"/>
    </w:rPr>
  </w:style>
  <w:style w:type="character" w:customStyle="1" w:styleId="BalloonTextChar">
    <w:name w:val="Balloon Text Char"/>
    <w:link w:val="BalloonText"/>
    <w:uiPriority w:val="99"/>
    <w:semiHidden/>
    <w:rsid w:val="0009381B"/>
    <w:rPr>
      <w:sz w:val="2"/>
      <w:szCs w:val="2"/>
      <w:lang w:val="en-GB"/>
    </w:rPr>
  </w:style>
  <w:style w:type="paragraph" w:styleId="Title">
    <w:name w:val="Title"/>
    <w:basedOn w:val="Normal"/>
    <w:link w:val="TitleChar"/>
    <w:uiPriority w:val="99"/>
    <w:qFormat/>
    <w:rsid w:val="002B286E"/>
    <w:pPr>
      <w:spacing w:before="240" w:after="60"/>
      <w:jc w:val="center"/>
      <w:outlineLvl w:val="0"/>
    </w:pPr>
    <w:rPr>
      <w:b/>
      <w:bCs/>
      <w:kern w:val="28"/>
      <w:sz w:val="34"/>
      <w:szCs w:val="34"/>
    </w:rPr>
  </w:style>
  <w:style w:type="character" w:customStyle="1" w:styleId="TitleChar">
    <w:name w:val="Title Char"/>
    <w:link w:val="Title"/>
    <w:uiPriority w:val="99"/>
    <w:rsid w:val="0009381B"/>
    <w:rPr>
      <w:rFonts w:ascii="Cambria" w:hAnsi="Cambria" w:cs="Cambria"/>
      <w:b/>
      <w:bCs/>
      <w:kern w:val="28"/>
      <w:sz w:val="32"/>
      <w:szCs w:val="32"/>
      <w:lang w:val="en-GB"/>
    </w:rPr>
  </w:style>
  <w:style w:type="character" w:customStyle="1" w:styleId="TextChar">
    <w:name w:val="Text Char"/>
    <w:link w:val="Text"/>
    <w:rsid w:val="00456B4D"/>
    <w:rPr>
      <w:sz w:val="24"/>
      <w:szCs w:val="24"/>
      <w:lang w:val="en-GB" w:eastAsia="en-US"/>
    </w:rPr>
  </w:style>
  <w:style w:type="paragraph" w:customStyle="1" w:styleId="Nottoc-headings">
    <w:name w:val="Not toc-headings"/>
    <w:basedOn w:val="Normal"/>
    <w:next w:val="Text"/>
    <w:link w:val="Nottoc-headingsChar"/>
    <w:rsid w:val="00814D30"/>
    <w:pPr>
      <w:keepNext/>
      <w:keepLines/>
      <w:spacing w:before="240" w:after="60" w:line="240" w:lineRule="auto"/>
      <w:ind w:left="1701" w:hanging="1701"/>
    </w:pPr>
    <w:rPr>
      <w:rFonts w:ascii="Arial" w:hAnsi="Arial" w:cs="Arial"/>
      <w:b/>
      <w:bCs/>
      <w:lang w:val="en-US"/>
    </w:rPr>
  </w:style>
  <w:style w:type="paragraph" w:customStyle="1" w:styleId="TableFigureSpace">
    <w:name w:val="Table/Figure Space"/>
    <w:basedOn w:val="Normal"/>
    <w:next w:val="Normal"/>
    <w:uiPriority w:val="99"/>
    <w:rsid w:val="00D96823"/>
    <w:pPr>
      <w:spacing w:after="40" w:line="240" w:lineRule="exact"/>
    </w:pPr>
    <w:rPr>
      <w:rFonts w:ascii="Arial" w:hAnsi="Arial" w:cs="Arial"/>
      <w:lang w:val="en-US"/>
    </w:rPr>
  </w:style>
  <w:style w:type="character" w:customStyle="1" w:styleId="Nottoc-headingsChar">
    <w:name w:val="Not toc-headings Char"/>
    <w:link w:val="Nottoc-headings"/>
    <w:rsid w:val="00D96823"/>
    <w:rPr>
      <w:rFonts w:ascii="Arial" w:hAnsi="Arial" w:cs="Arial"/>
      <w:b/>
      <w:bCs/>
      <w:sz w:val="24"/>
      <w:szCs w:val="24"/>
      <w:lang w:val="en-US" w:eastAsia="en-US"/>
    </w:rPr>
  </w:style>
  <w:style w:type="paragraph" w:customStyle="1" w:styleId="XPara">
    <w:name w:val="X Para"/>
    <w:basedOn w:val="Normal"/>
    <w:uiPriority w:val="99"/>
    <w:rsid w:val="00D96823"/>
    <w:pPr>
      <w:spacing w:after="160" w:line="240" w:lineRule="exact"/>
      <w:ind w:left="1080" w:right="1080"/>
      <w:jc w:val="both"/>
    </w:pPr>
    <w:rPr>
      <w:rFonts w:ascii="Arial" w:hAnsi="Arial" w:cs="Arial"/>
      <w:i/>
      <w:iCs/>
      <w:sz w:val="20"/>
      <w:szCs w:val="20"/>
      <w:lang w:val="en-US"/>
    </w:rPr>
  </w:style>
  <w:style w:type="table" w:styleId="TableGrid">
    <w:name w:val="Table Grid"/>
    <w:basedOn w:val="TableNormal"/>
    <w:uiPriority w:val="59"/>
    <w:rsid w:val="0089209B"/>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Note">
    <w:name w:val="Figure Note"/>
    <w:basedOn w:val="Normal"/>
    <w:uiPriority w:val="99"/>
    <w:rsid w:val="008D29FC"/>
    <w:pPr>
      <w:keepNext/>
      <w:keepLines/>
      <w:spacing w:before="40" w:line="240" w:lineRule="exact"/>
    </w:pPr>
    <w:rPr>
      <w:rFonts w:ascii="Arial" w:hAnsi="Arial" w:cs="Arial"/>
      <w:sz w:val="20"/>
      <w:szCs w:val="20"/>
      <w:lang w:val="en-US"/>
    </w:rPr>
  </w:style>
  <w:style w:type="character" w:styleId="CommentReference">
    <w:name w:val="annotation reference"/>
    <w:uiPriority w:val="99"/>
    <w:semiHidden/>
    <w:rsid w:val="004607EE"/>
    <w:rPr>
      <w:sz w:val="16"/>
      <w:szCs w:val="16"/>
    </w:rPr>
  </w:style>
  <w:style w:type="paragraph" w:styleId="CommentText">
    <w:name w:val="annotation text"/>
    <w:basedOn w:val="Normal"/>
    <w:link w:val="CommentTextChar"/>
    <w:uiPriority w:val="99"/>
    <w:semiHidden/>
    <w:rsid w:val="004607EE"/>
    <w:rPr>
      <w:sz w:val="20"/>
      <w:szCs w:val="20"/>
    </w:rPr>
  </w:style>
  <w:style w:type="character" w:customStyle="1" w:styleId="CommentTextChar">
    <w:name w:val="Comment Text Char"/>
    <w:link w:val="CommentText"/>
    <w:uiPriority w:val="99"/>
    <w:semiHidden/>
    <w:rsid w:val="0009381B"/>
    <w:rPr>
      <w:sz w:val="20"/>
      <w:szCs w:val="20"/>
      <w:lang w:val="en-GB"/>
    </w:rPr>
  </w:style>
  <w:style w:type="paragraph" w:styleId="CommentSubject">
    <w:name w:val="annotation subject"/>
    <w:basedOn w:val="CommentText"/>
    <w:next w:val="CommentText"/>
    <w:link w:val="CommentSubjectChar"/>
    <w:uiPriority w:val="99"/>
    <w:semiHidden/>
    <w:rsid w:val="004607EE"/>
    <w:rPr>
      <w:b/>
      <w:bCs/>
    </w:rPr>
  </w:style>
  <w:style w:type="character" w:customStyle="1" w:styleId="CommentSubjectChar">
    <w:name w:val="Comment Subject Char"/>
    <w:link w:val="CommentSubject"/>
    <w:uiPriority w:val="99"/>
    <w:semiHidden/>
    <w:rsid w:val="0009381B"/>
    <w:rPr>
      <w:b/>
      <w:bCs/>
      <w:sz w:val="20"/>
      <w:szCs w:val="20"/>
      <w:lang w:val="en-GB"/>
    </w:rPr>
  </w:style>
  <w:style w:type="paragraph" w:customStyle="1" w:styleId="CharCharCharCharChar">
    <w:name w:val="Char Char Char Char Char"/>
    <w:basedOn w:val="Normal"/>
    <w:uiPriority w:val="99"/>
    <w:rsid w:val="002E13CE"/>
    <w:pPr>
      <w:spacing w:after="160" w:line="240" w:lineRule="exact"/>
    </w:pPr>
    <w:rPr>
      <w:rFonts w:ascii="Tahoma" w:hAnsi="Tahoma" w:cs="Tahoma"/>
      <w:sz w:val="20"/>
      <w:szCs w:val="20"/>
      <w:lang w:val="en-US"/>
    </w:rPr>
  </w:style>
  <w:style w:type="paragraph" w:styleId="Revision">
    <w:name w:val="Revision"/>
    <w:hidden/>
    <w:uiPriority w:val="99"/>
    <w:semiHidden/>
    <w:rsid w:val="00EE1AD2"/>
    <w:rPr>
      <w:sz w:val="24"/>
      <w:szCs w:val="24"/>
      <w:lang w:val="en-GB" w:eastAsia="en-US"/>
    </w:rPr>
  </w:style>
  <w:style w:type="character" w:customStyle="1" w:styleId="TableChar">
    <w:name w:val="Table Char"/>
    <w:link w:val="Table"/>
    <w:rsid w:val="00E61EFD"/>
    <w:rPr>
      <w:rFonts w:ascii="Arial" w:hAnsi="Arial" w:cs="Arial"/>
      <w:b/>
      <w:bCs/>
      <w:sz w:val="20"/>
      <w:szCs w:val="20"/>
      <w:lang w:val="en-US" w:eastAsia="en-US"/>
    </w:rPr>
  </w:style>
  <w:style w:type="paragraph" w:customStyle="1" w:styleId="table0">
    <w:name w:val="table"/>
    <w:basedOn w:val="Normal"/>
    <w:rsid w:val="00AF6CC7"/>
    <w:pPr>
      <w:keepNext/>
      <w:tabs>
        <w:tab w:val="left" w:pos="284"/>
      </w:tabs>
      <w:spacing w:before="60" w:after="60" w:line="240" w:lineRule="auto"/>
    </w:pPr>
    <w:rPr>
      <w:rFonts w:ascii="Arial" w:eastAsia="MS Mincho" w:hAnsi="Arial"/>
      <w:sz w:val="20"/>
      <w:szCs w:val="20"/>
      <w:lang w:val="en-US"/>
    </w:rPr>
  </w:style>
  <w:style w:type="paragraph" w:customStyle="1" w:styleId="Legend">
    <w:name w:val="Legend"/>
    <w:basedOn w:val="Table"/>
    <w:rsid w:val="00A2188E"/>
    <w:pPr>
      <w:spacing w:line="240" w:lineRule="auto"/>
    </w:pPr>
    <w:rPr>
      <w:rFonts w:eastAsia="MS Mincho" w:cs="Times New Roman"/>
      <w:szCs w:val="24"/>
      <w:lang w:eastAsia="ja-JP"/>
    </w:rPr>
  </w:style>
  <w:style w:type="paragraph" w:customStyle="1" w:styleId="Listlevel1">
    <w:name w:val="List level 1"/>
    <w:basedOn w:val="Normal"/>
    <w:rsid w:val="00A2188E"/>
    <w:pPr>
      <w:spacing w:before="40" w:after="20" w:line="240" w:lineRule="auto"/>
      <w:ind w:left="425" w:hanging="425"/>
    </w:pPr>
    <w:rPr>
      <w:rFonts w:eastAsia="MS Mincho"/>
      <w:szCs w:val="20"/>
      <w:lang w:val="en-US" w:eastAsia="ja-JP"/>
    </w:rPr>
  </w:style>
  <w:style w:type="paragraph" w:customStyle="1" w:styleId="Default">
    <w:name w:val="Default"/>
    <w:rsid w:val="00CF2F3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B286E"/>
    <w:pPr>
      <w:spacing w:line="320" w:lineRule="atLeast"/>
    </w:pPr>
    <w:rPr>
      <w:sz w:val="24"/>
      <w:szCs w:val="24"/>
      <w:lang w:val="en-GB" w:eastAsia="en-US"/>
    </w:rPr>
  </w:style>
  <w:style w:type="paragraph" w:styleId="Heading1">
    <w:name w:val="heading 1"/>
    <w:basedOn w:val="Normal"/>
    <w:next w:val="Normal"/>
    <w:link w:val="Heading1Char"/>
    <w:uiPriority w:val="99"/>
    <w:qFormat/>
    <w:rsid w:val="002B286E"/>
    <w:pPr>
      <w:keepNext/>
      <w:outlineLvl w:val="0"/>
    </w:pPr>
    <w:rPr>
      <w:b/>
      <w:bCs/>
      <w:sz w:val="30"/>
      <w:szCs w:val="30"/>
      <w:u w:val="single"/>
    </w:rPr>
  </w:style>
  <w:style w:type="paragraph" w:styleId="Heading2">
    <w:name w:val="heading 2"/>
    <w:basedOn w:val="Normal"/>
    <w:next w:val="Text"/>
    <w:link w:val="Heading2Char"/>
    <w:uiPriority w:val="99"/>
    <w:qFormat/>
    <w:rsid w:val="002B286E"/>
    <w:pPr>
      <w:keepNext/>
      <w:keepLines/>
      <w:outlineLvl w:val="1"/>
    </w:pPr>
    <w:rPr>
      <w:b/>
      <w:bCs/>
      <w:u w:val="single"/>
    </w:rPr>
  </w:style>
  <w:style w:type="paragraph" w:styleId="Heading3">
    <w:name w:val="heading 3"/>
    <w:basedOn w:val="Normal"/>
    <w:next w:val="Text"/>
    <w:link w:val="Heading3Char"/>
    <w:uiPriority w:val="99"/>
    <w:qFormat/>
    <w:rsid w:val="002B286E"/>
    <w:pPr>
      <w:keepNext/>
      <w:keepLines/>
      <w:outlineLvl w:val="2"/>
    </w:pPr>
    <w:rPr>
      <w:b/>
      <w:bCs/>
    </w:rPr>
  </w:style>
  <w:style w:type="paragraph" w:styleId="Heading4">
    <w:name w:val="heading 4"/>
    <w:basedOn w:val="Normal"/>
    <w:next w:val="Normal"/>
    <w:link w:val="Heading4Char"/>
    <w:uiPriority w:val="99"/>
    <w:qFormat/>
    <w:rsid w:val="002B286E"/>
    <w:pPr>
      <w:keepNext/>
      <w:widowControl w:val="0"/>
      <w:outlineLvl w:val="3"/>
    </w:pPr>
    <w:rPr>
      <w:u w:val="single"/>
    </w:rPr>
  </w:style>
  <w:style w:type="paragraph" w:styleId="Heading5">
    <w:name w:val="heading 5"/>
    <w:basedOn w:val="Normal"/>
    <w:next w:val="Normal"/>
    <w:link w:val="Heading5Char"/>
    <w:uiPriority w:val="99"/>
    <w:qFormat/>
    <w:rsid w:val="002B286E"/>
    <w:pPr>
      <w:keepNext/>
      <w:outlineLvl w:val="4"/>
    </w:pPr>
    <w:rPr>
      <w:b/>
      <w:bCs/>
      <w:sz w:val="30"/>
      <w:szCs w:val="30"/>
      <w:u w:val="single"/>
    </w:rPr>
  </w:style>
  <w:style w:type="paragraph" w:styleId="Heading6">
    <w:name w:val="heading 6"/>
    <w:basedOn w:val="Normal"/>
    <w:next w:val="Text"/>
    <w:link w:val="Heading6Char"/>
    <w:uiPriority w:val="99"/>
    <w:qFormat/>
    <w:rsid w:val="002B286E"/>
    <w:pPr>
      <w:keepNext/>
      <w:keepLines/>
      <w:spacing w:before="200" w:after="60"/>
      <w:ind w:left="1021" w:hanging="1021"/>
      <w:outlineLvl w:val="5"/>
    </w:pPr>
    <w:rPr>
      <w:rFonts w:ascii="Arial" w:hAnsi="Arial" w:cs="Arial"/>
      <w:b/>
      <w:bCs/>
      <w:sz w:val="18"/>
      <w:szCs w:val="18"/>
      <w:lang w:val="en-US"/>
    </w:rPr>
  </w:style>
  <w:style w:type="paragraph" w:styleId="Heading7">
    <w:name w:val="heading 7"/>
    <w:basedOn w:val="Normal"/>
    <w:next w:val="Normal"/>
    <w:link w:val="Heading7Char"/>
    <w:uiPriority w:val="99"/>
    <w:qFormat/>
    <w:rsid w:val="002B286E"/>
    <w:pPr>
      <w:keepNext/>
      <w:outlineLvl w:val="6"/>
    </w:pPr>
    <w:rPr>
      <w:b/>
      <w:bCs/>
      <w:u w:val="single"/>
    </w:rPr>
  </w:style>
  <w:style w:type="paragraph" w:styleId="Heading8">
    <w:name w:val="heading 8"/>
    <w:basedOn w:val="Normal"/>
    <w:next w:val="Normal"/>
    <w:link w:val="Heading8Char"/>
    <w:uiPriority w:val="99"/>
    <w:qFormat/>
    <w:rsid w:val="002B286E"/>
    <w:pPr>
      <w:keepNext/>
      <w:outlineLvl w:val="7"/>
    </w:pPr>
    <w:rPr>
      <w:b/>
      <w:bCs/>
    </w:rPr>
  </w:style>
  <w:style w:type="paragraph" w:styleId="Heading9">
    <w:name w:val="heading 9"/>
    <w:basedOn w:val="Normal"/>
    <w:next w:val="Normal"/>
    <w:link w:val="Heading9Char"/>
    <w:uiPriority w:val="99"/>
    <w:qFormat/>
    <w:rsid w:val="002B286E"/>
    <w:pPr>
      <w:keepNext/>
      <w:outlineLvl w:val="8"/>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81B"/>
    <w:rPr>
      <w:rFonts w:ascii="Cambria" w:hAnsi="Cambria" w:cs="Cambria"/>
      <w:b/>
      <w:bCs/>
      <w:kern w:val="32"/>
      <w:sz w:val="32"/>
      <w:szCs w:val="32"/>
      <w:lang w:val="en-GB"/>
    </w:rPr>
  </w:style>
  <w:style w:type="character" w:customStyle="1" w:styleId="Heading2Char">
    <w:name w:val="Heading 2 Char"/>
    <w:link w:val="Heading2"/>
    <w:uiPriority w:val="99"/>
    <w:semiHidden/>
    <w:rsid w:val="0009381B"/>
    <w:rPr>
      <w:rFonts w:ascii="Cambria" w:hAnsi="Cambria" w:cs="Cambria"/>
      <w:b/>
      <w:bCs/>
      <w:i/>
      <w:iCs/>
      <w:sz w:val="28"/>
      <w:szCs w:val="28"/>
      <w:lang w:val="en-GB"/>
    </w:rPr>
  </w:style>
  <w:style w:type="character" w:customStyle="1" w:styleId="Heading3Char">
    <w:name w:val="Heading 3 Char"/>
    <w:link w:val="Heading3"/>
    <w:uiPriority w:val="99"/>
    <w:semiHidden/>
    <w:rsid w:val="0009381B"/>
    <w:rPr>
      <w:rFonts w:ascii="Cambria" w:hAnsi="Cambria" w:cs="Cambria"/>
      <w:b/>
      <w:bCs/>
      <w:sz w:val="26"/>
      <w:szCs w:val="26"/>
      <w:lang w:val="en-GB"/>
    </w:rPr>
  </w:style>
  <w:style w:type="character" w:customStyle="1" w:styleId="Heading4Char">
    <w:name w:val="Heading 4 Char"/>
    <w:link w:val="Heading4"/>
    <w:uiPriority w:val="99"/>
    <w:semiHidden/>
    <w:rsid w:val="0009381B"/>
    <w:rPr>
      <w:rFonts w:ascii="Calibri" w:hAnsi="Calibri" w:cs="Calibri"/>
      <w:b/>
      <w:bCs/>
      <w:sz w:val="28"/>
      <w:szCs w:val="28"/>
      <w:lang w:val="en-GB"/>
    </w:rPr>
  </w:style>
  <w:style w:type="character" w:customStyle="1" w:styleId="Heading5Char">
    <w:name w:val="Heading 5 Char"/>
    <w:link w:val="Heading5"/>
    <w:uiPriority w:val="99"/>
    <w:semiHidden/>
    <w:rsid w:val="0009381B"/>
    <w:rPr>
      <w:rFonts w:ascii="Calibri" w:hAnsi="Calibri" w:cs="Calibri"/>
      <w:b/>
      <w:bCs/>
      <w:i/>
      <w:iCs/>
      <w:sz w:val="26"/>
      <w:szCs w:val="26"/>
      <w:lang w:val="en-GB"/>
    </w:rPr>
  </w:style>
  <w:style w:type="character" w:customStyle="1" w:styleId="Heading6Char">
    <w:name w:val="Heading 6 Char"/>
    <w:link w:val="Heading6"/>
    <w:uiPriority w:val="99"/>
    <w:semiHidden/>
    <w:rsid w:val="0009381B"/>
    <w:rPr>
      <w:rFonts w:ascii="Calibri" w:hAnsi="Calibri" w:cs="Calibri"/>
      <w:b/>
      <w:bCs/>
      <w:lang w:val="en-GB"/>
    </w:rPr>
  </w:style>
  <w:style w:type="character" w:customStyle="1" w:styleId="Heading7Char">
    <w:name w:val="Heading 7 Char"/>
    <w:link w:val="Heading7"/>
    <w:uiPriority w:val="99"/>
    <w:semiHidden/>
    <w:rsid w:val="0009381B"/>
    <w:rPr>
      <w:rFonts w:ascii="Calibri" w:hAnsi="Calibri" w:cs="Calibri"/>
      <w:sz w:val="24"/>
      <w:szCs w:val="24"/>
      <w:lang w:val="en-GB"/>
    </w:rPr>
  </w:style>
  <w:style w:type="character" w:customStyle="1" w:styleId="Heading8Char">
    <w:name w:val="Heading 8 Char"/>
    <w:link w:val="Heading8"/>
    <w:uiPriority w:val="99"/>
    <w:semiHidden/>
    <w:rsid w:val="0009381B"/>
    <w:rPr>
      <w:rFonts w:ascii="Calibri" w:hAnsi="Calibri" w:cs="Calibri"/>
      <w:i/>
      <w:iCs/>
      <w:sz w:val="24"/>
      <w:szCs w:val="24"/>
      <w:lang w:val="en-GB"/>
    </w:rPr>
  </w:style>
  <w:style w:type="character" w:customStyle="1" w:styleId="Heading9Char">
    <w:name w:val="Heading 9 Char"/>
    <w:link w:val="Heading9"/>
    <w:uiPriority w:val="99"/>
    <w:semiHidden/>
    <w:rsid w:val="0009381B"/>
    <w:rPr>
      <w:rFonts w:ascii="Cambria" w:hAnsi="Cambria" w:cs="Cambria"/>
      <w:lang w:val="en-GB"/>
    </w:rPr>
  </w:style>
  <w:style w:type="paragraph" w:customStyle="1" w:styleId="Text">
    <w:name w:val="Text"/>
    <w:basedOn w:val="Normal"/>
    <w:link w:val="TextChar"/>
    <w:rsid w:val="002B286E"/>
    <w:pPr>
      <w:spacing w:before="120"/>
      <w:jc w:val="both"/>
    </w:pPr>
  </w:style>
  <w:style w:type="paragraph" w:styleId="Header">
    <w:name w:val="header"/>
    <w:basedOn w:val="Normal"/>
    <w:link w:val="HeaderChar"/>
    <w:uiPriority w:val="99"/>
    <w:rsid w:val="002B286E"/>
    <w:pPr>
      <w:tabs>
        <w:tab w:val="center" w:pos="4153"/>
        <w:tab w:val="right" w:pos="8306"/>
      </w:tabs>
    </w:pPr>
  </w:style>
  <w:style w:type="character" w:customStyle="1" w:styleId="HeaderChar">
    <w:name w:val="Header Char"/>
    <w:link w:val="Header"/>
    <w:uiPriority w:val="99"/>
    <w:semiHidden/>
    <w:rsid w:val="0009381B"/>
    <w:rPr>
      <w:sz w:val="24"/>
      <w:szCs w:val="24"/>
      <w:lang w:val="en-GB"/>
    </w:rPr>
  </w:style>
  <w:style w:type="paragraph" w:styleId="Footer">
    <w:name w:val="footer"/>
    <w:basedOn w:val="Normal"/>
    <w:link w:val="FooterChar"/>
    <w:uiPriority w:val="99"/>
    <w:rsid w:val="002B286E"/>
    <w:pPr>
      <w:tabs>
        <w:tab w:val="center" w:pos="4153"/>
        <w:tab w:val="right" w:pos="8306"/>
      </w:tabs>
    </w:pPr>
  </w:style>
  <w:style w:type="character" w:customStyle="1" w:styleId="FooterChar">
    <w:name w:val="Footer Char"/>
    <w:link w:val="Footer"/>
    <w:uiPriority w:val="99"/>
    <w:semiHidden/>
    <w:rsid w:val="0009381B"/>
    <w:rPr>
      <w:sz w:val="24"/>
      <w:szCs w:val="24"/>
      <w:lang w:val="en-GB"/>
    </w:rPr>
  </w:style>
  <w:style w:type="character" w:styleId="PageNumber">
    <w:name w:val="page number"/>
    <w:basedOn w:val="DefaultParagraphFont"/>
    <w:uiPriority w:val="99"/>
    <w:rsid w:val="002B286E"/>
  </w:style>
  <w:style w:type="paragraph" w:customStyle="1" w:styleId="paragraph">
    <w:name w:val="paragraph"/>
    <w:basedOn w:val="Normal"/>
    <w:uiPriority w:val="99"/>
    <w:rsid w:val="002B286E"/>
    <w:pPr>
      <w:spacing w:before="120"/>
      <w:jc w:val="both"/>
    </w:pPr>
  </w:style>
  <w:style w:type="character" w:styleId="EndnoteReference">
    <w:name w:val="endnote reference"/>
    <w:uiPriority w:val="99"/>
    <w:semiHidden/>
    <w:rsid w:val="002B286E"/>
    <w:rPr>
      <w:vertAlign w:val="baseline"/>
    </w:rPr>
  </w:style>
  <w:style w:type="paragraph" w:styleId="EndnoteText">
    <w:name w:val="endnote text"/>
    <w:basedOn w:val="Normal"/>
    <w:link w:val="EndnoteTextChar"/>
    <w:uiPriority w:val="99"/>
    <w:semiHidden/>
    <w:rsid w:val="002B286E"/>
    <w:pPr>
      <w:spacing w:before="80" w:after="60"/>
      <w:ind w:left="567" w:hanging="567"/>
    </w:pPr>
    <w:rPr>
      <w:lang w:val="en-US"/>
    </w:rPr>
  </w:style>
  <w:style w:type="character" w:customStyle="1" w:styleId="EndnoteTextChar">
    <w:name w:val="Endnote Text Char"/>
    <w:link w:val="EndnoteText"/>
    <w:uiPriority w:val="99"/>
    <w:semiHidden/>
    <w:rsid w:val="0009381B"/>
    <w:rPr>
      <w:sz w:val="20"/>
      <w:szCs w:val="20"/>
      <w:lang w:val="en-GB"/>
    </w:rPr>
  </w:style>
  <w:style w:type="paragraph" w:customStyle="1" w:styleId="Table">
    <w:name w:val="Table"/>
    <w:aliases w:val="10 pt  Bold,9 pt"/>
    <w:basedOn w:val="Normal"/>
    <w:link w:val="TableChar"/>
    <w:rsid w:val="002B286E"/>
    <w:pPr>
      <w:keepLines/>
      <w:tabs>
        <w:tab w:val="left" w:pos="284"/>
      </w:tabs>
      <w:spacing w:before="40" w:after="20"/>
    </w:pPr>
    <w:rPr>
      <w:rFonts w:ascii="Arial" w:hAnsi="Arial" w:cs="Arial"/>
      <w:sz w:val="20"/>
      <w:szCs w:val="20"/>
      <w:lang w:val="en-US"/>
    </w:rPr>
  </w:style>
  <w:style w:type="paragraph" w:styleId="FootnoteText">
    <w:name w:val="footnote text"/>
    <w:basedOn w:val="Normal"/>
    <w:link w:val="FootnoteTextChar"/>
    <w:uiPriority w:val="99"/>
    <w:semiHidden/>
    <w:rsid w:val="002B286E"/>
    <w:rPr>
      <w:sz w:val="20"/>
      <w:szCs w:val="20"/>
    </w:rPr>
  </w:style>
  <w:style w:type="character" w:customStyle="1" w:styleId="FootnoteTextChar">
    <w:name w:val="Footnote Text Char"/>
    <w:link w:val="FootnoteText"/>
    <w:uiPriority w:val="99"/>
    <w:semiHidden/>
    <w:rsid w:val="0009381B"/>
    <w:rPr>
      <w:sz w:val="20"/>
      <w:szCs w:val="20"/>
      <w:lang w:val="en-GB"/>
    </w:rPr>
  </w:style>
  <w:style w:type="character" w:styleId="FootnoteReference">
    <w:name w:val="footnote reference"/>
    <w:uiPriority w:val="99"/>
    <w:semiHidden/>
    <w:rsid w:val="002B286E"/>
    <w:rPr>
      <w:vertAlign w:val="superscript"/>
    </w:rPr>
  </w:style>
  <w:style w:type="paragraph" w:customStyle="1" w:styleId="NormalBody">
    <w:name w:val="NormalBody"/>
    <w:basedOn w:val="Normal"/>
    <w:uiPriority w:val="99"/>
    <w:rsid w:val="002B286E"/>
    <w:pPr>
      <w:spacing w:after="270" w:line="270" w:lineRule="atLeast"/>
    </w:pPr>
    <w:rPr>
      <w:rFonts w:ascii="Sabon" w:hAnsi="Sabon" w:cs="Sabon"/>
      <w:sz w:val="22"/>
      <w:szCs w:val="22"/>
      <w:lang w:val="en-US"/>
    </w:rPr>
  </w:style>
  <w:style w:type="paragraph" w:customStyle="1" w:styleId="tablefootnote">
    <w:name w:val="tablefootnote"/>
    <w:basedOn w:val="Table"/>
    <w:uiPriority w:val="99"/>
    <w:rsid w:val="002B286E"/>
    <w:pPr>
      <w:keepNext/>
      <w:keepLines w:val="0"/>
      <w:spacing w:before="0" w:after="0"/>
    </w:pPr>
    <w:rPr>
      <w:sz w:val="18"/>
      <w:szCs w:val="18"/>
    </w:rPr>
  </w:style>
  <w:style w:type="paragraph" w:styleId="BodyText">
    <w:name w:val="Body Text"/>
    <w:basedOn w:val="Normal"/>
    <w:link w:val="BodyTextChar"/>
    <w:uiPriority w:val="99"/>
    <w:rsid w:val="002B286E"/>
    <w:pPr>
      <w:tabs>
        <w:tab w:val="left" w:pos="-720"/>
      </w:tabs>
    </w:pPr>
    <w:rPr>
      <w:color w:val="0000FF"/>
    </w:rPr>
  </w:style>
  <w:style w:type="character" w:customStyle="1" w:styleId="BodyTextChar">
    <w:name w:val="Body Text Char"/>
    <w:link w:val="BodyText"/>
    <w:uiPriority w:val="99"/>
    <w:semiHidden/>
    <w:rsid w:val="0009381B"/>
    <w:rPr>
      <w:sz w:val="24"/>
      <w:szCs w:val="24"/>
      <w:lang w:val="en-GB"/>
    </w:rPr>
  </w:style>
  <w:style w:type="paragraph" w:styleId="BodyText2">
    <w:name w:val="Body Text 2"/>
    <w:basedOn w:val="Normal"/>
    <w:link w:val="BodyText2Char"/>
    <w:uiPriority w:val="99"/>
    <w:rsid w:val="002B286E"/>
    <w:rPr>
      <w:color w:val="000000"/>
    </w:rPr>
  </w:style>
  <w:style w:type="character" w:customStyle="1" w:styleId="BodyText2Char">
    <w:name w:val="Body Text 2 Char"/>
    <w:link w:val="BodyText2"/>
    <w:uiPriority w:val="99"/>
    <w:semiHidden/>
    <w:rsid w:val="0009381B"/>
    <w:rPr>
      <w:sz w:val="24"/>
      <w:szCs w:val="24"/>
      <w:lang w:val="en-GB"/>
    </w:rPr>
  </w:style>
  <w:style w:type="paragraph" w:styleId="BalloonText">
    <w:name w:val="Balloon Text"/>
    <w:basedOn w:val="Normal"/>
    <w:link w:val="BalloonTextChar"/>
    <w:uiPriority w:val="99"/>
    <w:semiHidden/>
    <w:rsid w:val="0076648A"/>
    <w:rPr>
      <w:rFonts w:ascii="Tahoma" w:hAnsi="Tahoma" w:cs="Tahoma"/>
      <w:sz w:val="16"/>
      <w:szCs w:val="16"/>
    </w:rPr>
  </w:style>
  <w:style w:type="character" w:customStyle="1" w:styleId="BalloonTextChar">
    <w:name w:val="Balloon Text Char"/>
    <w:link w:val="BalloonText"/>
    <w:uiPriority w:val="99"/>
    <w:semiHidden/>
    <w:rsid w:val="0009381B"/>
    <w:rPr>
      <w:sz w:val="2"/>
      <w:szCs w:val="2"/>
      <w:lang w:val="en-GB"/>
    </w:rPr>
  </w:style>
  <w:style w:type="paragraph" w:styleId="Title">
    <w:name w:val="Title"/>
    <w:basedOn w:val="Normal"/>
    <w:link w:val="TitleChar"/>
    <w:uiPriority w:val="99"/>
    <w:qFormat/>
    <w:rsid w:val="002B286E"/>
    <w:pPr>
      <w:spacing w:before="240" w:after="60"/>
      <w:jc w:val="center"/>
      <w:outlineLvl w:val="0"/>
    </w:pPr>
    <w:rPr>
      <w:b/>
      <w:bCs/>
      <w:kern w:val="28"/>
      <w:sz w:val="34"/>
      <w:szCs w:val="34"/>
    </w:rPr>
  </w:style>
  <w:style w:type="character" w:customStyle="1" w:styleId="TitleChar">
    <w:name w:val="Title Char"/>
    <w:link w:val="Title"/>
    <w:uiPriority w:val="99"/>
    <w:rsid w:val="0009381B"/>
    <w:rPr>
      <w:rFonts w:ascii="Cambria" w:hAnsi="Cambria" w:cs="Cambria"/>
      <w:b/>
      <w:bCs/>
      <w:kern w:val="28"/>
      <w:sz w:val="32"/>
      <w:szCs w:val="32"/>
      <w:lang w:val="en-GB"/>
    </w:rPr>
  </w:style>
  <w:style w:type="character" w:customStyle="1" w:styleId="TextChar">
    <w:name w:val="Text Char"/>
    <w:link w:val="Text"/>
    <w:rsid w:val="00456B4D"/>
    <w:rPr>
      <w:sz w:val="24"/>
      <w:szCs w:val="24"/>
      <w:lang w:val="en-GB" w:eastAsia="en-US"/>
    </w:rPr>
  </w:style>
  <w:style w:type="paragraph" w:customStyle="1" w:styleId="Nottoc-headings">
    <w:name w:val="Not toc-headings"/>
    <w:basedOn w:val="Normal"/>
    <w:next w:val="Text"/>
    <w:link w:val="Nottoc-headingsChar"/>
    <w:rsid w:val="00814D30"/>
    <w:pPr>
      <w:keepNext/>
      <w:keepLines/>
      <w:spacing w:before="240" w:after="60" w:line="240" w:lineRule="auto"/>
      <w:ind w:left="1701" w:hanging="1701"/>
    </w:pPr>
    <w:rPr>
      <w:rFonts w:ascii="Arial" w:hAnsi="Arial" w:cs="Arial"/>
      <w:b/>
      <w:bCs/>
      <w:lang w:val="en-US"/>
    </w:rPr>
  </w:style>
  <w:style w:type="paragraph" w:customStyle="1" w:styleId="TableFigureSpace">
    <w:name w:val="Table/Figure Space"/>
    <w:basedOn w:val="Normal"/>
    <w:next w:val="Normal"/>
    <w:uiPriority w:val="99"/>
    <w:rsid w:val="00D96823"/>
    <w:pPr>
      <w:spacing w:after="40" w:line="240" w:lineRule="exact"/>
    </w:pPr>
    <w:rPr>
      <w:rFonts w:ascii="Arial" w:hAnsi="Arial" w:cs="Arial"/>
      <w:lang w:val="en-US"/>
    </w:rPr>
  </w:style>
  <w:style w:type="character" w:customStyle="1" w:styleId="Nottoc-headingsChar">
    <w:name w:val="Not toc-headings Char"/>
    <w:link w:val="Nottoc-headings"/>
    <w:rsid w:val="00D96823"/>
    <w:rPr>
      <w:rFonts w:ascii="Arial" w:hAnsi="Arial" w:cs="Arial"/>
      <w:b/>
      <w:bCs/>
      <w:sz w:val="24"/>
      <w:szCs w:val="24"/>
      <w:lang w:val="en-US" w:eastAsia="en-US"/>
    </w:rPr>
  </w:style>
  <w:style w:type="paragraph" w:customStyle="1" w:styleId="XPara">
    <w:name w:val="X Para"/>
    <w:basedOn w:val="Normal"/>
    <w:uiPriority w:val="99"/>
    <w:rsid w:val="00D96823"/>
    <w:pPr>
      <w:spacing w:after="160" w:line="240" w:lineRule="exact"/>
      <w:ind w:left="1080" w:right="1080"/>
      <w:jc w:val="both"/>
    </w:pPr>
    <w:rPr>
      <w:rFonts w:ascii="Arial" w:hAnsi="Arial" w:cs="Arial"/>
      <w:i/>
      <w:iCs/>
      <w:sz w:val="20"/>
      <w:szCs w:val="20"/>
      <w:lang w:val="en-US"/>
    </w:rPr>
  </w:style>
  <w:style w:type="table" w:styleId="TableGrid">
    <w:name w:val="Table Grid"/>
    <w:basedOn w:val="TableNormal"/>
    <w:uiPriority w:val="59"/>
    <w:rsid w:val="0089209B"/>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Note">
    <w:name w:val="Figure Note"/>
    <w:basedOn w:val="Normal"/>
    <w:uiPriority w:val="99"/>
    <w:rsid w:val="008D29FC"/>
    <w:pPr>
      <w:keepNext/>
      <w:keepLines/>
      <w:spacing w:before="40" w:line="240" w:lineRule="exact"/>
    </w:pPr>
    <w:rPr>
      <w:rFonts w:ascii="Arial" w:hAnsi="Arial" w:cs="Arial"/>
      <w:sz w:val="20"/>
      <w:szCs w:val="20"/>
      <w:lang w:val="en-US"/>
    </w:rPr>
  </w:style>
  <w:style w:type="character" w:styleId="CommentReference">
    <w:name w:val="annotation reference"/>
    <w:uiPriority w:val="99"/>
    <w:semiHidden/>
    <w:rsid w:val="004607EE"/>
    <w:rPr>
      <w:sz w:val="16"/>
      <w:szCs w:val="16"/>
    </w:rPr>
  </w:style>
  <w:style w:type="paragraph" w:styleId="CommentText">
    <w:name w:val="annotation text"/>
    <w:basedOn w:val="Normal"/>
    <w:link w:val="CommentTextChar"/>
    <w:uiPriority w:val="99"/>
    <w:semiHidden/>
    <w:rsid w:val="004607EE"/>
    <w:rPr>
      <w:sz w:val="20"/>
      <w:szCs w:val="20"/>
    </w:rPr>
  </w:style>
  <w:style w:type="character" w:customStyle="1" w:styleId="CommentTextChar">
    <w:name w:val="Comment Text Char"/>
    <w:link w:val="CommentText"/>
    <w:uiPriority w:val="99"/>
    <w:semiHidden/>
    <w:rsid w:val="0009381B"/>
    <w:rPr>
      <w:sz w:val="20"/>
      <w:szCs w:val="20"/>
      <w:lang w:val="en-GB"/>
    </w:rPr>
  </w:style>
  <w:style w:type="paragraph" w:styleId="CommentSubject">
    <w:name w:val="annotation subject"/>
    <w:basedOn w:val="CommentText"/>
    <w:next w:val="CommentText"/>
    <w:link w:val="CommentSubjectChar"/>
    <w:uiPriority w:val="99"/>
    <w:semiHidden/>
    <w:rsid w:val="004607EE"/>
    <w:rPr>
      <w:b/>
      <w:bCs/>
    </w:rPr>
  </w:style>
  <w:style w:type="character" w:customStyle="1" w:styleId="CommentSubjectChar">
    <w:name w:val="Comment Subject Char"/>
    <w:link w:val="CommentSubject"/>
    <w:uiPriority w:val="99"/>
    <w:semiHidden/>
    <w:rsid w:val="0009381B"/>
    <w:rPr>
      <w:b/>
      <w:bCs/>
      <w:sz w:val="20"/>
      <w:szCs w:val="20"/>
      <w:lang w:val="en-GB"/>
    </w:rPr>
  </w:style>
  <w:style w:type="paragraph" w:customStyle="1" w:styleId="CharCharCharCharChar">
    <w:name w:val="Char Char Char Char Char"/>
    <w:basedOn w:val="Normal"/>
    <w:uiPriority w:val="99"/>
    <w:rsid w:val="002E13CE"/>
    <w:pPr>
      <w:spacing w:after="160" w:line="240" w:lineRule="exact"/>
    </w:pPr>
    <w:rPr>
      <w:rFonts w:ascii="Tahoma" w:hAnsi="Tahoma" w:cs="Tahoma"/>
      <w:sz w:val="20"/>
      <w:szCs w:val="20"/>
      <w:lang w:val="en-US"/>
    </w:rPr>
  </w:style>
  <w:style w:type="paragraph" w:styleId="Revision">
    <w:name w:val="Revision"/>
    <w:hidden/>
    <w:uiPriority w:val="99"/>
    <w:semiHidden/>
    <w:rsid w:val="00EE1AD2"/>
    <w:rPr>
      <w:sz w:val="24"/>
      <w:szCs w:val="24"/>
      <w:lang w:val="en-GB" w:eastAsia="en-US"/>
    </w:rPr>
  </w:style>
  <w:style w:type="character" w:customStyle="1" w:styleId="TableChar">
    <w:name w:val="Table Char"/>
    <w:link w:val="Table"/>
    <w:rsid w:val="00E61EFD"/>
    <w:rPr>
      <w:rFonts w:ascii="Arial" w:hAnsi="Arial" w:cs="Arial"/>
      <w:b/>
      <w:bCs/>
      <w:sz w:val="20"/>
      <w:szCs w:val="20"/>
      <w:lang w:val="en-US" w:eastAsia="en-US"/>
    </w:rPr>
  </w:style>
  <w:style w:type="paragraph" w:customStyle="1" w:styleId="table0">
    <w:name w:val="table"/>
    <w:basedOn w:val="Normal"/>
    <w:rsid w:val="00AF6CC7"/>
    <w:pPr>
      <w:keepNext/>
      <w:tabs>
        <w:tab w:val="left" w:pos="284"/>
      </w:tabs>
      <w:spacing w:before="60" w:after="60" w:line="240" w:lineRule="auto"/>
    </w:pPr>
    <w:rPr>
      <w:rFonts w:ascii="Arial" w:eastAsia="MS Mincho" w:hAnsi="Arial"/>
      <w:sz w:val="20"/>
      <w:szCs w:val="20"/>
      <w:lang w:val="en-US"/>
    </w:rPr>
  </w:style>
  <w:style w:type="paragraph" w:customStyle="1" w:styleId="Legend">
    <w:name w:val="Legend"/>
    <w:basedOn w:val="Table"/>
    <w:rsid w:val="00A2188E"/>
    <w:pPr>
      <w:spacing w:line="240" w:lineRule="auto"/>
    </w:pPr>
    <w:rPr>
      <w:rFonts w:eastAsia="MS Mincho" w:cs="Times New Roman"/>
      <w:szCs w:val="24"/>
      <w:lang w:eastAsia="ja-JP"/>
    </w:rPr>
  </w:style>
  <w:style w:type="paragraph" w:customStyle="1" w:styleId="Listlevel1">
    <w:name w:val="List level 1"/>
    <w:basedOn w:val="Normal"/>
    <w:rsid w:val="00A2188E"/>
    <w:pPr>
      <w:spacing w:before="40" w:after="20" w:line="240" w:lineRule="auto"/>
      <w:ind w:left="425" w:hanging="425"/>
    </w:pPr>
    <w:rPr>
      <w:rFonts w:eastAsia="MS Mincho"/>
      <w:szCs w:val="20"/>
      <w:lang w:val="en-US" w:eastAsia="ja-JP"/>
    </w:rPr>
  </w:style>
  <w:style w:type="paragraph" w:customStyle="1" w:styleId="Default">
    <w:name w:val="Default"/>
    <w:rsid w:val="00CF2F3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4645">
      <w:marLeft w:val="0"/>
      <w:marRight w:val="0"/>
      <w:marTop w:val="0"/>
      <w:marBottom w:val="0"/>
      <w:divBdr>
        <w:top w:val="none" w:sz="0" w:space="0" w:color="auto"/>
        <w:left w:val="none" w:sz="0" w:space="0" w:color="auto"/>
        <w:bottom w:val="none" w:sz="0" w:space="0" w:color="auto"/>
        <w:right w:val="none" w:sz="0" w:space="0" w:color="auto"/>
      </w:divBdr>
    </w:div>
    <w:div w:id="12755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3F8A-4F18-43AA-B727-7122F3F8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9494</Words>
  <Characters>51796</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VISUDYNE</vt:lpstr>
    </vt:vector>
  </TitlesOfParts>
  <Company>Novartis</Company>
  <LinksUpToDate>false</LinksUpToDate>
  <CharactersWithSpaces>61168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Lucentis</dc:title>
  <dc:subject>prescription medicine regulation</dc:subject>
  <dc:creator>Novartis Pharmaceuticals Australia</dc:creator>
  <cp:keywords>pi, product information, prescription, medicine, lucentis, ranibizumab</cp:keywords>
  <cp:lastModifiedBy>Sheppard, Fran</cp:lastModifiedBy>
  <cp:revision>8</cp:revision>
  <cp:lastPrinted>2014-05-19T02:57:00Z</cp:lastPrinted>
  <dcterms:created xsi:type="dcterms:W3CDTF">2014-10-19T22:23:00Z</dcterms:created>
  <dcterms:modified xsi:type="dcterms:W3CDTF">2014-12-09T01:45:00Z</dcterms:modified>
</cp:coreProperties>
</file>