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7EC" w:rsidRPr="00D35A54" w:rsidRDefault="000667EC" w:rsidP="00D35A54">
      <w:pPr>
        <w:pStyle w:val="Heading1"/>
      </w:pPr>
      <w:r w:rsidRPr="00D35A54">
        <w:t>PRODUCT INFORMATION</w:t>
      </w:r>
    </w:p>
    <w:p w:rsidR="007F317A" w:rsidRPr="005B0436" w:rsidRDefault="007F317A" w:rsidP="005B0436">
      <w:pPr>
        <w:jc w:val="center"/>
        <w:rPr>
          <w:rFonts w:ascii="Arial" w:hAnsi="Arial" w:cs="Arial"/>
        </w:rPr>
      </w:pPr>
      <w:r w:rsidRPr="005B0436">
        <w:rPr>
          <w:rFonts w:ascii="Arial" w:hAnsi="Arial" w:cs="Arial"/>
        </w:rPr>
        <w:t>ISENTRESS</w:t>
      </w:r>
      <w:r w:rsidRPr="005B0436">
        <w:rPr>
          <w:rFonts w:ascii="Arial" w:hAnsi="Arial" w:cs="Arial"/>
          <w:vertAlign w:val="superscript"/>
        </w:rPr>
        <w:t>TM</w:t>
      </w:r>
    </w:p>
    <w:p w:rsidR="000667EC" w:rsidRPr="005B0436" w:rsidRDefault="000667EC" w:rsidP="005B0436">
      <w:pPr>
        <w:jc w:val="center"/>
        <w:rPr>
          <w:rFonts w:ascii="Arial" w:hAnsi="Arial" w:cs="Arial"/>
        </w:rPr>
      </w:pPr>
      <w:r w:rsidRPr="005B0436">
        <w:rPr>
          <w:rFonts w:ascii="Arial" w:hAnsi="Arial" w:cs="Arial"/>
        </w:rPr>
        <w:t>(</w:t>
      </w:r>
      <w:r w:rsidRPr="005B0436">
        <w:rPr>
          <w:rFonts w:ascii="Arial" w:hAnsi="Arial" w:cs="Arial"/>
          <w:iCs/>
        </w:rPr>
        <w:t>raltegravir</w:t>
      </w:r>
      <w:r w:rsidRPr="005B0436">
        <w:rPr>
          <w:rFonts w:ascii="Arial" w:hAnsi="Arial" w:cs="Arial"/>
        </w:rPr>
        <w:t>, MSD)</w:t>
      </w:r>
    </w:p>
    <w:p w:rsidR="000667EC" w:rsidRPr="00D35A54" w:rsidRDefault="00073032" w:rsidP="00D35A54">
      <w:pPr>
        <w:pStyle w:val="Heading2"/>
      </w:pPr>
      <w:r w:rsidRPr="00D35A54">
        <w:t>NAME OF THE MEDICINE</w:t>
      </w:r>
    </w:p>
    <w:p w:rsidR="000667EC" w:rsidRPr="00AE5ACB" w:rsidRDefault="000667EC" w:rsidP="000667EC">
      <w:pPr>
        <w:autoSpaceDE w:val="0"/>
        <w:autoSpaceDN w:val="0"/>
        <w:adjustRightInd w:val="0"/>
        <w:jc w:val="both"/>
        <w:rPr>
          <w:rFonts w:ascii="Arial" w:hAnsi="Arial" w:cs="Arial"/>
          <w:sz w:val="22"/>
          <w:szCs w:val="22"/>
        </w:rPr>
      </w:pPr>
      <w:r w:rsidRPr="00AE5ACB">
        <w:rPr>
          <w:rFonts w:ascii="Arial" w:hAnsi="Arial" w:cs="Arial"/>
          <w:sz w:val="22"/>
          <w:szCs w:val="22"/>
        </w:rPr>
        <w:t>ISENTRESS</w:t>
      </w:r>
      <w:r w:rsidRPr="00AE5ACB">
        <w:rPr>
          <w:rStyle w:val="FootnoteReference"/>
          <w:rFonts w:ascii="Arial" w:hAnsi="Arial" w:cs="Arial"/>
          <w:sz w:val="22"/>
          <w:szCs w:val="22"/>
        </w:rPr>
        <w:footnoteReference w:id="1"/>
      </w:r>
      <w:r w:rsidRPr="00AE5ACB">
        <w:rPr>
          <w:rFonts w:ascii="Arial" w:hAnsi="Arial" w:cs="Arial"/>
          <w:sz w:val="22"/>
          <w:szCs w:val="22"/>
        </w:rPr>
        <w:t xml:space="preserve"> (raltegravir, MSD) is an HIV integrase strand transfer inhibitor active against the Human Immunodeficiency Virus (HIV-1). </w:t>
      </w:r>
    </w:p>
    <w:p w:rsidR="000667EC" w:rsidRPr="00AE5ACB" w:rsidRDefault="000667EC" w:rsidP="000667EC">
      <w:pPr>
        <w:tabs>
          <w:tab w:val="left" w:pos="5040"/>
        </w:tabs>
        <w:jc w:val="both"/>
        <w:rPr>
          <w:rFonts w:ascii="Arial" w:hAnsi="Arial" w:cs="Arial"/>
          <w:sz w:val="22"/>
          <w:szCs w:val="22"/>
        </w:rPr>
      </w:pPr>
      <w:bookmarkStart w:id="0" w:name="OLE_LINK13"/>
      <w:bookmarkStart w:id="1" w:name="OLE_LINK14"/>
      <w:r w:rsidRPr="00AE5ACB">
        <w:rPr>
          <w:rFonts w:ascii="Arial" w:hAnsi="Arial" w:cs="Arial"/>
          <w:sz w:val="22"/>
          <w:szCs w:val="22"/>
        </w:rPr>
        <w:t xml:space="preserve">The chemical name for </w:t>
      </w:r>
      <w:r w:rsidRPr="00AE5ACB">
        <w:rPr>
          <w:rFonts w:ascii="Arial" w:hAnsi="Arial" w:cs="Arial"/>
          <w:iCs/>
          <w:sz w:val="22"/>
          <w:szCs w:val="22"/>
        </w:rPr>
        <w:t>raltegravir potassium</w:t>
      </w:r>
      <w:r w:rsidRPr="00AE5ACB">
        <w:rPr>
          <w:rFonts w:ascii="Arial" w:hAnsi="Arial" w:cs="Arial"/>
          <w:sz w:val="22"/>
          <w:szCs w:val="22"/>
        </w:rPr>
        <w:t xml:space="preserve"> is </w:t>
      </w:r>
      <w:r w:rsidRPr="00AE5ACB">
        <w:rPr>
          <w:rFonts w:ascii="Arial" w:hAnsi="Arial" w:cs="Arial"/>
          <w:i/>
          <w:sz w:val="22"/>
          <w:szCs w:val="22"/>
        </w:rPr>
        <w:t>N</w:t>
      </w:r>
      <w:r w:rsidRPr="00AE5ACB">
        <w:rPr>
          <w:rFonts w:ascii="Arial" w:hAnsi="Arial" w:cs="Arial"/>
          <w:sz w:val="22"/>
          <w:szCs w:val="22"/>
        </w:rPr>
        <w:t>-[(4-Fluorophenyl)methyl]-1,6-dihydro-5-hydroxy-1-methyl-2-[1-methyl-1-[[(5-methyl-1,3,4-oxadiazol-2-yl)carbonyl]amino]ethyl]-6-oxo-4-pyrimidinecarboxamide monopotassium salt.</w:t>
      </w:r>
    </w:p>
    <w:p w:rsidR="000667EC" w:rsidRPr="00AE5ACB" w:rsidRDefault="000667EC" w:rsidP="000667EC">
      <w:pPr>
        <w:jc w:val="both"/>
        <w:rPr>
          <w:rFonts w:ascii="Arial" w:hAnsi="Arial" w:cs="Arial"/>
          <w:sz w:val="22"/>
          <w:szCs w:val="22"/>
        </w:rPr>
      </w:pPr>
      <w:r w:rsidRPr="00AE5ACB">
        <w:rPr>
          <w:rFonts w:ascii="Arial" w:hAnsi="Arial" w:cs="Arial"/>
          <w:sz w:val="22"/>
          <w:szCs w:val="22"/>
        </w:rPr>
        <w:t>The empirical formula is C</w:t>
      </w:r>
      <w:r w:rsidRPr="00AE5ACB">
        <w:rPr>
          <w:rFonts w:ascii="Arial" w:hAnsi="Arial" w:cs="Arial"/>
          <w:sz w:val="22"/>
          <w:szCs w:val="22"/>
          <w:vertAlign w:val="subscript"/>
        </w:rPr>
        <w:t>20</w:t>
      </w:r>
      <w:r w:rsidRPr="00AE5ACB">
        <w:rPr>
          <w:rFonts w:ascii="Arial" w:hAnsi="Arial" w:cs="Arial"/>
          <w:sz w:val="22"/>
          <w:szCs w:val="22"/>
        </w:rPr>
        <w:t>H</w:t>
      </w:r>
      <w:r w:rsidRPr="00AE5ACB">
        <w:rPr>
          <w:rFonts w:ascii="Arial" w:hAnsi="Arial" w:cs="Arial"/>
          <w:sz w:val="22"/>
          <w:szCs w:val="22"/>
          <w:vertAlign w:val="subscript"/>
        </w:rPr>
        <w:t>20</w:t>
      </w:r>
      <w:r w:rsidRPr="00AE5ACB">
        <w:rPr>
          <w:rFonts w:ascii="Arial" w:hAnsi="Arial" w:cs="Arial"/>
          <w:sz w:val="22"/>
          <w:szCs w:val="22"/>
        </w:rPr>
        <w:t>FKN</w:t>
      </w:r>
      <w:r w:rsidRPr="00AE5ACB">
        <w:rPr>
          <w:rFonts w:ascii="Arial" w:hAnsi="Arial" w:cs="Arial"/>
          <w:sz w:val="22"/>
          <w:szCs w:val="22"/>
          <w:vertAlign w:val="subscript"/>
        </w:rPr>
        <w:t>6</w:t>
      </w:r>
      <w:r w:rsidRPr="00AE5ACB">
        <w:rPr>
          <w:rFonts w:ascii="Arial" w:hAnsi="Arial" w:cs="Arial"/>
          <w:sz w:val="22"/>
          <w:szCs w:val="22"/>
        </w:rPr>
        <w:t>O</w:t>
      </w:r>
      <w:r w:rsidRPr="00AE5ACB">
        <w:rPr>
          <w:rFonts w:ascii="Arial" w:hAnsi="Arial" w:cs="Arial"/>
          <w:sz w:val="22"/>
          <w:szCs w:val="22"/>
          <w:vertAlign w:val="subscript"/>
        </w:rPr>
        <w:t xml:space="preserve">5 </w:t>
      </w:r>
      <w:r w:rsidRPr="00AE5ACB">
        <w:rPr>
          <w:rFonts w:ascii="Arial" w:hAnsi="Arial" w:cs="Arial"/>
          <w:sz w:val="22"/>
          <w:szCs w:val="22"/>
        </w:rPr>
        <w:t>and the molecular weight is 482.51. The structural formula is:</w:t>
      </w:r>
    </w:p>
    <w:bookmarkEnd w:id="0"/>
    <w:bookmarkEnd w:id="1"/>
    <w:p w:rsidR="000667EC" w:rsidRDefault="005B0436" w:rsidP="000667EC">
      <w:pPr>
        <w:autoSpaceDE w:val="0"/>
        <w:autoSpaceDN w:val="0"/>
        <w:adjustRightInd w:val="0"/>
        <w:jc w:val="center"/>
        <w:rPr>
          <w:sz w:val="22"/>
          <w:szCs w:val="22"/>
        </w:rPr>
      </w:pPr>
      <w:r w:rsidRPr="00AE5ACB">
        <w:rPr>
          <w:sz w:val="22"/>
          <w:szCs w:val="22"/>
        </w:rPr>
        <w:object w:dxaOrig="7569" w:dyaOrig="2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ructural formula" style="width:332.75pt;height:101.85pt" o:ole="">
            <v:imagedata r:id="rId8" o:title=""/>
          </v:shape>
          <o:OLEObject Type="Embed" ProgID="ChemDraw.Document.6.0" ShapeID="_x0000_i1025" DrawAspect="Content" ObjectID="_1439030508" r:id="rId9"/>
        </w:object>
      </w:r>
    </w:p>
    <w:p w:rsidR="008471D1" w:rsidRPr="008471D1" w:rsidRDefault="008471D1" w:rsidP="008471D1">
      <w:pPr>
        <w:autoSpaceDE w:val="0"/>
        <w:autoSpaceDN w:val="0"/>
        <w:adjustRightInd w:val="0"/>
        <w:jc w:val="center"/>
        <w:rPr>
          <w:rFonts w:ascii="Arial" w:hAnsi="Arial" w:cs="Arial"/>
          <w:sz w:val="22"/>
          <w:szCs w:val="22"/>
        </w:rPr>
      </w:pPr>
      <w:r w:rsidRPr="008471D1">
        <w:rPr>
          <w:rFonts w:ascii="Arial" w:hAnsi="Arial" w:cs="Arial"/>
          <w:sz w:val="22"/>
          <w:szCs w:val="22"/>
        </w:rPr>
        <w:t>CAS Registry Number: 871038-72-1</w:t>
      </w:r>
    </w:p>
    <w:p w:rsidR="00073032" w:rsidRPr="002C2C40" w:rsidRDefault="00073032" w:rsidP="00D35A54">
      <w:pPr>
        <w:pStyle w:val="Heading3"/>
      </w:pPr>
      <w:r w:rsidRPr="002C2C40">
        <w:t>DE</w:t>
      </w:r>
      <w:r w:rsidRPr="00D35A54">
        <w:t>SCR</w:t>
      </w:r>
      <w:r w:rsidRPr="005B0436">
        <w:t>IPTI</w:t>
      </w:r>
      <w:r w:rsidRPr="002C2C40">
        <w:t>ON</w:t>
      </w:r>
    </w:p>
    <w:p w:rsidR="000667EC" w:rsidRPr="00693900" w:rsidRDefault="000667EC" w:rsidP="000667EC">
      <w:pPr>
        <w:autoSpaceDE w:val="0"/>
        <w:autoSpaceDN w:val="0"/>
        <w:adjustRightInd w:val="0"/>
        <w:jc w:val="both"/>
        <w:rPr>
          <w:rFonts w:ascii="Arial" w:hAnsi="Arial" w:cs="Arial"/>
          <w:sz w:val="22"/>
          <w:szCs w:val="22"/>
        </w:rPr>
      </w:pPr>
      <w:r w:rsidRPr="00AE5ACB">
        <w:rPr>
          <w:rFonts w:ascii="Arial" w:hAnsi="Arial" w:cs="Arial"/>
          <w:iCs/>
          <w:sz w:val="22"/>
          <w:szCs w:val="22"/>
        </w:rPr>
        <w:t>Raltegravir potassium</w:t>
      </w:r>
      <w:r w:rsidRPr="00AE5ACB">
        <w:rPr>
          <w:rFonts w:ascii="Arial" w:hAnsi="Arial" w:cs="Arial"/>
          <w:sz w:val="22"/>
          <w:szCs w:val="22"/>
        </w:rPr>
        <w:t xml:space="preserve"> is a white to off-white powder. It is soluble in water, slightly soluble in methanol, very slightly soluble in ethanol and acetonitrile and insoluble in isopropanol.</w:t>
      </w:r>
      <w:r w:rsidR="00266807">
        <w:rPr>
          <w:rFonts w:ascii="Arial" w:hAnsi="Arial" w:cs="Arial"/>
          <w:sz w:val="22"/>
          <w:szCs w:val="22"/>
        </w:rPr>
        <w:t xml:space="preserve"> </w:t>
      </w:r>
      <w:r w:rsidR="00266807" w:rsidRPr="00693900">
        <w:rPr>
          <w:rFonts w:ascii="Arial" w:hAnsi="Arial" w:cs="Arial"/>
          <w:sz w:val="22"/>
          <w:szCs w:val="22"/>
        </w:rPr>
        <w:t>The pKa is 6.</w:t>
      </w:r>
      <w:r w:rsidR="008E6A87" w:rsidRPr="00693900">
        <w:rPr>
          <w:rFonts w:ascii="Arial" w:hAnsi="Arial" w:cs="Arial"/>
          <w:sz w:val="22"/>
          <w:szCs w:val="22"/>
        </w:rPr>
        <w:t>6</w:t>
      </w:r>
      <w:r w:rsidR="00266807" w:rsidRPr="00693900">
        <w:rPr>
          <w:rFonts w:ascii="Arial" w:hAnsi="Arial" w:cs="Arial"/>
          <w:sz w:val="22"/>
          <w:szCs w:val="22"/>
        </w:rPr>
        <w:t xml:space="preserve"> in water.  The octanol/water partition at pH 7.4 is 2.80.</w:t>
      </w:r>
    </w:p>
    <w:p w:rsidR="004619A3" w:rsidRPr="004619A3" w:rsidRDefault="004619A3" w:rsidP="00B168B4">
      <w:pPr>
        <w:autoSpaceDE w:val="0"/>
        <w:autoSpaceDN w:val="0"/>
        <w:adjustRightInd w:val="0"/>
        <w:jc w:val="both"/>
        <w:rPr>
          <w:rFonts w:ascii="Arial" w:hAnsi="Arial" w:cs="Arial"/>
          <w:color w:val="000000"/>
          <w:sz w:val="22"/>
          <w:szCs w:val="22"/>
          <w:u w:val="single"/>
        </w:rPr>
      </w:pPr>
      <w:r w:rsidRPr="004619A3">
        <w:rPr>
          <w:rFonts w:ascii="Arial" w:hAnsi="Arial" w:cs="Arial"/>
          <w:color w:val="000000"/>
          <w:sz w:val="22"/>
          <w:szCs w:val="22"/>
          <w:u w:val="single"/>
        </w:rPr>
        <w:t>ISENTRESS 400 mg Tablet</w:t>
      </w:r>
    </w:p>
    <w:p w:rsidR="00B168B4" w:rsidRPr="00AE5ACB" w:rsidRDefault="000667EC" w:rsidP="00B168B4">
      <w:pPr>
        <w:autoSpaceDE w:val="0"/>
        <w:autoSpaceDN w:val="0"/>
        <w:adjustRightInd w:val="0"/>
        <w:jc w:val="both"/>
        <w:rPr>
          <w:rFonts w:ascii="Arial" w:hAnsi="Arial" w:cs="Arial"/>
          <w:sz w:val="22"/>
          <w:szCs w:val="22"/>
        </w:rPr>
      </w:pPr>
      <w:r w:rsidRPr="00AE5ACB">
        <w:rPr>
          <w:rFonts w:ascii="Arial" w:hAnsi="Arial" w:cs="Arial"/>
          <w:color w:val="000000"/>
          <w:sz w:val="22"/>
          <w:szCs w:val="22"/>
        </w:rPr>
        <w:t>Each</w:t>
      </w:r>
      <w:r w:rsidR="002963F9">
        <w:rPr>
          <w:rFonts w:ascii="Arial" w:hAnsi="Arial" w:cs="Arial"/>
          <w:color w:val="000000"/>
          <w:sz w:val="22"/>
          <w:szCs w:val="22"/>
        </w:rPr>
        <w:t xml:space="preserve"> </w:t>
      </w:r>
      <w:r w:rsidRPr="00AE5ACB">
        <w:rPr>
          <w:rFonts w:ascii="Arial" w:hAnsi="Arial" w:cs="Arial"/>
          <w:color w:val="000000"/>
          <w:sz w:val="22"/>
          <w:szCs w:val="22"/>
        </w:rPr>
        <w:t xml:space="preserve">film-coated tablet </w:t>
      </w:r>
      <w:r w:rsidR="00E9599E" w:rsidRPr="00693900">
        <w:rPr>
          <w:rFonts w:ascii="Arial" w:hAnsi="Arial" w:cs="Arial"/>
          <w:sz w:val="22"/>
          <w:szCs w:val="22"/>
        </w:rPr>
        <w:t xml:space="preserve">of ISENTRESS </w:t>
      </w:r>
      <w:r w:rsidRPr="00AE5ACB">
        <w:rPr>
          <w:rFonts w:ascii="Arial" w:hAnsi="Arial" w:cs="Arial"/>
          <w:color w:val="000000"/>
          <w:sz w:val="22"/>
          <w:szCs w:val="22"/>
        </w:rPr>
        <w:t xml:space="preserve">contains </w:t>
      </w:r>
      <w:r w:rsidR="006A0D8C" w:rsidRPr="00693900">
        <w:rPr>
          <w:rFonts w:ascii="Arial" w:hAnsi="Arial" w:cs="Arial"/>
          <w:sz w:val="22"/>
          <w:szCs w:val="22"/>
        </w:rPr>
        <w:t xml:space="preserve">400 mg </w:t>
      </w:r>
      <w:r w:rsidRPr="00AE5ACB">
        <w:rPr>
          <w:rFonts w:ascii="Arial" w:hAnsi="Arial" w:cs="Arial"/>
          <w:color w:val="000000"/>
          <w:sz w:val="22"/>
          <w:szCs w:val="22"/>
        </w:rPr>
        <w:t xml:space="preserve">of </w:t>
      </w:r>
      <w:r w:rsidRPr="00AE5ACB">
        <w:rPr>
          <w:rFonts w:ascii="Arial" w:hAnsi="Arial" w:cs="Arial"/>
          <w:iCs/>
          <w:color w:val="000000"/>
          <w:sz w:val="22"/>
          <w:szCs w:val="22"/>
        </w:rPr>
        <w:t xml:space="preserve">raltegravir </w:t>
      </w:r>
      <w:r w:rsidR="00073032" w:rsidRPr="005B3D5C">
        <w:rPr>
          <w:rFonts w:ascii="Arial" w:hAnsi="Arial" w:cs="Arial"/>
          <w:iCs/>
          <w:sz w:val="22"/>
          <w:szCs w:val="22"/>
        </w:rPr>
        <w:t xml:space="preserve">(as </w:t>
      </w:r>
      <w:r w:rsidRPr="005B3D5C">
        <w:rPr>
          <w:rFonts w:ascii="Arial" w:hAnsi="Arial" w:cs="Arial"/>
          <w:iCs/>
          <w:sz w:val="22"/>
          <w:szCs w:val="22"/>
        </w:rPr>
        <w:t>potassium</w:t>
      </w:r>
      <w:r w:rsidRPr="005B3D5C">
        <w:rPr>
          <w:rFonts w:ascii="Arial" w:hAnsi="Arial" w:cs="Arial"/>
          <w:sz w:val="22"/>
          <w:szCs w:val="22"/>
        </w:rPr>
        <w:t xml:space="preserve"> salt)</w:t>
      </w:r>
      <w:r w:rsidR="005B3D5C">
        <w:rPr>
          <w:rFonts w:ascii="Arial" w:hAnsi="Arial" w:cs="Arial"/>
          <w:iCs/>
          <w:color w:val="000000"/>
          <w:sz w:val="22"/>
          <w:szCs w:val="22"/>
        </w:rPr>
        <w:t xml:space="preserve"> and </w:t>
      </w:r>
      <w:r w:rsidR="00B168B4" w:rsidRPr="00AE5ACB">
        <w:rPr>
          <w:rFonts w:ascii="Arial" w:hAnsi="Arial" w:cs="Arial"/>
          <w:sz w:val="22"/>
          <w:szCs w:val="22"/>
        </w:rPr>
        <w:t>the following inactive ingredients:</w:t>
      </w:r>
      <w:r w:rsidR="00B168B4" w:rsidRPr="00AE5ACB">
        <w:rPr>
          <w:sz w:val="22"/>
          <w:szCs w:val="22"/>
        </w:rPr>
        <w:t xml:space="preserve"> </w:t>
      </w:r>
      <w:r w:rsidR="00B168B4" w:rsidRPr="00AE5ACB">
        <w:rPr>
          <w:rFonts w:ascii="Arial" w:hAnsi="Arial" w:cs="Arial"/>
          <w:sz w:val="22"/>
          <w:szCs w:val="22"/>
        </w:rPr>
        <w:t xml:space="preserve">microcrystalline cellulose, lactose monohydrate, calcium phosphate dibasic anhydrous, hypromellose 2208, poloxamer 407 (contains 0.01% butylated hydroxytoluene as antioxidant), sodium stearyl fumarate, magnesium stearate. In addition, the film coating contains the following inactive ingredients: polyvinyl alcohol, titanium dioxide, polyethylene glycol 3350, talc, red iron oxide and black iron oxide. </w:t>
      </w:r>
    </w:p>
    <w:p w:rsidR="004619A3" w:rsidRPr="004619A3" w:rsidRDefault="004619A3" w:rsidP="00073032">
      <w:pPr>
        <w:autoSpaceDE w:val="0"/>
        <w:autoSpaceDN w:val="0"/>
        <w:adjustRightInd w:val="0"/>
        <w:rPr>
          <w:rFonts w:ascii="Arial" w:hAnsi="Arial" w:cs="Arial"/>
          <w:sz w:val="22"/>
          <w:szCs w:val="22"/>
          <w:u w:val="single"/>
        </w:rPr>
      </w:pPr>
      <w:r w:rsidRPr="004619A3">
        <w:rPr>
          <w:rFonts w:ascii="Arial" w:hAnsi="Arial" w:cs="Arial"/>
          <w:sz w:val="22"/>
          <w:szCs w:val="22"/>
          <w:u w:val="single"/>
        </w:rPr>
        <w:lastRenderedPageBreak/>
        <w:t xml:space="preserve">ISENTRESS </w:t>
      </w:r>
      <w:r w:rsidR="002F29D8">
        <w:rPr>
          <w:rFonts w:ascii="Arial" w:hAnsi="Arial" w:cs="Arial"/>
          <w:sz w:val="22"/>
          <w:szCs w:val="22"/>
          <w:u w:val="single"/>
        </w:rPr>
        <w:t xml:space="preserve">100 mg </w:t>
      </w:r>
      <w:r w:rsidRPr="004619A3">
        <w:rPr>
          <w:rFonts w:ascii="Arial" w:hAnsi="Arial" w:cs="Arial"/>
          <w:sz w:val="22"/>
          <w:szCs w:val="22"/>
          <w:u w:val="single"/>
        </w:rPr>
        <w:t xml:space="preserve">Chewable Tablet </w:t>
      </w:r>
    </w:p>
    <w:p w:rsidR="004619A3" w:rsidRDefault="00073032" w:rsidP="00073032">
      <w:pPr>
        <w:autoSpaceDE w:val="0"/>
        <w:autoSpaceDN w:val="0"/>
        <w:adjustRightInd w:val="0"/>
        <w:rPr>
          <w:rFonts w:ascii="Arial" w:hAnsi="Arial" w:cs="Arial"/>
          <w:sz w:val="22"/>
          <w:szCs w:val="22"/>
        </w:rPr>
      </w:pPr>
      <w:r w:rsidRPr="005B3D5C">
        <w:rPr>
          <w:rFonts w:ascii="Arial" w:hAnsi="Arial" w:cs="Arial"/>
          <w:sz w:val="22"/>
          <w:szCs w:val="22"/>
        </w:rPr>
        <w:t xml:space="preserve">Each chewable tablet contains </w:t>
      </w:r>
      <w:r w:rsidR="006A0D8C" w:rsidRPr="00693900">
        <w:rPr>
          <w:rFonts w:ascii="Arial" w:hAnsi="Arial" w:cs="Arial"/>
          <w:sz w:val="22"/>
          <w:szCs w:val="22"/>
        </w:rPr>
        <w:t xml:space="preserve">100 </w:t>
      </w:r>
      <w:r w:rsidR="002963F9" w:rsidRPr="006A0D8C">
        <w:rPr>
          <w:rFonts w:ascii="Arial" w:hAnsi="Arial" w:cs="Arial"/>
          <w:sz w:val="22"/>
          <w:szCs w:val="22"/>
        </w:rPr>
        <w:t>mg</w:t>
      </w:r>
      <w:r w:rsidRPr="005B3D5C">
        <w:rPr>
          <w:rFonts w:ascii="Arial" w:hAnsi="Arial" w:cs="Arial"/>
          <w:sz w:val="22"/>
          <w:szCs w:val="22"/>
        </w:rPr>
        <w:t xml:space="preserve"> of raltegravir </w:t>
      </w:r>
      <w:r w:rsidR="00D15DAB" w:rsidRPr="005B3D5C">
        <w:rPr>
          <w:rFonts w:ascii="Arial" w:hAnsi="Arial" w:cs="Arial"/>
          <w:sz w:val="22"/>
          <w:szCs w:val="22"/>
        </w:rPr>
        <w:t xml:space="preserve">(as potassium salt) </w:t>
      </w:r>
      <w:r w:rsidR="002F29D8" w:rsidRPr="005B3D5C">
        <w:rPr>
          <w:rFonts w:ascii="Arial" w:hAnsi="Arial" w:cs="Arial"/>
          <w:sz w:val="22"/>
          <w:szCs w:val="22"/>
        </w:rPr>
        <w:t>and the following  ina</w:t>
      </w:r>
      <w:r w:rsidRPr="005B3D5C">
        <w:rPr>
          <w:rFonts w:ascii="Arial" w:hAnsi="Arial" w:cs="Arial"/>
          <w:sz w:val="22"/>
          <w:szCs w:val="22"/>
        </w:rPr>
        <w:t>ctive ingredients:</w:t>
      </w:r>
      <w:r>
        <w:rPr>
          <w:rFonts w:ascii="Arial" w:hAnsi="Arial" w:cs="Arial"/>
          <w:sz w:val="22"/>
          <w:szCs w:val="22"/>
        </w:rPr>
        <w:t xml:space="preserve"> </w:t>
      </w:r>
      <w:r w:rsidR="009B0866">
        <w:rPr>
          <w:rFonts w:ascii="Arial" w:hAnsi="Arial" w:cs="Arial"/>
          <w:sz w:val="22"/>
          <w:szCs w:val="22"/>
        </w:rPr>
        <w:t>hyd</w:t>
      </w:r>
      <w:r w:rsidR="00584E54">
        <w:rPr>
          <w:rFonts w:ascii="Arial" w:hAnsi="Arial" w:cs="Arial"/>
          <w:sz w:val="22"/>
          <w:szCs w:val="22"/>
        </w:rPr>
        <w:t>r</w:t>
      </w:r>
      <w:r w:rsidR="009B0866">
        <w:rPr>
          <w:rFonts w:ascii="Arial" w:hAnsi="Arial" w:cs="Arial"/>
          <w:sz w:val="22"/>
          <w:szCs w:val="22"/>
        </w:rPr>
        <w:t>oxypropylcellulose</w:t>
      </w:r>
      <w:r>
        <w:rPr>
          <w:rFonts w:ascii="Arial" w:hAnsi="Arial" w:cs="Arial"/>
          <w:sz w:val="22"/>
          <w:szCs w:val="22"/>
        </w:rPr>
        <w:t xml:space="preserve">, sucralose, saccharin sodium, sodium citrate, mannitol, </w:t>
      </w:r>
      <w:r w:rsidR="00584E54">
        <w:rPr>
          <w:rFonts w:ascii="Arial" w:hAnsi="Arial" w:cs="Arial"/>
          <w:sz w:val="22"/>
          <w:szCs w:val="22"/>
        </w:rPr>
        <w:t xml:space="preserve">red </w:t>
      </w:r>
      <w:r>
        <w:rPr>
          <w:rFonts w:ascii="Arial" w:hAnsi="Arial" w:cs="Arial"/>
          <w:sz w:val="22"/>
          <w:szCs w:val="22"/>
        </w:rPr>
        <w:t>iron oxide</w:t>
      </w:r>
      <w:r w:rsidR="00584E54">
        <w:rPr>
          <w:rFonts w:ascii="Arial" w:hAnsi="Arial" w:cs="Arial"/>
          <w:sz w:val="22"/>
          <w:szCs w:val="22"/>
        </w:rPr>
        <w:t>,</w:t>
      </w:r>
      <w:r>
        <w:rPr>
          <w:rFonts w:ascii="Arial" w:hAnsi="Arial" w:cs="Arial"/>
          <w:sz w:val="22"/>
          <w:szCs w:val="22"/>
        </w:rPr>
        <w:t xml:space="preserve"> </w:t>
      </w:r>
      <w:r w:rsidR="00584E54">
        <w:rPr>
          <w:rFonts w:ascii="Arial" w:hAnsi="Arial" w:cs="Arial"/>
          <w:sz w:val="22"/>
          <w:szCs w:val="22"/>
        </w:rPr>
        <w:t xml:space="preserve">yellow </w:t>
      </w:r>
      <w:r>
        <w:rPr>
          <w:rFonts w:ascii="Arial" w:hAnsi="Arial" w:cs="Arial"/>
          <w:sz w:val="22"/>
          <w:szCs w:val="22"/>
        </w:rPr>
        <w:t xml:space="preserve">iron oxide, ammonium glycyrrhizinate, </w:t>
      </w:r>
      <w:r w:rsidR="009B0866">
        <w:rPr>
          <w:rFonts w:ascii="Arial" w:hAnsi="Arial" w:cs="Arial"/>
          <w:sz w:val="22"/>
          <w:szCs w:val="22"/>
        </w:rPr>
        <w:t>sorbitol, fructose, natural and artificial flavours (orange, banana and masking</w:t>
      </w:r>
      <w:r w:rsidR="000D0744" w:rsidRPr="00DB3D24">
        <w:rPr>
          <w:rFonts w:ascii="Arial" w:hAnsi="Arial" w:cs="Arial"/>
          <w:sz w:val="22"/>
          <w:szCs w:val="22"/>
        </w:rPr>
        <w:t xml:space="preserve"> </w:t>
      </w:r>
      <w:r w:rsidR="000D0744" w:rsidRPr="00693900">
        <w:rPr>
          <w:rFonts w:ascii="Arial" w:hAnsi="Arial" w:cs="Arial"/>
          <w:sz w:val="22"/>
          <w:szCs w:val="22"/>
        </w:rPr>
        <w:t>that contains aspartame</w:t>
      </w:r>
      <w:r w:rsidR="009B0866" w:rsidRPr="00DB3D24">
        <w:rPr>
          <w:rFonts w:ascii="Arial" w:hAnsi="Arial" w:cs="Arial"/>
          <w:sz w:val="22"/>
          <w:szCs w:val="22"/>
        </w:rPr>
        <w:t>),</w:t>
      </w:r>
      <w:r w:rsidR="009B0866">
        <w:rPr>
          <w:rFonts w:ascii="Arial" w:hAnsi="Arial" w:cs="Arial"/>
          <w:sz w:val="22"/>
          <w:szCs w:val="22"/>
        </w:rPr>
        <w:t xml:space="preserve"> crospovidone, </w:t>
      </w:r>
      <w:r>
        <w:rPr>
          <w:rFonts w:ascii="Arial" w:hAnsi="Arial" w:cs="Arial"/>
          <w:sz w:val="22"/>
          <w:szCs w:val="22"/>
        </w:rPr>
        <w:t>magnesium stearate , sodium stearyl</w:t>
      </w:r>
      <w:r w:rsidR="00584E54">
        <w:rPr>
          <w:rFonts w:ascii="Arial" w:hAnsi="Arial" w:cs="Arial"/>
          <w:sz w:val="22"/>
          <w:szCs w:val="22"/>
        </w:rPr>
        <w:t xml:space="preserve"> </w:t>
      </w:r>
      <w:r>
        <w:rPr>
          <w:rFonts w:ascii="Arial" w:hAnsi="Arial" w:cs="Arial"/>
          <w:sz w:val="22"/>
          <w:szCs w:val="22"/>
        </w:rPr>
        <w:t xml:space="preserve">fumarate, </w:t>
      </w:r>
      <w:r w:rsidR="009B0866">
        <w:rPr>
          <w:rFonts w:ascii="Arial" w:hAnsi="Arial" w:cs="Arial"/>
          <w:sz w:val="22"/>
          <w:szCs w:val="22"/>
        </w:rPr>
        <w:t>ethylcellulose 20 cP, ammonium hydroxide, medium chain triglycerides, oleic acid, hydroxypropylmethyl cellulose 2910/6cP, macrogol 400.</w:t>
      </w:r>
      <w:r w:rsidR="002917DF">
        <w:rPr>
          <w:rFonts w:ascii="Arial" w:hAnsi="Arial" w:cs="Arial"/>
          <w:sz w:val="22"/>
          <w:szCs w:val="22"/>
        </w:rPr>
        <w:t xml:space="preserve"> </w:t>
      </w:r>
    </w:p>
    <w:p w:rsidR="00DB3D24" w:rsidRDefault="00DB3D24" w:rsidP="00073032">
      <w:pPr>
        <w:autoSpaceDE w:val="0"/>
        <w:autoSpaceDN w:val="0"/>
        <w:adjustRightInd w:val="0"/>
        <w:rPr>
          <w:rFonts w:ascii="Arial" w:hAnsi="Arial" w:cs="Arial"/>
          <w:sz w:val="22"/>
          <w:szCs w:val="22"/>
        </w:rPr>
      </w:pPr>
    </w:p>
    <w:p w:rsidR="004619A3" w:rsidRPr="004619A3" w:rsidRDefault="004619A3" w:rsidP="00073032">
      <w:pPr>
        <w:autoSpaceDE w:val="0"/>
        <w:autoSpaceDN w:val="0"/>
        <w:adjustRightInd w:val="0"/>
        <w:rPr>
          <w:rFonts w:ascii="Arial" w:hAnsi="Arial" w:cs="Arial"/>
          <w:sz w:val="22"/>
          <w:szCs w:val="22"/>
          <w:u w:val="single"/>
        </w:rPr>
      </w:pPr>
      <w:r w:rsidRPr="004619A3">
        <w:rPr>
          <w:rFonts w:ascii="Arial" w:hAnsi="Arial" w:cs="Arial"/>
          <w:sz w:val="22"/>
          <w:szCs w:val="22"/>
          <w:u w:val="single"/>
        </w:rPr>
        <w:t>ISENTRESS 25 mg Chewable Tablet</w:t>
      </w:r>
    </w:p>
    <w:p w:rsidR="00073032" w:rsidRPr="00CA1D80" w:rsidRDefault="00A27102" w:rsidP="00073032">
      <w:pPr>
        <w:autoSpaceDE w:val="0"/>
        <w:autoSpaceDN w:val="0"/>
        <w:adjustRightInd w:val="0"/>
        <w:rPr>
          <w:rFonts w:ascii="Arial" w:hAnsi="Arial" w:cs="Arial"/>
          <w:sz w:val="22"/>
          <w:szCs w:val="22"/>
        </w:rPr>
      </w:pPr>
      <w:r w:rsidRPr="005B3D5C">
        <w:rPr>
          <w:rFonts w:ascii="Arial" w:hAnsi="Arial" w:cs="Arial"/>
          <w:sz w:val="22"/>
          <w:szCs w:val="22"/>
        </w:rPr>
        <w:t>Each</w:t>
      </w:r>
      <w:r w:rsidR="0018579C">
        <w:rPr>
          <w:rFonts w:ascii="Arial" w:hAnsi="Arial" w:cs="Arial"/>
          <w:sz w:val="22"/>
          <w:szCs w:val="22"/>
        </w:rPr>
        <w:t xml:space="preserve"> </w:t>
      </w:r>
      <w:r w:rsidRPr="005B3D5C">
        <w:rPr>
          <w:rFonts w:ascii="Arial" w:hAnsi="Arial" w:cs="Arial"/>
          <w:sz w:val="22"/>
          <w:szCs w:val="22"/>
        </w:rPr>
        <w:t xml:space="preserve">chewable tablet contains </w:t>
      </w:r>
      <w:r w:rsidR="0018579C" w:rsidRPr="00693900">
        <w:rPr>
          <w:rFonts w:ascii="Arial" w:hAnsi="Arial" w:cs="Arial"/>
          <w:sz w:val="22"/>
          <w:szCs w:val="22"/>
        </w:rPr>
        <w:t xml:space="preserve">25 </w:t>
      </w:r>
      <w:r w:rsidR="0018579C" w:rsidRPr="0018579C">
        <w:rPr>
          <w:rFonts w:ascii="Arial" w:hAnsi="Arial" w:cs="Arial"/>
          <w:sz w:val="22"/>
          <w:szCs w:val="22"/>
        </w:rPr>
        <w:t>mg</w:t>
      </w:r>
      <w:r w:rsidR="0018579C" w:rsidRPr="0018579C">
        <w:rPr>
          <w:rFonts w:ascii="Arial" w:hAnsi="Arial" w:cs="Arial"/>
          <w:color w:val="0070C0"/>
          <w:sz w:val="22"/>
          <w:szCs w:val="22"/>
        </w:rPr>
        <w:t xml:space="preserve"> </w:t>
      </w:r>
      <w:r w:rsidRPr="005B3D5C">
        <w:rPr>
          <w:rFonts w:ascii="Arial" w:hAnsi="Arial" w:cs="Arial"/>
          <w:sz w:val="22"/>
          <w:szCs w:val="22"/>
        </w:rPr>
        <w:t xml:space="preserve">of raltegravir </w:t>
      </w:r>
      <w:r w:rsidR="00D15DAB" w:rsidRPr="005B3D5C">
        <w:rPr>
          <w:rFonts w:ascii="Arial" w:hAnsi="Arial" w:cs="Arial"/>
          <w:sz w:val="22"/>
          <w:szCs w:val="22"/>
        </w:rPr>
        <w:t xml:space="preserve">(as </w:t>
      </w:r>
      <w:r w:rsidRPr="005B3D5C">
        <w:rPr>
          <w:rFonts w:ascii="Arial" w:hAnsi="Arial" w:cs="Arial"/>
          <w:sz w:val="22"/>
          <w:szCs w:val="22"/>
        </w:rPr>
        <w:t xml:space="preserve">potassium </w:t>
      </w:r>
      <w:r w:rsidR="00D15DAB" w:rsidRPr="005B3D5C">
        <w:rPr>
          <w:rFonts w:ascii="Arial" w:hAnsi="Arial" w:cs="Arial"/>
          <w:sz w:val="22"/>
          <w:szCs w:val="22"/>
        </w:rPr>
        <w:t>salt</w:t>
      </w:r>
      <w:r w:rsidR="005B3D5C" w:rsidRPr="0018579C">
        <w:rPr>
          <w:rFonts w:ascii="Arial" w:hAnsi="Arial" w:cs="Arial"/>
          <w:sz w:val="22"/>
          <w:szCs w:val="22"/>
        </w:rPr>
        <w:t>)</w:t>
      </w:r>
      <w:r w:rsidR="0018579C" w:rsidRPr="0018579C">
        <w:rPr>
          <w:rFonts w:ascii="Arial" w:hAnsi="Arial" w:cs="Arial"/>
          <w:color w:val="0070C0"/>
          <w:sz w:val="22"/>
          <w:szCs w:val="22"/>
        </w:rPr>
        <w:t xml:space="preserve"> </w:t>
      </w:r>
      <w:r w:rsidR="002F29D8" w:rsidRPr="005B3D5C">
        <w:rPr>
          <w:rFonts w:ascii="Arial" w:hAnsi="Arial" w:cs="Arial"/>
          <w:sz w:val="22"/>
          <w:szCs w:val="22"/>
        </w:rPr>
        <w:t xml:space="preserve">and the following </w:t>
      </w:r>
      <w:r w:rsidR="00073032" w:rsidRPr="005B3D5C">
        <w:rPr>
          <w:rFonts w:ascii="Arial" w:hAnsi="Arial" w:cs="Arial"/>
          <w:sz w:val="22"/>
          <w:szCs w:val="22"/>
        </w:rPr>
        <w:t xml:space="preserve">inactive ingredients: </w:t>
      </w:r>
      <w:r w:rsidR="009B0866">
        <w:rPr>
          <w:rFonts w:ascii="Arial" w:hAnsi="Arial" w:cs="Arial"/>
          <w:sz w:val="22"/>
          <w:szCs w:val="22"/>
        </w:rPr>
        <w:t>hydroxypropylcellulose</w:t>
      </w:r>
      <w:r w:rsidR="00073032">
        <w:rPr>
          <w:rFonts w:ascii="Arial" w:hAnsi="Arial" w:cs="Arial"/>
          <w:sz w:val="22"/>
          <w:szCs w:val="22"/>
        </w:rPr>
        <w:t xml:space="preserve">, sucralose, saccharin sodium, sodium citrate, mannitol, </w:t>
      </w:r>
      <w:r w:rsidR="00584E54">
        <w:rPr>
          <w:rFonts w:ascii="Arial" w:hAnsi="Arial" w:cs="Arial"/>
          <w:sz w:val="22"/>
          <w:szCs w:val="22"/>
        </w:rPr>
        <w:t xml:space="preserve">yellow </w:t>
      </w:r>
      <w:r w:rsidR="00073032">
        <w:rPr>
          <w:rFonts w:ascii="Arial" w:hAnsi="Arial" w:cs="Arial"/>
          <w:sz w:val="22"/>
          <w:szCs w:val="22"/>
        </w:rPr>
        <w:t xml:space="preserve">iron oxide, ammonium glycyrrhizinate, </w:t>
      </w:r>
      <w:r w:rsidR="00F9063B">
        <w:rPr>
          <w:rFonts w:ascii="Arial" w:hAnsi="Arial" w:cs="Arial"/>
          <w:sz w:val="22"/>
          <w:szCs w:val="22"/>
        </w:rPr>
        <w:t>sorbitol, fructose, natural and artificial flavors (orange, banana and masking</w:t>
      </w:r>
      <w:r w:rsidR="000D0744">
        <w:rPr>
          <w:rFonts w:ascii="Arial" w:hAnsi="Arial" w:cs="Arial"/>
          <w:sz w:val="22"/>
          <w:szCs w:val="22"/>
        </w:rPr>
        <w:t xml:space="preserve"> </w:t>
      </w:r>
      <w:r w:rsidR="000D0744" w:rsidRPr="00693900">
        <w:rPr>
          <w:rFonts w:ascii="Arial" w:hAnsi="Arial" w:cs="Arial"/>
          <w:sz w:val="22"/>
          <w:szCs w:val="22"/>
        </w:rPr>
        <w:t>that contains aspartame</w:t>
      </w:r>
      <w:r w:rsidR="00F9063B" w:rsidRPr="00693900">
        <w:rPr>
          <w:rFonts w:ascii="Arial" w:hAnsi="Arial" w:cs="Arial"/>
          <w:sz w:val="22"/>
          <w:szCs w:val="22"/>
        </w:rPr>
        <w:t>)</w:t>
      </w:r>
      <w:r w:rsidR="00F9063B">
        <w:rPr>
          <w:rFonts w:ascii="Arial" w:hAnsi="Arial" w:cs="Arial"/>
          <w:sz w:val="22"/>
          <w:szCs w:val="22"/>
        </w:rPr>
        <w:t xml:space="preserve">, cospovidone, </w:t>
      </w:r>
      <w:r w:rsidR="00073032">
        <w:rPr>
          <w:rFonts w:ascii="Arial" w:hAnsi="Arial" w:cs="Arial"/>
          <w:sz w:val="22"/>
          <w:szCs w:val="22"/>
        </w:rPr>
        <w:t>magnesium stearate, sodium stearyl</w:t>
      </w:r>
      <w:r w:rsidR="00584E54">
        <w:rPr>
          <w:rFonts w:ascii="Arial" w:hAnsi="Arial" w:cs="Arial"/>
          <w:sz w:val="22"/>
          <w:szCs w:val="22"/>
        </w:rPr>
        <w:t xml:space="preserve"> </w:t>
      </w:r>
      <w:r w:rsidR="00073032">
        <w:rPr>
          <w:rFonts w:ascii="Arial" w:hAnsi="Arial" w:cs="Arial"/>
          <w:sz w:val="22"/>
          <w:szCs w:val="22"/>
        </w:rPr>
        <w:t>fumarate</w:t>
      </w:r>
      <w:r w:rsidR="00F9063B">
        <w:rPr>
          <w:rFonts w:ascii="Arial" w:hAnsi="Arial" w:cs="Arial"/>
          <w:sz w:val="22"/>
          <w:szCs w:val="22"/>
        </w:rPr>
        <w:t>, ethylcellulose 20 cP, ammonium hydroxide, medium chain triglycerides, oleic acid</w:t>
      </w:r>
      <w:r w:rsidR="00073032">
        <w:rPr>
          <w:rFonts w:ascii="Arial" w:hAnsi="Arial" w:cs="Arial"/>
          <w:sz w:val="22"/>
          <w:szCs w:val="22"/>
        </w:rPr>
        <w:t>,</w:t>
      </w:r>
      <w:r w:rsidR="00F9063B">
        <w:rPr>
          <w:rFonts w:ascii="Arial" w:hAnsi="Arial" w:cs="Arial"/>
          <w:sz w:val="22"/>
          <w:szCs w:val="22"/>
        </w:rPr>
        <w:t xml:space="preserve"> hydroxypropylmethyl cellulose 2910/6cP, macrogol 400.</w:t>
      </w:r>
    </w:p>
    <w:p w:rsidR="00B168B4" w:rsidRPr="00C24699" w:rsidRDefault="00B168B4" w:rsidP="00D35A54">
      <w:pPr>
        <w:pStyle w:val="Heading3"/>
      </w:pPr>
      <w:r w:rsidRPr="00C24699">
        <w:t>PHARMACOLOGY</w:t>
      </w:r>
    </w:p>
    <w:p w:rsidR="000667EC" w:rsidRPr="00AE5ACB" w:rsidRDefault="00AE5ACB" w:rsidP="00B168B4">
      <w:pPr>
        <w:tabs>
          <w:tab w:val="left" w:pos="360"/>
        </w:tabs>
        <w:ind w:right="234"/>
        <w:rPr>
          <w:rFonts w:ascii="Arial" w:hAnsi="Arial" w:cs="Arial"/>
          <w:sz w:val="22"/>
          <w:szCs w:val="22"/>
        </w:rPr>
      </w:pPr>
      <w:r w:rsidRPr="00AE5ACB">
        <w:rPr>
          <w:rFonts w:ascii="Arial" w:hAnsi="Arial" w:cs="Arial"/>
          <w:sz w:val="22"/>
          <w:szCs w:val="22"/>
        </w:rPr>
        <w:t>Mechanism of action:</w:t>
      </w:r>
    </w:p>
    <w:p w:rsidR="000667EC" w:rsidRPr="005B0436" w:rsidRDefault="00AE5ACB" w:rsidP="005B0436">
      <w:pPr>
        <w:jc w:val="both"/>
        <w:rPr>
          <w:rFonts w:ascii="Arial" w:hAnsi="Arial"/>
          <w:sz w:val="22"/>
          <w:szCs w:val="22"/>
        </w:rPr>
      </w:pPr>
      <w:r>
        <w:rPr>
          <w:rFonts w:ascii="Arial" w:hAnsi="Arial"/>
          <w:sz w:val="22"/>
          <w:szCs w:val="22"/>
        </w:rPr>
        <w:t>Raltegravir inhibits the catalytic activity of HIV integrase, an HIV-encoded enzyme that is required for viral replication. Inhibition of integrase prevents the covalent insertion, or integration, of the HIV genome into the host cell genome during the early phase of infection. HIV genomes that fail to integrate cannot direct the production of new infectious viral particles, so inhibiting integration prevents propagation of the viral infection. Raltegravir did not significantly inhibit human phosphoryltransferases including DNA polymerases α, β, and γ.</w:t>
      </w:r>
    </w:p>
    <w:p w:rsidR="00E04034" w:rsidRPr="005B0436" w:rsidRDefault="002F7487" w:rsidP="005B0436">
      <w:pPr>
        <w:pStyle w:val="Heading4"/>
      </w:pPr>
      <w:r w:rsidRPr="005B0436">
        <w:t>Pharmacodynamics:</w:t>
      </w:r>
    </w:p>
    <w:p w:rsidR="002F7487" w:rsidRPr="00E04034" w:rsidRDefault="002F7487" w:rsidP="005B0436">
      <w:pPr>
        <w:pStyle w:val="Heading5"/>
        <w:rPr>
          <w:rFonts w:cs="Arial"/>
          <w:iCs/>
        </w:rPr>
      </w:pPr>
      <w:r w:rsidRPr="00E04034">
        <w:t>Mic</w:t>
      </w:r>
      <w:r w:rsidRPr="005B0436">
        <w:t>robiolo</w:t>
      </w:r>
      <w:r w:rsidRPr="00E04034">
        <w:t>gy</w:t>
      </w:r>
    </w:p>
    <w:p w:rsidR="002F7487" w:rsidRDefault="002F7487" w:rsidP="002F7487">
      <w:pPr>
        <w:jc w:val="both"/>
        <w:rPr>
          <w:rFonts w:ascii="Arial" w:hAnsi="Arial" w:cs="Arial"/>
          <w:sz w:val="22"/>
          <w:szCs w:val="22"/>
        </w:rPr>
      </w:pPr>
      <w:r>
        <w:rPr>
          <w:rFonts w:ascii="Arial" w:hAnsi="Arial" w:cs="Arial"/>
          <w:sz w:val="22"/>
          <w:szCs w:val="22"/>
        </w:rPr>
        <w:t xml:space="preserve">Raltegravir at concentrations of 31 </w:t>
      </w:r>
      <w:r>
        <w:rPr>
          <w:rFonts w:ascii="Arial" w:hAnsi="Arial" w:cs="Arial"/>
          <w:sz w:val="22"/>
          <w:szCs w:val="22"/>
        </w:rPr>
        <w:sym w:font="Symbol" w:char="F0B1"/>
      </w:r>
      <w:r>
        <w:rPr>
          <w:rFonts w:ascii="Arial" w:hAnsi="Arial" w:cs="Arial"/>
          <w:sz w:val="22"/>
          <w:szCs w:val="22"/>
        </w:rPr>
        <w:t xml:space="preserve"> 20 nM resulted in 95% inhibition (IC</w:t>
      </w:r>
      <w:r>
        <w:rPr>
          <w:rFonts w:ascii="Arial" w:hAnsi="Arial" w:cs="Arial"/>
          <w:sz w:val="22"/>
          <w:szCs w:val="22"/>
          <w:vertAlign w:val="subscript"/>
        </w:rPr>
        <w:t>95</w:t>
      </w:r>
      <w:r>
        <w:rPr>
          <w:rFonts w:ascii="Arial" w:hAnsi="Arial" w:cs="Arial"/>
          <w:sz w:val="22"/>
          <w:szCs w:val="22"/>
        </w:rPr>
        <w:t xml:space="preserve">) of viral </w:t>
      </w:r>
      <w:r w:rsidR="001A0C22">
        <w:rPr>
          <w:rFonts w:ascii="Arial" w:hAnsi="Arial" w:cs="Arial"/>
          <w:sz w:val="22"/>
          <w:szCs w:val="22"/>
        </w:rPr>
        <w:t xml:space="preserve"> replication </w:t>
      </w:r>
      <w:r>
        <w:rPr>
          <w:rFonts w:ascii="Arial" w:hAnsi="Arial" w:cs="Arial"/>
          <w:sz w:val="22"/>
          <w:szCs w:val="22"/>
        </w:rPr>
        <w:t xml:space="preserve">(relative to an untreated virus-infected culture) in human T-lymphoid cell cultures infected with the cell-line adapted HIV-1 variant H9IIIB. In addition, raltegravir at concentrations of 6 to 50 nM resulted in 95% inhibition of viral </w:t>
      </w:r>
      <w:r w:rsidR="002A0439">
        <w:rPr>
          <w:rFonts w:ascii="Arial" w:hAnsi="Arial" w:cs="Arial"/>
          <w:sz w:val="22"/>
          <w:szCs w:val="22"/>
        </w:rPr>
        <w:t xml:space="preserve">replication </w:t>
      </w:r>
      <w:r>
        <w:rPr>
          <w:rFonts w:ascii="Arial" w:hAnsi="Arial" w:cs="Arial"/>
          <w:sz w:val="22"/>
          <w:szCs w:val="22"/>
        </w:rPr>
        <w:t xml:space="preserve">in cultures of mitogen-activated human peripheral blood mononuclear cells infected with diverse, primary clinical isolates of HIV-1, including isolates </w:t>
      </w:r>
      <w:r w:rsidR="006A3F48">
        <w:rPr>
          <w:rFonts w:ascii="Arial" w:hAnsi="Arial" w:cs="Arial"/>
          <w:sz w:val="22"/>
          <w:szCs w:val="22"/>
        </w:rPr>
        <w:t xml:space="preserve">from 5 non-B subtypes, and isolates </w:t>
      </w:r>
      <w:r>
        <w:rPr>
          <w:rFonts w:ascii="Arial" w:hAnsi="Arial" w:cs="Arial"/>
          <w:sz w:val="22"/>
          <w:szCs w:val="22"/>
        </w:rPr>
        <w:t xml:space="preserve">resistant to reverse transcriptase inhibitors and protease inhibitors. </w:t>
      </w:r>
      <w:r w:rsidR="006A3F48">
        <w:rPr>
          <w:rFonts w:ascii="Arial" w:hAnsi="Arial" w:cs="Arial"/>
          <w:sz w:val="22"/>
          <w:szCs w:val="22"/>
        </w:rPr>
        <w:t>In a single-cycle infection assay, raltegravir inhibited infection of 23 HIV isolates representing 5 non-B subtypes and 5 circulating recombinant forms with IC</w:t>
      </w:r>
      <w:r w:rsidR="006A3F48" w:rsidRPr="00CD3004">
        <w:rPr>
          <w:rFonts w:ascii="Arial" w:hAnsi="Arial" w:cs="Arial"/>
          <w:sz w:val="22"/>
          <w:szCs w:val="22"/>
          <w:vertAlign w:val="subscript"/>
        </w:rPr>
        <w:t>50</w:t>
      </w:r>
      <w:r w:rsidR="006A3F48">
        <w:rPr>
          <w:rFonts w:ascii="Arial" w:hAnsi="Arial" w:cs="Arial"/>
          <w:sz w:val="22"/>
          <w:szCs w:val="22"/>
        </w:rPr>
        <w:t xml:space="preserve"> values ranging from 5 to 12 nM. </w:t>
      </w:r>
      <w:r>
        <w:rPr>
          <w:rFonts w:ascii="Arial" w:hAnsi="Arial" w:cs="Arial"/>
          <w:sz w:val="22"/>
          <w:szCs w:val="22"/>
        </w:rPr>
        <w:t>Raltegravir also inhibited replication of an HIV-2 isolate when tested in CEMx174 cells (IC</w:t>
      </w:r>
      <w:r>
        <w:rPr>
          <w:rFonts w:ascii="Arial" w:hAnsi="Arial" w:cs="Arial"/>
          <w:sz w:val="22"/>
          <w:szCs w:val="22"/>
          <w:vertAlign w:val="subscript"/>
        </w:rPr>
        <w:t>95</w:t>
      </w:r>
      <w:r>
        <w:rPr>
          <w:rFonts w:ascii="Arial" w:hAnsi="Arial" w:cs="Arial"/>
          <w:sz w:val="22"/>
          <w:szCs w:val="22"/>
        </w:rPr>
        <w:t xml:space="preserve"> = 6 nM). Additive to synergistic antiretroviral activity was observed when human T-lymphoid cells infected with the H9IIIB variant of HIV-1 were incubated with raltegravir in combination with nucleoside analog reverse transcriptase inhibitors (zidovudine, zalcitabine, stavudine, abacavir, </w:t>
      </w:r>
      <w:r>
        <w:rPr>
          <w:rFonts w:ascii="Arial" w:hAnsi="Arial" w:cs="Arial"/>
          <w:sz w:val="22"/>
          <w:szCs w:val="22"/>
        </w:rPr>
        <w:lastRenderedPageBreak/>
        <w:t xml:space="preserve">tenofovir, didanosine, or lamivudine); non-nucleoside reverse transcriptase inhibitors (efavirenz, nevirapine, or delavirdine); protease inhibitors (indinavir, saquinavir, ritonavir, amprenavir, lopinavir, nelfinavir, or atazanavir); or the entry inhibitor enfuvirtide. </w:t>
      </w:r>
    </w:p>
    <w:p w:rsidR="002F7487" w:rsidRPr="00E04034" w:rsidRDefault="002F7487" w:rsidP="005B0436">
      <w:pPr>
        <w:pStyle w:val="Heading5"/>
      </w:pPr>
      <w:r w:rsidRPr="00E04034">
        <w:t>Drug Resistance</w:t>
      </w:r>
    </w:p>
    <w:p w:rsidR="002F7487" w:rsidRPr="0026785A" w:rsidRDefault="002F7487" w:rsidP="005B0436">
      <w:pPr>
        <w:rPr>
          <w:rFonts w:ascii="Arial" w:hAnsi="Arial" w:cs="Arial"/>
          <w:bCs/>
          <w:sz w:val="22"/>
          <w:szCs w:val="22"/>
        </w:rPr>
      </w:pPr>
      <w:r w:rsidRPr="0026785A">
        <w:rPr>
          <w:rFonts w:ascii="Arial" w:hAnsi="Arial" w:cs="Arial"/>
          <w:sz w:val="22"/>
          <w:szCs w:val="22"/>
        </w:rPr>
        <w:t xml:space="preserve">The mutations observed in HIV-1 integrase that contributed to </w:t>
      </w:r>
      <w:r w:rsidRPr="005B33AB">
        <w:rPr>
          <w:rFonts w:ascii="Arial" w:hAnsi="Arial" w:cs="Arial"/>
          <w:sz w:val="22"/>
          <w:szCs w:val="22"/>
        </w:rPr>
        <w:t xml:space="preserve">raltegravir resistance (evolved either </w:t>
      </w:r>
      <w:r w:rsidRPr="005B33AB">
        <w:rPr>
          <w:rFonts w:ascii="Arial" w:hAnsi="Arial" w:cs="Arial"/>
          <w:i/>
          <w:iCs/>
          <w:sz w:val="22"/>
          <w:szCs w:val="22"/>
        </w:rPr>
        <w:t>in vitro</w:t>
      </w:r>
      <w:r w:rsidRPr="005B33AB">
        <w:rPr>
          <w:rFonts w:ascii="Arial" w:hAnsi="Arial" w:cs="Arial"/>
          <w:sz w:val="22"/>
          <w:szCs w:val="22"/>
        </w:rPr>
        <w:t xml:space="preserve"> or in patients treated with raltegravir)</w:t>
      </w:r>
      <w:r w:rsidRPr="0026785A">
        <w:rPr>
          <w:rFonts w:ascii="Arial" w:hAnsi="Arial" w:cs="Arial"/>
          <w:sz w:val="22"/>
          <w:szCs w:val="22"/>
        </w:rPr>
        <w:t xml:space="preserve"> generally included a </w:t>
      </w:r>
      <w:r w:rsidRPr="0026785A">
        <w:rPr>
          <w:rFonts w:ascii="Arial" w:hAnsi="Arial" w:cs="Arial"/>
          <w:bCs/>
          <w:sz w:val="22"/>
          <w:szCs w:val="22"/>
        </w:rPr>
        <w:t xml:space="preserve">substitution at either </w:t>
      </w:r>
      <w:r w:rsidR="00700DB7">
        <w:rPr>
          <w:rFonts w:ascii="Arial" w:hAnsi="Arial" w:cs="Arial"/>
          <w:bCs/>
          <w:sz w:val="22"/>
          <w:szCs w:val="22"/>
        </w:rPr>
        <w:t xml:space="preserve">Y143 (changed to C, H or R) or </w:t>
      </w:r>
      <w:r w:rsidRPr="0026785A">
        <w:rPr>
          <w:rFonts w:ascii="Arial" w:hAnsi="Arial" w:cs="Arial"/>
          <w:bCs/>
          <w:sz w:val="22"/>
          <w:szCs w:val="22"/>
        </w:rPr>
        <w:t xml:space="preserve">Q148 (changed to H, K, or R) or N155 (changed to H) plus one or more additional </w:t>
      </w:r>
      <w:r w:rsidRPr="00821B0F">
        <w:rPr>
          <w:rFonts w:ascii="Arial" w:hAnsi="Arial" w:cs="Arial"/>
          <w:bCs/>
          <w:sz w:val="22"/>
          <w:szCs w:val="22"/>
        </w:rPr>
        <w:t>mutation</w:t>
      </w:r>
      <w:r w:rsidRPr="0005775E">
        <w:rPr>
          <w:rFonts w:ascii="Arial" w:hAnsi="Arial" w:cs="Arial"/>
          <w:bCs/>
          <w:sz w:val="22"/>
          <w:szCs w:val="22"/>
        </w:rPr>
        <w:t>s</w:t>
      </w:r>
      <w:r w:rsidRPr="0026785A">
        <w:rPr>
          <w:rFonts w:ascii="Arial" w:hAnsi="Arial" w:cs="Arial"/>
          <w:bCs/>
          <w:sz w:val="22"/>
          <w:szCs w:val="22"/>
        </w:rPr>
        <w:t xml:space="preserve"> (e.g., L74I/M, E92Q,</w:t>
      </w:r>
      <w:r>
        <w:rPr>
          <w:rFonts w:ascii="Arial" w:hAnsi="Arial" w:cs="Arial"/>
          <w:bCs/>
          <w:sz w:val="22"/>
          <w:szCs w:val="22"/>
        </w:rPr>
        <w:t xml:space="preserve"> </w:t>
      </w:r>
      <w:r w:rsidRPr="0026785A">
        <w:rPr>
          <w:rFonts w:ascii="Arial" w:hAnsi="Arial" w:cs="Arial"/>
          <w:bCs/>
          <w:sz w:val="22"/>
          <w:szCs w:val="22"/>
        </w:rPr>
        <w:t>E138A/K, G140A/S, or V151I).</w:t>
      </w:r>
    </w:p>
    <w:p w:rsidR="00E04034" w:rsidRDefault="002F7487" w:rsidP="002F7487">
      <w:pPr>
        <w:jc w:val="both"/>
        <w:rPr>
          <w:rFonts w:ascii="Arial" w:hAnsi="Arial" w:cs="Arial"/>
          <w:sz w:val="22"/>
          <w:szCs w:val="22"/>
        </w:rPr>
      </w:pPr>
      <w:r w:rsidRPr="0026785A">
        <w:rPr>
          <w:rFonts w:ascii="Arial" w:hAnsi="Arial" w:cs="Arial"/>
          <w:bCs/>
          <w:sz w:val="22"/>
          <w:szCs w:val="22"/>
        </w:rPr>
        <w:t xml:space="preserve">Recombinant viruses containing a single primary mutation (Q148H, K or R, or N155H) displayed decreased replication capacity and reduced susceptibility to </w:t>
      </w:r>
      <w:r w:rsidRPr="005B33AB">
        <w:rPr>
          <w:rFonts w:ascii="Arial" w:hAnsi="Arial" w:cs="Arial"/>
          <w:sz w:val="22"/>
          <w:szCs w:val="22"/>
        </w:rPr>
        <w:t xml:space="preserve">raltegravir </w:t>
      </w:r>
      <w:r w:rsidRPr="005B33AB">
        <w:rPr>
          <w:rFonts w:ascii="Arial" w:hAnsi="Arial" w:cs="Arial"/>
          <w:i/>
          <w:iCs/>
          <w:sz w:val="22"/>
          <w:szCs w:val="22"/>
        </w:rPr>
        <w:t>in vitro</w:t>
      </w:r>
      <w:r w:rsidRPr="005B33AB">
        <w:rPr>
          <w:rFonts w:ascii="Arial" w:hAnsi="Arial" w:cs="Arial"/>
          <w:bCs/>
          <w:sz w:val="22"/>
          <w:szCs w:val="22"/>
        </w:rPr>
        <w:t>.</w:t>
      </w:r>
      <w:r>
        <w:rPr>
          <w:rFonts w:ascii="Arial" w:hAnsi="Arial" w:cs="Arial"/>
          <w:bCs/>
          <w:sz w:val="22"/>
          <w:szCs w:val="22"/>
        </w:rPr>
        <w:t xml:space="preserve"> </w:t>
      </w:r>
      <w:r w:rsidRPr="005B33AB">
        <w:rPr>
          <w:rFonts w:ascii="Arial" w:hAnsi="Arial" w:cs="Arial"/>
          <w:bCs/>
          <w:sz w:val="22"/>
          <w:szCs w:val="22"/>
        </w:rPr>
        <w:t xml:space="preserve">Secondary mutations </w:t>
      </w:r>
      <w:r w:rsidR="003715A4" w:rsidRPr="00A410DB">
        <w:rPr>
          <w:rFonts w:ascii="Arial" w:hAnsi="Arial" w:cs="Arial"/>
          <w:sz w:val="22"/>
          <w:szCs w:val="22"/>
        </w:rPr>
        <w:t>further decrease susceptibility to raltegravir and sometimes acted as compensatory mutations for viral replication capacity</w:t>
      </w:r>
      <w:r w:rsidR="003715A4">
        <w:rPr>
          <w:rFonts w:ascii="Arial" w:hAnsi="Arial" w:cs="Arial"/>
          <w:sz w:val="22"/>
          <w:szCs w:val="22"/>
        </w:rPr>
        <w:t>.</w:t>
      </w:r>
      <w:r w:rsidR="002A0439" w:rsidRPr="002A0439">
        <w:rPr>
          <w:rFonts w:ascii="Arial" w:hAnsi="Arial" w:cs="Arial"/>
          <w:sz w:val="22"/>
          <w:szCs w:val="22"/>
        </w:rPr>
        <w:t xml:space="preserve"> </w:t>
      </w:r>
      <w:r w:rsidR="002A0439">
        <w:rPr>
          <w:rFonts w:ascii="Arial" w:hAnsi="Arial" w:cs="Arial"/>
          <w:sz w:val="22"/>
          <w:szCs w:val="22"/>
        </w:rPr>
        <w:t>I</w:t>
      </w:r>
      <w:r w:rsidR="002A0439" w:rsidRPr="009E5749">
        <w:rPr>
          <w:rFonts w:ascii="Arial" w:hAnsi="Arial" w:cs="Arial"/>
          <w:sz w:val="22"/>
          <w:szCs w:val="22"/>
        </w:rPr>
        <w:t xml:space="preserve">n phase 3 studies, integrase genotype data were obtained from about half of the patients experiencing virologic failure by 16 weeks while taking raltegravir.  Viruses isolated from the majority of these patients had a signature raltegravir resistance mutation (N155H or Q148H, K, or R) along with one or more additional integrase mutations conferring higher-level raltegravir resistance.  </w:t>
      </w:r>
    </w:p>
    <w:p w:rsidR="00E04034" w:rsidRPr="007B65C7" w:rsidRDefault="00E04034" w:rsidP="005B0436">
      <w:pPr>
        <w:pStyle w:val="Heading5"/>
      </w:pPr>
      <w:r>
        <w:t>Cardiac Electrophysiology:</w:t>
      </w:r>
    </w:p>
    <w:p w:rsidR="00EF2E0B" w:rsidRDefault="00E04034" w:rsidP="00E04034">
      <w:pPr>
        <w:autoSpaceDE w:val="0"/>
        <w:autoSpaceDN w:val="0"/>
        <w:adjustRightInd w:val="0"/>
        <w:jc w:val="both"/>
        <w:rPr>
          <w:rFonts w:ascii="Arial" w:hAnsi="Arial" w:cs="Arial"/>
          <w:sz w:val="22"/>
          <w:szCs w:val="22"/>
        </w:rPr>
      </w:pPr>
      <w:r>
        <w:rPr>
          <w:rFonts w:ascii="Arial" w:hAnsi="Arial" w:cs="Arial"/>
          <w:sz w:val="22"/>
          <w:szCs w:val="22"/>
        </w:rPr>
        <w:t xml:space="preserve">In a randomized, placebo-controlled, crossover study, 31 healthy </w:t>
      </w:r>
      <w:r w:rsidR="006927BF">
        <w:rPr>
          <w:rFonts w:ascii="Arial" w:hAnsi="Arial" w:cs="Arial"/>
          <w:sz w:val="22"/>
          <w:szCs w:val="22"/>
        </w:rPr>
        <w:t>individuals</w:t>
      </w:r>
      <w:r>
        <w:rPr>
          <w:rFonts w:ascii="Arial" w:hAnsi="Arial" w:cs="Arial"/>
          <w:sz w:val="22"/>
          <w:szCs w:val="22"/>
        </w:rPr>
        <w:t xml:space="preserve"> were administered a single oral supratherapeutic dose of raltegravir 1600 mg and placebo. There was no effect on the QTc interval. Peak raltegravir plasma concentrations </w:t>
      </w:r>
    </w:p>
    <w:p w:rsidR="00E04034" w:rsidRDefault="00E04034" w:rsidP="00E04034">
      <w:pPr>
        <w:autoSpaceDE w:val="0"/>
        <w:autoSpaceDN w:val="0"/>
        <w:adjustRightInd w:val="0"/>
        <w:jc w:val="both"/>
        <w:rPr>
          <w:rFonts w:ascii="Arial" w:hAnsi="Arial" w:cs="Arial"/>
          <w:sz w:val="22"/>
          <w:szCs w:val="22"/>
        </w:rPr>
      </w:pPr>
      <w:r>
        <w:rPr>
          <w:rFonts w:ascii="Arial" w:hAnsi="Arial" w:cs="Arial"/>
          <w:sz w:val="22"/>
          <w:szCs w:val="22"/>
        </w:rPr>
        <w:t>were approximately 4-fold higher than the peak concentrations following a 400-mg dose.</w:t>
      </w:r>
    </w:p>
    <w:p w:rsidR="00073032" w:rsidRPr="005B0436" w:rsidRDefault="00AE5ACB" w:rsidP="00A3282B">
      <w:pPr>
        <w:pStyle w:val="Heading4"/>
      </w:pPr>
      <w:r w:rsidRPr="00E04034">
        <w:t>Pharmacokinetics:</w:t>
      </w:r>
    </w:p>
    <w:p w:rsidR="00AE5ACB" w:rsidRPr="002F7487" w:rsidRDefault="00AE5ACB" w:rsidP="00A3282B">
      <w:pPr>
        <w:pStyle w:val="Heading5"/>
      </w:pPr>
      <w:r w:rsidRPr="002F7487">
        <w:t>Absorbtion</w:t>
      </w:r>
      <w:r w:rsidR="002F29D8">
        <w:t xml:space="preserve"> - Adults</w:t>
      </w:r>
    </w:p>
    <w:p w:rsidR="001506E4" w:rsidRDefault="002F7487" w:rsidP="002F7487">
      <w:pPr>
        <w:jc w:val="both"/>
        <w:rPr>
          <w:rFonts w:ascii="Arial" w:hAnsi="Arial" w:cs="Arial"/>
          <w:sz w:val="22"/>
          <w:szCs w:val="22"/>
        </w:rPr>
      </w:pPr>
      <w:r>
        <w:rPr>
          <w:rFonts w:ascii="Arial" w:hAnsi="Arial" w:cs="Arial"/>
          <w:sz w:val="22"/>
          <w:szCs w:val="22"/>
        </w:rPr>
        <w:t>Raltegravir is rapidly absorbed with a T</w:t>
      </w:r>
      <w:r>
        <w:rPr>
          <w:rFonts w:ascii="Arial" w:hAnsi="Arial" w:cs="Arial"/>
          <w:sz w:val="22"/>
          <w:szCs w:val="22"/>
          <w:vertAlign w:val="subscript"/>
        </w:rPr>
        <w:t xml:space="preserve">max </w:t>
      </w:r>
      <w:r>
        <w:rPr>
          <w:rFonts w:ascii="Arial" w:hAnsi="Arial" w:cs="Arial"/>
          <w:sz w:val="22"/>
          <w:szCs w:val="22"/>
        </w:rPr>
        <w:t xml:space="preserve">of approximately 3 hours postdose in the fasted state. </w:t>
      </w:r>
      <w:r>
        <w:rPr>
          <w:rFonts w:ascii="Arial" w:hAnsi="Arial" w:cs="Arial"/>
          <w:bCs/>
          <w:iCs/>
          <w:sz w:val="22"/>
          <w:szCs w:val="22"/>
        </w:rPr>
        <w:t>Raltegravir</w:t>
      </w:r>
      <w:r w:rsidDel="008E3AD7">
        <w:rPr>
          <w:rFonts w:ascii="Arial" w:hAnsi="Arial" w:cs="Arial"/>
          <w:bCs/>
          <w:iCs/>
          <w:sz w:val="22"/>
          <w:szCs w:val="22"/>
        </w:rPr>
        <w:t xml:space="preserve"> </w:t>
      </w:r>
      <w:r>
        <w:rPr>
          <w:rFonts w:ascii="Arial" w:hAnsi="Arial" w:cs="Arial"/>
          <w:sz w:val="22"/>
          <w:szCs w:val="22"/>
        </w:rPr>
        <w:t>AUC and C</w:t>
      </w:r>
      <w:r>
        <w:rPr>
          <w:rFonts w:ascii="Arial" w:hAnsi="Arial" w:cs="Arial"/>
          <w:sz w:val="22"/>
          <w:szCs w:val="22"/>
          <w:vertAlign w:val="subscript"/>
        </w:rPr>
        <w:t>max</w:t>
      </w:r>
      <w:r>
        <w:rPr>
          <w:rFonts w:ascii="Arial" w:hAnsi="Arial" w:cs="Arial"/>
          <w:sz w:val="22"/>
          <w:szCs w:val="22"/>
        </w:rPr>
        <w:t xml:space="preserve"> increase dose proportionally over the dose range 100 mg to 1600 mg. Raltegravir C</w:t>
      </w:r>
      <w:r>
        <w:rPr>
          <w:rFonts w:ascii="Arial" w:hAnsi="Arial" w:cs="Arial"/>
          <w:sz w:val="22"/>
          <w:szCs w:val="22"/>
          <w:vertAlign w:val="subscript"/>
        </w:rPr>
        <w:t>12hr</w:t>
      </w:r>
      <w:r>
        <w:rPr>
          <w:rFonts w:ascii="Arial" w:hAnsi="Arial" w:cs="Arial"/>
          <w:sz w:val="22"/>
          <w:szCs w:val="22"/>
        </w:rPr>
        <w:t xml:space="preserve"> increases dose proportionally over the dose range of 100 to 800 mg and increases slightly less than dose proportionally over the dose range 100 mg to 1600 mg. With twice-daily dosing, pharmacokinetic steady state is achieved rapidly, within approximately the first 2 days of dosing. There is little to no accumulation in AUC and C</w:t>
      </w:r>
      <w:r>
        <w:rPr>
          <w:rFonts w:ascii="Arial" w:hAnsi="Arial" w:cs="Arial"/>
          <w:sz w:val="22"/>
          <w:szCs w:val="22"/>
          <w:vertAlign w:val="subscript"/>
        </w:rPr>
        <w:t>max</w:t>
      </w:r>
      <w:r>
        <w:rPr>
          <w:rFonts w:ascii="Arial" w:hAnsi="Arial" w:cs="Arial"/>
          <w:sz w:val="22"/>
          <w:szCs w:val="22"/>
        </w:rPr>
        <w:t xml:space="preserve"> and evidence of slight accumulation in C</w:t>
      </w:r>
      <w:r>
        <w:rPr>
          <w:rFonts w:ascii="Arial" w:hAnsi="Arial" w:cs="Arial"/>
          <w:sz w:val="22"/>
          <w:szCs w:val="22"/>
          <w:vertAlign w:val="subscript"/>
        </w:rPr>
        <w:t>12hr</w:t>
      </w:r>
      <w:r>
        <w:rPr>
          <w:rFonts w:ascii="Arial" w:hAnsi="Arial" w:cs="Arial"/>
          <w:sz w:val="22"/>
          <w:szCs w:val="22"/>
        </w:rPr>
        <w:t>. The absolute bioavailability of raltegravir has not been established</w:t>
      </w:r>
      <w:r w:rsidR="001506E4">
        <w:rPr>
          <w:rFonts w:ascii="Arial" w:hAnsi="Arial" w:cs="Arial"/>
          <w:sz w:val="22"/>
          <w:szCs w:val="22"/>
        </w:rPr>
        <w:t>.</w:t>
      </w:r>
    </w:p>
    <w:p w:rsidR="002F7487" w:rsidRPr="00A3282B" w:rsidRDefault="002F7487" w:rsidP="00A3282B">
      <w:pPr>
        <w:jc w:val="both"/>
        <w:rPr>
          <w:rFonts w:ascii="Arial" w:hAnsi="Arial" w:cs="Arial"/>
          <w:sz w:val="22"/>
          <w:szCs w:val="22"/>
        </w:rPr>
      </w:pPr>
      <w:r>
        <w:rPr>
          <w:rFonts w:ascii="Arial" w:hAnsi="Arial" w:cs="Arial"/>
          <w:sz w:val="22"/>
          <w:szCs w:val="22"/>
        </w:rPr>
        <w:t>In patients on 400 mg twice daily monotherapy, raltegravir drug exposures were characterized by a geometric mean AUC</w:t>
      </w:r>
      <w:r w:rsidRPr="00697E95">
        <w:rPr>
          <w:rFonts w:ascii="Arial" w:hAnsi="Arial" w:cs="Arial"/>
          <w:sz w:val="22"/>
          <w:szCs w:val="22"/>
          <w:vertAlign w:val="subscript"/>
        </w:rPr>
        <w:t>0-12hr</w:t>
      </w:r>
      <w:r>
        <w:rPr>
          <w:rFonts w:ascii="Arial" w:hAnsi="Arial" w:cs="Arial"/>
          <w:sz w:val="22"/>
          <w:szCs w:val="22"/>
        </w:rPr>
        <w:t xml:space="preserve"> of 14.3 </w:t>
      </w:r>
      <w:r>
        <w:rPr>
          <w:rFonts w:ascii="Arial" w:hAnsi="Arial" w:cs="Arial"/>
          <w:sz w:val="22"/>
          <w:szCs w:val="22"/>
        </w:rPr>
        <w:sym w:font="Symbol" w:char="F06D"/>
      </w:r>
      <w:r>
        <w:rPr>
          <w:rFonts w:ascii="Arial" w:hAnsi="Arial" w:cs="Arial"/>
          <w:sz w:val="22"/>
          <w:szCs w:val="22"/>
        </w:rPr>
        <w:t>M●hr and C</w:t>
      </w:r>
      <w:r w:rsidRPr="00697E95">
        <w:rPr>
          <w:rFonts w:ascii="Arial" w:hAnsi="Arial" w:cs="Arial"/>
          <w:sz w:val="22"/>
          <w:szCs w:val="22"/>
          <w:vertAlign w:val="subscript"/>
        </w:rPr>
        <w:t>12hr</w:t>
      </w:r>
      <w:r>
        <w:rPr>
          <w:rFonts w:ascii="Arial" w:hAnsi="Arial" w:cs="Arial"/>
          <w:sz w:val="22"/>
          <w:szCs w:val="22"/>
        </w:rPr>
        <w:t xml:space="preserve"> of 142 </w:t>
      </w:r>
      <w:r w:rsidRPr="005A0C5A">
        <w:rPr>
          <w:rFonts w:ascii="Arial" w:hAnsi="Arial" w:cs="Arial"/>
          <w:sz w:val="22"/>
          <w:szCs w:val="22"/>
        </w:rPr>
        <w:t>n</w:t>
      </w:r>
      <w:r>
        <w:rPr>
          <w:rFonts w:ascii="Arial" w:hAnsi="Arial" w:cs="Arial"/>
          <w:sz w:val="22"/>
          <w:szCs w:val="22"/>
        </w:rPr>
        <w:t>M.</w:t>
      </w:r>
    </w:p>
    <w:p w:rsidR="002F7487" w:rsidRPr="007B65C7" w:rsidRDefault="002F7487" w:rsidP="00A3282B">
      <w:pPr>
        <w:pStyle w:val="Heading5"/>
      </w:pPr>
      <w:r w:rsidRPr="007B65C7">
        <w:t>Effect of Food on Oral Absorption</w:t>
      </w:r>
    </w:p>
    <w:p w:rsidR="004F2E0E" w:rsidRPr="004936B0" w:rsidRDefault="004F2E0E" w:rsidP="004F2E0E">
      <w:pPr>
        <w:rPr>
          <w:rFonts w:ascii="Arial" w:hAnsi="Arial" w:cs="Arial"/>
          <w:sz w:val="22"/>
          <w:szCs w:val="22"/>
        </w:rPr>
      </w:pPr>
      <w:r w:rsidRPr="004936B0">
        <w:rPr>
          <w:rFonts w:ascii="Arial" w:hAnsi="Arial" w:cs="Arial"/>
          <w:sz w:val="22"/>
          <w:szCs w:val="22"/>
        </w:rPr>
        <w:t xml:space="preserve">Raltegravir was administered without regard to food in the pivotal safety and efficacy studies in HIV-infected patients. The effect of consumption of low-, moderate- and </w:t>
      </w:r>
      <w:r w:rsidRPr="004936B0">
        <w:rPr>
          <w:rFonts w:ascii="Arial" w:hAnsi="Arial" w:cs="Arial"/>
          <w:sz w:val="22"/>
          <w:szCs w:val="22"/>
        </w:rPr>
        <w:lastRenderedPageBreak/>
        <w:t>high-fat meals on steady-state raltegravir pharmacokinetics was assessed in healthy volunteers. Administration of multiple doses of raltegravir following a moderate-fat meal did not affect raltegravir AUC to a clinically meaningful degree with an increase of 13% relative to fasting. Raltegravir C</w:t>
      </w:r>
      <w:r w:rsidRPr="004936B0">
        <w:rPr>
          <w:rFonts w:ascii="Arial" w:hAnsi="Arial" w:cs="Arial"/>
          <w:sz w:val="22"/>
          <w:szCs w:val="22"/>
          <w:vertAlign w:val="subscript"/>
        </w:rPr>
        <w:t>12 hr</w:t>
      </w:r>
      <w:r w:rsidRPr="004936B0">
        <w:rPr>
          <w:rFonts w:ascii="Arial" w:hAnsi="Arial" w:cs="Arial"/>
          <w:sz w:val="22"/>
          <w:szCs w:val="22"/>
        </w:rPr>
        <w:t xml:space="preserve"> was 66% higher and C</w:t>
      </w:r>
      <w:r w:rsidRPr="004936B0">
        <w:rPr>
          <w:rFonts w:ascii="Arial" w:hAnsi="Arial" w:cs="Arial"/>
          <w:sz w:val="22"/>
          <w:szCs w:val="22"/>
          <w:vertAlign w:val="subscript"/>
        </w:rPr>
        <w:t>max</w:t>
      </w:r>
      <w:r w:rsidRPr="004936B0">
        <w:rPr>
          <w:rFonts w:ascii="Arial" w:hAnsi="Arial" w:cs="Arial"/>
          <w:sz w:val="22"/>
          <w:szCs w:val="22"/>
        </w:rPr>
        <w:t xml:space="preserve"> was 5% higher following a moderate-fat meal compared to fasting. Administration of raltegravir following a high-fat meal increased AUC and C</w:t>
      </w:r>
      <w:r w:rsidRPr="004936B0">
        <w:rPr>
          <w:rFonts w:ascii="Arial" w:hAnsi="Arial" w:cs="Arial"/>
          <w:sz w:val="22"/>
          <w:szCs w:val="22"/>
          <w:vertAlign w:val="subscript"/>
        </w:rPr>
        <w:t>max</w:t>
      </w:r>
      <w:r w:rsidRPr="004936B0">
        <w:rPr>
          <w:rFonts w:ascii="Arial" w:hAnsi="Arial" w:cs="Arial"/>
          <w:sz w:val="22"/>
          <w:szCs w:val="22"/>
        </w:rPr>
        <w:t xml:space="preserve"> by approximately 2-fold and increased C</w:t>
      </w:r>
      <w:r w:rsidRPr="004936B0">
        <w:rPr>
          <w:rFonts w:ascii="Arial" w:hAnsi="Arial" w:cs="Arial"/>
          <w:sz w:val="22"/>
          <w:szCs w:val="22"/>
          <w:vertAlign w:val="subscript"/>
        </w:rPr>
        <w:t>12 hr</w:t>
      </w:r>
      <w:r w:rsidRPr="004936B0">
        <w:rPr>
          <w:rFonts w:ascii="Arial" w:hAnsi="Arial" w:cs="Arial"/>
          <w:sz w:val="22"/>
          <w:szCs w:val="22"/>
        </w:rPr>
        <w:t xml:space="preserve"> by 4.1-fold. Administration of raltegravir following a low-fat meal decreased AUC and C</w:t>
      </w:r>
      <w:r w:rsidRPr="004936B0">
        <w:rPr>
          <w:rFonts w:ascii="Arial" w:hAnsi="Arial" w:cs="Arial"/>
          <w:sz w:val="22"/>
          <w:szCs w:val="22"/>
          <w:vertAlign w:val="subscript"/>
        </w:rPr>
        <w:t>max</w:t>
      </w:r>
      <w:r w:rsidRPr="004936B0">
        <w:rPr>
          <w:rFonts w:ascii="Arial" w:hAnsi="Arial" w:cs="Arial"/>
          <w:sz w:val="22"/>
          <w:szCs w:val="22"/>
        </w:rPr>
        <w:t xml:space="preserve"> by 46% and 52%, respectively; C</w:t>
      </w:r>
      <w:r w:rsidRPr="004936B0">
        <w:rPr>
          <w:rFonts w:ascii="Arial" w:hAnsi="Arial" w:cs="Arial"/>
          <w:sz w:val="22"/>
          <w:szCs w:val="22"/>
          <w:vertAlign w:val="subscript"/>
        </w:rPr>
        <w:t>12 hr</w:t>
      </w:r>
      <w:r w:rsidRPr="004936B0">
        <w:rPr>
          <w:rFonts w:ascii="Arial" w:hAnsi="Arial" w:cs="Arial"/>
          <w:sz w:val="22"/>
          <w:szCs w:val="22"/>
        </w:rPr>
        <w:t xml:space="preserve"> was essentially unchanged. Food appears to increase pharmacokinetic variability relative to fasting.</w:t>
      </w:r>
    </w:p>
    <w:p w:rsidR="002F7487" w:rsidRPr="002F7487" w:rsidRDefault="002F7487" w:rsidP="00A3282B">
      <w:pPr>
        <w:pStyle w:val="Heading5"/>
      </w:pPr>
      <w:r w:rsidRPr="002F7487">
        <w:t>Distribution</w:t>
      </w:r>
      <w:r w:rsidR="002F29D8">
        <w:t xml:space="preserve"> - Adults</w:t>
      </w:r>
    </w:p>
    <w:p w:rsidR="002F7487" w:rsidRDefault="002F7487" w:rsidP="002F7487">
      <w:pPr>
        <w:jc w:val="both"/>
        <w:rPr>
          <w:rFonts w:ascii="Arial" w:hAnsi="Arial" w:cs="Arial"/>
          <w:sz w:val="22"/>
          <w:szCs w:val="22"/>
        </w:rPr>
      </w:pPr>
      <w:r>
        <w:rPr>
          <w:rFonts w:ascii="Arial" w:hAnsi="Arial" w:cs="Arial"/>
          <w:sz w:val="22"/>
          <w:szCs w:val="22"/>
        </w:rPr>
        <w:t>Raltegravir is approximately 83% bound to human plasma protein</w:t>
      </w:r>
      <w:r w:rsidR="001A0C22">
        <w:rPr>
          <w:rFonts w:ascii="Arial" w:hAnsi="Arial" w:cs="Arial"/>
          <w:sz w:val="22"/>
          <w:szCs w:val="22"/>
        </w:rPr>
        <w:t xml:space="preserve">s </w:t>
      </w:r>
      <w:r w:rsidR="001A0C22" w:rsidRPr="001A0C22">
        <w:rPr>
          <w:rFonts w:ascii="Arial" w:hAnsi="Arial" w:cs="Arial"/>
          <w:i/>
          <w:sz w:val="22"/>
          <w:szCs w:val="22"/>
        </w:rPr>
        <w:t>in vitro</w:t>
      </w:r>
      <w:r w:rsidRPr="001A0C22">
        <w:rPr>
          <w:rFonts w:ascii="Arial" w:hAnsi="Arial" w:cs="Arial"/>
          <w:i/>
          <w:sz w:val="22"/>
          <w:szCs w:val="22"/>
        </w:rPr>
        <w:t xml:space="preserve"> </w:t>
      </w:r>
      <w:r>
        <w:rPr>
          <w:rFonts w:ascii="Arial" w:hAnsi="Arial" w:cs="Arial"/>
          <w:sz w:val="22"/>
          <w:szCs w:val="22"/>
        </w:rPr>
        <w:t xml:space="preserve">over the concentration range of 2 to 10 µM. </w:t>
      </w:r>
    </w:p>
    <w:p w:rsidR="002F7487" w:rsidRDefault="002F7487" w:rsidP="002F7487">
      <w:pPr>
        <w:jc w:val="both"/>
        <w:rPr>
          <w:rFonts w:ascii="Arial" w:hAnsi="Arial" w:cs="Arial"/>
          <w:sz w:val="22"/>
          <w:szCs w:val="22"/>
        </w:rPr>
      </w:pPr>
      <w:r>
        <w:rPr>
          <w:rFonts w:ascii="Arial" w:hAnsi="Arial" w:cs="Arial"/>
          <w:sz w:val="22"/>
          <w:szCs w:val="22"/>
        </w:rPr>
        <w:t>Raltegravir readily crossed the placenta in rats, but did not penetrate the brain to any appreciable extent.</w:t>
      </w:r>
    </w:p>
    <w:p w:rsidR="002F7487" w:rsidRPr="002F7487" w:rsidRDefault="002F7487" w:rsidP="00A3282B">
      <w:pPr>
        <w:pStyle w:val="Heading5"/>
      </w:pPr>
      <w:r w:rsidRPr="00A3282B">
        <w:t>Metabolism</w:t>
      </w:r>
      <w:r w:rsidRPr="002F7487">
        <w:t xml:space="preserve"> and excretion</w:t>
      </w:r>
      <w:r w:rsidR="002F29D8">
        <w:t xml:space="preserve"> - Adults</w:t>
      </w:r>
    </w:p>
    <w:p w:rsidR="002F7487" w:rsidRDefault="002A0439" w:rsidP="002F7487">
      <w:pPr>
        <w:jc w:val="both"/>
        <w:rPr>
          <w:rFonts w:ascii="Arial" w:hAnsi="Arial" w:cs="Arial"/>
          <w:bCs/>
          <w:sz w:val="22"/>
          <w:szCs w:val="22"/>
        </w:rPr>
      </w:pPr>
      <w:r w:rsidRPr="002A0439">
        <w:rPr>
          <w:rFonts w:ascii="Arial" w:hAnsi="Arial" w:cs="Arial"/>
          <w:sz w:val="22"/>
          <w:szCs w:val="22"/>
        </w:rPr>
        <w:t xml:space="preserve">The apparent terminal half-life of raltegravir is approximately 9 hours, with a shorter </w:t>
      </w:r>
      <w:r w:rsidRPr="002A0439">
        <w:rPr>
          <w:rFonts w:ascii="Arial" w:hAnsi="Arial" w:cs="Arial"/>
          <w:sz w:val="22"/>
          <w:szCs w:val="22"/>
        </w:rPr>
        <w:sym w:font="Symbol" w:char="F061"/>
      </w:r>
      <w:r w:rsidRPr="002A0439">
        <w:rPr>
          <w:rFonts w:ascii="Arial" w:hAnsi="Arial" w:cs="Arial"/>
          <w:sz w:val="22"/>
          <w:szCs w:val="22"/>
        </w:rPr>
        <w:t>-phase half-life (~1 hour) accounting for much of the AUC</w:t>
      </w:r>
      <w:r>
        <w:rPr>
          <w:rFonts w:ascii="Arial" w:hAnsi="Arial" w:cs="Arial"/>
          <w:sz w:val="22"/>
          <w:szCs w:val="22"/>
        </w:rPr>
        <w:t>.</w:t>
      </w:r>
      <w:r>
        <w:rPr>
          <w:rFonts w:ascii="Arial" w:hAnsi="Arial" w:cs="Arial"/>
          <w:bCs/>
          <w:sz w:val="22"/>
          <w:szCs w:val="22"/>
        </w:rPr>
        <w:t xml:space="preserve"> </w:t>
      </w:r>
      <w:r w:rsidR="002F7487">
        <w:rPr>
          <w:rFonts w:ascii="Arial" w:hAnsi="Arial" w:cs="Arial"/>
          <w:bCs/>
          <w:sz w:val="22"/>
          <w:szCs w:val="22"/>
        </w:rPr>
        <w:t xml:space="preserve">Following administration of an oral dose of radiolabeled </w:t>
      </w:r>
      <w:r w:rsidR="002F7487">
        <w:rPr>
          <w:rFonts w:ascii="Arial" w:hAnsi="Arial" w:cs="Arial"/>
          <w:bCs/>
          <w:iCs/>
          <w:sz w:val="22"/>
          <w:szCs w:val="22"/>
        </w:rPr>
        <w:t>raltegravir</w:t>
      </w:r>
      <w:r w:rsidR="002F7487">
        <w:rPr>
          <w:rFonts w:ascii="Arial" w:hAnsi="Arial" w:cs="Arial"/>
          <w:bCs/>
          <w:sz w:val="22"/>
          <w:szCs w:val="22"/>
        </w:rPr>
        <w:t xml:space="preserve">, approximately 51 and 32% of the dose was excreted in feces and urine, respectively. In feces, only </w:t>
      </w:r>
      <w:r w:rsidR="002F7487">
        <w:rPr>
          <w:rFonts w:ascii="Arial" w:hAnsi="Arial" w:cs="Arial"/>
          <w:bCs/>
          <w:iCs/>
          <w:sz w:val="22"/>
          <w:szCs w:val="22"/>
        </w:rPr>
        <w:t>raltegravir</w:t>
      </w:r>
      <w:r w:rsidR="002F7487" w:rsidDel="008E3AD7">
        <w:rPr>
          <w:rFonts w:ascii="Arial" w:hAnsi="Arial" w:cs="Arial"/>
          <w:bCs/>
          <w:sz w:val="22"/>
          <w:szCs w:val="22"/>
        </w:rPr>
        <w:t xml:space="preserve"> </w:t>
      </w:r>
      <w:r w:rsidR="002F7487">
        <w:rPr>
          <w:rFonts w:ascii="Arial" w:hAnsi="Arial" w:cs="Arial"/>
          <w:bCs/>
          <w:sz w:val="22"/>
          <w:szCs w:val="22"/>
        </w:rPr>
        <w:t xml:space="preserve">was present, most of which is likely derived from hydrolysis of </w:t>
      </w:r>
      <w:r w:rsidR="002F7487">
        <w:rPr>
          <w:rFonts w:ascii="Arial" w:hAnsi="Arial" w:cs="Arial"/>
          <w:bCs/>
          <w:iCs/>
          <w:sz w:val="22"/>
          <w:szCs w:val="22"/>
        </w:rPr>
        <w:t>raltegravir</w:t>
      </w:r>
      <w:r w:rsidR="002F7487">
        <w:rPr>
          <w:rFonts w:ascii="Arial" w:hAnsi="Arial" w:cs="Arial"/>
          <w:bCs/>
          <w:iCs/>
          <w:sz w:val="22"/>
          <w:szCs w:val="22"/>
        </w:rPr>
        <w:noBreakHyphen/>
      </w:r>
      <w:r w:rsidR="002F7487">
        <w:rPr>
          <w:rFonts w:ascii="Arial" w:hAnsi="Arial" w:cs="Arial"/>
          <w:bCs/>
          <w:sz w:val="22"/>
          <w:szCs w:val="22"/>
        </w:rPr>
        <w:t xml:space="preserve">glucuronide secreted in bile as observed in </w:t>
      </w:r>
      <w:r w:rsidR="001A0C22">
        <w:rPr>
          <w:rFonts w:ascii="Arial" w:hAnsi="Arial" w:cs="Arial"/>
          <w:bCs/>
          <w:sz w:val="22"/>
          <w:szCs w:val="22"/>
        </w:rPr>
        <w:t xml:space="preserve">laboratory animal </w:t>
      </w:r>
      <w:r w:rsidR="002F7487">
        <w:rPr>
          <w:rFonts w:ascii="Arial" w:hAnsi="Arial" w:cs="Arial"/>
          <w:bCs/>
          <w:sz w:val="22"/>
          <w:szCs w:val="22"/>
        </w:rPr>
        <w:t xml:space="preserve">species. Two components, namely </w:t>
      </w:r>
      <w:r w:rsidR="002F7487">
        <w:rPr>
          <w:rFonts w:ascii="Arial" w:hAnsi="Arial" w:cs="Arial"/>
          <w:bCs/>
          <w:iCs/>
          <w:sz w:val="22"/>
          <w:szCs w:val="22"/>
        </w:rPr>
        <w:t>raltegravir</w:t>
      </w:r>
      <w:r w:rsidR="002F7487" w:rsidDel="008E3AD7">
        <w:rPr>
          <w:rFonts w:ascii="Arial" w:hAnsi="Arial" w:cs="Arial"/>
          <w:bCs/>
          <w:sz w:val="22"/>
          <w:szCs w:val="22"/>
        </w:rPr>
        <w:t xml:space="preserve"> </w:t>
      </w:r>
      <w:r w:rsidR="002F7487">
        <w:rPr>
          <w:rFonts w:ascii="Arial" w:hAnsi="Arial" w:cs="Arial"/>
          <w:bCs/>
          <w:sz w:val="22"/>
          <w:szCs w:val="22"/>
        </w:rPr>
        <w:t xml:space="preserve">and </w:t>
      </w:r>
      <w:r w:rsidR="002F7487">
        <w:rPr>
          <w:rFonts w:ascii="Arial" w:hAnsi="Arial" w:cs="Arial"/>
          <w:bCs/>
          <w:iCs/>
          <w:sz w:val="22"/>
          <w:szCs w:val="22"/>
        </w:rPr>
        <w:t>raltegravir</w:t>
      </w:r>
      <w:r w:rsidR="002F7487">
        <w:rPr>
          <w:rFonts w:ascii="Arial" w:hAnsi="Arial" w:cs="Arial"/>
          <w:bCs/>
          <w:sz w:val="22"/>
          <w:szCs w:val="22"/>
        </w:rPr>
        <w:t xml:space="preserve">-glucuronide, were detected in urine and accounted for approximately 9 and 23% of the dose, respectively. The major circulating entity was </w:t>
      </w:r>
      <w:r w:rsidR="002F7487">
        <w:rPr>
          <w:rFonts w:ascii="Arial" w:hAnsi="Arial" w:cs="Arial"/>
          <w:bCs/>
          <w:iCs/>
          <w:sz w:val="22"/>
          <w:szCs w:val="22"/>
        </w:rPr>
        <w:t>raltegravir</w:t>
      </w:r>
      <w:r w:rsidR="002F7487" w:rsidDel="008E3AD7">
        <w:rPr>
          <w:rFonts w:ascii="Arial" w:hAnsi="Arial" w:cs="Arial"/>
          <w:bCs/>
          <w:sz w:val="22"/>
          <w:szCs w:val="22"/>
        </w:rPr>
        <w:t xml:space="preserve"> </w:t>
      </w:r>
      <w:r w:rsidR="002F7487">
        <w:rPr>
          <w:rFonts w:ascii="Arial" w:hAnsi="Arial" w:cs="Arial"/>
          <w:bCs/>
          <w:sz w:val="22"/>
          <w:szCs w:val="22"/>
        </w:rPr>
        <w:t xml:space="preserve">and represented approximately 70% of the total radioactivity; the remaining radioactivity in plasma was accounted for by </w:t>
      </w:r>
      <w:r w:rsidR="002F7487">
        <w:rPr>
          <w:rFonts w:ascii="Arial" w:hAnsi="Arial" w:cs="Arial"/>
          <w:bCs/>
          <w:iCs/>
          <w:sz w:val="22"/>
          <w:szCs w:val="22"/>
        </w:rPr>
        <w:t>raltegravir</w:t>
      </w:r>
      <w:r w:rsidR="002F7487">
        <w:rPr>
          <w:rFonts w:ascii="Arial" w:hAnsi="Arial" w:cs="Arial"/>
          <w:bCs/>
          <w:iCs/>
          <w:sz w:val="22"/>
          <w:szCs w:val="22"/>
        </w:rPr>
        <w:noBreakHyphen/>
      </w:r>
      <w:r w:rsidR="002F7487">
        <w:rPr>
          <w:rFonts w:ascii="Arial" w:hAnsi="Arial" w:cs="Arial"/>
          <w:bCs/>
          <w:sz w:val="22"/>
          <w:szCs w:val="22"/>
        </w:rPr>
        <w:t xml:space="preserve">glucuronide. </w:t>
      </w:r>
    </w:p>
    <w:p w:rsidR="004F2E0E" w:rsidRDefault="002F7487" w:rsidP="002F7487">
      <w:pPr>
        <w:jc w:val="both"/>
        <w:rPr>
          <w:rFonts w:ascii="Arial" w:hAnsi="Arial" w:cs="Arial"/>
          <w:bCs/>
          <w:sz w:val="22"/>
          <w:szCs w:val="22"/>
        </w:rPr>
      </w:pPr>
      <w:r>
        <w:rPr>
          <w:rFonts w:ascii="Arial" w:hAnsi="Arial" w:cs="Arial"/>
          <w:bCs/>
          <w:sz w:val="22"/>
          <w:szCs w:val="22"/>
        </w:rPr>
        <w:t xml:space="preserve">Studies using isoform-selective chemical inhibitors and cDNA-expressed </w:t>
      </w:r>
      <w:r>
        <w:rPr>
          <w:rFonts w:ascii="Arial" w:hAnsi="Arial" w:cs="Arial"/>
          <w:sz w:val="22"/>
          <w:szCs w:val="22"/>
        </w:rPr>
        <w:t>UDP-glucuronosyltransferases (UGT)</w:t>
      </w:r>
      <w:r>
        <w:rPr>
          <w:rFonts w:ascii="Arial" w:hAnsi="Arial" w:cs="Arial"/>
          <w:bCs/>
          <w:sz w:val="22"/>
          <w:szCs w:val="22"/>
        </w:rPr>
        <w:t xml:space="preserve"> show that UGT1A1 is the main enzyme responsible for the formation of </w:t>
      </w:r>
      <w:r>
        <w:rPr>
          <w:rFonts w:ascii="Arial" w:hAnsi="Arial" w:cs="Arial"/>
          <w:bCs/>
          <w:iCs/>
          <w:sz w:val="22"/>
          <w:szCs w:val="22"/>
        </w:rPr>
        <w:t>raltegravir</w:t>
      </w:r>
      <w:r>
        <w:rPr>
          <w:rFonts w:ascii="Arial" w:hAnsi="Arial" w:cs="Arial"/>
          <w:bCs/>
          <w:sz w:val="22"/>
          <w:szCs w:val="22"/>
        </w:rPr>
        <w:t>-glucuronide</w:t>
      </w:r>
      <w:r>
        <w:rPr>
          <w:rFonts w:ascii="Arial" w:hAnsi="Arial" w:cs="Arial"/>
          <w:sz w:val="22"/>
          <w:szCs w:val="22"/>
        </w:rPr>
        <w:t>.</w:t>
      </w:r>
      <w:r>
        <w:rPr>
          <w:rFonts w:ascii="Arial" w:hAnsi="Arial" w:cs="Arial"/>
          <w:b/>
          <w:sz w:val="22"/>
          <w:szCs w:val="22"/>
        </w:rPr>
        <w:t xml:space="preserve"> </w:t>
      </w:r>
      <w:r>
        <w:rPr>
          <w:rFonts w:ascii="Arial" w:hAnsi="Arial" w:cs="Arial"/>
          <w:sz w:val="22"/>
          <w:szCs w:val="22"/>
        </w:rPr>
        <w:t>T</w:t>
      </w:r>
      <w:r>
        <w:rPr>
          <w:rFonts w:ascii="Arial" w:hAnsi="Arial" w:cs="Arial"/>
          <w:bCs/>
          <w:sz w:val="22"/>
          <w:szCs w:val="22"/>
        </w:rPr>
        <w:t xml:space="preserve">hus the data indicate that the major mechanism of clearance of </w:t>
      </w:r>
      <w:r>
        <w:rPr>
          <w:rFonts w:ascii="Arial" w:hAnsi="Arial" w:cs="Arial"/>
          <w:bCs/>
          <w:iCs/>
          <w:sz w:val="22"/>
          <w:szCs w:val="22"/>
        </w:rPr>
        <w:t>raltegravir</w:t>
      </w:r>
      <w:r w:rsidDel="008E3AD7">
        <w:rPr>
          <w:rFonts w:ascii="Arial" w:hAnsi="Arial" w:cs="Arial"/>
          <w:bCs/>
          <w:sz w:val="22"/>
          <w:szCs w:val="22"/>
        </w:rPr>
        <w:t xml:space="preserve"> </w:t>
      </w:r>
      <w:r>
        <w:rPr>
          <w:rFonts w:ascii="Arial" w:hAnsi="Arial" w:cs="Arial"/>
          <w:bCs/>
          <w:sz w:val="22"/>
          <w:szCs w:val="22"/>
        </w:rPr>
        <w:t>in humans is UGT1A1-mediated glucuronidation.</w:t>
      </w:r>
    </w:p>
    <w:p w:rsidR="00D751D7" w:rsidRPr="00D751D7" w:rsidRDefault="00D751D7" w:rsidP="00A3282B">
      <w:pPr>
        <w:pStyle w:val="Heading5"/>
      </w:pPr>
      <w:r w:rsidRPr="00D751D7">
        <w:t>Characteristics in patients:</w:t>
      </w:r>
    </w:p>
    <w:p w:rsidR="00D751D7" w:rsidRPr="00D751D7" w:rsidRDefault="00D751D7" w:rsidP="00D751D7">
      <w:pPr>
        <w:jc w:val="both"/>
        <w:outlineLvl w:val="0"/>
        <w:rPr>
          <w:rFonts w:ascii="Arial" w:hAnsi="Arial"/>
          <w:i/>
          <w:sz w:val="22"/>
          <w:szCs w:val="22"/>
        </w:rPr>
      </w:pPr>
      <w:r w:rsidRPr="00D751D7">
        <w:rPr>
          <w:rFonts w:ascii="Arial" w:hAnsi="Arial"/>
          <w:i/>
          <w:sz w:val="22"/>
          <w:szCs w:val="22"/>
        </w:rPr>
        <w:t>Gender</w:t>
      </w:r>
    </w:p>
    <w:p w:rsidR="00D751D7" w:rsidRPr="00A3282B" w:rsidRDefault="00D751D7" w:rsidP="00A3282B">
      <w:pPr>
        <w:jc w:val="both"/>
        <w:rPr>
          <w:rFonts w:ascii="Arial" w:hAnsi="Arial" w:cs="Arial"/>
          <w:bCs/>
          <w:sz w:val="22"/>
          <w:szCs w:val="22"/>
        </w:rPr>
      </w:pPr>
      <w:r>
        <w:rPr>
          <w:rFonts w:ascii="Arial" w:hAnsi="Arial" w:cs="Arial"/>
          <w:bCs/>
          <w:sz w:val="22"/>
          <w:szCs w:val="22"/>
        </w:rPr>
        <w:t>A study of the pharmacokinetics of raltegravir</w:t>
      </w:r>
      <w:r w:rsidDel="008E3AD7">
        <w:rPr>
          <w:rFonts w:ascii="Arial" w:hAnsi="Arial" w:cs="Arial"/>
          <w:bCs/>
          <w:sz w:val="22"/>
          <w:szCs w:val="22"/>
        </w:rPr>
        <w:t xml:space="preserve"> </w:t>
      </w:r>
      <w:r>
        <w:rPr>
          <w:rFonts w:ascii="Arial" w:hAnsi="Arial" w:cs="Arial"/>
          <w:bCs/>
          <w:sz w:val="22"/>
          <w:szCs w:val="22"/>
        </w:rPr>
        <w:t xml:space="preserve">was performed in young </w:t>
      </w:r>
      <w:r w:rsidR="002F29D8">
        <w:rPr>
          <w:rFonts w:ascii="Arial" w:hAnsi="Arial" w:cs="Arial"/>
          <w:bCs/>
          <w:sz w:val="22"/>
          <w:szCs w:val="22"/>
        </w:rPr>
        <w:t xml:space="preserve">adult </w:t>
      </w:r>
      <w:r>
        <w:rPr>
          <w:rFonts w:ascii="Arial" w:hAnsi="Arial" w:cs="Arial"/>
          <w:bCs/>
          <w:sz w:val="22"/>
          <w:szCs w:val="22"/>
        </w:rPr>
        <w:t xml:space="preserve">healthy males and females. Additionally, the effect of gender was evaluated in a composite analysis of pharmacokinetic data from 103 healthy </w:t>
      </w:r>
      <w:r w:rsidR="006927BF">
        <w:rPr>
          <w:rFonts w:ascii="Arial" w:hAnsi="Arial" w:cs="Arial"/>
          <w:bCs/>
          <w:sz w:val="22"/>
          <w:szCs w:val="22"/>
        </w:rPr>
        <w:t>individuals</w:t>
      </w:r>
      <w:r>
        <w:rPr>
          <w:rFonts w:ascii="Arial" w:hAnsi="Arial" w:cs="Arial"/>
          <w:bCs/>
          <w:sz w:val="22"/>
          <w:szCs w:val="22"/>
        </w:rPr>
        <w:t xml:space="preserve"> and 28 HIV patients receiving raltegravir monotherapy with fasted administration. The effect of gender was also evaluated in a population pharmacokinetic (PK) analysis of concentration data from 80 healthy </w:t>
      </w:r>
      <w:r w:rsidR="006F502C">
        <w:rPr>
          <w:rFonts w:ascii="Arial" w:hAnsi="Arial" w:cs="Arial"/>
          <w:bCs/>
          <w:sz w:val="22"/>
          <w:szCs w:val="22"/>
        </w:rPr>
        <w:t>individuals</w:t>
      </w:r>
      <w:r>
        <w:rPr>
          <w:rFonts w:ascii="Arial" w:hAnsi="Arial" w:cs="Arial"/>
          <w:bCs/>
          <w:sz w:val="22"/>
          <w:szCs w:val="22"/>
        </w:rPr>
        <w:t xml:space="preserve"> and HIV patients receiving raltegravir alone or in combination with other drugs and in fasted and fed conditions. There were no clinically important pharmacokinetic differences due to gender. No dosage adjustment is necessary.</w:t>
      </w:r>
    </w:p>
    <w:p w:rsidR="00D751D7" w:rsidRPr="00D751D7" w:rsidRDefault="00D751D7" w:rsidP="00A3282B">
      <w:pPr>
        <w:pStyle w:val="Heading5"/>
      </w:pPr>
      <w:r w:rsidRPr="00D751D7">
        <w:lastRenderedPageBreak/>
        <w:t>Age</w:t>
      </w:r>
    </w:p>
    <w:p w:rsidR="00D751D7" w:rsidRDefault="00D751D7" w:rsidP="00D751D7">
      <w:pPr>
        <w:jc w:val="both"/>
        <w:rPr>
          <w:rFonts w:ascii="Arial" w:hAnsi="Arial" w:cs="Arial"/>
          <w:b/>
          <w:bCs/>
          <w:color w:val="0000FF"/>
          <w:sz w:val="22"/>
          <w:szCs w:val="22"/>
        </w:rPr>
      </w:pPr>
      <w:r>
        <w:rPr>
          <w:rFonts w:ascii="Arial" w:hAnsi="Arial" w:cs="Arial"/>
          <w:bCs/>
          <w:sz w:val="22"/>
          <w:szCs w:val="22"/>
        </w:rPr>
        <w:t xml:space="preserve">The effect of age </w:t>
      </w:r>
      <w:r w:rsidR="00073032">
        <w:rPr>
          <w:rFonts w:ascii="Arial" w:hAnsi="Arial" w:cs="Arial"/>
          <w:bCs/>
          <w:sz w:val="22"/>
          <w:szCs w:val="22"/>
        </w:rPr>
        <w:t xml:space="preserve">(18 years and older) </w:t>
      </w:r>
      <w:r>
        <w:rPr>
          <w:rFonts w:ascii="Arial" w:hAnsi="Arial" w:cs="Arial"/>
          <w:bCs/>
          <w:sz w:val="22"/>
          <w:szCs w:val="22"/>
        </w:rPr>
        <w:t xml:space="preserve">on the pharmacokinetics of raltegravir was evaluated in the composite analysis and the population PK analysis. There was no clinically meaningful effect of age on raltegravir pharmacokinetics. </w:t>
      </w:r>
      <w:r w:rsidR="003715A4" w:rsidRPr="00A410DB">
        <w:rPr>
          <w:rFonts w:ascii="Arial" w:hAnsi="Arial" w:cs="Arial"/>
          <w:bCs/>
          <w:sz w:val="22"/>
          <w:szCs w:val="22"/>
        </w:rPr>
        <w:t>No dosage adjustment is</w:t>
      </w:r>
      <w:r w:rsidR="003715A4">
        <w:rPr>
          <w:rFonts w:ascii="Arial" w:hAnsi="Arial" w:cs="Arial"/>
          <w:bCs/>
          <w:sz w:val="22"/>
          <w:szCs w:val="22"/>
        </w:rPr>
        <w:t xml:space="preserve"> necessary.</w:t>
      </w:r>
      <w:r w:rsidR="002917DF">
        <w:rPr>
          <w:rFonts w:ascii="Arial" w:hAnsi="Arial" w:cs="Arial"/>
          <w:bCs/>
          <w:sz w:val="22"/>
          <w:szCs w:val="22"/>
        </w:rPr>
        <w:t xml:space="preserve"> </w:t>
      </w:r>
    </w:p>
    <w:p w:rsidR="00B06D55" w:rsidRDefault="00B06D55" w:rsidP="00D751D7">
      <w:pPr>
        <w:jc w:val="both"/>
        <w:rPr>
          <w:rFonts w:ascii="Arial" w:hAnsi="Arial" w:cs="Arial"/>
          <w:sz w:val="22"/>
          <w:szCs w:val="22"/>
        </w:rPr>
      </w:pPr>
    </w:p>
    <w:p w:rsidR="00D751D7" w:rsidRPr="00D751D7" w:rsidRDefault="00D751D7" w:rsidP="00D751D7">
      <w:pPr>
        <w:rPr>
          <w:rFonts w:ascii="Arial" w:hAnsi="Arial" w:cs="Arial"/>
          <w:i/>
          <w:sz w:val="22"/>
          <w:szCs w:val="22"/>
        </w:rPr>
      </w:pPr>
      <w:r w:rsidRPr="00D751D7">
        <w:rPr>
          <w:rFonts w:ascii="Arial" w:hAnsi="Arial" w:cs="Arial"/>
          <w:i/>
          <w:sz w:val="22"/>
          <w:szCs w:val="22"/>
        </w:rPr>
        <w:t>P</w:t>
      </w:r>
      <w:r w:rsidR="00903F5C">
        <w:rPr>
          <w:rFonts w:ascii="Arial" w:hAnsi="Arial" w:cs="Arial"/>
          <w:i/>
          <w:sz w:val="22"/>
          <w:szCs w:val="22"/>
        </w:rPr>
        <w:t>a</w:t>
      </w:r>
      <w:r w:rsidRPr="00D751D7">
        <w:rPr>
          <w:rFonts w:ascii="Arial" w:hAnsi="Arial" w:cs="Arial"/>
          <w:i/>
          <w:sz w:val="22"/>
          <w:szCs w:val="22"/>
        </w:rPr>
        <w:t>ediatric</w:t>
      </w:r>
    </w:p>
    <w:p w:rsidR="00AA1580" w:rsidRPr="00167CBB" w:rsidRDefault="00073032" w:rsidP="00AA1580">
      <w:pPr>
        <w:jc w:val="both"/>
        <w:rPr>
          <w:rFonts w:ascii="Arial" w:hAnsi="Arial" w:cs="Arial"/>
          <w:bCs/>
          <w:sz w:val="20"/>
        </w:rPr>
      </w:pPr>
      <w:r>
        <w:rPr>
          <w:rFonts w:ascii="Arial" w:hAnsi="Arial" w:cs="Arial"/>
          <w:sz w:val="22"/>
          <w:szCs w:val="22"/>
        </w:rPr>
        <w:t>Based on a formulation comparison study in healthy adult volunteers, the chewable tablet has higher oral bioavailability compared to the 400 mg tablet.</w:t>
      </w:r>
      <w:r w:rsidRPr="00DB3D24">
        <w:rPr>
          <w:rFonts w:ascii="Arial" w:hAnsi="Arial" w:cs="Arial"/>
          <w:sz w:val="22"/>
          <w:szCs w:val="22"/>
        </w:rPr>
        <w:t xml:space="preserve"> In this study, administration of the chewable tablet with a high fat meal led to an average 6% decrease in AUC, 62% decrease in C</w:t>
      </w:r>
      <w:r w:rsidRPr="00DB3D24">
        <w:rPr>
          <w:rFonts w:ascii="Arial" w:hAnsi="Arial" w:cs="Arial"/>
          <w:sz w:val="22"/>
          <w:szCs w:val="22"/>
          <w:vertAlign w:val="subscript"/>
        </w:rPr>
        <w:t>max</w:t>
      </w:r>
      <w:r w:rsidRPr="00DB3D24">
        <w:rPr>
          <w:rFonts w:ascii="Arial" w:hAnsi="Arial" w:cs="Arial"/>
          <w:sz w:val="22"/>
          <w:szCs w:val="22"/>
        </w:rPr>
        <w:t>, and 188% increase in C</w:t>
      </w:r>
      <w:r w:rsidRPr="00DB3D24">
        <w:rPr>
          <w:rFonts w:ascii="Arial" w:hAnsi="Arial" w:cs="Arial"/>
          <w:sz w:val="22"/>
          <w:szCs w:val="22"/>
          <w:vertAlign w:val="subscript"/>
        </w:rPr>
        <w:t>12hr</w:t>
      </w:r>
      <w:r w:rsidRPr="00DB3D24">
        <w:rPr>
          <w:rFonts w:ascii="Arial" w:hAnsi="Arial" w:cs="Arial"/>
          <w:sz w:val="22"/>
          <w:szCs w:val="22"/>
        </w:rPr>
        <w:t xml:space="preserve"> compared to administration in the fasted state.</w:t>
      </w:r>
      <w:r w:rsidR="00164E4C" w:rsidRPr="00DB3D24">
        <w:rPr>
          <w:rFonts w:ascii="Arial" w:hAnsi="Arial" w:cs="Arial"/>
          <w:b/>
          <w:sz w:val="22"/>
          <w:szCs w:val="22"/>
        </w:rPr>
        <w:t xml:space="preserve"> </w:t>
      </w:r>
      <w:r w:rsidRPr="00DB3D24">
        <w:rPr>
          <w:rFonts w:ascii="Arial" w:hAnsi="Arial" w:cs="Arial"/>
          <w:sz w:val="22"/>
          <w:szCs w:val="22"/>
        </w:rPr>
        <w:t xml:space="preserve"> Administration of the chewable tablet with a high fat meal does not affect raltegravir pharmacokinetics to a clinically meaningful degree and the chewable tablet can be administered without regard to food.</w:t>
      </w:r>
      <w:r w:rsidR="00AA1580" w:rsidRPr="00DB3D24">
        <w:rPr>
          <w:rFonts w:ascii="Arial" w:hAnsi="Arial" w:cs="Arial"/>
          <w:b/>
          <w:bCs/>
          <w:sz w:val="20"/>
        </w:rPr>
        <w:t xml:space="preserve"> </w:t>
      </w:r>
      <w:r w:rsidRPr="00DB3D24">
        <w:rPr>
          <w:rFonts w:ascii="Arial" w:hAnsi="Arial" w:cs="Arial"/>
          <w:sz w:val="22"/>
          <w:szCs w:val="22"/>
        </w:rPr>
        <w:t xml:space="preserve">The doses recommended for HIV-infected children and adolescents 2 </w:t>
      </w:r>
      <w:r w:rsidR="0011360B" w:rsidRPr="00693900">
        <w:rPr>
          <w:rFonts w:ascii="Arial" w:hAnsi="Arial" w:cs="Arial"/>
          <w:sz w:val="22"/>
          <w:szCs w:val="22"/>
        </w:rPr>
        <w:t>to</w:t>
      </w:r>
      <w:r w:rsidR="006C2546" w:rsidRPr="000A774C">
        <w:rPr>
          <w:rFonts w:ascii="Arial" w:hAnsi="Arial" w:cs="Arial"/>
          <w:sz w:val="22"/>
          <w:szCs w:val="22"/>
        </w:rPr>
        <w:t xml:space="preserve"> </w:t>
      </w:r>
      <w:r w:rsidRPr="00DB3D24">
        <w:rPr>
          <w:rFonts w:ascii="Arial" w:hAnsi="Arial" w:cs="Arial"/>
          <w:sz w:val="22"/>
          <w:szCs w:val="22"/>
        </w:rPr>
        <w:t xml:space="preserve">18 years of age </w:t>
      </w:r>
      <w:r w:rsidR="002F29D8" w:rsidRPr="00DB3D24">
        <w:rPr>
          <w:rFonts w:ascii="Arial" w:hAnsi="Arial" w:cs="Arial"/>
          <w:sz w:val="22"/>
          <w:szCs w:val="22"/>
        </w:rPr>
        <w:t>(</w:t>
      </w:r>
      <w:r w:rsidRPr="00DB3D24">
        <w:rPr>
          <w:rFonts w:ascii="Arial" w:hAnsi="Arial" w:cs="Arial"/>
          <w:sz w:val="22"/>
          <w:szCs w:val="22"/>
        </w:rPr>
        <w:t>see DOSAGE AND ADMINISTRATION</w:t>
      </w:r>
      <w:r w:rsidR="002F29D8" w:rsidRPr="00DB3D24">
        <w:rPr>
          <w:rFonts w:ascii="Arial" w:hAnsi="Arial" w:cs="Arial"/>
          <w:sz w:val="22"/>
          <w:szCs w:val="22"/>
        </w:rPr>
        <w:t>)</w:t>
      </w:r>
      <w:r w:rsidRPr="00DB3D24">
        <w:rPr>
          <w:rFonts w:ascii="Arial" w:hAnsi="Arial" w:cs="Arial"/>
          <w:sz w:val="22"/>
          <w:szCs w:val="22"/>
        </w:rPr>
        <w:t xml:space="preserve"> resulted in a pharmacokinetic profile of raltegravir similar to that observed in adults receiving 400 mg twice daily.</w:t>
      </w:r>
      <w:r w:rsidR="00AA1580" w:rsidRPr="00DB3D24">
        <w:rPr>
          <w:rFonts w:ascii="Arial" w:hAnsi="Arial" w:cs="Arial"/>
          <w:b/>
          <w:bCs/>
          <w:sz w:val="20"/>
        </w:rPr>
        <w:t xml:space="preserve"> </w:t>
      </w:r>
      <w:r w:rsidRPr="00DB3D24">
        <w:rPr>
          <w:rFonts w:ascii="Arial" w:hAnsi="Arial" w:cs="Arial"/>
          <w:sz w:val="22"/>
          <w:szCs w:val="22"/>
        </w:rPr>
        <w:t xml:space="preserve">Table </w:t>
      </w:r>
      <w:r w:rsidR="00711BF5" w:rsidRPr="00DB3D24">
        <w:rPr>
          <w:rFonts w:ascii="Arial" w:hAnsi="Arial" w:cs="Arial"/>
          <w:sz w:val="22"/>
          <w:szCs w:val="22"/>
        </w:rPr>
        <w:t>1</w:t>
      </w:r>
      <w:r w:rsidRPr="00DB3D24">
        <w:rPr>
          <w:rFonts w:ascii="Arial" w:hAnsi="Arial" w:cs="Arial"/>
          <w:sz w:val="22"/>
          <w:szCs w:val="22"/>
        </w:rPr>
        <w:t xml:space="preserve"> displays pharmacokinetic parameters in the 400 mg tablet (6</w:t>
      </w:r>
      <w:r w:rsidR="00CF26DD" w:rsidRPr="00DB3D24">
        <w:rPr>
          <w:rFonts w:ascii="Arial" w:hAnsi="Arial" w:cs="Arial"/>
          <w:sz w:val="22"/>
          <w:szCs w:val="22"/>
        </w:rPr>
        <w:t xml:space="preserve"> </w:t>
      </w:r>
      <w:r w:rsidR="0011360B" w:rsidRPr="000D17AB">
        <w:rPr>
          <w:rFonts w:ascii="Arial" w:hAnsi="Arial" w:cs="Arial"/>
          <w:sz w:val="22"/>
          <w:szCs w:val="22"/>
        </w:rPr>
        <w:t>to</w:t>
      </w:r>
      <w:r w:rsidR="006C2546">
        <w:rPr>
          <w:rFonts w:ascii="Arial" w:hAnsi="Arial" w:cs="Arial"/>
          <w:sz w:val="22"/>
          <w:szCs w:val="22"/>
        </w:rPr>
        <w:t xml:space="preserve"> </w:t>
      </w:r>
      <w:r w:rsidRPr="00DB3D24">
        <w:rPr>
          <w:rFonts w:ascii="Arial" w:hAnsi="Arial" w:cs="Arial"/>
          <w:sz w:val="22"/>
          <w:szCs w:val="22"/>
        </w:rPr>
        <w:t xml:space="preserve">18 years of age) and the chewable tablet (2 </w:t>
      </w:r>
      <w:r w:rsidR="0011360B" w:rsidRPr="000D17AB">
        <w:rPr>
          <w:rFonts w:ascii="Arial" w:hAnsi="Arial" w:cs="Arial"/>
          <w:sz w:val="22"/>
          <w:szCs w:val="22"/>
        </w:rPr>
        <w:t>to</w:t>
      </w:r>
      <w:r w:rsidR="006C2546">
        <w:rPr>
          <w:rFonts w:ascii="Arial" w:hAnsi="Arial" w:cs="Arial"/>
          <w:sz w:val="22"/>
          <w:szCs w:val="22"/>
        </w:rPr>
        <w:t xml:space="preserve"> </w:t>
      </w:r>
      <w:r w:rsidRPr="00DB3D24">
        <w:rPr>
          <w:rFonts w:ascii="Arial" w:hAnsi="Arial" w:cs="Arial"/>
          <w:sz w:val="22"/>
          <w:szCs w:val="22"/>
        </w:rPr>
        <w:t>11 years of age).</w:t>
      </w:r>
      <w:r w:rsidR="00AA1580" w:rsidRPr="00DB3D24">
        <w:rPr>
          <w:rFonts w:ascii="Arial" w:hAnsi="Arial" w:cs="Arial"/>
          <w:b/>
          <w:bCs/>
          <w:sz w:val="20"/>
        </w:rPr>
        <w:t xml:space="preserve"> </w:t>
      </w:r>
    </w:p>
    <w:p w:rsidR="00073032" w:rsidRDefault="00073032" w:rsidP="00245874">
      <w:pPr>
        <w:pStyle w:val="Tabletitle"/>
      </w:pPr>
      <w:r>
        <w:t>Table</w:t>
      </w:r>
      <w:r w:rsidR="00711BF5">
        <w:t xml:space="preserve"> 1</w:t>
      </w:r>
      <w:r>
        <w:t xml:space="preserve">: Raltegravir Pharmacokinetic Parameters IMPAACT </w:t>
      </w:r>
      <w:r w:rsidRPr="00711BF5">
        <w:t>P1066</w:t>
      </w:r>
      <w:r>
        <w:t xml:space="preserve"> </w:t>
      </w:r>
      <w:r w:rsidR="00711BF5">
        <w:t>Following Administration of Doses in DOSAGE AND ADMINISTRATION</w:t>
      </w:r>
    </w:p>
    <w:tbl>
      <w:tblP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2"/>
        <w:gridCol w:w="1419"/>
        <w:gridCol w:w="1902"/>
        <w:gridCol w:w="884"/>
        <w:gridCol w:w="1414"/>
        <w:gridCol w:w="1206"/>
      </w:tblGrid>
      <w:tr w:rsidR="00073032" w:rsidRPr="00DA77C5" w:rsidTr="006B56C2">
        <w:trPr>
          <w:tblHeader/>
        </w:trPr>
        <w:tc>
          <w:tcPr>
            <w:tcW w:w="1402"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b/>
                <w:sz w:val="20"/>
              </w:rPr>
            </w:pPr>
            <w:r w:rsidRPr="00DA77C5">
              <w:rPr>
                <w:rFonts w:ascii="Arial" w:hAnsi="Arial" w:cs="Arial"/>
                <w:b/>
                <w:sz w:val="20"/>
              </w:rPr>
              <w:t>Age (years)</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b/>
                <w:sz w:val="20"/>
              </w:rPr>
            </w:pPr>
            <w:r w:rsidRPr="00DA77C5">
              <w:rPr>
                <w:rFonts w:ascii="Arial" w:hAnsi="Arial" w:cs="Arial"/>
                <w:b/>
                <w:sz w:val="20"/>
              </w:rPr>
              <w:t>Formulation</w:t>
            </w:r>
          </w:p>
        </w:tc>
        <w:tc>
          <w:tcPr>
            <w:tcW w:w="1902"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b/>
                <w:sz w:val="20"/>
              </w:rPr>
            </w:pPr>
            <w:r w:rsidRPr="00DA77C5">
              <w:rPr>
                <w:rFonts w:ascii="Arial" w:hAnsi="Arial" w:cs="Arial"/>
                <w:b/>
                <w:sz w:val="20"/>
              </w:rPr>
              <w:t>Dose</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b/>
                <w:sz w:val="20"/>
              </w:rPr>
            </w:pPr>
            <w:r w:rsidRPr="00DA77C5">
              <w:rPr>
                <w:rFonts w:ascii="Arial" w:hAnsi="Arial" w:cs="Arial"/>
                <w:b/>
                <w:sz w:val="20"/>
              </w:rPr>
              <w:t>N#</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073032" w:rsidRDefault="00073032">
            <w:pPr>
              <w:rPr>
                <w:rFonts w:ascii="Arial" w:hAnsi="Arial" w:cs="Arial"/>
                <w:b/>
                <w:sz w:val="20"/>
              </w:rPr>
            </w:pPr>
            <w:r w:rsidRPr="00DA77C5">
              <w:rPr>
                <w:rFonts w:ascii="Arial" w:hAnsi="Arial" w:cs="Arial"/>
                <w:b/>
                <w:sz w:val="20"/>
              </w:rPr>
              <w:t xml:space="preserve">AUC </w:t>
            </w:r>
            <w:r w:rsidRPr="00DA77C5">
              <w:rPr>
                <w:rFonts w:ascii="Arial" w:hAnsi="Arial" w:cs="Arial"/>
                <w:b/>
                <w:sz w:val="20"/>
                <w:vertAlign w:val="subscript"/>
              </w:rPr>
              <w:t>0-12hr</w:t>
            </w:r>
            <w:r w:rsidRPr="00DA77C5">
              <w:rPr>
                <w:rFonts w:ascii="Arial" w:hAnsi="Arial" w:cs="Arial"/>
                <w:b/>
                <w:sz w:val="20"/>
              </w:rPr>
              <w:t xml:space="preserve"> (µM*hr)</w:t>
            </w:r>
          </w:p>
          <w:p w:rsidR="00A8555C" w:rsidRPr="000D17AB" w:rsidRDefault="00A8555C">
            <w:pPr>
              <w:rPr>
                <w:rFonts w:ascii="Arial Bold" w:hAnsi="Arial Bold" w:cs="Arial"/>
                <w:b/>
                <w:sz w:val="20"/>
              </w:rPr>
            </w:pPr>
            <w:r w:rsidRPr="000D17AB">
              <w:rPr>
                <w:rFonts w:ascii="Arial Bold" w:hAnsi="Arial Bold" w:cs="Arial"/>
                <w:b/>
                <w:sz w:val="20"/>
              </w:rPr>
              <w:t>Geometric Mean</w:t>
            </w:r>
          </w:p>
          <w:p w:rsidR="00A8555C" w:rsidRPr="00DA77C5" w:rsidRDefault="00A8555C">
            <w:pPr>
              <w:rPr>
                <w:rFonts w:ascii="Arial" w:hAnsi="Arial" w:cs="Arial"/>
                <w:b/>
                <w:sz w:val="20"/>
              </w:rPr>
            </w:pPr>
            <w:r w:rsidRPr="000D17AB">
              <w:rPr>
                <w:rFonts w:ascii="Arial Bold" w:hAnsi="Arial Bold" w:cs="Arial"/>
                <w:b/>
                <w:sz w:val="20"/>
              </w:rPr>
              <w:t xml:space="preserve"> (%CV)</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073032" w:rsidRDefault="00073032">
            <w:pPr>
              <w:rPr>
                <w:rFonts w:ascii="Arial" w:hAnsi="Arial" w:cs="Arial"/>
                <w:b/>
                <w:sz w:val="20"/>
              </w:rPr>
            </w:pPr>
            <w:r w:rsidRPr="00DA77C5">
              <w:rPr>
                <w:rFonts w:ascii="Arial" w:hAnsi="Arial" w:cs="Arial"/>
                <w:b/>
                <w:sz w:val="20"/>
              </w:rPr>
              <w:t>C</w:t>
            </w:r>
            <w:r w:rsidRPr="00DA77C5">
              <w:rPr>
                <w:rFonts w:ascii="Arial" w:hAnsi="Arial" w:cs="Arial"/>
                <w:b/>
                <w:sz w:val="20"/>
                <w:vertAlign w:val="subscript"/>
              </w:rPr>
              <w:t xml:space="preserve">12h </w:t>
            </w:r>
            <w:r w:rsidRPr="00DA77C5">
              <w:rPr>
                <w:rFonts w:ascii="Arial" w:hAnsi="Arial" w:cs="Arial"/>
                <w:b/>
                <w:sz w:val="20"/>
              </w:rPr>
              <w:t>(nM)</w:t>
            </w:r>
          </w:p>
          <w:p w:rsidR="00A8555C" w:rsidRPr="000D17AB" w:rsidRDefault="00A8555C" w:rsidP="00A8555C">
            <w:pPr>
              <w:rPr>
                <w:rFonts w:ascii="Arial Bold" w:hAnsi="Arial Bold" w:cs="Arial"/>
                <w:b/>
                <w:sz w:val="20"/>
              </w:rPr>
            </w:pPr>
            <w:r w:rsidRPr="000D17AB">
              <w:rPr>
                <w:rFonts w:ascii="Arial Bold" w:hAnsi="Arial Bold" w:cs="Arial"/>
                <w:b/>
                <w:sz w:val="20"/>
              </w:rPr>
              <w:t xml:space="preserve">Geometric Mean </w:t>
            </w:r>
          </w:p>
          <w:p w:rsidR="00A8555C" w:rsidRPr="00DA77C5" w:rsidRDefault="00A8555C" w:rsidP="00A8555C">
            <w:pPr>
              <w:rPr>
                <w:rFonts w:ascii="Arial" w:hAnsi="Arial" w:cs="Arial"/>
                <w:b/>
                <w:sz w:val="20"/>
              </w:rPr>
            </w:pPr>
            <w:r w:rsidRPr="000D17AB">
              <w:rPr>
                <w:rFonts w:ascii="Arial Bold" w:hAnsi="Arial Bold" w:cs="Arial"/>
                <w:b/>
                <w:sz w:val="20"/>
              </w:rPr>
              <w:t>(% CV)</w:t>
            </w:r>
          </w:p>
        </w:tc>
      </w:tr>
      <w:tr w:rsidR="00073032" w:rsidRPr="00DA77C5" w:rsidTr="00DA77C5">
        <w:tc>
          <w:tcPr>
            <w:tcW w:w="1402"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 xml:space="preserve">12 to 18 </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400 mg tablet</w:t>
            </w:r>
          </w:p>
        </w:tc>
        <w:tc>
          <w:tcPr>
            <w:tcW w:w="1902"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400 mg twice daily</w:t>
            </w:r>
          </w:p>
          <w:p w:rsidR="00073032" w:rsidRPr="00DA77C5" w:rsidRDefault="00073032">
            <w:pPr>
              <w:rPr>
                <w:rFonts w:ascii="Arial" w:hAnsi="Arial" w:cs="Arial"/>
                <w:sz w:val="20"/>
              </w:rPr>
            </w:pPr>
            <w:r w:rsidRPr="00DA77C5">
              <w:rPr>
                <w:rFonts w:ascii="Arial" w:hAnsi="Arial" w:cs="Arial"/>
                <w:sz w:val="20"/>
              </w:rPr>
              <w:t>regardless of weight¥</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11</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15.7 (98%)</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333 (78%)</w:t>
            </w:r>
          </w:p>
        </w:tc>
      </w:tr>
      <w:tr w:rsidR="00073032" w:rsidRPr="00DA77C5" w:rsidTr="00DA77C5">
        <w:tc>
          <w:tcPr>
            <w:tcW w:w="1402"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6 to 11</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400 mg tablet</w:t>
            </w:r>
          </w:p>
        </w:tc>
        <w:tc>
          <w:tcPr>
            <w:tcW w:w="1902"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 xml:space="preserve">400 mg twice daily for patients </w:t>
            </w:r>
            <w:r w:rsidRPr="00DA77C5">
              <w:rPr>
                <w:rFonts w:ascii="Arial" w:hAnsi="Arial" w:cs="Arial"/>
                <w:sz w:val="20"/>
                <w:u w:val="single"/>
              </w:rPr>
              <w:t>&gt;</w:t>
            </w:r>
            <w:r w:rsidRPr="00DA77C5">
              <w:rPr>
                <w:rFonts w:ascii="Arial" w:hAnsi="Arial" w:cs="Arial"/>
                <w:sz w:val="20"/>
              </w:rPr>
              <w:t xml:space="preserve"> </w:t>
            </w:r>
            <w:r w:rsidR="000E68AD" w:rsidRPr="00DA77C5">
              <w:rPr>
                <w:rFonts w:ascii="Arial" w:hAnsi="Arial" w:cs="Arial"/>
                <w:sz w:val="20"/>
              </w:rPr>
              <w:t xml:space="preserve">25 </w:t>
            </w:r>
            <w:r w:rsidRPr="00DA77C5">
              <w:rPr>
                <w:rFonts w:ascii="Arial" w:hAnsi="Arial" w:cs="Arial"/>
                <w:sz w:val="20"/>
              </w:rPr>
              <w:t>kg</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11</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15.8 (120%)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246 (221%)</w:t>
            </w:r>
          </w:p>
        </w:tc>
      </w:tr>
      <w:tr w:rsidR="00073032" w:rsidRPr="00DA77C5" w:rsidTr="00DA77C5">
        <w:tc>
          <w:tcPr>
            <w:tcW w:w="1402"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6 to 11</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Chewable tablet</w:t>
            </w:r>
          </w:p>
        </w:tc>
        <w:tc>
          <w:tcPr>
            <w:tcW w:w="1902"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rsidP="000D17AB">
            <w:pPr>
              <w:rPr>
                <w:rFonts w:ascii="Arial" w:hAnsi="Arial" w:cs="Arial"/>
                <w:sz w:val="20"/>
              </w:rPr>
            </w:pPr>
            <w:r w:rsidRPr="00DA77C5">
              <w:rPr>
                <w:rFonts w:ascii="Arial" w:hAnsi="Arial" w:cs="Arial"/>
                <w:sz w:val="20"/>
              </w:rPr>
              <w:t xml:space="preserve">Weight based dosing, see Table </w:t>
            </w:r>
            <w:r w:rsidR="00234DA7" w:rsidRPr="000D17AB">
              <w:rPr>
                <w:rFonts w:ascii="Arial" w:hAnsi="Arial" w:cs="Arial"/>
                <w:sz w:val="20"/>
              </w:rPr>
              <w:t>15</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10</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22.6 (34%)</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130 (88%)</w:t>
            </w:r>
          </w:p>
        </w:tc>
      </w:tr>
      <w:tr w:rsidR="00073032" w:rsidRPr="00DA77C5" w:rsidTr="00DA77C5">
        <w:tc>
          <w:tcPr>
            <w:tcW w:w="1402"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2 to 5</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Chewable tablet</w:t>
            </w:r>
          </w:p>
        </w:tc>
        <w:tc>
          <w:tcPr>
            <w:tcW w:w="1902"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rsidP="000D17AB">
            <w:pPr>
              <w:rPr>
                <w:rFonts w:ascii="Arial" w:hAnsi="Arial" w:cs="Arial"/>
                <w:sz w:val="20"/>
              </w:rPr>
            </w:pPr>
            <w:r w:rsidRPr="00DA77C5">
              <w:rPr>
                <w:rFonts w:ascii="Arial" w:hAnsi="Arial" w:cs="Arial"/>
                <w:sz w:val="20"/>
              </w:rPr>
              <w:t xml:space="preserve">Weight based dosing, see Table </w:t>
            </w:r>
            <w:r w:rsidR="00234DA7" w:rsidRPr="000D17AB">
              <w:rPr>
                <w:rFonts w:ascii="Arial" w:hAnsi="Arial" w:cs="Arial"/>
                <w:sz w:val="20"/>
              </w:rPr>
              <w:t>15</w:t>
            </w:r>
            <w:r w:rsidRPr="00DA77C5">
              <w:rPr>
                <w:rFonts w:ascii="Arial" w:hAnsi="Arial" w:cs="Arial"/>
                <w:sz w:val="20"/>
              </w:rPr>
              <w:t>.</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12</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18.0 (59%)</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073032" w:rsidRPr="00DA77C5" w:rsidRDefault="00073032">
            <w:pPr>
              <w:rPr>
                <w:rFonts w:ascii="Arial" w:hAnsi="Arial" w:cs="Arial"/>
                <w:sz w:val="20"/>
              </w:rPr>
            </w:pPr>
            <w:r w:rsidRPr="00DA77C5">
              <w:rPr>
                <w:rFonts w:ascii="Arial" w:hAnsi="Arial" w:cs="Arial"/>
                <w:sz w:val="20"/>
              </w:rPr>
              <w:t>71 (55%)</w:t>
            </w:r>
          </w:p>
        </w:tc>
      </w:tr>
    </w:tbl>
    <w:p w:rsidR="00073032" w:rsidRDefault="00073032" w:rsidP="00073032">
      <w:pPr>
        <w:rPr>
          <w:rFonts w:ascii="Arial" w:hAnsi="Arial" w:cs="Arial"/>
          <w:sz w:val="16"/>
          <w:szCs w:val="16"/>
        </w:rPr>
      </w:pPr>
      <w:r>
        <w:rPr>
          <w:rFonts w:ascii="Arial" w:hAnsi="Arial" w:cs="Arial"/>
          <w:sz w:val="16"/>
          <w:szCs w:val="16"/>
        </w:rPr>
        <w:t># Number of patients with intensive pharmacokinetic (PK) results at the final recommended dose.</w:t>
      </w:r>
    </w:p>
    <w:p w:rsidR="00073032" w:rsidRDefault="00073032" w:rsidP="00073032">
      <w:pPr>
        <w:rPr>
          <w:rFonts w:ascii="Arial" w:hAnsi="Arial" w:cs="Arial"/>
          <w:sz w:val="16"/>
          <w:szCs w:val="16"/>
        </w:rPr>
      </w:pPr>
      <w:r>
        <w:rPr>
          <w:rFonts w:ascii="Arial" w:hAnsi="Arial" w:cs="Arial"/>
          <w:sz w:val="16"/>
          <w:szCs w:val="16"/>
        </w:rPr>
        <w:t>¥ Patients in this age group received approximately 8 mg/kg dose at time of intensive PK which met PK and safety targets.  Based on review of the individual profiles and receipt of a mean dose of 390 mg, 400 mg twice daily was selected as the recommended dose for this age group.</w:t>
      </w:r>
    </w:p>
    <w:p w:rsidR="00A6131D" w:rsidRDefault="00D751D7" w:rsidP="00D751D7">
      <w:pPr>
        <w:jc w:val="both"/>
        <w:outlineLvl w:val="0"/>
        <w:rPr>
          <w:rFonts w:ascii="Arial" w:hAnsi="Arial" w:cs="Arial"/>
          <w:bCs/>
          <w:sz w:val="22"/>
          <w:szCs w:val="22"/>
        </w:rPr>
      </w:pPr>
      <w:r>
        <w:rPr>
          <w:rFonts w:ascii="Arial" w:hAnsi="Arial" w:cs="Arial"/>
          <w:bCs/>
          <w:sz w:val="22"/>
          <w:szCs w:val="22"/>
        </w:rPr>
        <w:lastRenderedPageBreak/>
        <w:t xml:space="preserve">The pharmacokinetics of raltegravir in </w:t>
      </w:r>
      <w:r w:rsidR="002F29D8">
        <w:rPr>
          <w:rFonts w:ascii="Arial" w:hAnsi="Arial" w:cs="Arial"/>
          <w:bCs/>
          <w:sz w:val="22"/>
          <w:szCs w:val="22"/>
        </w:rPr>
        <w:t>children</w:t>
      </w:r>
      <w:r>
        <w:rPr>
          <w:rFonts w:ascii="Arial" w:hAnsi="Arial" w:cs="Arial"/>
          <w:bCs/>
          <w:sz w:val="22"/>
          <w:szCs w:val="22"/>
        </w:rPr>
        <w:t xml:space="preserve"> </w:t>
      </w:r>
      <w:r w:rsidR="006A3F48">
        <w:rPr>
          <w:rFonts w:ascii="Arial" w:hAnsi="Arial" w:cs="Arial"/>
          <w:bCs/>
          <w:sz w:val="22"/>
          <w:szCs w:val="22"/>
        </w:rPr>
        <w:t xml:space="preserve">less than </w:t>
      </w:r>
      <w:r w:rsidR="002F29D8">
        <w:rPr>
          <w:rFonts w:ascii="Arial" w:hAnsi="Arial" w:cs="Arial"/>
          <w:bCs/>
          <w:sz w:val="22"/>
          <w:szCs w:val="22"/>
        </w:rPr>
        <w:t>2</w:t>
      </w:r>
      <w:r w:rsidR="006A3F48">
        <w:rPr>
          <w:rFonts w:ascii="Arial" w:hAnsi="Arial" w:cs="Arial"/>
          <w:bCs/>
          <w:sz w:val="22"/>
          <w:szCs w:val="22"/>
        </w:rPr>
        <w:t xml:space="preserve"> years of age </w:t>
      </w:r>
      <w:r>
        <w:rPr>
          <w:rFonts w:ascii="Arial" w:hAnsi="Arial" w:cs="Arial"/>
          <w:bCs/>
          <w:sz w:val="22"/>
          <w:szCs w:val="22"/>
        </w:rPr>
        <w:t xml:space="preserve">has not been established. </w:t>
      </w:r>
    </w:p>
    <w:p w:rsidR="00D751D7" w:rsidRPr="00D751D7" w:rsidRDefault="00D751D7" w:rsidP="00A6131D">
      <w:pPr>
        <w:pStyle w:val="Heading5"/>
      </w:pPr>
      <w:r w:rsidRPr="00D751D7">
        <w:t>Race</w:t>
      </w:r>
    </w:p>
    <w:p w:rsidR="00D751D7" w:rsidRDefault="00D751D7" w:rsidP="00D751D7">
      <w:pPr>
        <w:jc w:val="both"/>
        <w:rPr>
          <w:rFonts w:ascii="Arial" w:hAnsi="Arial" w:cs="Arial"/>
          <w:bCs/>
          <w:sz w:val="22"/>
          <w:szCs w:val="22"/>
        </w:rPr>
      </w:pPr>
      <w:r>
        <w:rPr>
          <w:rFonts w:ascii="Arial" w:hAnsi="Arial" w:cs="Arial"/>
          <w:bCs/>
          <w:sz w:val="22"/>
          <w:szCs w:val="22"/>
        </w:rPr>
        <w:t>The effect of race on the pharmacokinetics of raltegravir was evaluated in the composite analysis. There was no clinically meaningful effect of race on raltegravir</w:t>
      </w:r>
      <w:r w:rsidDel="00483C14">
        <w:rPr>
          <w:rFonts w:ascii="Arial" w:hAnsi="Arial" w:cs="Arial"/>
          <w:bCs/>
          <w:sz w:val="22"/>
          <w:szCs w:val="22"/>
        </w:rPr>
        <w:t xml:space="preserve"> </w:t>
      </w:r>
      <w:r>
        <w:rPr>
          <w:rFonts w:ascii="Arial" w:hAnsi="Arial" w:cs="Arial"/>
          <w:bCs/>
          <w:sz w:val="22"/>
          <w:szCs w:val="22"/>
        </w:rPr>
        <w:t>pharmacokinetics. No dosage adjustment is necessary.</w:t>
      </w:r>
    </w:p>
    <w:p w:rsidR="00D751D7" w:rsidRPr="00D751D7" w:rsidRDefault="00D751D7" w:rsidP="00A6131D">
      <w:pPr>
        <w:pStyle w:val="Heading5"/>
      </w:pPr>
      <w:r w:rsidRPr="00D751D7">
        <w:t>Body Mass Index (BMI)</w:t>
      </w:r>
    </w:p>
    <w:p w:rsidR="00D751D7" w:rsidRDefault="00D751D7" w:rsidP="00AA1580">
      <w:pPr>
        <w:jc w:val="both"/>
        <w:rPr>
          <w:rFonts w:ascii="Arial" w:hAnsi="Arial" w:cs="Arial"/>
          <w:bCs/>
          <w:sz w:val="22"/>
          <w:szCs w:val="22"/>
        </w:rPr>
      </w:pPr>
      <w:r>
        <w:rPr>
          <w:rFonts w:ascii="Arial" w:hAnsi="Arial" w:cs="Arial"/>
          <w:bCs/>
          <w:sz w:val="22"/>
          <w:szCs w:val="22"/>
        </w:rPr>
        <w:t>The composite analysis assessed the effect of BMI on the pharmacokinetics of raltegravir</w:t>
      </w:r>
      <w:r w:rsidR="007875D3">
        <w:rPr>
          <w:rFonts w:ascii="Arial" w:hAnsi="Arial" w:cs="Arial"/>
          <w:bCs/>
          <w:sz w:val="22"/>
          <w:szCs w:val="22"/>
        </w:rPr>
        <w:t xml:space="preserve"> in adults</w:t>
      </w:r>
      <w:r>
        <w:rPr>
          <w:rFonts w:ascii="Arial" w:hAnsi="Arial" w:cs="Arial"/>
          <w:bCs/>
          <w:sz w:val="22"/>
          <w:szCs w:val="22"/>
        </w:rPr>
        <w:t>. There was no clinically meaningful effect of BMI on raltegravir</w:t>
      </w:r>
      <w:r w:rsidDel="00483C14">
        <w:rPr>
          <w:rFonts w:ascii="Arial" w:hAnsi="Arial" w:cs="Arial"/>
          <w:bCs/>
          <w:sz w:val="22"/>
          <w:szCs w:val="22"/>
        </w:rPr>
        <w:t xml:space="preserve"> </w:t>
      </w:r>
      <w:r>
        <w:rPr>
          <w:rFonts w:ascii="Arial" w:hAnsi="Arial" w:cs="Arial"/>
          <w:bCs/>
          <w:sz w:val="22"/>
          <w:szCs w:val="22"/>
        </w:rPr>
        <w:t>pharmacokinetics. Additionally, no clinically meaningful effect of body weight on raltegravir pharmacokinetics was identified in the population PK analysis. No dosage adjustment is necessary.</w:t>
      </w:r>
    </w:p>
    <w:p w:rsidR="00D751D7" w:rsidRPr="00D751D7" w:rsidRDefault="00D751D7" w:rsidP="00A6131D">
      <w:pPr>
        <w:pStyle w:val="Heading5"/>
      </w:pPr>
      <w:r w:rsidRPr="00D751D7">
        <w:t>Hepatic Insufficiency</w:t>
      </w:r>
    </w:p>
    <w:p w:rsidR="00D751D7" w:rsidRDefault="00D751D7" w:rsidP="00D751D7">
      <w:pPr>
        <w:jc w:val="both"/>
        <w:rPr>
          <w:rFonts w:ascii="Arial" w:hAnsi="Arial" w:cs="Arial"/>
          <w:sz w:val="22"/>
          <w:szCs w:val="22"/>
        </w:rPr>
      </w:pPr>
      <w:r>
        <w:rPr>
          <w:rFonts w:ascii="Arial" w:hAnsi="Arial" w:cs="Arial"/>
          <w:noProof/>
          <w:sz w:val="22"/>
          <w:szCs w:val="22"/>
        </w:rPr>
        <w:t>Raltegravir</w:t>
      </w:r>
      <w:r>
        <w:rPr>
          <w:rFonts w:ascii="Arial" w:hAnsi="Arial" w:cs="Arial"/>
          <w:sz w:val="22"/>
          <w:szCs w:val="22"/>
        </w:rPr>
        <w:t xml:space="preserve"> is eliminated primarily by glucuronidation in the liver. A study of the pharmacokinetics of raltegravir was performed in </w:t>
      </w:r>
      <w:r w:rsidR="007875D3">
        <w:rPr>
          <w:rFonts w:ascii="Arial" w:hAnsi="Arial" w:cs="Arial"/>
          <w:sz w:val="22"/>
          <w:szCs w:val="22"/>
        </w:rPr>
        <w:t xml:space="preserve">adult </w:t>
      </w:r>
      <w:r>
        <w:rPr>
          <w:rFonts w:ascii="Arial" w:hAnsi="Arial" w:cs="Arial"/>
          <w:sz w:val="22"/>
          <w:szCs w:val="22"/>
        </w:rPr>
        <w:t>patients with moderate hepatic insufficiency.</w:t>
      </w:r>
      <w:r w:rsidR="00A6131D">
        <w:rPr>
          <w:rFonts w:ascii="Arial" w:hAnsi="Arial" w:cs="Arial"/>
          <w:color w:val="0000FF"/>
          <w:sz w:val="22"/>
          <w:szCs w:val="22"/>
        </w:rPr>
        <w:t xml:space="preserve"> </w:t>
      </w:r>
      <w:r>
        <w:rPr>
          <w:rFonts w:ascii="Arial" w:hAnsi="Arial" w:cs="Arial"/>
          <w:sz w:val="22"/>
          <w:szCs w:val="22"/>
        </w:rPr>
        <w:t xml:space="preserve">Additionally, hepatic insufficiency was evaluated in the composite pharmacokinetic analysis. There were no clinically important pharmacokinetic differences between patients with moderate hepatic insufficiency and healthy </w:t>
      </w:r>
      <w:r w:rsidR="006F502C">
        <w:rPr>
          <w:rFonts w:ascii="Arial" w:hAnsi="Arial" w:cs="Arial"/>
          <w:sz w:val="22"/>
          <w:szCs w:val="22"/>
        </w:rPr>
        <w:t>individuals</w:t>
      </w:r>
      <w:r>
        <w:rPr>
          <w:rFonts w:ascii="Arial" w:hAnsi="Arial" w:cs="Arial"/>
          <w:sz w:val="22"/>
          <w:szCs w:val="22"/>
        </w:rPr>
        <w:t>. No dosage adjustment is necessary for patients with mild to moderate hepatic insufficiency. The effect of severe hepatic insufficiency on the pharmacokinetics of raltegravir has not been studied.</w:t>
      </w:r>
    </w:p>
    <w:p w:rsidR="00D751D7" w:rsidRPr="00D751D7" w:rsidRDefault="00D751D7" w:rsidP="00A6131D">
      <w:pPr>
        <w:pStyle w:val="Heading5"/>
      </w:pPr>
      <w:r w:rsidRPr="00D751D7">
        <w:t>Renal Insufficiency</w:t>
      </w:r>
    </w:p>
    <w:p w:rsidR="00D751D7" w:rsidRPr="00B557E5" w:rsidRDefault="00D751D7" w:rsidP="00D751D7">
      <w:pPr>
        <w:autoSpaceDE w:val="0"/>
        <w:autoSpaceDN w:val="0"/>
        <w:adjustRightInd w:val="0"/>
        <w:jc w:val="both"/>
        <w:rPr>
          <w:rFonts w:ascii="Arial" w:hAnsi="Arial" w:cs="Arial"/>
          <w:sz w:val="22"/>
          <w:szCs w:val="22"/>
        </w:rPr>
      </w:pPr>
      <w:r w:rsidRPr="0052205F">
        <w:rPr>
          <w:rFonts w:ascii="Arial" w:hAnsi="Arial" w:cs="Arial"/>
          <w:sz w:val="22"/>
          <w:szCs w:val="22"/>
        </w:rPr>
        <w:t>Renal clearance of unchanged drug is a minor pathway of elimination.</w:t>
      </w:r>
      <w:r>
        <w:rPr>
          <w:rFonts w:ascii="Arial" w:hAnsi="Arial" w:cs="Arial"/>
          <w:sz w:val="22"/>
          <w:szCs w:val="22"/>
        </w:rPr>
        <w:t xml:space="preserve"> </w:t>
      </w:r>
      <w:r w:rsidRPr="0052205F">
        <w:rPr>
          <w:rFonts w:ascii="Arial" w:hAnsi="Arial" w:cs="Arial"/>
          <w:sz w:val="22"/>
          <w:szCs w:val="22"/>
        </w:rPr>
        <w:t xml:space="preserve">A study of the pharmacokinetics of raltegravir was performed in </w:t>
      </w:r>
      <w:r w:rsidR="007875D3">
        <w:rPr>
          <w:rFonts w:ascii="Arial" w:hAnsi="Arial" w:cs="Arial"/>
          <w:sz w:val="22"/>
          <w:szCs w:val="22"/>
        </w:rPr>
        <w:t xml:space="preserve">adult </w:t>
      </w:r>
      <w:r w:rsidRPr="0052205F">
        <w:rPr>
          <w:rFonts w:ascii="Arial" w:hAnsi="Arial" w:cs="Arial"/>
          <w:sz w:val="22"/>
          <w:szCs w:val="22"/>
        </w:rPr>
        <w:t>patients with severe renal insufficiency.</w:t>
      </w:r>
      <w:r w:rsidR="00AA1580" w:rsidRPr="00707CD2">
        <w:rPr>
          <w:rFonts w:ascii="Arial" w:hAnsi="Arial" w:cs="Arial"/>
          <w:b/>
          <w:color w:val="0000FF"/>
          <w:sz w:val="22"/>
          <w:szCs w:val="22"/>
        </w:rPr>
        <w:t xml:space="preserve"> </w:t>
      </w:r>
      <w:r>
        <w:rPr>
          <w:rFonts w:ascii="Arial" w:hAnsi="Arial" w:cs="Arial"/>
          <w:sz w:val="22"/>
          <w:szCs w:val="22"/>
        </w:rPr>
        <w:t xml:space="preserve"> </w:t>
      </w:r>
      <w:r w:rsidRPr="0052205F">
        <w:rPr>
          <w:rFonts w:ascii="Arial" w:hAnsi="Arial" w:cs="Arial"/>
          <w:sz w:val="22"/>
          <w:szCs w:val="22"/>
        </w:rPr>
        <w:t>Additionally, renal insufficiency was evaluated in the composite pharmacokinetic analysis.</w:t>
      </w:r>
      <w:r>
        <w:rPr>
          <w:rFonts w:ascii="Arial" w:hAnsi="Arial" w:cs="Arial"/>
          <w:sz w:val="22"/>
          <w:szCs w:val="22"/>
        </w:rPr>
        <w:t xml:space="preserve"> </w:t>
      </w:r>
      <w:r w:rsidRPr="0052205F">
        <w:rPr>
          <w:rFonts w:ascii="Arial" w:hAnsi="Arial" w:cs="Arial"/>
          <w:sz w:val="22"/>
          <w:szCs w:val="22"/>
        </w:rPr>
        <w:t xml:space="preserve">There were no clinically important pharmacokinetic differences between patients with severe renal insufficiency and healthy </w:t>
      </w:r>
      <w:r w:rsidR="006F502C">
        <w:rPr>
          <w:rFonts w:ascii="Arial" w:hAnsi="Arial" w:cs="Arial"/>
          <w:sz w:val="22"/>
          <w:szCs w:val="22"/>
        </w:rPr>
        <w:t>individuals</w:t>
      </w:r>
      <w:r w:rsidRPr="0052205F">
        <w:rPr>
          <w:rFonts w:ascii="Arial" w:hAnsi="Arial" w:cs="Arial"/>
          <w:sz w:val="22"/>
          <w:szCs w:val="22"/>
        </w:rPr>
        <w:t>. No dosage adjustment is necessary.</w:t>
      </w:r>
      <w:r>
        <w:rPr>
          <w:rFonts w:ascii="Arial" w:hAnsi="Arial" w:cs="Arial"/>
          <w:sz w:val="22"/>
          <w:szCs w:val="22"/>
        </w:rPr>
        <w:t xml:space="preserve"> </w:t>
      </w:r>
      <w:r w:rsidRPr="008065E7">
        <w:rPr>
          <w:rFonts w:ascii="Arial" w:hAnsi="Arial" w:cs="Arial"/>
          <w:sz w:val="22"/>
          <w:szCs w:val="22"/>
        </w:rPr>
        <w:t>Because the extent to which ISENTRESS may be dialyzable is unknown, dosing before a dialysis session should be avoided.</w:t>
      </w:r>
    </w:p>
    <w:p w:rsidR="00D751D7" w:rsidRPr="00D751D7" w:rsidRDefault="00D751D7" w:rsidP="00A6131D">
      <w:pPr>
        <w:pStyle w:val="Heading5"/>
      </w:pPr>
      <w:bookmarkStart w:id="2" w:name="OLE_LINK41"/>
      <w:bookmarkStart w:id="3" w:name="OLE_LINK42"/>
      <w:r w:rsidRPr="00D751D7">
        <w:t>UGT1A1 Polymorphism</w:t>
      </w:r>
    </w:p>
    <w:p w:rsidR="00707CD2" w:rsidRDefault="004F2E0E" w:rsidP="004F2E0E">
      <w:pPr>
        <w:jc w:val="both"/>
        <w:rPr>
          <w:rFonts w:ascii="Arial" w:hAnsi="Arial" w:cs="Arial"/>
          <w:b/>
          <w:color w:val="0000FF"/>
          <w:sz w:val="22"/>
          <w:szCs w:val="22"/>
        </w:rPr>
      </w:pPr>
      <w:bookmarkStart w:id="4" w:name="OLE_LINK2"/>
      <w:bookmarkEnd w:id="2"/>
      <w:bookmarkEnd w:id="3"/>
      <w:r w:rsidRPr="00110D05">
        <w:rPr>
          <w:rFonts w:ascii="Arial" w:hAnsi="Arial" w:cs="Arial"/>
          <w:sz w:val="22"/>
          <w:szCs w:val="22"/>
        </w:rPr>
        <w:t xml:space="preserve">There is no evidence that common UGT1A1 polymorphisms alter raltegravir pharmacokinetics to a clinically meaningful extent.  In a comparison of 30 </w:t>
      </w:r>
      <w:r w:rsidR="002F29D8">
        <w:rPr>
          <w:rFonts w:ascii="Arial" w:hAnsi="Arial" w:cs="Arial"/>
          <w:sz w:val="22"/>
          <w:szCs w:val="22"/>
        </w:rPr>
        <w:t xml:space="preserve">adult </w:t>
      </w:r>
      <w:r w:rsidR="006F502C">
        <w:rPr>
          <w:rFonts w:ascii="Arial" w:hAnsi="Arial" w:cs="Arial"/>
          <w:sz w:val="22"/>
          <w:szCs w:val="22"/>
        </w:rPr>
        <w:t>individuals</w:t>
      </w:r>
      <w:r w:rsidRPr="00110D05">
        <w:rPr>
          <w:rFonts w:ascii="Arial" w:hAnsi="Arial" w:cs="Arial"/>
          <w:sz w:val="22"/>
          <w:szCs w:val="22"/>
        </w:rPr>
        <w:t xml:space="preserve"> with *28/*28 genotype (associated with reduced activity of UGT1A1) to 27 </w:t>
      </w:r>
      <w:r w:rsidR="007875D3">
        <w:rPr>
          <w:rFonts w:ascii="Arial" w:hAnsi="Arial" w:cs="Arial"/>
          <w:sz w:val="22"/>
          <w:szCs w:val="22"/>
        </w:rPr>
        <w:t xml:space="preserve">adult </w:t>
      </w:r>
      <w:r w:rsidR="006F502C">
        <w:rPr>
          <w:rFonts w:ascii="Arial" w:hAnsi="Arial" w:cs="Arial"/>
          <w:sz w:val="22"/>
          <w:szCs w:val="22"/>
        </w:rPr>
        <w:t>individuals</w:t>
      </w:r>
      <w:r w:rsidRPr="00110D05">
        <w:rPr>
          <w:rFonts w:ascii="Arial" w:hAnsi="Arial" w:cs="Arial"/>
          <w:sz w:val="22"/>
          <w:szCs w:val="22"/>
        </w:rPr>
        <w:t xml:space="preserve"> with wild-type genotype, the geometric mean ratio (90% CI) of AUC was 1.41 (0.96, 2.09).</w:t>
      </w:r>
    </w:p>
    <w:bookmarkEnd w:id="4"/>
    <w:p w:rsidR="00756125" w:rsidRPr="00C24699" w:rsidRDefault="00756125" w:rsidP="00D35A54">
      <w:pPr>
        <w:pStyle w:val="Heading3"/>
      </w:pPr>
      <w:r w:rsidRPr="00C24699">
        <w:t>CLINICAL TRIALS</w:t>
      </w:r>
    </w:p>
    <w:p w:rsidR="002F29D8" w:rsidRPr="002F29D8" w:rsidRDefault="002F29D8" w:rsidP="00A6131D">
      <w:pPr>
        <w:pStyle w:val="Heading4"/>
        <w:rPr>
          <w:lang w:bidi="th-TH"/>
        </w:rPr>
      </w:pPr>
      <w:r w:rsidRPr="002F29D8">
        <w:rPr>
          <w:lang w:bidi="th-TH"/>
        </w:rPr>
        <w:t>A</w:t>
      </w:r>
      <w:r>
        <w:rPr>
          <w:lang w:bidi="th-TH"/>
        </w:rPr>
        <w:t>dults</w:t>
      </w:r>
    </w:p>
    <w:p w:rsidR="006A3F48" w:rsidRDefault="00756125" w:rsidP="006A3F48">
      <w:pPr>
        <w:rPr>
          <w:rFonts w:ascii="Arial" w:hAnsi="Arial" w:cs="Arial"/>
          <w:sz w:val="22"/>
          <w:szCs w:val="22"/>
          <w:lang w:bidi="th-TH"/>
        </w:rPr>
      </w:pPr>
      <w:r>
        <w:rPr>
          <w:rFonts w:ascii="Arial" w:hAnsi="Arial" w:cs="Arial"/>
          <w:sz w:val="22"/>
          <w:szCs w:val="22"/>
          <w:lang w:bidi="th-TH"/>
        </w:rPr>
        <w:t xml:space="preserve">The evidence of </w:t>
      </w:r>
      <w:r w:rsidR="003855CA">
        <w:rPr>
          <w:rFonts w:ascii="Arial" w:hAnsi="Arial" w:cs="Arial"/>
          <w:sz w:val="22"/>
          <w:szCs w:val="22"/>
          <w:lang w:bidi="th-TH"/>
        </w:rPr>
        <w:t xml:space="preserve">durable </w:t>
      </w:r>
      <w:r>
        <w:rPr>
          <w:rFonts w:ascii="Arial" w:hAnsi="Arial" w:cs="Arial"/>
          <w:sz w:val="22"/>
          <w:szCs w:val="22"/>
          <w:lang w:bidi="th-TH"/>
        </w:rPr>
        <w:t xml:space="preserve">efficacy of ISENTRESS is based on the analyses of </w:t>
      </w:r>
      <w:r w:rsidR="00700DB7">
        <w:rPr>
          <w:rFonts w:ascii="Arial" w:hAnsi="Arial" w:cs="Arial"/>
          <w:sz w:val="22"/>
          <w:szCs w:val="22"/>
          <w:lang w:bidi="th-TH"/>
        </w:rPr>
        <w:t xml:space="preserve">96 </w:t>
      </w:r>
      <w:r>
        <w:rPr>
          <w:rFonts w:ascii="Arial" w:hAnsi="Arial" w:cs="Arial"/>
          <w:sz w:val="22"/>
          <w:szCs w:val="22"/>
          <w:lang w:bidi="th-TH"/>
        </w:rPr>
        <w:t>week data from 2 ongoing, randomized, double</w:t>
      </w:r>
      <w:r>
        <w:rPr>
          <w:rFonts w:ascii="Arial" w:hAnsi="Arial" w:cs="Arial"/>
          <w:sz w:val="22"/>
          <w:szCs w:val="22"/>
          <w:lang w:bidi="th-TH"/>
        </w:rPr>
        <w:noBreakHyphen/>
        <w:t>blind, placebo</w:t>
      </w:r>
      <w:r>
        <w:rPr>
          <w:rFonts w:ascii="Arial" w:hAnsi="Arial" w:cs="Arial"/>
          <w:sz w:val="22"/>
          <w:szCs w:val="22"/>
          <w:lang w:bidi="th-TH"/>
        </w:rPr>
        <w:noBreakHyphen/>
        <w:t xml:space="preserve">controlled trials, BENCHMRK 1 and BENCHMRK 2 (Protocols 018 and 019), in antiretroviral </w:t>
      </w:r>
      <w:r>
        <w:rPr>
          <w:rFonts w:ascii="Arial" w:hAnsi="Arial" w:cs="Arial"/>
          <w:sz w:val="22"/>
          <w:szCs w:val="22"/>
          <w:lang w:bidi="th-TH"/>
        </w:rPr>
        <w:lastRenderedPageBreak/>
        <w:t>treatment</w:t>
      </w:r>
      <w:r>
        <w:rPr>
          <w:rFonts w:ascii="Arial" w:hAnsi="Arial" w:cs="Arial"/>
          <w:sz w:val="22"/>
          <w:szCs w:val="22"/>
          <w:lang w:bidi="th-TH"/>
        </w:rPr>
        <w:noBreakHyphen/>
        <w:t>experienced HIV-1 infected adult patients</w:t>
      </w:r>
      <w:r w:rsidR="006A3F48">
        <w:rPr>
          <w:rFonts w:ascii="Arial" w:hAnsi="Arial" w:cs="Arial"/>
          <w:sz w:val="22"/>
          <w:szCs w:val="22"/>
          <w:lang w:bidi="th-TH"/>
        </w:rPr>
        <w:t xml:space="preserve"> </w:t>
      </w:r>
      <w:r w:rsidR="006A3F48" w:rsidRPr="009B0C06">
        <w:rPr>
          <w:rFonts w:ascii="Arial" w:hAnsi="Arial" w:cs="Arial"/>
          <w:sz w:val="22"/>
          <w:szCs w:val="22"/>
          <w:lang w:bidi="th-TH"/>
        </w:rPr>
        <w:t xml:space="preserve">and the analysis of </w:t>
      </w:r>
      <w:r w:rsidR="00B50DB2" w:rsidRPr="006F502C">
        <w:rPr>
          <w:rFonts w:ascii="Arial" w:hAnsi="Arial" w:cs="Arial"/>
          <w:sz w:val="22"/>
          <w:szCs w:val="22"/>
          <w:lang w:bidi="th-TH"/>
        </w:rPr>
        <w:t>156</w:t>
      </w:r>
      <w:r w:rsidR="006A3F48" w:rsidRPr="006F502C">
        <w:rPr>
          <w:rFonts w:ascii="Arial" w:hAnsi="Arial" w:cs="Arial"/>
          <w:sz w:val="22"/>
          <w:szCs w:val="22"/>
          <w:lang w:bidi="th-TH"/>
        </w:rPr>
        <w:t>-</w:t>
      </w:r>
      <w:r w:rsidR="006A3F48" w:rsidRPr="009B0C06">
        <w:rPr>
          <w:rFonts w:ascii="Arial" w:hAnsi="Arial" w:cs="Arial"/>
          <w:sz w:val="22"/>
          <w:szCs w:val="22"/>
          <w:lang w:bidi="th-TH"/>
        </w:rPr>
        <w:t>week data from an ongoing, randomized, double-blind, active-control trial, STARTMRK (P021)</w:t>
      </w:r>
      <w:r w:rsidR="00F40CDC">
        <w:rPr>
          <w:rFonts w:ascii="Arial" w:hAnsi="Arial" w:cs="Arial"/>
          <w:sz w:val="22"/>
          <w:szCs w:val="22"/>
          <w:lang w:bidi="th-TH"/>
        </w:rPr>
        <w:t xml:space="preserve"> in treatment-naïve HIV-1 infected adult patients</w:t>
      </w:r>
      <w:r>
        <w:rPr>
          <w:rFonts w:ascii="Arial" w:hAnsi="Arial" w:cs="Arial"/>
          <w:sz w:val="22"/>
          <w:szCs w:val="22"/>
          <w:lang w:bidi="th-TH"/>
        </w:rPr>
        <w:t xml:space="preserve">. </w:t>
      </w:r>
      <w:r w:rsidR="00700DB7">
        <w:rPr>
          <w:rFonts w:ascii="Arial" w:hAnsi="Arial" w:cs="Arial"/>
          <w:sz w:val="22"/>
          <w:szCs w:val="22"/>
          <w:lang w:bidi="th-TH"/>
        </w:rPr>
        <w:t xml:space="preserve"> </w:t>
      </w:r>
    </w:p>
    <w:p w:rsidR="00756125" w:rsidRPr="006A3F48" w:rsidRDefault="00756125" w:rsidP="00A6131D">
      <w:pPr>
        <w:pStyle w:val="Heading4"/>
      </w:pPr>
      <w:r w:rsidRPr="006A3F48">
        <w:t>Treatment-Experienced Patients</w:t>
      </w:r>
    </w:p>
    <w:p w:rsidR="00756125" w:rsidRPr="00A717C6" w:rsidRDefault="00756125" w:rsidP="00756125">
      <w:pPr>
        <w:jc w:val="both"/>
        <w:rPr>
          <w:rFonts w:ascii="Arial" w:hAnsi="Arial" w:cs="Arial"/>
          <w:sz w:val="22"/>
          <w:szCs w:val="22"/>
          <w:lang w:bidi="th-TH"/>
        </w:rPr>
      </w:pPr>
      <w:r w:rsidRPr="000954A4">
        <w:rPr>
          <w:rFonts w:ascii="Arial" w:hAnsi="Arial" w:cs="Arial"/>
          <w:sz w:val="22"/>
          <w:szCs w:val="22"/>
          <w:lang w:bidi="th-TH"/>
        </w:rPr>
        <w:t>BENCHMRK 1</w:t>
      </w:r>
      <w:r w:rsidRPr="00A717C6">
        <w:rPr>
          <w:rFonts w:ascii="Arial" w:hAnsi="Arial" w:cs="Arial"/>
          <w:sz w:val="22"/>
          <w:szCs w:val="22"/>
          <w:lang w:bidi="th-TH"/>
        </w:rPr>
        <w:t xml:space="preserve"> and </w:t>
      </w:r>
      <w:r>
        <w:rPr>
          <w:rFonts w:ascii="Arial" w:hAnsi="Arial" w:cs="Arial"/>
          <w:sz w:val="22"/>
          <w:szCs w:val="22"/>
          <w:lang w:bidi="th-TH"/>
        </w:rPr>
        <w:t>BENCHMRK </w:t>
      </w:r>
      <w:r w:rsidRPr="00A717C6">
        <w:rPr>
          <w:rFonts w:ascii="Arial" w:hAnsi="Arial" w:cs="Arial"/>
          <w:sz w:val="22"/>
          <w:szCs w:val="22"/>
          <w:lang w:bidi="th-TH"/>
        </w:rPr>
        <w:t xml:space="preserve">2 are </w:t>
      </w:r>
      <w:r w:rsidRPr="00A717C6">
        <w:rPr>
          <w:rFonts w:ascii="Arial" w:hAnsi="Arial" w:cs="Arial"/>
          <w:sz w:val="22"/>
          <w:szCs w:val="22"/>
        </w:rPr>
        <w:t>Phase</w:t>
      </w:r>
      <w:r>
        <w:rPr>
          <w:rFonts w:ascii="Arial" w:hAnsi="Arial" w:cs="Arial"/>
          <w:sz w:val="22"/>
          <w:szCs w:val="22"/>
        </w:rPr>
        <w:t> III</w:t>
      </w:r>
      <w:r w:rsidRPr="00A717C6">
        <w:rPr>
          <w:rFonts w:ascii="Arial" w:hAnsi="Arial" w:cs="Arial"/>
          <w:sz w:val="22"/>
          <w:szCs w:val="22"/>
        </w:rPr>
        <w:t xml:space="preserve"> studies to evaluate the safety and antiretroviral activity of ISENTRESS 400</w:t>
      </w:r>
      <w:r>
        <w:rPr>
          <w:rFonts w:ascii="Arial" w:hAnsi="Arial" w:cs="Arial"/>
          <w:sz w:val="22"/>
          <w:szCs w:val="22"/>
        </w:rPr>
        <w:t> </w:t>
      </w:r>
      <w:r w:rsidRPr="00A717C6">
        <w:rPr>
          <w:rFonts w:ascii="Arial" w:hAnsi="Arial" w:cs="Arial"/>
          <w:sz w:val="22"/>
          <w:szCs w:val="22"/>
        </w:rPr>
        <w:t>mg b.i.d.</w:t>
      </w:r>
      <w:r w:rsidRPr="00A717C6">
        <w:rPr>
          <w:rFonts w:ascii="Arial" w:hAnsi="Arial" w:cs="Arial"/>
          <w:color w:val="000080"/>
          <w:sz w:val="22"/>
          <w:szCs w:val="22"/>
        </w:rPr>
        <w:t xml:space="preserve"> </w:t>
      </w:r>
      <w:r w:rsidRPr="00A717C6">
        <w:rPr>
          <w:rFonts w:ascii="Arial" w:hAnsi="Arial" w:cs="Arial"/>
          <w:sz w:val="22"/>
          <w:szCs w:val="22"/>
        </w:rPr>
        <w:t>in combination with an optimized background therapy (OBT), versus OBT alone, in HIV-infected patients, 16</w:t>
      </w:r>
      <w:r>
        <w:rPr>
          <w:rFonts w:ascii="Arial" w:hAnsi="Arial" w:cs="Arial"/>
          <w:sz w:val="22"/>
          <w:szCs w:val="22"/>
        </w:rPr>
        <w:t> </w:t>
      </w:r>
      <w:r w:rsidRPr="00A717C6">
        <w:rPr>
          <w:rFonts w:ascii="Arial" w:hAnsi="Arial" w:cs="Arial"/>
          <w:sz w:val="22"/>
          <w:szCs w:val="22"/>
        </w:rPr>
        <w:t>years or older, with documented resistance to at least 1</w:t>
      </w:r>
      <w:r>
        <w:rPr>
          <w:rFonts w:ascii="Arial" w:hAnsi="Arial" w:cs="Arial"/>
          <w:sz w:val="22"/>
          <w:szCs w:val="22"/>
        </w:rPr>
        <w:t> </w:t>
      </w:r>
      <w:r w:rsidRPr="00A717C6">
        <w:rPr>
          <w:rFonts w:ascii="Arial" w:hAnsi="Arial" w:cs="Arial"/>
          <w:sz w:val="22"/>
          <w:szCs w:val="22"/>
        </w:rPr>
        <w:t>drug in each of 3</w:t>
      </w:r>
      <w:r>
        <w:rPr>
          <w:rFonts w:ascii="Arial" w:hAnsi="Arial" w:cs="Arial"/>
          <w:sz w:val="22"/>
          <w:szCs w:val="22"/>
        </w:rPr>
        <w:t> </w:t>
      </w:r>
      <w:r w:rsidRPr="00A717C6">
        <w:rPr>
          <w:rFonts w:ascii="Arial" w:hAnsi="Arial" w:cs="Arial"/>
          <w:sz w:val="22"/>
          <w:szCs w:val="22"/>
        </w:rPr>
        <w:t xml:space="preserve">Classes (NRTIs, NNRTIs, PIs) of antiretroviral therapies. </w:t>
      </w:r>
      <w:r w:rsidRPr="00A717C6">
        <w:rPr>
          <w:rFonts w:ascii="Arial" w:hAnsi="Arial" w:cs="Arial"/>
          <w:sz w:val="22"/>
          <w:szCs w:val="22"/>
          <w:lang w:bidi="th-TH"/>
        </w:rPr>
        <w:t>Randomization was stratified by degree of resistance to PI (1PI vs. &gt;1PI) and the use</w:t>
      </w:r>
      <w:r>
        <w:rPr>
          <w:rFonts w:ascii="Arial" w:hAnsi="Arial" w:cs="Arial"/>
          <w:sz w:val="22"/>
          <w:szCs w:val="22"/>
          <w:lang w:bidi="th-TH"/>
        </w:rPr>
        <w:t xml:space="preserve"> </w:t>
      </w:r>
      <w:r w:rsidRPr="00A717C6">
        <w:rPr>
          <w:rFonts w:ascii="Arial" w:hAnsi="Arial" w:cs="Arial"/>
          <w:sz w:val="22"/>
          <w:szCs w:val="22"/>
          <w:lang w:bidi="th-TH"/>
        </w:rPr>
        <w:t>of enfuvirtide in the OBT. Prior to randomization, OBT was selected by the investigator based on genotypic/phenotypic resistance</w:t>
      </w:r>
      <w:r w:rsidR="00A6131D">
        <w:rPr>
          <w:rFonts w:ascii="Arial" w:hAnsi="Arial" w:cs="Arial"/>
          <w:sz w:val="22"/>
          <w:szCs w:val="22"/>
          <w:lang w:bidi="th-TH"/>
        </w:rPr>
        <w:t xml:space="preserve"> testing and prior ART history.</w:t>
      </w:r>
    </w:p>
    <w:p w:rsidR="00F23381" w:rsidRDefault="00756125" w:rsidP="00756125">
      <w:pPr>
        <w:jc w:val="both"/>
        <w:rPr>
          <w:rFonts w:ascii="Arial" w:hAnsi="Arial" w:cs="Arial"/>
          <w:sz w:val="22"/>
          <w:szCs w:val="22"/>
          <w:lang w:bidi="th-TH"/>
        </w:rPr>
      </w:pPr>
      <w:r w:rsidRPr="00A717C6">
        <w:rPr>
          <w:rFonts w:ascii="Arial" w:hAnsi="Arial" w:cs="Arial"/>
          <w:sz w:val="22"/>
          <w:szCs w:val="22"/>
          <w:lang w:bidi="th-TH"/>
        </w:rPr>
        <w:t xml:space="preserve">Table </w:t>
      </w:r>
      <w:r w:rsidR="00750FB1">
        <w:rPr>
          <w:rFonts w:ascii="Arial" w:hAnsi="Arial" w:cs="Arial"/>
          <w:sz w:val="22"/>
          <w:szCs w:val="22"/>
          <w:lang w:bidi="th-TH"/>
        </w:rPr>
        <w:t>2</w:t>
      </w:r>
      <w:r w:rsidRPr="00A717C6">
        <w:rPr>
          <w:rFonts w:ascii="Arial" w:hAnsi="Arial" w:cs="Arial"/>
          <w:sz w:val="22"/>
          <w:szCs w:val="22"/>
          <w:lang w:bidi="th-TH"/>
        </w:rPr>
        <w:t xml:space="preserve"> shows the demographic characteristics between </w:t>
      </w:r>
      <w:r>
        <w:rPr>
          <w:rFonts w:ascii="Arial" w:hAnsi="Arial" w:cs="Arial"/>
          <w:sz w:val="22"/>
          <w:szCs w:val="22"/>
          <w:lang w:bidi="th-TH"/>
        </w:rPr>
        <w:t>patien</w:t>
      </w:r>
      <w:r w:rsidRPr="00A717C6">
        <w:rPr>
          <w:rFonts w:ascii="Arial" w:hAnsi="Arial" w:cs="Arial"/>
          <w:sz w:val="22"/>
          <w:szCs w:val="22"/>
          <w:lang w:bidi="th-TH"/>
        </w:rPr>
        <w:t xml:space="preserve">ts in the </w:t>
      </w:r>
      <w:r w:rsidR="006A3F48">
        <w:rPr>
          <w:rFonts w:ascii="Arial" w:hAnsi="Arial" w:cs="Arial"/>
          <w:sz w:val="22"/>
          <w:szCs w:val="22"/>
          <w:lang w:bidi="th-TH"/>
        </w:rPr>
        <w:t xml:space="preserve">group receiving </w:t>
      </w:r>
      <w:r w:rsidRPr="00A717C6">
        <w:rPr>
          <w:rFonts w:ascii="Arial" w:hAnsi="Arial" w:cs="Arial"/>
          <w:sz w:val="22"/>
          <w:szCs w:val="22"/>
          <w:lang w:bidi="th-TH"/>
        </w:rPr>
        <w:t>ISENTRESS 400</w:t>
      </w:r>
      <w:r>
        <w:rPr>
          <w:rFonts w:ascii="Arial" w:hAnsi="Arial" w:cs="Arial"/>
          <w:sz w:val="22"/>
          <w:szCs w:val="22"/>
          <w:lang w:bidi="th-TH"/>
        </w:rPr>
        <w:t> </w:t>
      </w:r>
      <w:r w:rsidRPr="00A717C6">
        <w:rPr>
          <w:rFonts w:ascii="Arial" w:hAnsi="Arial" w:cs="Arial"/>
          <w:sz w:val="22"/>
          <w:szCs w:val="22"/>
          <w:lang w:bidi="th-TH"/>
        </w:rPr>
        <w:t xml:space="preserve">mg b.i.d. </w:t>
      </w:r>
      <w:r w:rsidR="006A3F48">
        <w:rPr>
          <w:rFonts w:ascii="Arial" w:hAnsi="Arial" w:cs="Arial"/>
          <w:sz w:val="22"/>
          <w:szCs w:val="22"/>
          <w:lang w:bidi="th-TH"/>
        </w:rPr>
        <w:t xml:space="preserve"> </w:t>
      </w:r>
      <w:r w:rsidRPr="00A717C6">
        <w:rPr>
          <w:rFonts w:ascii="Arial" w:hAnsi="Arial" w:cs="Arial"/>
          <w:sz w:val="22"/>
          <w:szCs w:val="22"/>
          <w:lang w:bidi="th-TH"/>
        </w:rPr>
        <w:t xml:space="preserve">and </w:t>
      </w:r>
      <w:r>
        <w:rPr>
          <w:rFonts w:ascii="Arial" w:hAnsi="Arial" w:cs="Arial"/>
          <w:sz w:val="22"/>
          <w:szCs w:val="22"/>
          <w:lang w:bidi="th-TH"/>
        </w:rPr>
        <w:t>patient</w:t>
      </w:r>
      <w:r w:rsidRPr="00A717C6">
        <w:rPr>
          <w:rFonts w:ascii="Arial" w:hAnsi="Arial" w:cs="Arial"/>
          <w:sz w:val="22"/>
          <w:szCs w:val="22"/>
          <w:lang w:bidi="th-TH"/>
        </w:rPr>
        <w:t xml:space="preserve">s in the </w:t>
      </w:r>
      <w:r w:rsidR="006A3F48">
        <w:rPr>
          <w:rFonts w:ascii="Arial" w:hAnsi="Arial" w:cs="Arial"/>
          <w:sz w:val="22"/>
          <w:szCs w:val="22"/>
          <w:lang w:bidi="th-TH"/>
        </w:rPr>
        <w:t xml:space="preserve">group receiving </w:t>
      </w:r>
      <w:r w:rsidRPr="00A717C6">
        <w:rPr>
          <w:rFonts w:ascii="Arial" w:hAnsi="Arial" w:cs="Arial"/>
          <w:sz w:val="22"/>
          <w:szCs w:val="22"/>
          <w:lang w:bidi="th-TH"/>
        </w:rPr>
        <w:t>placebo.</w:t>
      </w:r>
    </w:p>
    <w:p w:rsidR="00756125" w:rsidRPr="003E7801" w:rsidRDefault="00756125" w:rsidP="00245874">
      <w:pPr>
        <w:pStyle w:val="Tabletitle"/>
        <w:rPr>
          <w:lang w:bidi="th-TH"/>
        </w:rPr>
      </w:pPr>
      <w:r w:rsidRPr="003E7801">
        <w:t xml:space="preserve">Table </w:t>
      </w:r>
      <w:r w:rsidR="00750FB1">
        <w:t>2</w:t>
      </w:r>
      <w:r w:rsidRPr="003E7801">
        <w:t xml:space="preserve">: </w:t>
      </w:r>
      <w:r w:rsidRPr="003E7801">
        <w:rPr>
          <w:lang w:bidi="th-TH"/>
        </w:rPr>
        <w:t>Baseline Characteristics</w:t>
      </w:r>
    </w:p>
    <w:tbl>
      <w:tblPr>
        <w:tblW w:w="8460" w:type="dxa"/>
        <w:jc w:val="center"/>
        <w:tblBorders>
          <w:top w:val="double" w:sz="4" w:space="0" w:color="auto"/>
          <w:left w:val="single" w:sz="4" w:space="0" w:color="auto"/>
          <w:bottom w:val="double" w:sz="4" w:space="0" w:color="auto"/>
          <w:right w:val="single" w:sz="4" w:space="0" w:color="auto"/>
        </w:tblBorders>
        <w:tblLayout w:type="fixed"/>
        <w:tblLook w:val="0000"/>
      </w:tblPr>
      <w:tblGrid>
        <w:gridCol w:w="3780"/>
        <w:gridCol w:w="2880"/>
        <w:gridCol w:w="1800"/>
      </w:tblGrid>
      <w:tr w:rsidR="00756125" w:rsidRPr="003E7801" w:rsidTr="006B56C2">
        <w:trPr>
          <w:tblHeader/>
          <w:jc w:val="center"/>
        </w:trPr>
        <w:tc>
          <w:tcPr>
            <w:tcW w:w="3780" w:type="dxa"/>
            <w:tcBorders>
              <w:top w:val="double" w:sz="4" w:space="0" w:color="auto"/>
              <w:bottom w:val="nil"/>
              <w:right w:val="single" w:sz="2" w:space="0" w:color="auto"/>
            </w:tcBorders>
          </w:tcPr>
          <w:p w:rsidR="00756125" w:rsidRPr="003E7801" w:rsidRDefault="00756125" w:rsidP="00805B7D">
            <w:pPr>
              <w:widowControl w:val="0"/>
              <w:autoSpaceDE w:val="0"/>
              <w:autoSpaceDN w:val="0"/>
              <w:adjustRightInd w:val="0"/>
              <w:spacing w:before="15" w:after="15"/>
              <w:jc w:val="center"/>
              <w:rPr>
                <w:rFonts w:ascii="Arial" w:hAnsi="Arial" w:cs="Arial"/>
                <w:sz w:val="16"/>
                <w:szCs w:val="16"/>
              </w:rPr>
            </w:pPr>
          </w:p>
        </w:tc>
        <w:tc>
          <w:tcPr>
            <w:tcW w:w="2880" w:type="dxa"/>
            <w:tcBorders>
              <w:top w:val="double" w:sz="4" w:space="0" w:color="auto"/>
              <w:left w:val="nil"/>
              <w:bottom w:val="nil"/>
              <w:right w:val="single" w:sz="2" w:space="0" w:color="auto"/>
            </w:tcBorders>
          </w:tcPr>
          <w:p w:rsidR="00756125" w:rsidRPr="007F44B0" w:rsidRDefault="00756125" w:rsidP="00805B7D">
            <w:pPr>
              <w:widowControl w:val="0"/>
              <w:autoSpaceDE w:val="0"/>
              <w:autoSpaceDN w:val="0"/>
              <w:adjustRightInd w:val="0"/>
              <w:spacing w:before="15" w:after="15"/>
              <w:jc w:val="center"/>
              <w:rPr>
                <w:rFonts w:ascii="Arial" w:hAnsi="Arial" w:cs="Arial"/>
                <w:sz w:val="16"/>
                <w:szCs w:val="16"/>
                <w:lang w:val="sv-SE"/>
              </w:rPr>
            </w:pPr>
            <w:r w:rsidRPr="007F44B0">
              <w:rPr>
                <w:rFonts w:ascii="Arial" w:hAnsi="Arial" w:cs="Arial"/>
                <w:sz w:val="16"/>
                <w:szCs w:val="16"/>
                <w:lang w:val="sv-SE"/>
              </w:rPr>
              <w:t>ISENTRESS 400 mg b.i.d.</w:t>
            </w:r>
          </w:p>
        </w:tc>
        <w:tc>
          <w:tcPr>
            <w:tcW w:w="1800" w:type="dxa"/>
            <w:tcBorders>
              <w:top w:val="double" w:sz="4"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15" w:after="15"/>
              <w:jc w:val="center"/>
              <w:rPr>
                <w:rFonts w:ascii="Arial" w:hAnsi="Arial" w:cs="Arial"/>
                <w:sz w:val="16"/>
                <w:szCs w:val="16"/>
              </w:rPr>
            </w:pPr>
            <w:r w:rsidRPr="003E7801">
              <w:rPr>
                <w:rFonts w:ascii="Arial" w:hAnsi="Arial" w:cs="Arial"/>
                <w:sz w:val="16"/>
                <w:szCs w:val="16"/>
              </w:rPr>
              <w:t xml:space="preserve">Placebo </w:t>
            </w:r>
          </w:p>
        </w:tc>
      </w:tr>
      <w:tr w:rsidR="00756125" w:rsidRPr="003E7801" w:rsidTr="006B56C2">
        <w:tblPrEx>
          <w:tblBorders>
            <w:top w:val="single" w:sz="4" w:space="0" w:color="auto"/>
            <w:bottom w:val="single" w:sz="4" w:space="0" w:color="auto"/>
          </w:tblBorders>
        </w:tblPrEx>
        <w:trPr>
          <w:tblHeader/>
          <w:jc w:val="center"/>
        </w:trPr>
        <w:tc>
          <w:tcPr>
            <w:tcW w:w="3780" w:type="dxa"/>
            <w:tcBorders>
              <w:top w:val="nil"/>
              <w:bottom w:val="nil"/>
              <w:right w:val="single" w:sz="2" w:space="0" w:color="auto"/>
            </w:tcBorders>
          </w:tcPr>
          <w:p w:rsidR="00756125" w:rsidRPr="003E7801" w:rsidRDefault="00756125" w:rsidP="00805B7D">
            <w:pPr>
              <w:widowControl w:val="0"/>
              <w:autoSpaceDE w:val="0"/>
              <w:autoSpaceDN w:val="0"/>
              <w:adjustRightInd w:val="0"/>
              <w:spacing w:before="15" w:after="15"/>
              <w:rPr>
                <w:rFonts w:ascii="Arial" w:hAnsi="Arial" w:cs="Arial"/>
                <w:sz w:val="16"/>
                <w:szCs w:val="16"/>
              </w:rPr>
            </w:pPr>
            <w:r w:rsidRPr="003E7801">
              <w:rPr>
                <w:rFonts w:ascii="Arial" w:hAnsi="Arial" w:cs="Arial"/>
                <w:sz w:val="16"/>
                <w:szCs w:val="16"/>
                <w:lang w:bidi="th-TH"/>
              </w:rPr>
              <w:t>BENCHMRK</w:t>
            </w:r>
            <w:r>
              <w:rPr>
                <w:rFonts w:ascii="Arial" w:hAnsi="Arial" w:cs="Arial"/>
                <w:sz w:val="16"/>
                <w:szCs w:val="16"/>
                <w:lang w:bidi="th-TH"/>
              </w:rPr>
              <w:t> </w:t>
            </w:r>
            <w:r w:rsidRPr="003E7801">
              <w:rPr>
                <w:rFonts w:ascii="Arial" w:hAnsi="Arial" w:cs="Arial"/>
                <w:sz w:val="16"/>
                <w:szCs w:val="16"/>
                <w:lang w:bidi="th-TH"/>
              </w:rPr>
              <w:t>1 and 2 Pooled</w:t>
            </w:r>
          </w:p>
        </w:tc>
        <w:tc>
          <w:tcPr>
            <w:tcW w:w="2880" w:type="dxa"/>
            <w:tcBorders>
              <w:top w:val="nil"/>
              <w:left w:val="nil"/>
              <w:bottom w:val="nil"/>
              <w:right w:val="single" w:sz="2" w:space="0" w:color="auto"/>
            </w:tcBorders>
          </w:tcPr>
          <w:p w:rsidR="00756125" w:rsidRPr="003E7801" w:rsidRDefault="00756125" w:rsidP="00805B7D">
            <w:pPr>
              <w:widowControl w:val="0"/>
              <w:autoSpaceDE w:val="0"/>
              <w:autoSpaceDN w:val="0"/>
              <w:adjustRightInd w:val="0"/>
              <w:spacing w:before="15" w:after="15"/>
              <w:jc w:val="center"/>
              <w:rPr>
                <w:rFonts w:ascii="Arial" w:hAnsi="Arial" w:cs="Arial"/>
                <w:sz w:val="16"/>
                <w:szCs w:val="16"/>
                <w:lang w:val="pt-BR"/>
              </w:rPr>
            </w:pPr>
            <w:r w:rsidRPr="003E7801">
              <w:rPr>
                <w:rFonts w:ascii="Arial" w:hAnsi="Arial" w:cs="Arial"/>
                <w:sz w:val="16"/>
                <w:szCs w:val="16"/>
                <w:lang w:val="pt-BR"/>
              </w:rPr>
              <w:t>+ OBT</w:t>
            </w:r>
          </w:p>
        </w:tc>
        <w:tc>
          <w:tcPr>
            <w:tcW w:w="1800" w:type="dxa"/>
            <w:tcBorders>
              <w:top w:val="nil"/>
              <w:left w:val="nil"/>
              <w:bottom w:val="nil"/>
              <w:right w:val="single" w:sz="2" w:space="0" w:color="auto"/>
            </w:tcBorders>
          </w:tcPr>
          <w:p w:rsidR="00756125" w:rsidRPr="003E7801" w:rsidRDefault="00756125" w:rsidP="00805B7D">
            <w:pPr>
              <w:widowControl w:val="0"/>
              <w:autoSpaceDE w:val="0"/>
              <w:autoSpaceDN w:val="0"/>
              <w:adjustRightInd w:val="0"/>
              <w:spacing w:before="15" w:after="15"/>
              <w:jc w:val="center"/>
              <w:rPr>
                <w:rFonts w:ascii="Arial" w:hAnsi="Arial" w:cs="Arial"/>
                <w:sz w:val="16"/>
                <w:szCs w:val="16"/>
                <w:lang w:val="pt-BR"/>
              </w:rPr>
            </w:pPr>
            <w:r w:rsidRPr="003E7801">
              <w:rPr>
                <w:rFonts w:ascii="Arial" w:hAnsi="Arial" w:cs="Arial"/>
                <w:sz w:val="16"/>
                <w:szCs w:val="16"/>
                <w:lang w:val="pt-BR"/>
              </w:rPr>
              <w:t xml:space="preserve"> </w:t>
            </w:r>
            <w:r w:rsidRPr="003E7801">
              <w:rPr>
                <w:rFonts w:ascii="Arial" w:hAnsi="Arial" w:cs="Arial"/>
                <w:sz w:val="16"/>
                <w:szCs w:val="16"/>
              </w:rPr>
              <w:t>+ OBT</w:t>
            </w:r>
          </w:p>
        </w:tc>
      </w:tr>
      <w:tr w:rsidR="00756125" w:rsidRPr="003E7801" w:rsidTr="006B56C2">
        <w:tblPrEx>
          <w:tblBorders>
            <w:top w:val="single" w:sz="4" w:space="0" w:color="auto"/>
            <w:bottom w:val="single" w:sz="4" w:space="0" w:color="auto"/>
          </w:tblBorders>
        </w:tblPrEx>
        <w:trPr>
          <w:tblHeader/>
          <w:jc w:val="center"/>
        </w:trPr>
        <w:tc>
          <w:tcPr>
            <w:tcW w:w="3780" w:type="dxa"/>
            <w:tcBorders>
              <w:top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rPr>
                <w:rFonts w:ascii="Arial" w:hAnsi="Arial" w:cs="Arial"/>
                <w:sz w:val="16"/>
                <w:szCs w:val="16"/>
                <w:lang w:val="pt-BR"/>
              </w:rPr>
            </w:pPr>
          </w:p>
        </w:tc>
        <w:tc>
          <w:tcPr>
            <w:tcW w:w="288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jc w:val="center"/>
              <w:rPr>
                <w:rFonts w:ascii="Arial" w:hAnsi="Arial" w:cs="Arial"/>
                <w:sz w:val="16"/>
                <w:szCs w:val="16"/>
                <w:lang w:val="pt-BR"/>
              </w:rPr>
            </w:pPr>
            <w:r w:rsidRPr="003E7801">
              <w:rPr>
                <w:rFonts w:ascii="Arial" w:hAnsi="Arial" w:cs="Arial"/>
                <w:sz w:val="16"/>
                <w:szCs w:val="16"/>
                <w:lang w:val="pt-BR"/>
              </w:rPr>
              <w:t>(N = 462)</w:t>
            </w: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jc w:val="center"/>
              <w:rPr>
                <w:rFonts w:ascii="Arial" w:hAnsi="Arial" w:cs="Arial"/>
                <w:sz w:val="16"/>
                <w:szCs w:val="16"/>
                <w:lang w:val="pt-BR"/>
              </w:rPr>
            </w:pPr>
            <w:r w:rsidRPr="003E7801">
              <w:rPr>
                <w:rFonts w:ascii="Arial" w:hAnsi="Arial" w:cs="Arial"/>
                <w:sz w:val="16"/>
                <w:szCs w:val="16"/>
                <w:lang w:val="pt-BR"/>
              </w:rPr>
              <w:t>(N = 237)</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b/>
                <w:bCs/>
                <w:sz w:val="16"/>
                <w:szCs w:val="16"/>
                <w:lang w:val="pt-BR"/>
              </w:rPr>
              <w:t>Gender   n (%)</w:t>
            </w:r>
          </w:p>
        </w:tc>
        <w:tc>
          <w:tcPr>
            <w:tcW w:w="2880" w:type="dxa"/>
            <w:tcBorders>
              <w:top w:val="nil"/>
              <w:left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r>
      <w:tr w:rsidR="00756125" w:rsidRPr="003E7801" w:rsidTr="006B56C2">
        <w:tblPrEx>
          <w:tblBorders>
            <w:top w:val="single" w:sz="4" w:space="0" w:color="auto"/>
            <w:bottom w:val="single" w:sz="4" w:space="0" w:color="auto"/>
          </w:tblBorders>
        </w:tblPrEx>
        <w:trPr>
          <w:jc w:val="center"/>
        </w:trPr>
        <w:tc>
          <w:tcPr>
            <w:tcW w:w="3780" w:type="dxa"/>
            <w:tcBorders>
              <w:top w:val="single" w:sz="2" w:space="0" w:color="auto"/>
              <w:bottom w:val="nil"/>
              <w:right w:val="single" w:sz="2" w:space="0" w:color="auto"/>
            </w:tcBorders>
          </w:tcPr>
          <w:p w:rsidR="00756125" w:rsidRPr="003E7801" w:rsidRDefault="00756125" w:rsidP="00245874">
            <w:pPr>
              <w:widowControl w:val="0"/>
              <w:autoSpaceDE w:val="0"/>
              <w:autoSpaceDN w:val="0"/>
              <w:adjustRightInd w:val="0"/>
              <w:spacing w:before="15" w:after="15"/>
              <w:ind w:left="160" w:right="1" w:hanging="160"/>
              <w:rPr>
                <w:rFonts w:ascii="Arial" w:hAnsi="Arial" w:cs="Arial"/>
                <w:sz w:val="16"/>
                <w:szCs w:val="16"/>
                <w:lang w:val="pt-BR"/>
              </w:rPr>
            </w:pPr>
            <w:r w:rsidRPr="003E7801">
              <w:rPr>
                <w:rFonts w:ascii="Arial" w:hAnsi="Arial" w:cs="Arial"/>
                <w:sz w:val="16"/>
                <w:szCs w:val="16"/>
              </w:rPr>
              <w:t xml:space="preserve">    </w:t>
            </w:r>
            <w:r w:rsidRPr="003E7801">
              <w:rPr>
                <w:rFonts w:ascii="Arial" w:hAnsi="Arial" w:cs="Arial"/>
                <w:sz w:val="16"/>
                <w:szCs w:val="16"/>
                <w:lang w:val="pt-BR"/>
              </w:rPr>
              <w:t xml:space="preserve">Male </w:t>
            </w:r>
          </w:p>
        </w:tc>
        <w:tc>
          <w:tcPr>
            <w:tcW w:w="2880" w:type="dxa"/>
            <w:tcBorders>
              <w:top w:val="single" w:sz="2"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lang w:val="pt-BR"/>
              </w:rPr>
              <w:t xml:space="preserve"> 405 (</w:t>
            </w:r>
            <w:r w:rsidRPr="003E7801">
              <w:rPr>
                <w:rFonts w:ascii="Arial" w:hAnsi="Arial" w:cs="Arial"/>
                <w:sz w:val="16"/>
                <w:szCs w:val="16"/>
              </w:rPr>
              <w:t xml:space="preserve">87.7)              </w:t>
            </w:r>
          </w:p>
        </w:tc>
        <w:tc>
          <w:tcPr>
            <w:tcW w:w="1800" w:type="dxa"/>
            <w:tcBorders>
              <w:top w:val="single" w:sz="2"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210 (88.6)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single" w:sz="2" w:space="0" w:color="auto"/>
            </w:tcBorders>
          </w:tcPr>
          <w:p w:rsidR="00756125" w:rsidRPr="003E7801" w:rsidRDefault="00756125" w:rsidP="00245874">
            <w:pPr>
              <w:widowControl w:val="0"/>
              <w:autoSpaceDE w:val="0"/>
              <w:autoSpaceDN w:val="0"/>
              <w:adjustRightInd w:val="0"/>
              <w:spacing w:before="60" w:after="60"/>
              <w:ind w:left="160" w:right="1" w:hanging="160"/>
              <w:rPr>
                <w:rFonts w:ascii="Arial" w:hAnsi="Arial" w:cs="Arial"/>
                <w:sz w:val="16"/>
                <w:szCs w:val="16"/>
              </w:rPr>
            </w:pPr>
            <w:r w:rsidRPr="003E7801">
              <w:rPr>
                <w:rFonts w:ascii="Arial" w:hAnsi="Arial" w:cs="Arial"/>
                <w:sz w:val="16"/>
                <w:szCs w:val="16"/>
              </w:rPr>
              <w:t xml:space="preserve">    Female </w:t>
            </w:r>
          </w:p>
        </w:tc>
        <w:tc>
          <w:tcPr>
            <w:tcW w:w="288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57 (12.3)               </w:t>
            </w: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27 (11.4)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b/>
                <w:bCs/>
                <w:sz w:val="16"/>
                <w:szCs w:val="16"/>
              </w:rPr>
              <w:t>Race   n (%)</w:t>
            </w:r>
          </w:p>
        </w:tc>
        <w:tc>
          <w:tcPr>
            <w:tcW w:w="2880" w:type="dxa"/>
            <w:tcBorders>
              <w:top w:val="nil"/>
              <w:left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r>
      <w:tr w:rsidR="00756125" w:rsidRPr="003E7801" w:rsidTr="006B56C2">
        <w:tblPrEx>
          <w:tblBorders>
            <w:top w:val="single" w:sz="4" w:space="0" w:color="auto"/>
            <w:bottom w:val="single" w:sz="4" w:space="0" w:color="auto"/>
          </w:tblBorders>
        </w:tblPrEx>
        <w:trPr>
          <w:jc w:val="center"/>
        </w:trPr>
        <w:tc>
          <w:tcPr>
            <w:tcW w:w="3780" w:type="dxa"/>
            <w:tcBorders>
              <w:top w:val="single" w:sz="2" w:space="0" w:color="auto"/>
              <w:bottom w:val="nil"/>
              <w:right w:val="single" w:sz="2" w:space="0" w:color="auto"/>
            </w:tcBorders>
          </w:tcPr>
          <w:p w:rsidR="00756125" w:rsidRPr="003E7801" w:rsidRDefault="00756125" w:rsidP="00245874">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White </w:t>
            </w:r>
          </w:p>
        </w:tc>
        <w:tc>
          <w:tcPr>
            <w:tcW w:w="2880" w:type="dxa"/>
            <w:tcBorders>
              <w:top w:val="single" w:sz="2" w:space="0" w:color="auto"/>
              <w:left w:val="nil"/>
              <w:bottom w:val="nil"/>
              <w:right w:val="single" w:sz="2" w:space="0" w:color="auto"/>
            </w:tcBorders>
          </w:tcPr>
          <w:p w:rsidR="00756125" w:rsidRPr="003E7801" w:rsidRDefault="00700DB7" w:rsidP="00805B7D">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301 (65.2)</w:t>
            </w:r>
            <w:r w:rsidR="00756125" w:rsidRPr="003E7801">
              <w:rPr>
                <w:rFonts w:ascii="Arial" w:hAnsi="Arial" w:cs="Arial"/>
                <w:sz w:val="16"/>
                <w:szCs w:val="16"/>
              </w:rPr>
              <w:t xml:space="preserve">              </w:t>
            </w:r>
          </w:p>
        </w:tc>
        <w:tc>
          <w:tcPr>
            <w:tcW w:w="1800" w:type="dxa"/>
            <w:tcBorders>
              <w:top w:val="single" w:sz="2"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173 (73.0)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nil"/>
              <w:right w:val="single" w:sz="2" w:space="0" w:color="auto"/>
            </w:tcBorders>
          </w:tcPr>
          <w:p w:rsidR="00756125" w:rsidRPr="003E7801" w:rsidRDefault="00756125" w:rsidP="00245874">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Black </w:t>
            </w:r>
          </w:p>
        </w:tc>
        <w:tc>
          <w:tcPr>
            <w:tcW w:w="2880" w:type="dxa"/>
            <w:tcBorders>
              <w:top w:val="nil"/>
              <w:left w:val="nil"/>
              <w:bottom w:val="nil"/>
              <w:right w:val="single" w:sz="2" w:space="0" w:color="auto"/>
            </w:tcBorders>
          </w:tcPr>
          <w:p w:rsidR="00756125" w:rsidRPr="003E7801" w:rsidRDefault="00F64AAD" w:rsidP="00805B7D">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65 (14.1)</w:t>
            </w:r>
            <w:r w:rsidR="00756125" w:rsidRPr="003E7801">
              <w:rPr>
                <w:rFonts w:ascii="Arial" w:hAnsi="Arial" w:cs="Arial"/>
                <w:sz w:val="16"/>
                <w:szCs w:val="16"/>
              </w:rPr>
              <w:t xml:space="preserve">              </w:t>
            </w:r>
          </w:p>
        </w:tc>
        <w:tc>
          <w:tcPr>
            <w:tcW w:w="1800" w:type="dxa"/>
            <w:tcBorders>
              <w:top w:val="nil"/>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26 (11.0)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nil"/>
              <w:right w:val="single" w:sz="2" w:space="0" w:color="auto"/>
            </w:tcBorders>
          </w:tcPr>
          <w:p w:rsidR="00756125" w:rsidRPr="003E7801" w:rsidRDefault="00756125" w:rsidP="00245874">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Asian </w:t>
            </w:r>
          </w:p>
        </w:tc>
        <w:tc>
          <w:tcPr>
            <w:tcW w:w="2880" w:type="dxa"/>
            <w:tcBorders>
              <w:top w:val="nil"/>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16 (3.5)                </w:t>
            </w:r>
          </w:p>
        </w:tc>
        <w:tc>
          <w:tcPr>
            <w:tcW w:w="1800" w:type="dxa"/>
            <w:tcBorders>
              <w:top w:val="nil"/>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6 (2.5)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nil"/>
              <w:right w:val="single" w:sz="2" w:space="0" w:color="auto"/>
            </w:tcBorders>
          </w:tcPr>
          <w:p w:rsidR="00756125" w:rsidRPr="003E7801" w:rsidRDefault="00756125" w:rsidP="00245874">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Hispanic</w:t>
            </w:r>
          </w:p>
        </w:tc>
        <w:tc>
          <w:tcPr>
            <w:tcW w:w="2880" w:type="dxa"/>
            <w:tcBorders>
              <w:top w:val="nil"/>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53 (11.5)               </w:t>
            </w:r>
          </w:p>
        </w:tc>
        <w:tc>
          <w:tcPr>
            <w:tcW w:w="1800" w:type="dxa"/>
            <w:tcBorders>
              <w:top w:val="nil"/>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19 (8.0)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single" w:sz="2" w:space="0" w:color="auto"/>
            </w:tcBorders>
          </w:tcPr>
          <w:p w:rsidR="00756125" w:rsidRPr="003E7801" w:rsidRDefault="00756125" w:rsidP="00245874">
            <w:pPr>
              <w:widowControl w:val="0"/>
              <w:autoSpaceDE w:val="0"/>
              <w:autoSpaceDN w:val="0"/>
              <w:adjustRightInd w:val="0"/>
              <w:spacing w:before="60" w:after="60"/>
              <w:ind w:left="160" w:right="1" w:hanging="160"/>
              <w:rPr>
                <w:rFonts w:ascii="Arial" w:hAnsi="Arial" w:cs="Arial"/>
                <w:sz w:val="16"/>
                <w:szCs w:val="16"/>
              </w:rPr>
            </w:pPr>
            <w:r w:rsidRPr="003E7801">
              <w:rPr>
                <w:rFonts w:ascii="Arial" w:hAnsi="Arial" w:cs="Arial"/>
                <w:sz w:val="16"/>
                <w:szCs w:val="16"/>
              </w:rPr>
              <w:t xml:space="preserve">    Others </w:t>
            </w:r>
          </w:p>
        </w:tc>
        <w:tc>
          <w:tcPr>
            <w:tcW w:w="2880" w:type="dxa"/>
            <w:tcBorders>
              <w:top w:val="nil"/>
              <w:left w:val="nil"/>
              <w:bottom w:val="single" w:sz="2" w:space="0" w:color="auto"/>
              <w:right w:val="single" w:sz="2" w:space="0" w:color="auto"/>
            </w:tcBorders>
          </w:tcPr>
          <w:p w:rsidR="00756125" w:rsidRPr="003E7801" w:rsidRDefault="004B0158" w:rsidP="00805B7D">
            <w:pPr>
              <w:widowControl w:val="0"/>
              <w:autoSpaceDE w:val="0"/>
              <w:autoSpaceDN w:val="0"/>
              <w:adjustRightInd w:val="0"/>
              <w:spacing w:before="60" w:after="60"/>
              <w:ind w:left="160" w:right="1" w:hanging="160"/>
              <w:jc w:val="center"/>
              <w:rPr>
                <w:rFonts w:ascii="Arial" w:hAnsi="Arial" w:cs="Arial"/>
                <w:sz w:val="16"/>
                <w:szCs w:val="16"/>
              </w:rPr>
            </w:pPr>
            <w:r>
              <w:rPr>
                <w:rFonts w:ascii="Arial" w:hAnsi="Arial" w:cs="Arial"/>
                <w:sz w:val="16"/>
                <w:szCs w:val="16"/>
              </w:rPr>
              <w:t xml:space="preserve">27 (5.8) </w:t>
            </w:r>
            <w:r w:rsidR="00756125" w:rsidRPr="003E7801">
              <w:rPr>
                <w:rFonts w:ascii="Arial" w:hAnsi="Arial" w:cs="Arial"/>
                <w:sz w:val="16"/>
                <w:szCs w:val="16"/>
              </w:rPr>
              <w:t xml:space="preserve">                </w:t>
            </w: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13 (5.5)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b/>
                <w:bCs/>
                <w:sz w:val="16"/>
                <w:szCs w:val="16"/>
              </w:rPr>
              <w:t>Age (years)</w:t>
            </w:r>
          </w:p>
        </w:tc>
        <w:tc>
          <w:tcPr>
            <w:tcW w:w="2880" w:type="dxa"/>
            <w:tcBorders>
              <w:top w:val="nil"/>
              <w:left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single" w:sz="2" w:space="0" w:color="auto"/>
            </w:tcBorders>
          </w:tcPr>
          <w:p w:rsidR="00756125" w:rsidRPr="003E7801" w:rsidRDefault="00756125" w:rsidP="00245874">
            <w:pPr>
              <w:widowControl w:val="0"/>
              <w:autoSpaceDE w:val="0"/>
              <w:autoSpaceDN w:val="0"/>
              <w:adjustRightInd w:val="0"/>
              <w:spacing w:before="60" w:after="60"/>
              <w:ind w:left="160" w:right="1" w:hanging="160"/>
              <w:rPr>
                <w:rFonts w:ascii="Arial" w:hAnsi="Arial" w:cs="Arial"/>
                <w:sz w:val="16"/>
                <w:szCs w:val="16"/>
              </w:rPr>
            </w:pPr>
            <w:r w:rsidRPr="003E7801">
              <w:rPr>
                <w:rFonts w:ascii="Arial" w:hAnsi="Arial" w:cs="Arial"/>
                <w:sz w:val="16"/>
                <w:szCs w:val="16"/>
              </w:rPr>
              <w:t xml:space="preserve">    Median (min, max)</w:t>
            </w:r>
          </w:p>
        </w:tc>
        <w:tc>
          <w:tcPr>
            <w:tcW w:w="288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45.0 (16 to 74)         </w:t>
            </w: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45.0 (17 to 70)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b/>
                <w:bCs/>
                <w:sz w:val="16"/>
                <w:szCs w:val="16"/>
              </w:rPr>
              <w:t>CD4 Cell Count</w:t>
            </w:r>
            <w:r w:rsidRPr="003E7801">
              <w:rPr>
                <w:rFonts w:ascii="Arial" w:hAnsi="Arial" w:cs="Arial"/>
                <w:sz w:val="16"/>
                <w:szCs w:val="16"/>
              </w:rPr>
              <w:t xml:space="preserve"> </w:t>
            </w:r>
          </w:p>
        </w:tc>
        <w:tc>
          <w:tcPr>
            <w:tcW w:w="2880" w:type="dxa"/>
            <w:tcBorders>
              <w:top w:val="nil"/>
              <w:left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r>
      <w:tr w:rsidR="00756125" w:rsidRPr="003E7801" w:rsidTr="006B56C2">
        <w:tblPrEx>
          <w:tblBorders>
            <w:top w:val="single" w:sz="4" w:space="0" w:color="auto"/>
            <w:bottom w:val="single" w:sz="4" w:space="0" w:color="auto"/>
          </w:tblBorders>
        </w:tblPrEx>
        <w:trPr>
          <w:jc w:val="center"/>
        </w:trPr>
        <w:tc>
          <w:tcPr>
            <w:tcW w:w="3780" w:type="dxa"/>
            <w:tcBorders>
              <w:top w:val="single" w:sz="2" w:space="0" w:color="auto"/>
              <w:bottom w:val="nil"/>
              <w:right w:val="single" w:sz="2" w:space="0" w:color="auto"/>
            </w:tcBorders>
          </w:tcPr>
          <w:p w:rsidR="00756125" w:rsidRPr="007F44B0" w:rsidRDefault="00756125" w:rsidP="00245874">
            <w:pPr>
              <w:widowControl w:val="0"/>
              <w:autoSpaceDE w:val="0"/>
              <w:autoSpaceDN w:val="0"/>
              <w:adjustRightInd w:val="0"/>
              <w:spacing w:before="60" w:after="60"/>
              <w:ind w:left="160" w:right="1" w:hanging="160"/>
              <w:rPr>
                <w:rFonts w:ascii="Arial" w:hAnsi="Arial" w:cs="Arial"/>
                <w:sz w:val="16"/>
                <w:szCs w:val="16"/>
                <w:lang w:val="sv-SE"/>
              </w:rPr>
            </w:pPr>
            <w:r w:rsidRPr="007F44B0">
              <w:rPr>
                <w:rFonts w:ascii="Arial" w:hAnsi="Arial" w:cs="Arial"/>
                <w:sz w:val="16"/>
                <w:szCs w:val="16"/>
                <w:lang w:val="sv-SE"/>
              </w:rPr>
              <w:t xml:space="preserve">    Median (min, max),  </w:t>
            </w:r>
            <w:r w:rsidRPr="007F44B0">
              <w:rPr>
                <w:rFonts w:ascii="Arial" w:hAnsi="Arial" w:cs="Arial"/>
                <w:bCs/>
                <w:sz w:val="16"/>
                <w:szCs w:val="16"/>
                <w:lang w:val="sv-SE"/>
              </w:rPr>
              <w:t>cells/mm</w:t>
            </w:r>
            <w:r w:rsidRPr="007F44B0">
              <w:rPr>
                <w:rFonts w:ascii="Arial" w:hAnsi="Arial" w:cs="Arial"/>
                <w:bCs/>
                <w:sz w:val="16"/>
                <w:szCs w:val="16"/>
                <w:vertAlign w:val="superscript"/>
                <w:lang w:val="sv-SE"/>
              </w:rPr>
              <w:t>3</w:t>
            </w:r>
            <w:r w:rsidRPr="007F44B0">
              <w:rPr>
                <w:rFonts w:ascii="Arial" w:hAnsi="Arial" w:cs="Arial"/>
                <w:sz w:val="16"/>
                <w:szCs w:val="16"/>
                <w:lang w:val="sv-SE"/>
              </w:rPr>
              <w:t xml:space="preserve"> </w:t>
            </w:r>
          </w:p>
        </w:tc>
        <w:tc>
          <w:tcPr>
            <w:tcW w:w="2880" w:type="dxa"/>
            <w:tcBorders>
              <w:top w:val="single" w:sz="2"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7F44B0">
              <w:rPr>
                <w:rFonts w:ascii="Arial" w:hAnsi="Arial" w:cs="Arial"/>
                <w:sz w:val="16"/>
                <w:szCs w:val="16"/>
                <w:lang w:val="sv-SE"/>
              </w:rPr>
              <w:t xml:space="preserve"> </w:t>
            </w:r>
            <w:r w:rsidRPr="003E7801">
              <w:rPr>
                <w:rFonts w:ascii="Arial" w:hAnsi="Arial" w:cs="Arial"/>
                <w:sz w:val="16"/>
                <w:szCs w:val="16"/>
              </w:rPr>
              <w:t xml:space="preserve">119 (1 to 792)        </w:t>
            </w:r>
          </w:p>
        </w:tc>
        <w:tc>
          <w:tcPr>
            <w:tcW w:w="1800" w:type="dxa"/>
            <w:tcBorders>
              <w:top w:val="single" w:sz="2"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123 (0 to 759)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nil"/>
              <w:right w:val="single" w:sz="2" w:space="0" w:color="auto"/>
            </w:tcBorders>
          </w:tcPr>
          <w:p w:rsidR="00756125" w:rsidRPr="003E7801" w:rsidRDefault="00756125" w:rsidP="00245874">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≤50</w:t>
            </w:r>
            <w:r>
              <w:rPr>
                <w:rFonts w:ascii="Arial" w:hAnsi="Arial" w:cs="Arial"/>
                <w:sz w:val="16"/>
                <w:szCs w:val="16"/>
              </w:rPr>
              <w:t> </w:t>
            </w:r>
            <w:r w:rsidRPr="003E7801">
              <w:rPr>
                <w:rFonts w:ascii="Arial" w:hAnsi="Arial" w:cs="Arial"/>
                <w:sz w:val="16"/>
                <w:szCs w:val="16"/>
              </w:rPr>
              <w:t>cells</w:t>
            </w:r>
            <w:r w:rsidRPr="003E7801">
              <w:rPr>
                <w:rFonts w:ascii="Arial" w:hAnsi="Arial" w:cs="Arial"/>
                <w:bCs/>
                <w:sz w:val="16"/>
                <w:szCs w:val="16"/>
              </w:rPr>
              <w:t>/mm</w:t>
            </w:r>
            <w:r w:rsidRPr="003E7801">
              <w:rPr>
                <w:rFonts w:ascii="Arial" w:hAnsi="Arial" w:cs="Arial"/>
                <w:bCs/>
                <w:sz w:val="16"/>
                <w:szCs w:val="16"/>
                <w:vertAlign w:val="superscript"/>
              </w:rPr>
              <w:t>3</w:t>
            </w:r>
            <w:r w:rsidRPr="003E7801">
              <w:rPr>
                <w:rFonts w:ascii="Arial" w:hAnsi="Arial" w:cs="Arial"/>
                <w:sz w:val="16"/>
                <w:szCs w:val="16"/>
              </w:rPr>
              <w:t xml:space="preserve">, </w:t>
            </w:r>
            <w:r w:rsidRPr="003E7801">
              <w:rPr>
                <w:rFonts w:ascii="Arial" w:hAnsi="Arial" w:cs="Arial"/>
                <w:bCs/>
                <w:sz w:val="16"/>
                <w:szCs w:val="16"/>
              </w:rPr>
              <w:t>n (%)</w:t>
            </w:r>
            <w:r w:rsidRPr="003E7801">
              <w:rPr>
                <w:rFonts w:ascii="Arial" w:hAnsi="Arial" w:cs="Arial"/>
                <w:sz w:val="16"/>
                <w:szCs w:val="16"/>
              </w:rPr>
              <w:t xml:space="preserve"> </w:t>
            </w:r>
          </w:p>
        </w:tc>
        <w:tc>
          <w:tcPr>
            <w:tcW w:w="2880" w:type="dxa"/>
            <w:tcBorders>
              <w:top w:val="nil"/>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146 (31.6)              </w:t>
            </w:r>
          </w:p>
        </w:tc>
        <w:tc>
          <w:tcPr>
            <w:tcW w:w="1800" w:type="dxa"/>
            <w:tcBorders>
              <w:top w:val="nil"/>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78 (32.9)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single" w:sz="2" w:space="0" w:color="auto"/>
            </w:tcBorders>
          </w:tcPr>
          <w:p w:rsidR="00756125" w:rsidRPr="003E7801" w:rsidRDefault="00756125" w:rsidP="00245874">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50&lt; and ≤200</w:t>
            </w:r>
            <w:r>
              <w:rPr>
                <w:rFonts w:ascii="Arial" w:hAnsi="Arial" w:cs="Arial"/>
                <w:sz w:val="16"/>
                <w:szCs w:val="16"/>
              </w:rPr>
              <w:t> </w:t>
            </w:r>
            <w:r w:rsidRPr="003E7801">
              <w:rPr>
                <w:rFonts w:ascii="Arial" w:hAnsi="Arial" w:cs="Arial"/>
                <w:sz w:val="16"/>
                <w:szCs w:val="16"/>
              </w:rPr>
              <w:t>cells</w:t>
            </w:r>
            <w:r w:rsidRPr="003E7801">
              <w:rPr>
                <w:rFonts w:ascii="Arial" w:hAnsi="Arial" w:cs="Arial"/>
                <w:bCs/>
                <w:sz w:val="16"/>
                <w:szCs w:val="16"/>
              </w:rPr>
              <w:t>/mm</w:t>
            </w:r>
            <w:r w:rsidRPr="003E7801">
              <w:rPr>
                <w:rFonts w:ascii="Arial" w:hAnsi="Arial" w:cs="Arial"/>
                <w:bCs/>
                <w:sz w:val="16"/>
                <w:szCs w:val="16"/>
                <w:vertAlign w:val="superscript"/>
              </w:rPr>
              <w:t>3</w:t>
            </w:r>
            <w:r w:rsidRPr="003E7801">
              <w:rPr>
                <w:rFonts w:ascii="Arial" w:hAnsi="Arial" w:cs="Arial"/>
                <w:sz w:val="16"/>
                <w:szCs w:val="16"/>
              </w:rPr>
              <w:t xml:space="preserve">, </w:t>
            </w:r>
            <w:r w:rsidRPr="003E7801">
              <w:rPr>
                <w:rFonts w:ascii="Arial" w:hAnsi="Arial" w:cs="Arial"/>
                <w:bCs/>
                <w:sz w:val="16"/>
                <w:szCs w:val="16"/>
              </w:rPr>
              <w:t>n (%)</w:t>
            </w:r>
          </w:p>
        </w:tc>
        <w:tc>
          <w:tcPr>
            <w:tcW w:w="288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173 (37.4)              </w:t>
            </w: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85 (35.9)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lang w:val="es-MX"/>
              </w:rPr>
            </w:pPr>
            <w:r w:rsidRPr="003E7801">
              <w:rPr>
                <w:rFonts w:ascii="Arial" w:hAnsi="Arial" w:cs="Arial"/>
                <w:b/>
                <w:bCs/>
                <w:sz w:val="16"/>
                <w:szCs w:val="16"/>
                <w:lang w:val="es-MX"/>
              </w:rPr>
              <w:t xml:space="preserve">Plasma HIV RNA </w:t>
            </w:r>
          </w:p>
        </w:tc>
        <w:tc>
          <w:tcPr>
            <w:tcW w:w="2880" w:type="dxa"/>
            <w:tcBorders>
              <w:top w:val="nil"/>
              <w:left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lang w:val="pt-BR"/>
              </w:rPr>
            </w:pP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lang w:val="pt-BR"/>
              </w:rPr>
            </w:pPr>
          </w:p>
        </w:tc>
      </w:tr>
      <w:tr w:rsidR="00756125" w:rsidRPr="003E7801" w:rsidTr="006B56C2">
        <w:tblPrEx>
          <w:tblBorders>
            <w:top w:val="single" w:sz="4" w:space="0" w:color="auto"/>
            <w:bottom w:val="single" w:sz="4" w:space="0" w:color="auto"/>
          </w:tblBorders>
        </w:tblPrEx>
        <w:trPr>
          <w:jc w:val="center"/>
        </w:trPr>
        <w:tc>
          <w:tcPr>
            <w:tcW w:w="3780" w:type="dxa"/>
            <w:tcBorders>
              <w:top w:val="single" w:sz="2" w:space="0" w:color="auto"/>
              <w:bottom w:val="nil"/>
              <w:right w:val="single" w:sz="2" w:space="0" w:color="auto"/>
            </w:tcBorders>
          </w:tcPr>
          <w:p w:rsidR="00756125" w:rsidRPr="007F44B0" w:rsidRDefault="00756125" w:rsidP="00245874">
            <w:pPr>
              <w:widowControl w:val="0"/>
              <w:autoSpaceDE w:val="0"/>
              <w:autoSpaceDN w:val="0"/>
              <w:adjustRightInd w:val="0"/>
              <w:spacing w:before="60" w:after="60"/>
              <w:ind w:left="160" w:right="1" w:hanging="160"/>
              <w:rPr>
                <w:rFonts w:ascii="Arial" w:hAnsi="Arial" w:cs="Arial"/>
                <w:sz w:val="16"/>
                <w:szCs w:val="16"/>
                <w:lang w:val="sv-SE"/>
              </w:rPr>
            </w:pPr>
            <w:r w:rsidRPr="007F44B0">
              <w:rPr>
                <w:rFonts w:ascii="Arial" w:hAnsi="Arial" w:cs="Arial"/>
                <w:sz w:val="16"/>
                <w:szCs w:val="16"/>
                <w:lang w:val="sv-SE"/>
              </w:rPr>
              <w:t xml:space="preserve">    Median (min, max), </w:t>
            </w:r>
            <w:r w:rsidRPr="007F44B0">
              <w:rPr>
                <w:rFonts w:ascii="Arial" w:hAnsi="Arial" w:cs="Arial"/>
                <w:bCs/>
                <w:sz w:val="16"/>
                <w:szCs w:val="16"/>
                <w:lang w:val="sv-SE"/>
              </w:rPr>
              <w:t>log</w:t>
            </w:r>
            <w:r w:rsidRPr="007F44B0">
              <w:rPr>
                <w:rFonts w:ascii="Arial" w:hAnsi="Arial" w:cs="Arial"/>
                <w:bCs/>
                <w:sz w:val="16"/>
                <w:szCs w:val="16"/>
                <w:vertAlign w:val="subscript"/>
                <w:lang w:val="sv-SE"/>
              </w:rPr>
              <w:t>10</w:t>
            </w:r>
            <w:r w:rsidRPr="007F44B0">
              <w:rPr>
                <w:rFonts w:ascii="Arial" w:hAnsi="Arial" w:cs="Arial"/>
                <w:bCs/>
                <w:sz w:val="16"/>
                <w:szCs w:val="16"/>
                <w:lang w:val="sv-SE"/>
              </w:rPr>
              <w:t xml:space="preserve"> copies/mL</w:t>
            </w:r>
          </w:p>
        </w:tc>
        <w:tc>
          <w:tcPr>
            <w:tcW w:w="2880" w:type="dxa"/>
            <w:tcBorders>
              <w:top w:val="single" w:sz="2"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7F44B0">
              <w:rPr>
                <w:rFonts w:ascii="Arial" w:hAnsi="Arial" w:cs="Arial"/>
                <w:sz w:val="16"/>
                <w:szCs w:val="16"/>
                <w:lang w:val="sv-SE"/>
              </w:rPr>
              <w:t xml:space="preserve"> </w:t>
            </w:r>
            <w:r w:rsidRPr="003E7801">
              <w:rPr>
                <w:rFonts w:ascii="Arial" w:hAnsi="Arial" w:cs="Arial"/>
                <w:sz w:val="16"/>
                <w:szCs w:val="16"/>
              </w:rPr>
              <w:t xml:space="preserve">4.8 </w:t>
            </w:r>
            <w:r w:rsidR="00CF604B">
              <w:rPr>
                <w:rFonts w:ascii="Arial" w:hAnsi="Arial" w:cs="Arial"/>
                <w:sz w:val="16"/>
                <w:szCs w:val="16"/>
              </w:rPr>
              <w:t xml:space="preserve"> (2.3 to 5.9)</w:t>
            </w:r>
            <w:r w:rsidRPr="003E7801">
              <w:rPr>
                <w:rFonts w:ascii="Arial" w:hAnsi="Arial" w:cs="Arial"/>
                <w:sz w:val="16"/>
                <w:szCs w:val="16"/>
              </w:rPr>
              <w:t xml:space="preserve">            </w:t>
            </w:r>
          </w:p>
        </w:tc>
        <w:tc>
          <w:tcPr>
            <w:tcW w:w="1800" w:type="dxa"/>
            <w:tcBorders>
              <w:top w:val="single" w:sz="2"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4.7 </w:t>
            </w:r>
            <w:r w:rsidR="00CF604B">
              <w:rPr>
                <w:rFonts w:ascii="Arial" w:hAnsi="Arial" w:cs="Arial"/>
                <w:sz w:val="16"/>
                <w:szCs w:val="16"/>
              </w:rPr>
              <w:t xml:space="preserve">  (2.3 to 5.9)</w:t>
            </w:r>
            <w:r w:rsidRPr="003E7801">
              <w:rPr>
                <w:rFonts w:ascii="Arial" w:hAnsi="Arial" w:cs="Arial"/>
                <w:sz w:val="16"/>
                <w:szCs w:val="16"/>
              </w:rPr>
              <w:t xml:space="preserve">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rPr>
                <w:rFonts w:ascii="Arial" w:hAnsi="Arial" w:cs="Arial"/>
                <w:sz w:val="16"/>
                <w:szCs w:val="16"/>
              </w:rPr>
            </w:pPr>
            <w:r w:rsidRPr="003E7801">
              <w:rPr>
                <w:rFonts w:ascii="Arial" w:hAnsi="Arial" w:cs="Arial"/>
                <w:sz w:val="16"/>
                <w:szCs w:val="16"/>
              </w:rPr>
              <w:t xml:space="preserve">    &gt;100,000</w:t>
            </w:r>
            <w:r>
              <w:rPr>
                <w:rFonts w:ascii="Arial" w:hAnsi="Arial" w:cs="Arial"/>
                <w:sz w:val="16"/>
                <w:szCs w:val="16"/>
              </w:rPr>
              <w:t> </w:t>
            </w:r>
            <w:r w:rsidRPr="003E7801">
              <w:rPr>
                <w:rFonts w:ascii="Arial" w:hAnsi="Arial" w:cs="Arial"/>
                <w:sz w:val="16"/>
                <w:szCs w:val="16"/>
              </w:rPr>
              <w:t xml:space="preserve">copies/mL, </w:t>
            </w:r>
            <w:r w:rsidRPr="003E7801">
              <w:rPr>
                <w:rFonts w:ascii="Arial" w:hAnsi="Arial" w:cs="Arial"/>
                <w:bCs/>
                <w:sz w:val="16"/>
                <w:szCs w:val="16"/>
              </w:rPr>
              <w:t>n (%)</w:t>
            </w:r>
            <w:r w:rsidRPr="003E7801">
              <w:rPr>
                <w:rFonts w:ascii="Arial" w:hAnsi="Arial" w:cs="Arial"/>
                <w:sz w:val="16"/>
                <w:szCs w:val="16"/>
              </w:rPr>
              <w:t xml:space="preserve">                                                                                    </w:t>
            </w:r>
          </w:p>
        </w:tc>
        <w:tc>
          <w:tcPr>
            <w:tcW w:w="2880" w:type="dxa"/>
            <w:tcBorders>
              <w:top w:val="nil"/>
              <w:left w:val="nil"/>
              <w:bottom w:val="single" w:sz="2" w:space="0" w:color="auto"/>
              <w:right w:val="single" w:sz="2" w:space="0" w:color="auto"/>
            </w:tcBorders>
          </w:tcPr>
          <w:p w:rsidR="00756125" w:rsidRPr="003E7801" w:rsidRDefault="00F64AAD" w:rsidP="00805B7D">
            <w:pPr>
              <w:widowControl w:val="0"/>
              <w:autoSpaceDE w:val="0"/>
              <w:autoSpaceDN w:val="0"/>
              <w:adjustRightInd w:val="0"/>
              <w:spacing w:before="60" w:after="60"/>
              <w:ind w:left="160" w:right="1" w:hanging="160"/>
              <w:jc w:val="center"/>
              <w:rPr>
                <w:rFonts w:ascii="Arial" w:hAnsi="Arial" w:cs="Arial"/>
                <w:sz w:val="16"/>
                <w:szCs w:val="16"/>
              </w:rPr>
            </w:pPr>
            <w:r>
              <w:rPr>
                <w:rFonts w:ascii="Arial" w:hAnsi="Arial" w:cs="Arial"/>
                <w:sz w:val="16"/>
                <w:szCs w:val="16"/>
              </w:rPr>
              <w:t>165 (35.7)</w:t>
            </w:r>
            <w:r w:rsidR="00756125" w:rsidRPr="003E7801">
              <w:rPr>
                <w:rFonts w:ascii="Arial" w:hAnsi="Arial" w:cs="Arial"/>
                <w:sz w:val="16"/>
                <w:szCs w:val="16"/>
              </w:rPr>
              <w:t xml:space="preserve">              </w:t>
            </w: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78 (32.9)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nil"/>
            </w:tcBorders>
          </w:tcPr>
          <w:p w:rsidR="00756125" w:rsidRPr="003E7801" w:rsidRDefault="00756125" w:rsidP="00805B7D">
            <w:pPr>
              <w:widowControl w:val="0"/>
              <w:autoSpaceDE w:val="0"/>
              <w:autoSpaceDN w:val="0"/>
              <w:adjustRightInd w:val="0"/>
              <w:spacing w:before="60" w:after="60"/>
              <w:ind w:left="160" w:right="1" w:hanging="160"/>
              <w:rPr>
                <w:rFonts w:ascii="Arial" w:hAnsi="Arial" w:cs="Arial"/>
                <w:sz w:val="16"/>
                <w:szCs w:val="16"/>
              </w:rPr>
            </w:pPr>
            <w:r w:rsidRPr="003E7801">
              <w:rPr>
                <w:rFonts w:ascii="Arial" w:hAnsi="Arial" w:cs="Arial"/>
                <w:b/>
                <w:bCs/>
                <w:sz w:val="16"/>
                <w:szCs w:val="16"/>
              </w:rPr>
              <w:t>History of AIDS   n (%)</w:t>
            </w:r>
          </w:p>
        </w:tc>
        <w:tc>
          <w:tcPr>
            <w:tcW w:w="2880" w:type="dxa"/>
            <w:tcBorders>
              <w:top w:val="nil"/>
              <w:left w:val="nil"/>
              <w:bottom w:val="single" w:sz="2" w:space="0" w:color="auto"/>
              <w:right w:val="nil"/>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single" w:sz="2" w:space="0" w:color="auto"/>
            </w:tcBorders>
          </w:tcPr>
          <w:p w:rsidR="00756125" w:rsidRPr="003E7801" w:rsidRDefault="00756125" w:rsidP="00245874">
            <w:pPr>
              <w:widowControl w:val="0"/>
              <w:autoSpaceDE w:val="0"/>
              <w:autoSpaceDN w:val="0"/>
              <w:adjustRightInd w:val="0"/>
              <w:spacing w:before="60" w:after="60"/>
              <w:ind w:left="160" w:right="1" w:hanging="160"/>
              <w:rPr>
                <w:rFonts w:ascii="Arial" w:hAnsi="Arial" w:cs="Arial"/>
                <w:sz w:val="16"/>
                <w:szCs w:val="16"/>
              </w:rPr>
            </w:pPr>
            <w:r w:rsidRPr="003E7801">
              <w:rPr>
                <w:rFonts w:ascii="Arial" w:hAnsi="Arial" w:cs="Arial"/>
                <w:sz w:val="16"/>
                <w:szCs w:val="16"/>
              </w:rPr>
              <w:t xml:space="preserve">    Yes  </w:t>
            </w:r>
          </w:p>
        </w:tc>
        <w:tc>
          <w:tcPr>
            <w:tcW w:w="2880" w:type="dxa"/>
            <w:tcBorders>
              <w:top w:val="nil"/>
              <w:left w:val="nil"/>
              <w:bottom w:val="single" w:sz="2" w:space="0" w:color="auto"/>
              <w:right w:val="single" w:sz="2" w:space="0" w:color="auto"/>
            </w:tcBorders>
          </w:tcPr>
          <w:p w:rsidR="00756125" w:rsidRPr="003E7801" w:rsidRDefault="00CF604B" w:rsidP="00805B7D">
            <w:pPr>
              <w:widowControl w:val="0"/>
              <w:autoSpaceDE w:val="0"/>
              <w:autoSpaceDN w:val="0"/>
              <w:adjustRightInd w:val="0"/>
              <w:spacing w:before="60" w:after="60"/>
              <w:ind w:left="160" w:right="1" w:hanging="160"/>
              <w:jc w:val="center"/>
              <w:rPr>
                <w:rFonts w:ascii="Arial" w:hAnsi="Arial" w:cs="Arial"/>
                <w:sz w:val="16"/>
                <w:szCs w:val="16"/>
              </w:rPr>
            </w:pPr>
            <w:r>
              <w:rPr>
                <w:rFonts w:ascii="Arial" w:hAnsi="Arial" w:cs="Arial"/>
                <w:sz w:val="16"/>
                <w:szCs w:val="16"/>
              </w:rPr>
              <w:t xml:space="preserve"> 427 (92.4) </w:t>
            </w:r>
            <w:r w:rsidR="00756125" w:rsidRPr="003E7801">
              <w:rPr>
                <w:rFonts w:ascii="Arial" w:hAnsi="Arial" w:cs="Arial"/>
                <w:sz w:val="16"/>
                <w:szCs w:val="16"/>
              </w:rPr>
              <w:t xml:space="preserve">              </w:t>
            </w:r>
          </w:p>
        </w:tc>
        <w:tc>
          <w:tcPr>
            <w:tcW w:w="1800" w:type="dxa"/>
            <w:tcBorders>
              <w:top w:val="nil"/>
              <w:left w:val="nil"/>
              <w:bottom w:val="single" w:sz="2" w:space="0" w:color="auto"/>
              <w:right w:val="single" w:sz="2" w:space="0" w:color="auto"/>
            </w:tcBorders>
          </w:tcPr>
          <w:p w:rsidR="00756125" w:rsidRPr="003E7801" w:rsidRDefault="00CF604B" w:rsidP="00805B7D">
            <w:pPr>
              <w:widowControl w:val="0"/>
              <w:autoSpaceDE w:val="0"/>
              <w:autoSpaceDN w:val="0"/>
              <w:adjustRightInd w:val="0"/>
              <w:spacing w:before="60" w:after="60"/>
              <w:ind w:left="160" w:right="1" w:hanging="160"/>
              <w:jc w:val="center"/>
              <w:rPr>
                <w:rFonts w:ascii="Arial" w:hAnsi="Arial" w:cs="Arial"/>
                <w:sz w:val="16"/>
                <w:szCs w:val="16"/>
              </w:rPr>
            </w:pPr>
            <w:r>
              <w:rPr>
                <w:rFonts w:ascii="Arial" w:hAnsi="Arial" w:cs="Arial"/>
                <w:sz w:val="16"/>
                <w:szCs w:val="16"/>
              </w:rPr>
              <w:t xml:space="preserve"> 215 (90.7) </w:t>
            </w:r>
            <w:r w:rsidR="00756125" w:rsidRPr="003E7801">
              <w:rPr>
                <w:rFonts w:ascii="Arial" w:hAnsi="Arial" w:cs="Arial"/>
                <w:sz w:val="16"/>
                <w:szCs w:val="16"/>
              </w:rPr>
              <w:t xml:space="preserve">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b/>
                <w:bCs/>
                <w:sz w:val="16"/>
                <w:szCs w:val="16"/>
              </w:rPr>
              <w:t>Prior Use of ART,</w:t>
            </w:r>
            <w:r w:rsidRPr="003E7801">
              <w:rPr>
                <w:rFonts w:ascii="Arial" w:hAnsi="Arial" w:cs="Arial"/>
                <w:b/>
                <w:sz w:val="16"/>
                <w:szCs w:val="16"/>
              </w:rPr>
              <w:t xml:space="preserve"> Median </w:t>
            </w:r>
            <w:r w:rsidR="003715A4" w:rsidRPr="0035663F">
              <w:rPr>
                <w:rFonts w:ascii="Arial" w:hAnsi="Arial" w:cs="Arial"/>
                <w:b/>
                <w:sz w:val="16"/>
                <w:szCs w:val="16"/>
              </w:rPr>
              <w:t>(</w:t>
            </w:r>
            <w:r w:rsidR="003715A4" w:rsidRPr="0035663F">
              <w:rPr>
                <w:rFonts w:ascii="Arial" w:hAnsi="Arial" w:cs="Arial"/>
                <w:b/>
                <w:bCs/>
                <w:sz w:val="16"/>
                <w:szCs w:val="16"/>
              </w:rPr>
              <w:t>1</w:t>
            </w:r>
            <w:r w:rsidR="003715A4" w:rsidRPr="0035663F">
              <w:rPr>
                <w:rFonts w:ascii="Arial" w:hAnsi="Arial" w:cs="Arial"/>
                <w:b/>
                <w:bCs/>
                <w:sz w:val="16"/>
                <w:szCs w:val="16"/>
                <w:vertAlign w:val="superscript"/>
              </w:rPr>
              <w:t>st</w:t>
            </w:r>
            <w:r w:rsidR="003715A4" w:rsidRPr="0035663F">
              <w:rPr>
                <w:rFonts w:ascii="Arial" w:hAnsi="Arial" w:cs="Arial"/>
                <w:b/>
                <w:bCs/>
                <w:sz w:val="16"/>
                <w:szCs w:val="16"/>
              </w:rPr>
              <w:t xml:space="preserve"> Quartile, 3</w:t>
            </w:r>
            <w:r w:rsidR="003715A4" w:rsidRPr="0035663F">
              <w:rPr>
                <w:rFonts w:ascii="Arial" w:hAnsi="Arial" w:cs="Arial"/>
                <w:b/>
                <w:bCs/>
                <w:sz w:val="16"/>
                <w:szCs w:val="16"/>
                <w:vertAlign w:val="superscript"/>
              </w:rPr>
              <w:t>rd</w:t>
            </w:r>
            <w:r w:rsidR="003715A4" w:rsidRPr="0035663F">
              <w:rPr>
                <w:rFonts w:ascii="Arial" w:hAnsi="Arial" w:cs="Arial"/>
                <w:b/>
                <w:bCs/>
                <w:sz w:val="16"/>
                <w:szCs w:val="16"/>
              </w:rPr>
              <w:t xml:space="preserve"> Quartile)</w:t>
            </w:r>
          </w:p>
        </w:tc>
        <w:tc>
          <w:tcPr>
            <w:tcW w:w="2880" w:type="dxa"/>
            <w:tcBorders>
              <w:top w:val="nil"/>
              <w:left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r>
      <w:tr w:rsidR="00756125" w:rsidRPr="003E7801" w:rsidTr="006B56C2">
        <w:tblPrEx>
          <w:tblBorders>
            <w:top w:val="single" w:sz="4" w:space="0" w:color="auto"/>
            <w:bottom w:val="single" w:sz="4" w:space="0" w:color="auto"/>
          </w:tblBorders>
        </w:tblPrEx>
        <w:trPr>
          <w:jc w:val="center"/>
        </w:trPr>
        <w:tc>
          <w:tcPr>
            <w:tcW w:w="3780" w:type="dxa"/>
            <w:tcBorders>
              <w:top w:val="single" w:sz="2" w:space="0" w:color="auto"/>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w:t>
            </w:r>
            <w:r w:rsidRPr="008065E7">
              <w:rPr>
                <w:rFonts w:ascii="Arial" w:hAnsi="Arial" w:cs="Arial"/>
                <w:sz w:val="16"/>
                <w:szCs w:val="16"/>
              </w:rPr>
              <w:t>Years of ART Use</w:t>
            </w:r>
            <w:r w:rsidRPr="003E7801">
              <w:rPr>
                <w:rFonts w:ascii="Arial" w:hAnsi="Arial" w:cs="Arial"/>
                <w:sz w:val="16"/>
                <w:szCs w:val="16"/>
              </w:rPr>
              <w:t xml:space="preserve">                                       </w:t>
            </w:r>
          </w:p>
        </w:tc>
        <w:tc>
          <w:tcPr>
            <w:tcW w:w="2880" w:type="dxa"/>
            <w:tcBorders>
              <w:top w:val="single" w:sz="2"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10.1 </w:t>
            </w:r>
            <w:r w:rsidR="003715A4" w:rsidRPr="0035663F">
              <w:rPr>
                <w:rFonts w:ascii="Arial" w:hAnsi="Arial" w:cs="Arial"/>
                <w:sz w:val="16"/>
                <w:szCs w:val="16"/>
              </w:rPr>
              <w:t>(</w:t>
            </w:r>
            <w:r w:rsidR="00CF604B">
              <w:rPr>
                <w:rFonts w:ascii="Arial" w:hAnsi="Arial" w:cs="Arial"/>
                <w:bCs/>
                <w:sz w:val="16"/>
                <w:szCs w:val="16"/>
              </w:rPr>
              <w:t>7.3</w:t>
            </w:r>
            <w:r w:rsidR="003715A4" w:rsidRPr="0035663F">
              <w:rPr>
                <w:rFonts w:ascii="Arial" w:hAnsi="Arial" w:cs="Arial"/>
                <w:bCs/>
                <w:sz w:val="16"/>
                <w:szCs w:val="16"/>
              </w:rPr>
              <w:t xml:space="preserve"> to 12.1)</w:t>
            </w:r>
          </w:p>
        </w:tc>
        <w:tc>
          <w:tcPr>
            <w:tcW w:w="1800" w:type="dxa"/>
            <w:tcBorders>
              <w:top w:val="single" w:sz="2"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10.2 </w:t>
            </w:r>
            <w:r w:rsidR="003715A4">
              <w:rPr>
                <w:rFonts w:ascii="Arial" w:hAnsi="Arial" w:cs="Arial"/>
                <w:sz w:val="16"/>
                <w:szCs w:val="16"/>
              </w:rPr>
              <w:t xml:space="preserve"> </w:t>
            </w:r>
            <w:r w:rsidR="003715A4" w:rsidRPr="0035663F">
              <w:rPr>
                <w:rFonts w:ascii="Arial" w:hAnsi="Arial" w:cs="Arial"/>
                <w:sz w:val="16"/>
                <w:szCs w:val="16"/>
              </w:rPr>
              <w:t>(</w:t>
            </w:r>
            <w:r w:rsidR="003715A4" w:rsidRPr="0035663F">
              <w:rPr>
                <w:rFonts w:ascii="Arial" w:hAnsi="Arial" w:cs="Arial"/>
                <w:bCs/>
                <w:sz w:val="16"/>
                <w:szCs w:val="16"/>
              </w:rPr>
              <w:t>7.9 to 12.4</w:t>
            </w:r>
            <w:r w:rsidR="003715A4" w:rsidRPr="0035663F">
              <w:rPr>
                <w:rFonts w:ascii="Arial" w:hAnsi="Arial" w:cs="Arial"/>
                <w:sz w:val="16"/>
                <w:szCs w:val="16"/>
              </w:rPr>
              <w:t xml:space="preserve">)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rPr>
                <w:rFonts w:ascii="Arial" w:hAnsi="Arial" w:cs="Arial"/>
                <w:sz w:val="16"/>
                <w:szCs w:val="16"/>
              </w:rPr>
            </w:pPr>
            <w:r w:rsidRPr="003E7801">
              <w:rPr>
                <w:rFonts w:ascii="Arial" w:hAnsi="Arial" w:cs="Arial"/>
                <w:sz w:val="16"/>
                <w:szCs w:val="16"/>
              </w:rPr>
              <w:t xml:space="preserve">    Number of ART                              </w:t>
            </w:r>
          </w:p>
        </w:tc>
        <w:tc>
          <w:tcPr>
            <w:tcW w:w="288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12.0 </w:t>
            </w:r>
            <w:r w:rsidR="003715A4" w:rsidRPr="0035663F">
              <w:rPr>
                <w:rFonts w:ascii="Arial" w:hAnsi="Arial" w:cs="Arial"/>
                <w:sz w:val="16"/>
                <w:szCs w:val="16"/>
              </w:rPr>
              <w:t>(</w:t>
            </w:r>
            <w:r w:rsidR="003715A4" w:rsidRPr="0035663F">
              <w:rPr>
                <w:rFonts w:ascii="Arial" w:hAnsi="Arial" w:cs="Arial"/>
                <w:bCs/>
                <w:sz w:val="16"/>
                <w:szCs w:val="16"/>
              </w:rPr>
              <w:t>9 to 15</w:t>
            </w:r>
            <w:r w:rsidR="003715A4" w:rsidRPr="0035663F">
              <w:rPr>
                <w:rFonts w:ascii="Arial" w:hAnsi="Arial" w:cs="Arial"/>
                <w:sz w:val="16"/>
                <w:szCs w:val="16"/>
              </w:rPr>
              <w:t>)</w:t>
            </w: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12.0 </w:t>
            </w:r>
            <w:r w:rsidR="003715A4">
              <w:rPr>
                <w:rFonts w:ascii="Arial" w:hAnsi="Arial" w:cs="Arial"/>
                <w:sz w:val="16"/>
                <w:szCs w:val="16"/>
              </w:rPr>
              <w:t xml:space="preserve"> </w:t>
            </w:r>
            <w:r w:rsidR="003715A4" w:rsidRPr="0035663F">
              <w:rPr>
                <w:rFonts w:ascii="Arial" w:hAnsi="Arial" w:cs="Arial"/>
                <w:sz w:val="16"/>
                <w:szCs w:val="16"/>
              </w:rPr>
              <w:t>(</w:t>
            </w:r>
            <w:r w:rsidR="003715A4" w:rsidRPr="0035663F">
              <w:rPr>
                <w:rFonts w:ascii="Arial" w:hAnsi="Arial" w:cs="Arial"/>
                <w:bCs/>
                <w:sz w:val="16"/>
                <w:szCs w:val="16"/>
              </w:rPr>
              <w:t>9 to 14</w:t>
            </w:r>
            <w:r w:rsidR="003715A4" w:rsidRPr="0035663F">
              <w:rPr>
                <w:rFonts w:ascii="Arial" w:hAnsi="Arial" w:cs="Arial"/>
                <w:sz w:val="16"/>
                <w:szCs w:val="16"/>
              </w:rPr>
              <w:t xml:space="preserve">)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b/>
                <w:bCs/>
                <w:sz w:val="16"/>
                <w:szCs w:val="16"/>
              </w:rPr>
              <w:t>Hepatitis Co-infection</w:t>
            </w:r>
            <w:r w:rsidRPr="003E7801">
              <w:rPr>
                <w:rFonts w:ascii="Arial" w:hAnsi="Arial" w:cs="Arial"/>
                <w:b/>
                <w:bCs/>
                <w:sz w:val="16"/>
                <w:szCs w:val="16"/>
                <w:vertAlign w:val="superscript"/>
              </w:rPr>
              <w:t>†</w:t>
            </w:r>
            <w:r w:rsidRPr="003E7801">
              <w:rPr>
                <w:rFonts w:ascii="Arial" w:hAnsi="Arial" w:cs="Arial"/>
                <w:b/>
                <w:bCs/>
                <w:sz w:val="16"/>
                <w:szCs w:val="16"/>
              </w:rPr>
              <w:t xml:space="preserve"> n (%)</w:t>
            </w:r>
          </w:p>
        </w:tc>
        <w:tc>
          <w:tcPr>
            <w:tcW w:w="2880" w:type="dxa"/>
            <w:tcBorders>
              <w:top w:val="nil"/>
              <w:left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r>
      <w:tr w:rsidR="00756125" w:rsidRPr="003E7801" w:rsidTr="006B56C2">
        <w:tblPrEx>
          <w:tblBorders>
            <w:top w:val="single" w:sz="4" w:space="0" w:color="auto"/>
            <w:bottom w:val="single" w:sz="4" w:space="0" w:color="auto"/>
          </w:tblBorders>
        </w:tblPrEx>
        <w:trPr>
          <w:jc w:val="center"/>
        </w:trPr>
        <w:tc>
          <w:tcPr>
            <w:tcW w:w="3780" w:type="dxa"/>
            <w:tcBorders>
              <w:top w:val="single" w:sz="2" w:space="0" w:color="auto"/>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No Hepatitis B or C                                                     </w:t>
            </w:r>
          </w:p>
        </w:tc>
        <w:tc>
          <w:tcPr>
            <w:tcW w:w="2880" w:type="dxa"/>
            <w:tcBorders>
              <w:top w:val="single" w:sz="2"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385 (83.3)              </w:t>
            </w:r>
          </w:p>
        </w:tc>
        <w:tc>
          <w:tcPr>
            <w:tcW w:w="1800" w:type="dxa"/>
            <w:tcBorders>
              <w:top w:val="single" w:sz="2" w:space="0" w:color="auto"/>
              <w:left w:val="nil"/>
              <w:bottom w:val="nil"/>
              <w:right w:val="single" w:sz="2" w:space="0" w:color="auto"/>
            </w:tcBorders>
          </w:tcPr>
          <w:p w:rsidR="00756125" w:rsidRPr="003E7801" w:rsidRDefault="00F64AAD" w:rsidP="00805B7D">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200 (84.4)</w:t>
            </w:r>
            <w:r w:rsidR="00756125" w:rsidRPr="003E7801">
              <w:rPr>
                <w:rFonts w:ascii="Arial" w:hAnsi="Arial" w:cs="Arial"/>
                <w:sz w:val="16"/>
                <w:szCs w:val="16"/>
              </w:rPr>
              <w:t xml:space="preserve">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Hepatitis B only                                                        </w:t>
            </w:r>
          </w:p>
        </w:tc>
        <w:tc>
          <w:tcPr>
            <w:tcW w:w="2880" w:type="dxa"/>
            <w:tcBorders>
              <w:top w:val="nil"/>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36 (7.8)                </w:t>
            </w:r>
          </w:p>
        </w:tc>
        <w:tc>
          <w:tcPr>
            <w:tcW w:w="1800" w:type="dxa"/>
            <w:tcBorders>
              <w:top w:val="nil"/>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7 (3.0)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Hepatitis C only                                                        </w:t>
            </w:r>
          </w:p>
        </w:tc>
        <w:tc>
          <w:tcPr>
            <w:tcW w:w="2880" w:type="dxa"/>
            <w:tcBorders>
              <w:top w:val="nil"/>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37 (8.0)                </w:t>
            </w:r>
          </w:p>
        </w:tc>
        <w:tc>
          <w:tcPr>
            <w:tcW w:w="1800" w:type="dxa"/>
            <w:tcBorders>
              <w:top w:val="nil"/>
              <w:left w:val="nil"/>
              <w:bottom w:val="nil"/>
              <w:right w:val="single" w:sz="2" w:space="0" w:color="auto"/>
            </w:tcBorders>
          </w:tcPr>
          <w:p w:rsidR="00756125" w:rsidRPr="003E7801" w:rsidRDefault="00F64AAD" w:rsidP="00805B7D">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28 (11.8)</w:t>
            </w:r>
            <w:r w:rsidR="00756125" w:rsidRPr="003E7801">
              <w:rPr>
                <w:rFonts w:ascii="Arial" w:hAnsi="Arial" w:cs="Arial"/>
                <w:sz w:val="16"/>
                <w:szCs w:val="16"/>
              </w:rPr>
              <w:t xml:space="preserve">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rPr>
                <w:rFonts w:ascii="Arial" w:hAnsi="Arial" w:cs="Arial"/>
                <w:sz w:val="16"/>
                <w:szCs w:val="16"/>
              </w:rPr>
            </w:pPr>
            <w:r w:rsidRPr="003E7801">
              <w:rPr>
                <w:rFonts w:ascii="Arial" w:hAnsi="Arial" w:cs="Arial"/>
                <w:sz w:val="16"/>
                <w:szCs w:val="16"/>
              </w:rPr>
              <w:lastRenderedPageBreak/>
              <w:t xml:space="preserve">    </w:t>
            </w:r>
            <w:r w:rsidRPr="008065E7">
              <w:rPr>
                <w:rFonts w:ascii="Arial" w:hAnsi="Arial" w:cs="Arial"/>
                <w:sz w:val="16"/>
                <w:szCs w:val="16"/>
              </w:rPr>
              <w:t>Co-infection of Hepatitis B and C</w:t>
            </w:r>
            <w:r w:rsidRPr="003E7801">
              <w:rPr>
                <w:rFonts w:ascii="Arial" w:hAnsi="Arial" w:cs="Arial"/>
                <w:sz w:val="16"/>
                <w:szCs w:val="16"/>
              </w:rPr>
              <w:t xml:space="preserve">                                       </w:t>
            </w:r>
          </w:p>
        </w:tc>
        <w:tc>
          <w:tcPr>
            <w:tcW w:w="288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4 (0.9)                 </w:t>
            </w: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2 (0.8)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b/>
                <w:bCs/>
                <w:sz w:val="16"/>
                <w:szCs w:val="16"/>
              </w:rPr>
              <w:t>Stratum   n (%)</w:t>
            </w:r>
          </w:p>
        </w:tc>
        <w:tc>
          <w:tcPr>
            <w:tcW w:w="2880" w:type="dxa"/>
            <w:tcBorders>
              <w:top w:val="nil"/>
              <w:left w:val="nil"/>
              <w:bottom w:val="single" w:sz="2" w:space="0" w:color="auto"/>
              <w:right w:val="nil"/>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p>
        </w:tc>
      </w:tr>
      <w:tr w:rsidR="00756125" w:rsidRPr="003E7801" w:rsidTr="006B56C2">
        <w:tblPrEx>
          <w:tblBorders>
            <w:top w:val="single" w:sz="4" w:space="0" w:color="auto"/>
            <w:bottom w:val="single" w:sz="4" w:space="0" w:color="auto"/>
          </w:tblBorders>
        </w:tblPrEx>
        <w:trPr>
          <w:jc w:val="center"/>
        </w:trPr>
        <w:tc>
          <w:tcPr>
            <w:tcW w:w="3780" w:type="dxa"/>
            <w:tcBorders>
              <w:top w:val="single" w:sz="2" w:space="0" w:color="auto"/>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Enfuvirtide in OBT                                                      </w:t>
            </w:r>
          </w:p>
        </w:tc>
        <w:tc>
          <w:tcPr>
            <w:tcW w:w="2880" w:type="dxa"/>
            <w:tcBorders>
              <w:top w:val="single" w:sz="2"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175 (37.9)              </w:t>
            </w:r>
          </w:p>
        </w:tc>
        <w:tc>
          <w:tcPr>
            <w:tcW w:w="1800" w:type="dxa"/>
            <w:tcBorders>
              <w:top w:val="single" w:sz="2" w:space="0" w:color="auto"/>
              <w:left w:val="nil"/>
              <w:bottom w:val="nil"/>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89 (37.6)               </w:t>
            </w:r>
          </w:p>
        </w:tc>
      </w:tr>
      <w:tr w:rsidR="00756125" w:rsidRPr="003E7801" w:rsidTr="006B56C2">
        <w:tblPrEx>
          <w:tblBorders>
            <w:top w:val="single" w:sz="4" w:space="0" w:color="auto"/>
            <w:bottom w:val="single" w:sz="4" w:space="0" w:color="auto"/>
          </w:tblBorders>
        </w:tblPrEx>
        <w:trPr>
          <w:jc w:val="center"/>
        </w:trPr>
        <w:tc>
          <w:tcPr>
            <w:tcW w:w="3780" w:type="dxa"/>
            <w:tcBorders>
              <w:top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Resistant to ≥2 PI                                          </w:t>
            </w:r>
          </w:p>
        </w:tc>
        <w:tc>
          <w:tcPr>
            <w:tcW w:w="288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447 (96.8)              </w:t>
            </w:r>
          </w:p>
        </w:tc>
        <w:tc>
          <w:tcPr>
            <w:tcW w:w="1800" w:type="dxa"/>
            <w:tcBorders>
              <w:top w:val="nil"/>
              <w:left w:val="nil"/>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226 (95.4)              </w:t>
            </w:r>
          </w:p>
        </w:tc>
      </w:tr>
      <w:tr w:rsidR="00756125" w:rsidRPr="003E7801" w:rsidTr="006B56C2">
        <w:tblPrEx>
          <w:tblBorders>
            <w:top w:val="single" w:sz="4" w:space="0" w:color="auto"/>
            <w:bottom w:val="single" w:sz="4" w:space="0" w:color="auto"/>
          </w:tblBorders>
        </w:tblPrEx>
        <w:trPr>
          <w:jc w:val="center"/>
        </w:trPr>
        <w:tc>
          <w:tcPr>
            <w:tcW w:w="8460" w:type="dxa"/>
            <w:gridSpan w:val="3"/>
            <w:tcBorders>
              <w:top w:val="single" w:sz="2" w:space="0" w:color="auto"/>
              <w:bottom w:val="single" w:sz="2" w:space="0" w:color="auto"/>
              <w:right w:val="single" w:sz="2" w:space="0" w:color="auto"/>
            </w:tcBorders>
          </w:tcPr>
          <w:p w:rsidR="00756125" w:rsidRPr="003E7801" w:rsidRDefault="00756125"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vertAlign w:val="superscript"/>
              </w:rPr>
              <w:t>†</w:t>
            </w:r>
            <w:r w:rsidRPr="003E7801">
              <w:rPr>
                <w:rFonts w:ascii="Arial" w:hAnsi="Arial" w:cs="Arial"/>
                <w:sz w:val="16"/>
                <w:szCs w:val="16"/>
              </w:rPr>
              <w:t xml:space="preserve"> Hepatitis B surface antigen positive or hepatitis C antibody positive.</w:t>
            </w:r>
          </w:p>
        </w:tc>
      </w:tr>
    </w:tbl>
    <w:p w:rsidR="00756125" w:rsidRDefault="00756125" w:rsidP="00756125">
      <w:pPr>
        <w:jc w:val="both"/>
        <w:rPr>
          <w:rFonts w:ascii="Arial" w:hAnsi="Arial" w:cs="Arial"/>
          <w:sz w:val="22"/>
          <w:szCs w:val="22"/>
          <w:lang w:bidi="th-TH"/>
        </w:rPr>
      </w:pPr>
      <w:r>
        <w:rPr>
          <w:rFonts w:ascii="Arial" w:hAnsi="Arial" w:cs="Arial"/>
          <w:sz w:val="22"/>
          <w:szCs w:val="22"/>
          <w:lang w:bidi="th-TH"/>
        </w:rPr>
        <w:t>Table </w:t>
      </w:r>
      <w:r w:rsidR="00750FB1">
        <w:rPr>
          <w:rFonts w:ascii="Arial" w:hAnsi="Arial" w:cs="Arial"/>
          <w:sz w:val="22"/>
          <w:szCs w:val="22"/>
          <w:lang w:bidi="th-TH"/>
        </w:rPr>
        <w:t>3</w:t>
      </w:r>
      <w:r>
        <w:rPr>
          <w:rFonts w:ascii="Arial" w:hAnsi="Arial" w:cs="Arial"/>
          <w:sz w:val="22"/>
          <w:szCs w:val="22"/>
          <w:lang w:bidi="th-TH"/>
        </w:rPr>
        <w:t xml:space="preserve"> compares the c</w:t>
      </w:r>
      <w:r>
        <w:rPr>
          <w:rFonts w:ascii="Arial" w:hAnsi="Arial" w:cs="Arial"/>
          <w:sz w:val="22"/>
          <w:szCs w:val="22"/>
        </w:rPr>
        <w:t xml:space="preserve">haracteristics of optimized background therapy at baseline </w:t>
      </w:r>
      <w:r>
        <w:rPr>
          <w:rFonts w:ascii="Arial" w:hAnsi="Arial" w:cs="Arial"/>
          <w:sz w:val="22"/>
          <w:szCs w:val="22"/>
          <w:lang w:bidi="th-TH"/>
        </w:rPr>
        <w:t xml:space="preserve">in the </w:t>
      </w:r>
      <w:r w:rsidR="006A3F48">
        <w:rPr>
          <w:rFonts w:ascii="Arial" w:hAnsi="Arial" w:cs="Arial"/>
          <w:sz w:val="22"/>
          <w:szCs w:val="22"/>
          <w:lang w:bidi="th-TH"/>
        </w:rPr>
        <w:t xml:space="preserve">group receiving </w:t>
      </w:r>
      <w:r>
        <w:rPr>
          <w:rFonts w:ascii="Arial" w:hAnsi="Arial" w:cs="Arial"/>
          <w:sz w:val="22"/>
          <w:szCs w:val="22"/>
          <w:lang w:bidi="th-TH"/>
        </w:rPr>
        <w:t xml:space="preserve">ISENTRESS 400 mg b.i.d. and patients in the control </w:t>
      </w:r>
      <w:r w:rsidR="006A3F48">
        <w:rPr>
          <w:rFonts w:ascii="Arial" w:hAnsi="Arial" w:cs="Arial"/>
          <w:sz w:val="22"/>
          <w:szCs w:val="22"/>
          <w:lang w:bidi="th-TH"/>
        </w:rPr>
        <w:t>group</w:t>
      </w:r>
      <w:r>
        <w:rPr>
          <w:rFonts w:ascii="Arial" w:hAnsi="Arial" w:cs="Arial"/>
          <w:sz w:val="22"/>
          <w:szCs w:val="22"/>
          <w:lang w:bidi="th-TH"/>
        </w:rPr>
        <w:t>.</w:t>
      </w:r>
    </w:p>
    <w:p w:rsidR="0094691B" w:rsidRDefault="0094691B" w:rsidP="00245874">
      <w:pPr>
        <w:pStyle w:val="Tabletitle"/>
      </w:pPr>
      <w:r w:rsidRPr="00AB0820">
        <w:rPr>
          <w:lang w:bidi="th-TH"/>
        </w:rPr>
        <w:t xml:space="preserve">Table </w:t>
      </w:r>
      <w:r w:rsidR="00750FB1">
        <w:rPr>
          <w:lang w:bidi="th-TH"/>
        </w:rPr>
        <w:t>3</w:t>
      </w:r>
      <w:r w:rsidRPr="00AB0820">
        <w:rPr>
          <w:lang w:bidi="th-TH"/>
        </w:rPr>
        <w:t>:</w:t>
      </w:r>
      <w:r>
        <w:rPr>
          <w:lang w:bidi="th-TH"/>
        </w:rPr>
        <w:t xml:space="preserve"> </w:t>
      </w:r>
      <w:r w:rsidRPr="009512D9">
        <w:t>Characteristics</w:t>
      </w:r>
      <w:r>
        <w:t xml:space="preserve"> </w:t>
      </w:r>
      <w:r w:rsidRPr="00245874">
        <w:t>of Optimized Background</w:t>
      </w:r>
      <w:r>
        <w:t xml:space="preserve"> Therapy at Baseline</w:t>
      </w:r>
    </w:p>
    <w:tbl>
      <w:tblPr>
        <w:tblW w:w="8509" w:type="dxa"/>
        <w:jc w:val="center"/>
        <w:tblBorders>
          <w:top w:val="double" w:sz="4" w:space="0" w:color="auto"/>
          <w:left w:val="single" w:sz="4" w:space="0" w:color="auto"/>
          <w:bottom w:val="double" w:sz="4" w:space="0" w:color="auto"/>
          <w:right w:val="single" w:sz="4" w:space="0" w:color="auto"/>
        </w:tblBorders>
        <w:tblLayout w:type="fixed"/>
        <w:tblLook w:val="0000"/>
      </w:tblPr>
      <w:tblGrid>
        <w:gridCol w:w="3829"/>
        <w:gridCol w:w="2880"/>
        <w:gridCol w:w="1800"/>
      </w:tblGrid>
      <w:tr w:rsidR="0094691B" w:rsidRPr="003E7801" w:rsidTr="006B56C2">
        <w:trPr>
          <w:tblHeader/>
          <w:jc w:val="center"/>
        </w:trPr>
        <w:tc>
          <w:tcPr>
            <w:tcW w:w="3829" w:type="dxa"/>
            <w:tcBorders>
              <w:top w:val="double" w:sz="4" w:space="0" w:color="auto"/>
              <w:bottom w:val="nil"/>
              <w:right w:val="single" w:sz="2" w:space="0" w:color="auto"/>
            </w:tcBorders>
          </w:tcPr>
          <w:p w:rsidR="0094691B" w:rsidRPr="003E7801" w:rsidRDefault="0094691B" w:rsidP="00805B7D">
            <w:pPr>
              <w:widowControl w:val="0"/>
              <w:autoSpaceDE w:val="0"/>
              <w:autoSpaceDN w:val="0"/>
              <w:adjustRightInd w:val="0"/>
              <w:spacing w:before="15" w:after="15"/>
              <w:jc w:val="center"/>
              <w:rPr>
                <w:rFonts w:ascii="Arial" w:hAnsi="Arial" w:cs="Arial"/>
                <w:sz w:val="16"/>
                <w:szCs w:val="16"/>
              </w:rPr>
            </w:pPr>
          </w:p>
        </w:tc>
        <w:tc>
          <w:tcPr>
            <w:tcW w:w="2880" w:type="dxa"/>
            <w:tcBorders>
              <w:top w:val="double" w:sz="4" w:space="0" w:color="auto"/>
              <w:left w:val="nil"/>
              <w:bottom w:val="nil"/>
              <w:right w:val="single" w:sz="2" w:space="0" w:color="auto"/>
            </w:tcBorders>
          </w:tcPr>
          <w:p w:rsidR="0094691B" w:rsidRPr="007F44B0" w:rsidRDefault="0094691B" w:rsidP="00805B7D">
            <w:pPr>
              <w:widowControl w:val="0"/>
              <w:autoSpaceDE w:val="0"/>
              <w:autoSpaceDN w:val="0"/>
              <w:adjustRightInd w:val="0"/>
              <w:spacing w:before="15" w:after="15"/>
              <w:jc w:val="center"/>
              <w:rPr>
                <w:rFonts w:ascii="Arial" w:hAnsi="Arial" w:cs="Arial"/>
                <w:sz w:val="16"/>
                <w:szCs w:val="16"/>
                <w:lang w:val="sv-SE"/>
              </w:rPr>
            </w:pPr>
            <w:r w:rsidRPr="007F44B0">
              <w:rPr>
                <w:rFonts w:ascii="Arial" w:hAnsi="Arial" w:cs="Arial"/>
                <w:sz w:val="16"/>
                <w:szCs w:val="16"/>
                <w:lang w:val="sv-SE"/>
              </w:rPr>
              <w:t>ISENTRESS 400 mg b.i.d.</w:t>
            </w:r>
          </w:p>
        </w:tc>
        <w:tc>
          <w:tcPr>
            <w:tcW w:w="1800" w:type="dxa"/>
            <w:tcBorders>
              <w:top w:val="double" w:sz="4" w:space="0" w:color="auto"/>
              <w:left w:val="nil"/>
              <w:bottom w:val="nil"/>
              <w:right w:val="single" w:sz="2" w:space="0" w:color="auto"/>
            </w:tcBorders>
          </w:tcPr>
          <w:p w:rsidR="0094691B" w:rsidRPr="003E7801" w:rsidRDefault="0094691B" w:rsidP="00805B7D">
            <w:pPr>
              <w:widowControl w:val="0"/>
              <w:autoSpaceDE w:val="0"/>
              <w:autoSpaceDN w:val="0"/>
              <w:adjustRightInd w:val="0"/>
              <w:spacing w:before="15" w:after="15"/>
              <w:jc w:val="center"/>
              <w:rPr>
                <w:rFonts w:ascii="Arial" w:hAnsi="Arial" w:cs="Arial"/>
                <w:sz w:val="16"/>
                <w:szCs w:val="16"/>
              </w:rPr>
            </w:pPr>
            <w:r w:rsidRPr="003E7801">
              <w:rPr>
                <w:rFonts w:ascii="Arial" w:hAnsi="Arial" w:cs="Arial"/>
                <w:sz w:val="16"/>
                <w:szCs w:val="16"/>
              </w:rPr>
              <w:t xml:space="preserve">Placebo </w:t>
            </w:r>
          </w:p>
        </w:tc>
      </w:tr>
      <w:tr w:rsidR="0094691B" w:rsidRPr="003E7801" w:rsidTr="006B56C2">
        <w:tblPrEx>
          <w:tblBorders>
            <w:top w:val="single" w:sz="4" w:space="0" w:color="auto"/>
            <w:bottom w:val="single" w:sz="4" w:space="0" w:color="auto"/>
          </w:tblBorders>
        </w:tblPrEx>
        <w:trPr>
          <w:tblHeader/>
          <w:jc w:val="center"/>
        </w:trPr>
        <w:tc>
          <w:tcPr>
            <w:tcW w:w="3829" w:type="dxa"/>
            <w:tcBorders>
              <w:top w:val="nil"/>
              <w:bottom w:val="nil"/>
              <w:right w:val="single" w:sz="2" w:space="0" w:color="auto"/>
            </w:tcBorders>
          </w:tcPr>
          <w:p w:rsidR="0094691B" w:rsidRPr="003E7801" w:rsidRDefault="0094691B" w:rsidP="00805B7D">
            <w:pPr>
              <w:widowControl w:val="0"/>
              <w:autoSpaceDE w:val="0"/>
              <w:autoSpaceDN w:val="0"/>
              <w:adjustRightInd w:val="0"/>
              <w:spacing w:before="15" w:after="15"/>
              <w:rPr>
                <w:rFonts w:ascii="Arial" w:hAnsi="Arial" w:cs="Arial"/>
                <w:sz w:val="16"/>
                <w:szCs w:val="16"/>
              </w:rPr>
            </w:pPr>
            <w:r w:rsidRPr="003E7801">
              <w:rPr>
                <w:rFonts w:ascii="Arial" w:hAnsi="Arial" w:cs="Arial"/>
                <w:sz w:val="16"/>
                <w:szCs w:val="16"/>
                <w:lang w:bidi="th-TH"/>
              </w:rPr>
              <w:t>BENCHMRK 1 and 2 Pooled</w:t>
            </w:r>
          </w:p>
        </w:tc>
        <w:tc>
          <w:tcPr>
            <w:tcW w:w="2880" w:type="dxa"/>
            <w:tcBorders>
              <w:top w:val="nil"/>
              <w:left w:val="nil"/>
              <w:bottom w:val="nil"/>
              <w:right w:val="single" w:sz="2" w:space="0" w:color="auto"/>
            </w:tcBorders>
          </w:tcPr>
          <w:p w:rsidR="0094691B" w:rsidRPr="003E7801" w:rsidRDefault="0094691B" w:rsidP="00805B7D">
            <w:pPr>
              <w:widowControl w:val="0"/>
              <w:autoSpaceDE w:val="0"/>
              <w:autoSpaceDN w:val="0"/>
              <w:adjustRightInd w:val="0"/>
              <w:spacing w:before="15" w:after="15"/>
              <w:jc w:val="center"/>
              <w:rPr>
                <w:rFonts w:ascii="Arial" w:hAnsi="Arial" w:cs="Arial"/>
                <w:sz w:val="16"/>
                <w:szCs w:val="16"/>
                <w:lang w:val="pt-BR"/>
              </w:rPr>
            </w:pPr>
            <w:r w:rsidRPr="003E7801">
              <w:rPr>
                <w:rFonts w:ascii="Arial" w:hAnsi="Arial" w:cs="Arial"/>
                <w:sz w:val="16"/>
                <w:szCs w:val="16"/>
                <w:lang w:val="pt-BR"/>
              </w:rPr>
              <w:t>+ OBT</w:t>
            </w:r>
          </w:p>
        </w:tc>
        <w:tc>
          <w:tcPr>
            <w:tcW w:w="1800" w:type="dxa"/>
            <w:tcBorders>
              <w:top w:val="nil"/>
              <w:left w:val="nil"/>
              <w:bottom w:val="nil"/>
              <w:right w:val="single" w:sz="2" w:space="0" w:color="auto"/>
            </w:tcBorders>
          </w:tcPr>
          <w:p w:rsidR="0094691B" w:rsidRPr="003E7801" w:rsidRDefault="0094691B" w:rsidP="00805B7D">
            <w:pPr>
              <w:widowControl w:val="0"/>
              <w:autoSpaceDE w:val="0"/>
              <w:autoSpaceDN w:val="0"/>
              <w:adjustRightInd w:val="0"/>
              <w:spacing w:before="15" w:after="15"/>
              <w:jc w:val="center"/>
              <w:rPr>
                <w:rFonts w:ascii="Arial" w:hAnsi="Arial" w:cs="Arial"/>
                <w:sz w:val="16"/>
                <w:szCs w:val="16"/>
                <w:lang w:val="pt-BR"/>
              </w:rPr>
            </w:pPr>
            <w:r w:rsidRPr="003E7801">
              <w:rPr>
                <w:rFonts w:ascii="Arial" w:hAnsi="Arial" w:cs="Arial"/>
                <w:sz w:val="16"/>
                <w:szCs w:val="16"/>
                <w:lang w:val="pt-BR"/>
              </w:rPr>
              <w:t xml:space="preserve"> </w:t>
            </w:r>
            <w:r w:rsidRPr="003E7801">
              <w:rPr>
                <w:rFonts w:ascii="Arial" w:hAnsi="Arial" w:cs="Arial"/>
                <w:sz w:val="16"/>
                <w:szCs w:val="16"/>
              </w:rPr>
              <w:t>+ OBT</w:t>
            </w:r>
          </w:p>
        </w:tc>
      </w:tr>
      <w:tr w:rsidR="0094691B" w:rsidRPr="003E7801" w:rsidTr="006B56C2">
        <w:tblPrEx>
          <w:tblBorders>
            <w:top w:val="single" w:sz="4" w:space="0" w:color="auto"/>
            <w:bottom w:val="single" w:sz="4" w:space="0" w:color="auto"/>
          </w:tblBorders>
        </w:tblPrEx>
        <w:trPr>
          <w:tblHeader/>
          <w:jc w:val="center"/>
        </w:trPr>
        <w:tc>
          <w:tcPr>
            <w:tcW w:w="3829" w:type="dxa"/>
            <w:tcBorders>
              <w:top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rPr>
                <w:rFonts w:ascii="Arial" w:hAnsi="Arial" w:cs="Arial"/>
                <w:sz w:val="16"/>
                <w:szCs w:val="16"/>
                <w:lang w:val="pt-BR"/>
              </w:rPr>
            </w:pPr>
          </w:p>
        </w:tc>
        <w:tc>
          <w:tcPr>
            <w:tcW w:w="2880" w:type="dxa"/>
            <w:tcBorders>
              <w:top w:val="nil"/>
              <w:left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jc w:val="center"/>
              <w:rPr>
                <w:rFonts w:ascii="Arial" w:hAnsi="Arial" w:cs="Arial"/>
                <w:sz w:val="16"/>
                <w:szCs w:val="16"/>
                <w:lang w:val="pt-BR"/>
              </w:rPr>
            </w:pPr>
            <w:r w:rsidRPr="003E7801">
              <w:rPr>
                <w:rFonts w:ascii="Arial" w:hAnsi="Arial" w:cs="Arial"/>
                <w:sz w:val="16"/>
                <w:szCs w:val="16"/>
                <w:lang w:val="pt-BR"/>
              </w:rPr>
              <w:t>(N = 462)</w:t>
            </w:r>
          </w:p>
        </w:tc>
        <w:tc>
          <w:tcPr>
            <w:tcW w:w="1800" w:type="dxa"/>
            <w:tcBorders>
              <w:top w:val="nil"/>
              <w:left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jc w:val="center"/>
              <w:rPr>
                <w:rFonts w:ascii="Arial" w:hAnsi="Arial" w:cs="Arial"/>
                <w:sz w:val="16"/>
                <w:szCs w:val="16"/>
                <w:lang w:val="pt-BR"/>
              </w:rPr>
            </w:pPr>
            <w:r w:rsidRPr="003E7801">
              <w:rPr>
                <w:rFonts w:ascii="Arial" w:hAnsi="Arial" w:cs="Arial"/>
                <w:sz w:val="16"/>
                <w:szCs w:val="16"/>
                <w:lang w:val="pt-BR"/>
              </w:rPr>
              <w:t>(N = 237)</w:t>
            </w:r>
          </w:p>
        </w:tc>
      </w:tr>
      <w:tr w:rsidR="0094691B" w:rsidRPr="003E7801" w:rsidTr="006B56C2">
        <w:tblPrEx>
          <w:tblBorders>
            <w:top w:val="single" w:sz="4" w:space="0" w:color="auto"/>
            <w:bottom w:val="single" w:sz="4" w:space="0" w:color="auto"/>
          </w:tblBorders>
        </w:tblPrEx>
        <w:trPr>
          <w:jc w:val="center"/>
        </w:trPr>
        <w:tc>
          <w:tcPr>
            <w:tcW w:w="3829" w:type="dxa"/>
            <w:tcBorders>
              <w:top w:val="nil"/>
              <w:bottom w:val="single" w:sz="2" w:space="0" w:color="auto"/>
              <w:right w:val="nil"/>
            </w:tcBorders>
          </w:tcPr>
          <w:p w:rsidR="0094691B" w:rsidRPr="003E7801" w:rsidRDefault="0094691B"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b/>
                <w:bCs/>
                <w:sz w:val="16"/>
                <w:szCs w:val="16"/>
              </w:rPr>
              <w:t>Number of ARTs in OBT</w:t>
            </w:r>
          </w:p>
        </w:tc>
        <w:tc>
          <w:tcPr>
            <w:tcW w:w="2880" w:type="dxa"/>
            <w:tcBorders>
              <w:top w:val="nil"/>
              <w:left w:val="nil"/>
              <w:bottom w:val="single" w:sz="2" w:space="0" w:color="auto"/>
              <w:right w:val="nil"/>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p>
        </w:tc>
        <w:tc>
          <w:tcPr>
            <w:tcW w:w="1800" w:type="dxa"/>
            <w:tcBorders>
              <w:top w:val="nil"/>
              <w:left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p>
        </w:tc>
      </w:tr>
      <w:tr w:rsidR="0094691B" w:rsidRPr="003E7801" w:rsidTr="006B56C2">
        <w:tblPrEx>
          <w:tblBorders>
            <w:top w:val="single" w:sz="4" w:space="0" w:color="auto"/>
            <w:bottom w:val="single" w:sz="4" w:space="0" w:color="auto"/>
          </w:tblBorders>
        </w:tblPrEx>
        <w:trPr>
          <w:jc w:val="center"/>
        </w:trPr>
        <w:tc>
          <w:tcPr>
            <w:tcW w:w="3829" w:type="dxa"/>
            <w:tcBorders>
              <w:top w:val="single" w:sz="2" w:space="0" w:color="auto"/>
              <w:bottom w:val="single" w:sz="2" w:space="0" w:color="auto"/>
              <w:right w:val="single" w:sz="2" w:space="0" w:color="auto"/>
            </w:tcBorders>
          </w:tcPr>
          <w:p w:rsidR="0094691B" w:rsidRPr="003E7801" w:rsidRDefault="0094691B" w:rsidP="00805B7D">
            <w:pPr>
              <w:widowControl w:val="0"/>
              <w:autoSpaceDE w:val="0"/>
              <w:autoSpaceDN w:val="0"/>
              <w:adjustRightInd w:val="0"/>
              <w:spacing w:before="60" w:after="60"/>
              <w:ind w:left="160" w:right="1" w:hanging="160"/>
              <w:rPr>
                <w:rFonts w:ascii="Arial" w:hAnsi="Arial" w:cs="Arial"/>
                <w:sz w:val="16"/>
                <w:szCs w:val="16"/>
              </w:rPr>
            </w:pPr>
            <w:r w:rsidRPr="003E7801">
              <w:rPr>
                <w:rFonts w:ascii="Arial" w:hAnsi="Arial" w:cs="Arial"/>
                <w:sz w:val="16"/>
                <w:szCs w:val="16"/>
              </w:rPr>
              <w:t xml:space="preserve">    Median (min, max)                                                                                </w:t>
            </w:r>
          </w:p>
        </w:tc>
        <w:tc>
          <w:tcPr>
            <w:tcW w:w="2880" w:type="dxa"/>
            <w:tcBorders>
              <w:top w:val="single" w:sz="2" w:space="0" w:color="auto"/>
              <w:left w:val="single" w:sz="2" w:space="0" w:color="auto"/>
              <w:bottom w:val="single" w:sz="2" w:space="0" w:color="auto"/>
              <w:right w:val="single" w:sz="2" w:space="0" w:color="auto"/>
            </w:tcBorders>
          </w:tcPr>
          <w:p w:rsidR="0094691B" w:rsidRPr="003E7801" w:rsidRDefault="0094691B"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4.0 (1 to 7)            </w:t>
            </w:r>
          </w:p>
        </w:tc>
        <w:tc>
          <w:tcPr>
            <w:tcW w:w="1800" w:type="dxa"/>
            <w:tcBorders>
              <w:top w:val="single" w:sz="2" w:space="0" w:color="auto"/>
              <w:left w:val="single" w:sz="2" w:space="0" w:color="auto"/>
              <w:bottom w:val="single" w:sz="2" w:space="0" w:color="auto"/>
              <w:right w:val="single" w:sz="2" w:space="0" w:color="auto"/>
            </w:tcBorders>
          </w:tcPr>
          <w:p w:rsidR="0094691B" w:rsidRPr="003E7801" w:rsidRDefault="0094691B" w:rsidP="00805B7D">
            <w:pPr>
              <w:widowControl w:val="0"/>
              <w:autoSpaceDE w:val="0"/>
              <w:autoSpaceDN w:val="0"/>
              <w:adjustRightInd w:val="0"/>
              <w:spacing w:before="60" w:after="60"/>
              <w:ind w:left="160" w:right="1" w:hanging="160"/>
              <w:jc w:val="center"/>
              <w:rPr>
                <w:rFonts w:ascii="Arial" w:hAnsi="Arial" w:cs="Arial"/>
                <w:sz w:val="16"/>
                <w:szCs w:val="16"/>
              </w:rPr>
            </w:pPr>
            <w:r w:rsidRPr="003E7801">
              <w:rPr>
                <w:rFonts w:ascii="Arial" w:hAnsi="Arial" w:cs="Arial"/>
                <w:sz w:val="16"/>
                <w:szCs w:val="16"/>
              </w:rPr>
              <w:t xml:space="preserve"> 4.0 (2 to 7)            </w:t>
            </w:r>
          </w:p>
        </w:tc>
      </w:tr>
      <w:tr w:rsidR="0094691B" w:rsidRPr="003E7801" w:rsidTr="006B56C2">
        <w:tblPrEx>
          <w:tblBorders>
            <w:top w:val="single" w:sz="4" w:space="0" w:color="auto"/>
            <w:bottom w:val="single" w:sz="4" w:space="0" w:color="auto"/>
          </w:tblBorders>
        </w:tblPrEx>
        <w:trPr>
          <w:jc w:val="center"/>
        </w:trPr>
        <w:tc>
          <w:tcPr>
            <w:tcW w:w="3829" w:type="dxa"/>
            <w:tcBorders>
              <w:top w:val="single" w:sz="2" w:space="0" w:color="auto"/>
              <w:bottom w:val="single" w:sz="2" w:space="0" w:color="auto"/>
              <w:right w:val="nil"/>
            </w:tcBorders>
          </w:tcPr>
          <w:p w:rsidR="0094691B" w:rsidRPr="003E7801" w:rsidRDefault="0094691B"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b/>
                <w:bCs/>
                <w:sz w:val="16"/>
                <w:szCs w:val="16"/>
              </w:rPr>
              <w:t>Number of Active PI in OBT by Phenotypic Resistance Test</w:t>
            </w:r>
            <w:r w:rsidRPr="003E7801">
              <w:rPr>
                <w:rFonts w:ascii="Arial" w:hAnsi="Arial" w:cs="Arial"/>
                <w:b/>
                <w:bCs/>
                <w:sz w:val="16"/>
                <w:szCs w:val="16"/>
                <w:vertAlign w:val="superscript"/>
              </w:rPr>
              <w:t>†</w:t>
            </w:r>
          </w:p>
        </w:tc>
        <w:tc>
          <w:tcPr>
            <w:tcW w:w="2880" w:type="dxa"/>
            <w:tcBorders>
              <w:top w:val="single" w:sz="2" w:space="0" w:color="auto"/>
              <w:left w:val="nil"/>
              <w:bottom w:val="single" w:sz="2" w:space="0" w:color="auto"/>
              <w:right w:val="nil"/>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p>
        </w:tc>
        <w:tc>
          <w:tcPr>
            <w:tcW w:w="1800" w:type="dxa"/>
            <w:tcBorders>
              <w:top w:val="single" w:sz="2" w:space="0" w:color="auto"/>
              <w:left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p>
        </w:tc>
      </w:tr>
      <w:tr w:rsidR="0094691B" w:rsidRPr="003E7801" w:rsidTr="006B56C2">
        <w:tblPrEx>
          <w:tblBorders>
            <w:top w:val="single" w:sz="4" w:space="0" w:color="auto"/>
            <w:bottom w:val="single" w:sz="4" w:space="0" w:color="auto"/>
          </w:tblBorders>
        </w:tblPrEx>
        <w:trPr>
          <w:jc w:val="center"/>
        </w:trPr>
        <w:tc>
          <w:tcPr>
            <w:tcW w:w="3829" w:type="dxa"/>
            <w:tcBorders>
              <w:top w:val="nil"/>
              <w:bottom w:val="nil"/>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0                                                                                           </w:t>
            </w:r>
          </w:p>
        </w:tc>
        <w:tc>
          <w:tcPr>
            <w:tcW w:w="2880" w:type="dxa"/>
            <w:tcBorders>
              <w:top w:val="nil"/>
              <w:left w:val="nil"/>
              <w:bottom w:val="nil"/>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w:t>
            </w:r>
            <w:r w:rsidR="00F64AAD">
              <w:rPr>
                <w:rFonts w:ascii="Arial" w:hAnsi="Arial" w:cs="Arial"/>
                <w:sz w:val="16"/>
                <w:szCs w:val="16"/>
              </w:rPr>
              <w:t>165 (35.7)</w:t>
            </w:r>
            <w:r w:rsidR="00CF604B">
              <w:rPr>
                <w:rFonts w:ascii="Arial" w:hAnsi="Arial" w:cs="Arial"/>
                <w:sz w:val="16"/>
                <w:szCs w:val="16"/>
              </w:rPr>
              <w:t xml:space="preserve"> </w:t>
            </w:r>
            <w:r w:rsidRPr="003E7801">
              <w:rPr>
                <w:rFonts w:ascii="Arial" w:hAnsi="Arial" w:cs="Arial"/>
                <w:sz w:val="16"/>
                <w:szCs w:val="16"/>
              </w:rPr>
              <w:t xml:space="preserve">              </w:t>
            </w:r>
          </w:p>
        </w:tc>
        <w:tc>
          <w:tcPr>
            <w:tcW w:w="1800" w:type="dxa"/>
            <w:tcBorders>
              <w:top w:val="nil"/>
              <w:left w:val="nil"/>
              <w:bottom w:val="nil"/>
              <w:right w:val="single" w:sz="2" w:space="0" w:color="auto"/>
            </w:tcBorders>
          </w:tcPr>
          <w:p w:rsidR="0094691B" w:rsidRPr="003E7801" w:rsidRDefault="00F64AAD" w:rsidP="00805B7D">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96 (40.5)</w:t>
            </w:r>
            <w:r w:rsidR="0094691B" w:rsidRPr="003E7801">
              <w:rPr>
                <w:rFonts w:ascii="Arial" w:hAnsi="Arial" w:cs="Arial"/>
                <w:sz w:val="16"/>
                <w:szCs w:val="16"/>
              </w:rPr>
              <w:t xml:space="preserve">               </w:t>
            </w:r>
          </w:p>
        </w:tc>
      </w:tr>
      <w:tr w:rsidR="0094691B" w:rsidRPr="003E7801" w:rsidTr="006B56C2">
        <w:tblPrEx>
          <w:tblBorders>
            <w:top w:val="single" w:sz="4" w:space="0" w:color="auto"/>
            <w:bottom w:val="single" w:sz="4" w:space="0" w:color="auto"/>
          </w:tblBorders>
        </w:tblPrEx>
        <w:trPr>
          <w:jc w:val="center"/>
        </w:trPr>
        <w:tc>
          <w:tcPr>
            <w:tcW w:w="3829" w:type="dxa"/>
            <w:tcBorders>
              <w:top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1 or more                                                                                   </w:t>
            </w:r>
          </w:p>
        </w:tc>
        <w:tc>
          <w:tcPr>
            <w:tcW w:w="2880" w:type="dxa"/>
            <w:tcBorders>
              <w:top w:val="nil"/>
              <w:left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278 (60.2)              </w:t>
            </w:r>
          </w:p>
        </w:tc>
        <w:tc>
          <w:tcPr>
            <w:tcW w:w="1800" w:type="dxa"/>
            <w:tcBorders>
              <w:top w:val="nil"/>
              <w:left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137 (57.8)              </w:t>
            </w:r>
          </w:p>
        </w:tc>
      </w:tr>
      <w:tr w:rsidR="0094691B" w:rsidRPr="003E7801" w:rsidTr="006B56C2">
        <w:tblPrEx>
          <w:tblBorders>
            <w:top w:val="single" w:sz="4" w:space="0" w:color="auto"/>
            <w:bottom w:val="single" w:sz="4" w:space="0" w:color="auto"/>
          </w:tblBorders>
        </w:tblPrEx>
        <w:trPr>
          <w:jc w:val="center"/>
        </w:trPr>
        <w:tc>
          <w:tcPr>
            <w:tcW w:w="3829" w:type="dxa"/>
            <w:tcBorders>
              <w:top w:val="nil"/>
              <w:bottom w:val="single" w:sz="2" w:space="0" w:color="auto"/>
              <w:right w:val="nil"/>
            </w:tcBorders>
          </w:tcPr>
          <w:p w:rsidR="0094691B" w:rsidRPr="003E7801" w:rsidRDefault="0094691B"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b/>
                <w:bCs/>
                <w:sz w:val="16"/>
                <w:szCs w:val="16"/>
              </w:rPr>
              <w:t>Phenotypic Sensitivity Score (PSS)</w:t>
            </w:r>
            <w:r w:rsidRPr="003E7801">
              <w:rPr>
                <w:rFonts w:ascii="Arial" w:hAnsi="Arial" w:cs="Arial"/>
                <w:b/>
                <w:bCs/>
                <w:sz w:val="16"/>
                <w:szCs w:val="16"/>
                <w:vertAlign w:val="superscript"/>
              </w:rPr>
              <w:t>‡</w:t>
            </w:r>
          </w:p>
        </w:tc>
        <w:tc>
          <w:tcPr>
            <w:tcW w:w="2880" w:type="dxa"/>
            <w:tcBorders>
              <w:top w:val="nil"/>
              <w:left w:val="nil"/>
              <w:bottom w:val="single" w:sz="2" w:space="0" w:color="auto"/>
              <w:right w:val="nil"/>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p>
        </w:tc>
        <w:tc>
          <w:tcPr>
            <w:tcW w:w="1800" w:type="dxa"/>
            <w:tcBorders>
              <w:top w:val="nil"/>
              <w:left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p>
        </w:tc>
      </w:tr>
      <w:tr w:rsidR="0094691B" w:rsidRPr="003E7801" w:rsidTr="006B56C2">
        <w:tblPrEx>
          <w:tblBorders>
            <w:top w:val="single" w:sz="4" w:space="0" w:color="auto"/>
            <w:bottom w:val="single" w:sz="4" w:space="0" w:color="auto"/>
          </w:tblBorders>
        </w:tblPrEx>
        <w:trPr>
          <w:jc w:val="center"/>
        </w:trPr>
        <w:tc>
          <w:tcPr>
            <w:tcW w:w="3829" w:type="dxa"/>
            <w:tcBorders>
              <w:top w:val="single" w:sz="2" w:space="0" w:color="auto"/>
              <w:bottom w:val="nil"/>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0                                                                                           </w:t>
            </w:r>
          </w:p>
        </w:tc>
        <w:tc>
          <w:tcPr>
            <w:tcW w:w="2880" w:type="dxa"/>
            <w:tcBorders>
              <w:top w:val="single" w:sz="2" w:space="0" w:color="auto"/>
              <w:left w:val="nil"/>
              <w:bottom w:val="nil"/>
              <w:right w:val="single" w:sz="2" w:space="0" w:color="auto"/>
            </w:tcBorders>
          </w:tcPr>
          <w:p w:rsidR="0094691B" w:rsidRPr="003E7801" w:rsidRDefault="00F64AAD" w:rsidP="00805B7D">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67 (14.5)</w:t>
            </w:r>
            <w:r w:rsidR="0094691B" w:rsidRPr="003E7801">
              <w:rPr>
                <w:rFonts w:ascii="Arial" w:hAnsi="Arial" w:cs="Arial"/>
                <w:sz w:val="16"/>
                <w:szCs w:val="16"/>
              </w:rPr>
              <w:t xml:space="preserve">               </w:t>
            </w:r>
          </w:p>
        </w:tc>
        <w:tc>
          <w:tcPr>
            <w:tcW w:w="1800" w:type="dxa"/>
            <w:tcBorders>
              <w:top w:val="single" w:sz="2" w:space="0" w:color="auto"/>
              <w:left w:val="nil"/>
              <w:bottom w:val="nil"/>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w:t>
            </w:r>
            <w:r w:rsidR="00F64AAD">
              <w:rPr>
                <w:rFonts w:ascii="Arial" w:hAnsi="Arial" w:cs="Arial"/>
                <w:sz w:val="16"/>
                <w:szCs w:val="16"/>
              </w:rPr>
              <w:t>43 (18.1)</w:t>
            </w:r>
            <w:r w:rsidRPr="003E7801">
              <w:rPr>
                <w:rFonts w:ascii="Arial" w:hAnsi="Arial" w:cs="Arial"/>
                <w:sz w:val="16"/>
                <w:szCs w:val="16"/>
              </w:rPr>
              <w:t xml:space="preserve">               </w:t>
            </w:r>
          </w:p>
        </w:tc>
      </w:tr>
      <w:tr w:rsidR="0094691B" w:rsidRPr="003E7801" w:rsidTr="006B56C2">
        <w:tblPrEx>
          <w:tblBorders>
            <w:top w:val="single" w:sz="4" w:space="0" w:color="auto"/>
            <w:bottom w:val="single" w:sz="4" w:space="0" w:color="auto"/>
          </w:tblBorders>
        </w:tblPrEx>
        <w:trPr>
          <w:jc w:val="center"/>
        </w:trPr>
        <w:tc>
          <w:tcPr>
            <w:tcW w:w="3829" w:type="dxa"/>
            <w:tcBorders>
              <w:top w:val="nil"/>
              <w:bottom w:val="nil"/>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1                                                                                           </w:t>
            </w:r>
          </w:p>
        </w:tc>
        <w:tc>
          <w:tcPr>
            <w:tcW w:w="2880" w:type="dxa"/>
            <w:tcBorders>
              <w:top w:val="nil"/>
              <w:left w:val="nil"/>
              <w:bottom w:val="nil"/>
              <w:right w:val="single" w:sz="2" w:space="0" w:color="auto"/>
            </w:tcBorders>
          </w:tcPr>
          <w:p w:rsidR="0094691B" w:rsidRPr="003E7801" w:rsidRDefault="00F64AAD" w:rsidP="00805B7D">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144 (31.2)</w:t>
            </w:r>
            <w:r w:rsidR="0094691B" w:rsidRPr="003E7801">
              <w:rPr>
                <w:rFonts w:ascii="Arial" w:hAnsi="Arial" w:cs="Arial"/>
                <w:sz w:val="16"/>
                <w:szCs w:val="16"/>
              </w:rPr>
              <w:t xml:space="preserve">              </w:t>
            </w:r>
          </w:p>
        </w:tc>
        <w:tc>
          <w:tcPr>
            <w:tcW w:w="1800" w:type="dxa"/>
            <w:tcBorders>
              <w:top w:val="nil"/>
              <w:left w:val="nil"/>
              <w:bottom w:val="nil"/>
              <w:right w:val="single" w:sz="2" w:space="0" w:color="auto"/>
            </w:tcBorders>
          </w:tcPr>
          <w:p w:rsidR="0094691B" w:rsidRPr="003E7801" w:rsidRDefault="00F64AAD" w:rsidP="00805B7D">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71 (30.0)</w:t>
            </w:r>
            <w:r w:rsidR="00CF604B">
              <w:rPr>
                <w:rFonts w:ascii="Arial" w:hAnsi="Arial" w:cs="Arial"/>
                <w:sz w:val="16"/>
                <w:szCs w:val="16"/>
              </w:rPr>
              <w:t xml:space="preserve"> </w:t>
            </w:r>
            <w:r w:rsidR="0094691B" w:rsidRPr="003E7801">
              <w:rPr>
                <w:rFonts w:ascii="Arial" w:hAnsi="Arial" w:cs="Arial"/>
                <w:sz w:val="16"/>
                <w:szCs w:val="16"/>
              </w:rPr>
              <w:t xml:space="preserve">               </w:t>
            </w:r>
          </w:p>
        </w:tc>
      </w:tr>
      <w:tr w:rsidR="0094691B" w:rsidRPr="003E7801" w:rsidTr="006B56C2">
        <w:tblPrEx>
          <w:tblBorders>
            <w:top w:val="single" w:sz="4" w:space="0" w:color="auto"/>
            <w:bottom w:val="single" w:sz="4" w:space="0" w:color="auto"/>
          </w:tblBorders>
        </w:tblPrEx>
        <w:trPr>
          <w:jc w:val="center"/>
        </w:trPr>
        <w:tc>
          <w:tcPr>
            <w:tcW w:w="3829" w:type="dxa"/>
            <w:tcBorders>
              <w:top w:val="nil"/>
              <w:bottom w:val="nil"/>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2                                                                                           </w:t>
            </w:r>
          </w:p>
        </w:tc>
        <w:tc>
          <w:tcPr>
            <w:tcW w:w="2880" w:type="dxa"/>
            <w:tcBorders>
              <w:top w:val="nil"/>
              <w:left w:val="nil"/>
              <w:bottom w:val="nil"/>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142 (30.7)              </w:t>
            </w:r>
          </w:p>
        </w:tc>
        <w:tc>
          <w:tcPr>
            <w:tcW w:w="1800" w:type="dxa"/>
            <w:tcBorders>
              <w:top w:val="nil"/>
              <w:left w:val="nil"/>
              <w:bottom w:val="nil"/>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66 (27.8)               </w:t>
            </w:r>
          </w:p>
        </w:tc>
      </w:tr>
      <w:tr w:rsidR="0094691B" w:rsidRPr="003E7801" w:rsidTr="006B56C2">
        <w:tblPrEx>
          <w:tblBorders>
            <w:top w:val="single" w:sz="4" w:space="0" w:color="auto"/>
            <w:bottom w:val="single" w:sz="4" w:space="0" w:color="auto"/>
          </w:tblBorders>
        </w:tblPrEx>
        <w:trPr>
          <w:jc w:val="center"/>
        </w:trPr>
        <w:tc>
          <w:tcPr>
            <w:tcW w:w="3829" w:type="dxa"/>
            <w:tcBorders>
              <w:top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3 or more                                                                                   </w:t>
            </w:r>
          </w:p>
        </w:tc>
        <w:tc>
          <w:tcPr>
            <w:tcW w:w="2880" w:type="dxa"/>
            <w:tcBorders>
              <w:top w:val="nil"/>
              <w:left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85 (18.4)               </w:t>
            </w:r>
          </w:p>
        </w:tc>
        <w:tc>
          <w:tcPr>
            <w:tcW w:w="1800" w:type="dxa"/>
            <w:tcBorders>
              <w:top w:val="nil"/>
              <w:left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r w:rsidRPr="003E7801">
              <w:rPr>
                <w:rFonts w:ascii="Arial" w:hAnsi="Arial" w:cs="Arial"/>
                <w:sz w:val="16"/>
                <w:szCs w:val="16"/>
              </w:rPr>
              <w:t xml:space="preserve"> 48 (20.3)               </w:t>
            </w:r>
          </w:p>
        </w:tc>
      </w:tr>
      <w:tr w:rsidR="0094691B" w:rsidRPr="003E7801" w:rsidTr="006B56C2">
        <w:tblPrEx>
          <w:tblBorders>
            <w:top w:val="single" w:sz="4" w:space="0" w:color="auto"/>
            <w:bottom w:val="single" w:sz="4" w:space="0" w:color="auto"/>
          </w:tblBorders>
        </w:tblPrEx>
        <w:trPr>
          <w:jc w:val="center"/>
        </w:trPr>
        <w:tc>
          <w:tcPr>
            <w:tcW w:w="3829" w:type="dxa"/>
            <w:tcBorders>
              <w:top w:val="nil"/>
              <w:bottom w:val="single" w:sz="2" w:space="0" w:color="auto"/>
              <w:right w:val="nil"/>
            </w:tcBorders>
          </w:tcPr>
          <w:p w:rsidR="0094691B" w:rsidRPr="003E7801" w:rsidRDefault="0094691B" w:rsidP="00805B7D">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b/>
                <w:bCs/>
                <w:sz w:val="16"/>
                <w:szCs w:val="16"/>
              </w:rPr>
              <w:t>Genotypic Sensitivity Score (GSS)</w:t>
            </w:r>
            <w:r w:rsidRPr="003E7801">
              <w:rPr>
                <w:rFonts w:ascii="Arial" w:hAnsi="Arial" w:cs="Arial"/>
                <w:b/>
                <w:bCs/>
                <w:sz w:val="16"/>
                <w:szCs w:val="16"/>
                <w:vertAlign w:val="superscript"/>
              </w:rPr>
              <w:t>‡</w:t>
            </w:r>
          </w:p>
        </w:tc>
        <w:tc>
          <w:tcPr>
            <w:tcW w:w="2880" w:type="dxa"/>
            <w:tcBorders>
              <w:top w:val="nil"/>
              <w:left w:val="nil"/>
              <w:bottom w:val="single" w:sz="2" w:space="0" w:color="auto"/>
              <w:right w:val="nil"/>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p>
        </w:tc>
        <w:tc>
          <w:tcPr>
            <w:tcW w:w="1800" w:type="dxa"/>
            <w:tcBorders>
              <w:top w:val="nil"/>
              <w:left w:val="nil"/>
              <w:bottom w:val="single" w:sz="2" w:space="0" w:color="auto"/>
              <w:right w:val="single" w:sz="2" w:space="0" w:color="auto"/>
            </w:tcBorders>
          </w:tcPr>
          <w:p w:rsidR="0094691B" w:rsidRPr="003E7801" w:rsidRDefault="0094691B" w:rsidP="00805B7D">
            <w:pPr>
              <w:widowControl w:val="0"/>
              <w:autoSpaceDE w:val="0"/>
              <w:autoSpaceDN w:val="0"/>
              <w:adjustRightInd w:val="0"/>
              <w:spacing w:before="15" w:after="15"/>
              <w:ind w:left="160" w:right="1" w:hanging="160"/>
              <w:jc w:val="center"/>
              <w:rPr>
                <w:rFonts w:ascii="Arial" w:hAnsi="Arial" w:cs="Arial"/>
                <w:sz w:val="16"/>
                <w:szCs w:val="16"/>
              </w:rPr>
            </w:pPr>
          </w:p>
        </w:tc>
      </w:tr>
      <w:tr w:rsidR="0094691B" w:rsidRPr="003E7801" w:rsidTr="006B56C2">
        <w:tblPrEx>
          <w:tblBorders>
            <w:top w:val="single" w:sz="4" w:space="0" w:color="auto"/>
            <w:bottom w:val="single" w:sz="4" w:space="0" w:color="auto"/>
          </w:tblBorders>
        </w:tblPrEx>
        <w:trPr>
          <w:jc w:val="center"/>
        </w:trPr>
        <w:tc>
          <w:tcPr>
            <w:tcW w:w="3829" w:type="dxa"/>
            <w:tcBorders>
              <w:top w:val="single" w:sz="2" w:space="0" w:color="auto"/>
              <w:bottom w:val="nil"/>
              <w:right w:val="single" w:sz="2" w:space="0" w:color="auto"/>
            </w:tcBorders>
          </w:tcPr>
          <w:p w:rsidR="0094691B" w:rsidRPr="003E7801" w:rsidRDefault="0094691B" w:rsidP="00FC3447">
            <w:pPr>
              <w:widowControl w:val="0"/>
              <w:autoSpaceDE w:val="0"/>
              <w:autoSpaceDN w:val="0"/>
              <w:adjustRightInd w:val="0"/>
              <w:spacing w:before="15" w:after="15"/>
              <w:ind w:left="160" w:right="1" w:hanging="160"/>
              <w:rPr>
                <w:rFonts w:ascii="Arial" w:hAnsi="Arial" w:cs="Arial"/>
                <w:sz w:val="16"/>
                <w:szCs w:val="16"/>
              </w:rPr>
            </w:pPr>
            <w:r w:rsidRPr="003E7801">
              <w:rPr>
                <w:rFonts w:ascii="Arial" w:hAnsi="Arial" w:cs="Arial"/>
                <w:sz w:val="16"/>
                <w:szCs w:val="16"/>
              </w:rPr>
              <w:t xml:space="preserve">    0                                                                                           </w:t>
            </w:r>
          </w:p>
        </w:tc>
        <w:tc>
          <w:tcPr>
            <w:tcW w:w="2880" w:type="dxa"/>
            <w:tcBorders>
              <w:top w:val="single" w:sz="2" w:space="0" w:color="auto"/>
              <w:left w:val="nil"/>
              <w:bottom w:val="nil"/>
              <w:right w:val="single" w:sz="2" w:space="0" w:color="auto"/>
            </w:tcBorders>
          </w:tcPr>
          <w:p w:rsidR="0094691B" w:rsidRPr="003E7801" w:rsidRDefault="00F64AAD" w:rsidP="00805B7D">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116 (25.1)</w:t>
            </w:r>
            <w:r w:rsidR="0094691B" w:rsidRPr="003E7801">
              <w:rPr>
                <w:rFonts w:ascii="Arial" w:hAnsi="Arial" w:cs="Arial"/>
                <w:sz w:val="16"/>
                <w:szCs w:val="16"/>
              </w:rPr>
              <w:t xml:space="preserve">              </w:t>
            </w:r>
          </w:p>
        </w:tc>
        <w:tc>
          <w:tcPr>
            <w:tcW w:w="1800" w:type="dxa"/>
            <w:tcBorders>
              <w:top w:val="single" w:sz="2" w:space="0" w:color="auto"/>
              <w:left w:val="nil"/>
              <w:bottom w:val="nil"/>
              <w:right w:val="single" w:sz="2" w:space="0" w:color="auto"/>
            </w:tcBorders>
          </w:tcPr>
          <w:p w:rsidR="0094691B" w:rsidRPr="003E7801" w:rsidRDefault="00F64AAD" w:rsidP="00805B7D">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65 (27.4)</w:t>
            </w:r>
            <w:r w:rsidR="0094691B" w:rsidRPr="003E7801">
              <w:rPr>
                <w:rFonts w:ascii="Arial" w:hAnsi="Arial" w:cs="Arial"/>
                <w:sz w:val="16"/>
                <w:szCs w:val="16"/>
              </w:rPr>
              <w:t xml:space="preserve">              </w:t>
            </w:r>
          </w:p>
        </w:tc>
      </w:tr>
      <w:tr w:rsidR="0094691B" w:rsidRPr="003E7801" w:rsidTr="006B56C2">
        <w:tblPrEx>
          <w:tblBorders>
            <w:top w:val="single" w:sz="4" w:space="0" w:color="auto"/>
            <w:bottom w:val="single" w:sz="4" w:space="0" w:color="auto"/>
          </w:tblBorders>
        </w:tblPrEx>
        <w:trPr>
          <w:jc w:val="center"/>
        </w:trPr>
        <w:tc>
          <w:tcPr>
            <w:tcW w:w="3829" w:type="dxa"/>
            <w:tcBorders>
              <w:top w:val="nil"/>
              <w:bottom w:val="nil"/>
              <w:right w:val="single" w:sz="2" w:space="0" w:color="auto"/>
            </w:tcBorders>
          </w:tcPr>
          <w:p w:rsidR="0094691B" w:rsidRPr="003E7801" w:rsidRDefault="0094691B" w:rsidP="0094691B">
            <w:pPr>
              <w:widowControl w:val="0"/>
              <w:autoSpaceDE w:val="0"/>
              <w:autoSpaceDN w:val="0"/>
              <w:adjustRightInd w:val="0"/>
              <w:spacing w:before="15" w:after="15"/>
              <w:ind w:left="-237" w:right="1"/>
              <w:jc w:val="both"/>
              <w:rPr>
                <w:rFonts w:ascii="Arial" w:hAnsi="Arial" w:cs="Arial"/>
                <w:sz w:val="16"/>
                <w:szCs w:val="16"/>
              </w:rPr>
            </w:pPr>
            <w:r w:rsidRPr="003E7801">
              <w:rPr>
                <w:rFonts w:ascii="Arial" w:hAnsi="Arial" w:cs="Arial"/>
                <w:sz w:val="16"/>
                <w:szCs w:val="16"/>
              </w:rPr>
              <w:t xml:space="preserve">         1                                                                                           </w:t>
            </w:r>
          </w:p>
        </w:tc>
        <w:tc>
          <w:tcPr>
            <w:tcW w:w="2880" w:type="dxa"/>
            <w:tcBorders>
              <w:top w:val="nil"/>
              <w:left w:val="nil"/>
              <w:bottom w:val="nil"/>
              <w:right w:val="single" w:sz="2" w:space="0" w:color="auto"/>
            </w:tcBorders>
          </w:tcPr>
          <w:p w:rsidR="0094691B" w:rsidRPr="003E7801" w:rsidRDefault="00FC3447" w:rsidP="0094691B">
            <w:pPr>
              <w:widowControl w:val="0"/>
              <w:autoSpaceDE w:val="0"/>
              <w:autoSpaceDN w:val="0"/>
              <w:adjustRightInd w:val="0"/>
              <w:spacing w:before="15" w:after="15"/>
              <w:ind w:left="-237" w:right="1"/>
              <w:jc w:val="center"/>
              <w:rPr>
                <w:rFonts w:ascii="Arial" w:hAnsi="Arial" w:cs="Arial"/>
                <w:sz w:val="16"/>
                <w:szCs w:val="16"/>
              </w:rPr>
            </w:pPr>
            <w:r>
              <w:rPr>
                <w:rFonts w:ascii="Arial" w:hAnsi="Arial" w:cs="Arial"/>
                <w:sz w:val="16"/>
                <w:szCs w:val="16"/>
              </w:rPr>
              <w:t xml:space="preserve">      </w:t>
            </w:r>
            <w:r w:rsidR="00F64AAD">
              <w:rPr>
                <w:rFonts w:ascii="Arial" w:hAnsi="Arial" w:cs="Arial"/>
                <w:sz w:val="16"/>
                <w:szCs w:val="16"/>
              </w:rPr>
              <w:t>177 (38.3)</w:t>
            </w:r>
          </w:p>
        </w:tc>
        <w:tc>
          <w:tcPr>
            <w:tcW w:w="1800" w:type="dxa"/>
            <w:tcBorders>
              <w:top w:val="nil"/>
              <w:left w:val="nil"/>
              <w:bottom w:val="nil"/>
              <w:right w:val="single" w:sz="2" w:space="0" w:color="auto"/>
            </w:tcBorders>
          </w:tcPr>
          <w:p w:rsidR="0094691B" w:rsidRPr="003E7801" w:rsidRDefault="00FC3447" w:rsidP="0094691B">
            <w:pPr>
              <w:widowControl w:val="0"/>
              <w:autoSpaceDE w:val="0"/>
              <w:autoSpaceDN w:val="0"/>
              <w:adjustRightInd w:val="0"/>
              <w:spacing w:before="15" w:after="15"/>
              <w:ind w:left="-237" w:right="1"/>
              <w:jc w:val="center"/>
              <w:rPr>
                <w:rFonts w:ascii="Arial" w:hAnsi="Arial" w:cs="Arial"/>
                <w:sz w:val="16"/>
                <w:szCs w:val="16"/>
              </w:rPr>
            </w:pPr>
            <w:r>
              <w:rPr>
                <w:rFonts w:ascii="Arial" w:hAnsi="Arial" w:cs="Arial"/>
                <w:sz w:val="16"/>
                <w:szCs w:val="16"/>
              </w:rPr>
              <w:t xml:space="preserve">     </w:t>
            </w:r>
            <w:r w:rsidR="00F64AAD">
              <w:rPr>
                <w:rFonts w:ascii="Arial" w:hAnsi="Arial" w:cs="Arial"/>
                <w:sz w:val="16"/>
                <w:szCs w:val="16"/>
              </w:rPr>
              <w:t>95 (40.</w:t>
            </w:r>
            <w:r w:rsidR="00A20525">
              <w:rPr>
                <w:rFonts w:ascii="Arial" w:hAnsi="Arial" w:cs="Arial"/>
                <w:sz w:val="16"/>
                <w:szCs w:val="16"/>
              </w:rPr>
              <w:t>1</w:t>
            </w:r>
            <w:r w:rsidR="00F64AAD">
              <w:rPr>
                <w:rFonts w:ascii="Arial" w:hAnsi="Arial" w:cs="Arial"/>
                <w:sz w:val="16"/>
                <w:szCs w:val="16"/>
              </w:rPr>
              <w:t>)</w:t>
            </w:r>
          </w:p>
        </w:tc>
      </w:tr>
      <w:tr w:rsidR="0094691B" w:rsidRPr="003E7801" w:rsidTr="006B56C2">
        <w:tblPrEx>
          <w:tblBorders>
            <w:top w:val="single" w:sz="4" w:space="0" w:color="auto"/>
            <w:bottom w:val="single" w:sz="4" w:space="0" w:color="auto"/>
          </w:tblBorders>
        </w:tblPrEx>
        <w:trPr>
          <w:jc w:val="center"/>
        </w:trPr>
        <w:tc>
          <w:tcPr>
            <w:tcW w:w="3829" w:type="dxa"/>
            <w:tcBorders>
              <w:top w:val="nil"/>
              <w:bottom w:val="nil"/>
              <w:right w:val="single" w:sz="2" w:space="0" w:color="auto"/>
            </w:tcBorders>
          </w:tcPr>
          <w:p w:rsidR="0094691B" w:rsidRPr="003E7801" w:rsidRDefault="0094691B" w:rsidP="0094691B">
            <w:pPr>
              <w:widowControl w:val="0"/>
              <w:autoSpaceDE w:val="0"/>
              <w:autoSpaceDN w:val="0"/>
              <w:adjustRightInd w:val="0"/>
              <w:spacing w:before="15" w:after="15"/>
              <w:ind w:left="-237" w:right="1"/>
              <w:jc w:val="both"/>
              <w:rPr>
                <w:rFonts w:ascii="Arial" w:hAnsi="Arial" w:cs="Arial"/>
                <w:sz w:val="16"/>
                <w:szCs w:val="16"/>
              </w:rPr>
            </w:pPr>
            <w:r w:rsidRPr="003E7801">
              <w:rPr>
                <w:rFonts w:ascii="Arial" w:hAnsi="Arial" w:cs="Arial"/>
                <w:sz w:val="16"/>
                <w:szCs w:val="16"/>
              </w:rPr>
              <w:t xml:space="preserve">         2                                                                                           </w:t>
            </w:r>
          </w:p>
        </w:tc>
        <w:tc>
          <w:tcPr>
            <w:tcW w:w="2880" w:type="dxa"/>
            <w:tcBorders>
              <w:top w:val="nil"/>
              <w:left w:val="nil"/>
              <w:bottom w:val="nil"/>
              <w:right w:val="single" w:sz="2" w:space="0" w:color="auto"/>
            </w:tcBorders>
          </w:tcPr>
          <w:p w:rsidR="0094691B" w:rsidRPr="003E7801" w:rsidRDefault="00FC3447" w:rsidP="0094691B">
            <w:pPr>
              <w:widowControl w:val="0"/>
              <w:autoSpaceDE w:val="0"/>
              <w:autoSpaceDN w:val="0"/>
              <w:adjustRightInd w:val="0"/>
              <w:spacing w:before="15" w:after="15"/>
              <w:ind w:left="-237" w:right="1"/>
              <w:jc w:val="center"/>
              <w:rPr>
                <w:rFonts w:ascii="Arial" w:hAnsi="Arial" w:cs="Arial"/>
                <w:sz w:val="16"/>
                <w:szCs w:val="16"/>
              </w:rPr>
            </w:pPr>
            <w:r>
              <w:rPr>
                <w:rFonts w:ascii="Arial" w:hAnsi="Arial" w:cs="Arial"/>
                <w:sz w:val="16"/>
                <w:szCs w:val="16"/>
              </w:rPr>
              <w:t xml:space="preserve">     </w:t>
            </w:r>
            <w:r w:rsidR="0094691B" w:rsidRPr="003E7801">
              <w:rPr>
                <w:rFonts w:ascii="Arial" w:hAnsi="Arial" w:cs="Arial"/>
                <w:sz w:val="16"/>
                <w:szCs w:val="16"/>
              </w:rPr>
              <w:t>111 (24.0)</w:t>
            </w:r>
          </w:p>
        </w:tc>
        <w:tc>
          <w:tcPr>
            <w:tcW w:w="1800" w:type="dxa"/>
            <w:tcBorders>
              <w:top w:val="nil"/>
              <w:left w:val="nil"/>
              <w:bottom w:val="nil"/>
              <w:right w:val="single" w:sz="2" w:space="0" w:color="auto"/>
            </w:tcBorders>
          </w:tcPr>
          <w:p w:rsidR="0094691B" w:rsidRPr="003E7801" w:rsidRDefault="00FC3447" w:rsidP="0094691B">
            <w:pPr>
              <w:widowControl w:val="0"/>
              <w:autoSpaceDE w:val="0"/>
              <w:autoSpaceDN w:val="0"/>
              <w:adjustRightInd w:val="0"/>
              <w:spacing w:before="15" w:after="15"/>
              <w:ind w:left="-237" w:right="1"/>
              <w:jc w:val="center"/>
              <w:rPr>
                <w:rFonts w:ascii="Arial" w:hAnsi="Arial" w:cs="Arial"/>
                <w:sz w:val="16"/>
                <w:szCs w:val="16"/>
              </w:rPr>
            </w:pPr>
            <w:r>
              <w:rPr>
                <w:rFonts w:ascii="Arial" w:hAnsi="Arial" w:cs="Arial"/>
                <w:sz w:val="16"/>
                <w:szCs w:val="16"/>
              </w:rPr>
              <w:t xml:space="preserve">     </w:t>
            </w:r>
            <w:r w:rsidR="0094691B" w:rsidRPr="003E7801">
              <w:rPr>
                <w:rFonts w:ascii="Arial" w:hAnsi="Arial" w:cs="Arial"/>
                <w:sz w:val="16"/>
                <w:szCs w:val="16"/>
              </w:rPr>
              <w:t>49 (20.7)</w:t>
            </w:r>
          </w:p>
        </w:tc>
      </w:tr>
      <w:tr w:rsidR="0094691B" w:rsidRPr="003E7801" w:rsidTr="006B56C2">
        <w:tblPrEx>
          <w:tblBorders>
            <w:top w:val="single" w:sz="4" w:space="0" w:color="auto"/>
            <w:bottom w:val="single" w:sz="4" w:space="0" w:color="auto"/>
          </w:tblBorders>
        </w:tblPrEx>
        <w:trPr>
          <w:jc w:val="center"/>
        </w:trPr>
        <w:tc>
          <w:tcPr>
            <w:tcW w:w="3829" w:type="dxa"/>
            <w:tcBorders>
              <w:top w:val="nil"/>
              <w:bottom w:val="single" w:sz="2" w:space="0" w:color="auto"/>
              <w:right w:val="single" w:sz="2" w:space="0" w:color="auto"/>
            </w:tcBorders>
          </w:tcPr>
          <w:p w:rsidR="0094691B" w:rsidRPr="003E7801" w:rsidRDefault="0094691B" w:rsidP="0094691B">
            <w:pPr>
              <w:widowControl w:val="0"/>
              <w:autoSpaceDE w:val="0"/>
              <w:autoSpaceDN w:val="0"/>
              <w:adjustRightInd w:val="0"/>
              <w:spacing w:before="15" w:after="15"/>
              <w:ind w:left="-237" w:right="1"/>
              <w:jc w:val="both"/>
              <w:rPr>
                <w:rFonts w:ascii="Arial" w:hAnsi="Arial" w:cs="Arial"/>
                <w:sz w:val="16"/>
                <w:szCs w:val="16"/>
              </w:rPr>
            </w:pPr>
            <w:r w:rsidRPr="003E7801">
              <w:rPr>
                <w:rFonts w:ascii="Arial" w:hAnsi="Arial" w:cs="Arial"/>
                <w:sz w:val="16"/>
                <w:szCs w:val="16"/>
              </w:rPr>
              <w:t xml:space="preserve">         3 or more                                                                                   </w:t>
            </w:r>
          </w:p>
        </w:tc>
        <w:tc>
          <w:tcPr>
            <w:tcW w:w="2880" w:type="dxa"/>
            <w:tcBorders>
              <w:top w:val="nil"/>
              <w:left w:val="nil"/>
              <w:bottom w:val="single" w:sz="2" w:space="0" w:color="auto"/>
              <w:right w:val="single" w:sz="2" w:space="0" w:color="auto"/>
            </w:tcBorders>
          </w:tcPr>
          <w:p w:rsidR="0094691B" w:rsidRPr="003E7801" w:rsidRDefault="00FC3447" w:rsidP="0094691B">
            <w:pPr>
              <w:widowControl w:val="0"/>
              <w:autoSpaceDE w:val="0"/>
              <w:autoSpaceDN w:val="0"/>
              <w:adjustRightInd w:val="0"/>
              <w:spacing w:before="15" w:after="15"/>
              <w:ind w:left="-237" w:right="1"/>
              <w:jc w:val="center"/>
              <w:rPr>
                <w:rFonts w:ascii="Arial" w:hAnsi="Arial" w:cs="Arial"/>
                <w:sz w:val="16"/>
                <w:szCs w:val="16"/>
              </w:rPr>
            </w:pPr>
            <w:r>
              <w:rPr>
                <w:rFonts w:ascii="Arial" w:hAnsi="Arial" w:cs="Arial"/>
                <w:sz w:val="16"/>
                <w:szCs w:val="16"/>
              </w:rPr>
              <w:t xml:space="preserve">     </w:t>
            </w:r>
            <w:r w:rsidR="0094691B" w:rsidRPr="003E7801">
              <w:rPr>
                <w:rFonts w:ascii="Arial" w:hAnsi="Arial" w:cs="Arial"/>
                <w:sz w:val="16"/>
                <w:szCs w:val="16"/>
              </w:rPr>
              <w:t>51 (11.0)</w:t>
            </w:r>
          </w:p>
        </w:tc>
        <w:tc>
          <w:tcPr>
            <w:tcW w:w="1800" w:type="dxa"/>
            <w:tcBorders>
              <w:top w:val="nil"/>
              <w:left w:val="nil"/>
              <w:bottom w:val="single" w:sz="2" w:space="0" w:color="auto"/>
              <w:right w:val="single" w:sz="2" w:space="0" w:color="auto"/>
            </w:tcBorders>
          </w:tcPr>
          <w:p w:rsidR="0094691B" w:rsidRPr="003E7801" w:rsidRDefault="00FC3447" w:rsidP="0094691B">
            <w:pPr>
              <w:widowControl w:val="0"/>
              <w:autoSpaceDE w:val="0"/>
              <w:autoSpaceDN w:val="0"/>
              <w:adjustRightInd w:val="0"/>
              <w:spacing w:before="15" w:after="15"/>
              <w:ind w:left="-237" w:right="1"/>
              <w:jc w:val="center"/>
              <w:rPr>
                <w:rFonts w:ascii="Arial" w:hAnsi="Arial" w:cs="Arial"/>
                <w:sz w:val="16"/>
                <w:szCs w:val="16"/>
              </w:rPr>
            </w:pPr>
            <w:r>
              <w:rPr>
                <w:rFonts w:ascii="Arial" w:hAnsi="Arial" w:cs="Arial"/>
                <w:sz w:val="16"/>
                <w:szCs w:val="16"/>
              </w:rPr>
              <w:t xml:space="preserve">     </w:t>
            </w:r>
            <w:r w:rsidR="0094691B" w:rsidRPr="003E7801">
              <w:rPr>
                <w:rFonts w:ascii="Arial" w:hAnsi="Arial" w:cs="Arial"/>
                <w:sz w:val="16"/>
                <w:szCs w:val="16"/>
              </w:rPr>
              <w:t>23 (9.7)</w:t>
            </w:r>
          </w:p>
        </w:tc>
      </w:tr>
      <w:tr w:rsidR="0094691B" w:rsidRPr="003E7801" w:rsidTr="006B56C2">
        <w:tblPrEx>
          <w:tblBorders>
            <w:top w:val="single" w:sz="4" w:space="0" w:color="auto"/>
            <w:bottom w:val="single" w:sz="4" w:space="0" w:color="auto"/>
          </w:tblBorders>
        </w:tblPrEx>
        <w:trPr>
          <w:jc w:val="center"/>
        </w:trPr>
        <w:tc>
          <w:tcPr>
            <w:tcW w:w="8509" w:type="dxa"/>
            <w:gridSpan w:val="3"/>
            <w:tcBorders>
              <w:top w:val="single" w:sz="2" w:space="0" w:color="auto"/>
              <w:bottom w:val="single" w:sz="2" w:space="0" w:color="auto"/>
              <w:right w:val="single" w:sz="2" w:space="0" w:color="auto"/>
            </w:tcBorders>
          </w:tcPr>
          <w:p w:rsidR="0094691B" w:rsidRPr="003E7801" w:rsidRDefault="0094691B" w:rsidP="00805B7D">
            <w:pPr>
              <w:widowControl w:val="0"/>
              <w:autoSpaceDE w:val="0"/>
              <w:autoSpaceDN w:val="0"/>
              <w:adjustRightInd w:val="0"/>
              <w:spacing w:before="30" w:after="30"/>
              <w:ind w:left="160" w:right="1" w:hanging="160"/>
              <w:rPr>
                <w:rFonts w:ascii="Arial" w:hAnsi="Arial" w:cs="Arial"/>
                <w:sz w:val="16"/>
                <w:szCs w:val="16"/>
              </w:rPr>
            </w:pPr>
            <w:r w:rsidRPr="003E7801">
              <w:rPr>
                <w:rFonts w:ascii="Arial" w:hAnsi="Arial" w:cs="Arial"/>
                <w:sz w:val="16"/>
                <w:szCs w:val="16"/>
                <w:vertAlign w:val="superscript"/>
              </w:rPr>
              <w:t>†</w:t>
            </w:r>
            <w:r w:rsidRPr="003E7801">
              <w:rPr>
                <w:rFonts w:ascii="Arial" w:hAnsi="Arial" w:cs="Arial"/>
                <w:sz w:val="16"/>
                <w:szCs w:val="16"/>
              </w:rPr>
              <w:t xml:space="preserve"> Darunavir use in OBT in darunavir naïve patients was counted as one active PI.</w:t>
            </w:r>
          </w:p>
          <w:p w:rsidR="0094691B" w:rsidRPr="003E7801" w:rsidRDefault="0094691B" w:rsidP="00805B7D">
            <w:pPr>
              <w:widowControl w:val="0"/>
              <w:autoSpaceDE w:val="0"/>
              <w:autoSpaceDN w:val="0"/>
              <w:adjustRightInd w:val="0"/>
              <w:spacing w:before="30" w:after="30"/>
              <w:ind w:left="160" w:right="1" w:hanging="160"/>
              <w:rPr>
                <w:rFonts w:ascii="Arial" w:hAnsi="Arial" w:cs="Arial"/>
                <w:sz w:val="16"/>
                <w:szCs w:val="16"/>
              </w:rPr>
            </w:pPr>
            <w:r w:rsidRPr="003E7801">
              <w:rPr>
                <w:rFonts w:ascii="Arial" w:hAnsi="Arial" w:cs="Arial"/>
                <w:sz w:val="16"/>
                <w:szCs w:val="16"/>
                <w:vertAlign w:val="superscript"/>
              </w:rPr>
              <w:t>‡</w:t>
            </w:r>
            <w:r w:rsidRPr="003E7801">
              <w:rPr>
                <w:rFonts w:ascii="Arial" w:hAnsi="Arial" w:cs="Arial"/>
                <w:sz w:val="16"/>
                <w:szCs w:val="16"/>
              </w:rPr>
              <w:t xml:space="preserve"> The Phenotypic Sensitivity Score (PSS) and the Genotypic Sensitivity Score (GSS) were defined as the total oral ARTs in OBT to which a patient</w:t>
            </w:r>
            <w:r>
              <w:rPr>
                <w:rFonts w:ascii="Arial" w:hAnsi="Arial" w:cs="Arial"/>
                <w:sz w:val="16"/>
                <w:szCs w:val="16"/>
              </w:rPr>
              <w:t>'</w:t>
            </w:r>
            <w:r w:rsidRPr="003E7801">
              <w:rPr>
                <w:rFonts w:ascii="Arial" w:hAnsi="Arial" w:cs="Arial"/>
                <w:sz w:val="16"/>
                <w:szCs w:val="16"/>
              </w:rPr>
              <w:t>s viral isolate showed phenotypic sensitivity and genotypic sensitivity, respectively, based upon phenotypic and genotypic resistance tests. Enfuvirtide use in OBT in enfuvirtide-naïve patients was counted as one active drug in OBT in the GSS and PSS. Similarly, darunavir use in OBT in darunavir-naïve patients was counted as one active drug in OBT.</w:t>
            </w:r>
          </w:p>
        </w:tc>
      </w:tr>
    </w:tbl>
    <w:p w:rsidR="000667EC" w:rsidRPr="00C3643B" w:rsidRDefault="000667EC" w:rsidP="002F7487">
      <w:pPr>
        <w:tabs>
          <w:tab w:val="left" w:pos="360"/>
        </w:tabs>
        <w:ind w:right="234"/>
        <w:rPr>
          <w:rFonts w:ascii="Arial" w:hAnsi="Arial" w:cs="Arial"/>
          <w:sz w:val="4"/>
          <w:szCs w:val="4"/>
        </w:rPr>
      </w:pPr>
    </w:p>
    <w:p w:rsidR="00B136D9" w:rsidRDefault="0094691B" w:rsidP="007C3E3E">
      <w:pPr>
        <w:autoSpaceDE w:val="0"/>
        <w:autoSpaceDN w:val="0"/>
        <w:adjustRightInd w:val="0"/>
        <w:jc w:val="both"/>
        <w:rPr>
          <w:rFonts w:ascii="Arial" w:hAnsi="Arial" w:cs="Arial"/>
          <w:sz w:val="22"/>
          <w:szCs w:val="22"/>
          <w:lang w:bidi="th-TH"/>
        </w:rPr>
      </w:pPr>
      <w:r>
        <w:rPr>
          <w:rFonts w:ascii="Arial" w:hAnsi="Arial" w:cs="Arial"/>
          <w:sz w:val="22"/>
          <w:szCs w:val="22"/>
          <w:lang w:bidi="th-TH"/>
        </w:rPr>
        <w:t>Week </w:t>
      </w:r>
      <w:r w:rsidR="00CF604B">
        <w:rPr>
          <w:rFonts w:ascii="Arial" w:hAnsi="Arial" w:cs="Arial"/>
          <w:sz w:val="22"/>
          <w:szCs w:val="22"/>
          <w:lang w:bidi="th-TH"/>
        </w:rPr>
        <w:t xml:space="preserve">48 </w:t>
      </w:r>
      <w:r w:rsidR="003D098F">
        <w:rPr>
          <w:rFonts w:ascii="Arial" w:hAnsi="Arial" w:cs="Arial"/>
          <w:sz w:val="22"/>
          <w:szCs w:val="22"/>
          <w:lang w:bidi="th-TH"/>
        </w:rPr>
        <w:t xml:space="preserve">and 96 </w:t>
      </w:r>
      <w:r>
        <w:rPr>
          <w:rFonts w:ascii="Arial" w:hAnsi="Arial" w:cs="Arial"/>
          <w:sz w:val="22"/>
          <w:szCs w:val="22"/>
          <w:lang w:bidi="th-TH"/>
        </w:rPr>
        <w:t xml:space="preserve">outcomes for </w:t>
      </w:r>
      <w:r w:rsidR="00CF604B">
        <w:rPr>
          <w:rFonts w:ascii="Arial" w:hAnsi="Arial" w:cs="Arial"/>
          <w:sz w:val="22"/>
          <w:szCs w:val="22"/>
          <w:lang w:bidi="th-TH"/>
        </w:rPr>
        <w:t xml:space="preserve">the 699 </w:t>
      </w:r>
      <w:r>
        <w:rPr>
          <w:rFonts w:ascii="Arial" w:hAnsi="Arial" w:cs="Arial"/>
          <w:sz w:val="22"/>
          <w:szCs w:val="22"/>
          <w:lang w:bidi="th-TH"/>
        </w:rPr>
        <w:t>patients</w:t>
      </w:r>
      <w:r w:rsidR="00CF604B">
        <w:rPr>
          <w:rFonts w:ascii="Arial" w:hAnsi="Arial" w:cs="Arial"/>
          <w:sz w:val="22"/>
          <w:szCs w:val="22"/>
          <w:lang w:bidi="th-TH"/>
        </w:rPr>
        <w:t xml:space="preserve"> randomized and treated with </w:t>
      </w:r>
      <w:r>
        <w:rPr>
          <w:rFonts w:ascii="Arial" w:hAnsi="Arial" w:cs="Arial"/>
          <w:sz w:val="22"/>
          <w:szCs w:val="22"/>
          <w:lang w:bidi="th-TH"/>
        </w:rPr>
        <w:t>the recommended dose of ISENTRESS 400 mg b.i.d.</w:t>
      </w:r>
      <w:r w:rsidR="00CF604B">
        <w:rPr>
          <w:rFonts w:ascii="Arial" w:hAnsi="Arial" w:cs="Arial"/>
          <w:sz w:val="22"/>
          <w:szCs w:val="22"/>
          <w:lang w:bidi="th-TH"/>
        </w:rPr>
        <w:t xml:space="preserve"> or comparator in</w:t>
      </w:r>
      <w:r>
        <w:rPr>
          <w:rFonts w:ascii="Arial" w:hAnsi="Arial" w:cs="Arial"/>
          <w:sz w:val="22"/>
          <w:szCs w:val="22"/>
          <w:lang w:bidi="th-TH"/>
        </w:rPr>
        <w:t xml:space="preserve"> the pooled BENCHMRK 1 and 2 </w:t>
      </w:r>
      <w:r w:rsidR="004A14F0">
        <w:rPr>
          <w:rFonts w:ascii="Arial" w:hAnsi="Arial" w:cs="Arial"/>
          <w:sz w:val="22"/>
          <w:szCs w:val="22"/>
          <w:lang w:bidi="th-TH"/>
        </w:rPr>
        <w:t xml:space="preserve">studies </w:t>
      </w:r>
      <w:r>
        <w:rPr>
          <w:rFonts w:ascii="Arial" w:hAnsi="Arial" w:cs="Arial"/>
          <w:sz w:val="22"/>
          <w:szCs w:val="22"/>
          <w:lang w:bidi="th-TH"/>
        </w:rPr>
        <w:t>are shown in Table </w:t>
      </w:r>
      <w:r w:rsidR="00750FB1">
        <w:rPr>
          <w:rFonts w:ascii="Arial" w:hAnsi="Arial" w:cs="Arial"/>
          <w:sz w:val="22"/>
          <w:szCs w:val="22"/>
          <w:lang w:bidi="th-TH"/>
        </w:rPr>
        <w:t>4</w:t>
      </w:r>
      <w:r w:rsidR="00245874">
        <w:rPr>
          <w:rFonts w:ascii="Arial" w:hAnsi="Arial" w:cs="Arial"/>
          <w:sz w:val="22"/>
          <w:szCs w:val="22"/>
          <w:lang w:bidi="th-TH"/>
        </w:rPr>
        <w:t>.</w:t>
      </w:r>
    </w:p>
    <w:p w:rsidR="007D5E50" w:rsidRDefault="007D5E50" w:rsidP="00245874">
      <w:pPr>
        <w:pStyle w:val="Tabletitle"/>
      </w:pPr>
      <w:r w:rsidRPr="007C3E3E">
        <w:t>Table </w:t>
      </w:r>
      <w:r w:rsidR="00750FB1">
        <w:t>4</w:t>
      </w:r>
      <w:r w:rsidRPr="007C3E3E">
        <w:t>: Outcomes by Treatment Group through Week 48 and 96</w:t>
      </w:r>
    </w:p>
    <w:tbl>
      <w:tblPr>
        <w:tblpPr w:leftFromText="180" w:rightFromText="180" w:vertAnchor="text" w:horzAnchor="margin" w:tblpXSpec="center" w:tblpY="166"/>
        <w:tblW w:w="10003" w:type="dxa"/>
        <w:tblBorders>
          <w:top w:val="double" w:sz="4" w:space="0" w:color="auto"/>
          <w:left w:val="single" w:sz="4" w:space="0" w:color="auto"/>
          <w:bottom w:val="double" w:sz="4" w:space="0" w:color="auto"/>
          <w:right w:val="single" w:sz="4" w:space="0" w:color="auto"/>
        </w:tblBorders>
        <w:tblLayout w:type="fixed"/>
        <w:tblLook w:val="0000"/>
      </w:tblPr>
      <w:tblGrid>
        <w:gridCol w:w="4032"/>
        <w:gridCol w:w="1651"/>
        <w:gridCol w:w="1440"/>
        <w:gridCol w:w="1440"/>
        <w:gridCol w:w="1440"/>
      </w:tblGrid>
      <w:tr w:rsidR="00D56410" w:rsidRPr="0049768D" w:rsidTr="006B56C2">
        <w:trPr>
          <w:tblHeader/>
        </w:trPr>
        <w:tc>
          <w:tcPr>
            <w:tcW w:w="4032" w:type="dxa"/>
            <w:tcBorders>
              <w:top w:val="single" w:sz="2" w:space="0" w:color="auto"/>
              <w:bottom w:val="nil"/>
              <w:right w:val="single" w:sz="2" w:space="0" w:color="auto"/>
            </w:tcBorders>
          </w:tcPr>
          <w:p w:rsidR="00D56410" w:rsidRPr="006F502C" w:rsidRDefault="00D56410" w:rsidP="00245874"/>
        </w:tc>
        <w:tc>
          <w:tcPr>
            <w:tcW w:w="3091" w:type="dxa"/>
            <w:gridSpan w:val="2"/>
            <w:tcBorders>
              <w:top w:val="single" w:sz="2" w:space="0" w:color="auto"/>
              <w:left w:val="nil"/>
              <w:bottom w:val="single" w:sz="2" w:space="0" w:color="auto"/>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Outcome at Week 48</w:t>
            </w:r>
          </w:p>
        </w:tc>
        <w:tc>
          <w:tcPr>
            <w:tcW w:w="2880" w:type="dxa"/>
            <w:gridSpan w:val="2"/>
            <w:tcBorders>
              <w:top w:val="single" w:sz="2" w:space="0" w:color="auto"/>
              <w:left w:val="nil"/>
              <w:bottom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Outcome at Week 96</w:t>
            </w:r>
          </w:p>
        </w:tc>
      </w:tr>
      <w:tr w:rsidR="00D56410" w:rsidRPr="0049768D" w:rsidTr="006B56C2">
        <w:trPr>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b/>
                <w:bCs/>
                <w:sz w:val="16"/>
                <w:szCs w:val="16"/>
              </w:rPr>
              <w:t>Randomized Studies</w:t>
            </w:r>
          </w:p>
        </w:tc>
        <w:tc>
          <w:tcPr>
            <w:tcW w:w="1651" w:type="dxa"/>
            <w:tcBorders>
              <w:top w:val="single" w:sz="2" w:space="0" w:color="auto"/>
              <w:left w:val="nil"/>
              <w:bottom w:val="nil"/>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ISENTRESS</w:t>
            </w:r>
          </w:p>
        </w:tc>
        <w:tc>
          <w:tcPr>
            <w:tcW w:w="1440" w:type="dxa"/>
            <w:tcBorders>
              <w:top w:val="single" w:sz="2" w:space="0" w:color="auto"/>
              <w:left w:val="nil"/>
              <w:bottom w:val="nil"/>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Placebo</w:t>
            </w:r>
          </w:p>
        </w:tc>
        <w:tc>
          <w:tcPr>
            <w:tcW w:w="1440" w:type="dxa"/>
            <w:tcBorders>
              <w:top w:val="single" w:sz="2" w:space="0" w:color="auto"/>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ISENTRESS</w:t>
            </w:r>
          </w:p>
        </w:tc>
        <w:tc>
          <w:tcPr>
            <w:tcW w:w="1440" w:type="dxa"/>
            <w:tcBorders>
              <w:top w:val="single" w:sz="2" w:space="0" w:color="auto"/>
              <w:left w:val="single" w:sz="2" w:space="0" w:color="auto"/>
              <w:bottom w:val="nil"/>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Placebo</w:t>
            </w:r>
          </w:p>
        </w:tc>
      </w:tr>
      <w:tr w:rsidR="00D56410" w:rsidRPr="0049768D" w:rsidTr="006B56C2">
        <w:tblPrEx>
          <w:tblBorders>
            <w:top w:val="single" w:sz="4" w:space="0" w:color="auto"/>
            <w:bottom w:val="single" w:sz="4" w:space="0" w:color="auto"/>
          </w:tblBorders>
        </w:tblPrEx>
        <w:trPr>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b/>
                <w:bCs/>
                <w:sz w:val="16"/>
                <w:szCs w:val="16"/>
              </w:rPr>
              <w:t>Protocol 018 and 019</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400 mg b.i.d.</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 xml:space="preserve">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400 mg b.i.d.</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 xml:space="preserve"> </w:t>
            </w:r>
          </w:p>
        </w:tc>
      </w:tr>
      <w:tr w:rsidR="00D56410" w:rsidRPr="0049768D" w:rsidTr="006B56C2">
        <w:tblPrEx>
          <w:tblBorders>
            <w:top w:val="single" w:sz="4" w:space="0" w:color="auto"/>
            <w:bottom w:val="single" w:sz="4" w:space="0" w:color="auto"/>
          </w:tblBorders>
        </w:tblPrEx>
        <w:trPr>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(N=462)</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(N=237)</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(N=462)</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(N=237)</w:t>
            </w:r>
          </w:p>
        </w:tc>
      </w:tr>
      <w:tr w:rsidR="00D56410" w:rsidRPr="0049768D" w:rsidTr="006B56C2">
        <w:tblPrEx>
          <w:tblBorders>
            <w:top w:val="single" w:sz="4" w:space="0" w:color="auto"/>
            <w:bottom w:val="single" w:sz="4" w:space="0" w:color="auto"/>
          </w:tblBorders>
        </w:tblPrEx>
        <w:trPr>
          <w:tblHeader/>
        </w:trPr>
        <w:tc>
          <w:tcPr>
            <w:tcW w:w="4032" w:type="dxa"/>
            <w:tcBorders>
              <w:top w:val="nil"/>
              <w:bottom w:val="single" w:sz="2" w:space="0" w:color="auto"/>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p>
        </w:tc>
        <w:tc>
          <w:tcPr>
            <w:tcW w:w="1651" w:type="dxa"/>
            <w:tcBorders>
              <w:top w:val="nil"/>
              <w:left w:val="nil"/>
              <w:bottom w:val="single" w:sz="2" w:space="0" w:color="auto"/>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n (%)</w:t>
            </w:r>
          </w:p>
        </w:tc>
        <w:tc>
          <w:tcPr>
            <w:tcW w:w="1440" w:type="dxa"/>
            <w:tcBorders>
              <w:top w:val="nil"/>
              <w:left w:val="nil"/>
              <w:bottom w:val="single" w:sz="2" w:space="0" w:color="auto"/>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n (%)</w:t>
            </w:r>
          </w:p>
        </w:tc>
        <w:tc>
          <w:tcPr>
            <w:tcW w:w="1440" w:type="dxa"/>
            <w:tcBorders>
              <w:top w:val="nil"/>
              <w:left w:val="single" w:sz="2" w:space="0" w:color="auto"/>
              <w:bottom w:val="single" w:sz="2" w:space="0" w:color="auto"/>
              <w:right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n (%)</w:t>
            </w:r>
          </w:p>
        </w:tc>
        <w:tc>
          <w:tcPr>
            <w:tcW w:w="1440" w:type="dxa"/>
            <w:tcBorders>
              <w:top w:val="nil"/>
              <w:left w:val="single" w:sz="2" w:space="0" w:color="auto"/>
              <w:bottom w:val="single" w:sz="2" w:space="0" w:color="auto"/>
            </w:tcBorders>
          </w:tcPr>
          <w:p w:rsidR="00D56410" w:rsidRPr="006F502C" w:rsidRDefault="00D56410" w:rsidP="00D56410">
            <w:pPr>
              <w:widowControl w:val="0"/>
              <w:autoSpaceDE w:val="0"/>
              <w:autoSpaceDN w:val="0"/>
              <w:adjustRightInd w:val="0"/>
              <w:spacing w:before="15" w:after="15"/>
              <w:jc w:val="center"/>
              <w:rPr>
                <w:rFonts w:ascii="Arial" w:hAnsi="Arial" w:cs="Arial"/>
                <w:sz w:val="16"/>
                <w:szCs w:val="16"/>
              </w:rPr>
            </w:pPr>
            <w:r w:rsidRPr="006F502C">
              <w:rPr>
                <w:rFonts w:ascii="Arial" w:hAnsi="Arial" w:cs="Arial"/>
                <w:sz w:val="16"/>
                <w:szCs w:val="16"/>
              </w:rPr>
              <w:t>n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p>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Patients with HIV RNA less than 400 copies/mL</w:t>
            </w:r>
            <w:r w:rsidRPr="006F502C">
              <w:rPr>
                <w:rFonts w:ascii="Arial" w:hAnsi="Arial" w:cs="Arial"/>
                <w:sz w:val="16"/>
                <w:szCs w:val="16"/>
                <w:vertAlign w:val="superscript"/>
              </w:rPr>
              <w:t>*</w:t>
            </w:r>
            <w:r w:rsidRPr="006F502C">
              <w:rPr>
                <w:rFonts w:ascii="Arial" w:hAnsi="Arial" w:cs="Arial"/>
                <w:sz w:val="16"/>
                <w:szCs w:val="16"/>
              </w:rPr>
              <w:t xml:space="preserve">                                                </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p>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332 (72.3)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p>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88 (37.1)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p>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283 (61.5)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p>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67 (28.3)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Patients with HIV RNA less than 50 copies/mL</w:t>
            </w:r>
            <w:r w:rsidRPr="006F502C">
              <w:rPr>
                <w:rFonts w:ascii="Arial" w:hAnsi="Arial" w:cs="Arial"/>
                <w:sz w:val="16"/>
                <w:szCs w:val="16"/>
                <w:vertAlign w:val="superscript"/>
              </w:rPr>
              <w:t>*</w:t>
            </w:r>
            <w:r w:rsidRPr="006F502C">
              <w:rPr>
                <w:rFonts w:ascii="Arial" w:hAnsi="Arial" w:cs="Arial"/>
                <w:sz w:val="16"/>
                <w:szCs w:val="16"/>
              </w:rPr>
              <w:t xml:space="preserve">                                                 </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285 (62.1)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78 (32.9)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262 (57.0)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62 (26.2)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lastRenderedPageBreak/>
              <w:t>Patients with greater than 1 Log</w:t>
            </w:r>
            <w:r w:rsidRPr="006F502C">
              <w:rPr>
                <w:rFonts w:ascii="Arial" w:hAnsi="Arial" w:cs="Arial"/>
                <w:sz w:val="16"/>
                <w:szCs w:val="16"/>
                <w:vertAlign w:val="subscript"/>
              </w:rPr>
              <w:t>10</w:t>
            </w:r>
            <w:r w:rsidRPr="006F502C">
              <w:rPr>
                <w:rFonts w:ascii="Arial" w:hAnsi="Arial" w:cs="Arial"/>
                <w:sz w:val="16"/>
                <w:szCs w:val="16"/>
              </w:rPr>
              <w:t xml:space="preserve"> drop in HIV RNA or HIV RNA less than 400 copies/mL</w:t>
            </w:r>
            <w:r w:rsidRPr="006F502C">
              <w:rPr>
                <w:rFonts w:ascii="Arial" w:hAnsi="Arial" w:cs="Arial"/>
                <w:sz w:val="16"/>
                <w:szCs w:val="16"/>
                <w:vertAlign w:val="superscript"/>
              </w:rPr>
              <w:t>*</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348 (75.8)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94 (39.7)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60" w:after="60"/>
              <w:ind w:left="160" w:right="1" w:hanging="160"/>
              <w:jc w:val="center"/>
              <w:rPr>
                <w:rFonts w:ascii="Arial" w:hAnsi="Arial" w:cs="Arial"/>
                <w:sz w:val="16"/>
                <w:szCs w:val="16"/>
              </w:rPr>
            </w:pPr>
            <w:r w:rsidRPr="006F502C">
              <w:rPr>
                <w:rFonts w:ascii="Arial" w:hAnsi="Arial" w:cs="Arial"/>
                <w:sz w:val="16"/>
                <w:szCs w:val="16"/>
              </w:rPr>
              <w:t xml:space="preserve"> 294 (63.9)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60" w:after="60"/>
              <w:ind w:left="160" w:right="1" w:hanging="160"/>
              <w:jc w:val="center"/>
              <w:rPr>
                <w:rFonts w:ascii="Arial" w:hAnsi="Arial" w:cs="Arial"/>
                <w:sz w:val="16"/>
                <w:szCs w:val="16"/>
              </w:rPr>
            </w:pPr>
            <w:r w:rsidRPr="006F502C">
              <w:rPr>
                <w:rFonts w:ascii="Arial" w:hAnsi="Arial" w:cs="Arial"/>
                <w:sz w:val="16"/>
                <w:szCs w:val="16"/>
              </w:rPr>
              <w:t xml:space="preserve">  69 (29.1)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Mean HIV RNA change from baseline (Log</w:t>
            </w:r>
            <w:r w:rsidRPr="006F502C">
              <w:rPr>
                <w:rFonts w:ascii="Arial" w:hAnsi="Arial" w:cs="Arial"/>
                <w:sz w:val="16"/>
                <w:szCs w:val="16"/>
                <w:vertAlign w:val="subscript"/>
              </w:rPr>
              <w:t>10</w:t>
            </w:r>
            <w:r w:rsidRPr="006F502C">
              <w:rPr>
                <w:rFonts w:ascii="Arial" w:hAnsi="Arial" w:cs="Arial"/>
                <w:sz w:val="16"/>
                <w:szCs w:val="16"/>
              </w:rPr>
              <w:t xml:space="preserve"> copies/mL)</w:t>
            </w:r>
            <w:r w:rsidRPr="006F502C">
              <w:rPr>
                <w:rFonts w:ascii="Arial" w:hAnsi="Arial" w:cs="Arial"/>
                <w:sz w:val="16"/>
                <w:szCs w:val="16"/>
                <w:vertAlign w:val="superscript"/>
              </w:rPr>
              <w:t>*</w:t>
            </w:r>
            <w:r w:rsidRPr="006F502C">
              <w:rPr>
                <w:rFonts w:ascii="Arial" w:hAnsi="Arial" w:cs="Arial"/>
                <w:sz w:val="16"/>
                <w:szCs w:val="16"/>
              </w:rPr>
              <w:t xml:space="preserve">                                   </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-1.71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-0.78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-1.51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-0.60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Mean CD4 cell count change from baseline (cells/mm</w:t>
            </w:r>
            <w:r w:rsidRPr="006F502C">
              <w:rPr>
                <w:rFonts w:ascii="Arial" w:hAnsi="Arial" w:cs="Arial"/>
                <w:sz w:val="16"/>
                <w:szCs w:val="16"/>
                <w:vertAlign w:val="superscript"/>
              </w:rPr>
              <w:t>3</w:t>
            </w:r>
            <w:r w:rsidRPr="006F502C">
              <w:rPr>
                <w:rFonts w:ascii="Arial" w:hAnsi="Arial" w:cs="Arial"/>
                <w:sz w:val="16"/>
                <w:szCs w:val="16"/>
              </w:rPr>
              <w:t>)</w:t>
            </w:r>
            <w:r w:rsidRPr="006F502C">
              <w:rPr>
                <w:rFonts w:ascii="Arial" w:hAnsi="Arial" w:cs="Arial"/>
                <w:sz w:val="16"/>
                <w:szCs w:val="16"/>
                <w:vertAlign w:val="superscript"/>
              </w:rPr>
              <w:t>*</w:t>
            </w:r>
            <w:r w:rsidRPr="006F502C">
              <w:rPr>
                <w:rFonts w:ascii="Arial" w:hAnsi="Arial" w:cs="Arial"/>
                <w:sz w:val="16"/>
                <w:szCs w:val="16"/>
              </w:rPr>
              <w:t xml:space="preserve">                                </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109.4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44.6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123.4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48.9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shd w:val="clear" w:color="auto" w:fill="auto"/>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 xml:space="preserve">                                                                                             </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Virologic Failure (confirmed)</w:t>
            </w:r>
            <w:r w:rsidRPr="006F502C">
              <w:rPr>
                <w:rFonts w:ascii="Arial" w:hAnsi="Arial" w:cs="Arial"/>
                <w:sz w:val="16"/>
                <w:szCs w:val="16"/>
                <w:vertAlign w:val="superscript"/>
              </w:rPr>
              <w:t xml:space="preserve">† </w:t>
            </w:r>
            <w:r w:rsidRPr="006F502C">
              <w:rPr>
                <w:rFonts w:ascii="Arial" w:hAnsi="Arial" w:cs="Arial"/>
                <w:sz w:val="16"/>
                <w:szCs w:val="16"/>
              </w:rPr>
              <w:t xml:space="preserve">                                      </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105 (22.7)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r>
              <w:rPr>
                <w:rFonts w:ascii="Arial" w:hAnsi="Arial" w:cs="Arial"/>
                <w:sz w:val="16"/>
                <w:szCs w:val="16"/>
              </w:rPr>
              <w:t>136 (57.4)</w:t>
            </w:r>
            <w:r w:rsidRPr="006F502C">
              <w:rPr>
                <w:rFonts w:ascii="Arial" w:hAnsi="Arial" w:cs="Arial"/>
                <w:sz w:val="16"/>
                <w:szCs w:val="16"/>
              </w:rPr>
              <w:t xml:space="preserve">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150 (32.5)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148 (62.4)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 xml:space="preserve">       Non responder                                                                         </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r>
              <w:rPr>
                <w:rFonts w:ascii="Arial" w:hAnsi="Arial" w:cs="Arial"/>
                <w:sz w:val="16"/>
                <w:szCs w:val="16"/>
              </w:rPr>
              <w:t>13 (2.8)</w:t>
            </w:r>
            <w:r w:rsidRPr="006F502C">
              <w:rPr>
                <w:rFonts w:ascii="Arial" w:hAnsi="Arial" w:cs="Arial"/>
                <w:sz w:val="16"/>
                <w:szCs w:val="16"/>
              </w:rPr>
              <w:t xml:space="preserve">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r>
              <w:rPr>
                <w:rFonts w:ascii="Arial" w:hAnsi="Arial" w:cs="Arial"/>
                <w:sz w:val="16"/>
                <w:szCs w:val="16"/>
              </w:rPr>
              <w:t>77 (32.5)</w:t>
            </w:r>
            <w:r w:rsidRPr="006F502C">
              <w:rPr>
                <w:rFonts w:ascii="Arial" w:hAnsi="Arial" w:cs="Arial"/>
                <w:sz w:val="16"/>
                <w:szCs w:val="16"/>
              </w:rPr>
              <w:t xml:space="preserve">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12 (2.6)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72 (30.4)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 xml:space="preserve">       Rebound                                                                               </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r>
              <w:rPr>
                <w:rFonts w:ascii="Arial" w:hAnsi="Arial" w:cs="Arial"/>
                <w:sz w:val="16"/>
                <w:szCs w:val="16"/>
              </w:rPr>
              <w:t>92 (19.9)</w:t>
            </w:r>
            <w:r w:rsidRPr="006F502C">
              <w:rPr>
                <w:rFonts w:ascii="Arial" w:hAnsi="Arial" w:cs="Arial"/>
                <w:sz w:val="16"/>
                <w:szCs w:val="16"/>
              </w:rPr>
              <w:t xml:space="preserve">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59 (24.9)</w:t>
            </w:r>
            <w:r w:rsidRPr="006F502C">
              <w:rPr>
                <w:rFonts w:ascii="Arial" w:hAnsi="Arial" w:cs="Arial"/>
                <w:sz w:val="16"/>
                <w:szCs w:val="16"/>
              </w:rPr>
              <w:t xml:space="preserve">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138 (29.9)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76 (32.1)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Death</w:t>
            </w:r>
            <w:r w:rsidRPr="006F502C">
              <w:rPr>
                <w:rFonts w:ascii="Arial" w:hAnsi="Arial" w:cs="Arial"/>
                <w:sz w:val="16"/>
                <w:szCs w:val="16"/>
                <w:vertAlign w:val="superscript"/>
              </w:rPr>
              <w:t xml:space="preserve">‡ </w:t>
            </w:r>
            <w:r w:rsidRPr="006F502C">
              <w:rPr>
                <w:rFonts w:ascii="Arial" w:hAnsi="Arial" w:cs="Arial"/>
                <w:sz w:val="16"/>
                <w:szCs w:val="16"/>
              </w:rPr>
              <w:t xml:space="preserve">                                                              </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10 (2.2)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6 (2.5)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13 (2.8)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6 (2.5)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Adjudicated AIDS-Defining Conditions (ADC)</w:t>
            </w:r>
            <w:r w:rsidRPr="006F502C">
              <w:rPr>
                <w:rFonts w:ascii="Arial" w:hAnsi="Arial" w:cs="Arial"/>
                <w:sz w:val="16"/>
                <w:szCs w:val="16"/>
                <w:vertAlign w:val="superscript"/>
              </w:rPr>
              <w:t xml:space="preserve">‡ </w:t>
            </w:r>
            <w:r w:rsidRPr="006F502C">
              <w:rPr>
                <w:rFonts w:ascii="Arial" w:hAnsi="Arial" w:cs="Arial"/>
                <w:sz w:val="16"/>
                <w:szCs w:val="16"/>
              </w:rPr>
              <w:t xml:space="preserve">                        </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17 (3.7)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11 (4.6)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18 (3.9)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11 (4.6)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Discontinuation due to clinical adverse experiences</w:t>
            </w:r>
            <w:r w:rsidRPr="006F502C">
              <w:rPr>
                <w:rFonts w:ascii="Arial" w:hAnsi="Arial" w:cs="Arial"/>
                <w:sz w:val="16"/>
                <w:szCs w:val="16"/>
                <w:vertAlign w:val="superscript"/>
              </w:rPr>
              <w:t xml:space="preserve">‡ </w:t>
            </w:r>
            <w:r w:rsidRPr="006F502C">
              <w:rPr>
                <w:rFonts w:ascii="Arial" w:hAnsi="Arial" w:cs="Arial"/>
                <w:sz w:val="16"/>
                <w:szCs w:val="16"/>
              </w:rPr>
              <w:t xml:space="preserve">                </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10 (2.2)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7 (3.0)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16 (3.5)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10 (4.2)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Discontinuation due to laboratory adverse experiences</w:t>
            </w:r>
            <w:r w:rsidRPr="006F502C">
              <w:rPr>
                <w:rFonts w:ascii="Arial" w:hAnsi="Arial" w:cs="Arial"/>
                <w:sz w:val="16"/>
                <w:szCs w:val="16"/>
                <w:vertAlign w:val="superscript"/>
              </w:rPr>
              <w:t>‡</w:t>
            </w:r>
            <w:r w:rsidRPr="006F502C">
              <w:rPr>
                <w:rFonts w:ascii="Arial" w:hAnsi="Arial" w:cs="Arial"/>
                <w:sz w:val="16"/>
                <w:szCs w:val="16"/>
              </w:rPr>
              <w:t xml:space="preserve">               </w:t>
            </w:r>
          </w:p>
        </w:tc>
        <w:tc>
          <w:tcPr>
            <w:tcW w:w="1651"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 (0.2)        </w:t>
            </w:r>
          </w:p>
        </w:tc>
        <w:tc>
          <w:tcPr>
            <w:tcW w:w="1440" w:type="dxa"/>
            <w:tcBorders>
              <w:top w:val="nil"/>
              <w:left w:val="nil"/>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0 (0.0)        </w:t>
            </w:r>
          </w:p>
        </w:tc>
        <w:tc>
          <w:tcPr>
            <w:tcW w:w="1440" w:type="dxa"/>
            <w:tcBorders>
              <w:top w:val="nil"/>
              <w:left w:val="single" w:sz="2" w:space="0" w:color="auto"/>
              <w:bottom w:val="nil"/>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 (0.2)        </w:t>
            </w:r>
          </w:p>
        </w:tc>
        <w:tc>
          <w:tcPr>
            <w:tcW w:w="1440" w:type="dxa"/>
            <w:tcBorders>
              <w:top w:val="nil"/>
              <w:left w:val="single" w:sz="2" w:space="0" w:color="auto"/>
              <w:bottom w:val="nil"/>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0 (0.0)        </w:t>
            </w:r>
          </w:p>
        </w:tc>
      </w:tr>
      <w:tr w:rsidR="00D56410" w:rsidRPr="0049768D" w:rsidTr="00245874">
        <w:tblPrEx>
          <w:tblBorders>
            <w:top w:val="single" w:sz="4" w:space="0" w:color="auto"/>
            <w:bottom w:val="single" w:sz="4" w:space="0" w:color="auto"/>
          </w:tblBorders>
        </w:tblPrEx>
        <w:trPr>
          <w:cantSplit/>
          <w:tblHeader/>
        </w:trPr>
        <w:tc>
          <w:tcPr>
            <w:tcW w:w="4032" w:type="dxa"/>
            <w:tcBorders>
              <w:top w:val="nil"/>
              <w:bottom w:val="single" w:sz="2" w:space="0" w:color="auto"/>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Discontinuation due to other reasons</w:t>
            </w:r>
            <w:r w:rsidRPr="006F502C">
              <w:rPr>
                <w:rFonts w:ascii="Arial" w:hAnsi="Arial" w:cs="Arial"/>
                <w:sz w:val="16"/>
                <w:szCs w:val="16"/>
                <w:vertAlign w:val="superscript"/>
              </w:rPr>
              <w:t>‡§</w:t>
            </w:r>
            <w:r w:rsidRPr="006F502C">
              <w:rPr>
                <w:rFonts w:ascii="Arial" w:hAnsi="Arial" w:cs="Arial"/>
                <w:sz w:val="16"/>
                <w:szCs w:val="16"/>
              </w:rPr>
              <w:t xml:space="preserve">      </w:t>
            </w:r>
          </w:p>
        </w:tc>
        <w:tc>
          <w:tcPr>
            <w:tcW w:w="1651" w:type="dxa"/>
            <w:tcBorders>
              <w:top w:val="nil"/>
              <w:left w:val="nil"/>
              <w:bottom w:val="single" w:sz="2" w:space="0" w:color="auto"/>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11 (2.4)       </w:t>
            </w:r>
          </w:p>
        </w:tc>
        <w:tc>
          <w:tcPr>
            <w:tcW w:w="1440" w:type="dxa"/>
            <w:tcBorders>
              <w:top w:val="nil"/>
              <w:left w:val="nil"/>
              <w:bottom w:val="single" w:sz="2" w:space="0" w:color="auto"/>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4 (1.7)        </w:t>
            </w:r>
          </w:p>
        </w:tc>
        <w:tc>
          <w:tcPr>
            <w:tcW w:w="1440" w:type="dxa"/>
            <w:tcBorders>
              <w:top w:val="nil"/>
              <w:left w:val="single" w:sz="2" w:space="0" w:color="auto"/>
              <w:bottom w:val="single" w:sz="2" w:space="0" w:color="auto"/>
              <w:right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38 (8.2)       </w:t>
            </w:r>
          </w:p>
        </w:tc>
        <w:tc>
          <w:tcPr>
            <w:tcW w:w="1440" w:type="dxa"/>
            <w:tcBorders>
              <w:top w:val="nil"/>
              <w:left w:val="single" w:sz="2" w:space="0" w:color="auto"/>
              <w:bottom w:val="single" w:sz="2" w:space="0" w:color="auto"/>
            </w:tcBorders>
          </w:tcPr>
          <w:p w:rsidR="00D56410" w:rsidRPr="006F502C" w:rsidRDefault="00D56410" w:rsidP="00D56410">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19 (8.0)       </w:t>
            </w:r>
          </w:p>
        </w:tc>
      </w:tr>
      <w:tr w:rsidR="00D56410" w:rsidRPr="0049768D" w:rsidTr="00245874">
        <w:tblPrEx>
          <w:tblBorders>
            <w:top w:val="single" w:sz="4" w:space="0" w:color="auto"/>
            <w:bottom w:val="single" w:sz="4" w:space="0" w:color="auto"/>
          </w:tblBorders>
        </w:tblPrEx>
        <w:trPr>
          <w:cantSplit/>
          <w:tblHeader/>
        </w:trPr>
        <w:tc>
          <w:tcPr>
            <w:tcW w:w="10003" w:type="dxa"/>
            <w:gridSpan w:val="5"/>
            <w:tcBorders>
              <w:top w:val="single" w:sz="2" w:space="0" w:color="auto"/>
              <w:bottom w:val="nil"/>
            </w:tcBorders>
          </w:tcPr>
          <w:p w:rsidR="00D56410" w:rsidRPr="006F502C" w:rsidRDefault="00D56410" w:rsidP="00D56410">
            <w:pPr>
              <w:widowControl w:val="0"/>
              <w:autoSpaceDE w:val="0"/>
              <w:autoSpaceDN w:val="0"/>
              <w:adjustRightInd w:val="0"/>
              <w:spacing w:before="30" w:after="30"/>
              <w:ind w:left="160" w:right="1" w:hanging="160"/>
              <w:rPr>
                <w:rFonts w:ascii="Arial" w:hAnsi="Arial" w:cs="Arial"/>
                <w:sz w:val="16"/>
                <w:szCs w:val="16"/>
              </w:rPr>
            </w:pPr>
            <w:r w:rsidRPr="006F502C">
              <w:rPr>
                <w:rFonts w:ascii="Arial" w:hAnsi="Arial" w:cs="Arial"/>
                <w:sz w:val="16"/>
                <w:szCs w:val="16"/>
                <w:vertAlign w:val="superscript"/>
              </w:rPr>
              <w:t>*</w:t>
            </w:r>
            <w:r w:rsidRPr="006F502C">
              <w:rPr>
                <w:rFonts w:ascii="Arial" w:hAnsi="Arial" w:cs="Arial"/>
                <w:sz w:val="16"/>
                <w:szCs w:val="16"/>
              </w:rPr>
              <w:t>Approach to handling missing values: For binary endpoints (proportions), Non-Completer = Failure. For change from baseline in  log</w:t>
            </w:r>
            <w:r w:rsidRPr="006F502C">
              <w:rPr>
                <w:rFonts w:ascii="Arial" w:hAnsi="Arial" w:cs="Arial"/>
                <w:sz w:val="16"/>
                <w:szCs w:val="16"/>
                <w:vertAlign w:val="subscript"/>
              </w:rPr>
              <w:t xml:space="preserve">10 </w:t>
            </w:r>
            <w:r w:rsidRPr="006F502C">
              <w:rPr>
                <w:rFonts w:ascii="Arial" w:hAnsi="Arial" w:cs="Arial"/>
                <w:sz w:val="16"/>
                <w:szCs w:val="16"/>
              </w:rPr>
              <w:t xml:space="preserve">HIV RNA and change from baseline in CD4 cell counts, Observed Failure (OF) approach assumes baseline value was carried forward for patients who discontinued assigned therapy due to lack of efficacy. </w:t>
            </w:r>
          </w:p>
          <w:p w:rsidR="00D56410" w:rsidRPr="006F502C" w:rsidRDefault="00D56410" w:rsidP="00D56410">
            <w:pPr>
              <w:widowControl w:val="0"/>
              <w:autoSpaceDE w:val="0"/>
              <w:autoSpaceDN w:val="0"/>
              <w:adjustRightInd w:val="0"/>
              <w:spacing w:before="30" w:after="30"/>
              <w:ind w:left="160" w:right="1" w:hanging="160"/>
              <w:rPr>
                <w:rFonts w:ascii="Arial" w:hAnsi="Arial" w:cs="Arial"/>
                <w:sz w:val="16"/>
                <w:szCs w:val="16"/>
              </w:rPr>
            </w:pPr>
            <w:r w:rsidRPr="006F502C">
              <w:rPr>
                <w:rFonts w:ascii="Arial" w:hAnsi="Arial" w:cs="Arial"/>
                <w:sz w:val="16"/>
                <w:szCs w:val="16"/>
                <w:vertAlign w:val="superscript"/>
              </w:rPr>
              <w:t>†</w:t>
            </w:r>
            <w:r w:rsidRPr="006F502C">
              <w:rPr>
                <w:rFonts w:ascii="Arial" w:hAnsi="Arial" w:cs="Arial"/>
                <w:sz w:val="16"/>
                <w:szCs w:val="16"/>
              </w:rPr>
              <w:t>Virologic failure: defined as non-responders who did not achieve &gt;1.0 log</w:t>
            </w:r>
            <w:r w:rsidRPr="006F502C">
              <w:rPr>
                <w:rFonts w:ascii="Arial" w:hAnsi="Arial" w:cs="Arial"/>
                <w:sz w:val="16"/>
                <w:szCs w:val="16"/>
                <w:vertAlign w:val="subscript"/>
              </w:rPr>
              <w:t>10</w:t>
            </w:r>
            <w:r w:rsidRPr="006F502C">
              <w:rPr>
                <w:rFonts w:ascii="Arial" w:hAnsi="Arial" w:cs="Arial"/>
                <w:sz w:val="16"/>
                <w:szCs w:val="16"/>
              </w:rPr>
              <w:t xml:space="preserve">  HIV RNA reduction or &lt;400 HIV RNA copies/mL by Week 16, or viral rebound , which was defined as: (a) HIV RNA &gt;400 copies/mL (on 2 consecutive measurements at least 1 week apart) after initial response with HIV RNA &lt;400 copies/mL, or (b) &gt;1.0 log</w:t>
            </w:r>
            <w:r w:rsidRPr="006F502C">
              <w:rPr>
                <w:rFonts w:ascii="Arial" w:hAnsi="Arial" w:cs="Arial"/>
                <w:sz w:val="16"/>
                <w:szCs w:val="16"/>
                <w:vertAlign w:val="subscript"/>
              </w:rPr>
              <w:t>10</w:t>
            </w:r>
            <w:r w:rsidRPr="006F502C">
              <w:rPr>
                <w:rFonts w:ascii="Arial" w:hAnsi="Arial" w:cs="Arial"/>
                <w:sz w:val="16"/>
                <w:szCs w:val="16"/>
              </w:rPr>
              <w:t xml:space="preserve"> increase in HIV RNA above nadir level (on 2 consecutive measurements at least 1 week apart).</w:t>
            </w:r>
          </w:p>
        </w:tc>
      </w:tr>
      <w:tr w:rsidR="00D56410" w:rsidRPr="0049768D" w:rsidTr="00245874">
        <w:tblPrEx>
          <w:tblBorders>
            <w:top w:val="single" w:sz="4" w:space="0" w:color="auto"/>
            <w:bottom w:val="single" w:sz="4" w:space="0" w:color="auto"/>
          </w:tblBorders>
        </w:tblPrEx>
        <w:trPr>
          <w:cantSplit/>
          <w:tblHeader/>
        </w:trPr>
        <w:tc>
          <w:tcPr>
            <w:tcW w:w="10003" w:type="dxa"/>
            <w:gridSpan w:val="5"/>
            <w:tcBorders>
              <w:top w:val="nil"/>
              <w:left w:val="single" w:sz="2" w:space="0" w:color="auto"/>
              <w:bottom w:val="nil"/>
            </w:tcBorders>
          </w:tcPr>
          <w:p w:rsidR="00D56410" w:rsidRPr="006F502C" w:rsidRDefault="00D56410" w:rsidP="00D56410">
            <w:pPr>
              <w:widowControl w:val="0"/>
              <w:autoSpaceDE w:val="0"/>
              <w:autoSpaceDN w:val="0"/>
              <w:adjustRightInd w:val="0"/>
              <w:spacing w:before="30" w:after="30"/>
              <w:ind w:left="160" w:right="1" w:hanging="160"/>
              <w:rPr>
                <w:rFonts w:ascii="Arial" w:hAnsi="Arial" w:cs="Arial"/>
                <w:sz w:val="16"/>
                <w:szCs w:val="16"/>
              </w:rPr>
            </w:pPr>
            <w:r w:rsidRPr="006F502C">
              <w:rPr>
                <w:rFonts w:ascii="Arial" w:hAnsi="Arial" w:cs="Arial"/>
                <w:sz w:val="16"/>
                <w:szCs w:val="16"/>
                <w:vertAlign w:val="superscript"/>
              </w:rPr>
              <w:t>‡</w:t>
            </w:r>
            <w:r w:rsidRPr="006F502C">
              <w:rPr>
                <w:rFonts w:ascii="Arial" w:hAnsi="Arial" w:cs="Arial"/>
                <w:sz w:val="16"/>
                <w:szCs w:val="16"/>
              </w:rPr>
              <w:t xml:space="preserve">Outcome at </w:t>
            </w:r>
            <w:r w:rsidRPr="006F502C">
              <w:rPr>
                <w:rFonts w:ascii="Arial" w:eastAsia="MS Mincho" w:hAnsi="Arial" w:cs="Arial"/>
                <w:sz w:val="16"/>
                <w:szCs w:val="16"/>
                <w:lang w:eastAsia="ja-JP"/>
              </w:rPr>
              <w:t xml:space="preserve">Week 48 included data for at least 48 Weeks. </w:t>
            </w:r>
            <w:r w:rsidRPr="006F502C">
              <w:rPr>
                <w:rFonts w:ascii="Arial" w:hAnsi="Arial" w:cs="Arial"/>
                <w:sz w:val="16"/>
                <w:szCs w:val="16"/>
              </w:rPr>
              <w:t xml:space="preserve">Outcome at </w:t>
            </w:r>
            <w:r w:rsidRPr="006F502C">
              <w:rPr>
                <w:rFonts w:ascii="Arial" w:eastAsia="MS Mincho" w:hAnsi="Arial" w:cs="Arial"/>
                <w:sz w:val="16"/>
                <w:szCs w:val="16"/>
                <w:lang w:eastAsia="ja-JP"/>
              </w:rPr>
              <w:t>Week 96 included data up to Week 96.</w:t>
            </w:r>
          </w:p>
        </w:tc>
      </w:tr>
      <w:tr w:rsidR="00D56410" w:rsidRPr="0049768D" w:rsidTr="00245874">
        <w:tblPrEx>
          <w:tblBorders>
            <w:top w:val="single" w:sz="4" w:space="0" w:color="auto"/>
            <w:bottom w:val="single" w:sz="4" w:space="0" w:color="auto"/>
          </w:tblBorders>
        </w:tblPrEx>
        <w:trPr>
          <w:cantSplit/>
          <w:tblHeader/>
        </w:trPr>
        <w:tc>
          <w:tcPr>
            <w:tcW w:w="10003" w:type="dxa"/>
            <w:gridSpan w:val="5"/>
            <w:tcBorders>
              <w:top w:val="nil"/>
              <w:left w:val="single" w:sz="2" w:space="0" w:color="auto"/>
              <w:bottom w:val="nil"/>
            </w:tcBorders>
          </w:tcPr>
          <w:p w:rsidR="00D56410" w:rsidRPr="006F502C" w:rsidRDefault="00D56410" w:rsidP="00D56410">
            <w:pPr>
              <w:widowControl w:val="0"/>
              <w:autoSpaceDE w:val="0"/>
              <w:autoSpaceDN w:val="0"/>
              <w:adjustRightInd w:val="0"/>
              <w:spacing w:before="30" w:after="30"/>
              <w:ind w:left="160" w:right="1" w:hanging="160"/>
              <w:rPr>
                <w:rFonts w:ascii="Arial" w:hAnsi="Arial" w:cs="Arial"/>
                <w:sz w:val="16"/>
                <w:szCs w:val="16"/>
              </w:rPr>
            </w:pPr>
            <w:r w:rsidRPr="006F502C">
              <w:rPr>
                <w:rFonts w:ascii="Arial" w:hAnsi="Arial" w:cs="Arial"/>
                <w:sz w:val="16"/>
                <w:szCs w:val="16"/>
                <w:vertAlign w:val="superscript"/>
              </w:rPr>
              <w:t xml:space="preserve">§ </w:t>
            </w:r>
            <w:r w:rsidRPr="006F502C">
              <w:rPr>
                <w:rFonts w:ascii="Arial" w:hAnsi="Arial" w:cs="Arial"/>
                <w:sz w:val="16"/>
                <w:szCs w:val="16"/>
              </w:rPr>
              <w:t>Includes loss to follow-up, patient withdrew consent, noncompliance, protocol violation and other reasons.</w:t>
            </w:r>
          </w:p>
        </w:tc>
      </w:tr>
      <w:tr w:rsidR="00D56410" w:rsidRPr="0049768D" w:rsidTr="00245874">
        <w:tblPrEx>
          <w:tblBorders>
            <w:top w:val="single" w:sz="4" w:space="0" w:color="auto"/>
            <w:bottom w:val="single" w:sz="4" w:space="0" w:color="auto"/>
          </w:tblBorders>
        </w:tblPrEx>
        <w:trPr>
          <w:cantSplit/>
          <w:tblHeader/>
        </w:trPr>
        <w:tc>
          <w:tcPr>
            <w:tcW w:w="10003" w:type="dxa"/>
            <w:gridSpan w:val="5"/>
            <w:tcBorders>
              <w:top w:val="nil"/>
              <w:left w:val="single" w:sz="2" w:space="0" w:color="auto"/>
              <w:bottom w:val="nil"/>
            </w:tcBorders>
          </w:tcPr>
          <w:p w:rsidR="00D56410" w:rsidRPr="006F502C" w:rsidRDefault="00D56410" w:rsidP="00D56410">
            <w:pPr>
              <w:widowControl w:val="0"/>
              <w:autoSpaceDE w:val="0"/>
              <w:autoSpaceDN w:val="0"/>
              <w:adjustRightInd w:val="0"/>
              <w:spacing w:before="30" w:after="30"/>
              <w:ind w:left="160" w:right="1" w:hanging="160"/>
              <w:rPr>
                <w:rFonts w:ascii="Arial" w:hAnsi="Arial" w:cs="Arial"/>
                <w:sz w:val="16"/>
                <w:szCs w:val="16"/>
              </w:rPr>
            </w:pPr>
            <w:r w:rsidRPr="006F502C">
              <w:rPr>
                <w:rFonts w:ascii="Arial" w:hAnsi="Arial" w:cs="Arial"/>
                <w:sz w:val="16"/>
                <w:szCs w:val="16"/>
              </w:rPr>
              <w:t>Note: ISENTRESS and Placebo were administered with Optimized Background Therapy (OBT).</w:t>
            </w:r>
          </w:p>
        </w:tc>
      </w:tr>
      <w:tr w:rsidR="00D56410" w:rsidRPr="0049768D" w:rsidTr="00245874">
        <w:tblPrEx>
          <w:tblBorders>
            <w:top w:val="single" w:sz="4" w:space="0" w:color="auto"/>
            <w:bottom w:val="single" w:sz="4" w:space="0" w:color="auto"/>
          </w:tblBorders>
        </w:tblPrEx>
        <w:trPr>
          <w:cantSplit/>
          <w:tblHeader/>
        </w:trPr>
        <w:tc>
          <w:tcPr>
            <w:tcW w:w="10003" w:type="dxa"/>
            <w:gridSpan w:val="5"/>
            <w:tcBorders>
              <w:top w:val="nil"/>
              <w:bottom w:val="single" w:sz="2" w:space="0" w:color="auto"/>
            </w:tcBorders>
          </w:tcPr>
          <w:p w:rsidR="00D56410" w:rsidRPr="006F502C" w:rsidRDefault="00D56410" w:rsidP="00D56410">
            <w:pPr>
              <w:widowControl w:val="0"/>
              <w:autoSpaceDE w:val="0"/>
              <w:autoSpaceDN w:val="0"/>
              <w:adjustRightInd w:val="0"/>
              <w:spacing w:before="30" w:after="30"/>
              <w:ind w:left="160" w:right="1" w:hanging="160"/>
              <w:rPr>
                <w:rFonts w:ascii="Arial" w:hAnsi="Arial" w:cs="Arial"/>
                <w:sz w:val="16"/>
                <w:szCs w:val="16"/>
              </w:rPr>
            </w:pPr>
            <w:r w:rsidRPr="006F502C">
              <w:rPr>
                <w:rFonts w:ascii="Arial" w:hAnsi="Arial" w:cs="Arial"/>
                <w:sz w:val="16"/>
                <w:szCs w:val="16"/>
              </w:rPr>
              <w:t>N = Number of patients in each treatment group.</w:t>
            </w:r>
          </w:p>
        </w:tc>
      </w:tr>
    </w:tbl>
    <w:p w:rsidR="0094691B" w:rsidRDefault="0094691B" w:rsidP="0094691B">
      <w:pPr>
        <w:autoSpaceDE w:val="0"/>
        <w:autoSpaceDN w:val="0"/>
        <w:adjustRightInd w:val="0"/>
        <w:jc w:val="both"/>
        <w:rPr>
          <w:rFonts w:ascii="Arial" w:hAnsi="Arial" w:cs="Arial"/>
          <w:sz w:val="22"/>
          <w:szCs w:val="22"/>
          <w:lang w:bidi="th-TH"/>
        </w:rPr>
      </w:pPr>
      <w:r w:rsidRPr="00AB0820">
        <w:rPr>
          <w:rFonts w:ascii="Arial" w:hAnsi="Arial" w:cs="Arial"/>
          <w:sz w:val="22"/>
          <w:szCs w:val="22"/>
          <w:lang w:bidi="th-TH"/>
        </w:rPr>
        <w:t xml:space="preserve">The mean changes in plasma HIV-1 RNA from baseline were </w:t>
      </w:r>
      <w:r w:rsidR="00584D50">
        <w:rPr>
          <w:rFonts w:ascii="Arial" w:hAnsi="Arial" w:cs="Arial"/>
          <w:sz w:val="22"/>
          <w:szCs w:val="22"/>
          <w:lang w:bidi="th-TH"/>
        </w:rPr>
        <w:t>-</w:t>
      </w:r>
      <w:r w:rsidR="00C66667">
        <w:rPr>
          <w:rFonts w:ascii="Arial" w:hAnsi="Arial" w:cs="Arial"/>
          <w:sz w:val="22"/>
          <w:szCs w:val="22"/>
          <w:lang w:bidi="th-TH"/>
        </w:rPr>
        <w:t>-</w:t>
      </w:r>
      <w:r w:rsidR="00584D50">
        <w:rPr>
          <w:rFonts w:ascii="Arial" w:hAnsi="Arial" w:cs="Arial"/>
          <w:sz w:val="22"/>
          <w:szCs w:val="22"/>
          <w:lang w:bidi="th-TH"/>
        </w:rPr>
        <w:t>1.81</w:t>
      </w:r>
      <w:r>
        <w:rPr>
          <w:rFonts w:ascii="Arial" w:hAnsi="Arial" w:cs="Arial"/>
          <w:sz w:val="22"/>
          <w:szCs w:val="22"/>
          <w:lang w:bidi="th-TH"/>
        </w:rPr>
        <w:t> </w:t>
      </w:r>
      <w:r w:rsidRPr="00AB0820">
        <w:rPr>
          <w:rFonts w:ascii="Arial" w:hAnsi="Arial" w:cs="Arial"/>
          <w:sz w:val="22"/>
          <w:szCs w:val="22"/>
          <w:lang w:bidi="th-TH"/>
        </w:rPr>
        <w:t>log</w:t>
      </w:r>
      <w:r w:rsidRPr="00AB0820">
        <w:rPr>
          <w:rFonts w:ascii="Arial" w:hAnsi="Arial" w:cs="Arial"/>
          <w:sz w:val="22"/>
          <w:szCs w:val="22"/>
          <w:vertAlign w:val="subscript"/>
          <w:lang w:bidi="th-TH"/>
        </w:rPr>
        <w:t>10</w:t>
      </w:r>
      <w:r>
        <w:rPr>
          <w:rFonts w:ascii="Arial" w:hAnsi="Arial" w:cs="Arial"/>
          <w:sz w:val="22"/>
          <w:szCs w:val="22"/>
          <w:lang w:bidi="th-TH"/>
        </w:rPr>
        <w:t> </w:t>
      </w:r>
      <w:r w:rsidRPr="00AB0820">
        <w:rPr>
          <w:rFonts w:ascii="Arial" w:hAnsi="Arial" w:cs="Arial"/>
          <w:sz w:val="22"/>
          <w:szCs w:val="22"/>
          <w:lang w:bidi="th-TH"/>
        </w:rPr>
        <w:t>copies/mL in the ISENTRESS 400</w:t>
      </w:r>
      <w:r>
        <w:rPr>
          <w:rFonts w:ascii="Arial" w:hAnsi="Arial" w:cs="Arial"/>
          <w:sz w:val="22"/>
          <w:szCs w:val="22"/>
          <w:lang w:bidi="th-TH"/>
        </w:rPr>
        <w:t> </w:t>
      </w:r>
      <w:r w:rsidRPr="00AB0820">
        <w:rPr>
          <w:rFonts w:ascii="Arial" w:hAnsi="Arial" w:cs="Arial"/>
          <w:sz w:val="22"/>
          <w:szCs w:val="22"/>
          <w:lang w:bidi="th-TH"/>
        </w:rPr>
        <w:t xml:space="preserve">mg b.i.d. arm and </w:t>
      </w:r>
      <w:r w:rsidR="00584D50">
        <w:rPr>
          <w:rFonts w:ascii="Arial" w:hAnsi="Arial" w:cs="Arial"/>
          <w:sz w:val="22"/>
          <w:szCs w:val="22"/>
          <w:lang w:bidi="th-TH"/>
        </w:rPr>
        <w:t>-</w:t>
      </w:r>
      <w:r w:rsidR="00C66667">
        <w:rPr>
          <w:rFonts w:ascii="Arial" w:hAnsi="Arial" w:cs="Arial"/>
          <w:sz w:val="22"/>
          <w:szCs w:val="22"/>
          <w:lang w:bidi="th-TH"/>
        </w:rPr>
        <w:t>-</w:t>
      </w:r>
      <w:r w:rsidR="00584D50">
        <w:rPr>
          <w:rFonts w:ascii="Arial" w:hAnsi="Arial" w:cs="Arial"/>
          <w:sz w:val="22"/>
          <w:szCs w:val="22"/>
          <w:lang w:bidi="th-TH"/>
        </w:rPr>
        <w:t>0.75</w:t>
      </w:r>
      <w:r>
        <w:rPr>
          <w:rFonts w:ascii="Arial" w:hAnsi="Arial" w:cs="Arial"/>
          <w:sz w:val="22"/>
          <w:szCs w:val="22"/>
          <w:lang w:bidi="th-TH"/>
        </w:rPr>
        <w:t> </w:t>
      </w:r>
      <w:r w:rsidRPr="00AB0820">
        <w:rPr>
          <w:rFonts w:ascii="Arial" w:hAnsi="Arial" w:cs="Arial"/>
          <w:sz w:val="22"/>
          <w:szCs w:val="22"/>
          <w:lang w:bidi="th-TH"/>
        </w:rPr>
        <w:t>log</w:t>
      </w:r>
      <w:r w:rsidRPr="00AB0820">
        <w:rPr>
          <w:rFonts w:ascii="Arial" w:hAnsi="Arial" w:cs="Arial"/>
          <w:sz w:val="22"/>
          <w:szCs w:val="22"/>
          <w:vertAlign w:val="subscript"/>
          <w:lang w:bidi="th-TH"/>
        </w:rPr>
        <w:t>10</w:t>
      </w:r>
      <w:r>
        <w:rPr>
          <w:rFonts w:ascii="Arial" w:hAnsi="Arial" w:cs="Arial"/>
          <w:sz w:val="22"/>
          <w:szCs w:val="22"/>
          <w:lang w:bidi="th-TH"/>
        </w:rPr>
        <w:t> </w:t>
      </w:r>
      <w:r w:rsidRPr="00AB0820">
        <w:rPr>
          <w:rFonts w:ascii="Arial" w:hAnsi="Arial" w:cs="Arial"/>
          <w:sz w:val="22"/>
          <w:szCs w:val="22"/>
          <w:lang w:bidi="th-TH"/>
        </w:rPr>
        <w:t>copies/mL for the control arm. The mean increase from baseline in CD4+ cell counts was higher in the arm receiving ISENTRESS 400</w:t>
      </w:r>
      <w:r>
        <w:rPr>
          <w:rFonts w:ascii="Arial" w:hAnsi="Arial" w:cs="Arial"/>
          <w:sz w:val="22"/>
          <w:szCs w:val="22"/>
          <w:lang w:bidi="th-TH"/>
        </w:rPr>
        <w:t> </w:t>
      </w:r>
      <w:r w:rsidRPr="00AB0820">
        <w:rPr>
          <w:rFonts w:ascii="Arial" w:hAnsi="Arial" w:cs="Arial"/>
          <w:sz w:val="22"/>
          <w:szCs w:val="22"/>
          <w:lang w:bidi="th-TH"/>
        </w:rPr>
        <w:t>mg b.i.d. (</w:t>
      </w:r>
      <w:r w:rsidR="00584D50">
        <w:rPr>
          <w:rFonts w:ascii="Arial" w:hAnsi="Arial" w:cs="Arial"/>
          <w:sz w:val="22"/>
          <w:szCs w:val="22"/>
          <w:lang w:bidi="th-TH"/>
        </w:rPr>
        <w:t>118 </w:t>
      </w:r>
      <w:r w:rsidRPr="00AB0820">
        <w:rPr>
          <w:rFonts w:ascii="Arial" w:hAnsi="Arial" w:cs="Arial"/>
          <w:sz w:val="22"/>
          <w:szCs w:val="22"/>
          <w:lang w:bidi="th-TH"/>
        </w:rPr>
        <w:t>cells/mm</w:t>
      </w:r>
      <w:r w:rsidRPr="00AB0820">
        <w:rPr>
          <w:rFonts w:ascii="Arial" w:hAnsi="Arial" w:cs="Arial"/>
          <w:sz w:val="22"/>
          <w:szCs w:val="22"/>
          <w:vertAlign w:val="superscript"/>
          <w:lang w:bidi="th-TH"/>
        </w:rPr>
        <w:t>3</w:t>
      </w:r>
      <w:r w:rsidRPr="00AB0820">
        <w:rPr>
          <w:rFonts w:ascii="Arial" w:hAnsi="Arial" w:cs="Arial"/>
          <w:sz w:val="22"/>
          <w:szCs w:val="22"/>
          <w:lang w:bidi="th-TH"/>
        </w:rPr>
        <w:t>) than in the control arm (</w:t>
      </w:r>
      <w:r w:rsidR="00584D50">
        <w:rPr>
          <w:rFonts w:ascii="Arial" w:hAnsi="Arial" w:cs="Arial"/>
          <w:sz w:val="22"/>
          <w:szCs w:val="22"/>
          <w:lang w:bidi="th-TH"/>
        </w:rPr>
        <w:t>47 </w:t>
      </w:r>
      <w:r w:rsidRPr="00AB0820">
        <w:rPr>
          <w:rFonts w:ascii="Arial" w:hAnsi="Arial" w:cs="Arial"/>
          <w:sz w:val="22"/>
          <w:szCs w:val="22"/>
          <w:lang w:bidi="th-TH"/>
        </w:rPr>
        <w:t>cells/mm</w:t>
      </w:r>
      <w:r w:rsidRPr="00AB0820">
        <w:rPr>
          <w:rFonts w:ascii="Arial" w:hAnsi="Arial" w:cs="Arial"/>
          <w:sz w:val="22"/>
          <w:szCs w:val="22"/>
          <w:vertAlign w:val="superscript"/>
          <w:lang w:bidi="th-TH"/>
        </w:rPr>
        <w:t>3</w:t>
      </w:r>
      <w:r w:rsidRPr="00AB0820">
        <w:rPr>
          <w:rFonts w:ascii="Arial" w:hAnsi="Arial" w:cs="Arial"/>
          <w:sz w:val="22"/>
          <w:szCs w:val="22"/>
          <w:lang w:bidi="th-TH"/>
        </w:rPr>
        <w:t>).</w:t>
      </w:r>
    </w:p>
    <w:p w:rsidR="0094691B" w:rsidRPr="00022FEC" w:rsidRDefault="0094691B" w:rsidP="00A6385A">
      <w:pPr>
        <w:pStyle w:val="AllText"/>
        <w:rPr>
          <w:lang w:bidi="th-TH"/>
        </w:rPr>
      </w:pPr>
      <w:r>
        <w:rPr>
          <w:rFonts w:ascii="Arial" w:hAnsi="Arial" w:cs="Arial"/>
          <w:sz w:val="22"/>
          <w:szCs w:val="22"/>
        </w:rPr>
        <w:t>The percent (95% confidence interval) of patients achieving HIV RNA &lt;50 copies/mL over time is displayed in Figure 1</w:t>
      </w:r>
      <w:r w:rsidR="00584D50">
        <w:rPr>
          <w:rFonts w:ascii="Arial" w:hAnsi="Arial" w:cs="Arial"/>
          <w:sz w:val="22"/>
          <w:szCs w:val="22"/>
        </w:rPr>
        <w:t xml:space="preserve"> as Non-Completer = Failure Approach (NC=F)</w:t>
      </w:r>
      <w:r>
        <w:rPr>
          <w:rFonts w:ascii="Arial" w:hAnsi="Arial" w:cs="Arial"/>
          <w:sz w:val="22"/>
          <w:szCs w:val="22"/>
        </w:rPr>
        <w:t>.</w:t>
      </w:r>
    </w:p>
    <w:p w:rsidR="00A6385A" w:rsidRDefault="0094691B" w:rsidP="00245874">
      <w:pPr>
        <w:pStyle w:val="Tabletitle"/>
        <w:rPr>
          <w:vertAlign w:val="superscript"/>
        </w:rPr>
      </w:pPr>
      <w:r w:rsidRPr="00133341">
        <w:lastRenderedPageBreak/>
        <w:t xml:space="preserve">Figure </w:t>
      </w:r>
      <w:r>
        <w:t>1</w:t>
      </w:r>
      <w:r w:rsidR="00245874">
        <w:t xml:space="preserve">: </w:t>
      </w:r>
      <w:r w:rsidRPr="00133341">
        <w:t>Proportion of Patients with HIV RNA &lt;50 Copies/mL (95%CI) Over Time</w:t>
      </w:r>
      <w:r w:rsidRPr="007703C4">
        <w:rPr>
          <w:vertAlign w:val="superscript"/>
        </w:rPr>
        <w:t xml:space="preserve"> </w:t>
      </w:r>
      <w:r w:rsidR="00584D50" w:rsidRPr="00584D50">
        <w:rPr>
          <w:rFonts w:ascii="Arial Bold" w:hAnsi="Arial Bold"/>
        </w:rPr>
        <w:t xml:space="preserve"> (NC=F)</w:t>
      </w:r>
    </w:p>
    <w:p w:rsidR="00584D50" w:rsidRDefault="00FB1312" w:rsidP="00584D50">
      <w:r>
        <w:rPr>
          <w:noProof/>
          <w:lang w:val="en-AU" w:eastAsia="en-AU"/>
        </w:rPr>
        <w:drawing>
          <wp:inline distT="0" distB="0" distL="0" distR="0">
            <wp:extent cx="6178550" cy="3138805"/>
            <wp:effectExtent l="19050" t="0" r="0" b="0"/>
            <wp:docPr id="2" name="Picture 2" descr="Figure 1: Proportion of Patients with HIV RNA &lt;50 Copies/mL (95%CI) Over Time  (N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k518p18p19week96nc50_Isentress"/>
                    <pic:cNvPicPr>
                      <a:picLocks noChangeAspect="1" noChangeArrowheads="1"/>
                    </pic:cNvPicPr>
                  </pic:nvPicPr>
                  <pic:blipFill>
                    <a:blip r:embed="rId10" cstate="print"/>
                    <a:srcRect l="3636" t="27063" r="7272" b="14119"/>
                    <a:stretch>
                      <a:fillRect/>
                    </a:stretch>
                  </pic:blipFill>
                  <pic:spPr bwMode="auto">
                    <a:xfrm>
                      <a:off x="0" y="0"/>
                      <a:ext cx="6178550" cy="3138805"/>
                    </a:xfrm>
                    <a:prstGeom prst="rect">
                      <a:avLst/>
                    </a:prstGeom>
                    <a:noFill/>
                    <a:ln w="9525">
                      <a:noFill/>
                      <a:miter lim="800000"/>
                      <a:headEnd/>
                      <a:tailEnd/>
                    </a:ln>
                  </pic:spPr>
                </pic:pic>
              </a:graphicData>
            </a:graphic>
          </wp:inline>
        </w:drawing>
      </w:r>
    </w:p>
    <w:p w:rsidR="00A6385A" w:rsidRPr="00A6385A" w:rsidRDefault="00A6385A" w:rsidP="00812B0F">
      <w:pPr>
        <w:jc w:val="both"/>
        <w:rPr>
          <w:rFonts w:ascii="Arial" w:hAnsi="Arial" w:cs="Arial"/>
          <w:sz w:val="4"/>
          <w:szCs w:val="4"/>
        </w:rPr>
      </w:pPr>
    </w:p>
    <w:p w:rsidR="00C633A8" w:rsidRPr="00C633A8" w:rsidRDefault="0094691B" w:rsidP="00993DA1">
      <w:pPr>
        <w:autoSpaceDE w:val="0"/>
        <w:autoSpaceDN w:val="0"/>
        <w:adjustRightInd w:val="0"/>
        <w:jc w:val="both"/>
        <w:rPr>
          <w:rFonts w:ascii="Arial" w:eastAsia="MS Mincho" w:hAnsi="Arial" w:cs="Arial"/>
          <w:sz w:val="22"/>
          <w:szCs w:val="22"/>
          <w:lang w:eastAsia="ja-JP"/>
        </w:rPr>
      </w:pPr>
      <w:r w:rsidRPr="00812B0F">
        <w:rPr>
          <w:rFonts w:ascii="Arial" w:hAnsi="Arial" w:cs="Arial"/>
          <w:sz w:val="22"/>
          <w:szCs w:val="22"/>
        </w:rPr>
        <w:t>Virologic responses at Week</w:t>
      </w:r>
      <w:r w:rsidR="00812B0F">
        <w:rPr>
          <w:rFonts w:ascii="Arial" w:hAnsi="Arial" w:cs="Arial"/>
          <w:sz w:val="22"/>
          <w:szCs w:val="22"/>
        </w:rPr>
        <w:t xml:space="preserve"> </w:t>
      </w:r>
      <w:r w:rsidR="003D098F">
        <w:rPr>
          <w:rFonts w:ascii="Arial" w:hAnsi="Arial" w:cs="Arial"/>
          <w:sz w:val="22"/>
          <w:szCs w:val="22"/>
        </w:rPr>
        <w:t>96</w:t>
      </w:r>
      <w:r w:rsidR="003D098F" w:rsidRPr="00812B0F">
        <w:rPr>
          <w:rFonts w:ascii="Arial" w:hAnsi="Arial" w:cs="Arial"/>
          <w:sz w:val="22"/>
          <w:szCs w:val="22"/>
        </w:rPr>
        <w:t xml:space="preserve"> </w:t>
      </w:r>
      <w:r w:rsidRPr="00812B0F">
        <w:rPr>
          <w:rFonts w:ascii="Arial" w:hAnsi="Arial" w:cs="Arial"/>
          <w:sz w:val="22"/>
          <w:szCs w:val="22"/>
        </w:rPr>
        <w:t>by baseline genotypic and phenotypic sensitivity score are shown in Table</w:t>
      </w:r>
      <w:r w:rsidR="00812B0F">
        <w:rPr>
          <w:rFonts w:ascii="Arial" w:hAnsi="Arial" w:cs="Arial"/>
          <w:sz w:val="22"/>
          <w:szCs w:val="22"/>
        </w:rPr>
        <w:t xml:space="preserve"> </w:t>
      </w:r>
      <w:r w:rsidR="00DE7ADC" w:rsidRPr="00680020">
        <w:rPr>
          <w:rFonts w:ascii="Arial" w:hAnsi="Arial" w:cs="Arial"/>
          <w:sz w:val="22"/>
          <w:szCs w:val="22"/>
        </w:rPr>
        <w:t>5</w:t>
      </w:r>
      <w:r w:rsidRPr="00680020">
        <w:rPr>
          <w:rFonts w:ascii="Arial" w:hAnsi="Arial" w:cs="Arial"/>
          <w:sz w:val="22"/>
          <w:szCs w:val="22"/>
        </w:rPr>
        <w:t>.</w:t>
      </w:r>
      <w:r w:rsidR="00C633A8" w:rsidRPr="00C633A8">
        <w:rPr>
          <w:rFonts w:ascii="Arial" w:hAnsi="Arial" w:cs="Arial"/>
          <w:sz w:val="22"/>
          <w:szCs w:val="22"/>
        </w:rPr>
        <w:t xml:space="preserve"> </w:t>
      </w:r>
      <w:r w:rsidR="00C633A8" w:rsidRPr="00C633A8">
        <w:rPr>
          <w:rFonts w:ascii="Arial" w:eastAsia="MS Mincho" w:hAnsi="Arial" w:cs="Arial"/>
          <w:sz w:val="22"/>
          <w:szCs w:val="22"/>
          <w:lang w:eastAsia="ja-JP"/>
        </w:rPr>
        <w:t>Higher response rates were observed in patients with Genotypic Sensitivity Score (GSS) &gt; 0. Patients</w:t>
      </w:r>
      <w:r w:rsidR="00C633A8">
        <w:rPr>
          <w:rFonts w:ascii="Arial" w:eastAsia="MS Mincho" w:hAnsi="Arial" w:cs="Arial"/>
          <w:sz w:val="22"/>
          <w:szCs w:val="22"/>
          <w:lang w:eastAsia="ja-JP"/>
        </w:rPr>
        <w:t xml:space="preserve"> </w:t>
      </w:r>
      <w:r w:rsidR="00C633A8" w:rsidRPr="00C633A8">
        <w:rPr>
          <w:rFonts w:ascii="Arial" w:eastAsia="MS Mincho" w:hAnsi="Arial" w:cs="Arial"/>
          <w:sz w:val="22"/>
          <w:szCs w:val="22"/>
          <w:lang w:eastAsia="ja-JP"/>
        </w:rPr>
        <w:t>with GSS or Phenotypic Sensitivity Score (PSS) = 0 had a higher risk of developing resistance to</w:t>
      </w:r>
      <w:r w:rsidR="00C633A8">
        <w:rPr>
          <w:rFonts w:ascii="Arial" w:eastAsia="MS Mincho" w:hAnsi="Arial" w:cs="Arial"/>
          <w:sz w:val="22"/>
          <w:szCs w:val="22"/>
          <w:lang w:eastAsia="ja-JP"/>
        </w:rPr>
        <w:t xml:space="preserve"> </w:t>
      </w:r>
      <w:r w:rsidR="00C633A8" w:rsidRPr="00C633A8">
        <w:rPr>
          <w:rFonts w:ascii="Arial" w:eastAsia="MS Mincho" w:hAnsi="Arial" w:cs="Arial"/>
          <w:sz w:val="22"/>
          <w:szCs w:val="22"/>
          <w:lang w:eastAsia="ja-JP"/>
        </w:rPr>
        <w:t>raltegravir</w:t>
      </w:r>
      <w:r w:rsidR="00993DA1">
        <w:rPr>
          <w:rFonts w:ascii="Arial" w:eastAsia="MS Mincho" w:hAnsi="Arial" w:cs="Arial"/>
          <w:sz w:val="22"/>
          <w:szCs w:val="22"/>
          <w:lang w:eastAsia="ja-JP"/>
        </w:rPr>
        <w:t>.</w:t>
      </w:r>
      <w:r w:rsidR="00D21005">
        <w:rPr>
          <w:rFonts w:ascii="Arial" w:eastAsia="MS Mincho" w:hAnsi="Arial" w:cs="Arial"/>
          <w:sz w:val="22"/>
          <w:szCs w:val="22"/>
          <w:lang w:eastAsia="ja-JP"/>
        </w:rPr>
        <w:t xml:space="preserve"> </w:t>
      </w:r>
      <w:r w:rsidR="00C633A8" w:rsidRPr="00C633A8">
        <w:rPr>
          <w:rFonts w:ascii="Arial" w:eastAsia="MS Mincho" w:hAnsi="Arial" w:cs="Arial"/>
          <w:sz w:val="22"/>
          <w:szCs w:val="22"/>
          <w:lang w:eastAsia="ja-JP"/>
        </w:rPr>
        <w:t>Raltegravir should be used in combination with at least one other active</w:t>
      </w:r>
      <w:r w:rsidR="00993DA1">
        <w:rPr>
          <w:rFonts w:ascii="Arial" w:eastAsia="MS Mincho" w:hAnsi="Arial" w:cs="Arial"/>
          <w:sz w:val="22"/>
          <w:szCs w:val="22"/>
          <w:lang w:eastAsia="ja-JP"/>
        </w:rPr>
        <w:t xml:space="preserve"> </w:t>
      </w:r>
      <w:r w:rsidR="00C633A8" w:rsidRPr="00C633A8">
        <w:rPr>
          <w:rFonts w:ascii="Arial" w:eastAsia="MS Mincho" w:hAnsi="Arial" w:cs="Arial"/>
          <w:sz w:val="22"/>
          <w:szCs w:val="22"/>
          <w:lang w:eastAsia="ja-JP"/>
        </w:rPr>
        <w:t>agent to enhance benefit and to reduce the risk of virologic failure and development of resistance to</w:t>
      </w:r>
    </w:p>
    <w:p w:rsidR="00C633A8" w:rsidRPr="00C633A8" w:rsidRDefault="00C633A8" w:rsidP="00993DA1">
      <w:pPr>
        <w:autoSpaceDE w:val="0"/>
        <w:autoSpaceDN w:val="0"/>
        <w:adjustRightInd w:val="0"/>
        <w:jc w:val="both"/>
        <w:rPr>
          <w:rFonts w:ascii="Arial" w:eastAsia="MS Mincho" w:hAnsi="Arial" w:cs="Arial"/>
          <w:sz w:val="22"/>
          <w:szCs w:val="22"/>
          <w:lang w:eastAsia="ja-JP"/>
        </w:rPr>
      </w:pPr>
      <w:r w:rsidRPr="00C633A8">
        <w:rPr>
          <w:rFonts w:ascii="Arial" w:eastAsia="MS Mincho" w:hAnsi="Arial" w:cs="Arial"/>
          <w:sz w:val="22"/>
          <w:szCs w:val="22"/>
          <w:lang w:eastAsia="ja-JP"/>
        </w:rPr>
        <w:t>raltegravir.</w:t>
      </w:r>
    </w:p>
    <w:p w:rsidR="001A0789" w:rsidRDefault="001A0789" w:rsidP="00245874">
      <w:pPr>
        <w:pStyle w:val="Tabletitle"/>
      </w:pPr>
      <w:r w:rsidRPr="003A0FFF">
        <w:t>Table</w:t>
      </w:r>
      <w:r>
        <w:t> </w:t>
      </w:r>
      <w:r w:rsidR="00750FB1">
        <w:t>5</w:t>
      </w:r>
      <w:r>
        <w:t>:</w:t>
      </w:r>
      <w:r w:rsidRPr="003A0FFF">
        <w:t xml:space="preserve"> Virologic Response</w:t>
      </w:r>
      <w:r>
        <w:t xml:space="preserve"> (95% confidence interval)</w:t>
      </w:r>
      <w:r w:rsidRPr="003A0FFF">
        <w:t xml:space="preserve"> at Week</w:t>
      </w:r>
      <w:r>
        <w:t> </w:t>
      </w:r>
      <w:r w:rsidR="00584D50">
        <w:t>96</w:t>
      </w:r>
      <w:r w:rsidR="00584D50" w:rsidRPr="003A0FFF">
        <w:t xml:space="preserve"> </w:t>
      </w:r>
      <w:r w:rsidRPr="003A0FFF">
        <w:t>by Baseline Genotypic/Phenotypic Sensitivity Score</w:t>
      </w:r>
      <w:r>
        <w:t xml:space="preserve"> </w:t>
      </w:r>
    </w:p>
    <w:tbl>
      <w:tblPr>
        <w:tblW w:w="8591" w:type="dxa"/>
        <w:jc w:val="center"/>
        <w:tblBorders>
          <w:top w:val="double" w:sz="4" w:space="0" w:color="auto"/>
          <w:left w:val="single" w:sz="4" w:space="0" w:color="auto"/>
          <w:bottom w:val="double" w:sz="4" w:space="0" w:color="auto"/>
          <w:right w:val="single" w:sz="4" w:space="0" w:color="auto"/>
        </w:tblBorders>
        <w:tblLayout w:type="fixed"/>
        <w:tblLook w:val="0000"/>
      </w:tblPr>
      <w:tblGrid>
        <w:gridCol w:w="1582"/>
        <w:gridCol w:w="507"/>
        <w:gridCol w:w="1384"/>
        <w:gridCol w:w="1436"/>
        <w:gridCol w:w="623"/>
        <w:gridCol w:w="1471"/>
        <w:gridCol w:w="1588"/>
      </w:tblGrid>
      <w:tr w:rsidR="00584D50" w:rsidRPr="004B0307" w:rsidTr="00245874">
        <w:trPr>
          <w:cantSplit/>
          <w:trHeight w:val="325"/>
          <w:tblHeader/>
          <w:jc w:val="center"/>
        </w:trPr>
        <w:tc>
          <w:tcPr>
            <w:tcW w:w="1582" w:type="dxa"/>
            <w:tcBorders>
              <w:top w:val="double" w:sz="4" w:space="0" w:color="auto"/>
              <w:left w:val="single" w:sz="4" w:space="0" w:color="auto"/>
              <w:bottom w:val="nil"/>
              <w:right w:val="single" w:sz="2" w:space="0" w:color="auto"/>
            </w:tcBorders>
          </w:tcPr>
          <w:p w:rsidR="00584D50" w:rsidRPr="004B0307" w:rsidRDefault="00584D50" w:rsidP="006D6B65">
            <w:pPr>
              <w:widowControl w:val="0"/>
              <w:autoSpaceDE w:val="0"/>
              <w:autoSpaceDN w:val="0"/>
              <w:adjustRightInd w:val="0"/>
              <w:spacing w:before="15" w:after="15"/>
              <w:jc w:val="center"/>
              <w:rPr>
                <w:rFonts w:ascii="Arial" w:hAnsi="Arial" w:cs="Arial"/>
                <w:b/>
                <w:sz w:val="16"/>
                <w:szCs w:val="16"/>
              </w:rPr>
            </w:pPr>
          </w:p>
        </w:tc>
        <w:tc>
          <w:tcPr>
            <w:tcW w:w="3327" w:type="dxa"/>
            <w:gridSpan w:val="3"/>
            <w:tcBorders>
              <w:top w:val="double" w:sz="4" w:space="0" w:color="auto"/>
              <w:left w:val="nil"/>
              <w:bottom w:val="nil"/>
              <w:right w:val="single" w:sz="2" w:space="0" w:color="auto"/>
            </w:tcBorders>
          </w:tcPr>
          <w:p w:rsidR="00584D50" w:rsidRPr="004B0307" w:rsidRDefault="00584D50" w:rsidP="006D6B65">
            <w:pPr>
              <w:widowControl w:val="0"/>
              <w:autoSpaceDE w:val="0"/>
              <w:autoSpaceDN w:val="0"/>
              <w:adjustRightInd w:val="0"/>
              <w:spacing w:before="15" w:after="15"/>
              <w:jc w:val="center"/>
              <w:rPr>
                <w:rFonts w:ascii="Arial" w:hAnsi="Arial" w:cs="Arial"/>
                <w:b/>
                <w:sz w:val="16"/>
                <w:szCs w:val="16"/>
                <w:lang w:val="nb-NO"/>
              </w:rPr>
            </w:pPr>
            <w:r w:rsidRPr="004B0307">
              <w:rPr>
                <w:rFonts w:ascii="Arial" w:hAnsi="Arial" w:cs="Arial"/>
                <w:b/>
                <w:sz w:val="16"/>
                <w:szCs w:val="16"/>
                <w:lang w:val="nb-NO"/>
              </w:rPr>
              <w:t>ISENTRESS 400 mg b.i.d.</w:t>
            </w:r>
          </w:p>
        </w:tc>
        <w:tc>
          <w:tcPr>
            <w:tcW w:w="3682" w:type="dxa"/>
            <w:gridSpan w:val="3"/>
            <w:tcBorders>
              <w:top w:val="double" w:sz="4" w:space="0" w:color="auto"/>
              <w:left w:val="nil"/>
              <w:bottom w:val="nil"/>
              <w:right w:val="single" w:sz="4" w:space="0" w:color="auto"/>
            </w:tcBorders>
          </w:tcPr>
          <w:p w:rsidR="00584D50" w:rsidRPr="004B0307" w:rsidRDefault="00584D50" w:rsidP="006D6B65">
            <w:pPr>
              <w:widowControl w:val="0"/>
              <w:autoSpaceDE w:val="0"/>
              <w:autoSpaceDN w:val="0"/>
              <w:adjustRightInd w:val="0"/>
              <w:spacing w:before="15" w:after="15"/>
              <w:jc w:val="center"/>
              <w:rPr>
                <w:rFonts w:ascii="Arial" w:hAnsi="Arial" w:cs="Arial"/>
                <w:b/>
                <w:sz w:val="16"/>
                <w:szCs w:val="16"/>
              </w:rPr>
            </w:pPr>
            <w:r w:rsidRPr="004B0307">
              <w:rPr>
                <w:rFonts w:ascii="Arial" w:hAnsi="Arial" w:cs="Arial"/>
                <w:b/>
                <w:sz w:val="16"/>
                <w:szCs w:val="16"/>
              </w:rPr>
              <w:t>Placebo</w:t>
            </w:r>
          </w:p>
        </w:tc>
      </w:tr>
      <w:tr w:rsidR="00584D50" w:rsidRPr="004B0307" w:rsidTr="00245874">
        <w:tblPrEx>
          <w:tblBorders>
            <w:top w:val="single" w:sz="4" w:space="0" w:color="auto"/>
            <w:bottom w:val="single" w:sz="4" w:space="0" w:color="auto"/>
          </w:tblBorders>
        </w:tblPrEx>
        <w:trPr>
          <w:cantSplit/>
          <w:trHeight w:val="297"/>
          <w:tblHeader/>
          <w:jc w:val="center"/>
        </w:trPr>
        <w:tc>
          <w:tcPr>
            <w:tcW w:w="1582" w:type="dxa"/>
            <w:tcBorders>
              <w:top w:val="nil"/>
              <w:left w:val="single" w:sz="4" w:space="0" w:color="auto"/>
              <w:bottom w:val="nil"/>
              <w:right w:val="single" w:sz="2" w:space="0" w:color="auto"/>
            </w:tcBorders>
          </w:tcPr>
          <w:p w:rsidR="00584D50" w:rsidRPr="004B0307" w:rsidRDefault="00584D50" w:rsidP="006D6B65">
            <w:pPr>
              <w:widowControl w:val="0"/>
              <w:autoSpaceDE w:val="0"/>
              <w:autoSpaceDN w:val="0"/>
              <w:adjustRightInd w:val="0"/>
              <w:spacing w:before="15" w:after="15"/>
              <w:jc w:val="center"/>
              <w:rPr>
                <w:rFonts w:ascii="Arial" w:hAnsi="Arial" w:cs="Arial"/>
                <w:b/>
                <w:sz w:val="16"/>
                <w:szCs w:val="16"/>
                <w:lang w:bidi="th-TH"/>
              </w:rPr>
            </w:pPr>
            <w:r w:rsidRPr="004B0307">
              <w:rPr>
                <w:rFonts w:ascii="Arial" w:hAnsi="Arial" w:cs="Arial"/>
                <w:b/>
                <w:sz w:val="16"/>
                <w:szCs w:val="16"/>
                <w:lang w:bidi="th-TH"/>
              </w:rPr>
              <w:t>BENCHMRK 1 and 2</w:t>
            </w:r>
          </w:p>
        </w:tc>
        <w:tc>
          <w:tcPr>
            <w:tcW w:w="3327" w:type="dxa"/>
            <w:gridSpan w:val="3"/>
            <w:tcBorders>
              <w:top w:val="nil"/>
              <w:left w:val="nil"/>
              <w:bottom w:val="nil"/>
              <w:right w:val="single" w:sz="2" w:space="0" w:color="auto"/>
            </w:tcBorders>
          </w:tcPr>
          <w:p w:rsidR="00584D50" w:rsidRPr="004B0307" w:rsidRDefault="00584D50" w:rsidP="006D6B65">
            <w:pPr>
              <w:widowControl w:val="0"/>
              <w:autoSpaceDE w:val="0"/>
              <w:autoSpaceDN w:val="0"/>
              <w:adjustRightInd w:val="0"/>
              <w:spacing w:before="15" w:after="15"/>
              <w:jc w:val="center"/>
              <w:rPr>
                <w:rFonts w:ascii="Arial" w:hAnsi="Arial" w:cs="Arial"/>
                <w:b/>
                <w:sz w:val="16"/>
                <w:szCs w:val="16"/>
                <w:lang w:val="pt-BR"/>
              </w:rPr>
            </w:pPr>
            <w:r w:rsidRPr="004B0307">
              <w:rPr>
                <w:rFonts w:ascii="Arial" w:hAnsi="Arial" w:cs="Arial"/>
                <w:b/>
                <w:sz w:val="16"/>
                <w:szCs w:val="16"/>
                <w:lang w:val="pt-BR"/>
              </w:rPr>
              <w:t>+ OBT</w:t>
            </w:r>
          </w:p>
        </w:tc>
        <w:tc>
          <w:tcPr>
            <w:tcW w:w="3682" w:type="dxa"/>
            <w:gridSpan w:val="3"/>
            <w:tcBorders>
              <w:top w:val="nil"/>
              <w:left w:val="nil"/>
              <w:bottom w:val="nil"/>
              <w:right w:val="single" w:sz="4" w:space="0" w:color="auto"/>
            </w:tcBorders>
          </w:tcPr>
          <w:p w:rsidR="00584D50" w:rsidRPr="004B0307" w:rsidRDefault="00584D50" w:rsidP="006D6B65">
            <w:pPr>
              <w:widowControl w:val="0"/>
              <w:autoSpaceDE w:val="0"/>
              <w:autoSpaceDN w:val="0"/>
              <w:adjustRightInd w:val="0"/>
              <w:spacing w:before="15" w:after="15"/>
              <w:ind w:left="1028" w:hanging="1028"/>
              <w:jc w:val="center"/>
              <w:rPr>
                <w:rFonts w:ascii="Arial" w:hAnsi="Arial" w:cs="Arial"/>
                <w:b/>
                <w:sz w:val="16"/>
                <w:szCs w:val="16"/>
                <w:lang w:val="pt-BR"/>
              </w:rPr>
            </w:pPr>
            <w:r w:rsidRPr="004B0307">
              <w:rPr>
                <w:rFonts w:ascii="Arial" w:hAnsi="Arial" w:cs="Arial"/>
                <w:b/>
                <w:sz w:val="16"/>
                <w:szCs w:val="16"/>
              </w:rPr>
              <w:t>+ OBT</w:t>
            </w:r>
          </w:p>
        </w:tc>
      </w:tr>
      <w:tr w:rsidR="00584D50" w:rsidRPr="004B0307" w:rsidTr="00245874">
        <w:tblPrEx>
          <w:tblBorders>
            <w:top w:val="single" w:sz="4" w:space="0" w:color="auto"/>
            <w:bottom w:val="single" w:sz="4" w:space="0" w:color="auto"/>
          </w:tblBorders>
        </w:tblPrEx>
        <w:trPr>
          <w:cantSplit/>
          <w:trHeight w:val="232"/>
          <w:tblHeader/>
          <w:jc w:val="center"/>
        </w:trPr>
        <w:tc>
          <w:tcPr>
            <w:tcW w:w="1582" w:type="dxa"/>
            <w:tcBorders>
              <w:top w:val="nil"/>
              <w:left w:val="single" w:sz="4" w:space="0" w:color="auto"/>
              <w:bottom w:val="nil"/>
              <w:right w:val="single" w:sz="2" w:space="0" w:color="auto"/>
            </w:tcBorders>
          </w:tcPr>
          <w:p w:rsidR="00584D50" w:rsidRPr="004B0307" w:rsidRDefault="00584D50" w:rsidP="006D6B65">
            <w:pPr>
              <w:widowControl w:val="0"/>
              <w:autoSpaceDE w:val="0"/>
              <w:autoSpaceDN w:val="0"/>
              <w:adjustRightInd w:val="0"/>
              <w:spacing w:before="15" w:after="15"/>
              <w:jc w:val="center"/>
              <w:rPr>
                <w:rFonts w:ascii="Arial" w:hAnsi="Arial" w:cs="Arial"/>
                <w:b/>
                <w:sz w:val="16"/>
                <w:szCs w:val="16"/>
              </w:rPr>
            </w:pPr>
            <w:r w:rsidRPr="004B0307">
              <w:rPr>
                <w:rFonts w:ascii="Arial" w:hAnsi="Arial" w:cs="Arial"/>
                <w:b/>
                <w:sz w:val="16"/>
                <w:szCs w:val="16"/>
                <w:lang w:bidi="th-TH"/>
              </w:rPr>
              <w:t>Pooled</w:t>
            </w:r>
          </w:p>
        </w:tc>
        <w:tc>
          <w:tcPr>
            <w:tcW w:w="3327" w:type="dxa"/>
            <w:gridSpan w:val="3"/>
            <w:tcBorders>
              <w:top w:val="nil"/>
              <w:left w:val="nil"/>
              <w:bottom w:val="single" w:sz="4" w:space="0" w:color="auto"/>
              <w:right w:val="single" w:sz="2" w:space="0" w:color="auto"/>
            </w:tcBorders>
          </w:tcPr>
          <w:p w:rsidR="00584D50" w:rsidRPr="004B0307" w:rsidRDefault="00584D50" w:rsidP="006D6B65">
            <w:pPr>
              <w:widowControl w:val="0"/>
              <w:autoSpaceDE w:val="0"/>
              <w:autoSpaceDN w:val="0"/>
              <w:adjustRightInd w:val="0"/>
              <w:spacing w:before="15" w:after="15"/>
              <w:jc w:val="center"/>
              <w:rPr>
                <w:rFonts w:ascii="Arial" w:hAnsi="Arial" w:cs="Arial"/>
                <w:b/>
                <w:sz w:val="16"/>
                <w:szCs w:val="16"/>
                <w:lang w:val="pt-BR"/>
              </w:rPr>
            </w:pPr>
            <w:r w:rsidRPr="004B0307">
              <w:rPr>
                <w:rFonts w:ascii="Arial" w:hAnsi="Arial" w:cs="Arial"/>
                <w:b/>
                <w:sz w:val="16"/>
                <w:szCs w:val="16"/>
                <w:lang w:val="pt-BR"/>
              </w:rPr>
              <w:t>(N =</w:t>
            </w:r>
            <w:r w:rsidR="006F502C">
              <w:rPr>
                <w:rFonts w:ascii="Arial" w:hAnsi="Arial" w:cs="Arial"/>
                <w:b/>
                <w:sz w:val="16"/>
                <w:szCs w:val="16"/>
                <w:lang w:val="pt-BR"/>
              </w:rPr>
              <w:t>425</w:t>
            </w:r>
            <w:r w:rsidRPr="004B0307">
              <w:rPr>
                <w:rFonts w:ascii="Arial" w:hAnsi="Arial" w:cs="Arial"/>
                <w:b/>
                <w:sz w:val="16"/>
                <w:szCs w:val="16"/>
                <w:lang w:val="pt-BR"/>
              </w:rPr>
              <w:t>)</w:t>
            </w:r>
          </w:p>
        </w:tc>
        <w:tc>
          <w:tcPr>
            <w:tcW w:w="3682" w:type="dxa"/>
            <w:gridSpan w:val="3"/>
            <w:tcBorders>
              <w:top w:val="nil"/>
              <w:left w:val="nil"/>
              <w:bottom w:val="single" w:sz="4" w:space="0" w:color="auto"/>
              <w:right w:val="single" w:sz="4" w:space="0" w:color="auto"/>
            </w:tcBorders>
          </w:tcPr>
          <w:p w:rsidR="00584D50" w:rsidRPr="004B0307" w:rsidRDefault="00584D50" w:rsidP="006D6B65">
            <w:pPr>
              <w:widowControl w:val="0"/>
              <w:autoSpaceDE w:val="0"/>
              <w:autoSpaceDN w:val="0"/>
              <w:adjustRightInd w:val="0"/>
              <w:spacing w:before="15" w:after="15"/>
              <w:jc w:val="center"/>
              <w:rPr>
                <w:rFonts w:ascii="Arial" w:hAnsi="Arial" w:cs="Arial"/>
                <w:b/>
                <w:sz w:val="16"/>
                <w:szCs w:val="16"/>
                <w:lang w:val="pt-BR"/>
              </w:rPr>
            </w:pPr>
            <w:r w:rsidRPr="004B0307">
              <w:rPr>
                <w:rFonts w:ascii="Arial" w:hAnsi="Arial" w:cs="Arial"/>
                <w:b/>
                <w:sz w:val="16"/>
                <w:szCs w:val="16"/>
                <w:lang w:val="pt-BR"/>
              </w:rPr>
              <w:t>(N =</w:t>
            </w:r>
            <w:r w:rsidR="006F502C">
              <w:rPr>
                <w:rFonts w:ascii="Arial" w:hAnsi="Arial" w:cs="Arial"/>
                <w:b/>
                <w:sz w:val="16"/>
                <w:szCs w:val="16"/>
                <w:lang w:val="pt-BR"/>
              </w:rPr>
              <w:t>219</w:t>
            </w:r>
            <w:r w:rsidRPr="004B0307">
              <w:rPr>
                <w:rFonts w:ascii="Arial" w:hAnsi="Arial" w:cs="Arial"/>
                <w:b/>
                <w:sz w:val="16"/>
                <w:szCs w:val="16"/>
                <w:lang w:val="pt-BR"/>
              </w:rPr>
              <w:t>)</w:t>
            </w:r>
          </w:p>
        </w:tc>
      </w:tr>
      <w:tr w:rsidR="00584D50" w:rsidRPr="00903885" w:rsidTr="00584D50">
        <w:tblPrEx>
          <w:tblBorders>
            <w:top w:val="single" w:sz="4" w:space="0" w:color="auto"/>
            <w:bottom w:val="single" w:sz="4" w:space="0" w:color="auto"/>
          </w:tblBorders>
        </w:tblPrEx>
        <w:trPr>
          <w:trHeight w:val="406"/>
          <w:jc w:val="center"/>
        </w:trPr>
        <w:tc>
          <w:tcPr>
            <w:tcW w:w="1582" w:type="dxa"/>
            <w:tcBorders>
              <w:top w:val="single" w:sz="4" w:space="0" w:color="auto"/>
              <w:left w:val="single" w:sz="4" w:space="0" w:color="auto"/>
              <w:bottom w:val="single" w:sz="4" w:space="0" w:color="auto"/>
              <w:right w:val="nil"/>
            </w:tcBorders>
          </w:tcPr>
          <w:p w:rsidR="00584D50" w:rsidRPr="00903885" w:rsidRDefault="00584D50" w:rsidP="006D6B65">
            <w:pPr>
              <w:widowControl w:val="0"/>
              <w:autoSpaceDE w:val="0"/>
              <w:autoSpaceDN w:val="0"/>
              <w:adjustRightInd w:val="0"/>
              <w:spacing w:before="15" w:after="15"/>
              <w:jc w:val="center"/>
              <w:rPr>
                <w:rFonts w:ascii="Arial" w:hAnsi="Arial" w:cs="Arial"/>
                <w:b/>
                <w:bCs/>
                <w:sz w:val="16"/>
                <w:szCs w:val="16"/>
              </w:rPr>
            </w:pPr>
          </w:p>
        </w:tc>
        <w:tc>
          <w:tcPr>
            <w:tcW w:w="507" w:type="dxa"/>
            <w:tcBorders>
              <w:top w:val="single" w:sz="4" w:space="0" w:color="auto"/>
              <w:left w:val="nil"/>
              <w:bottom w:val="single" w:sz="4" w:space="0" w:color="auto"/>
              <w:right w:val="nil"/>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lang w:val="pt-BR"/>
              </w:rPr>
            </w:pPr>
            <w:r w:rsidRPr="004B0307">
              <w:rPr>
                <w:rFonts w:ascii="Arial" w:hAnsi="Arial" w:cs="Arial"/>
                <w:b/>
                <w:sz w:val="16"/>
                <w:szCs w:val="16"/>
                <w:lang w:val="pt-BR"/>
              </w:rPr>
              <w:t>n</w:t>
            </w:r>
          </w:p>
        </w:tc>
        <w:tc>
          <w:tcPr>
            <w:tcW w:w="1384" w:type="dxa"/>
            <w:tcBorders>
              <w:top w:val="single" w:sz="4" w:space="0" w:color="auto"/>
              <w:left w:val="nil"/>
              <w:bottom w:val="single" w:sz="4" w:space="0" w:color="auto"/>
              <w:right w:val="nil"/>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rPr>
            </w:pPr>
            <w:r w:rsidRPr="004B0307">
              <w:rPr>
                <w:rFonts w:ascii="Arial" w:hAnsi="Arial" w:cs="Arial"/>
                <w:b/>
                <w:sz w:val="16"/>
                <w:szCs w:val="16"/>
              </w:rPr>
              <w:t>Percent with HIV RNA &lt;400 copies/mL at Week 96</w:t>
            </w:r>
          </w:p>
        </w:tc>
        <w:tc>
          <w:tcPr>
            <w:tcW w:w="1436" w:type="dxa"/>
            <w:tcBorders>
              <w:top w:val="single" w:sz="4" w:space="0" w:color="auto"/>
              <w:left w:val="nil"/>
              <w:bottom w:val="single" w:sz="4" w:space="0" w:color="auto"/>
              <w:right w:val="nil"/>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rPr>
            </w:pPr>
            <w:r w:rsidRPr="004B0307">
              <w:rPr>
                <w:rFonts w:ascii="Arial" w:hAnsi="Arial" w:cs="Arial"/>
                <w:b/>
                <w:sz w:val="16"/>
                <w:szCs w:val="16"/>
              </w:rPr>
              <w:t>Percent with HIV RNA &lt;50 copies/mL at Week 96</w:t>
            </w:r>
          </w:p>
        </w:tc>
        <w:tc>
          <w:tcPr>
            <w:tcW w:w="623" w:type="dxa"/>
            <w:tcBorders>
              <w:top w:val="single" w:sz="4" w:space="0" w:color="auto"/>
              <w:left w:val="nil"/>
              <w:bottom w:val="single" w:sz="4" w:space="0" w:color="auto"/>
              <w:right w:val="nil"/>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lang w:val="pt-BR"/>
              </w:rPr>
            </w:pPr>
            <w:r w:rsidRPr="004B0307">
              <w:rPr>
                <w:rFonts w:ascii="Arial" w:hAnsi="Arial" w:cs="Arial"/>
                <w:b/>
                <w:sz w:val="16"/>
                <w:szCs w:val="16"/>
                <w:lang w:val="pt-BR"/>
              </w:rPr>
              <w:t>n</w:t>
            </w:r>
          </w:p>
        </w:tc>
        <w:tc>
          <w:tcPr>
            <w:tcW w:w="1471" w:type="dxa"/>
            <w:tcBorders>
              <w:top w:val="single" w:sz="4" w:space="0" w:color="auto"/>
              <w:left w:val="nil"/>
              <w:bottom w:val="single" w:sz="4" w:space="0" w:color="auto"/>
              <w:right w:val="nil"/>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rPr>
            </w:pPr>
            <w:r w:rsidRPr="004B0307">
              <w:rPr>
                <w:rFonts w:ascii="Arial" w:hAnsi="Arial" w:cs="Arial"/>
                <w:b/>
                <w:sz w:val="16"/>
                <w:szCs w:val="16"/>
              </w:rPr>
              <w:t>Percent with HIV RNA &lt;400 copies/mL at Week 96</w:t>
            </w:r>
          </w:p>
        </w:tc>
        <w:tc>
          <w:tcPr>
            <w:tcW w:w="1588" w:type="dxa"/>
            <w:tcBorders>
              <w:top w:val="single" w:sz="4" w:space="0" w:color="auto"/>
              <w:left w:val="nil"/>
              <w:bottom w:val="single" w:sz="4" w:space="0" w:color="auto"/>
              <w:right w:val="single" w:sz="4" w:space="0" w:color="auto"/>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rPr>
            </w:pPr>
            <w:r w:rsidRPr="004B0307">
              <w:rPr>
                <w:rFonts w:ascii="Arial" w:hAnsi="Arial" w:cs="Arial"/>
                <w:b/>
                <w:sz w:val="16"/>
                <w:szCs w:val="16"/>
              </w:rPr>
              <w:t>Percent with HIV RNA &lt;50 copies/mL at Week  96</w:t>
            </w:r>
          </w:p>
        </w:tc>
      </w:tr>
      <w:tr w:rsidR="00584D50" w:rsidRPr="00903885" w:rsidTr="00584D50">
        <w:tblPrEx>
          <w:tblBorders>
            <w:top w:val="single" w:sz="4" w:space="0" w:color="auto"/>
            <w:bottom w:val="single" w:sz="4" w:space="0" w:color="auto"/>
          </w:tblBorders>
        </w:tblPrEx>
        <w:trPr>
          <w:trHeight w:val="406"/>
          <w:jc w:val="center"/>
        </w:trPr>
        <w:tc>
          <w:tcPr>
            <w:tcW w:w="1582" w:type="dxa"/>
            <w:tcBorders>
              <w:top w:val="single" w:sz="4" w:space="0" w:color="auto"/>
              <w:left w:val="single" w:sz="4" w:space="0" w:color="auto"/>
              <w:bottom w:val="single" w:sz="4" w:space="0" w:color="auto"/>
              <w:right w:val="nil"/>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rPr>
            </w:pPr>
            <w:r w:rsidRPr="00903885">
              <w:rPr>
                <w:rFonts w:ascii="Arial" w:hAnsi="Arial" w:cs="Arial"/>
                <w:b/>
                <w:bCs/>
                <w:sz w:val="16"/>
                <w:szCs w:val="16"/>
              </w:rPr>
              <w:t>Phenotypic Sensitivity Score(PSS)</w:t>
            </w:r>
            <w:r w:rsidRPr="00903885">
              <w:rPr>
                <w:rFonts w:ascii="Arial" w:hAnsi="Arial" w:cs="Arial"/>
                <w:b/>
                <w:bCs/>
                <w:sz w:val="16"/>
                <w:szCs w:val="16"/>
                <w:vertAlign w:val="superscript"/>
              </w:rPr>
              <w:t>‡</w:t>
            </w:r>
          </w:p>
        </w:tc>
        <w:tc>
          <w:tcPr>
            <w:tcW w:w="507" w:type="dxa"/>
            <w:tcBorders>
              <w:top w:val="single" w:sz="4" w:space="0" w:color="auto"/>
              <w:left w:val="nil"/>
              <w:bottom w:val="single" w:sz="4" w:space="0" w:color="auto"/>
              <w:right w:val="nil"/>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lang w:val="pt-BR"/>
              </w:rPr>
            </w:pPr>
          </w:p>
        </w:tc>
        <w:tc>
          <w:tcPr>
            <w:tcW w:w="1384" w:type="dxa"/>
            <w:tcBorders>
              <w:top w:val="single" w:sz="4" w:space="0" w:color="auto"/>
              <w:left w:val="nil"/>
              <w:bottom w:val="single" w:sz="4" w:space="0" w:color="auto"/>
              <w:right w:val="nil"/>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rPr>
            </w:pPr>
          </w:p>
        </w:tc>
        <w:tc>
          <w:tcPr>
            <w:tcW w:w="1436" w:type="dxa"/>
            <w:tcBorders>
              <w:top w:val="single" w:sz="4" w:space="0" w:color="auto"/>
              <w:left w:val="nil"/>
              <w:bottom w:val="single" w:sz="4" w:space="0" w:color="auto"/>
              <w:right w:val="nil"/>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rPr>
            </w:pPr>
          </w:p>
        </w:tc>
        <w:tc>
          <w:tcPr>
            <w:tcW w:w="623" w:type="dxa"/>
            <w:tcBorders>
              <w:top w:val="single" w:sz="4" w:space="0" w:color="auto"/>
              <w:left w:val="nil"/>
              <w:bottom w:val="single" w:sz="4" w:space="0" w:color="auto"/>
              <w:right w:val="nil"/>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lang w:val="pt-BR"/>
              </w:rPr>
            </w:pPr>
          </w:p>
        </w:tc>
        <w:tc>
          <w:tcPr>
            <w:tcW w:w="1471" w:type="dxa"/>
            <w:tcBorders>
              <w:top w:val="single" w:sz="4" w:space="0" w:color="auto"/>
              <w:left w:val="nil"/>
              <w:bottom w:val="single" w:sz="4" w:space="0" w:color="auto"/>
              <w:right w:val="nil"/>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rPr>
            </w:pPr>
          </w:p>
        </w:tc>
        <w:tc>
          <w:tcPr>
            <w:tcW w:w="1588" w:type="dxa"/>
            <w:tcBorders>
              <w:top w:val="single" w:sz="4" w:space="0" w:color="auto"/>
              <w:left w:val="nil"/>
              <w:bottom w:val="single" w:sz="4" w:space="0" w:color="auto"/>
              <w:right w:val="single" w:sz="4" w:space="0" w:color="auto"/>
            </w:tcBorders>
          </w:tcPr>
          <w:p w:rsidR="00584D50" w:rsidRPr="00903885" w:rsidRDefault="00584D50" w:rsidP="006D6B65">
            <w:pPr>
              <w:widowControl w:val="0"/>
              <w:autoSpaceDE w:val="0"/>
              <w:autoSpaceDN w:val="0"/>
              <w:adjustRightInd w:val="0"/>
              <w:spacing w:before="15" w:after="15"/>
              <w:jc w:val="center"/>
              <w:rPr>
                <w:rFonts w:ascii="Arial" w:hAnsi="Arial" w:cs="Arial"/>
                <w:sz w:val="16"/>
                <w:szCs w:val="16"/>
              </w:rPr>
            </w:pPr>
          </w:p>
        </w:tc>
      </w:tr>
      <w:tr w:rsidR="00584D50" w:rsidRPr="00903885" w:rsidTr="00584D50">
        <w:tblPrEx>
          <w:tblBorders>
            <w:top w:val="single" w:sz="4" w:space="0" w:color="auto"/>
            <w:bottom w:val="single" w:sz="4" w:space="0" w:color="auto"/>
          </w:tblBorders>
        </w:tblPrEx>
        <w:trPr>
          <w:trHeight w:val="203"/>
          <w:jc w:val="center"/>
        </w:trPr>
        <w:tc>
          <w:tcPr>
            <w:tcW w:w="1582" w:type="dxa"/>
            <w:tcBorders>
              <w:top w:val="single" w:sz="4" w:space="0" w:color="auto"/>
              <w:left w:val="single" w:sz="4" w:space="0" w:color="auto"/>
              <w:bottom w:val="nil"/>
              <w:right w:val="single" w:sz="2" w:space="0" w:color="auto"/>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bookmarkStart w:id="5" w:name="_Hlk190683728"/>
            <w:r w:rsidRPr="006F502C">
              <w:rPr>
                <w:rFonts w:ascii="Arial" w:hAnsi="Arial" w:cs="Arial"/>
                <w:sz w:val="16"/>
                <w:szCs w:val="16"/>
              </w:rPr>
              <w:t>0</w:t>
            </w:r>
          </w:p>
        </w:tc>
        <w:tc>
          <w:tcPr>
            <w:tcW w:w="507" w:type="dxa"/>
            <w:tcBorders>
              <w:top w:val="single" w:sz="4" w:space="0" w:color="auto"/>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63</w:t>
            </w:r>
          </w:p>
        </w:tc>
        <w:tc>
          <w:tcPr>
            <w:tcW w:w="1384" w:type="dxa"/>
            <w:tcBorders>
              <w:top w:val="single" w:sz="4" w:space="0" w:color="auto"/>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51</w:t>
            </w:r>
          </w:p>
        </w:tc>
        <w:tc>
          <w:tcPr>
            <w:tcW w:w="1436" w:type="dxa"/>
            <w:tcBorders>
              <w:top w:val="single" w:sz="4" w:space="0" w:color="auto"/>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48</w:t>
            </w:r>
          </w:p>
        </w:tc>
        <w:tc>
          <w:tcPr>
            <w:tcW w:w="623" w:type="dxa"/>
            <w:tcBorders>
              <w:top w:val="single" w:sz="4" w:space="0" w:color="auto"/>
              <w:left w:val="nil"/>
              <w:bottom w:val="nil"/>
              <w:right w:val="single" w:sz="4" w:space="0" w:color="auto"/>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43</w:t>
            </w:r>
          </w:p>
        </w:tc>
        <w:tc>
          <w:tcPr>
            <w:tcW w:w="1471" w:type="dxa"/>
            <w:tcBorders>
              <w:top w:val="single" w:sz="4" w:space="0" w:color="auto"/>
              <w:left w:val="nil"/>
              <w:bottom w:val="nil"/>
              <w:right w:val="single" w:sz="4" w:space="0" w:color="auto"/>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5</w:t>
            </w:r>
          </w:p>
        </w:tc>
        <w:tc>
          <w:tcPr>
            <w:tcW w:w="1588" w:type="dxa"/>
            <w:tcBorders>
              <w:top w:val="single" w:sz="4" w:space="0" w:color="auto"/>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5</w:t>
            </w:r>
          </w:p>
        </w:tc>
      </w:tr>
      <w:tr w:rsidR="00584D50" w:rsidRPr="00903885" w:rsidTr="00584D50">
        <w:tblPrEx>
          <w:tblBorders>
            <w:top w:val="single" w:sz="4" w:space="0" w:color="auto"/>
            <w:bottom w:val="single" w:sz="4" w:space="0" w:color="auto"/>
          </w:tblBorders>
        </w:tblPrEx>
        <w:trPr>
          <w:trHeight w:val="217"/>
          <w:jc w:val="center"/>
        </w:trPr>
        <w:tc>
          <w:tcPr>
            <w:tcW w:w="1582" w:type="dxa"/>
            <w:tcBorders>
              <w:top w:val="nil"/>
              <w:left w:val="single" w:sz="4" w:space="0" w:color="auto"/>
              <w:bottom w:val="nil"/>
              <w:right w:val="single" w:sz="2" w:space="0" w:color="auto"/>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1</w:t>
            </w:r>
          </w:p>
        </w:tc>
        <w:tc>
          <w:tcPr>
            <w:tcW w:w="507" w:type="dxa"/>
            <w:tcBorders>
              <w:top w:val="nil"/>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131</w:t>
            </w:r>
          </w:p>
        </w:tc>
        <w:tc>
          <w:tcPr>
            <w:tcW w:w="1384" w:type="dxa"/>
            <w:tcBorders>
              <w:top w:val="nil"/>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69</w:t>
            </w:r>
          </w:p>
        </w:tc>
        <w:tc>
          <w:tcPr>
            <w:tcW w:w="1436" w:type="dxa"/>
            <w:tcBorders>
              <w:top w:val="nil"/>
              <w:left w:val="nil"/>
              <w:bottom w:val="nil"/>
              <w:right w:val="single" w:sz="2" w:space="0" w:color="auto"/>
            </w:tcBorders>
          </w:tcPr>
          <w:p w:rsidR="00584D50" w:rsidRPr="006F502C" w:rsidRDefault="00FB43B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65</w:t>
            </w:r>
          </w:p>
        </w:tc>
        <w:tc>
          <w:tcPr>
            <w:tcW w:w="623" w:type="dxa"/>
            <w:tcBorders>
              <w:top w:val="nil"/>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68</w:t>
            </w:r>
          </w:p>
        </w:tc>
        <w:tc>
          <w:tcPr>
            <w:tcW w:w="1471" w:type="dxa"/>
            <w:tcBorders>
              <w:top w:val="nil"/>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26</w:t>
            </w:r>
          </w:p>
        </w:tc>
        <w:tc>
          <w:tcPr>
            <w:tcW w:w="1588" w:type="dxa"/>
            <w:tcBorders>
              <w:top w:val="nil"/>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24</w:t>
            </w:r>
          </w:p>
        </w:tc>
      </w:tr>
      <w:tr w:rsidR="00584D50" w:rsidRPr="00903885" w:rsidTr="00584D50">
        <w:tblPrEx>
          <w:tblBorders>
            <w:top w:val="single" w:sz="4" w:space="0" w:color="auto"/>
            <w:bottom w:val="single" w:sz="4" w:space="0" w:color="auto"/>
          </w:tblBorders>
        </w:tblPrEx>
        <w:trPr>
          <w:trHeight w:val="217"/>
          <w:jc w:val="center"/>
        </w:trPr>
        <w:tc>
          <w:tcPr>
            <w:tcW w:w="1582" w:type="dxa"/>
            <w:tcBorders>
              <w:top w:val="nil"/>
              <w:left w:val="single" w:sz="4" w:space="0" w:color="auto"/>
              <w:bottom w:val="nil"/>
              <w:right w:val="single" w:sz="2" w:space="0" w:color="auto"/>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2</w:t>
            </w:r>
          </w:p>
        </w:tc>
        <w:tc>
          <w:tcPr>
            <w:tcW w:w="507" w:type="dxa"/>
            <w:tcBorders>
              <w:top w:val="nil"/>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134</w:t>
            </w:r>
          </w:p>
        </w:tc>
        <w:tc>
          <w:tcPr>
            <w:tcW w:w="1384" w:type="dxa"/>
            <w:tcBorders>
              <w:top w:val="nil"/>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74</w:t>
            </w:r>
          </w:p>
        </w:tc>
        <w:tc>
          <w:tcPr>
            <w:tcW w:w="1436" w:type="dxa"/>
            <w:tcBorders>
              <w:top w:val="nil"/>
              <w:left w:val="nil"/>
              <w:bottom w:val="nil"/>
              <w:right w:val="single" w:sz="2" w:space="0" w:color="auto"/>
            </w:tcBorders>
          </w:tcPr>
          <w:p w:rsidR="00584D50" w:rsidRPr="006F502C" w:rsidRDefault="00C15CE7"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69</w:t>
            </w:r>
          </w:p>
        </w:tc>
        <w:tc>
          <w:tcPr>
            <w:tcW w:w="623" w:type="dxa"/>
            <w:tcBorders>
              <w:top w:val="nil"/>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60</w:t>
            </w:r>
          </w:p>
        </w:tc>
        <w:tc>
          <w:tcPr>
            <w:tcW w:w="1471" w:type="dxa"/>
            <w:tcBorders>
              <w:top w:val="nil"/>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37</w:t>
            </w:r>
          </w:p>
        </w:tc>
        <w:tc>
          <w:tcPr>
            <w:tcW w:w="1588" w:type="dxa"/>
            <w:tcBorders>
              <w:top w:val="nil"/>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35</w:t>
            </w:r>
          </w:p>
        </w:tc>
      </w:tr>
      <w:tr w:rsidR="00584D50" w:rsidRPr="00903885" w:rsidTr="00584D50">
        <w:tblPrEx>
          <w:tblBorders>
            <w:top w:val="single" w:sz="4" w:space="0" w:color="auto"/>
            <w:bottom w:val="single" w:sz="4" w:space="0" w:color="auto"/>
          </w:tblBorders>
        </w:tblPrEx>
        <w:trPr>
          <w:trHeight w:val="217"/>
          <w:jc w:val="center"/>
        </w:trPr>
        <w:tc>
          <w:tcPr>
            <w:tcW w:w="1582" w:type="dxa"/>
            <w:tcBorders>
              <w:top w:val="nil"/>
              <w:left w:val="single" w:sz="4" w:space="0" w:color="auto"/>
              <w:bottom w:val="single" w:sz="4" w:space="0" w:color="auto"/>
              <w:right w:val="single" w:sz="2" w:space="0" w:color="auto"/>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3 or more</w:t>
            </w:r>
          </w:p>
        </w:tc>
        <w:tc>
          <w:tcPr>
            <w:tcW w:w="507" w:type="dxa"/>
            <w:tcBorders>
              <w:top w:val="nil"/>
              <w:left w:val="nil"/>
              <w:bottom w:val="single" w:sz="4" w:space="0" w:color="auto"/>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74</w:t>
            </w:r>
          </w:p>
        </w:tc>
        <w:tc>
          <w:tcPr>
            <w:tcW w:w="1384" w:type="dxa"/>
            <w:tcBorders>
              <w:top w:val="nil"/>
              <w:left w:val="nil"/>
              <w:bottom w:val="single" w:sz="4" w:space="0" w:color="auto"/>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62</w:t>
            </w:r>
          </w:p>
        </w:tc>
        <w:tc>
          <w:tcPr>
            <w:tcW w:w="1436" w:type="dxa"/>
            <w:tcBorders>
              <w:top w:val="nil"/>
              <w:left w:val="nil"/>
              <w:bottom w:val="single" w:sz="4" w:space="0" w:color="auto"/>
              <w:right w:val="single" w:sz="2" w:space="0" w:color="auto"/>
            </w:tcBorders>
          </w:tcPr>
          <w:p w:rsidR="00584D50" w:rsidRPr="006F502C" w:rsidRDefault="00C15CE7"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54</w:t>
            </w:r>
          </w:p>
        </w:tc>
        <w:tc>
          <w:tcPr>
            <w:tcW w:w="623" w:type="dxa"/>
            <w:tcBorders>
              <w:top w:val="nil"/>
              <w:left w:val="nil"/>
              <w:bottom w:val="single" w:sz="4" w:space="0" w:color="auto"/>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40</w:t>
            </w:r>
          </w:p>
        </w:tc>
        <w:tc>
          <w:tcPr>
            <w:tcW w:w="1471" w:type="dxa"/>
            <w:tcBorders>
              <w:top w:val="nil"/>
              <w:left w:val="nil"/>
              <w:bottom w:val="single" w:sz="4" w:space="0" w:color="auto"/>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53</w:t>
            </w:r>
          </w:p>
        </w:tc>
        <w:tc>
          <w:tcPr>
            <w:tcW w:w="1588" w:type="dxa"/>
            <w:tcBorders>
              <w:top w:val="nil"/>
              <w:left w:val="nil"/>
              <w:bottom w:val="single" w:sz="4" w:space="0" w:color="auto"/>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48</w:t>
            </w:r>
          </w:p>
        </w:tc>
      </w:tr>
      <w:bookmarkEnd w:id="5"/>
      <w:tr w:rsidR="00584D50" w:rsidRPr="00903885" w:rsidTr="00584D50">
        <w:tblPrEx>
          <w:tblBorders>
            <w:top w:val="single" w:sz="4" w:space="0" w:color="auto"/>
            <w:bottom w:val="single" w:sz="4" w:space="0" w:color="auto"/>
          </w:tblBorders>
        </w:tblPrEx>
        <w:trPr>
          <w:trHeight w:val="392"/>
          <w:jc w:val="center"/>
        </w:trPr>
        <w:tc>
          <w:tcPr>
            <w:tcW w:w="1582" w:type="dxa"/>
            <w:tcBorders>
              <w:top w:val="single" w:sz="4" w:space="0" w:color="auto"/>
              <w:left w:val="single" w:sz="4" w:space="0" w:color="auto"/>
              <w:bottom w:val="single" w:sz="4" w:space="0" w:color="auto"/>
              <w:right w:val="nil"/>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b/>
                <w:sz w:val="16"/>
                <w:szCs w:val="16"/>
              </w:rPr>
            </w:pPr>
            <w:r w:rsidRPr="006F502C">
              <w:rPr>
                <w:rFonts w:ascii="Arial" w:hAnsi="Arial" w:cs="Arial"/>
                <w:b/>
                <w:bCs/>
                <w:sz w:val="16"/>
                <w:szCs w:val="16"/>
              </w:rPr>
              <w:t xml:space="preserve">Genotypic Sensitivity </w:t>
            </w:r>
            <w:r w:rsidRPr="006F502C">
              <w:rPr>
                <w:rFonts w:ascii="Arial" w:hAnsi="Arial" w:cs="Arial"/>
                <w:b/>
                <w:bCs/>
                <w:sz w:val="16"/>
                <w:szCs w:val="16"/>
              </w:rPr>
              <w:lastRenderedPageBreak/>
              <w:t>Score(GSS)</w:t>
            </w:r>
            <w:r w:rsidRPr="006F502C">
              <w:rPr>
                <w:rFonts w:ascii="Arial" w:hAnsi="Arial" w:cs="Arial"/>
                <w:b/>
                <w:bCs/>
                <w:sz w:val="16"/>
                <w:szCs w:val="16"/>
                <w:vertAlign w:val="superscript"/>
              </w:rPr>
              <w:t>‡</w:t>
            </w:r>
          </w:p>
        </w:tc>
        <w:tc>
          <w:tcPr>
            <w:tcW w:w="507" w:type="dxa"/>
            <w:tcBorders>
              <w:top w:val="single" w:sz="4" w:space="0" w:color="auto"/>
              <w:left w:val="nil"/>
              <w:bottom w:val="single" w:sz="4" w:space="0" w:color="auto"/>
              <w:right w:val="nil"/>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p>
        </w:tc>
        <w:tc>
          <w:tcPr>
            <w:tcW w:w="1384" w:type="dxa"/>
            <w:tcBorders>
              <w:top w:val="single" w:sz="4" w:space="0" w:color="auto"/>
              <w:left w:val="nil"/>
              <w:bottom w:val="single" w:sz="4" w:space="0" w:color="auto"/>
              <w:right w:val="nil"/>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p>
        </w:tc>
        <w:tc>
          <w:tcPr>
            <w:tcW w:w="1436" w:type="dxa"/>
            <w:tcBorders>
              <w:top w:val="single" w:sz="4" w:space="0" w:color="auto"/>
              <w:left w:val="nil"/>
              <w:bottom w:val="single" w:sz="4" w:space="0" w:color="auto"/>
              <w:right w:val="nil"/>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p>
        </w:tc>
        <w:tc>
          <w:tcPr>
            <w:tcW w:w="623" w:type="dxa"/>
            <w:tcBorders>
              <w:top w:val="single" w:sz="4" w:space="0" w:color="auto"/>
              <w:left w:val="nil"/>
              <w:bottom w:val="single" w:sz="4" w:space="0" w:color="auto"/>
              <w:right w:val="nil"/>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p>
        </w:tc>
        <w:tc>
          <w:tcPr>
            <w:tcW w:w="1471" w:type="dxa"/>
            <w:tcBorders>
              <w:top w:val="single" w:sz="4" w:space="0" w:color="auto"/>
              <w:left w:val="nil"/>
              <w:bottom w:val="single" w:sz="4" w:space="0" w:color="auto"/>
              <w:right w:val="nil"/>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p>
        </w:tc>
        <w:tc>
          <w:tcPr>
            <w:tcW w:w="1588" w:type="dxa"/>
            <w:tcBorders>
              <w:top w:val="single" w:sz="4" w:space="0" w:color="auto"/>
              <w:left w:val="nil"/>
              <w:bottom w:val="single" w:sz="4" w:space="0" w:color="auto"/>
              <w:right w:val="single" w:sz="4" w:space="0" w:color="auto"/>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p>
        </w:tc>
      </w:tr>
      <w:tr w:rsidR="00584D50" w:rsidRPr="00903885" w:rsidTr="00584D50">
        <w:tblPrEx>
          <w:tblBorders>
            <w:top w:val="single" w:sz="4" w:space="0" w:color="auto"/>
            <w:bottom w:val="single" w:sz="4" w:space="0" w:color="auto"/>
          </w:tblBorders>
        </w:tblPrEx>
        <w:trPr>
          <w:trHeight w:val="203"/>
          <w:jc w:val="center"/>
        </w:trPr>
        <w:tc>
          <w:tcPr>
            <w:tcW w:w="1582" w:type="dxa"/>
            <w:tcBorders>
              <w:top w:val="single" w:sz="4" w:space="0" w:color="auto"/>
              <w:left w:val="single" w:sz="4" w:space="0" w:color="auto"/>
              <w:bottom w:val="nil"/>
              <w:right w:val="single" w:sz="2" w:space="0" w:color="auto"/>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lastRenderedPageBreak/>
              <w:t>0</w:t>
            </w:r>
          </w:p>
        </w:tc>
        <w:tc>
          <w:tcPr>
            <w:tcW w:w="507" w:type="dxa"/>
            <w:tcBorders>
              <w:top w:val="single" w:sz="4" w:space="0" w:color="auto"/>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111</w:t>
            </w:r>
          </w:p>
        </w:tc>
        <w:tc>
          <w:tcPr>
            <w:tcW w:w="1384" w:type="dxa"/>
            <w:tcBorders>
              <w:top w:val="single" w:sz="4" w:space="0" w:color="auto"/>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46</w:t>
            </w:r>
          </w:p>
        </w:tc>
        <w:tc>
          <w:tcPr>
            <w:tcW w:w="1436" w:type="dxa"/>
            <w:tcBorders>
              <w:top w:val="single" w:sz="4" w:space="0" w:color="auto"/>
              <w:left w:val="nil"/>
              <w:bottom w:val="nil"/>
              <w:right w:val="single" w:sz="2" w:space="0" w:color="auto"/>
            </w:tcBorders>
          </w:tcPr>
          <w:p w:rsidR="00584D50" w:rsidRPr="006F502C" w:rsidRDefault="006616F6"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41</w:t>
            </w:r>
          </w:p>
        </w:tc>
        <w:tc>
          <w:tcPr>
            <w:tcW w:w="623" w:type="dxa"/>
            <w:tcBorders>
              <w:top w:val="single" w:sz="4" w:space="0" w:color="auto"/>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64</w:t>
            </w:r>
          </w:p>
        </w:tc>
        <w:tc>
          <w:tcPr>
            <w:tcW w:w="1471" w:type="dxa"/>
            <w:tcBorders>
              <w:top w:val="single" w:sz="4" w:space="0" w:color="auto"/>
              <w:left w:val="nil"/>
              <w:bottom w:val="nil"/>
              <w:right w:val="single" w:sz="4" w:space="0" w:color="auto"/>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5</w:t>
            </w:r>
          </w:p>
        </w:tc>
        <w:tc>
          <w:tcPr>
            <w:tcW w:w="1588" w:type="dxa"/>
            <w:tcBorders>
              <w:top w:val="single" w:sz="4" w:space="0" w:color="auto"/>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5</w:t>
            </w:r>
          </w:p>
        </w:tc>
      </w:tr>
      <w:tr w:rsidR="00584D50" w:rsidRPr="00903885" w:rsidTr="00584D50">
        <w:tblPrEx>
          <w:tblBorders>
            <w:top w:val="single" w:sz="4" w:space="0" w:color="auto"/>
            <w:bottom w:val="single" w:sz="4" w:space="0" w:color="auto"/>
          </w:tblBorders>
        </w:tblPrEx>
        <w:trPr>
          <w:trHeight w:val="217"/>
          <w:jc w:val="center"/>
        </w:trPr>
        <w:tc>
          <w:tcPr>
            <w:tcW w:w="1582" w:type="dxa"/>
            <w:tcBorders>
              <w:top w:val="nil"/>
              <w:left w:val="single" w:sz="4" w:space="0" w:color="auto"/>
              <w:bottom w:val="nil"/>
              <w:right w:val="single" w:sz="2" w:space="0" w:color="auto"/>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1</w:t>
            </w:r>
          </w:p>
        </w:tc>
        <w:tc>
          <w:tcPr>
            <w:tcW w:w="507" w:type="dxa"/>
            <w:tcBorders>
              <w:top w:val="nil"/>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160</w:t>
            </w:r>
          </w:p>
        </w:tc>
        <w:tc>
          <w:tcPr>
            <w:tcW w:w="1384" w:type="dxa"/>
            <w:tcBorders>
              <w:top w:val="nil"/>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76</w:t>
            </w:r>
          </w:p>
        </w:tc>
        <w:tc>
          <w:tcPr>
            <w:tcW w:w="1436" w:type="dxa"/>
            <w:tcBorders>
              <w:top w:val="nil"/>
              <w:left w:val="nil"/>
              <w:bottom w:val="nil"/>
              <w:right w:val="single" w:sz="2" w:space="0" w:color="auto"/>
            </w:tcBorders>
          </w:tcPr>
          <w:p w:rsidR="00584D50" w:rsidRPr="006F502C" w:rsidRDefault="006616F6"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72</w:t>
            </w:r>
          </w:p>
        </w:tc>
        <w:tc>
          <w:tcPr>
            <w:tcW w:w="623" w:type="dxa"/>
            <w:tcBorders>
              <w:top w:val="nil"/>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89</w:t>
            </w:r>
          </w:p>
        </w:tc>
        <w:tc>
          <w:tcPr>
            <w:tcW w:w="1471" w:type="dxa"/>
            <w:tcBorders>
              <w:top w:val="nil"/>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31</w:t>
            </w:r>
          </w:p>
        </w:tc>
        <w:tc>
          <w:tcPr>
            <w:tcW w:w="1588" w:type="dxa"/>
            <w:tcBorders>
              <w:top w:val="nil"/>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28</w:t>
            </w:r>
          </w:p>
        </w:tc>
      </w:tr>
      <w:tr w:rsidR="00584D50" w:rsidRPr="00903885" w:rsidTr="00584D50">
        <w:tblPrEx>
          <w:tblBorders>
            <w:top w:val="single" w:sz="4" w:space="0" w:color="auto"/>
            <w:bottom w:val="single" w:sz="4" w:space="0" w:color="auto"/>
          </w:tblBorders>
        </w:tblPrEx>
        <w:trPr>
          <w:trHeight w:val="217"/>
          <w:jc w:val="center"/>
        </w:trPr>
        <w:tc>
          <w:tcPr>
            <w:tcW w:w="1582" w:type="dxa"/>
            <w:tcBorders>
              <w:top w:val="nil"/>
              <w:left w:val="single" w:sz="4" w:space="0" w:color="auto"/>
              <w:bottom w:val="nil"/>
              <w:right w:val="single" w:sz="2" w:space="0" w:color="auto"/>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2</w:t>
            </w:r>
          </w:p>
        </w:tc>
        <w:tc>
          <w:tcPr>
            <w:tcW w:w="507" w:type="dxa"/>
            <w:tcBorders>
              <w:top w:val="nil"/>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102</w:t>
            </w:r>
          </w:p>
        </w:tc>
        <w:tc>
          <w:tcPr>
            <w:tcW w:w="1384" w:type="dxa"/>
            <w:tcBorders>
              <w:top w:val="nil"/>
              <w:left w:val="nil"/>
              <w:bottom w:val="nil"/>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75</w:t>
            </w:r>
          </w:p>
        </w:tc>
        <w:tc>
          <w:tcPr>
            <w:tcW w:w="1436" w:type="dxa"/>
            <w:tcBorders>
              <w:top w:val="nil"/>
              <w:left w:val="nil"/>
              <w:bottom w:val="nil"/>
              <w:right w:val="single" w:sz="2" w:space="0" w:color="auto"/>
            </w:tcBorders>
          </w:tcPr>
          <w:p w:rsidR="00584D50" w:rsidRPr="006F502C" w:rsidRDefault="006616F6"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70</w:t>
            </w:r>
          </w:p>
        </w:tc>
        <w:tc>
          <w:tcPr>
            <w:tcW w:w="623" w:type="dxa"/>
            <w:tcBorders>
              <w:top w:val="nil"/>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41</w:t>
            </w:r>
          </w:p>
        </w:tc>
        <w:tc>
          <w:tcPr>
            <w:tcW w:w="1471" w:type="dxa"/>
            <w:tcBorders>
              <w:top w:val="nil"/>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61</w:t>
            </w:r>
          </w:p>
        </w:tc>
        <w:tc>
          <w:tcPr>
            <w:tcW w:w="1588" w:type="dxa"/>
            <w:tcBorders>
              <w:top w:val="nil"/>
              <w:left w:val="nil"/>
              <w:bottom w:val="nil"/>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61</w:t>
            </w:r>
          </w:p>
        </w:tc>
      </w:tr>
      <w:tr w:rsidR="00584D50" w:rsidRPr="00903885" w:rsidTr="00584D50">
        <w:tblPrEx>
          <w:tblBorders>
            <w:top w:val="single" w:sz="4" w:space="0" w:color="auto"/>
            <w:bottom w:val="single" w:sz="4" w:space="0" w:color="auto"/>
          </w:tblBorders>
        </w:tblPrEx>
        <w:trPr>
          <w:trHeight w:val="217"/>
          <w:jc w:val="center"/>
        </w:trPr>
        <w:tc>
          <w:tcPr>
            <w:tcW w:w="1582" w:type="dxa"/>
            <w:tcBorders>
              <w:top w:val="nil"/>
              <w:left w:val="single" w:sz="4" w:space="0" w:color="auto"/>
              <w:bottom w:val="single" w:sz="4" w:space="0" w:color="auto"/>
              <w:right w:val="single" w:sz="2" w:space="0" w:color="auto"/>
            </w:tcBorders>
          </w:tcPr>
          <w:p w:rsidR="00584D50" w:rsidRPr="006F502C" w:rsidRDefault="00584D50"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3 or more</w:t>
            </w:r>
          </w:p>
        </w:tc>
        <w:tc>
          <w:tcPr>
            <w:tcW w:w="507" w:type="dxa"/>
            <w:tcBorders>
              <w:top w:val="nil"/>
              <w:left w:val="nil"/>
              <w:bottom w:val="single" w:sz="4" w:space="0" w:color="auto"/>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45</w:t>
            </w:r>
          </w:p>
        </w:tc>
        <w:tc>
          <w:tcPr>
            <w:tcW w:w="1384" w:type="dxa"/>
            <w:tcBorders>
              <w:top w:val="nil"/>
              <w:left w:val="nil"/>
              <w:bottom w:val="single" w:sz="4" w:space="0" w:color="auto"/>
              <w:right w:val="single" w:sz="2"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62</w:t>
            </w:r>
          </w:p>
        </w:tc>
        <w:tc>
          <w:tcPr>
            <w:tcW w:w="1436" w:type="dxa"/>
            <w:tcBorders>
              <w:top w:val="nil"/>
              <w:left w:val="nil"/>
              <w:bottom w:val="single" w:sz="4" w:space="0" w:color="auto"/>
              <w:right w:val="single" w:sz="2" w:space="0" w:color="auto"/>
            </w:tcBorders>
          </w:tcPr>
          <w:p w:rsidR="00584D50" w:rsidRPr="006F502C" w:rsidRDefault="006616F6"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53</w:t>
            </w:r>
          </w:p>
        </w:tc>
        <w:tc>
          <w:tcPr>
            <w:tcW w:w="623" w:type="dxa"/>
            <w:tcBorders>
              <w:top w:val="nil"/>
              <w:left w:val="nil"/>
              <w:bottom w:val="single" w:sz="4" w:space="0" w:color="auto"/>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21</w:t>
            </w:r>
          </w:p>
        </w:tc>
        <w:tc>
          <w:tcPr>
            <w:tcW w:w="1471" w:type="dxa"/>
            <w:tcBorders>
              <w:top w:val="nil"/>
              <w:left w:val="nil"/>
              <w:bottom w:val="single" w:sz="4" w:space="0" w:color="auto"/>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48</w:t>
            </w:r>
          </w:p>
        </w:tc>
        <w:tc>
          <w:tcPr>
            <w:tcW w:w="1588" w:type="dxa"/>
            <w:tcBorders>
              <w:top w:val="nil"/>
              <w:left w:val="nil"/>
              <w:bottom w:val="single" w:sz="4" w:space="0" w:color="auto"/>
              <w:right w:val="single" w:sz="4" w:space="0" w:color="auto"/>
            </w:tcBorders>
          </w:tcPr>
          <w:p w:rsidR="00584D50" w:rsidRPr="006F502C" w:rsidRDefault="004949AE" w:rsidP="006D6B65">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38</w:t>
            </w:r>
          </w:p>
        </w:tc>
      </w:tr>
      <w:tr w:rsidR="00584D50" w:rsidRPr="00903885" w:rsidTr="00584D50">
        <w:tblPrEx>
          <w:tblBorders>
            <w:top w:val="single" w:sz="4" w:space="0" w:color="auto"/>
            <w:bottom w:val="single" w:sz="4" w:space="0" w:color="auto"/>
          </w:tblBorders>
        </w:tblPrEx>
        <w:trPr>
          <w:trHeight w:val="737"/>
          <w:jc w:val="center"/>
        </w:trPr>
        <w:tc>
          <w:tcPr>
            <w:tcW w:w="8591" w:type="dxa"/>
            <w:gridSpan w:val="7"/>
            <w:tcBorders>
              <w:top w:val="single" w:sz="4" w:space="0" w:color="auto"/>
              <w:left w:val="single" w:sz="4" w:space="0" w:color="auto"/>
              <w:bottom w:val="double" w:sz="4" w:space="0" w:color="auto"/>
              <w:right w:val="single" w:sz="4" w:space="0" w:color="auto"/>
            </w:tcBorders>
          </w:tcPr>
          <w:p w:rsidR="00584D50" w:rsidRPr="006F502C" w:rsidRDefault="00584D50" w:rsidP="006D6B65">
            <w:pPr>
              <w:rPr>
                <w:rFonts w:ascii="Arial" w:hAnsi="Arial" w:cs="Arial"/>
                <w:sz w:val="16"/>
                <w:szCs w:val="16"/>
                <w:vertAlign w:val="superscript"/>
              </w:rPr>
            </w:pPr>
            <w:r w:rsidRPr="006F502C">
              <w:rPr>
                <w:rFonts w:ascii="Arial" w:hAnsi="Arial" w:cs="Arial"/>
                <w:sz w:val="16"/>
                <w:szCs w:val="16"/>
                <w:vertAlign w:val="superscript"/>
              </w:rPr>
              <w:t>†</w:t>
            </w:r>
            <w:r w:rsidR="004949AE" w:rsidRPr="006F502C">
              <w:rPr>
                <w:rFonts w:ascii="Arial" w:hAnsi="Arial" w:cs="Arial"/>
                <w:sz w:val="16"/>
                <w:szCs w:val="16"/>
              </w:rPr>
              <w:t>Observed Failure</w:t>
            </w:r>
            <w:r w:rsidRPr="006F502C">
              <w:rPr>
                <w:rFonts w:ascii="Arial" w:hAnsi="Arial" w:cs="Arial"/>
                <w:sz w:val="16"/>
                <w:szCs w:val="16"/>
              </w:rPr>
              <w:t xml:space="preserve"> Approach</w:t>
            </w:r>
          </w:p>
          <w:p w:rsidR="00584D50" w:rsidRPr="006F502C" w:rsidRDefault="00584D50" w:rsidP="006D6B65">
            <w:pPr>
              <w:rPr>
                <w:rFonts w:ascii="Arial" w:hAnsi="Arial" w:cs="Arial"/>
                <w:sz w:val="16"/>
                <w:szCs w:val="16"/>
              </w:rPr>
            </w:pPr>
            <w:r w:rsidRPr="006F502C">
              <w:rPr>
                <w:rFonts w:ascii="Arial" w:hAnsi="Arial" w:cs="Arial"/>
                <w:sz w:val="16"/>
                <w:szCs w:val="16"/>
                <w:vertAlign w:val="superscript"/>
              </w:rPr>
              <w:t>‡</w:t>
            </w:r>
            <w:r w:rsidRPr="006F502C">
              <w:rPr>
                <w:rFonts w:ascii="Arial" w:hAnsi="Arial" w:cs="Arial"/>
                <w:sz w:val="16"/>
                <w:szCs w:val="16"/>
              </w:rPr>
              <w:t>The Phenotypic Sensitivity Score (PSS) and the Genotypic Sensitivity Score (GSS) were defined as the total oral ARTs in OBT to which a patient's viral isolate showed phenotypic sensitivity and genotypic sensitivity, respectively, based upon phenotypic and genotypic resistance tests. Enfuvirtide use in OBT in enfuvirtide-naïve patients was counted as one active drug in OBT in the GSS and PSS. Similarly, darunavir use in OBT in darunavir-naïve patients was counted as one active drug in OBT.</w:t>
            </w:r>
          </w:p>
        </w:tc>
      </w:tr>
    </w:tbl>
    <w:p w:rsidR="0088479C" w:rsidRPr="0097408A" w:rsidRDefault="0088479C" w:rsidP="00245874">
      <w:pPr>
        <w:pStyle w:val="Heading5"/>
      </w:pPr>
      <w:r w:rsidRPr="0097408A">
        <w:t xml:space="preserve">Switch of </w:t>
      </w:r>
      <w:r>
        <w:t>S</w:t>
      </w:r>
      <w:r w:rsidRPr="0097408A">
        <w:t xml:space="preserve">uppressed </w:t>
      </w:r>
      <w:r>
        <w:t>P</w:t>
      </w:r>
      <w:r w:rsidRPr="0097408A">
        <w:t xml:space="preserve">atients from </w:t>
      </w:r>
      <w:r>
        <w:t>L</w:t>
      </w:r>
      <w:r w:rsidRPr="0097408A">
        <w:t>opinavir (+) </w:t>
      </w:r>
      <w:r>
        <w:t>R</w:t>
      </w:r>
      <w:r w:rsidRPr="0097408A">
        <w:t xml:space="preserve">itonavir to </w:t>
      </w:r>
      <w:r>
        <w:t>R</w:t>
      </w:r>
      <w:r w:rsidRPr="0097408A">
        <w:t>altegravir</w:t>
      </w:r>
    </w:p>
    <w:p w:rsidR="0088479C" w:rsidRPr="009502B8" w:rsidRDefault="0088479C" w:rsidP="0088479C">
      <w:pPr>
        <w:rPr>
          <w:rFonts w:ascii="Arial" w:hAnsi="Arial" w:cs="Arial"/>
          <w:sz w:val="22"/>
          <w:szCs w:val="22"/>
        </w:rPr>
      </w:pPr>
      <w:r w:rsidRPr="009502B8">
        <w:rPr>
          <w:rFonts w:ascii="Arial" w:hAnsi="Arial" w:cs="Arial"/>
          <w:sz w:val="22"/>
          <w:szCs w:val="22"/>
        </w:rPr>
        <w:t>The SWITCHMRK 1 &amp; 2 studies evaluated HIV-infected patients receiving suppressive (screening HIV RNA &lt;50 copies/ml; stable regimen &gt;3 months) therapy with lopinavir 200 mg (+) ritonavir 50 mg 2 tablets twice daily plus at least 2 nucleoside reverse transcriptase inhibitors and randomized them 1:1 to continue lopinavir (+) ritonavir 2 tablets twice daily (n=174 and n=178, respectively) or replace lopinavir (+) ritonavir with raltegravir 400 mg twice daily (n=174 and n=176, respectively). Patients with a prior history of virological failure were not excluded and the number of previous antiretroviral therapies was not limited.</w:t>
      </w:r>
    </w:p>
    <w:p w:rsidR="0088479C" w:rsidRPr="009502B8" w:rsidRDefault="0088479C" w:rsidP="0088479C">
      <w:pPr>
        <w:rPr>
          <w:rFonts w:ascii="Arial" w:hAnsi="Arial" w:cs="Arial"/>
          <w:sz w:val="22"/>
          <w:szCs w:val="22"/>
        </w:rPr>
      </w:pPr>
      <w:r w:rsidRPr="009502B8">
        <w:rPr>
          <w:rFonts w:ascii="Arial" w:hAnsi="Arial" w:cs="Arial"/>
          <w:sz w:val="22"/>
          <w:szCs w:val="22"/>
        </w:rPr>
        <w:t>These studies were terminated after the primary efficacy analysis at Week 24 because they failed to demonstrate non-inferiority of raltegravir versus lopinavir (+) ritonavir. In both studies at Week 24, suppression of HIV RNA to less than 50 copies/ml was maintained in 84.4 % of the raltegravir group versus 90.6 % of the lopinavir (+) ritonavir group, (Non-completer = Failure). In patients who had never experienced virological failure before study entry, similar virologic response rates were seen in the raltegravir and the lopinavir (+) ritonavir groups.</w:t>
      </w:r>
    </w:p>
    <w:p w:rsidR="0094691B" w:rsidRPr="006A3F48" w:rsidRDefault="0094691B" w:rsidP="00245874">
      <w:pPr>
        <w:pStyle w:val="Heading4"/>
      </w:pPr>
      <w:r w:rsidRPr="006A3F48">
        <w:t>Treatment-Naïve Patients</w:t>
      </w:r>
    </w:p>
    <w:p w:rsidR="006A3F48" w:rsidRPr="00D73341" w:rsidRDefault="006A3F48" w:rsidP="006A3F48">
      <w:pPr>
        <w:pStyle w:val="AllText"/>
        <w:rPr>
          <w:rFonts w:ascii="Arial" w:hAnsi="Arial" w:cs="Arial"/>
          <w:sz w:val="22"/>
          <w:szCs w:val="22"/>
        </w:rPr>
      </w:pPr>
      <w:r w:rsidRPr="00D73341">
        <w:rPr>
          <w:rFonts w:ascii="Arial" w:hAnsi="Arial" w:cs="Arial"/>
          <w:noProof/>
          <w:sz w:val="22"/>
          <w:szCs w:val="22"/>
        </w:rPr>
        <w:t>STARTMRK</w:t>
      </w:r>
      <w:r w:rsidRPr="00D73341">
        <w:rPr>
          <w:rFonts w:ascii="Arial" w:hAnsi="Arial" w:cs="Arial"/>
          <w:sz w:val="22"/>
          <w:szCs w:val="22"/>
        </w:rPr>
        <w:t xml:space="preserve"> </w:t>
      </w:r>
      <w:r w:rsidR="00FB1D94">
        <w:rPr>
          <w:rFonts w:ascii="Arial" w:hAnsi="Arial" w:cs="Arial"/>
          <w:sz w:val="22"/>
          <w:szCs w:val="22"/>
        </w:rPr>
        <w:t xml:space="preserve">(Protocol 21) </w:t>
      </w:r>
      <w:r w:rsidRPr="00D73341">
        <w:rPr>
          <w:rFonts w:ascii="Arial" w:hAnsi="Arial" w:cs="Arial"/>
          <w:sz w:val="22"/>
          <w:szCs w:val="22"/>
        </w:rPr>
        <w:t xml:space="preserve">is a Phase III study to evaluate the safety and antiretroviral activity of ISENTRESS 400 mg b.i.d. + emtricitabine (+) tenofovir versus efavirenz + emtricitabine (+) tenofovir in treatment-naïve HIV-infected patients </w:t>
      </w:r>
      <w:r w:rsidR="003A1A8C">
        <w:rPr>
          <w:rFonts w:ascii="Arial" w:hAnsi="Arial" w:cs="Arial"/>
          <w:sz w:val="22"/>
          <w:szCs w:val="22"/>
        </w:rPr>
        <w:t xml:space="preserve">aged 18 years or older, with HIV RNA &gt;5000 copies/mL and with no baseline resistance to </w:t>
      </w:r>
      <w:r w:rsidR="00E70C87">
        <w:rPr>
          <w:rFonts w:ascii="Arial" w:hAnsi="Arial" w:cs="Arial"/>
          <w:sz w:val="22"/>
          <w:szCs w:val="22"/>
        </w:rPr>
        <w:t>e</w:t>
      </w:r>
      <w:r w:rsidR="003A1A8C">
        <w:rPr>
          <w:rFonts w:ascii="Arial" w:hAnsi="Arial" w:cs="Arial"/>
          <w:sz w:val="22"/>
          <w:szCs w:val="22"/>
        </w:rPr>
        <w:t>favirenz, tenofovir, or emtricitabine</w:t>
      </w:r>
      <w:r w:rsidR="0001003D">
        <w:rPr>
          <w:rFonts w:ascii="Arial" w:hAnsi="Arial" w:cs="Arial"/>
          <w:sz w:val="22"/>
          <w:szCs w:val="22"/>
        </w:rPr>
        <w:t>.</w:t>
      </w:r>
      <w:r w:rsidRPr="00D73341">
        <w:rPr>
          <w:rFonts w:ascii="Arial" w:hAnsi="Arial" w:cs="Arial"/>
          <w:sz w:val="22"/>
          <w:szCs w:val="22"/>
        </w:rPr>
        <w:t xml:space="preserve">  Randomization was stratified by screening HIV RNA level (</w:t>
      </w:r>
      <w:r>
        <w:rPr>
          <w:rFonts w:ascii="Arial" w:hAnsi="Arial" w:cs="Arial"/>
          <w:sz w:val="22"/>
          <w:szCs w:val="22"/>
        </w:rPr>
        <w:t>≤</w:t>
      </w:r>
      <w:r w:rsidRPr="00D73341">
        <w:rPr>
          <w:rFonts w:ascii="Arial" w:hAnsi="Arial" w:cs="Arial"/>
          <w:sz w:val="22"/>
          <w:szCs w:val="22"/>
        </w:rPr>
        <w:t xml:space="preserve">50,000 copies/mL; and &gt;50,000 copies/mL) and by hepatitis </w:t>
      </w:r>
      <w:r w:rsidR="003A1A8C">
        <w:rPr>
          <w:rFonts w:ascii="Arial" w:hAnsi="Arial" w:cs="Arial"/>
          <w:sz w:val="22"/>
          <w:szCs w:val="22"/>
        </w:rPr>
        <w:t xml:space="preserve">B or C coinfection </w:t>
      </w:r>
      <w:r w:rsidRPr="00D73341">
        <w:rPr>
          <w:rFonts w:ascii="Arial" w:hAnsi="Arial" w:cs="Arial"/>
          <w:sz w:val="22"/>
          <w:szCs w:val="22"/>
        </w:rPr>
        <w:t>status.</w:t>
      </w:r>
    </w:p>
    <w:p w:rsidR="006A3F48" w:rsidRPr="00D73341" w:rsidRDefault="006A3F48" w:rsidP="006A3F48">
      <w:pPr>
        <w:jc w:val="both"/>
        <w:rPr>
          <w:rFonts w:ascii="Arial" w:hAnsi="Arial" w:cs="Arial"/>
          <w:strike/>
          <w:sz w:val="22"/>
          <w:szCs w:val="22"/>
        </w:rPr>
      </w:pPr>
      <w:r w:rsidRPr="00D73341">
        <w:rPr>
          <w:rFonts w:ascii="Arial" w:hAnsi="Arial" w:cs="Arial"/>
          <w:sz w:val="22"/>
          <w:szCs w:val="22"/>
        </w:rPr>
        <w:t xml:space="preserve">Table </w:t>
      </w:r>
      <w:r w:rsidR="00750FB1">
        <w:rPr>
          <w:rFonts w:ascii="Arial" w:hAnsi="Arial" w:cs="Arial"/>
          <w:sz w:val="22"/>
          <w:szCs w:val="22"/>
        </w:rPr>
        <w:t>6</w:t>
      </w:r>
      <w:r w:rsidR="00674559" w:rsidRPr="00D73341">
        <w:rPr>
          <w:rFonts w:ascii="Arial" w:hAnsi="Arial" w:cs="Arial"/>
          <w:sz w:val="22"/>
          <w:szCs w:val="22"/>
        </w:rPr>
        <w:t xml:space="preserve"> </w:t>
      </w:r>
      <w:r w:rsidRPr="00D73341">
        <w:rPr>
          <w:rFonts w:ascii="Arial" w:hAnsi="Arial" w:cs="Arial"/>
          <w:sz w:val="22"/>
          <w:szCs w:val="22"/>
        </w:rPr>
        <w:t>shows the demographic characteristics between patients in the group receiving ISENTRESS 400 mg b.i.d and patients in the group receiving efavirenz.</w:t>
      </w:r>
      <w:r w:rsidRPr="00D73341">
        <w:rPr>
          <w:rFonts w:ascii="Arial" w:hAnsi="Arial" w:cs="Arial"/>
          <w:strike/>
          <w:sz w:val="22"/>
          <w:szCs w:val="22"/>
        </w:rPr>
        <w:t xml:space="preserve"> </w:t>
      </w:r>
    </w:p>
    <w:p w:rsidR="006A3F48" w:rsidRDefault="006A3F48" w:rsidP="00245874">
      <w:pPr>
        <w:pStyle w:val="Tabletitle"/>
      </w:pPr>
      <w:r w:rsidRPr="00D73341">
        <w:t xml:space="preserve">Table </w:t>
      </w:r>
      <w:r w:rsidR="00750FB1">
        <w:t>6</w:t>
      </w:r>
      <w:r w:rsidRPr="00D73341">
        <w:t xml:space="preserve">: Patient Baseline Characteristics </w:t>
      </w:r>
    </w:p>
    <w:tbl>
      <w:tblPr>
        <w:tblW w:w="8640" w:type="dxa"/>
        <w:jc w:val="center"/>
        <w:tblBorders>
          <w:top w:val="double" w:sz="4" w:space="0" w:color="auto"/>
          <w:left w:val="single" w:sz="4" w:space="0" w:color="auto"/>
          <w:bottom w:val="double" w:sz="4" w:space="0" w:color="auto"/>
          <w:right w:val="single" w:sz="4" w:space="0" w:color="auto"/>
        </w:tblBorders>
        <w:tblLayout w:type="fixed"/>
        <w:tblLook w:val="0000"/>
      </w:tblPr>
      <w:tblGrid>
        <w:gridCol w:w="3005"/>
        <w:gridCol w:w="1878"/>
        <w:gridCol w:w="1878"/>
        <w:gridCol w:w="1879"/>
      </w:tblGrid>
      <w:tr w:rsidR="006A3F48" w:rsidRPr="00D73341" w:rsidTr="00FD75D8">
        <w:trPr>
          <w:cantSplit/>
          <w:tblHeader/>
          <w:jc w:val="center"/>
        </w:trPr>
        <w:tc>
          <w:tcPr>
            <w:tcW w:w="3005" w:type="dxa"/>
            <w:tcBorders>
              <w:top w:val="double" w:sz="4" w:space="0" w:color="auto"/>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jc w:val="center"/>
              <w:rPr>
                <w:rFonts w:ascii="Arial" w:hAnsi="Arial" w:cs="Arial"/>
                <w:sz w:val="16"/>
                <w:szCs w:val="16"/>
              </w:rPr>
            </w:pPr>
          </w:p>
        </w:tc>
        <w:tc>
          <w:tcPr>
            <w:tcW w:w="1878" w:type="dxa"/>
            <w:tcBorders>
              <w:top w:val="double" w:sz="4" w:space="0" w:color="auto"/>
              <w:left w:val="nil"/>
              <w:bottom w:val="nil"/>
              <w:right w:val="single" w:sz="2" w:space="0" w:color="auto"/>
            </w:tcBorders>
          </w:tcPr>
          <w:p w:rsidR="006A3F48" w:rsidRPr="00D73341" w:rsidRDefault="006A3F48" w:rsidP="00B62647">
            <w:pPr>
              <w:widowControl w:val="0"/>
              <w:autoSpaceDE w:val="0"/>
              <w:autoSpaceDN w:val="0"/>
              <w:adjustRightInd w:val="0"/>
              <w:spacing w:before="15" w:after="15"/>
              <w:jc w:val="center"/>
              <w:rPr>
                <w:rFonts w:ascii="Arial" w:hAnsi="Arial" w:cs="Arial"/>
                <w:sz w:val="16"/>
                <w:szCs w:val="16"/>
              </w:rPr>
            </w:pPr>
            <w:r w:rsidRPr="00D73341">
              <w:rPr>
                <w:rFonts w:ascii="Arial" w:hAnsi="Arial" w:cs="Arial"/>
                <w:sz w:val="16"/>
                <w:szCs w:val="16"/>
              </w:rPr>
              <w:t>ISENTRESS</w:t>
            </w:r>
          </w:p>
        </w:tc>
        <w:tc>
          <w:tcPr>
            <w:tcW w:w="1878" w:type="dxa"/>
            <w:tcBorders>
              <w:top w:val="double" w:sz="4" w:space="0" w:color="auto"/>
              <w:left w:val="nil"/>
              <w:bottom w:val="nil"/>
              <w:right w:val="single" w:sz="2" w:space="0" w:color="auto"/>
            </w:tcBorders>
          </w:tcPr>
          <w:p w:rsidR="006A3F48" w:rsidRPr="00D73341" w:rsidRDefault="006A3F48" w:rsidP="00B62647">
            <w:pPr>
              <w:widowControl w:val="0"/>
              <w:autoSpaceDE w:val="0"/>
              <w:autoSpaceDN w:val="0"/>
              <w:adjustRightInd w:val="0"/>
              <w:spacing w:before="15" w:after="15"/>
              <w:jc w:val="center"/>
              <w:rPr>
                <w:rFonts w:ascii="Arial" w:hAnsi="Arial" w:cs="Arial"/>
                <w:sz w:val="16"/>
                <w:szCs w:val="16"/>
              </w:rPr>
            </w:pPr>
            <w:r w:rsidRPr="00D73341">
              <w:rPr>
                <w:rFonts w:ascii="Arial" w:hAnsi="Arial" w:cs="Arial"/>
                <w:sz w:val="16"/>
                <w:szCs w:val="16"/>
              </w:rPr>
              <w:t xml:space="preserve">Efavirenz </w:t>
            </w:r>
          </w:p>
        </w:tc>
        <w:tc>
          <w:tcPr>
            <w:tcW w:w="1879" w:type="dxa"/>
            <w:tcBorders>
              <w:top w:val="double" w:sz="4" w:space="0" w:color="auto"/>
              <w:left w:val="nil"/>
              <w:bottom w:val="nil"/>
              <w:right w:val="single" w:sz="4" w:space="0" w:color="auto"/>
            </w:tcBorders>
          </w:tcPr>
          <w:p w:rsidR="006A3F48" w:rsidRPr="00D73341" w:rsidRDefault="006A3F48" w:rsidP="00B62647">
            <w:pPr>
              <w:widowControl w:val="0"/>
              <w:autoSpaceDE w:val="0"/>
              <w:autoSpaceDN w:val="0"/>
              <w:adjustRightInd w:val="0"/>
              <w:spacing w:before="15" w:after="15"/>
              <w:jc w:val="center"/>
              <w:rPr>
                <w:rFonts w:ascii="Arial" w:hAnsi="Arial" w:cs="Arial"/>
                <w:sz w:val="16"/>
                <w:szCs w:val="16"/>
              </w:rPr>
            </w:pPr>
            <w:r w:rsidRPr="00D73341">
              <w:rPr>
                <w:rFonts w:ascii="Arial" w:hAnsi="Arial" w:cs="Arial"/>
                <w:sz w:val="16"/>
                <w:szCs w:val="16"/>
              </w:rPr>
              <w:t xml:space="preserve">Total  </w:t>
            </w:r>
          </w:p>
        </w:tc>
      </w:tr>
      <w:tr w:rsidR="006A3F48" w:rsidRPr="00D73341" w:rsidTr="00FD75D8">
        <w:trPr>
          <w:cantSplit/>
          <w:tblHeader/>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jc w:val="center"/>
              <w:rPr>
                <w:rFonts w:ascii="Arial" w:hAnsi="Arial" w:cs="Arial"/>
                <w:sz w:val="16"/>
                <w:szCs w:val="16"/>
              </w:rPr>
            </w:pP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jc w:val="center"/>
              <w:rPr>
                <w:rFonts w:ascii="Arial" w:hAnsi="Arial" w:cs="Arial"/>
                <w:sz w:val="16"/>
                <w:szCs w:val="16"/>
              </w:rPr>
            </w:pPr>
            <w:r w:rsidRPr="00D73341">
              <w:rPr>
                <w:rFonts w:ascii="Arial" w:hAnsi="Arial" w:cs="Arial"/>
                <w:sz w:val="16"/>
                <w:szCs w:val="16"/>
              </w:rPr>
              <w:t>400 mg b.i.d.</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jc w:val="center"/>
              <w:rPr>
                <w:rFonts w:ascii="Arial" w:hAnsi="Arial" w:cs="Arial"/>
                <w:sz w:val="16"/>
                <w:szCs w:val="16"/>
              </w:rPr>
            </w:pPr>
            <w:r w:rsidRPr="00D73341">
              <w:rPr>
                <w:rFonts w:ascii="Arial" w:hAnsi="Arial" w:cs="Arial"/>
                <w:sz w:val="16"/>
                <w:szCs w:val="16"/>
              </w:rPr>
              <w:t xml:space="preserve">600 mg </w:t>
            </w:r>
            <w:r w:rsidR="00E70C87">
              <w:rPr>
                <w:rFonts w:ascii="Arial" w:hAnsi="Arial" w:cs="Arial"/>
                <w:sz w:val="16"/>
                <w:szCs w:val="16"/>
              </w:rPr>
              <w:t>at bedtime</w:t>
            </w:r>
            <w:r w:rsidRPr="00D73341">
              <w:rPr>
                <w:rFonts w:ascii="Arial" w:hAnsi="Arial" w:cs="Arial"/>
                <w:sz w:val="16"/>
                <w:szCs w:val="16"/>
              </w:rPr>
              <w:t>.</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jc w:val="center"/>
              <w:rPr>
                <w:rFonts w:ascii="Arial" w:hAnsi="Arial" w:cs="Arial"/>
                <w:sz w:val="16"/>
                <w:szCs w:val="16"/>
              </w:rPr>
            </w:pPr>
            <w:r w:rsidRPr="00D73341">
              <w:rPr>
                <w:rFonts w:ascii="Arial" w:hAnsi="Arial" w:cs="Arial"/>
                <w:sz w:val="16"/>
                <w:szCs w:val="16"/>
              </w:rPr>
              <w:t xml:space="preserve"> </w:t>
            </w:r>
          </w:p>
        </w:tc>
      </w:tr>
      <w:tr w:rsidR="006A3F48" w:rsidRPr="00D73341" w:rsidTr="00FD75D8">
        <w:trPr>
          <w:cantSplit/>
          <w:tblHeader/>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15" w:after="15"/>
              <w:jc w:val="center"/>
              <w:rPr>
                <w:rFonts w:ascii="Arial" w:hAnsi="Arial" w:cs="Arial"/>
                <w:sz w:val="16"/>
                <w:szCs w:val="16"/>
              </w:rPr>
            </w:pP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15" w:after="15"/>
              <w:jc w:val="center"/>
              <w:rPr>
                <w:rFonts w:ascii="Arial" w:hAnsi="Arial" w:cs="Arial"/>
                <w:sz w:val="16"/>
                <w:szCs w:val="16"/>
              </w:rPr>
            </w:pPr>
            <w:r w:rsidRPr="00D73341">
              <w:rPr>
                <w:rFonts w:ascii="Arial" w:hAnsi="Arial" w:cs="Arial"/>
                <w:sz w:val="16"/>
                <w:szCs w:val="16"/>
              </w:rPr>
              <w:t>(N = 281)</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15" w:after="15"/>
              <w:jc w:val="center"/>
              <w:rPr>
                <w:rFonts w:ascii="Arial" w:hAnsi="Arial" w:cs="Arial"/>
                <w:sz w:val="16"/>
                <w:szCs w:val="16"/>
              </w:rPr>
            </w:pPr>
            <w:r w:rsidRPr="00D73341">
              <w:rPr>
                <w:rFonts w:ascii="Arial" w:hAnsi="Arial" w:cs="Arial"/>
                <w:sz w:val="16"/>
                <w:szCs w:val="16"/>
              </w:rPr>
              <w:t>(N = 282)</w:t>
            </w:r>
          </w:p>
        </w:tc>
        <w:tc>
          <w:tcPr>
            <w:tcW w:w="1879" w:type="dxa"/>
            <w:tcBorders>
              <w:top w:val="nil"/>
              <w:left w:val="nil"/>
              <w:bottom w:val="single" w:sz="2" w:space="0" w:color="auto"/>
              <w:right w:val="single" w:sz="4" w:space="0" w:color="auto"/>
            </w:tcBorders>
          </w:tcPr>
          <w:p w:rsidR="006A3F48" w:rsidRPr="00D73341" w:rsidRDefault="006A3F48" w:rsidP="00B62647">
            <w:pPr>
              <w:widowControl w:val="0"/>
              <w:autoSpaceDE w:val="0"/>
              <w:autoSpaceDN w:val="0"/>
              <w:adjustRightInd w:val="0"/>
              <w:spacing w:before="15" w:after="15"/>
              <w:jc w:val="center"/>
              <w:rPr>
                <w:rFonts w:ascii="Arial" w:hAnsi="Arial" w:cs="Arial"/>
                <w:sz w:val="16"/>
                <w:szCs w:val="16"/>
              </w:rPr>
            </w:pPr>
            <w:r w:rsidRPr="00D73341">
              <w:rPr>
                <w:rFonts w:ascii="Arial" w:hAnsi="Arial" w:cs="Arial"/>
                <w:sz w:val="16"/>
                <w:szCs w:val="16"/>
              </w:rPr>
              <w:t>(N = 563)</w:t>
            </w:r>
          </w:p>
        </w:tc>
      </w:tr>
      <w:tr w:rsidR="006A3F48" w:rsidRPr="00D73341" w:rsidTr="00FD75D8">
        <w:trPr>
          <w:cantSplit/>
          <w:jc w:val="center"/>
        </w:trPr>
        <w:tc>
          <w:tcPr>
            <w:tcW w:w="8640" w:type="dxa"/>
            <w:gridSpan w:val="4"/>
            <w:tcBorders>
              <w:top w:val="nil"/>
              <w:left w:val="single" w:sz="4" w:space="0" w:color="auto"/>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b/>
                <w:bCs/>
                <w:sz w:val="16"/>
                <w:szCs w:val="16"/>
              </w:rPr>
              <w:lastRenderedPageBreak/>
              <w:t xml:space="preserve">Gender n (%)                                                                                      </w:t>
            </w:r>
            <w:r w:rsidRPr="00D73341">
              <w:rPr>
                <w:rFonts w:ascii="Arial" w:hAnsi="Arial" w:cs="Arial"/>
                <w:sz w:val="16"/>
                <w:szCs w:val="16"/>
              </w:rPr>
              <w:t xml:space="preserve">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Male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227 (80.8)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231 (81.9)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458 (81.3)              </w:t>
            </w:r>
          </w:p>
        </w:tc>
      </w:tr>
      <w:tr w:rsidR="006A3F48" w:rsidRPr="00D73341" w:rsidTr="00FD75D8">
        <w:trPr>
          <w:cantSplit/>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sz w:val="16"/>
                <w:szCs w:val="16"/>
              </w:rPr>
              <w:t xml:space="preserve">Female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54 (19.2)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51 (18.1)               </w:t>
            </w:r>
          </w:p>
        </w:tc>
        <w:tc>
          <w:tcPr>
            <w:tcW w:w="1879" w:type="dxa"/>
            <w:tcBorders>
              <w:top w:val="nil"/>
              <w:left w:val="nil"/>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105 (18.7)              </w:t>
            </w:r>
          </w:p>
        </w:tc>
      </w:tr>
      <w:tr w:rsidR="006A3F48" w:rsidRPr="00D73341" w:rsidTr="00FD75D8">
        <w:trPr>
          <w:cantSplit/>
          <w:jc w:val="center"/>
        </w:trPr>
        <w:tc>
          <w:tcPr>
            <w:tcW w:w="8640" w:type="dxa"/>
            <w:gridSpan w:val="4"/>
            <w:tcBorders>
              <w:top w:val="nil"/>
              <w:left w:val="single" w:sz="4" w:space="0" w:color="auto"/>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b/>
                <w:bCs/>
                <w:sz w:val="16"/>
                <w:szCs w:val="16"/>
              </w:rPr>
              <w:t xml:space="preserve">Race n (%)                                                                                        </w:t>
            </w:r>
            <w:r w:rsidRPr="00D73341">
              <w:rPr>
                <w:rFonts w:ascii="Arial" w:hAnsi="Arial" w:cs="Arial"/>
                <w:sz w:val="16"/>
                <w:szCs w:val="16"/>
              </w:rPr>
              <w:t xml:space="preserve">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White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116 (41.3)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123 (43.6)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239 (42.5)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Black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33 (11.7)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23 (8.2)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56 (9.9)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Asian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36 (12.8)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32 (11.3)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68 (12.1)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Hispanic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60 (21.4)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67 (23.8)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127 (22.6)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Native American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 (0.4)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 (0.4)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 (0.4)                 </w:t>
            </w:r>
          </w:p>
        </w:tc>
      </w:tr>
      <w:tr w:rsidR="006A3F48" w:rsidRPr="00D73341" w:rsidTr="00FD75D8">
        <w:trPr>
          <w:cantSplit/>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sz w:val="16"/>
                <w:szCs w:val="16"/>
              </w:rPr>
              <w:t xml:space="preserve">Multiracial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35 (12.5)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36 (12.8)               </w:t>
            </w:r>
          </w:p>
        </w:tc>
        <w:tc>
          <w:tcPr>
            <w:tcW w:w="1879" w:type="dxa"/>
            <w:tcBorders>
              <w:top w:val="nil"/>
              <w:left w:val="nil"/>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71 (12.6)               </w:t>
            </w:r>
          </w:p>
        </w:tc>
      </w:tr>
      <w:tr w:rsidR="006A3F48" w:rsidRPr="00D73341" w:rsidTr="00FD75D8">
        <w:trPr>
          <w:cantSplit/>
          <w:jc w:val="center"/>
        </w:trPr>
        <w:tc>
          <w:tcPr>
            <w:tcW w:w="8640" w:type="dxa"/>
            <w:gridSpan w:val="4"/>
            <w:tcBorders>
              <w:top w:val="nil"/>
              <w:left w:val="single" w:sz="4" w:space="0" w:color="auto"/>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b/>
                <w:bCs/>
                <w:sz w:val="16"/>
                <w:szCs w:val="16"/>
              </w:rPr>
              <w:t xml:space="preserve">Region n (%)                                                                                      </w:t>
            </w:r>
            <w:r w:rsidRPr="00D73341">
              <w:rPr>
                <w:rFonts w:ascii="Arial" w:hAnsi="Arial" w:cs="Arial"/>
                <w:sz w:val="16"/>
                <w:szCs w:val="16"/>
              </w:rPr>
              <w:t xml:space="preserve">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Latin America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99 (35.2)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97 (34.4)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196 (34.8)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Southeast Asia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34 (12.1)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29 (10.3)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63 (11.2)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North America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82 (29.2)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90 (31.9)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172 (30.6)              </w:t>
            </w:r>
          </w:p>
        </w:tc>
      </w:tr>
      <w:tr w:rsidR="006A3F48" w:rsidRPr="00D73341" w:rsidTr="00FD75D8">
        <w:trPr>
          <w:cantSplit/>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sz w:val="16"/>
                <w:szCs w:val="16"/>
              </w:rPr>
              <w:t xml:space="preserve">EU/Australia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66 (23.5)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66 (23.4)               </w:t>
            </w:r>
          </w:p>
        </w:tc>
        <w:tc>
          <w:tcPr>
            <w:tcW w:w="1879" w:type="dxa"/>
            <w:tcBorders>
              <w:top w:val="nil"/>
              <w:left w:val="nil"/>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132 (23.4)              </w:t>
            </w:r>
          </w:p>
        </w:tc>
      </w:tr>
      <w:tr w:rsidR="006A3F48" w:rsidRPr="00D73341" w:rsidTr="00FD75D8">
        <w:trPr>
          <w:cantSplit/>
          <w:jc w:val="center"/>
        </w:trPr>
        <w:tc>
          <w:tcPr>
            <w:tcW w:w="8640" w:type="dxa"/>
            <w:gridSpan w:val="4"/>
            <w:tcBorders>
              <w:top w:val="nil"/>
              <w:left w:val="single" w:sz="4" w:space="0" w:color="auto"/>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b/>
                <w:bCs/>
                <w:sz w:val="16"/>
                <w:szCs w:val="16"/>
              </w:rPr>
              <w:t xml:space="preserve">Age (years)                                                                                         </w:t>
            </w:r>
            <w:r w:rsidRPr="00D73341">
              <w:rPr>
                <w:rFonts w:ascii="Arial" w:hAnsi="Arial" w:cs="Arial"/>
                <w:sz w:val="16"/>
                <w:szCs w:val="16"/>
              </w:rPr>
              <w:t xml:space="preserve">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18-64 n (%)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279 (99.3)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278 (98.6)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557 (98.9)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≥65 n (%)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 (0.7)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4 (1.4)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6 (1.1)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Mean (SD)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37.6 (9.0)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36.9 (10.0)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37.2 (9.5)              </w:t>
            </w:r>
          </w:p>
        </w:tc>
      </w:tr>
      <w:tr w:rsidR="006A3F48" w:rsidRPr="00D73341" w:rsidTr="00FD75D8">
        <w:trPr>
          <w:cantSplit/>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sz w:val="16"/>
                <w:szCs w:val="16"/>
              </w:rPr>
              <w:t xml:space="preserve">Median (min, max)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37.0 (19 to 67)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36.0 (19 to 71)         </w:t>
            </w:r>
          </w:p>
        </w:tc>
        <w:tc>
          <w:tcPr>
            <w:tcW w:w="1879" w:type="dxa"/>
            <w:tcBorders>
              <w:top w:val="nil"/>
              <w:left w:val="nil"/>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37.0 (19 to 71)         </w:t>
            </w:r>
          </w:p>
        </w:tc>
      </w:tr>
      <w:tr w:rsidR="006A3F48" w:rsidRPr="00D73341" w:rsidTr="00FD75D8">
        <w:trPr>
          <w:cantSplit/>
          <w:jc w:val="center"/>
        </w:trPr>
        <w:tc>
          <w:tcPr>
            <w:tcW w:w="8640" w:type="dxa"/>
            <w:gridSpan w:val="4"/>
            <w:tcBorders>
              <w:top w:val="nil"/>
              <w:left w:val="single" w:sz="4" w:space="0" w:color="auto"/>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b/>
                <w:bCs/>
                <w:sz w:val="16"/>
                <w:szCs w:val="16"/>
              </w:rPr>
              <w:t xml:space="preserve">CD4 Cell Count (cells/microL)                                                                       </w:t>
            </w:r>
            <w:r w:rsidRPr="00D73341">
              <w:rPr>
                <w:rFonts w:ascii="Arial" w:hAnsi="Arial" w:cs="Arial"/>
                <w:sz w:val="16"/>
                <w:szCs w:val="16"/>
              </w:rPr>
              <w:t xml:space="preserve">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N</w:t>
            </w:r>
            <w:r w:rsidRPr="00D73341">
              <w:rPr>
                <w:rFonts w:ascii="Arial" w:hAnsi="Arial" w:cs="Arial"/>
                <w:sz w:val="16"/>
                <w:szCs w:val="16"/>
                <w:vertAlign w:val="superscript"/>
              </w:rPr>
              <w:t>†</w:t>
            </w:r>
            <w:r w:rsidRPr="00D73341">
              <w:rPr>
                <w:rFonts w:ascii="Arial" w:hAnsi="Arial" w:cs="Arial"/>
                <w:sz w:val="16"/>
                <w:szCs w:val="16"/>
              </w:rPr>
              <w:t xml:space="preserve">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281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281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562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Mean (SD)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218.9 (124.2)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217.4 (133.6)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218.1 (128.8)           </w:t>
            </w:r>
          </w:p>
        </w:tc>
      </w:tr>
      <w:tr w:rsidR="006A3F48" w:rsidRPr="00D73341" w:rsidTr="00FD75D8">
        <w:trPr>
          <w:cantSplit/>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sz w:val="16"/>
                <w:szCs w:val="16"/>
              </w:rPr>
              <w:t xml:space="preserve">Median (min, max)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212.0 (1 to 620)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204.0 (4 to 807)        </w:t>
            </w:r>
          </w:p>
        </w:tc>
        <w:tc>
          <w:tcPr>
            <w:tcW w:w="1879" w:type="dxa"/>
            <w:tcBorders>
              <w:top w:val="nil"/>
              <w:left w:val="nil"/>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207.5 (1 to 807)        </w:t>
            </w:r>
          </w:p>
        </w:tc>
      </w:tr>
      <w:tr w:rsidR="006A3F48" w:rsidRPr="00D73341" w:rsidTr="00FD75D8">
        <w:trPr>
          <w:cantSplit/>
          <w:jc w:val="center"/>
        </w:trPr>
        <w:tc>
          <w:tcPr>
            <w:tcW w:w="8640" w:type="dxa"/>
            <w:gridSpan w:val="4"/>
            <w:tcBorders>
              <w:top w:val="nil"/>
              <w:left w:val="single" w:sz="4" w:space="0" w:color="auto"/>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lang w:val="es-MX"/>
              </w:rPr>
            </w:pPr>
            <w:r w:rsidRPr="00D73341">
              <w:rPr>
                <w:rFonts w:ascii="Arial" w:hAnsi="Arial" w:cs="Arial"/>
                <w:sz w:val="16"/>
                <w:szCs w:val="16"/>
                <w:lang w:val="es-MX"/>
              </w:rPr>
              <w:t xml:space="preserve"> </w:t>
            </w:r>
            <w:r w:rsidRPr="00D73341">
              <w:rPr>
                <w:rFonts w:ascii="Arial" w:hAnsi="Arial" w:cs="Arial"/>
                <w:b/>
                <w:bCs/>
                <w:sz w:val="16"/>
                <w:szCs w:val="16"/>
                <w:lang w:val="es-MX"/>
              </w:rPr>
              <w:t xml:space="preserve">Plasma HIV RNA (log10 copies/mL)                                                                    </w:t>
            </w:r>
            <w:r w:rsidRPr="00D73341">
              <w:rPr>
                <w:rFonts w:ascii="Arial" w:hAnsi="Arial" w:cs="Arial"/>
                <w:sz w:val="16"/>
                <w:szCs w:val="16"/>
                <w:lang w:val="es-MX"/>
              </w:rPr>
              <w:t xml:space="preserve">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N</w:t>
            </w:r>
            <w:r w:rsidRPr="00D73341">
              <w:rPr>
                <w:rFonts w:ascii="Arial" w:hAnsi="Arial" w:cs="Arial"/>
                <w:sz w:val="16"/>
                <w:szCs w:val="16"/>
                <w:vertAlign w:val="superscript"/>
              </w:rPr>
              <w:t>†</w:t>
            </w:r>
            <w:r w:rsidRPr="00D73341">
              <w:rPr>
                <w:rFonts w:ascii="Arial" w:hAnsi="Arial" w:cs="Arial"/>
                <w:sz w:val="16"/>
                <w:szCs w:val="16"/>
              </w:rPr>
              <w:t xml:space="preserve">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281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282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563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Mean (SD)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5.0 (0.6)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5.0 (0.6)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5.0 (0.6)               </w:t>
            </w:r>
          </w:p>
        </w:tc>
      </w:tr>
      <w:tr w:rsidR="006A3F48" w:rsidRPr="00D73341" w:rsidTr="00FD75D8">
        <w:trPr>
          <w:cantSplit/>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sz w:val="16"/>
                <w:szCs w:val="16"/>
              </w:rPr>
              <w:t xml:space="preserve">Median (min, max)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5.1 (2.6 to 5.9)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5.0 (3.6 to 5.9)        </w:t>
            </w:r>
          </w:p>
        </w:tc>
        <w:tc>
          <w:tcPr>
            <w:tcW w:w="1879" w:type="dxa"/>
            <w:tcBorders>
              <w:top w:val="nil"/>
              <w:left w:val="nil"/>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5.0 (2.6 to 5.9)        </w:t>
            </w:r>
          </w:p>
        </w:tc>
      </w:tr>
      <w:tr w:rsidR="006A3F48" w:rsidRPr="00D73341" w:rsidTr="00FD75D8">
        <w:trPr>
          <w:cantSplit/>
          <w:jc w:val="center"/>
        </w:trPr>
        <w:tc>
          <w:tcPr>
            <w:tcW w:w="8640" w:type="dxa"/>
            <w:gridSpan w:val="4"/>
            <w:tcBorders>
              <w:top w:val="nil"/>
              <w:left w:val="single" w:sz="4" w:space="0" w:color="auto"/>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lang w:val="es-MX"/>
              </w:rPr>
            </w:pPr>
            <w:r w:rsidRPr="00D73341">
              <w:rPr>
                <w:rFonts w:ascii="Arial" w:hAnsi="Arial" w:cs="Arial"/>
                <w:b/>
                <w:bCs/>
                <w:sz w:val="16"/>
                <w:szCs w:val="16"/>
                <w:lang w:val="es-MX"/>
              </w:rPr>
              <w:t xml:space="preserve">Plasma HIV RNA (copies/mL)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N</w:t>
            </w:r>
            <w:r w:rsidRPr="00D73341">
              <w:rPr>
                <w:rFonts w:ascii="Arial" w:hAnsi="Arial" w:cs="Arial"/>
                <w:sz w:val="16"/>
                <w:szCs w:val="16"/>
                <w:vertAlign w:val="superscript"/>
              </w:rPr>
              <w:t>†</w:t>
            </w:r>
            <w:r w:rsidRPr="00D73341">
              <w:rPr>
                <w:rFonts w:ascii="Arial" w:hAnsi="Arial" w:cs="Arial"/>
                <w:sz w:val="16"/>
                <w:szCs w:val="16"/>
              </w:rPr>
              <w:t xml:space="preserve">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281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282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563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    Geometric Mean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103</w:t>
            </w:r>
            <w:r>
              <w:rPr>
                <w:rFonts w:ascii="Arial" w:hAnsi="Arial" w:cs="Arial"/>
                <w:sz w:val="16"/>
                <w:szCs w:val="16"/>
              </w:rPr>
              <w:t>,</w:t>
            </w:r>
            <w:r w:rsidRPr="00D73341">
              <w:rPr>
                <w:rFonts w:ascii="Arial" w:hAnsi="Arial" w:cs="Arial"/>
                <w:sz w:val="16"/>
                <w:szCs w:val="16"/>
              </w:rPr>
              <w:t xml:space="preserve">205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106</w:t>
            </w:r>
            <w:r>
              <w:rPr>
                <w:rFonts w:ascii="Arial" w:hAnsi="Arial" w:cs="Arial"/>
                <w:sz w:val="16"/>
                <w:szCs w:val="16"/>
              </w:rPr>
              <w:t>,</w:t>
            </w:r>
            <w:r w:rsidRPr="00D73341">
              <w:rPr>
                <w:rFonts w:ascii="Arial" w:hAnsi="Arial" w:cs="Arial"/>
                <w:sz w:val="16"/>
                <w:szCs w:val="16"/>
              </w:rPr>
              <w:t xml:space="preserve">215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104</w:t>
            </w:r>
            <w:r>
              <w:rPr>
                <w:rFonts w:ascii="Arial" w:hAnsi="Arial" w:cs="Arial"/>
                <w:sz w:val="16"/>
                <w:szCs w:val="16"/>
              </w:rPr>
              <w:t>,</w:t>
            </w:r>
            <w:r w:rsidRPr="00D73341">
              <w:rPr>
                <w:rFonts w:ascii="Arial" w:hAnsi="Arial" w:cs="Arial"/>
                <w:sz w:val="16"/>
                <w:szCs w:val="16"/>
              </w:rPr>
              <w:t xml:space="preserve">702                 </w:t>
            </w:r>
          </w:p>
        </w:tc>
      </w:tr>
      <w:tr w:rsidR="006A3F48" w:rsidRPr="00D73341" w:rsidTr="00FD75D8">
        <w:trPr>
          <w:cantSplit/>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sz w:val="16"/>
                <w:szCs w:val="16"/>
              </w:rPr>
              <w:t xml:space="preserve">    Median (min, max)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114</w:t>
            </w:r>
            <w:r>
              <w:rPr>
                <w:rFonts w:ascii="Arial" w:hAnsi="Arial" w:cs="Arial"/>
                <w:sz w:val="16"/>
                <w:szCs w:val="16"/>
              </w:rPr>
              <w:t>,</w:t>
            </w:r>
            <w:r w:rsidRPr="00D73341">
              <w:rPr>
                <w:rFonts w:ascii="Arial" w:hAnsi="Arial" w:cs="Arial"/>
                <w:sz w:val="16"/>
                <w:szCs w:val="16"/>
              </w:rPr>
              <w:t>000 (400 to 750</w:t>
            </w:r>
            <w:r>
              <w:rPr>
                <w:rFonts w:ascii="Arial" w:hAnsi="Arial" w:cs="Arial"/>
                <w:sz w:val="16"/>
                <w:szCs w:val="16"/>
              </w:rPr>
              <w:t>,</w:t>
            </w:r>
            <w:r w:rsidRPr="00D73341">
              <w:rPr>
                <w:rFonts w:ascii="Arial" w:hAnsi="Arial" w:cs="Arial"/>
                <w:sz w:val="16"/>
                <w:szCs w:val="16"/>
              </w:rPr>
              <w:t xml:space="preserve">000)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104</w:t>
            </w:r>
            <w:r>
              <w:rPr>
                <w:rFonts w:ascii="Arial" w:hAnsi="Arial" w:cs="Arial"/>
                <w:sz w:val="16"/>
                <w:szCs w:val="16"/>
              </w:rPr>
              <w:t>,</w:t>
            </w:r>
            <w:r w:rsidRPr="00D73341">
              <w:rPr>
                <w:rFonts w:ascii="Arial" w:hAnsi="Arial" w:cs="Arial"/>
                <w:sz w:val="16"/>
                <w:szCs w:val="16"/>
              </w:rPr>
              <w:t>000 (4</w:t>
            </w:r>
            <w:r>
              <w:rPr>
                <w:rFonts w:ascii="Arial" w:hAnsi="Arial" w:cs="Arial"/>
                <w:sz w:val="16"/>
                <w:szCs w:val="16"/>
              </w:rPr>
              <w:t>,</w:t>
            </w:r>
            <w:r w:rsidRPr="00D73341">
              <w:rPr>
                <w:rFonts w:ascii="Arial" w:hAnsi="Arial" w:cs="Arial"/>
                <w:sz w:val="16"/>
                <w:szCs w:val="16"/>
              </w:rPr>
              <w:t>410 to 750</w:t>
            </w:r>
            <w:r>
              <w:rPr>
                <w:rFonts w:ascii="Arial" w:hAnsi="Arial" w:cs="Arial"/>
                <w:sz w:val="16"/>
                <w:szCs w:val="16"/>
              </w:rPr>
              <w:t>,</w:t>
            </w:r>
            <w:r w:rsidRPr="00D73341">
              <w:rPr>
                <w:rFonts w:ascii="Arial" w:hAnsi="Arial" w:cs="Arial"/>
                <w:sz w:val="16"/>
                <w:szCs w:val="16"/>
              </w:rPr>
              <w:t xml:space="preserve">000) </w:t>
            </w:r>
          </w:p>
        </w:tc>
        <w:tc>
          <w:tcPr>
            <w:tcW w:w="1879" w:type="dxa"/>
            <w:tcBorders>
              <w:top w:val="nil"/>
              <w:left w:val="nil"/>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110</w:t>
            </w:r>
            <w:r>
              <w:rPr>
                <w:rFonts w:ascii="Arial" w:hAnsi="Arial" w:cs="Arial"/>
                <w:sz w:val="16"/>
                <w:szCs w:val="16"/>
              </w:rPr>
              <w:t>,</w:t>
            </w:r>
            <w:r w:rsidRPr="00D73341">
              <w:rPr>
                <w:rFonts w:ascii="Arial" w:hAnsi="Arial" w:cs="Arial"/>
                <w:sz w:val="16"/>
                <w:szCs w:val="16"/>
              </w:rPr>
              <w:t>000 (400 to 750</w:t>
            </w:r>
            <w:r>
              <w:rPr>
                <w:rFonts w:ascii="Arial" w:hAnsi="Arial" w:cs="Arial"/>
                <w:sz w:val="16"/>
                <w:szCs w:val="16"/>
              </w:rPr>
              <w:t>,</w:t>
            </w:r>
            <w:r w:rsidRPr="00D73341">
              <w:rPr>
                <w:rFonts w:ascii="Arial" w:hAnsi="Arial" w:cs="Arial"/>
                <w:sz w:val="16"/>
                <w:szCs w:val="16"/>
              </w:rPr>
              <w:t xml:space="preserve">000)  </w:t>
            </w:r>
          </w:p>
        </w:tc>
      </w:tr>
      <w:tr w:rsidR="006A3F48" w:rsidRPr="00D73341" w:rsidTr="00FD75D8">
        <w:trPr>
          <w:cantSplit/>
          <w:jc w:val="center"/>
        </w:trPr>
        <w:tc>
          <w:tcPr>
            <w:tcW w:w="8640" w:type="dxa"/>
            <w:gridSpan w:val="4"/>
            <w:tcBorders>
              <w:top w:val="nil"/>
              <w:left w:val="single" w:sz="4" w:space="0" w:color="auto"/>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b/>
                <w:bCs/>
                <w:sz w:val="16"/>
                <w:szCs w:val="16"/>
              </w:rPr>
              <w:t xml:space="preserve">History of AIDS n (%)                                                                             </w:t>
            </w:r>
            <w:r w:rsidRPr="00D73341">
              <w:rPr>
                <w:rFonts w:ascii="Arial" w:hAnsi="Arial" w:cs="Arial"/>
                <w:sz w:val="16"/>
                <w:szCs w:val="16"/>
              </w:rPr>
              <w:t xml:space="preserve"> </w:t>
            </w:r>
          </w:p>
        </w:tc>
      </w:tr>
      <w:tr w:rsidR="006A3F48" w:rsidRPr="00D73341" w:rsidTr="00FD75D8">
        <w:trPr>
          <w:cantSplit/>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sz w:val="16"/>
                <w:szCs w:val="16"/>
              </w:rPr>
              <w:t xml:space="preserve">Yes                                                                                              </w:t>
            </w:r>
          </w:p>
        </w:tc>
        <w:tc>
          <w:tcPr>
            <w:tcW w:w="1878" w:type="dxa"/>
            <w:tcBorders>
              <w:top w:val="nil"/>
              <w:left w:val="nil"/>
              <w:bottom w:val="single" w:sz="2" w:space="0" w:color="auto"/>
              <w:right w:val="single" w:sz="2" w:space="0" w:color="auto"/>
            </w:tcBorders>
          </w:tcPr>
          <w:p w:rsidR="006A3F48" w:rsidRPr="00D73341" w:rsidRDefault="006D6B65" w:rsidP="00B62647">
            <w:pPr>
              <w:widowControl w:val="0"/>
              <w:autoSpaceDE w:val="0"/>
              <w:autoSpaceDN w:val="0"/>
              <w:adjustRightInd w:val="0"/>
              <w:spacing w:before="60" w:after="60"/>
              <w:ind w:left="160" w:right="1" w:hanging="160"/>
              <w:jc w:val="center"/>
              <w:rPr>
                <w:rFonts w:ascii="Arial" w:hAnsi="Arial" w:cs="Arial"/>
                <w:sz w:val="16"/>
                <w:szCs w:val="16"/>
              </w:rPr>
            </w:pPr>
            <w:r>
              <w:rPr>
                <w:rFonts w:ascii="Arial" w:hAnsi="Arial" w:cs="Arial"/>
                <w:sz w:val="16"/>
                <w:szCs w:val="16"/>
              </w:rPr>
              <w:t>52 (18.5)</w:t>
            </w:r>
            <w:r w:rsidR="006A3F48" w:rsidRPr="00D73341">
              <w:rPr>
                <w:rFonts w:ascii="Arial" w:hAnsi="Arial" w:cs="Arial"/>
                <w:sz w:val="16"/>
                <w:szCs w:val="16"/>
              </w:rPr>
              <w:t xml:space="preserve">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w:t>
            </w:r>
            <w:r w:rsidR="006D6B65">
              <w:rPr>
                <w:rFonts w:ascii="Arial" w:hAnsi="Arial" w:cs="Arial"/>
                <w:sz w:val="16"/>
                <w:szCs w:val="16"/>
              </w:rPr>
              <w:t>59 (20.9)</w:t>
            </w:r>
            <w:r w:rsidRPr="00D73341">
              <w:rPr>
                <w:rFonts w:ascii="Arial" w:hAnsi="Arial" w:cs="Arial"/>
                <w:sz w:val="16"/>
                <w:szCs w:val="16"/>
              </w:rPr>
              <w:t xml:space="preserve">               </w:t>
            </w:r>
          </w:p>
        </w:tc>
        <w:tc>
          <w:tcPr>
            <w:tcW w:w="1879" w:type="dxa"/>
            <w:tcBorders>
              <w:top w:val="nil"/>
              <w:left w:val="nil"/>
              <w:bottom w:val="single" w:sz="2" w:space="0" w:color="auto"/>
              <w:right w:val="single" w:sz="4" w:space="0" w:color="auto"/>
            </w:tcBorders>
          </w:tcPr>
          <w:p w:rsidR="006A3F48" w:rsidRPr="00D73341" w:rsidRDefault="006D6B65" w:rsidP="00B62647">
            <w:pPr>
              <w:widowControl w:val="0"/>
              <w:autoSpaceDE w:val="0"/>
              <w:autoSpaceDN w:val="0"/>
              <w:adjustRightInd w:val="0"/>
              <w:spacing w:before="60" w:after="60"/>
              <w:ind w:left="160" w:right="1" w:hanging="160"/>
              <w:jc w:val="center"/>
              <w:rPr>
                <w:rFonts w:ascii="Arial" w:hAnsi="Arial" w:cs="Arial"/>
                <w:sz w:val="16"/>
                <w:szCs w:val="16"/>
              </w:rPr>
            </w:pPr>
            <w:r>
              <w:rPr>
                <w:rFonts w:ascii="Arial" w:hAnsi="Arial" w:cs="Arial"/>
                <w:sz w:val="16"/>
                <w:szCs w:val="16"/>
              </w:rPr>
              <w:t>111(19.7)</w:t>
            </w:r>
            <w:r w:rsidR="006A3F48" w:rsidRPr="00D73341">
              <w:rPr>
                <w:rFonts w:ascii="Arial" w:hAnsi="Arial" w:cs="Arial"/>
                <w:sz w:val="16"/>
                <w:szCs w:val="16"/>
              </w:rPr>
              <w:t xml:space="preserve">               </w:t>
            </w:r>
          </w:p>
        </w:tc>
      </w:tr>
      <w:tr w:rsidR="006A3F48" w:rsidRPr="00D73341" w:rsidTr="00FD75D8">
        <w:trPr>
          <w:cantSplit/>
          <w:jc w:val="center"/>
        </w:trPr>
        <w:tc>
          <w:tcPr>
            <w:tcW w:w="8640" w:type="dxa"/>
            <w:gridSpan w:val="4"/>
            <w:tcBorders>
              <w:top w:val="nil"/>
              <w:left w:val="single" w:sz="4" w:space="0" w:color="auto"/>
              <w:bottom w:val="single" w:sz="2" w:space="0" w:color="auto"/>
              <w:right w:val="single" w:sz="4" w:space="0" w:color="auto"/>
            </w:tcBorders>
          </w:tcPr>
          <w:p w:rsidR="006A3F48" w:rsidRPr="006D6B65" w:rsidRDefault="006A3F48" w:rsidP="00B62647">
            <w:pPr>
              <w:widowControl w:val="0"/>
              <w:autoSpaceDE w:val="0"/>
              <w:autoSpaceDN w:val="0"/>
              <w:adjustRightInd w:val="0"/>
              <w:spacing w:before="60" w:after="60"/>
              <w:ind w:left="160" w:right="1" w:hanging="160"/>
              <w:rPr>
                <w:rFonts w:ascii="Arial" w:hAnsi="Arial" w:cs="Arial"/>
                <w:sz w:val="16"/>
                <w:szCs w:val="16"/>
              </w:rPr>
            </w:pPr>
            <w:r w:rsidRPr="006D6B65">
              <w:rPr>
                <w:rFonts w:ascii="Arial" w:hAnsi="Arial" w:cs="Arial"/>
                <w:b/>
                <w:bCs/>
                <w:sz w:val="16"/>
                <w:szCs w:val="16"/>
              </w:rPr>
              <w:t xml:space="preserve">Stratum n (%)                                                                                       </w:t>
            </w:r>
            <w:r w:rsidRPr="006D6B65">
              <w:rPr>
                <w:rFonts w:ascii="Arial" w:hAnsi="Arial" w:cs="Arial"/>
                <w:sz w:val="16"/>
                <w:szCs w:val="16"/>
              </w:rPr>
              <w:t xml:space="preserve">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Screening HIV RNA≤50,000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w:t>
            </w:r>
            <w:r w:rsidR="006D6B65">
              <w:rPr>
                <w:rFonts w:ascii="Arial" w:hAnsi="Arial" w:cs="Arial"/>
                <w:sz w:val="16"/>
                <w:szCs w:val="16"/>
              </w:rPr>
              <w:t>75 (26.7)</w:t>
            </w:r>
            <w:r w:rsidRPr="00D73341">
              <w:rPr>
                <w:rFonts w:ascii="Arial" w:hAnsi="Arial" w:cs="Arial"/>
                <w:sz w:val="16"/>
                <w:szCs w:val="16"/>
              </w:rPr>
              <w:t xml:space="preserve">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80 (28.4)               </w:t>
            </w:r>
          </w:p>
        </w:tc>
        <w:tc>
          <w:tcPr>
            <w:tcW w:w="1879" w:type="dxa"/>
            <w:tcBorders>
              <w:top w:val="nil"/>
              <w:left w:val="nil"/>
              <w:bottom w:val="nil"/>
              <w:right w:val="single" w:sz="4" w:space="0" w:color="auto"/>
            </w:tcBorders>
          </w:tcPr>
          <w:p w:rsidR="006A3F48" w:rsidRPr="00D73341" w:rsidRDefault="006D6B65" w:rsidP="00B62647">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155 (27.5)</w:t>
            </w:r>
            <w:r w:rsidR="006A3F48" w:rsidRPr="00D73341">
              <w:rPr>
                <w:rFonts w:ascii="Arial" w:hAnsi="Arial" w:cs="Arial"/>
                <w:sz w:val="16"/>
                <w:szCs w:val="16"/>
              </w:rPr>
              <w:t xml:space="preserve">              </w:t>
            </w:r>
          </w:p>
        </w:tc>
      </w:tr>
      <w:tr w:rsidR="006A3F48" w:rsidRPr="00D73341" w:rsidTr="00FD75D8">
        <w:trPr>
          <w:cantSplit/>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sz w:val="16"/>
                <w:szCs w:val="16"/>
              </w:rPr>
              <w:t>Hepatitis B or C Positive</w:t>
            </w:r>
            <w:r w:rsidRPr="00D73341">
              <w:rPr>
                <w:rFonts w:ascii="Arial" w:hAnsi="Arial" w:cs="Arial"/>
                <w:sz w:val="16"/>
                <w:szCs w:val="16"/>
                <w:vertAlign w:val="superscript"/>
              </w:rPr>
              <w:t>‡</w:t>
            </w:r>
            <w:r w:rsidRPr="00D73341">
              <w:rPr>
                <w:rFonts w:ascii="Arial" w:hAnsi="Arial" w:cs="Arial"/>
                <w:sz w:val="16"/>
                <w:szCs w:val="16"/>
              </w:rPr>
              <w:t xml:space="preserve">                                                           </w:t>
            </w:r>
          </w:p>
        </w:tc>
        <w:tc>
          <w:tcPr>
            <w:tcW w:w="1878" w:type="dxa"/>
            <w:tcBorders>
              <w:top w:val="nil"/>
              <w:left w:val="nil"/>
              <w:bottom w:val="single" w:sz="2" w:space="0" w:color="auto"/>
              <w:right w:val="single" w:sz="2" w:space="0" w:color="auto"/>
            </w:tcBorders>
          </w:tcPr>
          <w:p w:rsidR="006A3F48" w:rsidRPr="00D73341" w:rsidRDefault="006D6B65" w:rsidP="00B62647">
            <w:pPr>
              <w:widowControl w:val="0"/>
              <w:autoSpaceDE w:val="0"/>
              <w:autoSpaceDN w:val="0"/>
              <w:adjustRightInd w:val="0"/>
              <w:spacing w:before="60" w:after="60"/>
              <w:ind w:left="160" w:right="1" w:hanging="160"/>
              <w:jc w:val="center"/>
              <w:rPr>
                <w:rFonts w:ascii="Arial" w:hAnsi="Arial" w:cs="Arial"/>
                <w:sz w:val="16"/>
                <w:szCs w:val="16"/>
              </w:rPr>
            </w:pPr>
            <w:r>
              <w:rPr>
                <w:rFonts w:ascii="Arial" w:hAnsi="Arial" w:cs="Arial"/>
                <w:sz w:val="16"/>
                <w:szCs w:val="16"/>
              </w:rPr>
              <w:t>18 (6.4)</w:t>
            </w:r>
            <w:r w:rsidR="006A3F48" w:rsidRPr="00D73341">
              <w:rPr>
                <w:rFonts w:ascii="Arial" w:hAnsi="Arial" w:cs="Arial"/>
                <w:sz w:val="16"/>
                <w:szCs w:val="16"/>
              </w:rPr>
              <w:t xml:space="preserve">                </w:t>
            </w:r>
          </w:p>
        </w:tc>
        <w:tc>
          <w:tcPr>
            <w:tcW w:w="1878" w:type="dxa"/>
            <w:tcBorders>
              <w:top w:val="nil"/>
              <w:left w:val="nil"/>
              <w:bottom w:val="single" w:sz="2" w:space="0" w:color="auto"/>
              <w:right w:val="single" w:sz="2" w:space="0" w:color="auto"/>
            </w:tcBorders>
          </w:tcPr>
          <w:p w:rsidR="006A3F48" w:rsidRPr="00D73341" w:rsidRDefault="006D6B65" w:rsidP="00B62647">
            <w:pPr>
              <w:widowControl w:val="0"/>
              <w:autoSpaceDE w:val="0"/>
              <w:autoSpaceDN w:val="0"/>
              <w:adjustRightInd w:val="0"/>
              <w:spacing w:before="60" w:after="60"/>
              <w:ind w:left="160" w:right="1" w:hanging="160"/>
              <w:jc w:val="center"/>
              <w:rPr>
                <w:rFonts w:ascii="Arial" w:hAnsi="Arial" w:cs="Arial"/>
                <w:sz w:val="16"/>
                <w:szCs w:val="16"/>
              </w:rPr>
            </w:pPr>
            <w:r>
              <w:rPr>
                <w:rFonts w:ascii="Arial" w:hAnsi="Arial" w:cs="Arial"/>
                <w:sz w:val="16"/>
                <w:szCs w:val="16"/>
              </w:rPr>
              <w:t>16 (5.7)</w:t>
            </w:r>
            <w:r w:rsidR="006A3F48" w:rsidRPr="00D73341">
              <w:rPr>
                <w:rFonts w:ascii="Arial" w:hAnsi="Arial" w:cs="Arial"/>
                <w:sz w:val="16"/>
                <w:szCs w:val="16"/>
              </w:rPr>
              <w:t xml:space="preserve">                </w:t>
            </w:r>
          </w:p>
        </w:tc>
        <w:tc>
          <w:tcPr>
            <w:tcW w:w="1879" w:type="dxa"/>
            <w:tcBorders>
              <w:top w:val="nil"/>
              <w:left w:val="nil"/>
              <w:bottom w:val="single" w:sz="2" w:space="0" w:color="auto"/>
              <w:right w:val="single" w:sz="4" w:space="0" w:color="auto"/>
            </w:tcBorders>
          </w:tcPr>
          <w:p w:rsidR="006A3F48" w:rsidRPr="00D73341" w:rsidRDefault="006D6B65" w:rsidP="00B62647">
            <w:pPr>
              <w:widowControl w:val="0"/>
              <w:autoSpaceDE w:val="0"/>
              <w:autoSpaceDN w:val="0"/>
              <w:adjustRightInd w:val="0"/>
              <w:spacing w:before="60" w:after="60"/>
              <w:ind w:left="160" w:right="1" w:hanging="160"/>
              <w:jc w:val="center"/>
              <w:rPr>
                <w:rFonts w:ascii="Arial" w:hAnsi="Arial" w:cs="Arial"/>
                <w:sz w:val="16"/>
                <w:szCs w:val="16"/>
              </w:rPr>
            </w:pPr>
            <w:r>
              <w:rPr>
                <w:rFonts w:ascii="Arial" w:hAnsi="Arial" w:cs="Arial"/>
                <w:sz w:val="16"/>
                <w:szCs w:val="16"/>
              </w:rPr>
              <w:t>34 (6.0)</w:t>
            </w:r>
            <w:r w:rsidR="006A3F48" w:rsidRPr="00D73341">
              <w:rPr>
                <w:rFonts w:ascii="Arial" w:hAnsi="Arial" w:cs="Arial"/>
                <w:sz w:val="16"/>
                <w:szCs w:val="16"/>
              </w:rPr>
              <w:t xml:space="preserve">                </w:t>
            </w:r>
          </w:p>
        </w:tc>
      </w:tr>
      <w:tr w:rsidR="006A3F48" w:rsidRPr="00D73341" w:rsidTr="00FD75D8">
        <w:trPr>
          <w:cantSplit/>
          <w:jc w:val="center"/>
        </w:trPr>
        <w:tc>
          <w:tcPr>
            <w:tcW w:w="8640" w:type="dxa"/>
            <w:gridSpan w:val="4"/>
            <w:tcBorders>
              <w:top w:val="nil"/>
              <w:left w:val="single" w:sz="4" w:space="0" w:color="auto"/>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b/>
                <w:bCs/>
                <w:sz w:val="16"/>
                <w:szCs w:val="16"/>
              </w:rPr>
              <w:t xml:space="preserve">Viral Subtype n (%)                                                                                 </w:t>
            </w:r>
            <w:r w:rsidRPr="00D73341">
              <w:rPr>
                <w:rFonts w:ascii="Arial" w:hAnsi="Arial" w:cs="Arial"/>
                <w:sz w:val="16"/>
                <w:szCs w:val="16"/>
              </w:rPr>
              <w:t xml:space="preserve">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Clade B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219 (77.9)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230 (81.6)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449 (79.8)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Non-Clade B</w:t>
            </w:r>
            <w:r w:rsidRPr="00D73341">
              <w:rPr>
                <w:rFonts w:ascii="Arial" w:hAnsi="Arial" w:cs="Arial"/>
                <w:sz w:val="16"/>
                <w:szCs w:val="16"/>
                <w:vertAlign w:val="superscript"/>
              </w:rPr>
              <w:t>§</w:t>
            </w:r>
            <w:r w:rsidRPr="00D73341">
              <w:rPr>
                <w:rFonts w:ascii="Arial" w:hAnsi="Arial" w:cs="Arial"/>
                <w:sz w:val="16"/>
                <w:szCs w:val="16"/>
              </w:rPr>
              <w:t xml:space="preserve">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59 (21.0)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47 (16.7)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106 (18.8)              </w:t>
            </w:r>
          </w:p>
        </w:tc>
      </w:tr>
      <w:tr w:rsidR="006A3F48" w:rsidRPr="00D73341" w:rsidTr="00FD75D8">
        <w:trPr>
          <w:cantSplit/>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sz w:val="16"/>
                <w:szCs w:val="16"/>
              </w:rPr>
              <w:t xml:space="preserve">Missing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3 (1.1)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5 (1.8)                 </w:t>
            </w:r>
          </w:p>
        </w:tc>
        <w:tc>
          <w:tcPr>
            <w:tcW w:w="1879" w:type="dxa"/>
            <w:tcBorders>
              <w:top w:val="nil"/>
              <w:left w:val="nil"/>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8 (1.4)                 </w:t>
            </w:r>
          </w:p>
        </w:tc>
      </w:tr>
      <w:tr w:rsidR="006A3F48" w:rsidRPr="00D73341" w:rsidTr="00FD75D8">
        <w:trPr>
          <w:cantSplit/>
          <w:jc w:val="center"/>
        </w:trPr>
        <w:tc>
          <w:tcPr>
            <w:tcW w:w="8640" w:type="dxa"/>
            <w:gridSpan w:val="4"/>
            <w:tcBorders>
              <w:top w:val="nil"/>
              <w:left w:val="single" w:sz="4" w:space="0" w:color="auto"/>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lang w:val="pt-BR"/>
              </w:rPr>
            </w:pPr>
            <w:r w:rsidRPr="00D73341">
              <w:rPr>
                <w:rFonts w:ascii="Arial" w:hAnsi="Arial" w:cs="Arial"/>
                <w:b/>
                <w:bCs/>
                <w:sz w:val="16"/>
                <w:szCs w:val="16"/>
                <w:lang w:val="pt-BR"/>
              </w:rPr>
              <w:t>Baseline Plasma HIV RNA</w:t>
            </w:r>
            <w:r w:rsidRPr="00D73341">
              <w:rPr>
                <w:rFonts w:ascii="Arial" w:hAnsi="Arial" w:cs="Arial"/>
                <w:b/>
                <w:bCs/>
                <w:sz w:val="16"/>
                <w:szCs w:val="16"/>
                <w:vertAlign w:val="superscript"/>
                <w:lang w:val="pt-BR"/>
              </w:rPr>
              <w:t>†</w:t>
            </w:r>
            <w:r w:rsidRPr="00D73341">
              <w:rPr>
                <w:rFonts w:ascii="Arial" w:hAnsi="Arial" w:cs="Arial"/>
                <w:b/>
                <w:bCs/>
                <w:sz w:val="16"/>
                <w:szCs w:val="16"/>
                <w:lang w:val="pt-BR"/>
              </w:rPr>
              <w:t xml:space="preserve"> n (%)                                                        </w:t>
            </w:r>
            <w:r w:rsidRPr="00D73341">
              <w:rPr>
                <w:rFonts w:ascii="Arial" w:hAnsi="Arial" w:cs="Arial"/>
                <w:sz w:val="16"/>
                <w:szCs w:val="16"/>
                <w:lang w:val="pt-BR"/>
              </w:rPr>
              <w:t xml:space="preserve">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≤50,000 copies/mL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79 (28.1)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84 (29.8)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163 (29.0)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&gt;50,000 copies/mL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202 (71.9)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198 (70.2)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400 (71.0)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 xml:space="preserve">≤100,000 copies/mL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127 (45.2)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139 (49.3)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266 (47.2)              </w:t>
            </w:r>
          </w:p>
        </w:tc>
      </w:tr>
      <w:tr w:rsidR="006A3F48" w:rsidRPr="00D73341" w:rsidTr="00FD75D8">
        <w:trPr>
          <w:cantSplit/>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sz w:val="16"/>
                <w:szCs w:val="16"/>
              </w:rPr>
              <w:lastRenderedPageBreak/>
              <w:t xml:space="preserve">&gt;100,000 copies/mL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154 (54.8)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143 (50.7)              </w:t>
            </w:r>
          </w:p>
        </w:tc>
        <w:tc>
          <w:tcPr>
            <w:tcW w:w="1879" w:type="dxa"/>
            <w:tcBorders>
              <w:top w:val="nil"/>
              <w:left w:val="nil"/>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jc w:val="center"/>
              <w:rPr>
                <w:rFonts w:ascii="Arial" w:hAnsi="Arial" w:cs="Arial"/>
                <w:sz w:val="16"/>
                <w:szCs w:val="16"/>
              </w:rPr>
            </w:pPr>
            <w:r w:rsidRPr="00D73341">
              <w:rPr>
                <w:rFonts w:ascii="Arial" w:hAnsi="Arial" w:cs="Arial"/>
                <w:sz w:val="16"/>
                <w:szCs w:val="16"/>
              </w:rPr>
              <w:t xml:space="preserve"> 297 (52.8)              </w:t>
            </w:r>
          </w:p>
        </w:tc>
      </w:tr>
      <w:tr w:rsidR="006A3F48" w:rsidRPr="00D73341" w:rsidTr="00FD75D8">
        <w:trPr>
          <w:cantSplit/>
          <w:jc w:val="center"/>
        </w:trPr>
        <w:tc>
          <w:tcPr>
            <w:tcW w:w="8640" w:type="dxa"/>
            <w:gridSpan w:val="4"/>
            <w:tcBorders>
              <w:top w:val="nil"/>
              <w:left w:val="single" w:sz="4" w:space="0" w:color="auto"/>
              <w:bottom w:val="single" w:sz="2" w:space="0" w:color="auto"/>
              <w:right w:val="single" w:sz="4" w:space="0" w:color="auto"/>
            </w:tcBorders>
          </w:tcPr>
          <w:p w:rsidR="006A3F48" w:rsidRPr="00D73341" w:rsidRDefault="006A3F48" w:rsidP="00B62647">
            <w:pPr>
              <w:widowControl w:val="0"/>
              <w:autoSpaceDE w:val="0"/>
              <w:autoSpaceDN w:val="0"/>
              <w:adjustRightInd w:val="0"/>
              <w:spacing w:before="60" w:after="60"/>
              <w:ind w:left="160" w:right="1" w:hanging="160"/>
              <w:rPr>
                <w:rFonts w:ascii="Arial" w:hAnsi="Arial" w:cs="Arial"/>
                <w:sz w:val="16"/>
                <w:szCs w:val="16"/>
              </w:rPr>
            </w:pPr>
            <w:r w:rsidRPr="00D73341">
              <w:rPr>
                <w:rFonts w:ascii="Arial" w:hAnsi="Arial" w:cs="Arial"/>
                <w:b/>
                <w:bCs/>
                <w:sz w:val="16"/>
                <w:szCs w:val="16"/>
              </w:rPr>
              <w:t xml:space="preserve">Baseline CD4 Cell Counts n (%)                                                                    </w:t>
            </w:r>
            <w:r w:rsidRPr="00D73341">
              <w:rPr>
                <w:rFonts w:ascii="Arial" w:hAnsi="Arial" w:cs="Arial"/>
                <w:sz w:val="16"/>
                <w:szCs w:val="16"/>
              </w:rPr>
              <w:t xml:space="preserve">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≤50 cells/mm</w:t>
            </w:r>
            <w:r w:rsidRPr="00D73341">
              <w:rPr>
                <w:rFonts w:ascii="Arial" w:hAnsi="Arial" w:cs="Arial"/>
                <w:sz w:val="16"/>
                <w:szCs w:val="16"/>
                <w:vertAlign w:val="superscript"/>
              </w:rPr>
              <w:t>3</w:t>
            </w:r>
            <w:r w:rsidRPr="00D73341">
              <w:rPr>
                <w:rFonts w:ascii="Arial" w:hAnsi="Arial" w:cs="Arial"/>
                <w:sz w:val="16"/>
                <w:szCs w:val="16"/>
              </w:rPr>
              <w:t xml:space="preserve">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27 (9.6)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31 (11.0)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58 (10.3)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&gt;50 cells/mm</w:t>
            </w:r>
            <w:r w:rsidRPr="00D73341">
              <w:rPr>
                <w:rFonts w:ascii="Arial" w:hAnsi="Arial" w:cs="Arial"/>
                <w:sz w:val="16"/>
                <w:szCs w:val="16"/>
                <w:vertAlign w:val="superscript"/>
              </w:rPr>
              <w:t>3</w:t>
            </w:r>
            <w:r w:rsidRPr="00D73341">
              <w:rPr>
                <w:rFonts w:ascii="Arial" w:hAnsi="Arial" w:cs="Arial"/>
                <w:sz w:val="16"/>
                <w:szCs w:val="16"/>
              </w:rPr>
              <w:t xml:space="preserve"> and ≤200 cells/mm</w:t>
            </w:r>
            <w:r w:rsidRPr="00D73341">
              <w:rPr>
                <w:rFonts w:ascii="Arial" w:hAnsi="Arial" w:cs="Arial"/>
                <w:sz w:val="16"/>
                <w:szCs w:val="16"/>
                <w:vertAlign w:val="superscript"/>
              </w:rPr>
              <w:t>3</w:t>
            </w:r>
            <w:r w:rsidRPr="00D73341">
              <w:rPr>
                <w:rFonts w:ascii="Arial" w:hAnsi="Arial" w:cs="Arial"/>
                <w:sz w:val="16"/>
                <w:szCs w:val="16"/>
              </w:rPr>
              <w:t xml:space="preserve">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104 (37.0)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105 (37.2)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209 (37.1)              </w:t>
            </w:r>
          </w:p>
        </w:tc>
      </w:tr>
      <w:tr w:rsidR="006A3F48" w:rsidRPr="00D73341" w:rsidTr="00FD75D8">
        <w:trPr>
          <w:cantSplit/>
          <w:jc w:val="center"/>
        </w:trPr>
        <w:tc>
          <w:tcPr>
            <w:tcW w:w="3005" w:type="dxa"/>
            <w:tcBorders>
              <w:top w:val="nil"/>
              <w:left w:val="single" w:sz="4" w:space="0" w:color="auto"/>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rPr>
                <w:rFonts w:ascii="Arial" w:hAnsi="Arial" w:cs="Arial"/>
                <w:sz w:val="16"/>
                <w:szCs w:val="16"/>
              </w:rPr>
            </w:pPr>
            <w:r w:rsidRPr="00D73341">
              <w:rPr>
                <w:rFonts w:ascii="Arial" w:hAnsi="Arial" w:cs="Arial"/>
                <w:sz w:val="16"/>
                <w:szCs w:val="16"/>
              </w:rPr>
              <w:t>&gt;200 cells/mm</w:t>
            </w:r>
            <w:r w:rsidRPr="00D73341">
              <w:rPr>
                <w:rFonts w:ascii="Arial" w:hAnsi="Arial" w:cs="Arial"/>
                <w:sz w:val="16"/>
                <w:szCs w:val="16"/>
                <w:vertAlign w:val="superscript"/>
              </w:rPr>
              <w:t>3</w:t>
            </w:r>
            <w:r w:rsidRPr="00D73341">
              <w:rPr>
                <w:rFonts w:ascii="Arial" w:hAnsi="Arial" w:cs="Arial"/>
                <w:sz w:val="16"/>
                <w:szCs w:val="16"/>
              </w:rPr>
              <w:t xml:space="preserve">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150 (53.4)              </w:t>
            </w:r>
          </w:p>
        </w:tc>
        <w:tc>
          <w:tcPr>
            <w:tcW w:w="1878" w:type="dxa"/>
            <w:tcBorders>
              <w:top w:val="nil"/>
              <w:left w:val="nil"/>
              <w:bottom w:val="nil"/>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145 (51.4)              </w:t>
            </w:r>
          </w:p>
        </w:tc>
        <w:tc>
          <w:tcPr>
            <w:tcW w:w="1879" w:type="dxa"/>
            <w:tcBorders>
              <w:top w:val="nil"/>
              <w:left w:val="nil"/>
              <w:bottom w:val="nil"/>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295 (52.4)              </w:t>
            </w:r>
          </w:p>
        </w:tc>
      </w:tr>
      <w:tr w:rsidR="006A3F48" w:rsidRPr="00D73341" w:rsidTr="00FD75D8">
        <w:trPr>
          <w:cantSplit/>
          <w:jc w:val="center"/>
        </w:trPr>
        <w:tc>
          <w:tcPr>
            <w:tcW w:w="3005" w:type="dxa"/>
            <w:tcBorders>
              <w:top w:val="nil"/>
              <w:left w:val="single" w:sz="4" w:space="0" w:color="auto"/>
              <w:bottom w:val="single" w:sz="2" w:space="0" w:color="auto"/>
              <w:right w:val="single" w:sz="2" w:space="0" w:color="auto"/>
            </w:tcBorders>
          </w:tcPr>
          <w:p w:rsidR="006A3F48" w:rsidRPr="00D73341" w:rsidRDefault="006A3F48" w:rsidP="00B62647">
            <w:pPr>
              <w:widowControl w:val="0"/>
              <w:autoSpaceDE w:val="0"/>
              <w:autoSpaceDN w:val="0"/>
              <w:adjustRightInd w:val="0"/>
              <w:spacing w:before="15" w:after="15"/>
              <w:ind w:left="12" w:right="1"/>
              <w:rPr>
                <w:rFonts w:ascii="Arial" w:hAnsi="Arial" w:cs="Arial"/>
                <w:sz w:val="16"/>
                <w:szCs w:val="16"/>
              </w:rPr>
            </w:pPr>
            <w:r>
              <w:rPr>
                <w:rFonts w:ascii="Arial" w:hAnsi="Arial" w:cs="Arial"/>
                <w:sz w:val="16"/>
                <w:szCs w:val="16"/>
              </w:rPr>
              <w:t>M</w:t>
            </w:r>
            <w:r w:rsidRPr="00D73341">
              <w:rPr>
                <w:rFonts w:ascii="Arial" w:hAnsi="Arial" w:cs="Arial"/>
                <w:sz w:val="16"/>
                <w:szCs w:val="16"/>
              </w:rPr>
              <w:t xml:space="preserve">issing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0 (0.0)                 </w:t>
            </w:r>
          </w:p>
        </w:tc>
        <w:tc>
          <w:tcPr>
            <w:tcW w:w="1878" w:type="dxa"/>
            <w:tcBorders>
              <w:top w:val="nil"/>
              <w:left w:val="nil"/>
              <w:bottom w:val="single" w:sz="2" w:space="0" w:color="auto"/>
              <w:right w:val="single" w:sz="2"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 (0.4)                 </w:t>
            </w:r>
          </w:p>
        </w:tc>
        <w:tc>
          <w:tcPr>
            <w:tcW w:w="1879" w:type="dxa"/>
            <w:tcBorders>
              <w:top w:val="nil"/>
              <w:left w:val="nil"/>
              <w:bottom w:val="single" w:sz="2" w:space="0" w:color="auto"/>
              <w:right w:val="single" w:sz="4" w:space="0" w:color="auto"/>
            </w:tcBorders>
          </w:tcPr>
          <w:p w:rsidR="006A3F48" w:rsidRPr="00D73341" w:rsidRDefault="006A3F48" w:rsidP="00B62647">
            <w:pPr>
              <w:widowControl w:val="0"/>
              <w:autoSpaceDE w:val="0"/>
              <w:autoSpaceDN w:val="0"/>
              <w:adjustRightInd w:val="0"/>
              <w:spacing w:before="15" w:after="15"/>
              <w:ind w:left="160" w:right="1" w:hanging="160"/>
              <w:jc w:val="center"/>
              <w:rPr>
                <w:rFonts w:ascii="Arial" w:hAnsi="Arial" w:cs="Arial"/>
                <w:sz w:val="16"/>
                <w:szCs w:val="16"/>
              </w:rPr>
            </w:pPr>
            <w:r w:rsidRPr="00D73341">
              <w:rPr>
                <w:rFonts w:ascii="Arial" w:hAnsi="Arial" w:cs="Arial"/>
                <w:sz w:val="16"/>
                <w:szCs w:val="16"/>
              </w:rPr>
              <w:t xml:space="preserve"> 1 (0.2)                 </w:t>
            </w:r>
          </w:p>
        </w:tc>
      </w:tr>
      <w:tr w:rsidR="006A3F48" w:rsidRPr="00D73341" w:rsidTr="00FD75D8">
        <w:trPr>
          <w:cantSplit/>
          <w:jc w:val="center"/>
        </w:trPr>
        <w:tc>
          <w:tcPr>
            <w:tcW w:w="8640" w:type="dxa"/>
            <w:gridSpan w:val="4"/>
            <w:tcBorders>
              <w:top w:val="nil"/>
              <w:left w:val="single" w:sz="4" w:space="0" w:color="auto"/>
              <w:bottom w:val="double" w:sz="4" w:space="0" w:color="auto"/>
              <w:right w:val="single" w:sz="4" w:space="0" w:color="auto"/>
            </w:tcBorders>
          </w:tcPr>
          <w:p w:rsidR="006A3F48" w:rsidRPr="00D73341" w:rsidRDefault="006A3F48" w:rsidP="00B62647">
            <w:pPr>
              <w:widowControl w:val="0"/>
              <w:autoSpaceDE w:val="0"/>
              <w:autoSpaceDN w:val="0"/>
              <w:adjustRightInd w:val="0"/>
              <w:spacing w:before="30" w:after="30"/>
              <w:ind w:left="160" w:right="1" w:hanging="160"/>
              <w:rPr>
                <w:rFonts w:ascii="Arial" w:hAnsi="Arial" w:cs="Arial"/>
                <w:sz w:val="16"/>
                <w:szCs w:val="16"/>
              </w:rPr>
            </w:pPr>
            <w:r w:rsidRPr="00D73341">
              <w:rPr>
                <w:rFonts w:ascii="Arial" w:hAnsi="Arial" w:cs="Arial"/>
                <w:sz w:val="16"/>
                <w:szCs w:val="16"/>
                <w:vertAlign w:val="superscript"/>
              </w:rPr>
              <w:t>†</w:t>
            </w:r>
            <w:r w:rsidRPr="00D73341">
              <w:rPr>
                <w:rFonts w:ascii="Arial" w:hAnsi="Arial" w:cs="Arial"/>
                <w:sz w:val="16"/>
                <w:szCs w:val="16"/>
              </w:rPr>
              <w:t>Patients with missing results excluded.</w:t>
            </w:r>
          </w:p>
          <w:p w:rsidR="006A3F48" w:rsidRPr="00D73341" w:rsidRDefault="006A3F48" w:rsidP="00B62647">
            <w:pPr>
              <w:widowControl w:val="0"/>
              <w:autoSpaceDE w:val="0"/>
              <w:autoSpaceDN w:val="0"/>
              <w:adjustRightInd w:val="0"/>
              <w:spacing w:before="30" w:after="30"/>
              <w:ind w:left="160" w:right="1" w:hanging="160"/>
              <w:rPr>
                <w:rFonts w:ascii="Arial" w:hAnsi="Arial" w:cs="Arial"/>
                <w:sz w:val="16"/>
                <w:szCs w:val="16"/>
              </w:rPr>
            </w:pPr>
            <w:r w:rsidRPr="00D73341">
              <w:rPr>
                <w:rFonts w:ascii="Arial" w:hAnsi="Arial" w:cs="Arial"/>
                <w:sz w:val="16"/>
                <w:szCs w:val="16"/>
                <w:vertAlign w:val="superscript"/>
              </w:rPr>
              <w:t>‡</w:t>
            </w:r>
            <w:r w:rsidRPr="00D73341">
              <w:rPr>
                <w:rFonts w:ascii="Arial" w:hAnsi="Arial" w:cs="Arial"/>
                <w:sz w:val="16"/>
                <w:szCs w:val="16"/>
              </w:rPr>
              <w:t>Evidence of hepatitis B surface antigen or evidence of HCV RNA by polymerase chain reaction (PCR) quantitative test for hepatitis C Virus.</w:t>
            </w:r>
          </w:p>
          <w:p w:rsidR="006A3F48" w:rsidRPr="00D73341" w:rsidRDefault="006A3F48" w:rsidP="00B62647">
            <w:pPr>
              <w:autoSpaceDE w:val="0"/>
              <w:autoSpaceDN w:val="0"/>
              <w:adjustRightInd w:val="0"/>
              <w:rPr>
                <w:rFonts w:ascii="Arial" w:hAnsi="Arial" w:cs="Arial"/>
                <w:sz w:val="16"/>
                <w:szCs w:val="16"/>
              </w:rPr>
            </w:pPr>
            <w:r w:rsidRPr="00D73341">
              <w:rPr>
                <w:rFonts w:ascii="Arial" w:hAnsi="Arial" w:cs="Arial"/>
                <w:sz w:val="16"/>
                <w:szCs w:val="16"/>
                <w:vertAlign w:val="superscript"/>
              </w:rPr>
              <w:t>§</w:t>
            </w:r>
            <w:r w:rsidRPr="00D73341">
              <w:rPr>
                <w:rFonts w:ascii="Arial" w:hAnsi="Arial" w:cs="Arial"/>
                <w:sz w:val="16"/>
                <w:szCs w:val="16"/>
              </w:rPr>
              <w:t>Non-Clade B Subtypes (# of patients): Clade A (4), A/C (1), A/G (2), A1(1), AE (29), AG (12), BF (6), C (37), D (2), F (2), F1 (5), G (2), Complex (3)</w:t>
            </w:r>
          </w:p>
          <w:p w:rsidR="006A3F48" w:rsidRPr="00D73341" w:rsidRDefault="006A3F48" w:rsidP="00B62647">
            <w:pPr>
              <w:widowControl w:val="0"/>
              <w:autoSpaceDE w:val="0"/>
              <w:autoSpaceDN w:val="0"/>
              <w:adjustRightInd w:val="0"/>
              <w:spacing w:before="30" w:after="30"/>
              <w:ind w:left="160" w:right="1" w:hanging="160"/>
              <w:rPr>
                <w:rFonts w:ascii="Arial" w:hAnsi="Arial" w:cs="Arial"/>
                <w:sz w:val="16"/>
                <w:szCs w:val="16"/>
              </w:rPr>
            </w:pPr>
            <w:r w:rsidRPr="00D73341">
              <w:rPr>
                <w:rFonts w:ascii="Arial" w:hAnsi="Arial" w:cs="Arial"/>
                <w:sz w:val="16"/>
                <w:szCs w:val="16"/>
              </w:rPr>
              <w:t>Notes:</w:t>
            </w:r>
          </w:p>
          <w:p w:rsidR="006A3F48" w:rsidRPr="00D73341" w:rsidRDefault="006A3F48" w:rsidP="00B62647">
            <w:pPr>
              <w:widowControl w:val="0"/>
              <w:autoSpaceDE w:val="0"/>
              <w:autoSpaceDN w:val="0"/>
              <w:adjustRightInd w:val="0"/>
              <w:spacing w:before="30" w:after="30"/>
              <w:ind w:left="160" w:right="1" w:hanging="160"/>
              <w:rPr>
                <w:rFonts w:ascii="Arial" w:hAnsi="Arial" w:cs="Arial"/>
                <w:sz w:val="16"/>
                <w:szCs w:val="16"/>
              </w:rPr>
            </w:pPr>
            <w:r w:rsidRPr="00D73341">
              <w:rPr>
                <w:rFonts w:ascii="Arial" w:hAnsi="Arial" w:cs="Arial"/>
                <w:sz w:val="16"/>
                <w:szCs w:val="16"/>
              </w:rPr>
              <w:t>ISENTRESS and efavirenz were administered with emtricitabine (+) tenofovir.</w:t>
            </w:r>
          </w:p>
          <w:p w:rsidR="006A3F48" w:rsidRPr="00D73341" w:rsidRDefault="006A3F48" w:rsidP="00B62647">
            <w:pPr>
              <w:widowControl w:val="0"/>
              <w:autoSpaceDE w:val="0"/>
              <w:autoSpaceDN w:val="0"/>
              <w:adjustRightInd w:val="0"/>
              <w:spacing w:before="30" w:after="30"/>
              <w:ind w:left="160" w:right="1" w:hanging="160"/>
              <w:rPr>
                <w:rFonts w:ascii="Arial" w:hAnsi="Arial" w:cs="Arial"/>
                <w:sz w:val="16"/>
                <w:szCs w:val="16"/>
              </w:rPr>
            </w:pPr>
            <w:r w:rsidRPr="00D73341">
              <w:rPr>
                <w:rFonts w:ascii="Arial" w:hAnsi="Arial" w:cs="Arial"/>
                <w:sz w:val="16"/>
                <w:szCs w:val="16"/>
              </w:rPr>
              <w:t>N = Number of patients in each group.</w:t>
            </w:r>
          </w:p>
          <w:p w:rsidR="006A3F48" w:rsidRPr="00D73341" w:rsidRDefault="006A3F48" w:rsidP="00B62647">
            <w:pPr>
              <w:widowControl w:val="0"/>
              <w:autoSpaceDE w:val="0"/>
              <w:autoSpaceDN w:val="0"/>
              <w:adjustRightInd w:val="0"/>
              <w:spacing w:before="30" w:after="30"/>
              <w:ind w:left="160" w:right="1" w:hanging="160"/>
              <w:rPr>
                <w:rFonts w:ascii="Arial" w:hAnsi="Arial" w:cs="Arial"/>
                <w:sz w:val="16"/>
                <w:szCs w:val="16"/>
              </w:rPr>
            </w:pPr>
            <w:r w:rsidRPr="00D73341">
              <w:rPr>
                <w:rFonts w:ascii="Arial" w:hAnsi="Arial" w:cs="Arial"/>
                <w:sz w:val="16"/>
                <w:szCs w:val="16"/>
              </w:rPr>
              <w:t>n (%) = Number (percent) of patients in each sub-category.</w:t>
            </w:r>
          </w:p>
          <w:p w:rsidR="006A3F48" w:rsidRPr="00D73341" w:rsidRDefault="006A3F48" w:rsidP="00B62647">
            <w:pPr>
              <w:autoSpaceDE w:val="0"/>
              <w:autoSpaceDN w:val="0"/>
              <w:adjustRightInd w:val="0"/>
              <w:rPr>
                <w:rFonts w:ascii="Arial" w:hAnsi="Arial" w:cs="Arial"/>
                <w:sz w:val="16"/>
                <w:szCs w:val="16"/>
              </w:rPr>
            </w:pPr>
          </w:p>
        </w:tc>
      </w:tr>
    </w:tbl>
    <w:p w:rsidR="006A3F48" w:rsidRDefault="006D6B65" w:rsidP="00447F98">
      <w:pPr>
        <w:autoSpaceDE w:val="0"/>
        <w:autoSpaceDN w:val="0"/>
        <w:adjustRightInd w:val="0"/>
        <w:spacing w:before="120"/>
        <w:jc w:val="both"/>
        <w:rPr>
          <w:rFonts w:ascii="Arial" w:hAnsi="Arial" w:cs="Arial"/>
          <w:sz w:val="22"/>
          <w:szCs w:val="22"/>
        </w:rPr>
      </w:pPr>
      <w:r>
        <w:rPr>
          <w:rFonts w:ascii="Arial" w:hAnsi="Arial" w:cs="Arial"/>
          <w:sz w:val="22"/>
          <w:szCs w:val="22"/>
        </w:rPr>
        <w:t xml:space="preserve"> </w:t>
      </w:r>
      <w:r w:rsidR="006A3F48" w:rsidRPr="00D73341">
        <w:rPr>
          <w:rFonts w:ascii="Arial" w:hAnsi="Arial" w:cs="Arial"/>
          <w:sz w:val="22"/>
          <w:szCs w:val="22"/>
        </w:rPr>
        <w:t xml:space="preserve">Week 48 </w:t>
      </w:r>
      <w:r>
        <w:rPr>
          <w:rFonts w:ascii="Arial" w:hAnsi="Arial" w:cs="Arial"/>
          <w:sz w:val="22"/>
          <w:szCs w:val="22"/>
        </w:rPr>
        <w:t>and</w:t>
      </w:r>
      <w:r w:rsidRPr="006F502C">
        <w:rPr>
          <w:rFonts w:ascii="Arial" w:hAnsi="Arial" w:cs="Arial"/>
          <w:sz w:val="22"/>
          <w:szCs w:val="22"/>
        </w:rPr>
        <w:t xml:space="preserve"> </w:t>
      </w:r>
      <w:r w:rsidR="006034B4" w:rsidRPr="006F502C">
        <w:rPr>
          <w:rFonts w:ascii="Arial" w:hAnsi="Arial" w:cs="Arial"/>
          <w:sz w:val="22"/>
          <w:szCs w:val="22"/>
        </w:rPr>
        <w:t xml:space="preserve">156 </w:t>
      </w:r>
      <w:r w:rsidR="006A3F48" w:rsidRPr="006F502C">
        <w:rPr>
          <w:rFonts w:ascii="Arial" w:hAnsi="Arial" w:cs="Arial"/>
          <w:sz w:val="22"/>
          <w:szCs w:val="22"/>
        </w:rPr>
        <w:t>ou</w:t>
      </w:r>
      <w:r w:rsidR="006A3F48" w:rsidRPr="00D73341">
        <w:rPr>
          <w:rFonts w:ascii="Arial" w:hAnsi="Arial" w:cs="Arial"/>
          <w:sz w:val="22"/>
          <w:szCs w:val="22"/>
        </w:rPr>
        <w:t xml:space="preserve">tcomes in STARTMRK are shown in Table </w:t>
      </w:r>
      <w:r w:rsidR="00750FB1">
        <w:rPr>
          <w:rFonts w:ascii="Arial" w:hAnsi="Arial" w:cs="Arial"/>
          <w:sz w:val="22"/>
          <w:szCs w:val="22"/>
        </w:rPr>
        <w:t>7</w:t>
      </w:r>
      <w:r w:rsidR="006A3F48" w:rsidRPr="00D73341">
        <w:rPr>
          <w:rFonts w:ascii="Arial" w:hAnsi="Arial" w:cs="Arial"/>
          <w:sz w:val="22"/>
          <w:szCs w:val="22"/>
        </w:rPr>
        <w:t xml:space="preserve">. </w:t>
      </w:r>
    </w:p>
    <w:p w:rsidR="008F7885" w:rsidRPr="006F502C" w:rsidRDefault="008F7885" w:rsidP="00245874">
      <w:pPr>
        <w:pStyle w:val="Tabletitle"/>
      </w:pPr>
      <w:r w:rsidRPr="00D73341">
        <w:t xml:space="preserve">Table </w:t>
      </w:r>
      <w:r w:rsidR="00750FB1">
        <w:t>7</w:t>
      </w:r>
      <w:r w:rsidRPr="00D73341">
        <w:t xml:space="preserve">: Outcomes by Treatment Group through Week </w:t>
      </w:r>
      <w:r>
        <w:t xml:space="preserve">48 and </w:t>
      </w:r>
      <w:r w:rsidR="00853B90" w:rsidRPr="006F502C">
        <w:t>156</w:t>
      </w:r>
    </w:p>
    <w:tbl>
      <w:tblPr>
        <w:tblW w:w="10356" w:type="dxa"/>
        <w:tblInd w:w="-1007" w:type="dxa"/>
        <w:tblBorders>
          <w:top w:val="double" w:sz="4" w:space="0" w:color="auto"/>
          <w:left w:val="single" w:sz="4" w:space="0" w:color="auto"/>
          <w:bottom w:val="double" w:sz="4" w:space="0" w:color="auto"/>
          <w:right w:val="single" w:sz="4" w:space="0" w:color="auto"/>
        </w:tblBorders>
        <w:tblLayout w:type="fixed"/>
        <w:tblLook w:val="0000"/>
      </w:tblPr>
      <w:tblGrid>
        <w:gridCol w:w="2868"/>
        <w:gridCol w:w="1200"/>
        <w:gridCol w:w="1156"/>
        <w:gridCol w:w="1364"/>
        <w:gridCol w:w="1155"/>
        <w:gridCol w:w="1019"/>
        <w:gridCol w:w="1594"/>
      </w:tblGrid>
      <w:tr w:rsidR="004A2882" w:rsidRPr="006F502C" w:rsidTr="006B56C2">
        <w:trPr>
          <w:trHeight w:val="408"/>
          <w:tblHeader/>
        </w:trPr>
        <w:tc>
          <w:tcPr>
            <w:tcW w:w="2868" w:type="dxa"/>
            <w:tcBorders>
              <w:top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p>
        </w:tc>
        <w:tc>
          <w:tcPr>
            <w:tcW w:w="3720" w:type="dxa"/>
            <w:gridSpan w:val="3"/>
            <w:tcBorders>
              <w:top w:val="single" w:sz="2" w:space="0" w:color="auto"/>
              <w:left w:val="nil"/>
              <w:bottom w:val="single" w:sz="2" w:space="0" w:color="auto"/>
              <w:right w:val="single" w:sz="2" w:space="0" w:color="auto"/>
            </w:tcBorders>
            <w:vAlign w:val="bottom"/>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Outcome at Week 48</w:t>
            </w:r>
          </w:p>
        </w:tc>
        <w:tc>
          <w:tcPr>
            <w:tcW w:w="3768" w:type="dxa"/>
            <w:gridSpan w:val="3"/>
            <w:tcBorders>
              <w:top w:val="single" w:sz="2" w:space="0" w:color="auto"/>
              <w:left w:val="single" w:sz="2" w:space="0" w:color="auto"/>
              <w:bottom w:val="single" w:sz="2" w:space="0" w:color="auto"/>
            </w:tcBorders>
            <w:vAlign w:val="bottom"/>
          </w:tcPr>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r w:rsidRPr="006F502C">
              <w:rPr>
                <w:rFonts w:ascii="Arial" w:hAnsi="Arial" w:cs="Arial"/>
                <w:b/>
                <w:sz w:val="16"/>
                <w:szCs w:val="16"/>
              </w:rPr>
              <w:t>Outcome at Week 156</w:t>
            </w:r>
          </w:p>
        </w:tc>
      </w:tr>
      <w:tr w:rsidR="004A2882" w:rsidRPr="006F502C" w:rsidTr="006B56C2">
        <w:trPr>
          <w:trHeight w:val="220"/>
          <w:tblHeader/>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r w:rsidRPr="006F502C">
              <w:rPr>
                <w:rFonts w:ascii="Arial" w:hAnsi="Arial" w:cs="Arial"/>
                <w:b/>
                <w:sz w:val="16"/>
                <w:szCs w:val="16"/>
              </w:rPr>
              <w:t>Randomized Study</w:t>
            </w:r>
          </w:p>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r w:rsidRPr="006F502C">
              <w:rPr>
                <w:rFonts w:ascii="Arial" w:hAnsi="Arial" w:cs="Arial"/>
                <w:b/>
                <w:sz w:val="16"/>
                <w:szCs w:val="16"/>
              </w:rPr>
              <w:t>Protocol 021</w:t>
            </w:r>
          </w:p>
        </w:tc>
        <w:tc>
          <w:tcPr>
            <w:tcW w:w="1200" w:type="dxa"/>
            <w:tcBorders>
              <w:top w:val="single" w:sz="2" w:space="0" w:color="auto"/>
              <w:left w:val="nil"/>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ISENTRESS</w:t>
            </w:r>
          </w:p>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400 mg</w:t>
            </w:r>
          </w:p>
        </w:tc>
        <w:tc>
          <w:tcPr>
            <w:tcW w:w="1156" w:type="dxa"/>
            <w:tcBorders>
              <w:top w:val="single" w:sz="2" w:space="0" w:color="auto"/>
              <w:left w:val="nil"/>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Efavirenz 600 mg</w:t>
            </w:r>
          </w:p>
        </w:tc>
        <w:tc>
          <w:tcPr>
            <w:tcW w:w="1364" w:type="dxa"/>
            <w:tcBorders>
              <w:top w:val="single" w:sz="2" w:space="0" w:color="auto"/>
              <w:left w:val="single" w:sz="2" w:space="0" w:color="auto"/>
              <w:right w:val="single" w:sz="2" w:space="0" w:color="auto"/>
            </w:tcBorders>
            <w:shd w:val="clear" w:color="auto" w:fill="auto"/>
          </w:tcPr>
          <w:p w:rsidR="004A2882" w:rsidRPr="006F502C" w:rsidRDefault="004A2882" w:rsidP="00502E6A">
            <w:pPr>
              <w:jc w:val="center"/>
              <w:rPr>
                <w:rFonts w:ascii="Arial" w:hAnsi="Arial" w:cs="Arial"/>
                <w:b/>
                <w:sz w:val="16"/>
                <w:szCs w:val="16"/>
              </w:rPr>
            </w:pPr>
            <w:r w:rsidRPr="006F502C">
              <w:rPr>
                <w:rFonts w:ascii="Arial" w:hAnsi="Arial" w:cs="Arial"/>
                <w:b/>
                <w:sz w:val="16"/>
                <w:szCs w:val="16"/>
              </w:rPr>
              <w:t>Difference</w:t>
            </w:r>
          </w:p>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r w:rsidRPr="006F502C">
              <w:rPr>
                <w:rFonts w:ascii="Arial" w:hAnsi="Arial" w:cs="Arial"/>
                <w:b/>
                <w:sz w:val="16"/>
                <w:szCs w:val="16"/>
              </w:rPr>
              <w:t>(ISENTRESS –</w:t>
            </w:r>
          </w:p>
        </w:tc>
        <w:tc>
          <w:tcPr>
            <w:tcW w:w="1155" w:type="dxa"/>
            <w:tcBorders>
              <w:top w:val="single" w:sz="2" w:space="0" w:color="auto"/>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ISENTRESS</w:t>
            </w:r>
          </w:p>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400 mg</w:t>
            </w:r>
          </w:p>
        </w:tc>
        <w:tc>
          <w:tcPr>
            <w:tcW w:w="1019" w:type="dxa"/>
            <w:tcBorders>
              <w:top w:val="single" w:sz="2" w:space="0" w:color="auto"/>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Efavirenz 600 mg</w:t>
            </w:r>
          </w:p>
        </w:tc>
        <w:tc>
          <w:tcPr>
            <w:tcW w:w="1594" w:type="dxa"/>
            <w:tcBorders>
              <w:top w:val="single" w:sz="2" w:space="0" w:color="auto"/>
              <w:left w:val="single" w:sz="2" w:space="0" w:color="auto"/>
            </w:tcBorders>
            <w:shd w:val="clear" w:color="auto" w:fill="auto"/>
          </w:tcPr>
          <w:p w:rsidR="004A2882" w:rsidRPr="006F502C" w:rsidRDefault="00215ADE" w:rsidP="00502E6A">
            <w:pPr>
              <w:jc w:val="center"/>
              <w:rPr>
                <w:rFonts w:ascii="Arial" w:hAnsi="Arial" w:cs="Arial"/>
                <w:b/>
                <w:sz w:val="16"/>
                <w:szCs w:val="16"/>
              </w:rPr>
            </w:pPr>
            <w:r w:rsidRPr="00215ADE">
              <w:rPr>
                <w:rFonts w:ascii="Arial" w:hAnsi="Arial" w:cs="Arial"/>
                <w:b/>
                <w:noProof/>
                <w:sz w:val="16"/>
                <w:szCs w:val="16"/>
                <w:lang w:eastAsia="ja-JP"/>
              </w:rPr>
              <w:pict>
                <v:shapetype id="_x0000_t202" coordsize="21600,21600" o:spt="202" path="m,l,21600r21600,l21600,xe">
                  <v:stroke joinstyle="miter"/>
                  <v:path gradientshapeok="t" o:connecttype="rect"/>
                </v:shapetype>
                <v:shape id="_x0000_s1029" type="#_x0000_t202" style="position:absolute;left:0;text-align:left;margin-left:113.9pt;margin-top:3pt;width:180pt;height:36pt;z-index:251659264;mso-position-horizontal-relative:text;mso-position-vertical-relative:text" filled="f" stroked="f">
                  <v:stroke startarrowwidth="narrow" startarrowlength="short" endarrowwidth="narrow" endarrowlength="short"/>
                  <v:textbox style="mso-next-textbox:#_x0000_s1029" inset="2pt,2pt,2pt,2pt">
                    <w:txbxContent>
                      <w:p w:rsidR="00F525CD" w:rsidRPr="00B6359E" w:rsidRDefault="00F525CD" w:rsidP="00B6359E"/>
                    </w:txbxContent>
                  </v:textbox>
                  <w10:wrap anchorx="margin"/>
                  <w10:anchorlock/>
                </v:shape>
              </w:pict>
            </w:r>
            <w:r w:rsidR="004A2882" w:rsidRPr="006F502C">
              <w:rPr>
                <w:rFonts w:ascii="Arial" w:hAnsi="Arial" w:cs="Arial"/>
                <w:b/>
                <w:sz w:val="16"/>
                <w:szCs w:val="16"/>
              </w:rPr>
              <w:t>Difference</w:t>
            </w:r>
          </w:p>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r w:rsidRPr="006F502C">
              <w:rPr>
                <w:rFonts w:ascii="Arial" w:hAnsi="Arial" w:cs="Arial"/>
                <w:b/>
                <w:sz w:val="16"/>
                <w:szCs w:val="16"/>
              </w:rPr>
              <w:t>(ISENTRESS –</w:t>
            </w:r>
          </w:p>
        </w:tc>
      </w:tr>
      <w:tr w:rsidR="004A2882" w:rsidRPr="006F502C" w:rsidTr="006B56C2">
        <w:tblPrEx>
          <w:tblBorders>
            <w:top w:val="single" w:sz="4" w:space="0" w:color="auto"/>
            <w:bottom w:val="single" w:sz="4" w:space="0" w:color="auto"/>
          </w:tblBorders>
        </w:tblPrEx>
        <w:trPr>
          <w:trHeight w:val="220"/>
          <w:tblHeader/>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p>
        </w:tc>
        <w:tc>
          <w:tcPr>
            <w:tcW w:w="1200"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b.i.d.</w:t>
            </w:r>
          </w:p>
        </w:tc>
        <w:tc>
          <w:tcPr>
            <w:tcW w:w="1156"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q.h.s.</w:t>
            </w:r>
          </w:p>
        </w:tc>
        <w:tc>
          <w:tcPr>
            <w:tcW w:w="1364" w:type="dxa"/>
            <w:tcBorders>
              <w:left w:val="single" w:sz="2" w:space="0" w:color="auto"/>
              <w:right w:val="single" w:sz="2" w:space="0" w:color="auto"/>
            </w:tcBorders>
            <w:shd w:val="clear" w:color="auto" w:fill="auto"/>
          </w:tcPr>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r w:rsidRPr="006F502C">
              <w:rPr>
                <w:rFonts w:ascii="Arial" w:hAnsi="Arial" w:cs="Arial"/>
                <w:b/>
                <w:sz w:val="16"/>
                <w:szCs w:val="16"/>
              </w:rPr>
              <w:t>Efavirenz) (CI</w:t>
            </w:r>
            <w:r w:rsidRPr="006F502C">
              <w:rPr>
                <w:rFonts w:ascii="Arial" w:hAnsi="Arial" w:cs="Arial"/>
                <w:b/>
                <w:sz w:val="16"/>
                <w:szCs w:val="16"/>
                <w:vertAlign w:val="superscript"/>
              </w:rPr>
              <w:t>†</w:t>
            </w:r>
            <w:r w:rsidRPr="006F502C">
              <w:rPr>
                <w:rFonts w:ascii="Arial Bold" w:hAnsi="Arial Bold" w:cs="Arial"/>
                <w:b/>
                <w:sz w:val="16"/>
                <w:szCs w:val="16"/>
              </w:rPr>
              <w:t>)</w:t>
            </w:r>
          </w:p>
        </w:tc>
        <w:tc>
          <w:tcPr>
            <w:tcW w:w="1155"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b.i.d.</w:t>
            </w:r>
          </w:p>
        </w:tc>
        <w:tc>
          <w:tcPr>
            <w:tcW w:w="1019"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q.h.s.</w:t>
            </w:r>
          </w:p>
        </w:tc>
        <w:tc>
          <w:tcPr>
            <w:tcW w:w="1594" w:type="dxa"/>
            <w:tcBorders>
              <w:left w:val="single" w:sz="2" w:space="0" w:color="auto"/>
            </w:tcBorders>
            <w:shd w:val="clear" w:color="auto" w:fill="auto"/>
          </w:tcPr>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r w:rsidRPr="006F502C">
              <w:rPr>
                <w:rFonts w:ascii="Arial" w:hAnsi="Arial" w:cs="Arial"/>
                <w:b/>
                <w:sz w:val="16"/>
                <w:szCs w:val="16"/>
              </w:rPr>
              <w:t>Efavirenz) (CI</w:t>
            </w:r>
            <w:r w:rsidRPr="006F502C">
              <w:rPr>
                <w:rFonts w:ascii="Arial" w:hAnsi="Arial" w:cs="Arial"/>
                <w:b/>
                <w:sz w:val="16"/>
                <w:szCs w:val="16"/>
                <w:vertAlign w:val="superscript"/>
              </w:rPr>
              <w:t>†</w:t>
            </w:r>
            <w:r w:rsidRPr="006F502C">
              <w:rPr>
                <w:rFonts w:ascii="Arial Bold" w:hAnsi="Arial Bold" w:cs="Arial"/>
                <w:b/>
                <w:sz w:val="16"/>
                <w:szCs w:val="16"/>
              </w:rPr>
              <w:t>)</w:t>
            </w:r>
          </w:p>
        </w:tc>
      </w:tr>
      <w:tr w:rsidR="004A2882" w:rsidRPr="006F502C" w:rsidTr="006B56C2">
        <w:tblPrEx>
          <w:tblBorders>
            <w:top w:val="single" w:sz="4" w:space="0" w:color="auto"/>
            <w:bottom w:val="single" w:sz="4" w:space="0" w:color="auto"/>
          </w:tblBorders>
        </w:tblPrEx>
        <w:trPr>
          <w:trHeight w:val="220"/>
          <w:tblHeader/>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p>
        </w:tc>
        <w:tc>
          <w:tcPr>
            <w:tcW w:w="1200"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(N=281)</w:t>
            </w:r>
          </w:p>
        </w:tc>
        <w:tc>
          <w:tcPr>
            <w:tcW w:w="1156"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(N=282)</w:t>
            </w:r>
          </w:p>
        </w:tc>
        <w:tc>
          <w:tcPr>
            <w:tcW w:w="1364" w:type="dxa"/>
            <w:tcBorders>
              <w:left w:val="single" w:sz="2" w:space="0" w:color="auto"/>
              <w:right w:val="single" w:sz="2" w:space="0" w:color="auto"/>
            </w:tcBorders>
            <w:shd w:val="clear" w:color="auto" w:fill="auto"/>
          </w:tcPr>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p>
        </w:tc>
        <w:tc>
          <w:tcPr>
            <w:tcW w:w="1155"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(N=281)</w:t>
            </w:r>
          </w:p>
        </w:tc>
        <w:tc>
          <w:tcPr>
            <w:tcW w:w="1019"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(N=282)</w:t>
            </w:r>
          </w:p>
        </w:tc>
        <w:tc>
          <w:tcPr>
            <w:tcW w:w="1594" w:type="dxa"/>
            <w:tcBorders>
              <w:left w:val="single" w:sz="2" w:space="0" w:color="auto"/>
            </w:tcBorders>
            <w:shd w:val="clear" w:color="auto" w:fill="auto"/>
          </w:tcPr>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p>
        </w:tc>
      </w:tr>
      <w:tr w:rsidR="004A2882" w:rsidRPr="006F502C" w:rsidTr="006B56C2">
        <w:tblPrEx>
          <w:tblBorders>
            <w:top w:val="single" w:sz="4" w:space="0" w:color="auto"/>
            <w:bottom w:val="single" w:sz="4" w:space="0" w:color="auto"/>
          </w:tblBorders>
        </w:tblPrEx>
        <w:trPr>
          <w:trHeight w:val="220"/>
          <w:tblHeader/>
        </w:trPr>
        <w:tc>
          <w:tcPr>
            <w:tcW w:w="2868" w:type="dxa"/>
            <w:tcBorders>
              <w:top w:val="nil"/>
              <w:bottom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p>
        </w:tc>
        <w:tc>
          <w:tcPr>
            <w:tcW w:w="1200" w:type="dxa"/>
            <w:tcBorders>
              <w:top w:val="nil"/>
              <w:left w:val="nil"/>
              <w:bottom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n (%)</w:t>
            </w:r>
          </w:p>
        </w:tc>
        <w:tc>
          <w:tcPr>
            <w:tcW w:w="1156" w:type="dxa"/>
            <w:tcBorders>
              <w:top w:val="nil"/>
              <w:left w:val="nil"/>
              <w:bottom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n (%)</w:t>
            </w:r>
          </w:p>
        </w:tc>
        <w:tc>
          <w:tcPr>
            <w:tcW w:w="1364" w:type="dxa"/>
            <w:tcBorders>
              <w:left w:val="single" w:sz="2" w:space="0" w:color="auto"/>
              <w:bottom w:val="single" w:sz="2" w:space="0" w:color="auto"/>
              <w:right w:val="single" w:sz="2" w:space="0" w:color="auto"/>
            </w:tcBorders>
            <w:shd w:val="clear" w:color="auto" w:fill="auto"/>
          </w:tcPr>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p>
        </w:tc>
        <w:tc>
          <w:tcPr>
            <w:tcW w:w="1155" w:type="dxa"/>
            <w:tcBorders>
              <w:top w:val="nil"/>
              <w:left w:val="single" w:sz="2" w:space="0" w:color="auto"/>
              <w:bottom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n (%)</w:t>
            </w:r>
          </w:p>
        </w:tc>
        <w:tc>
          <w:tcPr>
            <w:tcW w:w="1019" w:type="dxa"/>
            <w:tcBorders>
              <w:top w:val="nil"/>
              <w:left w:val="single" w:sz="2" w:space="0" w:color="auto"/>
              <w:bottom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jc w:val="center"/>
              <w:rPr>
                <w:rFonts w:ascii="Arial" w:hAnsi="Arial" w:cs="Arial"/>
                <w:b/>
                <w:sz w:val="16"/>
                <w:szCs w:val="16"/>
              </w:rPr>
            </w:pPr>
            <w:r w:rsidRPr="006F502C">
              <w:rPr>
                <w:rFonts w:ascii="Arial" w:hAnsi="Arial" w:cs="Arial"/>
                <w:b/>
                <w:sz w:val="16"/>
                <w:szCs w:val="16"/>
              </w:rPr>
              <w:t>n (%)</w:t>
            </w:r>
          </w:p>
        </w:tc>
        <w:tc>
          <w:tcPr>
            <w:tcW w:w="1594" w:type="dxa"/>
            <w:tcBorders>
              <w:left w:val="single" w:sz="2" w:space="0" w:color="auto"/>
              <w:bottom w:val="single" w:sz="2" w:space="0" w:color="auto"/>
            </w:tcBorders>
            <w:shd w:val="clear" w:color="auto" w:fill="auto"/>
          </w:tcPr>
          <w:p w:rsidR="004A2882" w:rsidRPr="006F502C" w:rsidRDefault="004A2882" w:rsidP="00502E6A">
            <w:pPr>
              <w:widowControl w:val="0"/>
              <w:autoSpaceDE w:val="0"/>
              <w:autoSpaceDN w:val="0"/>
              <w:adjustRightInd w:val="0"/>
              <w:spacing w:before="15" w:after="15"/>
              <w:jc w:val="center"/>
              <w:rPr>
                <w:rFonts w:ascii="Arial" w:hAnsi="Arial" w:cs="Arial"/>
                <w:sz w:val="16"/>
                <w:szCs w:val="16"/>
              </w:rPr>
            </w:pPr>
          </w:p>
        </w:tc>
      </w:tr>
      <w:tr w:rsidR="004A2882" w:rsidRPr="006F502C" w:rsidTr="00EA0B58">
        <w:tblPrEx>
          <w:tblBorders>
            <w:top w:val="single" w:sz="4" w:space="0" w:color="auto"/>
            <w:bottom w:val="single" w:sz="4" w:space="0" w:color="auto"/>
          </w:tblBorders>
        </w:tblPrEx>
        <w:trPr>
          <w:trHeight w:val="424"/>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p>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Patients with HIV RNA less than 50 copies/mL</w:t>
            </w:r>
            <w:r w:rsidRPr="006F502C">
              <w:rPr>
                <w:rFonts w:ascii="Arial" w:hAnsi="Arial" w:cs="Arial"/>
                <w:sz w:val="16"/>
                <w:szCs w:val="16"/>
                <w:vertAlign w:val="superscript"/>
              </w:rPr>
              <w:t>†</w:t>
            </w:r>
            <w:r w:rsidRPr="006F502C">
              <w:rPr>
                <w:rFonts w:ascii="Arial" w:hAnsi="Arial" w:cs="Arial"/>
                <w:sz w:val="16"/>
                <w:szCs w:val="16"/>
              </w:rPr>
              <w:t xml:space="preserve">                 </w:t>
            </w:r>
          </w:p>
        </w:tc>
        <w:tc>
          <w:tcPr>
            <w:tcW w:w="1200"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p>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241 (86.1)     </w:t>
            </w:r>
          </w:p>
        </w:tc>
        <w:tc>
          <w:tcPr>
            <w:tcW w:w="1156"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230 (81.9)     </w:t>
            </w:r>
          </w:p>
        </w:tc>
        <w:tc>
          <w:tcPr>
            <w:tcW w:w="1364" w:type="dxa"/>
            <w:tcBorders>
              <w:top w:val="nil"/>
              <w:left w:val="single" w:sz="2" w:space="0" w:color="auto"/>
              <w:bottom w:val="nil"/>
              <w:right w:val="single" w:sz="2" w:space="0" w:color="auto"/>
            </w:tcBorders>
            <w:vAlign w:val="bottom"/>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4.2%</w:t>
            </w:r>
          </w:p>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(-1.9, 10.3)</w:t>
            </w:r>
          </w:p>
        </w:tc>
        <w:tc>
          <w:tcPr>
            <w:tcW w:w="1155"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212 (75.4)     </w:t>
            </w:r>
          </w:p>
        </w:tc>
        <w:tc>
          <w:tcPr>
            <w:tcW w:w="1019"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192 (68.1)     </w:t>
            </w:r>
          </w:p>
        </w:tc>
        <w:tc>
          <w:tcPr>
            <w:tcW w:w="1594" w:type="dxa"/>
            <w:tcBorders>
              <w:top w:val="nil"/>
              <w:left w:val="single" w:sz="2" w:space="0" w:color="auto"/>
              <w:bottom w:val="nil"/>
            </w:tcBorders>
            <w:vAlign w:val="bottom"/>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7.3%</w:t>
            </w:r>
          </w:p>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(-0.2, 14.7)</w:t>
            </w:r>
          </w:p>
        </w:tc>
      </w:tr>
      <w:tr w:rsidR="004A2882" w:rsidRPr="006F502C" w:rsidTr="00EA0B58">
        <w:tblPrEx>
          <w:tblBorders>
            <w:top w:val="single" w:sz="4" w:space="0" w:color="auto"/>
            <w:bottom w:val="single" w:sz="4" w:space="0" w:color="auto"/>
          </w:tblBorders>
        </w:tblPrEx>
        <w:trPr>
          <w:trHeight w:val="236"/>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Patients with HIV RNA less than 400 copies/mL</w:t>
            </w:r>
            <w:r w:rsidRPr="006F502C">
              <w:rPr>
                <w:rFonts w:ascii="Arial" w:hAnsi="Arial" w:cs="Arial"/>
                <w:sz w:val="16"/>
                <w:szCs w:val="16"/>
                <w:vertAlign w:val="superscript"/>
              </w:rPr>
              <w:t>†</w:t>
            </w:r>
            <w:r w:rsidRPr="006F502C">
              <w:rPr>
                <w:rFonts w:ascii="Arial" w:hAnsi="Arial" w:cs="Arial"/>
                <w:sz w:val="16"/>
                <w:szCs w:val="16"/>
              </w:rPr>
              <w:t xml:space="preserve">                </w:t>
            </w:r>
          </w:p>
        </w:tc>
        <w:tc>
          <w:tcPr>
            <w:tcW w:w="1200"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252 (90.0)     </w:t>
            </w:r>
          </w:p>
        </w:tc>
        <w:tc>
          <w:tcPr>
            <w:tcW w:w="1156"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241 (85.8)     </w:t>
            </w:r>
          </w:p>
        </w:tc>
        <w:tc>
          <w:tcPr>
            <w:tcW w:w="1364"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4.1%</w:t>
            </w:r>
          </w:p>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(-1.3, 9.7)</w:t>
            </w:r>
          </w:p>
        </w:tc>
        <w:tc>
          <w:tcPr>
            <w:tcW w:w="1155"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224 (79.7)     </w:t>
            </w:r>
          </w:p>
        </w:tc>
        <w:tc>
          <w:tcPr>
            <w:tcW w:w="1019"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203 (72.0)     </w:t>
            </w:r>
          </w:p>
        </w:tc>
        <w:tc>
          <w:tcPr>
            <w:tcW w:w="1594" w:type="dxa"/>
            <w:tcBorders>
              <w:top w:val="nil"/>
              <w:left w:val="single" w:sz="2" w:space="0" w:color="auto"/>
              <w:bottom w:val="nil"/>
            </w:tcBorders>
          </w:tcPr>
          <w:p w:rsidR="004A2882" w:rsidRPr="006F502C" w:rsidRDefault="004A2882" w:rsidP="00502E6A">
            <w:pPr>
              <w:widowControl w:val="0"/>
              <w:autoSpaceDE w:val="0"/>
              <w:autoSpaceDN w:val="0"/>
              <w:adjustRightInd w:val="0"/>
              <w:ind w:left="158" w:hanging="158"/>
              <w:jc w:val="center"/>
              <w:rPr>
                <w:rFonts w:ascii="Arial" w:hAnsi="Arial" w:cs="Arial"/>
                <w:sz w:val="16"/>
                <w:szCs w:val="16"/>
              </w:rPr>
            </w:pPr>
            <w:r w:rsidRPr="006F502C">
              <w:rPr>
                <w:rFonts w:ascii="Arial" w:hAnsi="Arial" w:cs="Arial"/>
                <w:sz w:val="16"/>
                <w:szCs w:val="16"/>
              </w:rPr>
              <w:t xml:space="preserve"> 7.6%</w:t>
            </w:r>
          </w:p>
          <w:p w:rsidR="004A2882" w:rsidRPr="006F502C" w:rsidRDefault="004A2882" w:rsidP="00502E6A">
            <w:pPr>
              <w:widowControl w:val="0"/>
              <w:autoSpaceDE w:val="0"/>
              <w:autoSpaceDN w:val="0"/>
              <w:adjustRightInd w:val="0"/>
              <w:ind w:left="158" w:hanging="158"/>
              <w:jc w:val="center"/>
              <w:rPr>
                <w:rFonts w:ascii="Arial" w:hAnsi="Arial" w:cs="Arial"/>
                <w:sz w:val="16"/>
                <w:szCs w:val="16"/>
              </w:rPr>
            </w:pPr>
            <w:r w:rsidRPr="006F502C">
              <w:rPr>
                <w:rFonts w:ascii="Arial" w:hAnsi="Arial" w:cs="Arial"/>
                <w:sz w:val="16"/>
                <w:szCs w:val="16"/>
              </w:rPr>
              <w:t xml:space="preserve"> (0.5, 14.6)                              </w:t>
            </w:r>
          </w:p>
        </w:tc>
      </w:tr>
      <w:tr w:rsidR="004A2882" w:rsidRPr="006F502C" w:rsidTr="00EA0B58">
        <w:tblPrEx>
          <w:tblBorders>
            <w:top w:val="single" w:sz="4" w:space="0" w:color="auto"/>
            <w:bottom w:val="single" w:sz="4" w:space="0" w:color="auto"/>
          </w:tblBorders>
        </w:tblPrEx>
        <w:trPr>
          <w:trHeight w:val="408"/>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Mean CD4 cell count change from baseline (cells/mm</w:t>
            </w:r>
            <w:r w:rsidRPr="006F502C">
              <w:rPr>
                <w:rFonts w:ascii="Arial" w:hAnsi="Arial" w:cs="Arial"/>
                <w:sz w:val="16"/>
                <w:szCs w:val="16"/>
                <w:vertAlign w:val="superscript"/>
              </w:rPr>
              <w:t>3</w:t>
            </w:r>
            <w:r w:rsidRPr="006F502C">
              <w:rPr>
                <w:rFonts w:ascii="Arial" w:hAnsi="Arial" w:cs="Arial"/>
                <w:sz w:val="16"/>
                <w:szCs w:val="16"/>
              </w:rPr>
              <w:t>)</w:t>
            </w:r>
            <w:r w:rsidRPr="006F502C">
              <w:rPr>
                <w:rFonts w:ascii="Arial" w:hAnsi="Arial" w:cs="Arial"/>
                <w:sz w:val="16"/>
                <w:szCs w:val="16"/>
                <w:vertAlign w:val="superscript"/>
              </w:rPr>
              <w:t>†</w:t>
            </w:r>
          </w:p>
        </w:tc>
        <w:tc>
          <w:tcPr>
            <w:tcW w:w="1200"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189.1          </w:t>
            </w:r>
          </w:p>
        </w:tc>
        <w:tc>
          <w:tcPr>
            <w:tcW w:w="1156"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163.3          </w:t>
            </w:r>
          </w:p>
        </w:tc>
        <w:tc>
          <w:tcPr>
            <w:tcW w:w="1364"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25.8</w:t>
            </w:r>
          </w:p>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(4.4, 47.2)</w:t>
            </w:r>
          </w:p>
        </w:tc>
        <w:tc>
          <w:tcPr>
            <w:tcW w:w="1155"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331.7          </w:t>
            </w:r>
          </w:p>
        </w:tc>
        <w:tc>
          <w:tcPr>
            <w:tcW w:w="1019"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295.2          </w:t>
            </w:r>
          </w:p>
        </w:tc>
        <w:tc>
          <w:tcPr>
            <w:tcW w:w="1594" w:type="dxa"/>
            <w:tcBorders>
              <w:top w:val="nil"/>
              <w:left w:val="single" w:sz="2" w:space="0" w:color="auto"/>
              <w:bottom w:val="nil"/>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36.6</w:t>
            </w:r>
          </w:p>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(3.9, 69.2)</w:t>
            </w:r>
          </w:p>
        </w:tc>
      </w:tr>
      <w:tr w:rsidR="004A2882" w:rsidRPr="006F502C" w:rsidTr="00EA0B58">
        <w:tblPrEx>
          <w:tblBorders>
            <w:top w:val="single" w:sz="4" w:space="0" w:color="auto"/>
            <w:bottom w:val="single" w:sz="4" w:space="0" w:color="auto"/>
          </w:tblBorders>
        </w:tblPrEx>
        <w:trPr>
          <w:trHeight w:val="220"/>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 xml:space="preserve">                                                              </w:t>
            </w:r>
          </w:p>
        </w:tc>
        <w:tc>
          <w:tcPr>
            <w:tcW w:w="1200"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p>
        </w:tc>
        <w:tc>
          <w:tcPr>
            <w:tcW w:w="1156"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p>
        </w:tc>
        <w:tc>
          <w:tcPr>
            <w:tcW w:w="1364"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c>
          <w:tcPr>
            <w:tcW w:w="1155"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p>
        </w:tc>
        <w:tc>
          <w:tcPr>
            <w:tcW w:w="1019"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w:t>
            </w:r>
          </w:p>
        </w:tc>
        <w:tc>
          <w:tcPr>
            <w:tcW w:w="1594" w:type="dxa"/>
            <w:tcBorders>
              <w:top w:val="nil"/>
              <w:left w:val="single" w:sz="2" w:space="0" w:color="auto"/>
              <w:bottom w:val="nil"/>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r>
      <w:tr w:rsidR="004A2882" w:rsidRPr="006F502C" w:rsidTr="00EA0B58">
        <w:tblPrEx>
          <w:tblBorders>
            <w:top w:val="single" w:sz="4" w:space="0" w:color="auto"/>
            <w:bottom w:val="single" w:sz="4" w:space="0" w:color="auto"/>
          </w:tblBorders>
        </w:tblPrEx>
        <w:trPr>
          <w:trHeight w:val="236"/>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Virologic Failure (confirmed)</w:t>
            </w:r>
            <w:r w:rsidRPr="006F502C">
              <w:rPr>
                <w:rFonts w:ascii="Arial" w:hAnsi="Arial" w:cs="Arial"/>
                <w:sz w:val="16"/>
                <w:szCs w:val="16"/>
                <w:vertAlign w:val="superscript"/>
              </w:rPr>
              <w:t xml:space="preserve"> ‡ </w:t>
            </w:r>
            <w:r w:rsidRPr="006F502C">
              <w:rPr>
                <w:rFonts w:ascii="Arial" w:hAnsi="Arial" w:cs="Arial"/>
                <w:sz w:val="16"/>
                <w:szCs w:val="16"/>
              </w:rPr>
              <w:t xml:space="preserve">(&lt;50)  </w:t>
            </w:r>
          </w:p>
        </w:tc>
        <w:tc>
          <w:tcPr>
            <w:tcW w:w="1200"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27 (9.6)       </w:t>
            </w:r>
          </w:p>
        </w:tc>
        <w:tc>
          <w:tcPr>
            <w:tcW w:w="1156"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39 (13.8)      </w:t>
            </w:r>
          </w:p>
        </w:tc>
        <w:tc>
          <w:tcPr>
            <w:tcW w:w="1364" w:type="dxa"/>
            <w:vMerge w:val="restart"/>
            <w:tcBorders>
              <w:top w:val="nil"/>
              <w:left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c>
          <w:tcPr>
            <w:tcW w:w="1155"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49 (17.4)      </w:t>
            </w:r>
          </w:p>
        </w:tc>
        <w:tc>
          <w:tcPr>
            <w:tcW w:w="1019"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52 (18.4)      </w:t>
            </w:r>
          </w:p>
        </w:tc>
        <w:tc>
          <w:tcPr>
            <w:tcW w:w="1594" w:type="dxa"/>
            <w:vMerge w:val="restart"/>
            <w:tcBorders>
              <w:top w:val="nil"/>
              <w:lef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r>
      <w:tr w:rsidR="004A2882" w:rsidRPr="006F502C" w:rsidTr="00EA0B58">
        <w:tblPrEx>
          <w:tblBorders>
            <w:top w:val="single" w:sz="4" w:space="0" w:color="auto"/>
            <w:bottom w:val="single" w:sz="4" w:space="0" w:color="auto"/>
          </w:tblBorders>
        </w:tblPrEx>
        <w:trPr>
          <w:trHeight w:val="220"/>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 xml:space="preserve">       Non responder                                          </w:t>
            </w:r>
          </w:p>
        </w:tc>
        <w:tc>
          <w:tcPr>
            <w:tcW w:w="1200"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10 (3.6)       </w:t>
            </w:r>
          </w:p>
        </w:tc>
        <w:tc>
          <w:tcPr>
            <w:tcW w:w="1156"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24 (8.5)       </w:t>
            </w:r>
          </w:p>
        </w:tc>
        <w:tc>
          <w:tcPr>
            <w:tcW w:w="1364" w:type="dxa"/>
            <w:vMerge/>
            <w:tcBorders>
              <w:left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c>
          <w:tcPr>
            <w:tcW w:w="1155"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10 (3.6)       </w:t>
            </w:r>
          </w:p>
        </w:tc>
        <w:tc>
          <w:tcPr>
            <w:tcW w:w="1019"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23 (8.2)       </w:t>
            </w:r>
          </w:p>
        </w:tc>
        <w:tc>
          <w:tcPr>
            <w:tcW w:w="1594" w:type="dxa"/>
            <w:vMerge/>
            <w:tcBorders>
              <w:lef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r>
      <w:tr w:rsidR="004A2882" w:rsidRPr="006F502C" w:rsidTr="00EA0B58">
        <w:tblPrEx>
          <w:tblBorders>
            <w:top w:val="single" w:sz="4" w:space="0" w:color="auto"/>
            <w:bottom w:val="single" w:sz="4" w:space="0" w:color="auto"/>
          </w:tblBorders>
        </w:tblPrEx>
        <w:trPr>
          <w:trHeight w:val="220"/>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 xml:space="preserve">       Rebound                                                </w:t>
            </w:r>
          </w:p>
        </w:tc>
        <w:tc>
          <w:tcPr>
            <w:tcW w:w="1200"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17 (6.0)       </w:t>
            </w:r>
          </w:p>
        </w:tc>
        <w:tc>
          <w:tcPr>
            <w:tcW w:w="1156"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15 (5.3)       </w:t>
            </w:r>
          </w:p>
        </w:tc>
        <w:tc>
          <w:tcPr>
            <w:tcW w:w="1364" w:type="dxa"/>
            <w:vMerge/>
            <w:tcBorders>
              <w:left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c>
          <w:tcPr>
            <w:tcW w:w="1155"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39 (13.9)      </w:t>
            </w:r>
          </w:p>
        </w:tc>
        <w:tc>
          <w:tcPr>
            <w:tcW w:w="1019"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29 (10.3)      </w:t>
            </w:r>
          </w:p>
        </w:tc>
        <w:tc>
          <w:tcPr>
            <w:tcW w:w="1594" w:type="dxa"/>
            <w:vMerge/>
            <w:tcBorders>
              <w:lef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r>
      <w:tr w:rsidR="004A2882" w:rsidRPr="006F502C" w:rsidTr="00EA0B58">
        <w:tblPrEx>
          <w:tblBorders>
            <w:top w:val="single" w:sz="4" w:space="0" w:color="auto"/>
            <w:bottom w:val="single" w:sz="4" w:space="0" w:color="auto"/>
          </w:tblBorders>
        </w:tblPrEx>
        <w:trPr>
          <w:trHeight w:val="220"/>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 xml:space="preserve">Death                                                        </w:t>
            </w:r>
          </w:p>
        </w:tc>
        <w:tc>
          <w:tcPr>
            <w:tcW w:w="1200"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 (0.7)        </w:t>
            </w:r>
          </w:p>
        </w:tc>
        <w:tc>
          <w:tcPr>
            <w:tcW w:w="1156"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0 (0.0)        </w:t>
            </w:r>
          </w:p>
        </w:tc>
        <w:tc>
          <w:tcPr>
            <w:tcW w:w="1364" w:type="dxa"/>
            <w:vMerge/>
            <w:tcBorders>
              <w:left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c>
          <w:tcPr>
            <w:tcW w:w="1155"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4 (1.4)        </w:t>
            </w:r>
          </w:p>
        </w:tc>
        <w:tc>
          <w:tcPr>
            <w:tcW w:w="1019"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 (0.4)        </w:t>
            </w:r>
          </w:p>
        </w:tc>
        <w:tc>
          <w:tcPr>
            <w:tcW w:w="1594" w:type="dxa"/>
            <w:vMerge/>
            <w:tcBorders>
              <w:lef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r>
      <w:tr w:rsidR="004A2882" w:rsidRPr="006F502C" w:rsidTr="00EA0B58">
        <w:tblPrEx>
          <w:tblBorders>
            <w:top w:val="single" w:sz="4" w:space="0" w:color="auto"/>
            <w:bottom w:val="single" w:sz="4" w:space="0" w:color="auto"/>
          </w:tblBorders>
        </w:tblPrEx>
        <w:trPr>
          <w:trHeight w:val="236"/>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 xml:space="preserve">Discontinuation due to clinical adverse experiences          </w:t>
            </w:r>
          </w:p>
        </w:tc>
        <w:tc>
          <w:tcPr>
            <w:tcW w:w="1200"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8 (2.8)        </w:t>
            </w:r>
          </w:p>
        </w:tc>
        <w:tc>
          <w:tcPr>
            <w:tcW w:w="1156"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17 (6.0)       </w:t>
            </w:r>
          </w:p>
        </w:tc>
        <w:tc>
          <w:tcPr>
            <w:tcW w:w="1364" w:type="dxa"/>
            <w:vMerge/>
            <w:tcBorders>
              <w:left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c>
          <w:tcPr>
            <w:tcW w:w="1155"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13 (4.6)       </w:t>
            </w:r>
          </w:p>
        </w:tc>
        <w:tc>
          <w:tcPr>
            <w:tcW w:w="1019"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21 (7.4)       </w:t>
            </w:r>
          </w:p>
        </w:tc>
        <w:tc>
          <w:tcPr>
            <w:tcW w:w="1594" w:type="dxa"/>
            <w:vMerge/>
            <w:tcBorders>
              <w:lef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r>
      <w:tr w:rsidR="004A2882" w:rsidRPr="006F502C" w:rsidTr="00EA0B58">
        <w:tblPrEx>
          <w:tblBorders>
            <w:top w:val="single" w:sz="4" w:space="0" w:color="auto"/>
            <w:bottom w:val="single" w:sz="4" w:space="0" w:color="auto"/>
          </w:tblBorders>
        </w:tblPrEx>
        <w:trPr>
          <w:trHeight w:val="220"/>
        </w:trPr>
        <w:tc>
          <w:tcPr>
            <w:tcW w:w="2868" w:type="dxa"/>
            <w:tcBorders>
              <w:top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 xml:space="preserve">Discontinuation due to laboratory adverse experiences        </w:t>
            </w:r>
          </w:p>
        </w:tc>
        <w:tc>
          <w:tcPr>
            <w:tcW w:w="1200"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0 (0.0)        </w:t>
            </w:r>
          </w:p>
        </w:tc>
        <w:tc>
          <w:tcPr>
            <w:tcW w:w="1156" w:type="dxa"/>
            <w:tcBorders>
              <w:top w:val="nil"/>
              <w:left w:val="nil"/>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 (0.4)        </w:t>
            </w:r>
          </w:p>
        </w:tc>
        <w:tc>
          <w:tcPr>
            <w:tcW w:w="1364" w:type="dxa"/>
            <w:vMerge/>
            <w:tcBorders>
              <w:left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c>
          <w:tcPr>
            <w:tcW w:w="1155"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0 (0.0)        </w:t>
            </w:r>
          </w:p>
        </w:tc>
        <w:tc>
          <w:tcPr>
            <w:tcW w:w="1019" w:type="dxa"/>
            <w:tcBorders>
              <w:top w:val="nil"/>
              <w:left w:val="single" w:sz="2" w:space="0" w:color="auto"/>
              <w:bottom w:val="nil"/>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3 (1.1)        </w:t>
            </w:r>
          </w:p>
        </w:tc>
        <w:tc>
          <w:tcPr>
            <w:tcW w:w="1594" w:type="dxa"/>
            <w:vMerge/>
            <w:tcBorders>
              <w:lef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r>
      <w:tr w:rsidR="004A2882" w:rsidRPr="006F502C" w:rsidTr="00EA0B58">
        <w:tblPrEx>
          <w:tblBorders>
            <w:top w:val="single" w:sz="4" w:space="0" w:color="auto"/>
            <w:bottom w:val="single" w:sz="4" w:space="0" w:color="auto"/>
          </w:tblBorders>
        </w:tblPrEx>
        <w:trPr>
          <w:trHeight w:val="236"/>
        </w:trPr>
        <w:tc>
          <w:tcPr>
            <w:tcW w:w="2868" w:type="dxa"/>
            <w:tcBorders>
              <w:top w:val="nil"/>
              <w:bottom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Discontinuation due to other reasons</w:t>
            </w:r>
            <w:r w:rsidRPr="006F502C">
              <w:rPr>
                <w:rFonts w:ascii="Arial" w:hAnsi="Arial" w:cs="Arial"/>
                <w:sz w:val="16"/>
                <w:szCs w:val="16"/>
                <w:vertAlign w:val="superscript"/>
              </w:rPr>
              <w:t xml:space="preserve">§ </w:t>
            </w:r>
          </w:p>
        </w:tc>
        <w:tc>
          <w:tcPr>
            <w:tcW w:w="1200" w:type="dxa"/>
            <w:tcBorders>
              <w:top w:val="nil"/>
              <w:left w:val="nil"/>
              <w:bottom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12 (4.3)       </w:t>
            </w:r>
          </w:p>
        </w:tc>
        <w:tc>
          <w:tcPr>
            <w:tcW w:w="1156" w:type="dxa"/>
            <w:tcBorders>
              <w:top w:val="nil"/>
              <w:left w:val="nil"/>
              <w:bottom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15 (5.3)       </w:t>
            </w:r>
          </w:p>
        </w:tc>
        <w:tc>
          <w:tcPr>
            <w:tcW w:w="1364" w:type="dxa"/>
            <w:vMerge/>
            <w:tcBorders>
              <w:left w:val="single" w:sz="2" w:space="0" w:color="auto"/>
              <w:bottom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c>
          <w:tcPr>
            <w:tcW w:w="1155" w:type="dxa"/>
            <w:tcBorders>
              <w:top w:val="nil"/>
              <w:left w:val="single" w:sz="2" w:space="0" w:color="auto"/>
              <w:bottom w:val="single" w:sz="2" w:space="0" w:color="auto"/>
              <w:right w:val="single" w:sz="4"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38 (13.5)      </w:t>
            </w:r>
          </w:p>
        </w:tc>
        <w:tc>
          <w:tcPr>
            <w:tcW w:w="1019" w:type="dxa"/>
            <w:tcBorders>
              <w:top w:val="nil"/>
              <w:left w:val="single" w:sz="4" w:space="0" w:color="auto"/>
              <w:bottom w:val="single" w:sz="2" w:space="0" w:color="auto"/>
              <w:right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r w:rsidRPr="006F502C">
              <w:rPr>
                <w:rFonts w:ascii="Arial" w:hAnsi="Arial" w:cs="Arial"/>
                <w:sz w:val="16"/>
                <w:szCs w:val="16"/>
              </w:rPr>
              <w:t xml:space="preserve"> 47 (16.7)      </w:t>
            </w:r>
          </w:p>
        </w:tc>
        <w:tc>
          <w:tcPr>
            <w:tcW w:w="1594" w:type="dxa"/>
            <w:vMerge/>
            <w:tcBorders>
              <w:left w:val="single" w:sz="2" w:space="0" w:color="auto"/>
              <w:bottom w:val="single" w:sz="2" w:space="0" w:color="auto"/>
            </w:tcBorders>
          </w:tcPr>
          <w:p w:rsidR="004A2882" w:rsidRPr="006F502C" w:rsidRDefault="004A2882" w:rsidP="00502E6A">
            <w:pPr>
              <w:widowControl w:val="0"/>
              <w:autoSpaceDE w:val="0"/>
              <w:autoSpaceDN w:val="0"/>
              <w:adjustRightInd w:val="0"/>
              <w:spacing w:before="15" w:after="15"/>
              <w:ind w:left="160" w:right="1" w:hanging="160"/>
              <w:jc w:val="center"/>
              <w:rPr>
                <w:rFonts w:ascii="Arial" w:hAnsi="Arial" w:cs="Arial"/>
                <w:sz w:val="16"/>
                <w:szCs w:val="16"/>
              </w:rPr>
            </w:pPr>
          </w:p>
        </w:tc>
      </w:tr>
      <w:tr w:rsidR="004A2882" w:rsidRPr="006F502C" w:rsidTr="00EA0B58">
        <w:tblPrEx>
          <w:tblBorders>
            <w:top w:val="single" w:sz="4" w:space="0" w:color="auto"/>
            <w:bottom w:val="single" w:sz="4" w:space="0" w:color="auto"/>
          </w:tblBorders>
        </w:tblPrEx>
        <w:tc>
          <w:tcPr>
            <w:tcW w:w="10356" w:type="dxa"/>
            <w:gridSpan w:val="7"/>
            <w:tcBorders>
              <w:top w:val="nil"/>
              <w:bottom w:val="nil"/>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vertAlign w:val="superscript"/>
              </w:rPr>
              <w:t>†</w:t>
            </w:r>
            <w:r w:rsidRPr="006F502C">
              <w:rPr>
                <w:rFonts w:ascii="Arial" w:hAnsi="Arial" w:cs="Arial"/>
                <w:sz w:val="16"/>
                <w:szCs w:val="16"/>
              </w:rPr>
              <w:t>Approach to handling missing values: For binary endpoints (proportions), Non-Completer = Failure. For change from baseline in CD4 cell counts, Observed Failure (OF) approach assumes baseline value was carried forward for patients who discontinued assigned therapy due to lack of efficacy.</w:t>
            </w:r>
          </w:p>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vertAlign w:val="superscript"/>
              </w:rPr>
              <w:t>‡</w:t>
            </w:r>
            <w:r w:rsidRPr="006F502C">
              <w:rPr>
                <w:rFonts w:ascii="Arial" w:hAnsi="Arial" w:cs="Arial"/>
                <w:sz w:val="16"/>
                <w:szCs w:val="16"/>
              </w:rPr>
              <w:t>Virologic failure: defined as non responders for those with (1) HIV RNA &gt; 50 copies/mL at the time of discontinuation for patients who prematurely discontinue study therapy or (2) HIV RNA &gt; 50 copies/mL at Week 24; or virologic rebound for those with HIV RNA &gt; 50 copies/mL (on 2 consecutive measurements at least 1 week apart) after initial response with HIV RNA &lt; 50 copies/mL.</w:t>
            </w:r>
          </w:p>
        </w:tc>
      </w:tr>
      <w:tr w:rsidR="004A2882" w:rsidRPr="006F502C" w:rsidTr="00EA0B58">
        <w:tblPrEx>
          <w:tblBorders>
            <w:top w:val="single" w:sz="4" w:space="0" w:color="auto"/>
            <w:bottom w:val="single" w:sz="4" w:space="0" w:color="auto"/>
          </w:tblBorders>
        </w:tblPrEx>
        <w:tc>
          <w:tcPr>
            <w:tcW w:w="10356" w:type="dxa"/>
            <w:gridSpan w:val="7"/>
            <w:tcBorders>
              <w:top w:val="nil"/>
              <w:bottom w:val="nil"/>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vertAlign w:val="superscript"/>
              </w:rPr>
              <w:t>§</w:t>
            </w:r>
            <w:r w:rsidRPr="006F502C">
              <w:rPr>
                <w:rFonts w:ascii="Arial" w:hAnsi="Arial" w:cs="Arial"/>
                <w:sz w:val="16"/>
                <w:szCs w:val="16"/>
              </w:rPr>
              <w:t>Includes loss to follow-up, patient withdrew consent, noncompliance, protocol violation and other reasons.</w:t>
            </w:r>
          </w:p>
        </w:tc>
      </w:tr>
      <w:tr w:rsidR="004A2882" w:rsidRPr="006F502C" w:rsidTr="00EA0B58">
        <w:tblPrEx>
          <w:tblBorders>
            <w:top w:val="single" w:sz="4" w:space="0" w:color="auto"/>
            <w:bottom w:val="single" w:sz="4" w:space="0" w:color="auto"/>
          </w:tblBorders>
        </w:tblPrEx>
        <w:tc>
          <w:tcPr>
            <w:tcW w:w="10356" w:type="dxa"/>
            <w:gridSpan w:val="7"/>
            <w:tcBorders>
              <w:top w:val="nil"/>
              <w:bottom w:val="nil"/>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lastRenderedPageBreak/>
              <w:t>Note: ISENTRESS and Efavirenz were administered with TRUVADA</w:t>
            </w:r>
            <w:r w:rsidRPr="006F502C">
              <w:rPr>
                <w:rFonts w:ascii="Arial" w:hAnsi="Arial" w:cs="Arial"/>
                <w:sz w:val="16"/>
                <w:szCs w:val="16"/>
                <w:vertAlign w:val="superscript"/>
              </w:rPr>
              <w:t>TM</w:t>
            </w:r>
            <w:r w:rsidRPr="006F502C">
              <w:rPr>
                <w:rFonts w:ascii="Arial" w:hAnsi="Arial" w:cs="Arial"/>
                <w:sz w:val="16"/>
                <w:szCs w:val="16"/>
              </w:rPr>
              <w:t>.</w:t>
            </w:r>
          </w:p>
        </w:tc>
      </w:tr>
      <w:tr w:rsidR="004A2882" w:rsidRPr="006F502C" w:rsidTr="00EA0B58">
        <w:tblPrEx>
          <w:tblBorders>
            <w:top w:val="single" w:sz="4" w:space="0" w:color="auto"/>
            <w:bottom w:val="single" w:sz="4" w:space="0" w:color="auto"/>
          </w:tblBorders>
        </w:tblPrEx>
        <w:tc>
          <w:tcPr>
            <w:tcW w:w="10356" w:type="dxa"/>
            <w:gridSpan w:val="7"/>
            <w:tcBorders>
              <w:top w:val="nil"/>
              <w:bottom w:val="single" w:sz="2" w:space="0" w:color="auto"/>
            </w:tcBorders>
          </w:tcPr>
          <w:p w:rsidR="004A2882" w:rsidRPr="006F502C" w:rsidRDefault="004A2882" w:rsidP="00502E6A">
            <w:pPr>
              <w:widowControl w:val="0"/>
              <w:autoSpaceDE w:val="0"/>
              <w:autoSpaceDN w:val="0"/>
              <w:adjustRightInd w:val="0"/>
              <w:spacing w:before="15" w:after="15"/>
              <w:ind w:left="160" w:right="1" w:hanging="160"/>
              <w:rPr>
                <w:rFonts w:ascii="Arial" w:hAnsi="Arial" w:cs="Arial"/>
                <w:sz w:val="16"/>
                <w:szCs w:val="16"/>
              </w:rPr>
            </w:pPr>
            <w:r w:rsidRPr="006F502C">
              <w:rPr>
                <w:rFonts w:ascii="Arial" w:hAnsi="Arial" w:cs="Arial"/>
                <w:sz w:val="16"/>
                <w:szCs w:val="16"/>
              </w:rPr>
              <w:t>n (%) = Number (Percent) of patients in each category.</w:t>
            </w:r>
          </w:p>
        </w:tc>
      </w:tr>
    </w:tbl>
    <w:p w:rsidR="006A3F48" w:rsidRPr="002C6438" w:rsidRDefault="006A3F48" w:rsidP="00245874">
      <w:pPr>
        <w:pStyle w:val="Heading5"/>
      </w:pPr>
      <w:r w:rsidRPr="002C6438">
        <w:t>Efficacy by Viral Subtypes</w:t>
      </w:r>
    </w:p>
    <w:p w:rsidR="001B3030" w:rsidRPr="001B3030" w:rsidRDefault="001B3030" w:rsidP="006A3F48">
      <w:pPr>
        <w:rPr>
          <w:rFonts w:ascii="Arial" w:hAnsi="Arial" w:cs="Arial"/>
          <w:sz w:val="22"/>
          <w:szCs w:val="22"/>
        </w:rPr>
      </w:pPr>
      <w:r w:rsidRPr="003D098F">
        <w:rPr>
          <w:rFonts w:ascii="Arial" w:hAnsi="Arial" w:cs="Arial"/>
          <w:sz w:val="22"/>
          <w:szCs w:val="22"/>
        </w:rPr>
        <w:t xml:space="preserve">A total of 52 non-Clade B subtypes were identified: Clade A (4), A/C (1) A/G (2), A1 (1), AE (29), AG (12), BF (6), C (37), D (2), F (2), F1 (5), G (2), Complex (3). Efficacy in terms of the proportion of patients achieving HIV-RNA &lt;50 copies/mL at Week </w:t>
      </w:r>
      <w:r w:rsidR="003D098F">
        <w:rPr>
          <w:rFonts w:ascii="Arial" w:hAnsi="Arial" w:cs="Arial"/>
          <w:sz w:val="22"/>
          <w:szCs w:val="22"/>
        </w:rPr>
        <w:t>96</w:t>
      </w:r>
      <w:r w:rsidR="003D098F" w:rsidRPr="003D098F">
        <w:rPr>
          <w:rFonts w:ascii="Arial" w:hAnsi="Arial" w:cs="Arial"/>
          <w:sz w:val="22"/>
          <w:szCs w:val="22"/>
        </w:rPr>
        <w:t xml:space="preserve"> </w:t>
      </w:r>
      <w:r w:rsidRPr="003D098F">
        <w:rPr>
          <w:rFonts w:ascii="Arial" w:hAnsi="Arial" w:cs="Arial"/>
          <w:sz w:val="22"/>
          <w:szCs w:val="22"/>
        </w:rPr>
        <w:t xml:space="preserve">was achieved by </w:t>
      </w:r>
      <w:r w:rsidR="003D098F">
        <w:rPr>
          <w:rFonts w:ascii="Arial" w:hAnsi="Arial" w:cs="Arial"/>
          <w:sz w:val="22"/>
          <w:szCs w:val="22"/>
        </w:rPr>
        <w:t>52/55</w:t>
      </w:r>
      <w:r w:rsidRPr="003D098F">
        <w:rPr>
          <w:rFonts w:ascii="Arial" w:hAnsi="Arial" w:cs="Arial"/>
          <w:sz w:val="22"/>
          <w:szCs w:val="22"/>
        </w:rPr>
        <w:t xml:space="preserve"> (</w:t>
      </w:r>
      <w:r w:rsidR="003D098F">
        <w:rPr>
          <w:rFonts w:ascii="Arial" w:hAnsi="Arial" w:cs="Arial"/>
          <w:sz w:val="22"/>
          <w:szCs w:val="22"/>
        </w:rPr>
        <w:t>94.5%</w:t>
      </w:r>
      <w:r w:rsidRPr="003D098F">
        <w:rPr>
          <w:rFonts w:ascii="Arial" w:hAnsi="Arial" w:cs="Arial"/>
          <w:sz w:val="22"/>
          <w:szCs w:val="22"/>
        </w:rPr>
        <w:t xml:space="preserve">) of patients with non-B subtypes and </w:t>
      </w:r>
      <w:r w:rsidR="003D098F">
        <w:rPr>
          <w:rFonts w:ascii="Arial" w:hAnsi="Arial" w:cs="Arial"/>
          <w:sz w:val="22"/>
          <w:szCs w:val="22"/>
        </w:rPr>
        <w:t>173/195</w:t>
      </w:r>
      <w:r w:rsidRPr="003D098F">
        <w:rPr>
          <w:rFonts w:ascii="Arial" w:hAnsi="Arial" w:cs="Arial"/>
          <w:sz w:val="22"/>
          <w:szCs w:val="22"/>
        </w:rPr>
        <w:t xml:space="preserve"> (</w:t>
      </w:r>
      <w:r w:rsidR="003D098F">
        <w:rPr>
          <w:rFonts w:ascii="Arial" w:hAnsi="Arial" w:cs="Arial"/>
          <w:sz w:val="22"/>
          <w:szCs w:val="22"/>
        </w:rPr>
        <w:t>88.7%</w:t>
      </w:r>
      <w:r w:rsidRPr="003D098F">
        <w:rPr>
          <w:rFonts w:ascii="Arial" w:hAnsi="Arial" w:cs="Arial"/>
          <w:sz w:val="22"/>
          <w:szCs w:val="22"/>
        </w:rPr>
        <w:t>) of patients with B subtype</w:t>
      </w:r>
      <w:r w:rsidR="00E84FAE" w:rsidRPr="003D098F">
        <w:rPr>
          <w:rFonts w:ascii="Arial" w:hAnsi="Arial" w:cs="Arial"/>
          <w:sz w:val="22"/>
          <w:szCs w:val="22"/>
        </w:rPr>
        <w:t>.</w:t>
      </w:r>
    </w:p>
    <w:p w:rsidR="006A3F48" w:rsidRDefault="006A3F48" w:rsidP="00C078F1">
      <w:pPr>
        <w:autoSpaceDE w:val="0"/>
        <w:autoSpaceDN w:val="0"/>
        <w:adjustRightInd w:val="0"/>
        <w:jc w:val="both"/>
        <w:rPr>
          <w:rFonts w:ascii="Arial" w:hAnsi="Arial" w:cs="Arial"/>
          <w:sz w:val="22"/>
          <w:szCs w:val="22"/>
        </w:rPr>
      </w:pPr>
      <w:r w:rsidRPr="00D73341">
        <w:rPr>
          <w:rFonts w:ascii="Arial" w:hAnsi="Arial" w:cs="Arial"/>
          <w:sz w:val="22"/>
          <w:szCs w:val="22"/>
        </w:rPr>
        <w:t>Figure 2 presents the proportion of patients with plasma HIV RNA &lt;50 copies/mL over time by treatment group.  Patients on ISENTRESS achieved viral suppression (HIV RNA &lt;50 copies/mL) earlier than those receiving EFV</w:t>
      </w:r>
      <w:r w:rsidR="00C078F1">
        <w:rPr>
          <w:rFonts w:ascii="Arial" w:hAnsi="Arial" w:cs="Arial"/>
          <w:sz w:val="22"/>
          <w:szCs w:val="22"/>
        </w:rPr>
        <w:t xml:space="preserve">, </w:t>
      </w:r>
      <w:r w:rsidR="00C078F1" w:rsidRPr="00D73341">
        <w:rPr>
          <w:rFonts w:ascii="Arial" w:hAnsi="Arial" w:cs="Arial"/>
          <w:sz w:val="22"/>
          <w:szCs w:val="22"/>
        </w:rPr>
        <w:t>both in combination with emtricitabine (+) tenofovir.</w:t>
      </w:r>
      <w:r w:rsidR="00C078F1">
        <w:rPr>
          <w:rFonts w:ascii="Arial" w:hAnsi="Arial" w:cs="Arial"/>
          <w:sz w:val="22"/>
          <w:szCs w:val="22"/>
        </w:rPr>
        <w:t xml:space="preserve"> </w:t>
      </w:r>
      <w:r w:rsidRPr="00D73341">
        <w:rPr>
          <w:rFonts w:ascii="Arial" w:hAnsi="Arial" w:cs="Arial"/>
          <w:sz w:val="22"/>
          <w:szCs w:val="22"/>
        </w:rPr>
        <w:t xml:space="preserve">Through </w:t>
      </w:r>
      <w:r w:rsidR="00AB7167" w:rsidRPr="006F502C">
        <w:rPr>
          <w:rFonts w:ascii="Arial" w:hAnsi="Arial" w:cs="Arial"/>
          <w:sz w:val="22"/>
          <w:szCs w:val="22"/>
        </w:rPr>
        <w:t>156</w:t>
      </w:r>
      <w:r w:rsidR="006D6B65" w:rsidRPr="006F502C">
        <w:rPr>
          <w:rFonts w:ascii="Arial" w:hAnsi="Arial" w:cs="Arial"/>
          <w:sz w:val="22"/>
          <w:szCs w:val="22"/>
        </w:rPr>
        <w:t xml:space="preserve"> </w:t>
      </w:r>
      <w:r w:rsidRPr="006F502C">
        <w:rPr>
          <w:rFonts w:ascii="Arial" w:hAnsi="Arial" w:cs="Arial"/>
          <w:sz w:val="22"/>
          <w:szCs w:val="22"/>
        </w:rPr>
        <w:t xml:space="preserve">weeks of treatment </w:t>
      </w:r>
      <w:r w:rsidR="00AB7167" w:rsidRPr="006F502C">
        <w:rPr>
          <w:rFonts w:ascii="Arial" w:hAnsi="Arial" w:cs="Arial"/>
          <w:sz w:val="22"/>
          <w:szCs w:val="22"/>
        </w:rPr>
        <w:t>75</w:t>
      </w:r>
      <w:r w:rsidRPr="006F502C">
        <w:rPr>
          <w:rFonts w:ascii="Arial" w:hAnsi="Arial" w:cs="Arial"/>
          <w:sz w:val="22"/>
          <w:szCs w:val="22"/>
        </w:rPr>
        <w:t xml:space="preserve">% in the group receiving ISENTRESS 400 mg b.i.d. and </w:t>
      </w:r>
      <w:r w:rsidR="00AB7167" w:rsidRPr="006F502C">
        <w:rPr>
          <w:rFonts w:ascii="Arial" w:hAnsi="Arial" w:cs="Arial"/>
          <w:sz w:val="22"/>
          <w:szCs w:val="22"/>
        </w:rPr>
        <w:t>68</w:t>
      </w:r>
      <w:r w:rsidRPr="006F502C">
        <w:rPr>
          <w:rFonts w:ascii="Arial" w:hAnsi="Arial" w:cs="Arial"/>
          <w:sz w:val="22"/>
          <w:szCs w:val="22"/>
        </w:rPr>
        <w:t>% in the comparator grou</w:t>
      </w:r>
      <w:r w:rsidRPr="00D73341">
        <w:rPr>
          <w:rFonts w:ascii="Arial" w:hAnsi="Arial" w:cs="Arial"/>
          <w:sz w:val="22"/>
          <w:szCs w:val="22"/>
        </w:rPr>
        <w:t>p achieved HIV RNA &lt;50 copies/mL</w:t>
      </w:r>
      <w:r w:rsidR="006D6B65">
        <w:rPr>
          <w:rFonts w:ascii="Arial" w:hAnsi="Arial" w:cs="Arial"/>
          <w:sz w:val="22"/>
          <w:szCs w:val="22"/>
        </w:rPr>
        <w:t xml:space="preserve"> (NC=F approach)</w:t>
      </w:r>
      <w:r w:rsidRPr="00D73341">
        <w:rPr>
          <w:rFonts w:ascii="Arial" w:hAnsi="Arial" w:cs="Arial"/>
          <w:sz w:val="22"/>
          <w:szCs w:val="22"/>
        </w:rPr>
        <w:t>.</w:t>
      </w:r>
    </w:p>
    <w:p w:rsidR="004B1E52" w:rsidRPr="00B660B2" w:rsidRDefault="004B1E52" w:rsidP="00245874">
      <w:pPr>
        <w:pStyle w:val="Tabletitle"/>
      </w:pPr>
      <w:r w:rsidRPr="00B660B2">
        <w:t>Figure 2</w:t>
      </w:r>
      <w:r w:rsidR="00245874">
        <w:t xml:space="preserve">: </w:t>
      </w:r>
      <w:r w:rsidRPr="00B660B2">
        <w:t>Proportion of Patients with HIV RNA &lt;50 Copies/mL (95% CI) Over Time (NC=F)</w:t>
      </w:r>
    </w:p>
    <w:p w:rsidR="004B1E52" w:rsidRDefault="00FB1312" w:rsidP="00245874">
      <w:pPr>
        <w:rPr>
          <w:rFonts w:ascii="Arial" w:hAnsi="Arial" w:cs="Arial"/>
          <w:b/>
          <w:sz w:val="22"/>
          <w:szCs w:val="22"/>
        </w:rPr>
      </w:pPr>
      <w:r>
        <w:rPr>
          <w:noProof/>
          <w:lang w:val="en-AU" w:eastAsia="en-AU"/>
        </w:rPr>
        <w:drawing>
          <wp:inline distT="0" distB="0" distL="0" distR="0">
            <wp:extent cx="4728210" cy="2388870"/>
            <wp:effectExtent l="0" t="0" r="0" b="0"/>
            <wp:docPr id="3" name="Picture 3" descr="Figure 2: Proportion of Patients with HIV RNA &lt;50 Copies/mL (95% CI) Over Time (N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l="4167" t="29213" r="8333" b="13472"/>
                    <a:stretch>
                      <a:fillRect/>
                    </a:stretch>
                  </pic:blipFill>
                  <pic:spPr bwMode="auto">
                    <a:xfrm>
                      <a:off x="0" y="0"/>
                      <a:ext cx="4728210" cy="2388870"/>
                    </a:xfrm>
                    <a:prstGeom prst="rect">
                      <a:avLst/>
                    </a:prstGeom>
                    <a:noFill/>
                    <a:ln w="9525">
                      <a:noFill/>
                      <a:miter lim="800000"/>
                      <a:headEnd/>
                      <a:tailEnd/>
                    </a:ln>
                  </pic:spPr>
                </pic:pic>
              </a:graphicData>
            </a:graphic>
          </wp:inline>
        </w:drawing>
      </w:r>
    </w:p>
    <w:p w:rsidR="006F502C" w:rsidRPr="00E76649" w:rsidRDefault="006F502C" w:rsidP="006F502C">
      <w:pPr>
        <w:autoSpaceDE w:val="0"/>
        <w:autoSpaceDN w:val="0"/>
        <w:adjustRightInd w:val="0"/>
        <w:rPr>
          <w:rFonts w:ascii="Arial" w:hAnsi="Arial" w:cs="Arial"/>
          <w:sz w:val="22"/>
          <w:szCs w:val="22"/>
          <w:lang w:val="en-AU"/>
        </w:rPr>
      </w:pPr>
      <w:bookmarkStart w:id="6" w:name="OLE_LINK48"/>
      <w:bookmarkStart w:id="7" w:name="OLE_LINK49"/>
      <w:r>
        <w:rPr>
          <w:rFonts w:ascii="Arial" w:hAnsi="Arial" w:cs="Arial"/>
          <w:sz w:val="22"/>
          <w:szCs w:val="22"/>
        </w:rPr>
        <w:t xml:space="preserve">At week 156, the treatment </w:t>
      </w:r>
      <w:r w:rsidRPr="00E76649">
        <w:rPr>
          <w:rFonts w:ascii="Arial" w:hAnsi="Arial" w:cs="Arial"/>
          <w:sz w:val="22"/>
          <w:szCs w:val="22"/>
          <w:lang w:val="en-AU"/>
        </w:rPr>
        <w:t>difference (raltegravir – efavirenz) was 7.3% favo</w:t>
      </w:r>
      <w:r>
        <w:rPr>
          <w:rFonts w:ascii="Arial" w:hAnsi="Arial" w:cs="Arial"/>
          <w:sz w:val="22"/>
          <w:szCs w:val="22"/>
          <w:lang w:val="en-AU"/>
        </w:rPr>
        <w:t>u</w:t>
      </w:r>
      <w:r w:rsidRPr="00E76649">
        <w:rPr>
          <w:rFonts w:ascii="Arial" w:hAnsi="Arial" w:cs="Arial"/>
          <w:sz w:val="22"/>
          <w:szCs w:val="22"/>
          <w:lang w:val="en-AU"/>
        </w:rPr>
        <w:t>ring raltegravir with an associated 95% CI of (-0.2, 14.7). Therefore, the proportion of patients achieving HIV RNA &lt; 50 copies/mL in raltegravir treatment group was non-inferior to that of efavirenz, as the lower bound of the 95% CI for treatment difference exceeded the pre-defined non-inferiority bound of -12 percentage points.</w:t>
      </w:r>
    </w:p>
    <w:p w:rsidR="00255AF7" w:rsidRPr="00D73341" w:rsidRDefault="00E85C3C" w:rsidP="0050227E">
      <w:pPr>
        <w:autoSpaceDE w:val="0"/>
        <w:autoSpaceDN w:val="0"/>
        <w:adjustRightInd w:val="0"/>
        <w:jc w:val="both"/>
        <w:rPr>
          <w:rFonts w:ascii="Arial" w:hAnsi="Arial" w:cs="Arial"/>
          <w:sz w:val="22"/>
          <w:szCs w:val="22"/>
        </w:rPr>
      </w:pPr>
      <w:r>
        <w:rPr>
          <w:rFonts w:ascii="Arial" w:hAnsi="Arial" w:cs="Arial"/>
          <w:sz w:val="22"/>
          <w:szCs w:val="22"/>
        </w:rPr>
        <w:t xml:space="preserve">Patients </w:t>
      </w:r>
      <w:r w:rsidR="0050227E" w:rsidRPr="00D73341">
        <w:rPr>
          <w:rFonts w:ascii="Arial" w:hAnsi="Arial" w:cs="Arial"/>
          <w:sz w:val="22"/>
          <w:szCs w:val="22"/>
        </w:rPr>
        <w:t>receiving ISENTRESS achieved viral suppression (HIV RNA &lt;50 copies/mL) earlier than those receiving efavirenz, both in combination with emtricitabine (+) tenofovir.</w:t>
      </w:r>
    </w:p>
    <w:bookmarkEnd w:id="6"/>
    <w:bookmarkEnd w:id="7"/>
    <w:p w:rsidR="00E85C3C" w:rsidRPr="00376019" w:rsidRDefault="00E85C3C" w:rsidP="00E85C3C">
      <w:pPr>
        <w:jc w:val="both"/>
        <w:rPr>
          <w:rFonts w:ascii="Arial" w:hAnsi="Arial" w:cs="Arial"/>
          <w:sz w:val="22"/>
          <w:szCs w:val="22"/>
        </w:rPr>
      </w:pPr>
      <w:r w:rsidRPr="00376019">
        <w:rPr>
          <w:rFonts w:ascii="Arial" w:hAnsi="Arial" w:cs="Arial"/>
          <w:sz w:val="22"/>
          <w:szCs w:val="22"/>
        </w:rPr>
        <w:lastRenderedPageBreak/>
        <w:t xml:space="preserve">In the STARTMRK trial of combination antiretroviral therapy in treatment-naive patients, ISENTRESS with emtricitabine (+) tenofovir demonstrated consistent virologic and immunologic efficacy relative to efavirenz with emtricitabine (+) tenofovir across demographic and baseline prognostic factors, including: baseline plasma </w:t>
      </w:r>
      <w:r w:rsidR="00376019" w:rsidRPr="00376019">
        <w:rPr>
          <w:rFonts w:ascii="Arial" w:hAnsi="Arial" w:cs="Arial"/>
          <w:sz w:val="22"/>
          <w:szCs w:val="22"/>
        </w:rPr>
        <w:t xml:space="preserve">HIV </w:t>
      </w:r>
      <w:r w:rsidRPr="00376019">
        <w:rPr>
          <w:rFonts w:ascii="Arial" w:hAnsi="Arial" w:cs="Arial"/>
          <w:sz w:val="22"/>
          <w:szCs w:val="22"/>
        </w:rPr>
        <w:t>RNA level &gt;100,000 copies/mL, baseline CD4 cells ≤50 cells/mm3, demographic groups (including age, gender, region, and race), viral hepatitis co-infection status (hepatitis B and/or C) and viral subtypes (comparing non-clade B as a group to clade B).</w:t>
      </w:r>
    </w:p>
    <w:p w:rsidR="00E85C3C" w:rsidRPr="00376019" w:rsidRDefault="00E85C3C" w:rsidP="00E85C3C">
      <w:pPr>
        <w:jc w:val="both"/>
        <w:rPr>
          <w:rFonts w:ascii="Arial" w:hAnsi="Arial" w:cs="Arial"/>
          <w:sz w:val="22"/>
          <w:szCs w:val="22"/>
        </w:rPr>
      </w:pPr>
      <w:r w:rsidRPr="00376019">
        <w:rPr>
          <w:rFonts w:ascii="Arial" w:hAnsi="Arial" w:cs="Arial"/>
          <w:sz w:val="22"/>
          <w:szCs w:val="22"/>
        </w:rPr>
        <w:t>Consistent efficacy of ISENTRESS was observed in all HIV subtypes with 88.</w:t>
      </w:r>
      <w:r w:rsidR="00FB43BE" w:rsidRPr="00376019">
        <w:rPr>
          <w:rFonts w:ascii="Arial" w:hAnsi="Arial" w:cs="Arial"/>
          <w:sz w:val="22"/>
          <w:szCs w:val="22"/>
        </w:rPr>
        <w:t>0</w:t>
      </w:r>
      <w:r w:rsidRPr="00376019">
        <w:rPr>
          <w:rFonts w:ascii="Arial" w:hAnsi="Arial" w:cs="Arial"/>
          <w:sz w:val="22"/>
          <w:szCs w:val="22"/>
        </w:rPr>
        <w:t>% (1</w:t>
      </w:r>
      <w:r w:rsidR="00FB43BE" w:rsidRPr="00376019">
        <w:rPr>
          <w:rFonts w:ascii="Arial" w:hAnsi="Arial" w:cs="Arial"/>
          <w:sz w:val="22"/>
          <w:szCs w:val="22"/>
        </w:rPr>
        <w:t>62</w:t>
      </w:r>
      <w:r w:rsidRPr="00376019">
        <w:rPr>
          <w:rFonts w:ascii="Arial" w:hAnsi="Arial" w:cs="Arial"/>
          <w:sz w:val="22"/>
          <w:szCs w:val="22"/>
        </w:rPr>
        <w:t>/1</w:t>
      </w:r>
      <w:r w:rsidR="00FB43BE" w:rsidRPr="00376019">
        <w:rPr>
          <w:rFonts w:ascii="Arial" w:hAnsi="Arial" w:cs="Arial"/>
          <w:sz w:val="22"/>
          <w:szCs w:val="22"/>
        </w:rPr>
        <w:t>84</w:t>
      </w:r>
      <w:r w:rsidRPr="00376019">
        <w:rPr>
          <w:rFonts w:ascii="Arial" w:hAnsi="Arial" w:cs="Arial"/>
          <w:sz w:val="22"/>
          <w:szCs w:val="22"/>
        </w:rPr>
        <w:t>) and 94.</w:t>
      </w:r>
      <w:r w:rsidR="00FB43BE" w:rsidRPr="00376019">
        <w:rPr>
          <w:rFonts w:ascii="Arial" w:hAnsi="Arial" w:cs="Arial"/>
          <w:sz w:val="22"/>
          <w:szCs w:val="22"/>
        </w:rPr>
        <w:t>0</w:t>
      </w:r>
      <w:r w:rsidRPr="00376019">
        <w:rPr>
          <w:rFonts w:ascii="Arial" w:hAnsi="Arial" w:cs="Arial"/>
          <w:sz w:val="22"/>
          <w:szCs w:val="22"/>
        </w:rPr>
        <w:t>% (</w:t>
      </w:r>
      <w:r w:rsidR="00FB43BE" w:rsidRPr="00376019">
        <w:rPr>
          <w:rFonts w:ascii="Arial" w:hAnsi="Arial" w:cs="Arial"/>
          <w:sz w:val="22"/>
          <w:szCs w:val="22"/>
        </w:rPr>
        <w:t>47</w:t>
      </w:r>
      <w:r w:rsidRPr="00376019">
        <w:rPr>
          <w:rFonts w:ascii="Arial" w:hAnsi="Arial" w:cs="Arial"/>
          <w:sz w:val="22"/>
          <w:szCs w:val="22"/>
        </w:rPr>
        <w:t>/5</w:t>
      </w:r>
      <w:r w:rsidR="00FB43BE" w:rsidRPr="00376019">
        <w:rPr>
          <w:rFonts w:ascii="Arial" w:hAnsi="Arial" w:cs="Arial"/>
          <w:sz w:val="22"/>
          <w:szCs w:val="22"/>
        </w:rPr>
        <w:t>0</w:t>
      </w:r>
      <w:r w:rsidRPr="00376019">
        <w:rPr>
          <w:rFonts w:ascii="Arial" w:hAnsi="Arial" w:cs="Arial"/>
          <w:sz w:val="22"/>
          <w:szCs w:val="22"/>
        </w:rPr>
        <w:t xml:space="preserve">) of patients with B and non-B subtypes respectively, achieving HIV RNA &lt;50 copies/mL at week </w:t>
      </w:r>
      <w:r w:rsidR="00FB43BE" w:rsidRPr="00376019">
        <w:rPr>
          <w:rFonts w:ascii="Arial" w:hAnsi="Arial" w:cs="Arial"/>
          <w:sz w:val="22"/>
          <w:szCs w:val="22"/>
        </w:rPr>
        <w:t>15</w:t>
      </w:r>
      <w:r w:rsidRPr="00376019">
        <w:rPr>
          <w:rFonts w:ascii="Arial" w:hAnsi="Arial" w:cs="Arial"/>
          <w:sz w:val="22"/>
          <w:szCs w:val="22"/>
        </w:rPr>
        <w:t>6 (OF approach).</w:t>
      </w:r>
    </w:p>
    <w:p w:rsidR="007875D3" w:rsidRDefault="007875D3" w:rsidP="007B01A3">
      <w:pPr>
        <w:pStyle w:val="Heading4"/>
      </w:pPr>
      <w:r>
        <w:t>Paediatric Patients</w:t>
      </w:r>
    </w:p>
    <w:p w:rsidR="00AA1580" w:rsidRPr="00AA1580" w:rsidRDefault="007875D3" w:rsidP="00AA1580">
      <w:pPr>
        <w:rPr>
          <w:rFonts w:ascii="Arial" w:hAnsi="Arial" w:cs="Arial"/>
          <w:color w:val="0000FF"/>
          <w:sz w:val="20"/>
        </w:rPr>
      </w:pPr>
      <w:r>
        <w:rPr>
          <w:rFonts w:ascii="Arial" w:hAnsi="Arial" w:cs="Arial"/>
          <w:sz w:val="22"/>
          <w:szCs w:val="22"/>
        </w:rPr>
        <w:t>IMPAACT P1066 is a Phase I/II open label multicentre trial to evaluate the pharmacokinetic profile, safety, tolerability, and efficacy of raltegravir in HIV infected</w:t>
      </w:r>
      <w:r w:rsidR="003A26E8">
        <w:rPr>
          <w:rFonts w:ascii="Arial" w:hAnsi="Arial" w:cs="Arial"/>
          <w:sz w:val="22"/>
          <w:szCs w:val="22"/>
        </w:rPr>
        <w:t>,</w:t>
      </w:r>
      <w:r>
        <w:rPr>
          <w:rFonts w:ascii="Arial" w:hAnsi="Arial" w:cs="Arial"/>
          <w:sz w:val="22"/>
          <w:szCs w:val="22"/>
        </w:rPr>
        <w:t xml:space="preserve"> children.  This study enrolled 126 </w:t>
      </w:r>
      <w:r w:rsidR="003F55E9">
        <w:rPr>
          <w:rFonts w:ascii="Arial" w:hAnsi="Arial" w:cs="Arial"/>
          <w:sz w:val="22"/>
          <w:szCs w:val="22"/>
        </w:rPr>
        <w:t xml:space="preserve">antiretroviral </w:t>
      </w:r>
      <w:r w:rsidRPr="00EB4261">
        <w:rPr>
          <w:rFonts w:ascii="Arial" w:hAnsi="Arial" w:cs="Arial"/>
          <w:sz w:val="22"/>
          <w:szCs w:val="22"/>
        </w:rPr>
        <w:t>treatment experienced children</w:t>
      </w:r>
      <w:r>
        <w:rPr>
          <w:rFonts w:ascii="Arial" w:hAnsi="Arial" w:cs="Arial"/>
          <w:sz w:val="22"/>
          <w:szCs w:val="22"/>
        </w:rPr>
        <w:t xml:space="preserve"> and adolescents 2 </w:t>
      </w:r>
      <w:r w:rsidR="00AE62A8">
        <w:rPr>
          <w:rFonts w:ascii="Arial" w:hAnsi="Arial" w:cs="Arial"/>
          <w:sz w:val="22"/>
          <w:szCs w:val="22"/>
        </w:rPr>
        <w:t xml:space="preserve">through </w:t>
      </w:r>
      <w:r>
        <w:rPr>
          <w:rFonts w:ascii="Arial" w:hAnsi="Arial" w:cs="Arial"/>
          <w:sz w:val="22"/>
          <w:szCs w:val="22"/>
        </w:rPr>
        <w:t xml:space="preserve">to 18 years of age.  Patients were stratified by age, enrolling adolescents first and then successively younger children.  Patients received either the 400 mg tablet formulation (6 </w:t>
      </w:r>
      <w:r w:rsidR="00AE62A8">
        <w:rPr>
          <w:rFonts w:ascii="Arial" w:hAnsi="Arial" w:cs="Arial"/>
          <w:sz w:val="22"/>
          <w:szCs w:val="22"/>
        </w:rPr>
        <w:t>through</w:t>
      </w:r>
      <w:r>
        <w:rPr>
          <w:rFonts w:ascii="Arial" w:hAnsi="Arial" w:cs="Arial"/>
          <w:sz w:val="22"/>
          <w:szCs w:val="22"/>
        </w:rPr>
        <w:t xml:space="preserve"> 18 years of age) or the chewable tablet formulation (2 </w:t>
      </w:r>
      <w:r w:rsidR="00AE62A8">
        <w:rPr>
          <w:rFonts w:ascii="Arial" w:hAnsi="Arial" w:cs="Arial"/>
          <w:sz w:val="22"/>
          <w:szCs w:val="22"/>
        </w:rPr>
        <w:t>through</w:t>
      </w:r>
      <w:r>
        <w:rPr>
          <w:rFonts w:ascii="Arial" w:hAnsi="Arial" w:cs="Arial"/>
          <w:sz w:val="22"/>
          <w:szCs w:val="22"/>
        </w:rPr>
        <w:t xml:space="preserve"> 11 years of age).  Raltegravir was administered with an optimized background regimen.</w:t>
      </w:r>
      <w:r w:rsidR="00707CD2" w:rsidRPr="00AA1580">
        <w:rPr>
          <w:rFonts w:ascii="Arial" w:hAnsi="Arial" w:cs="Arial"/>
          <w:sz w:val="22"/>
          <w:szCs w:val="22"/>
        </w:rPr>
        <w:t xml:space="preserve"> </w:t>
      </w:r>
    </w:p>
    <w:p w:rsidR="00AA1580" w:rsidRPr="00AA1580" w:rsidRDefault="007875D3" w:rsidP="00AA1580">
      <w:pPr>
        <w:rPr>
          <w:rFonts w:ascii="Arial" w:hAnsi="Arial" w:cs="Arial"/>
          <w:color w:val="0000FF"/>
          <w:sz w:val="20"/>
        </w:rPr>
      </w:pPr>
      <w:r>
        <w:rPr>
          <w:rFonts w:ascii="Arial" w:hAnsi="Arial" w:cs="Arial"/>
          <w:sz w:val="22"/>
          <w:szCs w:val="22"/>
        </w:rPr>
        <w:t xml:space="preserve">The initial dose finding stage included intensive pharmacokinetic evaluation.  Dose selection was based upon achieving similar raltegravir exposure and </w:t>
      </w:r>
      <w:r w:rsidR="00DE7ADC" w:rsidRPr="00680020">
        <w:rPr>
          <w:rFonts w:ascii="Arial" w:hAnsi="Arial" w:cs="Arial"/>
          <w:sz w:val="22"/>
          <w:szCs w:val="22"/>
        </w:rPr>
        <w:t>trough</w:t>
      </w:r>
      <w:r>
        <w:rPr>
          <w:rFonts w:ascii="Arial" w:hAnsi="Arial" w:cs="Arial"/>
          <w:sz w:val="22"/>
          <w:szCs w:val="22"/>
        </w:rPr>
        <w:t xml:space="preserve"> concentration as seen in adults, and acceptable short term safety.  After dose selection, additional patients were enrolled for evaluation of long term safety, tolerability and efficacy. </w:t>
      </w:r>
      <w:r w:rsidR="00DE7ADC">
        <w:rPr>
          <w:rFonts w:ascii="Arial" w:hAnsi="Arial" w:cs="Arial"/>
          <w:sz w:val="22"/>
          <w:szCs w:val="22"/>
        </w:rPr>
        <w:t xml:space="preserve"> </w:t>
      </w:r>
      <w:r>
        <w:rPr>
          <w:rFonts w:ascii="Arial" w:hAnsi="Arial" w:cs="Arial"/>
          <w:sz w:val="22"/>
          <w:szCs w:val="22"/>
        </w:rPr>
        <w:t xml:space="preserve"> Of the 126 patients, 96 received the recommended dose of ISENTRESS (see DOSAGE AND ADMINISTRATION).</w:t>
      </w:r>
      <w:r w:rsidR="00707CD2">
        <w:rPr>
          <w:rFonts w:ascii="Arial" w:hAnsi="Arial" w:cs="Arial"/>
          <w:sz w:val="22"/>
          <w:szCs w:val="22"/>
        </w:rPr>
        <w:t xml:space="preserve"> </w:t>
      </w:r>
    </w:p>
    <w:p w:rsidR="000A5028" w:rsidRPr="000A5028" w:rsidRDefault="007875D3" w:rsidP="000A5028">
      <w:pPr>
        <w:rPr>
          <w:rFonts w:ascii="Arial" w:hAnsi="Arial" w:cs="Arial"/>
          <w:color w:val="0000FF"/>
          <w:sz w:val="20"/>
        </w:rPr>
      </w:pPr>
      <w:r>
        <w:rPr>
          <w:rFonts w:ascii="Arial" w:hAnsi="Arial" w:cs="Arial"/>
          <w:sz w:val="22"/>
          <w:szCs w:val="22"/>
        </w:rPr>
        <w:t xml:space="preserve">These 96 patients had a median age of 13 (range 2 </w:t>
      </w:r>
      <w:r w:rsidR="00564565">
        <w:rPr>
          <w:rFonts w:ascii="Arial" w:hAnsi="Arial" w:cs="Arial"/>
          <w:sz w:val="22"/>
          <w:szCs w:val="22"/>
        </w:rPr>
        <w:t>to</w:t>
      </w:r>
      <w:r>
        <w:rPr>
          <w:rFonts w:ascii="Arial" w:hAnsi="Arial" w:cs="Arial"/>
          <w:sz w:val="22"/>
          <w:szCs w:val="22"/>
        </w:rPr>
        <w:t xml:space="preserve"> 18) years, were 51% female, 34% Caucasian and 59% black. At baseline, mean plasma HIV-1 RNA was 4.3</w:t>
      </w:r>
      <w:r w:rsidR="00AE62A8">
        <w:rPr>
          <w:rFonts w:ascii="Arial" w:hAnsi="Arial" w:cs="Arial"/>
          <w:sz w:val="22"/>
          <w:szCs w:val="22"/>
        </w:rPr>
        <w:t xml:space="preserve"> </w:t>
      </w:r>
      <w:r>
        <w:rPr>
          <w:rFonts w:ascii="Arial" w:hAnsi="Arial" w:cs="Arial"/>
          <w:sz w:val="22"/>
          <w:szCs w:val="22"/>
        </w:rPr>
        <w:t>log</w:t>
      </w:r>
      <w:r>
        <w:rPr>
          <w:rFonts w:ascii="Arial" w:hAnsi="Arial" w:cs="Arial"/>
          <w:sz w:val="22"/>
          <w:szCs w:val="22"/>
          <w:vertAlign w:val="subscript"/>
        </w:rPr>
        <w:t xml:space="preserve">10 </w:t>
      </w:r>
      <w:r>
        <w:rPr>
          <w:rFonts w:ascii="Arial" w:hAnsi="Arial" w:cs="Arial"/>
          <w:sz w:val="22"/>
          <w:szCs w:val="22"/>
        </w:rPr>
        <w:t xml:space="preserve">copies/mL, median </w:t>
      </w:r>
      <w:r w:rsidR="00CF26DD">
        <w:rPr>
          <w:rFonts w:ascii="Arial" w:hAnsi="Arial" w:cs="Arial"/>
          <w:sz w:val="22"/>
          <w:szCs w:val="22"/>
        </w:rPr>
        <w:t>C</w:t>
      </w:r>
      <w:r>
        <w:rPr>
          <w:rFonts w:ascii="Arial" w:hAnsi="Arial" w:cs="Arial"/>
          <w:sz w:val="22"/>
          <w:szCs w:val="22"/>
        </w:rPr>
        <w:t>D4</w:t>
      </w:r>
      <w:r w:rsidR="00CF26DD">
        <w:rPr>
          <w:rFonts w:ascii="Arial" w:hAnsi="Arial" w:cs="Arial"/>
          <w:sz w:val="22"/>
          <w:szCs w:val="22"/>
        </w:rPr>
        <w:t xml:space="preserve"> </w:t>
      </w:r>
      <w:r>
        <w:rPr>
          <w:rFonts w:ascii="Arial" w:hAnsi="Arial" w:cs="Arial"/>
          <w:sz w:val="22"/>
          <w:szCs w:val="22"/>
        </w:rPr>
        <w:t>cell count was 481 cells/mm</w:t>
      </w:r>
      <w:r>
        <w:rPr>
          <w:rFonts w:ascii="Arial" w:hAnsi="Arial" w:cs="Arial"/>
          <w:sz w:val="22"/>
          <w:szCs w:val="22"/>
          <w:vertAlign w:val="superscript"/>
        </w:rPr>
        <w:t>3</w:t>
      </w:r>
      <w:r>
        <w:rPr>
          <w:rFonts w:ascii="Arial" w:hAnsi="Arial" w:cs="Arial"/>
          <w:sz w:val="22"/>
          <w:szCs w:val="22"/>
        </w:rPr>
        <w:t xml:space="preserve"> (range: 0 – 2361) and median CD4% was 23.3% (range: 0 – 44).</w:t>
      </w:r>
      <w:r w:rsidR="00A731FA" w:rsidRPr="00A731FA">
        <w:rPr>
          <w:rFonts w:ascii="Arial" w:hAnsi="Arial" w:cs="Arial"/>
          <w:b/>
          <w:color w:val="0000FF"/>
          <w:sz w:val="22"/>
          <w:szCs w:val="22"/>
        </w:rPr>
        <w:t xml:space="preserve"> </w:t>
      </w:r>
      <w:r w:rsidR="00DE7ADC">
        <w:rPr>
          <w:rFonts w:ascii="Arial" w:hAnsi="Arial" w:cs="Arial"/>
          <w:b/>
          <w:color w:val="0000FF"/>
          <w:sz w:val="22"/>
          <w:szCs w:val="22"/>
        </w:rPr>
        <w:t xml:space="preserve"> </w:t>
      </w:r>
      <w:r w:rsidR="000A5028" w:rsidRPr="00A731FA">
        <w:rPr>
          <w:rFonts w:ascii="Arial" w:hAnsi="Arial" w:cs="Arial"/>
          <w:b/>
          <w:color w:val="0000FF"/>
          <w:sz w:val="22"/>
          <w:szCs w:val="22"/>
        </w:rPr>
        <w:t xml:space="preserve"> </w:t>
      </w:r>
      <w:r w:rsidRPr="00A731FA">
        <w:rPr>
          <w:rFonts w:ascii="Arial" w:hAnsi="Arial" w:cs="Arial"/>
          <w:b/>
          <w:color w:val="0000FF"/>
          <w:sz w:val="22"/>
          <w:szCs w:val="22"/>
        </w:rPr>
        <w:t xml:space="preserve"> </w:t>
      </w:r>
      <w:r>
        <w:rPr>
          <w:rFonts w:ascii="Arial" w:hAnsi="Arial" w:cs="Arial"/>
          <w:sz w:val="22"/>
          <w:szCs w:val="22"/>
        </w:rPr>
        <w:t xml:space="preserve"> Overall, 8% had baseline plasma HIV-1 RNA &gt; 100,000 copies/mL and 59% had a CDC HIV clinical classification of category B or C.  Most </w:t>
      </w:r>
      <w:r w:rsidR="00CF26DD">
        <w:rPr>
          <w:rFonts w:ascii="Arial" w:hAnsi="Arial" w:cs="Arial"/>
          <w:sz w:val="22"/>
          <w:szCs w:val="22"/>
        </w:rPr>
        <w:t>p</w:t>
      </w:r>
      <w:r>
        <w:rPr>
          <w:rFonts w:ascii="Arial" w:hAnsi="Arial" w:cs="Arial"/>
          <w:sz w:val="22"/>
          <w:szCs w:val="22"/>
        </w:rPr>
        <w:t>atients had previously used at least one NNRTI (78%) or one PI</w:t>
      </w:r>
      <w:r w:rsidR="00AE62A8">
        <w:rPr>
          <w:rFonts w:ascii="Arial" w:hAnsi="Arial" w:cs="Arial"/>
          <w:sz w:val="22"/>
          <w:szCs w:val="22"/>
        </w:rPr>
        <w:t xml:space="preserve"> </w:t>
      </w:r>
      <w:r>
        <w:rPr>
          <w:rFonts w:ascii="Arial" w:hAnsi="Arial" w:cs="Arial"/>
          <w:sz w:val="22"/>
          <w:szCs w:val="22"/>
        </w:rPr>
        <w:t>(83%).</w:t>
      </w:r>
    </w:p>
    <w:p w:rsidR="000A5028" w:rsidRPr="000A5028" w:rsidRDefault="007875D3" w:rsidP="000A5028">
      <w:pPr>
        <w:rPr>
          <w:rFonts w:ascii="Arial" w:hAnsi="Arial" w:cs="Arial"/>
          <w:color w:val="0000FF"/>
          <w:sz w:val="20"/>
        </w:rPr>
      </w:pPr>
      <w:r>
        <w:rPr>
          <w:rFonts w:ascii="Arial" w:hAnsi="Arial" w:cs="Arial"/>
          <w:sz w:val="22"/>
          <w:szCs w:val="22"/>
        </w:rPr>
        <w:t xml:space="preserve">Ninety-three (97%) patients 2 </w:t>
      </w:r>
      <w:r w:rsidR="00CC33E9" w:rsidRPr="00680020">
        <w:rPr>
          <w:rFonts w:ascii="Arial" w:hAnsi="Arial" w:cs="Arial"/>
          <w:sz w:val="22"/>
          <w:szCs w:val="22"/>
        </w:rPr>
        <w:t>t</w:t>
      </w:r>
      <w:r w:rsidR="00A8555C" w:rsidRPr="00680020">
        <w:rPr>
          <w:rFonts w:ascii="Arial" w:hAnsi="Arial" w:cs="Arial"/>
          <w:sz w:val="22"/>
          <w:szCs w:val="22"/>
        </w:rPr>
        <w:t>o</w:t>
      </w:r>
      <w:r w:rsidR="00680020">
        <w:rPr>
          <w:rFonts w:ascii="Arial" w:hAnsi="Arial" w:cs="Arial"/>
          <w:sz w:val="22"/>
          <w:szCs w:val="22"/>
        </w:rPr>
        <w:t xml:space="preserve"> </w:t>
      </w:r>
      <w:r>
        <w:rPr>
          <w:rFonts w:ascii="Arial" w:hAnsi="Arial" w:cs="Arial"/>
          <w:sz w:val="22"/>
          <w:szCs w:val="22"/>
        </w:rPr>
        <w:t xml:space="preserve">18 years of age completed 24 weeks of treatment (3 discontinued due to non-compliance).  At week 24, </w:t>
      </w:r>
      <w:r w:rsidR="00BB255B" w:rsidRPr="00680020">
        <w:rPr>
          <w:rFonts w:ascii="Arial" w:hAnsi="Arial" w:cs="Arial"/>
          <w:sz w:val="22"/>
          <w:szCs w:val="22"/>
        </w:rPr>
        <w:t xml:space="preserve">using observed failure (OF) approach to handle missing data, </w:t>
      </w:r>
      <w:r>
        <w:rPr>
          <w:rFonts w:ascii="Arial" w:hAnsi="Arial" w:cs="Arial"/>
          <w:sz w:val="22"/>
          <w:szCs w:val="22"/>
        </w:rPr>
        <w:t xml:space="preserve">72% </w:t>
      </w:r>
      <w:r w:rsidR="00BB255B" w:rsidRPr="00680020">
        <w:rPr>
          <w:rFonts w:ascii="Arial" w:hAnsi="Arial" w:cs="Arial"/>
          <w:sz w:val="22"/>
          <w:szCs w:val="22"/>
        </w:rPr>
        <w:t xml:space="preserve">(68/95) </w:t>
      </w:r>
      <w:r>
        <w:rPr>
          <w:rFonts w:ascii="Arial" w:hAnsi="Arial" w:cs="Arial"/>
          <w:sz w:val="22"/>
          <w:szCs w:val="22"/>
        </w:rPr>
        <w:t xml:space="preserve">achieved </w:t>
      </w:r>
      <w:r>
        <w:rPr>
          <w:rFonts w:ascii="Arial" w:hAnsi="Arial" w:cs="Arial"/>
          <w:sz w:val="22"/>
          <w:szCs w:val="22"/>
          <w:u w:val="single"/>
        </w:rPr>
        <w:t>&gt;</w:t>
      </w:r>
      <w:r>
        <w:rPr>
          <w:rFonts w:ascii="Arial" w:hAnsi="Arial" w:cs="Arial"/>
          <w:sz w:val="22"/>
          <w:szCs w:val="22"/>
        </w:rPr>
        <w:t xml:space="preserve"> 1 log</w:t>
      </w:r>
      <w:r>
        <w:rPr>
          <w:rFonts w:ascii="Arial" w:hAnsi="Arial" w:cs="Arial"/>
          <w:sz w:val="22"/>
          <w:szCs w:val="22"/>
          <w:vertAlign w:val="subscript"/>
        </w:rPr>
        <w:t>10</w:t>
      </w:r>
      <w:r>
        <w:rPr>
          <w:rFonts w:ascii="Arial" w:hAnsi="Arial" w:cs="Arial"/>
          <w:sz w:val="22"/>
          <w:szCs w:val="22"/>
        </w:rPr>
        <w:t xml:space="preserve"> HIV RNA drop from baseline or </w:t>
      </w:r>
      <w:r>
        <w:rPr>
          <w:rFonts w:ascii="Arial" w:hAnsi="Arial" w:cs="Arial"/>
          <w:sz w:val="22"/>
          <w:szCs w:val="22"/>
          <w:u w:val="single"/>
        </w:rPr>
        <w:t xml:space="preserve">&lt; </w:t>
      </w:r>
      <w:r>
        <w:rPr>
          <w:rFonts w:ascii="Arial" w:hAnsi="Arial" w:cs="Arial"/>
          <w:sz w:val="22"/>
          <w:szCs w:val="22"/>
        </w:rPr>
        <w:t>400 copies/mL</w:t>
      </w:r>
      <w:r w:rsidR="00BB255B">
        <w:rPr>
          <w:rFonts w:ascii="Arial" w:hAnsi="Arial" w:cs="Arial"/>
          <w:sz w:val="22"/>
          <w:szCs w:val="22"/>
        </w:rPr>
        <w:t xml:space="preserve"> </w:t>
      </w:r>
      <w:r w:rsidR="00BB255B" w:rsidRPr="00680020">
        <w:rPr>
          <w:rFonts w:ascii="Arial" w:hAnsi="Arial" w:cs="Arial"/>
          <w:sz w:val="22"/>
          <w:szCs w:val="22"/>
        </w:rPr>
        <w:t xml:space="preserve">(a composite outcome) with 95% </w:t>
      </w:r>
      <w:r w:rsidR="003E0437" w:rsidRPr="00680020">
        <w:rPr>
          <w:rFonts w:ascii="Arial" w:hAnsi="Arial" w:cs="Arial"/>
          <w:sz w:val="22"/>
          <w:szCs w:val="22"/>
        </w:rPr>
        <w:t xml:space="preserve">CI </w:t>
      </w:r>
      <w:r w:rsidR="00BB255B" w:rsidRPr="00680020">
        <w:rPr>
          <w:rFonts w:ascii="Arial" w:hAnsi="Arial" w:cs="Arial"/>
          <w:sz w:val="22"/>
          <w:szCs w:val="22"/>
        </w:rPr>
        <w:t>of (61.4%, 80.4%)</w:t>
      </w:r>
      <w:r w:rsidRPr="00680020">
        <w:rPr>
          <w:rFonts w:ascii="Arial" w:hAnsi="Arial" w:cs="Arial"/>
          <w:sz w:val="22"/>
          <w:szCs w:val="22"/>
        </w:rPr>
        <w:t xml:space="preserve">; </w:t>
      </w:r>
      <w:r>
        <w:rPr>
          <w:rFonts w:ascii="Arial" w:hAnsi="Arial" w:cs="Arial"/>
          <w:sz w:val="22"/>
          <w:szCs w:val="22"/>
        </w:rPr>
        <w:t xml:space="preserve">54% </w:t>
      </w:r>
      <w:r w:rsidR="00BB255B" w:rsidRPr="00680020">
        <w:rPr>
          <w:rFonts w:ascii="Arial" w:hAnsi="Arial" w:cs="Arial"/>
          <w:sz w:val="22"/>
          <w:szCs w:val="22"/>
        </w:rPr>
        <w:t xml:space="preserve">(51/95) </w:t>
      </w:r>
      <w:r>
        <w:rPr>
          <w:rFonts w:ascii="Arial" w:hAnsi="Arial" w:cs="Arial"/>
          <w:sz w:val="22"/>
          <w:szCs w:val="22"/>
        </w:rPr>
        <w:t>achieved HIV RNA &lt;50 copies/mL</w:t>
      </w:r>
      <w:r w:rsidR="00BB255B">
        <w:rPr>
          <w:rFonts w:ascii="Arial" w:hAnsi="Arial" w:cs="Arial"/>
          <w:sz w:val="22"/>
          <w:szCs w:val="22"/>
        </w:rPr>
        <w:t xml:space="preserve"> </w:t>
      </w:r>
      <w:r w:rsidR="00BB255B" w:rsidRPr="00680020">
        <w:rPr>
          <w:rFonts w:ascii="Arial" w:hAnsi="Arial" w:cs="Arial"/>
          <w:sz w:val="22"/>
          <w:szCs w:val="22"/>
        </w:rPr>
        <w:t>with 95% CI of (43.2%, 64%)</w:t>
      </w:r>
      <w:r w:rsidRPr="00680020">
        <w:rPr>
          <w:rFonts w:ascii="Arial" w:hAnsi="Arial" w:cs="Arial"/>
          <w:sz w:val="22"/>
          <w:szCs w:val="22"/>
        </w:rPr>
        <w:t xml:space="preserve">.  </w:t>
      </w:r>
      <w:r>
        <w:rPr>
          <w:rFonts w:ascii="Arial" w:hAnsi="Arial" w:cs="Arial"/>
          <w:sz w:val="22"/>
          <w:szCs w:val="22"/>
        </w:rPr>
        <w:t>The mean CD4 count (percent) increase from baseline to Week 24 was 119 cells/mm</w:t>
      </w:r>
      <w:r>
        <w:rPr>
          <w:rFonts w:ascii="Arial" w:hAnsi="Arial" w:cs="Arial"/>
          <w:sz w:val="22"/>
          <w:szCs w:val="22"/>
          <w:vertAlign w:val="superscript"/>
        </w:rPr>
        <w:t xml:space="preserve">3 </w:t>
      </w:r>
      <w:r>
        <w:rPr>
          <w:rFonts w:ascii="Arial" w:hAnsi="Arial" w:cs="Arial"/>
          <w:sz w:val="22"/>
          <w:szCs w:val="22"/>
        </w:rPr>
        <w:t>(3.8%).</w:t>
      </w:r>
    </w:p>
    <w:p w:rsidR="000A5028" w:rsidRPr="000A5028" w:rsidRDefault="007875D3" w:rsidP="000A5028">
      <w:pPr>
        <w:jc w:val="both"/>
        <w:rPr>
          <w:rFonts w:ascii="Arial" w:hAnsi="Arial" w:cs="Arial"/>
          <w:color w:val="0000FF"/>
          <w:sz w:val="20"/>
        </w:rPr>
      </w:pPr>
      <w:r>
        <w:rPr>
          <w:rFonts w:ascii="Arial" w:hAnsi="Arial" w:cs="Arial"/>
          <w:sz w:val="22"/>
          <w:szCs w:val="22"/>
        </w:rPr>
        <w:t>Seventy-two (95%) patien</w:t>
      </w:r>
      <w:r w:rsidR="00CF26DD">
        <w:rPr>
          <w:rFonts w:ascii="Arial" w:hAnsi="Arial" w:cs="Arial"/>
          <w:sz w:val="22"/>
          <w:szCs w:val="22"/>
        </w:rPr>
        <w:t>t</w:t>
      </w:r>
      <w:r>
        <w:rPr>
          <w:rFonts w:ascii="Arial" w:hAnsi="Arial" w:cs="Arial"/>
          <w:sz w:val="22"/>
          <w:szCs w:val="22"/>
        </w:rPr>
        <w:t xml:space="preserve">s 6 </w:t>
      </w:r>
      <w:r w:rsidR="00CC33E9" w:rsidRPr="00680020">
        <w:rPr>
          <w:rFonts w:ascii="Arial" w:hAnsi="Arial" w:cs="Arial"/>
          <w:sz w:val="22"/>
          <w:szCs w:val="22"/>
        </w:rPr>
        <w:t>to</w:t>
      </w:r>
      <w:r w:rsidR="006C2546" w:rsidRPr="00680020">
        <w:rPr>
          <w:rFonts w:ascii="Arial" w:hAnsi="Arial" w:cs="Arial"/>
          <w:sz w:val="22"/>
          <w:szCs w:val="22"/>
        </w:rPr>
        <w:t xml:space="preserve"> </w:t>
      </w:r>
      <w:r>
        <w:rPr>
          <w:rFonts w:ascii="Arial" w:hAnsi="Arial" w:cs="Arial"/>
          <w:sz w:val="22"/>
          <w:szCs w:val="22"/>
        </w:rPr>
        <w:t xml:space="preserve">18 years of age completed 48 weeks of treatment (4 discontinued due to non-compliance).  At week 48, </w:t>
      </w:r>
      <w:r w:rsidR="00BB255B" w:rsidRPr="00680020">
        <w:rPr>
          <w:rFonts w:ascii="Arial" w:hAnsi="Arial" w:cs="Arial"/>
          <w:sz w:val="22"/>
          <w:szCs w:val="22"/>
        </w:rPr>
        <w:t xml:space="preserve">using OF approach to handle missing data, </w:t>
      </w:r>
      <w:r>
        <w:rPr>
          <w:rFonts w:ascii="Arial" w:hAnsi="Arial" w:cs="Arial"/>
          <w:sz w:val="22"/>
          <w:szCs w:val="22"/>
        </w:rPr>
        <w:t xml:space="preserve">77% </w:t>
      </w:r>
      <w:r w:rsidR="00BB255B" w:rsidRPr="00680020">
        <w:rPr>
          <w:rFonts w:ascii="Arial" w:hAnsi="Arial" w:cs="Arial"/>
          <w:sz w:val="22"/>
          <w:szCs w:val="22"/>
        </w:rPr>
        <w:t xml:space="preserve">(55/71) </w:t>
      </w:r>
      <w:r>
        <w:rPr>
          <w:rFonts w:ascii="Arial" w:hAnsi="Arial" w:cs="Arial"/>
          <w:sz w:val="22"/>
          <w:szCs w:val="22"/>
        </w:rPr>
        <w:t xml:space="preserve">achieved </w:t>
      </w:r>
      <w:r>
        <w:rPr>
          <w:rFonts w:ascii="Arial" w:hAnsi="Arial" w:cs="Arial"/>
          <w:sz w:val="22"/>
          <w:szCs w:val="22"/>
          <w:u w:val="single"/>
        </w:rPr>
        <w:t>&gt;</w:t>
      </w:r>
      <w:r>
        <w:rPr>
          <w:rFonts w:ascii="Arial" w:hAnsi="Arial" w:cs="Arial"/>
          <w:sz w:val="22"/>
          <w:szCs w:val="22"/>
        </w:rPr>
        <w:t xml:space="preserve"> 1 log</w:t>
      </w:r>
      <w:r>
        <w:rPr>
          <w:rFonts w:ascii="Arial" w:hAnsi="Arial" w:cs="Arial"/>
          <w:sz w:val="22"/>
          <w:szCs w:val="22"/>
          <w:vertAlign w:val="subscript"/>
        </w:rPr>
        <w:t>10</w:t>
      </w:r>
      <w:r>
        <w:rPr>
          <w:rFonts w:ascii="Arial" w:hAnsi="Arial" w:cs="Arial"/>
          <w:sz w:val="22"/>
          <w:szCs w:val="22"/>
        </w:rPr>
        <w:t xml:space="preserve"> HIV RNA</w:t>
      </w:r>
      <w:r w:rsidR="00CF26DD">
        <w:rPr>
          <w:rFonts w:ascii="Arial" w:hAnsi="Arial" w:cs="Arial"/>
          <w:sz w:val="22"/>
          <w:szCs w:val="22"/>
        </w:rPr>
        <w:t xml:space="preserve"> d</w:t>
      </w:r>
      <w:r>
        <w:rPr>
          <w:rFonts w:ascii="Arial" w:hAnsi="Arial" w:cs="Arial"/>
          <w:sz w:val="22"/>
          <w:szCs w:val="22"/>
        </w:rPr>
        <w:t>rop from baseline or &lt;400 copies/mL</w:t>
      </w:r>
      <w:r w:rsidR="00BB255B" w:rsidRPr="00680020">
        <w:rPr>
          <w:rFonts w:ascii="Arial" w:hAnsi="Arial" w:cs="Arial"/>
          <w:sz w:val="22"/>
          <w:szCs w:val="22"/>
        </w:rPr>
        <w:t xml:space="preserve"> with 95% CI of (66.0%, 86.5%)</w:t>
      </w:r>
      <w:r>
        <w:rPr>
          <w:rFonts w:ascii="Arial" w:hAnsi="Arial" w:cs="Arial"/>
          <w:sz w:val="22"/>
          <w:szCs w:val="22"/>
        </w:rPr>
        <w:t xml:space="preserve">; 56% </w:t>
      </w:r>
      <w:r w:rsidR="00BB255B" w:rsidRPr="00680020">
        <w:rPr>
          <w:rFonts w:ascii="Arial" w:hAnsi="Arial" w:cs="Arial"/>
          <w:sz w:val="22"/>
          <w:szCs w:val="22"/>
        </w:rPr>
        <w:t xml:space="preserve">(40/71) </w:t>
      </w:r>
      <w:r>
        <w:rPr>
          <w:rFonts w:ascii="Arial" w:hAnsi="Arial" w:cs="Arial"/>
          <w:sz w:val="22"/>
          <w:szCs w:val="22"/>
        </w:rPr>
        <w:t>achieved HIV RNA &lt;50 copies/mL</w:t>
      </w:r>
      <w:r w:rsidR="00BB255B" w:rsidRPr="00680020">
        <w:rPr>
          <w:rFonts w:ascii="Arial" w:hAnsi="Arial" w:cs="Arial"/>
          <w:sz w:val="22"/>
          <w:szCs w:val="22"/>
        </w:rPr>
        <w:t xml:space="preserve"> with 95% </w:t>
      </w:r>
      <w:r w:rsidR="003E0437" w:rsidRPr="00680020">
        <w:rPr>
          <w:rFonts w:ascii="Arial" w:hAnsi="Arial" w:cs="Arial"/>
          <w:sz w:val="22"/>
          <w:szCs w:val="22"/>
        </w:rPr>
        <w:t>C</w:t>
      </w:r>
      <w:r w:rsidR="00BB255B" w:rsidRPr="00680020">
        <w:rPr>
          <w:rFonts w:ascii="Arial" w:hAnsi="Arial" w:cs="Arial"/>
          <w:sz w:val="22"/>
          <w:szCs w:val="22"/>
        </w:rPr>
        <w:t>I of (44.0%, 68.1%)</w:t>
      </w:r>
      <w:r>
        <w:rPr>
          <w:rFonts w:ascii="Arial" w:hAnsi="Arial" w:cs="Arial"/>
          <w:sz w:val="22"/>
          <w:szCs w:val="22"/>
        </w:rPr>
        <w:t>.  The mean CD4 count (percent) increase from baseline to Week 48 was 155 cells mm</w:t>
      </w:r>
      <w:r>
        <w:rPr>
          <w:rFonts w:ascii="Arial" w:hAnsi="Arial" w:cs="Arial"/>
          <w:sz w:val="22"/>
          <w:szCs w:val="22"/>
          <w:vertAlign w:val="superscript"/>
        </w:rPr>
        <w:t>3</w:t>
      </w:r>
      <w:r>
        <w:rPr>
          <w:rFonts w:ascii="Arial" w:hAnsi="Arial" w:cs="Arial"/>
          <w:sz w:val="22"/>
          <w:szCs w:val="22"/>
        </w:rPr>
        <w:t xml:space="preserve"> (4.7%).</w:t>
      </w:r>
      <w:r w:rsidR="00A731FA">
        <w:rPr>
          <w:rFonts w:ascii="Arial" w:hAnsi="Arial" w:cs="Arial"/>
          <w:sz w:val="22"/>
          <w:szCs w:val="22"/>
        </w:rPr>
        <w:t xml:space="preserve"> </w:t>
      </w:r>
    </w:p>
    <w:p w:rsidR="000667EC" w:rsidRPr="00C24699" w:rsidRDefault="0094691B" w:rsidP="00D35A54">
      <w:pPr>
        <w:pStyle w:val="Heading2"/>
      </w:pPr>
      <w:r w:rsidRPr="00C24699">
        <w:lastRenderedPageBreak/>
        <w:t>INDICATIONS</w:t>
      </w:r>
    </w:p>
    <w:p w:rsidR="00EF3D81" w:rsidRPr="00E14B8F" w:rsidRDefault="0094691B" w:rsidP="0094691B">
      <w:pPr>
        <w:jc w:val="both"/>
        <w:rPr>
          <w:rFonts w:ascii="Arial" w:hAnsi="Arial" w:cs="Arial"/>
          <w:strike/>
          <w:sz w:val="22"/>
          <w:szCs w:val="22"/>
        </w:rPr>
      </w:pPr>
      <w:bookmarkStart w:id="8" w:name="OLE_LINK1"/>
      <w:r>
        <w:rPr>
          <w:rFonts w:ascii="Arial" w:hAnsi="Arial" w:cs="Arial"/>
          <w:sz w:val="22"/>
          <w:szCs w:val="22"/>
        </w:rPr>
        <w:t>ISENTRESS</w:t>
      </w:r>
      <w:r w:rsidR="00E14B8F">
        <w:rPr>
          <w:rFonts w:ascii="Arial" w:hAnsi="Arial" w:cs="Arial"/>
          <w:sz w:val="22"/>
          <w:szCs w:val="22"/>
        </w:rPr>
        <w:t>,</w:t>
      </w:r>
      <w:r w:rsidRPr="000D6D01">
        <w:rPr>
          <w:rFonts w:ascii="Arial" w:hAnsi="Arial" w:cs="Arial"/>
          <w:sz w:val="22"/>
          <w:szCs w:val="22"/>
        </w:rPr>
        <w:t xml:space="preserve"> in combination with other antiretroviral agents</w:t>
      </w:r>
      <w:r w:rsidR="00E14B8F">
        <w:rPr>
          <w:rFonts w:ascii="Arial" w:hAnsi="Arial" w:cs="Arial"/>
          <w:sz w:val="22"/>
          <w:szCs w:val="22"/>
        </w:rPr>
        <w:t>,</w:t>
      </w:r>
      <w:r w:rsidRPr="000D6D01">
        <w:rPr>
          <w:rFonts w:ascii="Arial" w:hAnsi="Arial" w:cs="Arial"/>
          <w:sz w:val="22"/>
          <w:szCs w:val="22"/>
        </w:rPr>
        <w:t xml:space="preserve"> </w:t>
      </w:r>
      <w:r w:rsidR="00CE41BE">
        <w:rPr>
          <w:rFonts w:ascii="Arial" w:hAnsi="Arial" w:cs="Arial"/>
          <w:sz w:val="22"/>
          <w:szCs w:val="22"/>
        </w:rPr>
        <w:t>is indicated</w:t>
      </w:r>
      <w:r w:rsidR="007875D3">
        <w:rPr>
          <w:rFonts w:ascii="Arial" w:hAnsi="Arial" w:cs="Arial"/>
          <w:sz w:val="22"/>
          <w:szCs w:val="22"/>
        </w:rPr>
        <w:t xml:space="preserve"> </w:t>
      </w:r>
      <w:r w:rsidRPr="000D6D01">
        <w:rPr>
          <w:rFonts w:ascii="Arial" w:hAnsi="Arial" w:cs="Arial"/>
          <w:sz w:val="22"/>
          <w:szCs w:val="22"/>
        </w:rPr>
        <w:t xml:space="preserve">for the treatment of </w:t>
      </w:r>
      <w:r w:rsidR="003A226F">
        <w:rPr>
          <w:rFonts w:ascii="Arial" w:hAnsi="Arial" w:cs="Arial"/>
          <w:sz w:val="22"/>
          <w:szCs w:val="22"/>
        </w:rPr>
        <w:t>human immunodeficiency virus</w:t>
      </w:r>
      <w:r w:rsidR="004F37B9">
        <w:rPr>
          <w:rFonts w:ascii="Arial" w:hAnsi="Arial" w:cs="Arial"/>
          <w:sz w:val="22"/>
          <w:szCs w:val="22"/>
        </w:rPr>
        <w:t xml:space="preserve"> </w:t>
      </w:r>
      <w:r w:rsidR="006A3F48">
        <w:rPr>
          <w:rFonts w:ascii="Arial" w:hAnsi="Arial" w:cs="Arial"/>
          <w:sz w:val="22"/>
          <w:szCs w:val="22"/>
        </w:rPr>
        <w:t>(</w:t>
      </w:r>
      <w:r>
        <w:rPr>
          <w:rFonts w:ascii="Arial" w:hAnsi="Arial" w:cs="Arial"/>
          <w:sz w:val="22"/>
          <w:szCs w:val="22"/>
        </w:rPr>
        <w:t>HIV-1</w:t>
      </w:r>
      <w:r w:rsidR="006A3F48">
        <w:rPr>
          <w:rFonts w:ascii="Arial" w:hAnsi="Arial" w:cs="Arial"/>
          <w:sz w:val="22"/>
          <w:szCs w:val="22"/>
        </w:rPr>
        <w:t>)</w:t>
      </w:r>
      <w:r>
        <w:rPr>
          <w:rFonts w:ascii="Arial" w:hAnsi="Arial" w:cs="Arial"/>
          <w:sz w:val="22"/>
          <w:szCs w:val="22"/>
        </w:rPr>
        <w:t xml:space="preserve"> </w:t>
      </w:r>
      <w:r w:rsidRPr="000D6D01">
        <w:rPr>
          <w:rFonts w:ascii="Arial" w:hAnsi="Arial" w:cs="Arial"/>
          <w:sz w:val="22"/>
          <w:szCs w:val="22"/>
        </w:rPr>
        <w:t>infection</w:t>
      </w:r>
      <w:r w:rsidR="00592FB2">
        <w:rPr>
          <w:rFonts w:ascii="Arial" w:hAnsi="Arial" w:cs="Arial"/>
          <w:sz w:val="22"/>
          <w:szCs w:val="22"/>
        </w:rPr>
        <w:t xml:space="preserve"> in adult</w:t>
      </w:r>
      <w:r w:rsidR="00B14D6D">
        <w:rPr>
          <w:rFonts w:ascii="Arial" w:hAnsi="Arial" w:cs="Arial"/>
          <w:sz w:val="22"/>
          <w:szCs w:val="22"/>
        </w:rPr>
        <w:t>s,</w:t>
      </w:r>
      <w:r w:rsidR="007875D3">
        <w:rPr>
          <w:rFonts w:ascii="Arial" w:hAnsi="Arial" w:cs="Arial"/>
          <w:sz w:val="22"/>
          <w:szCs w:val="22"/>
        </w:rPr>
        <w:t xml:space="preserve"> adolescents and children from the age of 2 years</w:t>
      </w:r>
      <w:r w:rsidR="00E14B8F">
        <w:rPr>
          <w:rFonts w:ascii="Arial" w:hAnsi="Arial" w:cs="Arial"/>
          <w:sz w:val="22"/>
          <w:szCs w:val="22"/>
        </w:rPr>
        <w:t>.</w:t>
      </w:r>
      <w:r w:rsidR="00592FB2">
        <w:rPr>
          <w:rFonts w:ascii="Arial" w:hAnsi="Arial" w:cs="Arial"/>
          <w:sz w:val="22"/>
          <w:szCs w:val="22"/>
        </w:rPr>
        <w:t xml:space="preserve"> </w:t>
      </w:r>
    </w:p>
    <w:p w:rsidR="00BD6549" w:rsidRDefault="00FF7CC6" w:rsidP="00FF7CC6">
      <w:pPr>
        <w:jc w:val="both"/>
        <w:rPr>
          <w:rFonts w:ascii="Arial" w:hAnsi="Arial" w:cs="Arial"/>
          <w:sz w:val="22"/>
          <w:szCs w:val="22"/>
          <w:lang w:val="en-AU" w:eastAsia="en-AU"/>
        </w:rPr>
      </w:pPr>
      <w:r w:rsidRPr="00FF7CC6">
        <w:rPr>
          <w:rFonts w:ascii="Arial" w:hAnsi="Arial" w:cs="Arial"/>
          <w:sz w:val="22"/>
          <w:szCs w:val="22"/>
          <w:lang w:val="en-AU" w:eastAsia="en-AU"/>
        </w:rPr>
        <w:t>Th</w:t>
      </w:r>
      <w:r w:rsidR="008A18E0">
        <w:rPr>
          <w:rFonts w:ascii="Arial" w:hAnsi="Arial" w:cs="Arial"/>
          <w:sz w:val="22"/>
          <w:szCs w:val="22"/>
          <w:lang w:val="en-AU" w:eastAsia="en-AU"/>
        </w:rPr>
        <w:t>is</w:t>
      </w:r>
      <w:r w:rsidRPr="00FF7CC6">
        <w:rPr>
          <w:rFonts w:ascii="Arial" w:hAnsi="Arial" w:cs="Arial"/>
          <w:sz w:val="22"/>
          <w:szCs w:val="22"/>
          <w:lang w:val="en-AU" w:eastAsia="en-AU"/>
        </w:rPr>
        <w:t xml:space="preserve"> indication is based on analyses of plasma HIV-1 RNA levels</w:t>
      </w:r>
      <w:r w:rsidR="00870A47">
        <w:rPr>
          <w:rFonts w:ascii="Arial" w:hAnsi="Arial" w:cs="Arial"/>
          <w:sz w:val="22"/>
          <w:szCs w:val="22"/>
          <w:lang w:val="en-AU" w:eastAsia="en-AU"/>
        </w:rPr>
        <w:t xml:space="preserve"> in controlled</w:t>
      </w:r>
      <w:r w:rsidR="00F27A8A">
        <w:rPr>
          <w:rFonts w:ascii="Arial" w:hAnsi="Arial" w:cs="Arial"/>
          <w:sz w:val="22"/>
          <w:szCs w:val="22"/>
          <w:lang w:val="en-AU" w:eastAsia="en-AU"/>
        </w:rPr>
        <w:t xml:space="preserve"> studies of ISENTRESS</w:t>
      </w:r>
      <w:r w:rsidR="004F37B9">
        <w:rPr>
          <w:rFonts w:ascii="Arial" w:hAnsi="Arial" w:cs="Arial"/>
          <w:sz w:val="22"/>
          <w:szCs w:val="22"/>
          <w:lang w:val="en-AU" w:eastAsia="en-AU"/>
        </w:rPr>
        <w:t xml:space="preserve"> (see CLINICAL TRIALS)</w:t>
      </w:r>
      <w:r w:rsidR="00BD6549">
        <w:rPr>
          <w:rFonts w:ascii="Arial" w:hAnsi="Arial" w:cs="Arial"/>
          <w:sz w:val="22"/>
          <w:szCs w:val="22"/>
          <w:lang w:val="en-AU" w:eastAsia="en-AU"/>
        </w:rPr>
        <w:t>.</w:t>
      </w:r>
    </w:p>
    <w:p w:rsidR="00BF2AEF" w:rsidRPr="00BF2AEF" w:rsidRDefault="007875D3" w:rsidP="00BF2AEF">
      <w:pPr>
        <w:rPr>
          <w:rFonts w:ascii="Arial" w:hAnsi="Arial" w:cs="Arial"/>
          <w:color w:val="0000FF"/>
          <w:sz w:val="20"/>
        </w:rPr>
      </w:pPr>
      <w:r>
        <w:rPr>
          <w:rFonts w:ascii="Arial" w:hAnsi="Arial" w:cs="Arial"/>
          <w:sz w:val="22"/>
          <w:szCs w:val="22"/>
          <w:lang w:val="en-AU" w:eastAsia="en-AU"/>
        </w:rPr>
        <w:t xml:space="preserve">The indication in paediatric patients is based on the evaluation of safety, tolerability, pharmacokinetic parameters and efficacy of ISENTRESS </w:t>
      </w:r>
      <w:r w:rsidRPr="00953E8A">
        <w:rPr>
          <w:rFonts w:ascii="Arial" w:hAnsi="Arial" w:cs="Arial"/>
          <w:sz w:val="22"/>
          <w:szCs w:val="22"/>
          <w:lang w:val="en-AU" w:eastAsia="en-AU"/>
        </w:rPr>
        <w:t xml:space="preserve">through </w:t>
      </w:r>
      <w:r>
        <w:rPr>
          <w:rFonts w:ascii="Arial" w:hAnsi="Arial" w:cs="Arial"/>
          <w:sz w:val="22"/>
          <w:szCs w:val="22"/>
          <w:lang w:val="en-AU" w:eastAsia="en-AU"/>
        </w:rPr>
        <w:t>at least 24 weeks in a multicentre, open label, non-comparative study in HIV-1 infected</w:t>
      </w:r>
      <w:r w:rsidR="00BD3ECB">
        <w:rPr>
          <w:rFonts w:ascii="Arial" w:hAnsi="Arial" w:cs="Arial"/>
          <w:sz w:val="22"/>
          <w:szCs w:val="22"/>
          <w:lang w:val="en-AU" w:eastAsia="en-AU"/>
        </w:rPr>
        <w:t>, treatment-experienced</w:t>
      </w:r>
      <w:r>
        <w:rPr>
          <w:rFonts w:ascii="Arial" w:hAnsi="Arial" w:cs="Arial"/>
          <w:sz w:val="22"/>
          <w:szCs w:val="22"/>
          <w:lang w:val="en-AU" w:eastAsia="en-AU"/>
        </w:rPr>
        <w:t xml:space="preserve"> children and adol</w:t>
      </w:r>
      <w:r w:rsidR="00CF26DD">
        <w:rPr>
          <w:rFonts w:ascii="Arial" w:hAnsi="Arial" w:cs="Arial"/>
          <w:sz w:val="22"/>
          <w:szCs w:val="22"/>
          <w:lang w:val="en-AU" w:eastAsia="en-AU"/>
        </w:rPr>
        <w:t>e</w:t>
      </w:r>
      <w:r>
        <w:rPr>
          <w:rFonts w:ascii="Arial" w:hAnsi="Arial" w:cs="Arial"/>
          <w:sz w:val="22"/>
          <w:szCs w:val="22"/>
          <w:lang w:val="en-AU" w:eastAsia="en-AU"/>
        </w:rPr>
        <w:t xml:space="preserve">scents </w:t>
      </w:r>
      <w:r w:rsidRPr="00953E8A">
        <w:rPr>
          <w:rFonts w:ascii="Arial" w:hAnsi="Arial" w:cs="Arial"/>
          <w:sz w:val="22"/>
          <w:szCs w:val="22"/>
          <w:lang w:val="en-AU" w:eastAsia="en-AU"/>
        </w:rPr>
        <w:t xml:space="preserve">2 </w:t>
      </w:r>
      <w:r w:rsidR="006C2546" w:rsidRPr="00953E8A">
        <w:rPr>
          <w:rFonts w:ascii="Arial" w:hAnsi="Arial" w:cs="Arial"/>
          <w:sz w:val="22"/>
          <w:szCs w:val="22"/>
          <w:lang w:val="en-AU" w:eastAsia="en-AU"/>
        </w:rPr>
        <w:t xml:space="preserve">to </w:t>
      </w:r>
      <w:r w:rsidRPr="00953E8A">
        <w:rPr>
          <w:rFonts w:ascii="Arial" w:hAnsi="Arial" w:cs="Arial"/>
          <w:sz w:val="22"/>
          <w:szCs w:val="22"/>
          <w:lang w:val="en-AU" w:eastAsia="en-AU"/>
        </w:rPr>
        <w:t>18 years of age.</w:t>
      </w:r>
      <w:r>
        <w:rPr>
          <w:rFonts w:ascii="Arial" w:hAnsi="Arial" w:cs="Arial"/>
          <w:sz w:val="22"/>
          <w:szCs w:val="22"/>
          <w:lang w:val="en-AU" w:eastAsia="en-AU"/>
        </w:rPr>
        <w:t xml:space="preserve"> </w:t>
      </w:r>
    </w:p>
    <w:p w:rsidR="005243DB" w:rsidRDefault="00022E65" w:rsidP="00F934FC">
      <w:pPr>
        <w:jc w:val="both"/>
        <w:rPr>
          <w:rFonts w:ascii="Arial" w:hAnsi="Arial" w:cs="Arial"/>
          <w:sz w:val="22"/>
          <w:szCs w:val="22"/>
          <w:lang w:val="en-AU" w:eastAsia="en-AU"/>
        </w:rPr>
      </w:pPr>
      <w:r>
        <w:rPr>
          <w:rFonts w:ascii="Arial" w:hAnsi="Arial" w:cs="Arial"/>
          <w:sz w:val="22"/>
          <w:szCs w:val="22"/>
          <w:lang w:val="en-AU" w:eastAsia="en-AU"/>
        </w:rPr>
        <w:t>The use of other active antiretroviral agents in combination with ISENTRESS is associated with a greater likelihood of treatment response (see CLINICAL TRIALS)</w:t>
      </w:r>
      <w:r w:rsidR="008C0C27">
        <w:rPr>
          <w:rFonts w:ascii="Arial" w:hAnsi="Arial" w:cs="Arial"/>
          <w:sz w:val="22"/>
          <w:szCs w:val="22"/>
          <w:lang w:val="en-AU" w:eastAsia="en-AU"/>
        </w:rPr>
        <w:t>.</w:t>
      </w:r>
    </w:p>
    <w:p w:rsidR="000212FD" w:rsidRDefault="00F934FC" w:rsidP="00F934FC">
      <w:pPr>
        <w:jc w:val="both"/>
        <w:rPr>
          <w:rFonts w:ascii="Arial" w:hAnsi="Arial" w:cs="Arial"/>
          <w:sz w:val="22"/>
          <w:szCs w:val="22"/>
          <w:lang w:val="en-AU" w:eastAsia="en-AU"/>
        </w:rPr>
      </w:pPr>
      <w:r>
        <w:rPr>
          <w:rFonts w:ascii="Arial" w:hAnsi="Arial" w:cs="Arial"/>
          <w:sz w:val="22"/>
          <w:szCs w:val="22"/>
          <w:lang w:val="en-AU" w:eastAsia="en-AU"/>
        </w:rPr>
        <w:t>There are no study results demonstrating the effect of ISENTRESS on clinical progression of HIV-1 infection.</w:t>
      </w:r>
    </w:p>
    <w:bookmarkEnd w:id="8"/>
    <w:p w:rsidR="00B15624" w:rsidRPr="00C24699" w:rsidRDefault="00B15624" w:rsidP="00D35A54">
      <w:pPr>
        <w:pStyle w:val="Heading2"/>
      </w:pPr>
      <w:r w:rsidRPr="00C24699">
        <w:t>CONTRAINDICATIONS</w:t>
      </w:r>
    </w:p>
    <w:p w:rsidR="0001003D" w:rsidRDefault="00215ADE" w:rsidP="00D717E8">
      <w:pPr>
        <w:jc w:val="both"/>
        <w:rPr>
          <w:rFonts w:ascii="Arial" w:hAnsi="Arial" w:cs="Arial"/>
          <w:sz w:val="22"/>
          <w:szCs w:val="22"/>
        </w:rPr>
      </w:pPr>
      <w:r w:rsidRPr="00215ADE">
        <w:rPr>
          <w:noProof/>
          <w:lang w:val="en-AU" w:eastAsia="en-AU"/>
        </w:rPr>
        <w:pict>
          <v:line id="_x0000_s1027" style="position:absolute;left:0;text-align:left;flip:y;z-index:251657216" from="-20pt,19.7pt" to="-20pt,118.7pt" stroked="f">
            <v:stroke startarrowwidth="narrow" startarrowlength="short" endarrowwidth="narrow" endarrowlength="short"/>
          </v:line>
        </w:pict>
      </w:r>
      <w:r w:rsidR="00B15624">
        <w:rPr>
          <w:rFonts w:ascii="Arial" w:hAnsi="Arial" w:cs="Arial"/>
          <w:noProof/>
          <w:sz w:val="22"/>
          <w:szCs w:val="22"/>
        </w:rPr>
        <w:t>ISENTRESS</w:t>
      </w:r>
      <w:r w:rsidR="00B15624" w:rsidRPr="00197805">
        <w:rPr>
          <w:rFonts w:ascii="Arial" w:hAnsi="Arial" w:cs="Arial"/>
          <w:sz w:val="22"/>
          <w:szCs w:val="22"/>
        </w:rPr>
        <w:t xml:space="preserve"> is contraindicated in patients who are hypersensitive to any component of th</w:t>
      </w:r>
      <w:r w:rsidR="00B15624">
        <w:rPr>
          <w:rFonts w:ascii="Arial" w:hAnsi="Arial" w:cs="Arial"/>
          <w:sz w:val="22"/>
          <w:szCs w:val="22"/>
        </w:rPr>
        <w:t>is</w:t>
      </w:r>
      <w:r w:rsidR="00B15624" w:rsidRPr="00197805">
        <w:rPr>
          <w:rFonts w:ascii="Arial" w:hAnsi="Arial" w:cs="Arial"/>
          <w:sz w:val="22"/>
          <w:szCs w:val="22"/>
        </w:rPr>
        <w:t xml:space="preserve"> </w:t>
      </w:r>
      <w:r w:rsidR="00B15624">
        <w:rPr>
          <w:rFonts w:ascii="Arial" w:hAnsi="Arial" w:cs="Arial"/>
          <w:sz w:val="22"/>
          <w:szCs w:val="22"/>
        </w:rPr>
        <w:t>medicine</w:t>
      </w:r>
      <w:r w:rsidR="00B15624" w:rsidRPr="00197805">
        <w:rPr>
          <w:rFonts w:ascii="Arial" w:hAnsi="Arial" w:cs="Arial"/>
          <w:sz w:val="22"/>
          <w:szCs w:val="22"/>
        </w:rPr>
        <w:t>.</w:t>
      </w:r>
    </w:p>
    <w:p w:rsidR="00B15624" w:rsidRPr="00C24699" w:rsidRDefault="00B15624" w:rsidP="00D35A54">
      <w:pPr>
        <w:pStyle w:val="Heading2"/>
      </w:pPr>
      <w:r w:rsidRPr="00C24699">
        <w:t>PRECAUTIONS</w:t>
      </w:r>
    </w:p>
    <w:p w:rsidR="00B15624" w:rsidRPr="007B01A3" w:rsidRDefault="00B15624" w:rsidP="007B01A3">
      <w:pPr>
        <w:autoSpaceDE w:val="0"/>
        <w:autoSpaceDN w:val="0"/>
        <w:adjustRightInd w:val="0"/>
        <w:jc w:val="both"/>
        <w:rPr>
          <w:rFonts w:ascii="Arial" w:hAnsi="Arial" w:cs="Arial"/>
          <w:sz w:val="22"/>
          <w:szCs w:val="22"/>
        </w:rPr>
      </w:pPr>
      <w:r>
        <w:rPr>
          <w:rFonts w:ascii="Arial" w:hAnsi="Arial" w:cs="Arial"/>
          <w:sz w:val="22"/>
          <w:szCs w:val="22"/>
        </w:rPr>
        <w:t xml:space="preserve">Certain side effects that have been reported with ISENTRESS may affect some patients’ ability to drive or operate machinery. Individual responses to ISENTRESS may vary </w:t>
      </w:r>
      <w:r w:rsidRPr="008A396C">
        <w:rPr>
          <w:rFonts w:ascii="Arial" w:hAnsi="Arial" w:cs="Arial"/>
          <w:sz w:val="22"/>
          <w:szCs w:val="22"/>
        </w:rPr>
        <w:t>(</w:t>
      </w:r>
      <w:r w:rsidR="008A396C" w:rsidRPr="008A396C">
        <w:rPr>
          <w:rFonts w:ascii="Arial" w:hAnsi="Arial" w:cs="Arial"/>
          <w:sz w:val="22"/>
          <w:szCs w:val="22"/>
        </w:rPr>
        <w:t xml:space="preserve">See: </w:t>
      </w:r>
      <w:r w:rsidR="008A396C" w:rsidRPr="008A396C">
        <w:rPr>
          <w:rFonts w:ascii="Arial" w:hAnsi="Arial" w:cs="Arial"/>
          <w:bCs/>
          <w:sz w:val="22"/>
          <w:szCs w:val="22"/>
        </w:rPr>
        <w:t>A</w:t>
      </w:r>
      <w:r w:rsidR="005A531B">
        <w:rPr>
          <w:rFonts w:ascii="Arial" w:hAnsi="Arial" w:cs="Arial"/>
          <w:bCs/>
          <w:sz w:val="22"/>
          <w:szCs w:val="22"/>
        </w:rPr>
        <w:t>D</w:t>
      </w:r>
      <w:r w:rsidR="008A396C" w:rsidRPr="008A396C">
        <w:rPr>
          <w:rFonts w:ascii="Arial" w:hAnsi="Arial" w:cs="Arial"/>
          <w:bCs/>
          <w:sz w:val="22"/>
          <w:szCs w:val="22"/>
        </w:rPr>
        <w:t>VERSE</w:t>
      </w:r>
      <w:r w:rsidRPr="008A396C">
        <w:rPr>
          <w:rFonts w:ascii="Arial" w:hAnsi="Arial" w:cs="Arial"/>
          <w:bCs/>
          <w:sz w:val="22"/>
          <w:szCs w:val="22"/>
        </w:rPr>
        <w:t xml:space="preserve"> EFFECTS)</w:t>
      </w:r>
      <w:r w:rsidRPr="008A396C">
        <w:rPr>
          <w:rFonts w:ascii="Arial" w:hAnsi="Arial" w:cs="Arial"/>
          <w:sz w:val="22"/>
          <w:szCs w:val="22"/>
        </w:rPr>
        <w:t>.</w:t>
      </w:r>
    </w:p>
    <w:p w:rsidR="00B15624" w:rsidRPr="005D3446" w:rsidRDefault="00B15624" w:rsidP="00B15624">
      <w:pPr>
        <w:jc w:val="both"/>
        <w:outlineLvl w:val="0"/>
        <w:rPr>
          <w:rFonts w:ascii="Arial" w:hAnsi="Arial" w:cs="Arial"/>
          <w:caps/>
          <w:sz w:val="22"/>
          <w:szCs w:val="22"/>
        </w:rPr>
      </w:pPr>
      <w:r w:rsidRPr="005D3446">
        <w:rPr>
          <w:rFonts w:ascii="Arial" w:hAnsi="Arial" w:cs="Arial"/>
          <w:caps/>
          <w:sz w:val="22"/>
          <w:szCs w:val="22"/>
        </w:rPr>
        <w:t>Immune Reconstitution Syndrome</w:t>
      </w:r>
    </w:p>
    <w:p w:rsidR="00B15624" w:rsidRDefault="00B15624" w:rsidP="00B15624">
      <w:pPr>
        <w:jc w:val="both"/>
        <w:rPr>
          <w:rFonts w:ascii="Arial" w:hAnsi="Arial" w:cs="Arial"/>
          <w:sz w:val="22"/>
          <w:szCs w:val="22"/>
        </w:rPr>
      </w:pPr>
      <w:r w:rsidRPr="0057718A">
        <w:rPr>
          <w:rFonts w:ascii="Arial" w:hAnsi="Arial" w:cs="Arial"/>
          <w:sz w:val="22"/>
          <w:szCs w:val="22"/>
        </w:rPr>
        <w:t xml:space="preserve">During the initial phase of treatment, patients responding to antiretroviral therapy may develop an inflammatory response to indolent or residual opportunistic infections (such as </w:t>
      </w:r>
      <w:r w:rsidRPr="0057718A">
        <w:rPr>
          <w:rFonts w:ascii="Arial" w:hAnsi="Arial" w:cs="Arial"/>
          <w:i/>
          <w:iCs/>
          <w:sz w:val="22"/>
          <w:szCs w:val="22"/>
        </w:rPr>
        <w:t xml:space="preserve">Mycobacterium avium </w:t>
      </w:r>
      <w:r w:rsidRPr="0057718A">
        <w:rPr>
          <w:rFonts w:ascii="Arial" w:hAnsi="Arial" w:cs="Arial"/>
          <w:sz w:val="22"/>
          <w:szCs w:val="22"/>
        </w:rPr>
        <w:t xml:space="preserve">complex, cytomegalovirus, </w:t>
      </w:r>
      <w:r w:rsidRPr="0057718A">
        <w:rPr>
          <w:rFonts w:ascii="Arial" w:hAnsi="Arial" w:cs="Arial"/>
          <w:i/>
          <w:iCs/>
          <w:sz w:val="22"/>
          <w:szCs w:val="22"/>
        </w:rPr>
        <w:t>Pneumocystis j</w:t>
      </w:r>
      <w:r>
        <w:rPr>
          <w:rFonts w:ascii="Arial" w:hAnsi="Arial" w:cs="Arial"/>
          <w:i/>
          <w:iCs/>
          <w:sz w:val="22"/>
          <w:szCs w:val="22"/>
        </w:rPr>
        <w:t>i</w:t>
      </w:r>
      <w:r w:rsidRPr="0057718A">
        <w:rPr>
          <w:rFonts w:ascii="Arial" w:hAnsi="Arial" w:cs="Arial"/>
          <w:i/>
          <w:iCs/>
          <w:sz w:val="22"/>
          <w:szCs w:val="22"/>
        </w:rPr>
        <w:t xml:space="preserve">roveci </w:t>
      </w:r>
      <w:r w:rsidRPr="0057718A">
        <w:rPr>
          <w:rFonts w:ascii="Arial" w:hAnsi="Arial" w:cs="Arial"/>
          <w:sz w:val="22"/>
          <w:szCs w:val="22"/>
        </w:rPr>
        <w:t>pneumonia, and tuberculosis</w:t>
      </w:r>
      <w:r w:rsidR="00306607">
        <w:rPr>
          <w:rFonts w:ascii="Arial" w:hAnsi="Arial" w:cs="Arial"/>
          <w:sz w:val="22"/>
          <w:szCs w:val="22"/>
        </w:rPr>
        <w:t xml:space="preserve"> or reactivation of varicella zoster virus</w:t>
      </w:r>
      <w:r w:rsidRPr="0057718A">
        <w:rPr>
          <w:rFonts w:ascii="Arial" w:hAnsi="Arial" w:cs="Arial"/>
          <w:sz w:val="22"/>
          <w:szCs w:val="22"/>
        </w:rPr>
        <w:t>), which may necessitate further evaluation and treatment.</w:t>
      </w:r>
    </w:p>
    <w:p w:rsidR="004978F4" w:rsidRPr="004978F4" w:rsidRDefault="004978F4" w:rsidP="007B01A3">
      <w:pPr>
        <w:pStyle w:val="Heading4"/>
      </w:pPr>
      <w:r w:rsidRPr="004978F4">
        <w:t>SEVERE SKIN AND HYPERSENSITIVITY REACTIONS</w:t>
      </w:r>
    </w:p>
    <w:p w:rsidR="004978F4" w:rsidRPr="004978F4" w:rsidRDefault="004978F4" w:rsidP="004978F4">
      <w:pPr>
        <w:rPr>
          <w:rFonts w:ascii="Arial" w:hAnsi="Arial" w:cs="Arial"/>
          <w:sz w:val="22"/>
          <w:szCs w:val="22"/>
        </w:rPr>
      </w:pPr>
      <w:r w:rsidRPr="004978F4">
        <w:rPr>
          <w:rFonts w:ascii="Arial" w:hAnsi="Arial" w:cs="Arial"/>
          <w:sz w:val="22"/>
          <w:szCs w:val="22"/>
        </w:rPr>
        <w:t xml:space="preserve">Severe, potentially life-threatening, and fatal skin reactions have been reported in patients taking ISENTRESS concomitantly with other drugs associated with these reactions. These include cases of Stevens-Johnson syndrome and toxic epidermal necrolysis. Hypersensitivity reactions have also been reported and were characterised by rash, constitutional findings, and sometimes, organ dysfunction, including hepatic failure. Discontinue ISENTRESS and other suspect agents immediately if signs or symptoms of severe skin reactions or hypersensitivity reactions develop (including, but not limited to, severe rash or rash accompanied by fever, general malaise, fatigue, muscle or joint aches, blisters, oral lesions, conjunctivitis, facial oedema, hepatitis, eosinophilia, angioedema). Clinical status including liver </w:t>
      </w:r>
      <w:r w:rsidRPr="004978F4">
        <w:rPr>
          <w:rFonts w:ascii="Arial" w:eastAsia="MS Mincho" w:hAnsi="Arial" w:cs="Arial"/>
          <w:sz w:val="22"/>
          <w:szCs w:val="22"/>
        </w:rPr>
        <w:t>aminotransferases</w:t>
      </w:r>
      <w:r w:rsidRPr="004978F4">
        <w:rPr>
          <w:rFonts w:ascii="Arial" w:hAnsi="Arial" w:cs="Arial"/>
          <w:sz w:val="22"/>
          <w:szCs w:val="22"/>
        </w:rPr>
        <w:t xml:space="preserve"> should be monitored and appropriate therapy </w:t>
      </w:r>
      <w:r w:rsidRPr="004978F4">
        <w:rPr>
          <w:rFonts w:ascii="Arial" w:hAnsi="Arial" w:cs="Arial"/>
          <w:sz w:val="22"/>
          <w:szCs w:val="22"/>
        </w:rPr>
        <w:lastRenderedPageBreak/>
        <w:t>initiated. Delay in stopping ISENTRESS treatment or other suspect agents after the onset of severe rash may result in a life-threatening reaction.</w:t>
      </w:r>
    </w:p>
    <w:p w:rsidR="00B15624" w:rsidRPr="005D3446" w:rsidRDefault="00B15624" w:rsidP="007B01A3">
      <w:pPr>
        <w:pStyle w:val="Heading4"/>
      </w:pPr>
      <w:r w:rsidRPr="005D3446">
        <w:t>Effects on Fertility</w:t>
      </w:r>
    </w:p>
    <w:p w:rsidR="00B15624" w:rsidRDefault="005D3446" w:rsidP="00B15624">
      <w:pPr>
        <w:jc w:val="both"/>
        <w:rPr>
          <w:rFonts w:ascii="Arial" w:hAnsi="Arial" w:cs="Arial"/>
          <w:sz w:val="22"/>
          <w:szCs w:val="22"/>
        </w:rPr>
      </w:pPr>
      <w:r>
        <w:rPr>
          <w:rFonts w:ascii="Arial" w:hAnsi="Arial"/>
          <w:sz w:val="22"/>
          <w:szCs w:val="22"/>
        </w:rPr>
        <w:t xml:space="preserve">No effect on fertility was seen in male and female rats at doses up to 600 mg/kg/day which resulted in </w:t>
      </w:r>
      <w:r w:rsidR="00294CB8">
        <w:rPr>
          <w:rFonts w:ascii="Arial" w:hAnsi="Arial"/>
          <w:sz w:val="22"/>
          <w:szCs w:val="22"/>
        </w:rPr>
        <w:t xml:space="preserve">a </w:t>
      </w:r>
      <w:r w:rsidR="009242CD" w:rsidRPr="002B2E84">
        <w:rPr>
          <w:rFonts w:ascii="Arial" w:hAnsi="Arial"/>
          <w:sz w:val="22"/>
          <w:szCs w:val="22"/>
        </w:rPr>
        <w:t>3</w:t>
      </w:r>
      <w:r w:rsidR="00294CB8">
        <w:rPr>
          <w:rFonts w:ascii="Arial" w:hAnsi="Arial"/>
          <w:sz w:val="22"/>
          <w:szCs w:val="22"/>
        </w:rPr>
        <w:t xml:space="preserve">-fold higher drug </w:t>
      </w:r>
      <w:r>
        <w:rPr>
          <w:rFonts w:ascii="Arial" w:hAnsi="Arial"/>
          <w:sz w:val="22"/>
          <w:szCs w:val="22"/>
        </w:rPr>
        <w:t xml:space="preserve">exposure </w:t>
      </w:r>
      <w:r w:rsidR="00294CB8">
        <w:rPr>
          <w:rFonts w:ascii="Arial" w:hAnsi="Arial"/>
          <w:sz w:val="22"/>
          <w:szCs w:val="22"/>
        </w:rPr>
        <w:t>(based on AUC)</w:t>
      </w:r>
      <w:r>
        <w:rPr>
          <w:rFonts w:ascii="Arial" w:hAnsi="Arial" w:cs="Arial"/>
          <w:sz w:val="22"/>
          <w:szCs w:val="22"/>
        </w:rPr>
        <w:t xml:space="preserve"> </w:t>
      </w:r>
      <w:r w:rsidR="00294CB8">
        <w:rPr>
          <w:rFonts w:ascii="Arial" w:hAnsi="Arial" w:cs="Arial"/>
          <w:sz w:val="22"/>
          <w:szCs w:val="22"/>
        </w:rPr>
        <w:t>than the human value with</w:t>
      </w:r>
      <w:r>
        <w:rPr>
          <w:rFonts w:ascii="Arial" w:hAnsi="Arial" w:cs="Arial"/>
          <w:sz w:val="22"/>
          <w:szCs w:val="22"/>
        </w:rPr>
        <w:t xml:space="preserve"> the recommended human dose.</w:t>
      </w:r>
    </w:p>
    <w:p w:rsidR="00B06D55" w:rsidRDefault="005D3446" w:rsidP="007B01A3">
      <w:pPr>
        <w:pStyle w:val="Heading4"/>
      </w:pPr>
      <w:r w:rsidRPr="00E022A9">
        <w:t>Use in pregnancy</w:t>
      </w:r>
      <w:r w:rsidR="00B06D55">
        <w:t xml:space="preserve"> </w:t>
      </w:r>
      <w:r w:rsidR="00B06D55" w:rsidRPr="00B06D55">
        <w:t>(Pregnancy Category B3</w:t>
      </w:r>
      <w:r w:rsidR="00B06D55" w:rsidRPr="00B06D55">
        <w:rPr>
          <w:i/>
        </w:rPr>
        <w:t>)</w:t>
      </w:r>
      <w:r>
        <w:t xml:space="preserve">: </w:t>
      </w:r>
    </w:p>
    <w:p w:rsidR="00022FEC" w:rsidRDefault="005D3446" w:rsidP="005D3446">
      <w:pPr>
        <w:pStyle w:val="Body"/>
        <w:ind w:firstLine="0"/>
        <w:rPr>
          <w:rFonts w:cs="Arial"/>
          <w:sz w:val="22"/>
          <w:szCs w:val="22"/>
        </w:rPr>
      </w:pPr>
      <w:r w:rsidRPr="00B06D55">
        <w:rPr>
          <w:rFonts w:cs="Arial"/>
          <w:sz w:val="22"/>
          <w:szCs w:val="22"/>
        </w:rPr>
        <w:t xml:space="preserve">Developmental toxicity studies were </w:t>
      </w:r>
      <w:r w:rsidR="00294CB8">
        <w:rPr>
          <w:rFonts w:cs="Arial"/>
          <w:sz w:val="22"/>
          <w:szCs w:val="22"/>
        </w:rPr>
        <w:t>conducted</w:t>
      </w:r>
      <w:r w:rsidR="00294CB8" w:rsidRPr="00B06D55">
        <w:rPr>
          <w:rFonts w:cs="Arial"/>
          <w:sz w:val="22"/>
          <w:szCs w:val="22"/>
        </w:rPr>
        <w:t xml:space="preserve"> </w:t>
      </w:r>
      <w:r w:rsidRPr="00B06D55">
        <w:rPr>
          <w:rFonts w:cs="Arial"/>
          <w:sz w:val="22"/>
          <w:szCs w:val="22"/>
        </w:rPr>
        <w:t xml:space="preserve">in </w:t>
      </w:r>
      <w:r w:rsidR="00294CB8">
        <w:rPr>
          <w:rFonts w:cs="Arial"/>
          <w:sz w:val="22"/>
          <w:szCs w:val="22"/>
        </w:rPr>
        <w:t xml:space="preserve">rats and </w:t>
      </w:r>
      <w:r w:rsidRPr="00B06D55">
        <w:rPr>
          <w:rFonts w:cs="Arial"/>
          <w:sz w:val="22"/>
          <w:szCs w:val="22"/>
        </w:rPr>
        <w:t>rabbits</w:t>
      </w:r>
      <w:r w:rsidR="00294CB8">
        <w:rPr>
          <w:rFonts w:cs="Arial"/>
          <w:sz w:val="22"/>
          <w:szCs w:val="22"/>
        </w:rPr>
        <w:t xml:space="preserve"> using oral</w:t>
      </w:r>
      <w:r w:rsidRPr="00B06D55">
        <w:rPr>
          <w:rFonts w:cs="Arial"/>
          <w:sz w:val="22"/>
          <w:szCs w:val="22"/>
        </w:rPr>
        <w:t xml:space="preserve"> doses </w:t>
      </w:r>
      <w:r w:rsidR="00294CB8">
        <w:rPr>
          <w:rFonts w:cs="Arial"/>
          <w:sz w:val="22"/>
          <w:szCs w:val="22"/>
        </w:rPr>
        <w:t>of 600 and</w:t>
      </w:r>
      <w:r w:rsidRPr="00B06D55">
        <w:rPr>
          <w:rFonts w:cs="Arial"/>
          <w:sz w:val="22"/>
          <w:szCs w:val="22"/>
        </w:rPr>
        <w:t xml:space="preserve"> 1000 mg/kg/day</w:t>
      </w:r>
      <w:r w:rsidR="00294CB8">
        <w:rPr>
          <w:rFonts w:cs="Arial"/>
          <w:sz w:val="22"/>
          <w:szCs w:val="22"/>
        </w:rPr>
        <w:t>, respectively.</w:t>
      </w:r>
      <w:r w:rsidRPr="00B06D55">
        <w:rPr>
          <w:rFonts w:cs="Arial"/>
          <w:sz w:val="22"/>
          <w:szCs w:val="22"/>
        </w:rPr>
        <w:t xml:space="preserve">  The highest doses in these studies </w:t>
      </w:r>
      <w:r w:rsidR="00294CB8">
        <w:rPr>
          <w:rFonts w:cs="Arial"/>
          <w:sz w:val="22"/>
          <w:szCs w:val="22"/>
        </w:rPr>
        <w:t>resulted in</w:t>
      </w:r>
      <w:r w:rsidRPr="00B06D55">
        <w:rPr>
          <w:rFonts w:cs="Arial"/>
          <w:sz w:val="22"/>
          <w:szCs w:val="22"/>
        </w:rPr>
        <w:t xml:space="preserve"> exposures </w:t>
      </w:r>
      <w:r w:rsidR="00294CB8">
        <w:rPr>
          <w:rFonts w:cs="Arial"/>
          <w:sz w:val="22"/>
          <w:szCs w:val="22"/>
        </w:rPr>
        <w:t>(based on AUC) that were</w:t>
      </w:r>
      <w:r w:rsidRPr="00B06D55">
        <w:rPr>
          <w:rFonts w:cs="Arial"/>
          <w:sz w:val="22"/>
          <w:szCs w:val="22"/>
        </w:rPr>
        <w:t xml:space="preserve"> approximately 3-</w:t>
      </w:r>
      <w:r w:rsidR="00294CB8">
        <w:rPr>
          <w:rFonts w:cs="Arial"/>
          <w:sz w:val="22"/>
          <w:szCs w:val="22"/>
        </w:rPr>
        <w:t xml:space="preserve"> (rats)</w:t>
      </w:r>
      <w:r w:rsidRPr="00B06D55">
        <w:rPr>
          <w:rFonts w:cs="Arial"/>
          <w:sz w:val="22"/>
          <w:szCs w:val="22"/>
        </w:rPr>
        <w:t xml:space="preserve"> to 4-</w:t>
      </w:r>
      <w:r w:rsidR="00294CB8">
        <w:rPr>
          <w:rFonts w:cs="Arial"/>
          <w:sz w:val="22"/>
          <w:szCs w:val="22"/>
        </w:rPr>
        <w:t xml:space="preserve"> (rabbits) </w:t>
      </w:r>
      <w:r w:rsidRPr="00B06D55">
        <w:rPr>
          <w:rFonts w:cs="Arial"/>
          <w:sz w:val="22"/>
          <w:szCs w:val="22"/>
        </w:rPr>
        <w:t xml:space="preserve">fold </w:t>
      </w:r>
      <w:r w:rsidR="00FF7CC6">
        <w:rPr>
          <w:rFonts w:cs="Arial"/>
          <w:sz w:val="22"/>
          <w:szCs w:val="22"/>
        </w:rPr>
        <w:t>the human</w:t>
      </w:r>
      <w:r w:rsidR="00294CB8">
        <w:rPr>
          <w:rFonts w:cs="Arial"/>
          <w:sz w:val="22"/>
          <w:szCs w:val="22"/>
        </w:rPr>
        <w:t xml:space="preserve"> value </w:t>
      </w:r>
      <w:r w:rsidRPr="00B06D55">
        <w:rPr>
          <w:rFonts w:cs="Arial"/>
          <w:sz w:val="22"/>
          <w:szCs w:val="22"/>
        </w:rPr>
        <w:t xml:space="preserve">at the </w:t>
      </w:r>
      <w:r w:rsidR="00294CB8">
        <w:rPr>
          <w:rFonts w:cs="Arial"/>
          <w:sz w:val="22"/>
          <w:szCs w:val="22"/>
        </w:rPr>
        <w:t xml:space="preserve">standard </w:t>
      </w:r>
      <w:r w:rsidRPr="00B06D55">
        <w:rPr>
          <w:rFonts w:cs="Arial"/>
          <w:sz w:val="22"/>
          <w:szCs w:val="22"/>
        </w:rPr>
        <w:t xml:space="preserve">recommended </w:t>
      </w:r>
      <w:r w:rsidR="00294CB8">
        <w:rPr>
          <w:rFonts w:cs="Arial"/>
          <w:sz w:val="22"/>
          <w:szCs w:val="22"/>
        </w:rPr>
        <w:t>clinical</w:t>
      </w:r>
      <w:r w:rsidRPr="00B06D55">
        <w:rPr>
          <w:rFonts w:cs="Arial"/>
          <w:sz w:val="22"/>
          <w:szCs w:val="22"/>
        </w:rPr>
        <w:t xml:space="preserve"> dose</w:t>
      </w:r>
      <w:r w:rsidR="00294CB8">
        <w:rPr>
          <w:rFonts w:cs="Arial"/>
          <w:sz w:val="22"/>
          <w:szCs w:val="22"/>
        </w:rPr>
        <w:t xml:space="preserve"> of 400 mg twice daily</w:t>
      </w:r>
      <w:r w:rsidRPr="00B06D55">
        <w:rPr>
          <w:rFonts w:cs="Arial"/>
          <w:sz w:val="22"/>
          <w:szCs w:val="22"/>
        </w:rPr>
        <w:t xml:space="preserve">. </w:t>
      </w:r>
      <w:r w:rsidR="000660A1">
        <w:rPr>
          <w:rFonts w:cs="Arial"/>
          <w:sz w:val="22"/>
          <w:szCs w:val="22"/>
        </w:rPr>
        <w:t>An increased</w:t>
      </w:r>
      <w:r w:rsidRPr="00B06D55">
        <w:rPr>
          <w:rFonts w:cs="Arial"/>
          <w:sz w:val="22"/>
          <w:szCs w:val="22"/>
        </w:rPr>
        <w:t xml:space="preserve"> incidence of </w:t>
      </w:r>
      <w:r w:rsidR="000660A1">
        <w:rPr>
          <w:rFonts w:cs="Arial"/>
          <w:sz w:val="22"/>
          <w:szCs w:val="22"/>
        </w:rPr>
        <w:t xml:space="preserve">foetal </w:t>
      </w:r>
      <w:r w:rsidRPr="00B06D55">
        <w:rPr>
          <w:rFonts w:cs="Arial"/>
          <w:sz w:val="22"/>
          <w:szCs w:val="22"/>
        </w:rPr>
        <w:t xml:space="preserve">supernumerary ribs </w:t>
      </w:r>
      <w:r w:rsidR="000660A1">
        <w:rPr>
          <w:rFonts w:cs="Arial"/>
          <w:sz w:val="22"/>
          <w:szCs w:val="22"/>
        </w:rPr>
        <w:t xml:space="preserve">was observed </w:t>
      </w:r>
      <w:r w:rsidR="00FF7CC6">
        <w:rPr>
          <w:rFonts w:cs="Arial"/>
          <w:sz w:val="22"/>
          <w:szCs w:val="22"/>
        </w:rPr>
        <w:t>in r</w:t>
      </w:r>
      <w:r w:rsidR="000660A1">
        <w:rPr>
          <w:rFonts w:cs="Arial"/>
          <w:sz w:val="22"/>
          <w:szCs w:val="22"/>
        </w:rPr>
        <w:t>at</w:t>
      </w:r>
      <w:r w:rsidR="00FF7CC6">
        <w:rPr>
          <w:rFonts w:cs="Arial"/>
          <w:sz w:val="22"/>
          <w:szCs w:val="22"/>
        </w:rPr>
        <w:t>s</w:t>
      </w:r>
      <w:r w:rsidR="000660A1">
        <w:rPr>
          <w:rFonts w:cs="Arial"/>
          <w:sz w:val="22"/>
          <w:szCs w:val="22"/>
        </w:rPr>
        <w:t xml:space="preserve"> the highest dose, but not at a dose of 300 mg/kg/day (drug exposure approximately 2-fold the human value). Foetal development was unaffected in rabbits. Placental transfer of raltegravir to the foetus was substantial in rats, but minimal in rabbits. </w:t>
      </w:r>
      <w:r w:rsidRPr="00B06D55">
        <w:rPr>
          <w:rFonts w:cs="Arial"/>
          <w:sz w:val="22"/>
          <w:szCs w:val="22"/>
        </w:rPr>
        <w:t xml:space="preserve"> </w:t>
      </w:r>
    </w:p>
    <w:p w:rsidR="005D3446" w:rsidRPr="005D3446" w:rsidRDefault="005D3446" w:rsidP="005D3446">
      <w:pPr>
        <w:jc w:val="both"/>
        <w:rPr>
          <w:rFonts w:ascii="Arial" w:hAnsi="Arial" w:cs="Arial"/>
          <w:bCs/>
          <w:iCs/>
          <w:caps/>
          <w:noProof/>
          <w:sz w:val="22"/>
          <w:szCs w:val="22"/>
        </w:rPr>
      </w:pPr>
      <w:r>
        <w:rPr>
          <w:rFonts w:ascii="Arial" w:hAnsi="Arial" w:cs="Arial"/>
          <w:noProof/>
          <w:sz w:val="22"/>
          <w:szCs w:val="22"/>
        </w:rPr>
        <w:t xml:space="preserve">There are no adequate and well-controlled studies in pregnant women; </w:t>
      </w:r>
      <w:r>
        <w:rPr>
          <w:rFonts w:ascii="Arial" w:hAnsi="Arial" w:cs="Arial"/>
          <w:bCs/>
          <w:iCs/>
          <w:noProof/>
          <w:sz w:val="22"/>
          <w:szCs w:val="22"/>
        </w:rPr>
        <w:t>therefore, the safety of ISENTRESS in pregnant women is not known. ISENTRESS</w:t>
      </w:r>
      <w:r w:rsidR="00DD6979">
        <w:rPr>
          <w:rFonts w:ascii="Arial" w:hAnsi="Arial" w:cs="Arial"/>
          <w:bCs/>
          <w:iCs/>
          <w:noProof/>
          <w:sz w:val="22"/>
          <w:szCs w:val="22"/>
        </w:rPr>
        <w:t xml:space="preserve"> </w:t>
      </w:r>
      <w:r>
        <w:rPr>
          <w:rFonts w:ascii="Arial" w:hAnsi="Arial" w:cs="Arial"/>
          <w:bCs/>
          <w:iCs/>
          <w:noProof/>
          <w:sz w:val="22"/>
          <w:szCs w:val="22"/>
        </w:rPr>
        <w:t>is</w:t>
      </w:r>
      <w:r w:rsidRPr="007D36E1">
        <w:rPr>
          <w:rFonts w:ascii="Arial" w:hAnsi="Arial" w:cs="Arial"/>
          <w:bCs/>
          <w:iCs/>
          <w:noProof/>
          <w:sz w:val="22"/>
          <w:szCs w:val="22"/>
        </w:rPr>
        <w:t xml:space="preserve"> not recommended for use in pregnancy.</w:t>
      </w:r>
      <w:r w:rsidR="00022FEC">
        <w:rPr>
          <w:rFonts w:ascii="Arial" w:hAnsi="Arial" w:cs="Arial"/>
          <w:bCs/>
          <w:iCs/>
          <w:noProof/>
          <w:sz w:val="22"/>
          <w:szCs w:val="22"/>
        </w:rPr>
        <w:t xml:space="preserve"> </w:t>
      </w:r>
    </w:p>
    <w:p w:rsidR="005D3446" w:rsidRPr="005D3446" w:rsidRDefault="005D3446" w:rsidP="007B01A3">
      <w:pPr>
        <w:pStyle w:val="Heading4"/>
        <w:rPr>
          <w:noProof/>
        </w:rPr>
      </w:pPr>
      <w:r w:rsidRPr="005D3446">
        <w:rPr>
          <w:noProof/>
        </w:rPr>
        <w:t>Use in lactation</w:t>
      </w:r>
    </w:p>
    <w:p w:rsidR="005D3446" w:rsidRDefault="005D3446" w:rsidP="005D3446">
      <w:pPr>
        <w:jc w:val="both"/>
        <w:rPr>
          <w:rFonts w:ascii="Arial" w:hAnsi="Arial"/>
          <w:sz w:val="22"/>
          <w:szCs w:val="22"/>
        </w:rPr>
      </w:pPr>
      <w:bookmarkStart w:id="9" w:name="OLE_LINK28"/>
      <w:bookmarkStart w:id="10" w:name="OLE_LINK29"/>
      <w:r>
        <w:rPr>
          <w:rFonts w:ascii="Arial" w:hAnsi="Arial"/>
          <w:sz w:val="22"/>
          <w:szCs w:val="22"/>
        </w:rPr>
        <w:t>It is not known whether raltegravir is secreted in human milk. However, raltegravir is secreted in the milk of lactating rats</w:t>
      </w:r>
      <w:r w:rsidR="00B7088E">
        <w:rPr>
          <w:rFonts w:ascii="Arial" w:hAnsi="Arial"/>
          <w:sz w:val="22"/>
          <w:szCs w:val="22"/>
        </w:rPr>
        <w:t>,</w:t>
      </w:r>
      <w:r>
        <w:rPr>
          <w:rFonts w:ascii="Arial" w:hAnsi="Arial"/>
          <w:sz w:val="22"/>
          <w:szCs w:val="22"/>
        </w:rPr>
        <w:t xml:space="preserve"> </w:t>
      </w:r>
      <w:r w:rsidR="000660A1">
        <w:rPr>
          <w:rFonts w:ascii="Arial" w:hAnsi="Arial"/>
          <w:sz w:val="22"/>
          <w:szCs w:val="22"/>
        </w:rPr>
        <w:t xml:space="preserve">in which </w:t>
      </w:r>
      <w:r>
        <w:rPr>
          <w:rFonts w:ascii="Arial" w:hAnsi="Arial"/>
          <w:sz w:val="22"/>
          <w:szCs w:val="22"/>
        </w:rPr>
        <w:t>mean drug concentrations in milk were approximately 3</w:t>
      </w:r>
      <w:r>
        <w:rPr>
          <w:rFonts w:ascii="Arial" w:hAnsi="Arial"/>
          <w:sz w:val="22"/>
          <w:szCs w:val="22"/>
        </w:rPr>
        <w:noBreakHyphen/>
        <w:t xml:space="preserve">fold greater than in maternal plasma. Breastfeeding is not recommended while taking ISENTRESS. In addition, it is recommended that HIV-infected mothers not breastfeed their infants to avoid risking postnatal transmission of HIV. </w:t>
      </w:r>
    </w:p>
    <w:bookmarkEnd w:id="9"/>
    <w:bookmarkEnd w:id="10"/>
    <w:p w:rsidR="001C5681" w:rsidRDefault="005D3446" w:rsidP="007B01A3">
      <w:pPr>
        <w:pStyle w:val="Heading4"/>
        <w:rPr>
          <w:noProof/>
        </w:rPr>
      </w:pPr>
      <w:r w:rsidRPr="005D3446">
        <w:rPr>
          <w:noProof/>
        </w:rPr>
        <w:t>Paediatric Use</w:t>
      </w:r>
    </w:p>
    <w:p w:rsidR="002044A6" w:rsidRDefault="00D67F3A" w:rsidP="00BF2AEF">
      <w:pPr>
        <w:rPr>
          <w:rFonts w:ascii="Arial" w:hAnsi="Arial" w:cs="Arial"/>
          <w:sz w:val="22"/>
          <w:szCs w:val="22"/>
        </w:rPr>
      </w:pPr>
      <w:r>
        <w:rPr>
          <w:rFonts w:ascii="Arial" w:hAnsi="Arial" w:cs="Arial"/>
          <w:sz w:val="22"/>
          <w:szCs w:val="22"/>
        </w:rPr>
        <w:t>IMPAACT (P10</w:t>
      </w:r>
      <w:r w:rsidR="00EB4261">
        <w:rPr>
          <w:rFonts w:ascii="Arial" w:hAnsi="Arial" w:cs="Arial"/>
          <w:sz w:val="22"/>
          <w:szCs w:val="22"/>
        </w:rPr>
        <w:t>66</w:t>
      </w:r>
      <w:r>
        <w:rPr>
          <w:rFonts w:ascii="Arial" w:hAnsi="Arial" w:cs="Arial"/>
          <w:sz w:val="22"/>
          <w:szCs w:val="22"/>
        </w:rPr>
        <w:t>) was conducted in treatment-experienced HIV infected children and adolescents aged 2 to 18 years of age. Given raltegravir exposures in children approximated that in adults, i</w:t>
      </w:r>
      <w:r w:rsidR="00B82222">
        <w:rPr>
          <w:rFonts w:ascii="Arial" w:hAnsi="Arial" w:cs="Arial"/>
          <w:sz w:val="22"/>
          <w:szCs w:val="22"/>
        </w:rPr>
        <w:t>t</w:t>
      </w:r>
      <w:r w:rsidR="002044A6">
        <w:rPr>
          <w:rFonts w:ascii="Arial" w:hAnsi="Arial" w:cs="Arial"/>
          <w:sz w:val="22"/>
          <w:szCs w:val="22"/>
        </w:rPr>
        <w:t xml:space="preserve"> is expected the </w:t>
      </w:r>
      <w:r w:rsidR="00D97006">
        <w:rPr>
          <w:rFonts w:ascii="Arial" w:hAnsi="Arial" w:cs="Arial"/>
          <w:sz w:val="22"/>
          <w:szCs w:val="22"/>
        </w:rPr>
        <w:t xml:space="preserve">safety and </w:t>
      </w:r>
      <w:r w:rsidR="002044A6">
        <w:rPr>
          <w:rFonts w:ascii="Arial" w:hAnsi="Arial" w:cs="Arial"/>
          <w:sz w:val="22"/>
          <w:szCs w:val="22"/>
        </w:rPr>
        <w:t>efficacy profile in</w:t>
      </w:r>
      <w:r w:rsidR="00383D2A">
        <w:rPr>
          <w:rFonts w:ascii="Arial" w:hAnsi="Arial" w:cs="Arial"/>
          <w:sz w:val="22"/>
          <w:szCs w:val="22"/>
        </w:rPr>
        <w:t xml:space="preserve"> treatment-naïve </w:t>
      </w:r>
      <w:r w:rsidR="00D97006">
        <w:rPr>
          <w:rFonts w:ascii="Arial" w:hAnsi="Arial" w:cs="Arial"/>
          <w:sz w:val="22"/>
          <w:szCs w:val="22"/>
        </w:rPr>
        <w:t xml:space="preserve">HIV infected </w:t>
      </w:r>
      <w:r w:rsidR="00383D2A">
        <w:rPr>
          <w:rFonts w:ascii="Arial" w:hAnsi="Arial" w:cs="Arial"/>
          <w:sz w:val="22"/>
          <w:szCs w:val="22"/>
        </w:rPr>
        <w:t>children</w:t>
      </w:r>
      <w:r w:rsidR="00B82222">
        <w:rPr>
          <w:rFonts w:ascii="Arial" w:hAnsi="Arial" w:cs="Arial"/>
          <w:sz w:val="22"/>
          <w:szCs w:val="22"/>
        </w:rPr>
        <w:t xml:space="preserve"> aged 2 to 18 years </w:t>
      </w:r>
      <w:r w:rsidR="002044A6">
        <w:rPr>
          <w:rFonts w:ascii="Arial" w:hAnsi="Arial" w:cs="Arial"/>
          <w:sz w:val="22"/>
          <w:szCs w:val="22"/>
        </w:rPr>
        <w:t>would not be substantially different from that seen in treatment</w:t>
      </w:r>
      <w:r w:rsidR="00B82222">
        <w:rPr>
          <w:rFonts w:ascii="Arial" w:hAnsi="Arial" w:cs="Arial"/>
          <w:sz w:val="22"/>
          <w:szCs w:val="22"/>
        </w:rPr>
        <w:t>-</w:t>
      </w:r>
      <w:r w:rsidR="002044A6">
        <w:rPr>
          <w:rFonts w:ascii="Arial" w:hAnsi="Arial" w:cs="Arial"/>
          <w:sz w:val="22"/>
          <w:szCs w:val="22"/>
        </w:rPr>
        <w:t>naïve adults</w:t>
      </w:r>
      <w:r>
        <w:rPr>
          <w:rFonts w:ascii="Arial" w:hAnsi="Arial" w:cs="Arial"/>
          <w:sz w:val="22"/>
          <w:szCs w:val="22"/>
        </w:rPr>
        <w:t>.</w:t>
      </w:r>
    </w:p>
    <w:p w:rsidR="006E1144" w:rsidRPr="007B01A3" w:rsidRDefault="005D3446" w:rsidP="005D3446">
      <w:pPr>
        <w:rPr>
          <w:rFonts w:ascii="Arial" w:hAnsi="Arial" w:cs="Arial"/>
          <w:color w:val="0000FF"/>
          <w:sz w:val="20"/>
        </w:rPr>
      </w:pPr>
      <w:r>
        <w:rPr>
          <w:rFonts w:ascii="Arial" w:hAnsi="Arial" w:cs="Arial"/>
          <w:sz w:val="22"/>
          <w:szCs w:val="22"/>
        </w:rPr>
        <w:t xml:space="preserve">Safety and effectiveness </w:t>
      </w:r>
      <w:r w:rsidR="00A2509B">
        <w:rPr>
          <w:rFonts w:ascii="Arial" w:hAnsi="Arial" w:cs="Arial"/>
          <w:sz w:val="22"/>
          <w:szCs w:val="22"/>
        </w:rPr>
        <w:t xml:space="preserve">of ISENTRESS </w:t>
      </w:r>
      <w:r>
        <w:rPr>
          <w:rFonts w:ascii="Arial" w:hAnsi="Arial" w:cs="Arial"/>
          <w:sz w:val="22"/>
          <w:szCs w:val="22"/>
        </w:rPr>
        <w:t xml:space="preserve">in </w:t>
      </w:r>
      <w:r w:rsidR="00A2509B">
        <w:rPr>
          <w:rFonts w:ascii="Arial" w:hAnsi="Arial" w:cs="Arial"/>
          <w:sz w:val="22"/>
          <w:szCs w:val="22"/>
        </w:rPr>
        <w:t xml:space="preserve">children under 2 </w:t>
      </w:r>
      <w:r>
        <w:rPr>
          <w:rFonts w:ascii="Arial" w:hAnsi="Arial" w:cs="Arial"/>
          <w:sz w:val="22"/>
          <w:szCs w:val="22"/>
        </w:rPr>
        <w:t xml:space="preserve">years </w:t>
      </w:r>
      <w:r w:rsidR="006D783E">
        <w:rPr>
          <w:rFonts w:ascii="Arial" w:hAnsi="Arial" w:cs="Arial"/>
          <w:sz w:val="22"/>
          <w:szCs w:val="22"/>
        </w:rPr>
        <w:t xml:space="preserve">of age </w:t>
      </w:r>
      <w:r>
        <w:rPr>
          <w:rFonts w:ascii="Arial" w:hAnsi="Arial" w:cs="Arial"/>
          <w:sz w:val="22"/>
          <w:szCs w:val="22"/>
        </w:rPr>
        <w:t>have not been established.</w:t>
      </w:r>
      <w:r w:rsidR="004A31E4">
        <w:rPr>
          <w:rFonts w:ascii="Arial" w:hAnsi="Arial" w:cs="Arial"/>
          <w:sz w:val="22"/>
          <w:szCs w:val="22"/>
        </w:rPr>
        <w:t xml:space="preserve"> </w:t>
      </w:r>
    </w:p>
    <w:p w:rsidR="005D3446" w:rsidRPr="005D3446" w:rsidRDefault="005D3446" w:rsidP="007B01A3">
      <w:pPr>
        <w:pStyle w:val="Heading4"/>
        <w:rPr>
          <w:noProof/>
        </w:rPr>
      </w:pPr>
      <w:r w:rsidRPr="005D3446">
        <w:rPr>
          <w:noProof/>
        </w:rPr>
        <w:t>Use in the elderly</w:t>
      </w:r>
    </w:p>
    <w:p w:rsidR="005D3446" w:rsidRDefault="005D3446" w:rsidP="005D3446">
      <w:pPr>
        <w:tabs>
          <w:tab w:val="left" w:pos="360"/>
        </w:tabs>
        <w:ind w:right="234"/>
        <w:jc w:val="both"/>
        <w:rPr>
          <w:rFonts w:ascii="Arial" w:hAnsi="Arial" w:cs="Arial"/>
          <w:sz w:val="22"/>
          <w:szCs w:val="22"/>
        </w:rPr>
      </w:pPr>
      <w:r>
        <w:rPr>
          <w:rFonts w:ascii="Arial" w:hAnsi="Arial" w:cs="Arial"/>
          <w:sz w:val="22"/>
          <w:szCs w:val="22"/>
        </w:rPr>
        <w:t>Clinical studies of ISENTRESS did not include sufficient numbers of patients aged 65 and over to determine whether they respond differently from younger patients. Other reported clinical experience has not identified differences in responses between the elderly and younger patients. In general, dose selection for an elderly patient should be cautious, reflecting the greater frequency of decreased hepatic, renal, or cardiac function, and of concomitant disease or other drug therapy.</w:t>
      </w:r>
    </w:p>
    <w:p w:rsidR="000660A1" w:rsidRDefault="00230FD1" w:rsidP="007B01A3">
      <w:pPr>
        <w:pStyle w:val="Heading4"/>
        <w:rPr>
          <w:noProof/>
        </w:rPr>
      </w:pPr>
      <w:r>
        <w:rPr>
          <w:noProof/>
        </w:rPr>
        <w:lastRenderedPageBreak/>
        <w:t>USE IN PATIENTS WITH IMPAIRED HEPATIC FUNCTION</w:t>
      </w:r>
    </w:p>
    <w:p w:rsidR="00BD6549" w:rsidRPr="00D121E4" w:rsidRDefault="00AA03D4" w:rsidP="00936494">
      <w:pPr>
        <w:rPr>
          <w:rFonts w:ascii="Arial" w:eastAsia="MS Mincho" w:hAnsi="Arial" w:cs="Arial"/>
          <w:sz w:val="22"/>
          <w:szCs w:val="22"/>
          <w:lang w:eastAsia="ja-JP"/>
        </w:rPr>
      </w:pPr>
      <w:r w:rsidRPr="00AA03D4">
        <w:rPr>
          <w:rFonts w:ascii="Arial" w:eastAsia="MS Mincho" w:hAnsi="Arial" w:cs="Arial"/>
          <w:sz w:val="22"/>
          <w:szCs w:val="22"/>
          <w:lang w:eastAsia="ja-JP"/>
        </w:rPr>
        <w:t xml:space="preserve">The safety and efficacy of ISENTRESS have not been established in </w:t>
      </w:r>
      <w:r>
        <w:rPr>
          <w:rFonts w:ascii="Arial" w:eastAsia="MS Mincho" w:hAnsi="Arial" w:cs="Arial"/>
          <w:sz w:val="22"/>
          <w:szCs w:val="22"/>
          <w:lang w:eastAsia="ja-JP"/>
        </w:rPr>
        <w:t xml:space="preserve">patients with </w:t>
      </w:r>
      <w:r w:rsidRPr="00D121E4">
        <w:rPr>
          <w:rFonts w:ascii="Arial" w:eastAsia="MS Mincho" w:hAnsi="Arial" w:cs="Arial"/>
          <w:sz w:val="22"/>
          <w:szCs w:val="22"/>
          <w:lang w:eastAsia="ja-JP"/>
        </w:rPr>
        <w:t xml:space="preserve">severe underlying liver disorders. </w:t>
      </w:r>
      <w:r w:rsidR="00D508F3" w:rsidRPr="00D121E4">
        <w:rPr>
          <w:rFonts w:ascii="Arial" w:eastAsia="MS Mincho" w:hAnsi="Arial" w:cs="Arial"/>
          <w:sz w:val="22"/>
          <w:szCs w:val="22"/>
          <w:lang w:eastAsia="ja-JP"/>
        </w:rPr>
        <w:t xml:space="preserve"> </w:t>
      </w:r>
    </w:p>
    <w:p w:rsidR="000D0744" w:rsidRPr="00680020" w:rsidRDefault="000D0744" w:rsidP="007B01A3">
      <w:pPr>
        <w:pStyle w:val="Heading4"/>
        <w:rPr>
          <w:noProof/>
        </w:rPr>
      </w:pPr>
      <w:r w:rsidRPr="00680020">
        <w:rPr>
          <w:noProof/>
        </w:rPr>
        <w:t>PHENYLKETONURICS</w:t>
      </w:r>
      <w:r w:rsidR="00D121E4" w:rsidRPr="00680020">
        <w:rPr>
          <w:noProof/>
        </w:rPr>
        <w:t xml:space="preserve"> </w:t>
      </w:r>
    </w:p>
    <w:p w:rsidR="000D0744" w:rsidRPr="00680020" w:rsidRDefault="000D0744" w:rsidP="00680020">
      <w:pPr>
        <w:jc w:val="both"/>
        <w:rPr>
          <w:rFonts w:ascii="Arial" w:hAnsi="Arial" w:cs="Arial"/>
          <w:bCs/>
          <w:iCs/>
          <w:noProof/>
          <w:sz w:val="22"/>
          <w:szCs w:val="22"/>
        </w:rPr>
      </w:pPr>
      <w:r w:rsidRPr="00680020">
        <w:rPr>
          <w:rFonts w:ascii="Arial" w:hAnsi="Arial" w:cs="Arial"/>
          <w:bCs/>
          <w:iCs/>
          <w:noProof/>
          <w:sz w:val="22"/>
          <w:szCs w:val="22"/>
        </w:rPr>
        <w:t xml:space="preserve">Chewable </w:t>
      </w:r>
      <w:r w:rsidR="002C2C40" w:rsidRPr="00680020">
        <w:rPr>
          <w:rFonts w:ascii="Arial" w:hAnsi="Arial" w:cs="Arial"/>
          <w:bCs/>
          <w:iCs/>
          <w:noProof/>
          <w:sz w:val="22"/>
          <w:szCs w:val="22"/>
        </w:rPr>
        <w:t>t</w:t>
      </w:r>
      <w:r w:rsidRPr="00680020">
        <w:rPr>
          <w:rFonts w:ascii="Arial" w:hAnsi="Arial" w:cs="Arial"/>
          <w:bCs/>
          <w:iCs/>
          <w:noProof/>
          <w:sz w:val="22"/>
          <w:szCs w:val="22"/>
        </w:rPr>
        <w:t>ablets contain</w:t>
      </w:r>
      <w:r w:rsidR="00D121E4" w:rsidRPr="00680020">
        <w:rPr>
          <w:rFonts w:ascii="Arial" w:hAnsi="Arial" w:cs="Arial"/>
          <w:bCs/>
          <w:iCs/>
          <w:noProof/>
          <w:sz w:val="22"/>
          <w:szCs w:val="22"/>
        </w:rPr>
        <w:t xml:space="preserve"> phenylalanine </w:t>
      </w:r>
      <w:r w:rsidR="002963F9" w:rsidRPr="00680020">
        <w:rPr>
          <w:rFonts w:ascii="Arial" w:hAnsi="Arial" w:cs="Arial"/>
          <w:bCs/>
          <w:iCs/>
          <w:noProof/>
          <w:sz w:val="22"/>
          <w:szCs w:val="22"/>
        </w:rPr>
        <w:t xml:space="preserve">as </w:t>
      </w:r>
      <w:r w:rsidR="00D121E4" w:rsidRPr="00680020">
        <w:rPr>
          <w:rFonts w:ascii="Arial" w:hAnsi="Arial" w:cs="Arial"/>
          <w:bCs/>
          <w:iCs/>
          <w:noProof/>
          <w:sz w:val="22"/>
          <w:szCs w:val="22"/>
        </w:rPr>
        <w:t>a component of aspartame.  Each 25 mg chewable tablet contains approximately 0.05 mg phenylalanine.  Each 100 mg chewable tablet contains approximately 0.10 mg phenylalanine.  Phenylalanine can be harmful to patients with phenylketonuria.</w:t>
      </w:r>
    </w:p>
    <w:p w:rsidR="005D3446" w:rsidRPr="005D3446" w:rsidRDefault="005D3446" w:rsidP="007B01A3">
      <w:pPr>
        <w:pStyle w:val="Heading4"/>
        <w:rPr>
          <w:noProof/>
        </w:rPr>
      </w:pPr>
      <w:r w:rsidRPr="005D3446">
        <w:rPr>
          <w:noProof/>
        </w:rPr>
        <w:t>Carcinogenicity</w:t>
      </w:r>
    </w:p>
    <w:p w:rsidR="009242CD" w:rsidRDefault="009242CD" w:rsidP="009242CD">
      <w:pPr>
        <w:autoSpaceDE w:val="0"/>
        <w:autoSpaceDN w:val="0"/>
        <w:adjustRightInd w:val="0"/>
        <w:jc w:val="both"/>
        <w:rPr>
          <w:rFonts w:ascii="Arial" w:hAnsi="Arial" w:cs="Arial"/>
          <w:color w:val="000000"/>
          <w:sz w:val="22"/>
          <w:szCs w:val="22"/>
        </w:rPr>
      </w:pPr>
      <w:r w:rsidRPr="005F5A6B">
        <w:rPr>
          <w:rFonts w:ascii="Arial" w:hAnsi="Arial" w:cs="Arial"/>
          <w:sz w:val="22"/>
          <w:szCs w:val="22"/>
        </w:rPr>
        <w:t xml:space="preserve">Carcinogenicity studies of raltegravir in mice did not show any carcinogenic potential. At the highest dose levels, 400 mg/kg/day in females and 250 mg/kg/day in males, systemic exposure was approximately 2-fold greater </w:t>
      </w:r>
      <w:r w:rsidR="005F5A6B" w:rsidRPr="005F5A6B">
        <w:rPr>
          <w:rFonts w:ascii="Arial" w:hAnsi="Arial" w:cs="Arial"/>
          <w:sz w:val="22"/>
          <w:szCs w:val="22"/>
        </w:rPr>
        <w:t xml:space="preserve">than </w:t>
      </w:r>
      <w:r w:rsidRPr="005F5A6B">
        <w:rPr>
          <w:rFonts w:ascii="Arial" w:hAnsi="Arial" w:cs="Arial"/>
          <w:sz w:val="22"/>
          <w:szCs w:val="22"/>
        </w:rPr>
        <w:t xml:space="preserve">(females) or equal to (males) the </w:t>
      </w:r>
      <w:r w:rsidR="005F5A6B" w:rsidRPr="005F5A6B">
        <w:rPr>
          <w:rFonts w:ascii="Arial" w:hAnsi="Arial" w:cs="Arial"/>
          <w:sz w:val="22"/>
          <w:szCs w:val="22"/>
        </w:rPr>
        <w:t xml:space="preserve">clinical </w:t>
      </w:r>
      <w:r w:rsidRPr="005F5A6B">
        <w:rPr>
          <w:rFonts w:ascii="Arial" w:hAnsi="Arial" w:cs="Arial"/>
          <w:sz w:val="22"/>
          <w:szCs w:val="22"/>
        </w:rPr>
        <w:t xml:space="preserve">AUC (54 µM●hr) at the 400-mg twice daily dose. In rats, </w:t>
      </w:r>
      <w:r w:rsidR="005F5A6B">
        <w:rPr>
          <w:rFonts w:ascii="Arial" w:hAnsi="Arial" w:cs="Arial"/>
          <w:sz w:val="22"/>
          <w:szCs w:val="22"/>
        </w:rPr>
        <w:t>treatment-related squamous cell carcinomas</w:t>
      </w:r>
      <w:r w:rsidRPr="005F5A6B">
        <w:rPr>
          <w:rFonts w:ascii="Arial" w:hAnsi="Arial" w:cs="Arial"/>
          <w:sz w:val="22"/>
          <w:szCs w:val="22"/>
        </w:rPr>
        <w:t xml:space="preserve"> of the nose/nasopharynx were identified in high- and mid-dose group animals</w:t>
      </w:r>
      <w:r w:rsidR="005F5A6B">
        <w:rPr>
          <w:rFonts w:ascii="Arial" w:hAnsi="Arial" w:cs="Arial"/>
          <w:sz w:val="22"/>
          <w:szCs w:val="22"/>
        </w:rPr>
        <w:t xml:space="preserve"> treated with raltegravir for two years</w:t>
      </w:r>
      <w:r w:rsidRPr="005F5A6B">
        <w:rPr>
          <w:rFonts w:ascii="Arial" w:hAnsi="Arial" w:cs="Arial"/>
          <w:sz w:val="22"/>
          <w:szCs w:val="22"/>
        </w:rPr>
        <w:t>.</w:t>
      </w:r>
      <w:r w:rsidR="005243DB">
        <w:rPr>
          <w:rFonts w:ascii="Arial" w:hAnsi="Arial" w:cs="Arial"/>
          <w:sz w:val="22"/>
          <w:szCs w:val="22"/>
        </w:rPr>
        <w:t xml:space="preserve"> </w:t>
      </w:r>
      <w:r w:rsidR="005F5A6B">
        <w:rPr>
          <w:rFonts w:ascii="Arial" w:hAnsi="Arial" w:cs="Arial"/>
          <w:sz w:val="22"/>
          <w:szCs w:val="22"/>
        </w:rPr>
        <w:t xml:space="preserve">No tumors of the nose/nasopharynx were observed in rats dosed with 50 mg/kg/day in females and 150 mg/kg/day in males at which </w:t>
      </w:r>
      <w:r w:rsidRPr="005F5A6B">
        <w:rPr>
          <w:rFonts w:ascii="Arial" w:hAnsi="Arial" w:cs="Arial"/>
          <w:sz w:val="22"/>
          <w:szCs w:val="22"/>
        </w:rPr>
        <w:t xml:space="preserve">systemic exposure was </w:t>
      </w:r>
      <w:r w:rsidR="005F5A6B">
        <w:rPr>
          <w:rFonts w:ascii="Arial" w:hAnsi="Arial" w:cs="Arial"/>
          <w:sz w:val="22"/>
          <w:szCs w:val="22"/>
        </w:rPr>
        <w:t>approximately 1.5</w:t>
      </w:r>
      <w:r w:rsidRPr="005F5A6B">
        <w:rPr>
          <w:rFonts w:ascii="Arial" w:hAnsi="Arial" w:cs="Arial"/>
          <w:sz w:val="22"/>
          <w:szCs w:val="22"/>
        </w:rPr>
        <w:t xml:space="preserve"> fold greater than the AUC (54 µM●hr) at the clinical 400-mg twice daily dose.</w:t>
      </w:r>
    </w:p>
    <w:p w:rsidR="005D3446" w:rsidRPr="005D3446" w:rsidRDefault="005D3446" w:rsidP="007B01A3">
      <w:pPr>
        <w:pStyle w:val="Heading4"/>
        <w:rPr>
          <w:noProof/>
        </w:rPr>
      </w:pPr>
      <w:r w:rsidRPr="005D3446">
        <w:rPr>
          <w:noProof/>
        </w:rPr>
        <w:t>Genotoxicity</w:t>
      </w:r>
    </w:p>
    <w:p w:rsidR="009242CD" w:rsidRDefault="005D3446" w:rsidP="00D35980">
      <w:pPr>
        <w:tabs>
          <w:tab w:val="left" w:pos="360"/>
        </w:tabs>
        <w:ind w:right="234"/>
        <w:jc w:val="both"/>
        <w:rPr>
          <w:rFonts w:ascii="Arial" w:hAnsi="Arial" w:cs="Arial"/>
          <w:sz w:val="22"/>
          <w:szCs w:val="22"/>
        </w:rPr>
      </w:pPr>
      <w:r>
        <w:rPr>
          <w:rFonts w:ascii="Arial" w:hAnsi="Arial" w:cs="Arial"/>
          <w:sz w:val="22"/>
          <w:szCs w:val="22"/>
        </w:rPr>
        <w:t xml:space="preserve">No evidence of mutagenicity or genotoxicity was observed in </w:t>
      </w:r>
      <w:r>
        <w:rPr>
          <w:rFonts w:ascii="Arial" w:hAnsi="Arial" w:cs="Arial"/>
          <w:i/>
          <w:iCs/>
          <w:sz w:val="22"/>
          <w:szCs w:val="22"/>
        </w:rPr>
        <w:t>in vitro</w:t>
      </w:r>
      <w:r>
        <w:rPr>
          <w:rFonts w:ascii="Arial" w:hAnsi="Arial" w:cs="Arial"/>
          <w:sz w:val="22"/>
          <w:szCs w:val="22"/>
        </w:rPr>
        <w:t xml:space="preserve"> microbial mutagenesis (Ames) tests, </w:t>
      </w:r>
      <w:r>
        <w:rPr>
          <w:rFonts w:ascii="Arial" w:hAnsi="Arial" w:cs="Arial"/>
          <w:i/>
          <w:iCs/>
          <w:sz w:val="22"/>
          <w:szCs w:val="22"/>
        </w:rPr>
        <w:t>in vitro</w:t>
      </w:r>
      <w:r>
        <w:rPr>
          <w:rFonts w:ascii="Arial" w:hAnsi="Arial" w:cs="Arial"/>
          <w:sz w:val="22"/>
          <w:szCs w:val="22"/>
        </w:rPr>
        <w:t xml:space="preserve"> alkaline elution assays for DNA breakage and </w:t>
      </w:r>
      <w:r>
        <w:rPr>
          <w:rFonts w:ascii="Arial" w:hAnsi="Arial" w:cs="Arial"/>
          <w:i/>
          <w:iCs/>
          <w:sz w:val="22"/>
          <w:szCs w:val="22"/>
        </w:rPr>
        <w:t>in vitro</w:t>
      </w:r>
      <w:r>
        <w:rPr>
          <w:rFonts w:ascii="Arial" w:hAnsi="Arial" w:cs="Arial"/>
          <w:sz w:val="22"/>
          <w:szCs w:val="22"/>
        </w:rPr>
        <w:t xml:space="preserve"> and </w:t>
      </w:r>
      <w:r>
        <w:rPr>
          <w:rFonts w:ascii="Arial" w:hAnsi="Arial" w:cs="Arial"/>
          <w:i/>
          <w:iCs/>
          <w:sz w:val="22"/>
          <w:szCs w:val="22"/>
        </w:rPr>
        <w:t>in vivo</w:t>
      </w:r>
      <w:r>
        <w:rPr>
          <w:rFonts w:ascii="Arial" w:hAnsi="Arial" w:cs="Arial"/>
          <w:sz w:val="22"/>
          <w:szCs w:val="22"/>
        </w:rPr>
        <w:t xml:space="preserve"> </w:t>
      </w:r>
      <w:r w:rsidR="00D35980">
        <w:rPr>
          <w:rFonts w:ascii="Arial" w:hAnsi="Arial" w:cs="Arial"/>
          <w:sz w:val="22"/>
          <w:szCs w:val="22"/>
        </w:rPr>
        <w:t>tests for clastogenic activity</w:t>
      </w:r>
      <w:r w:rsidR="005A531B">
        <w:rPr>
          <w:rFonts w:ascii="Arial" w:hAnsi="Arial" w:cs="Arial"/>
          <w:sz w:val="22"/>
          <w:szCs w:val="22"/>
        </w:rPr>
        <w:t>.</w:t>
      </w:r>
      <w:r w:rsidR="009242CD">
        <w:rPr>
          <w:rFonts w:ascii="Arial" w:hAnsi="Arial" w:cs="Arial"/>
          <w:sz w:val="22"/>
          <w:szCs w:val="22"/>
        </w:rPr>
        <w:t xml:space="preserve"> </w:t>
      </w:r>
    </w:p>
    <w:p w:rsidR="004A0B60" w:rsidRDefault="00D35980" w:rsidP="007B01A3">
      <w:pPr>
        <w:pStyle w:val="Heading4"/>
        <w:rPr>
          <w:noProof/>
        </w:rPr>
      </w:pPr>
      <w:r>
        <w:rPr>
          <w:noProof/>
        </w:rPr>
        <w:t xml:space="preserve">Juvenile </w:t>
      </w:r>
      <w:r w:rsidR="004A0B60">
        <w:rPr>
          <w:noProof/>
        </w:rPr>
        <w:t>DEVELOPMENT</w:t>
      </w:r>
    </w:p>
    <w:p w:rsidR="004A0B60" w:rsidRDefault="004A0B60" w:rsidP="004A0B60">
      <w:pPr>
        <w:tabs>
          <w:tab w:val="left" w:pos="360"/>
        </w:tabs>
        <w:ind w:right="234"/>
        <w:jc w:val="both"/>
        <w:rPr>
          <w:rFonts w:ascii="Arial" w:hAnsi="Arial" w:cs="Arial"/>
          <w:b/>
          <w:sz w:val="22"/>
          <w:szCs w:val="22"/>
        </w:rPr>
      </w:pPr>
      <w:r>
        <w:rPr>
          <w:rFonts w:ascii="Arial" w:hAnsi="Arial" w:cs="Arial"/>
          <w:sz w:val="22"/>
          <w:szCs w:val="22"/>
        </w:rPr>
        <w:t xml:space="preserve">Oral administration of up to 600 mg/kg/day to juvenile rats resulted in drug irritation effects in the stomach which were similar to those seen in adult rats. </w:t>
      </w:r>
      <w:r w:rsidR="00D35980">
        <w:rPr>
          <w:rFonts w:ascii="Arial" w:hAnsi="Arial" w:cs="Arial"/>
          <w:sz w:val="22"/>
          <w:szCs w:val="22"/>
        </w:rPr>
        <w:t xml:space="preserve">The drug exposure (AUC) with this dose was approximately 1.5-fold the human value at the recommended dose of 400 mg twice daily. </w:t>
      </w:r>
      <w:r>
        <w:rPr>
          <w:rFonts w:ascii="Arial" w:hAnsi="Arial" w:cs="Arial"/>
          <w:sz w:val="22"/>
          <w:szCs w:val="22"/>
        </w:rPr>
        <w:t xml:space="preserve">No additional toxicities were noted in juvenile rats </w:t>
      </w:r>
      <w:r w:rsidR="00D35980">
        <w:rPr>
          <w:rFonts w:ascii="Arial" w:hAnsi="Arial" w:cs="Arial"/>
          <w:sz w:val="22"/>
          <w:szCs w:val="22"/>
        </w:rPr>
        <w:t>and development to maturity was unaffected by treatment.</w:t>
      </w:r>
    </w:p>
    <w:p w:rsidR="005D3446" w:rsidRPr="00D941DE" w:rsidRDefault="005D3446" w:rsidP="00D35A54">
      <w:pPr>
        <w:pStyle w:val="Heading2"/>
        <w:rPr>
          <w:noProof/>
        </w:rPr>
      </w:pPr>
      <w:r w:rsidRPr="00D941DE">
        <w:rPr>
          <w:noProof/>
        </w:rPr>
        <w:t>Interactions with other medicines</w:t>
      </w:r>
    </w:p>
    <w:p w:rsidR="004A0B60" w:rsidRDefault="004A0B60" w:rsidP="004A0B60">
      <w:pPr>
        <w:jc w:val="both"/>
        <w:rPr>
          <w:rFonts w:ascii="Arial" w:hAnsi="Arial" w:cs="Arial"/>
          <w:sz w:val="22"/>
          <w:szCs w:val="22"/>
        </w:rPr>
      </w:pPr>
      <w:r>
        <w:rPr>
          <w:rFonts w:ascii="Arial" w:hAnsi="Arial" w:cs="Arial"/>
          <w:sz w:val="22"/>
          <w:szCs w:val="22"/>
        </w:rPr>
        <w:t>Raltegravir is not a substrate of cytochrome P450 (CYP) enzymes and does not inhibit (IC</w:t>
      </w:r>
      <w:r>
        <w:rPr>
          <w:rFonts w:ascii="Arial" w:hAnsi="Arial" w:cs="Arial"/>
          <w:sz w:val="22"/>
          <w:szCs w:val="22"/>
          <w:vertAlign w:val="subscript"/>
        </w:rPr>
        <w:t>50</w:t>
      </w:r>
      <w:r>
        <w:rPr>
          <w:rFonts w:ascii="Arial" w:hAnsi="Arial" w:cs="Arial"/>
          <w:sz w:val="22"/>
          <w:szCs w:val="22"/>
        </w:rPr>
        <w:t xml:space="preserve">&gt;100 µM) CYP1A2, CYP2B6, CYP2C8, CYP2C9, CYP2C19, CYP2D6 or CYP3A </w:t>
      </w:r>
      <w:r>
        <w:rPr>
          <w:rFonts w:ascii="Arial" w:hAnsi="Arial" w:cs="Arial"/>
          <w:i/>
          <w:sz w:val="22"/>
          <w:szCs w:val="22"/>
        </w:rPr>
        <w:t>in vitro</w:t>
      </w:r>
      <w:r>
        <w:rPr>
          <w:rFonts w:ascii="Arial" w:hAnsi="Arial" w:cs="Arial"/>
          <w:sz w:val="22"/>
          <w:szCs w:val="22"/>
        </w:rPr>
        <w:t xml:space="preserve">. Moreover, </w:t>
      </w:r>
      <w:r>
        <w:rPr>
          <w:rFonts w:ascii="Arial" w:hAnsi="Arial" w:cs="Arial"/>
          <w:i/>
          <w:sz w:val="22"/>
          <w:szCs w:val="22"/>
        </w:rPr>
        <w:t>in vitro</w:t>
      </w:r>
      <w:r>
        <w:rPr>
          <w:rFonts w:ascii="Arial" w:hAnsi="Arial" w:cs="Arial"/>
          <w:sz w:val="22"/>
          <w:szCs w:val="22"/>
        </w:rPr>
        <w:t xml:space="preserve">, raltegravir did not induce CYP3A4. A midazolam drug interaction study confirmed the low propensity of raltegravir to alter the pharmacokinetics of agents metabolized by CYP3A4 </w:t>
      </w:r>
      <w:r>
        <w:rPr>
          <w:rFonts w:ascii="Arial" w:hAnsi="Arial" w:cs="Arial"/>
          <w:i/>
          <w:sz w:val="22"/>
          <w:szCs w:val="22"/>
        </w:rPr>
        <w:t>in vivo</w:t>
      </w:r>
      <w:r>
        <w:rPr>
          <w:rFonts w:ascii="Arial" w:hAnsi="Arial" w:cs="Arial"/>
          <w:sz w:val="22"/>
          <w:szCs w:val="22"/>
        </w:rPr>
        <w:t xml:space="preserve"> by demonstrating a lack of meaningful effect of raltegravir on the pharmacokinetics of midazolam, a sensitive CYP3A4 substrate.</w:t>
      </w:r>
    </w:p>
    <w:p w:rsidR="004A0B60" w:rsidRDefault="004A0B60" w:rsidP="004A0B60">
      <w:pPr>
        <w:jc w:val="both"/>
        <w:rPr>
          <w:rFonts w:ascii="Arial" w:hAnsi="Arial" w:cs="Arial"/>
          <w:sz w:val="22"/>
          <w:szCs w:val="22"/>
        </w:rPr>
      </w:pPr>
      <w:r>
        <w:rPr>
          <w:rFonts w:ascii="Arial" w:hAnsi="Arial" w:cs="Arial"/>
          <w:sz w:val="22"/>
          <w:szCs w:val="22"/>
        </w:rPr>
        <w:t>Similarly, raltegravir is not an inhibitor (IC</w:t>
      </w:r>
      <w:r>
        <w:rPr>
          <w:rFonts w:ascii="Arial" w:hAnsi="Arial" w:cs="Arial"/>
          <w:sz w:val="22"/>
          <w:szCs w:val="22"/>
          <w:vertAlign w:val="subscript"/>
        </w:rPr>
        <w:t>50</w:t>
      </w:r>
      <w:r>
        <w:rPr>
          <w:rFonts w:ascii="Arial" w:hAnsi="Arial" w:cs="Arial"/>
          <w:sz w:val="22"/>
          <w:szCs w:val="22"/>
        </w:rPr>
        <w:t xml:space="preserve">&gt;50 µM) of the UDP-glucuronosyltransferases (UGTs) tested (UGT1A1, UGT2B7), and raltegravir does not inhibit P-glycoprotein-mediated transport. Based on these data, ISENTRESS is not expected to affect the pharmacokinetics of drugs that are substrates of these enzymes or P-glycoprotein (e.g., protease inhibitors, NNRTIs, methadone, opioid </w:t>
      </w:r>
      <w:r>
        <w:rPr>
          <w:rFonts w:ascii="Arial" w:hAnsi="Arial" w:cs="Arial"/>
          <w:sz w:val="22"/>
          <w:szCs w:val="22"/>
        </w:rPr>
        <w:lastRenderedPageBreak/>
        <w:t>analgesics, statins, azole antifungals, proton pump inhibitors,</w:t>
      </w:r>
      <w:r w:rsidR="00C5785A" w:rsidRPr="00C5785A">
        <w:rPr>
          <w:rFonts w:ascii="Arial" w:hAnsi="Arial" w:cs="Arial"/>
          <w:sz w:val="22"/>
          <w:szCs w:val="22"/>
        </w:rPr>
        <w:t xml:space="preserve"> </w:t>
      </w:r>
      <w:r w:rsidR="00C5785A">
        <w:rPr>
          <w:rFonts w:ascii="Arial" w:hAnsi="Arial" w:cs="Arial"/>
          <w:sz w:val="22"/>
          <w:szCs w:val="22"/>
        </w:rPr>
        <w:t>oral contraceptives,</w:t>
      </w:r>
      <w:r>
        <w:rPr>
          <w:rFonts w:ascii="Arial" w:hAnsi="Arial" w:cs="Arial"/>
          <w:sz w:val="22"/>
          <w:szCs w:val="22"/>
        </w:rPr>
        <w:t xml:space="preserve"> and anti-erectile dysfunction agents).</w:t>
      </w:r>
    </w:p>
    <w:p w:rsidR="004A0B60" w:rsidRDefault="004A0B60" w:rsidP="004A0B60">
      <w:pPr>
        <w:jc w:val="both"/>
        <w:rPr>
          <w:rFonts w:ascii="Arial" w:hAnsi="Arial" w:cs="Arial"/>
          <w:sz w:val="22"/>
          <w:szCs w:val="22"/>
        </w:rPr>
      </w:pPr>
      <w:r>
        <w:rPr>
          <w:rFonts w:ascii="Arial" w:hAnsi="Arial" w:cs="Arial"/>
          <w:sz w:val="22"/>
          <w:szCs w:val="22"/>
        </w:rPr>
        <w:t xml:space="preserve">Based on </w:t>
      </w:r>
      <w:r>
        <w:rPr>
          <w:rFonts w:ascii="Arial" w:hAnsi="Arial" w:cs="Arial"/>
          <w:i/>
          <w:sz w:val="22"/>
          <w:szCs w:val="22"/>
        </w:rPr>
        <w:t>in vivo</w:t>
      </w:r>
      <w:r>
        <w:rPr>
          <w:rFonts w:ascii="Arial" w:hAnsi="Arial" w:cs="Arial"/>
          <w:sz w:val="22"/>
          <w:szCs w:val="22"/>
        </w:rPr>
        <w:t xml:space="preserve"> and </w:t>
      </w:r>
      <w:r>
        <w:rPr>
          <w:rFonts w:ascii="Arial" w:hAnsi="Arial" w:cs="Arial"/>
          <w:i/>
          <w:sz w:val="22"/>
          <w:szCs w:val="22"/>
        </w:rPr>
        <w:t>in vitro</w:t>
      </w:r>
      <w:r>
        <w:rPr>
          <w:rFonts w:ascii="Arial" w:hAnsi="Arial" w:cs="Arial"/>
          <w:sz w:val="22"/>
          <w:szCs w:val="22"/>
        </w:rPr>
        <w:t xml:space="preserve"> studies, raltegravir is eliminated mainly by metabolism via a UGT1A1-mediated glucuronidation pathway. </w:t>
      </w:r>
    </w:p>
    <w:p w:rsidR="004A0B60" w:rsidRPr="00BD28A8" w:rsidRDefault="004A0B60" w:rsidP="007875D3">
      <w:pPr>
        <w:jc w:val="both"/>
        <w:rPr>
          <w:rFonts w:ascii="Arial" w:hAnsi="Arial" w:cs="Arial"/>
          <w:sz w:val="22"/>
          <w:szCs w:val="22"/>
          <w:lang w:bidi="th-TH"/>
        </w:rPr>
      </w:pPr>
      <w:r w:rsidRPr="0052639B">
        <w:rPr>
          <w:rFonts w:ascii="Arial" w:hAnsi="Arial" w:cs="Arial"/>
          <w:sz w:val="22"/>
          <w:szCs w:val="22"/>
          <w:lang w:bidi="th-TH"/>
        </w:rPr>
        <w:t>Coadministration of ISENTRESS with drugs that are potent inducers of UGT1A1, such as rifampin (an inducer of numerous drug metabolizing enzymes), reduce</w:t>
      </w:r>
      <w:r w:rsidR="006D783E" w:rsidRPr="0052639B">
        <w:rPr>
          <w:rFonts w:ascii="Arial" w:hAnsi="Arial" w:cs="Arial"/>
          <w:sz w:val="22"/>
          <w:szCs w:val="22"/>
          <w:lang w:bidi="th-TH"/>
        </w:rPr>
        <w:t>s</w:t>
      </w:r>
      <w:r w:rsidRPr="0052639B">
        <w:rPr>
          <w:rFonts w:ascii="Arial" w:hAnsi="Arial" w:cs="Arial"/>
          <w:sz w:val="22"/>
          <w:szCs w:val="22"/>
          <w:lang w:bidi="th-TH"/>
        </w:rPr>
        <w:t xml:space="preserve"> plasma concentrations</w:t>
      </w:r>
      <w:r w:rsidR="006D783E" w:rsidRPr="0052639B">
        <w:rPr>
          <w:rFonts w:ascii="Arial" w:hAnsi="Arial" w:cs="Arial"/>
          <w:sz w:val="22"/>
          <w:szCs w:val="22"/>
          <w:lang w:bidi="th-TH"/>
        </w:rPr>
        <w:t xml:space="preserve"> of ISENTRESS</w:t>
      </w:r>
      <w:r w:rsidRPr="0052639B">
        <w:rPr>
          <w:rFonts w:ascii="Arial" w:hAnsi="Arial" w:cs="Arial"/>
          <w:sz w:val="22"/>
          <w:szCs w:val="22"/>
          <w:lang w:bidi="th-TH"/>
        </w:rPr>
        <w:t xml:space="preserve">. </w:t>
      </w:r>
      <w:r w:rsidR="00490276" w:rsidRPr="0052639B">
        <w:rPr>
          <w:rFonts w:ascii="Arial" w:hAnsi="Arial" w:cs="Arial"/>
          <w:sz w:val="22"/>
          <w:szCs w:val="22"/>
        </w:rPr>
        <w:t>Caution should be used when coadministering ISENTRESS with rifampin or other strong inducers of UGT1A1</w:t>
      </w:r>
      <w:r w:rsidR="00490276" w:rsidRPr="0052639B">
        <w:rPr>
          <w:rFonts w:ascii="Arial" w:hAnsi="Arial" w:cs="Arial"/>
          <w:sz w:val="20"/>
        </w:rPr>
        <w:t>.</w:t>
      </w:r>
      <w:r w:rsidR="007875D3" w:rsidRPr="0052639B">
        <w:rPr>
          <w:rFonts w:ascii="Arial" w:hAnsi="Arial" w:cs="Arial"/>
          <w:sz w:val="22"/>
          <w:szCs w:val="22"/>
          <w:lang w:val="en-AU" w:eastAsia="en-AU"/>
        </w:rPr>
        <w:t xml:space="preserve"> </w:t>
      </w:r>
      <w:r w:rsidR="00A409C6" w:rsidRPr="00680020">
        <w:rPr>
          <w:rFonts w:ascii="Arial" w:hAnsi="Arial" w:cs="Arial"/>
          <w:sz w:val="22"/>
          <w:szCs w:val="22"/>
          <w:lang w:val="en-AU" w:eastAsia="en-AU"/>
        </w:rPr>
        <w:t xml:space="preserve">If co-administration with rifampin is unavoidable, a doubling of the dose of ISENTRESS can be considered.  </w:t>
      </w:r>
      <w:r w:rsidR="00CC33E9" w:rsidRPr="00680020">
        <w:rPr>
          <w:rFonts w:ascii="Arial" w:hAnsi="Arial" w:cs="Arial"/>
          <w:sz w:val="22"/>
          <w:szCs w:val="22"/>
          <w:lang w:val="en-AU" w:eastAsia="en-AU"/>
        </w:rPr>
        <w:t>Until further pharmacokinetic  data are available, rifampin co-administration with ISENTRESS chewable tablet</w:t>
      </w:r>
      <w:r w:rsidR="00CC33E9" w:rsidRPr="00680020">
        <w:rPr>
          <w:rFonts w:ascii="Arial" w:hAnsi="Arial" w:cs="Arial"/>
          <w:sz w:val="22"/>
          <w:szCs w:val="22"/>
        </w:rPr>
        <w:t xml:space="preserve"> is not recommended. </w:t>
      </w:r>
      <w:r w:rsidR="00CC33E9">
        <w:rPr>
          <w:rFonts w:ascii="Arial" w:hAnsi="Arial" w:cs="Arial"/>
          <w:sz w:val="22"/>
          <w:szCs w:val="22"/>
        </w:rPr>
        <w:t>T</w:t>
      </w:r>
      <w:r w:rsidR="00490276" w:rsidRPr="0052639B">
        <w:rPr>
          <w:rFonts w:ascii="Arial" w:hAnsi="Arial" w:cs="Arial"/>
          <w:sz w:val="22"/>
          <w:szCs w:val="22"/>
        </w:rPr>
        <w:t xml:space="preserve">he impact of other potent inducers of drug </w:t>
      </w:r>
      <w:r w:rsidR="00490276" w:rsidRPr="00BD28A8">
        <w:rPr>
          <w:rFonts w:ascii="Arial" w:hAnsi="Arial" w:cs="Arial"/>
          <w:sz w:val="22"/>
          <w:szCs w:val="22"/>
        </w:rPr>
        <w:t>metabolizing enzymes, such as phenytoin and phenobarbitone, on UGT1A1 is unknown.</w:t>
      </w:r>
      <w:r w:rsidR="00761CEC" w:rsidRPr="00BD28A8">
        <w:rPr>
          <w:rFonts w:ascii="Arial" w:hAnsi="Arial" w:cs="Arial"/>
          <w:sz w:val="22"/>
          <w:szCs w:val="22"/>
          <w:lang w:bidi="th-TH"/>
        </w:rPr>
        <w:t xml:space="preserve"> </w:t>
      </w:r>
      <w:r w:rsidRPr="00BD28A8">
        <w:rPr>
          <w:rFonts w:ascii="Arial" w:hAnsi="Arial" w:cs="Arial"/>
          <w:sz w:val="22"/>
          <w:szCs w:val="22"/>
          <w:lang w:bidi="th-TH"/>
        </w:rPr>
        <w:t xml:space="preserve">Other less potent inducers (e.g., efavirenz, </w:t>
      </w:r>
      <w:r w:rsidR="00B50110" w:rsidRPr="00BD28A8">
        <w:rPr>
          <w:rFonts w:ascii="Arial" w:hAnsi="Arial" w:cs="Arial"/>
          <w:sz w:val="22"/>
          <w:szCs w:val="22"/>
          <w:lang w:bidi="th-TH"/>
        </w:rPr>
        <w:t xml:space="preserve">etravirine, </w:t>
      </w:r>
      <w:r w:rsidRPr="00BD28A8">
        <w:rPr>
          <w:rFonts w:ascii="Arial" w:hAnsi="Arial" w:cs="Arial"/>
          <w:sz w:val="22"/>
          <w:szCs w:val="22"/>
          <w:lang w:bidi="th-TH"/>
        </w:rPr>
        <w:t xml:space="preserve">nevirapine, rifabutin, glucocorticoids, St. John's wort, pioglitazone) may be used </w:t>
      </w:r>
      <w:r w:rsidR="00490276" w:rsidRPr="00BD28A8">
        <w:rPr>
          <w:rFonts w:ascii="Arial" w:hAnsi="Arial" w:cs="Arial"/>
          <w:sz w:val="22"/>
          <w:szCs w:val="22"/>
          <w:lang w:bidi="th-TH"/>
        </w:rPr>
        <w:t>with the recommended dose of ISENTRESS.</w:t>
      </w:r>
    </w:p>
    <w:p w:rsidR="004A0B60" w:rsidRDefault="004A0B60" w:rsidP="004A0B60">
      <w:pPr>
        <w:autoSpaceDE w:val="0"/>
        <w:autoSpaceDN w:val="0"/>
        <w:adjustRightInd w:val="0"/>
        <w:jc w:val="both"/>
        <w:rPr>
          <w:rFonts w:ascii="Arial" w:hAnsi="Arial" w:cs="Arial"/>
          <w:sz w:val="22"/>
          <w:szCs w:val="22"/>
          <w:lang w:bidi="th-TH"/>
        </w:rPr>
      </w:pPr>
      <w:r>
        <w:rPr>
          <w:rFonts w:ascii="Arial" w:hAnsi="Arial" w:cs="Arial"/>
          <w:sz w:val="22"/>
          <w:szCs w:val="22"/>
          <w:lang w:bidi="th-TH"/>
        </w:rPr>
        <w:t>Coadministration of ISENTRESS with drugs that are known to be potent UGT1A1 inhibitors (e.g., atazanavir) increase</w:t>
      </w:r>
      <w:r w:rsidR="00490276">
        <w:rPr>
          <w:rFonts w:ascii="Arial" w:hAnsi="Arial" w:cs="Arial"/>
          <w:sz w:val="22"/>
          <w:szCs w:val="22"/>
          <w:lang w:bidi="th-TH"/>
        </w:rPr>
        <w:t>s</w:t>
      </w:r>
      <w:r>
        <w:rPr>
          <w:rFonts w:ascii="Arial" w:hAnsi="Arial" w:cs="Arial"/>
          <w:sz w:val="22"/>
          <w:szCs w:val="22"/>
          <w:lang w:bidi="th-TH"/>
        </w:rPr>
        <w:t xml:space="preserve"> plasma levels</w:t>
      </w:r>
      <w:r w:rsidR="00490276">
        <w:rPr>
          <w:rFonts w:ascii="Arial" w:hAnsi="Arial" w:cs="Arial"/>
          <w:sz w:val="22"/>
          <w:szCs w:val="22"/>
          <w:lang w:bidi="th-TH"/>
        </w:rPr>
        <w:t xml:space="preserve"> of ISENTRESS</w:t>
      </w:r>
      <w:r>
        <w:rPr>
          <w:rFonts w:ascii="Arial" w:hAnsi="Arial" w:cs="Arial"/>
          <w:sz w:val="22"/>
          <w:szCs w:val="22"/>
          <w:lang w:bidi="th-TH"/>
        </w:rPr>
        <w:t>. However, the degree of increase is modest and combination therapy with these inhibitors was well tolerated in the clinical studies such that no dose adjustment is required.</w:t>
      </w:r>
    </w:p>
    <w:p w:rsidR="004A0B60" w:rsidRPr="00D751D7" w:rsidRDefault="004A0B60" w:rsidP="007B01A3">
      <w:pPr>
        <w:pStyle w:val="Heading5"/>
      </w:pPr>
      <w:r w:rsidRPr="00D751D7">
        <w:t xml:space="preserve">Effect of Raltegravir on the Pharmacokinetics of Other Agents </w:t>
      </w:r>
    </w:p>
    <w:p w:rsidR="004A0B60" w:rsidRPr="00862922" w:rsidRDefault="004A0B60" w:rsidP="004A0B60">
      <w:pPr>
        <w:jc w:val="both"/>
        <w:rPr>
          <w:rFonts w:ascii="Arial" w:hAnsi="Arial" w:cs="Arial"/>
          <w:sz w:val="22"/>
          <w:szCs w:val="22"/>
        </w:rPr>
      </w:pPr>
      <w:r w:rsidRPr="00862922">
        <w:rPr>
          <w:rFonts w:ascii="Arial" w:hAnsi="Arial" w:cs="Arial"/>
          <w:sz w:val="22"/>
          <w:szCs w:val="22"/>
        </w:rPr>
        <w:t xml:space="preserve">In drug interaction studies, </w:t>
      </w:r>
      <w:r w:rsidRPr="000D15BC">
        <w:rPr>
          <w:rFonts w:ascii="Arial" w:hAnsi="Arial" w:cs="Arial"/>
          <w:sz w:val="22"/>
          <w:szCs w:val="22"/>
        </w:rPr>
        <w:t>raltegravir</w:t>
      </w:r>
      <w:r w:rsidRPr="000D15BC" w:rsidDel="000D15BC">
        <w:rPr>
          <w:rFonts w:ascii="Arial" w:hAnsi="Arial" w:cs="Arial"/>
          <w:sz w:val="22"/>
          <w:szCs w:val="22"/>
        </w:rPr>
        <w:t xml:space="preserve"> </w:t>
      </w:r>
      <w:r w:rsidRPr="00862922">
        <w:rPr>
          <w:rFonts w:ascii="Arial" w:hAnsi="Arial" w:cs="Arial"/>
          <w:sz w:val="22"/>
          <w:szCs w:val="22"/>
        </w:rPr>
        <w:t xml:space="preserve">did not have </w:t>
      </w:r>
      <w:r>
        <w:rPr>
          <w:rFonts w:ascii="Arial" w:hAnsi="Arial" w:cs="Arial"/>
          <w:sz w:val="22"/>
          <w:szCs w:val="22"/>
        </w:rPr>
        <w:t xml:space="preserve">a </w:t>
      </w:r>
      <w:r w:rsidRPr="00862922">
        <w:rPr>
          <w:rFonts w:ascii="Arial" w:hAnsi="Arial" w:cs="Arial"/>
          <w:sz w:val="22"/>
          <w:szCs w:val="22"/>
        </w:rPr>
        <w:t xml:space="preserve">clinically meaningful effect on the pharmacokinetics of </w:t>
      </w:r>
      <w:r w:rsidRPr="00162129">
        <w:rPr>
          <w:rFonts w:ascii="Arial" w:hAnsi="Arial" w:cs="Arial"/>
          <w:sz w:val="22"/>
          <w:szCs w:val="22"/>
        </w:rPr>
        <w:t>the following:</w:t>
      </w:r>
      <w:r w:rsidRPr="00862922">
        <w:rPr>
          <w:rFonts w:ascii="Arial" w:hAnsi="Arial" w:cs="Arial"/>
          <w:sz w:val="22"/>
          <w:szCs w:val="22"/>
        </w:rPr>
        <w:t xml:space="preserve"> </w:t>
      </w:r>
      <w:r w:rsidR="005B66F3">
        <w:rPr>
          <w:rFonts w:ascii="Arial" w:hAnsi="Arial" w:cs="Arial"/>
          <w:sz w:val="22"/>
          <w:szCs w:val="22"/>
        </w:rPr>
        <w:t xml:space="preserve">hormonal contraceptives, </w:t>
      </w:r>
      <w:r w:rsidR="00E0098B">
        <w:rPr>
          <w:rFonts w:ascii="Arial" w:hAnsi="Arial" w:cs="Arial"/>
          <w:sz w:val="22"/>
          <w:szCs w:val="22"/>
        </w:rPr>
        <w:t xml:space="preserve">methadone, </w:t>
      </w:r>
      <w:r>
        <w:rPr>
          <w:rFonts w:ascii="Arial" w:hAnsi="Arial" w:cs="Arial"/>
          <w:sz w:val="22"/>
          <w:szCs w:val="22"/>
        </w:rPr>
        <w:t>t</w:t>
      </w:r>
      <w:r w:rsidRPr="00831021">
        <w:rPr>
          <w:rFonts w:ascii="Arial" w:hAnsi="Arial" w:cs="Arial"/>
          <w:sz w:val="22"/>
          <w:szCs w:val="22"/>
        </w:rPr>
        <w:t>enofovir</w:t>
      </w:r>
      <w:r w:rsidR="00171FE8">
        <w:rPr>
          <w:rFonts w:ascii="Arial" w:hAnsi="Arial" w:cs="Arial"/>
          <w:sz w:val="22"/>
          <w:szCs w:val="22"/>
        </w:rPr>
        <w:t>,</w:t>
      </w:r>
      <w:r>
        <w:rPr>
          <w:rFonts w:ascii="Arial" w:hAnsi="Arial" w:cs="Arial"/>
          <w:sz w:val="22"/>
          <w:szCs w:val="22"/>
        </w:rPr>
        <w:t xml:space="preserve"> </w:t>
      </w:r>
      <w:r w:rsidRPr="00831021">
        <w:rPr>
          <w:rFonts w:ascii="Arial" w:hAnsi="Arial" w:cs="Arial"/>
          <w:sz w:val="22"/>
          <w:szCs w:val="22"/>
        </w:rPr>
        <w:t>midazolam</w:t>
      </w:r>
      <w:r w:rsidR="00E0098B">
        <w:rPr>
          <w:rFonts w:ascii="Arial" w:hAnsi="Arial" w:cs="Arial"/>
          <w:sz w:val="22"/>
          <w:szCs w:val="22"/>
        </w:rPr>
        <w:t>,</w:t>
      </w:r>
      <w:r w:rsidR="005B66F3">
        <w:rPr>
          <w:rFonts w:ascii="Arial" w:hAnsi="Arial" w:cs="Arial"/>
          <w:sz w:val="22"/>
          <w:szCs w:val="22"/>
        </w:rPr>
        <w:t xml:space="preserve"> lamivudine</w:t>
      </w:r>
      <w:r w:rsidR="00BF77A6">
        <w:rPr>
          <w:rFonts w:ascii="Arial" w:hAnsi="Arial" w:cs="Arial"/>
          <w:sz w:val="22"/>
          <w:szCs w:val="22"/>
        </w:rPr>
        <w:t>,</w:t>
      </w:r>
      <w:r w:rsidR="00E0098B">
        <w:rPr>
          <w:rFonts w:ascii="Arial" w:hAnsi="Arial" w:cs="Arial"/>
          <w:sz w:val="22"/>
          <w:szCs w:val="22"/>
        </w:rPr>
        <w:t xml:space="preserve"> etravirine</w:t>
      </w:r>
      <w:r w:rsidR="000C5932">
        <w:rPr>
          <w:rFonts w:ascii="Arial" w:hAnsi="Arial" w:cs="Arial"/>
          <w:sz w:val="22"/>
          <w:szCs w:val="22"/>
        </w:rPr>
        <w:t xml:space="preserve">. </w:t>
      </w:r>
      <w:r w:rsidR="005B66F3" w:rsidRPr="005C6C3E">
        <w:rPr>
          <w:rFonts w:ascii="Arial" w:hAnsi="Arial" w:cs="Arial"/>
          <w:sz w:val="22"/>
          <w:szCs w:val="22"/>
        </w:rPr>
        <w:t>In a multiple-dose drug interaction study, ethinyl estradiol and norelgestromin AUC values were 98% and 114%, respectively, when coadministered with raltegravir as compared to when administ</w:t>
      </w:r>
      <w:r w:rsidR="005B66F3">
        <w:rPr>
          <w:rFonts w:ascii="Arial" w:hAnsi="Arial" w:cs="Arial"/>
          <w:sz w:val="22"/>
          <w:szCs w:val="22"/>
        </w:rPr>
        <w:t>ered</w:t>
      </w:r>
      <w:r w:rsidR="005B66F3" w:rsidRPr="005C6C3E">
        <w:rPr>
          <w:rFonts w:ascii="Arial" w:hAnsi="Arial" w:cs="Arial"/>
          <w:sz w:val="22"/>
          <w:szCs w:val="22"/>
        </w:rPr>
        <w:t xml:space="preserve"> without raltegravir</w:t>
      </w:r>
      <w:r w:rsidR="00162673">
        <w:rPr>
          <w:rFonts w:ascii="Arial" w:hAnsi="Arial" w:cs="Arial"/>
          <w:sz w:val="22"/>
          <w:szCs w:val="22"/>
        </w:rPr>
        <w:t>.</w:t>
      </w:r>
      <w:r>
        <w:rPr>
          <w:rFonts w:ascii="Arial" w:hAnsi="Arial" w:cs="Arial"/>
          <w:sz w:val="22"/>
          <w:szCs w:val="22"/>
        </w:rPr>
        <w:t xml:space="preserve"> In a multiple-dose drug interaction study, tenofovir AUC and trough concentrations when coadministered with </w:t>
      </w:r>
      <w:r w:rsidRPr="000D15BC">
        <w:rPr>
          <w:rFonts w:ascii="Arial" w:hAnsi="Arial" w:cs="Arial"/>
          <w:sz w:val="22"/>
          <w:szCs w:val="22"/>
        </w:rPr>
        <w:t xml:space="preserve">raltegravir </w:t>
      </w:r>
      <w:r>
        <w:rPr>
          <w:rFonts w:ascii="Arial" w:hAnsi="Arial" w:cs="Arial"/>
          <w:sz w:val="22"/>
          <w:szCs w:val="22"/>
        </w:rPr>
        <w:t xml:space="preserve">were 90% and 87% of values obtained with tenofovir monotherapy. In another drug interaction study, midazolam AUC from coadministration was 92% of the value obtained with midazolam alone. In a Phase II study, lamivudine pharmacokinetics were similar in patients receiving combinations with </w:t>
      </w:r>
      <w:r w:rsidRPr="000D15BC">
        <w:rPr>
          <w:rFonts w:ascii="Arial" w:hAnsi="Arial" w:cs="Arial"/>
          <w:sz w:val="22"/>
          <w:szCs w:val="22"/>
        </w:rPr>
        <w:t xml:space="preserve">raltegravir </w:t>
      </w:r>
      <w:r>
        <w:rPr>
          <w:rFonts w:ascii="Arial" w:hAnsi="Arial" w:cs="Arial"/>
          <w:sz w:val="22"/>
          <w:szCs w:val="22"/>
        </w:rPr>
        <w:t>versus with efavirenz.</w:t>
      </w:r>
    </w:p>
    <w:p w:rsidR="004A0B60" w:rsidRDefault="004A0B60" w:rsidP="007B01A3">
      <w:pPr>
        <w:pStyle w:val="Heading5"/>
      </w:pPr>
      <w:bookmarkStart w:id="11" w:name="OLE_LINK3"/>
      <w:bookmarkStart w:id="12" w:name="OLE_LINK5"/>
      <w:r w:rsidRPr="00D751D7">
        <w:t>Effect of Other Agents on the Pharmacokinetics of Raltegravir</w:t>
      </w:r>
    </w:p>
    <w:p w:rsidR="004A0B60" w:rsidRDefault="004A0B60" w:rsidP="004A0B60">
      <w:pPr>
        <w:autoSpaceDE w:val="0"/>
        <w:autoSpaceDN w:val="0"/>
        <w:adjustRightInd w:val="0"/>
        <w:jc w:val="both"/>
        <w:rPr>
          <w:rFonts w:ascii="Arial" w:hAnsi="Arial" w:cs="Arial"/>
          <w:sz w:val="22"/>
          <w:szCs w:val="22"/>
        </w:rPr>
      </w:pPr>
      <w:r w:rsidRPr="00D04FA4">
        <w:rPr>
          <w:rFonts w:ascii="Arial" w:hAnsi="Arial" w:cs="Arial"/>
          <w:sz w:val="22"/>
          <w:szCs w:val="22"/>
        </w:rPr>
        <w:t>In drug interaction studies, atazanavir, efavirenz, ritonavir, tenofovir, and tipranavir/ritonavir did not have a clinically meaningful effect on the pharmacokinetics of raltegravir.</w:t>
      </w:r>
      <w:r>
        <w:rPr>
          <w:rFonts w:ascii="Arial" w:hAnsi="Arial" w:cs="Arial"/>
          <w:sz w:val="22"/>
          <w:szCs w:val="22"/>
        </w:rPr>
        <w:t xml:space="preserve"> </w:t>
      </w:r>
      <w:r w:rsidRPr="00D04FA4">
        <w:rPr>
          <w:rFonts w:ascii="Arial" w:hAnsi="Arial" w:cs="Arial"/>
          <w:sz w:val="22"/>
          <w:szCs w:val="22"/>
        </w:rPr>
        <w:t>Rifampin, which is a strong inducer of drug metabolizing enzymes, caused a decrease in trough levels of raltegravir</w:t>
      </w:r>
      <w:r w:rsidRPr="009A7A3E">
        <w:rPr>
          <w:rFonts w:ascii="Arial" w:hAnsi="Arial" w:cs="Arial"/>
          <w:sz w:val="22"/>
          <w:szCs w:val="22"/>
        </w:rPr>
        <w:t>.</w:t>
      </w:r>
      <w:r>
        <w:rPr>
          <w:rFonts w:cs="Arial"/>
          <w:i/>
          <w:sz w:val="22"/>
          <w:szCs w:val="22"/>
        </w:rPr>
        <w:t xml:space="preserve"> </w:t>
      </w:r>
      <w:r w:rsidR="00490276">
        <w:rPr>
          <w:rFonts w:ascii="Arial" w:hAnsi="Arial" w:cs="Arial"/>
          <w:sz w:val="22"/>
          <w:szCs w:val="22"/>
        </w:rPr>
        <w:t xml:space="preserve"> </w:t>
      </w:r>
    </w:p>
    <w:p w:rsidR="0052639B" w:rsidRPr="00BF2AEF" w:rsidRDefault="0052639B" w:rsidP="004A0B60">
      <w:pPr>
        <w:autoSpaceDE w:val="0"/>
        <w:autoSpaceDN w:val="0"/>
        <w:adjustRightInd w:val="0"/>
        <w:jc w:val="both"/>
        <w:rPr>
          <w:rFonts w:ascii="Arial" w:hAnsi="Arial" w:cs="Arial"/>
          <w:color w:val="0000FF"/>
          <w:sz w:val="22"/>
          <w:szCs w:val="22"/>
        </w:rPr>
      </w:pPr>
      <w:r>
        <w:rPr>
          <w:rFonts w:ascii="Arial" w:hAnsi="Arial" w:cs="Arial"/>
          <w:sz w:val="22"/>
          <w:szCs w:val="22"/>
        </w:rPr>
        <w:t>All interaction studies were performed in adults.</w:t>
      </w:r>
      <w:r w:rsidR="004A31E4">
        <w:rPr>
          <w:rFonts w:ascii="Arial" w:hAnsi="Arial" w:cs="Arial"/>
          <w:sz w:val="22"/>
          <w:szCs w:val="22"/>
        </w:rPr>
        <w:t xml:space="preserve"> </w:t>
      </w:r>
    </w:p>
    <w:bookmarkEnd w:id="11"/>
    <w:bookmarkEnd w:id="12"/>
    <w:p w:rsidR="00C43F02" w:rsidRDefault="00C43F02" w:rsidP="00C43F02">
      <w:pPr>
        <w:autoSpaceDE w:val="0"/>
        <w:autoSpaceDN w:val="0"/>
        <w:adjustRightInd w:val="0"/>
        <w:rPr>
          <w:rFonts w:ascii="Arial" w:eastAsia="MS Mincho" w:hAnsi="Arial" w:cs="Arial"/>
          <w:sz w:val="22"/>
          <w:szCs w:val="22"/>
          <w:lang w:eastAsia="ja-JP"/>
        </w:rPr>
      </w:pPr>
      <w:r w:rsidRPr="000562A3">
        <w:rPr>
          <w:rFonts w:ascii="Arial" w:eastAsia="MS Mincho" w:hAnsi="Arial" w:cs="Arial"/>
          <w:sz w:val="22"/>
          <w:szCs w:val="22"/>
          <w:lang w:eastAsia="ja-JP"/>
        </w:rPr>
        <w:t xml:space="preserve">In healthy </w:t>
      </w:r>
      <w:r w:rsidR="00376019">
        <w:rPr>
          <w:rFonts w:ascii="Arial" w:eastAsia="MS Mincho" w:hAnsi="Arial" w:cs="Arial"/>
          <w:sz w:val="22"/>
          <w:szCs w:val="22"/>
          <w:lang w:eastAsia="ja-JP"/>
        </w:rPr>
        <w:t>individuals</w:t>
      </w:r>
      <w:r w:rsidRPr="000562A3">
        <w:rPr>
          <w:rFonts w:ascii="Arial" w:eastAsia="MS Mincho" w:hAnsi="Arial" w:cs="Arial"/>
          <w:sz w:val="22"/>
          <w:szCs w:val="22"/>
          <w:lang w:eastAsia="ja-JP"/>
        </w:rPr>
        <w:t>, co-administration of ISENTRESS with omeprazole increases raltegravir plasma levels. As the effects of increasing gastric pH on the absorption of raltegravir in HIV-infected patients are uncertai</w:t>
      </w:r>
      <w:r w:rsidRPr="00703100">
        <w:rPr>
          <w:rFonts w:ascii="Arial" w:eastAsia="MS Mincho" w:hAnsi="Arial" w:cs="Arial"/>
          <w:sz w:val="22"/>
          <w:szCs w:val="22"/>
          <w:lang w:eastAsia="ja-JP"/>
        </w:rPr>
        <w:t>n</w:t>
      </w:r>
      <w:r w:rsidR="00703100">
        <w:rPr>
          <w:rFonts w:ascii="Arial" w:eastAsia="MS Mincho" w:hAnsi="Arial" w:cs="Arial"/>
          <w:sz w:val="22"/>
          <w:szCs w:val="22"/>
          <w:lang w:eastAsia="ja-JP"/>
        </w:rPr>
        <w:t>,</w:t>
      </w:r>
      <w:r w:rsidRPr="00703100">
        <w:rPr>
          <w:rFonts w:ascii="Arial" w:eastAsia="MS Mincho" w:hAnsi="Arial" w:cs="Arial"/>
          <w:sz w:val="22"/>
          <w:szCs w:val="22"/>
          <w:lang w:eastAsia="ja-JP"/>
        </w:rPr>
        <w:t xml:space="preserve"> use ISENTRESS with medicinal products that increase gastric pH (e.g., proton pump inhibitors and H2 antagonists)</w:t>
      </w:r>
      <w:r w:rsidR="000C5932">
        <w:rPr>
          <w:rFonts w:ascii="Arial" w:eastAsia="MS Mincho" w:hAnsi="Arial" w:cs="Arial"/>
          <w:sz w:val="22"/>
          <w:szCs w:val="22"/>
          <w:lang w:eastAsia="ja-JP"/>
        </w:rPr>
        <w:t xml:space="preserve"> </w:t>
      </w:r>
      <w:r w:rsidRPr="00703100">
        <w:rPr>
          <w:rFonts w:ascii="Arial" w:eastAsia="MS Mincho" w:hAnsi="Arial" w:cs="Arial"/>
          <w:sz w:val="22"/>
          <w:szCs w:val="22"/>
          <w:lang w:eastAsia="ja-JP"/>
        </w:rPr>
        <w:t xml:space="preserve">only </w:t>
      </w:r>
      <w:r w:rsidR="00F445B2" w:rsidRPr="00703100">
        <w:rPr>
          <w:rFonts w:ascii="Arial" w:eastAsia="MS Mincho" w:hAnsi="Arial" w:cs="Arial"/>
          <w:sz w:val="22"/>
          <w:szCs w:val="22"/>
          <w:lang w:eastAsia="ja-JP"/>
        </w:rPr>
        <w:t xml:space="preserve"> </w:t>
      </w:r>
      <w:r w:rsidRPr="00703100">
        <w:rPr>
          <w:rFonts w:ascii="Arial" w:eastAsia="MS Mincho" w:hAnsi="Arial" w:cs="Arial"/>
          <w:sz w:val="22"/>
          <w:szCs w:val="22"/>
          <w:lang w:eastAsia="ja-JP"/>
        </w:rPr>
        <w:t>if unavoidable</w:t>
      </w:r>
      <w:r w:rsidR="000C5932">
        <w:rPr>
          <w:rFonts w:ascii="Arial" w:eastAsia="MS Mincho" w:hAnsi="Arial" w:cs="Arial"/>
          <w:sz w:val="22"/>
          <w:szCs w:val="22"/>
          <w:lang w:eastAsia="ja-JP"/>
        </w:rPr>
        <w:t>.</w:t>
      </w:r>
    </w:p>
    <w:p w:rsidR="004A0B60" w:rsidRPr="00A57ACB" w:rsidRDefault="004A0B60" w:rsidP="004A0B60">
      <w:pPr>
        <w:autoSpaceDE w:val="0"/>
        <w:autoSpaceDN w:val="0"/>
        <w:adjustRightInd w:val="0"/>
        <w:jc w:val="both"/>
        <w:rPr>
          <w:b/>
          <w:szCs w:val="24"/>
        </w:rPr>
      </w:pPr>
      <w:r w:rsidRPr="009A7A3E">
        <w:rPr>
          <w:rFonts w:ascii="Arial" w:hAnsi="Arial" w:cs="Arial"/>
          <w:sz w:val="22"/>
          <w:szCs w:val="22"/>
        </w:rPr>
        <w:t xml:space="preserve">Drug interactions are further described below in </w:t>
      </w:r>
      <w:r>
        <w:rPr>
          <w:rFonts w:ascii="Arial" w:hAnsi="Arial" w:cs="Arial"/>
          <w:sz w:val="22"/>
          <w:szCs w:val="22"/>
        </w:rPr>
        <w:t>T</w:t>
      </w:r>
      <w:r w:rsidRPr="009A7A3E">
        <w:rPr>
          <w:rFonts w:ascii="Arial" w:hAnsi="Arial" w:cs="Arial"/>
          <w:sz w:val="22"/>
          <w:szCs w:val="22"/>
        </w:rPr>
        <w:t>able</w:t>
      </w:r>
      <w:r>
        <w:rPr>
          <w:rFonts w:ascii="Arial" w:hAnsi="Arial" w:cs="Arial"/>
          <w:sz w:val="22"/>
          <w:szCs w:val="22"/>
        </w:rPr>
        <w:t> </w:t>
      </w:r>
      <w:r w:rsidR="00750FB1">
        <w:rPr>
          <w:rFonts w:ascii="Arial" w:hAnsi="Arial" w:cs="Arial"/>
          <w:sz w:val="22"/>
          <w:szCs w:val="22"/>
        </w:rPr>
        <w:t>8.</w:t>
      </w:r>
    </w:p>
    <w:p w:rsidR="004A0B60" w:rsidRDefault="004A0B60" w:rsidP="007B01A3">
      <w:pPr>
        <w:pStyle w:val="Tabletitle"/>
      </w:pPr>
      <w:r w:rsidRPr="004F0AA7">
        <w:lastRenderedPageBreak/>
        <w:t xml:space="preserve">Table </w:t>
      </w:r>
      <w:r w:rsidR="00750FB1">
        <w:t>8</w:t>
      </w:r>
      <w:r w:rsidRPr="004F0AA7">
        <w:t xml:space="preserve">: </w:t>
      </w:r>
      <w:bookmarkStart w:id="13" w:name="OLE_LINK4"/>
      <w:bookmarkStart w:id="14" w:name="OLE_LINK11"/>
      <w:r w:rsidRPr="004F0AA7">
        <w:t xml:space="preserve">Effect of </w:t>
      </w:r>
      <w:r>
        <w:t>O</w:t>
      </w:r>
      <w:r w:rsidRPr="004F0AA7">
        <w:t xml:space="preserve">ther </w:t>
      </w:r>
      <w:r>
        <w:t>A</w:t>
      </w:r>
      <w:r w:rsidRPr="004F0AA7">
        <w:t xml:space="preserve">gents on the </w:t>
      </w:r>
      <w:r>
        <w:t>P</w:t>
      </w:r>
      <w:r w:rsidRPr="004F0AA7">
        <w:t>harmacokinetics of Raltegravir</w:t>
      </w:r>
    </w:p>
    <w:p w:rsidR="004A0B60" w:rsidRPr="007B01A3" w:rsidRDefault="00BD28A8" w:rsidP="007B01A3">
      <w:pPr>
        <w:jc w:val="center"/>
        <w:rPr>
          <w:rFonts w:ascii="Arial" w:hAnsi="Arial" w:cs="Arial"/>
          <w:b/>
          <w:sz w:val="22"/>
          <w:szCs w:val="22"/>
        </w:rPr>
      </w:pPr>
      <w:r>
        <w:rPr>
          <w:rFonts w:ascii="Arial" w:hAnsi="Arial" w:cs="Arial"/>
          <w:b/>
          <w:sz w:val="22"/>
          <w:szCs w:val="22"/>
        </w:rPr>
        <w:t>in Adults</w:t>
      </w:r>
      <w:bookmarkEnd w:id="13"/>
      <w:bookmarkEnd w:id="14"/>
    </w:p>
    <w:tbl>
      <w:tblPr>
        <w:tblW w:w="9047"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199"/>
        <w:gridCol w:w="1620"/>
        <w:gridCol w:w="900"/>
        <w:gridCol w:w="1260"/>
        <w:gridCol w:w="1260"/>
        <w:gridCol w:w="1080"/>
      </w:tblGrid>
      <w:tr w:rsidR="00626912" w:rsidRPr="00DA77C5" w:rsidTr="006B56C2">
        <w:trPr>
          <w:tblHeader/>
        </w:trPr>
        <w:tc>
          <w:tcPr>
            <w:tcW w:w="1728" w:type="dxa"/>
            <w:vMerge w:val="restart"/>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b/>
                <w:bCs/>
                <w:sz w:val="16"/>
                <w:szCs w:val="16"/>
              </w:rPr>
              <w:t>Coadministered Drug</w:t>
            </w:r>
          </w:p>
        </w:tc>
        <w:tc>
          <w:tcPr>
            <w:tcW w:w="1199" w:type="dxa"/>
            <w:vMerge w:val="restart"/>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b/>
                <w:bCs/>
                <w:sz w:val="16"/>
                <w:szCs w:val="16"/>
              </w:rPr>
              <w:t>Coadministered Drug Dose/Schedule</w:t>
            </w:r>
          </w:p>
        </w:tc>
        <w:tc>
          <w:tcPr>
            <w:tcW w:w="1620" w:type="dxa"/>
            <w:vMerge w:val="restart"/>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b/>
                <w:bCs/>
                <w:sz w:val="16"/>
                <w:szCs w:val="16"/>
              </w:rPr>
              <w:t>Raltegravir</w:t>
            </w:r>
          </w:p>
          <w:p w:rsidR="00626912" w:rsidRPr="00DA77C5" w:rsidRDefault="00626912" w:rsidP="00DA77C5">
            <w:pPr>
              <w:jc w:val="center"/>
              <w:rPr>
                <w:rFonts w:ascii="Arial" w:hAnsi="Arial" w:cs="Arial"/>
                <w:sz w:val="16"/>
                <w:szCs w:val="16"/>
              </w:rPr>
            </w:pPr>
            <w:r w:rsidRPr="00DA77C5">
              <w:rPr>
                <w:rFonts w:ascii="Arial" w:hAnsi="Arial" w:cs="Arial"/>
                <w:b/>
                <w:bCs/>
                <w:sz w:val="16"/>
                <w:szCs w:val="16"/>
              </w:rPr>
              <w:t>Dose/Schedule</w:t>
            </w:r>
          </w:p>
        </w:tc>
        <w:tc>
          <w:tcPr>
            <w:tcW w:w="4500" w:type="dxa"/>
            <w:gridSpan w:val="4"/>
            <w:shd w:val="clear" w:color="auto" w:fill="auto"/>
          </w:tcPr>
          <w:p w:rsidR="00626912" w:rsidRPr="00DA77C5" w:rsidRDefault="00626912" w:rsidP="00DA77C5">
            <w:pPr>
              <w:jc w:val="center"/>
              <w:rPr>
                <w:rFonts w:ascii="Arial" w:hAnsi="Arial" w:cs="Arial"/>
                <w:b/>
                <w:sz w:val="16"/>
                <w:szCs w:val="16"/>
              </w:rPr>
            </w:pPr>
            <w:r w:rsidRPr="00DA77C5">
              <w:rPr>
                <w:rFonts w:ascii="Arial" w:hAnsi="Arial" w:cs="Arial"/>
                <w:b/>
                <w:sz w:val="16"/>
                <w:szCs w:val="16"/>
              </w:rPr>
              <w:t xml:space="preserve">Ratio (90% Confidence Interval) of Raltegravir Pharmacokinetic Parameters with/without Coadministered Drug; </w:t>
            </w:r>
          </w:p>
          <w:p w:rsidR="00626912" w:rsidRPr="00DA77C5" w:rsidRDefault="00626912" w:rsidP="00DA77C5">
            <w:pPr>
              <w:jc w:val="center"/>
              <w:rPr>
                <w:rFonts w:ascii="Arial" w:hAnsi="Arial" w:cs="Arial"/>
                <w:b/>
                <w:sz w:val="16"/>
                <w:szCs w:val="16"/>
              </w:rPr>
            </w:pPr>
            <w:r w:rsidRPr="00DA77C5">
              <w:rPr>
                <w:rFonts w:ascii="Arial" w:hAnsi="Arial" w:cs="Arial"/>
                <w:b/>
                <w:sz w:val="16"/>
                <w:szCs w:val="16"/>
              </w:rPr>
              <w:t>No Effect = 1.00</w:t>
            </w:r>
          </w:p>
        </w:tc>
      </w:tr>
      <w:tr w:rsidR="00626912" w:rsidRPr="00DA77C5" w:rsidTr="00DA77C5">
        <w:tc>
          <w:tcPr>
            <w:tcW w:w="1728" w:type="dxa"/>
            <w:vMerge/>
            <w:shd w:val="clear" w:color="auto" w:fill="auto"/>
          </w:tcPr>
          <w:p w:rsidR="00626912" w:rsidRPr="00DA77C5" w:rsidRDefault="00626912" w:rsidP="000660A1">
            <w:pPr>
              <w:rPr>
                <w:rFonts w:ascii="Arial" w:hAnsi="Arial" w:cs="Arial"/>
                <w:sz w:val="16"/>
                <w:szCs w:val="16"/>
              </w:rPr>
            </w:pPr>
          </w:p>
        </w:tc>
        <w:tc>
          <w:tcPr>
            <w:tcW w:w="1199" w:type="dxa"/>
            <w:vMerge/>
            <w:shd w:val="clear" w:color="auto" w:fill="auto"/>
          </w:tcPr>
          <w:p w:rsidR="00626912" w:rsidRPr="00DA77C5" w:rsidRDefault="00626912" w:rsidP="000660A1">
            <w:pPr>
              <w:rPr>
                <w:rFonts w:ascii="Arial" w:hAnsi="Arial" w:cs="Arial"/>
                <w:sz w:val="16"/>
                <w:szCs w:val="16"/>
              </w:rPr>
            </w:pPr>
          </w:p>
        </w:tc>
        <w:tc>
          <w:tcPr>
            <w:tcW w:w="1620" w:type="dxa"/>
            <w:vMerge/>
            <w:shd w:val="clear" w:color="auto" w:fill="auto"/>
          </w:tcPr>
          <w:p w:rsidR="00626912" w:rsidRPr="00DA77C5" w:rsidRDefault="00626912" w:rsidP="000660A1">
            <w:pPr>
              <w:rPr>
                <w:rFonts w:ascii="Arial" w:hAnsi="Arial" w:cs="Arial"/>
                <w:sz w:val="16"/>
                <w:szCs w:val="16"/>
              </w:rPr>
            </w:pPr>
          </w:p>
        </w:tc>
        <w:tc>
          <w:tcPr>
            <w:tcW w:w="900" w:type="dxa"/>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b/>
                <w:sz w:val="16"/>
                <w:szCs w:val="16"/>
              </w:rPr>
              <w:t>n</w:t>
            </w:r>
          </w:p>
        </w:tc>
        <w:tc>
          <w:tcPr>
            <w:tcW w:w="1260" w:type="dxa"/>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b/>
                <w:sz w:val="16"/>
                <w:szCs w:val="16"/>
              </w:rPr>
              <w:t>C</w:t>
            </w:r>
            <w:r w:rsidRPr="00DA77C5">
              <w:rPr>
                <w:rFonts w:ascii="Arial" w:hAnsi="Arial" w:cs="Arial"/>
                <w:b/>
                <w:sz w:val="16"/>
                <w:szCs w:val="16"/>
                <w:vertAlign w:val="subscript"/>
              </w:rPr>
              <w:t>max</w:t>
            </w:r>
          </w:p>
        </w:tc>
        <w:tc>
          <w:tcPr>
            <w:tcW w:w="1260" w:type="dxa"/>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b/>
                <w:sz w:val="16"/>
                <w:szCs w:val="16"/>
              </w:rPr>
              <w:t>AUC</w:t>
            </w:r>
          </w:p>
        </w:tc>
        <w:tc>
          <w:tcPr>
            <w:tcW w:w="1080" w:type="dxa"/>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b/>
                <w:sz w:val="16"/>
                <w:szCs w:val="16"/>
              </w:rPr>
              <w:t>C</w:t>
            </w:r>
            <w:r w:rsidRPr="00DA77C5">
              <w:rPr>
                <w:rFonts w:ascii="Arial" w:hAnsi="Arial" w:cs="Arial"/>
                <w:b/>
                <w:sz w:val="16"/>
                <w:szCs w:val="16"/>
                <w:vertAlign w:val="subscript"/>
              </w:rPr>
              <w:t>min</w:t>
            </w:r>
          </w:p>
        </w:tc>
      </w:tr>
      <w:tr w:rsidR="00626912" w:rsidRPr="00DA77C5" w:rsidTr="00DA77C5">
        <w:tc>
          <w:tcPr>
            <w:tcW w:w="1728" w:type="dxa"/>
            <w:shd w:val="clear" w:color="auto" w:fill="auto"/>
          </w:tcPr>
          <w:p w:rsidR="00626912" w:rsidRPr="00DA77C5" w:rsidRDefault="00626912" w:rsidP="000660A1">
            <w:pPr>
              <w:rPr>
                <w:rFonts w:ascii="Arial" w:hAnsi="Arial" w:cs="Arial"/>
                <w:sz w:val="16"/>
                <w:szCs w:val="16"/>
              </w:rPr>
            </w:pPr>
            <w:r w:rsidRPr="00DA77C5">
              <w:rPr>
                <w:rFonts w:ascii="Arial" w:hAnsi="Arial" w:cs="Arial"/>
                <w:sz w:val="16"/>
                <w:szCs w:val="16"/>
              </w:rPr>
              <w:t>atazanavir</w:t>
            </w:r>
          </w:p>
        </w:tc>
        <w:tc>
          <w:tcPr>
            <w:tcW w:w="1199" w:type="dxa"/>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sz w:val="16"/>
                <w:szCs w:val="16"/>
              </w:rPr>
              <w:t>400 mg daily</w:t>
            </w:r>
          </w:p>
        </w:tc>
        <w:tc>
          <w:tcPr>
            <w:tcW w:w="1620" w:type="dxa"/>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sz w:val="16"/>
                <w:szCs w:val="16"/>
              </w:rPr>
              <w:t>100 mg single dose</w:t>
            </w:r>
          </w:p>
        </w:tc>
        <w:tc>
          <w:tcPr>
            <w:tcW w:w="900" w:type="dxa"/>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sz w:val="16"/>
                <w:szCs w:val="16"/>
              </w:rPr>
              <w:t>10</w:t>
            </w:r>
          </w:p>
        </w:tc>
        <w:tc>
          <w:tcPr>
            <w:tcW w:w="1260" w:type="dxa"/>
            <w:shd w:val="clear" w:color="auto" w:fill="auto"/>
          </w:tcPr>
          <w:p w:rsidR="00837EC9" w:rsidRPr="00DA77C5" w:rsidRDefault="00626912" w:rsidP="00DA77C5">
            <w:pPr>
              <w:jc w:val="center"/>
              <w:rPr>
                <w:rFonts w:ascii="Arial" w:hAnsi="Arial" w:cs="Arial"/>
                <w:sz w:val="16"/>
                <w:szCs w:val="16"/>
              </w:rPr>
            </w:pPr>
            <w:r w:rsidRPr="00DA77C5">
              <w:rPr>
                <w:rFonts w:ascii="Arial" w:hAnsi="Arial" w:cs="Arial"/>
                <w:sz w:val="16"/>
                <w:szCs w:val="16"/>
              </w:rPr>
              <w:t>1.53</w:t>
            </w:r>
          </w:p>
          <w:p w:rsidR="00626912" w:rsidRPr="00DA77C5" w:rsidRDefault="00626912" w:rsidP="00DA77C5">
            <w:pPr>
              <w:jc w:val="center"/>
              <w:rPr>
                <w:rFonts w:ascii="Arial" w:hAnsi="Arial" w:cs="Arial"/>
                <w:sz w:val="16"/>
                <w:szCs w:val="16"/>
              </w:rPr>
            </w:pPr>
            <w:r w:rsidRPr="00DA77C5">
              <w:rPr>
                <w:rFonts w:ascii="Arial" w:hAnsi="Arial" w:cs="Arial"/>
                <w:sz w:val="16"/>
                <w:szCs w:val="16"/>
              </w:rPr>
              <w:t xml:space="preserve"> (1.11, 2.12)</w:t>
            </w:r>
          </w:p>
        </w:tc>
        <w:tc>
          <w:tcPr>
            <w:tcW w:w="1260" w:type="dxa"/>
            <w:shd w:val="clear" w:color="auto" w:fill="auto"/>
          </w:tcPr>
          <w:p w:rsidR="00837EC9" w:rsidRPr="00DA77C5" w:rsidRDefault="00626912" w:rsidP="00DA77C5">
            <w:pPr>
              <w:jc w:val="center"/>
              <w:rPr>
                <w:rFonts w:ascii="Arial" w:hAnsi="Arial" w:cs="Arial"/>
                <w:sz w:val="16"/>
                <w:szCs w:val="16"/>
              </w:rPr>
            </w:pPr>
            <w:r w:rsidRPr="00DA77C5">
              <w:rPr>
                <w:rFonts w:ascii="Arial" w:hAnsi="Arial" w:cs="Arial"/>
                <w:sz w:val="16"/>
                <w:szCs w:val="16"/>
              </w:rPr>
              <w:t>1.72</w:t>
            </w:r>
          </w:p>
          <w:p w:rsidR="00626912" w:rsidRPr="00DA77C5" w:rsidRDefault="00626912" w:rsidP="00DA77C5">
            <w:pPr>
              <w:jc w:val="center"/>
              <w:rPr>
                <w:rFonts w:ascii="Arial" w:hAnsi="Arial" w:cs="Arial"/>
                <w:sz w:val="16"/>
                <w:szCs w:val="16"/>
              </w:rPr>
            </w:pPr>
            <w:r w:rsidRPr="00DA77C5">
              <w:rPr>
                <w:rFonts w:ascii="Arial" w:hAnsi="Arial" w:cs="Arial"/>
                <w:sz w:val="16"/>
                <w:szCs w:val="16"/>
              </w:rPr>
              <w:t xml:space="preserve"> (1.47, 2.02)</w:t>
            </w:r>
          </w:p>
        </w:tc>
        <w:tc>
          <w:tcPr>
            <w:tcW w:w="1080" w:type="dxa"/>
            <w:shd w:val="clear" w:color="auto" w:fill="auto"/>
          </w:tcPr>
          <w:p w:rsidR="00837EC9" w:rsidRPr="00DA77C5" w:rsidRDefault="00215ADE" w:rsidP="00DA77C5">
            <w:pPr>
              <w:jc w:val="center"/>
              <w:rPr>
                <w:rFonts w:ascii="Arial" w:hAnsi="Arial" w:cs="Arial"/>
                <w:sz w:val="16"/>
                <w:szCs w:val="16"/>
              </w:rPr>
            </w:pPr>
            <w:r w:rsidRPr="00215ADE">
              <w:rPr>
                <w:noProof/>
                <w:lang w:val="en-AU" w:eastAsia="en-AU"/>
              </w:rPr>
              <w:pict>
                <v:shape id="_x0000_s1028" type="#_x0000_t202" style="position:absolute;left:0;text-align:left;margin-left:439.2pt;margin-top:-83.05pt;width:266.4pt;height:1in;z-index:251658240;mso-position-horizontal-relative:margin;mso-position-vertical-relative:text" filled="f" stroked="f">
                  <v:stroke startarrowwidth="narrow" startarrowlength="short" endarrowwidth="narrow" endarrowlength="short"/>
                  <v:textbox style="mso-next-textbox:#_x0000_s1028" inset="2pt,2pt,2pt,2pt">
                    <w:txbxContent>
                      <w:p w:rsidR="00F525CD" w:rsidRDefault="00F525CD" w:rsidP="00626912"/>
                    </w:txbxContent>
                  </v:textbox>
                  <w10:wrap anchorx="margin"/>
                </v:shape>
              </w:pict>
            </w:r>
            <w:r w:rsidR="00626912" w:rsidRPr="00DA77C5">
              <w:rPr>
                <w:rFonts w:ascii="Arial" w:hAnsi="Arial" w:cs="Arial"/>
                <w:sz w:val="16"/>
                <w:szCs w:val="16"/>
              </w:rPr>
              <w:t>1.95</w:t>
            </w:r>
          </w:p>
          <w:p w:rsidR="00626912" w:rsidRPr="00DA77C5" w:rsidRDefault="00626912" w:rsidP="00DA77C5">
            <w:pPr>
              <w:jc w:val="center"/>
              <w:rPr>
                <w:rFonts w:ascii="Arial" w:hAnsi="Arial" w:cs="Arial"/>
                <w:sz w:val="16"/>
                <w:szCs w:val="16"/>
              </w:rPr>
            </w:pPr>
            <w:r w:rsidRPr="00DA77C5">
              <w:rPr>
                <w:rFonts w:ascii="Arial" w:hAnsi="Arial" w:cs="Arial"/>
                <w:sz w:val="16"/>
                <w:szCs w:val="16"/>
              </w:rPr>
              <w:t xml:space="preserve"> (1.30, 2.92)</w:t>
            </w:r>
          </w:p>
        </w:tc>
      </w:tr>
      <w:tr w:rsidR="00626912" w:rsidRPr="00DA77C5" w:rsidTr="00DA77C5">
        <w:tc>
          <w:tcPr>
            <w:tcW w:w="1728" w:type="dxa"/>
            <w:shd w:val="clear" w:color="auto" w:fill="auto"/>
          </w:tcPr>
          <w:p w:rsidR="00626912" w:rsidRPr="00DA77C5" w:rsidRDefault="00626912" w:rsidP="000660A1">
            <w:pPr>
              <w:rPr>
                <w:rFonts w:ascii="Arial" w:hAnsi="Arial" w:cs="Arial"/>
                <w:sz w:val="16"/>
                <w:szCs w:val="16"/>
              </w:rPr>
            </w:pPr>
            <w:r w:rsidRPr="00DA77C5">
              <w:rPr>
                <w:rFonts w:ascii="Arial" w:hAnsi="Arial" w:cs="Arial"/>
                <w:sz w:val="16"/>
                <w:szCs w:val="16"/>
              </w:rPr>
              <w:t>atazanavir/ritonavir</w:t>
            </w:r>
          </w:p>
        </w:tc>
        <w:tc>
          <w:tcPr>
            <w:tcW w:w="1199" w:type="dxa"/>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sz w:val="16"/>
                <w:szCs w:val="16"/>
              </w:rPr>
              <w:t>300 mg/100 mg daily</w:t>
            </w:r>
          </w:p>
        </w:tc>
        <w:tc>
          <w:tcPr>
            <w:tcW w:w="1620" w:type="dxa"/>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sz w:val="16"/>
                <w:szCs w:val="16"/>
              </w:rPr>
              <w:t>400 mg twice daily</w:t>
            </w:r>
          </w:p>
        </w:tc>
        <w:tc>
          <w:tcPr>
            <w:tcW w:w="900" w:type="dxa"/>
            <w:shd w:val="clear" w:color="auto" w:fill="auto"/>
          </w:tcPr>
          <w:p w:rsidR="00626912" w:rsidRPr="00DA77C5" w:rsidRDefault="00626912" w:rsidP="00DA77C5">
            <w:pPr>
              <w:jc w:val="center"/>
              <w:rPr>
                <w:rFonts w:ascii="Arial" w:hAnsi="Arial" w:cs="Arial"/>
                <w:sz w:val="16"/>
                <w:szCs w:val="16"/>
              </w:rPr>
            </w:pPr>
            <w:r w:rsidRPr="00DA77C5">
              <w:rPr>
                <w:rFonts w:ascii="Arial" w:hAnsi="Arial" w:cs="Arial"/>
                <w:sz w:val="16"/>
                <w:szCs w:val="16"/>
              </w:rPr>
              <w:t>10</w:t>
            </w:r>
          </w:p>
        </w:tc>
        <w:tc>
          <w:tcPr>
            <w:tcW w:w="1260" w:type="dxa"/>
            <w:shd w:val="clear" w:color="auto" w:fill="auto"/>
          </w:tcPr>
          <w:p w:rsidR="00837EC9" w:rsidRPr="00DA77C5" w:rsidRDefault="00626912" w:rsidP="00DA77C5">
            <w:pPr>
              <w:jc w:val="center"/>
              <w:rPr>
                <w:rFonts w:ascii="Arial" w:hAnsi="Arial" w:cs="Arial"/>
                <w:sz w:val="16"/>
                <w:szCs w:val="16"/>
              </w:rPr>
            </w:pPr>
            <w:r w:rsidRPr="00DA77C5">
              <w:rPr>
                <w:rFonts w:ascii="Arial" w:hAnsi="Arial" w:cs="Arial"/>
                <w:sz w:val="16"/>
                <w:szCs w:val="16"/>
              </w:rPr>
              <w:t xml:space="preserve">1.24 </w:t>
            </w:r>
          </w:p>
          <w:p w:rsidR="00626912" w:rsidRPr="00DA77C5" w:rsidRDefault="00626912" w:rsidP="00DA77C5">
            <w:pPr>
              <w:jc w:val="center"/>
              <w:rPr>
                <w:rFonts w:ascii="Arial" w:hAnsi="Arial" w:cs="Arial"/>
                <w:sz w:val="16"/>
                <w:szCs w:val="16"/>
              </w:rPr>
            </w:pPr>
            <w:r w:rsidRPr="00DA77C5">
              <w:rPr>
                <w:rFonts w:ascii="Arial" w:hAnsi="Arial" w:cs="Arial"/>
                <w:sz w:val="16"/>
                <w:szCs w:val="16"/>
              </w:rPr>
              <w:t>(0.87, 1.77)</w:t>
            </w:r>
          </w:p>
        </w:tc>
        <w:tc>
          <w:tcPr>
            <w:tcW w:w="1260" w:type="dxa"/>
            <w:shd w:val="clear" w:color="auto" w:fill="auto"/>
          </w:tcPr>
          <w:p w:rsidR="00837EC9" w:rsidRPr="00DA77C5" w:rsidRDefault="00626912" w:rsidP="00DA77C5">
            <w:pPr>
              <w:jc w:val="center"/>
              <w:rPr>
                <w:rFonts w:ascii="Arial" w:hAnsi="Arial" w:cs="Arial"/>
                <w:sz w:val="16"/>
                <w:szCs w:val="16"/>
              </w:rPr>
            </w:pPr>
            <w:r w:rsidRPr="00DA77C5">
              <w:rPr>
                <w:rFonts w:ascii="Arial" w:hAnsi="Arial" w:cs="Arial"/>
                <w:sz w:val="16"/>
                <w:szCs w:val="16"/>
              </w:rPr>
              <w:t xml:space="preserve">1.41 </w:t>
            </w:r>
          </w:p>
          <w:p w:rsidR="00626912" w:rsidRPr="00DA77C5" w:rsidRDefault="00626912" w:rsidP="00DA77C5">
            <w:pPr>
              <w:jc w:val="center"/>
              <w:rPr>
                <w:rFonts w:ascii="Arial" w:hAnsi="Arial" w:cs="Arial"/>
                <w:sz w:val="16"/>
                <w:szCs w:val="16"/>
              </w:rPr>
            </w:pPr>
            <w:r w:rsidRPr="00DA77C5">
              <w:rPr>
                <w:rFonts w:ascii="Arial" w:hAnsi="Arial" w:cs="Arial"/>
                <w:sz w:val="16"/>
                <w:szCs w:val="16"/>
              </w:rPr>
              <w:t>(1.12, 1.78)</w:t>
            </w:r>
          </w:p>
        </w:tc>
        <w:tc>
          <w:tcPr>
            <w:tcW w:w="1080" w:type="dxa"/>
            <w:shd w:val="clear" w:color="auto" w:fill="auto"/>
          </w:tcPr>
          <w:p w:rsidR="00837EC9" w:rsidRPr="00DA77C5" w:rsidRDefault="00626912" w:rsidP="00DA77C5">
            <w:pPr>
              <w:jc w:val="center"/>
              <w:rPr>
                <w:rFonts w:ascii="Arial" w:hAnsi="Arial" w:cs="Arial"/>
                <w:sz w:val="16"/>
                <w:szCs w:val="16"/>
              </w:rPr>
            </w:pPr>
            <w:r w:rsidRPr="00DA77C5">
              <w:rPr>
                <w:rFonts w:ascii="Arial" w:hAnsi="Arial" w:cs="Arial"/>
                <w:sz w:val="16"/>
                <w:szCs w:val="16"/>
              </w:rPr>
              <w:t xml:space="preserve">1.77 </w:t>
            </w:r>
          </w:p>
          <w:p w:rsidR="00626912" w:rsidRPr="00DA77C5" w:rsidRDefault="00626912" w:rsidP="00DA77C5">
            <w:pPr>
              <w:jc w:val="center"/>
              <w:rPr>
                <w:rFonts w:ascii="Arial" w:hAnsi="Arial" w:cs="Arial"/>
                <w:sz w:val="16"/>
                <w:szCs w:val="16"/>
              </w:rPr>
            </w:pPr>
            <w:r w:rsidRPr="00DA77C5">
              <w:rPr>
                <w:rFonts w:ascii="Arial" w:hAnsi="Arial" w:cs="Arial"/>
                <w:sz w:val="16"/>
                <w:szCs w:val="16"/>
              </w:rPr>
              <w:t>(1.39, 2.25)</w:t>
            </w:r>
          </w:p>
        </w:tc>
      </w:tr>
      <w:tr w:rsidR="00E0098B" w:rsidRPr="00DA77C5" w:rsidTr="00DA77C5">
        <w:tc>
          <w:tcPr>
            <w:tcW w:w="1728" w:type="dxa"/>
            <w:shd w:val="clear" w:color="auto" w:fill="auto"/>
          </w:tcPr>
          <w:p w:rsidR="00E0098B" w:rsidRPr="00DA77C5" w:rsidRDefault="00E0098B" w:rsidP="00DA77C5">
            <w:pPr>
              <w:autoSpaceDE w:val="0"/>
              <w:autoSpaceDN w:val="0"/>
              <w:adjustRightInd w:val="0"/>
              <w:rPr>
                <w:rFonts w:ascii="Arial" w:hAnsi="Arial" w:cs="Arial"/>
                <w:sz w:val="16"/>
                <w:szCs w:val="16"/>
              </w:rPr>
            </w:pPr>
            <w:r w:rsidRPr="00DA77C5">
              <w:rPr>
                <w:rFonts w:ascii="Arial" w:hAnsi="Arial" w:cs="Arial"/>
                <w:sz w:val="16"/>
                <w:szCs w:val="16"/>
              </w:rPr>
              <w:t>darunavir /ritonavir</w:t>
            </w:r>
          </w:p>
        </w:tc>
        <w:tc>
          <w:tcPr>
            <w:tcW w:w="1199"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600 mg/100 mg twice daily</w:t>
            </w:r>
          </w:p>
        </w:tc>
        <w:tc>
          <w:tcPr>
            <w:tcW w:w="162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400 mg twice daily</w:t>
            </w:r>
          </w:p>
        </w:tc>
        <w:tc>
          <w:tcPr>
            <w:tcW w:w="90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6</w:t>
            </w:r>
          </w:p>
        </w:tc>
        <w:tc>
          <w:tcPr>
            <w:tcW w:w="126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0.67</w:t>
            </w:r>
          </w:p>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(0.33-1.37)</w:t>
            </w:r>
          </w:p>
        </w:tc>
        <w:tc>
          <w:tcPr>
            <w:tcW w:w="126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 xml:space="preserve">0.71 </w:t>
            </w:r>
          </w:p>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(0.38-1.33)</w:t>
            </w:r>
          </w:p>
        </w:tc>
        <w:tc>
          <w:tcPr>
            <w:tcW w:w="108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 xml:space="preserve">1.38 </w:t>
            </w:r>
          </w:p>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(0.16-12.12)</w:t>
            </w:r>
          </w:p>
        </w:tc>
      </w:tr>
      <w:tr w:rsidR="00626912" w:rsidRPr="00DA77C5" w:rsidTr="00DA77C5">
        <w:tc>
          <w:tcPr>
            <w:tcW w:w="1728" w:type="dxa"/>
            <w:shd w:val="clear" w:color="auto" w:fill="auto"/>
          </w:tcPr>
          <w:p w:rsidR="00626912" w:rsidRPr="00DA77C5" w:rsidRDefault="00626912" w:rsidP="00DA77C5">
            <w:pPr>
              <w:autoSpaceDE w:val="0"/>
              <w:autoSpaceDN w:val="0"/>
              <w:adjustRightInd w:val="0"/>
              <w:rPr>
                <w:rFonts w:ascii="Arial" w:hAnsi="Arial" w:cs="Arial"/>
                <w:sz w:val="16"/>
                <w:szCs w:val="16"/>
              </w:rPr>
            </w:pPr>
            <w:r w:rsidRPr="00DA77C5">
              <w:rPr>
                <w:rFonts w:ascii="Arial" w:hAnsi="Arial" w:cs="Arial"/>
                <w:sz w:val="16"/>
                <w:szCs w:val="16"/>
              </w:rPr>
              <w:t xml:space="preserve">efavirenz </w:t>
            </w:r>
          </w:p>
        </w:tc>
        <w:tc>
          <w:tcPr>
            <w:tcW w:w="1199" w:type="dxa"/>
            <w:shd w:val="clear" w:color="auto" w:fill="auto"/>
          </w:tcPr>
          <w:p w:rsidR="00626912" w:rsidRPr="00DA77C5" w:rsidRDefault="00626912" w:rsidP="00DA77C5">
            <w:pPr>
              <w:autoSpaceDE w:val="0"/>
              <w:autoSpaceDN w:val="0"/>
              <w:adjustRightInd w:val="0"/>
              <w:jc w:val="center"/>
              <w:rPr>
                <w:rFonts w:ascii="Arial" w:hAnsi="Arial" w:cs="Arial"/>
                <w:sz w:val="16"/>
                <w:szCs w:val="16"/>
              </w:rPr>
            </w:pPr>
            <w:r w:rsidRPr="00DA77C5">
              <w:rPr>
                <w:rFonts w:ascii="Arial" w:hAnsi="Arial" w:cs="Arial"/>
                <w:sz w:val="16"/>
                <w:szCs w:val="16"/>
              </w:rPr>
              <w:t>600 mg daily</w:t>
            </w:r>
          </w:p>
        </w:tc>
        <w:tc>
          <w:tcPr>
            <w:tcW w:w="1620" w:type="dxa"/>
            <w:shd w:val="clear" w:color="auto" w:fill="auto"/>
          </w:tcPr>
          <w:p w:rsidR="00626912" w:rsidRPr="00DA77C5" w:rsidRDefault="00626912" w:rsidP="00DA77C5">
            <w:pPr>
              <w:autoSpaceDE w:val="0"/>
              <w:autoSpaceDN w:val="0"/>
              <w:adjustRightInd w:val="0"/>
              <w:jc w:val="center"/>
              <w:rPr>
                <w:rFonts w:ascii="Arial" w:hAnsi="Arial" w:cs="Arial"/>
                <w:sz w:val="16"/>
                <w:szCs w:val="16"/>
              </w:rPr>
            </w:pPr>
            <w:r w:rsidRPr="00DA77C5">
              <w:rPr>
                <w:rFonts w:ascii="Arial" w:hAnsi="Arial" w:cs="Arial"/>
                <w:sz w:val="16"/>
                <w:szCs w:val="16"/>
              </w:rPr>
              <w:t>400 mg single dose</w:t>
            </w:r>
          </w:p>
        </w:tc>
        <w:tc>
          <w:tcPr>
            <w:tcW w:w="900" w:type="dxa"/>
            <w:shd w:val="clear" w:color="auto" w:fill="auto"/>
          </w:tcPr>
          <w:p w:rsidR="00626912" w:rsidRPr="00DA77C5" w:rsidRDefault="00626912" w:rsidP="00DA77C5">
            <w:pPr>
              <w:autoSpaceDE w:val="0"/>
              <w:autoSpaceDN w:val="0"/>
              <w:adjustRightInd w:val="0"/>
              <w:jc w:val="center"/>
              <w:rPr>
                <w:rFonts w:ascii="Arial" w:hAnsi="Arial" w:cs="Arial"/>
                <w:sz w:val="16"/>
                <w:szCs w:val="16"/>
              </w:rPr>
            </w:pPr>
            <w:r w:rsidRPr="00DA77C5">
              <w:rPr>
                <w:rFonts w:ascii="Arial" w:hAnsi="Arial" w:cs="Arial"/>
                <w:sz w:val="16"/>
                <w:szCs w:val="16"/>
              </w:rPr>
              <w:t>9</w:t>
            </w:r>
          </w:p>
        </w:tc>
        <w:tc>
          <w:tcPr>
            <w:tcW w:w="1260" w:type="dxa"/>
            <w:shd w:val="clear" w:color="auto" w:fill="auto"/>
          </w:tcPr>
          <w:p w:rsidR="00837EC9" w:rsidRPr="00DA77C5" w:rsidRDefault="00626912" w:rsidP="00DA77C5">
            <w:pPr>
              <w:autoSpaceDE w:val="0"/>
              <w:autoSpaceDN w:val="0"/>
              <w:adjustRightInd w:val="0"/>
              <w:jc w:val="center"/>
              <w:rPr>
                <w:rFonts w:ascii="Arial" w:hAnsi="Arial" w:cs="Arial"/>
                <w:sz w:val="16"/>
                <w:szCs w:val="16"/>
              </w:rPr>
            </w:pPr>
            <w:r w:rsidRPr="00DA77C5">
              <w:rPr>
                <w:rFonts w:ascii="Arial" w:hAnsi="Arial" w:cs="Arial"/>
                <w:sz w:val="16"/>
                <w:szCs w:val="16"/>
              </w:rPr>
              <w:t xml:space="preserve">0.64 </w:t>
            </w:r>
          </w:p>
          <w:p w:rsidR="00626912" w:rsidRPr="00DA77C5" w:rsidRDefault="00626912" w:rsidP="00DA77C5">
            <w:pPr>
              <w:autoSpaceDE w:val="0"/>
              <w:autoSpaceDN w:val="0"/>
              <w:adjustRightInd w:val="0"/>
              <w:jc w:val="center"/>
              <w:rPr>
                <w:rFonts w:ascii="Arial" w:hAnsi="Arial" w:cs="Arial"/>
                <w:sz w:val="16"/>
                <w:szCs w:val="16"/>
              </w:rPr>
            </w:pPr>
            <w:r w:rsidRPr="00DA77C5">
              <w:rPr>
                <w:rFonts w:ascii="Arial" w:hAnsi="Arial" w:cs="Arial"/>
                <w:sz w:val="16"/>
                <w:szCs w:val="16"/>
              </w:rPr>
              <w:t>(0.41, 0.98)</w:t>
            </w:r>
          </w:p>
        </w:tc>
        <w:tc>
          <w:tcPr>
            <w:tcW w:w="1260" w:type="dxa"/>
            <w:shd w:val="clear" w:color="auto" w:fill="auto"/>
          </w:tcPr>
          <w:p w:rsidR="00837EC9" w:rsidRPr="00DA77C5" w:rsidRDefault="00626912" w:rsidP="00DA77C5">
            <w:pPr>
              <w:autoSpaceDE w:val="0"/>
              <w:autoSpaceDN w:val="0"/>
              <w:adjustRightInd w:val="0"/>
              <w:jc w:val="center"/>
              <w:rPr>
                <w:rFonts w:ascii="Arial" w:hAnsi="Arial" w:cs="Arial"/>
                <w:sz w:val="16"/>
                <w:szCs w:val="16"/>
              </w:rPr>
            </w:pPr>
            <w:r w:rsidRPr="00DA77C5">
              <w:rPr>
                <w:rFonts w:ascii="Arial" w:hAnsi="Arial" w:cs="Arial"/>
                <w:sz w:val="16"/>
                <w:szCs w:val="16"/>
              </w:rPr>
              <w:t xml:space="preserve">0.64 </w:t>
            </w:r>
          </w:p>
          <w:p w:rsidR="00626912" w:rsidRPr="00DA77C5" w:rsidRDefault="00626912" w:rsidP="00DA77C5">
            <w:pPr>
              <w:autoSpaceDE w:val="0"/>
              <w:autoSpaceDN w:val="0"/>
              <w:adjustRightInd w:val="0"/>
              <w:jc w:val="center"/>
              <w:rPr>
                <w:rFonts w:ascii="Arial" w:hAnsi="Arial" w:cs="Arial"/>
                <w:sz w:val="16"/>
                <w:szCs w:val="16"/>
              </w:rPr>
            </w:pPr>
            <w:r w:rsidRPr="00DA77C5">
              <w:rPr>
                <w:rFonts w:ascii="Arial" w:hAnsi="Arial" w:cs="Arial"/>
                <w:sz w:val="16"/>
                <w:szCs w:val="16"/>
              </w:rPr>
              <w:t>(0.52, 0.80)</w:t>
            </w:r>
          </w:p>
        </w:tc>
        <w:tc>
          <w:tcPr>
            <w:tcW w:w="1080" w:type="dxa"/>
            <w:shd w:val="clear" w:color="auto" w:fill="auto"/>
          </w:tcPr>
          <w:p w:rsidR="00837EC9" w:rsidRPr="00DA77C5" w:rsidRDefault="00626912" w:rsidP="00DA77C5">
            <w:pPr>
              <w:autoSpaceDE w:val="0"/>
              <w:autoSpaceDN w:val="0"/>
              <w:adjustRightInd w:val="0"/>
              <w:jc w:val="center"/>
              <w:rPr>
                <w:rFonts w:ascii="Arial" w:hAnsi="Arial" w:cs="Arial"/>
                <w:sz w:val="16"/>
                <w:szCs w:val="16"/>
              </w:rPr>
            </w:pPr>
            <w:r w:rsidRPr="00DA77C5">
              <w:rPr>
                <w:rFonts w:ascii="Arial" w:hAnsi="Arial" w:cs="Arial"/>
                <w:sz w:val="16"/>
                <w:szCs w:val="16"/>
              </w:rPr>
              <w:t>0.79</w:t>
            </w:r>
          </w:p>
          <w:p w:rsidR="00626912" w:rsidRPr="00DA77C5" w:rsidRDefault="00626912" w:rsidP="00DA77C5">
            <w:pPr>
              <w:autoSpaceDE w:val="0"/>
              <w:autoSpaceDN w:val="0"/>
              <w:adjustRightInd w:val="0"/>
              <w:jc w:val="center"/>
              <w:rPr>
                <w:rFonts w:ascii="Arial" w:hAnsi="Arial" w:cs="Arial"/>
                <w:sz w:val="16"/>
                <w:szCs w:val="16"/>
              </w:rPr>
            </w:pPr>
            <w:r w:rsidRPr="00DA77C5">
              <w:rPr>
                <w:rFonts w:ascii="Arial" w:hAnsi="Arial" w:cs="Arial"/>
                <w:sz w:val="16"/>
                <w:szCs w:val="16"/>
              </w:rPr>
              <w:t xml:space="preserve"> (0.49, 1.28)</w:t>
            </w:r>
          </w:p>
        </w:tc>
      </w:tr>
      <w:tr w:rsidR="00E0098B" w:rsidRPr="00DA77C5" w:rsidTr="00DA77C5">
        <w:tc>
          <w:tcPr>
            <w:tcW w:w="1728" w:type="dxa"/>
            <w:shd w:val="clear" w:color="auto" w:fill="auto"/>
          </w:tcPr>
          <w:p w:rsidR="00E0098B" w:rsidRPr="00DA77C5" w:rsidRDefault="0087686A" w:rsidP="00DA77C5">
            <w:pPr>
              <w:autoSpaceDE w:val="0"/>
              <w:autoSpaceDN w:val="0"/>
              <w:adjustRightInd w:val="0"/>
              <w:rPr>
                <w:rFonts w:ascii="Arial" w:hAnsi="Arial" w:cs="Arial"/>
                <w:sz w:val="16"/>
                <w:szCs w:val="16"/>
              </w:rPr>
            </w:pPr>
            <w:r w:rsidRPr="00DA77C5">
              <w:rPr>
                <w:rFonts w:ascii="Arial" w:hAnsi="Arial" w:cs="Arial"/>
                <w:sz w:val="16"/>
                <w:szCs w:val="16"/>
              </w:rPr>
              <w:t>E</w:t>
            </w:r>
            <w:r w:rsidR="00E0098B" w:rsidRPr="00DA77C5">
              <w:rPr>
                <w:rFonts w:ascii="Arial" w:hAnsi="Arial" w:cs="Arial"/>
                <w:sz w:val="16"/>
                <w:szCs w:val="16"/>
              </w:rPr>
              <w:t>travirine</w:t>
            </w:r>
            <w:r w:rsidRPr="00DA77C5">
              <w:rPr>
                <w:rFonts w:ascii="Arial" w:hAnsi="Arial" w:cs="Arial"/>
                <w:sz w:val="16"/>
                <w:szCs w:val="16"/>
              </w:rPr>
              <w:t xml:space="preserve"> </w:t>
            </w:r>
          </w:p>
        </w:tc>
        <w:tc>
          <w:tcPr>
            <w:tcW w:w="1199"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200 mg twice daily</w:t>
            </w:r>
          </w:p>
        </w:tc>
        <w:tc>
          <w:tcPr>
            <w:tcW w:w="162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400 mg twice daily</w:t>
            </w:r>
          </w:p>
        </w:tc>
        <w:tc>
          <w:tcPr>
            <w:tcW w:w="90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19</w:t>
            </w:r>
          </w:p>
        </w:tc>
        <w:tc>
          <w:tcPr>
            <w:tcW w:w="126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0.89 (0.68, 1.15)</w:t>
            </w:r>
          </w:p>
        </w:tc>
        <w:tc>
          <w:tcPr>
            <w:tcW w:w="126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0.90 (0.68, 1.18)</w:t>
            </w:r>
          </w:p>
        </w:tc>
        <w:tc>
          <w:tcPr>
            <w:tcW w:w="108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0.66 (0.34, 1.26)</w:t>
            </w:r>
          </w:p>
        </w:tc>
      </w:tr>
      <w:tr w:rsidR="00E0098B" w:rsidRPr="00DA77C5" w:rsidTr="00DA77C5">
        <w:tc>
          <w:tcPr>
            <w:tcW w:w="1728" w:type="dxa"/>
            <w:shd w:val="clear" w:color="auto" w:fill="auto"/>
          </w:tcPr>
          <w:p w:rsidR="00E0098B" w:rsidRPr="00DA77C5" w:rsidRDefault="00E0098B" w:rsidP="000660A1">
            <w:pPr>
              <w:rPr>
                <w:rFonts w:ascii="Arial" w:hAnsi="Arial" w:cs="Arial"/>
                <w:sz w:val="16"/>
                <w:szCs w:val="16"/>
              </w:rPr>
            </w:pPr>
            <w:r w:rsidRPr="00DA77C5">
              <w:rPr>
                <w:rFonts w:ascii="Arial" w:hAnsi="Arial" w:cs="Arial"/>
                <w:sz w:val="16"/>
                <w:szCs w:val="16"/>
              </w:rPr>
              <w:t>omeprazole</w:t>
            </w:r>
          </w:p>
        </w:tc>
        <w:tc>
          <w:tcPr>
            <w:tcW w:w="1199"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20 mg daily</w:t>
            </w:r>
          </w:p>
        </w:tc>
        <w:tc>
          <w:tcPr>
            <w:tcW w:w="162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400 mg single dose</w:t>
            </w:r>
          </w:p>
        </w:tc>
        <w:tc>
          <w:tcPr>
            <w:tcW w:w="90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14</w:t>
            </w:r>
          </w:p>
          <w:p w:rsidR="00E0098B" w:rsidRPr="00DA77C5" w:rsidRDefault="00E0098B" w:rsidP="00DA77C5">
            <w:pPr>
              <w:jc w:val="center"/>
              <w:rPr>
                <w:rFonts w:ascii="Arial" w:hAnsi="Arial" w:cs="Arial"/>
                <w:sz w:val="16"/>
                <w:szCs w:val="16"/>
              </w:rPr>
            </w:pPr>
            <w:r w:rsidRPr="00DA77C5">
              <w:rPr>
                <w:rFonts w:ascii="Arial" w:hAnsi="Arial" w:cs="Arial"/>
                <w:sz w:val="16"/>
                <w:szCs w:val="16"/>
              </w:rPr>
              <w:t>(10 for AUC)</w:t>
            </w:r>
          </w:p>
        </w:tc>
        <w:tc>
          <w:tcPr>
            <w:tcW w:w="126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4.15</w:t>
            </w:r>
          </w:p>
          <w:p w:rsidR="00E0098B" w:rsidRPr="00DA77C5" w:rsidRDefault="00E0098B" w:rsidP="00DA77C5">
            <w:pPr>
              <w:jc w:val="center"/>
              <w:rPr>
                <w:rFonts w:ascii="Arial" w:hAnsi="Arial" w:cs="Arial"/>
                <w:sz w:val="16"/>
                <w:szCs w:val="16"/>
              </w:rPr>
            </w:pPr>
            <w:r w:rsidRPr="00DA77C5">
              <w:rPr>
                <w:rFonts w:ascii="Arial" w:hAnsi="Arial" w:cs="Arial"/>
                <w:sz w:val="16"/>
                <w:szCs w:val="16"/>
              </w:rPr>
              <w:t>(2.82, 6.10)</w:t>
            </w:r>
          </w:p>
        </w:tc>
        <w:tc>
          <w:tcPr>
            <w:tcW w:w="126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3.12</w:t>
            </w:r>
          </w:p>
          <w:p w:rsidR="00E0098B" w:rsidRPr="00DA77C5" w:rsidRDefault="00E0098B" w:rsidP="00DA77C5">
            <w:pPr>
              <w:jc w:val="center"/>
              <w:rPr>
                <w:rFonts w:ascii="Arial" w:hAnsi="Arial" w:cs="Arial"/>
                <w:sz w:val="16"/>
                <w:szCs w:val="16"/>
              </w:rPr>
            </w:pPr>
            <w:r w:rsidRPr="00DA77C5">
              <w:rPr>
                <w:rFonts w:ascii="Arial" w:hAnsi="Arial" w:cs="Arial"/>
                <w:sz w:val="16"/>
                <w:szCs w:val="16"/>
              </w:rPr>
              <w:t>(2.13, 4.56)</w:t>
            </w:r>
          </w:p>
        </w:tc>
        <w:tc>
          <w:tcPr>
            <w:tcW w:w="108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1.46</w:t>
            </w:r>
          </w:p>
          <w:p w:rsidR="00E0098B" w:rsidRPr="00DA77C5" w:rsidRDefault="00E0098B" w:rsidP="00DA77C5">
            <w:pPr>
              <w:jc w:val="center"/>
              <w:rPr>
                <w:rFonts w:ascii="Arial" w:hAnsi="Arial" w:cs="Arial"/>
                <w:sz w:val="16"/>
                <w:szCs w:val="16"/>
              </w:rPr>
            </w:pPr>
            <w:r w:rsidRPr="00DA77C5">
              <w:rPr>
                <w:rFonts w:ascii="Arial" w:hAnsi="Arial" w:cs="Arial"/>
                <w:sz w:val="16"/>
                <w:szCs w:val="16"/>
              </w:rPr>
              <w:t>(1.10, 1.93)</w:t>
            </w:r>
          </w:p>
        </w:tc>
      </w:tr>
      <w:tr w:rsidR="00E0098B" w:rsidRPr="00DA77C5" w:rsidTr="00DA77C5">
        <w:tc>
          <w:tcPr>
            <w:tcW w:w="1728" w:type="dxa"/>
            <w:shd w:val="clear" w:color="auto" w:fill="auto"/>
          </w:tcPr>
          <w:p w:rsidR="00E0098B" w:rsidRPr="00DA77C5" w:rsidRDefault="00E0098B" w:rsidP="000660A1">
            <w:pPr>
              <w:rPr>
                <w:rFonts w:ascii="Arial" w:hAnsi="Arial" w:cs="Arial"/>
                <w:sz w:val="16"/>
                <w:szCs w:val="16"/>
              </w:rPr>
            </w:pPr>
            <w:r w:rsidRPr="00DA77C5">
              <w:rPr>
                <w:rFonts w:ascii="Arial" w:hAnsi="Arial" w:cs="Arial"/>
                <w:sz w:val="16"/>
                <w:szCs w:val="16"/>
              </w:rPr>
              <w:t xml:space="preserve">rifampin </w:t>
            </w:r>
          </w:p>
        </w:tc>
        <w:tc>
          <w:tcPr>
            <w:tcW w:w="1199"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600 mg daily</w:t>
            </w:r>
          </w:p>
        </w:tc>
        <w:tc>
          <w:tcPr>
            <w:tcW w:w="162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400 mg single dose</w:t>
            </w:r>
          </w:p>
        </w:tc>
        <w:tc>
          <w:tcPr>
            <w:tcW w:w="90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9</w:t>
            </w:r>
          </w:p>
        </w:tc>
        <w:tc>
          <w:tcPr>
            <w:tcW w:w="126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0.62</w:t>
            </w:r>
          </w:p>
          <w:p w:rsidR="00E0098B" w:rsidRPr="00DA77C5" w:rsidRDefault="00E0098B" w:rsidP="00DA77C5">
            <w:pPr>
              <w:jc w:val="center"/>
              <w:rPr>
                <w:rFonts w:ascii="Arial" w:hAnsi="Arial" w:cs="Arial"/>
                <w:sz w:val="16"/>
                <w:szCs w:val="16"/>
              </w:rPr>
            </w:pPr>
            <w:r w:rsidRPr="00DA77C5">
              <w:rPr>
                <w:rFonts w:ascii="Arial" w:hAnsi="Arial" w:cs="Arial"/>
                <w:sz w:val="16"/>
                <w:szCs w:val="16"/>
              </w:rPr>
              <w:t xml:space="preserve"> (0.37, 1.04)</w:t>
            </w:r>
          </w:p>
        </w:tc>
        <w:tc>
          <w:tcPr>
            <w:tcW w:w="126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0.60</w:t>
            </w:r>
          </w:p>
          <w:p w:rsidR="00E0098B" w:rsidRPr="00132509" w:rsidRDefault="00E0098B" w:rsidP="00DA77C5">
            <w:pPr>
              <w:pStyle w:val="TableText"/>
              <w:jc w:val="center"/>
            </w:pPr>
            <w:r w:rsidRPr="00DA77C5">
              <w:rPr>
                <w:rFonts w:ascii="Arial" w:hAnsi="Arial" w:cs="Arial"/>
                <w:sz w:val="16"/>
                <w:szCs w:val="16"/>
              </w:rPr>
              <w:t>(0.39, 0.91)</w:t>
            </w:r>
          </w:p>
        </w:tc>
        <w:tc>
          <w:tcPr>
            <w:tcW w:w="108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0.39</w:t>
            </w:r>
          </w:p>
          <w:p w:rsidR="00E0098B" w:rsidRPr="00DA77C5" w:rsidRDefault="00E0098B" w:rsidP="00DA77C5">
            <w:pPr>
              <w:jc w:val="center"/>
              <w:rPr>
                <w:rFonts w:ascii="Arial" w:hAnsi="Arial" w:cs="Arial"/>
                <w:sz w:val="16"/>
                <w:szCs w:val="16"/>
              </w:rPr>
            </w:pPr>
            <w:r w:rsidRPr="00DA77C5">
              <w:rPr>
                <w:rFonts w:ascii="Arial" w:hAnsi="Arial" w:cs="Arial"/>
                <w:sz w:val="16"/>
                <w:szCs w:val="16"/>
              </w:rPr>
              <w:t xml:space="preserve"> (0.30, 0.51)</w:t>
            </w:r>
          </w:p>
        </w:tc>
      </w:tr>
      <w:tr w:rsidR="00E0098B" w:rsidRPr="00DA77C5" w:rsidTr="00DA77C5">
        <w:tc>
          <w:tcPr>
            <w:tcW w:w="1728" w:type="dxa"/>
            <w:shd w:val="clear" w:color="auto" w:fill="auto"/>
          </w:tcPr>
          <w:p w:rsidR="00E0098B" w:rsidRPr="00DA77C5" w:rsidRDefault="00EC48A9" w:rsidP="000660A1">
            <w:pPr>
              <w:rPr>
                <w:rFonts w:ascii="Arial" w:hAnsi="Arial" w:cs="Arial"/>
                <w:sz w:val="16"/>
                <w:szCs w:val="16"/>
              </w:rPr>
            </w:pPr>
            <w:r w:rsidRPr="00DA77C5">
              <w:rPr>
                <w:rFonts w:ascii="Arial" w:hAnsi="Arial" w:cs="Arial"/>
                <w:sz w:val="16"/>
                <w:szCs w:val="16"/>
              </w:rPr>
              <w:t>r</w:t>
            </w:r>
            <w:r w:rsidR="00E0098B" w:rsidRPr="00DA77C5">
              <w:rPr>
                <w:rFonts w:ascii="Arial" w:hAnsi="Arial" w:cs="Arial"/>
                <w:sz w:val="16"/>
                <w:szCs w:val="16"/>
              </w:rPr>
              <w:t>ifampin</w:t>
            </w:r>
            <w:r w:rsidR="009D05ED" w:rsidRPr="00DA77C5">
              <w:rPr>
                <w:rFonts w:ascii="Arial" w:hAnsi="Arial"/>
                <w:bCs/>
                <w:sz w:val="22"/>
              </w:rPr>
              <w:t xml:space="preserve"> </w:t>
            </w:r>
          </w:p>
        </w:tc>
        <w:tc>
          <w:tcPr>
            <w:tcW w:w="1199"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600 mg daily</w:t>
            </w:r>
          </w:p>
        </w:tc>
        <w:tc>
          <w:tcPr>
            <w:tcW w:w="162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800 mg twice daily</w:t>
            </w:r>
          </w:p>
        </w:tc>
        <w:tc>
          <w:tcPr>
            <w:tcW w:w="90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14</w:t>
            </w:r>
          </w:p>
        </w:tc>
        <w:tc>
          <w:tcPr>
            <w:tcW w:w="126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1.62*</w:t>
            </w:r>
          </w:p>
          <w:p w:rsidR="00E0098B" w:rsidRPr="00DA77C5" w:rsidRDefault="00E0098B" w:rsidP="00DA77C5">
            <w:pPr>
              <w:jc w:val="center"/>
              <w:rPr>
                <w:rFonts w:ascii="Arial" w:hAnsi="Arial" w:cs="Arial"/>
                <w:sz w:val="16"/>
                <w:szCs w:val="16"/>
              </w:rPr>
            </w:pPr>
            <w:r w:rsidRPr="00DA77C5">
              <w:rPr>
                <w:rFonts w:ascii="Arial" w:hAnsi="Arial" w:cs="Arial"/>
                <w:sz w:val="16"/>
                <w:szCs w:val="16"/>
              </w:rPr>
              <w:t>(1.12, 2.33)</w:t>
            </w:r>
          </w:p>
        </w:tc>
        <w:tc>
          <w:tcPr>
            <w:tcW w:w="1260" w:type="dxa"/>
            <w:shd w:val="clear" w:color="auto" w:fill="auto"/>
          </w:tcPr>
          <w:p w:rsidR="00E0098B" w:rsidRPr="00DA77C5" w:rsidRDefault="00E0098B" w:rsidP="00DA77C5">
            <w:pPr>
              <w:jc w:val="center"/>
              <w:rPr>
                <w:rFonts w:ascii="Arial" w:hAnsi="Arial" w:cs="Arial"/>
                <w:sz w:val="16"/>
                <w:szCs w:val="16"/>
                <w:vertAlign w:val="superscript"/>
              </w:rPr>
            </w:pPr>
            <w:r w:rsidRPr="00DA77C5">
              <w:rPr>
                <w:rFonts w:ascii="Arial" w:hAnsi="Arial" w:cs="Arial"/>
                <w:sz w:val="16"/>
                <w:szCs w:val="16"/>
              </w:rPr>
              <w:t>1.27*</w:t>
            </w:r>
          </w:p>
          <w:p w:rsidR="00E0098B" w:rsidRPr="00DA77C5" w:rsidRDefault="00E0098B" w:rsidP="00DA77C5">
            <w:pPr>
              <w:jc w:val="center"/>
              <w:rPr>
                <w:rFonts w:ascii="Arial" w:hAnsi="Arial" w:cs="Arial"/>
                <w:sz w:val="16"/>
                <w:szCs w:val="16"/>
              </w:rPr>
            </w:pPr>
            <w:r w:rsidRPr="00DA77C5">
              <w:rPr>
                <w:rFonts w:ascii="Arial" w:hAnsi="Arial" w:cs="Arial"/>
                <w:sz w:val="16"/>
                <w:szCs w:val="16"/>
              </w:rPr>
              <w:t>(0.94, 1.71)</w:t>
            </w:r>
          </w:p>
        </w:tc>
        <w:tc>
          <w:tcPr>
            <w:tcW w:w="108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0.47*</w:t>
            </w:r>
          </w:p>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(0.36, 0.61)</w:t>
            </w:r>
          </w:p>
        </w:tc>
      </w:tr>
      <w:tr w:rsidR="00E0098B" w:rsidRPr="00DA77C5" w:rsidTr="00DA77C5">
        <w:tc>
          <w:tcPr>
            <w:tcW w:w="1728" w:type="dxa"/>
            <w:shd w:val="clear" w:color="auto" w:fill="auto"/>
          </w:tcPr>
          <w:p w:rsidR="00E0098B" w:rsidRPr="00DA77C5" w:rsidRDefault="00E0098B" w:rsidP="000660A1">
            <w:pPr>
              <w:rPr>
                <w:rFonts w:ascii="Arial" w:hAnsi="Arial" w:cs="Arial"/>
                <w:sz w:val="16"/>
                <w:szCs w:val="16"/>
              </w:rPr>
            </w:pPr>
            <w:r w:rsidRPr="00DA77C5">
              <w:rPr>
                <w:rFonts w:ascii="Arial" w:hAnsi="Arial" w:cs="Arial"/>
                <w:sz w:val="16"/>
                <w:szCs w:val="16"/>
              </w:rPr>
              <w:t>ritonavir</w:t>
            </w:r>
          </w:p>
        </w:tc>
        <w:tc>
          <w:tcPr>
            <w:tcW w:w="1199"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100 mg twice daily</w:t>
            </w:r>
          </w:p>
        </w:tc>
        <w:tc>
          <w:tcPr>
            <w:tcW w:w="162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400 mg single dose</w:t>
            </w:r>
          </w:p>
        </w:tc>
        <w:tc>
          <w:tcPr>
            <w:tcW w:w="90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10</w:t>
            </w:r>
          </w:p>
        </w:tc>
        <w:tc>
          <w:tcPr>
            <w:tcW w:w="126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0.76</w:t>
            </w:r>
          </w:p>
          <w:p w:rsidR="00E0098B" w:rsidRPr="00DA77C5" w:rsidRDefault="00E0098B" w:rsidP="00DA77C5">
            <w:pPr>
              <w:jc w:val="center"/>
              <w:rPr>
                <w:rFonts w:ascii="Arial" w:hAnsi="Arial" w:cs="Arial"/>
                <w:sz w:val="16"/>
                <w:szCs w:val="16"/>
              </w:rPr>
            </w:pPr>
            <w:r w:rsidRPr="00DA77C5">
              <w:rPr>
                <w:rFonts w:ascii="Arial" w:hAnsi="Arial" w:cs="Arial"/>
                <w:sz w:val="16"/>
                <w:szCs w:val="16"/>
              </w:rPr>
              <w:t xml:space="preserve"> (0.55, 1.04)</w:t>
            </w:r>
          </w:p>
        </w:tc>
        <w:tc>
          <w:tcPr>
            <w:tcW w:w="126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0.84</w:t>
            </w:r>
          </w:p>
          <w:p w:rsidR="00E0098B" w:rsidRPr="00DA77C5" w:rsidRDefault="00E0098B" w:rsidP="00DA77C5">
            <w:pPr>
              <w:jc w:val="center"/>
              <w:rPr>
                <w:rFonts w:ascii="Arial" w:hAnsi="Arial" w:cs="Arial"/>
                <w:sz w:val="16"/>
                <w:szCs w:val="16"/>
              </w:rPr>
            </w:pPr>
            <w:r w:rsidRPr="00DA77C5">
              <w:rPr>
                <w:rFonts w:ascii="Arial" w:hAnsi="Arial" w:cs="Arial"/>
                <w:sz w:val="16"/>
                <w:szCs w:val="16"/>
              </w:rPr>
              <w:t xml:space="preserve"> (0.70, 1.01)</w:t>
            </w:r>
          </w:p>
        </w:tc>
        <w:tc>
          <w:tcPr>
            <w:tcW w:w="108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 xml:space="preserve">0.99 </w:t>
            </w:r>
          </w:p>
          <w:p w:rsidR="00E0098B" w:rsidRPr="00DA77C5" w:rsidRDefault="00E0098B" w:rsidP="00DA77C5">
            <w:pPr>
              <w:jc w:val="center"/>
              <w:rPr>
                <w:rFonts w:ascii="Arial" w:hAnsi="Arial" w:cs="Arial"/>
                <w:noProof/>
                <w:sz w:val="16"/>
                <w:szCs w:val="16"/>
              </w:rPr>
            </w:pPr>
            <w:r w:rsidRPr="00DA77C5">
              <w:rPr>
                <w:rFonts w:ascii="Arial" w:hAnsi="Arial" w:cs="Arial"/>
                <w:sz w:val="16"/>
                <w:szCs w:val="16"/>
              </w:rPr>
              <w:t>(0.70,1.40)</w:t>
            </w:r>
          </w:p>
        </w:tc>
      </w:tr>
      <w:tr w:rsidR="00E0098B" w:rsidRPr="00DA77C5" w:rsidTr="00DA77C5">
        <w:tc>
          <w:tcPr>
            <w:tcW w:w="1728" w:type="dxa"/>
            <w:shd w:val="clear" w:color="auto" w:fill="auto"/>
          </w:tcPr>
          <w:p w:rsidR="00E0098B" w:rsidRPr="00DA77C5" w:rsidRDefault="00E0098B" w:rsidP="00DA77C5">
            <w:pPr>
              <w:autoSpaceDE w:val="0"/>
              <w:autoSpaceDN w:val="0"/>
              <w:adjustRightInd w:val="0"/>
              <w:rPr>
                <w:rFonts w:ascii="Arial" w:hAnsi="Arial" w:cs="Arial"/>
                <w:sz w:val="16"/>
                <w:szCs w:val="16"/>
              </w:rPr>
            </w:pPr>
            <w:r w:rsidRPr="00DA77C5">
              <w:rPr>
                <w:rFonts w:ascii="Arial" w:hAnsi="Arial" w:cs="Arial"/>
                <w:sz w:val="16"/>
                <w:szCs w:val="16"/>
              </w:rPr>
              <w:t xml:space="preserve">tenofovir </w:t>
            </w:r>
          </w:p>
        </w:tc>
        <w:tc>
          <w:tcPr>
            <w:tcW w:w="1199"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300 mg daily</w:t>
            </w:r>
          </w:p>
        </w:tc>
        <w:tc>
          <w:tcPr>
            <w:tcW w:w="162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400 mg twice daily</w:t>
            </w:r>
          </w:p>
        </w:tc>
        <w:tc>
          <w:tcPr>
            <w:tcW w:w="90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9</w:t>
            </w:r>
          </w:p>
        </w:tc>
        <w:tc>
          <w:tcPr>
            <w:tcW w:w="126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 xml:space="preserve">1.64 </w:t>
            </w:r>
          </w:p>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(1.16, 2.32)</w:t>
            </w:r>
          </w:p>
        </w:tc>
        <w:tc>
          <w:tcPr>
            <w:tcW w:w="126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1.49</w:t>
            </w:r>
          </w:p>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 xml:space="preserve"> (1.15, 1.94)</w:t>
            </w:r>
          </w:p>
        </w:tc>
        <w:tc>
          <w:tcPr>
            <w:tcW w:w="1080" w:type="dxa"/>
            <w:shd w:val="clear" w:color="auto" w:fill="auto"/>
          </w:tcPr>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1.03</w:t>
            </w:r>
          </w:p>
          <w:p w:rsidR="00E0098B" w:rsidRPr="00DA77C5" w:rsidRDefault="00E0098B" w:rsidP="00DA77C5">
            <w:pPr>
              <w:autoSpaceDE w:val="0"/>
              <w:autoSpaceDN w:val="0"/>
              <w:adjustRightInd w:val="0"/>
              <w:jc w:val="center"/>
              <w:rPr>
                <w:rFonts w:ascii="Arial" w:hAnsi="Arial" w:cs="Arial"/>
                <w:sz w:val="16"/>
                <w:szCs w:val="16"/>
              </w:rPr>
            </w:pPr>
            <w:r w:rsidRPr="00DA77C5">
              <w:rPr>
                <w:rFonts w:ascii="Arial" w:hAnsi="Arial" w:cs="Arial"/>
                <w:sz w:val="16"/>
                <w:szCs w:val="16"/>
              </w:rPr>
              <w:t xml:space="preserve"> (0.73, 1.45)</w:t>
            </w:r>
          </w:p>
        </w:tc>
      </w:tr>
      <w:tr w:rsidR="00E0098B" w:rsidRPr="00DA77C5" w:rsidTr="00DA77C5">
        <w:tc>
          <w:tcPr>
            <w:tcW w:w="1728" w:type="dxa"/>
            <w:shd w:val="clear" w:color="auto" w:fill="auto"/>
          </w:tcPr>
          <w:p w:rsidR="00E0098B" w:rsidRPr="00DA77C5" w:rsidRDefault="00E0098B" w:rsidP="000660A1">
            <w:pPr>
              <w:rPr>
                <w:rFonts w:ascii="Arial" w:hAnsi="Arial" w:cs="Arial"/>
                <w:sz w:val="16"/>
                <w:szCs w:val="16"/>
              </w:rPr>
            </w:pPr>
            <w:r w:rsidRPr="00DA77C5">
              <w:rPr>
                <w:rFonts w:ascii="Arial" w:hAnsi="Arial" w:cs="Arial"/>
                <w:sz w:val="16"/>
                <w:szCs w:val="16"/>
              </w:rPr>
              <w:t xml:space="preserve">tipranavir/ritonavir </w:t>
            </w:r>
          </w:p>
        </w:tc>
        <w:tc>
          <w:tcPr>
            <w:tcW w:w="1199"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500 mg/200 mg twice daily</w:t>
            </w:r>
          </w:p>
        </w:tc>
        <w:tc>
          <w:tcPr>
            <w:tcW w:w="162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400 mg twice daily</w:t>
            </w:r>
          </w:p>
        </w:tc>
        <w:tc>
          <w:tcPr>
            <w:tcW w:w="90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15</w:t>
            </w:r>
          </w:p>
          <w:p w:rsidR="00E0098B" w:rsidRPr="00DA77C5" w:rsidRDefault="00E0098B" w:rsidP="00DA77C5">
            <w:pPr>
              <w:jc w:val="center"/>
              <w:rPr>
                <w:rFonts w:ascii="Arial" w:hAnsi="Arial" w:cs="Arial"/>
                <w:sz w:val="16"/>
                <w:szCs w:val="16"/>
              </w:rPr>
            </w:pPr>
            <w:r w:rsidRPr="00DA77C5">
              <w:rPr>
                <w:rFonts w:ascii="Arial" w:hAnsi="Arial" w:cs="Arial"/>
                <w:sz w:val="16"/>
                <w:szCs w:val="16"/>
              </w:rPr>
              <w:t>(14 for C</w:t>
            </w:r>
            <w:r w:rsidRPr="00DA77C5">
              <w:rPr>
                <w:rFonts w:ascii="Arial" w:hAnsi="Arial" w:cs="Arial"/>
                <w:sz w:val="16"/>
                <w:szCs w:val="16"/>
                <w:vertAlign w:val="subscript"/>
              </w:rPr>
              <w:t>min</w:t>
            </w:r>
            <w:r w:rsidRPr="00DA77C5">
              <w:rPr>
                <w:rFonts w:ascii="Arial" w:hAnsi="Arial" w:cs="Arial"/>
                <w:sz w:val="16"/>
                <w:szCs w:val="16"/>
              </w:rPr>
              <w:t>)</w:t>
            </w:r>
          </w:p>
        </w:tc>
        <w:tc>
          <w:tcPr>
            <w:tcW w:w="126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0.82</w:t>
            </w:r>
          </w:p>
          <w:p w:rsidR="00E0098B" w:rsidRPr="00DA77C5" w:rsidRDefault="00E0098B" w:rsidP="00DA77C5">
            <w:pPr>
              <w:jc w:val="center"/>
              <w:rPr>
                <w:rFonts w:ascii="Arial" w:hAnsi="Arial" w:cs="Arial"/>
                <w:sz w:val="16"/>
                <w:szCs w:val="16"/>
              </w:rPr>
            </w:pPr>
            <w:r w:rsidRPr="00DA77C5">
              <w:rPr>
                <w:rFonts w:ascii="Arial" w:hAnsi="Arial" w:cs="Arial"/>
                <w:sz w:val="16"/>
                <w:szCs w:val="16"/>
              </w:rPr>
              <w:t xml:space="preserve"> (0.46, 1.46)</w:t>
            </w:r>
          </w:p>
        </w:tc>
        <w:tc>
          <w:tcPr>
            <w:tcW w:w="126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0.76</w:t>
            </w:r>
          </w:p>
          <w:p w:rsidR="00E0098B" w:rsidRPr="00DA77C5" w:rsidRDefault="00E0098B" w:rsidP="00DA77C5">
            <w:pPr>
              <w:jc w:val="center"/>
              <w:rPr>
                <w:rFonts w:ascii="Arial" w:hAnsi="Arial" w:cs="Arial"/>
                <w:sz w:val="16"/>
                <w:szCs w:val="16"/>
              </w:rPr>
            </w:pPr>
            <w:r w:rsidRPr="00DA77C5">
              <w:rPr>
                <w:rFonts w:ascii="Arial" w:hAnsi="Arial" w:cs="Arial"/>
                <w:sz w:val="16"/>
                <w:szCs w:val="16"/>
              </w:rPr>
              <w:t xml:space="preserve"> (0.49, 1.19)</w:t>
            </w:r>
          </w:p>
        </w:tc>
        <w:tc>
          <w:tcPr>
            <w:tcW w:w="1080" w:type="dxa"/>
            <w:shd w:val="clear" w:color="auto" w:fill="auto"/>
          </w:tcPr>
          <w:p w:rsidR="00E0098B" w:rsidRPr="00DA77C5" w:rsidRDefault="00E0098B" w:rsidP="00DA77C5">
            <w:pPr>
              <w:jc w:val="center"/>
              <w:rPr>
                <w:rFonts w:ascii="Arial" w:hAnsi="Arial" w:cs="Arial"/>
                <w:sz w:val="16"/>
                <w:szCs w:val="16"/>
              </w:rPr>
            </w:pPr>
            <w:r w:rsidRPr="00DA77C5">
              <w:rPr>
                <w:rFonts w:ascii="Arial" w:hAnsi="Arial" w:cs="Arial"/>
                <w:sz w:val="16"/>
                <w:szCs w:val="16"/>
              </w:rPr>
              <w:t>0.45</w:t>
            </w:r>
          </w:p>
          <w:p w:rsidR="00E0098B" w:rsidRPr="00DA77C5" w:rsidRDefault="00E0098B" w:rsidP="00DA77C5">
            <w:pPr>
              <w:jc w:val="center"/>
              <w:rPr>
                <w:rFonts w:ascii="Arial" w:hAnsi="Arial" w:cs="Arial"/>
                <w:sz w:val="16"/>
                <w:szCs w:val="16"/>
              </w:rPr>
            </w:pPr>
            <w:r w:rsidRPr="00DA77C5">
              <w:rPr>
                <w:rFonts w:ascii="Arial" w:hAnsi="Arial" w:cs="Arial"/>
                <w:sz w:val="16"/>
                <w:szCs w:val="16"/>
              </w:rPr>
              <w:t xml:space="preserve"> (0.31, 0.66)</w:t>
            </w:r>
          </w:p>
        </w:tc>
      </w:tr>
      <w:tr w:rsidR="00E0098B" w:rsidRPr="00DA77C5" w:rsidTr="00DA77C5">
        <w:tc>
          <w:tcPr>
            <w:tcW w:w="9047" w:type="dxa"/>
            <w:gridSpan w:val="7"/>
            <w:shd w:val="clear" w:color="auto" w:fill="auto"/>
          </w:tcPr>
          <w:p w:rsidR="00E0098B" w:rsidRPr="00DA77C5" w:rsidRDefault="00E0098B" w:rsidP="00AB6389">
            <w:pPr>
              <w:rPr>
                <w:rFonts w:ascii="Arial" w:hAnsi="Arial" w:cs="Arial"/>
                <w:sz w:val="16"/>
                <w:szCs w:val="16"/>
              </w:rPr>
            </w:pPr>
            <w:r w:rsidRPr="00DA77C5">
              <w:rPr>
                <w:rFonts w:ascii="Arial" w:hAnsi="Arial" w:cs="Arial"/>
                <w:sz w:val="16"/>
                <w:szCs w:val="16"/>
              </w:rPr>
              <w:t>*Compared to 400 mg twice daily administered alone.</w:t>
            </w:r>
          </w:p>
        </w:tc>
      </w:tr>
    </w:tbl>
    <w:p w:rsidR="00B15624" w:rsidRDefault="004A0B60" w:rsidP="00D35A54">
      <w:pPr>
        <w:pStyle w:val="Heading2"/>
      </w:pPr>
      <w:r w:rsidRPr="00C24699">
        <w:t>ADVERSE EFFECTS</w:t>
      </w:r>
    </w:p>
    <w:p w:rsidR="00C24699" w:rsidRDefault="009242CD" w:rsidP="00D35A54">
      <w:pPr>
        <w:pStyle w:val="Heading3"/>
      </w:pPr>
      <w:r>
        <w:t>CLINICAL TRIALS EXPERIENCE</w:t>
      </w:r>
    </w:p>
    <w:p w:rsidR="0052639B" w:rsidRDefault="0052639B" w:rsidP="00D35A54">
      <w:pPr>
        <w:pStyle w:val="Heading3"/>
      </w:pPr>
      <w:r w:rsidRPr="0052639B">
        <w:t>ADULTS</w:t>
      </w:r>
    </w:p>
    <w:p w:rsidR="00C24699" w:rsidRDefault="009242CD" w:rsidP="007B01A3">
      <w:pPr>
        <w:pStyle w:val="Heading4"/>
      </w:pPr>
      <w:r w:rsidRPr="009242CD">
        <w:t>TREATMENT</w:t>
      </w:r>
      <w:r w:rsidR="00BD28A8">
        <w:t>-</w:t>
      </w:r>
      <w:r w:rsidRPr="009242CD">
        <w:t xml:space="preserve"> EXPERIENCED</w:t>
      </w:r>
    </w:p>
    <w:p w:rsidR="00C24699" w:rsidRPr="00D66CD0" w:rsidRDefault="00C24699" w:rsidP="00C24699">
      <w:pPr>
        <w:jc w:val="both"/>
        <w:rPr>
          <w:rFonts w:ascii="Arial" w:hAnsi="Arial" w:cs="Arial"/>
          <w:sz w:val="22"/>
          <w:szCs w:val="22"/>
        </w:rPr>
      </w:pPr>
      <w:r w:rsidRPr="00D66CD0">
        <w:rPr>
          <w:rFonts w:ascii="Arial" w:hAnsi="Arial" w:cs="Arial"/>
          <w:sz w:val="22"/>
          <w:szCs w:val="22"/>
        </w:rPr>
        <w:t xml:space="preserve">The safety assessment of ISENTRESS </w:t>
      </w:r>
      <w:r w:rsidRPr="003410DB">
        <w:rPr>
          <w:rFonts w:ascii="Arial" w:hAnsi="Arial" w:cs="Arial"/>
          <w:sz w:val="22"/>
          <w:szCs w:val="22"/>
        </w:rPr>
        <w:t>in treatment</w:t>
      </w:r>
      <w:r w:rsidRPr="003410DB">
        <w:rPr>
          <w:rFonts w:ascii="Arial" w:hAnsi="Arial" w:cs="Arial"/>
          <w:sz w:val="22"/>
          <w:szCs w:val="22"/>
        </w:rPr>
        <w:noBreakHyphen/>
        <w:t>experienced patients</w:t>
      </w:r>
      <w:r w:rsidRPr="00D66CD0">
        <w:rPr>
          <w:rFonts w:ascii="Arial" w:hAnsi="Arial" w:cs="Arial"/>
          <w:sz w:val="22"/>
          <w:szCs w:val="22"/>
        </w:rPr>
        <w:t xml:space="preserve"> is based on the pooled safety data from the randomized </w:t>
      </w:r>
      <w:r w:rsidR="00DB0D02">
        <w:rPr>
          <w:rFonts w:ascii="Arial" w:hAnsi="Arial" w:cs="Arial"/>
          <w:sz w:val="22"/>
          <w:szCs w:val="22"/>
        </w:rPr>
        <w:t xml:space="preserve">clinical </w:t>
      </w:r>
      <w:r w:rsidRPr="00D66CD0">
        <w:rPr>
          <w:rFonts w:ascii="Arial" w:hAnsi="Arial" w:cs="Arial"/>
          <w:sz w:val="22"/>
          <w:szCs w:val="22"/>
        </w:rPr>
        <w:t xml:space="preserve">studies, </w:t>
      </w:r>
      <w:r w:rsidR="00E0098B">
        <w:rPr>
          <w:rFonts w:ascii="Arial" w:hAnsi="Arial" w:cs="Arial"/>
          <w:sz w:val="22"/>
          <w:szCs w:val="22"/>
        </w:rPr>
        <w:t xml:space="preserve"> </w:t>
      </w:r>
      <w:r w:rsidRPr="00D66CD0">
        <w:rPr>
          <w:rFonts w:ascii="Arial" w:hAnsi="Arial" w:cs="Arial"/>
          <w:sz w:val="22"/>
          <w:szCs w:val="22"/>
        </w:rPr>
        <w:t xml:space="preserve"> </w:t>
      </w:r>
      <w:r w:rsidR="00F40CDC">
        <w:rPr>
          <w:rFonts w:ascii="Arial" w:hAnsi="Arial" w:cs="Arial"/>
          <w:sz w:val="22"/>
          <w:szCs w:val="22"/>
        </w:rPr>
        <w:t>BENCHMRK 1</w:t>
      </w:r>
      <w:r w:rsidR="00F40CDC" w:rsidRPr="00D66CD0">
        <w:rPr>
          <w:rFonts w:ascii="Arial" w:hAnsi="Arial" w:cs="Arial"/>
          <w:sz w:val="22"/>
          <w:szCs w:val="22"/>
        </w:rPr>
        <w:t xml:space="preserve"> </w:t>
      </w:r>
      <w:r w:rsidRPr="00D66CD0">
        <w:rPr>
          <w:rFonts w:ascii="Arial" w:hAnsi="Arial" w:cs="Arial"/>
          <w:sz w:val="22"/>
          <w:szCs w:val="22"/>
        </w:rPr>
        <w:t xml:space="preserve">and </w:t>
      </w:r>
      <w:r w:rsidR="00F40CDC">
        <w:rPr>
          <w:rFonts w:ascii="Arial" w:hAnsi="Arial" w:cs="Arial"/>
          <w:sz w:val="22"/>
          <w:szCs w:val="22"/>
        </w:rPr>
        <w:t>BENCHMRK 2</w:t>
      </w:r>
      <w:r w:rsidR="00F40CDC" w:rsidRPr="00D66CD0">
        <w:rPr>
          <w:rFonts w:ascii="Arial" w:hAnsi="Arial" w:cs="Arial"/>
          <w:sz w:val="22"/>
          <w:szCs w:val="22"/>
        </w:rPr>
        <w:t xml:space="preserve"> </w:t>
      </w:r>
      <w:r w:rsidRPr="00D66CD0">
        <w:rPr>
          <w:rFonts w:ascii="Arial" w:hAnsi="Arial" w:cs="Arial"/>
          <w:sz w:val="22"/>
          <w:szCs w:val="22"/>
        </w:rPr>
        <w:t>reported using the recommended dose of ISENTRESS 400</w:t>
      </w:r>
      <w:r>
        <w:rPr>
          <w:rFonts w:ascii="Arial" w:hAnsi="Arial" w:cs="Arial"/>
          <w:sz w:val="22"/>
          <w:szCs w:val="22"/>
        </w:rPr>
        <w:t> </w:t>
      </w:r>
      <w:r w:rsidRPr="00D66CD0">
        <w:rPr>
          <w:rFonts w:ascii="Arial" w:hAnsi="Arial" w:cs="Arial"/>
          <w:sz w:val="22"/>
          <w:szCs w:val="22"/>
        </w:rPr>
        <w:t xml:space="preserve">mg twice </w:t>
      </w:r>
      <w:r w:rsidRPr="00D66CD0">
        <w:rPr>
          <w:rFonts w:ascii="Arial" w:hAnsi="Arial" w:cs="Arial"/>
          <w:sz w:val="22"/>
          <w:szCs w:val="22"/>
        </w:rPr>
        <w:lastRenderedPageBreak/>
        <w:t xml:space="preserve">daily in combination with optimized </w:t>
      </w:r>
      <w:r>
        <w:rPr>
          <w:rFonts w:ascii="Arial" w:hAnsi="Arial" w:cs="Arial"/>
          <w:sz w:val="22"/>
          <w:szCs w:val="22"/>
        </w:rPr>
        <w:t xml:space="preserve">background therapy (OBT) in </w:t>
      </w:r>
      <w:r w:rsidR="00E0098B">
        <w:rPr>
          <w:rFonts w:ascii="Arial" w:hAnsi="Arial" w:cs="Arial"/>
          <w:sz w:val="22"/>
          <w:szCs w:val="22"/>
        </w:rPr>
        <w:t xml:space="preserve">462 </w:t>
      </w:r>
      <w:r>
        <w:rPr>
          <w:rFonts w:ascii="Arial" w:hAnsi="Arial" w:cs="Arial"/>
          <w:sz w:val="22"/>
          <w:szCs w:val="22"/>
        </w:rPr>
        <w:t xml:space="preserve">patients, in comparison to </w:t>
      </w:r>
      <w:r w:rsidR="00E0098B">
        <w:rPr>
          <w:rFonts w:ascii="Arial" w:hAnsi="Arial" w:cs="Arial"/>
          <w:sz w:val="22"/>
          <w:szCs w:val="22"/>
        </w:rPr>
        <w:t>237 </w:t>
      </w:r>
      <w:r>
        <w:rPr>
          <w:rFonts w:ascii="Arial" w:hAnsi="Arial" w:cs="Arial"/>
          <w:sz w:val="22"/>
          <w:szCs w:val="22"/>
        </w:rPr>
        <w:t xml:space="preserve">patients taking placebo in combination with OBT. </w:t>
      </w:r>
      <w:r>
        <w:rPr>
          <w:rFonts w:ascii="Arial" w:hAnsi="Arial"/>
          <w:sz w:val="22"/>
          <w:szCs w:val="22"/>
        </w:rPr>
        <w:t xml:space="preserve">During double-blind treatment, the total follow-up was </w:t>
      </w:r>
      <w:r w:rsidR="002A6C7A" w:rsidRPr="00376019">
        <w:rPr>
          <w:rFonts w:ascii="Arial" w:hAnsi="Arial"/>
          <w:sz w:val="22"/>
          <w:szCs w:val="22"/>
        </w:rPr>
        <w:t>1051</w:t>
      </w:r>
      <w:r w:rsidRPr="00376019">
        <w:rPr>
          <w:rFonts w:ascii="Arial" w:hAnsi="Arial"/>
          <w:sz w:val="22"/>
          <w:szCs w:val="22"/>
        </w:rPr>
        <w:t> pa</w:t>
      </w:r>
      <w:r>
        <w:rPr>
          <w:rFonts w:ascii="Arial" w:hAnsi="Arial"/>
          <w:sz w:val="22"/>
          <w:szCs w:val="22"/>
        </w:rPr>
        <w:t xml:space="preserve">tient-years in the </w:t>
      </w:r>
      <w:r w:rsidR="009242CD">
        <w:rPr>
          <w:rFonts w:ascii="Arial" w:hAnsi="Arial"/>
          <w:sz w:val="22"/>
          <w:szCs w:val="22"/>
        </w:rPr>
        <w:t xml:space="preserve">group receiving </w:t>
      </w:r>
      <w:r>
        <w:rPr>
          <w:rFonts w:ascii="Arial" w:hAnsi="Arial"/>
          <w:sz w:val="22"/>
          <w:szCs w:val="22"/>
        </w:rPr>
        <w:t xml:space="preserve">ISENTRESS 400 mg b.i.d. </w:t>
      </w:r>
      <w:r w:rsidR="009242CD">
        <w:rPr>
          <w:rFonts w:ascii="Arial" w:hAnsi="Arial"/>
          <w:sz w:val="22"/>
          <w:szCs w:val="22"/>
        </w:rPr>
        <w:t xml:space="preserve"> </w:t>
      </w:r>
      <w:r>
        <w:rPr>
          <w:rFonts w:ascii="Arial" w:hAnsi="Arial"/>
          <w:sz w:val="22"/>
          <w:szCs w:val="22"/>
        </w:rPr>
        <w:t>an</w:t>
      </w:r>
      <w:r w:rsidRPr="00376019">
        <w:rPr>
          <w:rFonts w:ascii="Arial" w:hAnsi="Arial"/>
          <w:sz w:val="22"/>
          <w:szCs w:val="22"/>
        </w:rPr>
        <w:t>d</w:t>
      </w:r>
      <w:r w:rsidR="002A6C7A" w:rsidRPr="00376019">
        <w:rPr>
          <w:rFonts w:ascii="Arial" w:hAnsi="Arial"/>
          <w:sz w:val="22"/>
          <w:szCs w:val="22"/>
        </w:rPr>
        <w:t xml:space="preserve"> 322</w:t>
      </w:r>
      <w:r w:rsidRPr="00376019">
        <w:rPr>
          <w:rFonts w:ascii="Arial" w:hAnsi="Arial"/>
          <w:sz w:val="22"/>
          <w:szCs w:val="22"/>
        </w:rPr>
        <w:t> patie</w:t>
      </w:r>
      <w:r>
        <w:rPr>
          <w:rFonts w:ascii="Arial" w:hAnsi="Arial"/>
          <w:sz w:val="22"/>
          <w:szCs w:val="22"/>
        </w:rPr>
        <w:t xml:space="preserve">nt-years in the </w:t>
      </w:r>
      <w:r w:rsidR="009242CD">
        <w:rPr>
          <w:rFonts w:ascii="Arial" w:hAnsi="Arial"/>
          <w:sz w:val="22"/>
          <w:szCs w:val="22"/>
        </w:rPr>
        <w:t xml:space="preserve">group receiving </w:t>
      </w:r>
      <w:r>
        <w:rPr>
          <w:rFonts w:ascii="Arial" w:hAnsi="Arial"/>
          <w:sz w:val="22"/>
          <w:szCs w:val="22"/>
        </w:rPr>
        <w:t>placebo.</w:t>
      </w:r>
    </w:p>
    <w:p w:rsidR="00C24699" w:rsidRDefault="00C24699" w:rsidP="00C24699">
      <w:pPr>
        <w:jc w:val="both"/>
        <w:rPr>
          <w:rFonts w:ascii="Arial" w:hAnsi="Arial" w:cs="Arial"/>
          <w:sz w:val="22"/>
          <w:szCs w:val="22"/>
        </w:rPr>
      </w:pPr>
      <w:r w:rsidRPr="00341EBA">
        <w:rPr>
          <w:rFonts w:ascii="Arial" w:hAnsi="Arial" w:cs="Arial"/>
          <w:sz w:val="22"/>
          <w:szCs w:val="22"/>
        </w:rPr>
        <w:t>Because clinical trials are conducted under widely varying conditions, adverse</w:t>
      </w:r>
      <w:r w:rsidRPr="00D66CD0">
        <w:rPr>
          <w:rFonts w:ascii="Arial" w:hAnsi="Arial" w:cs="Arial"/>
          <w:sz w:val="22"/>
          <w:szCs w:val="22"/>
        </w:rPr>
        <w:t xml:space="preserve"> reaction rates observed in the clinical trials of a drug cannot be directly compared to rates in the clinical trials of another drug and may not reflect the rates observed in practice.</w:t>
      </w:r>
    </w:p>
    <w:p w:rsidR="0056219E" w:rsidRPr="00376019" w:rsidRDefault="00C24699" w:rsidP="00C24699">
      <w:pPr>
        <w:jc w:val="both"/>
        <w:rPr>
          <w:rFonts w:ascii="Arial" w:hAnsi="Arial" w:cs="Arial"/>
          <w:sz w:val="22"/>
          <w:szCs w:val="22"/>
        </w:rPr>
      </w:pPr>
      <w:r w:rsidRPr="00D66CD0">
        <w:rPr>
          <w:rFonts w:ascii="Arial" w:hAnsi="Arial" w:cs="Arial"/>
          <w:sz w:val="22"/>
          <w:szCs w:val="22"/>
        </w:rPr>
        <w:t xml:space="preserve">For patients in the </w:t>
      </w:r>
      <w:r w:rsidR="009242CD">
        <w:rPr>
          <w:rFonts w:ascii="Arial" w:hAnsi="Arial" w:cs="Arial"/>
          <w:sz w:val="22"/>
          <w:szCs w:val="22"/>
        </w:rPr>
        <w:t xml:space="preserve">group receiving </w:t>
      </w:r>
      <w:r w:rsidRPr="00D66CD0">
        <w:rPr>
          <w:rFonts w:ascii="Arial" w:hAnsi="Arial" w:cs="Arial"/>
          <w:sz w:val="22"/>
          <w:szCs w:val="22"/>
        </w:rPr>
        <w:t>ISENTRESS 400 mg twice daily + OBT</w:t>
      </w:r>
      <w:r w:rsidR="009242CD">
        <w:rPr>
          <w:rFonts w:ascii="Arial" w:hAnsi="Arial" w:cs="Arial"/>
          <w:sz w:val="22"/>
          <w:szCs w:val="22"/>
        </w:rPr>
        <w:t xml:space="preserve"> </w:t>
      </w:r>
      <w:r w:rsidRPr="00D66CD0">
        <w:rPr>
          <w:rFonts w:ascii="Arial" w:hAnsi="Arial" w:cs="Arial"/>
          <w:sz w:val="22"/>
          <w:szCs w:val="22"/>
        </w:rPr>
        <w:t xml:space="preserve">and the comparator </w:t>
      </w:r>
      <w:r w:rsidR="009242CD">
        <w:rPr>
          <w:rFonts w:ascii="Arial" w:hAnsi="Arial" w:cs="Arial"/>
          <w:sz w:val="22"/>
          <w:szCs w:val="22"/>
        </w:rPr>
        <w:t xml:space="preserve">group receiving </w:t>
      </w:r>
      <w:r w:rsidRPr="00D66CD0">
        <w:rPr>
          <w:rFonts w:ascii="Arial" w:hAnsi="Arial" w:cs="Arial"/>
          <w:sz w:val="22"/>
          <w:szCs w:val="22"/>
        </w:rPr>
        <w:t xml:space="preserve">placebo + OBT in the pooled analysis for studies </w:t>
      </w:r>
      <w:r w:rsidR="00F40CDC">
        <w:rPr>
          <w:rFonts w:ascii="Arial" w:hAnsi="Arial" w:cs="Arial"/>
          <w:sz w:val="22"/>
          <w:szCs w:val="22"/>
        </w:rPr>
        <w:t>BENCHMRK 1</w:t>
      </w:r>
      <w:r w:rsidR="00F40CDC" w:rsidRPr="00D66CD0">
        <w:rPr>
          <w:rFonts w:ascii="Arial" w:hAnsi="Arial" w:cs="Arial"/>
          <w:sz w:val="22"/>
          <w:szCs w:val="22"/>
        </w:rPr>
        <w:t xml:space="preserve"> and </w:t>
      </w:r>
      <w:r w:rsidR="00F40CDC">
        <w:rPr>
          <w:rFonts w:ascii="Arial" w:hAnsi="Arial" w:cs="Arial"/>
          <w:sz w:val="22"/>
          <w:szCs w:val="22"/>
        </w:rPr>
        <w:t>BENCHMRK 2</w:t>
      </w:r>
      <w:r w:rsidRPr="00D66CD0">
        <w:rPr>
          <w:rFonts w:ascii="Arial" w:hAnsi="Arial" w:cs="Arial"/>
          <w:sz w:val="22"/>
          <w:szCs w:val="22"/>
        </w:rPr>
        <w:t>, the most commonly reported</w:t>
      </w:r>
      <w:r w:rsidRPr="00376019">
        <w:rPr>
          <w:rFonts w:ascii="Arial" w:hAnsi="Arial" w:cs="Arial"/>
          <w:sz w:val="22"/>
          <w:szCs w:val="22"/>
        </w:rPr>
        <w:t xml:space="preserve"> </w:t>
      </w:r>
      <w:r w:rsidR="00D941DE" w:rsidRPr="00376019">
        <w:rPr>
          <w:rFonts w:ascii="Arial" w:hAnsi="Arial" w:cs="Arial"/>
          <w:sz w:val="22"/>
          <w:szCs w:val="22"/>
        </w:rPr>
        <w:t xml:space="preserve">clinical </w:t>
      </w:r>
      <w:r w:rsidRPr="00376019">
        <w:rPr>
          <w:rFonts w:ascii="Arial" w:hAnsi="Arial" w:cs="Arial"/>
          <w:sz w:val="22"/>
          <w:szCs w:val="22"/>
        </w:rPr>
        <w:t>a</w:t>
      </w:r>
      <w:r w:rsidRPr="00D66CD0">
        <w:rPr>
          <w:rFonts w:ascii="Arial" w:hAnsi="Arial" w:cs="Arial"/>
          <w:sz w:val="22"/>
          <w:szCs w:val="22"/>
        </w:rPr>
        <w:t xml:space="preserve">dverse </w:t>
      </w:r>
      <w:r w:rsidRPr="003410DB">
        <w:rPr>
          <w:rFonts w:ascii="Arial" w:hAnsi="Arial" w:cs="Arial"/>
          <w:sz w:val="22"/>
          <w:szCs w:val="22"/>
        </w:rPr>
        <w:t>experiences (&gt;10%) of</w:t>
      </w:r>
      <w:r w:rsidRPr="00D66CD0">
        <w:rPr>
          <w:rFonts w:ascii="Arial" w:hAnsi="Arial" w:cs="Arial"/>
          <w:sz w:val="22"/>
          <w:szCs w:val="22"/>
        </w:rPr>
        <w:t xml:space="preserve"> all intensities</w:t>
      </w:r>
      <w:r w:rsidR="00DB0D02">
        <w:rPr>
          <w:rFonts w:ascii="Arial" w:hAnsi="Arial" w:cs="Arial"/>
          <w:sz w:val="22"/>
          <w:szCs w:val="22"/>
        </w:rPr>
        <w:t xml:space="preserve"> and regardless of causality</w:t>
      </w:r>
      <w:r w:rsidRPr="00D66CD0">
        <w:rPr>
          <w:rFonts w:ascii="Arial" w:hAnsi="Arial" w:cs="Arial"/>
          <w:sz w:val="22"/>
          <w:szCs w:val="22"/>
        </w:rPr>
        <w:t xml:space="preserve"> were: diarrh</w:t>
      </w:r>
      <w:r w:rsidR="002B2E84">
        <w:rPr>
          <w:rFonts w:ascii="Arial" w:hAnsi="Arial" w:cs="Arial"/>
          <w:sz w:val="22"/>
          <w:szCs w:val="22"/>
        </w:rPr>
        <w:t>o</w:t>
      </w:r>
      <w:r w:rsidRPr="00D66CD0">
        <w:rPr>
          <w:rFonts w:ascii="Arial" w:hAnsi="Arial" w:cs="Arial"/>
          <w:sz w:val="22"/>
          <w:szCs w:val="22"/>
        </w:rPr>
        <w:t xml:space="preserve">ea in </w:t>
      </w:r>
      <w:r w:rsidR="002A6C7A" w:rsidRPr="00376019">
        <w:rPr>
          <w:rFonts w:ascii="Arial" w:hAnsi="Arial" w:cs="Arial"/>
          <w:sz w:val="22"/>
          <w:szCs w:val="22"/>
        </w:rPr>
        <w:t>26.6</w:t>
      </w:r>
      <w:r w:rsidRPr="00376019">
        <w:rPr>
          <w:rFonts w:ascii="Arial" w:hAnsi="Arial" w:cs="Arial"/>
          <w:sz w:val="22"/>
          <w:szCs w:val="22"/>
        </w:rPr>
        <w:t xml:space="preserve">% and </w:t>
      </w:r>
      <w:r w:rsidR="002A6C7A" w:rsidRPr="00376019">
        <w:rPr>
          <w:rFonts w:ascii="Arial" w:hAnsi="Arial" w:cs="Arial"/>
          <w:sz w:val="22"/>
          <w:szCs w:val="22"/>
        </w:rPr>
        <w:t>24.9</w:t>
      </w:r>
      <w:r w:rsidRPr="00376019">
        <w:rPr>
          <w:rFonts w:ascii="Arial" w:hAnsi="Arial" w:cs="Arial"/>
          <w:sz w:val="22"/>
          <w:szCs w:val="22"/>
        </w:rPr>
        <w:t xml:space="preserve">%, nausea in </w:t>
      </w:r>
      <w:r w:rsidR="002A6C7A" w:rsidRPr="00376019">
        <w:rPr>
          <w:rFonts w:ascii="Arial" w:hAnsi="Arial" w:cs="Arial"/>
          <w:sz w:val="22"/>
          <w:szCs w:val="22"/>
        </w:rPr>
        <w:t>13.6</w:t>
      </w:r>
      <w:r w:rsidRPr="00376019">
        <w:rPr>
          <w:rFonts w:ascii="Arial" w:hAnsi="Arial" w:cs="Arial"/>
          <w:sz w:val="22"/>
          <w:szCs w:val="22"/>
        </w:rPr>
        <w:t xml:space="preserve">% and </w:t>
      </w:r>
      <w:r w:rsidR="002A6C7A" w:rsidRPr="00376019">
        <w:rPr>
          <w:rFonts w:ascii="Arial" w:hAnsi="Arial" w:cs="Arial"/>
          <w:sz w:val="22"/>
          <w:szCs w:val="22"/>
        </w:rPr>
        <w:t>16.0</w:t>
      </w:r>
      <w:r w:rsidRPr="00376019">
        <w:rPr>
          <w:rFonts w:ascii="Arial" w:hAnsi="Arial" w:cs="Arial"/>
          <w:sz w:val="22"/>
          <w:szCs w:val="22"/>
        </w:rPr>
        <w:t xml:space="preserve">%, headache in </w:t>
      </w:r>
      <w:r w:rsidR="002A6C7A" w:rsidRPr="00376019">
        <w:rPr>
          <w:rFonts w:ascii="Arial" w:hAnsi="Arial" w:cs="Arial"/>
          <w:sz w:val="22"/>
          <w:szCs w:val="22"/>
        </w:rPr>
        <w:t>12.1</w:t>
      </w:r>
      <w:r w:rsidRPr="00376019">
        <w:rPr>
          <w:rFonts w:ascii="Arial" w:hAnsi="Arial" w:cs="Arial"/>
          <w:sz w:val="22"/>
          <w:szCs w:val="22"/>
        </w:rPr>
        <w:t xml:space="preserve">% and </w:t>
      </w:r>
      <w:r w:rsidR="002A6C7A" w:rsidRPr="00376019">
        <w:rPr>
          <w:rFonts w:ascii="Arial" w:hAnsi="Arial" w:cs="Arial"/>
          <w:sz w:val="22"/>
          <w:szCs w:val="22"/>
        </w:rPr>
        <w:t>13.5</w:t>
      </w:r>
      <w:r w:rsidRPr="00376019">
        <w:rPr>
          <w:rFonts w:ascii="Arial" w:hAnsi="Arial" w:cs="Arial"/>
          <w:sz w:val="22"/>
          <w:szCs w:val="22"/>
        </w:rPr>
        <w:t>%,</w:t>
      </w:r>
      <w:r w:rsidR="00293474" w:rsidRPr="00376019">
        <w:rPr>
          <w:rFonts w:ascii="Arial" w:hAnsi="Arial" w:cs="Arial"/>
          <w:sz w:val="22"/>
          <w:szCs w:val="22"/>
        </w:rPr>
        <w:t xml:space="preserve"> </w:t>
      </w:r>
      <w:r w:rsidR="00E0098B" w:rsidRPr="00376019">
        <w:rPr>
          <w:rFonts w:ascii="Arial" w:hAnsi="Arial" w:cs="Arial"/>
          <w:sz w:val="22"/>
          <w:szCs w:val="22"/>
        </w:rPr>
        <w:t xml:space="preserve">nasopharyngitis in </w:t>
      </w:r>
      <w:r w:rsidR="002A6C7A" w:rsidRPr="00376019">
        <w:rPr>
          <w:rFonts w:ascii="Arial" w:hAnsi="Arial" w:cs="Arial"/>
          <w:sz w:val="22"/>
          <w:szCs w:val="22"/>
        </w:rPr>
        <w:t>14.3</w:t>
      </w:r>
      <w:r w:rsidR="00E0098B" w:rsidRPr="00376019">
        <w:rPr>
          <w:rFonts w:ascii="Arial" w:hAnsi="Arial" w:cs="Arial"/>
          <w:sz w:val="22"/>
          <w:szCs w:val="22"/>
        </w:rPr>
        <w:t xml:space="preserve">% and </w:t>
      </w:r>
      <w:r w:rsidR="002A6C7A" w:rsidRPr="00376019">
        <w:rPr>
          <w:rFonts w:ascii="Arial" w:hAnsi="Arial" w:cs="Arial"/>
          <w:sz w:val="22"/>
          <w:szCs w:val="22"/>
        </w:rPr>
        <w:t>8.9</w:t>
      </w:r>
      <w:r w:rsidR="00E0098B" w:rsidRPr="00376019">
        <w:rPr>
          <w:rFonts w:ascii="Arial" w:hAnsi="Arial" w:cs="Arial"/>
          <w:sz w:val="22"/>
          <w:szCs w:val="22"/>
        </w:rPr>
        <w:t xml:space="preserve">%, fatigue in </w:t>
      </w:r>
      <w:r w:rsidR="002A6C7A" w:rsidRPr="00376019">
        <w:rPr>
          <w:rFonts w:ascii="Arial" w:hAnsi="Arial" w:cs="Arial"/>
          <w:sz w:val="22"/>
          <w:szCs w:val="22"/>
        </w:rPr>
        <w:t>12.1</w:t>
      </w:r>
      <w:r w:rsidR="00E0098B" w:rsidRPr="00376019">
        <w:rPr>
          <w:rFonts w:ascii="Arial" w:hAnsi="Arial" w:cs="Arial"/>
          <w:sz w:val="22"/>
          <w:szCs w:val="22"/>
        </w:rPr>
        <w:t xml:space="preserve">% and </w:t>
      </w:r>
      <w:r w:rsidR="002A6C7A" w:rsidRPr="00376019">
        <w:rPr>
          <w:rFonts w:ascii="Arial" w:hAnsi="Arial" w:cs="Arial"/>
          <w:sz w:val="22"/>
          <w:szCs w:val="22"/>
        </w:rPr>
        <w:t>5.9</w:t>
      </w:r>
      <w:r w:rsidR="00E0098B" w:rsidRPr="00376019">
        <w:rPr>
          <w:rFonts w:ascii="Arial" w:hAnsi="Arial" w:cs="Arial"/>
          <w:sz w:val="22"/>
          <w:szCs w:val="22"/>
        </w:rPr>
        <w:t xml:space="preserve">%, upper respiratory tract infection in </w:t>
      </w:r>
      <w:r w:rsidR="002A6C7A" w:rsidRPr="00376019">
        <w:rPr>
          <w:rFonts w:ascii="Arial" w:hAnsi="Arial" w:cs="Arial"/>
          <w:sz w:val="22"/>
          <w:szCs w:val="22"/>
        </w:rPr>
        <w:t>15.8</w:t>
      </w:r>
      <w:r w:rsidR="00E0098B" w:rsidRPr="00376019">
        <w:rPr>
          <w:rFonts w:ascii="Arial" w:hAnsi="Arial" w:cs="Arial"/>
          <w:sz w:val="22"/>
          <w:szCs w:val="22"/>
        </w:rPr>
        <w:t xml:space="preserve">% and </w:t>
      </w:r>
      <w:r w:rsidR="002A6C7A" w:rsidRPr="00376019">
        <w:rPr>
          <w:rFonts w:ascii="Arial" w:hAnsi="Arial" w:cs="Arial"/>
          <w:sz w:val="22"/>
          <w:szCs w:val="22"/>
        </w:rPr>
        <w:t>10.1</w:t>
      </w:r>
      <w:r w:rsidR="00E0098B" w:rsidRPr="00376019">
        <w:rPr>
          <w:rFonts w:ascii="Arial" w:hAnsi="Arial" w:cs="Arial"/>
          <w:sz w:val="22"/>
          <w:szCs w:val="22"/>
        </w:rPr>
        <w:t xml:space="preserve">%, </w:t>
      </w:r>
      <w:r w:rsidR="00293474" w:rsidRPr="00376019">
        <w:rPr>
          <w:rFonts w:ascii="Arial" w:hAnsi="Arial" w:cs="Arial"/>
          <w:sz w:val="22"/>
          <w:szCs w:val="22"/>
        </w:rPr>
        <w:t xml:space="preserve">pyrexia in </w:t>
      </w:r>
      <w:r w:rsidR="002A6C7A" w:rsidRPr="00376019">
        <w:rPr>
          <w:rFonts w:ascii="Arial" w:hAnsi="Arial" w:cs="Arial"/>
          <w:sz w:val="22"/>
          <w:szCs w:val="22"/>
        </w:rPr>
        <w:t>9.7</w:t>
      </w:r>
      <w:r w:rsidR="00293474" w:rsidRPr="00376019">
        <w:rPr>
          <w:rFonts w:ascii="Arial" w:hAnsi="Arial" w:cs="Arial"/>
          <w:sz w:val="22"/>
          <w:szCs w:val="22"/>
        </w:rPr>
        <w:t xml:space="preserve">% and </w:t>
      </w:r>
      <w:r w:rsidR="00E0098B" w:rsidRPr="00376019">
        <w:rPr>
          <w:rFonts w:ascii="Arial" w:hAnsi="Arial" w:cs="Arial"/>
          <w:sz w:val="22"/>
          <w:szCs w:val="22"/>
        </w:rPr>
        <w:t>13.9</w:t>
      </w:r>
      <w:r w:rsidR="00293474" w:rsidRPr="00376019">
        <w:rPr>
          <w:rFonts w:ascii="Arial" w:hAnsi="Arial" w:cs="Arial"/>
          <w:sz w:val="22"/>
          <w:szCs w:val="22"/>
        </w:rPr>
        <w:t>%</w:t>
      </w:r>
      <w:r w:rsidR="00E0098B" w:rsidRPr="00376019">
        <w:rPr>
          <w:rFonts w:ascii="Arial" w:hAnsi="Arial" w:cs="Arial"/>
          <w:sz w:val="22"/>
          <w:szCs w:val="22"/>
        </w:rPr>
        <w:t xml:space="preserve">, vomiting in </w:t>
      </w:r>
      <w:r w:rsidR="002A6C7A" w:rsidRPr="00376019">
        <w:rPr>
          <w:rFonts w:ascii="Arial" w:hAnsi="Arial" w:cs="Arial"/>
          <w:sz w:val="22"/>
          <w:szCs w:val="22"/>
        </w:rPr>
        <w:t>8.9</w:t>
      </w:r>
      <w:r w:rsidR="00E0098B" w:rsidRPr="00376019">
        <w:rPr>
          <w:rFonts w:ascii="Arial" w:hAnsi="Arial" w:cs="Arial"/>
          <w:sz w:val="22"/>
          <w:szCs w:val="22"/>
        </w:rPr>
        <w:t xml:space="preserve">% and </w:t>
      </w:r>
      <w:r w:rsidR="002A6C7A" w:rsidRPr="00376019">
        <w:rPr>
          <w:rFonts w:ascii="Arial" w:hAnsi="Arial" w:cs="Arial"/>
          <w:sz w:val="22"/>
          <w:szCs w:val="22"/>
        </w:rPr>
        <w:t>11.0</w:t>
      </w:r>
      <w:r w:rsidR="00E0098B" w:rsidRPr="00376019">
        <w:rPr>
          <w:rFonts w:ascii="Arial" w:hAnsi="Arial" w:cs="Arial"/>
          <w:sz w:val="22"/>
          <w:szCs w:val="22"/>
        </w:rPr>
        <w:t xml:space="preserve">% </w:t>
      </w:r>
      <w:r w:rsidR="00BA0151" w:rsidRPr="00376019">
        <w:rPr>
          <w:rFonts w:ascii="Arial" w:hAnsi="Arial" w:cs="Arial"/>
          <w:sz w:val="22"/>
          <w:szCs w:val="22"/>
        </w:rPr>
        <w:t xml:space="preserve"> </w:t>
      </w:r>
      <w:r w:rsidRPr="00376019">
        <w:rPr>
          <w:rFonts w:ascii="Arial" w:hAnsi="Arial" w:cs="Arial"/>
          <w:sz w:val="22"/>
          <w:szCs w:val="22"/>
        </w:rPr>
        <w:t>of patients respectively</w:t>
      </w:r>
      <w:r w:rsidR="00E0098B" w:rsidRPr="00376019">
        <w:rPr>
          <w:rFonts w:ascii="Arial" w:hAnsi="Arial" w:cs="Arial"/>
          <w:sz w:val="22"/>
          <w:szCs w:val="22"/>
        </w:rPr>
        <w:t>.</w:t>
      </w:r>
    </w:p>
    <w:p w:rsidR="009242CD" w:rsidRPr="009242CD" w:rsidRDefault="009242CD" w:rsidP="007B01A3">
      <w:pPr>
        <w:pStyle w:val="Heading4"/>
      </w:pPr>
      <w:r w:rsidRPr="009242CD">
        <w:t>Drug Related Adverse Experiences</w:t>
      </w:r>
      <w:r w:rsidR="005A7D10">
        <w:t>- treatment experienced</w:t>
      </w:r>
    </w:p>
    <w:p w:rsidR="00F804CA" w:rsidRPr="00E600DC" w:rsidRDefault="0056219E" w:rsidP="00F804CA">
      <w:pPr>
        <w:rPr>
          <w:rFonts w:ascii="Arial" w:hAnsi="Arial" w:cs="Arial"/>
          <w:sz w:val="22"/>
          <w:szCs w:val="22"/>
        </w:rPr>
      </w:pPr>
      <w:r>
        <w:rPr>
          <w:rFonts w:ascii="Arial" w:hAnsi="Arial" w:cs="Arial"/>
          <w:sz w:val="22"/>
          <w:szCs w:val="22"/>
        </w:rPr>
        <w:t xml:space="preserve">The clinical adverse </w:t>
      </w:r>
      <w:r w:rsidR="009242CD">
        <w:rPr>
          <w:rFonts w:ascii="Arial" w:hAnsi="Arial" w:cs="Arial"/>
          <w:sz w:val="22"/>
          <w:szCs w:val="22"/>
        </w:rPr>
        <w:t xml:space="preserve">experiences </w:t>
      </w:r>
      <w:r w:rsidR="00F804CA">
        <w:rPr>
          <w:rFonts w:ascii="Arial" w:hAnsi="Arial" w:cs="Arial"/>
          <w:sz w:val="22"/>
          <w:szCs w:val="22"/>
        </w:rPr>
        <w:t xml:space="preserve">listed below </w:t>
      </w:r>
      <w:r>
        <w:rPr>
          <w:rFonts w:ascii="Arial" w:hAnsi="Arial" w:cs="Arial"/>
          <w:sz w:val="22"/>
          <w:szCs w:val="22"/>
        </w:rPr>
        <w:t>were considered by</w:t>
      </w:r>
      <w:r w:rsidR="005A7D10">
        <w:rPr>
          <w:rFonts w:ascii="Arial" w:hAnsi="Arial" w:cs="Arial"/>
          <w:sz w:val="22"/>
          <w:szCs w:val="22"/>
        </w:rPr>
        <w:t xml:space="preserve"> </w:t>
      </w:r>
      <w:r>
        <w:rPr>
          <w:rFonts w:ascii="Arial" w:hAnsi="Arial" w:cs="Arial"/>
          <w:sz w:val="22"/>
          <w:szCs w:val="22"/>
        </w:rPr>
        <w:t>investigators to be of moderate to severe intensity and causally related to</w:t>
      </w:r>
      <w:r w:rsidR="00E0098B">
        <w:rPr>
          <w:rFonts w:ascii="Arial" w:hAnsi="Arial" w:cs="Arial"/>
          <w:sz w:val="22"/>
          <w:szCs w:val="22"/>
        </w:rPr>
        <w:t xml:space="preserve"> </w:t>
      </w:r>
      <w:r w:rsidR="00F804CA" w:rsidRPr="00E600DC">
        <w:rPr>
          <w:rFonts w:ascii="Arial" w:hAnsi="Arial" w:cs="Arial"/>
          <w:sz w:val="22"/>
          <w:szCs w:val="22"/>
        </w:rPr>
        <w:t>ISENTRESS</w:t>
      </w:r>
      <w:r w:rsidR="00E0098B">
        <w:rPr>
          <w:rFonts w:ascii="Arial" w:hAnsi="Arial" w:cs="Arial"/>
          <w:sz w:val="22"/>
          <w:szCs w:val="22"/>
        </w:rPr>
        <w:t xml:space="preserve"> or </w:t>
      </w:r>
      <w:r w:rsidR="00F804CA" w:rsidRPr="00E600DC">
        <w:rPr>
          <w:rFonts w:ascii="Arial" w:hAnsi="Arial" w:cs="Arial"/>
          <w:sz w:val="22"/>
          <w:szCs w:val="22"/>
        </w:rPr>
        <w:t>placebo alone or in combination with OBT</w:t>
      </w:r>
      <w:r w:rsidR="00CD2E49">
        <w:rPr>
          <w:rFonts w:ascii="Arial" w:hAnsi="Arial" w:cs="Arial"/>
          <w:sz w:val="22"/>
          <w:szCs w:val="22"/>
        </w:rPr>
        <w:t>:</w:t>
      </w:r>
      <w:r w:rsidR="00F804CA" w:rsidRPr="00E600DC">
        <w:rPr>
          <w:rFonts w:ascii="Arial" w:hAnsi="Arial" w:cs="Arial"/>
          <w:sz w:val="22"/>
          <w:szCs w:val="22"/>
        </w:rPr>
        <w:t xml:space="preserve"> </w:t>
      </w:r>
    </w:p>
    <w:p w:rsidR="00C24699" w:rsidRPr="00B16D91" w:rsidRDefault="00C24699" w:rsidP="007B01A3">
      <w:pPr>
        <w:pStyle w:val="Heading4"/>
      </w:pPr>
      <w:r w:rsidRPr="00B16D91">
        <w:t>Common Adverse Reactions</w:t>
      </w:r>
      <w:r w:rsidR="00287542">
        <w:t xml:space="preserve"> </w:t>
      </w:r>
    </w:p>
    <w:p w:rsidR="00C24699" w:rsidRDefault="00C24699" w:rsidP="00C24699">
      <w:pPr>
        <w:jc w:val="both"/>
        <w:rPr>
          <w:rFonts w:ascii="Arial" w:hAnsi="Arial" w:cs="Arial"/>
          <w:sz w:val="22"/>
          <w:szCs w:val="22"/>
        </w:rPr>
      </w:pPr>
      <w:r>
        <w:rPr>
          <w:rFonts w:ascii="Arial" w:hAnsi="Arial" w:cs="Arial"/>
          <w:sz w:val="22"/>
          <w:szCs w:val="22"/>
        </w:rPr>
        <w:t xml:space="preserve">Drug-related clinical adverse </w:t>
      </w:r>
      <w:r w:rsidR="009242CD">
        <w:rPr>
          <w:rFonts w:ascii="Arial" w:hAnsi="Arial" w:cs="Arial"/>
          <w:sz w:val="22"/>
          <w:szCs w:val="22"/>
        </w:rPr>
        <w:t xml:space="preserve">experiences </w:t>
      </w:r>
      <w:r>
        <w:rPr>
          <w:rFonts w:ascii="Arial" w:hAnsi="Arial" w:cs="Arial"/>
          <w:sz w:val="22"/>
          <w:szCs w:val="22"/>
        </w:rPr>
        <w:t xml:space="preserve">of moderate to severe intensity occurring in ≥2% of </w:t>
      </w:r>
      <w:r w:rsidR="009242CD">
        <w:rPr>
          <w:rFonts w:ascii="Arial" w:hAnsi="Arial" w:cs="Arial"/>
          <w:sz w:val="22"/>
          <w:szCs w:val="22"/>
        </w:rPr>
        <w:t xml:space="preserve">treatment experienced adult </w:t>
      </w:r>
      <w:r>
        <w:rPr>
          <w:rFonts w:ascii="Arial" w:hAnsi="Arial" w:cs="Arial"/>
          <w:sz w:val="22"/>
          <w:szCs w:val="22"/>
        </w:rPr>
        <w:t>patients</w:t>
      </w:r>
      <w:r w:rsidR="0059213C">
        <w:rPr>
          <w:rFonts w:ascii="Arial" w:hAnsi="Arial" w:cs="Arial"/>
          <w:sz w:val="22"/>
          <w:szCs w:val="22"/>
        </w:rPr>
        <w:t xml:space="preserve"> in either treatment group</w:t>
      </w:r>
      <w:r>
        <w:rPr>
          <w:rFonts w:ascii="Arial" w:hAnsi="Arial" w:cs="Arial"/>
          <w:sz w:val="22"/>
          <w:szCs w:val="22"/>
        </w:rPr>
        <w:t xml:space="preserve"> are presented in Table </w:t>
      </w:r>
      <w:r w:rsidR="00750FB1">
        <w:rPr>
          <w:rFonts w:ascii="Arial" w:hAnsi="Arial" w:cs="Arial"/>
          <w:sz w:val="22"/>
          <w:szCs w:val="22"/>
        </w:rPr>
        <w:t>9</w:t>
      </w:r>
      <w:r>
        <w:rPr>
          <w:rFonts w:ascii="Arial" w:hAnsi="Arial" w:cs="Arial"/>
          <w:sz w:val="22"/>
          <w:szCs w:val="22"/>
        </w:rPr>
        <w:t>.</w:t>
      </w:r>
    </w:p>
    <w:p w:rsidR="00D71939" w:rsidRPr="00B16D91" w:rsidRDefault="00D71939" w:rsidP="008E113A">
      <w:pPr>
        <w:pStyle w:val="Tabletitle"/>
      </w:pPr>
      <w:r w:rsidRPr="00B16D91">
        <w:t xml:space="preserve">Table </w:t>
      </w:r>
      <w:r w:rsidR="00750FB1">
        <w:t>9</w:t>
      </w:r>
      <w:r w:rsidRPr="00B16D91">
        <w:t>: Percentage of Patients with Drug-Related</w:t>
      </w:r>
      <w:r w:rsidRPr="00B16D91">
        <w:sym w:font="Symbol" w:char="F02A"/>
      </w:r>
      <w:r w:rsidRPr="00B16D91">
        <w:t xml:space="preserve"> Adverse </w:t>
      </w:r>
      <w:r w:rsidR="00B62647">
        <w:t>Experiences</w:t>
      </w:r>
      <w:r w:rsidR="00B62647" w:rsidRPr="00B16D91">
        <w:t xml:space="preserve"> </w:t>
      </w:r>
      <w:r w:rsidRPr="00B16D91">
        <w:t>of Moderate to Severe Intensity Occurring in ≥2% of Treatment</w:t>
      </w:r>
      <w:r w:rsidRPr="00B16D91">
        <w:noBreakHyphen/>
        <w:t xml:space="preserve">Experienced Adult Patients in </w:t>
      </w:r>
      <w:r w:rsidR="00BB7867">
        <w:t>Either Treatment Group</w:t>
      </w:r>
      <w:r w:rsidRPr="00295BD7">
        <w:rPr>
          <w:vertAlign w:val="superscrip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6"/>
        <w:gridCol w:w="2918"/>
        <w:gridCol w:w="2383"/>
      </w:tblGrid>
      <w:tr w:rsidR="00CD2E49" w:rsidRPr="00DA77C5" w:rsidTr="006B56C2">
        <w:trPr>
          <w:tblHeader/>
          <w:jc w:val="center"/>
        </w:trPr>
        <w:tc>
          <w:tcPr>
            <w:tcW w:w="2106" w:type="dxa"/>
            <w:vMerge w:val="restart"/>
            <w:shd w:val="clear" w:color="auto" w:fill="auto"/>
          </w:tcPr>
          <w:p w:rsidR="00CD2E49" w:rsidRPr="00DA77C5" w:rsidRDefault="00CD2E49" w:rsidP="00DA77C5">
            <w:pPr>
              <w:jc w:val="both"/>
              <w:rPr>
                <w:rFonts w:ascii="Arial" w:hAnsi="Arial" w:cs="Arial"/>
                <w:b/>
                <w:sz w:val="18"/>
                <w:szCs w:val="18"/>
              </w:rPr>
            </w:pPr>
            <w:r w:rsidRPr="00DA77C5">
              <w:rPr>
                <w:rFonts w:ascii="Arial" w:hAnsi="Arial" w:cs="Arial"/>
                <w:b/>
                <w:bCs/>
                <w:sz w:val="18"/>
                <w:szCs w:val="18"/>
              </w:rPr>
              <w:t>System Organ Class, Preferred Term, %</w:t>
            </w:r>
          </w:p>
        </w:tc>
        <w:tc>
          <w:tcPr>
            <w:tcW w:w="5301" w:type="dxa"/>
            <w:gridSpan w:val="2"/>
            <w:shd w:val="clear" w:color="auto" w:fill="auto"/>
          </w:tcPr>
          <w:p w:rsidR="00CD2E49" w:rsidRPr="00DA77C5" w:rsidRDefault="00CD2E49" w:rsidP="00DA77C5">
            <w:pPr>
              <w:jc w:val="center"/>
              <w:rPr>
                <w:rFonts w:ascii="Arial" w:hAnsi="Arial" w:cs="Arial"/>
                <w:b/>
                <w:sz w:val="18"/>
                <w:szCs w:val="18"/>
              </w:rPr>
            </w:pPr>
            <w:r w:rsidRPr="00DA77C5">
              <w:rPr>
                <w:rFonts w:ascii="Arial" w:hAnsi="Arial" w:cs="Arial"/>
                <w:b/>
                <w:bCs/>
                <w:sz w:val="18"/>
                <w:szCs w:val="18"/>
              </w:rPr>
              <w:t>Randomized Studies,  BENCHMRK 1 and BENCHMRK 2</w:t>
            </w:r>
          </w:p>
        </w:tc>
      </w:tr>
      <w:tr w:rsidR="00CD2E49" w:rsidRPr="00DA77C5" w:rsidTr="006B56C2">
        <w:trPr>
          <w:tblHeader/>
          <w:jc w:val="center"/>
        </w:trPr>
        <w:tc>
          <w:tcPr>
            <w:tcW w:w="2106" w:type="dxa"/>
            <w:vMerge/>
            <w:shd w:val="clear" w:color="auto" w:fill="auto"/>
          </w:tcPr>
          <w:p w:rsidR="00CD2E49" w:rsidRPr="00DA77C5" w:rsidRDefault="00CD2E49" w:rsidP="00DA77C5">
            <w:pPr>
              <w:jc w:val="both"/>
              <w:rPr>
                <w:rFonts w:ascii="Arial" w:hAnsi="Arial" w:cs="Arial"/>
                <w:sz w:val="18"/>
                <w:szCs w:val="18"/>
              </w:rPr>
            </w:pPr>
          </w:p>
        </w:tc>
        <w:tc>
          <w:tcPr>
            <w:tcW w:w="2918" w:type="dxa"/>
            <w:shd w:val="clear" w:color="auto" w:fill="auto"/>
          </w:tcPr>
          <w:p w:rsidR="00CD2E49" w:rsidRPr="00DA77C5" w:rsidRDefault="00CD2E49" w:rsidP="00DA77C5">
            <w:pPr>
              <w:pStyle w:val="Default"/>
              <w:jc w:val="center"/>
              <w:rPr>
                <w:rFonts w:ascii="Arial" w:hAnsi="Arial" w:cs="Arial"/>
                <w:b/>
                <w:color w:val="auto"/>
                <w:sz w:val="18"/>
                <w:szCs w:val="18"/>
                <w:lang w:val="sv-SE"/>
              </w:rPr>
            </w:pPr>
            <w:r w:rsidRPr="00DA77C5">
              <w:rPr>
                <w:rFonts w:ascii="Arial" w:hAnsi="Arial" w:cs="Arial"/>
                <w:b/>
                <w:color w:val="auto"/>
                <w:sz w:val="18"/>
                <w:szCs w:val="18"/>
                <w:lang w:val="sv-SE"/>
              </w:rPr>
              <w:t>ISENTRESS</w:t>
            </w:r>
            <w:r w:rsidRPr="00DA77C5">
              <w:rPr>
                <w:rFonts w:ascii="Arial" w:hAnsi="Arial" w:cs="Arial"/>
                <w:b/>
                <w:bCs/>
                <w:color w:val="auto"/>
                <w:sz w:val="20"/>
                <w:szCs w:val="20"/>
                <w:lang w:val="sv-SE"/>
              </w:rPr>
              <w:t xml:space="preserve"> </w:t>
            </w:r>
            <w:r w:rsidRPr="00DA77C5">
              <w:rPr>
                <w:rFonts w:ascii="Arial" w:hAnsi="Arial" w:cs="Arial"/>
                <w:b/>
                <w:bCs/>
                <w:color w:val="auto"/>
                <w:sz w:val="18"/>
                <w:szCs w:val="18"/>
                <w:lang w:val="sv-SE"/>
              </w:rPr>
              <w:t xml:space="preserve">400 mg b.i.d. </w:t>
            </w:r>
          </w:p>
          <w:p w:rsidR="00CD2E49" w:rsidRPr="00DA77C5" w:rsidRDefault="00CD2E49" w:rsidP="00DA77C5">
            <w:pPr>
              <w:pStyle w:val="Default"/>
              <w:jc w:val="center"/>
              <w:rPr>
                <w:rFonts w:ascii="Arial" w:hAnsi="Arial" w:cs="Arial"/>
                <w:b/>
                <w:color w:val="auto"/>
                <w:sz w:val="18"/>
                <w:szCs w:val="18"/>
                <w:lang w:val="pt-BR"/>
              </w:rPr>
            </w:pPr>
            <w:r w:rsidRPr="00DA77C5">
              <w:rPr>
                <w:rFonts w:ascii="Arial" w:hAnsi="Arial" w:cs="Arial"/>
                <w:b/>
                <w:bCs/>
                <w:color w:val="auto"/>
                <w:sz w:val="18"/>
                <w:szCs w:val="18"/>
                <w:lang w:val="pt-BR"/>
              </w:rPr>
              <w:t xml:space="preserve">+ OBT </w:t>
            </w:r>
          </w:p>
          <w:p w:rsidR="00CD2E49" w:rsidRPr="00DA77C5" w:rsidRDefault="00CD2E49" w:rsidP="00DA77C5">
            <w:pPr>
              <w:pStyle w:val="Default"/>
              <w:jc w:val="center"/>
              <w:rPr>
                <w:rFonts w:ascii="Arial" w:hAnsi="Arial" w:cs="Arial"/>
                <w:b/>
                <w:bCs/>
                <w:color w:val="auto"/>
                <w:sz w:val="18"/>
                <w:szCs w:val="18"/>
                <w:lang w:val="pt-BR"/>
              </w:rPr>
            </w:pPr>
            <w:r w:rsidRPr="00DA77C5">
              <w:rPr>
                <w:rFonts w:ascii="Arial" w:hAnsi="Arial" w:cs="Arial"/>
                <w:b/>
                <w:bCs/>
                <w:color w:val="auto"/>
                <w:sz w:val="18"/>
                <w:szCs w:val="18"/>
                <w:lang w:val="pt-BR"/>
              </w:rPr>
              <w:t xml:space="preserve">n = </w:t>
            </w:r>
            <w:r w:rsidR="005379C3" w:rsidRPr="00DA77C5">
              <w:rPr>
                <w:rFonts w:ascii="Arial" w:hAnsi="Arial" w:cs="Arial"/>
                <w:b/>
                <w:bCs/>
                <w:color w:val="auto"/>
                <w:sz w:val="18"/>
                <w:szCs w:val="18"/>
                <w:lang w:val="pt-BR"/>
              </w:rPr>
              <w:t>462</w:t>
            </w:r>
          </w:p>
          <w:p w:rsidR="00CD2E49" w:rsidRPr="00DA77C5" w:rsidRDefault="00CD2E49" w:rsidP="00DA77C5">
            <w:pPr>
              <w:pStyle w:val="Default"/>
              <w:jc w:val="center"/>
              <w:rPr>
                <w:rFonts w:ascii="Arial" w:hAnsi="Arial" w:cs="Arial"/>
                <w:b/>
                <w:color w:val="auto"/>
                <w:sz w:val="18"/>
                <w:szCs w:val="18"/>
                <w:lang w:val="pt-BR"/>
              </w:rPr>
            </w:pPr>
          </w:p>
        </w:tc>
        <w:tc>
          <w:tcPr>
            <w:tcW w:w="2383" w:type="dxa"/>
            <w:shd w:val="clear" w:color="auto" w:fill="auto"/>
          </w:tcPr>
          <w:p w:rsidR="00CD2E49" w:rsidRPr="00DA77C5" w:rsidRDefault="00CD2E49" w:rsidP="00DA77C5">
            <w:pPr>
              <w:pStyle w:val="Default"/>
              <w:jc w:val="center"/>
              <w:rPr>
                <w:rFonts w:ascii="Arial" w:hAnsi="Arial" w:cs="Arial"/>
                <w:b/>
                <w:bCs/>
                <w:color w:val="auto"/>
                <w:sz w:val="18"/>
                <w:szCs w:val="18"/>
              </w:rPr>
            </w:pPr>
            <w:r w:rsidRPr="00DA77C5">
              <w:rPr>
                <w:rFonts w:ascii="Arial" w:hAnsi="Arial" w:cs="Arial"/>
                <w:b/>
                <w:bCs/>
                <w:color w:val="auto"/>
                <w:sz w:val="18"/>
                <w:szCs w:val="18"/>
              </w:rPr>
              <w:t xml:space="preserve">Placebo </w:t>
            </w:r>
          </w:p>
          <w:p w:rsidR="00CD2E49" w:rsidRPr="00DA77C5" w:rsidRDefault="00CD2E49" w:rsidP="00DA77C5">
            <w:pPr>
              <w:pStyle w:val="Default"/>
              <w:jc w:val="center"/>
              <w:rPr>
                <w:color w:val="auto"/>
              </w:rPr>
            </w:pPr>
            <w:r w:rsidRPr="00DA77C5">
              <w:rPr>
                <w:rFonts w:ascii="Arial" w:hAnsi="Arial" w:cs="Arial"/>
                <w:b/>
                <w:bCs/>
                <w:color w:val="auto"/>
                <w:sz w:val="18"/>
                <w:szCs w:val="18"/>
              </w:rPr>
              <w:t>+ OBT</w:t>
            </w:r>
          </w:p>
          <w:p w:rsidR="00CD2E49" w:rsidRPr="00DA77C5" w:rsidRDefault="00CD2E49" w:rsidP="00DA77C5">
            <w:pPr>
              <w:jc w:val="center"/>
              <w:rPr>
                <w:rFonts w:ascii="Arial" w:hAnsi="Arial" w:cs="Arial"/>
                <w:b/>
                <w:bCs/>
                <w:sz w:val="18"/>
                <w:szCs w:val="18"/>
              </w:rPr>
            </w:pPr>
            <w:r w:rsidRPr="00DA77C5">
              <w:rPr>
                <w:rFonts w:ascii="Arial" w:hAnsi="Arial" w:cs="Arial"/>
                <w:b/>
                <w:bCs/>
                <w:sz w:val="18"/>
                <w:szCs w:val="18"/>
              </w:rPr>
              <w:t xml:space="preserve">n = </w:t>
            </w:r>
            <w:r w:rsidR="005379C3" w:rsidRPr="00DA77C5">
              <w:rPr>
                <w:rFonts w:ascii="Arial" w:hAnsi="Arial" w:cs="Arial"/>
                <w:b/>
                <w:bCs/>
                <w:sz w:val="18"/>
                <w:szCs w:val="18"/>
              </w:rPr>
              <w:t>237</w:t>
            </w:r>
          </w:p>
          <w:p w:rsidR="00CD2E49" w:rsidRPr="00DA77C5" w:rsidRDefault="00CD2E49" w:rsidP="00DA77C5">
            <w:pPr>
              <w:jc w:val="center"/>
              <w:rPr>
                <w:rFonts w:ascii="Arial" w:hAnsi="Arial" w:cs="Arial"/>
                <w:b/>
                <w:sz w:val="18"/>
                <w:szCs w:val="18"/>
              </w:rPr>
            </w:pPr>
            <w:r w:rsidRPr="00DA77C5">
              <w:rPr>
                <w:rFonts w:ascii="Arial" w:hAnsi="Arial" w:cs="Arial"/>
                <w:b/>
                <w:bCs/>
                <w:sz w:val="18"/>
                <w:szCs w:val="18"/>
              </w:rPr>
              <w:t xml:space="preserve"> </w:t>
            </w:r>
          </w:p>
        </w:tc>
      </w:tr>
      <w:tr w:rsidR="00CD2E49" w:rsidRPr="00DA77C5" w:rsidTr="006B56C2">
        <w:trPr>
          <w:tblHeader/>
          <w:jc w:val="center"/>
        </w:trPr>
        <w:tc>
          <w:tcPr>
            <w:tcW w:w="2106" w:type="dxa"/>
            <w:vMerge/>
            <w:shd w:val="clear" w:color="auto" w:fill="auto"/>
          </w:tcPr>
          <w:p w:rsidR="00CD2E49" w:rsidRPr="00DA77C5" w:rsidRDefault="00CD2E49" w:rsidP="00DA77C5">
            <w:pPr>
              <w:jc w:val="both"/>
              <w:rPr>
                <w:rFonts w:ascii="Arial" w:hAnsi="Arial" w:cs="Arial"/>
                <w:sz w:val="18"/>
                <w:szCs w:val="18"/>
              </w:rPr>
            </w:pPr>
          </w:p>
        </w:tc>
        <w:tc>
          <w:tcPr>
            <w:tcW w:w="2918" w:type="dxa"/>
            <w:shd w:val="clear" w:color="auto" w:fill="auto"/>
          </w:tcPr>
          <w:p w:rsidR="00CD2E49" w:rsidRPr="00DA77C5" w:rsidRDefault="00CD2E49" w:rsidP="00DA77C5">
            <w:pPr>
              <w:jc w:val="center"/>
              <w:rPr>
                <w:rFonts w:ascii="Arial" w:hAnsi="Arial"/>
                <w:b/>
                <w:sz w:val="18"/>
                <w:szCs w:val="18"/>
              </w:rPr>
            </w:pPr>
            <w:r w:rsidRPr="00DA77C5">
              <w:rPr>
                <w:rFonts w:ascii="Arial" w:hAnsi="Arial"/>
                <w:b/>
                <w:sz w:val="18"/>
                <w:szCs w:val="18"/>
              </w:rPr>
              <w:t>Mean Follow-up</w:t>
            </w:r>
          </w:p>
          <w:p w:rsidR="00CD2E49" w:rsidRPr="00DA77C5" w:rsidRDefault="00CD2E49" w:rsidP="00DA77C5">
            <w:pPr>
              <w:jc w:val="center"/>
              <w:rPr>
                <w:rFonts w:ascii="Arial" w:hAnsi="Arial"/>
                <w:b/>
                <w:sz w:val="18"/>
                <w:szCs w:val="18"/>
              </w:rPr>
            </w:pPr>
            <w:r w:rsidRPr="00DA77C5">
              <w:rPr>
                <w:rFonts w:ascii="Arial" w:hAnsi="Arial"/>
                <w:b/>
                <w:sz w:val="18"/>
                <w:szCs w:val="18"/>
              </w:rPr>
              <w:t>(weeks)</w:t>
            </w:r>
          </w:p>
          <w:p w:rsidR="00CD2E49" w:rsidRPr="00DA77C5" w:rsidRDefault="005379C3" w:rsidP="00DA77C5">
            <w:pPr>
              <w:jc w:val="center"/>
              <w:rPr>
                <w:rFonts w:ascii="Arial" w:hAnsi="Arial"/>
                <w:b/>
                <w:sz w:val="18"/>
                <w:szCs w:val="18"/>
              </w:rPr>
            </w:pPr>
            <w:r w:rsidRPr="00DA77C5">
              <w:rPr>
                <w:rFonts w:ascii="Arial" w:hAnsi="Arial"/>
                <w:b/>
                <w:sz w:val="18"/>
                <w:szCs w:val="18"/>
              </w:rPr>
              <w:t>118.7</w:t>
            </w:r>
          </w:p>
          <w:p w:rsidR="00CD2E49" w:rsidRPr="00DA77C5" w:rsidRDefault="00CD2E49" w:rsidP="00DA77C5">
            <w:pPr>
              <w:pStyle w:val="Default"/>
              <w:jc w:val="center"/>
              <w:rPr>
                <w:rFonts w:ascii="Arial" w:hAnsi="Arial" w:cs="Arial"/>
                <w:b/>
                <w:color w:val="auto"/>
                <w:sz w:val="18"/>
                <w:szCs w:val="18"/>
                <w:lang w:val="sv-SE"/>
              </w:rPr>
            </w:pPr>
            <w:r w:rsidRPr="00DA77C5">
              <w:rPr>
                <w:rFonts w:ascii="Arial" w:hAnsi="Arial" w:cs="Arial"/>
                <w:b/>
                <w:color w:val="auto"/>
                <w:sz w:val="18"/>
                <w:szCs w:val="18"/>
                <w:lang w:val="sv-SE"/>
              </w:rPr>
              <w:t>%</w:t>
            </w:r>
          </w:p>
        </w:tc>
        <w:tc>
          <w:tcPr>
            <w:tcW w:w="2383" w:type="dxa"/>
            <w:shd w:val="clear" w:color="auto" w:fill="auto"/>
          </w:tcPr>
          <w:p w:rsidR="00CD2E49" w:rsidRPr="00DA77C5" w:rsidRDefault="00CD2E49" w:rsidP="00DA77C5">
            <w:pPr>
              <w:jc w:val="center"/>
              <w:rPr>
                <w:rFonts w:ascii="Arial" w:hAnsi="Arial"/>
                <w:b/>
                <w:sz w:val="18"/>
                <w:szCs w:val="18"/>
              </w:rPr>
            </w:pPr>
            <w:r w:rsidRPr="00DA77C5">
              <w:rPr>
                <w:rFonts w:ascii="Arial" w:hAnsi="Arial"/>
                <w:b/>
                <w:sz w:val="18"/>
                <w:szCs w:val="18"/>
              </w:rPr>
              <w:t xml:space="preserve">Mean Follow-up </w:t>
            </w:r>
          </w:p>
          <w:p w:rsidR="00CD2E49" w:rsidRPr="00DA77C5" w:rsidRDefault="00CD2E49" w:rsidP="00DA77C5">
            <w:pPr>
              <w:jc w:val="center"/>
              <w:rPr>
                <w:rFonts w:ascii="Arial" w:hAnsi="Arial"/>
                <w:b/>
                <w:sz w:val="18"/>
                <w:szCs w:val="18"/>
              </w:rPr>
            </w:pPr>
            <w:r w:rsidRPr="00DA77C5">
              <w:rPr>
                <w:rFonts w:ascii="Arial" w:hAnsi="Arial"/>
                <w:b/>
                <w:sz w:val="18"/>
                <w:szCs w:val="18"/>
              </w:rPr>
              <w:t>(weeks)</w:t>
            </w:r>
          </w:p>
          <w:p w:rsidR="00CD2E49" w:rsidRPr="00DA77C5" w:rsidRDefault="005379C3" w:rsidP="00DA77C5">
            <w:pPr>
              <w:jc w:val="center"/>
              <w:rPr>
                <w:rFonts w:ascii="Arial" w:hAnsi="Arial"/>
                <w:b/>
                <w:sz w:val="18"/>
                <w:szCs w:val="18"/>
              </w:rPr>
            </w:pPr>
            <w:r w:rsidRPr="00DA77C5">
              <w:rPr>
                <w:rFonts w:ascii="Arial" w:hAnsi="Arial"/>
                <w:b/>
                <w:sz w:val="18"/>
                <w:szCs w:val="18"/>
              </w:rPr>
              <w:t>71.0</w:t>
            </w:r>
          </w:p>
          <w:p w:rsidR="00CD2E49" w:rsidRPr="00DA77C5" w:rsidRDefault="00CD2E49" w:rsidP="00DA77C5">
            <w:pPr>
              <w:pStyle w:val="Default"/>
              <w:jc w:val="center"/>
              <w:rPr>
                <w:rFonts w:ascii="Arial" w:hAnsi="Arial" w:cs="Arial"/>
                <w:b/>
                <w:bCs/>
                <w:color w:val="auto"/>
                <w:sz w:val="18"/>
                <w:szCs w:val="18"/>
              </w:rPr>
            </w:pPr>
            <w:r w:rsidRPr="00DA77C5">
              <w:rPr>
                <w:rFonts w:ascii="Arial" w:hAnsi="Arial" w:cs="Arial"/>
                <w:b/>
                <w:bCs/>
                <w:color w:val="auto"/>
                <w:sz w:val="18"/>
                <w:szCs w:val="18"/>
              </w:rPr>
              <w:t>%</w:t>
            </w:r>
          </w:p>
        </w:tc>
      </w:tr>
      <w:tr w:rsidR="00D71939" w:rsidRPr="00DA77C5" w:rsidTr="00DA77C5">
        <w:trPr>
          <w:jc w:val="center"/>
        </w:trPr>
        <w:tc>
          <w:tcPr>
            <w:tcW w:w="7407" w:type="dxa"/>
            <w:gridSpan w:val="3"/>
            <w:shd w:val="clear" w:color="auto" w:fill="auto"/>
          </w:tcPr>
          <w:p w:rsidR="00D71939" w:rsidRPr="00DA77C5" w:rsidRDefault="00D71939" w:rsidP="00DA77C5">
            <w:pPr>
              <w:jc w:val="both"/>
              <w:rPr>
                <w:rFonts w:ascii="Arial" w:hAnsi="Arial" w:cs="Arial"/>
                <w:sz w:val="18"/>
                <w:szCs w:val="18"/>
              </w:rPr>
            </w:pPr>
            <w:r w:rsidRPr="00DA77C5">
              <w:rPr>
                <w:rFonts w:ascii="Arial" w:hAnsi="Arial" w:cs="Arial"/>
                <w:b/>
                <w:sz w:val="18"/>
                <w:szCs w:val="18"/>
              </w:rPr>
              <w:t>Gastrointestinal Disorders</w:t>
            </w:r>
          </w:p>
        </w:tc>
      </w:tr>
      <w:tr w:rsidR="00D71939" w:rsidRPr="00DA77C5" w:rsidTr="00DA77C5">
        <w:trPr>
          <w:jc w:val="center"/>
        </w:trPr>
        <w:tc>
          <w:tcPr>
            <w:tcW w:w="2106" w:type="dxa"/>
            <w:shd w:val="clear" w:color="auto" w:fill="auto"/>
          </w:tcPr>
          <w:p w:rsidR="00D71939" w:rsidRPr="00DA77C5" w:rsidRDefault="00D71939" w:rsidP="001E291F">
            <w:pPr>
              <w:rPr>
                <w:rFonts w:ascii="Arial" w:hAnsi="Arial" w:cs="Arial"/>
                <w:sz w:val="18"/>
                <w:szCs w:val="18"/>
              </w:rPr>
            </w:pPr>
            <w:r w:rsidRPr="00DA77C5">
              <w:rPr>
                <w:rFonts w:ascii="Arial" w:hAnsi="Arial" w:cs="Arial"/>
                <w:sz w:val="18"/>
                <w:szCs w:val="18"/>
              </w:rPr>
              <w:t>Diarrh</w:t>
            </w:r>
            <w:r w:rsidR="002B2E84" w:rsidRPr="00DA77C5">
              <w:rPr>
                <w:rFonts w:ascii="Arial" w:hAnsi="Arial" w:cs="Arial"/>
                <w:sz w:val="18"/>
                <w:szCs w:val="18"/>
              </w:rPr>
              <w:t>o</w:t>
            </w:r>
            <w:r w:rsidRPr="00DA77C5">
              <w:rPr>
                <w:rFonts w:ascii="Arial" w:hAnsi="Arial" w:cs="Arial"/>
                <w:sz w:val="18"/>
                <w:szCs w:val="18"/>
              </w:rPr>
              <w:t>ea</w:t>
            </w:r>
          </w:p>
        </w:tc>
        <w:tc>
          <w:tcPr>
            <w:tcW w:w="2918" w:type="dxa"/>
            <w:shd w:val="clear" w:color="auto" w:fill="auto"/>
          </w:tcPr>
          <w:p w:rsidR="00D71939" w:rsidRPr="00DA77C5" w:rsidRDefault="00CD2E49" w:rsidP="00DA77C5">
            <w:pPr>
              <w:pStyle w:val="Body"/>
              <w:jc w:val="center"/>
              <w:rPr>
                <w:rFonts w:cs="Arial"/>
                <w:sz w:val="18"/>
                <w:szCs w:val="18"/>
              </w:rPr>
            </w:pPr>
            <w:r w:rsidRPr="00DA77C5">
              <w:rPr>
                <w:rFonts w:cs="Arial"/>
                <w:sz w:val="18"/>
                <w:szCs w:val="18"/>
              </w:rPr>
              <w:t>1.5</w:t>
            </w:r>
            <w:r w:rsidR="00B62647" w:rsidRPr="00DA77C5">
              <w:rPr>
                <w:rFonts w:cs="Arial"/>
                <w:sz w:val="18"/>
                <w:szCs w:val="18"/>
              </w:rPr>
              <w:t xml:space="preserve"> </w:t>
            </w:r>
          </w:p>
        </w:tc>
        <w:tc>
          <w:tcPr>
            <w:tcW w:w="2383" w:type="dxa"/>
            <w:shd w:val="clear" w:color="auto" w:fill="auto"/>
          </w:tcPr>
          <w:p w:rsidR="00D71939" w:rsidRPr="00DA77C5" w:rsidRDefault="00CD2E49" w:rsidP="00DA77C5">
            <w:pPr>
              <w:pStyle w:val="Body"/>
              <w:jc w:val="center"/>
              <w:rPr>
                <w:rFonts w:cs="Arial"/>
                <w:sz w:val="18"/>
                <w:szCs w:val="18"/>
              </w:rPr>
            </w:pPr>
            <w:r w:rsidRPr="00DA77C5">
              <w:rPr>
                <w:rFonts w:cs="Arial"/>
                <w:sz w:val="18"/>
                <w:szCs w:val="18"/>
              </w:rPr>
              <w:t>2.1</w:t>
            </w:r>
          </w:p>
        </w:tc>
      </w:tr>
      <w:tr w:rsidR="00D71939" w:rsidRPr="00DA77C5" w:rsidTr="00DA77C5">
        <w:trPr>
          <w:jc w:val="center"/>
        </w:trPr>
        <w:tc>
          <w:tcPr>
            <w:tcW w:w="7407" w:type="dxa"/>
            <w:gridSpan w:val="3"/>
            <w:shd w:val="clear" w:color="auto" w:fill="auto"/>
          </w:tcPr>
          <w:p w:rsidR="00D71939" w:rsidRPr="00DA77C5" w:rsidRDefault="00D71939" w:rsidP="00DA77C5">
            <w:pPr>
              <w:jc w:val="both"/>
              <w:rPr>
                <w:rFonts w:ascii="Arial" w:hAnsi="Arial" w:cs="Arial"/>
                <w:b/>
                <w:sz w:val="18"/>
                <w:szCs w:val="18"/>
              </w:rPr>
            </w:pPr>
            <w:r w:rsidRPr="00DA77C5">
              <w:rPr>
                <w:rFonts w:ascii="Arial" w:hAnsi="Arial" w:cs="Arial"/>
                <w:b/>
                <w:sz w:val="18"/>
                <w:szCs w:val="18"/>
              </w:rPr>
              <w:t>Nervous System Disorders</w:t>
            </w:r>
          </w:p>
        </w:tc>
      </w:tr>
      <w:tr w:rsidR="00D71939" w:rsidRPr="00DA77C5" w:rsidTr="00DA77C5">
        <w:trPr>
          <w:jc w:val="center"/>
        </w:trPr>
        <w:tc>
          <w:tcPr>
            <w:tcW w:w="2106" w:type="dxa"/>
            <w:shd w:val="clear" w:color="auto" w:fill="auto"/>
          </w:tcPr>
          <w:p w:rsidR="00D71939" w:rsidRPr="00DA77C5" w:rsidRDefault="00D71939" w:rsidP="001E291F">
            <w:pPr>
              <w:rPr>
                <w:rFonts w:ascii="Arial" w:hAnsi="Arial" w:cs="Arial"/>
                <w:sz w:val="18"/>
                <w:szCs w:val="18"/>
                <w:highlight w:val="yellow"/>
              </w:rPr>
            </w:pPr>
            <w:r w:rsidRPr="00DA77C5">
              <w:rPr>
                <w:rFonts w:ascii="Arial" w:hAnsi="Arial" w:cs="Arial"/>
                <w:sz w:val="18"/>
                <w:szCs w:val="18"/>
              </w:rPr>
              <w:t>Headache</w:t>
            </w:r>
          </w:p>
        </w:tc>
        <w:tc>
          <w:tcPr>
            <w:tcW w:w="2918" w:type="dxa"/>
            <w:shd w:val="clear" w:color="auto" w:fill="auto"/>
          </w:tcPr>
          <w:p w:rsidR="00D71939" w:rsidRPr="00DA77C5" w:rsidRDefault="00D71939" w:rsidP="00DA77C5">
            <w:pPr>
              <w:tabs>
                <w:tab w:val="left" w:pos="1344"/>
                <w:tab w:val="left" w:pos="1394"/>
              </w:tabs>
              <w:jc w:val="center"/>
              <w:rPr>
                <w:rFonts w:ascii="Arial" w:hAnsi="Arial" w:cs="Arial"/>
                <w:sz w:val="18"/>
                <w:szCs w:val="18"/>
              </w:rPr>
            </w:pPr>
            <w:r w:rsidRPr="00DA77C5">
              <w:rPr>
                <w:rFonts w:ascii="Arial" w:hAnsi="Arial" w:cs="Arial"/>
                <w:sz w:val="18"/>
                <w:szCs w:val="18"/>
              </w:rPr>
              <w:t xml:space="preserve">  </w:t>
            </w:r>
            <w:r w:rsidR="00CD2E49" w:rsidRPr="00DA77C5">
              <w:rPr>
                <w:rFonts w:ascii="Arial" w:hAnsi="Arial" w:cs="Arial"/>
                <w:sz w:val="18"/>
                <w:szCs w:val="18"/>
              </w:rPr>
              <w:t>2.2</w:t>
            </w:r>
            <w:r w:rsidR="00B62647" w:rsidRPr="00DA77C5">
              <w:rPr>
                <w:rFonts w:ascii="Arial" w:hAnsi="Arial" w:cs="Arial"/>
                <w:sz w:val="18"/>
                <w:szCs w:val="18"/>
              </w:rPr>
              <w:t xml:space="preserve"> </w:t>
            </w:r>
          </w:p>
        </w:tc>
        <w:tc>
          <w:tcPr>
            <w:tcW w:w="2383" w:type="dxa"/>
            <w:shd w:val="clear" w:color="auto" w:fill="auto"/>
          </w:tcPr>
          <w:p w:rsidR="00D71939" w:rsidRPr="00DA77C5" w:rsidRDefault="00D71939" w:rsidP="00DA77C5">
            <w:pPr>
              <w:jc w:val="center"/>
              <w:rPr>
                <w:rFonts w:ascii="Arial" w:hAnsi="Arial" w:cs="Arial"/>
                <w:sz w:val="18"/>
                <w:szCs w:val="18"/>
              </w:rPr>
            </w:pPr>
            <w:r w:rsidRPr="00DA77C5">
              <w:rPr>
                <w:rFonts w:ascii="Arial" w:hAnsi="Arial" w:cs="Arial"/>
                <w:sz w:val="18"/>
                <w:szCs w:val="18"/>
              </w:rPr>
              <w:t xml:space="preserve">    </w:t>
            </w:r>
            <w:r w:rsidR="00CD2E49" w:rsidRPr="00DA77C5">
              <w:rPr>
                <w:rFonts w:ascii="Arial" w:hAnsi="Arial" w:cs="Arial"/>
                <w:sz w:val="18"/>
                <w:szCs w:val="18"/>
              </w:rPr>
              <w:t>0.4</w:t>
            </w:r>
            <w:r w:rsidR="00B62647" w:rsidRPr="00DA77C5">
              <w:rPr>
                <w:rFonts w:ascii="Arial" w:hAnsi="Arial" w:cs="Arial"/>
                <w:sz w:val="18"/>
                <w:szCs w:val="18"/>
              </w:rPr>
              <w:t xml:space="preserve"> </w:t>
            </w:r>
          </w:p>
        </w:tc>
      </w:tr>
      <w:tr w:rsidR="00D71939" w:rsidRPr="00DA77C5" w:rsidTr="00DA77C5">
        <w:trPr>
          <w:jc w:val="center"/>
        </w:trPr>
        <w:tc>
          <w:tcPr>
            <w:tcW w:w="7407" w:type="dxa"/>
            <w:gridSpan w:val="3"/>
            <w:shd w:val="clear" w:color="auto" w:fill="auto"/>
          </w:tcPr>
          <w:p w:rsidR="00D71939" w:rsidRPr="00DA77C5" w:rsidRDefault="00D71939" w:rsidP="00DA77C5">
            <w:pPr>
              <w:jc w:val="both"/>
              <w:rPr>
                <w:rFonts w:ascii="Arial" w:hAnsi="Arial" w:cs="Arial"/>
                <w:sz w:val="18"/>
                <w:szCs w:val="18"/>
              </w:rPr>
            </w:pPr>
            <w:r w:rsidRPr="00DA77C5">
              <w:rPr>
                <w:rFonts w:ascii="Arial" w:hAnsi="Arial" w:cs="Arial"/>
                <w:sz w:val="18"/>
                <w:szCs w:val="18"/>
              </w:rPr>
              <w:sym w:font="Symbol" w:char="F02A"/>
            </w:r>
            <w:r w:rsidRPr="00DA77C5">
              <w:rPr>
                <w:rFonts w:ascii="Arial" w:hAnsi="Arial" w:cs="Arial"/>
                <w:sz w:val="18"/>
                <w:szCs w:val="18"/>
              </w:rPr>
              <w:t xml:space="preserve"> Includes adverse </w:t>
            </w:r>
            <w:r w:rsidR="005A7D10" w:rsidRPr="00DA77C5">
              <w:rPr>
                <w:rFonts w:ascii="Arial" w:hAnsi="Arial" w:cs="Arial"/>
                <w:sz w:val="18"/>
                <w:szCs w:val="18"/>
              </w:rPr>
              <w:t xml:space="preserve">experiences </w:t>
            </w:r>
            <w:r w:rsidRPr="00DA77C5">
              <w:rPr>
                <w:rFonts w:ascii="Arial" w:hAnsi="Arial" w:cs="Arial"/>
                <w:sz w:val="18"/>
                <w:szCs w:val="18"/>
              </w:rPr>
              <w:t xml:space="preserve">at least possibly, probably, or very likely related to the </w:t>
            </w:r>
            <w:r w:rsidRPr="00DA77C5">
              <w:rPr>
                <w:rFonts w:ascii="Arial" w:hAnsi="Arial" w:cs="Arial"/>
                <w:sz w:val="18"/>
                <w:szCs w:val="18"/>
              </w:rPr>
              <w:lastRenderedPageBreak/>
              <w:t xml:space="preserve">drug </w:t>
            </w:r>
          </w:p>
          <w:p w:rsidR="00D71939" w:rsidRPr="00DA77C5" w:rsidRDefault="00D71939" w:rsidP="00DA77C5">
            <w:pPr>
              <w:jc w:val="both"/>
              <w:rPr>
                <w:rFonts w:ascii="Arial" w:hAnsi="Arial" w:cs="Arial"/>
                <w:sz w:val="18"/>
                <w:szCs w:val="18"/>
              </w:rPr>
            </w:pPr>
            <w:r w:rsidRPr="00DA77C5">
              <w:rPr>
                <w:rFonts w:cs="Arial"/>
                <w:b/>
                <w:bCs/>
                <w:vertAlign w:val="superscript"/>
              </w:rPr>
              <w:t>†</w:t>
            </w:r>
            <w:r w:rsidRPr="00DA77C5">
              <w:rPr>
                <w:rFonts w:ascii="Arial" w:hAnsi="Arial" w:cs="Arial"/>
                <w:sz w:val="18"/>
                <w:szCs w:val="18"/>
              </w:rPr>
              <w:t xml:space="preserve"> n=total number of patients per treatment group</w:t>
            </w:r>
          </w:p>
        </w:tc>
      </w:tr>
    </w:tbl>
    <w:p w:rsidR="00C24699" w:rsidRPr="00D66CD0" w:rsidRDefault="00C24699" w:rsidP="008E113A">
      <w:pPr>
        <w:pStyle w:val="Heading5"/>
      </w:pPr>
      <w:r w:rsidRPr="00D66CD0">
        <w:lastRenderedPageBreak/>
        <w:t>Less Common Adverse Reactions</w:t>
      </w:r>
    </w:p>
    <w:p w:rsidR="00C24699" w:rsidRPr="00376019" w:rsidRDefault="00C24699" w:rsidP="00C24699">
      <w:pPr>
        <w:jc w:val="both"/>
        <w:rPr>
          <w:rFonts w:ascii="Arial" w:hAnsi="Arial" w:cs="Arial"/>
          <w:sz w:val="22"/>
          <w:szCs w:val="22"/>
        </w:rPr>
      </w:pPr>
      <w:r w:rsidRPr="00376019">
        <w:rPr>
          <w:rFonts w:ascii="Arial" w:hAnsi="Arial" w:cs="Arial"/>
          <w:sz w:val="22"/>
          <w:szCs w:val="22"/>
        </w:rPr>
        <w:t xml:space="preserve">Drug related </w:t>
      </w:r>
      <w:r w:rsidR="00E71269" w:rsidRPr="00376019">
        <w:rPr>
          <w:rFonts w:ascii="Arial" w:hAnsi="Arial" w:cs="Arial"/>
          <w:sz w:val="22"/>
          <w:szCs w:val="22"/>
        </w:rPr>
        <w:t xml:space="preserve">clinical </w:t>
      </w:r>
      <w:r w:rsidRPr="00376019">
        <w:rPr>
          <w:rFonts w:ascii="Arial" w:hAnsi="Arial" w:cs="Arial"/>
          <w:sz w:val="22"/>
          <w:szCs w:val="22"/>
        </w:rPr>
        <w:t>adverse experiences occurring in less than 2% of treatment</w:t>
      </w:r>
      <w:r w:rsidRPr="00376019">
        <w:rPr>
          <w:rFonts w:ascii="Arial" w:hAnsi="Arial" w:cs="Arial"/>
          <w:sz w:val="22"/>
          <w:szCs w:val="22"/>
        </w:rPr>
        <w:noBreakHyphen/>
        <w:t>experienced patients (n=</w:t>
      </w:r>
      <w:r w:rsidR="005379C3" w:rsidRPr="00376019">
        <w:rPr>
          <w:rFonts w:ascii="Arial" w:hAnsi="Arial" w:cs="Arial"/>
          <w:sz w:val="22"/>
          <w:szCs w:val="22"/>
        </w:rPr>
        <w:t>462</w:t>
      </w:r>
      <w:r w:rsidR="00293474" w:rsidRPr="00376019">
        <w:rPr>
          <w:rFonts w:ascii="Arial" w:hAnsi="Arial" w:cs="Arial"/>
          <w:sz w:val="22"/>
          <w:szCs w:val="22"/>
        </w:rPr>
        <w:t>)</w:t>
      </w:r>
      <w:r w:rsidRPr="00376019">
        <w:rPr>
          <w:rFonts w:ascii="Arial" w:hAnsi="Arial" w:cs="Arial"/>
          <w:sz w:val="22"/>
          <w:szCs w:val="22"/>
        </w:rPr>
        <w:t xml:space="preserve"> receiving ISENTRESS + OBT and of moderate to severe intensity are listed below by system organ class: </w:t>
      </w:r>
      <w:r w:rsidR="00287542" w:rsidRPr="00376019">
        <w:rPr>
          <w:rFonts w:ascii="Arial" w:hAnsi="Arial" w:cs="Arial"/>
          <w:sz w:val="22"/>
          <w:szCs w:val="22"/>
        </w:rPr>
        <w:t xml:space="preserve"> </w:t>
      </w:r>
    </w:p>
    <w:p w:rsidR="00C24699" w:rsidRPr="00D66CD0" w:rsidRDefault="00C24699" w:rsidP="008E113A">
      <w:pPr>
        <w:pStyle w:val="Heading5"/>
      </w:pPr>
      <w:r w:rsidRPr="00D66CD0">
        <w:t>Cardiac Disorders</w:t>
      </w:r>
    </w:p>
    <w:p w:rsidR="00C24699" w:rsidRPr="00D66CD0" w:rsidRDefault="00C24699" w:rsidP="00C24699">
      <w:pPr>
        <w:widowControl w:val="0"/>
        <w:autoSpaceDE w:val="0"/>
        <w:autoSpaceDN w:val="0"/>
        <w:adjustRightInd w:val="0"/>
        <w:spacing w:before="15" w:after="15"/>
        <w:jc w:val="both"/>
        <w:rPr>
          <w:rFonts w:ascii="Arial" w:hAnsi="Arial" w:cs="Arial"/>
          <w:i/>
          <w:sz w:val="22"/>
          <w:szCs w:val="22"/>
        </w:rPr>
      </w:pPr>
      <w:r w:rsidRPr="00D66CD0">
        <w:rPr>
          <w:rFonts w:ascii="Arial" w:hAnsi="Arial" w:cs="Arial"/>
          <w:i/>
          <w:sz w:val="22"/>
          <w:szCs w:val="22"/>
        </w:rPr>
        <w:t xml:space="preserve"> ventricular extrasystoles</w:t>
      </w:r>
    </w:p>
    <w:p w:rsidR="00C24699" w:rsidRPr="00D66CD0" w:rsidRDefault="00C24699" w:rsidP="00F525CD">
      <w:pPr>
        <w:pStyle w:val="Heading5"/>
      </w:pPr>
      <w:r w:rsidRPr="00D66CD0">
        <w:t>Ear and Labyrinth Disorders</w:t>
      </w:r>
    </w:p>
    <w:p w:rsidR="00C24699" w:rsidRPr="005F5A6B" w:rsidRDefault="00C24699" w:rsidP="00C24699">
      <w:pPr>
        <w:widowControl w:val="0"/>
        <w:autoSpaceDE w:val="0"/>
        <w:autoSpaceDN w:val="0"/>
        <w:adjustRightInd w:val="0"/>
        <w:spacing w:before="15" w:after="15"/>
        <w:jc w:val="both"/>
        <w:rPr>
          <w:rFonts w:ascii="Arial" w:hAnsi="Arial" w:cs="Arial"/>
          <w:i/>
          <w:sz w:val="22"/>
          <w:szCs w:val="22"/>
        </w:rPr>
      </w:pPr>
      <w:r w:rsidRPr="005F5A6B">
        <w:rPr>
          <w:rFonts w:ascii="Arial" w:hAnsi="Arial" w:cs="Arial"/>
          <w:i/>
          <w:sz w:val="22"/>
          <w:szCs w:val="22"/>
        </w:rPr>
        <w:t>vertigo</w:t>
      </w:r>
    </w:p>
    <w:p w:rsidR="00C24699" w:rsidRPr="005F5A6B" w:rsidRDefault="00C24699" w:rsidP="00F525CD">
      <w:pPr>
        <w:pStyle w:val="Heading5"/>
      </w:pPr>
      <w:r w:rsidRPr="005F5A6B">
        <w:t xml:space="preserve">Eye Disorders </w:t>
      </w:r>
    </w:p>
    <w:p w:rsidR="00C24699" w:rsidRPr="005F5A6B" w:rsidRDefault="00B17E33" w:rsidP="00C24699">
      <w:pPr>
        <w:widowControl w:val="0"/>
        <w:autoSpaceDE w:val="0"/>
        <w:autoSpaceDN w:val="0"/>
        <w:adjustRightInd w:val="0"/>
        <w:spacing w:before="15" w:after="15"/>
        <w:jc w:val="both"/>
        <w:rPr>
          <w:rFonts w:ascii="Arial" w:hAnsi="Arial" w:cs="Arial"/>
          <w:i/>
          <w:sz w:val="22"/>
          <w:szCs w:val="22"/>
        </w:rPr>
      </w:pPr>
      <w:r>
        <w:rPr>
          <w:rFonts w:ascii="Arial" w:hAnsi="Arial" w:cs="Arial"/>
          <w:i/>
          <w:sz w:val="22"/>
          <w:szCs w:val="22"/>
        </w:rPr>
        <w:t>visual impairment</w:t>
      </w:r>
    </w:p>
    <w:p w:rsidR="00C24699" w:rsidRPr="005F5A6B" w:rsidRDefault="00C24699" w:rsidP="00D35A54">
      <w:pPr>
        <w:pStyle w:val="Heading5"/>
      </w:pPr>
      <w:r w:rsidRPr="005F5A6B">
        <w:t xml:space="preserve">Gastrointestinal Disorders </w:t>
      </w:r>
    </w:p>
    <w:p w:rsidR="00C24699" w:rsidRPr="005F5A6B" w:rsidRDefault="00CD2E49" w:rsidP="00D71939">
      <w:pPr>
        <w:widowControl w:val="0"/>
        <w:autoSpaceDE w:val="0"/>
        <w:autoSpaceDN w:val="0"/>
        <w:adjustRightInd w:val="0"/>
        <w:spacing w:before="15" w:after="15"/>
        <w:jc w:val="both"/>
        <w:rPr>
          <w:rFonts w:ascii="Arial" w:hAnsi="Arial" w:cs="Arial"/>
          <w:i/>
          <w:sz w:val="22"/>
          <w:szCs w:val="22"/>
        </w:rPr>
      </w:pPr>
      <w:r>
        <w:rPr>
          <w:rFonts w:ascii="Arial" w:hAnsi="Arial" w:cs="Arial"/>
          <w:i/>
          <w:sz w:val="22"/>
          <w:szCs w:val="22"/>
        </w:rPr>
        <w:t>diarrh</w:t>
      </w:r>
      <w:r w:rsidR="001E78C2">
        <w:rPr>
          <w:rFonts w:ascii="Arial" w:hAnsi="Arial" w:cs="Arial"/>
          <w:i/>
          <w:sz w:val="22"/>
          <w:szCs w:val="22"/>
        </w:rPr>
        <w:t>o</w:t>
      </w:r>
      <w:r>
        <w:rPr>
          <w:rFonts w:ascii="Arial" w:hAnsi="Arial" w:cs="Arial"/>
          <w:i/>
          <w:sz w:val="22"/>
          <w:szCs w:val="22"/>
        </w:rPr>
        <w:t xml:space="preserve">ea, nausea, </w:t>
      </w:r>
      <w:r w:rsidR="00C24699" w:rsidRPr="005F5A6B">
        <w:rPr>
          <w:rFonts w:ascii="Arial" w:hAnsi="Arial" w:cs="Arial"/>
          <w:i/>
          <w:sz w:val="22"/>
          <w:szCs w:val="22"/>
        </w:rPr>
        <w:t xml:space="preserve">abdominal pain, abdominal distension, abdominal pain upper, </w:t>
      </w:r>
      <w:r w:rsidR="00B17E33">
        <w:rPr>
          <w:rFonts w:ascii="Arial" w:hAnsi="Arial" w:cs="Arial"/>
          <w:i/>
          <w:sz w:val="22"/>
          <w:szCs w:val="22"/>
        </w:rPr>
        <w:t xml:space="preserve">vomiting, </w:t>
      </w:r>
      <w:r w:rsidR="00C24699" w:rsidRPr="005F5A6B">
        <w:rPr>
          <w:rFonts w:ascii="Arial" w:hAnsi="Arial" w:cs="Arial"/>
          <w:i/>
          <w:sz w:val="22"/>
          <w:szCs w:val="22"/>
        </w:rPr>
        <w:t>constipation abdominal discomfort, dyspepsia, flatulence, gastritis</w:t>
      </w:r>
      <w:r>
        <w:rPr>
          <w:rFonts w:ascii="Arial" w:hAnsi="Arial" w:cs="Arial"/>
          <w:i/>
          <w:sz w:val="22"/>
          <w:szCs w:val="22"/>
        </w:rPr>
        <w:t xml:space="preserve"> </w:t>
      </w:r>
      <w:r w:rsidR="007536AD" w:rsidRPr="005F5A6B">
        <w:rPr>
          <w:rFonts w:ascii="Arial" w:hAnsi="Arial" w:cs="Arial"/>
          <w:i/>
          <w:sz w:val="22"/>
          <w:szCs w:val="22"/>
        </w:rPr>
        <w:t xml:space="preserve"> </w:t>
      </w:r>
      <w:r w:rsidR="0056219E" w:rsidRPr="005F5A6B">
        <w:rPr>
          <w:rFonts w:ascii="Arial" w:hAnsi="Arial" w:cs="Arial"/>
          <w:i/>
          <w:sz w:val="22"/>
          <w:szCs w:val="22"/>
        </w:rPr>
        <w:t>gastroesophageal reflux disease</w:t>
      </w:r>
      <w:r w:rsidR="00817632" w:rsidRPr="005F5A6B">
        <w:rPr>
          <w:rFonts w:ascii="Arial" w:hAnsi="Arial" w:cs="Arial"/>
          <w:i/>
          <w:sz w:val="22"/>
          <w:szCs w:val="22"/>
        </w:rPr>
        <w:t>, dry mouth</w:t>
      </w:r>
      <w:r w:rsidR="00B17E33">
        <w:rPr>
          <w:rFonts w:ascii="Arial" w:hAnsi="Arial" w:cs="Arial"/>
          <w:i/>
          <w:sz w:val="22"/>
          <w:szCs w:val="22"/>
        </w:rPr>
        <w:t>, eructation</w:t>
      </w:r>
    </w:p>
    <w:p w:rsidR="00C24699" w:rsidRPr="005F5A6B" w:rsidRDefault="00C24699" w:rsidP="00D35A54">
      <w:pPr>
        <w:pStyle w:val="Heading5"/>
      </w:pPr>
      <w:r w:rsidRPr="005F5A6B">
        <w:t>General Disorders and Administration Site Conditions</w:t>
      </w:r>
    </w:p>
    <w:p w:rsidR="00C24699" w:rsidRPr="007C3E3E" w:rsidRDefault="00C24699" w:rsidP="00D71939">
      <w:pPr>
        <w:widowControl w:val="0"/>
        <w:autoSpaceDE w:val="0"/>
        <w:autoSpaceDN w:val="0"/>
        <w:adjustRightInd w:val="0"/>
        <w:spacing w:before="15" w:after="15"/>
        <w:jc w:val="both"/>
        <w:rPr>
          <w:rFonts w:ascii="Arial" w:hAnsi="Arial" w:cs="Arial"/>
          <w:i/>
          <w:sz w:val="22"/>
          <w:szCs w:val="22"/>
          <w:lang w:val="pt-BR"/>
        </w:rPr>
      </w:pPr>
      <w:r w:rsidRPr="007C3E3E">
        <w:rPr>
          <w:rFonts w:ascii="Arial" w:hAnsi="Arial" w:cs="Arial"/>
          <w:i/>
          <w:sz w:val="22"/>
          <w:szCs w:val="22"/>
          <w:lang w:val="pt-BR"/>
        </w:rPr>
        <w:t xml:space="preserve">asthenia, fatigue, pyrexia,  chills, </w:t>
      </w:r>
      <w:r w:rsidR="00817632" w:rsidRPr="007C3E3E">
        <w:rPr>
          <w:rFonts w:ascii="Arial" w:hAnsi="Arial" w:cs="Arial"/>
          <w:i/>
          <w:sz w:val="22"/>
          <w:szCs w:val="22"/>
          <w:lang w:val="pt-BR"/>
        </w:rPr>
        <w:t xml:space="preserve"> face oedema, </w:t>
      </w:r>
      <w:r w:rsidR="009659C9" w:rsidRPr="007C3E3E">
        <w:rPr>
          <w:rFonts w:ascii="Arial" w:hAnsi="Arial" w:cs="Arial"/>
          <w:i/>
          <w:sz w:val="22"/>
          <w:szCs w:val="22"/>
          <w:lang w:val="pt-BR"/>
        </w:rPr>
        <w:t>peripheral oedema</w:t>
      </w:r>
    </w:p>
    <w:p w:rsidR="00C24699" w:rsidRPr="00D66CD0" w:rsidRDefault="00C24699" w:rsidP="00D35A54">
      <w:pPr>
        <w:pStyle w:val="Heading5"/>
      </w:pPr>
      <w:r w:rsidRPr="00D66CD0">
        <w:t>Hepatobiliary Disorders</w:t>
      </w:r>
    </w:p>
    <w:p w:rsidR="00C24699" w:rsidRPr="00D66CD0" w:rsidRDefault="00C24699" w:rsidP="00C24699">
      <w:pPr>
        <w:widowControl w:val="0"/>
        <w:autoSpaceDE w:val="0"/>
        <w:autoSpaceDN w:val="0"/>
        <w:adjustRightInd w:val="0"/>
        <w:spacing w:before="15" w:after="15"/>
        <w:jc w:val="both"/>
        <w:rPr>
          <w:rFonts w:ascii="Arial" w:hAnsi="Arial" w:cs="Arial"/>
          <w:i/>
          <w:sz w:val="22"/>
          <w:szCs w:val="22"/>
        </w:rPr>
      </w:pPr>
      <w:r w:rsidRPr="00D66CD0">
        <w:rPr>
          <w:rFonts w:ascii="Arial" w:hAnsi="Arial" w:cs="Arial"/>
          <w:i/>
          <w:sz w:val="22"/>
          <w:szCs w:val="22"/>
        </w:rPr>
        <w:t xml:space="preserve">hepatitis </w:t>
      </w:r>
      <w:r w:rsidR="00CD2E49">
        <w:rPr>
          <w:rFonts w:ascii="Arial" w:hAnsi="Arial" w:cs="Arial"/>
          <w:i/>
          <w:sz w:val="22"/>
          <w:szCs w:val="22"/>
        </w:rPr>
        <w:t xml:space="preserve"> </w:t>
      </w:r>
    </w:p>
    <w:p w:rsidR="00C24699" w:rsidRPr="00D66CD0" w:rsidRDefault="00C24699" w:rsidP="00D35A54">
      <w:pPr>
        <w:pStyle w:val="Heading5"/>
      </w:pPr>
      <w:r w:rsidRPr="00D66CD0">
        <w:t>Immune System Disorders</w:t>
      </w:r>
    </w:p>
    <w:p w:rsidR="00C24699" w:rsidRPr="00D66CD0" w:rsidRDefault="00C24699" w:rsidP="00C24699">
      <w:pPr>
        <w:widowControl w:val="0"/>
        <w:autoSpaceDE w:val="0"/>
        <w:autoSpaceDN w:val="0"/>
        <w:adjustRightInd w:val="0"/>
        <w:spacing w:before="15" w:after="15"/>
        <w:jc w:val="both"/>
        <w:rPr>
          <w:rFonts w:ascii="Arial" w:hAnsi="Arial" w:cs="Arial"/>
          <w:i/>
          <w:sz w:val="22"/>
          <w:szCs w:val="22"/>
        </w:rPr>
      </w:pPr>
      <w:r w:rsidRPr="00D66CD0">
        <w:rPr>
          <w:rFonts w:ascii="Arial" w:hAnsi="Arial" w:cs="Arial"/>
          <w:i/>
          <w:sz w:val="22"/>
          <w:szCs w:val="22"/>
        </w:rPr>
        <w:t xml:space="preserve">drug hypersensitivity </w:t>
      </w:r>
      <w:r w:rsidR="00CD2E49">
        <w:rPr>
          <w:rFonts w:ascii="Arial" w:hAnsi="Arial" w:cs="Arial"/>
          <w:i/>
          <w:sz w:val="22"/>
          <w:szCs w:val="22"/>
        </w:rPr>
        <w:t xml:space="preserve"> </w:t>
      </w:r>
    </w:p>
    <w:p w:rsidR="00C24699" w:rsidRPr="00D66CD0" w:rsidRDefault="00C24699" w:rsidP="00D35A54">
      <w:pPr>
        <w:pStyle w:val="Heading5"/>
      </w:pPr>
      <w:r w:rsidRPr="00D66CD0">
        <w:t>Infections and Infestations</w:t>
      </w:r>
    </w:p>
    <w:p w:rsidR="00C24699" w:rsidRPr="007C3E3E" w:rsidRDefault="00C24699" w:rsidP="005A7D10">
      <w:pPr>
        <w:widowControl w:val="0"/>
        <w:autoSpaceDE w:val="0"/>
        <w:autoSpaceDN w:val="0"/>
        <w:adjustRightInd w:val="0"/>
        <w:spacing w:before="15" w:after="15"/>
        <w:jc w:val="both"/>
        <w:rPr>
          <w:rFonts w:ascii="Arial" w:hAnsi="Arial" w:cs="Arial"/>
          <w:i/>
          <w:sz w:val="22"/>
          <w:szCs w:val="22"/>
          <w:lang w:val="pt-BR"/>
        </w:rPr>
      </w:pPr>
      <w:r w:rsidRPr="007C3E3E">
        <w:rPr>
          <w:rFonts w:ascii="Arial" w:hAnsi="Arial" w:cs="Arial"/>
          <w:i/>
          <w:sz w:val="22"/>
          <w:szCs w:val="22"/>
          <w:lang w:val="pt-BR"/>
        </w:rPr>
        <w:t>herpes simplex,</w:t>
      </w:r>
      <w:r w:rsidR="001A7BF9" w:rsidRPr="007C3E3E">
        <w:rPr>
          <w:rFonts w:ascii="Arial" w:hAnsi="Arial" w:cs="Arial"/>
          <w:i/>
          <w:sz w:val="22"/>
          <w:szCs w:val="22"/>
          <w:lang w:val="pt-BR"/>
        </w:rPr>
        <w:t xml:space="preserve"> </w:t>
      </w:r>
      <w:r w:rsidR="00817632" w:rsidRPr="007C3E3E">
        <w:rPr>
          <w:rFonts w:ascii="Arial" w:hAnsi="Arial" w:cs="Arial"/>
          <w:i/>
          <w:sz w:val="22"/>
          <w:szCs w:val="22"/>
          <w:lang w:val="pt-BR"/>
        </w:rPr>
        <w:t>genital herpes</w:t>
      </w:r>
      <w:r w:rsidR="009659C9" w:rsidRPr="007C3E3E">
        <w:rPr>
          <w:rFonts w:ascii="Arial" w:hAnsi="Arial" w:cs="Arial"/>
          <w:i/>
          <w:sz w:val="22"/>
          <w:szCs w:val="22"/>
          <w:lang w:val="pt-BR"/>
        </w:rPr>
        <w:t>, gastroenteritis</w:t>
      </w:r>
      <w:r w:rsidR="00BC2470" w:rsidRPr="007C3E3E">
        <w:rPr>
          <w:rFonts w:ascii="Arial" w:hAnsi="Arial" w:cs="Arial"/>
          <w:i/>
          <w:sz w:val="22"/>
          <w:szCs w:val="22"/>
          <w:lang w:val="pt-BR"/>
        </w:rPr>
        <w:t xml:space="preserve"> </w:t>
      </w:r>
    </w:p>
    <w:p w:rsidR="00C24699" w:rsidRPr="007C3E3E" w:rsidRDefault="00C24699" w:rsidP="00D35A54">
      <w:pPr>
        <w:pStyle w:val="Heading5"/>
        <w:rPr>
          <w:lang w:val="pt-BR"/>
        </w:rPr>
      </w:pPr>
      <w:r w:rsidRPr="007C3E3E">
        <w:rPr>
          <w:lang w:val="pt-BR"/>
        </w:rPr>
        <w:lastRenderedPageBreak/>
        <w:t>Investigations</w:t>
      </w:r>
    </w:p>
    <w:p w:rsidR="00D71939" w:rsidRDefault="00D71939" w:rsidP="00D71939">
      <w:pPr>
        <w:rPr>
          <w:rFonts w:ascii="Arial" w:hAnsi="Arial" w:cs="Arial"/>
          <w:i/>
          <w:sz w:val="22"/>
          <w:szCs w:val="22"/>
          <w:lang w:val="en-AU"/>
        </w:rPr>
      </w:pPr>
      <w:r>
        <w:rPr>
          <w:rFonts w:ascii="Arial" w:hAnsi="Arial" w:cs="Arial"/>
          <w:i/>
          <w:sz w:val="22"/>
          <w:szCs w:val="22"/>
          <w:lang w:val="en-AU"/>
        </w:rPr>
        <w:t>w</w:t>
      </w:r>
      <w:r w:rsidRPr="00D71939">
        <w:rPr>
          <w:rFonts w:ascii="Arial" w:hAnsi="Arial" w:cs="Arial"/>
          <w:i/>
          <w:sz w:val="22"/>
          <w:szCs w:val="22"/>
          <w:lang w:val="en-AU"/>
        </w:rPr>
        <w:t>eight decreased, weight increased</w:t>
      </w:r>
    </w:p>
    <w:p w:rsidR="00C24699" w:rsidRPr="00D66CD0" w:rsidRDefault="00C24699" w:rsidP="00D35A54">
      <w:pPr>
        <w:pStyle w:val="Heading5"/>
      </w:pPr>
      <w:r w:rsidRPr="00D66CD0">
        <w:t>Metabolism and Nutrition Disorders</w:t>
      </w:r>
    </w:p>
    <w:p w:rsidR="00C24699" w:rsidRPr="00D66CD0" w:rsidRDefault="00C24699" w:rsidP="00DF55AF">
      <w:pPr>
        <w:widowControl w:val="0"/>
        <w:tabs>
          <w:tab w:val="left" w:pos="1320"/>
        </w:tabs>
        <w:autoSpaceDE w:val="0"/>
        <w:autoSpaceDN w:val="0"/>
        <w:adjustRightInd w:val="0"/>
        <w:spacing w:before="15" w:after="15"/>
        <w:jc w:val="both"/>
        <w:rPr>
          <w:rFonts w:ascii="Arial" w:hAnsi="Arial" w:cs="Arial"/>
          <w:b/>
          <w:bCs/>
          <w:i/>
          <w:sz w:val="22"/>
          <w:szCs w:val="22"/>
        </w:rPr>
      </w:pPr>
      <w:r w:rsidRPr="00D66CD0">
        <w:rPr>
          <w:rFonts w:ascii="Arial" w:hAnsi="Arial" w:cs="Arial"/>
          <w:i/>
          <w:sz w:val="22"/>
          <w:szCs w:val="22"/>
        </w:rPr>
        <w:t>diabetes mellitus,  dyslipidaemia,</w:t>
      </w:r>
      <w:r w:rsidR="00286AB4">
        <w:rPr>
          <w:rFonts w:ascii="Arial" w:hAnsi="Arial" w:cs="Arial"/>
          <w:i/>
          <w:sz w:val="22"/>
          <w:szCs w:val="22"/>
        </w:rPr>
        <w:t xml:space="preserve"> </w:t>
      </w:r>
      <w:r w:rsidRPr="00D66CD0">
        <w:rPr>
          <w:rFonts w:ascii="Arial" w:hAnsi="Arial" w:cs="Arial"/>
          <w:i/>
          <w:sz w:val="22"/>
          <w:szCs w:val="22"/>
        </w:rPr>
        <w:t>increased appetite</w:t>
      </w:r>
      <w:r w:rsidR="0056219E">
        <w:rPr>
          <w:rFonts w:ascii="Arial" w:hAnsi="Arial" w:cs="Arial"/>
          <w:i/>
          <w:sz w:val="22"/>
          <w:szCs w:val="22"/>
        </w:rPr>
        <w:t xml:space="preserve">, </w:t>
      </w:r>
      <w:r w:rsidR="00530859">
        <w:rPr>
          <w:rFonts w:ascii="Arial" w:hAnsi="Arial" w:cs="Arial"/>
          <w:i/>
          <w:sz w:val="22"/>
          <w:szCs w:val="22"/>
        </w:rPr>
        <w:t>decreased appetite</w:t>
      </w:r>
      <w:r w:rsidR="00CD2E49">
        <w:rPr>
          <w:rFonts w:ascii="Arial" w:hAnsi="Arial" w:cs="Arial"/>
          <w:i/>
          <w:sz w:val="22"/>
          <w:szCs w:val="22"/>
        </w:rPr>
        <w:t xml:space="preserve">  </w:t>
      </w:r>
    </w:p>
    <w:p w:rsidR="00C24699" w:rsidRPr="00D66CD0" w:rsidRDefault="00C24699" w:rsidP="00D35A54">
      <w:pPr>
        <w:pStyle w:val="Heading5"/>
      </w:pPr>
      <w:r w:rsidRPr="00D66CD0">
        <w:t>Musculoskeletal and Connective Tissue Disorders</w:t>
      </w:r>
    </w:p>
    <w:p w:rsidR="00C24699" w:rsidRPr="00D66CD0" w:rsidRDefault="00C24699" w:rsidP="00D71939">
      <w:pPr>
        <w:widowControl w:val="0"/>
        <w:autoSpaceDE w:val="0"/>
        <w:autoSpaceDN w:val="0"/>
        <w:adjustRightInd w:val="0"/>
        <w:spacing w:before="15" w:after="15"/>
        <w:jc w:val="both"/>
        <w:rPr>
          <w:rFonts w:ascii="Arial" w:hAnsi="Arial" w:cs="Arial"/>
          <w:i/>
          <w:sz w:val="22"/>
          <w:szCs w:val="22"/>
        </w:rPr>
      </w:pPr>
      <w:r w:rsidRPr="00D66CD0">
        <w:rPr>
          <w:rFonts w:ascii="Arial" w:hAnsi="Arial" w:cs="Arial"/>
          <w:i/>
          <w:sz w:val="22"/>
          <w:szCs w:val="22"/>
        </w:rPr>
        <w:t xml:space="preserve">arthralgia, </w:t>
      </w:r>
      <w:r w:rsidR="0056219E">
        <w:rPr>
          <w:rFonts w:ascii="Arial" w:hAnsi="Arial" w:cs="Arial"/>
          <w:i/>
          <w:sz w:val="22"/>
          <w:szCs w:val="22"/>
        </w:rPr>
        <w:t xml:space="preserve">myalgia, </w:t>
      </w:r>
      <w:r w:rsidRPr="00D66CD0">
        <w:rPr>
          <w:rFonts w:ascii="Arial" w:hAnsi="Arial" w:cs="Arial"/>
          <w:i/>
          <w:sz w:val="22"/>
          <w:szCs w:val="22"/>
        </w:rPr>
        <w:t xml:space="preserve"> back pain, musculoskeletal pain, </w:t>
      </w:r>
      <w:r w:rsidR="00530859">
        <w:rPr>
          <w:rFonts w:ascii="Arial" w:hAnsi="Arial" w:cs="Arial"/>
          <w:i/>
          <w:sz w:val="22"/>
          <w:szCs w:val="22"/>
        </w:rPr>
        <w:t>osteoporosis</w:t>
      </w:r>
      <w:r w:rsidR="009659C9">
        <w:rPr>
          <w:rFonts w:ascii="Arial" w:hAnsi="Arial" w:cs="Arial"/>
          <w:i/>
          <w:sz w:val="22"/>
          <w:szCs w:val="22"/>
        </w:rPr>
        <w:t>, polyarthritis</w:t>
      </w:r>
      <w:r w:rsidR="00265105">
        <w:rPr>
          <w:rFonts w:ascii="Arial" w:hAnsi="Arial" w:cs="Arial"/>
          <w:i/>
          <w:sz w:val="22"/>
          <w:szCs w:val="22"/>
        </w:rPr>
        <w:t xml:space="preserve"> </w:t>
      </w:r>
    </w:p>
    <w:p w:rsidR="00C24699" w:rsidRPr="00D66CD0" w:rsidRDefault="00C24699" w:rsidP="00D35A54">
      <w:pPr>
        <w:pStyle w:val="Heading5"/>
      </w:pPr>
      <w:r w:rsidRPr="00D66CD0">
        <w:t>Nervous System Disorders</w:t>
      </w:r>
    </w:p>
    <w:p w:rsidR="00D71939" w:rsidRDefault="00C24699" w:rsidP="00D71939">
      <w:pPr>
        <w:widowControl w:val="0"/>
        <w:autoSpaceDE w:val="0"/>
        <w:autoSpaceDN w:val="0"/>
        <w:adjustRightInd w:val="0"/>
        <w:spacing w:before="15" w:after="15"/>
        <w:ind w:left="1440" w:hanging="1440"/>
        <w:rPr>
          <w:rFonts w:ascii="Arial" w:hAnsi="Arial" w:cs="Arial"/>
          <w:sz w:val="22"/>
          <w:szCs w:val="22"/>
        </w:rPr>
      </w:pPr>
      <w:r w:rsidRPr="00D66CD0">
        <w:rPr>
          <w:rFonts w:ascii="Arial" w:hAnsi="Arial" w:cs="Arial"/>
          <w:i/>
          <w:sz w:val="22"/>
          <w:szCs w:val="22"/>
        </w:rPr>
        <w:t>dizziness</w:t>
      </w:r>
      <w:r>
        <w:rPr>
          <w:rFonts w:ascii="Arial" w:hAnsi="Arial" w:cs="Arial"/>
          <w:i/>
          <w:sz w:val="22"/>
          <w:szCs w:val="22"/>
        </w:rPr>
        <w:t xml:space="preserve">, </w:t>
      </w:r>
      <w:r w:rsidRPr="00D66CD0">
        <w:rPr>
          <w:rFonts w:ascii="Arial" w:hAnsi="Arial" w:cs="Arial"/>
          <w:i/>
          <w:sz w:val="22"/>
          <w:szCs w:val="22"/>
        </w:rPr>
        <w:t xml:space="preserve">neuropathy peripheral, </w:t>
      </w:r>
      <w:r w:rsidR="00265105">
        <w:rPr>
          <w:rFonts w:ascii="Arial" w:hAnsi="Arial" w:cs="Arial"/>
          <w:i/>
          <w:sz w:val="22"/>
          <w:szCs w:val="22"/>
        </w:rPr>
        <w:t xml:space="preserve"> </w:t>
      </w:r>
      <w:r w:rsidRPr="00D66CD0">
        <w:rPr>
          <w:rFonts w:ascii="Arial" w:hAnsi="Arial" w:cs="Arial"/>
          <w:i/>
          <w:sz w:val="22"/>
          <w:szCs w:val="22"/>
        </w:rPr>
        <w:t xml:space="preserve"> paraesthesia</w:t>
      </w:r>
      <w:r w:rsidR="000D3E3E">
        <w:rPr>
          <w:rFonts w:ascii="Arial" w:hAnsi="Arial" w:cs="Arial"/>
          <w:sz w:val="22"/>
          <w:szCs w:val="22"/>
        </w:rPr>
        <w:t xml:space="preserve">, </w:t>
      </w:r>
    </w:p>
    <w:p w:rsidR="00C24699" w:rsidRPr="000D3E3E" w:rsidRDefault="00C24699" w:rsidP="00D71939">
      <w:pPr>
        <w:widowControl w:val="0"/>
        <w:autoSpaceDE w:val="0"/>
        <w:autoSpaceDN w:val="0"/>
        <w:adjustRightInd w:val="0"/>
        <w:spacing w:before="15" w:after="15"/>
        <w:ind w:left="1440" w:hanging="1440"/>
        <w:rPr>
          <w:rFonts w:ascii="Arial" w:hAnsi="Arial" w:cs="Arial"/>
          <w:sz w:val="22"/>
          <w:szCs w:val="22"/>
        </w:rPr>
      </w:pPr>
      <w:r w:rsidRPr="00D66CD0">
        <w:rPr>
          <w:rFonts w:ascii="Arial" w:hAnsi="Arial" w:cs="Arial"/>
          <w:i/>
          <w:sz w:val="22"/>
          <w:szCs w:val="22"/>
        </w:rPr>
        <w:t>somnolence, tension headache</w:t>
      </w:r>
      <w:r w:rsidR="00530859">
        <w:rPr>
          <w:rFonts w:ascii="Arial" w:hAnsi="Arial" w:cs="Arial"/>
          <w:i/>
          <w:sz w:val="22"/>
          <w:szCs w:val="22"/>
        </w:rPr>
        <w:t>, tremor</w:t>
      </w:r>
      <w:r w:rsidR="00265105">
        <w:rPr>
          <w:rFonts w:ascii="Arial" w:hAnsi="Arial" w:cs="Arial"/>
          <w:i/>
          <w:sz w:val="22"/>
          <w:szCs w:val="22"/>
        </w:rPr>
        <w:t xml:space="preserve"> </w:t>
      </w:r>
    </w:p>
    <w:p w:rsidR="00C24699" w:rsidRDefault="00C24699" w:rsidP="00D35A54">
      <w:pPr>
        <w:pStyle w:val="Heading5"/>
      </w:pPr>
      <w:r w:rsidRPr="00D66CD0">
        <w:t xml:space="preserve">Psychiatric disorders </w:t>
      </w:r>
    </w:p>
    <w:p w:rsidR="00C24699" w:rsidRPr="00D66CD0" w:rsidRDefault="00C24699" w:rsidP="001A2C93">
      <w:pPr>
        <w:widowControl w:val="0"/>
        <w:autoSpaceDE w:val="0"/>
        <w:autoSpaceDN w:val="0"/>
        <w:adjustRightInd w:val="0"/>
        <w:spacing w:before="15" w:after="15"/>
        <w:jc w:val="both"/>
        <w:rPr>
          <w:rFonts w:ascii="Arial" w:hAnsi="Arial" w:cs="Arial"/>
          <w:i/>
          <w:sz w:val="22"/>
          <w:szCs w:val="22"/>
        </w:rPr>
      </w:pPr>
      <w:r w:rsidRPr="00D66CD0">
        <w:rPr>
          <w:rFonts w:ascii="Arial" w:hAnsi="Arial" w:cs="Arial"/>
          <w:i/>
          <w:sz w:val="22"/>
          <w:szCs w:val="22"/>
        </w:rPr>
        <w:t xml:space="preserve">depression, insomnia,  anxiety </w:t>
      </w:r>
    </w:p>
    <w:p w:rsidR="00C24699" w:rsidRPr="00D66CD0" w:rsidRDefault="00C24699" w:rsidP="00D35A54">
      <w:pPr>
        <w:pStyle w:val="Heading5"/>
      </w:pPr>
      <w:r w:rsidRPr="00D66CD0">
        <w:t>Renal and urinary disorders</w:t>
      </w:r>
    </w:p>
    <w:p w:rsidR="00C24699" w:rsidRPr="00D66CD0" w:rsidRDefault="00270FBF" w:rsidP="00DF55AF">
      <w:pPr>
        <w:widowControl w:val="0"/>
        <w:autoSpaceDE w:val="0"/>
        <w:autoSpaceDN w:val="0"/>
        <w:adjustRightInd w:val="0"/>
        <w:spacing w:before="15" w:after="15"/>
        <w:ind w:left="1440" w:hanging="1440"/>
        <w:jc w:val="both"/>
        <w:rPr>
          <w:rFonts w:ascii="Arial" w:hAnsi="Arial" w:cs="Arial"/>
          <w:i/>
          <w:sz w:val="22"/>
          <w:szCs w:val="22"/>
        </w:rPr>
      </w:pPr>
      <w:r>
        <w:rPr>
          <w:rFonts w:ascii="Arial" w:hAnsi="Arial" w:cs="Arial"/>
          <w:i/>
          <w:sz w:val="22"/>
          <w:szCs w:val="22"/>
        </w:rPr>
        <w:t xml:space="preserve">nephritis, nephrolithiasis, </w:t>
      </w:r>
      <w:r w:rsidR="00C24699" w:rsidRPr="00D66CD0">
        <w:rPr>
          <w:rFonts w:ascii="Arial" w:hAnsi="Arial" w:cs="Arial"/>
          <w:i/>
          <w:sz w:val="22"/>
          <w:szCs w:val="22"/>
        </w:rPr>
        <w:t>nocturia, renal failure,</w:t>
      </w:r>
      <w:r w:rsidR="00D13AD3">
        <w:rPr>
          <w:rFonts w:ascii="Arial" w:hAnsi="Arial" w:cs="Arial"/>
          <w:i/>
          <w:sz w:val="22"/>
          <w:szCs w:val="22"/>
        </w:rPr>
        <w:t xml:space="preserve"> </w:t>
      </w:r>
      <w:r w:rsidR="00B17E33">
        <w:rPr>
          <w:rFonts w:ascii="Arial" w:hAnsi="Arial" w:cs="Arial"/>
          <w:i/>
          <w:sz w:val="22"/>
          <w:szCs w:val="22"/>
        </w:rPr>
        <w:t>tubulointerstitial nephritis</w:t>
      </w:r>
      <w:r w:rsidR="0056219E">
        <w:rPr>
          <w:rFonts w:ascii="Arial" w:hAnsi="Arial" w:cs="Arial"/>
          <w:i/>
          <w:sz w:val="22"/>
          <w:szCs w:val="22"/>
        </w:rPr>
        <w:t xml:space="preserve"> </w:t>
      </w:r>
    </w:p>
    <w:p w:rsidR="00C24699" w:rsidRPr="00D66CD0" w:rsidRDefault="00C24699" w:rsidP="00D35A54">
      <w:pPr>
        <w:pStyle w:val="Heading5"/>
      </w:pPr>
      <w:r w:rsidRPr="00D66CD0">
        <w:t>Reproductive System and Breast Disorders</w:t>
      </w:r>
    </w:p>
    <w:p w:rsidR="00C24699" w:rsidRPr="00D66CD0" w:rsidRDefault="00C24699" w:rsidP="00C24699">
      <w:pPr>
        <w:widowControl w:val="0"/>
        <w:autoSpaceDE w:val="0"/>
        <w:autoSpaceDN w:val="0"/>
        <w:adjustRightInd w:val="0"/>
        <w:spacing w:before="15" w:after="15"/>
        <w:jc w:val="both"/>
        <w:rPr>
          <w:rFonts w:ascii="Arial" w:hAnsi="Arial" w:cs="Arial"/>
          <w:i/>
          <w:sz w:val="22"/>
          <w:szCs w:val="22"/>
        </w:rPr>
      </w:pPr>
      <w:r w:rsidRPr="00D66CD0">
        <w:rPr>
          <w:rFonts w:ascii="Arial" w:hAnsi="Arial" w:cs="Arial"/>
          <w:i/>
          <w:sz w:val="22"/>
          <w:szCs w:val="22"/>
        </w:rPr>
        <w:t>gynaecomastia</w:t>
      </w:r>
    </w:p>
    <w:p w:rsidR="00C24699" w:rsidRPr="00D66CD0" w:rsidRDefault="00C24699" w:rsidP="00D35A54">
      <w:pPr>
        <w:pStyle w:val="Heading5"/>
      </w:pPr>
      <w:r w:rsidRPr="00D66CD0">
        <w:t>Respiratory, Thoracic and Mediastinal Disorders</w:t>
      </w:r>
    </w:p>
    <w:p w:rsidR="00C24699" w:rsidRPr="003F2ECF" w:rsidRDefault="00C24699" w:rsidP="00D71939">
      <w:pPr>
        <w:autoSpaceDE w:val="0"/>
        <w:autoSpaceDN w:val="0"/>
        <w:adjustRightInd w:val="0"/>
        <w:rPr>
          <w:rFonts w:ascii="Arial" w:eastAsia="MS Mincho" w:hAnsi="Arial" w:cs="Arial"/>
          <w:sz w:val="20"/>
          <w:lang w:eastAsia="ja-JP"/>
        </w:rPr>
      </w:pPr>
      <w:r w:rsidRPr="003F2ECF">
        <w:rPr>
          <w:rFonts w:ascii="Arial" w:hAnsi="Arial" w:cs="Arial"/>
          <w:i/>
          <w:sz w:val="22"/>
          <w:szCs w:val="22"/>
        </w:rPr>
        <w:t>epistaxis</w:t>
      </w:r>
    </w:p>
    <w:p w:rsidR="00C24699" w:rsidRPr="00D66CD0" w:rsidRDefault="00C24699" w:rsidP="00D35A54">
      <w:pPr>
        <w:pStyle w:val="Heading5"/>
      </w:pPr>
      <w:r w:rsidRPr="00D66CD0">
        <w:t>Skin and Subcutaneous Tissue Disorders</w:t>
      </w:r>
    </w:p>
    <w:p w:rsidR="00C24699" w:rsidRPr="00D66CD0" w:rsidRDefault="00C24699" w:rsidP="00D71939">
      <w:pPr>
        <w:widowControl w:val="0"/>
        <w:autoSpaceDE w:val="0"/>
        <w:autoSpaceDN w:val="0"/>
        <w:adjustRightInd w:val="0"/>
        <w:spacing w:before="15" w:after="15"/>
        <w:rPr>
          <w:rFonts w:ascii="Arial" w:hAnsi="Arial" w:cs="Arial"/>
          <w:i/>
          <w:sz w:val="22"/>
          <w:szCs w:val="22"/>
        </w:rPr>
      </w:pPr>
      <w:r w:rsidRPr="00D66CD0">
        <w:rPr>
          <w:rFonts w:ascii="Arial" w:hAnsi="Arial" w:cs="Arial"/>
          <w:i/>
          <w:sz w:val="22"/>
          <w:szCs w:val="22"/>
        </w:rPr>
        <w:t>lipodystrophy acquired, rash, hyperhidrosis, dermatitis acneiform, erythema,</w:t>
      </w:r>
      <w:r w:rsidR="00265105">
        <w:rPr>
          <w:rFonts w:ascii="Arial" w:hAnsi="Arial" w:cs="Arial"/>
          <w:i/>
          <w:sz w:val="22"/>
          <w:szCs w:val="22"/>
        </w:rPr>
        <w:t xml:space="preserve"> </w:t>
      </w:r>
      <w:r w:rsidR="00270FBF">
        <w:rPr>
          <w:rFonts w:ascii="Arial" w:hAnsi="Arial" w:cs="Arial"/>
          <w:i/>
          <w:sz w:val="22"/>
          <w:szCs w:val="22"/>
        </w:rPr>
        <w:t>lipohypertrophy,</w:t>
      </w:r>
      <w:r w:rsidRPr="00D66CD0">
        <w:rPr>
          <w:rFonts w:ascii="Arial" w:hAnsi="Arial" w:cs="Arial"/>
          <w:i/>
          <w:sz w:val="22"/>
          <w:szCs w:val="22"/>
        </w:rPr>
        <w:t xml:space="preserve"> night sweats, rash macular, rash maculopapular,</w:t>
      </w:r>
      <w:r w:rsidR="00270FBF">
        <w:rPr>
          <w:rFonts w:ascii="Arial" w:hAnsi="Arial" w:cs="Arial"/>
          <w:i/>
          <w:sz w:val="22"/>
          <w:szCs w:val="22"/>
        </w:rPr>
        <w:t xml:space="preserve"> rash pruritic</w:t>
      </w:r>
      <w:r w:rsidR="00BC2470">
        <w:rPr>
          <w:rFonts w:ascii="Arial" w:hAnsi="Arial" w:cs="Arial"/>
          <w:i/>
          <w:sz w:val="22"/>
          <w:szCs w:val="22"/>
        </w:rPr>
        <w:t xml:space="preserve"> </w:t>
      </w:r>
      <w:r w:rsidRPr="00D66CD0">
        <w:rPr>
          <w:rFonts w:ascii="Arial" w:hAnsi="Arial" w:cs="Arial"/>
          <w:i/>
          <w:sz w:val="22"/>
          <w:szCs w:val="22"/>
        </w:rPr>
        <w:t>, xeroderma</w:t>
      </w:r>
      <w:r w:rsidR="0056219E">
        <w:rPr>
          <w:rFonts w:ascii="Arial" w:hAnsi="Arial" w:cs="Arial"/>
          <w:i/>
          <w:sz w:val="22"/>
          <w:szCs w:val="22"/>
        </w:rPr>
        <w:t>, prurigo</w:t>
      </w:r>
      <w:r w:rsidR="00270FBF">
        <w:rPr>
          <w:rFonts w:ascii="Arial" w:hAnsi="Arial" w:cs="Arial"/>
          <w:i/>
          <w:sz w:val="22"/>
          <w:szCs w:val="22"/>
        </w:rPr>
        <w:t xml:space="preserve">, </w:t>
      </w:r>
      <w:r w:rsidR="009659C9">
        <w:rPr>
          <w:rFonts w:ascii="Arial" w:hAnsi="Arial" w:cs="Arial"/>
          <w:i/>
          <w:sz w:val="22"/>
          <w:szCs w:val="22"/>
        </w:rPr>
        <w:t>lipoatrophy, pruritis</w:t>
      </w:r>
      <w:r w:rsidR="00265105">
        <w:rPr>
          <w:rFonts w:ascii="Arial" w:hAnsi="Arial" w:cs="Arial"/>
          <w:i/>
          <w:sz w:val="22"/>
          <w:szCs w:val="22"/>
        </w:rPr>
        <w:t xml:space="preserve"> </w:t>
      </w:r>
    </w:p>
    <w:p w:rsidR="00C24699" w:rsidRDefault="00C24699" w:rsidP="00D35A54">
      <w:pPr>
        <w:pStyle w:val="Heading5"/>
      </w:pPr>
      <w:r>
        <w:t>Discontinuations</w:t>
      </w:r>
    </w:p>
    <w:p w:rsidR="00C24699" w:rsidRDefault="00C24699" w:rsidP="00C24699">
      <w:pPr>
        <w:jc w:val="both"/>
        <w:rPr>
          <w:rFonts w:ascii="Arial" w:hAnsi="Arial" w:cs="Arial"/>
          <w:sz w:val="22"/>
          <w:szCs w:val="22"/>
        </w:rPr>
      </w:pPr>
      <w:r>
        <w:rPr>
          <w:rFonts w:ascii="Arial" w:hAnsi="Arial" w:cs="Arial"/>
          <w:sz w:val="22"/>
          <w:szCs w:val="22"/>
        </w:rPr>
        <w:t xml:space="preserve">In the pooled analyses for studies P018 and P019, the rates of discontinuation of therapy due to adverse experiences </w:t>
      </w:r>
      <w:r w:rsidR="006034B4" w:rsidRPr="00376019">
        <w:rPr>
          <w:rFonts w:ascii="Arial" w:hAnsi="Arial" w:cs="Arial"/>
          <w:sz w:val="22"/>
          <w:szCs w:val="22"/>
        </w:rPr>
        <w:t xml:space="preserve">(clinical and laboratory) </w:t>
      </w:r>
      <w:r w:rsidRPr="00376019">
        <w:rPr>
          <w:rFonts w:ascii="Arial" w:hAnsi="Arial" w:cs="Arial"/>
          <w:sz w:val="22"/>
          <w:szCs w:val="22"/>
        </w:rPr>
        <w:t xml:space="preserve">were </w:t>
      </w:r>
      <w:r w:rsidR="006034B4" w:rsidRPr="00376019">
        <w:rPr>
          <w:rFonts w:ascii="Arial" w:hAnsi="Arial" w:cs="Arial"/>
          <w:sz w:val="22"/>
          <w:szCs w:val="22"/>
        </w:rPr>
        <w:t>4.5</w:t>
      </w:r>
      <w:r w:rsidRPr="00376019">
        <w:rPr>
          <w:rFonts w:ascii="Arial" w:hAnsi="Arial" w:cs="Arial"/>
          <w:sz w:val="22"/>
          <w:szCs w:val="22"/>
        </w:rPr>
        <w:t xml:space="preserve">% in patients receiving ISENTRESS + OBT and </w:t>
      </w:r>
      <w:r w:rsidR="006034B4" w:rsidRPr="00376019">
        <w:rPr>
          <w:rFonts w:ascii="Arial" w:hAnsi="Arial" w:cs="Arial"/>
          <w:sz w:val="22"/>
          <w:szCs w:val="22"/>
        </w:rPr>
        <w:t>5.4</w:t>
      </w:r>
      <w:r w:rsidRPr="00376019">
        <w:rPr>
          <w:rFonts w:ascii="Arial" w:hAnsi="Arial" w:cs="Arial"/>
          <w:sz w:val="22"/>
          <w:szCs w:val="22"/>
        </w:rPr>
        <w:t>% in</w:t>
      </w:r>
      <w:r>
        <w:rPr>
          <w:rFonts w:ascii="Arial" w:hAnsi="Arial" w:cs="Arial"/>
          <w:sz w:val="22"/>
          <w:szCs w:val="22"/>
        </w:rPr>
        <w:t xml:space="preserve"> patients receiving placebo + OBT.</w:t>
      </w:r>
    </w:p>
    <w:p w:rsidR="00C24699" w:rsidRPr="00D35A54" w:rsidRDefault="00D35A54" w:rsidP="00D35A54">
      <w:pPr>
        <w:pStyle w:val="Heading5"/>
      </w:pPr>
      <w:r>
        <w:t>S</w:t>
      </w:r>
      <w:r w:rsidR="00C24699" w:rsidRPr="00761CEC">
        <w:t>erious Events</w:t>
      </w:r>
    </w:p>
    <w:p w:rsidR="008A0DA2" w:rsidRDefault="00C24699" w:rsidP="00C24699">
      <w:pPr>
        <w:jc w:val="both"/>
        <w:rPr>
          <w:rFonts w:ascii="Arial" w:hAnsi="Arial" w:cs="Arial"/>
          <w:sz w:val="22"/>
          <w:szCs w:val="22"/>
        </w:rPr>
      </w:pPr>
      <w:r w:rsidRPr="00366AC7">
        <w:rPr>
          <w:rFonts w:ascii="Arial" w:hAnsi="Arial" w:cs="Arial"/>
          <w:sz w:val="22"/>
          <w:szCs w:val="22"/>
        </w:rPr>
        <w:t>The following serious drug</w:t>
      </w:r>
      <w:r>
        <w:rPr>
          <w:rFonts w:ascii="Arial" w:hAnsi="Arial" w:cs="Arial"/>
          <w:sz w:val="22"/>
          <w:szCs w:val="22"/>
        </w:rPr>
        <w:t>-</w:t>
      </w:r>
      <w:r w:rsidRPr="00366AC7">
        <w:rPr>
          <w:rFonts w:ascii="Arial" w:hAnsi="Arial" w:cs="Arial"/>
          <w:sz w:val="22"/>
          <w:szCs w:val="22"/>
        </w:rPr>
        <w:t xml:space="preserve">related </w:t>
      </w:r>
      <w:r w:rsidR="00E71269" w:rsidRPr="00376019">
        <w:rPr>
          <w:rFonts w:ascii="Arial" w:hAnsi="Arial" w:cs="Arial"/>
          <w:sz w:val="22"/>
          <w:szCs w:val="22"/>
        </w:rPr>
        <w:t xml:space="preserve">clinical </w:t>
      </w:r>
      <w:r w:rsidRPr="00376019">
        <w:rPr>
          <w:rFonts w:ascii="Arial" w:hAnsi="Arial" w:cs="Arial"/>
          <w:sz w:val="22"/>
          <w:szCs w:val="22"/>
        </w:rPr>
        <w:t>a</w:t>
      </w:r>
      <w:r w:rsidRPr="00366AC7">
        <w:rPr>
          <w:rFonts w:ascii="Arial" w:hAnsi="Arial" w:cs="Arial"/>
          <w:sz w:val="22"/>
          <w:szCs w:val="22"/>
        </w:rPr>
        <w:t>dverse experiences were reported in the clinical studies,   gastritis, hepatitis, renal failure</w:t>
      </w:r>
      <w:r w:rsidR="0056219E">
        <w:rPr>
          <w:rFonts w:ascii="Arial" w:hAnsi="Arial" w:cs="Arial"/>
          <w:sz w:val="22"/>
          <w:szCs w:val="22"/>
        </w:rPr>
        <w:t>,</w:t>
      </w:r>
      <w:r w:rsidR="009C0BD9">
        <w:rPr>
          <w:rFonts w:ascii="Arial" w:hAnsi="Arial" w:cs="Arial"/>
          <w:sz w:val="22"/>
          <w:szCs w:val="22"/>
        </w:rPr>
        <w:t xml:space="preserve"> </w:t>
      </w:r>
      <w:r w:rsidR="00270FBF">
        <w:rPr>
          <w:rFonts w:ascii="Arial" w:hAnsi="Arial" w:cs="Arial"/>
          <w:sz w:val="22"/>
          <w:szCs w:val="22"/>
        </w:rPr>
        <w:t>genital herpes</w:t>
      </w:r>
      <w:r w:rsidR="0056219E">
        <w:rPr>
          <w:rFonts w:ascii="Arial" w:hAnsi="Arial" w:cs="Arial"/>
          <w:sz w:val="22"/>
          <w:szCs w:val="22"/>
        </w:rPr>
        <w:t>, accidental overdose</w:t>
      </w:r>
      <w:r w:rsidR="009C0BD9">
        <w:rPr>
          <w:rFonts w:ascii="Arial" w:hAnsi="Arial" w:cs="Arial"/>
          <w:sz w:val="22"/>
          <w:szCs w:val="22"/>
        </w:rPr>
        <w:t>.</w:t>
      </w:r>
    </w:p>
    <w:p w:rsidR="00C24699" w:rsidRPr="00366AC7" w:rsidRDefault="00293474" w:rsidP="00C24699">
      <w:pPr>
        <w:jc w:val="both"/>
        <w:rPr>
          <w:rFonts w:ascii="Arial" w:hAnsi="Arial" w:cs="Arial"/>
          <w:sz w:val="22"/>
          <w:szCs w:val="22"/>
        </w:rPr>
      </w:pPr>
      <w:r w:rsidRPr="00293474">
        <w:rPr>
          <w:rFonts w:ascii="Arial" w:hAnsi="Arial" w:cs="Arial"/>
          <w:sz w:val="22"/>
          <w:szCs w:val="22"/>
        </w:rPr>
        <w:t xml:space="preserve">In a Phase I study of healthy volunteers, one patient developed a serious rash that required hospitalization and treatment with oral and topical corticosteroids.  This rash occurred several days after </w:t>
      </w:r>
      <w:r w:rsidR="00761CEC">
        <w:rPr>
          <w:rFonts w:ascii="Arial" w:hAnsi="Arial" w:cs="Arial"/>
          <w:sz w:val="22"/>
          <w:szCs w:val="22"/>
        </w:rPr>
        <w:t>darunavir was added to ISENTRESS</w:t>
      </w:r>
      <w:r w:rsidRPr="00293474">
        <w:rPr>
          <w:rFonts w:ascii="Arial" w:hAnsi="Arial" w:cs="Arial"/>
          <w:sz w:val="22"/>
          <w:szCs w:val="22"/>
        </w:rPr>
        <w:t>. The patient discontinued study therapy and the rash eventually resolved</w:t>
      </w:r>
      <w:r w:rsidR="00BA0151">
        <w:rPr>
          <w:rFonts w:ascii="Arial" w:hAnsi="Arial" w:cs="Arial"/>
          <w:sz w:val="22"/>
          <w:szCs w:val="22"/>
        </w:rPr>
        <w:t>.</w:t>
      </w:r>
    </w:p>
    <w:p w:rsidR="00C24699" w:rsidRPr="001434A6" w:rsidRDefault="00B62647" w:rsidP="00D35A54">
      <w:pPr>
        <w:pStyle w:val="Heading3"/>
        <w:rPr>
          <w:iCs/>
        </w:rPr>
      </w:pPr>
      <w:r>
        <w:lastRenderedPageBreak/>
        <w:t>CLINICAL TRIALS EXPERIENCE</w:t>
      </w:r>
    </w:p>
    <w:p w:rsidR="00C24699" w:rsidRPr="001434A6" w:rsidRDefault="00B62647" w:rsidP="00D35A54">
      <w:pPr>
        <w:pStyle w:val="Heading4"/>
      </w:pPr>
      <w:r>
        <w:t>TREATMENT</w:t>
      </w:r>
      <w:r w:rsidR="00BD28A8">
        <w:t>-</w:t>
      </w:r>
      <w:r>
        <w:t xml:space="preserve"> NAIVE</w:t>
      </w:r>
    </w:p>
    <w:p w:rsidR="00B62647" w:rsidRPr="00D73341" w:rsidRDefault="00B62647" w:rsidP="00B62647">
      <w:pPr>
        <w:autoSpaceDE w:val="0"/>
        <w:autoSpaceDN w:val="0"/>
        <w:adjustRightInd w:val="0"/>
        <w:jc w:val="both"/>
        <w:rPr>
          <w:rFonts w:ascii="Arial" w:hAnsi="Arial" w:cs="Arial"/>
          <w:sz w:val="22"/>
          <w:szCs w:val="22"/>
        </w:rPr>
      </w:pPr>
      <w:r>
        <w:rPr>
          <w:i/>
          <w:sz w:val="22"/>
          <w:szCs w:val="22"/>
        </w:rPr>
        <w:t xml:space="preserve"> </w:t>
      </w:r>
      <w:r w:rsidRPr="00D73341">
        <w:rPr>
          <w:rFonts w:ascii="Arial" w:hAnsi="Arial" w:cs="Arial"/>
          <w:sz w:val="22"/>
          <w:szCs w:val="22"/>
        </w:rPr>
        <w:t>The following safety assessment of ISENTRESS in treatment</w:t>
      </w:r>
      <w:r w:rsidR="001E78C2">
        <w:rPr>
          <w:rFonts w:ascii="Arial" w:hAnsi="Arial" w:cs="Arial"/>
          <w:sz w:val="22"/>
          <w:szCs w:val="22"/>
        </w:rPr>
        <w:t>-</w:t>
      </w:r>
      <w:r>
        <w:rPr>
          <w:rFonts w:ascii="Arial" w:hAnsi="Arial" w:cs="Arial"/>
          <w:sz w:val="22"/>
          <w:szCs w:val="22"/>
        </w:rPr>
        <w:t>naïve</w:t>
      </w:r>
      <w:r w:rsidRPr="00D73341">
        <w:rPr>
          <w:rFonts w:ascii="Arial" w:hAnsi="Arial" w:cs="Arial"/>
          <w:sz w:val="22"/>
          <w:szCs w:val="22"/>
        </w:rPr>
        <w:t xml:space="preserve"> patients is based on the randomized double-blind active controlled study of treatment</w:t>
      </w:r>
      <w:r w:rsidRPr="00D73341">
        <w:rPr>
          <w:rFonts w:ascii="Arial" w:hAnsi="Arial" w:cs="Arial"/>
          <w:sz w:val="22"/>
          <w:szCs w:val="22"/>
        </w:rPr>
        <w:noBreakHyphen/>
        <w:t xml:space="preserve">naïve patients, protocol 021 (STARTMRK) with ISENTRESS 400 mg twice daily in combination with </w:t>
      </w:r>
      <w:r w:rsidRPr="00DD6979">
        <w:rPr>
          <w:rFonts w:ascii="Arial" w:hAnsi="Arial" w:cs="Arial"/>
          <w:sz w:val="22"/>
          <w:szCs w:val="22"/>
        </w:rPr>
        <w:t xml:space="preserve">a fixed dose of </w:t>
      </w:r>
      <w:r w:rsidRPr="00D73341">
        <w:rPr>
          <w:rFonts w:ascii="Arial" w:hAnsi="Arial" w:cs="Arial"/>
          <w:sz w:val="22"/>
          <w:szCs w:val="22"/>
        </w:rPr>
        <w:t>emtricitabine 200 mg (+) tenofovir 245 mg</w:t>
      </w:r>
      <w:r w:rsidRPr="00D73341">
        <w:rPr>
          <w:rFonts w:ascii="Arial" w:hAnsi="Arial" w:cs="Arial"/>
          <w:color w:val="339966"/>
          <w:sz w:val="22"/>
          <w:szCs w:val="22"/>
        </w:rPr>
        <w:t xml:space="preserve">, </w:t>
      </w:r>
      <w:r w:rsidRPr="00D73341">
        <w:rPr>
          <w:rFonts w:ascii="Arial" w:hAnsi="Arial" w:cs="Arial"/>
          <w:sz w:val="22"/>
          <w:szCs w:val="22"/>
        </w:rPr>
        <w:t>(N=281)</w:t>
      </w:r>
      <w:r w:rsidRPr="00D73341">
        <w:rPr>
          <w:rFonts w:ascii="Arial" w:hAnsi="Arial" w:cs="Arial"/>
          <w:color w:val="0000FF"/>
          <w:sz w:val="22"/>
          <w:szCs w:val="22"/>
        </w:rPr>
        <w:t xml:space="preserve"> </w:t>
      </w:r>
      <w:r w:rsidRPr="00D73341">
        <w:rPr>
          <w:rFonts w:ascii="Arial" w:hAnsi="Arial" w:cs="Arial"/>
          <w:sz w:val="22"/>
          <w:szCs w:val="22"/>
        </w:rPr>
        <w:t>versus efavirenz (EFV) 600 mg at bedtime in combination with emtricitabine (+) tenofovir (N=282).</w:t>
      </w:r>
      <w:r w:rsidRPr="00D73341">
        <w:rPr>
          <w:rFonts w:ascii="Arial" w:hAnsi="Arial" w:cs="Arial"/>
          <w:bCs/>
          <w:sz w:val="22"/>
          <w:szCs w:val="22"/>
        </w:rPr>
        <w:t xml:space="preserve"> </w:t>
      </w:r>
      <w:r w:rsidRPr="00D73341">
        <w:rPr>
          <w:rFonts w:ascii="Arial" w:hAnsi="Arial" w:cs="Arial"/>
          <w:sz w:val="22"/>
          <w:szCs w:val="22"/>
        </w:rPr>
        <w:t xml:space="preserve"> During double-blind treatment, the total follow-up for patients with ISENTRESS 400 mg twice daily + emtricitabine (+) tenofovir was </w:t>
      </w:r>
      <w:r w:rsidR="00824EFD" w:rsidRPr="00376019">
        <w:rPr>
          <w:rFonts w:ascii="Arial" w:hAnsi="Arial" w:cs="Arial"/>
          <w:bCs/>
          <w:sz w:val="22"/>
          <w:szCs w:val="22"/>
        </w:rPr>
        <w:t xml:space="preserve">830 </w:t>
      </w:r>
      <w:r w:rsidRPr="00376019">
        <w:rPr>
          <w:rFonts w:ascii="Arial" w:hAnsi="Arial" w:cs="Arial"/>
          <w:sz w:val="22"/>
          <w:szCs w:val="22"/>
        </w:rPr>
        <w:t xml:space="preserve">patient-years and </w:t>
      </w:r>
      <w:r w:rsidR="00824EFD" w:rsidRPr="00376019">
        <w:rPr>
          <w:rFonts w:ascii="Arial" w:hAnsi="Arial" w:cs="Arial"/>
          <w:bCs/>
          <w:sz w:val="22"/>
          <w:szCs w:val="22"/>
        </w:rPr>
        <w:t>788</w:t>
      </w:r>
      <w:r w:rsidR="00265105" w:rsidRPr="00376019">
        <w:rPr>
          <w:rFonts w:ascii="Arial" w:hAnsi="Arial" w:cs="Arial"/>
          <w:b/>
          <w:bCs/>
          <w:sz w:val="22"/>
          <w:szCs w:val="22"/>
        </w:rPr>
        <w:t xml:space="preserve"> </w:t>
      </w:r>
      <w:r w:rsidRPr="00376019">
        <w:rPr>
          <w:rFonts w:ascii="Arial" w:hAnsi="Arial" w:cs="Arial"/>
          <w:sz w:val="22"/>
          <w:szCs w:val="22"/>
        </w:rPr>
        <w:t>p</w:t>
      </w:r>
      <w:r w:rsidRPr="00D73341">
        <w:rPr>
          <w:rFonts w:ascii="Arial" w:hAnsi="Arial" w:cs="Arial"/>
          <w:sz w:val="22"/>
          <w:szCs w:val="22"/>
        </w:rPr>
        <w:t xml:space="preserve">atient-years for patients with efavirenz 600 mg at bedtime + emtricitabine (+) tenofovir. </w:t>
      </w:r>
    </w:p>
    <w:p w:rsidR="00B62647" w:rsidRDefault="00B62647" w:rsidP="00B62647">
      <w:pPr>
        <w:jc w:val="both"/>
        <w:rPr>
          <w:rFonts w:ascii="Arial" w:hAnsi="Arial" w:cs="Arial"/>
          <w:sz w:val="22"/>
          <w:szCs w:val="22"/>
        </w:rPr>
      </w:pPr>
      <w:r w:rsidRPr="00D73341">
        <w:rPr>
          <w:rFonts w:ascii="Arial" w:hAnsi="Arial" w:cs="Arial"/>
          <w:bCs/>
          <w:sz w:val="22"/>
          <w:szCs w:val="22"/>
        </w:rPr>
        <w:t xml:space="preserve">Numbers (%) of patients with </w:t>
      </w:r>
      <w:r w:rsidR="00824EFD" w:rsidRPr="00376019">
        <w:rPr>
          <w:rFonts w:ascii="Arial" w:hAnsi="Arial" w:cs="Arial"/>
          <w:bCs/>
          <w:sz w:val="22"/>
          <w:szCs w:val="22"/>
        </w:rPr>
        <w:t xml:space="preserve">clinical </w:t>
      </w:r>
      <w:r w:rsidRPr="00376019">
        <w:rPr>
          <w:rFonts w:ascii="Arial" w:hAnsi="Arial" w:cs="Arial"/>
          <w:bCs/>
          <w:sz w:val="22"/>
          <w:szCs w:val="22"/>
        </w:rPr>
        <w:t xml:space="preserve">adverse experiences and with drug-related adverse experiences in the group receiving ISENTRESS, were less frequent than </w:t>
      </w:r>
      <w:r w:rsidR="00C66268" w:rsidRPr="00376019">
        <w:rPr>
          <w:rFonts w:ascii="Arial" w:hAnsi="Arial" w:cs="Arial"/>
          <w:bCs/>
          <w:sz w:val="22"/>
          <w:szCs w:val="22"/>
        </w:rPr>
        <w:t>in</w:t>
      </w:r>
      <w:r w:rsidRPr="00376019">
        <w:rPr>
          <w:rFonts w:ascii="Arial" w:hAnsi="Arial" w:cs="Arial"/>
          <w:bCs/>
          <w:sz w:val="22"/>
          <w:szCs w:val="22"/>
        </w:rPr>
        <w:t xml:space="preserve"> the group receiving </w:t>
      </w:r>
      <w:r w:rsidR="00F939F1" w:rsidRPr="00376019">
        <w:rPr>
          <w:rFonts w:ascii="Arial" w:hAnsi="Arial" w:cs="Arial"/>
          <w:bCs/>
          <w:sz w:val="22"/>
          <w:szCs w:val="22"/>
        </w:rPr>
        <w:t xml:space="preserve">efavirenz. </w:t>
      </w:r>
      <w:r w:rsidRPr="00376019">
        <w:rPr>
          <w:rFonts w:ascii="Arial" w:hAnsi="Arial"/>
          <w:sz w:val="22"/>
          <w:szCs w:val="22"/>
        </w:rPr>
        <w:t xml:space="preserve">In this study, the rates of discontinuation of therapy due to adverse experiences </w:t>
      </w:r>
      <w:r w:rsidR="00824EFD" w:rsidRPr="00376019">
        <w:rPr>
          <w:rFonts w:ascii="Arial" w:hAnsi="Arial"/>
          <w:sz w:val="22"/>
          <w:szCs w:val="22"/>
        </w:rPr>
        <w:t xml:space="preserve">(clinical and laboratory) </w:t>
      </w:r>
      <w:r w:rsidRPr="00376019">
        <w:rPr>
          <w:rFonts w:ascii="Arial" w:hAnsi="Arial"/>
          <w:sz w:val="22"/>
          <w:szCs w:val="22"/>
        </w:rPr>
        <w:t xml:space="preserve">were </w:t>
      </w:r>
      <w:r w:rsidR="00824EFD" w:rsidRPr="00376019">
        <w:rPr>
          <w:rFonts w:ascii="Arial" w:hAnsi="Arial"/>
          <w:sz w:val="22"/>
          <w:szCs w:val="22"/>
        </w:rPr>
        <w:t>4.6%</w:t>
      </w:r>
      <w:r w:rsidRPr="00376019">
        <w:rPr>
          <w:rFonts w:ascii="Arial" w:hAnsi="Arial"/>
          <w:sz w:val="22"/>
          <w:szCs w:val="22"/>
        </w:rPr>
        <w:t xml:space="preserve"> in patients receiving ISENTRESS + </w:t>
      </w:r>
      <w:r w:rsidRPr="00376019">
        <w:rPr>
          <w:rFonts w:ascii="Arial" w:hAnsi="Arial" w:cs="Arial"/>
          <w:sz w:val="22"/>
          <w:szCs w:val="22"/>
        </w:rPr>
        <w:t xml:space="preserve">emtricitabine (+) tenofovir and </w:t>
      </w:r>
      <w:r w:rsidR="00824EFD" w:rsidRPr="00376019">
        <w:rPr>
          <w:rFonts w:ascii="Arial" w:hAnsi="Arial" w:cs="Arial"/>
          <w:sz w:val="22"/>
          <w:szCs w:val="22"/>
        </w:rPr>
        <w:t>8.5%</w:t>
      </w:r>
      <w:r w:rsidRPr="00376019">
        <w:rPr>
          <w:rFonts w:ascii="Arial" w:hAnsi="Arial" w:cs="Arial"/>
          <w:sz w:val="22"/>
          <w:szCs w:val="22"/>
        </w:rPr>
        <w:t xml:space="preserve"> in patients r</w:t>
      </w:r>
      <w:r w:rsidRPr="00D73341">
        <w:rPr>
          <w:rFonts w:ascii="Arial" w:hAnsi="Arial" w:cs="Arial"/>
          <w:sz w:val="22"/>
          <w:szCs w:val="22"/>
        </w:rPr>
        <w:t>eceiving efavirenz + emtricitabine (+) tenofovir.</w:t>
      </w:r>
    </w:p>
    <w:p w:rsidR="00B62647" w:rsidRPr="001B3030" w:rsidRDefault="00B62647" w:rsidP="00D35A54">
      <w:pPr>
        <w:pStyle w:val="Tabletitle"/>
        <w:rPr>
          <w:vertAlign w:val="superscript"/>
        </w:rPr>
      </w:pPr>
      <w:r w:rsidRPr="001B3030">
        <w:t xml:space="preserve">Table </w:t>
      </w:r>
      <w:r w:rsidR="00750FB1">
        <w:t>10</w:t>
      </w:r>
      <w:r w:rsidRPr="001B3030">
        <w:t>: Percentage of Subjects with the Most Commonly Reported (&gt;10%) Adverse Experiences of All Intensities</w:t>
      </w:r>
      <w:r w:rsidRPr="001B3030">
        <w:rPr>
          <w:vertAlign w:val="superscript"/>
        </w:rPr>
        <w:sym w:font="Symbol" w:char="F02A"/>
      </w:r>
      <w:r w:rsidRPr="001B3030">
        <w:t xml:space="preserve"> and Regardless of Causality Occurring in Treatment</w:t>
      </w:r>
      <w:r w:rsidR="001E78C2">
        <w:t>-</w:t>
      </w:r>
      <w:r w:rsidRPr="001B3030">
        <w:t>Naïve Adult Patients</w:t>
      </w:r>
      <w:r w:rsidR="00BB7867" w:rsidRPr="001B3030">
        <w:t xml:space="preserve"> in Either Treatment Group</w:t>
      </w:r>
    </w:p>
    <w:tbl>
      <w:tblPr>
        <w:tblW w:w="87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04"/>
        <w:gridCol w:w="2775"/>
        <w:gridCol w:w="8"/>
        <w:gridCol w:w="3080"/>
        <w:gridCol w:w="17"/>
        <w:gridCol w:w="13"/>
      </w:tblGrid>
      <w:tr w:rsidR="00BB7867" w:rsidRPr="00DA77C5" w:rsidTr="006B56C2">
        <w:trPr>
          <w:trHeight w:val="125"/>
          <w:tblHeader/>
          <w:jc w:val="center"/>
        </w:trPr>
        <w:tc>
          <w:tcPr>
            <w:tcW w:w="2904" w:type="dxa"/>
            <w:vMerge w:val="restart"/>
            <w:shd w:val="clear" w:color="auto" w:fill="auto"/>
          </w:tcPr>
          <w:p w:rsidR="00BB7867" w:rsidRPr="00DA77C5" w:rsidRDefault="00BB7867" w:rsidP="00DA77C5">
            <w:pPr>
              <w:jc w:val="center"/>
              <w:rPr>
                <w:rFonts w:ascii="Arial" w:hAnsi="Arial" w:cs="Arial"/>
                <w:b/>
                <w:sz w:val="18"/>
                <w:szCs w:val="18"/>
              </w:rPr>
            </w:pPr>
            <w:r w:rsidRPr="00DA77C5">
              <w:rPr>
                <w:rFonts w:ascii="Arial" w:hAnsi="Arial" w:cs="Arial"/>
                <w:b/>
                <w:sz w:val="18"/>
                <w:szCs w:val="18"/>
              </w:rPr>
              <w:t>System Organ Class, Adverse Experiences</w:t>
            </w:r>
          </w:p>
        </w:tc>
        <w:tc>
          <w:tcPr>
            <w:tcW w:w="5893" w:type="dxa"/>
            <w:gridSpan w:val="5"/>
            <w:shd w:val="clear" w:color="auto" w:fill="auto"/>
          </w:tcPr>
          <w:p w:rsidR="00BB7867" w:rsidRPr="00DA77C5" w:rsidRDefault="00BB7867" w:rsidP="00DA77C5">
            <w:pPr>
              <w:jc w:val="center"/>
              <w:rPr>
                <w:rFonts w:ascii="Arial" w:hAnsi="Arial" w:cs="Arial"/>
                <w:b/>
                <w:sz w:val="18"/>
                <w:szCs w:val="18"/>
              </w:rPr>
            </w:pPr>
            <w:r w:rsidRPr="00DA77C5">
              <w:rPr>
                <w:rFonts w:ascii="Arial" w:hAnsi="Arial" w:cs="Arial"/>
                <w:b/>
                <w:bCs/>
                <w:sz w:val="18"/>
                <w:szCs w:val="18"/>
              </w:rPr>
              <w:t xml:space="preserve">Randomized Study </w:t>
            </w:r>
            <w:r w:rsidR="00F40CDC" w:rsidRPr="00DA77C5">
              <w:rPr>
                <w:rFonts w:ascii="Arial" w:hAnsi="Arial" w:cs="Arial"/>
                <w:b/>
                <w:bCs/>
                <w:sz w:val="18"/>
                <w:szCs w:val="18"/>
              </w:rPr>
              <w:t xml:space="preserve">STARTMRK </w:t>
            </w:r>
          </w:p>
        </w:tc>
      </w:tr>
      <w:tr w:rsidR="00BB7867" w:rsidRPr="00DA77C5" w:rsidTr="006B56C2">
        <w:trPr>
          <w:gridAfter w:val="2"/>
          <w:wAfter w:w="30" w:type="dxa"/>
          <w:trHeight w:val="600"/>
          <w:tblHeader/>
          <w:jc w:val="center"/>
        </w:trPr>
        <w:tc>
          <w:tcPr>
            <w:tcW w:w="2904" w:type="dxa"/>
            <w:vMerge/>
            <w:shd w:val="clear" w:color="auto" w:fill="auto"/>
          </w:tcPr>
          <w:p w:rsidR="00BB7867" w:rsidRPr="00DA77C5" w:rsidRDefault="00BB7867" w:rsidP="00DA77C5">
            <w:pPr>
              <w:jc w:val="center"/>
              <w:rPr>
                <w:rFonts w:ascii="Arial" w:hAnsi="Arial" w:cs="Arial"/>
                <w:b/>
                <w:sz w:val="18"/>
                <w:szCs w:val="18"/>
              </w:rPr>
            </w:pPr>
          </w:p>
        </w:tc>
        <w:tc>
          <w:tcPr>
            <w:tcW w:w="2783" w:type="dxa"/>
            <w:gridSpan w:val="2"/>
            <w:shd w:val="clear" w:color="auto" w:fill="auto"/>
          </w:tcPr>
          <w:p w:rsidR="00BB7867" w:rsidRPr="00DA77C5" w:rsidRDefault="00BB7867" w:rsidP="00DA77C5">
            <w:pPr>
              <w:jc w:val="center"/>
              <w:rPr>
                <w:rFonts w:ascii="Arial" w:hAnsi="Arial" w:cs="Arial"/>
                <w:b/>
                <w:sz w:val="18"/>
                <w:szCs w:val="18"/>
                <w:lang w:val="sv-SE"/>
              </w:rPr>
            </w:pPr>
            <w:r w:rsidRPr="00DA77C5">
              <w:rPr>
                <w:rFonts w:ascii="Arial" w:hAnsi="Arial" w:cs="Arial"/>
                <w:b/>
                <w:sz w:val="18"/>
                <w:szCs w:val="18"/>
                <w:lang w:val="sv-SE"/>
              </w:rPr>
              <w:t>ISENTRESS 400 mg</w:t>
            </w:r>
          </w:p>
          <w:p w:rsidR="00BB7867" w:rsidRPr="00DA77C5" w:rsidRDefault="00BB7867" w:rsidP="00DA77C5">
            <w:pPr>
              <w:jc w:val="center"/>
              <w:rPr>
                <w:rFonts w:ascii="Arial" w:hAnsi="Arial" w:cs="Arial"/>
                <w:b/>
                <w:sz w:val="18"/>
                <w:szCs w:val="18"/>
                <w:lang w:val="sv-SE"/>
              </w:rPr>
            </w:pPr>
            <w:r w:rsidRPr="00DA77C5">
              <w:rPr>
                <w:rFonts w:ascii="Arial" w:hAnsi="Arial" w:cs="Arial"/>
                <w:b/>
                <w:sz w:val="18"/>
                <w:szCs w:val="18"/>
                <w:lang w:val="sv-SE"/>
              </w:rPr>
              <w:t xml:space="preserve"> b.i.d. + </w:t>
            </w:r>
          </w:p>
          <w:p w:rsidR="00BB7867" w:rsidRPr="00DA77C5" w:rsidRDefault="00BB7867" w:rsidP="00DA77C5">
            <w:pPr>
              <w:jc w:val="center"/>
              <w:rPr>
                <w:rFonts w:ascii="Arial" w:hAnsi="Arial" w:cs="Arial"/>
                <w:b/>
                <w:sz w:val="18"/>
                <w:szCs w:val="18"/>
                <w:lang w:val="fr-FR"/>
              </w:rPr>
            </w:pPr>
            <w:r w:rsidRPr="00DA77C5">
              <w:rPr>
                <w:rFonts w:ascii="Arial" w:hAnsi="Arial" w:cs="Arial"/>
                <w:b/>
                <w:sz w:val="18"/>
                <w:szCs w:val="18"/>
                <w:lang w:val="fr-FR"/>
              </w:rPr>
              <w:t>Emtricitabine (+) Tenofovir</w:t>
            </w:r>
          </w:p>
          <w:p w:rsidR="00BB7867" w:rsidRPr="00DA77C5" w:rsidRDefault="00BB7867" w:rsidP="00DA77C5">
            <w:pPr>
              <w:jc w:val="center"/>
              <w:rPr>
                <w:rFonts w:ascii="Arial" w:hAnsi="Arial" w:cs="Arial"/>
                <w:b/>
                <w:bCs/>
                <w:sz w:val="18"/>
                <w:szCs w:val="18"/>
                <w:vertAlign w:val="superscript"/>
              </w:rPr>
            </w:pPr>
            <w:r w:rsidRPr="00DA77C5">
              <w:rPr>
                <w:rFonts w:ascii="Arial" w:hAnsi="Arial" w:cs="Arial"/>
                <w:b/>
                <w:sz w:val="18"/>
                <w:szCs w:val="18"/>
              </w:rPr>
              <w:t>(n = 281)</w:t>
            </w:r>
            <w:r w:rsidRPr="00DA77C5">
              <w:rPr>
                <w:rFonts w:ascii="Arial" w:hAnsi="Arial" w:cs="Arial"/>
                <w:b/>
                <w:bCs/>
                <w:sz w:val="18"/>
                <w:szCs w:val="18"/>
                <w:vertAlign w:val="superscript"/>
              </w:rPr>
              <w:t>†</w:t>
            </w:r>
          </w:p>
          <w:p w:rsidR="00BB7867" w:rsidRPr="00DA77C5" w:rsidRDefault="00BB7867" w:rsidP="00DA77C5">
            <w:pPr>
              <w:jc w:val="center"/>
              <w:rPr>
                <w:rFonts w:ascii="Arial" w:hAnsi="Arial" w:cs="Arial"/>
                <w:b/>
                <w:sz w:val="18"/>
                <w:szCs w:val="18"/>
              </w:rPr>
            </w:pPr>
            <w:r w:rsidRPr="00DA77C5">
              <w:rPr>
                <w:rFonts w:ascii="Arial" w:hAnsi="Arial" w:cs="Arial"/>
                <w:b/>
                <w:bCs/>
                <w:sz w:val="18"/>
                <w:szCs w:val="18"/>
              </w:rPr>
              <w:t>%</w:t>
            </w:r>
          </w:p>
        </w:tc>
        <w:tc>
          <w:tcPr>
            <w:tcW w:w="3080" w:type="dxa"/>
            <w:shd w:val="clear" w:color="auto" w:fill="auto"/>
          </w:tcPr>
          <w:p w:rsidR="00BB7867" w:rsidRPr="00DA77C5" w:rsidRDefault="00BB7867" w:rsidP="00DA77C5">
            <w:pPr>
              <w:jc w:val="center"/>
              <w:rPr>
                <w:rFonts w:ascii="Arial" w:hAnsi="Arial" w:cs="Arial"/>
                <w:b/>
                <w:sz w:val="18"/>
                <w:szCs w:val="18"/>
              </w:rPr>
            </w:pPr>
            <w:r w:rsidRPr="00DA77C5">
              <w:rPr>
                <w:rFonts w:ascii="Arial" w:hAnsi="Arial" w:cs="Arial"/>
                <w:b/>
                <w:sz w:val="18"/>
                <w:szCs w:val="18"/>
              </w:rPr>
              <w:t xml:space="preserve">Efavirenz 600 mg </w:t>
            </w:r>
          </w:p>
          <w:p w:rsidR="00BB7867" w:rsidRPr="00DA77C5" w:rsidRDefault="002C6438" w:rsidP="00DA77C5">
            <w:pPr>
              <w:jc w:val="center"/>
              <w:rPr>
                <w:rFonts w:ascii="Arial" w:hAnsi="Arial" w:cs="Arial"/>
                <w:b/>
                <w:sz w:val="18"/>
                <w:szCs w:val="18"/>
              </w:rPr>
            </w:pPr>
            <w:r w:rsidRPr="00DA77C5">
              <w:rPr>
                <w:rFonts w:ascii="Arial" w:hAnsi="Arial" w:cs="Arial"/>
                <w:b/>
                <w:sz w:val="18"/>
                <w:szCs w:val="18"/>
              </w:rPr>
              <w:t xml:space="preserve"> </w:t>
            </w:r>
            <w:r w:rsidR="000801DA" w:rsidRPr="00DA77C5">
              <w:rPr>
                <w:rFonts w:ascii="Arial" w:hAnsi="Arial" w:cs="Arial"/>
                <w:b/>
                <w:sz w:val="18"/>
                <w:szCs w:val="18"/>
              </w:rPr>
              <w:t xml:space="preserve"> at bedtime</w:t>
            </w:r>
            <w:r w:rsidR="00BB7867" w:rsidRPr="00DA77C5">
              <w:rPr>
                <w:rFonts w:ascii="Arial" w:hAnsi="Arial" w:cs="Arial"/>
                <w:b/>
                <w:sz w:val="18"/>
                <w:szCs w:val="18"/>
              </w:rPr>
              <w:t xml:space="preserve">+ </w:t>
            </w:r>
          </w:p>
          <w:p w:rsidR="00BB7867" w:rsidRPr="00DA77C5" w:rsidRDefault="00BB7867" w:rsidP="00DA77C5">
            <w:pPr>
              <w:jc w:val="center"/>
              <w:rPr>
                <w:rFonts w:ascii="Arial" w:hAnsi="Arial" w:cs="Arial"/>
                <w:b/>
                <w:sz w:val="18"/>
                <w:szCs w:val="18"/>
              </w:rPr>
            </w:pPr>
            <w:r w:rsidRPr="00DA77C5">
              <w:rPr>
                <w:rFonts w:ascii="Arial" w:hAnsi="Arial" w:cs="Arial"/>
                <w:b/>
                <w:sz w:val="18"/>
                <w:szCs w:val="18"/>
              </w:rPr>
              <w:t>Emtricitabine (+) Tenofovir</w:t>
            </w:r>
          </w:p>
          <w:p w:rsidR="00BB7867" w:rsidRPr="00DA77C5" w:rsidRDefault="00BB7867" w:rsidP="00DA77C5">
            <w:pPr>
              <w:jc w:val="center"/>
              <w:rPr>
                <w:rFonts w:ascii="Arial" w:hAnsi="Arial" w:cs="Arial"/>
                <w:b/>
                <w:bCs/>
                <w:sz w:val="18"/>
                <w:szCs w:val="18"/>
                <w:vertAlign w:val="superscript"/>
                <w:lang w:val="pt-BR"/>
              </w:rPr>
            </w:pPr>
            <w:r w:rsidRPr="00DA77C5">
              <w:rPr>
                <w:rFonts w:ascii="Arial" w:hAnsi="Arial" w:cs="Arial"/>
                <w:b/>
                <w:sz w:val="18"/>
                <w:szCs w:val="18"/>
                <w:lang w:val="pt-BR"/>
              </w:rPr>
              <w:t>(n = 282)</w:t>
            </w:r>
            <w:r w:rsidRPr="00DA77C5">
              <w:rPr>
                <w:rFonts w:ascii="Arial" w:hAnsi="Arial" w:cs="Arial"/>
                <w:b/>
                <w:bCs/>
                <w:sz w:val="18"/>
                <w:szCs w:val="18"/>
                <w:vertAlign w:val="superscript"/>
                <w:lang w:val="pt-BR"/>
              </w:rPr>
              <w:t>†</w:t>
            </w:r>
          </w:p>
          <w:p w:rsidR="00BB7867" w:rsidRPr="00DA77C5" w:rsidRDefault="00BB7867" w:rsidP="00DA77C5">
            <w:pPr>
              <w:jc w:val="center"/>
              <w:rPr>
                <w:rFonts w:ascii="Arial" w:hAnsi="Arial" w:cs="Arial"/>
                <w:b/>
                <w:sz w:val="18"/>
                <w:szCs w:val="18"/>
                <w:lang w:val="pt-BR"/>
              </w:rPr>
            </w:pPr>
            <w:r w:rsidRPr="00DA77C5">
              <w:rPr>
                <w:rFonts w:ascii="Arial" w:hAnsi="Arial" w:cs="Arial"/>
                <w:b/>
                <w:bCs/>
                <w:sz w:val="18"/>
                <w:szCs w:val="18"/>
                <w:lang w:val="pt-BR"/>
              </w:rPr>
              <w:t>%</w:t>
            </w:r>
          </w:p>
        </w:tc>
      </w:tr>
      <w:tr w:rsidR="00BB7867" w:rsidRPr="00DA77C5" w:rsidTr="006B56C2">
        <w:trPr>
          <w:trHeight w:val="197"/>
          <w:jc w:val="center"/>
        </w:trPr>
        <w:tc>
          <w:tcPr>
            <w:tcW w:w="8797" w:type="dxa"/>
            <w:gridSpan w:val="6"/>
            <w:shd w:val="clear" w:color="auto" w:fill="auto"/>
          </w:tcPr>
          <w:p w:rsidR="00BB7867" w:rsidRPr="00DA77C5" w:rsidRDefault="00BB7867" w:rsidP="008C3BA6">
            <w:pPr>
              <w:rPr>
                <w:rFonts w:ascii="Arial" w:hAnsi="Arial" w:cs="Arial"/>
                <w:sz w:val="18"/>
                <w:szCs w:val="18"/>
              </w:rPr>
            </w:pPr>
            <w:r w:rsidRPr="00DA77C5">
              <w:rPr>
                <w:rFonts w:ascii="Arial" w:hAnsi="Arial" w:cs="Arial"/>
                <w:b/>
                <w:sz w:val="18"/>
                <w:szCs w:val="18"/>
              </w:rPr>
              <w:t>Gastrointestinal Disorders</w:t>
            </w:r>
          </w:p>
        </w:tc>
      </w:tr>
      <w:tr w:rsidR="00BB7867" w:rsidRPr="00DA77C5" w:rsidTr="006B56C2">
        <w:trPr>
          <w:gridAfter w:val="1"/>
          <w:wAfter w:w="13" w:type="dxa"/>
          <w:trHeight w:val="170"/>
          <w:jc w:val="center"/>
        </w:trPr>
        <w:tc>
          <w:tcPr>
            <w:tcW w:w="2904" w:type="dxa"/>
            <w:shd w:val="clear" w:color="auto" w:fill="auto"/>
          </w:tcPr>
          <w:p w:rsidR="00BB7867" w:rsidRPr="00DA77C5" w:rsidRDefault="00BB7867" w:rsidP="008C3BA6">
            <w:pPr>
              <w:rPr>
                <w:rFonts w:ascii="Arial" w:hAnsi="Arial" w:cs="Arial"/>
                <w:sz w:val="18"/>
                <w:szCs w:val="18"/>
              </w:rPr>
            </w:pPr>
            <w:r w:rsidRPr="00DA77C5">
              <w:rPr>
                <w:rFonts w:ascii="Arial" w:hAnsi="Arial" w:cs="Arial"/>
                <w:sz w:val="18"/>
                <w:szCs w:val="18"/>
              </w:rPr>
              <w:t>Diarrh</w:t>
            </w:r>
            <w:r w:rsidR="002B2E84" w:rsidRPr="00DA77C5">
              <w:rPr>
                <w:rFonts w:ascii="Arial" w:hAnsi="Arial" w:cs="Arial"/>
                <w:sz w:val="18"/>
                <w:szCs w:val="18"/>
              </w:rPr>
              <w:t>o</w:t>
            </w:r>
            <w:r w:rsidRPr="00DA77C5">
              <w:rPr>
                <w:rFonts w:ascii="Arial" w:hAnsi="Arial" w:cs="Arial"/>
                <w:sz w:val="18"/>
                <w:szCs w:val="18"/>
              </w:rPr>
              <w:t>ea</w:t>
            </w:r>
          </w:p>
        </w:tc>
        <w:tc>
          <w:tcPr>
            <w:tcW w:w="2775" w:type="dxa"/>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23.1</w:t>
            </w:r>
          </w:p>
        </w:tc>
        <w:tc>
          <w:tcPr>
            <w:tcW w:w="3105" w:type="dxa"/>
            <w:gridSpan w:val="3"/>
            <w:shd w:val="clear" w:color="auto" w:fill="auto"/>
          </w:tcPr>
          <w:p w:rsidR="00BB7867" w:rsidRPr="00DA77C5" w:rsidRDefault="009E3A00" w:rsidP="00DA77C5">
            <w:pPr>
              <w:jc w:val="center"/>
              <w:rPr>
                <w:rFonts w:ascii="Arial" w:hAnsi="Arial" w:cs="Arial"/>
                <w:sz w:val="18"/>
                <w:szCs w:val="18"/>
              </w:rPr>
            </w:pPr>
            <w:r w:rsidRPr="00DA77C5">
              <w:rPr>
                <w:rFonts w:ascii="Arial" w:hAnsi="Arial" w:cs="Arial"/>
                <w:sz w:val="18"/>
                <w:szCs w:val="18"/>
              </w:rPr>
              <w:t>27.</w:t>
            </w:r>
            <w:r w:rsidR="00376019" w:rsidRPr="00DA77C5">
              <w:rPr>
                <w:rFonts w:ascii="Arial" w:hAnsi="Arial" w:cs="Arial"/>
                <w:sz w:val="18"/>
                <w:szCs w:val="18"/>
              </w:rPr>
              <w:t>0</w:t>
            </w:r>
          </w:p>
        </w:tc>
      </w:tr>
      <w:tr w:rsidR="00BB7867" w:rsidRPr="00DA77C5" w:rsidTr="006B56C2">
        <w:trPr>
          <w:gridAfter w:val="1"/>
          <w:wAfter w:w="13" w:type="dxa"/>
          <w:trHeight w:val="152"/>
          <w:jc w:val="center"/>
        </w:trPr>
        <w:tc>
          <w:tcPr>
            <w:tcW w:w="2904" w:type="dxa"/>
            <w:shd w:val="clear" w:color="auto" w:fill="auto"/>
          </w:tcPr>
          <w:p w:rsidR="00BB7867" w:rsidRPr="00DA77C5" w:rsidRDefault="00BB7867" w:rsidP="008C3BA6">
            <w:pPr>
              <w:rPr>
                <w:rFonts w:ascii="Arial" w:hAnsi="Arial" w:cs="Arial"/>
                <w:sz w:val="18"/>
                <w:szCs w:val="18"/>
              </w:rPr>
            </w:pPr>
            <w:r w:rsidRPr="00DA77C5">
              <w:rPr>
                <w:rFonts w:ascii="Arial" w:hAnsi="Arial" w:cs="Arial"/>
                <w:sz w:val="18"/>
                <w:szCs w:val="18"/>
              </w:rPr>
              <w:t>Nausea</w:t>
            </w:r>
          </w:p>
        </w:tc>
        <w:tc>
          <w:tcPr>
            <w:tcW w:w="2775" w:type="dxa"/>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16.4</w:t>
            </w:r>
          </w:p>
        </w:tc>
        <w:tc>
          <w:tcPr>
            <w:tcW w:w="3105" w:type="dxa"/>
            <w:gridSpan w:val="3"/>
            <w:shd w:val="clear" w:color="auto" w:fill="auto"/>
          </w:tcPr>
          <w:p w:rsidR="00BB7867" w:rsidRPr="00DA77C5" w:rsidRDefault="009E3A00" w:rsidP="00DA77C5">
            <w:pPr>
              <w:jc w:val="center"/>
              <w:rPr>
                <w:rFonts w:ascii="Arial" w:hAnsi="Arial" w:cs="Arial"/>
                <w:sz w:val="18"/>
                <w:szCs w:val="18"/>
              </w:rPr>
            </w:pPr>
            <w:r w:rsidRPr="00DA77C5">
              <w:rPr>
                <w:rFonts w:ascii="Arial" w:hAnsi="Arial" w:cs="Arial"/>
                <w:sz w:val="18"/>
                <w:szCs w:val="18"/>
              </w:rPr>
              <w:t>13.5</w:t>
            </w:r>
          </w:p>
        </w:tc>
      </w:tr>
      <w:tr w:rsidR="009E3A00" w:rsidRPr="00DA77C5" w:rsidTr="006B56C2">
        <w:trPr>
          <w:gridAfter w:val="1"/>
          <w:wAfter w:w="13" w:type="dxa"/>
          <w:trHeight w:val="152"/>
          <w:jc w:val="center"/>
        </w:trPr>
        <w:tc>
          <w:tcPr>
            <w:tcW w:w="2904" w:type="dxa"/>
            <w:shd w:val="clear" w:color="auto" w:fill="auto"/>
          </w:tcPr>
          <w:p w:rsidR="009E3A00" w:rsidRPr="00DA77C5" w:rsidRDefault="009E3A00" w:rsidP="008C3BA6">
            <w:pPr>
              <w:rPr>
                <w:rFonts w:ascii="Arial" w:hAnsi="Arial" w:cs="Arial"/>
                <w:sz w:val="18"/>
                <w:szCs w:val="18"/>
              </w:rPr>
            </w:pPr>
            <w:r w:rsidRPr="00DA77C5">
              <w:rPr>
                <w:rFonts w:ascii="Arial" w:hAnsi="Arial" w:cs="Arial"/>
                <w:sz w:val="18"/>
                <w:szCs w:val="18"/>
              </w:rPr>
              <w:t>Vomiting</w:t>
            </w:r>
          </w:p>
        </w:tc>
        <w:tc>
          <w:tcPr>
            <w:tcW w:w="2775" w:type="dxa"/>
            <w:shd w:val="clear" w:color="auto" w:fill="auto"/>
          </w:tcPr>
          <w:p w:rsidR="009E3A00" w:rsidRPr="00DA77C5" w:rsidDel="00824EFD" w:rsidRDefault="009E3A00" w:rsidP="00DA77C5">
            <w:pPr>
              <w:jc w:val="center"/>
              <w:rPr>
                <w:rFonts w:ascii="Arial" w:hAnsi="Arial" w:cs="Arial"/>
                <w:sz w:val="18"/>
                <w:szCs w:val="18"/>
              </w:rPr>
            </w:pPr>
            <w:r w:rsidRPr="00DA77C5">
              <w:rPr>
                <w:rFonts w:ascii="Arial" w:hAnsi="Arial" w:cs="Arial"/>
                <w:sz w:val="18"/>
                <w:szCs w:val="18"/>
              </w:rPr>
              <w:t>7.5</w:t>
            </w:r>
          </w:p>
        </w:tc>
        <w:tc>
          <w:tcPr>
            <w:tcW w:w="3105" w:type="dxa"/>
            <w:gridSpan w:val="3"/>
            <w:shd w:val="clear" w:color="auto" w:fill="auto"/>
          </w:tcPr>
          <w:p w:rsidR="009E3A00" w:rsidRPr="00DA77C5" w:rsidRDefault="009E3A00" w:rsidP="00DA77C5">
            <w:pPr>
              <w:jc w:val="center"/>
              <w:rPr>
                <w:rFonts w:ascii="Arial" w:hAnsi="Arial" w:cs="Arial"/>
                <w:sz w:val="18"/>
                <w:szCs w:val="18"/>
              </w:rPr>
            </w:pPr>
            <w:r w:rsidRPr="00DA77C5">
              <w:rPr>
                <w:rFonts w:ascii="Arial" w:hAnsi="Arial" w:cs="Arial"/>
                <w:sz w:val="18"/>
                <w:szCs w:val="18"/>
              </w:rPr>
              <w:t>10.3</w:t>
            </w:r>
          </w:p>
        </w:tc>
      </w:tr>
      <w:tr w:rsidR="00BB7867" w:rsidRPr="00DA77C5" w:rsidTr="006B56C2">
        <w:trPr>
          <w:trHeight w:val="143"/>
          <w:jc w:val="center"/>
        </w:trPr>
        <w:tc>
          <w:tcPr>
            <w:tcW w:w="8797" w:type="dxa"/>
            <w:gridSpan w:val="6"/>
            <w:shd w:val="clear" w:color="auto" w:fill="auto"/>
          </w:tcPr>
          <w:p w:rsidR="00BB7867" w:rsidRPr="00DA77C5" w:rsidRDefault="00BB7867" w:rsidP="008C3BA6">
            <w:pPr>
              <w:rPr>
                <w:rFonts w:ascii="Arial" w:hAnsi="Arial" w:cs="Arial"/>
                <w:b/>
                <w:sz w:val="18"/>
                <w:szCs w:val="18"/>
              </w:rPr>
            </w:pPr>
            <w:r w:rsidRPr="00DA77C5">
              <w:rPr>
                <w:rFonts w:ascii="Arial" w:hAnsi="Arial" w:cs="Arial"/>
                <w:b/>
                <w:sz w:val="18"/>
                <w:szCs w:val="18"/>
              </w:rPr>
              <w:t>General Disorders and Administration Site Conditions</w:t>
            </w:r>
          </w:p>
        </w:tc>
      </w:tr>
      <w:tr w:rsidR="00BB7867" w:rsidRPr="00DA77C5" w:rsidTr="006B56C2">
        <w:trPr>
          <w:gridAfter w:val="1"/>
          <w:wAfter w:w="13" w:type="dxa"/>
          <w:trHeight w:val="143"/>
          <w:jc w:val="center"/>
        </w:trPr>
        <w:tc>
          <w:tcPr>
            <w:tcW w:w="2904" w:type="dxa"/>
            <w:tcBorders>
              <w:bottom w:val="nil"/>
            </w:tcBorders>
            <w:shd w:val="clear" w:color="auto" w:fill="auto"/>
          </w:tcPr>
          <w:p w:rsidR="00BB7867" w:rsidRPr="00DA77C5" w:rsidRDefault="00BB7867" w:rsidP="008C3BA6">
            <w:pPr>
              <w:rPr>
                <w:rFonts w:ascii="Arial" w:hAnsi="Arial" w:cs="Arial"/>
                <w:sz w:val="18"/>
                <w:szCs w:val="18"/>
              </w:rPr>
            </w:pPr>
            <w:r w:rsidRPr="00DA77C5">
              <w:rPr>
                <w:rFonts w:ascii="Arial" w:hAnsi="Arial" w:cs="Arial"/>
                <w:sz w:val="18"/>
                <w:szCs w:val="18"/>
              </w:rPr>
              <w:t>Fatigue</w:t>
            </w:r>
          </w:p>
        </w:tc>
        <w:tc>
          <w:tcPr>
            <w:tcW w:w="2775" w:type="dxa"/>
            <w:tcBorders>
              <w:bottom w:val="nil"/>
            </w:tcBorders>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8.2</w:t>
            </w:r>
          </w:p>
        </w:tc>
        <w:tc>
          <w:tcPr>
            <w:tcW w:w="3105" w:type="dxa"/>
            <w:gridSpan w:val="3"/>
            <w:tcBorders>
              <w:bottom w:val="nil"/>
            </w:tcBorders>
            <w:shd w:val="clear" w:color="auto" w:fill="auto"/>
          </w:tcPr>
          <w:p w:rsidR="00BB7867" w:rsidRPr="00DA77C5" w:rsidRDefault="00A06E1D" w:rsidP="00DA77C5">
            <w:pPr>
              <w:jc w:val="center"/>
              <w:rPr>
                <w:rFonts w:ascii="Arial" w:hAnsi="Arial" w:cs="Arial"/>
                <w:sz w:val="18"/>
                <w:szCs w:val="18"/>
              </w:rPr>
            </w:pPr>
            <w:r w:rsidRPr="00DA77C5">
              <w:rPr>
                <w:rFonts w:ascii="Arial" w:hAnsi="Arial" w:cs="Arial"/>
                <w:sz w:val="18"/>
                <w:szCs w:val="18"/>
              </w:rPr>
              <w:t>12.8</w:t>
            </w:r>
          </w:p>
        </w:tc>
      </w:tr>
    </w:tbl>
    <w:p w:rsidR="00DA77C5" w:rsidRPr="00DA77C5" w:rsidRDefault="00DA77C5" w:rsidP="00DA77C5">
      <w:pPr>
        <w:rPr>
          <w:vanish/>
        </w:rPr>
      </w:pPr>
    </w:p>
    <w:tbl>
      <w:tblPr>
        <w:tblW w:w="8797" w:type="dxa"/>
        <w:jc w:val="center"/>
        <w:tblInd w:w="-3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2904"/>
        <w:gridCol w:w="28"/>
        <w:gridCol w:w="2747"/>
        <w:gridCol w:w="16"/>
        <w:gridCol w:w="3089"/>
        <w:gridCol w:w="13"/>
      </w:tblGrid>
      <w:tr w:rsidR="00BB7867" w:rsidRPr="00DA77C5" w:rsidTr="00DA77C5">
        <w:trPr>
          <w:gridAfter w:val="1"/>
          <w:wAfter w:w="13" w:type="dxa"/>
          <w:trHeight w:val="143"/>
          <w:jc w:val="center"/>
        </w:trPr>
        <w:tc>
          <w:tcPr>
            <w:tcW w:w="2904" w:type="dxa"/>
            <w:shd w:val="clear" w:color="auto" w:fill="auto"/>
          </w:tcPr>
          <w:p w:rsidR="00BB7867" w:rsidRPr="00DA77C5" w:rsidRDefault="00BB7867" w:rsidP="008C3BA6">
            <w:pPr>
              <w:rPr>
                <w:rFonts w:ascii="Arial" w:hAnsi="Arial" w:cs="Arial"/>
                <w:sz w:val="18"/>
                <w:szCs w:val="18"/>
              </w:rPr>
            </w:pPr>
            <w:r w:rsidRPr="00DA77C5">
              <w:rPr>
                <w:rFonts w:ascii="Arial" w:hAnsi="Arial" w:cs="Arial"/>
                <w:sz w:val="18"/>
                <w:szCs w:val="18"/>
              </w:rPr>
              <w:t>Pyrexia</w:t>
            </w:r>
          </w:p>
        </w:tc>
        <w:tc>
          <w:tcPr>
            <w:tcW w:w="2775" w:type="dxa"/>
            <w:gridSpan w:val="2"/>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13.5</w:t>
            </w:r>
          </w:p>
        </w:tc>
        <w:tc>
          <w:tcPr>
            <w:tcW w:w="3105" w:type="dxa"/>
            <w:gridSpan w:val="2"/>
            <w:shd w:val="clear" w:color="auto" w:fill="auto"/>
          </w:tcPr>
          <w:p w:rsidR="00BB7867" w:rsidRPr="00DA77C5" w:rsidRDefault="00A06E1D" w:rsidP="00DA77C5">
            <w:pPr>
              <w:jc w:val="center"/>
              <w:rPr>
                <w:rFonts w:ascii="Arial" w:hAnsi="Arial" w:cs="Arial"/>
                <w:sz w:val="18"/>
                <w:szCs w:val="18"/>
              </w:rPr>
            </w:pPr>
            <w:r w:rsidRPr="00DA77C5">
              <w:rPr>
                <w:rFonts w:ascii="Arial" w:hAnsi="Arial" w:cs="Arial"/>
                <w:sz w:val="18"/>
                <w:szCs w:val="18"/>
              </w:rPr>
              <w:t>12.1</w:t>
            </w:r>
          </w:p>
        </w:tc>
      </w:tr>
      <w:tr w:rsidR="00BB7867" w:rsidRPr="00DA77C5" w:rsidTr="00DA77C5">
        <w:trPr>
          <w:trHeight w:val="143"/>
          <w:jc w:val="center"/>
        </w:trPr>
        <w:tc>
          <w:tcPr>
            <w:tcW w:w="8797" w:type="dxa"/>
            <w:gridSpan w:val="6"/>
            <w:shd w:val="clear" w:color="auto" w:fill="auto"/>
          </w:tcPr>
          <w:p w:rsidR="00BB7867" w:rsidRPr="00DA77C5" w:rsidRDefault="00BB7867" w:rsidP="008C3BA6">
            <w:pPr>
              <w:rPr>
                <w:rFonts w:ascii="Arial" w:hAnsi="Arial" w:cs="Arial"/>
                <w:b/>
                <w:sz w:val="18"/>
                <w:szCs w:val="18"/>
              </w:rPr>
            </w:pPr>
            <w:r w:rsidRPr="00DA77C5">
              <w:rPr>
                <w:rFonts w:ascii="Arial" w:hAnsi="Arial" w:cs="Arial"/>
                <w:b/>
                <w:sz w:val="18"/>
                <w:szCs w:val="18"/>
              </w:rPr>
              <w:t>Infections and Infestations</w:t>
            </w:r>
          </w:p>
        </w:tc>
      </w:tr>
      <w:tr w:rsidR="00BB7867" w:rsidRPr="00DA77C5" w:rsidTr="00DA77C5">
        <w:trPr>
          <w:gridAfter w:val="1"/>
          <w:wAfter w:w="13" w:type="dxa"/>
          <w:trHeight w:val="185"/>
          <w:jc w:val="center"/>
        </w:trPr>
        <w:tc>
          <w:tcPr>
            <w:tcW w:w="2904" w:type="dxa"/>
            <w:shd w:val="clear" w:color="auto" w:fill="auto"/>
          </w:tcPr>
          <w:p w:rsidR="00BB7867" w:rsidRPr="00DA77C5" w:rsidRDefault="00BB7867" w:rsidP="008C3BA6">
            <w:pPr>
              <w:rPr>
                <w:rFonts w:ascii="Arial" w:hAnsi="Arial" w:cs="Arial"/>
                <w:sz w:val="18"/>
                <w:szCs w:val="18"/>
              </w:rPr>
            </w:pPr>
            <w:r w:rsidRPr="00DA77C5">
              <w:rPr>
                <w:rFonts w:ascii="Arial" w:hAnsi="Arial" w:cs="Arial"/>
                <w:sz w:val="18"/>
                <w:szCs w:val="18"/>
              </w:rPr>
              <w:t>Influenza</w:t>
            </w:r>
          </w:p>
        </w:tc>
        <w:tc>
          <w:tcPr>
            <w:tcW w:w="2775" w:type="dxa"/>
            <w:gridSpan w:val="2"/>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9.3</w:t>
            </w:r>
          </w:p>
        </w:tc>
        <w:tc>
          <w:tcPr>
            <w:tcW w:w="3105" w:type="dxa"/>
            <w:gridSpan w:val="2"/>
            <w:shd w:val="clear" w:color="auto" w:fill="auto"/>
          </w:tcPr>
          <w:p w:rsidR="00BB7867" w:rsidRPr="00DA77C5" w:rsidRDefault="003A3F47" w:rsidP="00DA77C5">
            <w:pPr>
              <w:jc w:val="center"/>
              <w:rPr>
                <w:rFonts w:ascii="Arial" w:hAnsi="Arial" w:cs="Arial"/>
                <w:sz w:val="18"/>
                <w:szCs w:val="18"/>
              </w:rPr>
            </w:pPr>
            <w:r w:rsidRPr="00DA77C5">
              <w:rPr>
                <w:rFonts w:ascii="Arial" w:hAnsi="Arial" w:cs="Arial"/>
                <w:sz w:val="18"/>
                <w:szCs w:val="18"/>
              </w:rPr>
              <w:t>12.8</w:t>
            </w:r>
          </w:p>
        </w:tc>
      </w:tr>
      <w:tr w:rsidR="00BB7867" w:rsidRPr="00DA77C5" w:rsidTr="00DA77C5">
        <w:trPr>
          <w:gridAfter w:val="1"/>
          <w:wAfter w:w="13" w:type="dxa"/>
          <w:trHeight w:val="185"/>
          <w:jc w:val="center"/>
        </w:trPr>
        <w:tc>
          <w:tcPr>
            <w:tcW w:w="2904" w:type="dxa"/>
            <w:shd w:val="clear" w:color="auto" w:fill="auto"/>
          </w:tcPr>
          <w:p w:rsidR="00BB7867" w:rsidRPr="00DA77C5" w:rsidRDefault="00BB7867" w:rsidP="008C3BA6">
            <w:pPr>
              <w:rPr>
                <w:rFonts w:ascii="Arial" w:hAnsi="Arial" w:cs="Arial"/>
                <w:sz w:val="18"/>
                <w:szCs w:val="18"/>
              </w:rPr>
            </w:pPr>
            <w:r w:rsidRPr="00DA77C5">
              <w:rPr>
                <w:rFonts w:ascii="Arial" w:hAnsi="Arial" w:cs="Arial"/>
                <w:sz w:val="18"/>
                <w:szCs w:val="18"/>
              </w:rPr>
              <w:t>Nasopharyngitis</w:t>
            </w:r>
          </w:p>
        </w:tc>
        <w:tc>
          <w:tcPr>
            <w:tcW w:w="2775" w:type="dxa"/>
            <w:gridSpan w:val="2"/>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22.1</w:t>
            </w:r>
          </w:p>
        </w:tc>
        <w:tc>
          <w:tcPr>
            <w:tcW w:w="3105" w:type="dxa"/>
            <w:gridSpan w:val="2"/>
            <w:shd w:val="clear" w:color="auto" w:fill="auto"/>
          </w:tcPr>
          <w:p w:rsidR="00BB7867" w:rsidRPr="00DA77C5" w:rsidRDefault="003A3F47" w:rsidP="00DA77C5">
            <w:pPr>
              <w:jc w:val="center"/>
              <w:rPr>
                <w:rFonts w:ascii="Arial" w:hAnsi="Arial" w:cs="Arial"/>
                <w:sz w:val="18"/>
                <w:szCs w:val="18"/>
              </w:rPr>
            </w:pPr>
            <w:r w:rsidRPr="00DA77C5">
              <w:rPr>
                <w:rFonts w:ascii="Arial" w:hAnsi="Arial" w:cs="Arial"/>
                <w:sz w:val="18"/>
                <w:szCs w:val="18"/>
              </w:rPr>
              <w:t>18.1</w:t>
            </w:r>
          </w:p>
        </w:tc>
      </w:tr>
      <w:tr w:rsidR="00BB7867" w:rsidRPr="00DA77C5" w:rsidTr="00DA77C5">
        <w:trPr>
          <w:gridAfter w:val="1"/>
          <w:wAfter w:w="13" w:type="dxa"/>
          <w:trHeight w:val="185"/>
          <w:jc w:val="center"/>
        </w:trPr>
        <w:tc>
          <w:tcPr>
            <w:tcW w:w="2904" w:type="dxa"/>
            <w:shd w:val="clear" w:color="auto" w:fill="auto"/>
          </w:tcPr>
          <w:p w:rsidR="00BB7867" w:rsidRPr="00DA77C5" w:rsidRDefault="00BB7867" w:rsidP="008C3BA6">
            <w:pPr>
              <w:rPr>
                <w:rFonts w:ascii="Arial" w:hAnsi="Arial" w:cs="Arial"/>
                <w:sz w:val="18"/>
                <w:szCs w:val="18"/>
              </w:rPr>
            </w:pPr>
            <w:r w:rsidRPr="00DA77C5">
              <w:rPr>
                <w:rFonts w:ascii="Arial" w:hAnsi="Arial" w:cs="Arial"/>
                <w:sz w:val="18"/>
                <w:szCs w:val="18"/>
              </w:rPr>
              <w:t>Upper respiratory tract infection</w:t>
            </w:r>
          </w:p>
        </w:tc>
        <w:tc>
          <w:tcPr>
            <w:tcW w:w="2775" w:type="dxa"/>
            <w:gridSpan w:val="2"/>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18.9</w:t>
            </w:r>
          </w:p>
        </w:tc>
        <w:tc>
          <w:tcPr>
            <w:tcW w:w="3105" w:type="dxa"/>
            <w:gridSpan w:val="2"/>
            <w:shd w:val="clear" w:color="auto" w:fill="auto"/>
          </w:tcPr>
          <w:p w:rsidR="00BB7867" w:rsidRPr="00DA77C5" w:rsidRDefault="003A3F47" w:rsidP="00DA77C5">
            <w:pPr>
              <w:jc w:val="center"/>
              <w:rPr>
                <w:rFonts w:ascii="Arial" w:hAnsi="Arial" w:cs="Arial"/>
                <w:sz w:val="18"/>
                <w:szCs w:val="18"/>
              </w:rPr>
            </w:pPr>
            <w:r w:rsidRPr="00DA77C5">
              <w:rPr>
                <w:rFonts w:ascii="Arial" w:hAnsi="Arial" w:cs="Arial"/>
                <w:sz w:val="18"/>
                <w:szCs w:val="18"/>
              </w:rPr>
              <w:t>18.4</w:t>
            </w:r>
          </w:p>
        </w:tc>
      </w:tr>
      <w:tr w:rsidR="00B73FC0" w:rsidRPr="00DA77C5" w:rsidTr="00DA77C5">
        <w:trPr>
          <w:gridAfter w:val="1"/>
          <w:wAfter w:w="13" w:type="dxa"/>
          <w:trHeight w:val="185"/>
          <w:jc w:val="center"/>
        </w:trPr>
        <w:tc>
          <w:tcPr>
            <w:tcW w:w="8784" w:type="dxa"/>
            <w:gridSpan w:val="5"/>
            <w:shd w:val="clear" w:color="auto" w:fill="auto"/>
          </w:tcPr>
          <w:p w:rsidR="00B73FC0" w:rsidRPr="00DA77C5" w:rsidRDefault="00B73FC0" w:rsidP="00824EFD">
            <w:pPr>
              <w:rPr>
                <w:rFonts w:ascii="Arial" w:hAnsi="Arial" w:cs="Arial"/>
                <w:b/>
                <w:sz w:val="18"/>
                <w:szCs w:val="18"/>
              </w:rPr>
            </w:pPr>
            <w:r w:rsidRPr="00DA77C5">
              <w:rPr>
                <w:rFonts w:ascii="Arial" w:hAnsi="Arial" w:cs="Arial"/>
                <w:b/>
                <w:sz w:val="18"/>
                <w:szCs w:val="18"/>
              </w:rPr>
              <w:t>Musculoskeletal and Connective Tissue Disorders</w:t>
            </w:r>
          </w:p>
        </w:tc>
      </w:tr>
      <w:tr w:rsidR="00824EFD" w:rsidRPr="00DA77C5" w:rsidTr="00DA77C5">
        <w:trPr>
          <w:gridAfter w:val="1"/>
          <w:wAfter w:w="13" w:type="dxa"/>
          <w:trHeight w:val="125"/>
          <w:jc w:val="center"/>
        </w:trPr>
        <w:tc>
          <w:tcPr>
            <w:tcW w:w="2904" w:type="dxa"/>
            <w:shd w:val="clear" w:color="auto" w:fill="auto"/>
          </w:tcPr>
          <w:p w:rsidR="00824EFD" w:rsidRPr="00DA77C5" w:rsidRDefault="00824EFD" w:rsidP="008C3BA6">
            <w:pPr>
              <w:rPr>
                <w:rFonts w:ascii="Arial" w:hAnsi="Arial" w:cs="Arial"/>
                <w:sz w:val="18"/>
                <w:szCs w:val="18"/>
              </w:rPr>
            </w:pPr>
            <w:r w:rsidRPr="00DA77C5">
              <w:rPr>
                <w:rFonts w:ascii="Arial" w:hAnsi="Arial" w:cs="Arial"/>
                <w:sz w:val="18"/>
                <w:szCs w:val="18"/>
              </w:rPr>
              <w:lastRenderedPageBreak/>
              <w:t>Arthralgia</w:t>
            </w:r>
          </w:p>
        </w:tc>
        <w:tc>
          <w:tcPr>
            <w:tcW w:w="2775" w:type="dxa"/>
            <w:gridSpan w:val="2"/>
            <w:shd w:val="clear" w:color="auto" w:fill="auto"/>
          </w:tcPr>
          <w:p w:rsidR="00824EFD" w:rsidRPr="00DA77C5" w:rsidRDefault="00824EFD" w:rsidP="00DA77C5">
            <w:pPr>
              <w:jc w:val="center"/>
              <w:rPr>
                <w:rFonts w:ascii="Arial" w:hAnsi="Arial" w:cs="Arial"/>
                <w:sz w:val="18"/>
                <w:szCs w:val="18"/>
              </w:rPr>
            </w:pPr>
            <w:r w:rsidRPr="00DA77C5">
              <w:rPr>
                <w:rFonts w:ascii="Arial" w:hAnsi="Arial" w:cs="Arial"/>
                <w:sz w:val="18"/>
                <w:szCs w:val="18"/>
              </w:rPr>
              <w:t>7.8</w:t>
            </w:r>
          </w:p>
        </w:tc>
        <w:tc>
          <w:tcPr>
            <w:tcW w:w="3105" w:type="dxa"/>
            <w:gridSpan w:val="2"/>
            <w:shd w:val="clear" w:color="auto" w:fill="auto"/>
          </w:tcPr>
          <w:p w:rsidR="00824EFD" w:rsidRPr="00DA77C5" w:rsidRDefault="003A3F47" w:rsidP="00DA77C5">
            <w:pPr>
              <w:jc w:val="center"/>
              <w:rPr>
                <w:rFonts w:ascii="Arial" w:hAnsi="Arial" w:cs="Arial"/>
                <w:sz w:val="18"/>
                <w:szCs w:val="18"/>
              </w:rPr>
            </w:pPr>
            <w:r w:rsidRPr="00DA77C5">
              <w:rPr>
                <w:rFonts w:ascii="Arial" w:hAnsi="Arial" w:cs="Arial"/>
                <w:sz w:val="18"/>
                <w:szCs w:val="18"/>
              </w:rPr>
              <w:t>11.0</w:t>
            </w:r>
          </w:p>
        </w:tc>
      </w:tr>
      <w:tr w:rsidR="00824EFD" w:rsidRPr="00DA77C5" w:rsidTr="00DA77C5">
        <w:trPr>
          <w:gridAfter w:val="1"/>
          <w:wAfter w:w="13" w:type="dxa"/>
          <w:trHeight w:val="125"/>
          <w:jc w:val="center"/>
        </w:trPr>
        <w:tc>
          <w:tcPr>
            <w:tcW w:w="2904" w:type="dxa"/>
            <w:shd w:val="clear" w:color="auto" w:fill="auto"/>
          </w:tcPr>
          <w:p w:rsidR="00824EFD" w:rsidRPr="0090039C" w:rsidRDefault="00824EFD" w:rsidP="008C3BA6">
            <w:pPr>
              <w:rPr>
                <w:rFonts w:ascii="Arial" w:hAnsi="Arial" w:cs="Arial"/>
                <w:sz w:val="18"/>
                <w:szCs w:val="18"/>
              </w:rPr>
            </w:pPr>
            <w:r w:rsidRPr="00FB408B">
              <w:rPr>
                <w:rFonts w:ascii="Arial" w:hAnsi="Arial" w:cs="Arial"/>
                <w:b/>
                <w:sz w:val="18"/>
                <w:szCs w:val="18"/>
              </w:rPr>
              <w:t>Nervous System Disorders</w:t>
            </w:r>
          </w:p>
        </w:tc>
        <w:tc>
          <w:tcPr>
            <w:tcW w:w="2775" w:type="dxa"/>
            <w:gridSpan w:val="2"/>
            <w:shd w:val="clear" w:color="auto" w:fill="auto"/>
          </w:tcPr>
          <w:p w:rsidR="00824EFD" w:rsidRPr="000A774C" w:rsidRDefault="00824EFD" w:rsidP="00DA77C5">
            <w:pPr>
              <w:jc w:val="center"/>
              <w:rPr>
                <w:rFonts w:ascii="Arial" w:hAnsi="Arial" w:cs="Arial"/>
                <w:sz w:val="18"/>
                <w:szCs w:val="18"/>
              </w:rPr>
            </w:pPr>
          </w:p>
        </w:tc>
        <w:tc>
          <w:tcPr>
            <w:tcW w:w="3105" w:type="dxa"/>
            <w:gridSpan w:val="2"/>
            <w:shd w:val="clear" w:color="auto" w:fill="auto"/>
          </w:tcPr>
          <w:p w:rsidR="00824EFD" w:rsidRPr="000A774C" w:rsidRDefault="00824EFD" w:rsidP="00DA77C5">
            <w:pPr>
              <w:jc w:val="center"/>
              <w:rPr>
                <w:rFonts w:ascii="Arial" w:hAnsi="Arial" w:cs="Arial"/>
                <w:sz w:val="18"/>
                <w:szCs w:val="18"/>
              </w:rPr>
            </w:pPr>
          </w:p>
        </w:tc>
      </w:tr>
      <w:tr w:rsidR="00BB7867" w:rsidRPr="00DA77C5" w:rsidTr="00DA77C5">
        <w:trPr>
          <w:gridAfter w:val="1"/>
          <w:wAfter w:w="13" w:type="dxa"/>
          <w:trHeight w:val="125"/>
          <w:jc w:val="center"/>
        </w:trPr>
        <w:tc>
          <w:tcPr>
            <w:tcW w:w="2904" w:type="dxa"/>
            <w:shd w:val="clear" w:color="auto" w:fill="auto"/>
          </w:tcPr>
          <w:p w:rsidR="00BB7867" w:rsidRPr="00DA77C5" w:rsidRDefault="00BB7867" w:rsidP="008C3BA6">
            <w:pPr>
              <w:rPr>
                <w:rFonts w:ascii="Arial" w:hAnsi="Arial" w:cs="Arial"/>
                <w:sz w:val="18"/>
                <w:szCs w:val="18"/>
              </w:rPr>
            </w:pPr>
            <w:r w:rsidRPr="00DA77C5">
              <w:rPr>
                <w:rFonts w:ascii="Arial" w:hAnsi="Arial" w:cs="Arial"/>
                <w:sz w:val="18"/>
                <w:szCs w:val="18"/>
              </w:rPr>
              <w:t>Dizziness</w:t>
            </w:r>
          </w:p>
        </w:tc>
        <w:tc>
          <w:tcPr>
            <w:tcW w:w="2775" w:type="dxa"/>
            <w:gridSpan w:val="2"/>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8.9</w:t>
            </w:r>
          </w:p>
        </w:tc>
        <w:tc>
          <w:tcPr>
            <w:tcW w:w="3105" w:type="dxa"/>
            <w:gridSpan w:val="2"/>
            <w:shd w:val="clear" w:color="auto" w:fill="auto"/>
          </w:tcPr>
          <w:p w:rsidR="00BB7867" w:rsidRPr="00DA77C5" w:rsidRDefault="005379C3" w:rsidP="00DA77C5">
            <w:pPr>
              <w:jc w:val="center"/>
              <w:rPr>
                <w:rFonts w:ascii="Arial" w:hAnsi="Arial" w:cs="Arial"/>
                <w:sz w:val="18"/>
                <w:szCs w:val="18"/>
              </w:rPr>
            </w:pPr>
            <w:r w:rsidRPr="00DA77C5">
              <w:rPr>
                <w:rFonts w:ascii="Arial" w:hAnsi="Arial" w:cs="Arial"/>
                <w:sz w:val="18"/>
                <w:szCs w:val="18"/>
              </w:rPr>
              <w:t>37.6</w:t>
            </w:r>
          </w:p>
        </w:tc>
      </w:tr>
      <w:tr w:rsidR="00BB7867" w:rsidRPr="00DA77C5" w:rsidTr="00DA77C5">
        <w:trPr>
          <w:gridAfter w:val="1"/>
          <w:wAfter w:w="13" w:type="dxa"/>
          <w:trHeight w:val="125"/>
          <w:jc w:val="center"/>
        </w:trPr>
        <w:tc>
          <w:tcPr>
            <w:tcW w:w="2904" w:type="dxa"/>
            <w:shd w:val="clear" w:color="auto" w:fill="auto"/>
          </w:tcPr>
          <w:p w:rsidR="00BB7867" w:rsidRPr="00DA77C5" w:rsidRDefault="00BB7867" w:rsidP="008C3BA6">
            <w:pPr>
              <w:rPr>
                <w:rFonts w:ascii="Arial" w:hAnsi="Arial" w:cs="Arial"/>
                <w:sz w:val="18"/>
                <w:szCs w:val="18"/>
              </w:rPr>
            </w:pPr>
            <w:r w:rsidRPr="00DA77C5">
              <w:rPr>
                <w:rFonts w:ascii="Arial" w:hAnsi="Arial" w:cs="Arial"/>
                <w:sz w:val="18"/>
                <w:szCs w:val="18"/>
              </w:rPr>
              <w:t>Headache</w:t>
            </w:r>
          </w:p>
        </w:tc>
        <w:tc>
          <w:tcPr>
            <w:tcW w:w="2775" w:type="dxa"/>
            <w:gridSpan w:val="2"/>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23.5</w:t>
            </w:r>
          </w:p>
        </w:tc>
        <w:tc>
          <w:tcPr>
            <w:tcW w:w="3105" w:type="dxa"/>
            <w:gridSpan w:val="2"/>
            <w:shd w:val="clear" w:color="auto" w:fill="auto"/>
          </w:tcPr>
          <w:p w:rsidR="00BB7867" w:rsidRPr="00DA77C5" w:rsidRDefault="003A3F47" w:rsidP="00DA77C5">
            <w:pPr>
              <w:jc w:val="center"/>
              <w:rPr>
                <w:rFonts w:ascii="Arial" w:hAnsi="Arial" w:cs="Arial"/>
                <w:sz w:val="18"/>
                <w:szCs w:val="18"/>
              </w:rPr>
            </w:pPr>
            <w:r w:rsidRPr="00DA77C5">
              <w:rPr>
                <w:rFonts w:ascii="Arial" w:hAnsi="Arial" w:cs="Arial"/>
                <w:sz w:val="18"/>
                <w:szCs w:val="18"/>
              </w:rPr>
              <w:t>27.0</w:t>
            </w:r>
          </w:p>
        </w:tc>
      </w:tr>
      <w:tr w:rsidR="00BB7867" w:rsidRPr="00DA77C5" w:rsidTr="00DA77C5">
        <w:trPr>
          <w:trHeight w:val="107"/>
          <w:jc w:val="center"/>
        </w:trPr>
        <w:tc>
          <w:tcPr>
            <w:tcW w:w="8797" w:type="dxa"/>
            <w:gridSpan w:val="6"/>
            <w:shd w:val="clear" w:color="auto" w:fill="auto"/>
          </w:tcPr>
          <w:p w:rsidR="00BB7867" w:rsidRPr="00DA77C5" w:rsidRDefault="00BB7867" w:rsidP="008C3BA6">
            <w:pPr>
              <w:rPr>
                <w:rFonts w:ascii="Arial" w:hAnsi="Arial" w:cs="Arial"/>
                <w:b/>
                <w:sz w:val="18"/>
                <w:szCs w:val="18"/>
              </w:rPr>
            </w:pPr>
            <w:r w:rsidRPr="00DA77C5">
              <w:rPr>
                <w:rFonts w:ascii="Arial" w:hAnsi="Arial" w:cs="Arial"/>
                <w:b/>
                <w:sz w:val="18"/>
                <w:szCs w:val="18"/>
              </w:rPr>
              <w:t>Psychiatric Disorders</w:t>
            </w:r>
          </w:p>
        </w:tc>
      </w:tr>
      <w:tr w:rsidR="00BB7867" w:rsidRPr="00DA77C5" w:rsidTr="00DA77C5">
        <w:trPr>
          <w:gridAfter w:val="1"/>
          <w:wAfter w:w="13" w:type="dxa"/>
          <w:trHeight w:val="188"/>
          <w:jc w:val="center"/>
        </w:trPr>
        <w:tc>
          <w:tcPr>
            <w:tcW w:w="2904" w:type="dxa"/>
            <w:shd w:val="clear" w:color="auto" w:fill="auto"/>
          </w:tcPr>
          <w:p w:rsidR="00BB7867" w:rsidRPr="00DA77C5" w:rsidRDefault="00BB7867" w:rsidP="008C3BA6">
            <w:pPr>
              <w:rPr>
                <w:rFonts w:ascii="Arial" w:hAnsi="Arial" w:cs="Arial"/>
                <w:b/>
                <w:sz w:val="18"/>
                <w:szCs w:val="18"/>
              </w:rPr>
            </w:pPr>
            <w:r w:rsidRPr="00DA77C5">
              <w:rPr>
                <w:rFonts w:ascii="Arial" w:hAnsi="Arial" w:cs="Arial"/>
                <w:sz w:val="18"/>
                <w:szCs w:val="18"/>
              </w:rPr>
              <w:t>Abnormal dreams</w:t>
            </w:r>
          </w:p>
        </w:tc>
        <w:tc>
          <w:tcPr>
            <w:tcW w:w="2775" w:type="dxa"/>
            <w:gridSpan w:val="2"/>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7.1</w:t>
            </w:r>
          </w:p>
        </w:tc>
        <w:tc>
          <w:tcPr>
            <w:tcW w:w="3105" w:type="dxa"/>
            <w:gridSpan w:val="2"/>
            <w:shd w:val="clear" w:color="auto" w:fill="auto"/>
          </w:tcPr>
          <w:p w:rsidR="00BB7867" w:rsidRPr="00DA77C5" w:rsidRDefault="00BB7867" w:rsidP="00DA77C5">
            <w:pPr>
              <w:jc w:val="center"/>
              <w:rPr>
                <w:rFonts w:ascii="Arial" w:hAnsi="Arial" w:cs="Arial"/>
                <w:sz w:val="18"/>
                <w:szCs w:val="18"/>
              </w:rPr>
            </w:pPr>
            <w:r w:rsidRPr="00DA77C5">
              <w:rPr>
                <w:rFonts w:ascii="Arial" w:hAnsi="Arial" w:cs="Arial"/>
                <w:sz w:val="18"/>
                <w:szCs w:val="18"/>
              </w:rPr>
              <w:t>13.1</w:t>
            </w:r>
          </w:p>
        </w:tc>
      </w:tr>
      <w:tr w:rsidR="00BB7867" w:rsidRPr="00DA77C5" w:rsidTr="00DA77C5">
        <w:trPr>
          <w:gridAfter w:val="1"/>
          <w:wAfter w:w="13" w:type="dxa"/>
          <w:trHeight w:val="187"/>
          <w:jc w:val="center"/>
        </w:trPr>
        <w:tc>
          <w:tcPr>
            <w:tcW w:w="2904" w:type="dxa"/>
            <w:shd w:val="clear" w:color="auto" w:fill="auto"/>
          </w:tcPr>
          <w:p w:rsidR="00BB7867" w:rsidRPr="00DA77C5" w:rsidRDefault="00BB7867" w:rsidP="008C3BA6">
            <w:pPr>
              <w:rPr>
                <w:rFonts w:ascii="Arial" w:hAnsi="Arial" w:cs="Arial"/>
                <w:sz w:val="18"/>
                <w:szCs w:val="18"/>
              </w:rPr>
            </w:pPr>
            <w:r w:rsidRPr="00DA77C5">
              <w:rPr>
                <w:rFonts w:ascii="Arial" w:hAnsi="Arial" w:cs="Arial"/>
                <w:sz w:val="18"/>
                <w:szCs w:val="18"/>
              </w:rPr>
              <w:t>Insomnia</w:t>
            </w:r>
          </w:p>
        </w:tc>
        <w:tc>
          <w:tcPr>
            <w:tcW w:w="2775" w:type="dxa"/>
            <w:gridSpan w:val="2"/>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13.9</w:t>
            </w:r>
          </w:p>
        </w:tc>
        <w:tc>
          <w:tcPr>
            <w:tcW w:w="3105" w:type="dxa"/>
            <w:gridSpan w:val="2"/>
            <w:shd w:val="clear" w:color="auto" w:fill="auto"/>
          </w:tcPr>
          <w:p w:rsidR="00BB7867" w:rsidRPr="00DA77C5" w:rsidRDefault="003A3F47" w:rsidP="00DA77C5">
            <w:pPr>
              <w:jc w:val="center"/>
              <w:rPr>
                <w:rFonts w:ascii="Arial" w:hAnsi="Arial" w:cs="Arial"/>
                <w:sz w:val="18"/>
                <w:szCs w:val="18"/>
              </w:rPr>
            </w:pPr>
            <w:r w:rsidRPr="00DA77C5">
              <w:rPr>
                <w:rFonts w:ascii="Arial" w:hAnsi="Arial" w:cs="Arial"/>
                <w:sz w:val="18"/>
                <w:szCs w:val="18"/>
              </w:rPr>
              <w:t>12.4</w:t>
            </w:r>
          </w:p>
        </w:tc>
      </w:tr>
      <w:tr w:rsidR="00BB7867" w:rsidRPr="00DA77C5" w:rsidTr="00DA77C5">
        <w:trPr>
          <w:trHeight w:val="107"/>
          <w:jc w:val="center"/>
        </w:trPr>
        <w:tc>
          <w:tcPr>
            <w:tcW w:w="8797" w:type="dxa"/>
            <w:gridSpan w:val="6"/>
            <w:shd w:val="clear" w:color="auto" w:fill="auto"/>
          </w:tcPr>
          <w:p w:rsidR="00BB7867" w:rsidRPr="00DA77C5" w:rsidRDefault="00BB7867" w:rsidP="008C3BA6">
            <w:pPr>
              <w:rPr>
                <w:rFonts w:ascii="Arial" w:hAnsi="Arial" w:cs="Arial"/>
                <w:b/>
                <w:sz w:val="18"/>
                <w:szCs w:val="18"/>
              </w:rPr>
            </w:pPr>
            <w:r w:rsidRPr="00DA77C5">
              <w:rPr>
                <w:rFonts w:ascii="Arial" w:hAnsi="Arial" w:cs="Arial"/>
                <w:b/>
                <w:sz w:val="18"/>
                <w:szCs w:val="18"/>
              </w:rPr>
              <w:t>Respiratory, Thoracic and Medastinal Disorders</w:t>
            </w:r>
          </w:p>
        </w:tc>
      </w:tr>
      <w:tr w:rsidR="00BB7867" w:rsidRPr="00DA77C5" w:rsidTr="00DA77C5">
        <w:trPr>
          <w:trHeight w:val="107"/>
          <w:jc w:val="center"/>
        </w:trPr>
        <w:tc>
          <w:tcPr>
            <w:tcW w:w="2932" w:type="dxa"/>
            <w:gridSpan w:val="2"/>
            <w:shd w:val="clear" w:color="auto" w:fill="auto"/>
          </w:tcPr>
          <w:p w:rsidR="00BB7867" w:rsidRPr="00DA77C5" w:rsidRDefault="00BB7867" w:rsidP="008C3BA6">
            <w:pPr>
              <w:rPr>
                <w:rFonts w:ascii="Arial" w:hAnsi="Arial" w:cs="Arial"/>
                <w:sz w:val="18"/>
                <w:szCs w:val="18"/>
              </w:rPr>
            </w:pPr>
            <w:r w:rsidRPr="00DA77C5">
              <w:rPr>
                <w:rFonts w:ascii="Arial" w:hAnsi="Arial" w:cs="Arial"/>
                <w:sz w:val="18"/>
                <w:szCs w:val="18"/>
              </w:rPr>
              <w:t>Cough</w:t>
            </w:r>
          </w:p>
        </w:tc>
        <w:tc>
          <w:tcPr>
            <w:tcW w:w="2763" w:type="dxa"/>
            <w:gridSpan w:val="2"/>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14.9</w:t>
            </w:r>
          </w:p>
        </w:tc>
        <w:tc>
          <w:tcPr>
            <w:tcW w:w="3102" w:type="dxa"/>
            <w:gridSpan w:val="2"/>
            <w:shd w:val="clear" w:color="auto" w:fill="auto"/>
          </w:tcPr>
          <w:p w:rsidR="00BB7867" w:rsidRPr="00DA77C5" w:rsidRDefault="003A3F47" w:rsidP="00DA77C5">
            <w:pPr>
              <w:jc w:val="center"/>
              <w:rPr>
                <w:rFonts w:ascii="Arial" w:hAnsi="Arial" w:cs="Arial"/>
                <w:sz w:val="18"/>
                <w:szCs w:val="18"/>
              </w:rPr>
            </w:pPr>
            <w:r w:rsidRPr="00DA77C5">
              <w:rPr>
                <w:rFonts w:ascii="Arial" w:hAnsi="Arial" w:cs="Arial"/>
                <w:sz w:val="18"/>
                <w:szCs w:val="18"/>
              </w:rPr>
              <w:t>10.3</w:t>
            </w:r>
          </w:p>
        </w:tc>
      </w:tr>
      <w:tr w:rsidR="00BB7867" w:rsidRPr="00DA77C5" w:rsidTr="00DA77C5">
        <w:trPr>
          <w:trHeight w:val="107"/>
          <w:jc w:val="center"/>
        </w:trPr>
        <w:tc>
          <w:tcPr>
            <w:tcW w:w="8797" w:type="dxa"/>
            <w:gridSpan w:val="6"/>
            <w:shd w:val="clear" w:color="auto" w:fill="auto"/>
          </w:tcPr>
          <w:p w:rsidR="00BB7867" w:rsidRPr="00DA77C5" w:rsidRDefault="00BB7867" w:rsidP="008C3BA6">
            <w:pPr>
              <w:rPr>
                <w:rFonts w:ascii="Arial" w:hAnsi="Arial" w:cs="Arial"/>
                <w:sz w:val="18"/>
                <w:szCs w:val="18"/>
              </w:rPr>
            </w:pPr>
            <w:r w:rsidRPr="00DA77C5">
              <w:rPr>
                <w:rFonts w:ascii="Arial" w:hAnsi="Arial" w:cs="Arial"/>
                <w:b/>
                <w:sz w:val="18"/>
                <w:szCs w:val="18"/>
              </w:rPr>
              <w:t>Skin and Subcutaneous Tissue Disorder</w:t>
            </w:r>
          </w:p>
        </w:tc>
      </w:tr>
      <w:tr w:rsidR="00BB7867" w:rsidRPr="00DA77C5" w:rsidTr="00DA77C5">
        <w:trPr>
          <w:gridAfter w:val="1"/>
          <w:wAfter w:w="13" w:type="dxa"/>
          <w:trHeight w:val="80"/>
          <w:jc w:val="center"/>
        </w:trPr>
        <w:tc>
          <w:tcPr>
            <w:tcW w:w="2904" w:type="dxa"/>
            <w:shd w:val="clear" w:color="auto" w:fill="auto"/>
          </w:tcPr>
          <w:p w:rsidR="00BB7867" w:rsidRPr="00DA77C5" w:rsidRDefault="00BB7867" w:rsidP="008C3BA6">
            <w:pPr>
              <w:rPr>
                <w:rFonts w:ascii="Arial" w:hAnsi="Arial" w:cs="Arial"/>
                <w:sz w:val="18"/>
                <w:szCs w:val="18"/>
              </w:rPr>
            </w:pPr>
            <w:r w:rsidRPr="00DA77C5">
              <w:rPr>
                <w:rFonts w:ascii="Arial" w:hAnsi="Arial" w:cs="Arial"/>
                <w:sz w:val="18"/>
                <w:szCs w:val="18"/>
              </w:rPr>
              <w:t>Rash</w:t>
            </w:r>
          </w:p>
        </w:tc>
        <w:tc>
          <w:tcPr>
            <w:tcW w:w="2775" w:type="dxa"/>
            <w:gridSpan w:val="2"/>
            <w:shd w:val="clear" w:color="auto" w:fill="auto"/>
          </w:tcPr>
          <w:p w:rsidR="00BB7867" w:rsidRPr="00DA77C5" w:rsidRDefault="00824EFD" w:rsidP="00DA77C5">
            <w:pPr>
              <w:jc w:val="center"/>
              <w:rPr>
                <w:rFonts w:ascii="Arial" w:hAnsi="Arial" w:cs="Arial"/>
                <w:sz w:val="18"/>
                <w:szCs w:val="18"/>
              </w:rPr>
            </w:pPr>
            <w:r w:rsidRPr="00DA77C5">
              <w:rPr>
                <w:rFonts w:ascii="Arial" w:hAnsi="Arial" w:cs="Arial"/>
                <w:sz w:val="18"/>
                <w:szCs w:val="18"/>
              </w:rPr>
              <w:t>7.5</w:t>
            </w:r>
          </w:p>
        </w:tc>
        <w:tc>
          <w:tcPr>
            <w:tcW w:w="3105" w:type="dxa"/>
            <w:gridSpan w:val="2"/>
            <w:shd w:val="clear" w:color="auto" w:fill="auto"/>
          </w:tcPr>
          <w:p w:rsidR="00BB7867" w:rsidRPr="00DA77C5" w:rsidRDefault="003A3F47" w:rsidP="00DA77C5">
            <w:pPr>
              <w:jc w:val="center"/>
              <w:rPr>
                <w:rFonts w:ascii="Arial" w:hAnsi="Arial" w:cs="Arial"/>
                <w:sz w:val="18"/>
                <w:szCs w:val="18"/>
              </w:rPr>
            </w:pPr>
            <w:r w:rsidRPr="00DA77C5">
              <w:rPr>
                <w:rFonts w:ascii="Arial" w:hAnsi="Arial" w:cs="Arial"/>
                <w:sz w:val="18"/>
                <w:szCs w:val="18"/>
              </w:rPr>
              <w:t>13.1</w:t>
            </w:r>
          </w:p>
        </w:tc>
      </w:tr>
    </w:tbl>
    <w:p w:rsidR="00DA77C5" w:rsidRPr="00DA77C5" w:rsidRDefault="00DA77C5" w:rsidP="00DA77C5">
      <w:pPr>
        <w:rPr>
          <w:vanish/>
        </w:rPr>
      </w:pPr>
    </w:p>
    <w:tbl>
      <w:tblPr>
        <w:tblW w:w="8797" w:type="dxa"/>
        <w:jc w:val="center"/>
        <w:tblInd w:w="-334" w:type="dxa"/>
        <w:tblLayout w:type="fixed"/>
        <w:tblLook w:val="01E0"/>
      </w:tblPr>
      <w:tblGrid>
        <w:gridCol w:w="8797"/>
      </w:tblGrid>
      <w:tr w:rsidR="00BB7867" w:rsidRPr="00DA77C5" w:rsidTr="00DA77C5">
        <w:trPr>
          <w:trHeight w:val="80"/>
          <w:jc w:val="center"/>
        </w:trPr>
        <w:tc>
          <w:tcPr>
            <w:tcW w:w="8797" w:type="dxa"/>
            <w:tcBorders>
              <w:left w:val="single" w:sz="4" w:space="0" w:color="auto"/>
              <w:bottom w:val="single" w:sz="4" w:space="0" w:color="auto"/>
              <w:right w:val="single" w:sz="4" w:space="0" w:color="auto"/>
            </w:tcBorders>
            <w:shd w:val="clear" w:color="auto" w:fill="auto"/>
          </w:tcPr>
          <w:p w:rsidR="00BB7867" w:rsidRPr="00DA77C5" w:rsidRDefault="00BB7867" w:rsidP="00DA77C5">
            <w:pPr>
              <w:autoSpaceDE w:val="0"/>
              <w:autoSpaceDN w:val="0"/>
              <w:adjustRightInd w:val="0"/>
              <w:ind w:left="60" w:hanging="60"/>
              <w:rPr>
                <w:rFonts w:ascii="Arial" w:hAnsi="Arial" w:cs="Arial"/>
                <w:sz w:val="18"/>
                <w:szCs w:val="18"/>
              </w:rPr>
            </w:pPr>
            <w:r w:rsidRPr="00DA77C5">
              <w:rPr>
                <w:rFonts w:ascii="Arial" w:hAnsi="Arial" w:cs="Arial"/>
                <w:bCs/>
                <w:sz w:val="18"/>
                <w:szCs w:val="18"/>
                <w:vertAlign w:val="superscript"/>
              </w:rPr>
              <w:sym w:font="Symbol" w:char="F02A"/>
            </w:r>
            <w:r w:rsidRPr="00DA77C5">
              <w:rPr>
                <w:rFonts w:ascii="Arial" w:hAnsi="Arial" w:cs="Arial"/>
                <w:bCs/>
                <w:sz w:val="18"/>
                <w:szCs w:val="18"/>
              </w:rPr>
              <w:t xml:space="preserve">Intensities are defined as follows: </w:t>
            </w:r>
            <w:r w:rsidRPr="00DA77C5">
              <w:rPr>
                <w:rFonts w:ascii="Arial" w:hAnsi="Arial" w:cs="Arial"/>
                <w:sz w:val="18"/>
                <w:szCs w:val="18"/>
              </w:rPr>
              <w:t>Mild (awareness of sign or symptom, but easily tolerated); Moderate (discomfort enough to cause interference with usual activity); Severe (incapacitating with inability to work or do usual activity).</w:t>
            </w:r>
          </w:p>
          <w:p w:rsidR="00BB7867" w:rsidRPr="00DA77C5" w:rsidRDefault="00BB7867" w:rsidP="008C3BA6">
            <w:pPr>
              <w:rPr>
                <w:rFonts w:ascii="Arial" w:hAnsi="Arial" w:cs="Arial"/>
                <w:sz w:val="18"/>
                <w:szCs w:val="18"/>
              </w:rPr>
            </w:pPr>
            <w:r w:rsidRPr="00DA77C5">
              <w:rPr>
                <w:rFonts w:ascii="Arial" w:hAnsi="Arial" w:cs="Arial"/>
                <w:b/>
                <w:bCs/>
                <w:sz w:val="18"/>
                <w:szCs w:val="18"/>
                <w:vertAlign w:val="superscript"/>
              </w:rPr>
              <w:t>†</w:t>
            </w:r>
            <w:r w:rsidRPr="00DA77C5">
              <w:rPr>
                <w:rFonts w:ascii="Arial" w:hAnsi="Arial" w:cs="Arial"/>
                <w:sz w:val="18"/>
                <w:szCs w:val="18"/>
              </w:rPr>
              <w:t xml:space="preserve">n=total number of </w:t>
            </w:r>
            <w:r w:rsidR="00376019" w:rsidRPr="00DA77C5">
              <w:rPr>
                <w:rFonts w:ascii="Arial" w:hAnsi="Arial" w:cs="Arial"/>
                <w:sz w:val="18"/>
                <w:szCs w:val="18"/>
              </w:rPr>
              <w:t>individuals</w:t>
            </w:r>
            <w:r w:rsidRPr="00DA77C5">
              <w:rPr>
                <w:rFonts w:ascii="Arial" w:hAnsi="Arial" w:cs="Arial"/>
                <w:sz w:val="18"/>
                <w:szCs w:val="18"/>
              </w:rPr>
              <w:t xml:space="preserve"> per treatment group.</w:t>
            </w:r>
          </w:p>
          <w:p w:rsidR="00BB7867" w:rsidRPr="00DA77C5" w:rsidRDefault="00BB7867" w:rsidP="00DA77C5">
            <w:pPr>
              <w:jc w:val="center"/>
              <w:rPr>
                <w:rFonts w:ascii="Arial" w:hAnsi="Arial" w:cs="Arial"/>
                <w:sz w:val="18"/>
                <w:szCs w:val="18"/>
              </w:rPr>
            </w:pPr>
          </w:p>
        </w:tc>
      </w:tr>
    </w:tbl>
    <w:p w:rsidR="00B62647" w:rsidRPr="00D73341" w:rsidRDefault="00B62647" w:rsidP="00D35A54">
      <w:pPr>
        <w:pStyle w:val="Heading5"/>
      </w:pPr>
      <w:r w:rsidRPr="00D73341">
        <w:t>CNS Events</w:t>
      </w:r>
    </w:p>
    <w:p w:rsidR="00B62647" w:rsidRPr="00D73341" w:rsidRDefault="00B62647" w:rsidP="00B62647">
      <w:pPr>
        <w:autoSpaceDE w:val="0"/>
        <w:autoSpaceDN w:val="0"/>
        <w:adjustRightInd w:val="0"/>
        <w:jc w:val="both"/>
        <w:rPr>
          <w:rFonts w:ascii="Arial" w:hAnsi="Arial" w:cs="Arial"/>
          <w:sz w:val="22"/>
          <w:szCs w:val="22"/>
        </w:rPr>
      </w:pPr>
      <w:r w:rsidRPr="00D73341">
        <w:rPr>
          <w:rFonts w:ascii="Arial" w:hAnsi="Arial" w:cs="Arial"/>
          <w:sz w:val="22"/>
          <w:szCs w:val="22"/>
        </w:rPr>
        <w:t xml:space="preserve">In treatment naïve patients </w:t>
      </w:r>
      <w:r w:rsidR="003148BF">
        <w:rPr>
          <w:rFonts w:ascii="Arial" w:hAnsi="Arial" w:cs="Arial"/>
          <w:sz w:val="22"/>
          <w:szCs w:val="22"/>
        </w:rPr>
        <w:t xml:space="preserve">(STARTMRK) </w:t>
      </w:r>
      <w:r w:rsidRPr="00D73341">
        <w:rPr>
          <w:rFonts w:ascii="Arial" w:hAnsi="Arial" w:cs="Arial"/>
          <w:sz w:val="22"/>
          <w:szCs w:val="22"/>
        </w:rPr>
        <w:t>central nervous system (CNS) adverse experiences, as measured by proportion of patients with 1 or more CNS symptoms (described below)</w:t>
      </w:r>
      <w:r>
        <w:rPr>
          <w:rFonts w:ascii="Arial" w:hAnsi="Arial" w:cs="Arial"/>
          <w:sz w:val="22"/>
          <w:szCs w:val="22"/>
        </w:rPr>
        <w:t>,</w:t>
      </w:r>
      <w:r w:rsidRPr="00D73341">
        <w:rPr>
          <w:rFonts w:ascii="Arial" w:hAnsi="Arial" w:cs="Arial"/>
          <w:sz w:val="22"/>
          <w:szCs w:val="22"/>
        </w:rPr>
        <w:t xml:space="preserve"> were reported significantly less frequently in the group receiving ISENTRESS + emtricitabine (+) tenofovir  as compared with the group receiving efavirenz + emtricitabine (+) tenofovir, p &lt;0.001</w:t>
      </w:r>
      <w:r w:rsidR="005F1734">
        <w:rPr>
          <w:rFonts w:ascii="Arial" w:hAnsi="Arial" w:cs="Arial"/>
          <w:sz w:val="22"/>
          <w:szCs w:val="22"/>
        </w:rPr>
        <w:t>,</w:t>
      </w:r>
      <w:r w:rsidRPr="00D73341">
        <w:rPr>
          <w:rFonts w:ascii="Arial" w:hAnsi="Arial" w:cs="Arial"/>
          <w:sz w:val="22"/>
          <w:szCs w:val="22"/>
        </w:rPr>
        <w:t xml:space="preserve"> &lt;0.001 </w:t>
      </w:r>
      <w:r w:rsidR="005F1734">
        <w:rPr>
          <w:rFonts w:ascii="Arial" w:hAnsi="Arial" w:cs="Arial"/>
          <w:sz w:val="22"/>
          <w:szCs w:val="22"/>
        </w:rPr>
        <w:t xml:space="preserve">and &lt;0.001 </w:t>
      </w:r>
      <w:r w:rsidRPr="00D73341">
        <w:rPr>
          <w:rFonts w:ascii="Arial" w:hAnsi="Arial" w:cs="Arial"/>
          <w:sz w:val="22"/>
          <w:szCs w:val="22"/>
        </w:rPr>
        <w:t>for cumulative events through Weeks 8</w:t>
      </w:r>
      <w:r w:rsidR="005F1734">
        <w:rPr>
          <w:rFonts w:ascii="Arial" w:hAnsi="Arial" w:cs="Arial"/>
          <w:sz w:val="22"/>
          <w:szCs w:val="22"/>
        </w:rPr>
        <w:t>,</w:t>
      </w:r>
      <w:r w:rsidRPr="00D73341">
        <w:rPr>
          <w:rFonts w:ascii="Arial" w:hAnsi="Arial" w:cs="Arial"/>
          <w:sz w:val="22"/>
          <w:szCs w:val="22"/>
        </w:rPr>
        <w:t xml:space="preserve"> 48</w:t>
      </w:r>
      <w:r w:rsidR="005F1734">
        <w:rPr>
          <w:rFonts w:ascii="Arial" w:hAnsi="Arial" w:cs="Arial"/>
          <w:sz w:val="22"/>
          <w:szCs w:val="22"/>
        </w:rPr>
        <w:t xml:space="preserve"> and 96</w:t>
      </w:r>
      <w:r w:rsidRPr="00D73341">
        <w:rPr>
          <w:rFonts w:ascii="Arial" w:hAnsi="Arial" w:cs="Arial"/>
          <w:sz w:val="22"/>
          <w:szCs w:val="22"/>
        </w:rPr>
        <w:t>, respectively.  In the group receiving ISENTRESS, the percentage of patients with 1 or more CNS symptoms was 20.3% compared to 52.1% in the group receiving efavirenz by Week 8, and 26.</w:t>
      </w:r>
      <w:r w:rsidR="005F1734">
        <w:rPr>
          <w:rFonts w:ascii="Arial" w:hAnsi="Arial" w:cs="Arial"/>
          <w:sz w:val="22"/>
          <w:szCs w:val="22"/>
        </w:rPr>
        <w:t>3</w:t>
      </w:r>
      <w:r w:rsidRPr="00D73341">
        <w:rPr>
          <w:rFonts w:ascii="Arial" w:hAnsi="Arial" w:cs="Arial"/>
          <w:sz w:val="22"/>
          <w:szCs w:val="22"/>
        </w:rPr>
        <w:t>% compared to 58.5% by Week 48</w:t>
      </w:r>
      <w:r w:rsidR="005F1734">
        <w:rPr>
          <w:rFonts w:ascii="Arial" w:hAnsi="Arial" w:cs="Arial"/>
          <w:sz w:val="22"/>
          <w:szCs w:val="22"/>
        </w:rPr>
        <w:t xml:space="preserve"> and 28.8% compared to 60.6% by Week 96</w:t>
      </w:r>
      <w:r w:rsidRPr="00D73341">
        <w:rPr>
          <w:rFonts w:ascii="Arial" w:hAnsi="Arial" w:cs="Arial"/>
          <w:sz w:val="22"/>
          <w:szCs w:val="22"/>
        </w:rPr>
        <w:t>. CNS adverse experiences for this analysis were dizziness, insomnia, concentration impaired, somnolence, depression, nightmare, confusional state, suicidal ideation, nervous system disorder, psychotic disorder, abnormal dreams, suicide attempt, acute psychosis, delirium, depressed level of consciousness, hallucination, auditory hallucination, completed suicide and major depression</w:t>
      </w:r>
      <w:r>
        <w:rPr>
          <w:rFonts w:ascii="Arial" w:hAnsi="Arial" w:cs="Arial"/>
          <w:sz w:val="22"/>
          <w:szCs w:val="22"/>
        </w:rPr>
        <w:t>.</w:t>
      </w:r>
      <w:r w:rsidRPr="00D73341">
        <w:rPr>
          <w:rFonts w:ascii="Arial" w:hAnsi="Arial" w:cs="Arial"/>
          <w:sz w:val="22"/>
          <w:szCs w:val="22"/>
        </w:rPr>
        <w:t xml:space="preserve"> </w:t>
      </w:r>
    </w:p>
    <w:p w:rsidR="00B62647" w:rsidRPr="00E17A11" w:rsidRDefault="00B62647" w:rsidP="00D35A54">
      <w:pPr>
        <w:pStyle w:val="Heading4"/>
      </w:pPr>
      <w:r w:rsidRPr="00E17A11">
        <w:t>Drug Related Adverse Experiences</w:t>
      </w:r>
      <w:r w:rsidR="005A7D10">
        <w:t>- treatment naive</w:t>
      </w:r>
    </w:p>
    <w:p w:rsidR="00B62647" w:rsidRPr="00D73341" w:rsidRDefault="00B62647" w:rsidP="00B62647">
      <w:pPr>
        <w:jc w:val="both"/>
        <w:rPr>
          <w:rFonts w:ascii="Arial" w:hAnsi="Arial" w:cs="Arial"/>
          <w:sz w:val="22"/>
          <w:szCs w:val="22"/>
        </w:rPr>
      </w:pPr>
      <w:r w:rsidRPr="00D73341">
        <w:rPr>
          <w:rFonts w:ascii="Arial" w:hAnsi="Arial" w:cs="Arial"/>
          <w:sz w:val="22"/>
          <w:szCs w:val="22"/>
        </w:rPr>
        <w:t xml:space="preserve">The clinical adverse reactions listed below were considered by investigators to be of moderate to severe intensity and causally related to </w:t>
      </w:r>
      <w:r w:rsidR="005F1734">
        <w:rPr>
          <w:rFonts w:ascii="Arial" w:hAnsi="Arial" w:cs="Arial"/>
          <w:sz w:val="22"/>
          <w:szCs w:val="22"/>
        </w:rPr>
        <w:t xml:space="preserve">ISENTRESS or </w:t>
      </w:r>
      <w:r w:rsidR="00E84FAE">
        <w:rPr>
          <w:rFonts w:ascii="Arial" w:hAnsi="Arial" w:cs="Arial"/>
          <w:sz w:val="22"/>
          <w:szCs w:val="22"/>
        </w:rPr>
        <w:t>e</w:t>
      </w:r>
      <w:r w:rsidR="005F1734">
        <w:rPr>
          <w:rFonts w:ascii="Arial" w:hAnsi="Arial" w:cs="Arial"/>
          <w:sz w:val="22"/>
          <w:szCs w:val="22"/>
        </w:rPr>
        <w:t>favirenz alone or in combination with</w:t>
      </w:r>
      <w:r w:rsidR="005F1734" w:rsidRPr="00D73341">
        <w:rPr>
          <w:rFonts w:ascii="Arial" w:hAnsi="Arial" w:cs="Arial"/>
          <w:sz w:val="22"/>
          <w:szCs w:val="22"/>
        </w:rPr>
        <w:t xml:space="preserve"> emtricitabine (+) tenofovir</w:t>
      </w:r>
      <w:r w:rsidR="005F1734">
        <w:rPr>
          <w:rFonts w:ascii="Arial" w:hAnsi="Arial" w:cs="Arial"/>
          <w:sz w:val="22"/>
          <w:szCs w:val="22"/>
        </w:rPr>
        <w:t>.</w:t>
      </w:r>
    </w:p>
    <w:p w:rsidR="00B62647" w:rsidRPr="00D73341" w:rsidRDefault="00B62647" w:rsidP="00B62647">
      <w:pPr>
        <w:jc w:val="both"/>
        <w:rPr>
          <w:rFonts w:ascii="Arial" w:hAnsi="Arial" w:cs="Arial"/>
          <w:sz w:val="22"/>
          <w:szCs w:val="22"/>
        </w:rPr>
      </w:pPr>
      <w:r w:rsidRPr="00D73341">
        <w:rPr>
          <w:rFonts w:ascii="Arial" w:hAnsi="Arial" w:cs="Arial"/>
          <w:sz w:val="22"/>
          <w:szCs w:val="22"/>
        </w:rPr>
        <w:t>Drug-related clinical adverse reactions of moderate to severe intensity occurring in ≥2% of treatment</w:t>
      </w:r>
      <w:r w:rsidR="00E84FAE">
        <w:rPr>
          <w:rFonts w:ascii="Arial" w:hAnsi="Arial" w:cs="Arial"/>
          <w:sz w:val="22"/>
          <w:szCs w:val="22"/>
        </w:rPr>
        <w:t>-</w:t>
      </w:r>
      <w:r>
        <w:rPr>
          <w:rFonts w:ascii="Arial" w:hAnsi="Arial" w:cs="Arial"/>
          <w:sz w:val="22"/>
          <w:szCs w:val="22"/>
        </w:rPr>
        <w:t>naïve</w:t>
      </w:r>
      <w:r w:rsidRPr="00D73341">
        <w:rPr>
          <w:rFonts w:ascii="Arial" w:hAnsi="Arial" w:cs="Arial"/>
          <w:sz w:val="22"/>
          <w:szCs w:val="22"/>
        </w:rPr>
        <w:t xml:space="preserve"> adult patients are presented in Table </w:t>
      </w:r>
      <w:r w:rsidR="00E84FAE">
        <w:rPr>
          <w:rFonts w:ascii="Arial" w:hAnsi="Arial" w:cs="Arial"/>
          <w:sz w:val="22"/>
          <w:szCs w:val="22"/>
        </w:rPr>
        <w:t>1</w:t>
      </w:r>
      <w:r w:rsidR="00750FB1">
        <w:rPr>
          <w:rFonts w:ascii="Arial" w:hAnsi="Arial" w:cs="Arial"/>
          <w:sz w:val="22"/>
          <w:szCs w:val="22"/>
        </w:rPr>
        <w:t>1</w:t>
      </w:r>
      <w:r w:rsidRPr="00D73341">
        <w:rPr>
          <w:rFonts w:ascii="Arial" w:hAnsi="Arial" w:cs="Arial"/>
          <w:sz w:val="22"/>
          <w:szCs w:val="22"/>
        </w:rPr>
        <w:t>.</w:t>
      </w:r>
    </w:p>
    <w:p w:rsidR="00B62647" w:rsidRPr="00D73341" w:rsidRDefault="00584D50" w:rsidP="00D35A54">
      <w:pPr>
        <w:pStyle w:val="Tabletitle"/>
        <w:rPr>
          <w:vertAlign w:val="superscript"/>
        </w:rPr>
      </w:pPr>
      <w:r w:rsidRPr="00D73341">
        <w:lastRenderedPageBreak/>
        <w:t>Table</w:t>
      </w:r>
      <w:r w:rsidR="00F66527">
        <w:t xml:space="preserve"> </w:t>
      </w:r>
      <w:r>
        <w:t>1</w:t>
      </w:r>
      <w:r w:rsidR="00750FB1">
        <w:t>1</w:t>
      </w:r>
      <w:r w:rsidR="00B62647" w:rsidRPr="00D73341">
        <w:t>: Percentage of Patients with Drug-Related</w:t>
      </w:r>
      <w:r w:rsidR="00B62647" w:rsidRPr="00D73341">
        <w:rPr>
          <w:vertAlign w:val="superscript"/>
        </w:rPr>
        <w:sym w:font="Symbol" w:char="F02A"/>
      </w:r>
      <w:r w:rsidR="00B62647" w:rsidRPr="00D73341">
        <w:t xml:space="preserve"> Adverse Experiences </w:t>
      </w:r>
      <w:r w:rsidR="00D35A54">
        <w:br/>
      </w:r>
      <w:r w:rsidR="00B62647" w:rsidRPr="00D73341">
        <w:t xml:space="preserve">of Moderate to Severe Intensity Occurring in ≥2% of </w:t>
      </w:r>
      <w:r w:rsidR="00D35A54">
        <w:br/>
      </w:r>
      <w:r w:rsidR="00B62647" w:rsidRPr="00D73341">
        <w:t>Treatment</w:t>
      </w:r>
      <w:r w:rsidR="00E84FAE">
        <w:t>-</w:t>
      </w:r>
      <w:r w:rsidR="00B62647">
        <w:t>Naïve</w:t>
      </w:r>
      <w:r w:rsidR="00B62647" w:rsidRPr="00D73341">
        <w:t xml:space="preserve"> Adult Patients</w:t>
      </w:r>
      <w:r w:rsidR="00BB7867">
        <w:t xml:space="preserve"> in Either Treatment Group</w:t>
      </w:r>
      <w:r w:rsidR="00B62647" w:rsidRPr="00D73341">
        <w:rPr>
          <w:vertAlign w:val="superscript"/>
        </w:rPr>
        <w:sym w:font="Symbol" w:char="F02A"/>
      </w:r>
      <w:r w:rsidR="00B62647" w:rsidRPr="00D73341">
        <w:rPr>
          <w:vertAlign w:val="superscript"/>
        </w:rPr>
        <w:sym w:font="Symbol" w:char="F02A"/>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23"/>
        <w:gridCol w:w="2640"/>
        <w:gridCol w:w="2751"/>
      </w:tblGrid>
      <w:tr w:rsidR="00443CA7" w:rsidRPr="00DA77C5" w:rsidTr="006B56C2">
        <w:trPr>
          <w:tblHeader/>
          <w:jc w:val="center"/>
        </w:trPr>
        <w:tc>
          <w:tcPr>
            <w:tcW w:w="2223" w:type="dxa"/>
            <w:vMerge w:val="restart"/>
            <w:shd w:val="clear" w:color="auto" w:fill="auto"/>
          </w:tcPr>
          <w:p w:rsidR="00443CA7" w:rsidRPr="00DA77C5" w:rsidRDefault="00443CA7" w:rsidP="00DA77C5">
            <w:pPr>
              <w:jc w:val="center"/>
              <w:rPr>
                <w:rFonts w:ascii="Arial" w:hAnsi="Arial" w:cs="Arial"/>
                <w:b/>
                <w:sz w:val="18"/>
                <w:szCs w:val="18"/>
              </w:rPr>
            </w:pPr>
            <w:r w:rsidRPr="00DA77C5">
              <w:rPr>
                <w:rFonts w:ascii="Arial" w:hAnsi="Arial" w:cs="Arial"/>
                <w:b/>
                <w:bCs/>
                <w:sz w:val="18"/>
                <w:szCs w:val="18"/>
              </w:rPr>
              <w:t>System Organ Class, Preferred Term</w:t>
            </w:r>
          </w:p>
        </w:tc>
        <w:tc>
          <w:tcPr>
            <w:tcW w:w="5391" w:type="dxa"/>
            <w:gridSpan w:val="2"/>
            <w:shd w:val="clear" w:color="auto" w:fill="auto"/>
          </w:tcPr>
          <w:p w:rsidR="00443CA7" w:rsidRPr="00DA77C5" w:rsidRDefault="00443CA7" w:rsidP="00DA77C5">
            <w:pPr>
              <w:jc w:val="center"/>
              <w:rPr>
                <w:rFonts w:ascii="Arial" w:hAnsi="Arial" w:cs="Arial"/>
                <w:b/>
                <w:sz w:val="18"/>
                <w:szCs w:val="18"/>
              </w:rPr>
            </w:pPr>
            <w:r w:rsidRPr="00DA77C5">
              <w:rPr>
                <w:rFonts w:ascii="Arial" w:hAnsi="Arial" w:cs="Arial"/>
                <w:b/>
                <w:bCs/>
                <w:sz w:val="18"/>
                <w:szCs w:val="18"/>
              </w:rPr>
              <w:t xml:space="preserve">Randomized Study </w:t>
            </w:r>
            <w:r w:rsidR="003148BF" w:rsidRPr="00DA77C5">
              <w:rPr>
                <w:rFonts w:ascii="Arial" w:hAnsi="Arial" w:cs="Arial"/>
                <w:b/>
                <w:bCs/>
                <w:sz w:val="18"/>
                <w:szCs w:val="18"/>
              </w:rPr>
              <w:t xml:space="preserve"> STARTMRK </w:t>
            </w:r>
          </w:p>
        </w:tc>
      </w:tr>
      <w:tr w:rsidR="00443CA7" w:rsidRPr="00DA77C5" w:rsidTr="006B56C2">
        <w:trPr>
          <w:tblHeader/>
          <w:jc w:val="center"/>
        </w:trPr>
        <w:tc>
          <w:tcPr>
            <w:tcW w:w="2223" w:type="dxa"/>
            <w:vMerge/>
            <w:shd w:val="clear" w:color="auto" w:fill="auto"/>
          </w:tcPr>
          <w:p w:rsidR="00443CA7" w:rsidRPr="00DA77C5" w:rsidRDefault="00443CA7" w:rsidP="00DA77C5">
            <w:pPr>
              <w:jc w:val="both"/>
              <w:rPr>
                <w:rFonts w:ascii="Arial" w:hAnsi="Arial" w:cs="Arial"/>
                <w:sz w:val="18"/>
                <w:szCs w:val="18"/>
              </w:rPr>
            </w:pPr>
          </w:p>
        </w:tc>
        <w:tc>
          <w:tcPr>
            <w:tcW w:w="2640" w:type="dxa"/>
            <w:shd w:val="clear" w:color="auto" w:fill="auto"/>
          </w:tcPr>
          <w:p w:rsidR="00443CA7" w:rsidRPr="00DA77C5" w:rsidRDefault="00443CA7" w:rsidP="00DA77C5">
            <w:pPr>
              <w:pStyle w:val="Default"/>
              <w:jc w:val="center"/>
              <w:rPr>
                <w:rFonts w:ascii="Arial" w:hAnsi="Arial" w:cs="Arial"/>
                <w:b/>
                <w:bCs/>
                <w:sz w:val="18"/>
                <w:szCs w:val="18"/>
                <w:lang w:val="nb-NO"/>
              </w:rPr>
            </w:pPr>
            <w:r w:rsidRPr="00DA77C5">
              <w:rPr>
                <w:rFonts w:ascii="Arial" w:hAnsi="Arial" w:cs="Arial"/>
                <w:b/>
                <w:bCs/>
                <w:sz w:val="18"/>
                <w:szCs w:val="18"/>
                <w:lang w:val="nb-NO"/>
              </w:rPr>
              <w:t xml:space="preserve">ISENTRESS 400 mg </w:t>
            </w:r>
          </w:p>
          <w:p w:rsidR="00443CA7" w:rsidRPr="00DA77C5" w:rsidRDefault="00443CA7" w:rsidP="00DA77C5">
            <w:pPr>
              <w:pStyle w:val="Default"/>
              <w:jc w:val="center"/>
              <w:rPr>
                <w:rFonts w:ascii="Arial" w:hAnsi="Arial" w:cs="Arial"/>
                <w:b/>
                <w:bCs/>
                <w:sz w:val="18"/>
                <w:szCs w:val="18"/>
                <w:lang w:val="nb-NO"/>
              </w:rPr>
            </w:pPr>
            <w:r w:rsidRPr="00DA77C5">
              <w:rPr>
                <w:rFonts w:ascii="Arial" w:hAnsi="Arial" w:cs="Arial"/>
                <w:b/>
                <w:bCs/>
                <w:sz w:val="18"/>
                <w:szCs w:val="18"/>
                <w:lang w:val="nb-NO"/>
              </w:rPr>
              <w:t xml:space="preserve">b.i.d. + </w:t>
            </w:r>
          </w:p>
          <w:p w:rsidR="00443CA7" w:rsidRPr="00DA77C5" w:rsidRDefault="00443CA7" w:rsidP="00DA77C5">
            <w:pPr>
              <w:pStyle w:val="Default"/>
              <w:jc w:val="center"/>
              <w:rPr>
                <w:rFonts w:ascii="Arial" w:hAnsi="Arial" w:cs="Arial"/>
                <w:b/>
                <w:sz w:val="18"/>
                <w:szCs w:val="18"/>
                <w:lang w:val="fr-FR"/>
              </w:rPr>
            </w:pPr>
            <w:r w:rsidRPr="00DA77C5">
              <w:rPr>
                <w:rFonts w:ascii="Arial" w:hAnsi="Arial" w:cs="Arial"/>
                <w:b/>
                <w:sz w:val="18"/>
                <w:szCs w:val="18"/>
                <w:lang w:val="fr-FR"/>
              </w:rPr>
              <w:t>Emtricitabine (+) Tenofovir</w:t>
            </w:r>
          </w:p>
          <w:p w:rsidR="00443CA7" w:rsidRPr="00DA77C5" w:rsidRDefault="00443CA7" w:rsidP="00DA77C5">
            <w:pPr>
              <w:pStyle w:val="Default"/>
              <w:jc w:val="center"/>
              <w:rPr>
                <w:rFonts w:ascii="Arial" w:hAnsi="Arial" w:cs="Arial"/>
                <w:b/>
                <w:bCs/>
                <w:sz w:val="18"/>
                <w:szCs w:val="18"/>
              </w:rPr>
            </w:pPr>
            <w:r w:rsidRPr="00DA77C5">
              <w:rPr>
                <w:rFonts w:ascii="Arial" w:hAnsi="Arial" w:cs="Arial"/>
                <w:b/>
                <w:bCs/>
                <w:sz w:val="18"/>
                <w:szCs w:val="18"/>
              </w:rPr>
              <w:t>N = 281</w:t>
            </w:r>
          </w:p>
          <w:p w:rsidR="00443CA7" w:rsidRPr="00DA77C5" w:rsidRDefault="00443CA7" w:rsidP="00DA77C5">
            <w:pPr>
              <w:pStyle w:val="Default"/>
              <w:jc w:val="center"/>
              <w:rPr>
                <w:rFonts w:ascii="Arial" w:hAnsi="Arial" w:cs="Arial"/>
                <w:b/>
                <w:sz w:val="18"/>
                <w:szCs w:val="18"/>
              </w:rPr>
            </w:pPr>
            <w:r w:rsidRPr="00DA77C5">
              <w:rPr>
                <w:rFonts w:ascii="Arial" w:hAnsi="Arial"/>
                <w:sz w:val="18"/>
                <w:szCs w:val="18"/>
              </w:rPr>
              <w:t>%</w:t>
            </w:r>
          </w:p>
        </w:tc>
        <w:tc>
          <w:tcPr>
            <w:tcW w:w="2751" w:type="dxa"/>
            <w:shd w:val="clear" w:color="auto" w:fill="auto"/>
          </w:tcPr>
          <w:p w:rsidR="00443CA7" w:rsidRPr="00DA77C5" w:rsidRDefault="00443CA7" w:rsidP="00DA77C5">
            <w:pPr>
              <w:jc w:val="center"/>
              <w:rPr>
                <w:rFonts w:ascii="Arial" w:hAnsi="Arial" w:cs="Arial"/>
                <w:b/>
                <w:bCs/>
                <w:sz w:val="18"/>
                <w:szCs w:val="18"/>
              </w:rPr>
            </w:pPr>
            <w:r w:rsidRPr="00DA77C5">
              <w:rPr>
                <w:rFonts w:ascii="Arial" w:hAnsi="Arial" w:cs="Arial"/>
                <w:b/>
                <w:bCs/>
                <w:sz w:val="18"/>
                <w:szCs w:val="18"/>
              </w:rPr>
              <w:t>Efavirenz</w:t>
            </w:r>
            <w:r w:rsidRPr="00DA77C5">
              <w:rPr>
                <w:rFonts w:ascii="Arial" w:hAnsi="Arial" w:cs="Arial"/>
                <w:sz w:val="18"/>
                <w:szCs w:val="18"/>
                <w:vertAlign w:val="superscript"/>
              </w:rPr>
              <w:t xml:space="preserve"> </w:t>
            </w:r>
            <w:r w:rsidRPr="00DA77C5">
              <w:rPr>
                <w:rFonts w:ascii="Arial" w:hAnsi="Arial" w:cs="Arial"/>
                <w:b/>
                <w:bCs/>
                <w:sz w:val="18"/>
                <w:szCs w:val="18"/>
              </w:rPr>
              <w:t xml:space="preserve">600 mg </w:t>
            </w:r>
          </w:p>
          <w:p w:rsidR="00443CA7" w:rsidRPr="00DA77C5" w:rsidRDefault="000801DA" w:rsidP="00DA77C5">
            <w:pPr>
              <w:jc w:val="center"/>
              <w:rPr>
                <w:rFonts w:ascii="Arial" w:hAnsi="Arial" w:cs="Arial"/>
                <w:b/>
                <w:bCs/>
                <w:sz w:val="18"/>
                <w:szCs w:val="18"/>
              </w:rPr>
            </w:pPr>
            <w:r w:rsidRPr="00DA77C5">
              <w:rPr>
                <w:rFonts w:ascii="Arial" w:hAnsi="Arial" w:cs="Arial"/>
                <w:b/>
                <w:bCs/>
                <w:sz w:val="18"/>
                <w:szCs w:val="18"/>
              </w:rPr>
              <w:t>at bedtime</w:t>
            </w:r>
            <w:r w:rsidR="00443CA7" w:rsidRPr="00DA77C5">
              <w:rPr>
                <w:rFonts w:ascii="Arial" w:hAnsi="Arial" w:cs="Arial"/>
                <w:b/>
                <w:bCs/>
                <w:sz w:val="18"/>
                <w:szCs w:val="18"/>
              </w:rPr>
              <w:t xml:space="preserve"> + </w:t>
            </w:r>
          </w:p>
          <w:p w:rsidR="00443CA7" w:rsidRPr="00DA77C5" w:rsidRDefault="00443CA7" w:rsidP="00DA77C5">
            <w:pPr>
              <w:jc w:val="center"/>
              <w:rPr>
                <w:rFonts w:ascii="Arial" w:hAnsi="Arial" w:cs="Arial"/>
                <w:sz w:val="18"/>
                <w:szCs w:val="18"/>
              </w:rPr>
            </w:pPr>
            <w:r w:rsidRPr="00DA77C5">
              <w:rPr>
                <w:rFonts w:ascii="Arial" w:hAnsi="Arial" w:cs="Arial"/>
                <w:b/>
                <w:sz w:val="18"/>
                <w:szCs w:val="18"/>
              </w:rPr>
              <w:t>Emtricitabine (+) Tenofovir</w:t>
            </w:r>
          </w:p>
          <w:p w:rsidR="00443CA7" w:rsidRPr="00DA77C5" w:rsidRDefault="00443CA7" w:rsidP="00DA77C5">
            <w:pPr>
              <w:jc w:val="center"/>
              <w:rPr>
                <w:rFonts w:ascii="Arial" w:hAnsi="Arial" w:cs="Arial"/>
                <w:b/>
                <w:bCs/>
                <w:sz w:val="18"/>
                <w:szCs w:val="18"/>
              </w:rPr>
            </w:pPr>
            <w:r w:rsidRPr="00DA77C5">
              <w:rPr>
                <w:rFonts w:ascii="Arial" w:hAnsi="Arial" w:cs="Arial"/>
                <w:b/>
                <w:bCs/>
                <w:sz w:val="18"/>
                <w:szCs w:val="18"/>
              </w:rPr>
              <w:t>N = 282</w:t>
            </w:r>
          </w:p>
          <w:p w:rsidR="00443CA7" w:rsidRPr="00DA77C5" w:rsidRDefault="00443CA7" w:rsidP="00DA77C5">
            <w:pPr>
              <w:jc w:val="center"/>
              <w:rPr>
                <w:rFonts w:ascii="Arial" w:hAnsi="Arial" w:cs="Arial"/>
                <w:b/>
                <w:sz w:val="18"/>
                <w:szCs w:val="18"/>
              </w:rPr>
            </w:pPr>
            <w:r w:rsidRPr="00DA77C5">
              <w:rPr>
                <w:rFonts w:ascii="Arial" w:hAnsi="Arial"/>
                <w:sz w:val="18"/>
                <w:szCs w:val="18"/>
              </w:rPr>
              <w:t>%</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614" w:type="dxa"/>
            <w:gridSpan w:val="3"/>
            <w:shd w:val="clear" w:color="auto" w:fill="auto"/>
            <w:vAlign w:val="bottom"/>
          </w:tcPr>
          <w:p w:rsidR="00443CA7" w:rsidRPr="00DA77C5" w:rsidRDefault="00443CA7" w:rsidP="00393CD7">
            <w:pPr>
              <w:rPr>
                <w:rFonts w:ascii="Arial" w:hAnsi="Arial" w:cs="Arial"/>
                <w:b/>
                <w:sz w:val="18"/>
                <w:szCs w:val="18"/>
              </w:rPr>
            </w:pPr>
            <w:r w:rsidRPr="00DA77C5">
              <w:rPr>
                <w:rFonts w:ascii="Arial" w:hAnsi="Arial" w:cs="Arial"/>
                <w:b/>
                <w:sz w:val="18"/>
                <w:szCs w:val="18"/>
              </w:rPr>
              <w:t>Gastrointestinal Disorders</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23" w:type="dxa"/>
            <w:shd w:val="clear" w:color="auto" w:fill="auto"/>
          </w:tcPr>
          <w:p w:rsidR="00443CA7" w:rsidRPr="00DA77C5" w:rsidRDefault="00443CA7" w:rsidP="00393CD7">
            <w:pPr>
              <w:rPr>
                <w:rFonts w:ascii="Arial" w:hAnsi="Arial" w:cs="Arial"/>
                <w:sz w:val="18"/>
                <w:szCs w:val="18"/>
              </w:rPr>
            </w:pPr>
            <w:r w:rsidRPr="00DA77C5">
              <w:rPr>
                <w:rFonts w:ascii="Arial" w:hAnsi="Arial" w:cs="Arial"/>
                <w:sz w:val="18"/>
                <w:szCs w:val="18"/>
              </w:rPr>
              <w:t>Diarrh</w:t>
            </w:r>
            <w:r w:rsidR="002B2E84" w:rsidRPr="00DA77C5">
              <w:rPr>
                <w:rFonts w:ascii="Arial" w:hAnsi="Arial" w:cs="Arial"/>
                <w:sz w:val="18"/>
                <w:szCs w:val="18"/>
              </w:rPr>
              <w:t>o</w:t>
            </w:r>
            <w:r w:rsidRPr="00DA77C5">
              <w:rPr>
                <w:rFonts w:ascii="Arial" w:hAnsi="Arial" w:cs="Arial"/>
                <w:sz w:val="18"/>
                <w:szCs w:val="18"/>
              </w:rPr>
              <w:t>ea</w:t>
            </w:r>
          </w:p>
        </w:tc>
        <w:tc>
          <w:tcPr>
            <w:tcW w:w="2640" w:type="dxa"/>
            <w:shd w:val="clear" w:color="auto" w:fill="auto"/>
          </w:tcPr>
          <w:p w:rsidR="00443CA7" w:rsidRPr="00DA77C5" w:rsidRDefault="005F1734" w:rsidP="00DA77C5">
            <w:pPr>
              <w:jc w:val="center"/>
              <w:rPr>
                <w:rFonts w:ascii="Arial" w:hAnsi="Arial" w:cs="Arial"/>
                <w:sz w:val="18"/>
                <w:szCs w:val="18"/>
              </w:rPr>
            </w:pPr>
            <w:r w:rsidRPr="00DA77C5">
              <w:rPr>
                <w:rFonts w:ascii="Arial" w:hAnsi="Arial" w:cs="Arial"/>
                <w:sz w:val="18"/>
                <w:szCs w:val="18"/>
              </w:rPr>
              <w:t>1.1</w:t>
            </w:r>
          </w:p>
        </w:tc>
        <w:tc>
          <w:tcPr>
            <w:tcW w:w="2751" w:type="dxa"/>
            <w:shd w:val="clear" w:color="auto" w:fill="auto"/>
          </w:tcPr>
          <w:p w:rsidR="00443CA7" w:rsidRPr="00DA77C5" w:rsidRDefault="00443CA7" w:rsidP="00DA77C5">
            <w:pPr>
              <w:jc w:val="center"/>
              <w:rPr>
                <w:rFonts w:ascii="Arial" w:hAnsi="Arial" w:cs="Arial"/>
                <w:sz w:val="18"/>
                <w:szCs w:val="18"/>
              </w:rPr>
            </w:pPr>
            <w:r w:rsidRPr="00DA77C5">
              <w:rPr>
                <w:rFonts w:ascii="Arial" w:hAnsi="Arial" w:cs="Arial"/>
                <w:sz w:val="18"/>
                <w:szCs w:val="18"/>
              </w:rPr>
              <w:t>2.8</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23" w:type="dxa"/>
            <w:shd w:val="clear" w:color="auto" w:fill="auto"/>
          </w:tcPr>
          <w:p w:rsidR="00443CA7" w:rsidRPr="00DA77C5" w:rsidRDefault="00443CA7" w:rsidP="00393CD7">
            <w:pPr>
              <w:rPr>
                <w:rFonts w:ascii="Arial" w:hAnsi="Arial" w:cs="Arial"/>
                <w:sz w:val="18"/>
                <w:szCs w:val="18"/>
              </w:rPr>
            </w:pPr>
            <w:r w:rsidRPr="00DA77C5">
              <w:rPr>
                <w:rFonts w:ascii="Arial" w:hAnsi="Arial" w:cs="Arial"/>
                <w:sz w:val="18"/>
                <w:szCs w:val="18"/>
              </w:rPr>
              <w:t>Nausea</w:t>
            </w:r>
          </w:p>
        </w:tc>
        <w:tc>
          <w:tcPr>
            <w:tcW w:w="2640" w:type="dxa"/>
            <w:shd w:val="clear" w:color="auto" w:fill="auto"/>
          </w:tcPr>
          <w:p w:rsidR="00443CA7" w:rsidRPr="00DA77C5" w:rsidRDefault="00F939F1" w:rsidP="00DA77C5">
            <w:pPr>
              <w:jc w:val="center"/>
              <w:rPr>
                <w:rFonts w:ascii="Arial" w:hAnsi="Arial" w:cs="Arial"/>
                <w:sz w:val="18"/>
                <w:szCs w:val="18"/>
              </w:rPr>
            </w:pPr>
            <w:r w:rsidRPr="00DA77C5">
              <w:rPr>
                <w:rFonts w:ascii="Arial" w:hAnsi="Arial" w:cs="Arial"/>
                <w:sz w:val="18"/>
                <w:szCs w:val="18"/>
              </w:rPr>
              <w:t>2.8</w:t>
            </w:r>
          </w:p>
        </w:tc>
        <w:tc>
          <w:tcPr>
            <w:tcW w:w="2751" w:type="dxa"/>
            <w:shd w:val="clear" w:color="auto" w:fill="auto"/>
          </w:tcPr>
          <w:p w:rsidR="00443CA7" w:rsidRPr="00DA77C5" w:rsidRDefault="00443CA7" w:rsidP="00DA77C5">
            <w:pPr>
              <w:jc w:val="center"/>
              <w:rPr>
                <w:rFonts w:ascii="Arial" w:hAnsi="Arial" w:cs="Arial"/>
                <w:sz w:val="18"/>
                <w:szCs w:val="18"/>
              </w:rPr>
            </w:pPr>
            <w:r w:rsidRPr="00DA77C5">
              <w:rPr>
                <w:rFonts w:ascii="Arial" w:hAnsi="Arial" w:cs="Arial"/>
                <w:sz w:val="18"/>
                <w:szCs w:val="18"/>
              </w:rPr>
              <w:t>3.5</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614" w:type="dxa"/>
            <w:gridSpan w:val="3"/>
            <w:shd w:val="clear" w:color="auto" w:fill="auto"/>
          </w:tcPr>
          <w:p w:rsidR="00443CA7" w:rsidRPr="00DA77C5" w:rsidRDefault="00443CA7" w:rsidP="00393CD7">
            <w:pPr>
              <w:rPr>
                <w:rFonts w:ascii="Arial" w:hAnsi="Arial" w:cs="Arial"/>
                <w:b/>
                <w:sz w:val="18"/>
                <w:szCs w:val="18"/>
              </w:rPr>
            </w:pPr>
            <w:r w:rsidRPr="00DA77C5">
              <w:rPr>
                <w:rFonts w:ascii="Arial" w:hAnsi="Arial" w:cs="Arial"/>
                <w:b/>
                <w:sz w:val="18"/>
                <w:szCs w:val="18"/>
              </w:rPr>
              <w:t>General Disorders and Administration Site Conditions</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23" w:type="dxa"/>
            <w:shd w:val="clear" w:color="auto" w:fill="auto"/>
          </w:tcPr>
          <w:p w:rsidR="00443CA7" w:rsidRPr="00DA77C5" w:rsidRDefault="00443CA7" w:rsidP="00393CD7">
            <w:pPr>
              <w:rPr>
                <w:rFonts w:ascii="Arial" w:hAnsi="Arial" w:cs="Arial"/>
                <w:sz w:val="18"/>
                <w:szCs w:val="18"/>
              </w:rPr>
            </w:pPr>
            <w:r w:rsidRPr="00DA77C5">
              <w:rPr>
                <w:rFonts w:ascii="Arial" w:hAnsi="Arial" w:cs="Arial"/>
                <w:sz w:val="18"/>
                <w:szCs w:val="18"/>
              </w:rPr>
              <w:t>Fatigue</w:t>
            </w:r>
          </w:p>
        </w:tc>
        <w:tc>
          <w:tcPr>
            <w:tcW w:w="2640" w:type="dxa"/>
            <w:shd w:val="clear" w:color="auto" w:fill="auto"/>
          </w:tcPr>
          <w:p w:rsidR="00443CA7" w:rsidRPr="00DA77C5" w:rsidRDefault="005F1734" w:rsidP="00DA77C5">
            <w:pPr>
              <w:jc w:val="center"/>
              <w:rPr>
                <w:rFonts w:ascii="Arial" w:hAnsi="Arial" w:cs="Arial"/>
                <w:sz w:val="18"/>
                <w:szCs w:val="18"/>
              </w:rPr>
            </w:pPr>
            <w:r w:rsidRPr="00DA77C5">
              <w:rPr>
                <w:rFonts w:ascii="Arial" w:hAnsi="Arial" w:cs="Arial"/>
                <w:sz w:val="18"/>
                <w:szCs w:val="18"/>
              </w:rPr>
              <w:t>1.8</w:t>
            </w:r>
          </w:p>
        </w:tc>
        <w:tc>
          <w:tcPr>
            <w:tcW w:w="2751" w:type="dxa"/>
            <w:shd w:val="clear" w:color="auto" w:fill="auto"/>
          </w:tcPr>
          <w:p w:rsidR="00443CA7" w:rsidRPr="00DA77C5" w:rsidRDefault="00443CA7" w:rsidP="00DA77C5">
            <w:pPr>
              <w:jc w:val="center"/>
              <w:rPr>
                <w:rFonts w:ascii="Arial" w:hAnsi="Arial" w:cs="Arial"/>
                <w:sz w:val="18"/>
                <w:szCs w:val="18"/>
              </w:rPr>
            </w:pPr>
            <w:r w:rsidRPr="00DA77C5">
              <w:rPr>
                <w:rFonts w:ascii="Arial" w:hAnsi="Arial" w:cs="Arial"/>
                <w:sz w:val="18"/>
                <w:szCs w:val="18"/>
              </w:rPr>
              <w:t>2.8</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614" w:type="dxa"/>
            <w:gridSpan w:val="3"/>
            <w:shd w:val="clear" w:color="auto" w:fill="auto"/>
          </w:tcPr>
          <w:p w:rsidR="00443CA7" w:rsidRPr="00DA77C5" w:rsidRDefault="00443CA7" w:rsidP="00393CD7">
            <w:pPr>
              <w:rPr>
                <w:rFonts w:ascii="Arial" w:hAnsi="Arial" w:cs="Arial"/>
                <w:b/>
                <w:sz w:val="18"/>
                <w:szCs w:val="18"/>
              </w:rPr>
            </w:pPr>
            <w:r w:rsidRPr="00DA77C5">
              <w:rPr>
                <w:rFonts w:ascii="Arial" w:hAnsi="Arial" w:cs="Arial"/>
                <w:b/>
                <w:sz w:val="18"/>
                <w:szCs w:val="18"/>
              </w:rPr>
              <w:t>Nervous System Disorders</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23" w:type="dxa"/>
            <w:shd w:val="clear" w:color="auto" w:fill="auto"/>
          </w:tcPr>
          <w:p w:rsidR="00443CA7" w:rsidRPr="00DA77C5" w:rsidRDefault="00443CA7" w:rsidP="00393CD7">
            <w:pPr>
              <w:rPr>
                <w:rFonts w:ascii="Arial" w:hAnsi="Arial" w:cs="Arial"/>
                <w:sz w:val="18"/>
                <w:szCs w:val="18"/>
              </w:rPr>
            </w:pPr>
            <w:r w:rsidRPr="00DA77C5">
              <w:rPr>
                <w:rFonts w:ascii="Arial" w:hAnsi="Arial" w:cs="Arial"/>
                <w:sz w:val="18"/>
                <w:szCs w:val="18"/>
              </w:rPr>
              <w:t>Dizziness</w:t>
            </w:r>
          </w:p>
        </w:tc>
        <w:tc>
          <w:tcPr>
            <w:tcW w:w="2640" w:type="dxa"/>
            <w:shd w:val="clear" w:color="auto" w:fill="auto"/>
          </w:tcPr>
          <w:p w:rsidR="00443CA7" w:rsidRPr="00DA77C5" w:rsidRDefault="00443CA7" w:rsidP="00DA77C5">
            <w:pPr>
              <w:jc w:val="center"/>
              <w:rPr>
                <w:rFonts w:ascii="Arial" w:hAnsi="Arial" w:cs="Arial"/>
                <w:sz w:val="18"/>
                <w:szCs w:val="18"/>
              </w:rPr>
            </w:pPr>
            <w:r w:rsidRPr="00DA77C5">
              <w:rPr>
                <w:rFonts w:ascii="Arial" w:hAnsi="Arial" w:cs="Arial"/>
                <w:sz w:val="18"/>
                <w:szCs w:val="18"/>
              </w:rPr>
              <w:t>1.</w:t>
            </w:r>
            <w:r w:rsidR="00F939F1" w:rsidRPr="00DA77C5">
              <w:rPr>
                <w:rFonts w:ascii="Arial" w:hAnsi="Arial" w:cs="Arial"/>
                <w:sz w:val="18"/>
                <w:szCs w:val="18"/>
              </w:rPr>
              <w:t>4</w:t>
            </w:r>
          </w:p>
        </w:tc>
        <w:tc>
          <w:tcPr>
            <w:tcW w:w="2751" w:type="dxa"/>
            <w:shd w:val="clear" w:color="auto" w:fill="auto"/>
          </w:tcPr>
          <w:p w:rsidR="00443CA7" w:rsidRPr="00DA77C5" w:rsidRDefault="00443CA7" w:rsidP="00DA77C5">
            <w:pPr>
              <w:jc w:val="center"/>
              <w:rPr>
                <w:rFonts w:ascii="Arial" w:hAnsi="Arial" w:cs="Arial"/>
                <w:sz w:val="18"/>
                <w:szCs w:val="18"/>
              </w:rPr>
            </w:pPr>
            <w:r w:rsidRPr="00DA77C5">
              <w:rPr>
                <w:rFonts w:ascii="Arial" w:hAnsi="Arial" w:cs="Arial"/>
                <w:sz w:val="18"/>
                <w:szCs w:val="18"/>
              </w:rPr>
              <w:t>6.4</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23" w:type="dxa"/>
            <w:shd w:val="clear" w:color="auto" w:fill="auto"/>
          </w:tcPr>
          <w:p w:rsidR="00443CA7" w:rsidRPr="00DA77C5" w:rsidRDefault="00443CA7" w:rsidP="00393CD7">
            <w:pPr>
              <w:rPr>
                <w:rFonts w:ascii="Arial" w:hAnsi="Arial" w:cs="Arial"/>
                <w:sz w:val="18"/>
                <w:szCs w:val="18"/>
              </w:rPr>
            </w:pPr>
            <w:r w:rsidRPr="00DA77C5">
              <w:rPr>
                <w:rFonts w:ascii="Arial" w:hAnsi="Arial" w:cs="Arial"/>
                <w:sz w:val="18"/>
                <w:szCs w:val="18"/>
              </w:rPr>
              <w:t>Headache</w:t>
            </w:r>
          </w:p>
        </w:tc>
        <w:tc>
          <w:tcPr>
            <w:tcW w:w="2640" w:type="dxa"/>
            <w:shd w:val="clear" w:color="auto" w:fill="auto"/>
          </w:tcPr>
          <w:p w:rsidR="00443CA7" w:rsidRPr="00DA77C5" w:rsidRDefault="00F939F1" w:rsidP="00DA77C5">
            <w:pPr>
              <w:jc w:val="center"/>
              <w:rPr>
                <w:rFonts w:ascii="Arial" w:hAnsi="Arial" w:cs="Arial"/>
                <w:sz w:val="18"/>
                <w:szCs w:val="18"/>
              </w:rPr>
            </w:pPr>
            <w:r w:rsidRPr="00DA77C5">
              <w:rPr>
                <w:rFonts w:ascii="Arial" w:hAnsi="Arial" w:cs="Arial"/>
                <w:sz w:val="18"/>
                <w:szCs w:val="18"/>
              </w:rPr>
              <w:t>3.9</w:t>
            </w:r>
          </w:p>
        </w:tc>
        <w:tc>
          <w:tcPr>
            <w:tcW w:w="2751" w:type="dxa"/>
            <w:shd w:val="clear" w:color="auto" w:fill="auto"/>
          </w:tcPr>
          <w:p w:rsidR="00443CA7" w:rsidRPr="00DA77C5" w:rsidRDefault="00376019" w:rsidP="00DA77C5">
            <w:pPr>
              <w:jc w:val="center"/>
              <w:rPr>
                <w:rFonts w:ascii="Arial" w:hAnsi="Arial" w:cs="Arial"/>
                <w:sz w:val="18"/>
                <w:szCs w:val="18"/>
              </w:rPr>
            </w:pPr>
            <w:r w:rsidRPr="00DA77C5">
              <w:rPr>
                <w:rFonts w:ascii="Arial" w:hAnsi="Arial" w:cs="Arial"/>
                <w:sz w:val="18"/>
                <w:szCs w:val="18"/>
              </w:rPr>
              <w:t>5.0</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614" w:type="dxa"/>
            <w:gridSpan w:val="3"/>
            <w:shd w:val="clear" w:color="auto" w:fill="auto"/>
          </w:tcPr>
          <w:p w:rsidR="00443CA7" w:rsidRPr="00DA77C5" w:rsidRDefault="00443CA7" w:rsidP="00393CD7">
            <w:pPr>
              <w:rPr>
                <w:rFonts w:ascii="Arial" w:hAnsi="Arial" w:cs="Arial"/>
                <w:sz w:val="18"/>
                <w:szCs w:val="18"/>
              </w:rPr>
            </w:pPr>
            <w:r w:rsidRPr="00DA77C5">
              <w:rPr>
                <w:rFonts w:ascii="Arial" w:hAnsi="Arial" w:cs="Arial"/>
                <w:b/>
                <w:sz w:val="18"/>
                <w:szCs w:val="18"/>
              </w:rPr>
              <w:t>Psychiatric Disorders</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23" w:type="dxa"/>
            <w:shd w:val="clear" w:color="auto" w:fill="auto"/>
          </w:tcPr>
          <w:p w:rsidR="00443CA7" w:rsidRPr="00DA77C5" w:rsidRDefault="00443CA7" w:rsidP="00393CD7">
            <w:pPr>
              <w:rPr>
                <w:rFonts w:ascii="Arial" w:hAnsi="Arial" w:cs="Arial"/>
                <w:sz w:val="18"/>
                <w:szCs w:val="18"/>
              </w:rPr>
            </w:pPr>
            <w:r w:rsidRPr="00DA77C5">
              <w:rPr>
                <w:rFonts w:ascii="Arial" w:hAnsi="Arial" w:cs="Arial"/>
                <w:sz w:val="18"/>
                <w:szCs w:val="18"/>
              </w:rPr>
              <w:t>Insomnia</w:t>
            </w:r>
          </w:p>
        </w:tc>
        <w:tc>
          <w:tcPr>
            <w:tcW w:w="2640" w:type="dxa"/>
            <w:shd w:val="clear" w:color="auto" w:fill="auto"/>
          </w:tcPr>
          <w:p w:rsidR="00443CA7" w:rsidRPr="00DA77C5" w:rsidRDefault="00443CA7" w:rsidP="00DA77C5">
            <w:pPr>
              <w:jc w:val="center"/>
              <w:rPr>
                <w:rFonts w:ascii="Arial" w:hAnsi="Arial" w:cs="Arial"/>
                <w:sz w:val="18"/>
                <w:szCs w:val="18"/>
              </w:rPr>
            </w:pPr>
            <w:r w:rsidRPr="00DA77C5">
              <w:rPr>
                <w:rFonts w:ascii="Arial" w:hAnsi="Arial" w:cs="Arial"/>
                <w:sz w:val="18"/>
                <w:szCs w:val="18"/>
              </w:rPr>
              <w:t>3.6</w:t>
            </w:r>
          </w:p>
        </w:tc>
        <w:tc>
          <w:tcPr>
            <w:tcW w:w="2751" w:type="dxa"/>
            <w:shd w:val="clear" w:color="auto" w:fill="auto"/>
          </w:tcPr>
          <w:p w:rsidR="00443CA7" w:rsidRPr="00DA77C5" w:rsidRDefault="00781AB9" w:rsidP="00DA77C5">
            <w:pPr>
              <w:jc w:val="center"/>
              <w:rPr>
                <w:rFonts w:ascii="Arial" w:hAnsi="Arial" w:cs="Arial"/>
                <w:sz w:val="18"/>
                <w:szCs w:val="18"/>
              </w:rPr>
            </w:pPr>
            <w:r w:rsidRPr="00DA77C5">
              <w:rPr>
                <w:rFonts w:ascii="Arial" w:hAnsi="Arial" w:cs="Arial"/>
                <w:sz w:val="18"/>
                <w:szCs w:val="18"/>
              </w:rPr>
              <w:t>3.9</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614" w:type="dxa"/>
            <w:gridSpan w:val="3"/>
            <w:shd w:val="clear" w:color="auto" w:fill="auto"/>
          </w:tcPr>
          <w:p w:rsidR="00443CA7" w:rsidRPr="00DA77C5" w:rsidRDefault="00443CA7" w:rsidP="00393CD7">
            <w:pPr>
              <w:rPr>
                <w:rFonts w:ascii="Arial" w:hAnsi="Arial" w:cs="Arial"/>
                <w:b/>
                <w:bCs/>
                <w:sz w:val="18"/>
                <w:szCs w:val="18"/>
              </w:rPr>
            </w:pPr>
            <w:r w:rsidRPr="00DA77C5">
              <w:rPr>
                <w:rFonts w:ascii="Arial" w:hAnsi="Arial" w:cs="Arial"/>
                <w:b/>
                <w:bCs/>
                <w:sz w:val="18"/>
                <w:szCs w:val="18"/>
              </w:rPr>
              <w:t>Skin and Subcutaneous Tissue Disorders</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23" w:type="dxa"/>
            <w:shd w:val="clear" w:color="auto" w:fill="auto"/>
          </w:tcPr>
          <w:p w:rsidR="00443CA7" w:rsidRPr="00DA77C5" w:rsidRDefault="00443CA7" w:rsidP="00393CD7">
            <w:pPr>
              <w:rPr>
                <w:rFonts w:ascii="Arial" w:hAnsi="Arial" w:cs="Arial"/>
                <w:sz w:val="18"/>
                <w:szCs w:val="18"/>
              </w:rPr>
            </w:pPr>
            <w:r w:rsidRPr="00DA77C5">
              <w:rPr>
                <w:rFonts w:ascii="Arial" w:hAnsi="Arial" w:cs="Arial"/>
                <w:sz w:val="18"/>
                <w:szCs w:val="18"/>
              </w:rPr>
              <w:t>Rash</w:t>
            </w:r>
          </w:p>
        </w:tc>
        <w:tc>
          <w:tcPr>
            <w:tcW w:w="2640" w:type="dxa"/>
            <w:shd w:val="clear" w:color="auto" w:fill="auto"/>
          </w:tcPr>
          <w:p w:rsidR="00443CA7" w:rsidRPr="00DA77C5" w:rsidRDefault="00443CA7" w:rsidP="00DA77C5">
            <w:pPr>
              <w:jc w:val="center"/>
              <w:rPr>
                <w:rFonts w:ascii="Arial" w:hAnsi="Arial" w:cs="Arial"/>
                <w:sz w:val="18"/>
                <w:szCs w:val="18"/>
              </w:rPr>
            </w:pPr>
            <w:r w:rsidRPr="00DA77C5">
              <w:rPr>
                <w:rFonts w:ascii="Arial" w:hAnsi="Arial" w:cs="Arial"/>
                <w:sz w:val="18"/>
                <w:szCs w:val="18"/>
              </w:rPr>
              <w:t>0.0</w:t>
            </w:r>
          </w:p>
        </w:tc>
        <w:tc>
          <w:tcPr>
            <w:tcW w:w="2751" w:type="dxa"/>
            <w:shd w:val="clear" w:color="auto" w:fill="auto"/>
          </w:tcPr>
          <w:p w:rsidR="00443CA7" w:rsidRPr="00DA77C5" w:rsidRDefault="00443CA7" w:rsidP="00DA77C5">
            <w:pPr>
              <w:jc w:val="center"/>
              <w:rPr>
                <w:rFonts w:ascii="Arial" w:hAnsi="Arial" w:cs="Arial"/>
                <w:sz w:val="18"/>
                <w:szCs w:val="18"/>
              </w:rPr>
            </w:pPr>
            <w:r w:rsidRPr="00DA77C5">
              <w:rPr>
                <w:rFonts w:ascii="Arial" w:hAnsi="Arial" w:cs="Arial"/>
                <w:sz w:val="18"/>
                <w:szCs w:val="18"/>
              </w:rPr>
              <w:t>2.8</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23" w:type="dxa"/>
            <w:shd w:val="clear" w:color="auto" w:fill="auto"/>
          </w:tcPr>
          <w:p w:rsidR="00443CA7" w:rsidRPr="00DA77C5" w:rsidRDefault="00443CA7" w:rsidP="00393CD7">
            <w:pPr>
              <w:rPr>
                <w:rFonts w:ascii="Arial" w:hAnsi="Arial" w:cs="Arial"/>
                <w:sz w:val="18"/>
                <w:szCs w:val="18"/>
              </w:rPr>
            </w:pPr>
            <w:r w:rsidRPr="00DA77C5">
              <w:rPr>
                <w:rFonts w:ascii="Arial" w:hAnsi="Arial" w:cs="Arial"/>
                <w:sz w:val="18"/>
                <w:szCs w:val="18"/>
              </w:rPr>
              <w:t>Rash Maculo-Papular</w:t>
            </w:r>
          </w:p>
        </w:tc>
        <w:tc>
          <w:tcPr>
            <w:tcW w:w="2640" w:type="dxa"/>
            <w:shd w:val="clear" w:color="auto" w:fill="auto"/>
          </w:tcPr>
          <w:p w:rsidR="00443CA7" w:rsidRPr="00DA77C5" w:rsidRDefault="00443CA7" w:rsidP="00DA77C5">
            <w:pPr>
              <w:jc w:val="center"/>
              <w:rPr>
                <w:rFonts w:ascii="Arial" w:hAnsi="Arial" w:cs="Arial"/>
                <w:sz w:val="18"/>
                <w:szCs w:val="18"/>
              </w:rPr>
            </w:pPr>
            <w:r w:rsidRPr="00DA77C5">
              <w:rPr>
                <w:rFonts w:ascii="Arial" w:hAnsi="Arial" w:cs="Arial"/>
                <w:sz w:val="18"/>
                <w:szCs w:val="18"/>
              </w:rPr>
              <w:t>0.0</w:t>
            </w:r>
          </w:p>
        </w:tc>
        <w:tc>
          <w:tcPr>
            <w:tcW w:w="2751" w:type="dxa"/>
            <w:shd w:val="clear" w:color="auto" w:fill="auto"/>
          </w:tcPr>
          <w:p w:rsidR="00443CA7" w:rsidRPr="00DA77C5" w:rsidRDefault="00443CA7" w:rsidP="00DA77C5">
            <w:pPr>
              <w:jc w:val="center"/>
              <w:rPr>
                <w:rFonts w:ascii="Arial" w:hAnsi="Arial" w:cs="Arial"/>
                <w:sz w:val="18"/>
                <w:szCs w:val="18"/>
              </w:rPr>
            </w:pPr>
            <w:r w:rsidRPr="00DA77C5">
              <w:rPr>
                <w:rFonts w:ascii="Arial" w:hAnsi="Arial" w:cs="Arial"/>
                <w:sz w:val="18"/>
                <w:szCs w:val="18"/>
              </w:rPr>
              <w:t>2.5</w:t>
            </w:r>
          </w:p>
        </w:tc>
      </w:tr>
      <w:tr w:rsidR="00443CA7" w:rsidRPr="00DA77C5" w:rsidTr="00DA7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614" w:type="dxa"/>
            <w:gridSpan w:val="3"/>
            <w:shd w:val="clear" w:color="auto" w:fill="auto"/>
          </w:tcPr>
          <w:p w:rsidR="00443CA7" w:rsidRPr="00DA77C5" w:rsidRDefault="00443CA7" w:rsidP="00DA77C5">
            <w:pPr>
              <w:jc w:val="both"/>
              <w:rPr>
                <w:rFonts w:ascii="Arial" w:hAnsi="Arial" w:cs="Arial"/>
                <w:sz w:val="18"/>
                <w:szCs w:val="18"/>
              </w:rPr>
            </w:pPr>
            <w:r w:rsidRPr="00DA77C5">
              <w:rPr>
                <w:rFonts w:ascii="Arial" w:hAnsi="Arial" w:cs="Arial"/>
                <w:sz w:val="18"/>
                <w:szCs w:val="18"/>
              </w:rPr>
              <w:t xml:space="preserve">* Includes adverse experiences at least possibly, probably, or very likely related to the drug </w:t>
            </w:r>
          </w:p>
          <w:p w:rsidR="00443CA7" w:rsidRPr="00DA77C5" w:rsidRDefault="00443CA7" w:rsidP="00DA77C5">
            <w:pPr>
              <w:jc w:val="both"/>
              <w:rPr>
                <w:rFonts w:ascii="Arial" w:hAnsi="Arial" w:cs="Arial"/>
                <w:sz w:val="18"/>
                <w:szCs w:val="18"/>
              </w:rPr>
            </w:pPr>
            <w:r w:rsidRPr="00DA77C5">
              <w:rPr>
                <w:rFonts w:ascii="Arial" w:hAnsi="Arial" w:cs="Arial"/>
                <w:sz w:val="18"/>
                <w:szCs w:val="18"/>
              </w:rPr>
              <w:t xml:space="preserve">**N=total number of patients per treatment group </w:t>
            </w:r>
          </w:p>
        </w:tc>
      </w:tr>
    </w:tbl>
    <w:p w:rsidR="005C06EC" w:rsidRDefault="005C06EC" w:rsidP="00443CA7">
      <w:pPr>
        <w:jc w:val="center"/>
        <w:rPr>
          <w:rFonts w:ascii="Arial" w:hAnsi="Arial" w:cs="Arial"/>
          <w:sz w:val="22"/>
          <w:szCs w:val="22"/>
        </w:rPr>
      </w:pPr>
    </w:p>
    <w:p w:rsidR="00B62647" w:rsidRDefault="00B62647" w:rsidP="00D35A54">
      <w:pPr>
        <w:pStyle w:val="Heading5"/>
      </w:pPr>
      <w:r w:rsidRPr="00D66CD0">
        <w:t>Less Common Adverse Reactions</w:t>
      </w:r>
    </w:p>
    <w:p w:rsidR="00B62647" w:rsidRPr="00D73341" w:rsidRDefault="00B62647" w:rsidP="00B62647">
      <w:pPr>
        <w:pStyle w:val="Default"/>
        <w:jc w:val="both"/>
        <w:rPr>
          <w:rFonts w:ascii="Arial" w:hAnsi="Arial" w:cs="Arial"/>
          <w:sz w:val="22"/>
          <w:szCs w:val="22"/>
        </w:rPr>
      </w:pPr>
      <w:r w:rsidRPr="00D73341">
        <w:rPr>
          <w:rFonts w:ascii="Arial" w:hAnsi="Arial" w:cs="Arial"/>
          <w:sz w:val="22"/>
          <w:szCs w:val="22"/>
        </w:rPr>
        <w:t xml:space="preserve">Drug related </w:t>
      </w:r>
      <w:r w:rsidR="00781AB9" w:rsidRPr="00376019">
        <w:rPr>
          <w:rFonts w:ascii="Arial" w:hAnsi="Arial" w:cs="Arial"/>
          <w:color w:val="auto"/>
          <w:sz w:val="22"/>
          <w:szCs w:val="22"/>
        </w:rPr>
        <w:t xml:space="preserve">clinical </w:t>
      </w:r>
      <w:r w:rsidRPr="00376019">
        <w:rPr>
          <w:rFonts w:ascii="Arial" w:hAnsi="Arial" w:cs="Arial"/>
          <w:color w:val="auto"/>
          <w:sz w:val="22"/>
          <w:szCs w:val="22"/>
        </w:rPr>
        <w:t>a</w:t>
      </w:r>
      <w:r w:rsidRPr="00D73341">
        <w:rPr>
          <w:rFonts w:ascii="Arial" w:hAnsi="Arial" w:cs="Arial"/>
          <w:sz w:val="22"/>
          <w:szCs w:val="22"/>
        </w:rPr>
        <w:t>dverse experiences, occurring in less than 2% of treatment</w:t>
      </w:r>
      <w:r w:rsidR="00E84FAE">
        <w:rPr>
          <w:rFonts w:ascii="Arial" w:hAnsi="Arial" w:cs="Arial"/>
          <w:sz w:val="22"/>
          <w:szCs w:val="22"/>
        </w:rPr>
        <w:t>-</w:t>
      </w:r>
      <w:r>
        <w:rPr>
          <w:rFonts w:ascii="Arial" w:hAnsi="Arial" w:cs="Arial"/>
          <w:sz w:val="22"/>
          <w:szCs w:val="22"/>
        </w:rPr>
        <w:t>naïve</w:t>
      </w:r>
      <w:r w:rsidRPr="00D73341">
        <w:rPr>
          <w:rFonts w:ascii="Arial" w:hAnsi="Arial" w:cs="Arial"/>
          <w:sz w:val="22"/>
          <w:szCs w:val="22"/>
        </w:rPr>
        <w:t xml:space="preserve"> patients (n=281)</w:t>
      </w:r>
      <w:r w:rsidRPr="00D73341">
        <w:t xml:space="preserve"> </w:t>
      </w:r>
      <w:r w:rsidRPr="00D73341">
        <w:rPr>
          <w:rFonts w:ascii="Arial" w:hAnsi="Arial" w:cs="Arial"/>
          <w:sz w:val="22"/>
          <w:szCs w:val="22"/>
        </w:rPr>
        <w:t xml:space="preserve">receiving ISENTRESS + emtricitabine (+) tenofovir and of moderate to severe intensity are listed below by System Organ Class. </w:t>
      </w:r>
    </w:p>
    <w:p w:rsidR="00B62647" w:rsidRPr="00D73341" w:rsidRDefault="00B62647" w:rsidP="00D35A54">
      <w:pPr>
        <w:pStyle w:val="Heading5"/>
      </w:pPr>
      <w:r w:rsidRPr="00D73341">
        <w:t>Blood and Lymphatic System Disorders</w:t>
      </w:r>
    </w:p>
    <w:p w:rsidR="00B62647" w:rsidRPr="00D73341" w:rsidRDefault="00B62647" w:rsidP="00B62647">
      <w:pPr>
        <w:widowControl w:val="0"/>
        <w:autoSpaceDE w:val="0"/>
        <w:autoSpaceDN w:val="0"/>
        <w:adjustRightInd w:val="0"/>
        <w:spacing w:before="15" w:after="15"/>
        <w:jc w:val="both"/>
        <w:rPr>
          <w:rFonts w:ascii="Arial" w:hAnsi="Arial" w:cs="Arial"/>
          <w:i/>
          <w:sz w:val="22"/>
          <w:szCs w:val="22"/>
        </w:rPr>
      </w:pPr>
      <w:r w:rsidRPr="00D73341">
        <w:rPr>
          <w:rFonts w:ascii="Arial" w:hAnsi="Arial" w:cs="Arial"/>
          <w:i/>
          <w:sz w:val="22"/>
          <w:szCs w:val="22"/>
        </w:rPr>
        <w:t>lymph node pain, neutropenia</w:t>
      </w:r>
      <w:r w:rsidR="00443CA7">
        <w:rPr>
          <w:rFonts w:ascii="Arial" w:hAnsi="Arial" w:cs="Arial"/>
          <w:i/>
          <w:sz w:val="22"/>
          <w:szCs w:val="22"/>
        </w:rPr>
        <w:t>, anaemia</w:t>
      </w:r>
      <w:r w:rsidR="00781AB9">
        <w:rPr>
          <w:rFonts w:ascii="Arial" w:hAnsi="Arial" w:cs="Arial"/>
          <w:i/>
          <w:sz w:val="22"/>
          <w:szCs w:val="22"/>
        </w:rPr>
        <w:t xml:space="preserve">, </w:t>
      </w:r>
      <w:r w:rsidR="00781AB9" w:rsidRPr="00376019">
        <w:rPr>
          <w:rFonts w:ascii="Arial" w:hAnsi="Arial" w:cs="Arial"/>
          <w:i/>
          <w:sz w:val="22"/>
          <w:szCs w:val="22"/>
        </w:rPr>
        <w:t>lympadenopathy</w:t>
      </w:r>
    </w:p>
    <w:p w:rsidR="00B62647" w:rsidRPr="00D73341" w:rsidRDefault="00B62647" w:rsidP="00D35A54">
      <w:pPr>
        <w:pStyle w:val="Heading5"/>
      </w:pPr>
      <w:r w:rsidRPr="00D73341">
        <w:t>Ear and Labyrinth Disorders</w:t>
      </w:r>
    </w:p>
    <w:p w:rsidR="00B62647" w:rsidRPr="00D73341" w:rsidRDefault="00B62647" w:rsidP="00B62647">
      <w:pPr>
        <w:widowControl w:val="0"/>
        <w:autoSpaceDE w:val="0"/>
        <w:autoSpaceDN w:val="0"/>
        <w:adjustRightInd w:val="0"/>
        <w:spacing w:before="15" w:after="15"/>
        <w:jc w:val="both"/>
        <w:rPr>
          <w:rFonts w:ascii="Arial" w:hAnsi="Arial" w:cs="Arial"/>
          <w:i/>
          <w:sz w:val="22"/>
          <w:szCs w:val="22"/>
        </w:rPr>
      </w:pPr>
      <w:r w:rsidRPr="00D73341">
        <w:rPr>
          <w:rFonts w:ascii="Arial" w:hAnsi="Arial" w:cs="Arial"/>
          <w:i/>
          <w:sz w:val="22"/>
          <w:szCs w:val="22"/>
        </w:rPr>
        <w:t>tinnitus</w:t>
      </w:r>
      <w:r w:rsidRPr="00D73341">
        <w:rPr>
          <w:rFonts w:ascii="Arial" w:hAnsi="Arial" w:cs="Arial"/>
          <w:sz w:val="22"/>
          <w:szCs w:val="22"/>
        </w:rPr>
        <w:t xml:space="preserve">, </w:t>
      </w:r>
      <w:r w:rsidRPr="00D73341">
        <w:rPr>
          <w:rFonts w:ascii="Arial" w:hAnsi="Arial" w:cs="Arial"/>
          <w:i/>
          <w:sz w:val="22"/>
          <w:szCs w:val="22"/>
        </w:rPr>
        <w:t>vertigo</w:t>
      </w:r>
    </w:p>
    <w:p w:rsidR="00B62647" w:rsidRPr="00D73341" w:rsidRDefault="00B62647" w:rsidP="00D35A54">
      <w:pPr>
        <w:pStyle w:val="Heading5"/>
      </w:pPr>
      <w:r w:rsidRPr="00D73341">
        <w:t xml:space="preserve">Gastrointestinal Disorders </w:t>
      </w:r>
    </w:p>
    <w:p w:rsidR="00B62647" w:rsidRPr="00376019" w:rsidRDefault="00443CA7" w:rsidP="00443CA7">
      <w:pPr>
        <w:autoSpaceDE w:val="0"/>
        <w:autoSpaceDN w:val="0"/>
        <w:adjustRightInd w:val="0"/>
        <w:rPr>
          <w:sz w:val="20"/>
        </w:rPr>
      </w:pPr>
      <w:r>
        <w:rPr>
          <w:rFonts w:ascii="Arial" w:hAnsi="Arial" w:cs="Arial"/>
          <w:sz w:val="22"/>
          <w:szCs w:val="22"/>
        </w:rPr>
        <w:t>d</w:t>
      </w:r>
      <w:r w:rsidRPr="00443CA7">
        <w:rPr>
          <w:rFonts w:ascii="Arial" w:hAnsi="Arial" w:cs="Arial"/>
          <w:sz w:val="22"/>
          <w:szCs w:val="22"/>
        </w:rPr>
        <w:t>iarrh</w:t>
      </w:r>
      <w:r w:rsidR="002B2E84">
        <w:rPr>
          <w:rFonts w:ascii="Arial" w:hAnsi="Arial" w:cs="Arial"/>
          <w:sz w:val="22"/>
          <w:szCs w:val="22"/>
        </w:rPr>
        <w:t>o</w:t>
      </w:r>
      <w:r w:rsidRPr="00443CA7">
        <w:rPr>
          <w:rFonts w:ascii="Arial" w:hAnsi="Arial" w:cs="Arial"/>
          <w:sz w:val="22"/>
          <w:szCs w:val="22"/>
        </w:rPr>
        <w:t>ea</w:t>
      </w:r>
      <w:r>
        <w:rPr>
          <w:sz w:val="20"/>
        </w:rPr>
        <w:t xml:space="preserve">, </w:t>
      </w:r>
      <w:r w:rsidR="00B62647" w:rsidRPr="00D73341">
        <w:rPr>
          <w:rFonts w:ascii="Arial" w:hAnsi="Arial" w:cs="Arial"/>
          <w:i/>
          <w:sz w:val="22"/>
          <w:szCs w:val="22"/>
        </w:rPr>
        <w:t>abdominal pain, vomiting, abdominal pain upper</w:t>
      </w:r>
      <w:r w:rsidR="00B17E33">
        <w:rPr>
          <w:rFonts w:ascii="Arial" w:hAnsi="Arial" w:cs="Arial"/>
          <w:i/>
          <w:sz w:val="22"/>
          <w:szCs w:val="22"/>
        </w:rPr>
        <w:t>, dyspepsia, erosive duodenitis</w:t>
      </w:r>
      <w:r w:rsidR="009659C9">
        <w:rPr>
          <w:rFonts w:ascii="Arial" w:hAnsi="Arial" w:cs="Arial"/>
          <w:i/>
          <w:sz w:val="22"/>
          <w:szCs w:val="22"/>
        </w:rPr>
        <w:t>, gastoesophageal reflux diseas</w:t>
      </w:r>
      <w:r w:rsidR="009659C9" w:rsidRPr="00376019">
        <w:rPr>
          <w:rFonts w:ascii="Arial" w:hAnsi="Arial" w:cs="Arial"/>
          <w:i/>
          <w:sz w:val="22"/>
          <w:szCs w:val="22"/>
        </w:rPr>
        <w:t>e</w:t>
      </w:r>
      <w:r w:rsidR="00781AB9" w:rsidRPr="00376019">
        <w:rPr>
          <w:rFonts w:ascii="Arial" w:hAnsi="Arial" w:cs="Arial"/>
          <w:i/>
          <w:sz w:val="22"/>
          <w:szCs w:val="22"/>
        </w:rPr>
        <w:t>, abdominal distension</w:t>
      </w:r>
      <w:r w:rsidR="005F1734" w:rsidRPr="00376019">
        <w:rPr>
          <w:rFonts w:ascii="Arial" w:hAnsi="Arial" w:cs="Arial"/>
          <w:i/>
          <w:sz w:val="22"/>
          <w:szCs w:val="22"/>
        </w:rPr>
        <w:t xml:space="preserve"> </w:t>
      </w:r>
    </w:p>
    <w:p w:rsidR="00B62647" w:rsidRPr="00D73341" w:rsidRDefault="00B62647" w:rsidP="00D35A54">
      <w:pPr>
        <w:pStyle w:val="Heading5"/>
      </w:pPr>
      <w:r w:rsidRPr="00D73341">
        <w:lastRenderedPageBreak/>
        <w:t>General Disorders and Administration Site Conditions</w:t>
      </w:r>
    </w:p>
    <w:p w:rsidR="00B62647" w:rsidRPr="00D73341" w:rsidRDefault="00B62647" w:rsidP="00B62647">
      <w:pPr>
        <w:widowControl w:val="0"/>
        <w:autoSpaceDE w:val="0"/>
        <w:autoSpaceDN w:val="0"/>
        <w:adjustRightInd w:val="0"/>
        <w:spacing w:before="15" w:after="15"/>
        <w:jc w:val="both"/>
        <w:rPr>
          <w:rFonts w:ascii="Arial" w:hAnsi="Arial" w:cs="Arial"/>
          <w:b/>
          <w:bCs/>
          <w:i/>
          <w:sz w:val="22"/>
          <w:szCs w:val="22"/>
        </w:rPr>
      </w:pPr>
      <w:r>
        <w:rPr>
          <w:rFonts w:ascii="Arial" w:hAnsi="Arial" w:cs="Arial"/>
          <w:i/>
          <w:sz w:val="22"/>
          <w:szCs w:val="22"/>
        </w:rPr>
        <w:t xml:space="preserve">fatigue, </w:t>
      </w:r>
      <w:r w:rsidRPr="00D73341">
        <w:rPr>
          <w:rFonts w:ascii="Arial" w:hAnsi="Arial" w:cs="Arial"/>
          <w:i/>
          <w:sz w:val="22"/>
          <w:szCs w:val="22"/>
        </w:rPr>
        <w:t>asthenia</w:t>
      </w:r>
      <w:r w:rsidR="009659C9">
        <w:rPr>
          <w:rFonts w:ascii="Arial" w:hAnsi="Arial" w:cs="Arial"/>
          <w:i/>
          <w:sz w:val="22"/>
          <w:szCs w:val="22"/>
        </w:rPr>
        <w:t>, submandibular mass</w:t>
      </w:r>
      <w:r w:rsidRPr="00D73341">
        <w:rPr>
          <w:rFonts w:ascii="Arial" w:hAnsi="Arial" w:cs="Arial"/>
          <w:i/>
          <w:sz w:val="22"/>
          <w:szCs w:val="22"/>
        </w:rPr>
        <w:t xml:space="preserve"> </w:t>
      </w:r>
    </w:p>
    <w:p w:rsidR="00781AB9" w:rsidRPr="00376019" w:rsidRDefault="00781AB9" w:rsidP="00D35A54">
      <w:pPr>
        <w:pStyle w:val="Heading5"/>
      </w:pPr>
      <w:r w:rsidRPr="00376019">
        <w:t>Hepatobiliary Disorders</w:t>
      </w:r>
    </w:p>
    <w:p w:rsidR="00781AB9" w:rsidRPr="00376019" w:rsidRDefault="00781AB9" w:rsidP="00B62647">
      <w:pPr>
        <w:widowControl w:val="0"/>
        <w:autoSpaceDE w:val="0"/>
        <w:autoSpaceDN w:val="0"/>
        <w:adjustRightInd w:val="0"/>
        <w:spacing w:before="15" w:after="15"/>
        <w:jc w:val="both"/>
        <w:rPr>
          <w:rFonts w:ascii="Arial" w:hAnsi="Arial" w:cs="Arial"/>
          <w:bCs/>
          <w:i/>
          <w:sz w:val="22"/>
          <w:szCs w:val="22"/>
        </w:rPr>
      </w:pPr>
      <w:r w:rsidRPr="00376019">
        <w:rPr>
          <w:rFonts w:ascii="Arial" w:hAnsi="Arial" w:cs="Arial"/>
          <w:bCs/>
          <w:i/>
          <w:sz w:val="22"/>
          <w:szCs w:val="22"/>
        </w:rPr>
        <w:t>Hepatitis alcoholic</w:t>
      </w:r>
    </w:p>
    <w:p w:rsidR="00B62647" w:rsidRPr="00D73341" w:rsidRDefault="00B62647" w:rsidP="00D35A54">
      <w:pPr>
        <w:pStyle w:val="Heading5"/>
      </w:pPr>
      <w:r w:rsidRPr="00D73341">
        <w:t>Immune System Disorders</w:t>
      </w:r>
    </w:p>
    <w:p w:rsidR="00B62647" w:rsidRDefault="00B62647" w:rsidP="00B62647">
      <w:pPr>
        <w:widowControl w:val="0"/>
        <w:autoSpaceDE w:val="0"/>
        <w:autoSpaceDN w:val="0"/>
        <w:adjustRightInd w:val="0"/>
        <w:spacing w:before="15" w:after="15"/>
        <w:jc w:val="both"/>
        <w:rPr>
          <w:rFonts w:ascii="Arial" w:hAnsi="Arial" w:cs="Arial"/>
          <w:i/>
          <w:sz w:val="22"/>
          <w:szCs w:val="22"/>
        </w:rPr>
      </w:pPr>
      <w:r w:rsidRPr="00D73341">
        <w:rPr>
          <w:rFonts w:ascii="Arial" w:hAnsi="Arial" w:cs="Arial"/>
          <w:i/>
          <w:sz w:val="22"/>
          <w:szCs w:val="22"/>
        </w:rPr>
        <w:t>immune reconstitution syndrome</w:t>
      </w:r>
    </w:p>
    <w:p w:rsidR="00B62647" w:rsidRPr="00D73341" w:rsidRDefault="00B62647" w:rsidP="00D35A54">
      <w:pPr>
        <w:pStyle w:val="Heading5"/>
      </w:pPr>
      <w:r w:rsidRPr="00D73341">
        <w:t>Infections and Infestations</w:t>
      </w:r>
    </w:p>
    <w:p w:rsidR="00B62647" w:rsidRPr="00D73341" w:rsidRDefault="00B62647" w:rsidP="00B62647">
      <w:pPr>
        <w:widowControl w:val="0"/>
        <w:autoSpaceDE w:val="0"/>
        <w:autoSpaceDN w:val="0"/>
        <w:adjustRightInd w:val="0"/>
        <w:spacing w:before="15" w:after="15"/>
        <w:jc w:val="both"/>
        <w:rPr>
          <w:rFonts w:ascii="Arial" w:hAnsi="Arial" w:cs="Arial"/>
          <w:i/>
          <w:sz w:val="22"/>
          <w:szCs w:val="22"/>
        </w:rPr>
      </w:pPr>
      <w:r w:rsidRPr="00D73341">
        <w:rPr>
          <w:rFonts w:ascii="Arial" w:hAnsi="Arial" w:cs="Arial"/>
          <w:i/>
          <w:sz w:val="22"/>
          <w:szCs w:val="22"/>
        </w:rPr>
        <w:t>herpes zoster, gastroenteritis, folliculitis</w:t>
      </w:r>
      <w:r w:rsidR="009659C9">
        <w:rPr>
          <w:rFonts w:ascii="Arial" w:hAnsi="Arial" w:cs="Arial"/>
          <w:i/>
          <w:sz w:val="22"/>
          <w:szCs w:val="22"/>
        </w:rPr>
        <w:t>, lymph node a</w:t>
      </w:r>
      <w:r w:rsidR="006F2D14">
        <w:rPr>
          <w:rFonts w:ascii="Arial" w:hAnsi="Arial" w:cs="Arial"/>
          <w:i/>
          <w:sz w:val="22"/>
          <w:szCs w:val="22"/>
        </w:rPr>
        <w:t>bsc</w:t>
      </w:r>
      <w:r w:rsidR="009659C9">
        <w:rPr>
          <w:rFonts w:ascii="Arial" w:hAnsi="Arial" w:cs="Arial"/>
          <w:i/>
          <w:sz w:val="22"/>
          <w:szCs w:val="22"/>
        </w:rPr>
        <w:t>ess</w:t>
      </w:r>
    </w:p>
    <w:p w:rsidR="00B62647" w:rsidRPr="00D73341" w:rsidRDefault="00B62647" w:rsidP="00D35A54">
      <w:pPr>
        <w:pStyle w:val="Heading5"/>
      </w:pPr>
      <w:r w:rsidRPr="00D73341">
        <w:t>Metabolism and Nutrition Disorders</w:t>
      </w:r>
    </w:p>
    <w:p w:rsidR="00B62647" w:rsidRPr="00376019" w:rsidRDefault="00B62647" w:rsidP="00B62647">
      <w:pPr>
        <w:widowControl w:val="0"/>
        <w:tabs>
          <w:tab w:val="left" w:pos="1320"/>
        </w:tabs>
        <w:autoSpaceDE w:val="0"/>
        <w:autoSpaceDN w:val="0"/>
        <w:adjustRightInd w:val="0"/>
        <w:spacing w:before="15" w:after="15"/>
        <w:jc w:val="both"/>
        <w:rPr>
          <w:rFonts w:ascii="Arial" w:hAnsi="Arial" w:cs="Arial"/>
          <w:b/>
          <w:bCs/>
          <w:i/>
          <w:sz w:val="22"/>
          <w:szCs w:val="22"/>
        </w:rPr>
      </w:pPr>
      <w:r w:rsidRPr="00D73341">
        <w:rPr>
          <w:rFonts w:ascii="Arial" w:hAnsi="Arial" w:cs="Arial"/>
          <w:i/>
          <w:sz w:val="22"/>
          <w:szCs w:val="22"/>
        </w:rPr>
        <w:t>decreased appetite</w:t>
      </w:r>
      <w:r w:rsidR="00781AB9">
        <w:rPr>
          <w:rFonts w:ascii="Arial" w:hAnsi="Arial" w:cs="Arial"/>
          <w:i/>
          <w:sz w:val="22"/>
          <w:szCs w:val="22"/>
        </w:rPr>
        <w:t xml:space="preserve">, </w:t>
      </w:r>
      <w:r w:rsidR="00781AB9" w:rsidRPr="00376019">
        <w:rPr>
          <w:rFonts w:ascii="Arial" w:hAnsi="Arial" w:cs="Arial"/>
          <w:i/>
          <w:sz w:val="22"/>
          <w:szCs w:val="22"/>
        </w:rPr>
        <w:t>hypercholesterolemia</w:t>
      </w:r>
    </w:p>
    <w:p w:rsidR="00B62647" w:rsidRPr="00D73341" w:rsidRDefault="00B62647" w:rsidP="00D35A54">
      <w:pPr>
        <w:pStyle w:val="Heading5"/>
      </w:pPr>
      <w:r w:rsidRPr="00D73341">
        <w:t>Musculoskeletal and Connective Tissue Disorders</w:t>
      </w:r>
    </w:p>
    <w:p w:rsidR="00B62647" w:rsidRPr="00D73341" w:rsidRDefault="00B62647" w:rsidP="00B62647">
      <w:pPr>
        <w:widowControl w:val="0"/>
        <w:autoSpaceDE w:val="0"/>
        <w:autoSpaceDN w:val="0"/>
        <w:adjustRightInd w:val="0"/>
        <w:spacing w:before="15" w:after="15"/>
        <w:jc w:val="both"/>
        <w:rPr>
          <w:rFonts w:ascii="Arial" w:hAnsi="Arial" w:cs="Arial"/>
          <w:i/>
          <w:sz w:val="22"/>
          <w:szCs w:val="22"/>
        </w:rPr>
      </w:pPr>
      <w:r w:rsidRPr="00D73341">
        <w:rPr>
          <w:rFonts w:ascii="Arial" w:hAnsi="Arial" w:cs="Arial"/>
          <w:i/>
          <w:sz w:val="22"/>
          <w:szCs w:val="22"/>
        </w:rPr>
        <w:t>arthritis, neck pain</w:t>
      </w:r>
    </w:p>
    <w:p w:rsidR="00B62647" w:rsidRPr="00D73341" w:rsidRDefault="00B62647" w:rsidP="00D35A54">
      <w:pPr>
        <w:pStyle w:val="Heading5"/>
      </w:pPr>
      <w:r w:rsidRPr="00D73341">
        <w:t>Nervous System Disorders</w:t>
      </w:r>
    </w:p>
    <w:p w:rsidR="00443CA7" w:rsidRPr="00D73341" w:rsidRDefault="00443CA7" w:rsidP="00443CA7">
      <w:pPr>
        <w:widowControl w:val="0"/>
        <w:autoSpaceDE w:val="0"/>
        <w:autoSpaceDN w:val="0"/>
        <w:adjustRightInd w:val="0"/>
        <w:spacing w:before="15" w:after="15"/>
        <w:rPr>
          <w:rFonts w:ascii="Arial" w:hAnsi="Arial" w:cs="Arial"/>
          <w:sz w:val="22"/>
          <w:szCs w:val="22"/>
        </w:rPr>
      </w:pPr>
      <w:r>
        <w:rPr>
          <w:rFonts w:ascii="Arial" w:hAnsi="Arial" w:cs="Arial"/>
          <w:i/>
          <w:sz w:val="22"/>
          <w:szCs w:val="22"/>
        </w:rPr>
        <w:t>d</w:t>
      </w:r>
      <w:r w:rsidR="00B62647" w:rsidRPr="00D73341">
        <w:rPr>
          <w:rFonts w:ascii="Arial" w:hAnsi="Arial" w:cs="Arial"/>
          <w:i/>
          <w:sz w:val="22"/>
          <w:szCs w:val="22"/>
        </w:rPr>
        <w:t>izziness</w:t>
      </w:r>
      <w:r w:rsidR="00B62647">
        <w:rPr>
          <w:rFonts w:ascii="Arial" w:hAnsi="Arial" w:cs="Arial"/>
          <w:i/>
          <w:sz w:val="22"/>
          <w:szCs w:val="22"/>
        </w:rPr>
        <w:t xml:space="preserve">, </w:t>
      </w:r>
      <w:r w:rsidR="00B62647" w:rsidRPr="00D73341">
        <w:rPr>
          <w:rFonts w:ascii="Arial" w:hAnsi="Arial" w:cs="Arial"/>
          <w:i/>
          <w:sz w:val="22"/>
          <w:szCs w:val="22"/>
        </w:rPr>
        <w:t>hypersomnia, somnolence</w:t>
      </w:r>
      <w:r w:rsidR="00B62647" w:rsidRPr="00D73341">
        <w:rPr>
          <w:rFonts w:ascii="Arial" w:hAnsi="Arial" w:cs="Arial"/>
          <w:sz w:val="22"/>
          <w:szCs w:val="22"/>
        </w:rPr>
        <w:t>,</w:t>
      </w:r>
      <w:r w:rsidR="00B62647" w:rsidRPr="00D73341">
        <w:rPr>
          <w:rFonts w:ascii="Arial" w:hAnsi="Arial" w:cs="Arial"/>
          <w:i/>
          <w:sz w:val="22"/>
          <w:szCs w:val="22"/>
        </w:rPr>
        <w:t xml:space="preserve"> memory impairment</w:t>
      </w:r>
      <w:r w:rsidRPr="00443CA7">
        <w:rPr>
          <w:rFonts w:ascii="Arial" w:hAnsi="Arial" w:cs="Arial"/>
          <w:i/>
          <w:sz w:val="22"/>
          <w:szCs w:val="22"/>
        </w:rPr>
        <w:t xml:space="preserve"> </w:t>
      </w:r>
    </w:p>
    <w:p w:rsidR="00B62647" w:rsidRPr="00D73341" w:rsidRDefault="00443CA7" w:rsidP="00D35A54">
      <w:pPr>
        <w:pStyle w:val="Heading5"/>
      </w:pPr>
      <w:r>
        <w:t>Psychiatric D</w:t>
      </w:r>
      <w:r w:rsidR="00B62647" w:rsidRPr="00D73341">
        <w:t>isorders</w:t>
      </w:r>
    </w:p>
    <w:p w:rsidR="00B62647" w:rsidRPr="00D73341" w:rsidRDefault="00B62647" w:rsidP="00B62647">
      <w:pPr>
        <w:widowControl w:val="0"/>
        <w:autoSpaceDE w:val="0"/>
        <w:autoSpaceDN w:val="0"/>
        <w:adjustRightInd w:val="0"/>
        <w:spacing w:before="15" w:after="15"/>
        <w:jc w:val="both"/>
        <w:rPr>
          <w:rFonts w:ascii="Arial" w:hAnsi="Arial" w:cs="Arial"/>
          <w:i/>
          <w:sz w:val="22"/>
          <w:szCs w:val="22"/>
        </w:rPr>
      </w:pPr>
      <w:r>
        <w:rPr>
          <w:rFonts w:ascii="Arial" w:hAnsi="Arial" w:cs="Arial"/>
          <w:i/>
          <w:sz w:val="22"/>
          <w:szCs w:val="22"/>
        </w:rPr>
        <w:t xml:space="preserve">abnormal dreams, nightmare, </w:t>
      </w:r>
      <w:r w:rsidRPr="00D73341">
        <w:rPr>
          <w:rFonts w:ascii="Arial" w:hAnsi="Arial" w:cs="Arial"/>
          <w:i/>
          <w:sz w:val="22"/>
          <w:szCs w:val="22"/>
        </w:rPr>
        <w:t>anxiety, mental disorder, confusional state</w:t>
      </w:r>
      <w:r w:rsidR="00443CA7">
        <w:rPr>
          <w:rFonts w:ascii="Arial" w:hAnsi="Arial" w:cs="Arial"/>
          <w:i/>
          <w:sz w:val="22"/>
          <w:szCs w:val="22"/>
        </w:rPr>
        <w:t xml:space="preserve">, </w:t>
      </w:r>
      <w:r w:rsidR="00B17E33">
        <w:rPr>
          <w:rFonts w:ascii="Arial" w:hAnsi="Arial" w:cs="Arial"/>
          <w:i/>
          <w:sz w:val="22"/>
          <w:szCs w:val="22"/>
        </w:rPr>
        <w:t>depression, major depression</w:t>
      </w:r>
      <w:r w:rsidRPr="00D73341">
        <w:rPr>
          <w:rFonts w:ascii="Arial" w:hAnsi="Arial" w:cs="Arial"/>
          <w:i/>
          <w:sz w:val="22"/>
          <w:szCs w:val="22"/>
        </w:rPr>
        <w:t xml:space="preserve"> </w:t>
      </w:r>
    </w:p>
    <w:p w:rsidR="00443CA7" w:rsidRPr="009803C2" w:rsidRDefault="00443CA7" w:rsidP="00D35A54">
      <w:pPr>
        <w:pStyle w:val="Heading5"/>
      </w:pPr>
      <w:r w:rsidRPr="009803C2">
        <w:t>Renal and Urinary Disorders</w:t>
      </w:r>
    </w:p>
    <w:p w:rsidR="00443CA7" w:rsidRPr="009803C2" w:rsidRDefault="00443CA7" w:rsidP="00443CA7">
      <w:pPr>
        <w:widowControl w:val="0"/>
        <w:autoSpaceDE w:val="0"/>
        <w:autoSpaceDN w:val="0"/>
        <w:adjustRightInd w:val="0"/>
        <w:spacing w:before="15" w:after="15"/>
        <w:jc w:val="both"/>
        <w:rPr>
          <w:rFonts w:ascii="Arial" w:hAnsi="Arial" w:cs="Arial"/>
          <w:bCs/>
          <w:i/>
          <w:sz w:val="22"/>
          <w:szCs w:val="22"/>
        </w:rPr>
      </w:pPr>
      <w:r w:rsidRPr="009803C2">
        <w:rPr>
          <w:rFonts w:ascii="Arial" w:hAnsi="Arial" w:cs="Arial"/>
          <w:bCs/>
          <w:i/>
          <w:sz w:val="22"/>
          <w:szCs w:val="22"/>
        </w:rPr>
        <w:t>nephrolithiasis</w:t>
      </w:r>
    </w:p>
    <w:p w:rsidR="00B62647" w:rsidRPr="00D73341" w:rsidRDefault="00B62647" w:rsidP="00D35A54">
      <w:pPr>
        <w:pStyle w:val="Heading5"/>
      </w:pPr>
      <w:r w:rsidRPr="00D73341">
        <w:t>Reproductive System and Breast Disorders</w:t>
      </w:r>
    </w:p>
    <w:p w:rsidR="00B62647" w:rsidRDefault="00B62647" w:rsidP="00B62647">
      <w:pPr>
        <w:widowControl w:val="0"/>
        <w:autoSpaceDE w:val="0"/>
        <w:autoSpaceDN w:val="0"/>
        <w:adjustRightInd w:val="0"/>
        <w:spacing w:before="15" w:after="15"/>
        <w:jc w:val="both"/>
        <w:rPr>
          <w:rFonts w:ascii="Arial" w:hAnsi="Arial" w:cs="Arial"/>
          <w:i/>
          <w:sz w:val="22"/>
          <w:szCs w:val="22"/>
        </w:rPr>
      </w:pPr>
      <w:r w:rsidRPr="00D73341">
        <w:rPr>
          <w:rFonts w:ascii="Arial" w:hAnsi="Arial" w:cs="Arial"/>
          <w:i/>
          <w:sz w:val="22"/>
          <w:szCs w:val="22"/>
        </w:rPr>
        <w:t>erectile dysfunction</w:t>
      </w:r>
    </w:p>
    <w:p w:rsidR="00B62647" w:rsidRPr="00D73341" w:rsidRDefault="00B62647" w:rsidP="00D35A54">
      <w:pPr>
        <w:pStyle w:val="Heading5"/>
      </w:pPr>
      <w:r w:rsidRPr="00D73341">
        <w:t>Skin and Subcutaneous Tissue Disorders</w:t>
      </w:r>
    </w:p>
    <w:p w:rsidR="00B62647" w:rsidRPr="00D73341" w:rsidRDefault="00B62647" w:rsidP="00B62647">
      <w:pPr>
        <w:widowControl w:val="0"/>
        <w:tabs>
          <w:tab w:val="left" w:pos="2520"/>
        </w:tabs>
        <w:autoSpaceDE w:val="0"/>
        <w:autoSpaceDN w:val="0"/>
        <w:adjustRightInd w:val="0"/>
        <w:spacing w:before="15" w:after="15"/>
        <w:jc w:val="both"/>
        <w:rPr>
          <w:rFonts w:ascii="Arial" w:hAnsi="Arial" w:cs="Arial"/>
          <w:i/>
          <w:sz w:val="22"/>
          <w:szCs w:val="22"/>
        </w:rPr>
      </w:pPr>
      <w:r w:rsidRPr="00D73341">
        <w:rPr>
          <w:rFonts w:ascii="Arial" w:hAnsi="Arial" w:cs="Arial"/>
          <w:i/>
          <w:sz w:val="22"/>
          <w:szCs w:val="22"/>
        </w:rPr>
        <w:t>acne, alopecia, skin lesion</w:t>
      </w:r>
      <w:r w:rsidR="009659C9">
        <w:rPr>
          <w:rFonts w:ascii="Arial" w:hAnsi="Arial" w:cs="Arial"/>
          <w:i/>
          <w:sz w:val="22"/>
          <w:szCs w:val="22"/>
        </w:rPr>
        <w:t>, lipoatrophy</w:t>
      </w:r>
    </w:p>
    <w:p w:rsidR="00B62647" w:rsidRPr="00470BC0" w:rsidRDefault="00B62647" w:rsidP="00D35A54">
      <w:pPr>
        <w:pStyle w:val="Heading5"/>
      </w:pPr>
      <w:r w:rsidRPr="00470BC0">
        <w:t>Serious Events</w:t>
      </w:r>
    </w:p>
    <w:p w:rsidR="00B62647" w:rsidRPr="00940A8A" w:rsidRDefault="00B62647" w:rsidP="00B62647">
      <w:pPr>
        <w:jc w:val="both"/>
        <w:rPr>
          <w:rFonts w:ascii="Arial" w:hAnsi="Arial" w:cs="Arial"/>
          <w:sz w:val="22"/>
          <w:szCs w:val="22"/>
        </w:rPr>
      </w:pPr>
      <w:r w:rsidRPr="00D73341">
        <w:rPr>
          <w:rFonts w:ascii="Arial" w:hAnsi="Arial" w:cs="Arial"/>
          <w:sz w:val="22"/>
          <w:szCs w:val="22"/>
        </w:rPr>
        <w:t>The following serious drug</w:t>
      </w:r>
      <w:r w:rsidRPr="00D73341">
        <w:rPr>
          <w:rFonts w:ascii="Arial" w:hAnsi="Arial" w:cs="Arial"/>
          <w:sz w:val="22"/>
          <w:szCs w:val="22"/>
        </w:rPr>
        <w:noBreakHyphen/>
        <w:t xml:space="preserve">related adverse experiences were reported in the clinical study, </w:t>
      </w:r>
      <w:r w:rsidR="003148BF">
        <w:rPr>
          <w:rFonts w:ascii="Arial" w:hAnsi="Arial" w:cs="Arial"/>
          <w:sz w:val="22"/>
          <w:szCs w:val="22"/>
        </w:rPr>
        <w:t>STARTMRK</w:t>
      </w:r>
      <w:r w:rsidRPr="00D73341">
        <w:rPr>
          <w:rFonts w:ascii="Arial" w:hAnsi="Arial" w:cs="Arial"/>
          <w:sz w:val="22"/>
          <w:szCs w:val="22"/>
        </w:rPr>
        <w:t xml:space="preserve"> in treatment-naïve patients receiving ISENTRESS + emtricitabine (+) tenofovir: </w:t>
      </w:r>
      <w:r w:rsidR="00443CA7">
        <w:rPr>
          <w:rFonts w:ascii="Arial" w:hAnsi="Arial" w:cs="Arial"/>
          <w:sz w:val="22"/>
          <w:szCs w:val="22"/>
        </w:rPr>
        <w:t xml:space="preserve">anaemia, </w:t>
      </w:r>
      <w:r w:rsidRPr="00D73341">
        <w:rPr>
          <w:rFonts w:ascii="Arial" w:hAnsi="Arial" w:cs="Arial"/>
          <w:sz w:val="22"/>
          <w:szCs w:val="22"/>
        </w:rPr>
        <w:t>immune reconstitution syndrome, mental disorder</w:t>
      </w:r>
      <w:r w:rsidR="00443CA7">
        <w:rPr>
          <w:rFonts w:ascii="Arial" w:hAnsi="Arial" w:cs="Arial"/>
          <w:sz w:val="22"/>
          <w:szCs w:val="22"/>
        </w:rPr>
        <w:t xml:space="preserve">, </w:t>
      </w:r>
      <w:r w:rsidR="009659C9">
        <w:rPr>
          <w:rFonts w:ascii="Arial" w:hAnsi="Arial" w:cs="Arial"/>
          <w:sz w:val="22"/>
          <w:szCs w:val="22"/>
        </w:rPr>
        <w:t>suicide attempt</w:t>
      </w:r>
      <w:r w:rsidRPr="00D73341">
        <w:rPr>
          <w:rFonts w:ascii="Arial" w:hAnsi="Arial" w:cs="Arial"/>
          <w:sz w:val="22"/>
          <w:szCs w:val="22"/>
        </w:rPr>
        <w:t>.</w:t>
      </w:r>
    </w:p>
    <w:p w:rsidR="00B62647" w:rsidRPr="00D35A54" w:rsidRDefault="00B62647" w:rsidP="00D35A54">
      <w:pPr>
        <w:pStyle w:val="Heading3"/>
        <w:jc w:val="left"/>
      </w:pPr>
      <w:r w:rsidRPr="00D35A54">
        <w:lastRenderedPageBreak/>
        <w:t xml:space="preserve">SELECTED ADVERSE EXPERIENCES </w:t>
      </w:r>
      <w:r w:rsidR="002B2E84" w:rsidRPr="00D35A54">
        <w:t xml:space="preserve">– </w:t>
      </w:r>
      <w:r w:rsidR="00016C5E" w:rsidRPr="00D35A54">
        <w:t>Treatment experienced and naive</w:t>
      </w:r>
      <w:r w:rsidR="00936494" w:rsidRPr="00D35A54">
        <w:t>:</w:t>
      </w:r>
    </w:p>
    <w:p w:rsidR="005673D8" w:rsidRPr="005673D8" w:rsidRDefault="00016C5E" w:rsidP="00D35A54">
      <w:pPr>
        <w:pStyle w:val="Heading4"/>
        <w:rPr>
          <w:lang w:bidi="he-IL"/>
        </w:rPr>
      </w:pPr>
      <w:r>
        <w:rPr>
          <w:lang w:bidi="he-IL"/>
        </w:rPr>
        <w:t>Cancers</w:t>
      </w:r>
      <w:r w:rsidR="005673D8" w:rsidRPr="005673D8">
        <w:rPr>
          <w:lang w:bidi="he-IL"/>
        </w:rPr>
        <w:t>:</w:t>
      </w:r>
    </w:p>
    <w:p w:rsidR="00B62647" w:rsidRPr="00444B0F" w:rsidRDefault="00B62647" w:rsidP="00B62647">
      <w:pPr>
        <w:autoSpaceDE w:val="0"/>
        <w:autoSpaceDN w:val="0"/>
        <w:adjustRightInd w:val="0"/>
        <w:jc w:val="both"/>
        <w:rPr>
          <w:rFonts w:ascii="Arial" w:hAnsi="Arial" w:cs="Arial"/>
          <w:sz w:val="22"/>
          <w:szCs w:val="22"/>
        </w:rPr>
      </w:pPr>
      <w:r w:rsidRPr="00D73341">
        <w:rPr>
          <w:rFonts w:ascii="Arial" w:hAnsi="Arial" w:cs="Arial"/>
          <w:sz w:val="22"/>
          <w:szCs w:val="22"/>
          <w:lang w:bidi="he-IL"/>
        </w:rPr>
        <w:t>Cancers were observed in treatment</w:t>
      </w:r>
      <w:r w:rsidRPr="00D73341">
        <w:rPr>
          <w:rFonts w:ascii="Arial" w:hAnsi="Arial" w:cs="Arial"/>
          <w:sz w:val="22"/>
          <w:szCs w:val="22"/>
          <w:lang w:bidi="he-IL"/>
        </w:rPr>
        <w:noBreakHyphen/>
        <w:t>experienced patients who initiated ISENTRESS or placebo, both</w:t>
      </w:r>
      <w:r w:rsidRPr="007776E1">
        <w:rPr>
          <w:rFonts w:ascii="Arial" w:hAnsi="Arial" w:cs="Arial"/>
          <w:sz w:val="22"/>
          <w:szCs w:val="22"/>
          <w:lang w:bidi="he-IL"/>
        </w:rPr>
        <w:t xml:space="preserve"> </w:t>
      </w:r>
      <w:r w:rsidRPr="00D73341">
        <w:rPr>
          <w:rFonts w:ascii="Arial" w:hAnsi="Arial" w:cs="Arial"/>
          <w:sz w:val="22"/>
          <w:szCs w:val="22"/>
          <w:lang w:bidi="he-IL"/>
        </w:rPr>
        <w:t>with OBT</w:t>
      </w:r>
      <w:r>
        <w:rPr>
          <w:rFonts w:ascii="Arial" w:hAnsi="Arial" w:cs="Arial"/>
          <w:sz w:val="22"/>
          <w:szCs w:val="22"/>
          <w:lang w:bidi="he-IL"/>
        </w:rPr>
        <w:t>,</w:t>
      </w:r>
      <w:r w:rsidRPr="00D73341">
        <w:rPr>
          <w:rFonts w:ascii="Arial" w:hAnsi="Arial" w:cs="Arial"/>
          <w:sz w:val="22"/>
          <w:szCs w:val="22"/>
          <w:lang w:bidi="he-IL"/>
        </w:rPr>
        <w:t xml:space="preserve"> and in treatment-naïve patients who initiated ISENTRESS or efavirenz, both with </w:t>
      </w:r>
      <w:r w:rsidRPr="00D73341">
        <w:rPr>
          <w:rFonts w:ascii="Arial" w:hAnsi="Arial" w:cs="Arial"/>
          <w:sz w:val="22"/>
          <w:szCs w:val="22"/>
        </w:rPr>
        <w:t>emtricitabine (+) tenofovir</w:t>
      </w:r>
      <w:r w:rsidRPr="00D73341">
        <w:rPr>
          <w:rFonts w:ascii="Arial" w:hAnsi="Arial" w:cs="Arial"/>
          <w:sz w:val="22"/>
          <w:szCs w:val="22"/>
          <w:lang w:bidi="he-IL"/>
        </w:rPr>
        <w:t>;</w:t>
      </w:r>
      <w:r w:rsidRPr="007776E1">
        <w:rPr>
          <w:rFonts w:ascii="Arial" w:hAnsi="Arial" w:cs="Arial"/>
          <w:sz w:val="22"/>
          <w:szCs w:val="22"/>
          <w:lang w:bidi="he-IL"/>
        </w:rPr>
        <w:t xml:space="preserve"> </w:t>
      </w:r>
      <w:r w:rsidRPr="00D73341">
        <w:rPr>
          <w:rFonts w:ascii="Arial" w:hAnsi="Arial" w:cs="Arial"/>
          <w:sz w:val="22"/>
          <w:szCs w:val="22"/>
          <w:lang w:bidi="he-IL"/>
        </w:rPr>
        <w:t>several were recurrent. The types and rates of specific cancers were those expected in a highly immunodeficient population (many had CD4+ counts below 50 cells/mm</w:t>
      </w:r>
      <w:r w:rsidRPr="00D73341">
        <w:rPr>
          <w:rFonts w:ascii="Arial" w:hAnsi="Arial" w:cs="Arial"/>
          <w:sz w:val="22"/>
          <w:szCs w:val="22"/>
          <w:vertAlign w:val="superscript"/>
          <w:lang w:bidi="he-IL"/>
        </w:rPr>
        <w:t>3</w:t>
      </w:r>
      <w:r w:rsidRPr="00D73341">
        <w:rPr>
          <w:rFonts w:ascii="Arial" w:hAnsi="Arial" w:cs="Arial"/>
          <w:sz w:val="22"/>
          <w:szCs w:val="22"/>
          <w:lang w:bidi="he-IL"/>
        </w:rPr>
        <w:t xml:space="preserve"> and most had prior AIDS diagnoses).</w:t>
      </w:r>
      <w:r>
        <w:rPr>
          <w:rFonts w:ascii="Arial" w:hAnsi="Arial" w:cs="Arial"/>
          <w:sz w:val="22"/>
          <w:szCs w:val="22"/>
          <w:lang w:bidi="he-IL"/>
        </w:rPr>
        <w:t xml:space="preserve"> </w:t>
      </w:r>
      <w:r w:rsidRPr="00D73341">
        <w:rPr>
          <w:rFonts w:ascii="Arial" w:hAnsi="Arial" w:cs="Arial"/>
          <w:sz w:val="22"/>
          <w:szCs w:val="22"/>
          <w:lang w:bidi="he-IL"/>
        </w:rPr>
        <w:t>The risk of developing cancer in these studies was similar in the group receiving ISENTRESS and the group receiving the comparator.</w:t>
      </w:r>
    </w:p>
    <w:p w:rsidR="00D35A54" w:rsidRDefault="005673D8" w:rsidP="00D35A54">
      <w:pPr>
        <w:pStyle w:val="Heading4"/>
      </w:pPr>
      <w:r>
        <w:t>Creatine Kinase laboratory abnormalities:</w:t>
      </w:r>
    </w:p>
    <w:p w:rsidR="00B62647" w:rsidRDefault="00B62647" w:rsidP="005673D8">
      <w:pPr>
        <w:tabs>
          <w:tab w:val="left" w:pos="360"/>
          <w:tab w:val="left" w:pos="8160"/>
        </w:tabs>
        <w:ind w:right="48"/>
        <w:rPr>
          <w:rFonts w:ascii="Arial" w:hAnsi="Arial" w:cs="Arial"/>
          <w:sz w:val="22"/>
          <w:szCs w:val="22"/>
        </w:rPr>
      </w:pPr>
      <w:r w:rsidRPr="00D73341">
        <w:rPr>
          <w:rFonts w:ascii="Arial" w:hAnsi="Arial" w:cs="Arial"/>
          <w:sz w:val="22"/>
          <w:szCs w:val="22"/>
        </w:rPr>
        <w:t xml:space="preserve">Grade 2-4 creatine kinase laboratory abnormalities were observed in </w:t>
      </w:r>
      <w:r w:rsidR="00A85C64">
        <w:rPr>
          <w:rFonts w:ascii="Arial" w:hAnsi="Arial" w:cs="Arial"/>
          <w:sz w:val="22"/>
          <w:szCs w:val="22"/>
        </w:rPr>
        <w:t>individuals</w:t>
      </w:r>
      <w:r w:rsidRPr="00D73341">
        <w:rPr>
          <w:rFonts w:ascii="Arial" w:hAnsi="Arial" w:cs="Arial"/>
          <w:sz w:val="22"/>
          <w:szCs w:val="22"/>
        </w:rPr>
        <w:t xml:space="preserve"> treated with ISENTRESS (see Table </w:t>
      </w:r>
      <w:r w:rsidR="00E46296">
        <w:rPr>
          <w:rFonts w:ascii="Arial" w:hAnsi="Arial" w:cs="Arial"/>
          <w:sz w:val="22"/>
          <w:szCs w:val="22"/>
        </w:rPr>
        <w:t>12</w:t>
      </w:r>
      <w:r w:rsidRPr="00D73341">
        <w:rPr>
          <w:rFonts w:ascii="Arial" w:hAnsi="Arial" w:cs="Arial"/>
          <w:sz w:val="22"/>
          <w:szCs w:val="22"/>
        </w:rPr>
        <w:t xml:space="preserve">). </w:t>
      </w:r>
      <w:r>
        <w:rPr>
          <w:rFonts w:ascii="Arial" w:hAnsi="Arial" w:cs="Arial"/>
          <w:sz w:val="22"/>
          <w:szCs w:val="22"/>
        </w:rPr>
        <w:t xml:space="preserve"> </w:t>
      </w:r>
      <w:r w:rsidRPr="00D73341">
        <w:rPr>
          <w:rFonts w:ascii="Arial" w:hAnsi="Arial" w:cs="Arial"/>
          <w:sz w:val="22"/>
          <w:szCs w:val="22"/>
        </w:rPr>
        <w:t xml:space="preserve">Myopathy and rhabdomyolysis have been reported; however, the relationship of ISENTRESS to these events is not known. </w:t>
      </w:r>
      <w:r>
        <w:rPr>
          <w:rFonts w:ascii="Arial" w:hAnsi="Arial" w:cs="Arial"/>
          <w:sz w:val="22"/>
          <w:szCs w:val="22"/>
        </w:rPr>
        <w:t xml:space="preserve"> </w:t>
      </w:r>
      <w:r w:rsidRPr="00D73341">
        <w:rPr>
          <w:rFonts w:ascii="Arial" w:hAnsi="Arial" w:cs="Arial"/>
          <w:sz w:val="22"/>
          <w:szCs w:val="22"/>
        </w:rPr>
        <w:t>Use with caution in patients at increased risk of myopathy or rhabdomyolysis, such as patients receiving concomitant medications known to cause these conditions.</w:t>
      </w:r>
    </w:p>
    <w:p w:rsidR="00B62647" w:rsidRPr="00516638" w:rsidRDefault="00516638" w:rsidP="00D35A54">
      <w:pPr>
        <w:pStyle w:val="Heading4"/>
      </w:pPr>
      <w:r w:rsidRPr="00516638">
        <w:t>Rash</w:t>
      </w:r>
      <w:r>
        <w:t>:</w:t>
      </w:r>
    </w:p>
    <w:p w:rsidR="00516638" w:rsidRDefault="00516638" w:rsidP="00516638">
      <w:pPr>
        <w:rPr>
          <w:rFonts w:ascii="Arial" w:hAnsi="Arial" w:cs="Arial"/>
          <w:sz w:val="22"/>
          <w:szCs w:val="22"/>
        </w:rPr>
      </w:pPr>
      <w:r w:rsidRPr="003F0AC1">
        <w:rPr>
          <w:rFonts w:ascii="Arial" w:hAnsi="Arial" w:cs="Arial"/>
          <w:sz w:val="22"/>
          <w:szCs w:val="22"/>
        </w:rPr>
        <w:t>Rash occurred more commonly in treatment-experienced patients receiving regimens containing ISENTRESS + darunavir compared to patients receiving ISENTRESS without darunavir or darunavir without ISENTRESS. However, rash that was considered drug related occurred at similar rates for all three</w:t>
      </w:r>
      <w:r w:rsidRPr="003F0AC1">
        <w:rPr>
          <w:rFonts w:cs="Arial"/>
          <w:sz w:val="22"/>
          <w:szCs w:val="22"/>
        </w:rPr>
        <w:t xml:space="preserve"> </w:t>
      </w:r>
      <w:r w:rsidRPr="003F0AC1">
        <w:rPr>
          <w:rFonts w:ascii="Arial" w:hAnsi="Arial" w:cs="Arial"/>
          <w:sz w:val="22"/>
          <w:szCs w:val="22"/>
        </w:rPr>
        <w:t>groups.  These rashes were mild to moderate in severity and did not limit therapy; there were no discontinuations due to rash. Rash occurred less commonly in treatment-naïve patients receiving ISENTRESS compared with efavirenz, each in combination with emtricitabine (+) tenofovir</w:t>
      </w:r>
      <w:r>
        <w:rPr>
          <w:rFonts w:ascii="Arial" w:hAnsi="Arial" w:cs="Arial"/>
          <w:sz w:val="22"/>
          <w:szCs w:val="22"/>
        </w:rPr>
        <w:t>.</w:t>
      </w:r>
    </w:p>
    <w:p w:rsidR="00B62647" w:rsidRPr="00A27A17" w:rsidRDefault="00B62647" w:rsidP="00D35A54">
      <w:pPr>
        <w:pStyle w:val="Heading4"/>
      </w:pPr>
      <w:r w:rsidRPr="00A27A17">
        <w:t xml:space="preserve">Patients with Co-existing conditions </w:t>
      </w:r>
    </w:p>
    <w:p w:rsidR="00B62647" w:rsidRPr="00FA5D57" w:rsidRDefault="00B62647" w:rsidP="00B62647">
      <w:pPr>
        <w:jc w:val="both"/>
        <w:rPr>
          <w:iCs/>
          <w:sz w:val="22"/>
        </w:rPr>
      </w:pPr>
      <w:r w:rsidRPr="00FA5D57">
        <w:rPr>
          <w:iCs/>
          <w:sz w:val="22"/>
        </w:rPr>
        <w:t xml:space="preserve">Patients Co-infected with hepatitis B and/or hepatitis C virus </w:t>
      </w:r>
    </w:p>
    <w:p w:rsidR="00B62647" w:rsidRDefault="00B62647" w:rsidP="00B62647">
      <w:pPr>
        <w:rPr>
          <w:rFonts w:ascii="Arial" w:hAnsi="Arial" w:cs="Arial"/>
          <w:sz w:val="22"/>
          <w:szCs w:val="22"/>
        </w:rPr>
      </w:pPr>
      <w:r w:rsidRPr="00D73341">
        <w:rPr>
          <w:rFonts w:ascii="Arial" w:hAnsi="Arial" w:cs="Arial"/>
          <w:sz w:val="22"/>
          <w:szCs w:val="22"/>
        </w:rPr>
        <w:t>In Phase III studies, treatment-experienced patients (N=</w:t>
      </w:r>
      <w:r w:rsidR="003D098F">
        <w:rPr>
          <w:rFonts w:ascii="Arial" w:hAnsi="Arial" w:cs="Arial"/>
          <w:sz w:val="22"/>
          <w:szCs w:val="22"/>
        </w:rPr>
        <w:t>114</w:t>
      </w:r>
      <w:r w:rsidRPr="00D73341">
        <w:rPr>
          <w:rFonts w:ascii="Arial" w:hAnsi="Arial" w:cs="Arial"/>
          <w:sz w:val="22"/>
          <w:szCs w:val="22"/>
        </w:rPr>
        <w:t xml:space="preserve">/699 or </w:t>
      </w:r>
      <w:r w:rsidR="003D098F">
        <w:rPr>
          <w:rFonts w:ascii="Arial" w:hAnsi="Arial" w:cs="Arial"/>
          <w:sz w:val="22"/>
          <w:szCs w:val="22"/>
        </w:rPr>
        <w:t>16</w:t>
      </w:r>
      <w:r w:rsidRPr="00D73341">
        <w:rPr>
          <w:rFonts w:ascii="Arial" w:hAnsi="Arial" w:cs="Arial"/>
          <w:sz w:val="22"/>
          <w:szCs w:val="22"/>
        </w:rPr>
        <w:t>%) and treatment-naïve patients (N</w:t>
      </w:r>
      <w:r>
        <w:rPr>
          <w:rFonts w:ascii="Arial" w:hAnsi="Arial" w:cs="Arial"/>
          <w:sz w:val="22"/>
          <w:szCs w:val="22"/>
        </w:rPr>
        <w:t xml:space="preserve"> </w:t>
      </w:r>
      <w:r w:rsidRPr="00D73341">
        <w:rPr>
          <w:rFonts w:ascii="Arial" w:hAnsi="Arial" w:cs="Arial"/>
          <w:sz w:val="22"/>
          <w:szCs w:val="22"/>
        </w:rPr>
        <w:t>=</w:t>
      </w:r>
      <w:r>
        <w:rPr>
          <w:rFonts w:ascii="Arial" w:hAnsi="Arial" w:cs="Arial"/>
          <w:sz w:val="22"/>
          <w:szCs w:val="22"/>
        </w:rPr>
        <w:t xml:space="preserve"> </w:t>
      </w:r>
      <w:r w:rsidR="003D098F">
        <w:rPr>
          <w:rFonts w:ascii="Arial" w:hAnsi="Arial" w:cs="Arial"/>
          <w:sz w:val="22"/>
          <w:szCs w:val="22"/>
        </w:rPr>
        <w:t>34</w:t>
      </w:r>
      <w:r w:rsidRPr="00D73341">
        <w:rPr>
          <w:rFonts w:ascii="Arial" w:hAnsi="Arial" w:cs="Arial"/>
          <w:sz w:val="22"/>
          <w:szCs w:val="22"/>
        </w:rPr>
        <w:t xml:space="preserve">/563 or </w:t>
      </w:r>
      <w:r w:rsidR="003D098F">
        <w:rPr>
          <w:rFonts w:ascii="Arial" w:hAnsi="Arial" w:cs="Arial"/>
          <w:sz w:val="22"/>
          <w:szCs w:val="22"/>
        </w:rPr>
        <w:t>6</w:t>
      </w:r>
      <w:r w:rsidRPr="00D73341">
        <w:rPr>
          <w:rFonts w:ascii="Arial" w:hAnsi="Arial" w:cs="Arial"/>
          <w:sz w:val="22"/>
          <w:szCs w:val="22"/>
        </w:rPr>
        <w:t>%)with chronic (but not acute) active hepatitis B and/or hepatitis C coinfection</w:t>
      </w:r>
      <w:r>
        <w:rPr>
          <w:rFonts w:ascii="Arial" w:hAnsi="Arial" w:cs="Arial"/>
          <w:sz w:val="22"/>
          <w:szCs w:val="22"/>
        </w:rPr>
        <w:t xml:space="preserve"> </w:t>
      </w:r>
      <w:r w:rsidRPr="00D73341">
        <w:rPr>
          <w:rFonts w:ascii="Arial" w:hAnsi="Arial" w:cs="Arial"/>
          <w:sz w:val="22"/>
          <w:szCs w:val="22"/>
        </w:rPr>
        <w:t xml:space="preserve">were permitted to enroll provided that baseline liver function tests did not exceed 5 times the upper limit of normal. </w:t>
      </w:r>
      <w:r>
        <w:rPr>
          <w:rFonts w:ascii="Arial" w:hAnsi="Arial" w:cs="Arial"/>
          <w:sz w:val="22"/>
          <w:szCs w:val="22"/>
        </w:rPr>
        <w:t xml:space="preserve"> </w:t>
      </w:r>
      <w:r w:rsidRPr="00D73341">
        <w:rPr>
          <w:rFonts w:ascii="Arial" w:hAnsi="Arial" w:cs="Arial"/>
          <w:sz w:val="22"/>
          <w:szCs w:val="22"/>
        </w:rPr>
        <w:t>In general</w:t>
      </w:r>
      <w:r>
        <w:rPr>
          <w:rFonts w:ascii="Arial" w:hAnsi="Arial" w:cs="Arial"/>
          <w:sz w:val="22"/>
          <w:szCs w:val="22"/>
        </w:rPr>
        <w:t>,</w:t>
      </w:r>
      <w:r w:rsidRPr="00D73341">
        <w:rPr>
          <w:rFonts w:ascii="Arial" w:hAnsi="Arial" w:cs="Arial"/>
          <w:sz w:val="22"/>
          <w:szCs w:val="22"/>
        </w:rPr>
        <w:t xml:space="preserve"> the safety profile of ISENTRESS in patients with hepatitis B and/or hepatitis C co-infection was similar to that in patients without hepatitis B and/or hepatitis C coinfection, although the rates of AST and ALT abnormalities were somewhat higher in the subgroup with hepatitis B and/or hepatitis C coinfection for both treatment groups.</w:t>
      </w:r>
    </w:p>
    <w:p w:rsidR="00BD28A8" w:rsidRDefault="00BD28A8" w:rsidP="006B56C2">
      <w:pPr>
        <w:pStyle w:val="Heading3"/>
        <w:jc w:val="left"/>
      </w:pPr>
      <w:r>
        <w:t xml:space="preserve">PAEDIATRIC ADVERSE </w:t>
      </w:r>
      <w:r w:rsidRPr="006B56C2">
        <w:t>EXPERIENCES</w:t>
      </w:r>
    </w:p>
    <w:p w:rsidR="00BD28A8" w:rsidRDefault="00BD28A8" w:rsidP="00BD28A8">
      <w:pPr>
        <w:rPr>
          <w:rFonts w:ascii="Arial" w:hAnsi="Arial" w:cs="Arial"/>
          <w:color w:val="0000FF"/>
          <w:sz w:val="22"/>
          <w:szCs w:val="22"/>
        </w:rPr>
      </w:pPr>
      <w:r>
        <w:rPr>
          <w:rFonts w:ascii="Arial" w:hAnsi="Arial" w:cs="Arial"/>
          <w:sz w:val="22"/>
          <w:szCs w:val="22"/>
        </w:rPr>
        <w:t xml:space="preserve">ISENTRESS has been studied in 126 antiretroviral treatment-experienced HIV-1 infected children and adolescents 2 </w:t>
      </w:r>
      <w:r w:rsidR="00CC33E9" w:rsidRPr="00680020">
        <w:rPr>
          <w:rFonts w:ascii="Arial" w:hAnsi="Arial" w:cs="Arial"/>
          <w:sz w:val="22"/>
          <w:szCs w:val="22"/>
        </w:rPr>
        <w:t>to</w:t>
      </w:r>
      <w:r w:rsidR="006C2546" w:rsidRPr="00680020">
        <w:rPr>
          <w:rFonts w:ascii="Arial" w:hAnsi="Arial" w:cs="Arial"/>
          <w:sz w:val="22"/>
          <w:szCs w:val="22"/>
        </w:rPr>
        <w:t xml:space="preserve"> </w:t>
      </w:r>
      <w:r>
        <w:rPr>
          <w:rFonts w:ascii="Arial" w:hAnsi="Arial" w:cs="Arial"/>
          <w:sz w:val="22"/>
          <w:szCs w:val="22"/>
        </w:rPr>
        <w:t>18 years of age, in combination with other antiretroviral agents in IMPAACT P1066 [see CLINICAL TRIALS].  Of the 126 patients, 96 received the recommended dose of ISENTRESS.</w:t>
      </w:r>
      <w:r w:rsidR="004A31E4">
        <w:rPr>
          <w:rFonts w:ascii="Arial" w:hAnsi="Arial" w:cs="Arial"/>
          <w:sz w:val="22"/>
          <w:szCs w:val="22"/>
        </w:rPr>
        <w:t xml:space="preserve"> </w:t>
      </w:r>
    </w:p>
    <w:p w:rsidR="00BD28A8" w:rsidRPr="00680020" w:rsidRDefault="00BD28A8" w:rsidP="00BD28A8">
      <w:pPr>
        <w:rPr>
          <w:rFonts w:ascii="Arial" w:hAnsi="Arial" w:cs="Arial"/>
          <w:b/>
          <w:sz w:val="22"/>
          <w:szCs w:val="22"/>
        </w:rPr>
      </w:pPr>
      <w:r>
        <w:rPr>
          <w:rFonts w:ascii="Arial" w:hAnsi="Arial" w:cs="Arial"/>
          <w:sz w:val="22"/>
          <w:szCs w:val="22"/>
        </w:rPr>
        <w:lastRenderedPageBreak/>
        <w:t xml:space="preserve">In these 96 children and adolescents, frequency, type and severity of drug related adverse reactions through week 24 were comparable to those observed in adults. </w:t>
      </w:r>
      <w:r w:rsidR="00A409C6">
        <w:rPr>
          <w:rFonts w:ascii="Arial" w:hAnsi="Arial" w:cs="Arial"/>
          <w:sz w:val="22"/>
          <w:szCs w:val="22"/>
        </w:rPr>
        <w:t xml:space="preserve"> </w:t>
      </w:r>
      <w:r w:rsidR="00A409C6" w:rsidRPr="00680020">
        <w:rPr>
          <w:rFonts w:ascii="Arial" w:hAnsi="Arial" w:cs="Arial"/>
          <w:sz w:val="22"/>
          <w:szCs w:val="22"/>
        </w:rPr>
        <w:t>These safety data reflect 24 weeks of treatment.</w:t>
      </w:r>
    </w:p>
    <w:p w:rsidR="00F66527" w:rsidRDefault="00BD28A8" w:rsidP="00BF2AEF">
      <w:pPr>
        <w:rPr>
          <w:rFonts w:ascii="Arial" w:hAnsi="Arial" w:cs="Arial"/>
          <w:sz w:val="22"/>
          <w:szCs w:val="22"/>
        </w:rPr>
      </w:pPr>
      <w:r>
        <w:rPr>
          <w:rFonts w:ascii="Arial" w:hAnsi="Arial" w:cs="Arial"/>
          <w:sz w:val="22"/>
          <w:szCs w:val="22"/>
        </w:rPr>
        <w:t>One patient experience drug related clinical adverse reactions of Grade 3 psychomotor hyperactivity, abnormal behaviour and insomnia; one patient experienced a Grade 2 serious drug related allergic rash.</w:t>
      </w:r>
      <w:r w:rsidR="004A31E4">
        <w:rPr>
          <w:rFonts w:ascii="Arial" w:hAnsi="Arial" w:cs="Arial"/>
          <w:sz w:val="22"/>
          <w:szCs w:val="22"/>
        </w:rPr>
        <w:t xml:space="preserve"> </w:t>
      </w:r>
    </w:p>
    <w:p w:rsidR="00BF2AEF" w:rsidRPr="00BF2AEF" w:rsidRDefault="00BD28A8" w:rsidP="00BF2AEF">
      <w:pPr>
        <w:rPr>
          <w:rFonts w:ascii="Arial" w:hAnsi="Arial" w:cs="Arial"/>
          <w:color w:val="0000FF"/>
          <w:sz w:val="20"/>
        </w:rPr>
      </w:pPr>
      <w:r>
        <w:rPr>
          <w:rFonts w:ascii="Arial" w:hAnsi="Arial" w:cs="Arial"/>
          <w:sz w:val="22"/>
          <w:szCs w:val="22"/>
        </w:rPr>
        <w:t>One patient experienced drug related laboratory abnormalities, Grade 4 AST and Grade 3 ALT, which were considered serious.</w:t>
      </w:r>
      <w:r w:rsidR="004A31E4">
        <w:rPr>
          <w:rFonts w:ascii="Arial" w:hAnsi="Arial" w:cs="Arial"/>
          <w:sz w:val="22"/>
          <w:szCs w:val="22"/>
        </w:rPr>
        <w:t xml:space="preserve"> </w:t>
      </w:r>
    </w:p>
    <w:p w:rsidR="00C24699" w:rsidRPr="00366AC7" w:rsidRDefault="00C24699" w:rsidP="00D35A54">
      <w:pPr>
        <w:pStyle w:val="Heading4"/>
      </w:pPr>
      <w:r w:rsidRPr="00366AC7">
        <w:t>Laboratory Abnormalities</w:t>
      </w:r>
    </w:p>
    <w:p w:rsidR="006F30CA" w:rsidRDefault="00C24699" w:rsidP="00761CEC">
      <w:pPr>
        <w:jc w:val="both"/>
        <w:rPr>
          <w:rFonts w:ascii="Arial" w:hAnsi="Arial" w:cs="Arial"/>
        </w:rPr>
      </w:pPr>
      <w:r w:rsidRPr="00366AC7">
        <w:rPr>
          <w:rFonts w:ascii="Arial" w:hAnsi="Arial" w:cs="Arial"/>
          <w:sz w:val="22"/>
          <w:szCs w:val="22"/>
        </w:rPr>
        <w:t xml:space="preserve">The percentages of </w:t>
      </w:r>
      <w:r w:rsidR="00B62647">
        <w:rPr>
          <w:rFonts w:ascii="Arial" w:hAnsi="Arial" w:cs="Arial"/>
          <w:sz w:val="22"/>
          <w:szCs w:val="22"/>
        </w:rPr>
        <w:t xml:space="preserve">treatment experienced </w:t>
      </w:r>
      <w:r w:rsidRPr="00366AC7">
        <w:rPr>
          <w:rFonts w:ascii="Arial" w:hAnsi="Arial" w:cs="Arial"/>
          <w:sz w:val="22"/>
          <w:szCs w:val="22"/>
        </w:rPr>
        <w:t xml:space="preserve">adult patients </w:t>
      </w:r>
      <w:r w:rsidR="00625F1C">
        <w:rPr>
          <w:rFonts w:ascii="Arial" w:hAnsi="Arial" w:cs="Arial"/>
          <w:sz w:val="22"/>
          <w:szCs w:val="22"/>
        </w:rPr>
        <w:t>receiving either</w:t>
      </w:r>
      <w:r w:rsidRPr="00366AC7">
        <w:rPr>
          <w:rFonts w:ascii="Arial" w:hAnsi="Arial" w:cs="Arial"/>
          <w:sz w:val="22"/>
          <w:szCs w:val="22"/>
        </w:rPr>
        <w:t xml:space="preserve"> ISENTRESS 400</w:t>
      </w:r>
      <w:r>
        <w:rPr>
          <w:rFonts w:ascii="Arial" w:hAnsi="Arial" w:cs="Arial"/>
          <w:sz w:val="22"/>
          <w:szCs w:val="22"/>
        </w:rPr>
        <w:t> </w:t>
      </w:r>
      <w:r w:rsidRPr="00366AC7">
        <w:rPr>
          <w:rFonts w:ascii="Arial" w:hAnsi="Arial" w:cs="Arial"/>
          <w:sz w:val="22"/>
          <w:szCs w:val="22"/>
        </w:rPr>
        <w:t xml:space="preserve">mg twice daily </w:t>
      </w:r>
      <w:r w:rsidR="00625F1C">
        <w:rPr>
          <w:rFonts w:ascii="Arial" w:hAnsi="Arial" w:cs="Arial"/>
          <w:sz w:val="22"/>
          <w:szCs w:val="22"/>
        </w:rPr>
        <w:t xml:space="preserve">or placebo (both with OBT), </w:t>
      </w:r>
      <w:r w:rsidRPr="00366AC7">
        <w:rPr>
          <w:rFonts w:ascii="Arial" w:hAnsi="Arial" w:cs="Arial"/>
          <w:sz w:val="22"/>
          <w:szCs w:val="22"/>
        </w:rPr>
        <w:t xml:space="preserve">in </w:t>
      </w:r>
      <w:r w:rsidR="003148BF">
        <w:rPr>
          <w:rFonts w:ascii="Arial" w:hAnsi="Arial" w:cs="Arial"/>
          <w:sz w:val="22"/>
          <w:szCs w:val="22"/>
        </w:rPr>
        <w:t xml:space="preserve">BENCHMRK 1 and BENCHMRK 2 </w:t>
      </w:r>
      <w:r w:rsidRPr="00366AC7">
        <w:rPr>
          <w:rFonts w:ascii="Arial" w:hAnsi="Arial" w:cs="Arial"/>
          <w:sz w:val="22"/>
          <w:szCs w:val="22"/>
        </w:rPr>
        <w:t xml:space="preserve">with </w:t>
      </w:r>
      <w:r w:rsidRPr="003410DB">
        <w:rPr>
          <w:rFonts w:ascii="Arial" w:hAnsi="Arial" w:cs="Arial"/>
          <w:sz w:val="22"/>
          <w:szCs w:val="22"/>
        </w:rPr>
        <w:t xml:space="preserve">selected </w:t>
      </w:r>
      <w:r w:rsidR="00625F1C" w:rsidRPr="003410DB">
        <w:rPr>
          <w:rFonts w:ascii="Arial" w:hAnsi="Arial" w:cs="Arial"/>
          <w:sz w:val="22"/>
          <w:szCs w:val="22"/>
        </w:rPr>
        <w:t>G</w:t>
      </w:r>
      <w:r w:rsidR="00625F1C" w:rsidRPr="00366AC7">
        <w:rPr>
          <w:rFonts w:ascii="Arial" w:hAnsi="Arial" w:cs="Arial"/>
          <w:sz w:val="22"/>
          <w:szCs w:val="22"/>
        </w:rPr>
        <w:t>rade</w:t>
      </w:r>
      <w:r w:rsidR="00625F1C">
        <w:rPr>
          <w:rFonts w:ascii="Arial" w:hAnsi="Arial" w:cs="Arial"/>
          <w:sz w:val="22"/>
          <w:szCs w:val="22"/>
        </w:rPr>
        <w:t xml:space="preserve"> </w:t>
      </w:r>
      <w:r w:rsidR="00625F1C" w:rsidRPr="00366AC7">
        <w:rPr>
          <w:rFonts w:ascii="Arial" w:hAnsi="Arial" w:cs="Arial"/>
          <w:sz w:val="22"/>
          <w:szCs w:val="22"/>
        </w:rPr>
        <w:t xml:space="preserve"> </w:t>
      </w:r>
      <w:r w:rsidRPr="00366AC7">
        <w:rPr>
          <w:rFonts w:ascii="Arial" w:hAnsi="Arial" w:cs="Arial"/>
          <w:sz w:val="22"/>
          <w:szCs w:val="22"/>
        </w:rPr>
        <w:t xml:space="preserve">2 to 4 laboratory abnormalities that represent a worsening </w:t>
      </w:r>
      <w:r w:rsidR="003D098F">
        <w:rPr>
          <w:rFonts w:ascii="Arial" w:hAnsi="Arial" w:cs="Arial"/>
          <w:sz w:val="22"/>
          <w:szCs w:val="22"/>
        </w:rPr>
        <w:t xml:space="preserve">Grade </w:t>
      </w:r>
      <w:r w:rsidRPr="00366AC7">
        <w:rPr>
          <w:rFonts w:ascii="Arial" w:hAnsi="Arial" w:cs="Arial"/>
          <w:sz w:val="22"/>
          <w:szCs w:val="22"/>
        </w:rPr>
        <w:t>from baseline are presented in Table</w:t>
      </w:r>
      <w:r>
        <w:rPr>
          <w:rFonts w:ascii="Arial" w:hAnsi="Arial" w:cs="Arial"/>
          <w:sz w:val="22"/>
          <w:szCs w:val="22"/>
        </w:rPr>
        <w:t> </w:t>
      </w:r>
      <w:r w:rsidR="00674559">
        <w:rPr>
          <w:rFonts w:ascii="Arial" w:hAnsi="Arial" w:cs="Arial"/>
          <w:sz w:val="22"/>
          <w:szCs w:val="22"/>
        </w:rPr>
        <w:t>1</w:t>
      </w:r>
      <w:r w:rsidR="00750FB1">
        <w:rPr>
          <w:rFonts w:ascii="Arial" w:hAnsi="Arial" w:cs="Arial"/>
          <w:sz w:val="22"/>
          <w:szCs w:val="22"/>
        </w:rPr>
        <w:t>2</w:t>
      </w:r>
      <w:r w:rsidRPr="00366AC7">
        <w:rPr>
          <w:rFonts w:ascii="Arial" w:hAnsi="Arial" w:cs="Arial"/>
          <w:sz w:val="22"/>
          <w:szCs w:val="22"/>
        </w:rPr>
        <w:t>.</w:t>
      </w:r>
    </w:p>
    <w:p w:rsidR="00C24699" w:rsidRDefault="00C24699" w:rsidP="00D35A54">
      <w:pPr>
        <w:pStyle w:val="Tabletitle"/>
      </w:pPr>
      <w:r w:rsidRPr="00366AC7">
        <w:t>Table</w:t>
      </w:r>
      <w:r>
        <w:t> </w:t>
      </w:r>
      <w:r w:rsidR="00584D50">
        <w:t>1</w:t>
      </w:r>
      <w:r w:rsidR="00750FB1">
        <w:t>2</w:t>
      </w:r>
      <w:r w:rsidRPr="00366AC7">
        <w:t xml:space="preserve">: </w:t>
      </w:r>
      <w:r w:rsidRPr="003410DB">
        <w:t>Selected</w:t>
      </w:r>
      <w:r w:rsidRPr="00366AC7">
        <w:t xml:space="preserve"> Grade 2 to 4 Laboratory Abnormalities Reported in Treatment</w:t>
      </w:r>
      <w:r w:rsidRPr="00366AC7">
        <w:noBreakHyphen/>
        <w:t xml:space="preserve">Experienced </w:t>
      </w:r>
      <w:r w:rsidR="00F66527" w:rsidRPr="00680020">
        <w:rPr>
          <w:rFonts w:ascii="Arial Bold" w:hAnsi="Arial Bold"/>
        </w:rPr>
        <w:t xml:space="preserve">Adult </w:t>
      </w:r>
      <w:r w:rsidRPr="00366AC7">
        <w:t>Patients</w:t>
      </w:r>
    </w:p>
    <w:tbl>
      <w:tblPr>
        <w:tblW w:w="795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3"/>
        <w:gridCol w:w="2735"/>
        <w:gridCol w:w="1398"/>
        <w:gridCol w:w="243"/>
        <w:gridCol w:w="1459"/>
      </w:tblGrid>
      <w:tr w:rsidR="00C24699" w:rsidRPr="00DA77C5" w:rsidTr="00D35A54">
        <w:trPr>
          <w:tblHeader/>
        </w:trPr>
        <w:tc>
          <w:tcPr>
            <w:tcW w:w="2123" w:type="dxa"/>
            <w:tcBorders>
              <w:bottom w:val="nil"/>
              <w:right w:val="nil"/>
            </w:tcBorders>
            <w:shd w:val="clear" w:color="auto" w:fill="auto"/>
          </w:tcPr>
          <w:p w:rsidR="00C24699" w:rsidRPr="00DA77C5" w:rsidRDefault="00C24699" w:rsidP="00DA77C5">
            <w:pPr>
              <w:tabs>
                <w:tab w:val="left" w:pos="360"/>
              </w:tabs>
              <w:ind w:right="234"/>
              <w:jc w:val="both"/>
              <w:rPr>
                <w:rFonts w:ascii="Arial" w:hAnsi="Arial" w:cs="Arial"/>
                <w:b/>
                <w:sz w:val="16"/>
                <w:szCs w:val="16"/>
              </w:rPr>
            </w:pPr>
          </w:p>
        </w:tc>
        <w:tc>
          <w:tcPr>
            <w:tcW w:w="2735" w:type="dxa"/>
            <w:tcBorders>
              <w:left w:val="nil"/>
              <w:bottom w:val="nil"/>
              <w:right w:val="nil"/>
            </w:tcBorders>
            <w:shd w:val="clear" w:color="auto" w:fill="auto"/>
          </w:tcPr>
          <w:p w:rsidR="00C24699" w:rsidRPr="00DA77C5" w:rsidRDefault="00C24699" w:rsidP="00DA77C5">
            <w:pPr>
              <w:tabs>
                <w:tab w:val="left" w:pos="360"/>
              </w:tabs>
              <w:ind w:right="234"/>
              <w:jc w:val="both"/>
              <w:rPr>
                <w:rFonts w:ascii="Arial" w:hAnsi="Arial" w:cs="Arial"/>
                <w:b/>
                <w:sz w:val="16"/>
                <w:szCs w:val="16"/>
              </w:rPr>
            </w:pPr>
          </w:p>
        </w:tc>
        <w:tc>
          <w:tcPr>
            <w:tcW w:w="3100" w:type="dxa"/>
            <w:gridSpan w:val="3"/>
            <w:tcBorders>
              <w:left w:val="nil"/>
              <w:bottom w:val="nil"/>
            </w:tcBorders>
            <w:shd w:val="clear" w:color="auto" w:fill="auto"/>
          </w:tcPr>
          <w:p w:rsidR="00C24699" w:rsidRPr="00DA77C5" w:rsidRDefault="00C24699" w:rsidP="00DA77C5">
            <w:pPr>
              <w:tabs>
                <w:tab w:val="left" w:pos="360"/>
              </w:tabs>
              <w:ind w:right="234"/>
              <w:jc w:val="center"/>
              <w:rPr>
                <w:rFonts w:ascii="Arial" w:hAnsi="Arial" w:cs="Arial"/>
                <w:b/>
                <w:sz w:val="16"/>
                <w:szCs w:val="16"/>
              </w:rPr>
            </w:pPr>
            <w:r w:rsidRPr="00DA77C5">
              <w:rPr>
                <w:rFonts w:ascii="Arial" w:hAnsi="Arial" w:cs="Arial"/>
                <w:b/>
                <w:sz w:val="16"/>
                <w:szCs w:val="16"/>
              </w:rPr>
              <w:t xml:space="preserve">Randomized Studies, </w:t>
            </w:r>
            <w:r w:rsidR="003148BF" w:rsidRPr="00DA77C5">
              <w:rPr>
                <w:rFonts w:ascii="Arial" w:hAnsi="Arial" w:cs="Arial"/>
                <w:b/>
                <w:sz w:val="16"/>
                <w:szCs w:val="16"/>
              </w:rPr>
              <w:t>BENCHMRK 1 and BENCHMRK 2</w:t>
            </w:r>
          </w:p>
        </w:tc>
      </w:tr>
      <w:tr w:rsidR="00C24699" w:rsidRPr="00DA77C5" w:rsidTr="00D35A54">
        <w:trPr>
          <w:tblHeader/>
        </w:trPr>
        <w:tc>
          <w:tcPr>
            <w:tcW w:w="2123" w:type="dxa"/>
            <w:tcBorders>
              <w:top w:val="nil"/>
              <w:right w:val="nil"/>
            </w:tcBorders>
            <w:shd w:val="clear" w:color="auto" w:fill="auto"/>
          </w:tcPr>
          <w:p w:rsidR="00C24699" w:rsidRPr="00DA77C5" w:rsidRDefault="00C24699" w:rsidP="00DA77C5">
            <w:pPr>
              <w:tabs>
                <w:tab w:val="left" w:pos="360"/>
              </w:tabs>
              <w:ind w:right="234"/>
              <w:jc w:val="center"/>
              <w:rPr>
                <w:rFonts w:ascii="Arial" w:hAnsi="Arial" w:cs="Arial"/>
                <w:b/>
                <w:sz w:val="16"/>
                <w:szCs w:val="16"/>
              </w:rPr>
            </w:pPr>
            <w:r w:rsidRPr="00DA77C5">
              <w:rPr>
                <w:rFonts w:ascii="Arial" w:hAnsi="Arial" w:cs="Arial"/>
                <w:b/>
                <w:sz w:val="16"/>
                <w:szCs w:val="16"/>
              </w:rPr>
              <w:t>Laboratory Parameter Preferred Term (Unit)</w:t>
            </w:r>
          </w:p>
        </w:tc>
        <w:tc>
          <w:tcPr>
            <w:tcW w:w="2735" w:type="dxa"/>
            <w:tcBorders>
              <w:top w:val="nil"/>
              <w:left w:val="nil"/>
              <w:right w:val="nil"/>
            </w:tcBorders>
            <w:shd w:val="clear" w:color="auto" w:fill="auto"/>
            <w:vAlign w:val="bottom"/>
          </w:tcPr>
          <w:p w:rsidR="00C24699" w:rsidRPr="00DA77C5" w:rsidRDefault="00C24699" w:rsidP="00DA77C5">
            <w:pPr>
              <w:tabs>
                <w:tab w:val="left" w:pos="360"/>
              </w:tabs>
              <w:ind w:right="234"/>
              <w:jc w:val="center"/>
              <w:rPr>
                <w:rFonts w:ascii="Arial" w:hAnsi="Arial" w:cs="Arial"/>
                <w:b/>
                <w:sz w:val="16"/>
                <w:szCs w:val="16"/>
              </w:rPr>
            </w:pPr>
            <w:r w:rsidRPr="00DA77C5">
              <w:rPr>
                <w:rFonts w:ascii="Arial" w:hAnsi="Arial" w:cs="Arial"/>
                <w:b/>
                <w:sz w:val="16"/>
                <w:szCs w:val="16"/>
              </w:rPr>
              <w:t>Limit</w:t>
            </w:r>
          </w:p>
        </w:tc>
        <w:tc>
          <w:tcPr>
            <w:tcW w:w="1641" w:type="dxa"/>
            <w:gridSpan w:val="2"/>
            <w:tcBorders>
              <w:top w:val="nil"/>
              <w:left w:val="nil"/>
              <w:right w:val="nil"/>
            </w:tcBorders>
            <w:shd w:val="clear" w:color="auto" w:fill="auto"/>
          </w:tcPr>
          <w:p w:rsidR="00C24699" w:rsidRPr="00DA77C5" w:rsidRDefault="00C24699" w:rsidP="00DA77C5">
            <w:pPr>
              <w:tabs>
                <w:tab w:val="left" w:pos="360"/>
              </w:tabs>
              <w:ind w:right="234"/>
              <w:jc w:val="center"/>
              <w:rPr>
                <w:rFonts w:ascii="Arial" w:hAnsi="Arial" w:cs="Arial"/>
                <w:b/>
                <w:sz w:val="16"/>
                <w:szCs w:val="16"/>
                <w:lang w:val="sv-SE"/>
              </w:rPr>
            </w:pPr>
            <w:r w:rsidRPr="00DA77C5">
              <w:rPr>
                <w:rFonts w:ascii="Arial" w:hAnsi="Arial" w:cs="Arial"/>
                <w:b/>
                <w:sz w:val="16"/>
                <w:szCs w:val="16"/>
                <w:lang w:val="sv-SE"/>
              </w:rPr>
              <w:t>ISENTRESS 400 mg b.i.d. + OBT</w:t>
            </w:r>
          </w:p>
          <w:p w:rsidR="00C24699" w:rsidRPr="00DA77C5" w:rsidRDefault="00C24699" w:rsidP="00DA77C5">
            <w:pPr>
              <w:tabs>
                <w:tab w:val="left" w:pos="360"/>
              </w:tabs>
              <w:ind w:right="234"/>
              <w:jc w:val="center"/>
              <w:rPr>
                <w:rFonts w:ascii="Arial" w:hAnsi="Arial" w:cs="Arial"/>
                <w:b/>
                <w:sz w:val="16"/>
                <w:szCs w:val="16"/>
                <w:lang w:val="pt-BR"/>
              </w:rPr>
            </w:pPr>
            <w:r w:rsidRPr="00DA77C5">
              <w:rPr>
                <w:rFonts w:ascii="Arial" w:hAnsi="Arial" w:cs="Arial"/>
                <w:b/>
                <w:sz w:val="16"/>
                <w:szCs w:val="16"/>
                <w:lang w:val="pt-BR"/>
              </w:rPr>
              <w:t xml:space="preserve">(N = </w:t>
            </w:r>
            <w:r w:rsidR="005379C3" w:rsidRPr="00DA77C5">
              <w:rPr>
                <w:rFonts w:ascii="Arial" w:hAnsi="Arial" w:cs="Arial"/>
                <w:b/>
                <w:sz w:val="16"/>
                <w:szCs w:val="16"/>
                <w:lang w:val="pt-BR"/>
              </w:rPr>
              <w:t>462</w:t>
            </w:r>
            <w:r w:rsidRPr="00DA77C5">
              <w:rPr>
                <w:rFonts w:ascii="Arial" w:hAnsi="Arial" w:cs="Arial"/>
                <w:b/>
                <w:sz w:val="16"/>
                <w:szCs w:val="16"/>
                <w:lang w:val="pt-BR"/>
              </w:rPr>
              <w:t>)</w:t>
            </w:r>
          </w:p>
        </w:tc>
        <w:tc>
          <w:tcPr>
            <w:tcW w:w="1459" w:type="dxa"/>
            <w:tcBorders>
              <w:top w:val="nil"/>
              <w:left w:val="nil"/>
            </w:tcBorders>
            <w:shd w:val="clear" w:color="auto" w:fill="auto"/>
          </w:tcPr>
          <w:p w:rsidR="00C24699" w:rsidRPr="00DA77C5" w:rsidRDefault="00C24699" w:rsidP="00DA77C5">
            <w:pPr>
              <w:tabs>
                <w:tab w:val="left" w:pos="360"/>
              </w:tabs>
              <w:ind w:right="234"/>
              <w:jc w:val="center"/>
              <w:rPr>
                <w:rFonts w:ascii="Arial" w:hAnsi="Arial" w:cs="Arial"/>
                <w:b/>
                <w:sz w:val="16"/>
                <w:szCs w:val="16"/>
              </w:rPr>
            </w:pPr>
            <w:r w:rsidRPr="00DA77C5">
              <w:rPr>
                <w:rFonts w:ascii="Arial" w:hAnsi="Arial" w:cs="Arial"/>
                <w:b/>
                <w:sz w:val="16"/>
                <w:szCs w:val="16"/>
              </w:rPr>
              <w:t>Placebo</w:t>
            </w:r>
            <w:r w:rsidRPr="00DA77C5">
              <w:rPr>
                <w:rFonts w:ascii="Arial" w:hAnsi="Arial" w:cs="Arial"/>
                <w:b/>
                <w:sz w:val="16"/>
                <w:szCs w:val="16"/>
              </w:rPr>
              <w:br/>
              <w:t xml:space="preserve"> + </w:t>
            </w:r>
            <w:r w:rsidRPr="00DA77C5">
              <w:rPr>
                <w:rFonts w:ascii="Arial" w:hAnsi="Arial" w:cs="Arial"/>
                <w:b/>
                <w:sz w:val="16"/>
                <w:szCs w:val="16"/>
              </w:rPr>
              <w:br/>
              <w:t>OBT</w:t>
            </w:r>
          </w:p>
          <w:p w:rsidR="00C24699" w:rsidRPr="00DA77C5" w:rsidRDefault="00C24699" w:rsidP="00DA77C5">
            <w:pPr>
              <w:tabs>
                <w:tab w:val="left" w:pos="360"/>
              </w:tabs>
              <w:ind w:right="234"/>
              <w:jc w:val="center"/>
              <w:rPr>
                <w:rFonts w:ascii="Arial" w:hAnsi="Arial" w:cs="Arial"/>
                <w:b/>
                <w:sz w:val="16"/>
                <w:szCs w:val="16"/>
              </w:rPr>
            </w:pPr>
            <w:r w:rsidRPr="00DA77C5">
              <w:rPr>
                <w:rFonts w:ascii="Arial" w:hAnsi="Arial" w:cs="Arial"/>
                <w:b/>
                <w:sz w:val="16"/>
                <w:szCs w:val="16"/>
              </w:rPr>
              <w:t xml:space="preserve">(N = </w:t>
            </w:r>
            <w:r w:rsidR="005379C3" w:rsidRPr="00DA77C5">
              <w:rPr>
                <w:rFonts w:ascii="Arial" w:hAnsi="Arial" w:cs="Arial"/>
                <w:b/>
                <w:sz w:val="16"/>
                <w:szCs w:val="16"/>
              </w:rPr>
              <w:t>237</w:t>
            </w:r>
            <w:r w:rsidRPr="00DA77C5">
              <w:rPr>
                <w:rFonts w:ascii="Arial" w:hAnsi="Arial" w:cs="Arial"/>
                <w:b/>
                <w:sz w:val="16"/>
                <w:szCs w:val="16"/>
              </w:rPr>
              <w:t>)</w:t>
            </w:r>
          </w:p>
        </w:tc>
      </w:tr>
      <w:tr w:rsidR="00C24699" w:rsidRPr="00DA77C5" w:rsidTr="00DA77C5">
        <w:tc>
          <w:tcPr>
            <w:tcW w:w="7958" w:type="dxa"/>
            <w:gridSpan w:val="5"/>
            <w:shd w:val="clear" w:color="auto" w:fill="auto"/>
          </w:tcPr>
          <w:p w:rsidR="00C24699" w:rsidRPr="00DA77C5" w:rsidRDefault="00C24699" w:rsidP="00DA77C5">
            <w:pPr>
              <w:tabs>
                <w:tab w:val="left" w:pos="360"/>
              </w:tabs>
              <w:spacing w:before="80"/>
              <w:ind w:right="230"/>
              <w:rPr>
                <w:rFonts w:ascii="Arial" w:hAnsi="Arial" w:cs="Arial"/>
                <w:b/>
                <w:sz w:val="16"/>
                <w:szCs w:val="16"/>
              </w:rPr>
            </w:pPr>
            <w:r w:rsidRPr="00DA77C5">
              <w:rPr>
                <w:rFonts w:ascii="Arial" w:hAnsi="Arial" w:cs="Arial"/>
                <w:b/>
                <w:sz w:val="16"/>
                <w:szCs w:val="16"/>
              </w:rPr>
              <w:t>Blood chemistry</w:t>
            </w:r>
          </w:p>
        </w:tc>
      </w:tr>
      <w:tr w:rsidR="00C24699" w:rsidRPr="00DA77C5" w:rsidTr="00DA77C5">
        <w:tc>
          <w:tcPr>
            <w:tcW w:w="7958" w:type="dxa"/>
            <w:gridSpan w:val="5"/>
            <w:tcBorders>
              <w:bottom w:val="nil"/>
            </w:tcBorders>
            <w:shd w:val="clear" w:color="auto" w:fill="auto"/>
            <w:vAlign w:val="center"/>
          </w:tcPr>
          <w:p w:rsidR="00C24699" w:rsidRPr="00DA77C5" w:rsidRDefault="00C24699" w:rsidP="00DA77C5">
            <w:pPr>
              <w:tabs>
                <w:tab w:val="left" w:pos="360"/>
              </w:tabs>
              <w:spacing w:before="80"/>
              <w:ind w:right="230"/>
              <w:rPr>
                <w:rFonts w:ascii="Arial" w:hAnsi="Arial" w:cs="Arial"/>
                <w:sz w:val="16"/>
                <w:szCs w:val="16"/>
              </w:rPr>
            </w:pPr>
            <w:r w:rsidRPr="00DA77C5">
              <w:rPr>
                <w:rFonts w:ascii="Arial" w:hAnsi="Arial" w:cs="Arial"/>
                <w:sz w:val="16"/>
                <w:szCs w:val="16"/>
              </w:rPr>
              <w:t>Fasting (non-random) serum glucose test (mg/dL)</w:t>
            </w:r>
          </w:p>
        </w:tc>
      </w:tr>
      <w:tr w:rsidR="00C24699" w:rsidRPr="00DA77C5" w:rsidTr="00DA77C5">
        <w:tc>
          <w:tcPr>
            <w:tcW w:w="2123" w:type="dxa"/>
            <w:tcBorders>
              <w:top w:val="nil"/>
              <w:bottom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2</w:t>
            </w:r>
          </w:p>
        </w:tc>
        <w:tc>
          <w:tcPr>
            <w:tcW w:w="2735" w:type="dxa"/>
            <w:tcBorders>
              <w:top w:val="nil"/>
              <w:left w:val="nil"/>
              <w:bottom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rPr>
            </w:pPr>
            <w:r w:rsidRPr="00DA77C5">
              <w:rPr>
                <w:rFonts w:ascii="Arial" w:hAnsi="Arial" w:cs="Arial"/>
                <w:sz w:val="16"/>
                <w:szCs w:val="16"/>
              </w:rPr>
              <w:t xml:space="preserve">126 – 250 </w:t>
            </w:r>
          </w:p>
        </w:tc>
        <w:tc>
          <w:tcPr>
            <w:tcW w:w="1398" w:type="dxa"/>
            <w:tcBorders>
              <w:top w:val="nil"/>
              <w:left w:val="nil"/>
              <w:bottom w:val="nil"/>
              <w:right w:val="nil"/>
            </w:tcBorders>
            <w:shd w:val="clear" w:color="auto" w:fill="auto"/>
          </w:tcPr>
          <w:p w:rsidR="00C24699" w:rsidRPr="00DA77C5" w:rsidRDefault="00686B7C" w:rsidP="00DA77C5">
            <w:pPr>
              <w:tabs>
                <w:tab w:val="left" w:pos="360"/>
              </w:tabs>
              <w:ind w:right="234"/>
              <w:jc w:val="center"/>
              <w:rPr>
                <w:rFonts w:ascii="Arial" w:hAnsi="Arial" w:cs="Arial"/>
                <w:sz w:val="16"/>
                <w:szCs w:val="16"/>
              </w:rPr>
            </w:pPr>
            <w:r w:rsidRPr="00DA77C5">
              <w:rPr>
                <w:rFonts w:ascii="Arial" w:hAnsi="Arial" w:cs="Arial"/>
                <w:sz w:val="16"/>
                <w:szCs w:val="16"/>
              </w:rPr>
              <w:t>11.3</w:t>
            </w:r>
            <w:r w:rsidR="00C24699" w:rsidRPr="00DA77C5">
              <w:rPr>
                <w:rFonts w:ascii="Arial" w:hAnsi="Arial" w:cs="Arial"/>
                <w:sz w:val="16"/>
                <w:szCs w:val="16"/>
              </w:rPr>
              <w:t>%</w:t>
            </w:r>
          </w:p>
        </w:tc>
        <w:tc>
          <w:tcPr>
            <w:tcW w:w="1702" w:type="dxa"/>
            <w:gridSpan w:val="2"/>
            <w:tcBorders>
              <w:top w:val="nil"/>
              <w:left w:val="nil"/>
              <w:bottom w:val="nil"/>
            </w:tcBorders>
            <w:shd w:val="clear" w:color="auto" w:fill="auto"/>
          </w:tcPr>
          <w:p w:rsidR="00C24699" w:rsidRPr="00DA77C5" w:rsidRDefault="00686B7C" w:rsidP="00DA77C5">
            <w:pPr>
              <w:tabs>
                <w:tab w:val="left" w:pos="360"/>
              </w:tabs>
              <w:ind w:right="234"/>
              <w:jc w:val="center"/>
              <w:rPr>
                <w:rFonts w:ascii="Arial" w:hAnsi="Arial" w:cs="Arial"/>
                <w:sz w:val="16"/>
                <w:szCs w:val="16"/>
              </w:rPr>
            </w:pPr>
            <w:r w:rsidRPr="00DA77C5">
              <w:rPr>
                <w:rFonts w:ascii="Arial" w:hAnsi="Arial" w:cs="Arial"/>
                <w:sz w:val="16"/>
                <w:szCs w:val="16"/>
              </w:rPr>
              <w:t>7.5</w:t>
            </w:r>
            <w:r w:rsidR="00C24699" w:rsidRPr="00DA77C5">
              <w:rPr>
                <w:rFonts w:ascii="Arial" w:hAnsi="Arial" w:cs="Arial"/>
                <w:sz w:val="16"/>
                <w:szCs w:val="16"/>
              </w:rPr>
              <w:t>%</w:t>
            </w:r>
          </w:p>
        </w:tc>
      </w:tr>
      <w:tr w:rsidR="00C24699" w:rsidRPr="00DA77C5" w:rsidTr="00DA77C5">
        <w:tc>
          <w:tcPr>
            <w:tcW w:w="2123" w:type="dxa"/>
            <w:tcBorders>
              <w:top w:val="nil"/>
              <w:bottom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3</w:t>
            </w:r>
          </w:p>
        </w:tc>
        <w:tc>
          <w:tcPr>
            <w:tcW w:w="2735" w:type="dxa"/>
            <w:tcBorders>
              <w:top w:val="nil"/>
              <w:left w:val="nil"/>
              <w:bottom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rPr>
            </w:pPr>
            <w:r w:rsidRPr="00DA77C5">
              <w:rPr>
                <w:rFonts w:ascii="Arial" w:hAnsi="Arial" w:cs="Arial"/>
                <w:sz w:val="16"/>
                <w:szCs w:val="16"/>
              </w:rPr>
              <w:t xml:space="preserve">251 – 500 </w:t>
            </w:r>
          </w:p>
        </w:tc>
        <w:tc>
          <w:tcPr>
            <w:tcW w:w="1398" w:type="dxa"/>
            <w:tcBorders>
              <w:top w:val="nil"/>
              <w:left w:val="nil"/>
              <w:bottom w:val="nil"/>
              <w:right w:val="nil"/>
            </w:tcBorders>
            <w:shd w:val="clear" w:color="auto" w:fill="auto"/>
          </w:tcPr>
          <w:p w:rsidR="00C24699" w:rsidRPr="00DA77C5" w:rsidRDefault="00686B7C" w:rsidP="00DA77C5">
            <w:pPr>
              <w:tabs>
                <w:tab w:val="left" w:pos="360"/>
              </w:tabs>
              <w:ind w:right="234"/>
              <w:jc w:val="center"/>
              <w:rPr>
                <w:rFonts w:ascii="Arial" w:hAnsi="Arial" w:cs="Arial"/>
                <w:sz w:val="16"/>
                <w:szCs w:val="16"/>
              </w:rPr>
            </w:pPr>
            <w:r w:rsidRPr="00DA77C5">
              <w:rPr>
                <w:rFonts w:ascii="Arial" w:hAnsi="Arial" w:cs="Arial"/>
                <w:sz w:val="16"/>
                <w:szCs w:val="16"/>
              </w:rPr>
              <w:t>2.9</w:t>
            </w:r>
            <w:r w:rsidR="00C24699" w:rsidRPr="00DA77C5">
              <w:rPr>
                <w:rFonts w:ascii="Arial" w:hAnsi="Arial" w:cs="Arial"/>
                <w:sz w:val="16"/>
                <w:szCs w:val="16"/>
              </w:rPr>
              <w:t>%</w:t>
            </w:r>
          </w:p>
        </w:tc>
        <w:tc>
          <w:tcPr>
            <w:tcW w:w="1702" w:type="dxa"/>
            <w:gridSpan w:val="2"/>
            <w:tcBorders>
              <w:top w:val="nil"/>
              <w:left w:val="nil"/>
              <w:bottom w:val="nil"/>
            </w:tcBorders>
            <w:shd w:val="clear" w:color="auto" w:fill="auto"/>
          </w:tcPr>
          <w:p w:rsidR="00C24699" w:rsidRPr="00DA77C5" w:rsidRDefault="00686B7C" w:rsidP="00DA77C5">
            <w:pPr>
              <w:tabs>
                <w:tab w:val="left" w:pos="360"/>
              </w:tabs>
              <w:ind w:right="234"/>
              <w:jc w:val="center"/>
              <w:rPr>
                <w:rFonts w:ascii="Arial" w:hAnsi="Arial" w:cs="Arial"/>
                <w:sz w:val="16"/>
                <w:szCs w:val="16"/>
              </w:rPr>
            </w:pPr>
            <w:r w:rsidRPr="00DA77C5">
              <w:rPr>
                <w:rFonts w:ascii="Arial" w:hAnsi="Arial" w:cs="Arial"/>
                <w:sz w:val="16"/>
                <w:szCs w:val="16"/>
              </w:rPr>
              <w:t>1.3</w:t>
            </w:r>
            <w:r w:rsidR="00C24699" w:rsidRPr="00DA77C5">
              <w:rPr>
                <w:rFonts w:ascii="Arial" w:hAnsi="Arial" w:cs="Arial"/>
                <w:sz w:val="16"/>
                <w:szCs w:val="16"/>
              </w:rPr>
              <w:t>%</w:t>
            </w:r>
          </w:p>
        </w:tc>
      </w:tr>
      <w:tr w:rsidR="00C24699" w:rsidRPr="00DA77C5" w:rsidTr="00DA77C5">
        <w:tc>
          <w:tcPr>
            <w:tcW w:w="2123" w:type="dxa"/>
            <w:tcBorders>
              <w:top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4</w:t>
            </w:r>
          </w:p>
        </w:tc>
        <w:tc>
          <w:tcPr>
            <w:tcW w:w="2735" w:type="dxa"/>
            <w:tcBorders>
              <w:top w:val="nil"/>
              <w:left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rPr>
            </w:pPr>
            <w:r w:rsidRPr="00DA77C5">
              <w:rPr>
                <w:rFonts w:ascii="Arial" w:hAnsi="Arial" w:cs="Arial"/>
                <w:sz w:val="16"/>
                <w:szCs w:val="16"/>
              </w:rPr>
              <w:t xml:space="preserve">&gt;500 </w:t>
            </w:r>
          </w:p>
        </w:tc>
        <w:tc>
          <w:tcPr>
            <w:tcW w:w="1398" w:type="dxa"/>
            <w:tcBorders>
              <w:top w:val="nil"/>
              <w:left w:val="nil"/>
              <w:right w:val="nil"/>
            </w:tcBorders>
            <w:shd w:val="clear" w:color="auto" w:fill="auto"/>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0.0%</w:t>
            </w:r>
          </w:p>
        </w:tc>
        <w:tc>
          <w:tcPr>
            <w:tcW w:w="1702" w:type="dxa"/>
            <w:gridSpan w:val="2"/>
            <w:tcBorders>
              <w:top w:val="nil"/>
              <w:left w:val="nil"/>
            </w:tcBorders>
            <w:shd w:val="clear" w:color="auto" w:fill="auto"/>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0.0%</w:t>
            </w:r>
          </w:p>
        </w:tc>
      </w:tr>
      <w:tr w:rsidR="00C24699" w:rsidRPr="00DA77C5" w:rsidTr="00DA77C5">
        <w:tc>
          <w:tcPr>
            <w:tcW w:w="7958" w:type="dxa"/>
            <w:gridSpan w:val="5"/>
            <w:tcBorders>
              <w:bottom w:val="nil"/>
            </w:tcBorders>
            <w:shd w:val="clear" w:color="auto" w:fill="auto"/>
            <w:vAlign w:val="center"/>
          </w:tcPr>
          <w:p w:rsidR="00C24699" w:rsidRPr="00DA77C5" w:rsidRDefault="00C24699" w:rsidP="00DA77C5">
            <w:pPr>
              <w:tabs>
                <w:tab w:val="left" w:pos="360"/>
              </w:tabs>
              <w:spacing w:before="80"/>
              <w:ind w:right="230"/>
              <w:rPr>
                <w:rFonts w:ascii="Arial" w:hAnsi="Arial" w:cs="Arial"/>
                <w:sz w:val="16"/>
                <w:szCs w:val="16"/>
                <w:lang w:val="de-DE"/>
              </w:rPr>
            </w:pPr>
            <w:r w:rsidRPr="00DA77C5">
              <w:rPr>
                <w:rFonts w:ascii="Arial" w:hAnsi="Arial" w:cs="Arial"/>
                <w:sz w:val="16"/>
                <w:szCs w:val="16"/>
                <w:lang w:val="de-DE"/>
              </w:rPr>
              <w:t xml:space="preserve">Total serum bilirubin </w:t>
            </w:r>
            <w:r w:rsidR="00043480" w:rsidRPr="00DA77C5">
              <w:rPr>
                <w:rFonts w:ascii="Arial" w:hAnsi="Arial" w:cs="Arial"/>
                <w:sz w:val="16"/>
                <w:szCs w:val="16"/>
                <w:lang w:val="de-DE"/>
              </w:rPr>
              <w:t xml:space="preserve"> </w:t>
            </w:r>
          </w:p>
        </w:tc>
      </w:tr>
      <w:tr w:rsidR="00C24699" w:rsidRPr="00DA77C5" w:rsidTr="00DA77C5">
        <w:tc>
          <w:tcPr>
            <w:tcW w:w="2123" w:type="dxa"/>
            <w:tcBorders>
              <w:top w:val="nil"/>
              <w:bottom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2</w:t>
            </w:r>
          </w:p>
        </w:tc>
        <w:tc>
          <w:tcPr>
            <w:tcW w:w="2735" w:type="dxa"/>
            <w:tcBorders>
              <w:top w:val="nil"/>
              <w:left w:val="nil"/>
              <w:bottom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rPr>
            </w:pPr>
            <w:r w:rsidRPr="00DA77C5">
              <w:rPr>
                <w:rFonts w:ascii="Arial" w:hAnsi="Arial" w:cs="Arial"/>
                <w:sz w:val="16"/>
                <w:szCs w:val="16"/>
              </w:rPr>
              <w:t>1.6 - 2.5 x ULN</w:t>
            </w:r>
          </w:p>
        </w:tc>
        <w:tc>
          <w:tcPr>
            <w:tcW w:w="1398" w:type="dxa"/>
            <w:tcBorders>
              <w:top w:val="nil"/>
              <w:left w:val="nil"/>
              <w:bottom w:val="nil"/>
              <w:right w:val="nil"/>
            </w:tcBorders>
            <w:shd w:val="clear" w:color="auto" w:fill="auto"/>
          </w:tcPr>
          <w:p w:rsidR="00C24699" w:rsidRPr="00DA77C5" w:rsidRDefault="00516638"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5.6</w:t>
            </w:r>
            <w:r w:rsidR="00C24699" w:rsidRPr="00DA77C5">
              <w:rPr>
                <w:rFonts w:ascii="Arial" w:hAnsi="Arial" w:cs="Arial"/>
                <w:sz w:val="16"/>
                <w:szCs w:val="16"/>
                <w:lang w:val="pt-BR"/>
              </w:rPr>
              <w:t>%</w:t>
            </w:r>
          </w:p>
        </w:tc>
        <w:tc>
          <w:tcPr>
            <w:tcW w:w="1702" w:type="dxa"/>
            <w:gridSpan w:val="2"/>
            <w:tcBorders>
              <w:top w:val="nil"/>
              <w:left w:val="nil"/>
              <w:bottom w:val="nil"/>
            </w:tcBorders>
            <w:shd w:val="clear" w:color="auto" w:fill="auto"/>
          </w:tcPr>
          <w:p w:rsidR="00C24699" w:rsidRPr="00DA77C5" w:rsidRDefault="00516638"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3.0</w:t>
            </w:r>
            <w:r w:rsidR="00C24699" w:rsidRPr="00DA77C5">
              <w:rPr>
                <w:rFonts w:ascii="Arial" w:hAnsi="Arial" w:cs="Arial"/>
                <w:sz w:val="16"/>
                <w:szCs w:val="16"/>
                <w:lang w:val="pt-BR"/>
              </w:rPr>
              <w:t>%</w:t>
            </w:r>
          </w:p>
        </w:tc>
      </w:tr>
      <w:tr w:rsidR="00C24699" w:rsidRPr="00DA77C5" w:rsidTr="00DA77C5">
        <w:tc>
          <w:tcPr>
            <w:tcW w:w="2123" w:type="dxa"/>
            <w:tcBorders>
              <w:top w:val="nil"/>
              <w:bottom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3</w:t>
            </w:r>
          </w:p>
        </w:tc>
        <w:tc>
          <w:tcPr>
            <w:tcW w:w="2735" w:type="dxa"/>
            <w:tcBorders>
              <w:top w:val="nil"/>
              <w:left w:val="nil"/>
              <w:bottom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rPr>
            </w:pPr>
            <w:r w:rsidRPr="00DA77C5">
              <w:rPr>
                <w:rFonts w:ascii="Arial" w:hAnsi="Arial" w:cs="Arial"/>
                <w:sz w:val="16"/>
                <w:szCs w:val="16"/>
              </w:rPr>
              <w:t xml:space="preserve">2.6 - 5.0 x ULN </w:t>
            </w:r>
          </w:p>
        </w:tc>
        <w:tc>
          <w:tcPr>
            <w:tcW w:w="1398" w:type="dxa"/>
            <w:tcBorders>
              <w:top w:val="nil"/>
              <w:left w:val="nil"/>
              <w:bottom w:val="nil"/>
              <w:right w:val="nil"/>
            </w:tcBorders>
            <w:shd w:val="clear" w:color="auto" w:fill="auto"/>
          </w:tcPr>
          <w:p w:rsidR="00C24699" w:rsidRPr="00DA77C5" w:rsidRDefault="00686B7C"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3.0</w:t>
            </w:r>
            <w:r w:rsidR="00C24699" w:rsidRPr="00DA77C5">
              <w:rPr>
                <w:rFonts w:ascii="Arial" w:hAnsi="Arial" w:cs="Arial"/>
                <w:sz w:val="16"/>
                <w:szCs w:val="16"/>
                <w:lang w:val="pt-BR"/>
              </w:rPr>
              <w:t>%</w:t>
            </w:r>
          </w:p>
        </w:tc>
        <w:tc>
          <w:tcPr>
            <w:tcW w:w="1702" w:type="dxa"/>
            <w:gridSpan w:val="2"/>
            <w:tcBorders>
              <w:top w:val="nil"/>
              <w:left w:val="nil"/>
              <w:bottom w:val="nil"/>
            </w:tcBorders>
            <w:shd w:val="clear" w:color="auto" w:fill="auto"/>
          </w:tcPr>
          <w:p w:rsidR="00C24699" w:rsidRPr="00DA77C5" w:rsidRDefault="00516638"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2.5</w:t>
            </w:r>
            <w:r w:rsidR="00C24699" w:rsidRPr="00DA77C5">
              <w:rPr>
                <w:rFonts w:ascii="Arial" w:hAnsi="Arial" w:cs="Arial"/>
                <w:sz w:val="16"/>
                <w:szCs w:val="16"/>
                <w:lang w:val="pt-BR"/>
              </w:rPr>
              <w:t>%</w:t>
            </w:r>
          </w:p>
        </w:tc>
      </w:tr>
      <w:tr w:rsidR="00C24699" w:rsidRPr="00DA77C5" w:rsidTr="00DA77C5">
        <w:tc>
          <w:tcPr>
            <w:tcW w:w="2123" w:type="dxa"/>
            <w:tcBorders>
              <w:top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4</w:t>
            </w:r>
          </w:p>
        </w:tc>
        <w:tc>
          <w:tcPr>
            <w:tcW w:w="2735" w:type="dxa"/>
            <w:tcBorders>
              <w:top w:val="nil"/>
              <w:left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rPr>
            </w:pPr>
            <w:r w:rsidRPr="00DA77C5">
              <w:rPr>
                <w:rFonts w:ascii="Arial" w:hAnsi="Arial" w:cs="Arial"/>
                <w:sz w:val="16"/>
                <w:szCs w:val="16"/>
              </w:rPr>
              <w:t xml:space="preserve">&gt;5.0 x ULN </w:t>
            </w:r>
          </w:p>
        </w:tc>
        <w:tc>
          <w:tcPr>
            <w:tcW w:w="1398" w:type="dxa"/>
            <w:tcBorders>
              <w:top w:val="nil"/>
              <w:left w:val="nil"/>
              <w:right w:val="nil"/>
            </w:tcBorders>
            <w:shd w:val="clear" w:color="auto" w:fill="auto"/>
          </w:tcPr>
          <w:p w:rsidR="00C24699" w:rsidRPr="00DA77C5" w:rsidRDefault="00516638"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0.9</w:t>
            </w:r>
            <w:r w:rsidR="00C24699" w:rsidRPr="00DA77C5">
              <w:rPr>
                <w:rFonts w:ascii="Arial" w:hAnsi="Arial" w:cs="Arial"/>
                <w:sz w:val="16"/>
                <w:szCs w:val="16"/>
                <w:lang w:val="pt-BR"/>
              </w:rPr>
              <w:t>%</w:t>
            </w:r>
          </w:p>
        </w:tc>
        <w:tc>
          <w:tcPr>
            <w:tcW w:w="1702" w:type="dxa"/>
            <w:gridSpan w:val="2"/>
            <w:tcBorders>
              <w:top w:val="nil"/>
              <w:left w:val="nil"/>
            </w:tcBorders>
            <w:shd w:val="clear" w:color="auto" w:fill="auto"/>
          </w:tcPr>
          <w:p w:rsidR="00C24699" w:rsidRPr="00DA77C5" w:rsidRDefault="00C24699"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0.0%</w:t>
            </w:r>
          </w:p>
        </w:tc>
      </w:tr>
      <w:tr w:rsidR="00C24699" w:rsidRPr="00DA77C5" w:rsidTr="00DA77C5">
        <w:tc>
          <w:tcPr>
            <w:tcW w:w="7958" w:type="dxa"/>
            <w:gridSpan w:val="5"/>
            <w:tcBorders>
              <w:bottom w:val="nil"/>
            </w:tcBorders>
            <w:shd w:val="clear" w:color="auto" w:fill="auto"/>
            <w:vAlign w:val="center"/>
          </w:tcPr>
          <w:p w:rsidR="00C24699" w:rsidRPr="00DA77C5" w:rsidRDefault="00C24699" w:rsidP="00DA77C5">
            <w:pPr>
              <w:tabs>
                <w:tab w:val="left" w:pos="360"/>
              </w:tabs>
              <w:spacing w:before="80"/>
              <w:ind w:right="230"/>
              <w:rPr>
                <w:rFonts w:ascii="Arial" w:hAnsi="Arial" w:cs="Arial"/>
                <w:sz w:val="16"/>
                <w:szCs w:val="16"/>
                <w:lang w:val="pt-BR"/>
              </w:rPr>
            </w:pPr>
            <w:r w:rsidRPr="00DA77C5">
              <w:rPr>
                <w:rFonts w:ascii="Arial" w:hAnsi="Arial" w:cs="Arial"/>
                <w:sz w:val="16"/>
                <w:szCs w:val="16"/>
                <w:lang w:val="pt-BR"/>
              </w:rPr>
              <w:t xml:space="preserve">Serum aspartate aminotransferase </w:t>
            </w:r>
            <w:r w:rsidR="00043480" w:rsidRPr="00DA77C5">
              <w:rPr>
                <w:rFonts w:ascii="Arial" w:hAnsi="Arial" w:cs="Arial"/>
                <w:sz w:val="16"/>
                <w:szCs w:val="16"/>
                <w:lang w:val="pt-BR"/>
              </w:rPr>
              <w:t xml:space="preserve"> </w:t>
            </w:r>
          </w:p>
        </w:tc>
      </w:tr>
      <w:tr w:rsidR="00C24699" w:rsidRPr="00DA77C5" w:rsidTr="00DA77C5">
        <w:tc>
          <w:tcPr>
            <w:tcW w:w="2123" w:type="dxa"/>
            <w:tcBorders>
              <w:top w:val="nil"/>
              <w:bottom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2</w:t>
            </w:r>
          </w:p>
        </w:tc>
        <w:tc>
          <w:tcPr>
            <w:tcW w:w="2735" w:type="dxa"/>
            <w:tcBorders>
              <w:top w:val="nil"/>
              <w:left w:val="nil"/>
              <w:bottom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rPr>
            </w:pPr>
            <w:r w:rsidRPr="00DA77C5">
              <w:rPr>
                <w:rFonts w:ascii="Arial" w:hAnsi="Arial" w:cs="Arial"/>
                <w:sz w:val="16"/>
                <w:szCs w:val="16"/>
              </w:rPr>
              <w:t xml:space="preserve">2.6 - 5.0 x ULN </w:t>
            </w:r>
          </w:p>
        </w:tc>
        <w:tc>
          <w:tcPr>
            <w:tcW w:w="1398" w:type="dxa"/>
            <w:tcBorders>
              <w:top w:val="nil"/>
              <w:left w:val="nil"/>
              <w:bottom w:val="nil"/>
              <w:right w:val="nil"/>
            </w:tcBorders>
            <w:shd w:val="clear" w:color="auto" w:fill="auto"/>
          </w:tcPr>
          <w:p w:rsidR="00C24699" w:rsidRPr="00DA77C5" w:rsidRDefault="00686B7C"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9.5</w:t>
            </w:r>
            <w:r w:rsidR="00C24699" w:rsidRPr="00DA77C5">
              <w:rPr>
                <w:rFonts w:ascii="Arial" w:hAnsi="Arial" w:cs="Arial"/>
                <w:sz w:val="16"/>
                <w:szCs w:val="16"/>
                <w:lang w:val="pt-BR"/>
              </w:rPr>
              <w:t>%</w:t>
            </w:r>
          </w:p>
        </w:tc>
        <w:tc>
          <w:tcPr>
            <w:tcW w:w="1702" w:type="dxa"/>
            <w:gridSpan w:val="2"/>
            <w:tcBorders>
              <w:top w:val="nil"/>
              <w:left w:val="nil"/>
              <w:bottom w:val="nil"/>
            </w:tcBorders>
            <w:shd w:val="clear" w:color="auto" w:fill="auto"/>
          </w:tcPr>
          <w:p w:rsidR="00C24699" w:rsidRPr="00DA77C5" w:rsidRDefault="00686B7C"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8.5</w:t>
            </w:r>
            <w:r w:rsidR="00C24699" w:rsidRPr="00DA77C5">
              <w:rPr>
                <w:rFonts w:ascii="Arial" w:hAnsi="Arial" w:cs="Arial"/>
                <w:sz w:val="16"/>
                <w:szCs w:val="16"/>
                <w:lang w:val="pt-BR"/>
              </w:rPr>
              <w:t>%</w:t>
            </w:r>
          </w:p>
        </w:tc>
      </w:tr>
      <w:tr w:rsidR="00C24699" w:rsidRPr="00DA77C5" w:rsidTr="00DA77C5">
        <w:tc>
          <w:tcPr>
            <w:tcW w:w="2123" w:type="dxa"/>
            <w:tcBorders>
              <w:top w:val="nil"/>
              <w:bottom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3</w:t>
            </w:r>
          </w:p>
        </w:tc>
        <w:tc>
          <w:tcPr>
            <w:tcW w:w="2735" w:type="dxa"/>
            <w:tcBorders>
              <w:top w:val="nil"/>
              <w:left w:val="nil"/>
              <w:bottom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lang w:val="pt-BR"/>
              </w:rPr>
            </w:pPr>
            <w:r w:rsidRPr="00DA77C5">
              <w:rPr>
                <w:rFonts w:ascii="Arial" w:hAnsi="Arial" w:cs="Arial"/>
                <w:sz w:val="16"/>
                <w:szCs w:val="16"/>
                <w:lang w:val="pt-BR"/>
              </w:rPr>
              <w:t xml:space="preserve">5.1 - 10.0 x ULN </w:t>
            </w:r>
          </w:p>
        </w:tc>
        <w:tc>
          <w:tcPr>
            <w:tcW w:w="1398" w:type="dxa"/>
            <w:tcBorders>
              <w:top w:val="nil"/>
              <w:left w:val="nil"/>
              <w:bottom w:val="nil"/>
              <w:right w:val="nil"/>
            </w:tcBorders>
            <w:shd w:val="clear" w:color="auto" w:fill="auto"/>
          </w:tcPr>
          <w:p w:rsidR="00C24699" w:rsidRPr="00DA77C5" w:rsidRDefault="00686B7C"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4.3</w:t>
            </w:r>
            <w:r w:rsidR="00C24699" w:rsidRPr="00DA77C5">
              <w:rPr>
                <w:rFonts w:ascii="Arial" w:hAnsi="Arial" w:cs="Arial"/>
                <w:sz w:val="16"/>
                <w:szCs w:val="16"/>
                <w:lang w:val="pt-BR"/>
              </w:rPr>
              <w:t>%</w:t>
            </w:r>
          </w:p>
        </w:tc>
        <w:tc>
          <w:tcPr>
            <w:tcW w:w="1702" w:type="dxa"/>
            <w:gridSpan w:val="2"/>
            <w:tcBorders>
              <w:top w:val="nil"/>
              <w:left w:val="nil"/>
              <w:bottom w:val="nil"/>
            </w:tcBorders>
            <w:shd w:val="clear" w:color="auto" w:fill="auto"/>
          </w:tcPr>
          <w:p w:rsidR="00C24699" w:rsidRPr="00DA77C5" w:rsidRDefault="00516638"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3.0</w:t>
            </w:r>
            <w:r w:rsidR="00C24699" w:rsidRPr="00DA77C5">
              <w:rPr>
                <w:rFonts w:ascii="Arial" w:hAnsi="Arial" w:cs="Arial"/>
                <w:sz w:val="16"/>
                <w:szCs w:val="16"/>
                <w:lang w:val="pt-BR"/>
              </w:rPr>
              <w:t>%</w:t>
            </w:r>
          </w:p>
        </w:tc>
      </w:tr>
      <w:tr w:rsidR="00C24699" w:rsidRPr="00DA77C5" w:rsidTr="00DA77C5">
        <w:tc>
          <w:tcPr>
            <w:tcW w:w="2123" w:type="dxa"/>
            <w:tcBorders>
              <w:top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4</w:t>
            </w:r>
          </w:p>
        </w:tc>
        <w:tc>
          <w:tcPr>
            <w:tcW w:w="2735" w:type="dxa"/>
            <w:tcBorders>
              <w:top w:val="nil"/>
              <w:left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lang w:val="pt-BR"/>
              </w:rPr>
            </w:pPr>
            <w:r w:rsidRPr="00DA77C5">
              <w:rPr>
                <w:rFonts w:ascii="Arial" w:hAnsi="Arial" w:cs="Arial"/>
                <w:sz w:val="16"/>
                <w:szCs w:val="16"/>
                <w:lang w:val="pt-BR"/>
              </w:rPr>
              <w:t>&gt;10.0 x ULN</w:t>
            </w:r>
          </w:p>
        </w:tc>
        <w:tc>
          <w:tcPr>
            <w:tcW w:w="1398" w:type="dxa"/>
            <w:tcBorders>
              <w:top w:val="nil"/>
              <w:left w:val="nil"/>
              <w:right w:val="nil"/>
            </w:tcBorders>
            <w:shd w:val="clear" w:color="auto" w:fill="auto"/>
          </w:tcPr>
          <w:p w:rsidR="00C24699" w:rsidRPr="00DA77C5" w:rsidRDefault="00516638"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0.7</w:t>
            </w:r>
            <w:r w:rsidR="00C24699" w:rsidRPr="00DA77C5">
              <w:rPr>
                <w:rFonts w:ascii="Arial" w:hAnsi="Arial" w:cs="Arial"/>
                <w:sz w:val="16"/>
                <w:szCs w:val="16"/>
                <w:lang w:val="pt-BR"/>
              </w:rPr>
              <w:t>%</w:t>
            </w:r>
          </w:p>
        </w:tc>
        <w:tc>
          <w:tcPr>
            <w:tcW w:w="1702" w:type="dxa"/>
            <w:gridSpan w:val="2"/>
            <w:tcBorders>
              <w:top w:val="nil"/>
              <w:left w:val="nil"/>
            </w:tcBorders>
            <w:shd w:val="clear" w:color="auto" w:fill="auto"/>
          </w:tcPr>
          <w:p w:rsidR="00C24699" w:rsidRPr="00DA77C5" w:rsidRDefault="00516638"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1.3</w:t>
            </w:r>
            <w:r w:rsidR="00C24699" w:rsidRPr="00DA77C5">
              <w:rPr>
                <w:rFonts w:ascii="Arial" w:hAnsi="Arial" w:cs="Arial"/>
                <w:sz w:val="16"/>
                <w:szCs w:val="16"/>
                <w:lang w:val="pt-BR"/>
              </w:rPr>
              <w:t>%</w:t>
            </w:r>
          </w:p>
        </w:tc>
      </w:tr>
      <w:tr w:rsidR="00C24699" w:rsidRPr="00DA77C5" w:rsidTr="00DA77C5">
        <w:tc>
          <w:tcPr>
            <w:tcW w:w="7958" w:type="dxa"/>
            <w:gridSpan w:val="5"/>
            <w:tcBorders>
              <w:bottom w:val="nil"/>
            </w:tcBorders>
            <w:shd w:val="clear" w:color="auto" w:fill="auto"/>
            <w:vAlign w:val="center"/>
          </w:tcPr>
          <w:p w:rsidR="00C24699" w:rsidRPr="00DA77C5" w:rsidRDefault="00C24699" w:rsidP="00DA77C5">
            <w:pPr>
              <w:tabs>
                <w:tab w:val="left" w:pos="360"/>
              </w:tabs>
              <w:spacing w:before="80"/>
              <w:ind w:right="230"/>
              <w:rPr>
                <w:rFonts w:ascii="Arial" w:hAnsi="Arial" w:cs="Arial"/>
                <w:sz w:val="16"/>
                <w:szCs w:val="16"/>
                <w:lang w:val="pt-BR"/>
              </w:rPr>
            </w:pPr>
            <w:r w:rsidRPr="00DA77C5">
              <w:rPr>
                <w:rFonts w:ascii="Arial" w:hAnsi="Arial" w:cs="Arial"/>
                <w:sz w:val="16"/>
                <w:szCs w:val="16"/>
                <w:lang w:val="pt-BR"/>
              </w:rPr>
              <w:t xml:space="preserve">Serum alanine aminotransferase </w:t>
            </w:r>
            <w:r w:rsidR="00043480" w:rsidRPr="00DA77C5">
              <w:rPr>
                <w:rFonts w:ascii="Arial" w:hAnsi="Arial" w:cs="Arial"/>
                <w:sz w:val="16"/>
                <w:szCs w:val="16"/>
                <w:lang w:val="pt-BR"/>
              </w:rPr>
              <w:t xml:space="preserve"> </w:t>
            </w:r>
          </w:p>
        </w:tc>
      </w:tr>
      <w:tr w:rsidR="00C24699" w:rsidRPr="00DA77C5" w:rsidTr="00DA77C5">
        <w:tc>
          <w:tcPr>
            <w:tcW w:w="2123" w:type="dxa"/>
            <w:tcBorders>
              <w:top w:val="nil"/>
              <w:bottom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2</w:t>
            </w:r>
          </w:p>
        </w:tc>
        <w:tc>
          <w:tcPr>
            <w:tcW w:w="2735" w:type="dxa"/>
            <w:tcBorders>
              <w:top w:val="nil"/>
              <w:left w:val="nil"/>
              <w:bottom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lang w:val="pt-BR"/>
              </w:rPr>
            </w:pPr>
            <w:r w:rsidRPr="00DA77C5">
              <w:rPr>
                <w:rFonts w:ascii="Arial" w:hAnsi="Arial" w:cs="Arial"/>
                <w:sz w:val="16"/>
                <w:szCs w:val="16"/>
                <w:lang w:val="pt-BR"/>
              </w:rPr>
              <w:t xml:space="preserve">2.6 - 5.0 x ULN </w:t>
            </w:r>
          </w:p>
        </w:tc>
        <w:tc>
          <w:tcPr>
            <w:tcW w:w="1398" w:type="dxa"/>
            <w:tcBorders>
              <w:top w:val="nil"/>
              <w:left w:val="nil"/>
              <w:bottom w:val="nil"/>
              <w:right w:val="nil"/>
            </w:tcBorders>
            <w:shd w:val="clear" w:color="auto" w:fill="auto"/>
          </w:tcPr>
          <w:p w:rsidR="00C24699" w:rsidRPr="00DA77C5" w:rsidRDefault="00686B7C"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10.8</w:t>
            </w:r>
            <w:r w:rsidR="00C24699" w:rsidRPr="00DA77C5">
              <w:rPr>
                <w:rFonts w:ascii="Arial" w:hAnsi="Arial" w:cs="Arial"/>
                <w:sz w:val="16"/>
                <w:szCs w:val="16"/>
                <w:lang w:val="pt-BR"/>
              </w:rPr>
              <w:t>%</w:t>
            </w:r>
          </w:p>
        </w:tc>
        <w:tc>
          <w:tcPr>
            <w:tcW w:w="1702" w:type="dxa"/>
            <w:gridSpan w:val="2"/>
            <w:tcBorders>
              <w:top w:val="nil"/>
              <w:left w:val="nil"/>
              <w:bottom w:val="nil"/>
            </w:tcBorders>
            <w:shd w:val="clear" w:color="auto" w:fill="auto"/>
          </w:tcPr>
          <w:p w:rsidR="00C24699" w:rsidRPr="00DA77C5" w:rsidRDefault="00ED69B2"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9.</w:t>
            </w:r>
            <w:r w:rsidR="00686B7C" w:rsidRPr="00DA77C5">
              <w:rPr>
                <w:rFonts w:ascii="Arial" w:hAnsi="Arial" w:cs="Arial"/>
                <w:sz w:val="16"/>
                <w:szCs w:val="16"/>
                <w:lang w:val="pt-BR"/>
              </w:rPr>
              <w:t>7</w:t>
            </w:r>
            <w:r w:rsidR="00C24699" w:rsidRPr="00DA77C5">
              <w:rPr>
                <w:rFonts w:ascii="Arial" w:hAnsi="Arial" w:cs="Arial"/>
                <w:sz w:val="16"/>
                <w:szCs w:val="16"/>
                <w:lang w:val="pt-BR"/>
              </w:rPr>
              <w:t>%</w:t>
            </w:r>
          </w:p>
        </w:tc>
      </w:tr>
      <w:tr w:rsidR="00C24699" w:rsidRPr="00DA77C5" w:rsidTr="00DA77C5">
        <w:tc>
          <w:tcPr>
            <w:tcW w:w="2123" w:type="dxa"/>
            <w:tcBorders>
              <w:top w:val="nil"/>
              <w:bottom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3</w:t>
            </w:r>
          </w:p>
        </w:tc>
        <w:tc>
          <w:tcPr>
            <w:tcW w:w="2735" w:type="dxa"/>
            <w:tcBorders>
              <w:top w:val="nil"/>
              <w:left w:val="nil"/>
              <w:bottom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lang w:val="pt-BR"/>
              </w:rPr>
            </w:pPr>
            <w:r w:rsidRPr="00DA77C5">
              <w:rPr>
                <w:rFonts w:ascii="Arial" w:hAnsi="Arial" w:cs="Arial"/>
                <w:sz w:val="16"/>
                <w:szCs w:val="16"/>
                <w:lang w:val="pt-BR"/>
              </w:rPr>
              <w:t>5.1 - 10.0 x ULN</w:t>
            </w:r>
          </w:p>
        </w:tc>
        <w:tc>
          <w:tcPr>
            <w:tcW w:w="1398" w:type="dxa"/>
            <w:tcBorders>
              <w:top w:val="nil"/>
              <w:left w:val="nil"/>
              <w:bottom w:val="nil"/>
              <w:right w:val="nil"/>
            </w:tcBorders>
            <w:shd w:val="clear" w:color="auto" w:fill="auto"/>
          </w:tcPr>
          <w:p w:rsidR="00C24699" w:rsidRPr="00DA77C5" w:rsidRDefault="00686B7C"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4.8</w:t>
            </w:r>
            <w:r w:rsidR="00C24699" w:rsidRPr="00DA77C5">
              <w:rPr>
                <w:rFonts w:ascii="Arial" w:hAnsi="Arial" w:cs="Arial"/>
                <w:sz w:val="16"/>
                <w:szCs w:val="16"/>
                <w:lang w:val="pt-BR"/>
              </w:rPr>
              <w:t>%</w:t>
            </w:r>
          </w:p>
        </w:tc>
        <w:tc>
          <w:tcPr>
            <w:tcW w:w="1702" w:type="dxa"/>
            <w:gridSpan w:val="2"/>
            <w:tcBorders>
              <w:top w:val="nil"/>
              <w:left w:val="nil"/>
              <w:bottom w:val="nil"/>
            </w:tcBorders>
            <w:shd w:val="clear" w:color="auto" w:fill="auto"/>
          </w:tcPr>
          <w:p w:rsidR="00C24699" w:rsidRPr="00DA77C5" w:rsidRDefault="00ED69B2"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2.</w:t>
            </w:r>
            <w:r w:rsidR="00686B7C" w:rsidRPr="00DA77C5">
              <w:rPr>
                <w:rFonts w:ascii="Arial" w:hAnsi="Arial" w:cs="Arial"/>
                <w:sz w:val="16"/>
                <w:szCs w:val="16"/>
                <w:lang w:val="pt-BR"/>
              </w:rPr>
              <w:t>5</w:t>
            </w:r>
            <w:r w:rsidR="00C24699" w:rsidRPr="00DA77C5">
              <w:rPr>
                <w:rFonts w:ascii="Arial" w:hAnsi="Arial" w:cs="Arial"/>
                <w:sz w:val="16"/>
                <w:szCs w:val="16"/>
                <w:lang w:val="pt-BR"/>
              </w:rPr>
              <w:t>%</w:t>
            </w:r>
          </w:p>
        </w:tc>
      </w:tr>
      <w:tr w:rsidR="00C24699" w:rsidRPr="00DA77C5" w:rsidTr="00DA77C5">
        <w:tc>
          <w:tcPr>
            <w:tcW w:w="2123" w:type="dxa"/>
            <w:tcBorders>
              <w:top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4</w:t>
            </w:r>
          </w:p>
        </w:tc>
        <w:tc>
          <w:tcPr>
            <w:tcW w:w="2735" w:type="dxa"/>
            <w:tcBorders>
              <w:top w:val="nil"/>
              <w:left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lang w:val="pt-BR"/>
              </w:rPr>
            </w:pPr>
            <w:r w:rsidRPr="00DA77C5">
              <w:rPr>
                <w:rFonts w:ascii="Arial" w:hAnsi="Arial" w:cs="Arial"/>
                <w:sz w:val="16"/>
                <w:szCs w:val="16"/>
                <w:lang w:val="pt-BR"/>
              </w:rPr>
              <w:t>&gt;10.0 x ULN</w:t>
            </w:r>
          </w:p>
        </w:tc>
        <w:tc>
          <w:tcPr>
            <w:tcW w:w="1398" w:type="dxa"/>
            <w:tcBorders>
              <w:top w:val="nil"/>
              <w:left w:val="nil"/>
              <w:right w:val="nil"/>
            </w:tcBorders>
            <w:shd w:val="clear" w:color="auto" w:fill="auto"/>
          </w:tcPr>
          <w:p w:rsidR="00C24699" w:rsidRPr="00DA77C5" w:rsidRDefault="00ED69B2"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1.3</w:t>
            </w:r>
            <w:r w:rsidR="00C24699" w:rsidRPr="00DA77C5">
              <w:rPr>
                <w:rFonts w:ascii="Arial" w:hAnsi="Arial" w:cs="Arial"/>
                <w:sz w:val="16"/>
                <w:szCs w:val="16"/>
                <w:lang w:val="pt-BR"/>
              </w:rPr>
              <w:t>%</w:t>
            </w:r>
          </w:p>
        </w:tc>
        <w:tc>
          <w:tcPr>
            <w:tcW w:w="1702" w:type="dxa"/>
            <w:gridSpan w:val="2"/>
            <w:tcBorders>
              <w:top w:val="nil"/>
              <w:left w:val="nil"/>
            </w:tcBorders>
            <w:shd w:val="clear" w:color="auto" w:fill="auto"/>
          </w:tcPr>
          <w:p w:rsidR="00C24699" w:rsidRPr="00DA77C5" w:rsidRDefault="00ED69B2"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1.7</w:t>
            </w:r>
            <w:r w:rsidR="00C24699" w:rsidRPr="00DA77C5">
              <w:rPr>
                <w:rFonts w:ascii="Arial" w:hAnsi="Arial" w:cs="Arial"/>
                <w:sz w:val="16"/>
                <w:szCs w:val="16"/>
                <w:lang w:val="pt-BR"/>
              </w:rPr>
              <w:t>%</w:t>
            </w:r>
          </w:p>
        </w:tc>
      </w:tr>
      <w:tr w:rsidR="00C24699" w:rsidRPr="00DA77C5" w:rsidTr="00DA77C5">
        <w:tc>
          <w:tcPr>
            <w:tcW w:w="7958" w:type="dxa"/>
            <w:gridSpan w:val="5"/>
            <w:tcBorders>
              <w:bottom w:val="nil"/>
            </w:tcBorders>
            <w:shd w:val="clear" w:color="auto" w:fill="auto"/>
            <w:vAlign w:val="center"/>
          </w:tcPr>
          <w:p w:rsidR="00C24699" w:rsidRPr="00DA77C5" w:rsidRDefault="00C24699" w:rsidP="00DA77C5">
            <w:pPr>
              <w:tabs>
                <w:tab w:val="left" w:pos="360"/>
              </w:tabs>
              <w:spacing w:before="80"/>
              <w:ind w:right="230"/>
              <w:rPr>
                <w:rFonts w:ascii="Arial" w:hAnsi="Arial" w:cs="Arial"/>
                <w:sz w:val="16"/>
                <w:szCs w:val="16"/>
                <w:lang w:val="pt-BR"/>
              </w:rPr>
            </w:pPr>
            <w:r w:rsidRPr="00DA77C5">
              <w:rPr>
                <w:rFonts w:ascii="Arial" w:hAnsi="Arial" w:cs="Arial"/>
                <w:sz w:val="16"/>
                <w:szCs w:val="16"/>
                <w:lang w:val="pt-BR"/>
              </w:rPr>
              <w:t xml:space="preserve">Serum alkaline phosphatase </w:t>
            </w:r>
            <w:r w:rsidR="00043480" w:rsidRPr="00DA77C5">
              <w:rPr>
                <w:rFonts w:ascii="Arial" w:hAnsi="Arial" w:cs="Arial"/>
                <w:sz w:val="16"/>
                <w:szCs w:val="16"/>
                <w:lang w:val="pt-BR"/>
              </w:rPr>
              <w:t xml:space="preserve"> </w:t>
            </w:r>
          </w:p>
        </w:tc>
      </w:tr>
      <w:tr w:rsidR="00C24699" w:rsidRPr="00DA77C5" w:rsidTr="00DA77C5">
        <w:tc>
          <w:tcPr>
            <w:tcW w:w="2123" w:type="dxa"/>
            <w:tcBorders>
              <w:top w:val="nil"/>
              <w:bottom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lastRenderedPageBreak/>
              <w:t>Grade 2</w:t>
            </w:r>
          </w:p>
        </w:tc>
        <w:tc>
          <w:tcPr>
            <w:tcW w:w="2735" w:type="dxa"/>
            <w:tcBorders>
              <w:top w:val="nil"/>
              <w:left w:val="nil"/>
              <w:bottom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rPr>
            </w:pPr>
            <w:r w:rsidRPr="00DA77C5">
              <w:rPr>
                <w:rFonts w:ascii="Arial" w:hAnsi="Arial" w:cs="Arial"/>
                <w:sz w:val="16"/>
                <w:szCs w:val="16"/>
              </w:rPr>
              <w:t xml:space="preserve">2.6 - 5.0 x ULN </w:t>
            </w:r>
          </w:p>
        </w:tc>
        <w:tc>
          <w:tcPr>
            <w:tcW w:w="1398" w:type="dxa"/>
            <w:tcBorders>
              <w:top w:val="nil"/>
              <w:left w:val="nil"/>
              <w:bottom w:val="nil"/>
              <w:right w:val="nil"/>
            </w:tcBorders>
            <w:shd w:val="clear" w:color="auto" w:fill="auto"/>
          </w:tcPr>
          <w:p w:rsidR="00C24699" w:rsidRPr="00DA77C5" w:rsidRDefault="000C7C80" w:rsidP="00DA77C5">
            <w:pPr>
              <w:tabs>
                <w:tab w:val="left" w:pos="360"/>
              </w:tabs>
              <w:ind w:right="234"/>
              <w:jc w:val="center"/>
              <w:rPr>
                <w:rFonts w:ascii="Arial" w:hAnsi="Arial" w:cs="Arial"/>
                <w:sz w:val="16"/>
                <w:szCs w:val="16"/>
              </w:rPr>
            </w:pPr>
            <w:r w:rsidRPr="00DA77C5">
              <w:rPr>
                <w:rFonts w:ascii="Arial" w:hAnsi="Arial" w:cs="Arial"/>
                <w:sz w:val="16"/>
                <w:szCs w:val="16"/>
              </w:rPr>
              <w:t>2.2</w:t>
            </w:r>
            <w:r w:rsidR="00C24699" w:rsidRPr="00DA77C5">
              <w:rPr>
                <w:rFonts w:ascii="Arial" w:hAnsi="Arial" w:cs="Arial"/>
                <w:sz w:val="16"/>
                <w:szCs w:val="16"/>
              </w:rPr>
              <w:t>%</w:t>
            </w:r>
          </w:p>
        </w:tc>
        <w:tc>
          <w:tcPr>
            <w:tcW w:w="1702" w:type="dxa"/>
            <w:gridSpan w:val="2"/>
            <w:tcBorders>
              <w:top w:val="nil"/>
              <w:left w:val="nil"/>
              <w:bottom w:val="nil"/>
            </w:tcBorders>
            <w:shd w:val="clear" w:color="auto" w:fill="auto"/>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0.4%</w:t>
            </w:r>
          </w:p>
        </w:tc>
      </w:tr>
      <w:tr w:rsidR="00C24699" w:rsidRPr="00DA77C5" w:rsidTr="00DA77C5">
        <w:tc>
          <w:tcPr>
            <w:tcW w:w="2123" w:type="dxa"/>
            <w:tcBorders>
              <w:top w:val="nil"/>
              <w:bottom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3</w:t>
            </w:r>
          </w:p>
        </w:tc>
        <w:tc>
          <w:tcPr>
            <w:tcW w:w="2735" w:type="dxa"/>
            <w:tcBorders>
              <w:top w:val="nil"/>
              <w:left w:val="nil"/>
              <w:bottom w:val="nil"/>
              <w:right w:val="nil"/>
            </w:tcBorders>
            <w:shd w:val="clear" w:color="auto" w:fill="auto"/>
          </w:tcPr>
          <w:p w:rsidR="00C24699" w:rsidRPr="00DA77C5" w:rsidRDefault="00C24699" w:rsidP="00DA77C5">
            <w:pPr>
              <w:widowControl w:val="0"/>
              <w:autoSpaceDE w:val="0"/>
              <w:autoSpaceDN w:val="0"/>
              <w:adjustRightInd w:val="0"/>
              <w:spacing w:before="15" w:after="15"/>
              <w:ind w:left="160" w:right="1" w:hanging="160"/>
              <w:jc w:val="center"/>
              <w:rPr>
                <w:rFonts w:ascii="Arial" w:hAnsi="Arial" w:cs="Arial"/>
                <w:sz w:val="16"/>
                <w:szCs w:val="16"/>
              </w:rPr>
            </w:pPr>
            <w:r w:rsidRPr="00DA77C5">
              <w:rPr>
                <w:rFonts w:ascii="Arial" w:hAnsi="Arial" w:cs="Arial"/>
                <w:sz w:val="16"/>
                <w:szCs w:val="16"/>
              </w:rPr>
              <w:t>5.1 - 10.0 x ULN</w:t>
            </w:r>
          </w:p>
        </w:tc>
        <w:tc>
          <w:tcPr>
            <w:tcW w:w="1398" w:type="dxa"/>
            <w:tcBorders>
              <w:top w:val="nil"/>
              <w:left w:val="nil"/>
              <w:bottom w:val="nil"/>
              <w:right w:val="nil"/>
            </w:tcBorders>
            <w:shd w:val="clear" w:color="auto" w:fill="auto"/>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0.4%</w:t>
            </w:r>
          </w:p>
        </w:tc>
        <w:tc>
          <w:tcPr>
            <w:tcW w:w="1702" w:type="dxa"/>
            <w:gridSpan w:val="2"/>
            <w:tcBorders>
              <w:top w:val="nil"/>
              <w:left w:val="nil"/>
              <w:bottom w:val="nil"/>
            </w:tcBorders>
            <w:shd w:val="clear" w:color="auto" w:fill="auto"/>
          </w:tcPr>
          <w:p w:rsidR="00C24699" w:rsidRPr="00DA77C5" w:rsidRDefault="00ED69B2" w:rsidP="00DA77C5">
            <w:pPr>
              <w:tabs>
                <w:tab w:val="left" w:pos="360"/>
              </w:tabs>
              <w:ind w:right="234"/>
              <w:jc w:val="center"/>
              <w:rPr>
                <w:rFonts w:ascii="Arial" w:hAnsi="Arial" w:cs="Arial"/>
                <w:sz w:val="16"/>
                <w:szCs w:val="16"/>
              </w:rPr>
            </w:pPr>
            <w:r w:rsidRPr="00DA77C5">
              <w:rPr>
                <w:rFonts w:ascii="Arial" w:hAnsi="Arial" w:cs="Arial"/>
                <w:sz w:val="16"/>
                <w:szCs w:val="16"/>
              </w:rPr>
              <w:t>1.3</w:t>
            </w:r>
            <w:r w:rsidR="00C24699" w:rsidRPr="00DA77C5">
              <w:rPr>
                <w:rFonts w:ascii="Arial" w:hAnsi="Arial" w:cs="Arial"/>
                <w:sz w:val="16"/>
                <w:szCs w:val="16"/>
              </w:rPr>
              <w:t>%</w:t>
            </w:r>
          </w:p>
        </w:tc>
      </w:tr>
      <w:tr w:rsidR="00C24699" w:rsidRPr="00DA77C5" w:rsidTr="00DA77C5">
        <w:tc>
          <w:tcPr>
            <w:tcW w:w="2123" w:type="dxa"/>
            <w:tcBorders>
              <w:top w:val="nil"/>
              <w:right w:val="nil"/>
            </w:tcBorders>
            <w:shd w:val="clear" w:color="auto" w:fill="auto"/>
            <w:vAlign w:val="center"/>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Grade 4</w:t>
            </w:r>
          </w:p>
        </w:tc>
        <w:tc>
          <w:tcPr>
            <w:tcW w:w="2735" w:type="dxa"/>
            <w:tcBorders>
              <w:top w:val="nil"/>
              <w:left w:val="nil"/>
              <w:right w:val="nil"/>
            </w:tcBorders>
            <w:shd w:val="clear" w:color="auto" w:fill="auto"/>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&gt;10.0 x ULN</w:t>
            </w:r>
          </w:p>
        </w:tc>
        <w:tc>
          <w:tcPr>
            <w:tcW w:w="1398" w:type="dxa"/>
            <w:tcBorders>
              <w:top w:val="nil"/>
              <w:left w:val="nil"/>
              <w:right w:val="nil"/>
            </w:tcBorders>
            <w:shd w:val="clear" w:color="auto" w:fill="auto"/>
          </w:tcPr>
          <w:p w:rsidR="00C24699" w:rsidRPr="00DA77C5" w:rsidRDefault="00ED69B2" w:rsidP="00DA77C5">
            <w:pPr>
              <w:tabs>
                <w:tab w:val="left" w:pos="360"/>
              </w:tabs>
              <w:ind w:right="234"/>
              <w:jc w:val="center"/>
              <w:rPr>
                <w:rFonts w:ascii="Arial" w:hAnsi="Arial" w:cs="Arial"/>
                <w:sz w:val="16"/>
                <w:szCs w:val="16"/>
              </w:rPr>
            </w:pPr>
            <w:r w:rsidRPr="00DA77C5">
              <w:rPr>
                <w:rFonts w:ascii="Arial" w:hAnsi="Arial" w:cs="Arial"/>
                <w:sz w:val="16"/>
                <w:szCs w:val="16"/>
              </w:rPr>
              <w:t>0.7</w:t>
            </w:r>
            <w:r w:rsidR="00C24699" w:rsidRPr="00DA77C5">
              <w:rPr>
                <w:rFonts w:ascii="Arial" w:hAnsi="Arial" w:cs="Arial"/>
                <w:sz w:val="16"/>
                <w:szCs w:val="16"/>
              </w:rPr>
              <w:t>%</w:t>
            </w:r>
          </w:p>
        </w:tc>
        <w:tc>
          <w:tcPr>
            <w:tcW w:w="1702" w:type="dxa"/>
            <w:gridSpan w:val="2"/>
            <w:tcBorders>
              <w:top w:val="nil"/>
              <w:left w:val="nil"/>
            </w:tcBorders>
            <w:shd w:val="clear" w:color="auto" w:fill="auto"/>
          </w:tcPr>
          <w:p w:rsidR="00C24699" w:rsidRPr="00DA77C5" w:rsidRDefault="00C24699" w:rsidP="00DA77C5">
            <w:pPr>
              <w:tabs>
                <w:tab w:val="left" w:pos="360"/>
              </w:tabs>
              <w:ind w:right="234"/>
              <w:jc w:val="center"/>
              <w:rPr>
                <w:rFonts w:ascii="Arial" w:hAnsi="Arial" w:cs="Arial"/>
                <w:sz w:val="16"/>
                <w:szCs w:val="16"/>
              </w:rPr>
            </w:pPr>
            <w:r w:rsidRPr="00DA77C5">
              <w:rPr>
                <w:rFonts w:ascii="Arial" w:hAnsi="Arial" w:cs="Arial"/>
                <w:sz w:val="16"/>
                <w:szCs w:val="16"/>
              </w:rPr>
              <w:t>0.4%</w:t>
            </w:r>
          </w:p>
        </w:tc>
      </w:tr>
      <w:tr w:rsidR="00C61C91" w:rsidRPr="00DA77C5" w:rsidTr="00DA77C5">
        <w:tc>
          <w:tcPr>
            <w:tcW w:w="2123" w:type="dxa"/>
            <w:tcBorders>
              <w:top w:val="nil"/>
              <w:right w:val="nil"/>
            </w:tcBorders>
            <w:shd w:val="clear" w:color="auto" w:fill="auto"/>
            <w:vAlign w:val="center"/>
          </w:tcPr>
          <w:p w:rsidR="00C61C91" w:rsidRPr="00DA77C5" w:rsidRDefault="00761CEC" w:rsidP="00DA77C5">
            <w:pPr>
              <w:tabs>
                <w:tab w:val="left" w:pos="360"/>
              </w:tabs>
              <w:ind w:right="234"/>
              <w:rPr>
                <w:rFonts w:ascii="Arial" w:hAnsi="Arial" w:cs="Arial"/>
                <w:sz w:val="16"/>
                <w:szCs w:val="16"/>
                <w:lang w:val="pt-BR"/>
              </w:rPr>
            </w:pPr>
            <w:r w:rsidRPr="00DA77C5">
              <w:rPr>
                <w:rFonts w:ascii="Arial" w:hAnsi="Arial" w:cs="Arial"/>
                <w:sz w:val="16"/>
                <w:szCs w:val="16"/>
                <w:lang w:val="pt-BR"/>
              </w:rPr>
              <w:t xml:space="preserve">Serum creatine </w:t>
            </w:r>
            <w:r w:rsidR="00C61C91" w:rsidRPr="00DA77C5">
              <w:rPr>
                <w:rFonts w:ascii="Arial" w:hAnsi="Arial" w:cs="Arial"/>
                <w:sz w:val="16"/>
                <w:szCs w:val="16"/>
                <w:lang w:val="pt-BR"/>
              </w:rPr>
              <w:t>kinase</w:t>
            </w:r>
          </w:p>
          <w:p w:rsidR="00761CEC" w:rsidRPr="00DA77C5" w:rsidRDefault="00761CEC" w:rsidP="00DA77C5">
            <w:pPr>
              <w:tabs>
                <w:tab w:val="left" w:pos="360"/>
              </w:tabs>
              <w:ind w:right="234"/>
              <w:rPr>
                <w:rFonts w:ascii="Arial" w:hAnsi="Arial" w:cs="Arial"/>
                <w:sz w:val="16"/>
                <w:szCs w:val="16"/>
                <w:lang w:val="pt-BR"/>
              </w:rPr>
            </w:pPr>
            <w:r w:rsidRPr="00DA77C5">
              <w:rPr>
                <w:rFonts w:ascii="Arial" w:hAnsi="Arial" w:cs="Arial"/>
                <w:sz w:val="16"/>
                <w:szCs w:val="16"/>
                <w:lang w:val="pt-BR"/>
              </w:rPr>
              <w:t xml:space="preserve">           </w:t>
            </w:r>
            <w:r w:rsidR="00FD3A27" w:rsidRPr="00DA77C5">
              <w:rPr>
                <w:rFonts w:ascii="Arial" w:hAnsi="Arial" w:cs="Arial"/>
                <w:sz w:val="16"/>
                <w:szCs w:val="16"/>
                <w:lang w:val="pt-BR"/>
              </w:rPr>
              <w:t xml:space="preserve"> </w:t>
            </w:r>
            <w:r w:rsidRPr="00DA77C5">
              <w:rPr>
                <w:rFonts w:ascii="Arial" w:hAnsi="Arial" w:cs="Arial"/>
                <w:sz w:val="16"/>
                <w:szCs w:val="16"/>
                <w:lang w:val="pt-BR"/>
              </w:rPr>
              <w:t>Grade 2</w:t>
            </w:r>
          </w:p>
          <w:p w:rsidR="00FD3A27" w:rsidRPr="00DA77C5" w:rsidRDefault="00FD3A27"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Grade 3</w:t>
            </w:r>
          </w:p>
          <w:p w:rsidR="00FD3A27" w:rsidRPr="00DA77C5" w:rsidRDefault="00FD3A27"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Grade 4</w:t>
            </w:r>
          </w:p>
          <w:p w:rsidR="00FD3A27" w:rsidRPr="00DA77C5" w:rsidRDefault="00FD3A27" w:rsidP="00DA77C5">
            <w:pPr>
              <w:tabs>
                <w:tab w:val="left" w:pos="360"/>
              </w:tabs>
              <w:ind w:right="234"/>
              <w:rPr>
                <w:rFonts w:ascii="Arial" w:hAnsi="Arial" w:cs="Arial"/>
                <w:sz w:val="16"/>
                <w:szCs w:val="16"/>
                <w:lang w:val="pt-BR"/>
              </w:rPr>
            </w:pPr>
          </w:p>
        </w:tc>
        <w:tc>
          <w:tcPr>
            <w:tcW w:w="2735" w:type="dxa"/>
            <w:tcBorders>
              <w:top w:val="nil"/>
              <w:left w:val="nil"/>
              <w:right w:val="nil"/>
            </w:tcBorders>
            <w:shd w:val="clear" w:color="auto" w:fill="auto"/>
          </w:tcPr>
          <w:p w:rsidR="00761CEC" w:rsidRPr="00DA77C5" w:rsidRDefault="00761CEC" w:rsidP="00DA77C5">
            <w:pPr>
              <w:tabs>
                <w:tab w:val="left" w:pos="360"/>
              </w:tabs>
              <w:ind w:right="234"/>
              <w:jc w:val="both"/>
              <w:rPr>
                <w:rFonts w:ascii="Arial" w:hAnsi="Arial" w:cs="Arial"/>
                <w:sz w:val="16"/>
                <w:szCs w:val="16"/>
                <w:lang w:val="pt-BR"/>
              </w:rPr>
            </w:pPr>
          </w:p>
          <w:p w:rsidR="00FD3A27" w:rsidRPr="00DA77C5" w:rsidRDefault="00FD3A27"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6.0 - 9.9 x ULN</w:t>
            </w:r>
          </w:p>
          <w:p w:rsidR="00FD3A27" w:rsidRPr="00DA77C5" w:rsidRDefault="00FD3A27"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10.0 - 19.9 x ULN</w:t>
            </w:r>
          </w:p>
          <w:p w:rsidR="00FD3A27" w:rsidRPr="00DA77C5" w:rsidRDefault="00FD3A27" w:rsidP="00DA77C5">
            <w:pPr>
              <w:tabs>
                <w:tab w:val="left" w:pos="360"/>
              </w:tabs>
              <w:ind w:right="234"/>
              <w:jc w:val="center"/>
              <w:rPr>
                <w:rFonts w:ascii="Arial" w:hAnsi="Arial" w:cs="Arial"/>
                <w:sz w:val="16"/>
                <w:szCs w:val="16"/>
                <w:lang w:val="pt-BR"/>
              </w:rPr>
            </w:pPr>
            <w:r w:rsidRPr="00DA77C5">
              <w:rPr>
                <w:rFonts w:ascii="Arial" w:hAnsi="Arial" w:cs="Arial"/>
                <w:sz w:val="16"/>
                <w:szCs w:val="16"/>
                <w:lang w:val="pt-BR"/>
              </w:rPr>
              <w:t>≥20.0 x ULN</w:t>
            </w:r>
          </w:p>
        </w:tc>
        <w:tc>
          <w:tcPr>
            <w:tcW w:w="1398" w:type="dxa"/>
            <w:tcBorders>
              <w:top w:val="nil"/>
              <w:left w:val="nil"/>
              <w:right w:val="nil"/>
            </w:tcBorders>
            <w:shd w:val="clear" w:color="auto" w:fill="auto"/>
          </w:tcPr>
          <w:p w:rsidR="00C61C91" w:rsidRPr="00DA77C5" w:rsidRDefault="00C61C91" w:rsidP="00DA77C5">
            <w:pPr>
              <w:tabs>
                <w:tab w:val="left" w:pos="360"/>
              </w:tabs>
              <w:ind w:right="234"/>
              <w:jc w:val="center"/>
              <w:rPr>
                <w:rFonts w:ascii="Arial" w:hAnsi="Arial" w:cs="Arial"/>
                <w:sz w:val="16"/>
                <w:szCs w:val="16"/>
                <w:lang w:val="pt-BR"/>
              </w:rPr>
            </w:pPr>
          </w:p>
          <w:p w:rsidR="00FD3A27" w:rsidRPr="00DA77C5" w:rsidRDefault="00ED69B2" w:rsidP="00DA77C5">
            <w:pPr>
              <w:tabs>
                <w:tab w:val="left" w:pos="360"/>
              </w:tabs>
              <w:ind w:right="234"/>
              <w:jc w:val="center"/>
              <w:rPr>
                <w:rFonts w:ascii="Arial" w:hAnsi="Arial" w:cs="Arial"/>
                <w:sz w:val="16"/>
                <w:szCs w:val="16"/>
              </w:rPr>
            </w:pPr>
            <w:r w:rsidRPr="00DA77C5">
              <w:rPr>
                <w:rFonts w:ascii="Arial" w:hAnsi="Arial" w:cs="Arial"/>
                <w:sz w:val="16"/>
                <w:szCs w:val="16"/>
              </w:rPr>
              <w:t>2.</w:t>
            </w:r>
            <w:r w:rsidR="00686B7C" w:rsidRPr="00DA77C5">
              <w:rPr>
                <w:rFonts w:ascii="Arial" w:hAnsi="Arial" w:cs="Arial"/>
                <w:sz w:val="16"/>
                <w:szCs w:val="16"/>
              </w:rPr>
              <w:t>6</w:t>
            </w:r>
            <w:r w:rsidR="00FD3A27" w:rsidRPr="00DA77C5">
              <w:rPr>
                <w:rFonts w:ascii="Arial" w:hAnsi="Arial" w:cs="Arial"/>
                <w:sz w:val="16"/>
                <w:szCs w:val="16"/>
              </w:rPr>
              <w:t>%</w:t>
            </w:r>
          </w:p>
          <w:p w:rsidR="00FD3A27" w:rsidRPr="00DA77C5" w:rsidRDefault="00686B7C" w:rsidP="00DA77C5">
            <w:pPr>
              <w:tabs>
                <w:tab w:val="left" w:pos="360"/>
              </w:tabs>
              <w:ind w:right="234"/>
              <w:jc w:val="center"/>
              <w:rPr>
                <w:rFonts w:ascii="Arial" w:hAnsi="Arial" w:cs="Arial"/>
                <w:sz w:val="16"/>
                <w:szCs w:val="16"/>
              </w:rPr>
            </w:pPr>
            <w:r w:rsidRPr="00DA77C5">
              <w:rPr>
                <w:rFonts w:ascii="Arial" w:hAnsi="Arial" w:cs="Arial"/>
                <w:sz w:val="16"/>
                <w:szCs w:val="16"/>
              </w:rPr>
              <w:t>4.1</w:t>
            </w:r>
            <w:r w:rsidR="00FD3A27" w:rsidRPr="00DA77C5">
              <w:rPr>
                <w:rFonts w:ascii="Arial" w:hAnsi="Arial" w:cs="Arial"/>
                <w:sz w:val="16"/>
                <w:szCs w:val="16"/>
              </w:rPr>
              <w:t>%</w:t>
            </w:r>
          </w:p>
          <w:p w:rsidR="00FD3A27" w:rsidRPr="00DA77C5" w:rsidRDefault="00686B7C" w:rsidP="00DA77C5">
            <w:pPr>
              <w:tabs>
                <w:tab w:val="left" w:pos="360"/>
              </w:tabs>
              <w:ind w:right="234"/>
              <w:jc w:val="center"/>
              <w:rPr>
                <w:rFonts w:ascii="Arial" w:hAnsi="Arial" w:cs="Arial"/>
                <w:sz w:val="16"/>
                <w:szCs w:val="16"/>
              </w:rPr>
            </w:pPr>
            <w:r w:rsidRPr="00DA77C5">
              <w:rPr>
                <w:rFonts w:ascii="Arial" w:hAnsi="Arial" w:cs="Arial"/>
                <w:sz w:val="16"/>
                <w:szCs w:val="16"/>
              </w:rPr>
              <w:t>3.0</w:t>
            </w:r>
            <w:r w:rsidR="00FD3A27" w:rsidRPr="00DA77C5">
              <w:rPr>
                <w:rFonts w:ascii="Arial" w:hAnsi="Arial" w:cs="Arial"/>
                <w:sz w:val="16"/>
                <w:szCs w:val="16"/>
              </w:rPr>
              <w:t>%</w:t>
            </w:r>
          </w:p>
        </w:tc>
        <w:tc>
          <w:tcPr>
            <w:tcW w:w="1702" w:type="dxa"/>
            <w:gridSpan w:val="2"/>
            <w:tcBorders>
              <w:top w:val="nil"/>
              <w:left w:val="nil"/>
            </w:tcBorders>
            <w:shd w:val="clear" w:color="auto" w:fill="auto"/>
          </w:tcPr>
          <w:p w:rsidR="00C61C91" w:rsidRPr="00DA77C5" w:rsidRDefault="00C61C91" w:rsidP="00DA77C5">
            <w:pPr>
              <w:tabs>
                <w:tab w:val="left" w:pos="360"/>
              </w:tabs>
              <w:ind w:right="234"/>
              <w:jc w:val="center"/>
              <w:rPr>
                <w:rFonts w:ascii="Arial" w:hAnsi="Arial" w:cs="Arial"/>
                <w:sz w:val="16"/>
                <w:szCs w:val="16"/>
              </w:rPr>
            </w:pPr>
          </w:p>
          <w:p w:rsidR="00FD3A27" w:rsidRPr="00DA77C5" w:rsidRDefault="00686B7C" w:rsidP="00DA77C5">
            <w:pPr>
              <w:tabs>
                <w:tab w:val="left" w:pos="360"/>
              </w:tabs>
              <w:ind w:right="234"/>
              <w:jc w:val="center"/>
              <w:rPr>
                <w:rFonts w:ascii="Arial" w:hAnsi="Arial" w:cs="Arial"/>
                <w:sz w:val="16"/>
                <w:szCs w:val="16"/>
              </w:rPr>
            </w:pPr>
            <w:r w:rsidRPr="00DA77C5">
              <w:rPr>
                <w:rFonts w:ascii="Arial" w:hAnsi="Arial" w:cs="Arial"/>
                <w:sz w:val="16"/>
                <w:szCs w:val="16"/>
              </w:rPr>
              <w:t>2.1</w:t>
            </w:r>
            <w:r w:rsidR="00FD3A27" w:rsidRPr="00DA77C5">
              <w:rPr>
                <w:rFonts w:ascii="Arial" w:hAnsi="Arial" w:cs="Arial"/>
                <w:sz w:val="16"/>
                <w:szCs w:val="16"/>
              </w:rPr>
              <w:t>%</w:t>
            </w:r>
          </w:p>
          <w:p w:rsidR="00FD3A27" w:rsidRPr="00DA77C5" w:rsidRDefault="00ED69B2" w:rsidP="00DA77C5">
            <w:pPr>
              <w:tabs>
                <w:tab w:val="left" w:pos="360"/>
              </w:tabs>
              <w:ind w:right="234"/>
              <w:jc w:val="center"/>
              <w:rPr>
                <w:rFonts w:ascii="Arial" w:hAnsi="Arial" w:cs="Arial"/>
                <w:sz w:val="16"/>
                <w:szCs w:val="16"/>
              </w:rPr>
            </w:pPr>
            <w:r w:rsidRPr="00DA77C5">
              <w:rPr>
                <w:rFonts w:ascii="Arial" w:hAnsi="Arial" w:cs="Arial"/>
                <w:sz w:val="16"/>
                <w:szCs w:val="16"/>
              </w:rPr>
              <w:t>2.5</w:t>
            </w:r>
            <w:r w:rsidR="00FD3A27" w:rsidRPr="00DA77C5">
              <w:rPr>
                <w:rFonts w:ascii="Arial" w:hAnsi="Arial" w:cs="Arial"/>
                <w:sz w:val="16"/>
                <w:szCs w:val="16"/>
              </w:rPr>
              <w:t>%</w:t>
            </w:r>
          </w:p>
          <w:p w:rsidR="00FD3A27" w:rsidRPr="00DA77C5" w:rsidRDefault="00686B7C" w:rsidP="00DA77C5">
            <w:pPr>
              <w:tabs>
                <w:tab w:val="left" w:pos="360"/>
              </w:tabs>
              <w:ind w:right="234"/>
              <w:jc w:val="center"/>
              <w:rPr>
                <w:rFonts w:ascii="Arial" w:hAnsi="Arial" w:cs="Arial"/>
                <w:sz w:val="16"/>
                <w:szCs w:val="16"/>
              </w:rPr>
            </w:pPr>
            <w:r w:rsidRPr="00DA77C5">
              <w:rPr>
                <w:rFonts w:ascii="Arial" w:hAnsi="Arial" w:cs="Arial"/>
                <w:sz w:val="16"/>
                <w:szCs w:val="16"/>
              </w:rPr>
              <w:t>1.3</w:t>
            </w:r>
            <w:r w:rsidR="00FD3A27" w:rsidRPr="00DA77C5">
              <w:rPr>
                <w:rFonts w:ascii="Arial" w:hAnsi="Arial" w:cs="Arial"/>
                <w:sz w:val="16"/>
                <w:szCs w:val="16"/>
              </w:rPr>
              <w:t>%</w:t>
            </w:r>
          </w:p>
        </w:tc>
      </w:tr>
      <w:tr w:rsidR="00C24699" w:rsidRPr="00DA77C5" w:rsidTr="00DA77C5">
        <w:tc>
          <w:tcPr>
            <w:tcW w:w="7958" w:type="dxa"/>
            <w:gridSpan w:val="5"/>
            <w:tcBorders>
              <w:top w:val="nil"/>
            </w:tcBorders>
            <w:shd w:val="clear" w:color="auto" w:fill="auto"/>
          </w:tcPr>
          <w:p w:rsidR="00C24699" w:rsidRPr="00DA77C5" w:rsidRDefault="00C24699" w:rsidP="00DA77C5">
            <w:pPr>
              <w:widowControl w:val="0"/>
              <w:autoSpaceDE w:val="0"/>
              <w:autoSpaceDN w:val="0"/>
              <w:adjustRightInd w:val="0"/>
              <w:ind w:left="158" w:hanging="158"/>
              <w:rPr>
                <w:rFonts w:ascii="Arial" w:hAnsi="Arial" w:cs="Arial"/>
                <w:sz w:val="16"/>
                <w:szCs w:val="16"/>
              </w:rPr>
            </w:pPr>
            <w:r w:rsidRPr="00DA77C5">
              <w:rPr>
                <w:rFonts w:ascii="Arial" w:hAnsi="Arial" w:cs="Arial"/>
                <w:sz w:val="16"/>
                <w:szCs w:val="16"/>
              </w:rPr>
              <w:t>ULN = Upper limit of normal range</w:t>
            </w:r>
            <w:r w:rsidRPr="00DA77C5">
              <w:rPr>
                <w:rFonts w:ascii="Arial" w:hAnsi="Arial" w:cs="Arial"/>
                <w:strike/>
                <w:sz w:val="16"/>
                <w:szCs w:val="16"/>
              </w:rPr>
              <w:t xml:space="preserve"> </w:t>
            </w:r>
          </w:p>
        </w:tc>
      </w:tr>
    </w:tbl>
    <w:p w:rsidR="00875DB0" w:rsidRPr="00D73341" w:rsidRDefault="00875DB0" w:rsidP="00875DB0">
      <w:pPr>
        <w:pStyle w:val="Body"/>
        <w:ind w:firstLine="0"/>
        <w:rPr>
          <w:sz w:val="22"/>
          <w:szCs w:val="22"/>
        </w:rPr>
      </w:pPr>
      <w:r w:rsidRPr="00D73341">
        <w:rPr>
          <w:sz w:val="22"/>
          <w:szCs w:val="22"/>
        </w:rPr>
        <w:t xml:space="preserve">The percentages of treatment-naïve adult patients </w:t>
      </w:r>
      <w:r w:rsidR="00443CA7">
        <w:rPr>
          <w:sz w:val="22"/>
          <w:szCs w:val="22"/>
        </w:rPr>
        <w:t>receiving either</w:t>
      </w:r>
      <w:r w:rsidRPr="00D73341">
        <w:rPr>
          <w:sz w:val="22"/>
          <w:szCs w:val="22"/>
        </w:rPr>
        <w:t xml:space="preserve"> ISENTRESS 400 mg twice daily </w:t>
      </w:r>
      <w:r w:rsidR="00443CA7">
        <w:rPr>
          <w:sz w:val="22"/>
          <w:szCs w:val="22"/>
        </w:rPr>
        <w:t xml:space="preserve">or efavirenz (both with </w:t>
      </w:r>
      <w:r w:rsidR="00443CA7" w:rsidRPr="00D73341">
        <w:rPr>
          <w:rFonts w:cs="Arial"/>
          <w:sz w:val="22"/>
          <w:szCs w:val="22"/>
        </w:rPr>
        <w:t>emtricitabine (+) tenofovir</w:t>
      </w:r>
      <w:r w:rsidR="00443CA7" w:rsidRPr="00E92832">
        <w:rPr>
          <w:sz w:val="22"/>
          <w:szCs w:val="22"/>
        </w:rPr>
        <w:t>)</w:t>
      </w:r>
      <w:r w:rsidR="00443CA7">
        <w:rPr>
          <w:sz w:val="22"/>
          <w:szCs w:val="22"/>
        </w:rPr>
        <w:t xml:space="preserve"> </w:t>
      </w:r>
      <w:r w:rsidRPr="00D73341">
        <w:rPr>
          <w:sz w:val="22"/>
          <w:szCs w:val="22"/>
        </w:rPr>
        <w:t xml:space="preserve">in P021 with selected Grade 2 to 4 laboratory abnormalities that represent a worsening </w:t>
      </w:r>
      <w:r w:rsidR="00ED69B2">
        <w:rPr>
          <w:sz w:val="22"/>
          <w:szCs w:val="22"/>
        </w:rPr>
        <w:t xml:space="preserve">Grade </w:t>
      </w:r>
      <w:r w:rsidRPr="00D73341">
        <w:rPr>
          <w:sz w:val="22"/>
          <w:szCs w:val="22"/>
        </w:rPr>
        <w:t>from baseline are presented in Table</w:t>
      </w:r>
      <w:r>
        <w:rPr>
          <w:sz w:val="22"/>
          <w:szCs w:val="22"/>
        </w:rPr>
        <w:t xml:space="preserve"> </w:t>
      </w:r>
      <w:r w:rsidR="00674559">
        <w:rPr>
          <w:sz w:val="22"/>
          <w:szCs w:val="22"/>
        </w:rPr>
        <w:t>1</w:t>
      </w:r>
      <w:r w:rsidR="00750FB1">
        <w:rPr>
          <w:sz w:val="22"/>
          <w:szCs w:val="22"/>
        </w:rPr>
        <w:t>3</w:t>
      </w:r>
      <w:r w:rsidRPr="00D73341">
        <w:rPr>
          <w:sz w:val="22"/>
          <w:szCs w:val="22"/>
        </w:rPr>
        <w:t>.</w:t>
      </w:r>
    </w:p>
    <w:p w:rsidR="00875DB0" w:rsidRDefault="00875DB0" w:rsidP="00964410">
      <w:pPr>
        <w:pStyle w:val="Tabletitle"/>
      </w:pPr>
      <w:r w:rsidRPr="00D73341">
        <w:t xml:space="preserve">Table </w:t>
      </w:r>
      <w:r w:rsidR="00584D50">
        <w:t>1</w:t>
      </w:r>
      <w:r w:rsidR="00750FB1">
        <w:t>3</w:t>
      </w:r>
      <w:r w:rsidRPr="00D73341">
        <w:t xml:space="preserve">: Selected Grade 2 to 4 Laboratory Abnormalities Reported in </w:t>
      </w:r>
    </w:p>
    <w:p w:rsidR="003148BF" w:rsidRDefault="00875DB0" w:rsidP="00940A8A">
      <w:pPr>
        <w:tabs>
          <w:tab w:val="left" w:pos="360"/>
        </w:tabs>
        <w:ind w:right="234"/>
        <w:jc w:val="center"/>
        <w:rPr>
          <w:rFonts w:ascii="Arial" w:hAnsi="Arial" w:cs="Arial"/>
          <w:b/>
          <w:sz w:val="22"/>
          <w:szCs w:val="22"/>
        </w:rPr>
      </w:pPr>
      <w:r w:rsidRPr="00D73341">
        <w:rPr>
          <w:rFonts w:ascii="Arial" w:hAnsi="Arial" w:cs="Arial"/>
          <w:b/>
          <w:sz w:val="22"/>
          <w:szCs w:val="22"/>
        </w:rPr>
        <w:t>Treatment</w:t>
      </w:r>
      <w:r w:rsidRPr="00D73341">
        <w:rPr>
          <w:rFonts w:ascii="Arial" w:hAnsi="Arial" w:cs="Arial"/>
          <w:b/>
          <w:sz w:val="22"/>
          <w:szCs w:val="22"/>
        </w:rPr>
        <w:noBreakHyphen/>
      </w:r>
      <w:r>
        <w:rPr>
          <w:rFonts w:ascii="Arial" w:hAnsi="Arial" w:cs="Arial"/>
          <w:b/>
          <w:sz w:val="22"/>
          <w:szCs w:val="22"/>
        </w:rPr>
        <w:t>Naïve</w:t>
      </w:r>
      <w:r w:rsidRPr="00D73341">
        <w:rPr>
          <w:rFonts w:ascii="Arial" w:hAnsi="Arial" w:cs="Arial"/>
          <w:b/>
          <w:sz w:val="22"/>
          <w:szCs w:val="22"/>
        </w:rPr>
        <w:t xml:space="preserve"> </w:t>
      </w:r>
      <w:r w:rsidR="00F66527" w:rsidRPr="00680020">
        <w:rPr>
          <w:rFonts w:ascii="Arial Bold" w:hAnsi="Arial Bold" w:cs="Arial"/>
          <w:b/>
          <w:sz w:val="22"/>
          <w:szCs w:val="22"/>
        </w:rPr>
        <w:t xml:space="preserve">Adult </w:t>
      </w:r>
      <w:r w:rsidRPr="00D73341">
        <w:rPr>
          <w:rFonts w:ascii="Arial" w:hAnsi="Arial" w:cs="Arial"/>
          <w:b/>
          <w:sz w:val="22"/>
          <w:szCs w:val="22"/>
        </w:rPr>
        <w:t>Patients</w:t>
      </w:r>
    </w:p>
    <w:tbl>
      <w:tblPr>
        <w:tblW w:w="7766" w:type="dxa"/>
        <w:tblInd w:w="658" w:type="dxa"/>
        <w:tblLayout w:type="fixed"/>
        <w:tblLook w:val="01E0"/>
      </w:tblPr>
      <w:tblGrid>
        <w:gridCol w:w="1904"/>
        <w:gridCol w:w="1746"/>
        <w:gridCol w:w="76"/>
        <w:gridCol w:w="11"/>
        <w:gridCol w:w="33"/>
        <w:gridCol w:w="1847"/>
        <w:gridCol w:w="47"/>
        <w:gridCol w:w="26"/>
        <w:gridCol w:w="2067"/>
        <w:gridCol w:w="9"/>
      </w:tblGrid>
      <w:tr w:rsidR="00A356DE" w:rsidRPr="00DA77C5" w:rsidTr="00964410">
        <w:trPr>
          <w:gridAfter w:val="1"/>
          <w:wAfter w:w="9" w:type="dxa"/>
          <w:tblHeader/>
        </w:trPr>
        <w:tc>
          <w:tcPr>
            <w:tcW w:w="1904" w:type="dxa"/>
            <w:tcBorders>
              <w:top w:val="single" w:sz="4" w:space="0" w:color="auto"/>
              <w:left w:val="single" w:sz="4" w:space="0" w:color="auto"/>
              <w:bottom w:val="nil"/>
              <w:right w:val="nil"/>
            </w:tcBorders>
            <w:shd w:val="clear" w:color="auto" w:fill="auto"/>
          </w:tcPr>
          <w:p w:rsidR="00A356DE" w:rsidRPr="00DA77C5" w:rsidRDefault="00A356DE" w:rsidP="00DA77C5">
            <w:pPr>
              <w:tabs>
                <w:tab w:val="left" w:pos="360"/>
              </w:tabs>
              <w:spacing w:before="120"/>
              <w:ind w:right="234"/>
              <w:jc w:val="both"/>
              <w:rPr>
                <w:rFonts w:ascii="Arial" w:hAnsi="Arial" w:cs="Arial"/>
                <w:sz w:val="18"/>
                <w:szCs w:val="18"/>
              </w:rPr>
            </w:pPr>
            <w:bookmarkStart w:id="15" w:name="_Hlk254622479"/>
          </w:p>
        </w:tc>
        <w:tc>
          <w:tcPr>
            <w:tcW w:w="1746" w:type="dxa"/>
            <w:tcBorders>
              <w:top w:val="single" w:sz="4" w:space="0" w:color="auto"/>
              <w:left w:val="nil"/>
              <w:bottom w:val="nil"/>
              <w:right w:val="nil"/>
            </w:tcBorders>
            <w:shd w:val="clear" w:color="auto" w:fill="auto"/>
          </w:tcPr>
          <w:p w:rsidR="00A356DE" w:rsidRPr="00DA77C5" w:rsidRDefault="00A356DE" w:rsidP="00DA77C5">
            <w:pPr>
              <w:tabs>
                <w:tab w:val="left" w:pos="360"/>
              </w:tabs>
              <w:spacing w:before="120"/>
              <w:ind w:right="234"/>
              <w:jc w:val="both"/>
              <w:rPr>
                <w:rFonts w:ascii="Arial" w:hAnsi="Arial" w:cs="Arial"/>
                <w:sz w:val="18"/>
                <w:szCs w:val="18"/>
              </w:rPr>
            </w:pPr>
          </w:p>
        </w:tc>
        <w:tc>
          <w:tcPr>
            <w:tcW w:w="4107" w:type="dxa"/>
            <w:gridSpan w:val="7"/>
            <w:tcBorders>
              <w:top w:val="single" w:sz="4" w:space="0" w:color="auto"/>
              <w:left w:val="nil"/>
              <w:bottom w:val="nil"/>
              <w:right w:val="single" w:sz="4" w:space="0" w:color="auto"/>
            </w:tcBorders>
            <w:shd w:val="clear" w:color="auto" w:fill="auto"/>
          </w:tcPr>
          <w:p w:rsidR="00A356DE" w:rsidRPr="00DA77C5" w:rsidRDefault="00A356DE" w:rsidP="00DA77C5">
            <w:pPr>
              <w:tabs>
                <w:tab w:val="left" w:pos="360"/>
              </w:tabs>
              <w:spacing w:before="120"/>
              <w:ind w:right="234"/>
              <w:jc w:val="center"/>
              <w:rPr>
                <w:rFonts w:ascii="Arial" w:hAnsi="Arial" w:cs="Arial"/>
                <w:b/>
                <w:sz w:val="18"/>
                <w:szCs w:val="18"/>
              </w:rPr>
            </w:pPr>
            <w:r w:rsidRPr="00DA77C5">
              <w:rPr>
                <w:rFonts w:ascii="Arial" w:hAnsi="Arial" w:cs="Arial"/>
                <w:b/>
                <w:sz w:val="18"/>
                <w:szCs w:val="18"/>
              </w:rPr>
              <w:t>Randomized Study  STARTMRK</w:t>
            </w:r>
          </w:p>
        </w:tc>
      </w:tr>
      <w:tr w:rsidR="00A356DE" w:rsidRPr="00DA77C5" w:rsidTr="00964410">
        <w:trPr>
          <w:gridAfter w:val="1"/>
          <w:wAfter w:w="9" w:type="dxa"/>
          <w:tblHeader/>
        </w:trPr>
        <w:tc>
          <w:tcPr>
            <w:tcW w:w="1904" w:type="dxa"/>
            <w:tcBorders>
              <w:top w:val="nil"/>
              <w:left w:val="single" w:sz="4" w:space="0" w:color="auto"/>
              <w:right w:val="nil"/>
            </w:tcBorders>
            <w:shd w:val="clear" w:color="auto" w:fill="auto"/>
            <w:vAlign w:val="bottom"/>
          </w:tcPr>
          <w:p w:rsidR="00A356DE" w:rsidRPr="00DA77C5" w:rsidRDefault="00A356DE" w:rsidP="00DA77C5">
            <w:pPr>
              <w:tabs>
                <w:tab w:val="left" w:pos="360"/>
              </w:tabs>
              <w:spacing w:before="120"/>
              <w:ind w:right="234"/>
              <w:jc w:val="center"/>
              <w:rPr>
                <w:rFonts w:ascii="Arial" w:hAnsi="Arial" w:cs="Arial"/>
                <w:b/>
                <w:sz w:val="18"/>
                <w:szCs w:val="18"/>
              </w:rPr>
            </w:pPr>
            <w:r w:rsidRPr="00DA77C5">
              <w:rPr>
                <w:rFonts w:ascii="Arial" w:hAnsi="Arial" w:cs="Arial"/>
                <w:b/>
                <w:sz w:val="18"/>
                <w:szCs w:val="18"/>
              </w:rPr>
              <w:t>Laboratory Parameter Preferred Term (Unit)</w:t>
            </w:r>
          </w:p>
        </w:tc>
        <w:tc>
          <w:tcPr>
            <w:tcW w:w="1746" w:type="dxa"/>
            <w:tcBorders>
              <w:top w:val="nil"/>
              <w:left w:val="nil"/>
              <w:right w:val="nil"/>
            </w:tcBorders>
            <w:shd w:val="clear" w:color="auto" w:fill="auto"/>
            <w:vAlign w:val="bottom"/>
          </w:tcPr>
          <w:p w:rsidR="00A356DE" w:rsidRPr="00DA77C5" w:rsidRDefault="00A356DE" w:rsidP="00DA77C5">
            <w:pPr>
              <w:tabs>
                <w:tab w:val="left" w:pos="360"/>
              </w:tabs>
              <w:spacing w:before="120"/>
              <w:ind w:right="234"/>
              <w:jc w:val="center"/>
              <w:rPr>
                <w:rFonts w:ascii="Arial" w:hAnsi="Arial" w:cs="Arial"/>
                <w:b/>
                <w:sz w:val="18"/>
                <w:szCs w:val="18"/>
              </w:rPr>
            </w:pPr>
            <w:r w:rsidRPr="00DA77C5">
              <w:rPr>
                <w:rFonts w:ascii="Arial" w:hAnsi="Arial" w:cs="Arial"/>
                <w:b/>
                <w:sz w:val="18"/>
                <w:szCs w:val="18"/>
              </w:rPr>
              <w:t>Limit</w:t>
            </w:r>
          </w:p>
        </w:tc>
        <w:tc>
          <w:tcPr>
            <w:tcW w:w="2040" w:type="dxa"/>
            <w:gridSpan w:val="6"/>
            <w:tcBorders>
              <w:top w:val="nil"/>
              <w:left w:val="nil"/>
              <w:right w:val="nil"/>
            </w:tcBorders>
            <w:shd w:val="clear" w:color="auto" w:fill="auto"/>
          </w:tcPr>
          <w:p w:rsidR="00A356DE" w:rsidRPr="00DA77C5" w:rsidRDefault="00A356DE" w:rsidP="00DA77C5">
            <w:pPr>
              <w:tabs>
                <w:tab w:val="left" w:pos="360"/>
              </w:tabs>
              <w:spacing w:before="120"/>
              <w:ind w:right="234"/>
              <w:jc w:val="center"/>
              <w:rPr>
                <w:rFonts w:ascii="Arial" w:hAnsi="Arial" w:cs="Arial"/>
                <w:b/>
                <w:sz w:val="18"/>
                <w:szCs w:val="18"/>
                <w:lang w:val="pt-BR"/>
              </w:rPr>
            </w:pPr>
            <w:r w:rsidRPr="00DA77C5">
              <w:rPr>
                <w:rFonts w:ascii="Arial" w:hAnsi="Arial" w:cs="Arial"/>
                <w:b/>
                <w:sz w:val="18"/>
                <w:szCs w:val="18"/>
                <w:lang w:val="pt-BR"/>
              </w:rPr>
              <w:t xml:space="preserve">ISENTRESS </w:t>
            </w:r>
          </w:p>
          <w:p w:rsidR="00A356DE" w:rsidRPr="00DA77C5" w:rsidRDefault="00A356DE" w:rsidP="00DA77C5">
            <w:pPr>
              <w:tabs>
                <w:tab w:val="left" w:pos="360"/>
              </w:tabs>
              <w:spacing w:before="120"/>
              <w:ind w:right="234"/>
              <w:jc w:val="center"/>
              <w:rPr>
                <w:rFonts w:ascii="Arial" w:hAnsi="Arial" w:cs="Arial"/>
                <w:b/>
                <w:sz w:val="18"/>
                <w:szCs w:val="18"/>
                <w:lang w:val="pt-BR"/>
              </w:rPr>
            </w:pPr>
            <w:r w:rsidRPr="00DA77C5">
              <w:rPr>
                <w:rFonts w:ascii="Arial" w:hAnsi="Arial" w:cs="Arial"/>
                <w:b/>
                <w:sz w:val="18"/>
                <w:szCs w:val="18"/>
                <w:lang w:val="pt-BR"/>
              </w:rPr>
              <w:t xml:space="preserve">400 mg </w:t>
            </w:r>
          </w:p>
          <w:p w:rsidR="00A356DE" w:rsidRPr="00DA77C5" w:rsidRDefault="00A356DE" w:rsidP="00DA77C5">
            <w:pPr>
              <w:tabs>
                <w:tab w:val="left" w:pos="360"/>
              </w:tabs>
              <w:spacing w:before="120"/>
              <w:ind w:right="234"/>
              <w:jc w:val="center"/>
              <w:rPr>
                <w:rFonts w:ascii="Arial" w:hAnsi="Arial" w:cs="Arial"/>
                <w:b/>
                <w:sz w:val="18"/>
                <w:szCs w:val="18"/>
                <w:lang w:val="pt-BR"/>
              </w:rPr>
            </w:pPr>
            <w:r w:rsidRPr="00DA77C5">
              <w:rPr>
                <w:rFonts w:ascii="Arial" w:hAnsi="Arial" w:cs="Arial"/>
                <w:b/>
                <w:sz w:val="18"/>
                <w:szCs w:val="18"/>
                <w:lang w:val="pt-BR"/>
              </w:rPr>
              <w:t>b.i.d. + Emtricitabine (+) Tenofovir</w:t>
            </w:r>
          </w:p>
          <w:p w:rsidR="00A356DE" w:rsidRPr="00DA77C5" w:rsidRDefault="00A356DE" w:rsidP="00DA77C5">
            <w:pPr>
              <w:tabs>
                <w:tab w:val="left" w:pos="360"/>
              </w:tabs>
              <w:spacing w:before="120"/>
              <w:ind w:right="234"/>
              <w:jc w:val="center"/>
              <w:rPr>
                <w:rFonts w:ascii="Arial" w:hAnsi="Arial" w:cs="Arial"/>
                <w:b/>
                <w:sz w:val="18"/>
                <w:szCs w:val="18"/>
                <w:lang w:val="pt-BR"/>
              </w:rPr>
            </w:pPr>
            <w:r w:rsidRPr="00DA77C5">
              <w:rPr>
                <w:rFonts w:ascii="Arial" w:hAnsi="Arial" w:cs="Arial"/>
                <w:b/>
                <w:sz w:val="18"/>
                <w:szCs w:val="18"/>
                <w:lang w:val="pt-BR"/>
              </w:rPr>
              <w:t>(N = 281)</w:t>
            </w:r>
          </w:p>
          <w:p w:rsidR="00A85C64" w:rsidRPr="00DA77C5" w:rsidRDefault="00A85C64" w:rsidP="00DA77C5">
            <w:pPr>
              <w:tabs>
                <w:tab w:val="left" w:pos="360"/>
              </w:tabs>
              <w:spacing w:before="120"/>
              <w:ind w:right="234"/>
              <w:jc w:val="center"/>
              <w:rPr>
                <w:rFonts w:ascii="Arial" w:hAnsi="Arial" w:cs="Arial"/>
                <w:b/>
                <w:sz w:val="18"/>
                <w:szCs w:val="18"/>
                <w:lang w:val="pt-BR"/>
              </w:rPr>
            </w:pPr>
            <w:r w:rsidRPr="00DA77C5">
              <w:rPr>
                <w:rFonts w:ascii="Arial" w:hAnsi="Arial" w:cs="Arial"/>
                <w:b/>
                <w:sz w:val="18"/>
                <w:szCs w:val="18"/>
                <w:lang w:val="pt-BR"/>
              </w:rPr>
              <w:t>% (n/m)</w:t>
            </w:r>
          </w:p>
        </w:tc>
        <w:tc>
          <w:tcPr>
            <w:tcW w:w="2067" w:type="dxa"/>
            <w:tcBorders>
              <w:top w:val="nil"/>
              <w:left w:val="nil"/>
              <w:right w:val="single" w:sz="4" w:space="0" w:color="auto"/>
            </w:tcBorders>
            <w:shd w:val="clear" w:color="auto" w:fill="auto"/>
          </w:tcPr>
          <w:p w:rsidR="00A356DE" w:rsidRPr="00DA77C5" w:rsidRDefault="00A356DE" w:rsidP="00DA77C5">
            <w:pPr>
              <w:tabs>
                <w:tab w:val="left" w:pos="360"/>
              </w:tabs>
              <w:spacing w:before="120"/>
              <w:ind w:right="234"/>
              <w:jc w:val="center"/>
              <w:rPr>
                <w:rFonts w:ascii="Arial" w:hAnsi="Arial" w:cs="Arial"/>
                <w:b/>
                <w:sz w:val="18"/>
                <w:szCs w:val="18"/>
                <w:lang w:val="pt-BR"/>
              </w:rPr>
            </w:pPr>
            <w:r w:rsidRPr="00DA77C5">
              <w:rPr>
                <w:rFonts w:ascii="Arial" w:hAnsi="Arial" w:cs="Arial"/>
                <w:b/>
                <w:sz w:val="18"/>
                <w:szCs w:val="18"/>
                <w:lang w:val="pt-BR"/>
              </w:rPr>
              <w:t>Efavirenz</w:t>
            </w:r>
          </w:p>
          <w:p w:rsidR="00A356DE" w:rsidRPr="00DA77C5" w:rsidRDefault="00A356DE" w:rsidP="00DA77C5">
            <w:pPr>
              <w:tabs>
                <w:tab w:val="left" w:pos="360"/>
              </w:tabs>
              <w:spacing w:before="120"/>
              <w:ind w:right="234"/>
              <w:jc w:val="center"/>
              <w:rPr>
                <w:rFonts w:ascii="Arial" w:hAnsi="Arial" w:cs="Arial"/>
                <w:b/>
                <w:sz w:val="18"/>
                <w:szCs w:val="18"/>
                <w:lang w:val="pt-BR"/>
              </w:rPr>
            </w:pPr>
            <w:r w:rsidRPr="00DA77C5">
              <w:rPr>
                <w:rFonts w:ascii="Arial" w:hAnsi="Arial" w:cs="Arial"/>
                <w:b/>
                <w:sz w:val="18"/>
                <w:szCs w:val="18"/>
                <w:lang w:val="pt-BR"/>
              </w:rPr>
              <w:t xml:space="preserve">600 mg </w:t>
            </w:r>
          </w:p>
          <w:p w:rsidR="00A356DE" w:rsidRPr="00DA77C5" w:rsidRDefault="00A356DE" w:rsidP="00DA77C5">
            <w:pPr>
              <w:tabs>
                <w:tab w:val="left" w:pos="360"/>
              </w:tabs>
              <w:spacing w:before="120"/>
              <w:ind w:right="234"/>
              <w:jc w:val="center"/>
              <w:rPr>
                <w:rFonts w:ascii="Arial" w:hAnsi="Arial" w:cs="Arial"/>
                <w:b/>
                <w:sz w:val="18"/>
                <w:szCs w:val="18"/>
                <w:lang w:val="pt-BR"/>
              </w:rPr>
            </w:pPr>
            <w:r w:rsidRPr="00DA77C5">
              <w:rPr>
                <w:rFonts w:ascii="Arial" w:hAnsi="Arial" w:cs="Arial"/>
                <w:b/>
                <w:sz w:val="18"/>
                <w:szCs w:val="18"/>
                <w:lang w:val="pt-BR"/>
              </w:rPr>
              <w:t xml:space="preserve">at bedtime + </w:t>
            </w:r>
            <w:r w:rsidRPr="00DA77C5">
              <w:rPr>
                <w:rFonts w:ascii="Arial" w:hAnsi="Arial" w:cs="Arial"/>
                <w:b/>
                <w:sz w:val="18"/>
                <w:szCs w:val="18"/>
                <w:lang w:val="pt-BR"/>
              </w:rPr>
              <w:br/>
              <w:t xml:space="preserve"> Emtricitabine (+) Tenofovir</w:t>
            </w:r>
          </w:p>
          <w:p w:rsidR="00A356DE" w:rsidRPr="00DA77C5" w:rsidRDefault="00A356DE" w:rsidP="00DA77C5">
            <w:pPr>
              <w:tabs>
                <w:tab w:val="left" w:pos="360"/>
              </w:tabs>
              <w:spacing w:before="120"/>
              <w:ind w:right="234"/>
              <w:jc w:val="center"/>
              <w:rPr>
                <w:rFonts w:ascii="Arial" w:hAnsi="Arial" w:cs="Arial"/>
                <w:b/>
                <w:sz w:val="18"/>
                <w:szCs w:val="18"/>
              </w:rPr>
            </w:pPr>
            <w:r w:rsidRPr="00DA77C5">
              <w:rPr>
                <w:rFonts w:ascii="Arial" w:hAnsi="Arial" w:cs="Arial"/>
                <w:b/>
                <w:sz w:val="18"/>
                <w:szCs w:val="18"/>
                <w:lang w:val="pt-BR"/>
              </w:rPr>
              <w:t xml:space="preserve"> </w:t>
            </w:r>
            <w:r w:rsidRPr="00DA77C5">
              <w:rPr>
                <w:rFonts w:ascii="Arial" w:hAnsi="Arial" w:cs="Arial"/>
                <w:b/>
                <w:sz w:val="18"/>
                <w:szCs w:val="18"/>
              </w:rPr>
              <w:t>(N = 282)</w:t>
            </w:r>
          </w:p>
          <w:p w:rsidR="00A85C64" w:rsidRPr="00DA77C5" w:rsidRDefault="00A85C64" w:rsidP="00DA77C5">
            <w:pPr>
              <w:tabs>
                <w:tab w:val="left" w:pos="360"/>
              </w:tabs>
              <w:spacing w:before="120"/>
              <w:ind w:right="234"/>
              <w:jc w:val="center"/>
              <w:rPr>
                <w:rFonts w:ascii="Arial" w:hAnsi="Arial" w:cs="Arial"/>
                <w:b/>
                <w:sz w:val="18"/>
                <w:szCs w:val="18"/>
              </w:rPr>
            </w:pPr>
            <w:r w:rsidRPr="00DA77C5">
              <w:rPr>
                <w:rFonts w:ascii="Arial" w:hAnsi="Arial" w:cs="Arial"/>
                <w:b/>
                <w:sz w:val="18"/>
                <w:szCs w:val="18"/>
              </w:rPr>
              <w:t>% (n/m)</w:t>
            </w:r>
          </w:p>
        </w:tc>
      </w:tr>
      <w:tr w:rsidR="00A356DE" w:rsidRPr="00DA77C5" w:rsidTr="00964410">
        <w:trPr>
          <w:gridAfter w:val="1"/>
          <w:wAfter w:w="9" w:type="dxa"/>
          <w:tblHeader/>
        </w:trPr>
        <w:tc>
          <w:tcPr>
            <w:tcW w:w="7757" w:type="dxa"/>
            <w:gridSpan w:val="9"/>
            <w:tcBorders>
              <w:left w:val="single" w:sz="4" w:space="0" w:color="auto"/>
              <w:right w:val="single" w:sz="4" w:space="0" w:color="auto"/>
            </w:tcBorders>
            <w:shd w:val="clear" w:color="auto" w:fill="auto"/>
          </w:tcPr>
          <w:p w:rsidR="00A356DE" w:rsidRPr="00DA77C5" w:rsidRDefault="00A356DE" w:rsidP="00DA77C5">
            <w:pPr>
              <w:tabs>
                <w:tab w:val="left" w:pos="360"/>
              </w:tabs>
              <w:spacing w:before="80"/>
              <w:ind w:right="230"/>
              <w:jc w:val="both"/>
              <w:rPr>
                <w:rFonts w:ascii="Arial" w:hAnsi="Arial" w:cs="Arial"/>
                <w:b/>
                <w:sz w:val="18"/>
                <w:szCs w:val="18"/>
              </w:rPr>
            </w:pPr>
            <w:r w:rsidRPr="00DA77C5">
              <w:rPr>
                <w:rFonts w:ascii="Arial" w:hAnsi="Arial" w:cs="Arial"/>
                <w:b/>
                <w:sz w:val="18"/>
                <w:szCs w:val="18"/>
              </w:rPr>
              <w:t>Blood chemistry</w:t>
            </w:r>
          </w:p>
        </w:tc>
      </w:tr>
      <w:tr w:rsidR="00A356DE" w:rsidRPr="00DA77C5" w:rsidTr="00DA77C5">
        <w:trPr>
          <w:gridAfter w:val="1"/>
          <w:wAfter w:w="9" w:type="dxa"/>
        </w:trPr>
        <w:tc>
          <w:tcPr>
            <w:tcW w:w="7757" w:type="dxa"/>
            <w:gridSpan w:val="9"/>
            <w:tcBorders>
              <w:top w:val="single" w:sz="4" w:space="0" w:color="auto"/>
              <w:left w:val="single" w:sz="4" w:space="0" w:color="auto"/>
              <w:bottom w:val="nil"/>
              <w:right w:val="single" w:sz="4" w:space="0" w:color="auto"/>
            </w:tcBorders>
            <w:shd w:val="clear" w:color="auto" w:fill="auto"/>
            <w:vAlign w:val="center"/>
          </w:tcPr>
          <w:p w:rsidR="00A356DE" w:rsidRPr="00DA77C5" w:rsidRDefault="00A356DE" w:rsidP="00DA77C5">
            <w:pPr>
              <w:tabs>
                <w:tab w:val="left" w:pos="360"/>
              </w:tabs>
              <w:spacing w:before="80"/>
              <w:ind w:right="230"/>
              <w:jc w:val="both"/>
              <w:rPr>
                <w:rFonts w:ascii="Arial" w:hAnsi="Arial" w:cs="Arial"/>
                <w:sz w:val="18"/>
                <w:szCs w:val="18"/>
              </w:rPr>
            </w:pPr>
            <w:r w:rsidRPr="00DA77C5">
              <w:rPr>
                <w:rFonts w:ascii="Arial" w:hAnsi="Arial" w:cs="Arial"/>
                <w:sz w:val="18"/>
                <w:szCs w:val="18"/>
              </w:rPr>
              <w:t>Fasting (non-random) serum glucose test (mg/dL)</w:t>
            </w:r>
          </w:p>
        </w:tc>
      </w:tr>
      <w:tr w:rsidR="00A356DE" w:rsidRPr="00DA77C5" w:rsidTr="00DA77C5">
        <w:trPr>
          <w:gridAfter w:val="1"/>
          <w:wAfter w:w="9" w:type="dxa"/>
        </w:trPr>
        <w:tc>
          <w:tcPr>
            <w:tcW w:w="1904" w:type="dxa"/>
            <w:tcBorders>
              <w:top w:val="nil"/>
              <w:left w:val="single" w:sz="4" w:space="0" w:color="auto"/>
              <w:bottom w:val="nil"/>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2</w:t>
            </w:r>
          </w:p>
        </w:tc>
        <w:tc>
          <w:tcPr>
            <w:tcW w:w="1833" w:type="dxa"/>
            <w:gridSpan w:val="3"/>
            <w:tcBorders>
              <w:top w:val="nil"/>
              <w:left w:val="nil"/>
              <w:bottom w:val="nil"/>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rPr>
            </w:pPr>
            <w:r w:rsidRPr="00DA77C5">
              <w:rPr>
                <w:rFonts w:ascii="Arial" w:hAnsi="Arial" w:cs="Arial"/>
                <w:sz w:val="18"/>
                <w:szCs w:val="18"/>
              </w:rPr>
              <w:t xml:space="preserve">126 – 250 </w:t>
            </w:r>
          </w:p>
        </w:tc>
        <w:tc>
          <w:tcPr>
            <w:tcW w:w="1880" w:type="dxa"/>
            <w:gridSpan w:val="2"/>
            <w:tcBorders>
              <w:top w:val="nil"/>
              <w:left w:val="nil"/>
              <w:bottom w:val="nil"/>
              <w:right w:val="nil"/>
            </w:tcBorders>
            <w:shd w:val="clear" w:color="auto" w:fill="auto"/>
          </w:tcPr>
          <w:p w:rsidR="00A356DE" w:rsidRPr="00DA77C5" w:rsidRDefault="00781AB9"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4.4</w:t>
            </w:r>
            <w:r w:rsidR="00A356DE" w:rsidRPr="00DA77C5">
              <w:rPr>
                <w:rFonts w:ascii="Arial" w:hAnsi="Arial" w:cs="Arial"/>
                <w:sz w:val="18"/>
                <w:szCs w:val="18"/>
              </w:rPr>
              <w:t>%</w:t>
            </w:r>
            <w:r w:rsidR="00A85C64" w:rsidRPr="00DA77C5">
              <w:rPr>
                <w:rFonts w:ascii="Arial" w:hAnsi="Arial" w:cs="Arial"/>
                <w:sz w:val="18"/>
                <w:szCs w:val="18"/>
              </w:rPr>
              <w:t xml:space="preserve"> (12/274)</w:t>
            </w:r>
          </w:p>
        </w:tc>
        <w:tc>
          <w:tcPr>
            <w:tcW w:w="2140" w:type="dxa"/>
            <w:gridSpan w:val="3"/>
            <w:tcBorders>
              <w:top w:val="nil"/>
              <w:left w:val="nil"/>
              <w:bottom w:val="nil"/>
              <w:right w:val="single" w:sz="4" w:space="0" w:color="auto"/>
            </w:tcBorders>
            <w:shd w:val="clear" w:color="auto" w:fill="auto"/>
          </w:tcPr>
          <w:p w:rsidR="00A356DE" w:rsidRPr="00DA77C5" w:rsidRDefault="00781AB9"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5.3</w:t>
            </w:r>
            <w:r w:rsidR="00A356DE" w:rsidRPr="00DA77C5">
              <w:rPr>
                <w:rFonts w:ascii="Arial" w:hAnsi="Arial" w:cs="Arial"/>
                <w:sz w:val="18"/>
                <w:szCs w:val="18"/>
              </w:rPr>
              <w:t>%</w:t>
            </w:r>
            <w:r w:rsidR="00A85C64" w:rsidRPr="00DA77C5">
              <w:rPr>
                <w:rFonts w:ascii="Arial" w:hAnsi="Arial" w:cs="Arial"/>
                <w:sz w:val="18"/>
                <w:szCs w:val="18"/>
              </w:rPr>
              <w:t xml:space="preserve"> (14/266)</w:t>
            </w:r>
          </w:p>
        </w:tc>
      </w:tr>
      <w:tr w:rsidR="00A356DE" w:rsidRPr="00DA77C5" w:rsidTr="00DA77C5">
        <w:trPr>
          <w:gridAfter w:val="1"/>
          <w:wAfter w:w="9" w:type="dxa"/>
        </w:trPr>
        <w:tc>
          <w:tcPr>
            <w:tcW w:w="1904" w:type="dxa"/>
            <w:tcBorders>
              <w:top w:val="nil"/>
              <w:left w:val="single" w:sz="4" w:space="0" w:color="auto"/>
              <w:bottom w:val="nil"/>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3</w:t>
            </w:r>
          </w:p>
        </w:tc>
        <w:tc>
          <w:tcPr>
            <w:tcW w:w="1833" w:type="dxa"/>
            <w:gridSpan w:val="3"/>
            <w:tcBorders>
              <w:top w:val="nil"/>
              <w:left w:val="nil"/>
              <w:bottom w:val="nil"/>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rPr>
            </w:pPr>
            <w:r w:rsidRPr="00DA77C5">
              <w:rPr>
                <w:rFonts w:ascii="Arial" w:hAnsi="Arial" w:cs="Arial"/>
                <w:sz w:val="18"/>
                <w:szCs w:val="18"/>
              </w:rPr>
              <w:t xml:space="preserve">251 – 500 </w:t>
            </w:r>
          </w:p>
        </w:tc>
        <w:tc>
          <w:tcPr>
            <w:tcW w:w="1880" w:type="dxa"/>
            <w:gridSpan w:val="2"/>
            <w:tcBorders>
              <w:top w:val="nil"/>
              <w:left w:val="nil"/>
              <w:bottom w:val="nil"/>
              <w:right w:val="nil"/>
            </w:tcBorders>
            <w:shd w:val="clear" w:color="auto" w:fill="auto"/>
          </w:tcPr>
          <w:p w:rsidR="00A356DE" w:rsidRPr="00DA77C5" w:rsidRDefault="00781AB9"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1.5</w:t>
            </w:r>
            <w:r w:rsidR="00A356DE" w:rsidRPr="00DA77C5">
              <w:rPr>
                <w:rFonts w:ascii="Arial" w:hAnsi="Arial" w:cs="Arial"/>
                <w:sz w:val="18"/>
                <w:szCs w:val="18"/>
              </w:rPr>
              <w:t>%</w:t>
            </w:r>
            <w:r w:rsidR="00A85C64" w:rsidRPr="00DA77C5">
              <w:rPr>
                <w:rFonts w:ascii="Arial" w:hAnsi="Arial" w:cs="Arial"/>
                <w:sz w:val="18"/>
                <w:szCs w:val="18"/>
              </w:rPr>
              <w:t xml:space="preserve"> (4/274)</w:t>
            </w:r>
          </w:p>
        </w:tc>
        <w:tc>
          <w:tcPr>
            <w:tcW w:w="2140" w:type="dxa"/>
            <w:gridSpan w:val="3"/>
            <w:tcBorders>
              <w:top w:val="nil"/>
              <w:left w:val="nil"/>
              <w:bottom w:val="nil"/>
              <w:right w:val="single" w:sz="4" w:space="0" w:color="auto"/>
            </w:tcBorders>
            <w:shd w:val="clear" w:color="auto" w:fill="auto"/>
          </w:tcPr>
          <w:p w:rsidR="00A356DE" w:rsidRPr="00DA77C5" w:rsidRDefault="00781AB9"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0.8</w:t>
            </w:r>
            <w:r w:rsidR="00A356DE" w:rsidRPr="00DA77C5">
              <w:rPr>
                <w:rFonts w:ascii="Arial" w:hAnsi="Arial" w:cs="Arial"/>
                <w:sz w:val="18"/>
                <w:szCs w:val="18"/>
              </w:rPr>
              <w:t>%</w:t>
            </w:r>
            <w:r w:rsidR="00A85C64" w:rsidRPr="00DA77C5">
              <w:rPr>
                <w:rFonts w:ascii="Arial" w:hAnsi="Arial" w:cs="Arial"/>
                <w:sz w:val="18"/>
                <w:szCs w:val="18"/>
              </w:rPr>
              <w:t xml:space="preserve"> (2/266)</w:t>
            </w:r>
          </w:p>
        </w:tc>
      </w:tr>
      <w:tr w:rsidR="00A356DE" w:rsidRPr="00DA77C5" w:rsidTr="00DA77C5">
        <w:trPr>
          <w:gridAfter w:val="1"/>
          <w:wAfter w:w="9" w:type="dxa"/>
        </w:trPr>
        <w:tc>
          <w:tcPr>
            <w:tcW w:w="1904" w:type="dxa"/>
            <w:tcBorders>
              <w:top w:val="nil"/>
              <w:left w:val="single" w:sz="4" w:space="0" w:color="auto"/>
              <w:bottom w:val="single" w:sz="4" w:space="0" w:color="auto"/>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4</w:t>
            </w:r>
          </w:p>
        </w:tc>
        <w:tc>
          <w:tcPr>
            <w:tcW w:w="1833" w:type="dxa"/>
            <w:gridSpan w:val="3"/>
            <w:tcBorders>
              <w:top w:val="nil"/>
              <w:left w:val="nil"/>
              <w:bottom w:val="single" w:sz="4" w:space="0" w:color="auto"/>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rPr>
            </w:pPr>
            <w:r w:rsidRPr="00DA77C5">
              <w:rPr>
                <w:rFonts w:ascii="Arial" w:hAnsi="Arial" w:cs="Arial"/>
                <w:sz w:val="18"/>
                <w:szCs w:val="18"/>
              </w:rPr>
              <w:t xml:space="preserve">&gt;500 </w:t>
            </w:r>
          </w:p>
        </w:tc>
        <w:tc>
          <w:tcPr>
            <w:tcW w:w="1880" w:type="dxa"/>
            <w:gridSpan w:val="2"/>
            <w:tcBorders>
              <w:top w:val="nil"/>
              <w:left w:val="nil"/>
              <w:bottom w:val="single" w:sz="4" w:space="0" w:color="auto"/>
              <w:right w:val="nil"/>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0.0%</w:t>
            </w:r>
            <w:r w:rsidR="00A85C64" w:rsidRPr="00DA77C5">
              <w:rPr>
                <w:rFonts w:ascii="Arial" w:hAnsi="Arial" w:cs="Arial"/>
                <w:sz w:val="18"/>
                <w:szCs w:val="18"/>
              </w:rPr>
              <w:t xml:space="preserve"> (0/274)</w:t>
            </w:r>
          </w:p>
        </w:tc>
        <w:tc>
          <w:tcPr>
            <w:tcW w:w="2140" w:type="dxa"/>
            <w:gridSpan w:val="3"/>
            <w:tcBorders>
              <w:top w:val="nil"/>
              <w:left w:val="nil"/>
              <w:bottom w:val="single" w:sz="4" w:space="0" w:color="auto"/>
              <w:right w:val="single" w:sz="4" w:space="0" w:color="auto"/>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0.0%</w:t>
            </w:r>
            <w:r w:rsidR="00A85C64" w:rsidRPr="00DA77C5">
              <w:rPr>
                <w:rFonts w:ascii="Arial" w:hAnsi="Arial" w:cs="Arial"/>
                <w:sz w:val="18"/>
                <w:szCs w:val="18"/>
              </w:rPr>
              <w:t xml:space="preserve"> (0/266)</w:t>
            </w:r>
          </w:p>
        </w:tc>
      </w:tr>
      <w:tr w:rsidR="00A356DE" w:rsidRPr="00DA77C5" w:rsidTr="00DA77C5">
        <w:trPr>
          <w:gridAfter w:val="1"/>
          <w:wAfter w:w="9" w:type="dxa"/>
        </w:trPr>
        <w:tc>
          <w:tcPr>
            <w:tcW w:w="7757" w:type="dxa"/>
            <w:gridSpan w:val="9"/>
            <w:tcBorders>
              <w:left w:val="single" w:sz="4" w:space="0" w:color="auto"/>
              <w:bottom w:val="nil"/>
              <w:right w:val="single" w:sz="4" w:space="0" w:color="auto"/>
            </w:tcBorders>
            <w:shd w:val="clear" w:color="auto" w:fill="auto"/>
            <w:vAlign w:val="center"/>
          </w:tcPr>
          <w:p w:rsidR="00A356DE" w:rsidRPr="00DA77C5" w:rsidRDefault="00A356DE" w:rsidP="00DA77C5">
            <w:pPr>
              <w:tabs>
                <w:tab w:val="left" w:pos="360"/>
              </w:tabs>
              <w:spacing w:before="80"/>
              <w:ind w:right="230"/>
              <w:jc w:val="both"/>
              <w:rPr>
                <w:rFonts w:ascii="Arial" w:hAnsi="Arial" w:cs="Arial"/>
                <w:b/>
                <w:sz w:val="18"/>
                <w:szCs w:val="18"/>
                <w:lang w:val="pt-BR"/>
              </w:rPr>
            </w:pPr>
            <w:r w:rsidRPr="00DA77C5">
              <w:rPr>
                <w:rFonts w:ascii="Arial" w:hAnsi="Arial" w:cs="Arial"/>
                <w:b/>
                <w:sz w:val="18"/>
                <w:szCs w:val="18"/>
                <w:lang w:val="pt-BR"/>
              </w:rPr>
              <w:t xml:space="preserve">Total serum bilirubin </w:t>
            </w:r>
          </w:p>
        </w:tc>
      </w:tr>
      <w:tr w:rsidR="00A356DE" w:rsidRPr="00DA77C5" w:rsidTr="00DA77C5">
        <w:trPr>
          <w:gridAfter w:val="1"/>
          <w:wAfter w:w="9" w:type="dxa"/>
        </w:trPr>
        <w:tc>
          <w:tcPr>
            <w:tcW w:w="1904" w:type="dxa"/>
            <w:tcBorders>
              <w:top w:val="nil"/>
              <w:left w:val="single" w:sz="4" w:space="0" w:color="auto"/>
              <w:bottom w:val="nil"/>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2</w:t>
            </w:r>
          </w:p>
        </w:tc>
        <w:tc>
          <w:tcPr>
            <w:tcW w:w="1833" w:type="dxa"/>
            <w:gridSpan w:val="3"/>
            <w:tcBorders>
              <w:top w:val="nil"/>
              <w:left w:val="nil"/>
              <w:bottom w:val="nil"/>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rPr>
            </w:pPr>
            <w:r w:rsidRPr="00DA77C5">
              <w:rPr>
                <w:rFonts w:ascii="Arial" w:hAnsi="Arial" w:cs="Arial"/>
                <w:sz w:val="18"/>
                <w:szCs w:val="18"/>
              </w:rPr>
              <w:t>1.6 - 2.5 x ULN</w:t>
            </w:r>
          </w:p>
        </w:tc>
        <w:tc>
          <w:tcPr>
            <w:tcW w:w="1927" w:type="dxa"/>
            <w:gridSpan w:val="3"/>
            <w:tcBorders>
              <w:top w:val="nil"/>
              <w:left w:val="nil"/>
              <w:bottom w:val="nil"/>
              <w:right w:val="nil"/>
            </w:tcBorders>
            <w:shd w:val="clear" w:color="auto" w:fill="auto"/>
          </w:tcPr>
          <w:p w:rsidR="00A356DE" w:rsidRPr="00DA77C5" w:rsidRDefault="005379C3"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4.6</w:t>
            </w:r>
            <w:r w:rsidR="00A356DE" w:rsidRPr="00DA77C5">
              <w:rPr>
                <w:rFonts w:ascii="Arial" w:hAnsi="Arial" w:cs="Arial"/>
                <w:sz w:val="18"/>
                <w:szCs w:val="18"/>
                <w:lang w:val="pt-BR"/>
              </w:rPr>
              <w:t>%</w:t>
            </w:r>
            <w:r w:rsidR="00A85C64" w:rsidRPr="00DA77C5">
              <w:rPr>
                <w:rFonts w:ascii="Arial" w:hAnsi="Arial" w:cs="Arial"/>
                <w:sz w:val="18"/>
                <w:szCs w:val="18"/>
                <w:lang w:val="pt-BR"/>
              </w:rPr>
              <w:t xml:space="preserve"> (13/281)</w:t>
            </w:r>
          </w:p>
        </w:tc>
        <w:tc>
          <w:tcPr>
            <w:tcW w:w="2093" w:type="dxa"/>
            <w:gridSpan w:val="2"/>
            <w:tcBorders>
              <w:top w:val="nil"/>
              <w:left w:val="nil"/>
              <w:bottom w:val="nil"/>
              <w:right w:val="single" w:sz="4" w:space="0" w:color="auto"/>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0.0%</w:t>
            </w:r>
            <w:r w:rsidR="00A85C64" w:rsidRPr="00DA77C5">
              <w:rPr>
                <w:rFonts w:ascii="Arial" w:hAnsi="Arial" w:cs="Arial"/>
                <w:sz w:val="18"/>
                <w:szCs w:val="18"/>
                <w:lang w:val="pt-BR"/>
              </w:rPr>
              <w:t xml:space="preserve"> (0/279)</w:t>
            </w:r>
          </w:p>
        </w:tc>
      </w:tr>
      <w:tr w:rsidR="00A356DE" w:rsidRPr="00DA77C5" w:rsidTr="00DA77C5">
        <w:tc>
          <w:tcPr>
            <w:tcW w:w="1904" w:type="dxa"/>
            <w:tcBorders>
              <w:top w:val="nil"/>
              <w:left w:val="single" w:sz="4" w:space="0" w:color="auto"/>
              <w:bottom w:val="nil"/>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3</w:t>
            </w:r>
          </w:p>
        </w:tc>
        <w:tc>
          <w:tcPr>
            <w:tcW w:w="1833" w:type="dxa"/>
            <w:gridSpan w:val="3"/>
            <w:tcBorders>
              <w:top w:val="nil"/>
              <w:left w:val="nil"/>
              <w:bottom w:val="nil"/>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rPr>
            </w:pPr>
            <w:r w:rsidRPr="00DA77C5">
              <w:rPr>
                <w:rFonts w:ascii="Arial" w:hAnsi="Arial" w:cs="Arial"/>
                <w:sz w:val="18"/>
                <w:szCs w:val="18"/>
              </w:rPr>
              <w:t xml:space="preserve">2.6 - 5.0 x ULN </w:t>
            </w:r>
          </w:p>
        </w:tc>
        <w:tc>
          <w:tcPr>
            <w:tcW w:w="1880" w:type="dxa"/>
            <w:gridSpan w:val="2"/>
            <w:tcBorders>
              <w:top w:val="nil"/>
              <w:left w:val="nil"/>
              <w:bottom w:val="nil"/>
              <w:right w:val="nil"/>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0.7%</w:t>
            </w:r>
            <w:r w:rsidR="00A85C64" w:rsidRPr="00DA77C5">
              <w:rPr>
                <w:rFonts w:ascii="Arial" w:hAnsi="Arial" w:cs="Arial"/>
                <w:sz w:val="18"/>
                <w:szCs w:val="18"/>
                <w:lang w:val="pt-BR"/>
              </w:rPr>
              <w:t xml:space="preserve"> (2/281)</w:t>
            </w:r>
          </w:p>
        </w:tc>
        <w:tc>
          <w:tcPr>
            <w:tcW w:w="2149" w:type="dxa"/>
            <w:gridSpan w:val="4"/>
            <w:tcBorders>
              <w:top w:val="nil"/>
              <w:left w:val="nil"/>
              <w:bottom w:val="nil"/>
              <w:right w:val="single" w:sz="4" w:space="0" w:color="auto"/>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0.0%</w:t>
            </w:r>
            <w:r w:rsidR="00A85C64" w:rsidRPr="00DA77C5">
              <w:rPr>
                <w:rFonts w:ascii="Arial" w:hAnsi="Arial" w:cs="Arial"/>
                <w:sz w:val="18"/>
                <w:szCs w:val="18"/>
                <w:lang w:val="pt-BR"/>
              </w:rPr>
              <w:t xml:space="preserve"> (0/279)</w:t>
            </w:r>
          </w:p>
        </w:tc>
      </w:tr>
      <w:tr w:rsidR="00A356DE" w:rsidRPr="00DA77C5" w:rsidTr="00DA77C5">
        <w:tc>
          <w:tcPr>
            <w:tcW w:w="1904" w:type="dxa"/>
            <w:tcBorders>
              <w:top w:val="nil"/>
              <w:left w:val="single" w:sz="4" w:space="0" w:color="auto"/>
              <w:bottom w:val="single" w:sz="4" w:space="0" w:color="auto"/>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lastRenderedPageBreak/>
              <w:t>Grade 4</w:t>
            </w:r>
          </w:p>
        </w:tc>
        <w:tc>
          <w:tcPr>
            <w:tcW w:w="1833" w:type="dxa"/>
            <w:gridSpan w:val="3"/>
            <w:tcBorders>
              <w:top w:val="nil"/>
              <w:left w:val="nil"/>
              <w:bottom w:val="single" w:sz="4" w:space="0" w:color="auto"/>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rPr>
            </w:pPr>
            <w:r w:rsidRPr="00DA77C5">
              <w:rPr>
                <w:rFonts w:ascii="Arial" w:hAnsi="Arial" w:cs="Arial"/>
                <w:sz w:val="18"/>
                <w:szCs w:val="18"/>
              </w:rPr>
              <w:t xml:space="preserve">&gt;5.0 x ULN </w:t>
            </w:r>
          </w:p>
        </w:tc>
        <w:tc>
          <w:tcPr>
            <w:tcW w:w="1880" w:type="dxa"/>
            <w:gridSpan w:val="2"/>
            <w:tcBorders>
              <w:top w:val="nil"/>
              <w:left w:val="nil"/>
              <w:bottom w:val="single" w:sz="4" w:space="0" w:color="auto"/>
              <w:right w:val="nil"/>
            </w:tcBorders>
            <w:shd w:val="clear" w:color="auto" w:fill="auto"/>
          </w:tcPr>
          <w:p w:rsidR="00A356DE" w:rsidRPr="00DA77C5" w:rsidRDefault="005379C3"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0.4</w:t>
            </w:r>
            <w:r w:rsidR="00A356DE" w:rsidRPr="00DA77C5">
              <w:rPr>
                <w:rFonts w:ascii="Arial" w:hAnsi="Arial" w:cs="Arial"/>
                <w:sz w:val="18"/>
                <w:szCs w:val="18"/>
                <w:lang w:val="pt-BR"/>
              </w:rPr>
              <w:t>%</w:t>
            </w:r>
            <w:r w:rsidR="00A85C64" w:rsidRPr="00DA77C5">
              <w:rPr>
                <w:rFonts w:ascii="Arial" w:hAnsi="Arial" w:cs="Arial"/>
                <w:sz w:val="18"/>
                <w:szCs w:val="18"/>
                <w:lang w:val="pt-BR"/>
              </w:rPr>
              <w:t xml:space="preserve"> (1/281)</w:t>
            </w:r>
          </w:p>
        </w:tc>
        <w:tc>
          <w:tcPr>
            <w:tcW w:w="2149" w:type="dxa"/>
            <w:gridSpan w:val="4"/>
            <w:tcBorders>
              <w:top w:val="nil"/>
              <w:left w:val="nil"/>
              <w:bottom w:val="single" w:sz="4" w:space="0" w:color="auto"/>
              <w:right w:val="single" w:sz="4" w:space="0" w:color="auto"/>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0.0%</w:t>
            </w:r>
            <w:r w:rsidR="00A85C64" w:rsidRPr="00DA77C5">
              <w:rPr>
                <w:rFonts w:ascii="Arial" w:hAnsi="Arial" w:cs="Arial"/>
                <w:sz w:val="18"/>
                <w:szCs w:val="18"/>
                <w:lang w:val="pt-BR"/>
              </w:rPr>
              <w:t xml:space="preserve"> (0/279)</w:t>
            </w:r>
          </w:p>
        </w:tc>
      </w:tr>
      <w:tr w:rsidR="00A356DE" w:rsidRPr="00DA77C5" w:rsidTr="00DA77C5">
        <w:trPr>
          <w:gridAfter w:val="1"/>
          <w:wAfter w:w="9" w:type="dxa"/>
        </w:trPr>
        <w:tc>
          <w:tcPr>
            <w:tcW w:w="7757" w:type="dxa"/>
            <w:gridSpan w:val="9"/>
            <w:tcBorders>
              <w:left w:val="single" w:sz="4" w:space="0" w:color="auto"/>
              <w:bottom w:val="nil"/>
              <w:right w:val="single" w:sz="4" w:space="0" w:color="auto"/>
            </w:tcBorders>
            <w:shd w:val="clear" w:color="auto" w:fill="auto"/>
            <w:vAlign w:val="center"/>
          </w:tcPr>
          <w:p w:rsidR="00A356DE" w:rsidRPr="00DA77C5" w:rsidRDefault="00A356DE" w:rsidP="00DA77C5">
            <w:pPr>
              <w:tabs>
                <w:tab w:val="left" w:pos="360"/>
              </w:tabs>
              <w:spacing w:before="80"/>
              <w:ind w:right="230"/>
              <w:jc w:val="both"/>
              <w:rPr>
                <w:rFonts w:ascii="Arial" w:hAnsi="Arial" w:cs="Arial"/>
                <w:b/>
                <w:sz w:val="18"/>
                <w:szCs w:val="18"/>
                <w:lang w:val="pt-BR"/>
              </w:rPr>
            </w:pPr>
            <w:r w:rsidRPr="00DA77C5">
              <w:rPr>
                <w:rFonts w:ascii="Arial" w:hAnsi="Arial" w:cs="Arial"/>
                <w:b/>
                <w:sz w:val="18"/>
                <w:szCs w:val="18"/>
                <w:lang w:val="pt-BR"/>
              </w:rPr>
              <w:t xml:space="preserve">Serum aspartate aminotransferase </w:t>
            </w:r>
          </w:p>
        </w:tc>
      </w:tr>
      <w:tr w:rsidR="00A356DE" w:rsidRPr="00DA77C5" w:rsidTr="00DA77C5">
        <w:tc>
          <w:tcPr>
            <w:tcW w:w="1904" w:type="dxa"/>
            <w:tcBorders>
              <w:top w:val="nil"/>
              <w:left w:val="single" w:sz="4" w:space="0" w:color="auto"/>
              <w:bottom w:val="nil"/>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2</w:t>
            </w:r>
          </w:p>
        </w:tc>
        <w:tc>
          <w:tcPr>
            <w:tcW w:w="1833" w:type="dxa"/>
            <w:gridSpan w:val="3"/>
            <w:tcBorders>
              <w:top w:val="nil"/>
              <w:left w:val="nil"/>
              <w:bottom w:val="nil"/>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rPr>
            </w:pPr>
            <w:r w:rsidRPr="00DA77C5">
              <w:rPr>
                <w:rFonts w:ascii="Arial" w:hAnsi="Arial" w:cs="Arial"/>
                <w:sz w:val="18"/>
                <w:szCs w:val="18"/>
              </w:rPr>
              <w:t xml:space="preserve">2.6 - 5.0 x ULN </w:t>
            </w:r>
          </w:p>
        </w:tc>
        <w:tc>
          <w:tcPr>
            <w:tcW w:w="1880" w:type="dxa"/>
            <w:gridSpan w:val="2"/>
            <w:tcBorders>
              <w:top w:val="nil"/>
              <w:left w:val="nil"/>
              <w:bottom w:val="nil"/>
              <w:right w:val="nil"/>
            </w:tcBorders>
            <w:shd w:val="clear" w:color="auto" w:fill="auto"/>
          </w:tcPr>
          <w:p w:rsidR="00A356DE" w:rsidRPr="00DA77C5" w:rsidRDefault="00781AB9"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5.3</w:t>
            </w:r>
            <w:r w:rsidR="00A356DE" w:rsidRPr="00DA77C5">
              <w:rPr>
                <w:rFonts w:ascii="Arial" w:hAnsi="Arial" w:cs="Arial"/>
                <w:sz w:val="18"/>
                <w:szCs w:val="18"/>
                <w:lang w:val="pt-BR"/>
              </w:rPr>
              <w:t>%</w:t>
            </w:r>
            <w:r w:rsidR="00A85C64" w:rsidRPr="00DA77C5">
              <w:rPr>
                <w:rFonts w:ascii="Arial" w:hAnsi="Arial" w:cs="Arial"/>
                <w:sz w:val="18"/>
                <w:szCs w:val="18"/>
                <w:lang w:val="pt-BR"/>
              </w:rPr>
              <w:t xml:space="preserve"> (15/281)</w:t>
            </w:r>
          </w:p>
        </w:tc>
        <w:tc>
          <w:tcPr>
            <w:tcW w:w="2149" w:type="dxa"/>
            <w:gridSpan w:val="4"/>
            <w:tcBorders>
              <w:top w:val="nil"/>
              <w:left w:val="nil"/>
              <w:bottom w:val="nil"/>
              <w:right w:val="single" w:sz="4" w:space="0" w:color="auto"/>
            </w:tcBorders>
            <w:shd w:val="clear" w:color="auto" w:fill="auto"/>
          </w:tcPr>
          <w:p w:rsidR="00A356DE" w:rsidRPr="00DA77C5" w:rsidRDefault="00781AB9"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7.2</w:t>
            </w:r>
            <w:r w:rsidR="00A356DE" w:rsidRPr="00DA77C5">
              <w:rPr>
                <w:rFonts w:ascii="Arial" w:hAnsi="Arial" w:cs="Arial"/>
                <w:sz w:val="18"/>
                <w:szCs w:val="18"/>
                <w:lang w:val="pt-BR"/>
              </w:rPr>
              <w:t>%</w:t>
            </w:r>
            <w:r w:rsidR="00A85C64" w:rsidRPr="00DA77C5">
              <w:rPr>
                <w:rFonts w:ascii="Arial" w:hAnsi="Arial" w:cs="Arial"/>
                <w:sz w:val="18"/>
                <w:szCs w:val="18"/>
                <w:lang w:val="pt-BR"/>
              </w:rPr>
              <w:t xml:space="preserve"> (20/279)</w:t>
            </w:r>
          </w:p>
        </w:tc>
      </w:tr>
      <w:tr w:rsidR="00A356DE" w:rsidRPr="00DA77C5" w:rsidTr="00DA77C5">
        <w:tc>
          <w:tcPr>
            <w:tcW w:w="1904" w:type="dxa"/>
            <w:tcBorders>
              <w:top w:val="nil"/>
              <w:left w:val="single" w:sz="4" w:space="0" w:color="auto"/>
              <w:bottom w:val="nil"/>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3</w:t>
            </w:r>
          </w:p>
        </w:tc>
        <w:tc>
          <w:tcPr>
            <w:tcW w:w="1833" w:type="dxa"/>
            <w:gridSpan w:val="3"/>
            <w:tcBorders>
              <w:top w:val="nil"/>
              <w:left w:val="nil"/>
              <w:bottom w:val="nil"/>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lang w:val="pt-BR"/>
              </w:rPr>
            </w:pPr>
            <w:r w:rsidRPr="00DA77C5">
              <w:rPr>
                <w:rFonts w:ascii="Arial" w:hAnsi="Arial" w:cs="Arial"/>
                <w:sz w:val="18"/>
                <w:szCs w:val="18"/>
                <w:lang w:val="pt-BR"/>
              </w:rPr>
              <w:t xml:space="preserve">5.1 - 10.0 x ULN </w:t>
            </w:r>
          </w:p>
        </w:tc>
        <w:tc>
          <w:tcPr>
            <w:tcW w:w="1880" w:type="dxa"/>
            <w:gridSpan w:val="2"/>
            <w:tcBorders>
              <w:top w:val="nil"/>
              <w:left w:val="nil"/>
              <w:bottom w:val="nil"/>
              <w:right w:val="nil"/>
            </w:tcBorders>
            <w:shd w:val="clear" w:color="auto" w:fill="auto"/>
          </w:tcPr>
          <w:p w:rsidR="00A356DE" w:rsidRPr="00DA77C5" w:rsidRDefault="00781AB9"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3.2</w:t>
            </w:r>
            <w:r w:rsidR="00A356DE" w:rsidRPr="00DA77C5">
              <w:rPr>
                <w:rFonts w:ascii="Arial" w:hAnsi="Arial" w:cs="Arial"/>
                <w:sz w:val="18"/>
                <w:szCs w:val="18"/>
                <w:lang w:val="pt-BR"/>
              </w:rPr>
              <w:t>%</w:t>
            </w:r>
            <w:r w:rsidR="00A85C64" w:rsidRPr="00DA77C5">
              <w:rPr>
                <w:rFonts w:ascii="Arial" w:hAnsi="Arial" w:cs="Arial"/>
                <w:sz w:val="18"/>
                <w:szCs w:val="18"/>
                <w:lang w:val="pt-BR"/>
              </w:rPr>
              <w:t xml:space="preserve"> (9/281)</w:t>
            </w:r>
          </w:p>
        </w:tc>
        <w:tc>
          <w:tcPr>
            <w:tcW w:w="2149" w:type="dxa"/>
            <w:gridSpan w:val="4"/>
            <w:tcBorders>
              <w:top w:val="nil"/>
              <w:left w:val="nil"/>
              <w:bottom w:val="nil"/>
              <w:right w:val="single" w:sz="4" w:space="0" w:color="auto"/>
            </w:tcBorders>
            <w:shd w:val="clear" w:color="auto" w:fill="auto"/>
          </w:tcPr>
          <w:p w:rsidR="00A356DE" w:rsidRPr="00DA77C5" w:rsidRDefault="005379C3"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 xml:space="preserve">2.5 </w:t>
            </w:r>
            <w:r w:rsidR="00A356DE" w:rsidRPr="00DA77C5">
              <w:rPr>
                <w:rFonts w:ascii="Arial" w:hAnsi="Arial" w:cs="Arial"/>
                <w:sz w:val="18"/>
                <w:szCs w:val="18"/>
                <w:lang w:val="pt-BR"/>
              </w:rPr>
              <w:t>%</w:t>
            </w:r>
            <w:r w:rsidR="00A85C64" w:rsidRPr="00DA77C5">
              <w:rPr>
                <w:rFonts w:ascii="Arial" w:hAnsi="Arial" w:cs="Arial"/>
                <w:sz w:val="18"/>
                <w:szCs w:val="18"/>
                <w:lang w:val="pt-BR"/>
              </w:rPr>
              <w:t xml:space="preserve"> (7/279)</w:t>
            </w:r>
          </w:p>
        </w:tc>
      </w:tr>
      <w:tr w:rsidR="00A356DE" w:rsidRPr="00DA77C5" w:rsidTr="00DA77C5">
        <w:tc>
          <w:tcPr>
            <w:tcW w:w="1904" w:type="dxa"/>
            <w:tcBorders>
              <w:top w:val="nil"/>
              <w:left w:val="single" w:sz="4" w:space="0" w:color="auto"/>
              <w:bottom w:val="single" w:sz="4" w:space="0" w:color="auto"/>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4</w:t>
            </w:r>
          </w:p>
        </w:tc>
        <w:tc>
          <w:tcPr>
            <w:tcW w:w="1833" w:type="dxa"/>
            <w:gridSpan w:val="3"/>
            <w:tcBorders>
              <w:top w:val="nil"/>
              <w:left w:val="nil"/>
              <w:bottom w:val="single" w:sz="4" w:space="0" w:color="auto"/>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lang w:val="pt-BR"/>
              </w:rPr>
            </w:pPr>
            <w:r w:rsidRPr="00DA77C5">
              <w:rPr>
                <w:rFonts w:ascii="Arial" w:hAnsi="Arial" w:cs="Arial"/>
                <w:sz w:val="18"/>
                <w:szCs w:val="18"/>
                <w:lang w:val="pt-BR"/>
              </w:rPr>
              <w:t>&gt;10.0 x ULN</w:t>
            </w:r>
          </w:p>
        </w:tc>
        <w:tc>
          <w:tcPr>
            <w:tcW w:w="1880" w:type="dxa"/>
            <w:gridSpan w:val="2"/>
            <w:tcBorders>
              <w:top w:val="nil"/>
              <w:left w:val="nil"/>
              <w:bottom w:val="single" w:sz="4" w:space="0" w:color="auto"/>
              <w:right w:val="nil"/>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1.1%</w:t>
            </w:r>
            <w:r w:rsidR="00A85C64" w:rsidRPr="00DA77C5">
              <w:rPr>
                <w:rFonts w:ascii="Arial" w:hAnsi="Arial" w:cs="Arial"/>
                <w:sz w:val="18"/>
                <w:szCs w:val="18"/>
                <w:lang w:val="pt-BR"/>
              </w:rPr>
              <w:t xml:space="preserve"> (3/281)</w:t>
            </w:r>
          </w:p>
        </w:tc>
        <w:tc>
          <w:tcPr>
            <w:tcW w:w="2149" w:type="dxa"/>
            <w:gridSpan w:val="4"/>
            <w:tcBorders>
              <w:top w:val="nil"/>
              <w:left w:val="nil"/>
              <w:bottom w:val="single" w:sz="4" w:space="0" w:color="auto"/>
              <w:right w:val="single" w:sz="4" w:space="0" w:color="auto"/>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0.4%</w:t>
            </w:r>
            <w:r w:rsidR="00A85C64" w:rsidRPr="00DA77C5">
              <w:rPr>
                <w:rFonts w:ascii="Arial" w:hAnsi="Arial" w:cs="Arial"/>
                <w:sz w:val="18"/>
                <w:szCs w:val="18"/>
                <w:lang w:val="pt-BR"/>
              </w:rPr>
              <w:t xml:space="preserve"> (1/279)</w:t>
            </w:r>
          </w:p>
        </w:tc>
      </w:tr>
      <w:tr w:rsidR="00A356DE" w:rsidRPr="00DA77C5" w:rsidTr="00DA77C5">
        <w:trPr>
          <w:gridAfter w:val="1"/>
          <w:wAfter w:w="9" w:type="dxa"/>
        </w:trPr>
        <w:tc>
          <w:tcPr>
            <w:tcW w:w="7757" w:type="dxa"/>
            <w:gridSpan w:val="9"/>
            <w:tcBorders>
              <w:left w:val="single" w:sz="4" w:space="0" w:color="auto"/>
              <w:bottom w:val="nil"/>
              <w:right w:val="single" w:sz="4" w:space="0" w:color="auto"/>
            </w:tcBorders>
            <w:shd w:val="clear" w:color="auto" w:fill="auto"/>
            <w:vAlign w:val="center"/>
          </w:tcPr>
          <w:p w:rsidR="00A356DE" w:rsidRPr="00DA77C5" w:rsidRDefault="00A356DE" w:rsidP="00DA77C5">
            <w:pPr>
              <w:tabs>
                <w:tab w:val="left" w:pos="360"/>
              </w:tabs>
              <w:spacing w:before="80"/>
              <w:ind w:right="230"/>
              <w:jc w:val="both"/>
              <w:rPr>
                <w:rFonts w:ascii="Arial" w:hAnsi="Arial" w:cs="Arial"/>
                <w:b/>
                <w:sz w:val="18"/>
                <w:szCs w:val="18"/>
                <w:lang w:val="pt-BR"/>
              </w:rPr>
            </w:pPr>
            <w:r w:rsidRPr="00DA77C5">
              <w:rPr>
                <w:rFonts w:ascii="Arial" w:hAnsi="Arial" w:cs="Arial"/>
                <w:b/>
                <w:sz w:val="18"/>
                <w:szCs w:val="18"/>
                <w:lang w:val="pt-BR"/>
              </w:rPr>
              <w:t xml:space="preserve">Serum alanine aminotransferase </w:t>
            </w:r>
          </w:p>
        </w:tc>
      </w:tr>
      <w:tr w:rsidR="00A356DE" w:rsidRPr="00DA77C5" w:rsidTr="00DA77C5">
        <w:tc>
          <w:tcPr>
            <w:tcW w:w="1904" w:type="dxa"/>
            <w:tcBorders>
              <w:top w:val="nil"/>
              <w:left w:val="single" w:sz="4" w:space="0" w:color="auto"/>
              <w:bottom w:val="nil"/>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2</w:t>
            </w:r>
          </w:p>
        </w:tc>
        <w:tc>
          <w:tcPr>
            <w:tcW w:w="1822" w:type="dxa"/>
            <w:gridSpan w:val="2"/>
            <w:tcBorders>
              <w:top w:val="nil"/>
              <w:left w:val="nil"/>
              <w:bottom w:val="nil"/>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lang w:val="pt-BR"/>
              </w:rPr>
            </w:pPr>
            <w:r w:rsidRPr="00DA77C5">
              <w:rPr>
                <w:rFonts w:ascii="Arial" w:hAnsi="Arial" w:cs="Arial"/>
                <w:sz w:val="18"/>
                <w:szCs w:val="18"/>
                <w:lang w:val="pt-BR"/>
              </w:rPr>
              <w:t xml:space="preserve">2.6 - 5.0 x ULN </w:t>
            </w:r>
          </w:p>
        </w:tc>
        <w:tc>
          <w:tcPr>
            <w:tcW w:w="1891" w:type="dxa"/>
            <w:gridSpan w:val="3"/>
            <w:tcBorders>
              <w:top w:val="nil"/>
              <w:left w:val="nil"/>
              <w:bottom w:val="nil"/>
              <w:right w:val="nil"/>
            </w:tcBorders>
            <w:shd w:val="clear" w:color="auto" w:fill="auto"/>
          </w:tcPr>
          <w:p w:rsidR="00A356DE" w:rsidRPr="00DA77C5" w:rsidRDefault="00781AB9"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10.3</w:t>
            </w:r>
            <w:r w:rsidR="00A356DE" w:rsidRPr="00DA77C5">
              <w:rPr>
                <w:rFonts w:ascii="Arial" w:hAnsi="Arial" w:cs="Arial"/>
                <w:sz w:val="18"/>
                <w:szCs w:val="18"/>
                <w:lang w:val="pt-BR"/>
              </w:rPr>
              <w:t>%</w:t>
            </w:r>
            <w:r w:rsidR="00A85C64" w:rsidRPr="00DA77C5">
              <w:rPr>
                <w:rFonts w:ascii="Arial" w:hAnsi="Arial" w:cs="Arial"/>
                <w:sz w:val="18"/>
                <w:szCs w:val="18"/>
                <w:lang w:val="pt-BR"/>
              </w:rPr>
              <w:t xml:space="preserve"> (29/281)</w:t>
            </w:r>
          </w:p>
        </w:tc>
        <w:tc>
          <w:tcPr>
            <w:tcW w:w="2149" w:type="dxa"/>
            <w:gridSpan w:val="4"/>
            <w:tcBorders>
              <w:top w:val="nil"/>
              <w:left w:val="nil"/>
              <w:bottom w:val="nil"/>
              <w:right w:val="single" w:sz="4" w:space="0" w:color="auto"/>
            </w:tcBorders>
            <w:shd w:val="clear" w:color="auto" w:fill="auto"/>
          </w:tcPr>
          <w:p w:rsidR="00A356DE" w:rsidRPr="00DA77C5" w:rsidRDefault="00781AB9"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9.7</w:t>
            </w:r>
            <w:r w:rsidR="00A356DE" w:rsidRPr="00DA77C5">
              <w:rPr>
                <w:rFonts w:ascii="Arial" w:hAnsi="Arial" w:cs="Arial"/>
                <w:sz w:val="18"/>
                <w:szCs w:val="18"/>
                <w:lang w:val="pt-BR"/>
              </w:rPr>
              <w:t>%</w:t>
            </w:r>
            <w:r w:rsidR="00A85C64" w:rsidRPr="00DA77C5">
              <w:rPr>
                <w:rFonts w:ascii="Arial" w:hAnsi="Arial" w:cs="Arial"/>
                <w:sz w:val="18"/>
                <w:szCs w:val="18"/>
                <w:lang w:val="pt-BR"/>
              </w:rPr>
              <w:t xml:space="preserve"> (27/279)</w:t>
            </w:r>
          </w:p>
        </w:tc>
      </w:tr>
      <w:tr w:rsidR="00A356DE" w:rsidRPr="00DA77C5" w:rsidTr="00DA77C5">
        <w:tc>
          <w:tcPr>
            <w:tcW w:w="1904" w:type="dxa"/>
            <w:tcBorders>
              <w:top w:val="nil"/>
              <w:left w:val="single" w:sz="4" w:space="0" w:color="auto"/>
              <w:bottom w:val="nil"/>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3</w:t>
            </w:r>
          </w:p>
        </w:tc>
        <w:tc>
          <w:tcPr>
            <w:tcW w:w="1822" w:type="dxa"/>
            <w:gridSpan w:val="2"/>
            <w:tcBorders>
              <w:top w:val="nil"/>
              <w:left w:val="nil"/>
              <w:bottom w:val="nil"/>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lang w:val="pt-BR"/>
              </w:rPr>
            </w:pPr>
            <w:r w:rsidRPr="00DA77C5">
              <w:rPr>
                <w:rFonts w:ascii="Arial" w:hAnsi="Arial" w:cs="Arial"/>
                <w:sz w:val="18"/>
                <w:szCs w:val="18"/>
                <w:lang w:val="pt-BR"/>
              </w:rPr>
              <w:t>5.1 - 10.0 x ULN</w:t>
            </w:r>
          </w:p>
        </w:tc>
        <w:tc>
          <w:tcPr>
            <w:tcW w:w="1891" w:type="dxa"/>
            <w:gridSpan w:val="3"/>
            <w:tcBorders>
              <w:top w:val="nil"/>
              <w:left w:val="nil"/>
              <w:bottom w:val="nil"/>
              <w:right w:val="nil"/>
            </w:tcBorders>
            <w:shd w:val="clear" w:color="auto" w:fill="auto"/>
          </w:tcPr>
          <w:p w:rsidR="00A356DE" w:rsidRPr="00DA77C5" w:rsidRDefault="00781AB9"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1.1</w:t>
            </w:r>
            <w:r w:rsidR="00A356DE" w:rsidRPr="00DA77C5">
              <w:rPr>
                <w:rFonts w:ascii="Arial" w:hAnsi="Arial" w:cs="Arial"/>
                <w:sz w:val="18"/>
                <w:szCs w:val="18"/>
                <w:lang w:val="pt-BR"/>
              </w:rPr>
              <w:t>%</w:t>
            </w:r>
            <w:r w:rsidR="00A85C64" w:rsidRPr="00DA77C5">
              <w:rPr>
                <w:rFonts w:ascii="Arial" w:hAnsi="Arial" w:cs="Arial"/>
                <w:sz w:val="18"/>
                <w:szCs w:val="18"/>
                <w:lang w:val="pt-BR"/>
              </w:rPr>
              <w:t xml:space="preserve"> (3/281)</w:t>
            </w:r>
          </w:p>
        </w:tc>
        <w:tc>
          <w:tcPr>
            <w:tcW w:w="2149" w:type="dxa"/>
            <w:gridSpan w:val="4"/>
            <w:tcBorders>
              <w:top w:val="nil"/>
              <w:left w:val="nil"/>
              <w:bottom w:val="nil"/>
              <w:right w:val="single" w:sz="4" w:space="0" w:color="auto"/>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1.8%</w:t>
            </w:r>
            <w:r w:rsidR="00A85C64" w:rsidRPr="00DA77C5">
              <w:rPr>
                <w:rFonts w:ascii="Arial" w:hAnsi="Arial" w:cs="Arial"/>
                <w:sz w:val="18"/>
                <w:szCs w:val="18"/>
                <w:lang w:val="pt-BR"/>
              </w:rPr>
              <w:t xml:space="preserve"> (5/279)</w:t>
            </w:r>
          </w:p>
        </w:tc>
      </w:tr>
      <w:tr w:rsidR="00A356DE" w:rsidRPr="00DA77C5" w:rsidTr="00DA77C5">
        <w:tc>
          <w:tcPr>
            <w:tcW w:w="1904" w:type="dxa"/>
            <w:tcBorders>
              <w:top w:val="nil"/>
              <w:left w:val="single" w:sz="4" w:space="0" w:color="auto"/>
              <w:bottom w:val="single" w:sz="4" w:space="0" w:color="auto"/>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4</w:t>
            </w:r>
          </w:p>
        </w:tc>
        <w:tc>
          <w:tcPr>
            <w:tcW w:w="1822" w:type="dxa"/>
            <w:gridSpan w:val="2"/>
            <w:tcBorders>
              <w:top w:val="nil"/>
              <w:left w:val="nil"/>
              <w:bottom w:val="single" w:sz="4" w:space="0" w:color="auto"/>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lang w:val="pt-BR"/>
              </w:rPr>
            </w:pPr>
            <w:r w:rsidRPr="00DA77C5">
              <w:rPr>
                <w:rFonts w:ascii="Arial" w:hAnsi="Arial" w:cs="Arial"/>
                <w:sz w:val="18"/>
                <w:szCs w:val="18"/>
                <w:lang w:val="pt-BR"/>
              </w:rPr>
              <w:t>&gt;10.0 x ULN</w:t>
            </w:r>
          </w:p>
        </w:tc>
        <w:tc>
          <w:tcPr>
            <w:tcW w:w="1891" w:type="dxa"/>
            <w:gridSpan w:val="3"/>
            <w:tcBorders>
              <w:top w:val="nil"/>
              <w:left w:val="nil"/>
              <w:bottom w:val="single" w:sz="4" w:space="0" w:color="auto"/>
              <w:right w:val="nil"/>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1.1%</w:t>
            </w:r>
            <w:r w:rsidR="00A85C64" w:rsidRPr="00DA77C5">
              <w:rPr>
                <w:rFonts w:ascii="Arial" w:hAnsi="Arial" w:cs="Arial"/>
                <w:sz w:val="18"/>
                <w:szCs w:val="18"/>
                <w:lang w:val="pt-BR"/>
              </w:rPr>
              <w:t xml:space="preserve"> (3/281)</w:t>
            </w:r>
          </w:p>
        </w:tc>
        <w:tc>
          <w:tcPr>
            <w:tcW w:w="2149" w:type="dxa"/>
            <w:gridSpan w:val="4"/>
            <w:tcBorders>
              <w:top w:val="nil"/>
              <w:left w:val="nil"/>
              <w:bottom w:val="single" w:sz="4" w:space="0" w:color="auto"/>
              <w:right w:val="single" w:sz="4" w:space="0" w:color="auto"/>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lang w:val="pt-BR"/>
              </w:rPr>
            </w:pPr>
            <w:r w:rsidRPr="00DA77C5">
              <w:rPr>
                <w:rFonts w:ascii="Arial" w:hAnsi="Arial" w:cs="Arial"/>
                <w:sz w:val="18"/>
                <w:szCs w:val="18"/>
                <w:lang w:val="pt-BR"/>
              </w:rPr>
              <w:t>0.7%</w:t>
            </w:r>
            <w:r w:rsidR="00A85C64" w:rsidRPr="00DA77C5">
              <w:rPr>
                <w:rFonts w:ascii="Arial" w:hAnsi="Arial" w:cs="Arial"/>
                <w:sz w:val="18"/>
                <w:szCs w:val="18"/>
                <w:lang w:val="pt-BR"/>
              </w:rPr>
              <w:t xml:space="preserve"> (2/279)</w:t>
            </w:r>
          </w:p>
        </w:tc>
      </w:tr>
      <w:tr w:rsidR="00A356DE" w:rsidRPr="00DA77C5" w:rsidTr="00DA77C5">
        <w:trPr>
          <w:gridAfter w:val="1"/>
          <w:wAfter w:w="9" w:type="dxa"/>
        </w:trPr>
        <w:tc>
          <w:tcPr>
            <w:tcW w:w="7757" w:type="dxa"/>
            <w:gridSpan w:val="9"/>
            <w:tcBorders>
              <w:left w:val="single" w:sz="4" w:space="0" w:color="auto"/>
              <w:bottom w:val="nil"/>
              <w:right w:val="single" w:sz="4" w:space="0" w:color="auto"/>
            </w:tcBorders>
            <w:shd w:val="clear" w:color="auto" w:fill="auto"/>
            <w:vAlign w:val="center"/>
          </w:tcPr>
          <w:p w:rsidR="00A356DE" w:rsidRPr="00DA77C5" w:rsidRDefault="00A356DE" w:rsidP="00DA77C5">
            <w:pPr>
              <w:tabs>
                <w:tab w:val="left" w:pos="360"/>
              </w:tabs>
              <w:spacing w:before="80"/>
              <w:ind w:right="230"/>
              <w:jc w:val="both"/>
              <w:rPr>
                <w:rFonts w:ascii="Arial" w:hAnsi="Arial" w:cs="Arial"/>
                <w:b/>
                <w:sz w:val="18"/>
                <w:szCs w:val="18"/>
              </w:rPr>
            </w:pPr>
            <w:r w:rsidRPr="00DA77C5">
              <w:rPr>
                <w:rFonts w:ascii="Arial" w:hAnsi="Arial" w:cs="Arial"/>
                <w:b/>
                <w:sz w:val="18"/>
                <w:szCs w:val="18"/>
              </w:rPr>
              <w:t xml:space="preserve">Serum alkaline phosphatase </w:t>
            </w:r>
          </w:p>
        </w:tc>
      </w:tr>
      <w:tr w:rsidR="00A356DE" w:rsidRPr="00DA77C5" w:rsidTr="00DA77C5">
        <w:trPr>
          <w:gridAfter w:val="1"/>
          <w:wAfter w:w="9" w:type="dxa"/>
        </w:trPr>
        <w:tc>
          <w:tcPr>
            <w:tcW w:w="1904" w:type="dxa"/>
            <w:tcBorders>
              <w:top w:val="nil"/>
              <w:left w:val="single" w:sz="4" w:space="0" w:color="auto"/>
              <w:bottom w:val="nil"/>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2</w:t>
            </w:r>
          </w:p>
        </w:tc>
        <w:tc>
          <w:tcPr>
            <w:tcW w:w="1866" w:type="dxa"/>
            <w:gridSpan w:val="4"/>
            <w:tcBorders>
              <w:top w:val="nil"/>
              <w:left w:val="nil"/>
              <w:bottom w:val="nil"/>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rPr>
            </w:pPr>
            <w:r w:rsidRPr="00DA77C5">
              <w:rPr>
                <w:rFonts w:ascii="Arial" w:hAnsi="Arial" w:cs="Arial"/>
                <w:sz w:val="18"/>
                <w:szCs w:val="18"/>
              </w:rPr>
              <w:t xml:space="preserve">2.6 - 5.0 x ULN </w:t>
            </w:r>
          </w:p>
        </w:tc>
        <w:tc>
          <w:tcPr>
            <w:tcW w:w="1847" w:type="dxa"/>
            <w:tcBorders>
              <w:top w:val="nil"/>
              <w:left w:val="nil"/>
              <w:bottom w:val="nil"/>
              <w:right w:val="nil"/>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1.1%</w:t>
            </w:r>
            <w:r w:rsidR="00A85C64" w:rsidRPr="00DA77C5">
              <w:rPr>
                <w:rFonts w:ascii="Arial" w:hAnsi="Arial" w:cs="Arial"/>
                <w:sz w:val="18"/>
                <w:szCs w:val="18"/>
              </w:rPr>
              <w:t xml:space="preserve"> (3/281)</w:t>
            </w:r>
          </w:p>
        </w:tc>
        <w:tc>
          <w:tcPr>
            <w:tcW w:w="2140" w:type="dxa"/>
            <w:gridSpan w:val="3"/>
            <w:tcBorders>
              <w:top w:val="nil"/>
              <w:left w:val="nil"/>
              <w:bottom w:val="nil"/>
              <w:right w:val="single" w:sz="4" w:space="0" w:color="auto"/>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2.9%</w:t>
            </w:r>
            <w:r w:rsidR="00A85C64" w:rsidRPr="00DA77C5">
              <w:rPr>
                <w:rFonts w:ascii="Arial" w:hAnsi="Arial" w:cs="Arial"/>
                <w:sz w:val="18"/>
                <w:szCs w:val="18"/>
              </w:rPr>
              <w:t xml:space="preserve"> (8/279)</w:t>
            </w:r>
          </w:p>
        </w:tc>
      </w:tr>
      <w:tr w:rsidR="00A356DE" w:rsidRPr="00DA77C5" w:rsidTr="00DA77C5">
        <w:tc>
          <w:tcPr>
            <w:tcW w:w="1904" w:type="dxa"/>
            <w:tcBorders>
              <w:top w:val="nil"/>
              <w:left w:val="single" w:sz="4" w:space="0" w:color="auto"/>
              <w:bottom w:val="nil"/>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3</w:t>
            </w:r>
          </w:p>
        </w:tc>
        <w:tc>
          <w:tcPr>
            <w:tcW w:w="1866" w:type="dxa"/>
            <w:gridSpan w:val="4"/>
            <w:tcBorders>
              <w:top w:val="nil"/>
              <w:left w:val="nil"/>
              <w:bottom w:val="nil"/>
              <w:right w:val="nil"/>
            </w:tcBorders>
            <w:shd w:val="clear" w:color="auto" w:fill="auto"/>
          </w:tcPr>
          <w:p w:rsidR="00A356DE" w:rsidRPr="00DA77C5" w:rsidRDefault="00A356DE" w:rsidP="00DA77C5">
            <w:pPr>
              <w:widowControl w:val="0"/>
              <w:autoSpaceDE w:val="0"/>
              <w:autoSpaceDN w:val="0"/>
              <w:adjustRightInd w:val="0"/>
              <w:spacing w:before="15" w:after="15"/>
              <w:ind w:left="160" w:right="1" w:hanging="160"/>
              <w:jc w:val="center"/>
              <w:rPr>
                <w:rFonts w:ascii="Arial" w:hAnsi="Arial" w:cs="Arial"/>
                <w:sz w:val="18"/>
                <w:szCs w:val="18"/>
              </w:rPr>
            </w:pPr>
            <w:r w:rsidRPr="00DA77C5">
              <w:rPr>
                <w:rFonts w:ascii="Arial" w:hAnsi="Arial" w:cs="Arial"/>
                <w:sz w:val="18"/>
                <w:szCs w:val="18"/>
              </w:rPr>
              <w:t>5.1 - 10.0 x ULN</w:t>
            </w:r>
          </w:p>
        </w:tc>
        <w:tc>
          <w:tcPr>
            <w:tcW w:w="1847" w:type="dxa"/>
            <w:tcBorders>
              <w:top w:val="nil"/>
              <w:left w:val="nil"/>
              <w:bottom w:val="nil"/>
              <w:right w:val="nil"/>
            </w:tcBorders>
            <w:shd w:val="clear" w:color="auto" w:fill="auto"/>
          </w:tcPr>
          <w:p w:rsidR="00A356DE" w:rsidRPr="00DA77C5" w:rsidRDefault="00A636D8"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0</w:t>
            </w:r>
            <w:r w:rsidR="00781AB9" w:rsidRPr="00DA77C5">
              <w:rPr>
                <w:rFonts w:ascii="Arial" w:hAnsi="Arial" w:cs="Arial"/>
                <w:sz w:val="18"/>
                <w:szCs w:val="18"/>
              </w:rPr>
              <w:t>.4</w:t>
            </w:r>
            <w:r w:rsidR="00A356DE" w:rsidRPr="00DA77C5">
              <w:rPr>
                <w:rFonts w:ascii="Arial" w:hAnsi="Arial" w:cs="Arial"/>
                <w:sz w:val="18"/>
                <w:szCs w:val="18"/>
              </w:rPr>
              <w:t>%</w:t>
            </w:r>
            <w:r w:rsidR="00A85C64" w:rsidRPr="00DA77C5">
              <w:rPr>
                <w:rFonts w:ascii="Arial" w:hAnsi="Arial" w:cs="Arial"/>
                <w:sz w:val="18"/>
                <w:szCs w:val="18"/>
              </w:rPr>
              <w:t xml:space="preserve"> (1/281)</w:t>
            </w:r>
          </w:p>
        </w:tc>
        <w:tc>
          <w:tcPr>
            <w:tcW w:w="2149" w:type="dxa"/>
            <w:gridSpan w:val="4"/>
            <w:tcBorders>
              <w:top w:val="nil"/>
              <w:left w:val="nil"/>
              <w:bottom w:val="nil"/>
              <w:right w:val="single" w:sz="4" w:space="0" w:color="auto"/>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0.4%</w:t>
            </w:r>
            <w:r w:rsidR="00A85C64" w:rsidRPr="00DA77C5">
              <w:rPr>
                <w:rFonts w:ascii="Arial" w:hAnsi="Arial" w:cs="Arial"/>
                <w:sz w:val="18"/>
                <w:szCs w:val="18"/>
              </w:rPr>
              <w:t xml:space="preserve"> (1/279)</w:t>
            </w:r>
          </w:p>
        </w:tc>
      </w:tr>
      <w:tr w:rsidR="00A356DE" w:rsidRPr="00DA77C5" w:rsidTr="00DA77C5">
        <w:tc>
          <w:tcPr>
            <w:tcW w:w="1904" w:type="dxa"/>
            <w:tcBorders>
              <w:top w:val="nil"/>
              <w:left w:val="single" w:sz="4" w:space="0" w:color="auto"/>
              <w:bottom w:val="single" w:sz="4" w:space="0" w:color="auto"/>
              <w:right w:val="nil"/>
            </w:tcBorders>
            <w:shd w:val="clear" w:color="auto" w:fill="auto"/>
            <w:vAlign w:val="center"/>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Grade 4</w:t>
            </w:r>
          </w:p>
        </w:tc>
        <w:tc>
          <w:tcPr>
            <w:tcW w:w="1866" w:type="dxa"/>
            <w:gridSpan w:val="4"/>
            <w:tcBorders>
              <w:top w:val="nil"/>
              <w:left w:val="nil"/>
              <w:bottom w:val="single" w:sz="4" w:space="0" w:color="auto"/>
              <w:right w:val="nil"/>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&gt;10.0 x ULN</w:t>
            </w:r>
          </w:p>
        </w:tc>
        <w:tc>
          <w:tcPr>
            <w:tcW w:w="1847" w:type="dxa"/>
            <w:tcBorders>
              <w:top w:val="nil"/>
              <w:left w:val="nil"/>
              <w:bottom w:val="single" w:sz="4" w:space="0" w:color="auto"/>
              <w:right w:val="nil"/>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0.0%</w:t>
            </w:r>
            <w:r w:rsidR="00A85C64" w:rsidRPr="00DA77C5">
              <w:rPr>
                <w:rFonts w:ascii="Arial" w:hAnsi="Arial" w:cs="Arial"/>
                <w:sz w:val="18"/>
                <w:szCs w:val="18"/>
              </w:rPr>
              <w:t xml:space="preserve"> (0/281)</w:t>
            </w:r>
          </w:p>
        </w:tc>
        <w:tc>
          <w:tcPr>
            <w:tcW w:w="2149" w:type="dxa"/>
            <w:gridSpan w:val="4"/>
            <w:tcBorders>
              <w:top w:val="nil"/>
              <w:left w:val="nil"/>
              <w:bottom w:val="single" w:sz="4" w:space="0" w:color="auto"/>
              <w:right w:val="single" w:sz="4" w:space="0" w:color="auto"/>
            </w:tcBorders>
            <w:shd w:val="clear" w:color="auto" w:fill="auto"/>
          </w:tcPr>
          <w:p w:rsidR="00A356DE" w:rsidRPr="00DA77C5" w:rsidRDefault="00A356DE" w:rsidP="00DA77C5">
            <w:pPr>
              <w:tabs>
                <w:tab w:val="left" w:pos="360"/>
              </w:tabs>
              <w:spacing w:before="120"/>
              <w:ind w:right="234"/>
              <w:jc w:val="center"/>
              <w:rPr>
                <w:rFonts w:ascii="Arial" w:hAnsi="Arial" w:cs="Arial"/>
                <w:sz w:val="18"/>
                <w:szCs w:val="18"/>
              </w:rPr>
            </w:pPr>
            <w:r w:rsidRPr="00DA77C5">
              <w:rPr>
                <w:rFonts w:ascii="Arial" w:hAnsi="Arial" w:cs="Arial"/>
                <w:sz w:val="18"/>
                <w:szCs w:val="18"/>
              </w:rPr>
              <w:t>0.4%</w:t>
            </w:r>
            <w:r w:rsidR="00A85C64" w:rsidRPr="00DA77C5">
              <w:rPr>
                <w:rFonts w:ascii="Arial" w:hAnsi="Arial" w:cs="Arial"/>
                <w:sz w:val="18"/>
                <w:szCs w:val="18"/>
              </w:rPr>
              <w:t xml:space="preserve"> (1/279)</w:t>
            </w:r>
          </w:p>
        </w:tc>
      </w:tr>
      <w:tr w:rsidR="00A356DE" w:rsidRPr="00DA77C5" w:rsidTr="00DA77C5">
        <w:trPr>
          <w:gridAfter w:val="1"/>
          <w:wAfter w:w="9" w:type="dxa"/>
        </w:trPr>
        <w:tc>
          <w:tcPr>
            <w:tcW w:w="7757" w:type="dxa"/>
            <w:gridSpan w:val="9"/>
            <w:tcBorders>
              <w:top w:val="nil"/>
              <w:left w:val="single" w:sz="4" w:space="0" w:color="auto"/>
              <w:bottom w:val="single" w:sz="4" w:space="0" w:color="auto"/>
              <w:right w:val="single" w:sz="4" w:space="0" w:color="auto"/>
            </w:tcBorders>
            <w:shd w:val="clear" w:color="auto" w:fill="auto"/>
          </w:tcPr>
          <w:p w:rsidR="00A356DE" w:rsidRPr="00DA77C5" w:rsidRDefault="00A356DE" w:rsidP="00DA77C5">
            <w:pPr>
              <w:widowControl w:val="0"/>
              <w:autoSpaceDE w:val="0"/>
              <w:autoSpaceDN w:val="0"/>
              <w:adjustRightInd w:val="0"/>
              <w:spacing w:before="120"/>
              <w:ind w:left="158" w:hanging="158"/>
              <w:jc w:val="both"/>
              <w:rPr>
                <w:rFonts w:ascii="Arial" w:hAnsi="Arial" w:cs="Arial"/>
                <w:strike/>
                <w:sz w:val="18"/>
                <w:szCs w:val="18"/>
              </w:rPr>
            </w:pPr>
            <w:r w:rsidRPr="00DA77C5">
              <w:rPr>
                <w:rFonts w:ascii="Arial" w:hAnsi="Arial" w:cs="Arial"/>
                <w:sz w:val="18"/>
                <w:szCs w:val="18"/>
              </w:rPr>
              <w:t>ULN = Upper limit of normal range</w:t>
            </w:r>
            <w:r w:rsidRPr="00DA77C5">
              <w:rPr>
                <w:rFonts w:ascii="Arial" w:hAnsi="Arial" w:cs="Arial"/>
                <w:strike/>
                <w:sz w:val="18"/>
                <w:szCs w:val="18"/>
              </w:rPr>
              <w:t xml:space="preserve"> </w:t>
            </w:r>
          </w:p>
          <w:p w:rsidR="00BE0337" w:rsidRPr="00DA77C5" w:rsidRDefault="00BE0337" w:rsidP="00DA77C5">
            <w:pPr>
              <w:widowControl w:val="0"/>
              <w:autoSpaceDE w:val="0"/>
              <w:autoSpaceDN w:val="0"/>
              <w:adjustRightInd w:val="0"/>
              <w:spacing w:before="120"/>
              <w:ind w:left="158" w:hanging="158"/>
              <w:jc w:val="both"/>
              <w:rPr>
                <w:rFonts w:ascii="Arial" w:hAnsi="Arial" w:cs="Arial"/>
                <w:sz w:val="18"/>
                <w:szCs w:val="18"/>
              </w:rPr>
            </w:pPr>
            <w:r w:rsidRPr="00DA77C5">
              <w:rPr>
                <w:rFonts w:ascii="Arial" w:hAnsi="Arial" w:cs="Arial"/>
                <w:sz w:val="18"/>
                <w:szCs w:val="18"/>
              </w:rPr>
              <w:t>m = number of patients with baseline values for that laboratory test.</w:t>
            </w:r>
          </w:p>
        </w:tc>
      </w:tr>
    </w:tbl>
    <w:bookmarkEnd w:id="15"/>
    <w:p w:rsidR="00C24699" w:rsidRPr="00366AC7" w:rsidRDefault="00C24699" w:rsidP="00964410">
      <w:pPr>
        <w:pStyle w:val="Heading3"/>
        <w:jc w:val="left"/>
      </w:pPr>
      <w:r w:rsidRPr="00366AC7">
        <w:t>Lipids, Change from Baseline</w:t>
      </w:r>
      <w:r w:rsidR="008651D4">
        <w:t xml:space="preserve"> </w:t>
      </w:r>
      <w:r w:rsidR="008651D4" w:rsidRPr="00EA0B58">
        <w:rPr>
          <w:rFonts w:ascii="Arial Bold" w:hAnsi="Arial Bold"/>
          <w:u w:val="single"/>
        </w:rPr>
        <w:t>- Adults</w:t>
      </w:r>
      <w:r w:rsidRPr="00EA0B58">
        <w:t xml:space="preserve"> </w:t>
      </w:r>
    </w:p>
    <w:p w:rsidR="00592FB2" w:rsidRPr="00D73341" w:rsidRDefault="00592FB2" w:rsidP="00592FB2">
      <w:pPr>
        <w:pStyle w:val="SubSectionHeadings"/>
        <w:jc w:val="both"/>
        <w:rPr>
          <w:i w:val="0"/>
          <w:sz w:val="22"/>
          <w:szCs w:val="22"/>
        </w:rPr>
      </w:pPr>
      <w:r w:rsidRPr="00D73341">
        <w:rPr>
          <w:i w:val="0"/>
          <w:sz w:val="22"/>
          <w:szCs w:val="22"/>
        </w:rPr>
        <w:t xml:space="preserve">Through </w:t>
      </w:r>
      <w:r w:rsidR="00E85C3C" w:rsidRPr="00BE0337">
        <w:rPr>
          <w:i w:val="0"/>
          <w:sz w:val="22"/>
          <w:szCs w:val="22"/>
        </w:rPr>
        <w:t>144</w:t>
      </w:r>
      <w:r w:rsidR="000C495F" w:rsidRPr="00BE0337">
        <w:rPr>
          <w:i w:val="0"/>
          <w:sz w:val="22"/>
          <w:szCs w:val="22"/>
        </w:rPr>
        <w:t xml:space="preserve"> </w:t>
      </w:r>
      <w:r w:rsidRPr="00D73341">
        <w:rPr>
          <w:i w:val="0"/>
          <w:sz w:val="22"/>
          <w:szCs w:val="22"/>
        </w:rPr>
        <w:t xml:space="preserve">weeks of therapy, ISENTRESS demonstrated minimal effects on serum lipids with small increases in total and LDL cholesterol and a decrease in serum triglycerides.  The group treated with efavirenz had a significantly higher mean change from baseline in total cholesterol, triglycerides, non-HDL-C, and LDL-C.  </w:t>
      </w:r>
      <w:bookmarkStart w:id="16" w:name="OLE_LINK72"/>
      <w:bookmarkStart w:id="17" w:name="OLE_LINK73"/>
      <w:r w:rsidRPr="00D73341">
        <w:rPr>
          <w:i w:val="0"/>
          <w:sz w:val="22"/>
          <w:szCs w:val="22"/>
        </w:rPr>
        <w:t xml:space="preserve">Modest increases in HDL </w:t>
      </w:r>
      <w:bookmarkEnd w:id="16"/>
      <w:bookmarkEnd w:id="17"/>
      <w:r w:rsidRPr="00D73341">
        <w:rPr>
          <w:i w:val="0"/>
          <w:sz w:val="22"/>
          <w:szCs w:val="22"/>
        </w:rPr>
        <w:t xml:space="preserve">were observed in both groups, significantly higher for efavirenz (see </w:t>
      </w:r>
      <w:r w:rsidR="001B3030">
        <w:rPr>
          <w:i w:val="0"/>
          <w:sz w:val="22"/>
          <w:szCs w:val="22"/>
        </w:rPr>
        <w:t xml:space="preserve">Table </w:t>
      </w:r>
      <w:r w:rsidR="00E441B9">
        <w:rPr>
          <w:i w:val="0"/>
          <w:sz w:val="22"/>
          <w:szCs w:val="22"/>
        </w:rPr>
        <w:t>1</w:t>
      </w:r>
      <w:r w:rsidR="00750FB1" w:rsidRPr="00EA0B58">
        <w:rPr>
          <w:i w:val="0"/>
          <w:sz w:val="22"/>
          <w:szCs w:val="22"/>
        </w:rPr>
        <w:t>4</w:t>
      </w:r>
      <w:r w:rsidRPr="00D73341">
        <w:rPr>
          <w:i w:val="0"/>
          <w:sz w:val="22"/>
          <w:szCs w:val="22"/>
        </w:rPr>
        <w:t xml:space="preserve"> </w:t>
      </w:r>
      <w:r w:rsidRPr="00D73341">
        <w:rPr>
          <w:i w:val="0"/>
          <w:iCs/>
          <w:sz w:val="22"/>
          <w:szCs w:val="22"/>
        </w:rPr>
        <w:t>Lipids, Change from Baseline)</w:t>
      </w:r>
      <w:r w:rsidRPr="00D73341">
        <w:rPr>
          <w:i w:val="0"/>
          <w:sz w:val="22"/>
          <w:szCs w:val="22"/>
        </w:rPr>
        <w:t>.</w:t>
      </w:r>
    </w:p>
    <w:p w:rsidR="00875DB0" w:rsidRPr="00D73341" w:rsidRDefault="00592FB2" w:rsidP="00875DB0">
      <w:pPr>
        <w:rPr>
          <w:rFonts w:ascii="Arial" w:hAnsi="Arial" w:cs="Arial"/>
          <w:sz w:val="22"/>
          <w:szCs w:val="22"/>
        </w:rPr>
      </w:pPr>
      <w:r>
        <w:rPr>
          <w:rFonts w:ascii="Arial" w:hAnsi="Arial" w:cs="Arial"/>
          <w:sz w:val="22"/>
          <w:szCs w:val="22"/>
        </w:rPr>
        <w:t>Changes</w:t>
      </w:r>
      <w:r w:rsidR="00875DB0" w:rsidRPr="00D73341">
        <w:rPr>
          <w:rFonts w:ascii="Arial" w:hAnsi="Arial" w:cs="Arial"/>
          <w:sz w:val="22"/>
          <w:szCs w:val="22"/>
        </w:rPr>
        <w:t xml:space="preserve"> from baseline in fasting lipids are shown in Table </w:t>
      </w:r>
      <w:r w:rsidR="00674559">
        <w:rPr>
          <w:rFonts w:ascii="Arial" w:hAnsi="Arial" w:cs="Arial"/>
          <w:sz w:val="22"/>
          <w:szCs w:val="22"/>
        </w:rPr>
        <w:t>1</w:t>
      </w:r>
      <w:r w:rsidR="00750FB1">
        <w:rPr>
          <w:rFonts w:ascii="Arial" w:hAnsi="Arial" w:cs="Arial"/>
          <w:sz w:val="22"/>
          <w:szCs w:val="22"/>
        </w:rPr>
        <w:t>4</w:t>
      </w:r>
      <w:r w:rsidR="00875DB0" w:rsidRPr="00D73341">
        <w:rPr>
          <w:rFonts w:ascii="Arial" w:hAnsi="Arial" w:cs="Arial"/>
          <w:sz w:val="22"/>
          <w:szCs w:val="22"/>
        </w:rPr>
        <w:t>.</w:t>
      </w:r>
    </w:p>
    <w:p w:rsidR="00875DB0" w:rsidRPr="00D73341" w:rsidRDefault="00875DB0" w:rsidP="00606F1A">
      <w:pPr>
        <w:pStyle w:val="Tabletitle"/>
      </w:pPr>
      <w:r w:rsidRPr="00D73341">
        <w:lastRenderedPageBreak/>
        <w:t xml:space="preserve">Table </w:t>
      </w:r>
      <w:r w:rsidR="00584D50">
        <w:t>1</w:t>
      </w:r>
      <w:r w:rsidR="00750FB1">
        <w:t>4</w:t>
      </w:r>
      <w:r w:rsidR="00A9223F">
        <w:t>: STARTMRK</w:t>
      </w:r>
      <w:r w:rsidRPr="00D73341">
        <w:t xml:space="preserve"> Lipid Values, Change from Baseline in </w:t>
      </w:r>
    </w:p>
    <w:p w:rsidR="00875DB0" w:rsidRPr="00BE0337" w:rsidRDefault="00875DB0" w:rsidP="00875DB0">
      <w:pPr>
        <w:tabs>
          <w:tab w:val="left" w:pos="360"/>
        </w:tabs>
        <w:ind w:right="234"/>
        <w:jc w:val="center"/>
        <w:rPr>
          <w:b/>
        </w:rPr>
      </w:pPr>
      <w:r w:rsidRPr="00D73341">
        <w:rPr>
          <w:rFonts w:ascii="Arial" w:hAnsi="Arial" w:cs="Arial"/>
          <w:b/>
          <w:sz w:val="22"/>
          <w:szCs w:val="22"/>
        </w:rPr>
        <w:t xml:space="preserve">Serum Lipids at Week </w:t>
      </w:r>
      <w:r w:rsidR="00FE1216" w:rsidRPr="00BE0337">
        <w:rPr>
          <w:rFonts w:ascii="Arial" w:hAnsi="Arial" w:cs="Arial"/>
          <w:b/>
          <w:sz w:val="22"/>
          <w:szCs w:val="22"/>
        </w:rPr>
        <w:t>144</w:t>
      </w:r>
      <w:r w:rsidR="008651D4">
        <w:rPr>
          <w:rFonts w:ascii="Arial" w:hAnsi="Arial" w:cs="Arial"/>
          <w:b/>
          <w:sz w:val="22"/>
          <w:szCs w:val="22"/>
        </w:rPr>
        <w:t xml:space="preserve"> - </w:t>
      </w:r>
      <w:r w:rsidR="008651D4" w:rsidRPr="00017B34">
        <w:rPr>
          <w:rFonts w:ascii="Arial Bold" w:hAnsi="Arial Bold" w:cs="Arial"/>
          <w:b/>
          <w:sz w:val="22"/>
          <w:szCs w:val="22"/>
        </w:rPr>
        <w:t>Adults</w:t>
      </w:r>
    </w:p>
    <w:tbl>
      <w:tblPr>
        <w:tblpPr w:leftFromText="180" w:rightFromText="180" w:vertAnchor="text" w:horzAnchor="margin" w:tblpXSpec="center" w:tblpY="133"/>
        <w:tblW w:w="9008" w:type="dxa"/>
        <w:tblBorders>
          <w:top w:val="double" w:sz="4" w:space="0" w:color="auto"/>
          <w:left w:val="single" w:sz="4" w:space="0" w:color="auto"/>
          <w:bottom w:val="double" w:sz="4" w:space="0" w:color="auto"/>
          <w:right w:val="single" w:sz="4" w:space="0" w:color="auto"/>
        </w:tblBorders>
        <w:tblLayout w:type="fixed"/>
        <w:tblCellMar>
          <w:left w:w="36" w:type="dxa"/>
          <w:right w:w="36" w:type="dxa"/>
        </w:tblCellMar>
        <w:tblLook w:val="0000"/>
      </w:tblPr>
      <w:tblGrid>
        <w:gridCol w:w="2224"/>
        <w:gridCol w:w="936"/>
        <w:gridCol w:w="28"/>
        <w:gridCol w:w="2336"/>
        <w:gridCol w:w="1116"/>
        <w:gridCol w:w="2368"/>
      </w:tblGrid>
      <w:tr w:rsidR="00700DB7" w:rsidRPr="007F44B0" w:rsidTr="00606F1A">
        <w:trPr>
          <w:tblHeader/>
        </w:trPr>
        <w:tc>
          <w:tcPr>
            <w:tcW w:w="2224" w:type="dxa"/>
            <w:vMerge w:val="restart"/>
            <w:tcBorders>
              <w:top w:val="double" w:sz="4" w:space="0" w:color="auto"/>
              <w:right w:val="single" w:sz="2" w:space="0" w:color="auto"/>
            </w:tcBorders>
          </w:tcPr>
          <w:p w:rsidR="00700DB7" w:rsidRPr="003529E9" w:rsidRDefault="00700DB7" w:rsidP="00700DB7">
            <w:pPr>
              <w:widowControl w:val="0"/>
              <w:autoSpaceDE w:val="0"/>
              <w:autoSpaceDN w:val="0"/>
              <w:adjustRightInd w:val="0"/>
              <w:spacing w:before="15" w:after="15"/>
              <w:jc w:val="center"/>
              <w:rPr>
                <w:rFonts w:ascii="Arial" w:hAnsi="Arial" w:cs="Arial"/>
                <w:sz w:val="16"/>
                <w:szCs w:val="16"/>
              </w:rPr>
            </w:pPr>
            <w:bookmarkStart w:id="18" w:name="OLE_LINK53"/>
            <w:bookmarkStart w:id="19" w:name="OLE_LINK54"/>
            <w:r w:rsidRPr="003529E9">
              <w:rPr>
                <w:rFonts w:ascii="Arial" w:hAnsi="Arial" w:cs="Arial"/>
                <w:b/>
                <w:sz w:val="16"/>
                <w:szCs w:val="16"/>
              </w:rPr>
              <w:t>Laboratory Parameter Preferred Term (Unit)</w:t>
            </w:r>
          </w:p>
        </w:tc>
        <w:tc>
          <w:tcPr>
            <w:tcW w:w="3300" w:type="dxa"/>
            <w:gridSpan w:val="3"/>
            <w:tcBorders>
              <w:top w:val="double" w:sz="4" w:space="0" w:color="auto"/>
              <w:left w:val="nil"/>
              <w:bottom w:val="single" w:sz="4" w:space="0" w:color="auto"/>
              <w:right w:val="single" w:sz="2" w:space="0" w:color="auto"/>
            </w:tcBorders>
          </w:tcPr>
          <w:p w:rsidR="00700DB7" w:rsidRPr="007F44B0" w:rsidRDefault="00700DB7" w:rsidP="00700DB7">
            <w:pPr>
              <w:widowControl w:val="0"/>
              <w:autoSpaceDE w:val="0"/>
              <w:autoSpaceDN w:val="0"/>
              <w:adjustRightInd w:val="0"/>
              <w:spacing w:before="15" w:after="15"/>
              <w:jc w:val="center"/>
              <w:rPr>
                <w:rFonts w:ascii="Arial" w:hAnsi="Arial" w:cs="Arial"/>
                <w:b/>
                <w:sz w:val="16"/>
                <w:szCs w:val="16"/>
                <w:lang w:val="sv-SE"/>
              </w:rPr>
            </w:pPr>
            <w:r w:rsidRPr="007F44B0">
              <w:rPr>
                <w:rFonts w:ascii="Arial" w:hAnsi="Arial" w:cs="Arial"/>
                <w:b/>
                <w:sz w:val="16"/>
                <w:szCs w:val="16"/>
                <w:lang w:val="sv-SE"/>
              </w:rPr>
              <w:t xml:space="preserve">ISENTRESS </w:t>
            </w:r>
          </w:p>
          <w:p w:rsidR="00700DB7" w:rsidRPr="007F44B0" w:rsidRDefault="00700DB7" w:rsidP="00700DB7">
            <w:pPr>
              <w:widowControl w:val="0"/>
              <w:autoSpaceDE w:val="0"/>
              <w:autoSpaceDN w:val="0"/>
              <w:adjustRightInd w:val="0"/>
              <w:spacing w:before="15" w:after="15"/>
              <w:jc w:val="center"/>
              <w:rPr>
                <w:rFonts w:ascii="Arial" w:hAnsi="Arial" w:cs="Arial"/>
                <w:b/>
                <w:sz w:val="16"/>
                <w:szCs w:val="16"/>
                <w:lang w:val="sv-SE"/>
              </w:rPr>
            </w:pPr>
            <w:r w:rsidRPr="007F44B0">
              <w:rPr>
                <w:rFonts w:ascii="Arial" w:hAnsi="Arial" w:cs="Arial"/>
                <w:b/>
                <w:sz w:val="16"/>
                <w:szCs w:val="16"/>
                <w:lang w:val="sv-SE"/>
              </w:rPr>
              <w:t>400 mg b.i.d.</w:t>
            </w:r>
          </w:p>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r w:rsidRPr="003529E9">
              <w:rPr>
                <w:rFonts w:ascii="Arial" w:hAnsi="Arial" w:cs="Arial"/>
                <w:b/>
                <w:sz w:val="16"/>
                <w:szCs w:val="16"/>
              </w:rPr>
              <w:t>N = 281</w:t>
            </w:r>
          </w:p>
        </w:tc>
        <w:tc>
          <w:tcPr>
            <w:tcW w:w="3484" w:type="dxa"/>
            <w:gridSpan w:val="2"/>
            <w:tcBorders>
              <w:top w:val="double" w:sz="4" w:space="0" w:color="auto"/>
              <w:left w:val="nil"/>
              <w:bottom w:val="single" w:sz="4" w:space="0" w:color="auto"/>
            </w:tcBorders>
          </w:tcPr>
          <w:p w:rsidR="00700DB7" w:rsidRPr="007F44B0" w:rsidRDefault="00700DB7" w:rsidP="00700DB7">
            <w:pPr>
              <w:widowControl w:val="0"/>
              <w:autoSpaceDE w:val="0"/>
              <w:autoSpaceDN w:val="0"/>
              <w:adjustRightInd w:val="0"/>
              <w:spacing w:before="15" w:after="15"/>
              <w:jc w:val="center"/>
              <w:rPr>
                <w:rFonts w:ascii="Arial" w:hAnsi="Arial" w:cs="Arial"/>
                <w:b/>
                <w:sz w:val="16"/>
                <w:szCs w:val="16"/>
                <w:lang w:val="da-DK"/>
              </w:rPr>
            </w:pPr>
            <w:r w:rsidRPr="007F44B0">
              <w:rPr>
                <w:rFonts w:ascii="Arial" w:hAnsi="Arial" w:cs="Arial"/>
                <w:b/>
                <w:sz w:val="16"/>
                <w:szCs w:val="16"/>
                <w:lang w:val="da-DK"/>
              </w:rPr>
              <w:t xml:space="preserve">Efavirenz </w:t>
            </w:r>
          </w:p>
          <w:p w:rsidR="00700DB7" w:rsidRPr="007F44B0" w:rsidRDefault="00A20525" w:rsidP="00700DB7">
            <w:pPr>
              <w:widowControl w:val="0"/>
              <w:autoSpaceDE w:val="0"/>
              <w:autoSpaceDN w:val="0"/>
              <w:adjustRightInd w:val="0"/>
              <w:spacing w:before="15" w:after="15"/>
              <w:jc w:val="center"/>
              <w:rPr>
                <w:rFonts w:ascii="Arial" w:hAnsi="Arial" w:cs="Arial"/>
                <w:b/>
                <w:sz w:val="16"/>
                <w:szCs w:val="16"/>
                <w:lang w:val="da-DK"/>
              </w:rPr>
            </w:pPr>
            <w:r w:rsidRPr="007F44B0">
              <w:rPr>
                <w:rFonts w:ascii="Arial" w:hAnsi="Arial" w:cs="Arial"/>
                <w:b/>
                <w:sz w:val="16"/>
                <w:szCs w:val="16"/>
                <w:lang w:val="da-DK"/>
              </w:rPr>
              <w:t>600 mg at bedtime</w:t>
            </w:r>
            <w:r w:rsidR="00700DB7" w:rsidRPr="007F44B0">
              <w:rPr>
                <w:rFonts w:ascii="Arial" w:hAnsi="Arial" w:cs="Arial"/>
                <w:b/>
                <w:sz w:val="16"/>
                <w:szCs w:val="16"/>
                <w:lang w:val="da-DK"/>
              </w:rPr>
              <w:t>.</w:t>
            </w:r>
          </w:p>
          <w:p w:rsidR="00700DB7" w:rsidRPr="007F44B0" w:rsidRDefault="00700DB7" w:rsidP="00700DB7">
            <w:pPr>
              <w:widowControl w:val="0"/>
              <w:autoSpaceDE w:val="0"/>
              <w:autoSpaceDN w:val="0"/>
              <w:adjustRightInd w:val="0"/>
              <w:spacing w:before="15" w:after="15"/>
              <w:jc w:val="center"/>
              <w:rPr>
                <w:rFonts w:ascii="Arial" w:hAnsi="Arial" w:cs="Arial"/>
                <w:b/>
                <w:sz w:val="16"/>
                <w:szCs w:val="16"/>
                <w:lang w:val="da-DK"/>
              </w:rPr>
            </w:pPr>
            <w:r w:rsidRPr="007F44B0">
              <w:rPr>
                <w:rFonts w:ascii="Arial" w:hAnsi="Arial" w:cs="Arial"/>
                <w:b/>
                <w:sz w:val="16"/>
                <w:szCs w:val="16"/>
                <w:lang w:val="da-DK"/>
              </w:rPr>
              <w:t xml:space="preserve">N = 282 </w:t>
            </w:r>
          </w:p>
        </w:tc>
      </w:tr>
      <w:tr w:rsidR="00700DB7" w:rsidRPr="003529E9" w:rsidTr="00606F1A">
        <w:tblPrEx>
          <w:tblBorders>
            <w:top w:val="single" w:sz="4" w:space="0" w:color="auto"/>
            <w:bottom w:val="single" w:sz="4" w:space="0" w:color="auto"/>
          </w:tblBorders>
        </w:tblPrEx>
        <w:trPr>
          <w:tblHeader/>
        </w:trPr>
        <w:tc>
          <w:tcPr>
            <w:tcW w:w="2224" w:type="dxa"/>
            <w:vMerge/>
            <w:tcBorders>
              <w:right w:val="single" w:sz="2" w:space="0" w:color="auto"/>
            </w:tcBorders>
          </w:tcPr>
          <w:p w:rsidR="00700DB7" w:rsidRPr="007F44B0" w:rsidRDefault="00700DB7" w:rsidP="00700DB7">
            <w:pPr>
              <w:widowControl w:val="0"/>
              <w:autoSpaceDE w:val="0"/>
              <w:autoSpaceDN w:val="0"/>
              <w:adjustRightInd w:val="0"/>
              <w:spacing w:before="15" w:after="15"/>
              <w:jc w:val="center"/>
              <w:rPr>
                <w:rFonts w:ascii="Arial" w:hAnsi="Arial" w:cs="Arial"/>
                <w:sz w:val="16"/>
                <w:szCs w:val="16"/>
                <w:lang w:val="da-DK"/>
              </w:rPr>
            </w:pPr>
          </w:p>
        </w:tc>
        <w:tc>
          <w:tcPr>
            <w:tcW w:w="964" w:type="dxa"/>
            <w:gridSpan w:val="2"/>
            <w:tcBorders>
              <w:top w:val="single" w:sz="4" w:space="0" w:color="auto"/>
              <w:left w:val="nil"/>
              <w:bottom w:val="single" w:sz="2" w:space="0" w:color="auto"/>
              <w:right w:val="single" w:sz="2" w:space="0" w:color="auto"/>
            </w:tcBorders>
          </w:tcPr>
          <w:p w:rsidR="00700DB7" w:rsidRPr="007F44B0" w:rsidRDefault="00700DB7" w:rsidP="00700DB7">
            <w:pPr>
              <w:widowControl w:val="0"/>
              <w:autoSpaceDE w:val="0"/>
              <w:autoSpaceDN w:val="0"/>
              <w:adjustRightInd w:val="0"/>
              <w:spacing w:before="15" w:after="15"/>
              <w:jc w:val="center"/>
              <w:rPr>
                <w:rFonts w:ascii="Arial" w:hAnsi="Arial" w:cs="Arial"/>
                <w:b/>
                <w:sz w:val="16"/>
                <w:szCs w:val="16"/>
                <w:lang w:val="da-DK"/>
              </w:rPr>
            </w:pPr>
          </w:p>
        </w:tc>
        <w:tc>
          <w:tcPr>
            <w:tcW w:w="2336" w:type="dxa"/>
            <w:tcBorders>
              <w:top w:val="single" w:sz="4" w:space="0" w:color="auto"/>
              <w:left w:val="nil"/>
              <w:bottom w:val="single" w:sz="2" w:space="0" w:color="auto"/>
              <w:right w:val="single" w:sz="2" w:space="0" w:color="auto"/>
            </w:tcBorders>
          </w:tcPr>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r w:rsidRPr="003529E9">
              <w:rPr>
                <w:rFonts w:ascii="Arial" w:hAnsi="Arial" w:cs="Arial"/>
                <w:b/>
                <w:sz w:val="16"/>
                <w:szCs w:val="16"/>
              </w:rPr>
              <w:t xml:space="preserve">Change from Baseline at </w:t>
            </w:r>
          </w:p>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r w:rsidRPr="003529E9">
              <w:rPr>
                <w:rFonts w:ascii="Arial" w:hAnsi="Arial" w:cs="Arial"/>
                <w:b/>
                <w:sz w:val="16"/>
                <w:szCs w:val="16"/>
              </w:rPr>
              <w:t xml:space="preserve">Week </w:t>
            </w:r>
            <w:r w:rsidR="00FE1216">
              <w:rPr>
                <w:rFonts w:ascii="Arial" w:hAnsi="Arial" w:cs="Arial"/>
                <w:b/>
                <w:sz w:val="16"/>
                <w:szCs w:val="16"/>
              </w:rPr>
              <w:t>144</w:t>
            </w:r>
          </w:p>
        </w:tc>
        <w:tc>
          <w:tcPr>
            <w:tcW w:w="1116" w:type="dxa"/>
            <w:tcBorders>
              <w:top w:val="single" w:sz="4" w:space="0" w:color="auto"/>
              <w:left w:val="nil"/>
              <w:bottom w:val="single" w:sz="2" w:space="0" w:color="auto"/>
              <w:right w:val="single" w:sz="4" w:space="0" w:color="auto"/>
            </w:tcBorders>
          </w:tcPr>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p>
        </w:tc>
        <w:tc>
          <w:tcPr>
            <w:tcW w:w="2368" w:type="dxa"/>
            <w:tcBorders>
              <w:top w:val="single" w:sz="4" w:space="0" w:color="auto"/>
              <w:left w:val="single" w:sz="4" w:space="0" w:color="auto"/>
              <w:bottom w:val="single" w:sz="2" w:space="0" w:color="auto"/>
            </w:tcBorders>
          </w:tcPr>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r w:rsidRPr="003529E9">
              <w:rPr>
                <w:rFonts w:ascii="Arial" w:hAnsi="Arial" w:cs="Arial"/>
                <w:b/>
                <w:sz w:val="16"/>
                <w:szCs w:val="16"/>
              </w:rPr>
              <w:t xml:space="preserve">Change from Baseline at </w:t>
            </w:r>
          </w:p>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r w:rsidRPr="003529E9">
              <w:rPr>
                <w:rFonts w:ascii="Arial" w:hAnsi="Arial" w:cs="Arial"/>
                <w:b/>
                <w:sz w:val="16"/>
                <w:szCs w:val="16"/>
              </w:rPr>
              <w:t>Week</w:t>
            </w:r>
            <w:r w:rsidR="00FE1216">
              <w:rPr>
                <w:rFonts w:ascii="Arial" w:hAnsi="Arial" w:cs="Arial"/>
                <w:b/>
                <w:sz w:val="16"/>
                <w:szCs w:val="16"/>
              </w:rPr>
              <w:t>144</w:t>
            </w:r>
          </w:p>
        </w:tc>
      </w:tr>
      <w:tr w:rsidR="00700DB7" w:rsidRPr="003529E9" w:rsidTr="00606F1A">
        <w:tblPrEx>
          <w:tblBorders>
            <w:top w:val="single" w:sz="4" w:space="0" w:color="auto"/>
            <w:bottom w:val="single" w:sz="4" w:space="0" w:color="auto"/>
          </w:tblBorders>
        </w:tblPrEx>
        <w:trPr>
          <w:trHeight w:val="485"/>
          <w:tblHeader/>
        </w:trPr>
        <w:tc>
          <w:tcPr>
            <w:tcW w:w="2224" w:type="dxa"/>
            <w:vMerge/>
            <w:tcBorders>
              <w:bottom w:val="single" w:sz="4" w:space="0" w:color="auto"/>
              <w:right w:val="single" w:sz="2" w:space="0" w:color="auto"/>
            </w:tcBorders>
          </w:tcPr>
          <w:p w:rsidR="00700DB7" w:rsidRPr="003529E9" w:rsidRDefault="00700DB7" w:rsidP="00700DB7">
            <w:pPr>
              <w:widowControl w:val="0"/>
              <w:autoSpaceDE w:val="0"/>
              <w:autoSpaceDN w:val="0"/>
              <w:adjustRightInd w:val="0"/>
              <w:spacing w:before="15" w:after="15"/>
              <w:jc w:val="center"/>
              <w:rPr>
                <w:rFonts w:ascii="Arial" w:hAnsi="Arial" w:cs="Arial"/>
                <w:sz w:val="16"/>
                <w:szCs w:val="16"/>
              </w:rPr>
            </w:pPr>
          </w:p>
        </w:tc>
        <w:tc>
          <w:tcPr>
            <w:tcW w:w="964" w:type="dxa"/>
            <w:gridSpan w:val="2"/>
            <w:tcBorders>
              <w:top w:val="nil"/>
              <w:left w:val="nil"/>
              <w:bottom w:val="single" w:sz="4" w:space="0" w:color="auto"/>
              <w:right w:val="single" w:sz="2" w:space="0" w:color="auto"/>
            </w:tcBorders>
          </w:tcPr>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r w:rsidRPr="003529E9">
              <w:rPr>
                <w:rFonts w:ascii="Arial" w:hAnsi="Arial" w:cs="Arial"/>
                <w:b/>
                <w:sz w:val="16"/>
                <w:szCs w:val="16"/>
              </w:rPr>
              <w:t>Baseline</w:t>
            </w:r>
          </w:p>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r w:rsidRPr="003529E9">
              <w:rPr>
                <w:rFonts w:ascii="Arial" w:hAnsi="Arial" w:cs="Arial"/>
                <w:b/>
                <w:sz w:val="16"/>
                <w:szCs w:val="16"/>
              </w:rPr>
              <w:t xml:space="preserve">Mean </w:t>
            </w:r>
            <w:r w:rsidR="00BE0337">
              <w:rPr>
                <w:rFonts w:ascii="Arial" w:hAnsi="Arial" w:cs="Arial"/>
                <w:b/>
                <w:sz w:val="16"/>
                <w:szCs w:val="16"/>
              </w:rPr>
              <w:t>(N)</w:t>
            </w:r>
          </w:p>
        </w:tc>
        <w:tc>
          <w:tcPr>
            <w:tcW w:w="2336" w:type="dxa"/>
            <w:tcBorders>
              <w:top w:val="nil"/>
              <w:left w:val="nil"/>
              <w:bottom w:val="single" w:sz="4" w:space="0" w:color="auto"/>
              <w:right w:val="single" w:sz="2" w:space="0" w:color="auto"/>
            </w:tcBorders>
          </w:tcPr>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r w:rsidRPr="003529E9">
              <w:rPr>
                <w:rFonts w:ascii="Arial" w:hAnsi="Arial" w:cs="Arial"/>
                <w:b/>
                <w:sz w:val="16"/>
                <w:szCs w:val="16"/>
              </w:rPr>
              <w:t>Mean Change (95% CI)</w:t>
            </w:r>
            <w:r w:rsidRPr="003529E9">
              <w:rPr>
                <w:rFonts w:ascii="Arial" w:hAnsi="Arial" w:cs="Arial"/>
                <w:b/>
                <w:sz w:val="16"/>
                <w:szCs w:val="16"/>
                <w:vertAlign w:val="superscript"/>
              </w:rPr>
              <w:t>†</w:t>
            </w:r>
            <w:r w:rsidRPr="003529E9">
              <w:rPr>
                <w:rFonts w:ascii="Arial" w:hAnsi="Arial" w:cs="Arial"/>
                <w:b/>
                <w:sz w:val="16"/>
                <w:szCs w:val="16"/>
              </w:rPr>
              <w:t xml:space="preserve"> </w:t>
            </w:r>
          </w:p>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p>
        </w:tc>
        <w:tc>
          <w:tcPr>
            <w:tcW w:w="1116" w:type="dxa"/>
            <w:tcBorders>
              <w:top w:val="nil"/>
              <w:left w:val="nil"/>
              <w:bottom w:val="single" w:sz="4" w:space="0" w:color="auto"/>
              <w:right w:val="single" w:sz="2" w:space="0" w:color="auto"/>
            </w:tcBorders>
          </w:tcPr>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r w:rsidRPr="003529E9">
              <w:rPr>
                <w:rFonts w:ascii="Arial" w:hAnsi="Arial" w:cs="Arial"/>
                <w:b/>
                <w:sz w:val="16"/>
                <w:szCs w:val="16"/>
              </w:rPr>
              <w:t>Baseline</w:t>
            </w:r>
          </w:p>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r w:rsidRPr="003529E9">
              <w:rPr>
                <w:rFonts w:ascii="Arial" w:hAnsi="Arial" w:cs="Arial"/>
                <w:b/>
                <w:sz w:val="16"/>
                <w:szCs w:val="16"/>
              </w:rPr>
              <w:t xml:space="preserve">Mean </w:t>
            </w:r>
            <w:r w:rsidR="00BE0337">
              <w:rPr>
                <w:rFonts w:ascii="Arial" w:hAnsi="Arial" w:cs="Arial"/>
                <w:b/>
                <w:sz w:val="16"/>
                <w:szCs w:val="16"/>
              </w:rPr>
              <w:t>(N)</w:t>
            </w:r>
          </w:p>
        </w:tc>
        <w:tc>
          <w:tcPr>
            <w:tcW w:w="2368" w:type="dxa"/>
            <w:tcBorders>
              <w:top w:val="nil"/>
              <w:left w:val="nil"/>
              <w:bottom w:val="single" w:sz="4" w:space="0" w:color="auto"/>
            </w:tcBorders>
          </w:tcPr>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r w:rsidRPr="003529E9">
              <w:rPr>
                <w:rFonts w:ascii="Arial" w:hAnsi="Arial" w:cs="Arial"/>
                <w:b/>
                <w:sz w:val="16"/>
                <w:szCs w:val="16"/>
              </w:rPr>
              <w:t>Mean Change (95% CI)</w:t>
            </w:r>
            <w:r w:rsidRPr="003529E9">
              <w:rPr>
                <w:rFonts w:ascii="Arial" w:hAnsi="Arial" w:cs="Arial"/>
                <w:b/>
                <w:sz w:val="16"/>
                <w:szCs w:val="16"/>
                <w:vertAlign w:val="superscript"/>
              </w:rPr>
              <w:t>†</w:t>
            </w:r>
          </w:p>
          <w:p w:rsidR="00700DB7" w:rsidRPr="003529E9" w:rsidRDefault="00700DB7" w:rsidP="00700DB7">
            <w:pPr>
              <w:widowControl w:val="0"/>
              <w:autoSpaceDE w:val="0"/>
              <w:autoSpaceDN w:val="0"/>
              <w:adjustRightInd w:val="0"/>
              <w:spacing w:before="15" w:after="15"/>
              <w:jc w:val="center"/>
              <w:rPr>
                <w:rFonts w:ascii="Arial" w:hAnsi="Arial" w:cs="Arial"/>
                <w:b/>
                <w:sz w:val="16"/>
                <w:szCs w:val="16"/>
              </w:rPr>
            </w:pPr>
          </w:p>
        </w:tc>
      </w:tr>
      <w:tr w:rsidR="00700DB7" w:rsidRPr="003529E9" w:rsidTr="00700DB7">
        <w:tblPrEx>
          <w:tblBorders>
            <w:top w:val="single" w:sz="4" w:space="0" w:color="auto"/>
            <w:bottom w:val="single" w:sz="4" w:space="0" w:color="auto"/>
          </w:tblBorders>
        </w:tblPrEx>
        <w:tc>
          <w:tcPr>
            <w:tcW w:w="2224" w:type="dxa"/>
            <w:tcBorders>
              <w:top w:val="single" w:sz="4" w:space="0" w:color="auto"/>
              <w:bottom w:val="single" w:sz="2" w:space="0" w:color="auto"/>
              <w:right w:val="single" w:sz="2" w:space="0" w:color="auto"/>
            </w:tcBorders>
          </w:tcPr>
          <w:p w:rsidR="00700DB7" w:rsidRPr="003529E9" w:rsidRDefault="00700DB7" w:rsidP="00700DB7">
            <w:pPr>
              <w:rPr>
                <w:rFonts w:ascii="Arial" w:hAnsi="Arial" w:cs="Arial"/>
                <w:sz w:val="16"/>
                <w:szCs w:val="16"/>
              </w:rPr>
            </w:pPr>
            <w:r w:rsidRPr="003529E9">
              <w:rPr>
                <w:rFonts w:ascii="Arial" w:hAnsi="Arial" w:cs="Arial"/>
                <w:sz w:val="16"/>
                <w:szCs w:val="16"/>
              </w:rPr>
              <w:t>Total Cholesterol (mg/dL)</w:t>
            </w:r>
            <w:r w:rsidRPr="003529E9">
              <w:rPr>
                <w:rFonts w:ascii="Arial" w:hAnsi="Arial" w:cs="Arial"/>
                <w:sz w:val="16"/>
                <w:szCs w:val="16"/>
                <w:vertAlign w:val="superscript"/>
              </w:rPr>
              <w:t>‡</w:t>
            </w:r>
          </w:p>
        </w:tc>
        <w:tc>
          <w:tcPr>
            <w:tcW w:w="936" w:type="dxa"/>
            <w:tcBorders>
              <w:top w:val="single" w:sz="4" w:space="0" w:color="auto"/>
              <w:left w:val="nil"/>
              <w:bottom w:val="single" w:sz="2" w:space="0" w:color="auto"/>
              <w:right w:val="single" w:sz="2" w:space="0" w:color="auto"/>
            </w:tcBorders>
          </w:tcPr>
          <w:p w:rsidR="00700DB7" w:rsidRPr="00BE0337" w:rsidRDefault="00FE1216" w:rsidP="00700DB7">
            <w:pPr>
              <w:widowControl w:val="0"/>
              <w:autoSpaceDE w:val="0"/>
              <w:autoSpaceDN w:val="0"/>
              <w:adjustRightInd w:val="0"/>
              <w:spacing w:before="15" w:after="15"/>
              <w:ind w:right="1" w:hanging="160"/>
              <w:jc w:val="center"/>
              <w:rPr>
                <w:rFonts w:ascii="Arial" w:hAnsi="Arial" w:cs="Arial"/>
                <w:sz w:val="16"/>
                <w:szCs w:val="16"/>
              </w:rPr>
            </w:pPr>
            <w:r w:rsidRPr="00BE0337">
              <w:rPr>
                <w:rFonts w:ascii="Arial" w:hAnsi="Arial" w:cs="Arial"/>
                <w:sz w:val="16"/>
                <w:szCs w:val="16"/>
              </w:rPr>
              <w:t>159.5</w:t>
            </w:r>
            <w:r w:rsidR="00BE0337">
              <w:rPr>
                <w:rFonts w:ascii="Arial" w:hAnsi="Arial" w:cs="Arial"/>
                <w:sz w:val="16"/>
                <w:szCs w:val="16"/>
              </w:rPr>
              <w:t xml:space="preserve"> (224)</w:t>
            </w:r>
          </w:p>
        </w:tc>
        <w:tc>
          <w:tcPr>
            <w:tcW w:w="2364" w:type="dxa"/>
            <w:gridSpan w:val="2"/>
            <w:tcBorders>
              <w:top w:val="single" w:sz="4" w:space="0" w:color="auto"/>
              <w:left w:val="nil"/>
              <w:bottom w:val="single" w:sz="2" w:space="0" w:color="auto"/>
              <w:right w:val="single" w:sz="2" w:space="0" w:color="auto"/>
            </w:tcBorders>
          </w:tcPr>
          <w:p w:rsidR="00700DB7" w:rsidRPr="00BE0337" w:rsidRDefault="006629D6" w:rsidP="00700DB7">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12.5 (8.2, 16.8)</w:t>
            </w:r>
          </w:p>
        </w:tc>
        <w:tc>
          <w:tcPr>
            <w:tcW w:w="1116" w:type="dxa"/>
            <w:tcBorders>
              <w:top w:val="single" w:sz="4" w:space="0" w:color="auto"/>
              <w:left w:val="nil"/>
              <w:bottom w:val="single" w:sz="2" w:space="0" w:color="auto"/>
              <w:right w:val="single" w:sz="2" w:space="0" w:color="auto"/>
            </w:tcBorders>
          </w:tcPr>
          <w:p w:rsidR="00700DB7" w:rsidRPr="00BE0337" w:rsidRDefault="00FE1216" w:rsidP="00700DB7">
            <w:pPr>
              <w:widowControl w:val="0"/>
              <w:autoSpaceDE w:val="0"/>
              <w:autoSpaceDN w:val="0"/>
              <w:adjustRightInd w:val="0"/>
              <w:spacing w:before="60" w:after="60"/>
              <w:ind w:left="160" w:right="1" w:hanging="160"/>
              <w:jc w:val="center"/>
              <w:rPr>
                <w:rFonts w:ascii="Arial" w:hAnsi="Arial" w:cs="Arial"/>
                <w:sz w:val="16"/>
                <w:szCs w:val="16"/>
              </w:rPr>
            </w:pPr>
            <w:r w:rsidRPr="00BE0337">
              <w:rPr>
                <w:rFonts w:ascii="Arial" w:hAnsi="Arial" w:cs="Arial"/>
                <w:sz w:val="16"/>
                <w:szCs w:val="16"/>
              </w:rPr>
              <w:t>155.</w:t>
            </w:r>
            <w:r w:rsidR="00A636D8" w:rsidRPr="00BE0337">
              <w:rPr>
                <w:rFonts w:ascii="Arial" w:hAnsi="Arial" w:cs="Arial"/>
                <w:sz w:val="16"/>
                <w:szCs w:val="16"/>
              </w:rPr>
              <w:t>5</w:t>
            </w:r>
            <w:r w:rsidR="00B660B2">
              <w:rPr>
                <w:rFonts w:ascii="Arial" w:hAnsi="Arial" w:cs="Arial"/>
                <w:sz w:val="16"/>
                <w:szCs w:val="16"/>
              </w:rPr>
              <w:t xml:space="preserve"> (208)</w:t>
            </w:r>
          </w:p>
        </w:tc>
        <w:tc>
          <w:tcPr>
            <w:tcW w:w="2368" w:type="dxa"/>
            <w:tcBorders>
              <w:top w:val="single" w:sz="4" w:space="0" w:color="auto"/>
              <w:left w:val="nil"/>
              <w:bottom w:val="single" w:sz="2" w:space="0" w:color="auto"/>
            </w:tcBorders>
          </w:tcPr>
          <w:p w:rsidR="00700DB7" w:rsidRPr="00BE0337" w:rsidRDefault="006629D6" w:rsidP="00700DB7">
            <w:pPr>
              <w:widowControl w:val="0"/>
              <w:autoSpaceDE w:val="0"/>
              <w:autoSpaceDN w:val="0"/>
              <w:adjustRightInd w:val="0"/>
              <w:spacing w:before="60" w:after="60"/>
              <w:ind w:left="160" w:right="1" w:hanging="160"/>
              <w:jc w:val="center"/>
              <w:rPr>
                <w:rFonts w:ascii="Arial" w:hAnsi="Arial" w:cs="Arial"/>
                <w:sz w:val="16"/>
                <w:szCs w:val="16"/>
              </w:rPr>
            </w:pPr>
            <w:r>
              <w:rPr>
                <w:rFonts w:ascii="Arial" w:hAnsi="Arial" w:cs="Arial"/>
                <w:sz w:val="16"/>
                <w:szCs w:val="16"/>
              </w:rPr>
              <w:t>39.2 (34.2, 44.1)</w:t>
            </w:r>
          </w:p>
        </w:tc>
      </w:tr>
      <w:tr w:rsidR="00700DB7" w:rsidRPr="003529E9" w:rsidTr="00700DB7">
        <w:tblPrEx>
          <w:tblBorders>
            <w:top w:val="single" w:sz="4" w:space="0" w:color="auto"/>
            <w:bottom w:val="single" w:sz="4" w:space="0" w:color="auto"/>
          </w:tblBorders>
        </w:tblPrEx>
        <w:tc>
          <w:tcPr>
            <w:tcW w:w="2224" w:type="dxa"/>
            <w:tcBorders>
              <w:top w:val="nil"/>
              <w:bottom w:val="single" w:sz="2" w:space="0" w:color="auto"/>
              <w:right w:val="single" w:sz="2" w:space="0" w:color="auto"/>
            </w:tcBorders>
          </w:tcPr>
          <w:p w:rsidR="00700DB7" w:rsidRPr="003529E9" w:rsidRDefault="00700DB7" w:rsidP="00700DB7">
            <w:pPr>
              <w:rPr>
                <w:rFonts w:ascii="Arial" w:hAnsi="Arial" w:cs="Arial"/>
                <w:sz w:val="16"/>
                <w:szCs w:val="16"/>
              </w:rPr>
            </w:pPr>
            <w:r w:rsidRPr="003529E9">
              <w:rPr>
                <w:rFonts w:ascii="Arial" w:hAnsi="Arial" w:cs="Arial"/>
                <w:sz w:val="16"/>
                <w:szCs w:val="16"/>
              </w:rPr>
              <w:t>HDL-Cholesterol (mg/dL)</w:t>
            </w:r>
            <w:r w:rsidRPr="003529E9">
              <w:rPr>
                <w:rFonts w:ascii="Arial" w:hAnsi="Arial" w:cs="Arial"/>
                <w:sz w:val="16"/>
                <w:szCs w:val="16"/>
                <w:vertAlign w:val="superscript"/>
              </w:rPr>
              <w:t>‡</w:t>
            </w:r>
          </w:p>
        </w:tc>
        <w:tc>
          <w:tcPr>
            <w:tcW w:w="936" w:type="dxa"/>
            <w:tcBorders>
              <w:top w:val="nil"/>
              <w:left w:val="nil"/>
              <w:bottom w:val="single" w:sz="2" w:space="0" w:color="auto"/>
              <w:right w:val="single" w:sz="2" w:space="0" w:color="auto"/>
            </w:tcBorders>
          </w:tcPr>
          <w:p w:rsidR="00700DB7" w:rsidRPr="00BE0337" w:rsidRDefault="00FE1216" w:rsidP="00700DB7">
            <w:pPr>
              <w:widowControl w:val="0"/>
              <w:autoSpaceDE w:val="0"/>
              <w:autoSpaceDN w:val="0"/>
              <w:adjustRightInd w:val="0"/>
              <w:spacing w:before="15" w:after="15"/>
              <w:ind w:left="160" w:right="1" w:hanging="160"/>
              <w:jc w:val="center"/>
              <w:rPr>
                <w:rFonts w:ascii="Arial" w:hAnsi="Arial" w:cs="Arial"/>
                <w:sz w:val="16"/>
                <w:szCs w:val="16"/>
              </w:rPr>
            </w:pPr>
            <w:r w:rsidRPr="00BE0337">
              <w:rPr>
                <w:rFonts w:ascii="Arial" w:hAnsi="Arial" w:cs="Arial"/>
                <w:sz w:val="16"/>
                <w:szCs w:val="16"/>
              </w:rPr>
              <w:t>38.4</w:t>
            </w:r>
            <w:r w:rsidR="00BE0337">
              <w:rPr>
                <w:rFonts w:ascii="Arial" w:hAnsi="Arial" w:cs="Arial"/>
                <w:sz w:val="16"/>
                <w:szCs w:val="16"/>
              </w:rPr>
              <w:t xml:space="preserve"> (222)</w:t>
            </w:r>
          </w:p>
        </w:tc>
        <w:tc>
          <w:tcPr>
            <w:tcW w:w="2364" w:type="dxa"/>
            <w:gridSpan w:val="2"/>
            <w:tcBorders>
              <w:top w:val="nil"/>
              <w:left w:val="nil"/>
              <w:bottom w:val="single" w:sz="2" w:space="0" w:color="auto"/>
              <w:right w:val="single" w:sz="2" w:space="0" w:color="auto"/>
            </w:tcBorders>
          </w:tcPr>
          <w:p w:rsidR="00700DB7" w:rsidRPr="00BE0337" w:rsidRDefault="00FE1216" w:rsidP="00700DB7">
            <w:pPr>
              <w:widowControl w:val="0"/>
              <w:autoSpaceDE w:val="0"/>
              <w:autoSpaceDN w:val="0"/>
              <w:adjustRightInd w:val="0"/>
              <w:spacing w:before="15" w:after="15"/>
              <w:ind w:left="160" w:right="1" w:hanging="160"/>
              <w:jc w:val="center"/>
              <w:rPr>
                <w:rFonts w:ascii="Arial" w:hAnsi="Arial" w:cs="Arial"/>
                <w:sz w:val="16"/>
                <w:szCs w:val="16"/>
              </w:rPr>
            </w:pPr>
            <w:r w:rsidRPr="00BE0337">
              <w:rPr>
                <w:rFonts w:ascii="Arial" w:hAnsi="Arial" w:cs="Arial"/>
                <w:sz w:val="16"/>
                <w:szCs w:val="16"/>
              </w:rPr>
              <w:t>4.5 (3.3, 5.6)</w:t>
            </w:r>
          </w:p>
        </w:tc>
        <w:tc>
          <w:tcPr>
            <w:tcW w:w="1116" w:type="dxa"/>
            <w:tcBorders>
              <w:top w:val="nil"/>
              <w:left w:val="nil"/>
              <w:bottom w:val="single" w:sz="2" w:space="0" w:color="auto"/>
              <w:right w:val="single" w:sz="2" w:space="0" w:color="auto"/>
            </w:tcBorders>
          </w:tcPr>
          <w:p w:rsidR="00700DB7" w:rsidRPr="00BE0337" w:rsidRDefault="00FE1216" w:rsidP="00700DB7">
            <w:pPr>
              <w:widowControl w:val="0"/>
              <w:autoSpaceDE w:val="0"/>
              <w:autoSpaceDN w:val="0"/>
              <w:adjustRightInd w:val="0"/>
              <w:spacing w:before="60" w:after="60"/>
              <w:ind w:left="160" w:right="1" w:hanging="160"/>
              <w:jc w:val="center"/>
              <w:rPr>
                <w:rFonts w:ascii="Arial" w:hAnsi="Arial" w:cs="Arial"/>
                <w:sz w:val="16"/>
                <w:szCs w:val="16"/>
              </w:rPr>
            </w:pPr>
            <w:r w:rsidRPr="00BE0337">
              <w:rPr>
                <w:rFonts w:ascii="Arial" w:hAnsi="Arial" w:cs="Arial"/>
                <w:sz w:val="16"/>
                <w:szCs w:val="16"/>
              </w:rPr>
              <w:t>37.9</w:t>
            </w:r>
            <w:r w:rsidR="00B660B2">
              <w:rPr>
                <w:rFonts w:ascii="Arial" w:hAnsi="Arial" w:cs="Arial"/>
                <w:sz w:val="16"/>
                <w:szCs w:val="16"/>
              </w:rPr>
              <w:t xml:space="preserve"> (207)</w:t>
            </w:r>
          </w:p>
        </w:tc>
        <w:tc>
          <w:tcPr>
            <w:tcW w:w="2368" w:type="dxa"/>
            <w:tcBorders>
              <w:top w:val="nil"/>
              <w:left w:val="nil"/>
              <w:bottom w:val="single" w:sz="2" w:space="0" w:color="auto"/>
            </w:tcBorders>
          </w:tcPr>
          <w:p w:rsidR="00700DB7" w:rsidRPr="00BE0337" w:rsidRDefault="00FE1216" w:rsidP="00700DB7">
            <w:pPr>
              <w:widowControl w:val="0"/>
              <w:autoSpaceDE w:val="0"/>
              <w:autoSpaceDN w:val="0"/>
              <w:adjustRightInd w:val="0"/>
              <w:spacing w:before="60" w:after="60"/>
              <w:ind w:left="160" w:right="1" w:hanging="160"/>
              <w:jc w:val="center"/>
              <w:rPr>
                <w:rFonts w:ascii="Arial" w:hAnsi="Arial" w:cs="Arial"/>
                <w:sz w:val="16"/>
                <w:szCs w:val="16"/>
              </w:rPr>
            </w:pPr>
            <w:r w:rsidRPr="00BE0337">
              <w:rPr>
                <w:rFonts w:ascii="Arial" w:hAnsi="Arial" w:cs="Arial"/>
                <w:sz w:val="16"/>
                <w:szCs w:val="16"/>
              </w:rPr>
              <w:t xml:space="preserve">10.5 </w:t>
            </w:r>
            <w:r w:rsidR="00A636D8" w:rsidRPr="00BE0337">
              <w:rPr>
                <w:rFonts w:ascii="Arial" w:hAnsi="Arial" w:cs="Arial"/>
                <w:sz w:val="16"/>
                <w:szCs w:val="16"/>
              </w:rPr>
              <w:t>(</w:t>
            </w:r>
            <w:r w:rsidRPr="00BE0337">
              <w:rPr>
                <w:rFonts w:ascii="Arial" w:hAnsi="Arial" w:cs="Arial"/>
                <w:sz w:val="16"/>
                <w:szCs w:val="16"/>
              </w:rPr>
              <w:t>9.0, 12.</w:t>
            </w:r>
            <w:r w:rsidR="006629D6">
              <w:rPr>
                <w:rFonts w:ascii="Arial" w:hAnsi="Arial" w:cs="Arial"/>
                <w:sz w:val="16"/>
                <w:szCs w:val="16"/>
              </w:rPr>
              <w:t>0</w:t>
            </w:r>
            <w:r w:rsidRPr="00BE0337">
              <w:rPr>
                <w:rFonts w:ascii="Arial" w:hAnsi="Arial" w:cs="Arial"/>
                <w:sz w:val="16"/>
                <w:szCs w:val="16"/>
              </w:rPr>
              <w:t>)</w:t>
            </w:r>
          </w:p>
        </w:tc>
      </w:tr>
      <w:tr w:rsidR="00700DB7" w:rsidRPr="003529E9" w:rsidTr="00700DB7">
        <w:tblPrEx>
          <w:tblBorders>
            <w:top w:val="single" w:sz="4" w:space="0" w:color="auto"/>
            <w:bottom w:val="single" w:sz="4" w:space="0" w:color="auto"/>
          </w:tblBorders>
        </w:tblPrEx>
        <w:tc>
          <w:tcPr>
            <w:tcW w:w="2224" w:type="dxa"/>
            <w:tcBorders>
              <w:top w:val="nil"/>
              <w:bottom w:val="single" w:sz="2" w:space="0" w:color="auto"/>
              <w:right w:val="single" w:sz="2" w:space="0" w:color="auto"/>
            </w:tcBorders>
          </w:tcPr>
          <w:p w:rsidR="00700DB7" w:rsidRPr="003529E9" w:rsidRDefault="00700DB7" w:rsidP="00700DB7">
            <w:pPr>
              <w:rPr>
                <w:rFonts w:ascii="Arial" w:hAnsi="Arial" w:cs="Arial"/>
                <w:sz w:val="16"/>
                <w:szCs w:val="16"/>
                <w:lang w:val="nb-NO"/>
              </w:rPr>
            </w:pPr>
            <w:r w:rsidRPr="003529E9">
              <w:rPr>
                <w:rFonts w:ascii="Arial" w:hAnsi="Arial" w:cs="Arial"/>
                <w:sz w:val="16"/>
                <w:szCs w:val="16"/>
                <w:lang w:val="nb-NO"/>
              </w:rPr>
              <w:t>LDL-</w:t>
            </w:r>
            <w:r w:rsidRPr="003529E9">
              <w:rPr>
                <w:rFonts w:ascii="Arial" w:hAnsi="Arial" w:cs="Arial"/>
                <w:sz w:val="16"/>
                <w:szCs w:val="16"/>
              </w:rPr>
              <w:t>Cholesterol</w:t>
            </w:r>
            <w:r w:rsidRPr="003529E9">
              <w:rPr>
                <w:rFonts w:ascii="Arial" w:hAnsi="Arial" w:cs="Arial"/>
                <w:sz w:val="16"/>
                <w:szCs w:val="16"/>
                <w:lang w:val="nb-NO"/>
              </w:rPr>
              <w:t xml:space="preserve"> (mg/dL)</w:t>
            </w:r>
            <w:r w:rsidRPr="003529E9">
              <w:rPr>
                <w:rFonts w:ascii="Arial" w:hAnsi="Arial" w:cs="Arial"/>
                <w:sz w:val="16"/>
                <w:szCs w:val="16"/>
                <w:vertAlign w:val="superscript"/>
              </w:rPr>
              <w:t>‡</w:t>
            </w:r>
          </w:p>
        </w:tc>
        <w:tc>
          <w:tcPr>
            <w:tcW w:w="936" w:type="dxa"/>
            <w:tcBorders>
              <w:top w:val="nil"/>
              <w:left w:val="nil"/>
              <w:bottom w:val="single" w:sz="2" w:space="0" w:color="auto"/>
              <w:right w:val="single" w:sz="2" w:space="0" w:color="auto"/>
            </w:tcBorders>
          </w:tcPr>
          <w:p w:rsidR="00700DB7" w:rsidRPr="00BE0337" w:rsidRDefault="00FE1216" w:rsidP="00700DB7">
            <w:pPr>
              <w:widowControl w:val="0"/>
              <w:autoSpaceDE w:val="0"/>
              <w:autoSpaceDN w:val="0"/>
              <w:adjustRightInd w:val="0"/>
              <w:spacing w:before="15" w:after="15"/>
              <w:ind w:left="160" w:right="1" w:hanging="160"/>
              <w:jc w:val="center"/>
              <w:rPr>
                <w:rFonts w:ascii="Arial" w:hAnsi="Arial" w:cs="Arial"/>
                <w:sz w:val="16"/>
                <w:szCs w:val="16"/>
              </w:rPr>
            </w:pPr>
            <w:r w:rsidRPr="00BE0337">
              <w:rPr>
                <w:rFonts w:ascii="Arial" w:hAnsi="Arial" w:cs="Arial"/>
                <w:sz w:val="16"/>
                <w:szCs w:val="16"/>
              </w:rPr>
              <w:t>97.0</w:t>
            </w:r>
            <w:r w:rsidR="00BE0337">
              <w:rPr>
                <w:rFonts w:ascii="Arial" w:hAnsi="Arial" w:cs="Arial"/>
                <w:sz w:val="16"/>
                <w:szCs w:val="16"/>
              </w:rPr>
              <w:t xml:space="preserve"> (217)</w:t>
            </w:r>
          </w:p>
        </w:tc>
        <w:tc>
          <w:tcPr>
            <w:tcW w:w="2364" w:type="dxa"/>
            <w:gridSpan w:val="2"/>
            <w:tcBorders>
              <w:top w:val="nil"/>
              <w:left w:val="nil"/>
              <w:bottom w:val="single" w:sz="2" w:space="0" w:color="auto"/>
              <w:right w:val="single" w:sz="2" w:space="0" w:color="auto"/>
            </w:tcBorders>
          </w:tcPr>
          <w:p w:rsidR="00700DB7" w:rsidRPr="00BE0337" w:rsidRDefault="006629D6" w:rsidP="00700DB7">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7.5 (3.8, 11.2)</w:t>
            </w:r>
          </w:p>
        </w:tc>
        <w:tc>
          <w:tcPr>
            <w:tcW w:w="1116" w:type="dxa"/>
            <w:tcBorders>
              <w:top w:val="nil"/>
              <w:left w:val="nil"/>
              <w:bottom w:val="single" w:sz="2" w:space="0" w:color="auto"/>
              <w:right w:val="single" w:sz="2" w:space="0" w:color="auto"/>
            </w:tcBorders>
          </w:tcPr>
          <w:p w:rsidR="00700DB7" w:rsidRPr="00BE0337" w:rsidRDefault="00FE1216" w:rsidP="00700DB7">
            <w:pPr>
              <w:widowControl w:val="0"/>
              <w:autoSpaceDE w:val="0"/>
              <w:autoSpaceDN w:val="0"/>
              <w:adjustRightInd w:val="0"/>
              <w:spacing w:before="60" w:after="60"/>
              <w:ind w:left="160" w:right="1" w:hanging="160"/>
              <w:jc w:val="center"/>
              <w:rPr>
                <w:rFonts w:ascii="Arial" w:hAnsi="Arial" w:cs="Arial"/>
                <w:sz w:val="16"/>
                <w:szCs w:val="16"/>
              </w:rPr>
            </w:pPr>
            <w:r w:rsidRPr="00BE0337">
              <w:rPr>
                <w:rFonts w:ascii="Arial" w:hAnsi="Arial" w:cs="Arial"/>
                <w:sz w:val="16"/>
                <w:szCs w:val="16"/>
              </w:rPr>
              <w:t>92.0</w:t>
            </w:r>
            <w:r w:rsidR="00B660B2">
              <w:rPr>
                <w:rFonts w:ascii="Arial" w:hAnsi="Arial" w:cs="Arial"/>
                <w:sz w:val="16"/>
                <w:szCs w:val="16"/>
              </w:rPr>
              <w:t xml:space="preserve"> (200)</w:t>
            </w:r>
          </w:p>
        </w:tc>
        <w:tc>
          <w:tcPr>
            <w:tcW w:w="2368" w:type="dxa"/>
            <w:tcBorders>
              <w:top w:val="nil"/>
              <w:left w:val="nil"/>
              <w:bottom w:val="single" w:sz="2" w:space="0" w:color="auto"/>
            </w:tcBorders>
          </w:tcPr>
          <w:p w:rsidR="00700DB7" w:rsidRPr="00BE0337" w:rsidRDefault="00FE1216" w:rsidP="00700DB7">
            <w:pPr>
              <w:widowControl w:val="0"/>
              <w:autoSpaceDE w:val="0"/>
              <w:autoSpaceDN w:val="0"/>
              <w:adjustRightInd w:val="0"/>
              <w:spacing w:before="60" w:after="60"/>
              <w:ind w:left="160" w:right="1" w:hanging="160"/>
              <w:jc w:val="center"/>
              <w:rPr>
                <w:rFonts w:ascii="Arial" w:hAnsi="Arial" w:cs="Arial"/>
                <w:sz w:val="16"/>
                <w:szCs w:val="16"/>
              </w:rPr>
            </w:pPr>
            <w:r w:rsidRPr="00BE0337">
              <w:rPr>
                <w:rFonts w:ascii="Arial" w:hAnsi="Arial" w:cs="Arial"/>
                <w:sz w:val="16"/>
                <w:szCs w:val="16"/>
              </w:rPr>
              <w:t>22.</w:t>
            </w:r>
            <w:r w:rsidR="006629D6">
              <w:rPr>
                <w:rFonts w:ascii="Arial" w:hAnsi="Arial" w:cs="Arial"/>
                <w:sz w:val="16"/>
                <w:szCs w:val="16"/>
              </w:rPr>
              <w:t>3</w:t>
            </w:r>
            <w:r w:rsidRPr="00BE0337">
              <w:rPr>
                <w:rFonts w:ascii="Arial" w:hAnsi="Arial" w:cs="Arial"/>
                <w:sz w:val="16"/>
                <w:szCs w:val="16"/>
              </w:rPr>
              <w:t xml:space="preserve"> (18.2, 26.5)</w:t>
            </w:r>
          </w:p>
        </w:tc>
      </w:tr>
      <w:tr w:rsidR="00700DB7" w:rsidRPr="003529E9" w:rsidTr="00700DB7">
        <w:tblPrEx>
          <w:tblBorders>
            <w:top w:val="single" w:sz="4" w:space="0" w:color="auto"/>
            <w:bottom w:val="single" w:sz="4" w:space="0" w:color="auto"/>
          </w:tblBorders>
        </w:tblPrEx>
        <w:tc>
          <w:tcPr>
            <w:tcW w:w="2224" w:type="dxa"/>
            <w:tcBorders>
              <w:top w:val="nil"/>
              <w:bottom w:val="single" w:sz="2" w:space="0" w:color="auto"/>
              <w:right w:val="single" w:sz="2" w:space="0" w:color="auto"/>
            </w:tcBorders>
          </w:tcPr>
          <w:p w:rsidR="00700DB7" w:rsidRPr="003529E9" w:rsidRDefault="00700DB7" w:rsidP="00700DB7">
            <w:pPr>
              <w:rPr>
                <w:rFonts w:ascii="Arial" w:hAnsi="Arial" w:cs="Arial"/>
                <w:sz w:val="16"/>
                <w:szCs w:val="16"/>
                <w:lang w:val="nb-NO"/>
              </w:rPr>
            </w:pPr>
            <w:r w:rsidRPr="003529E9">
              <w:rPr>
                <w:rFonts w:ascii="Arial" w:hAnsi="Arial" w:cs="Arial"/>
                <w:sz w:val="16"/>
                <w:szCs w:val="16"/>
                <w:lang w:val="nb-NO"/>
              </w:rPr>
              <w:t>Triglyceride (mg/dL)</w:t>
            </w:r>
            <w:r w:rsidRPr="003529E9">
              <w:rPr>
                <w:rFonts w:ascii="Arial" w:hAnsi="Arial" w:cs="Arial"/>
                <w:sz w:val="16"/>
                <w:szCs w:val="16"/>
                <w:vertAlign w:val="superscript"/>
              </w:rPr>
              <w:t>‡</w:t>
            </w:r>
          </w:p>
        </w:tc>
        <w:tc>
          <w:tcPr>
            <w:tcW w:w="936" w:type="dxa"/>
            <w:tcBorders>
              <w:top w:val="nil"/>
              <w:left w:val="nil"/>
              <w:bottom w:val="single" w:sz="2" w:space="0" w:color="auto"/>
              <w:right w:val="single" w:sz="2" w:space="0" w:color="auto"/>
            </w:tcBorders>
          </w:tcPr>
          <w:p w:rsidR="00700DB7" w:rsidRPr="00BE0337" w:rsidRDefault="00FE1216" w:rsidP="00700DB7">
            <w:pPr>
              <w:widowControl w:val="0"/>
              <w:autoSpaceDE w:val="0"/>
              <w:autoSpaceDN w:val="0"/>
              <w:adjustRightInd w:val="0"/>
              <w:spacing w:before="15" w:after="15"/>
              <w:ind w:left="160" w:right="1" w:hanging="160"/>
              <w:jc w:val="center"/>
              <w:rPr>
                <w:rFonts w:ascii="Arial" w:hAnsi="Arial" w:cs="Arial"/>
                <w:sz w:val="16"/>
                <w:szCs w:val="16"/>
              </w:rPr>
            </w:pPr>
            <w:r w:rsidRPr="00BE0337">
              <w:rPr>
                <w:rFonts w:ascii="Arial" w:hAnsi="Arial" w:cs="Arial"/>
                <w:sz w:val="16"/>
                <w:szCs w:val="16"/>
              </w:rPr>
              <w:t>125.9</w:t>
            </w:r>
            <w:r w:rsidR="00BE0337">
              <w:rPr>
                <w:rFonts w:ascii="Arial" w:hAnsi="Arial" w:cs="Arial"/>
                <w:sz w:val="16"/>
                <w:szCs w:val="16"/>
              </w:rPr>
              <w:t xml:space="preserve"> (224)</w:t>
            </w:r>
          </w:p>
        </w:tc>
        <w:tc>
          <w:tcPr>
            <w:tcW w:w="2364" w:type="dxa"/>
            <w:gridSpan w:val="2"/>
            <w:tcBorders>
              <w:top w:val="nil"/>
              <w:left w:val="nil"/>
              <w:bottom w:val="single" w:sz="2" w:space="0" w:color="auto"/>
              <w:right w:val="single" w:sz="2" w:space="0" w:color="auto"/>
            </w:tcBorders>
          </w:tcPr>
          <w:p w:rsidR="00700DB7" w:rsidRPr="00BE0337" w:rsidRDefault="006629D6" w:rsidP="00700DB7">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1.3 (-9.8, 12.4)</w:t>
            </w:r>
          </w:p>
        </w:tc>
        <w:tc>
          <w:tcPr>
            <w:tcW w:w="1116" w:type="dxa"/>
            <w:tcBorders>
              <w:top w:val="nil"/>
              <w:left w:val="nil"/>
              <w:bottom w:val="single" w:sz="2" w:space="0" w:color="auto"/>
              <w:right w:val="single" w:sz="2" w:space="0" w:color="auto"/>
            </w:tcBorders>
          </w:tcPr>
          <w:p w:rsidR="00700DB7" w:rsidRPr="00BE0337" w:rsidRDefault="00FE1216" w:rsidP="00700DB7">
            <w:pPr>
              <w:widowControl w:val="0"/>
              <w:autoSpaceDE w:val="0"/>
              <w:autoSpaceDN w:val="0"/>
              <w:adjustRightInd w:val="0"/>
              <w:spacing w:before="60" w:after="60"/>
              <w:ind w:left="160" w:right="1" w:hanging="160"/>
              <w:jc w:val="center"/>
              <w:rPr>
                <w:rFonts w:ascii="Arial" w:hAnsi="Arial" w:cs="Arial"/>
                <w:sz w:val="16"/>
                <w:szCs w:val="16"/>
              </w:rPr>
            </w:pPr>
            <w:r w:rsidRPr="00BE0337">
              <w:rPr>
                <w:rFonts w:ascii="Arial" w:hAnsi="Arial" w:cs="Arial"/>
                <w:sz w:val="16"/>
                <w:szCs w:val="16"/>
              </w:rPr>
              <w:t>138.8</w:t>
            </w:r>
            <w:r w:rsidR="00B660B2">
              <w:rPr>
                <w:rFonts w:ascii="Arial" w:hAnsi="Arial" w:cs="Arial"/>
                <w:sz w:val="16"/>
                <w:szCs w:val="16"/>
              </w:rPr>
              <w:t xml:space="preserve"> (208)</w:t>
            </w:r>
          </w:p>
        </w:tc>
        <w:tc>
          <w:tcPr>
            <w:tcW w:w="2368" w:type="dxa"/>
            <w:tcBorders>
              <w:top w:val="nil"/>
              <w:left w:val="nil"/>
              <w:bottom w:val="single" w:sz="2" w:space="0" w:color="auto"/>
            </w:tcBorders>
          </w:tcPr>
          <w:p w:rsidR="00700DB7" w:rsidRPr="00BE0337" w:rsidRDefault="006629D6" w:rsidP="00700DB7">
            <w:pPr>
              <w:widowControl w:val="0"/>
              <w:autoSpaceDE w:val="0"/>
              <w:autoSpaceDN w:val="0"/>
              <w:adjustRightInd w:val="0"/>
              <w:spacing w:before="60" w:after="60"/>
              <w:ind w:left="160" w:right="1" w:hanging="160"/>
              <w:jc w:val="center"/>
              <w:rPr>
                <w:rFonts w:ascii="Arial" w:hAnsi="Arial" w:cs="Arial"/>
                <w:sz w:val="16"/>
                <w:szCs w:val="16"/>
              </w:rPr>
            </w:pPr>
            <w:r>
              <w:rPr>
                <w:rFonts w:ascii="Arial" w:hAnsi="Arial" w:cs="Arial"/>
                <w:sz w:val="16"/>
                <w:szCs w:val="16"/>
              </w:rPr>
              <w:t>34.8(15.6, 54.0)</w:t>
            </w:r>
          </w:p>
        </w:tc>
      </w:tr>
      <w:tr w:rsidR="00700DB7" w:rsidRPr="003529E9" w:rsidTr="00700DB7">
        <w:tblPrEx>
          <w:tblBorders>
            <w:top w:val="single" w:sz="4" w:space="0" w:color="auto"/>
            <w:bottom w:val="single" w:sz="4" w:space="0" w:color="auto"/>
          </w:tblBorders>
        </w:tblPrEx>
        <w:tc>
          <w:tcPr>
            <w:tcW w:w="2224" w:type="dxa"/>
            <w:tcBorders>
              <w:top w:val="nil"/>
              <w:bottom w:val="single" w:sz="2" w:space="0" w:color="auto"/>
              <w:right w:val="single" w:sz="2" w:space="0" w:color="auto"/>
            </w:tcBorders>
          </w:tcPr>
          <w:p w:rsidR="00700DB7" w:rsidRPr="003529E9" w:rsidRDefault="00700DB7" w:rsidP="00700DB7">
            <w:pPr>
              <w:rPr>
                <w:rFonts w:ascii="Arial" w:hAnsi="Arial" w:cs="Arial"/>
                <w:sz w:val="16"/>
                <w:szCs w:val="16"/>
                <w:lang w:val="nb-NO"/>
              </w:rPr>
            </w:pPr>
            <w:r w:rsidRPr="003529E9">
              <w:rPr>
                <w:rFonts w:ascii="Arial" w:hAnsi="Arial" w:cs="Arial"/>
                <w:sz w:val="16"/>
                <w:szCs w:val="16"/>
              </w:rPr>
              <w:t xml:space="preserve">Total: HDL-C ratio                                </w:t>
            </w:r>
          </w:p>
        </w:tc>
        <w:tc>
          <w:tcPr>
            <w:tcW w:w="936" w:type="dxa"/>
            <w:tcBorders>
              <w:top w:val="nil"/>
              <w:left w:val="nil"/>
              <w:bottom w:val="single" w:sz="2" w:space="0" w:color="auto"/>
              <w:right w:val="single" w:sz="2" w:space="0" w:color="auto"/>
            </w:tcBorders>
          </w:tcPr>
          <w:p w:rsidR="00700DB7" w:rsidRPr="00BE0337" w:rsidRDefault="00700DB7" w:rsidP="00700DB7">
            <w:pPr>
              <w:widowControl w:val="0"/>
              <w:autoSpaceDE w:val="0"/>
              <w:autoSpaceDN w:val="0"/>
              <w:adjustRightInd w:val="0"/>
              <w:spacing w:before="15" w:after="15"/>
              <w:ind w:left="160" w:right="1" w:hanging="160"/>
              <w:jc w:val="center"/>
              <w:rPr>
                <w:rFonts w:ascii="Arial" w:hAnsi="Arial" w:cs="Arial"/>
                <w:sz w:val="16"/>
                <w:szCs w:val="16"/>
              </w:rPr>
            </w:pPr>
            <w:r w:rsidRPr="00BE0337">
              <w:rPr>
                <w:rFonts w:ascii="Arial" w:hAnsi="Arial" w:cs="Arial"/>
                <w:sz w:val="16"/>
                <w:szCs w:val="16"/>
              </w:rPr>
              <w:t>4.4</w:t>
            </w:r>
            <w:r w:rsidR="00BE0337">
              <w:rPr>
                <w:rFonts w:ascii="Arial" w:hAnsi="Arial" w:cs="Arial"/>
                <w:sz w:val="16"/>
                <w:szCs w:val="16"/>
              </w:rPr>
              <w:t xml:space="preserve"> (222)</w:t>
            </w:r>
          </w:p>
        </w:tc>
        <w:tc>
          <w:tcPr>
            <w:tcW w:w="2364" w:type="dxa"/>
            <w:gridSpan w:val="2"/>
            <w:tcBorders>
              <w:top w:val="nil"/>
              <w:left w:val="nil"/>
              <w:bottom w:val="single" w:sz="2" w:space="0" w:color="auto"/>
              <w:right w:val="single" w:sz="2" w:space="0" w:color="auto"/>
            </w:tcBorders>
          </w:tcPr>
          <w:p w:rsidR="00700DB7" w:rsidRPr="00BE0337" w:rsidRDefault="00700DB7" w:rsidP="00700DB7">
            <w:pPr>
              <w:widowControl w:val="0"/>
              <w:autoSpaceDE w:val="0"/>
              <w:autoSpaceDN w:val="0"/>
              <w:adjustRightInd w:val="0"/>
              <w:spacing w:before="15" w:after="15"/>
              <w:ind w:left="160" w:right="1" w:hanging="160"/>
              <w:jc w:val="center"/>
              <w:rPr>
                <w:rFonts w:ascii="Arial" w:hAnsi="Arial" w:cs="Arial"/>
                <w:sz w:val="16"/>
                <w:szCs w:val="16"/>
              </w:rPr>
            </w:pPr>
            <w:r w:rsidRPr="00BE0337">
              <w:rPr>
                <w:rFonts w:ascii="Arial" w:hAnsi="Arial" w:cs="Arial"/>
                <w:sz w:val="16"/>
                <w:szCs w:val="16"/>
              </w:rPr>
              <w:t>-0.2 (-0.3, -0.1)</w:t>
            </w:r>
          </w:p>
        </w:tc>
        <w:tc>
          <w:tcPr>
            <w:tcW w:w="1116" w:type="dxa"/>
            <w:tcBorders>
              <w:top w:val="nil"/>
              <w:left w:val="nil"/>
              <w:bottom w:val="single" w:sz="2" w:space="0" w:color="auto"/>
              <w:right w:val="single" w:sz="2" w:space="0" w:color="auto"/>
            </w:tcBorders>
          </w:tcPr>
          <w:p w:rsidR="00700DB7" w:rsidRPr="00BE0337" w:rsidRDefault="00700DB7" w:rsidP="00700DB7">
            <w:pPr>
              <w:widowControl w:val="0"/>
              <w:autoSpaceDE w:val="0"/>
              <w:autoSpaceDN w:val="0"/>
              <w:adjustRightInd w:val="0"/>
              <w:spacing w:before="60" w:after="60"/>
              <w:ind w:left="160" w:right="1" w:hanging="160"/>
              <w:jc w:val="center"/>
              <w:rPr>
                <w:rFonts w:ascii="Arial" w:hAnsi="Arial" w:cs="Arial"/>
                <w:sz w:val="16"/>
                <w:szCs w:val="16"/>
              </w:rPr>
            </w:pPr>
            <w:r w:rsidRPr="00BE0337">
              <w:rPr>
                <w:rFonts w:ascii="Arial" w:hAnsi="Arial" w:cs="Arial"/>
                <w:sz w:val="16"/>
                <w:szCs w:val="16"/>
              </w:rPr>
              <w:t>4.4</w:t>
            </w:r>
            <w:r w:rsidR="00B660B2">
              <w:rPr>
                <w:rFonts w:ascii="Arial" w:hAnsi="Arial" w:cs="Arial"/>
                <w:sz w:val="16"/>
                <w:szCs w:val="16"/>
              </w:rPr>
              <w:t xml:space="preserve"> (207)</w:t>
            </w:r>
          </w:p>
        </w:tc>
        <w:tc>
          <w:tcPr>
            <w:tcW w:w="2368" w:type="dxa"/>
            <w:tcBorders>
              <w:top w:val="nil"/>
              <w:left w:val="nil"/>
              <w:bottom w:val="single" w:sz="2" w:space="0" w:color="auto"/>
            </w:tcBorders>
          </w:tcPr>
          <w:p w:rsidR="00700DB7" w:rsidRPr="00BE0337" w:rsidRDefault="00FE1216" w:rsidP="00700DB7">
            <w:pPr>
              <w:widowControl w:val="0"/>
              <w:autoSpaceDE w:val="0"/>
              <w:autoSpaceDN w:val="0"/>
              <w:adjustRightInd w:val="0"/>
              <w:spacing w:before="60" w:after="60"/>
              <w:ind w:left="160" w:right="1" w:hanging="160"/>
              <w:jc w:val="center"/>
              <w:rPr>
                <w:rFonts w:ascii="Arial" w:hAnsi="Arial" w:cs="Arial"/>
                <w:sz w:val="16"/>
                <w:szCs w:val="16"/>
              </w:rPr>
            </w:pPr>
            <w:r w:rsidRPr="00BE0337">
              <w:rPr>
                <w:rFonts w:ascii="Arial" w:hAnsi="Arial" w:cs="Arial"/>
                <w:sz w:val="16"/>
                <w:szCs w:val="16"/>
              </w:rPr>
              <w:t>0 (-0.2, 0.2)</w:t>
            </w:r>
          </w:p>
        </w:tc>
      </w:tr>
      <w:tr w:rsidR="00700DB7" w:rsidRPr="003529E9" w:rsidTr="00700DB7">
        <w:tblPrEx>
          <w:tblBorders>
            <w:top w:val="single" w:sz="4" w:space="0" w:color="auto"/>
            <w:bottom w:val="single" w:sz="4" w:space="0" w:color="auto"/>
          </w:tblBorders>
        </w:tblPrEx>
        <w:tc>
          <w:tcPr>
            <w:tcW w:w="2224" w:type="dxa"/>
            <w:tcBorders>
              <w:top w:val="nil"/>
              <w:bottom w:val="single" w:sz="2" w:space="0" w:color="auto"/>
              <w:right w:val="single" w:sz="2" w:space="0" w:color="auto"/>
            </w:tcBorders>
          </w:tcPr>
          <w:p w:rsidR="00700DB7" w:rsidRPr="003529E9" w:rsidRDefault="00700DB7" w:rsidP="00700DB7">
            <w:pPr>
              <w:rPr>
                <w:rFonts w:ascii="Arial" w:hAnsi="Arial" w:cs="Arial"/>
                <w:sz w:val="16"/>
                <w:szCs w:val="16"/>
                <w:lang w:val="it-IT"/>
              </w:rPr>
            </w:pPr>
            <w:r w:rsidRPr="003529E9">
              <w:rPr>
                <w:rFonts w:ascii="Arial" w:hAnsi="Arial" w:cs="Arial"/>
                <w:sz w:val="16"/>
                <w:szCs w:val="16"/>
                <w:lang w:val="it-IT"/>
              </w:rPr>
              <w:t xml:space="preserve">Non-HDL-C (mg/dL)                                </w:t>
            </w:r>
          </w:p>
        </w:tc>
        <w:tc>
          <w:tcPr>
            <w:tcW w:w="936" w:type="dxa"/>
            <w:tcBorders>
              <w:top w:val="nil"/>
              <w:left w:val="nil"/>
              <w:bottom w:val="single" w:sz="2" w:space="0" w:color="auto"/>
              <w:right w:val="single" w:sz="2" w:space="0" w:color="auto"/>
            </w:tcBorders>
          </w:tcPr>
          <w:p w:rsidR="00700DB7" w:rsidRPr="00BE0337" w:rsidRDefault="00FE1216" w:rsidP="00700DB7">
            <w:pPr>
              <w:widowControl w:val="0"/>
              <w:autoSpaceDE w:val="0"/>
              <w:autoSpaceDN w:val="0"/>
              <w:adjustRightInd w:val="0"/>
              <w:spacing w:before="15" w:after="15"/>
              <w:ind w:left="160" w:right="1" w:hanging="160"/>
              <w:jc w:val="center"/>
              <w:rPr>
                <w:rFonts w:ascii="Arial" w:hAnsi="Arial" w:cs="Arial"/>
                <w:sz w:val="16"/>
                <w:szCs w:val="16"/>
              </w:rPr>
            </w:pPr>
            <w:r w:rsidRPr="00BE0337">
              <w:rPr>
                <w:rFonts w:ascii="Arial" w:hAnsi="Arial" w:cs="Arial"/>
                <w:sz w:val="16"/>
                <w:szCs w:val="16"/>
              </w:rPr>
              <w:t>121.0</w:t>
            </w:r>
            <w:r w:rsidR="00BE0337">
              <w:rPr>
                <w:rFonts w:ascii="Arial" w:hAnsi="Arial" w:cs="Arial"/>
                <w:sz w:val="16"/>
                <w:szCs w:val="16"/>
              </w:rPr>
              <w:t xml:space="preserve"> (222)</w:t>
            </w:r>
          </w:p>
        </w:tc>
        <w:tc>
          <w:tcPr>
            <w:tcW w:w="2364" w:type="dxa"/>
            <w:gridSpan w:val="2"/>
            <w:tcBorders>
              <w:top w:val="nil"/>
              <w:left w:val="nil"/>
              <w:bottom w:val="single" w:sz="2" w:space="0" w:color="auto"/>
              <w:right w:val="single" w:sz="2" w:space="0" w:color="auto"/>
            </w:tcBorders>
          </w:tcPr>
          <w:p w:rsidR="00700DB7" w:rsidRPr="00BE0337" w:rsidRDefault="006629D6" w:rsidP="00017B34">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7.9 (3.9</w:t>
            </w:r>
            <w:r w:rsidR="00FE1216" w:rsidRPr="00BE0337">
              <w:rPr>
                <w:rFonts w:ascii="Arial" w:hAnsi="Arial" w:cs="Arial"/>
                <w:sz w:val="16"/>
                <w:szCs w:val="16"/>
              </w:rPr>
              <w:t>, 11.9)</w:t>
            </w:r>
          </w:p>
        </w:tc>
        <w:tc>
          <w:tcPr>
            <w:tcW w:w="1116" w:type="dxa"/>
            <w:tcBorders>
              <w:top w:val="nil"/>
              <w:left w:val="nil"/>
              <w:bottom w:val="single" w:sz="2" w:space="0" w:color="auto"/>
              <w:right w:val="single" w:sz="2" w:space="0" w:color="auto"/>
            </w:tcBorders>
          </w:tcPr>
          <w:p w:rsidR="00700DB7" w:rsidRPr="00BE0337" w:rsidRDefault="00FE1216" w:rsidP="00700DB7">
            <w:pPr>
              <w:widowControl w:val="0"/>
              <w:autoSpaceDE w:val="0"/>
              <w:autoSpaceDN w:val="0"/>
              <w:adjustRightInd w:val="0"/>
              <w:spacing w:before="15" w:after="15"/>
              <w:ind w:left="160" w:right="1" w:hanging="160"/>
              <w:jc w:val="center"/>
              <w:rPr>
                <w:rFonts w:ascii="Arial" w:hAnsi="Arial" w:cs="Arial"/>
                <w:sz w:val="16"/>
                <w:szCs w:val="16"/>
              </w:rPr>
            </w:pPr>
            <w:r w:rsidRPr="00BE0337">
              <w:rPr>
                <w:rFonts w:ascii="Arial" w:hAnsi="Arial" w:cs="Arial"/>
                <w:sz w:val="16"/>
                <w:szCs w:val="16"/>
              </w:rPr>
              <w:t>117.8</w:t>
            </w:r>
            <w:r w:rsidR="00B660B2">
              <w:rPr>
                <w:rFonts w:ascii="Arial" w:hAnsi="Arial" w:cs="Arial"/>
                <w:sz w:val="16"/>
                <w:szCs w:val="16"/>
              </w:rPr>
              <w:t xml:space="preserve"> (207)</w:t>
            </w:r>
          </w:p>
        </w:tc>
        <w:tc>
          <w:tcPr>
            <w:tcW w:w="2368" w:type="dxa"/>
            <w:tcBorders>
              <w:top w:val="nil"/>
              <w:left w:val="nil"/>
              <w:bottom w:val="single" w:sz="2" w:space="0" w:color="auto"/>
            </w:tcBorders>
          </w:tcPr>
          <w:p w:rsidR="00700DB7" w:rsidRPr="00BE0337" w:rsidRDefault="006629D6" w:rsidP="00700DB7">
            <w:pPr>
              <w:widowControl w:val="0"/>
              <w:autoSpaceDE w:val="0"/>
              <w:autoSpaceDN w:val="0"/>
              <w:adjustRightInd w:val="0"/>
              <w:spacing w:before="15" w:after="15"/>
              <w:ind w:left="160" w:right="1" w:hanging="160"/>
              <w:jc w:val="center"/>
              <w:rPr>
                <w:rFonts w:ascii="Arial" w:hAnsi="Arial" w:cs="Arial"/>
                <w:sz w:val="16"/>
                <w:szCs w:val="16"/>
              </w:rPr>
            </w:pPr>
            <w:r>
              <w:rPr>
                <w:rFonts w:ascii="Arial" w:hAnsi="Arial" w:cs="Arial"/>
                <w:sz w:val="16"/>
                <w:szCs w:val="16"/>
              </w:rPr>
              <w:t>28.7 (23.8, 33.6)</w:t>
            </w:r>
          </w:p>
        </w:tc>
      </w:tr>
      <w:tr w:rsidR="00700DB7" w:rsidRPr="003529E9" w:rsidTr="00700DB7">
        <w:tblPrEx>
          <w:tblBorders>
            <w:top w:val="single" w:sz="4" w:space="0" w:color="auto"/>
            <w:bottom w:val="single" w:sz="4" w:space="0" w:color="auto"/>
          </w:tblBorders>
        </w:tblPrEx>
        <w:tc>
          <w:tcPr>
            <w:tcW w:w="9008" w:type="dxa"/>
            <w:gridSpan w:val="6"/>
            <w:tcBorders>
              <w:top w:val="single" w:sz="2" w:space="0" w:color="auto"/>
              <w:bottom w:val="nil"/>
            </w:tcBorders>
          </w:tcPr>
          <w:p w:rsidR="00700DB7" w:rsidRPr="00BE0337" w:rsidRDefault="00700DB7" w:rsidP="00700DB7">
            <w:pPr>
              <w:widowControl w:val="0"/>
              <w:autoSpaceDE w:val="0"/>
              <w:autoSpaceDN w:val="0"/>
              <w:adjustRightInd w:val="0"/>
              <w:spacing w:before="30" w:after="30"/>
              <w:rPr>
                <w:rFonts w:ascii="Arial" w:hAnsi="Arial" w:cs="Arial"/>
                <w:sz w:val="16"/>
                <w:szCs w:val="16"/>
              </w:rPr>
            </w:pPr>
            <w:r w:rsidRPr="00BE0337">
              <w:rPr>
                <w:rFonts w:ascii="Arial" w:hAnsi="Arial" w:cs="Arial"/>
                <w:sz w:val="16"/>
                <w:szCs w:val="16"/>
                <w:vertAlign w:val="superscript"/>
              </w:rPr>
              <w:t>†</w:t>
            </w:r>
            <w:r w:rsidRPr="00BE0337">
              <w:rPr>
                <w:rFonts w:ascii="Arial" w:hAnsi="Arial" w:cs="Arial"/>
                <w:sz w:val="16"/>
                <w:szCs w:val="16"/>
              </w:rPr>
              <w:t>Within group 95% CIs were based on t-distribution.</w:t>
            </w:r>
          </w:p>
          <w:p w:rsidR="00700DB7" w:rsidRPr="00BE0337" w:rsidRDefault="00700DB7" w:rsidP="00700DB7">
            <w:pPr>
              <w:widowControl w:val="0"/>
              <w:autoSpaceDE w:val="0"/>
              <w:autoSpaceDN w:val="0"/>
              <w:adjustRightInd w:val="0"/>
              <w:spacing w:before="30" w:after="30"/>
              <w:rPr>
                <w:rFonts w:ascii="Arial" w:hAnsi="Arial" w:cs="Arial"/>
                <w:sz w:val="16"/>
                <w:szCs w:val="16"/>
              </w:rPr>
            </w:pPr>
            <w:r w:rsidRPr="00BE0337">
              <w:rPr>
                <w:rFonts w:ascii="Arial" w:hAnsi="Arial" w:cs="Arial"/>
                <w:sz w:val="16"/>
                <w:szCs w:val="16"/>
                <w:vertAlign w:val="superscript"/>
              </w:rPr>
              <w:t>‡</w:t>
            </w:r>
            <w:r w:rsidRPr="00BE0337">
              <w:rPr>
                <w:rFonts w:ascii="Arial" w:hAnsi="Arial" w:cs="Arial"/>
                <w:sz w:val="16"/>
                <w:szCs w:val="16"/>
              </w:rPr>
              <w:t>Fasting (non-random) laboratory tests</w:t>
            </w:r>
            <w:r w:rsidR="00FE1216" w:rsidRPr="00BE0337">
              <w:rPr>
                <w:rFonts w:ascii="Arial" w:hAnsi="Arial" w:cs="Arial"/>
                <w:sz w:val="16"/>
                <w:szCs w:val="16"/>
              </w:rPr>
              <w:t xml:space="preserve"> at Week 144</w:t>
            </w:r>
            <w:r w:rsidRPr="00BE0337">
              <w:rPr>
                <w:rFonts w:ascii="Arial" w:hAnsi="Arial" w:cs="Arial"/>
                <w:sz w:val="16"/>
                <w:szCs w:val="16"/>
              </w:rPr>
              <w:t xml:space="preserve">.                        </w:t>
            </w:r>
          </w:p>
        </w:tc>
      </w:tr>
      <w:tr w:rsidR="00700DB7" w:rsidRPr="003529E9" w:rsidTr="00700DB7">
        <w:tblPrEx>
          <w:tblBorders>
            <w:top w:val="single" w:sz="4" w:space="0" w:color="auto"/>
            <w:bottom w:val="single" w:sz="4" w:space="0" w:color="auto"/>
          </w:tblBorders>
        </w:tblPrEx>
        <w:tc>
          <w:tcPr>
            <w:tcW w:w="9008" w:type="dxa"/>
            <w:gridSpan w:val="6"/>
            <w:tcBorders>
              <w:top w:val="nil"/>
              <w:bottom w:val="nil"/>
            </w:tcBorders>
          </w:tcPr>
          <w:p w:rsidR="00700DB7" w:rsidRPr="003529E9" w:rsidRDefault="00700DB7" w:rsidP="00700DB7">
            <w:pPr>
              <w:tabs>
                <w:tab w:val="left" w:pos="360"/>
              </w:tabs>
              <w:ind w:right="234"/>
              <w:rPr>
                <w:rFonts w:ascii="Arial" w:hAnsi="Arial" w:cs="Arial"/>
                <w:sz w:val="16"/>
                <w:szCs w:val="16"/>
              </w:rPr>
            </w:pPr>
            <w:r w:rsidRPr="003529E9">
              <w:rPr>
                <w:rFonts w:ascii="Arial" w:hAnsi="Arial" w:cs="Arial"/>
                <w:sz w:val="16"/>
                <w:szCs w:val="16"/>
              </w:rPr>
              <w:t>Notes:</w:t>
            </w:r>
          </w:p>
          <w:p w:rsidR="00700DB7" w:rsidRPr="003529E9" w:rsidRDefault="00700DB7" w:rsidP="00700DB7">
            <w:pPr>
              <w:widowControl w:val="0"/>
              <w:autoSpaceDE w:val="0"/>
              <w:autoSpaceDN w:val="0"/>
              <w:adjustRightInd w:val="0"/>
              <w:spacing w:before="30" w:after="30"/>
              <w:rPr>
                <w:rFonts w:ascii="Arial" w:hAnsi="Arial" w:cs="Arial"/>
                <w:sz w:val="16"/>
                <w:szCs w:val="16"/>
              </w:rPr>
            </w:pPr>
            <w:r w:rsidRPr="003529E9">
              <w:rPr>
                <w:rFonts w:ascii="Arial" w:hAnsi="Arial" w:cs="Arial"/>
                <w:sz w:val="16"/>
                <w:szCs w:val="16"/>
              </w:rPr>
              <w:t>ISENTRESS and efavirenz were administered with emtricitabine (+) tenofovir.</w:t>
            </w:r>
          </w:p>
        </w:tc>
      </w:tr>
      <w:tr w:rsidR="00700DB7" w:rsidRPr="003529E9" w:rsidTr="00700DB7">
        <w:tblPrEx>
          <w:tblBorders>
            <w:top w:val="single" w:sz="4" w:space="0" w:color="auto"/>
            <w:bottom w:val="single" w:sz="4" w:space="0" w:color="auto"/>
          </w:tblBorders>
        </w:tblPrEx>
        <w:tc>
          <w:tcPr>
            <w:tcW w:w="9008" w:type="dxa"/>
            <w:gridSpan w:val="6"/>
            <w:tcBorders>
              <w:top w:val="nil"/>
              <w:bottom w:val="nil"/>
            </w:tcBorders>
          </w:tcPr>
          <w:p w:rsidR="00700DB7" w:rsidRPr="003529E9" w:rsidRDefault="00700DB7" w:rsidP="00700DB7">
            <w:pPr>
              <w:tabs>
                <w:tab w:val="left" w:pos="360"/>
              </w:tabs>
              <w:ind w:right="234"/>
              <w:rPr>
                <w:rFonts w:ascii="Arial" w:hAnsi="Arial" w:cs="Arial"/>
                <w:sz w:val="16"/>
                <w:szCs w:val="16"/>
              </w:rPr>
            </w:pPr>
            <w:r w:rsidRPr="003529E9">
              <w:rPr>
                <w:rFonts w:ascii="Arial" w:hAnsi="Arial" w:cs="Arial"/>
                <w:sz w:val="16"/>
                <w:szCs w:val="16"/>
              </w:rPr>
              <w:t>N = Number of patients in the treatment group. The analysis is based all available data</w:t>
            </w:r>
          </w:p>
        </w:tc>
      </w:tr>
      <w:tr w:rsidR="00700DB7" w:rsidRPr="003529E9" w:rsidTr="00700DB7">
        <w:tblPrEx>
          <w:tblBorders>
            <w:top w:val="single" w:sz="4" w:space="0" w:color="auto"/>
            <w:bottom w:val="single" w:sz="4" w:space="0" w:color="auto"/>
          </w:tblBorders>
        </w:tblPrEx>
        <w:tc>
          <w:tcPr>
            <w:tcW w:w="9008" w:type="dxa"/>
            <w:gridSpan w:val="6"/>
            <w:tcBorders>
              <w:top w:val="nil"/>
              <w:bottom w:val="nil"/>
            </w:tcBorders>
          </w:tcPr>
          <w:p w:rsidR="00700DB7" w:rsidRPr="003529E9" w:rsidRDefault="00700DB7" w:rsidP="00700DB7">
            <w:pPr>
              <w:tabs>
                <w:tab w:val="left" w:pos="360"/>
              </w:tabs>
              <w:ind w:right="234"/>
              <w:rPr>
                <w:rFonts w:ascii="Arial" w:hAnsi="Arial" w:cs="Arial"/>
                <w:sz w:val="16"/>
                <w:szCs w:val="16"/>
              </w:rPr>
            </w:pPr>
            <w:r w:rsidRPr="003529E9">
              <w:rPr>
                <w:rFonts w:ascii="Arial" w:hAnsi="Arial" w:cs="Arial"/>
                <w:sz w:val="16"/>
                <w:szCs w:val="16"/>
              </w:rPr>
              <w:t>P≤0.001 for comparison of ISENTRESS vs. efavirenz except Total: HDL-C ratio (p-value=0</w:t>
            </w:r>
            <w:r w:rsidRPr="00B660B2">
              <w:rPr>
                <w:rFonts w:ascii="Arial" w:hAnsi="Arial" w:cs="Arial"/>
                <w:sz w:val="16"/>
                <w:szCs w:val="16"/>
              </w:rPr>
              <w:t>.</w:t>
            </w:r>
            <w:r w:rsidR="00FE1216" w:rsidRPr="00B660B2">
              <w:rPr>
                <w:rFonts w:ascii="Arial" w:hAnsi="Arial" w:cs="Arial"/>
                <w:sz w:val="16"/>
                <w:szCs w:val="16"/>
              </w:rPr>
              <w:t>061</w:t>
            </w:r>
            <w:r w:rsidRPr="00B660B2">
              <w:rPr>
                <w:rFonts w:ascii="Arial" w:hAnsi="Arial" w:cs="Arial"/>
                <w:sz w:val="16"/>
                <w:szCs w:val="16"/>
              </w:rPr>
              <w:t>)</w:t>
            </w:r>
            <w:r w:rsidR="00FE1216" w:rsidRPr="00B660B2">
              <w:rPr>
                <w:rFonts w:ascii="Arial" w:hAnsi="Arial" w:cs="Arial"/>
                <w:sz w:val="16"/>
                <w:szCs w:val="16"/>
              </w:rPr>
              <w:t xml:space="preserve"> and Triglyceride (p-value=0.0</w:t>
            </w:r>
            <w:r w:rsidR="00B660B2">
              <w:rPr>
                <w:rFonts w:ascii="Arial" w:hAnsi="Arial" w:cs="Arial"/>
                <w:sz w:val="16"/>
                <w:szCs w:val="16"/>
              </w:rPr>
              <w:t>0</w:t>
            </w:r>
            <w:r w:rsidR="00FE1216" w:rsidRPr="00B660B2">
              <w:rPr>
                <w:rFonts w:ascii="Arial" w:hAnsi="Arial" w:cs="Arial"/>
                <w:sz w:val="16"/>
                <w:szCs w:val="16"/>
              </w:rPr>
              <w:t>4)</w:t>
            </w:r>
            <w:r w:rsidRPr="00B660B2">
              <w:rPr>
                <w:rFonts w:ascii="Arial" w:hAnsi="Arial" w:cs="Arial"/>
                <w:sz w:val="16"/>
                <w:szCs w:val="16"/>
              </w:rPr>
              <w:t>.</w:t>
            </w:r>
          </w:p>
        </w:tc>
      </w:tr>
      <w:tr w:rsidR="00700DB7" w:rsidRPr="003529E9" w:rsidTr="00700DB7">
        <w:tblPrEx>
          <w:tblBorders>
            <w:top w:val="single" w:sz="4" w:space="0" w:color="auto"/>
            <w:bottom w:val="single" w:sz="4" w:space="0" w:color="auto"/>
          </w:tblBorders>
        </w:tblPrEx>
        <w:tc>
          <w:tcPr>
            <w:tcW w:w="9008" w:type="dxa"/>
            <w:gridSpan w:val="6"/>
            <w:tcBorders>
              <w:top w:val="nil"/>
              <w:bottom w:val="single" w:sz="4" w:space="0" w:color="auto"/>
            </w:tcBorders>
          </w:tcPr>
          <w:p w:rsidR="00700DB7" w:rsidRPr="003529E9" w:rsidRDefault="00700DB7" w:rsidP="00700DB7">
            <w:pPr>
              <w:tabs>
                <w:tab w:val="left" w:pos="360"/>
              </w:tabs>
              <w:ind w:right="234"/>
              <w:rPr>
                <w:rFonts w:ascii="Arial" w:hAnsi="Arial" w:cs="Arial"/>
                <w:sz w:val="16"/>
                <w:szCs w:val="16"/>
              </w:rPr>
            </w:pPr>
            <w:r w:rsidRPr="003529E9">
              <w:rPr>
                <w:rFonts w:ascii="Arial" w:hAnsi="Arial" w:cs="Arial"/>
                <w:sz w:val="16"/>
                <w:szCs w:val="16"/>
              </w:rPr>
              <w:t>The Last Obs. Carry Forward (LOCF) approach is applied for the missing data when the missing is due to increased lipids (e.g., use of rescue therapy).</w:t>
            </w:r>
          </w:p>
        </w:tc>
      </w:tr>
    </w:tbl>
    <w:bookmarkEnd w:id="18"/>
    <w:bookmarkEnd w:id="19"/>
    <w:p w:rsidR="00D35701" w:rsidRDefault="00875DB0" w:rsidP="00606F1A">
      <w:pPr>
        <w:pStyle w:val="Heading3"/>
        <w:jc w:val="both"/>
      </w:pPr>
      <w:r>
        <w:t>POSTMARKETING EXPERIENCE</w:t>
      </w:r>
    </w:p>
    <w:p w:rsidR="00D35701" w:rsidRDefault="00D35701" w:rsidP="00D35701">
      <w:pPr>
        <w:jc w:val="both"/>
        <w:rPr>
          <w:rFonts w:ascii="Arial" w:hAnsi="Arial"/>
          <w:sz w:val="22"/>
          <w:szCs w:val="22"/>
        </w:rPr>
      </w:pPr>
      <w:r w:rsidRPr="0039030C">
        <w:rPr>
          <w:rFonts w:ascii="Arial" w:hAnsi="Arial"/>
          <w:sz w:val="22"/>
          <w:szCs w:val="22"/>
        </w:rPr>
        <w:t>The following additional adverse experiences have been reported in postmarketed experience without regard to causality:</w:t>
      </w:r>
    </w:p>
    <w:p w:rsidR="00475870" w:rsidRDefault="00475870" w:rsidP="00606F1A">
      <w:pPr>
        <w:pStyle w:val="Heading5"/>
      </w:pPr>
      <w:r w:rsidRPr="00475870">
        <w:t xml:space="preserve">Blood </w:t>
      </w:r>
      <w:r>
        <w:t>and Lympatic System Disorder</w:t>
      </w:r>
      <w:r w:rsidR="000C5CA0">
        <w:t>s</w:t>
      </w:r>
    </w:p>
    <w:p w:rsidR="00475870" w:rsidRDefault="00E23AFD" w:rsidP="00D35701">
      <w:pPr>
        <w:jc w:val="both"/>
        <w:rPr>
          <w:rFonts w:ascii="Arial" w:hAnsi="Arial"/>
          <w:i/>
          <w:sz w:val="22"/>
          <w:szCs w:val="22"/>
        </w:rPr>
      </w:pPr>
      <w:r>
        <w:rPr>
          <w:rFonts w:ascii="Arial" w:hAnsi="Arial"/>
          <w:i/>
          <w:sz w:val="22"/>
          <w:szCs w:val="22"/>
        </w:rPr>
        <w:t>T</w:t>
      </w:r>
      <w:r w:rsidR="00475870">
        <w:rPr>
          <w:rFonts w:ascii="Arial" w:hAnsi="Arial"/>
          <w:i/>
          <w:sz w:val="22"/>
          <w:szCs w:val="22"/>
        </w:rPr>
        <w:t>hrombocytopenia</w:t>
      </w:r>
    </w:p>
    <w:p w:rsidR="00E23AFD" w:rsidRPr="00017B34" w:rsidRDefault="00E23AFD" w:rsidP="00606F1A">
      <w:pPr>
        <w:pStyle w:val="Heading5"/>
      </w:pPr>
      <w:r w:rsidRPr="00017B34">
        <w:t>Hepatobiliary Disorders</w:t>
      </w:r>
    </w:p>
    <w:p w:rsidR="00E23AFD" w:rsidRPr="00017B34" w:rsidRDefault="00E23AFD" w:rsidP="00D35701">
      <w:pPr>
        <w:jc w:val="both"/>
        <w:rPr>
          <w:rFonts w:ascii="Arial" w:hAnsi="Arial"/>
          <w:i/>
          <w:sz w:val="22"/>
          <w:szCs w:val="22"/>
        </w:rPr>
      </w:pPr>
      <w:r w:rsidRPr="00017B34">
        <w:rPr>
          <w:rFonts w:ascii="Arial" w:hAnsi="Arial"/>
          <w:i/>
          <w:sz w:val="22"/>
          <w:szCs w:val="22"/>
        </w:rPr>
        <w:t>Hepatic failure (with and without associated hypersensitivity) in patients with underlying liver disease and/or concomitant medications</w:t>
      </w:r>
    </w:p>
    <w:p w:rsidR="00475870" w:rsidRDefault="00475870" w:rsidP="00606F1A">
      <w:pPr>
        <w:pStyle w:val="Heading5"/>
      </w:pPr>
      <w:r>
        <w:t>Musculoskeletal and Connective Tissue Disorders</w:t>
      </w:r>
    </w:p>
    <w:p w:rsidR="00475870" w:rsidRPr="00475870" w:rsidRDefault="00475870" w:rsidP="00D35701">
      <w:pPr>
        <w:jc w:val="both"/>
        <w:rPr>
          <w:rFonts w:ascii="Arial" w:hAnsi="Arial"/>
          <w:i/>
          <w:sz w:val="22"/>
          <w:szCs w:val="22"/>
        </w:rPr>
      </w:pPr>
      <w:r>
        <w:rPr>
          <w:rFonts w:ascii="Arial" w:hAnsi="Arial"/>
          <w:i/>
          <w:sz w:val="22"/>
          <w:szCs w:val="22"/>
        </w:rPr>
        <w:t>rhabdomyolysis</w:t>
      </w:r>
    </w:p>
    <w:p w:rsidR="00E2440E" w:rsidRDefault="00971D43" w:rsidP="00606F1A">
      <w:pPr>
        <w:pStyle w:val="Heading5"/>
      </w:pPr>
      <w:r>
        <w:t>Nervous System Disorders</w:t>
      </w:r>
    </w:p>
    <w:p w:rsidR="00971D43" w:rsidRPr="00971D43" w:rsidRDefault="00971D43" w:rsidP="007A359B">
      <w:pPr>
        <w:jc w:val="both"/>
        <w:rPr>
          <w:rFonts w:ascii="Arial" w:hAnsi="Arial" w:cs="Arial"/>
          <w:i/>
          <w:sz w:val="22"/>
          <w:szCs w:val="22"/>
        </w:rPr>
      </w:pPr>
      <w:r>
        <w:rPr>
          <w:rFonts w:ascii="Arial" w:hAnsi="Arial" w:cs="Arial"/>
          <w:i/>
          <w:sz w:val="22"/>
          <w:szCs w:val="22"/>
        </w:rPr>
        <w:t>Cerebellar ataxia</w:t>
      </w:r>
    </w:p>
    <w:p w:rsidR="007A359B" w:rsidRPr="00135AAE" w:rsidRDefault="007A359B" w:rsidP="00606F1A">
      <w:pPr>
        <w:pStyle w:val="Heading5"/>
      </w:pPr>
      <w:r w:rsidRPr="00DF34C6">
        <w:t>Psychiatric Disorders</w:t>
      </w:r>
    </w:p>
    <w:p w:rsidR="007A359B" w:rsidRDefault="007A359B" w:rsidP="007A359B">
      <w:pPr>
        <w:widowControl w:val="0"/>
        <w:autoSpaceDE w:val="0"/>
        <w:autoSpaceDN w:val="0"/>
        <w:adjustRightInd w:val="0"/>
        <w:spacing w:before="15" w:after="15"/>
        <w:jc w:val="both"/>
        <w:rPr>
          <w:rStyle w:val="BodyChar"/>
          <w:i/>
          <w:sz w:val="22"/>
          <w:szCs w:val="22"/>
        </w:rPr>
      </w:pPr>
      <w:r w:rsidRPr="007D63A2">
        <w:rPr>
          <w:rStyle w:val="BodyChar"/>
          <w:i/>
          <w:sz w:val="22"/>
          <w:szCs w:val="22"/>
        </w:rPr>
        <w:t xml:space="preserve">depression (particularly in patients with a pre-existing history of psychiatric illness), </w:t>
      </w:r>
      <w:r w:rsidRPr="007D63A2">
        <w:rPr>
          <w:rStyle w:val="BodyChar"/>
          <w:i/>
          <w:sz w:val="22"/>
          <w:szCs w:val="22"/>
        </w:rPr>
        <w:lastRenderedPageBreak/>
        <w:t>including</w:t>
      </w:r>
      <w:r w:rsidRPr="00DF34C6">
        <w:rPr>
          <w:rStyle w:val="BodyChar"/>
          <w:i/>
          <w:sz w:val="22"/>
          <w:szCs w:val="22"/>
        </w:rPr>
        <w:t xml:space="preserve"> suicidal ideation</w:t>
      </w:r>
      <w:r>
        <w:rPr>
          <w:rStyle w:val="BodyChar"/>
          <w:i/>
          <w:sz w:val="22"/>
          <w:szCs w:val="22"/>
        </w:rPr>
        <w:t xml:space="preserve"> and </w:t>
      </w:r>
      <w:r w:rsidRPr="00DF34C6">
        <w:rPr>
          <w:rStyle w:val="BodyChar"/>
          <w:i/>
          <w:sz w:val="22"/>
          <w:szCs w:val="22"/>
        </w:rPr>
        <w:t>behaviors</w:t>
      </w:r>
    </w:p>
    <w:p w:rsidR="00D35701" w:rsidRDefault="00D35701" w:rsidP="00606F1A">
      <w:pPr>
        <w:pStyle w:val="Heading5"/>
      </w:pPr>
      <w:r w:rsidRPr="0004449B">
        <w:t>Skin and Subcutaneous Tissue Disorders</w:t>
      </w:r>
    </w:p>
    <w:p w:rsidR="00D35701" w:rsidRPr="009E3E06" w:rsidRDefault="00D35701" w:rsidP="00D35701">
      <w:pPr>
        <w:pStyle w:val="AllText"/>
        <w:rPr>
          <w:rFonts w:ascii="Arial" w:hAnsi="Arial" w:cs="Arial"/>
          <w:i/>
          <w:sz w:val="22"/>
          <w:szCs w:val="22"/>
        </w:rPr>
      </w:pPr>
      <w:r w:rsidRPr="009E3E06">
        <w:rPr>
          <w:rFonts w:ascii="Arial" w:hAnsi="Arial" w:cs="Arial"/>
          <w:i/>
          <w:sz w:val="22"/>
          <w:szCs w:val="22"/>
        </w:rPr>
        <w:t>Stevens-Johnson syndrome</w:t>
      </w:r>
      <w:r w:rsidR="00971D43">
        <w:rPr>
          <w:rFonts w:ascii="Arial" w:hAnsi="Arial" w:cs="Arial"/>
          <w:i/>
          <w:sz w:val="22"/>
          <w:szCs w:val="22"/>
        </w:rPr>
        <w:t>, drug rash with eosinophilia and systemic symptoms (DRESS)</w:t>
      </w:r>
      <w:r w:rsidRPr="009E3E06">
        <w:rPr>
          <w:rFonts w:ascii="Arial" w:hAnsi="Arial" w:cs="Arial"/>
          <w:i/>
          <w:sz w:val="22"/>
          <w:szCs w:val="22"/>
        </w:rPr>
        <w:t xml:space="preserve"> </w:t>
      </w:r>
    </w:p>
    <w:p w:rsidR="00C24699" w:rsidRPr="00C24699" w:rsidRDefault="00C24699" w:rsidP="00606F1A">
      <w:pPr>
        <w:pStyle w:val="Heading2"/>
      </w:pPr>
      <w:r w:rsidRPr="00C24699">
        <w:t xml:space="preserve">DOSAGE </w:t>
      </w:r>
      <w:r w:rsidR="00B6359E">
        <w:t>AND</w:t>
      </w:r>
      <w:r w:rsidRPr="00C24699">
        <w:t xml:space="preserve"> ADMINISTRATION</w:t>
      </w:r>
    </w:p>
    <w:p w:rsidR="00BF2AEF" w:rsidRDefault="00BD28A8" w:rsidP="00BF2AEF">
      <w:pPr>
        <w:autoSpaceDE w:val="0"/>
        <w:autoSpaceDN w:val="0"/>
        <w:adjustRightInd w:val="0"/>
        <w:jc w:val="both"/>
        <w:rPr>
          <w:rFonts w:ascii="Arial" w:hAnsi="Arial" w:cs="Arial"/>
          <w:sz w:val="22"/>
          <w:szCs w:val="22"/>
        </w:rPr>
      </w:pPr>
      <w:r>
        <w:rPr>
          <w:rFonts w:ascii="Arial" w:hAnsi="Arial" w:cs="Arial"/>
          <w:sz w:val="22"/>
          <w:szCs w:val="22"/>
        </w:rPr>
        <w:t>ISENTRESS is available as a 400 mg tablet formulation and as a chewable tablet formulation in 100 mg (scored) and 25 mg strengths.</w:t>
      </w:r>
      <w:r w:rsidR="00C91C4B">
        <w:rPr>
          <w:rFonts w:ascii="Arial" w:hAnsi="Arial" w:cs="Arial"/>
          <w:sz w:val="22"/>
          <w:szCs w:val="22"/>
        </w:rPr>
        <w:t xml:space="preserve"> </w:t>
      </w:r>
    </w:p>
    <w:p w:rsidR="008E6A87" w:rsidRDefault="008E6A87" w:rsidP="00BF2AEF">
      <w:pPr>
        <w:autoSpaceDE w:val="0"/>
        <w:autoSpaceDN w:val="0"/>
        <w:adjustRightInd w:val="0"/>
        <w:jc w:val="both"/>
        <w:rPr>
          <w:rFonts w:ascii="Arial" w:hAnsi="Arial" w:cs="Arial"/>
          <w:sz w:val="22"/>
          <w:szCs w:val="22"/>
        </w:rPr>
      </w:pPr>
      <w:r>
        <w:rPr>
          <w:rFonts w:ascii="Arial" w:hAnsi="Arial" w:cs="Arial"/>
          <w:sz w:val="22"/>
          <w:szCs w:val="22"/>
        </w:rPr>
        <w:t>ISENTRESS can be administered with or without food</w:t>
      </w:r>
      <w:r w:rsidR="00877939">
        <w:rPr>
          <w:rFonts w:ascii="Arial" w:hAnsi="Arial" w:cs="Arial"/>
          <w:sz w:val="22"/>
          <w:szCs w:val="22"/>
        </w:rPr>
        <w:t>.</w:t>
      </w:r>
    </w:p>
    <w:p w:rsidR="008E6A87" w:rsidRPr="00C91C4B" w:rsidRDefault="008E6A87" w:rsidP="00BF2AEF">
      <w:pPr>
        <w:autoSpaceDE w:val="0"/>
        <w:autoSpaceDN w:val="0"/>
        <w:adjustRightInd w:val="0"/>
        <w:jc w:val="both"/>
        <w:rPr>
          <w:rFonts w:ascii="Arial" w:hAnsi="Arial" w:cs="Arial"/>
          <w:b/>
          <w:color w:val="0000FF"/>
          <w:sz w:val="20"/>
          <w:lang w:val="en-AU"/>
        </w:rPr>
      </w:pPr>
      <w:r>
        <w:rPr>
          <w:rFonts w:ascii="Arial" w:hAnsi="Arial" w:cs="Arial"/>
          <w:sz w:val="22"/>
          <w:szCs w:val="22"/>
        </w:rPr>
        <w:t>It is not recommended to chew, crush or split the 400 mg tablet.</w:t>
      </w:r>
    </w:p>
    <w:p w:rsidR="00BF2AEF" w:rsidRPr="00BF2AEF" w:rsidRDefault="008E6A87" w:rsidP="00BF2AEF">
      <w:pPr>
        <w:autoSpaceDE w:val="0"/>
        <w:autoSpaceDN w:val="0"/>
        <w:adjustRightInd w:val="0"/>
        <w:jc w:val="both"/>
        <w:rPr>
          <w:rFonts w:ascii="Arial" w:hAnsi="Arial" w:cs="Arial"/>
          <w:color w:val="0000FF"/>
          <w:sz w:val="20"/>
          <w:lang w:val="en-AU"/>
        </w:rPr>
      </w:pPr>
      <w:r>
        <w:rPr>
          <w:rFonts w:ascii="Arial" w:hAnsi="Arial" w:cs="Arial"/>
          <w:sz w:val="22"/>
          <w:szCs w:val="22"/>
        </w:rPr>
        <w:t xml:space="preserve">Chewable tablets are to be chewed, not swallowed whole.  </w:t>
      </w:r>
      <w:r w:rsidR="00BD28A8">
        <w:rPr>
          <w:rFonts w:ascii="Arial" w:hAnsi="Arial" w:cs="Arial"/>
          <w:sz w:val="22"/>
          <w:szCs w:val="22"/>
        </w:rPr>
        <w:t>Because the formulations are not bioequivalent, do not substitute chewable tablets for the 400 mg tablet.</w:t>
      </w:r>
      <w:r w:rsidR="00C91C4B">
        <w:rPr>
          <w:rFonts w:ascii="Arial" w:hAnsi="Arial" w:cs="Arial"/>
          <w:sz w:val="22"/>
          <w:szCs w:val="22"/>
        </w:rPr>
        <w:t xml:space="preserve"> </w:t>
      </w:r>
      <w:r>
        <w:rPr>
          <w:rFonts w:ascii="Arial" w:hAnsi="Arial" w:cs="Arial"/>
          <w:sz w:val="22"/>
          <w:szCs w:val="22"/>
        </w:rPr>
        <w:t>Maximum dose of chewable tablets is 300 mg twice daily</w:t>
      </w:r>
    </w:p>
    <w:p w:rsidR="00196ADA" w:rsidRDefault="00196ADA" w:rsidP="00196ADA">
      <w:pPr>
        <w:autoSpaceDE w:val="0"/>
        <w:autoSpaceDN w:val="0"/>
        <w:adjustRightInd w:val="0"/>
        <w:jc w:val="both"/>
        <w:rPr>
          <w:rFonts w:ascii="Arial" w:hAnsi="Arial" w:cs="Arial"/>
          <w:sz w:val="22"/>
          <w:szCs w:val="22"/>
        </w:rPr>
      </w:pPr>
      <w:r>
        <w:rPr>
          <w:rFonts w:ascii="Arial" w:hAnsi="Arial" w:cs="Arial"/>
          <w:sz w:val="22"/>
          <w:szCs w:val="22"/>
        </w:rPr>
        <w:t>ISENTRESS is to be given in a combination regimen with other antiretroviral agents.</w:t>
      </w:r>
    </w:p>
    <w:p w:rsidR="00BD28A8" w:rsidRDefault="00BD28A8" w:rsidP="00BD28A8">
      <w:pPr>
        <w:autoSpaceDE w:val="0"/>
        <w:autoSpaceDN w:val="0"/>
        <w:adjustRightInd w:val="0"/>
        <w:jc w:val="both"/>
        <w:rPr>
          <w:rFonts w:ascii="Arial" w:hAnsi="Arial" w:cs="Arial"/>
          <w:sz w:val="22"/>
          <w:szCs w:val="22"/>
          <w:lang w:val="en-AU"/>
        </w:rPr>
      </w:pPr>
      <w:r>
        <w:rPr>
          <w:rFonts w:ascii="Arial" w:hAnsi="Arial" w:cs="Arial"/>
          <w:sz w:val="22"/>
          <w:szCs w:val="22"/>
          <w:lang w:val="en-AU"/>
        </w:rPr>
        <w:t xml:space="preserve">For the treatment of </w:t>
      </w:r>
      <w:r w:rsidR="00196ADA">
        <w:rPr>
          <w:rFonts w:ascii="Arial" w:hAnsi="Arial" w:cs="Arial"/>
          <w:sz w:val="22"/>
          <w:szCs w:val="22"/>
          <w:lang w:val="en-AU"/>
        </w:rPr>
        <w:t>patients</w:t>
      </w:r>
      <w:r>
        <w:rPr>
          <w:rFonts w:ascii="Arial" w:hAnsi="Arial" w:cs="Arial"/>
          <w:sz w:val="22"/>
          <w:szCs w:val="22"/>
          <w:lang w:val="en-AU"/>
        </w:rPr>
        <w:t xml:space="preserve"> with HIV-1 infection, the dosage of ISENTRESS is as follows:</w:t>
      </w:r>
    </w:p>
    <w:p w:rsidR="00196ADA" w:rsidRDefault="00196ADA" w:rsidP="00BD28A8">
      <w:pPr>
        <w:autoSpaceDE w:val="0"/>
        <w:autoSpaceDN w:val="0"/>
        <w:adjustRightInd w:val="0"/>
        <w:jc w:val="both"/>
        <w:rPr>
          <w:rFonts w:ascii="Arial" w:hAnsi="Arial" w:cs="Arial"/>
          <w:sz w:val="22"/>
          <w:szCs w:val="22"/>
          <w:lang w:val="en-AU"/>
        </w:rPr>
      </w:pPr>
      <w:r w:rsidRPr="00196ADA">
        <w:rPr>
          <w:rFonts w:ascii="Arial" w:hAnsi="Arial" w:cs="Arial"/>
          <w:b/>
          <w:sz w:val="22"/>
          <w:szCs w:val="22"/>
          <w:lang w:val="en-AU"/>
        </w:rPr>
        <w:t>Adults</w:t>
      </w:r>
      <w:r>
        <w:rPr>
          <w:rFonts w:ascii="Arial" w:hAnsi="Arial" w:cs="Arial"/>
          <w:sz w:val="22"/>
          <w:szCs w:val="22"/>
          <w:lang w:val="en-AU"/>
        </w:rPr>
        <w:t>: One 400 mg tablet tw</w:t>
      </w:r>
      <w:r w:rsidR="002501FE">
        <w:rPr>
          <w:rFonts w:ascii="Arial" w:hAnsi="Arial" w:cs="Arial"/>
          <w:sz w:val="22"/>
          <w:szCs w:val="22"/>
          <w:lang w:val="en-AU"/>
        </w:rPr>
        <w:t>i</w:t>
      </w:r>
      <w:r>
        <w:rPr>
          <w:rFonts w:ascii="Arial" w:hAnsi="Arial" w:cs="Arial"/>
          <w:sz w:val="22"/>
          <w:szCs w:val="22"/>
          <w:lang w:val="en-AU"/>
        </w:rPr>
        <w:t xml:space="preserve">ce daily, orally. </w:t>
      </w:r>
    </w:p>
    <w:p w:rsidR="00BF2AEF" w:rsidRPr="00BF2AEF" w:rsidRDefault="00196ADA" w:rsidP="00BF2AEF">
      <w:pPr>
        <w:autoSpaceDE w:val="0"/>
        <w:autoSpaceDN w:val="0"/>
        <w:adjustRightInd w:val="0"/>
        <w:jc w:val="both"/>
        <w:rPr>
          <w:rFonts w:ascii="Arial" w:hAnsi="Arial" w:cs="Arial"/>
          <w:color w:val="0000FF"/>
          <w:sz w:val="20"/>
          <w:lang w:val="en-AU"/>
        </w:rPr>
      </w:pPr>
      <w:r w:rsidRPr="00196ADA">
        <w:rPr>
          <w:rFonts w:ascii="Arial" w:hAnsi="Arial" w:cs="Arial"/>
          <w:b/>
          <w:sz w:val="22"/>
          <w:szCs w:val="22"/>
          <w:lang w:val="en-AU"/>
        </w:rPr>
        <w:t>Children and adol</w:t>
      </w:r>
      <w:r>
        <w:rPr>
          <w:rFonts w:ascii="Arial" w:hAnsi="Arial" w:cs="Arial"/>
          <w:b/>
          <w:sz w:val="22"/>
          <w:szCs w:val="22"/>
          <w:lang w:val="en-AU"/>
        </w:rPr>
        <w:t>e</w:t>
      </w:r>
      <w:r w:rsidRPr="00196ADA">
        <w:rPr>
          <w:rFonts w:ascii="Arial" w:hAnsi="Arial" w:cs="Arial"/>
          <w:b/>
          <w:sz w:val="22"/>
          <w:szCs w:val="22"/>
          <w:lang w:val="en-AU"/>
        </w:rPr>
        <w:t>scents</w:t>
      </w:r>
      <w:r>
        <w:rPr>
          <w:rFonts w:ascii="Arial" w:hAnsi="Arial" w:cs="Arial"/>
          <w:sz w:val="22"/>
          <w:szCs w:val="22"/>
          <w:lang w:val="en-AU"/>
        </w:rPr>
        <w:t>:</w:t>
      </w:r>
      <w:r w:rsidR="00C91C4B">
        <w:rPr>
          <w:rFonts w:ascii="Arial" w:hAnsi="Arial" w:cs="Arial"/>
          <w:sz w:val="22"/>
          <w:szCs w:val="22"/>
          <w:lang w:val="en-AU"/>
        </w:rPr>
        <w:t xml:space="preserve"> </w:t>
      </w:r>
    </w:p>
    <w:p w:rsidR="00BD28A8" w:rsidRDefault="008E6A87" w:rsidP="00196ADA">
      <w:pPr>
        <w:numPr>
          <w:ilvl w:val="0"/>
          <w:numId w:val="3"/>
        </w:numPr>
        <w:autoSpaceDE w:val="0"/>
        <w:autoSpaceDN w:val="0"/>
        <w:adjustRightInd w:val="0"/>
        <w:jc w:val="both"/>
        <w:rPr>
          <w:rFonts w:ascii="Arial" w:hAnsi="Arial" w:cs="Arial"/>
          <w:sz w:val="22"/>
          <w:szCs w:val="22"/>
          <w:lang w:val="en-AU"/>
        </w:rPr>
      </w:pPr>
      <w:r w:rsidRPr="00BB367B">
        <w:rPr>
          <w:rFonts w:ascii="Arial" w:hAnsi="Arial" w:cs="Arial"/>
          <w:sz w:val="22"/>
          <w:szCs w:val="22"/>
          <w:u w:val="single"/>
          <w:lang w:val="en-AU"/>
        </w:rPr>
        <w:t xml:space="preserve">6 </w:t>
      </w:r>
      <w:r w:rsidR="00BD28A8" w:rsidRPr="00BB367B">
        <w:rPr>
          <w:rFonts w:ascii="Arial" w:hAnsi="Arial" w:cs="Arial"/>
          <w:sz w:val="22"/>
          <w:szCs w:val="22"/>
          <w:u w:val="single"/>
          <w:lang w:val="en-AU"/>
        </w:rPr>
        <w:t>years of age and older</w:t>
      </w:r>
      <w:r w:rsidR="00131D36">
        <w:rPr>
          <w:rFonts w:ascii="Arial" w:hAnsi="Arial" w:cs="Arial"/>
          <w:sz w:val="22"/>
          <w:szCs w:val="22"/>
          <w:lang w:val="en-AU"/>
        </w:rPr>
        <w:t xml:space="preserve"> (if at least 25 kg in weight)</w:t>
      </w:r>
      <w:r w:rsidR="00BD28A8">
        <w:rPr>
          <w:rFonts w:ascii="Arial" w:hAnsi="Arial" w:cs="Arial"/>
          <w:sz w:val="22"/>
          <w:szCs w:val="22"/>
          <w:lang w:val="en-AU"/>
        </w:rPr>
        <w:t>:  One 400 mg tablet twice daily, orally</w:t>
      </w:r>
    </w:p>
    <w:p w:rsidR="00BD28A8" w:rsidRDefault="00131D36" w:rsidP="00196ADA">
      <w:pPr>
        <w:numPr>
          <w:ilvl w:val="0"/>
          <w:numId w:val="3"/>
        </w:numPr>
        <w:autoSpaceDE w:val="0"/>
        <w:autoSpaceDN w:val="0"/>
        <w:adjustRightInd w:val="0"/>
        <w:jc w:val="both"/>
        <w:rPr>
          <w:rFonts w:ascii="Arial" w:hAnsi="Arial" w:cs="Arial"/>
          <w:sz w:val="22"/>
          <w:szCs w:val="22"/>
          <w:lang w:val="en-AU"/>
        </w:rPr>
      </w:pPr>
      <w:r w:rsidRPr="00BB367B">
        <w:rPr>
          <w:rFonts w:ascii="Arial" w:hAnsi="Arial" w:cs="Arial"/>
          <w:sz w:val="22"/>
          <w:szCs w:val="22"/>
          <w:u w:val="single"/>
          <w:lang w:val="en-AU"/>
        </w:rPr>
        <w:t xml:space="preserve">2 to </w:t>
      </w:r>
      <w:r w:rsidR="00BD28A8" w:rsidRPr="00BB367B">
        <w:rPr>
          <w:rFonts w:ascii="Arial" w:hAnsi="Arial" w:cs="Arial"/>
          <w:sz w:val="22"/>
          <w:szCs w:val="22"/>
          <w:u w:val="single"/>
          <w:lang w:val="en-AU"/>
        </w:rPr>
        <w:t>11 years of age</w:t>
      </w:r>
      <w:r w:rsidR="00196ADA" w:rsidRPr="00131D36">
        <w:rPr>
          <w:rFonts w:ascii="Arial" w:hAnsi="Arial" w:cs="Arial"/>
          <w:color w:val="0070C0"/>
          <w:sz w:val="22"/>
          <w:szCs w:val="22"/>
          <w:lang w:val="en-AU"/>
        </w:rPr>
        <w:t>:</w:t>
      </w:r>
      <w:r w:rsidRPr="00131D36">
        <w:rPr>
          <w:rFonts w:ascii="Arial" w:hAnsi="Arial" w:cs="Arial"/>
          <w:color w:val="0070C0"/>
          <w:sz w:val="22"/>
          <w:szCs w:val="22"/>
          <w:lang w:val="en-AU"/>
        </w:rPr>
        <w:t xml:space="preserve"> </w:t>
      </w:r>
      <w:r>
        <w:rPr>
          <w:rFonts w:ascii="Arial" w:hAnsi="Arial" w:cs="Arial"/>
          <w:sz w:val="22"/>
          <w:szCs w:val="22"/>
          <w:lang w:val="en-AU"/>
        </w:rPr>
        <w:t>Chewable tablets: weight based to maximum dose 300 mg, twice daily as recommended in Table 15.</w:t>
      </w:r>
    </w:p>
    <w:p w:rsidR="00BD28A8" w:rsidRPr="00196ADA" w:rsidRDefault="00BD28A8" w:rsidP="00606F1A">
      <w:pPr>
        <w:pStyle w:val="Tabletitle"/>
      </w:pPr>
      <w:r w:rsidRPr="00196ADA">
        <w:t>Table 1</w:t>
      </w:r>
      <w:r w:rsidR="00750FB1">
        <w:t>5</w:t>
      </w:r>
      <w:r w:rsidRPr="00196ADA">
        <w:t xml:space="preserve">: Recommended dose for ISENTRESS Chewable Tablets in </w:t>
      </w:r>
      <w:r w:rsidR="003C28F5">
        <w:t>P</w:t>
      </w:r>
      <w:r w:rsidRPr="00196ADA">
        <w:t xml:space="preserve">aediatric </w:t>
      </w:r>
      <w:r w:rsidR="003C28F5">
        <w:t>P</w:t>
      </w:r>
      <w:r w:rsidRPr="00196ADA">
        <w:t xml:space="preserve">atients 2 </w:t>
      </w:r>
      <w:r w:rsidR="00E31919">
        <w:t>to</w:t>
      </w:r>
      <w:r w:rsidRPr="00196ADA">
        <w:t xml:space="preserve">11 </w:t>
      </w:r>
      <w:r w:rsidR="003C28F5">
        <w:t>Y</w:t>
      </w:r>
      <w:r w:rsidRPr="00196ADA">
        <w:t xml:space="preserve">ears of </w:t>
      </w:r>
      <w:r w:rsidR="003C28F5">
        <w:t>A</w:t>
      </w:r>
      <w:r w:rsidRPr="00196ADA">
        <w:t>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43"/>
        <w:gridCol w:w="2843"/>
      </w:tblGrid>
      <w:tr w:rsidR="00BD28A8" w:rsidRPr="00DA77C5" w:rsidTr="00606F1A">
        <w:trPr>
          <w:tblHeader/>
        </w:trPr>
        <w:tc>
          <w:tcPr>
            <w:tcW w:w="2842"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b/>
                <w:sz w:val="20"/>
              </w:rPr>
            </w:pPr>
            <w:r w:rsidRPr="00DA77C5">
              <w:rPr>
                <w:rFonts w:ascii="Arial" w:hAnsi="Arial" w:cs="Arial"/>
                <w:b/>
                <w:sz w:val="20"/>
              </w:rPr>
              <w:t>Body Weight (kg)</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b/>
                <w:sz w:val="20"/>
              </w:rPr>
            </w:pPr>
            <w:r w:rsidRPr="00DA77C5">
              <w:rPr>
                <w:rFonts w:ascii="Arial" w:hAnsi="Arial" w:cs="Arial"/>
                <w:b/>
                <w:sz w:val="20"/>
              </w:rPr>
              <w:t>Dose</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b/>
                <w:sz w:val="20"/>
              </w:rPr>
            </w:pPr>
            <w:r w:rsidRPr="00DA77C5">
              <w:rPr>
                <w:rFonts w:ascii="Arial" w:hAnsi="Arial" w:cs="Arial"/>
                <w:b/>
                <w:sz w:val="20"/>
              </w:rPr>
              <w:t>Number of Chewable Tablets per dose</w:t>
            </w:r>
          </w:p>
        </w:tc>
      </w:tr>
      <w:tr w:rsidR="00BD28A8" w:rsidRPr="00DA77C5" w:rsidTr="00DA77C5">
        <w:tc>
          <w:tcPr>
            <w:tcW w:w="2842"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7 to &lt; 10</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50 mg twice daily</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0.5 x 100 mg*</w:t>
            </w:r>
          </w:p>
        </w:tc>
      </w:tr>
      <w:tr w:rsidR="00BD28A8" w:rsidRPr="00DA77C5" w:rsidTr="00DA77C5">
        <w:tc>
          <w:tcPr>
            <w:tcW w:w="2842"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10 to &lt; 14</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75 mg twice daily</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3 x 25 mg</w:t>
            </w:r>
          </w:p>
        </w:tc>
      </w:tr>
      <w:tr w:rsidR="00BD28A8" w:rsidRPr="00DA77C5" w:rsidTr="00DA77C5">
        <w:tc>
          <w:tcPr>
            <w:tcW w:w="2842"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14 to &lt; 20</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100 mg twice daily</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1 x 100 mg</w:t>
            </w:r>
          </w:p>
        </w:tc>
      </w:tr>
      <w:tr w:rsidR="00BD28A8" w:rsidRPr="00DA77C5" w:rsidTr="00DA77C5">
        <w:tc>
          <w:tcPr>
            <w:tcW w:w="2842"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 xml:space="preserve">20 </w:t>
            </w:r>
            <w:r w:rsidR="00AA23B3" w:rsidRPr="00DA77C5">
              <w:rPr>
                <w:rFonts w:ascii="Arial" w:hAnsi="Arial" w:cs="Arial"/>
                <w:sz w:val="20"/>
              </w:rPr>
              <w:t xml:space="preserve">to </w:t>
            </w:r>
            <w:r w:rsidRPr="00DA77C5">
              <w:rPr>
                <w:rFonts w:ascii="Arial" w:hAnsi="Arial" w:cs="Arial"/>
                <w:sz w:val="20"/>
              </w:rPr>
              <w:t>&lt; 28</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150 mg twice daily</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1.5 x 100 mg*</w:t>
            </w:r>
          </w:p>
        </w:tc>
      </w:tr>
      <w:tr w:rsidR="00BD28A8" w:rsidRPr="00DA77C5" w:rsidTr="00DA77C5">
        <w:tc>
          <w:tcPr>
            <w:tcW w:w="2842"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 xml:space="preserve">28 </w:t>
            </w:r>
            <w:r w:rsidR="00AA23B3" w:rsidRPr="00DA77C5">
              <w:rPr>
                <w:rFonts w:ascii="Arial" w:hAnsi="Arial" w:cs="Arial"/>
                <w:sz w:val="20"/>
              </w:rPr>
              <w:t xml:space="preserve">to </w:t>
            </w:r>
            <w:r w:rsidRPr="00DA77C5">
              <w:rPr>
                <w:rFonts w:ascii="Arial" w:hAnsi="Arial" w:cs="Arial"/>
                <w:sz w:val="20"/>
              </w:rPr>
              <w:t>&lt; 40</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200 mg twice daily</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2 x 100 mg</w:t>
            </w:r>
          </w:p>
        </w:tc>
      </w:tr>
      <w:tr w:rsidR="00BD28A8" w:rsidRPr="00DA77C5" w:rsidTr="00DA77C5">
        <w:tc>
          <w:tcPr>
            <w:tcW w:w="2842"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At least  40</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300 mg twice daily</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D28A8" w:rsidRPr="00DA77C5" w:rsidRDefault="00BD28A8" w:rsidP="00DA77C5">
            <w:pPr>
              <w:autoSpaceDE w:val="0"/>
              <w:autoSpaceDN w:val="0"/>
              <w:adjustRightInd w:val="0"/>
              <w:jc w:val="both"/>
              <w:rPr>
                <w:rFonts w:ascii="Arial" w:hAnsi="Arial" w:cs="Arial"/>
                <w:sz w:val="20"/>
              </w:rPr>
            </w:pPr>
            <w:r w:rsidRPr="00DA77C5">
              <w:rPr>
                <w:rFonts w:ascii="Arial" w:hAnsi="Arial" w:cs="Arial"/>
                <w:sz w:val="20"/>
              </w:rPr>
              <w:t>3 x 100 mg</w:t>
            </w:r>
          </w:p>
        </w:tc>
      </w:tr>
    </w:tbl>
    <w:p w:rsidR="00BD28A8" w:rsidRDefault="00BD28A8" w:rsidP="00BD28A8">
      <w:pPr>
        <w:autoSpaceDE w:val="0"/>
        <w:autoSpaceDN w:val="0"/>
        <w:adjustRightInd w:val="0"/>
        <w:jc w:val="both"/>
        <w:rPr>
          <w:rFonts w:ascii="Arial" w:hAnsi="Arial" w:cs="Arial"/>
          <w:sz w:val="20"/>
        </w:rPr>
      </w:pPr>
      <w:r>
        <w:rPr>
          <w:rFonts w:ascii="Arial" w:hAnsi="Arial" w:cs="Arial"/>
          <w:sz w:val="20"/>
        </w:rPr>
        <w:t>* The 100 mg chewable tablet can be divided into equal halves.</w:t>
      </w:r>
    </w:p>
    <w:p w:rsidR="00C24699" w:rsidRPr="00017B34" w:rsidRDefault="00962820" w:rsidP="00C24699">
      <w:pPr>
        <w:autoSpaceDE w:val="0"/>
        <w:autoSpaceDN w:val="0"/>
        <w:adjustRightInd w:val="0"/>
        <w:jc w:val="both"/>
        <w:rPr>
          <w:rFonts w:ascii="Arial" w:hAnsi="Arial" w:cs="Arial"/>
          <w:i/>
          <w:sz w:val="22"/>
          <w:szCs w:val="22"/>
          <w:lang w:val="en-AU"/>
        </w:rPr>
      </w:pPr>
      <w:r w:rsidRPr="00017B34">
        <w:rPr>
          <w:rFonts w:ascii="Arial" w:hAnsi="Arial" w:cs="Arial"/>
          <w:sz w:val="20"/>
        </w:rPr>
        <w:t xml:space="preserve">Note: the dosage recommendation of 6 mg/kg was derived from a clinical study where it was found to result in </w:t>
      </w:r>
      <w:r w:rsidR="00131D36" w:rsidRPr="00017B34">
        <w:rPr>
          <w:rFonts w:ascii="Arial" w:hAnsi="Arial" w:cs="Arial"/>
          <w:sz w:val="20"/>
        </w:rPr>
        <w:t xml:space="preserve">key </w:t>
      </w:r>
      <w:r w:rsidRPr="00017B34">
        <w:rPr>
          <w:rFonts w:ascii="Arial" w:hAnsi="Arial" w:cs="Arial"/>
          <w:sz w:val="20"/>
        </w:rPr>
        <w:t>pharmacokinetic values that closely approximate those in adults.</w:t>
      </w:r>
    </w:p>
    <w:p w:rsidR="00C24699" w:rsidRPr="00C24699" w:rsidRDefault="00C24699" w:rsidP="00606F1A">
      <w:pPr>
        <w:pStyle w:val="Heading5"/>
      </w:pPr>
      <w:r w:rsidRPr="00C24699">
        <w:lastRenderedPageBreak/>
        <w:t>Renal insufficiency</w:t>
      </w:r>
    </w:p>
    <w:p w:rsidR="00C24699" w:rsidRDefault="00C24699" w:rsidP="00C24699">
      <w:pPr>
        <w:autoSpaceDE w:val="0"/>
        <w:autoSpaceDN w:val="0"/>
        <w:adjustRightInd w:val="0"/>
        <w:jc w:val="both"/>
        <w:rPr>
          <w:rFonts w:ascii="Arial" w:hAnsi="Arial" w:cs="Arial"/>
          <w:sz w:val="22"/>
          <w:szCs w:val="22"/>
        </w:rPr>
      </w:pPr>
      <w:r w:rsidRPr="0052205F">
        <w:rPr>
          <w:rFonts w:ascii="Arial" w:hAnsi="Arial" w:cs="Arial"/>
          <w:sz w:val="22"/>
          <w:szCs w:val="22"/>
        </w:rPr>
        <w:t xml:space="preserve">There were no clinically important pharmacokinetic differences between patients with severe renal insufficiency and healthy </w:t>
      </w:r>
      <w:r w:rsidR="00907471">
        <w:rPr>
          <w:rFonts w:ascii="Arial" w:hAnsi="Arial" w:cs="Arial"/>
          <w:sz w:val="22"/>
          <w:szCs w:val="22"/>
        </w:rPr>
        <w:t>partic</w:t>
      </w:r>
      <w:r w:rsidR="00EF2E0B">
        <w:rPr>
          <w:rFonts w:ascii="Arial" w:hAnsi="Arial" w:cs="Arial"/>
          <w:sz w:val="22"/>
          <w:szCs w:val="22"/>
        </w:rPr>
        <w:t>i</w:t>
      </w:r>
      <w:r w:rsidR="00907471">
        <w:rPr>
          <w:rFonts w:ascii="Arial" w:hAnsi="Arial" w:cs="Arial"/>
          <w:sz w:val="22"/>
          <w:szCs w:val="22"/>
        </w:rPr>
        <w:t>pants</w:t>
      </w:r>
      <w:r w:rsidRPr="0052205F">
        <w:rPr>
          <w:rFonts w:ascii="Arial" w:hAnsi="Arial" w:cs="Arial"/>
          <w:sz w:val="22"/>
          <w:szCs w:val="22"/>
        </w:rPr>
        <w:t>. No dosage adjustment is necessary.</w:t>
      </w:r>
      <w:r>
        <w:rPr>
          <w:rFonts w:ascii="Arial" w:hAnsi="Arial" w:cs="Arial"/>
          <w:sz w:val="22"/>
          <w:szCs w:val="22"/>
        </w:rPr>
        <w:t xml:space="preserve"> </w:t>
      </w:r>
      <w:r w:rsidRPr="008065E7">
        <w:rPr>
          <w:rFonts w:ascii="Arial" w:hAnsi="Arial" w:cs="Arial"/>
          <w:sz w:val="22"/>
          <w:szCs w:val="22"/>
        </w:rPr>
        <w:t>Because the extent to which ISENTRESS may be dialyzable is unknown, dosing before a dialysis session should be avoided.</w:t>
      </w:r>
    </w:p>
    <w:p w:rsidR="00C24699" w:rsidRPr="00C24699" w:rsidRDefault="00C24699" w:rsidP="00606F1A">
      <w:pPr>
        <w:pStyle w:val="Heading5"/>
      </w:pPr>
      <w:r w:rsidRPr="00C24699">
        <w:t>Hepatic insufficiency</w:t>
      </w:r>
    </w:p>
    <w:p w:rsidR="00BF5C18" w:rsidRPr="00FB0EA0" w:rsidRDefault="00BF5C18" w:rsidP="00AA03D4">
      <w:pPr>
        <w:autoSpaceDE w:val="0"/>
        <w:autoSpaceDN w:val="0"/>
        <w:adjustRightInd w:val="0"/>
        <w:jc w:val="both"/>
        <w:rPr>
          <w:rFonts w:ascii="Arial" w:hAnsi="Arial" w:cs="Arial"/>
          <w:sz w:val="22"/>
          <w:szCs w:val="22"/>
        </w:rPr>
      </w:pPr>
      <w:r>
        <w:rPr>
          <w:rFonts w:ascii="Arial" w:hAnsi="Arial" w:cs="Arial"/>
          <w:sz w:val="22"/>
          <w:szCs w:val="22"/>
        </w:rPr>
        <w:t xml:space="preserve">There were no clinically important pharmacokinetic differences between patients with moderate hepatic insufficiency and healthy </w:t>
      </w:r>
      <w:r w:rsidR="00831E3D">
        <w:rPr>
          <w:rFonts w:ascii="Arial" w:hAnsi="Arial" w:cs="Arial"/>
          <w:sz w:val="22"/>
          <w:szCs w:val="22"/>
        </w:rPr>
        <w:t>participants</w:t>
      </w:r>
      <w:r>
        <w:rPr>
          <w:rFonts w:ascii="Arial" w:hAnsi="Arial" w:cs="Arial"/>
          <w:sz w:val="22"/>
          <w:szCs w:val="22"/>
        </w:rPr>
        <w:t xml:space="preserve">. No dosage adjustment is necessary for patients with mild to moderate hepatic insufficiency. The effect of severe hepatic insufficiency on the pharmacokinetics of raltegravir has not been </w:t>
      </w:r>
      <w:r w:rsidRPr="00FB0EA0">
        <w:rPr>
          <w:rFonts w:ascii="Arial" w:hAnsi="Arial" w:cs="Arial"/>
          <w:sz w:val="22"/>
          <w:szCs w:val="22"/>
        </w:rPr>
        <w:t>studied.</w:t>
      </w:r>
      <w:r w:rsidR="00FB0EA0">
        <w:rPr>
          <w:rFonts w:ascii="Arial" w:eastAsia="MS Mincho" w:hAnsi="Arial" w:cs="Arial"/>
          <w:sz w:val="22"/>
          <w:szCs w:val="22"/>
          <w:lang w:eastAsia="ja-JP"/>
        </w:rPr>
        <w:t xml:space="preserve"> </w:t>
      </w:r>
    </w:p>
    <w:p w:rsidR="00BF5C18" w:rsidRDefault="00BF5C18" w:rsidP="00606F1A">
      <w:pPr>
        <w:pStyle w:val="Heading2"/>
      </w:pPr>
      <w:r w:rsidRPr="00BF5C18">
        <w:t>OVERDOSAGE</w:t>
      </w:r>
    </w:p>
    <w:p w:rsidR="00BF5C18" w:rsidRDefault="00BF5C18" w:rsidP="00BF5C18">
      <w:pPr>
        <w:autoSpaceDE w:val="0"/>
        <w:autoSpaceDN w:val="0"/>
        <w:adjustRightInd w:val="0"/>
        <w:jc w:val="both"/>
        <w:rPr>
          <w:rFonts w:ascii="Arial" w:hAnsi="Arial" w:cs="Arial"/>
          <w:sz w:val="22"/>
          <w:szCs w:val="22"/>
        </w:rPr>
      </w:pPr>
      <w:r>
        <w:rPr>
          <w:rFonts w:ascii="Arial" w:hAnsi="Arial"/>
          <w:sz w:val="22"/>
          <w:szCs w:val="22"/>
        </w:rPr>
        <w:t>No specific information is available on the treatment of overdosage with ISENTRESS. D</w:t>
      </w:r>
      <w:r>
        <w:rPr>
          <w:rFonts w:ascii="Arial" w:hAnsi="Arial" w:cs="Arial"/>
          <w:sz w:val="22"/>
          <w:szCs w:val="22"/>
        </w:rPr>
        <w:t>oses as high as 1600 mg single dose and 800 mg b.i.d. multiple doses were studied in Phase I without evidence of toxicity. Occasional doses of 1800 mg per day were taken in Phase II/III studies without evidence of toxicity. Based upon available data, raltegravir appears to be well tolerated at doses up to 800 mg b.i.d. and when administered with drugs that increase exposure by 50-70% (such as tenofovir and atazanavir). Raltegravir had a wide therapeutic margin; thus the potential for toxicity as a result of overdose is limited.</w:t>
      </w:r>
    </w:p>
    <w:p w:rsidR="00BF5C18" w:rsidRDefault="00BF5C18" w:rsidP="00BF5C18">
      <w:pPr>
        <w:jc w:val="both"/>
        <w:rPr>
          <w:rFonts w:ascii="Arial" w:hAnsi="Arial" w:cs="Arial"/>
          <w:bCs/>
          <w:iCs/>
          <w:sz w:val="22"/>
          <w:szCs w:val="22"/>
        </w:rPr>
      </w:pPr>
      <w:r>
        <w:rPr>
          <w:rFonts w:ascii="Arial" w:hAnsi="Arial"/>
          <w:sz w:val="22"/>
          <w:szCs w:val="22"/>
        </w:rPr>
        <w:t xml:space="preserve">In the event of an overdose, it is reasonable to employ the standard supportive measures, e.g., remove unabsorbed material from the gastrointestinal tract, employ clinical monitoring (including obtaining an electrocardiogram), and institute supportive therapy if required. </w:t>
      </w:r>
      <w:r>
        <w:rPr>
          <w:rFonts w:ascii="Arial" w:hAnsi="Arial" w:cs="Arial"/>
          <w:bCs/>
          <w:iCs/>
          <w:sz w:val="22"/>
          <w:szCs w:val="22"/>
        </w:rPr>
        <w:t>The extent to which ISENTRESS may be dialyzable is unknown.</w:t>
      </w:r>
    </w:p>
    <w:p w:rsidR="00BE76DD" w:rsidRPr="00940A8A" w:rsidRDefault="003C1EB5" w:rsidP="00940A8A">
      <w:pPr>
        <w:tabs>
          <w:tab w:val="left" w:pos="-720"/>
          <w:tab w:val="left" w:pos="-144"/>
        </w:tabs>
        <w:rPr>
          <w:rFonts w:ascii="Arial" w:hAnsi="Arial" w:cs="Arial"/>
          <w:bCs/>
          <w:iCs/>
          <w:sz w:val="22"/>
          <w:szCs w:val="22"/>
        </w:rPr>
      </w:pPr>
      <w:r>
        <w:rPr>
          <w:rFonts w:ascii="Arial" w:hAnsi="Arial"/>
          <w:sz w:val="22"/>
        </w:rPr>
        <w:t>Contact the Poisons Information Centre</w:t>
      </w:r>
      <w:r w:rsidR="000C7C80">
        <w:rPr>
          <w:rFonts w:ascii="Arial" w:hAnsi="Arial"/>
          <w:sz w:val="22"/>
        </w:rPr>
        <w:t xml:space="preserve"> (telephone 13 11 26) </w:t>
      </w:r>
      <w:r>
        <w:rPr>
          <w:rFonts w:ascii="Arial" w:hAnsi="Arial"/>
          <w:sz w:val="22"/>
        </w:rPr>
        <w:t>for advice regarding management of overdose.</w:t>
      </w:r>
    </w:p>
    <w:p w:rsidR="00BE76DD" w:rsidRDefault="00BE76DD" w:rsidP="00BF5C18">
      <w:pPr>
        <w:jc w:val="center"/>
        <w:rPr>
          <w:rFonts w:ascii="Arial" w:hAnsi="Arial" w:cs="Arial"/>
          <w:b/>
          <w:bCs/>
          <w:iCs/>
          <w:sz w:val="22"/>
          <w:szCs w:val="22"/>
        </w:rPr>
      </w:pPr>
    </w:p>
    <w:p w:rsidR="00BF5C18" w:rsidRDefault="00BF5C18" w:rsidP="00606F1A">
      <w:pPr>
        <w:pStyle w:val="Heading3"/>
      </w:pPr>
      <w:r w:rsidRPr="00BF5C18">
        <w:t>PRESENTATION</w:t>
      </w:r>
      <w:r>
        <w:t xml:space="preserve"> AND STORAGE </w:t>
      </w:r>
      <w:r w:rsidR="00A636D8" w:rsidRPr="00E31919">
        <w:t>CONDITIONS</w:t>
      </w:r>
    </w:p>
    <w:p w:rsidR="002C581F" w:rsidRPr="00017B34" w:rsidRDefault="002C581F" w:rsidP="00606F1A">
      <w:pPr>
        <w:pStyle w:val="Heading4"/>
      </w:pPr>
      <w:r w:rsidRPr="00017B34">
        <w:t>Film-coated Tablets</w:t>
      </w:r>
    </w:p>
    <w:p w:rsidR="002C581F" w:rsidRDefault="002C581F" w:rsidP="002C581F">
      <w:pPr>
        <w:numPr>
          <w:ilvl w:val="0"/>
          <w:numId w:val="4"/>
        </w:numPr>
        <w:rPr>
          <w:rFonts w:ascii="Arial" w:hAnsi="Arial" w:cs="Arial"/>
          <w:bCs/>
          <w:iCs/>
          <w:sz w:val="22"/>
          <w:szCs w:val="22"/>
        </w:rPr>
      </w:pPr>
      <w:r>
        <w:rPr>
          <w:rFonts w:ascii="Arial" w:hAnsi="Arial" w:cs="Arial"/>
          <w:bCs/>
          <w:iCs/>
          <w:sz w:val="22"/>
          <w:szCs w:val="22"/>
        </w:rPr>
        <w:t xml:space="preserve">400 mg pink, oval, biconvex tablet debossed with "227" on one side and plain on the other. </w:t>
      </w:r>
    </w:p>
    <w:p w:rsidR="002C581F" w:rsidRDefault="002C581F" w:rsidP="00BF5C18">
      <w:pPr>
        <w:rPr>
          <w:rFonts w:ascii="Arial" w:hAnsi="Arial" w:cs="Arial"/>
          <w:bCs/>
          <w:iCs/>
          <w:sz w:val="22"/>
          <w:szCs w:val="22"/>
        </w:rPr>
      </w:pPr>
      <w:r>
        <w:rPr>
          <w:rFonts w:ascii="Arial" w:hAnsi="Arial" w:cs="Arial"/>
          <w:bCs/>
          <w:iCs/>
          <w:sz w:val="22"/>
          <w:szCs w:val="22"/>
        </w:rPr>
        <w:t>Available in bottles of 60.</w:t>
      </w:r>
    </w:p>
    <w:p w:rsidR="007A3229" w:rsidRPr="00017B34" w:rsidRDefault="002C581F" w:rsidP="00606F1A">
      <w:pPr>
        <w:pStyle w:val="Heading4"/>
        <w:rPr>
          <w:color w:val="0000FF"/>
          <w:sz w:val="20"/>
        </w:rPr>
      </w:pPr>
      <w:r w:rsidRPr="00E31919">
        <w:t>C</w:t>
      </w:r>
      <w:r w:rsidR="002501FE" w:rsidRPr="00E31919">
        <w:t xml:space="preserve">hewable </w:t>
      </w:r>
      <w:r w:rsidRPr="00E31919">
        <w:t>T</w:t>
      </w:r>
      <w:r w:rsidR="002501FE" w:rsidRPr="00E31919">
        <w:t>ablet</w:t>
      </w:r>
      <w:r w:rsidRPr="00E31919">
        <w:t>s</w:t>
      </w:r>
      <w:r w:rsidR="00C91C4B" w:rsidRPr="00017B34">
        <w:t xml:space="preserve"> </w:t>
      </w:r>
    </w:p>
    <w:p w:rsidR="002501FE" w:rsidRDefault="002C581F" w:rsidP="002C581F">
      <w:pPr>
        <w:numPr>
          <w:ilvl w:val="0"/>
          <w:numId w:val="4"/>
        </w:numPr>
        <w:rPr>
          <w:rFonts w:ascii="Arial" w:hAnsi="Arial" w:cs="Arial"/>
          <w:bCs/>
          <w:iCs/>
          <w:sz w:val="22"/>
          <w:szCs w:val="22"/>
        </w:rPr>
      </w:pPr>
      <w:r>
        <w:rPr>
          <w:rFonts w:ascii="Arial" w:hAnsi="Arial" w:cs="Arial"/>
          <w:bCs/>
          <w:iCs/>
          <w:sz w:val="22"/>
          <w:szCs w:val="22"/>
        </w:rPr>
        <w:t xml:space="preserve">100 mg pale orange, oval-shaped, orange-banana flavoured, scored chewable tablets with the Merck logo and "477" on opposite sides of the score and </w:t>
      </w:r>
      <w:r w:rsidR="00C97E9E">
        <w:rPr>
          <w:rFonts w:ascii="Arial" w:hAnsi="Arial" w:cs="Arial"/>
          <w:bCs/>
          <w:iCs/>
          <w:sz w:val="22"/>
          <w:szCs w:val="22"/>
        </w:rPr>
        <w:t>scored</w:t>
      </w:r>
      <w:r>
        <w:rPr>
          <w:rFonts w:ascii="Arial" w:hAnsi="Arial" w:cs="Arial"/>
          <w:bCs/>
          <w:iCs/>
          <w:sz w:val="22"/>
          <w:szCs w:val="22"/>
        </w:rPr>
        <w:t xml:space="preserve"> on the reverse side.</w:t>
      </w:r>
    </w:p>
    <w:p w:rsidR="002C581F" w:rsidRDefault="002C581F" w:rsidP="002C581F">
      <w:pPr>
        <w:numPr>
          <w:ilvl w:val="0"/>
          <w:numId w:val="4"/>
        </w:numPr>
        <w:rPr>
          <w:rFonts w:ascii="Arial" w:hAnsi="Arial" w:cs="Arial"/>
          <w:bCs/>
          <w:iCs/>
          <w:sz w:val="22"/>
          <w:szCs w:val="22"/>
        </w:rPr>
      </w:pPr>
      <w:r>
        <w:rPr>
          <w:rFonts w:ascii="Arial" w:hAnsi="Arial" w:cs="Arial"/>
          <w:bCs/>
          <w:iCs/>
          <w:sz w:val="22"/>
          <w:szCs w:val="22"/>
        </w:rPr>
        <w:t>25 mg pale yellow, round, orange-banana flavoured, chewable tablets with the Merck logo on one side and "473" on the other side.</w:t>
      </w:r>
    </w:p>
    <w:p w:rsidR="007A3229" w:rsidRPr="007A3229" w:rsidRDefault="002C581F" w:rsidP="007A3229">
      <w:pPr>
        <w:rPr>
          <w:rFonts w:ascii="Arial" w:hAnsi="Arial" w:cs="Arial"/>
          <w:bCs/>
          <w:iCs/>
          <w:color w:val="0000FF"/>
          <w:sz w:val="20"/>
        </w:rPr>
      </w:pPr>
      <w:r>
        <w:rPr>
          <w:rFonts w:ascii="Arial" w:hAnsi="Arial" w:cs="Arial"/>
          <w:bCs/>
          <w:iCs/>
          <w:sz w:val="22"/>
          <w:szCs w:val="22"/>
        </w:rPr>
        <w:lastRenderedPageBreak/>
        <w:t>Available in bottles of 60.</w:t>
      </w:r>
      <w:r w:rsidR="00C91C4B">
        <w:rPr>
          <w:rFonts w:ascii="Arial" w:hAnsi="Arial" w:cs="Arial"/>
          <w:bCs/>
          <w:iCs/>
          <w:sz w:val="22"/>
          <w:szCs w:val="22"/>
        </w:rPr>
        <w:t xml:space="preserve"> </w:t>
      </w:r>
    </w:p>
    <w:p w:rsidR="00BF5C18" w:rsidRDefault="00BF5C18" w:rsidP="007A3229">
      <w:pPr>
        <w:rPr>
          <w:rFonts w:ascii="Arial" w:hAnsi="Arial" w:cs="Arial"/>
          <w:b/>
          <w:bCs/>
          <w:iCs/>
          <w:color w:val="0000FF"/>
          <w:sz w:val="22"/>
          <w:szCs w:val="22"/>
        </w:rPr>
      </w:pPr>
      <w:r>
        <w:rPr>
          <w:rFonts w:ascii="Arial" w:hAnsi="Arial" w:cs="Arial"/>
          <w:bCs/>
          <w:iCs/>
          <w:sz w:val="22"/>
          <w:szCs w:val="22"/>
        </w:rPr>
        <w:t xml:space="preserve">ISENTRESS </w:t>
      </w:r>
      <w:r w:rsidR="002C581F">
        <w:rPr>
          <w:rFonts w:ascii="Arial" w:hAnsi="Arial" w:cs="Arial"/>
          <w:bCs/>
          <w:iCs/>
          <w:sz w:val="22"/>
          <w:szCs w:val="22"/>
        </w:rPr>
        <w:t xml:space="preserve">film-coated and chewable </w:t>
      </w:r>
      <w:r>
        <w:rPr>
          <w:rFonts w:ascii="Arial" w:hAnsi="Arial" w:cs="Arial"/>
          <w:bCs/>
          <w:iCs/>
          <w:sz w:val="22"/>
          <w:szCs w:val="22"/>
        </w:rPr>
        <w:t xml:space="preserve">tablets should be stored below </w:t>
      </w:r>
      <w:r w:rsidR="008471D1">
        <w:rPr>
          <w:rFonts w:ascii="Arial" w:hAnsi="Arial" w:cs="Arial"/>
          <w:bCs/>
          <w:iCs/>
          <w:sz w:val="22"/>
          <w:szCs w:val="22"/>
        </w:rPr>
        <w:t>30</w:t>
      </w:r>
      <w:r>
        <w:rPr>
          <w:rFonts w:ascii="Arial" w:hAnsi="Arial" w:cs="Arial"/>
          <w:bCs/>
          <w:iCs/>
          <w:sz w:val="22"/>
          <w:szCs w:val="22"/>
        </w:rPr>
        <w:sym w:font="Math Ext" w:char="F030"/>
      </w:r>
      <w:r>
        <w:rPr>
          <w:rFonts w:ascii="Arial" w:hAnsi="Arial" w:cs="Arial"/>
          <w:bCs/>
          <w:iCs/>
          <w:sz w:val="22"/>
          <w:szCs w:val="22"/>
        </w:rPr>
        <w:t>C.</w:t>
      </w:r>
      <w:r w:rsidR="008E0255">
        <w:rPr>
          <w:rFonts w:ascii="Arial" w:hAnsi="Arial" w:cs="Arial"/>
          <w:bCs/>
          <w:iCs/>
          <w:sz w:val="22"/>
          <w:szCs w:val="22"/>
        </w:rPr>
        <w:t xml:space="preserve"> </w:t>
      </w:r>
    </w:p>
    <w:p w:rsidR="00BF5C18" w:rsidRDefault="00BF5C18" w:rsidP="00606F1A">
      <w:pPr>
        <w:pStyle w:val="Heading3"/>
      </w:pPr>
      <w:r w:rsidRPr="00BF5C18">
        <w:t>NAME AND ADDRESS OF</w:t>
      </w:r>
      <w:r w:rsidRPr="00E31919">
        <w:t xml:space="preserve"> </w:t>
      </w:r>
      <w:r w:rsidR="00B6359E" w:rsidRPr="00E31919">
        <w:t xml:space="preserve">THE </w:t>
      </w:r>
      <w:r w:rsidRPr="00BF5C18">
        <w:t>SPONSOR</w:t>
      </w:r>
    </w:p>
    <w:p w:rsidR="00BF5C18" w:rsidRPr="00BF5C18" w:rsidRDefault="00BF5C18" w:rsidP="00BF5C18">
      <w:pPr>
        <w:autoSpaceDE w:val="0"/>
        <w:autoSpaceDN w:val="0"/>
        <w:adjustRightInd w:val="0"/>
        <w:jc w:val="center"/>
        <w:rPr>
          <w:rFonts w:ascii="Arial" w:hAnsi="Arial" w:cs="Arial"/>
          <w:sz w:val="22"/>
          <w:szCs w:val="21"/>
          <w:lang w:val="en-AU" w:eastAsia="en-AU"/>
        </w:rPr>
      </w:pPr>
      <w:r w:rsidRPr="00BF5C18">
        <w:rPr>
          <w:rFonts w:ascii="Arial" w:hAnsi="Arial" w:cs="Arial"/>
          <w:sz w:val="22"/>
          <w:szCs w:val="21"/>
          <w:lang w:val="en-AU" w:eastAsia="en-AU"/>
        </w:rPr>
        <w:t>MERCK SHARP &amp; DOHME (AUSTRALIA) PTY LIMITED</w:t>
      </w:r>
    </w:p>
    <w:p w:rsidR="00BF5C18" w:rsidRPr="00BF5C18" w:rsidRDefault="00BF5C18" w:rsidP="00BF5C18">
      <w:pPr>
        <w:autoSpaceDE w:val="0"/>
        <w:autoSpaceDN w:val="0"/>
        <w:adjustRightInd w:val="0"/>
        <w:jc w:val="center"/>
        <w:rPr>
          <w:rFonts w:ascii="Arial" w:hAnsi="Arial" w:cs="Arial"/>
          <w:sz w:val="22"/>
          <w:szCs w:val="21"/>
          <w:lang w:val="en-AU" w:eastAsia="en-AU"/>
        </w:rPr>
      </w:pPr>
      <w:r w:rsidRPr="00BF5C18">
        <w:rPr>
          <w:rFonts w:ascii="Arial" w:hAnsi="Arial" w:cs="Arial"/>
          <w:sz w:val="22"/>
          <w:szCs w:val="21"/>
          <w:lang w:val="en-AU" w:eastAsia="en-AU"/>
        </w:rPr>
        <w:t>54-68 FERNDELL STREET</w:t>
      </w:r>
    </w:p>
    <w:p w:rsidR="00BF5C18" w:rsidRDefault="00BF5C18" w:rsidP="00BF5C18">
      <w:pPr>
        <w:autoSpaceDE w:val="0"/>
        <w:autoSpaceDN w:val="0"/>
        <w:adjustRightInd w:val="0"/>
        <w:jc w:val="center"/>
        <w:rPr>
          <w:rFonts w:ascii="Arial" w:hAnsi="Arial" w:cs="Arial"/>
          <w:sz w:val="22"/>
          <w:szCs w:val="21"/>
          <w:lang w:val="en-AU" w:eastAsia="en-AU"/>
        </w:rPr>
      </w:pPr>
      <w:r w:rsidRPr="00BF5C18">
        <w:rPr>
          <w:rFonts w:ascii="Arial" w:hAnsi="Arial" w:cs="Arial"/>
          <w:sz w:val="22"/>
          <w:szCs w:val="21"/>
          <w:lang w:val="en-AU" w:eastAsia="en-AU"/>
        </w:rPr>
        <w:t>GRANVILLE</w:t>
      </w:r>
    </w:p>
    <w:p w:rsidR="00BF5C18" w:rsidRPr="00BF5C18" w:rsidRDefault="00BF5C18" w:rsidP="00606F1A">
      <w:pPr>
        <w:autoSpaceDE w:val="0"/>
        <w:autoSpaceDN w:val="0"/>
        <w:adjustRightInd w:val="0"/>
        <w:spacing w:after="720"/>
        <w:jc w:val="center"/>
        <w:rPr>
          <w:rFonts w:ascii="Arial" w:hAnsi="Arial" w:cs="Arial"/>
          <w:sz w:val="22"/>
          <w:lang w:val="en-AU" w:eastAsia="en-AU"/>
        </w:rPr>
      </w:pPr>
      <w:r w:rsidRPr="00BF5C18">
        <w:rPr>
          <w:rFonts w:ascii="Arial" w:hAnsi="Arial" w:cs="Arial"/>
          <w:sz w:val="22"/>
          <w:szCs w:val="21"/>
          <w:lang w:val="en-AU" w:eastAsia="en-AU"/>
        </w:rPr>
        <w:t>NSW 2142</w:t>
      </w:r>
    </w:p>
    <w:p w:rsidR="00A636D8" w:rsidRPr="00E31919" w:rsidRDefault="00A636D8" w:rsidP="00606F1A">
      <w:pPr>
        <w:pStyle w:val="Heading3"/>
      </w:pPr>
      <w:r w:rsidRPr="00E31919">
        <w:t>POISON SCHEDULE</w:t>
      </w:r>
      <w:r w:rsidR="00B6359E" w:rsidRPr="00E31919">
        <w:t xml:space="preserve"> OF THE MEDICINE</w:t>
      </w:r>
    </w:p>
    <w:p w:rsidR="00A636D8" w:rsidRPr="007A3229" w:rsidRDefault="00A636D8" w:rsidP="00A636D8">
      <w:pPr>
        <w:rPr>
          <w:rFonts w:ascii="Arial" w:hAnsi="Arial" w:cs="Arial"/>
          <w:bCs/>
          <w:iCs/>
          <w:color w:val="FF0000"/>
          <w:sz w:val="22"/>
          <w:szCs w:val="22"/>
        </w:rPr>
      </w:pPr>
    </w:p>
    <w:p w:rsidR="00A636D8" w:rsidRPr="00E31919" w:rsidRDefault="00A636D8" w:rsidP="00606F1A">
      <w:pPr>
        <w:autoSpaceDE w:val="0"/>
        <w:autoSpaceDN w:val="0"/>
        <w:adjustRightInd w:val="0"/>
        <w:spacing w:after="720"/>
        <w:rPr>
          <w:rFonts w:ascii="Arial" w:hAnsi="Arial" w:cs="Arial"/>
          <w:sz w:val="22"/>
          <w:szCs w:val="22"/>
          <w:lang w:val="en-AU" w:eastAsia="en-AU"/>
        </w:rPr>
      </w:pPr>
      <w:r w:rsidRPr="00E31919">
        <w:rPr>
          <w:rFonts w:ascii="Arial" w:hAnsi="Arial" w:cs="Arial"/>
          <w:sz w:val="22"/>
          <w:szCs w:val="22"/>
          <w:lang w:val="en-AU" w:eastAsia="en-AU"/>
        </w:rPr>
        <w:t xml:space="preserve">Prescription </w:t>
      </w:r>
      <w:r w:rsidR="009F6F70">
        <w:rPr>
          <w:rFonts w:ascii="Arial" w:hAnsi="Arial" w:cs="Arial"/>
          <w:sz w:val="22"/>
          <w:szCs w:val="22"/>
          <w:lang w:val="en-AU" w:eastAsia="en-AU"/>
        </w:rPr>
        <w:t>O</w:t>
      </w:r>
      <w:r w:rsidRPr="00E31919">
        <w:rPr>
          <w:rFonts w:ascii="Arial" w:hAnsi="Arial" w:cs="Arial"/>
          <w:sz w:val="22"/>
          <w:szCs w:val="22"/>
          <w:lang w:val="en-AU" w:eastAsia="en-AU"/>
        </w:rPr>
        <w:t xml:space="preserve">nly Medicine </w:t>
      </w:r>
      <w:r w:rsidR="002C581F" w:rsidRPr="00E31919">
        <w:rPr>
          <w:rFonts w:ascii="Arial" w:hAnsi="Arial" w:cs="Arial"/>
          <w:sz w:val="22"/>
          <w:szCs w:val="22"/>
          <w:lang w:val="en-AU" w:eastAsia="en-AU"/>
        </w:rPr>
        <w:t>(</w:t>
      </w:r>
      <w:r w:rsidRPr="00E31919">
        <w:rPr>
          <w:rFonts w:ascii="Arial" w:hAnsi="Arial" w:cs="Arial"/>
          <w:sz w:val="22"/>
          <w:szCs w:val="22"/>
          <w:lang w:val="en-AU" w:eastAsia="en-AU"/>
        </w:rPr>
        <w:t>Schedule 4</w:t>
      </w:r>
      <w:r w:rsidR="002C581F" w:rsidRPr="00E31919">
        <w:rPr>
          <w:rFonts w:ascii="Arial" w:hAnsi="Arial" w:cs="Arial"/>
          <w:sz w:val="22"/>
          <w:szCs w:val="22"/>
          <w:lang w:val="en-AU" w:eastAsia="en-AU"/>
        </w:rPr>
        <w:t>)</w:t>
      </w:r>
      <w:r w:rsidRPr="00E31919">
        <w:rPr>
          <w:rFonts w:ascii="Arial" w:hAnsi="Arial" w:cs="Arial"/>
          <w:sz w:val="22"/>
          <w:szCs w:val="22"/>
          <w:lang w:val="en-AU" w:eastAsia="en-AU"/>
        </w:rPr>
        <w:t>.</w:t>
      </w:r>
    </w:p>
    <w:p w:rsidR="00A636D8" w:rsidRPr="00E31919" w:rsidRDefault="00A636D8" w:rsidP="00606F1A">
      <w:pPr>
        <w:pStyle w:val="Heading3"/>
      </w:pPr>
      <w:r w:rsidRPr="00E31919">
        <w:t>DATE OF FIRST INCLUSION IN THE AUSTRALIAN REGISTER OF THERAPEUTIC GOODS</w:t>
      </w:r>
      <w:r w:rsidR="00B6359E" w:rsidRPr="00E31919">
        <w:t xml:space="preserve"> (the ARTG)</w:t>
      </w:r>
    </w:p>
    <w:p w:rsidR="00566963" w:rsidRPr="00BF5C18" w:rsidRDefault="00F6484B" w:rsidP="00606F1A">
      <w:pPr>
        <w:spacing w:after="720"/>
        <w:rPr>
          <w:rFonts w:ascii="Arial" w:hAnsi="Arial" w:cs="Arial"/>
          <w:b/>
          <w:bCs/>
          <w:iCs/>
          <w:sz w:val="22"/>
          <w:szCs w:val="22"/>
        </w:rPr>
      </w:pPr>
      <w:r>
        <w:rPr>
          <w:rFonts w:ascii="Arial" w:hAnsi="Arial" w:cs="Arial"/>
          <w:bCs/>
          <w:iCs/>
          <w:sz w:val="22"/>
          <w:szCs w:val="22"/>
        </w:rPr>
        <w:t xml:space="preserve">30 January 2008 </w:t>
      </w:r>
    </w:p>
    <w:p w:rsidR="00673AC6" w:rsidRDefault="00673AC6" w:rsidP="00606F1A">
      <w:pPr>
        <w:pStyle w:val="Heading3"/>
        <w:rPr>
          <w:lang w:val="en-AU" w:eastAsia="en-AU"/>
        </w:rPr>
      </w:pPr>
      <w:r w:rsidRPr="00673AC6">
        <w:rPr>
          <w:lang w:val="en-AU" w:eastAsia="en-AU"/>
        </w:rPr>
        <w:t>D</w:t>
      </w:r>
      <w:r>
        <w:rPr>
          <w:lang w:val="en-AU" w:eastAsia="en-AU"/>
        </w:rPr>
        <w:t>ATE OF MOST RECENT AMENDMENT</w:t>
      </w:r>
    </w:p>
    <w:p w:rsidR="00052ED8" w:rsidRPr="00F6484B" w:rsidRDefault="00673AC6" w:rsidP="00E71269">
      <w:pPr>
        <w:autoSpaceDE w:val="0"/>
        <w:autoSpaceDN w:val="0"/>
        <w:adjustRightInd w:val="0"/>
        <w:rPr>
          <w:rFonts w:ascii="Arial" w:hAnsi="Arial" w:cs="Arial"/>
          <w:sz w:val="22"/>
          <w:szCs w:val="22"/>
          <w:lang w:val="en-AU" w:eastAsia="en-AU"/>
        </w:rPr>
      </w:pPr>
      <w:r>
        <w:rPr>
          <w:rFonts w:ascii="Arial" w:hAnsi="Arial" w:cs="Arial"/>
          <w:sz w:val="22"/>
          <w:szCs w:val="22"/>
          <w:lang w:val="en-AU" w:eastAsia="en-AU"/>
        </w:rPr>
        <w:t xml:space="preserve"> </w:t>
      </w:r>
      <w:r w:rsidR="00F6484B" w:rsidRPr="00F6484B">
        <w:rPr>
          <w:rFonts w:ascii="Arial" w:hAnsi="Arial" w:cs="Arial"/>
          <w:sz w:val="22"/>
          <w:szCs w:val="22"/>
          <w:lang w:val="en-AU" w:eastAsia="en-AU"/>
        </w:rPr>
        <w:t>31</w:t>
      </w:r>
      <w:r w:rsidR="00F6484B">
        <w:rPr>
          <w:rFonts w:ascii="Arial" w:hAnsi="Arial" w:cs="Arial"/>
          <w:sz w:val="22"/>
          <w:szCs w:val="22"/>
          <w:lang w:val="en-AU" w:eastAsia="en-AU"/>
        </w:rPr>
        <w:t xml:space="preserve"> January 2013</w:t>
      </w:r>
    </w:p>
    <w:sectPr w:rsidR="00052ED8" w:rsidRPr="00F6484B" w:rsidSect="00C3643B">
      <w:headerReference w:type="default" r:id="rId12"/>
      <w:footerReference w:type="default" r:id="rId13"/>
      <w:pgSz w:w="11906" w:h="16838"/>
      <w:pgMar w:top="1191" w:right="1797" w:bottom="1191"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5CD" w:rsidRDefault="00F525CD">
      <w:r>
        <w:separator/>
      </w:r>
    </w:p>
    <w:p w:rsidR="00F525CD" w:rsidRDefault="00F525CD"/>
  </w:endnote>
  <w:endnote w:type="continuationSeparator" w:id="0">
    <w:p w:rsidR="00F525CD" w:rsidRDefault="00F525CD">
      <w:r>
        <w:continuationSeparator/>
      </w:r>
    </w:p>
    <w:p w:rsidR="00F525CD" w:rsidRDefault="00F525C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ath Ext">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5CD" w:rsidRDefault="00F525CD">
    <w:pPr>
      <w:pStyle w:val="Footer"/>
    </w:pPr>
    <w:r>
      <w:tab/>
      <w:t xml:space="preserve">- </w:t>
    </w:r>
    <w:fldSimple w:instr=" PAGE ">
      <w:r w:rsidR="00FD75D8">
        <w:rPr>
          <w:noProof/>
        </w:rPr>
        <w:t>15</w:t>
      </w:r>
    </w:fldSimple>
    <w:r>
      <w:t xml:space="preserve"> -</w:t>
    </w:r>
  </w:p>
  <w:p w:rsidR="00F525CD" w:rsidRDefault="00F525C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5CD" w:rsidRDefault="00F525CD">
      <w:r>
        <w:separator/>
      </w:r>
    </w:p>
    <w:p w:rsidR="00F525CD" w:rsidRDefault="00F525CD"/>
  </w:footnote>
  <w:footnote w:type="continuationSeparator" w:id="0">
    <w:p w:rsidR="00F525CD" w:rsidRDefault="00F525CD">
      <w:r>
        <w:continuationSeparator/>
      </w:r>
    </w:p>
    <w:p w:rsidR="00F525CD" w:rsidRDefault="00F525CD"/>
  </w:footnote>
  <w:footnote w:id="1">
    <w:p w:rsidR="00F525CD" w:rsidRDefault="00F525CD" w:rsidP="000667EC">
      <w:pPr>
        <w:pStyle w:val="FootnoteText"/>
        <w:rPr>
          <w:rFonts w:ascii="Arial" w:hAnsi="Arial"/>
          <w:sz w:val="16"/>
          <w:szCs w:val="16"/>
        </w:rPr>
      </w:pPr>
      <w:r>
        <w:rPr>
          <w:rStyle w:val="FootnoteReference"/>
        </w:rPr>
        <w:footnoteRef/>
      </w:r>
      <w:r>
        <w:t xml:space="preserve"> </w:t>
      </w:r>
      <w:r w:rsidRPr="005A2771">
        <w:rPr>
          <w:rFonts w:ascii="Arial" w:hAnsi="Arial"/>
          <w:sz w:val="16"/>
          <w:szCs w:val="16"/>
        </w:rPr>
        <w:t xml:space="preserve">TRADEMARK of </w:t>
      </w:r>
      <w:r>
        <w:rPr>
          <w:rFonts w:ascii="Arial" w:hAnsi="Arial"/>
          <w:sz w:val="16"/>
          <w:szCs w:val="16"/>
        </w:rPr>
        <w:t>Merck Sharp &amp; Dohme Corp</w:t>
      </w:r>
      <w:r w:rsidRPr="005A2771">
        <w:rPr>
          <w:rFonts w:ascii="Arial" w:hAnsi="Arial"/>
          <w:sz w:val="16"/>
          <w:szCs w:val="16"/>
        </w:rPr>
        <w:t>.,</w:t>
      </w:r>
      <w:r>
        <w:rPr>
          <w:rFonts w:ascii="Arial" w:hAnsi="Arial"/>
          <w:sz w:val="16"/>
          <w:szCs w:val="16"/>
        </w:rPr>
        <w:t xml:space="preserve"> a subsidiary of Merck &amp; Co., Inc., </w:t>
      </w:r>
      <w:r w:rsidRPr="005A2771">
        <w:rPr>
          <w:rFonts w:ascii="Arial" w:hAnsi="Arial"/>
          <w:sz w:val="16"/>
          <w:szCs w:val="16"/>
        </w:rPr>
        <w:t xml:space="preserve"> Whitehouse Station, N.J</w:t>
      </w:r>
      <w:r>
        <w:rPr>
          <w:rFonts w:ascii="Arial" w:hAnsi="Arial"/>
          <w:sz w:val="16"/>
          <w:szCs w:val="16"/>
        </w:rPr>
        <w:t xml:space="preserve"> </w:t>
      </w:r>
      <w:r w:rsidRPr="005A2771">
        <w:rPr>
          <w:rFonts w:ascii="Arial" w:hAnsi="Arial"/>
          <w:sz w:val="16"/>
          <w:szCs w:val="16"/>
        </w:rPr>
        <w:t xml:space="preserve"> USA</w:t>
      </w:r>
    </w:p>
    <w:p w:rsidR="00F525CD" w:rsidRPr="005A2771" w:rsidRDefault="00F525CD" w:rsidP="000667EC">
      <w:pPr>
        <w:pStyle w:val="FootnoteText"/>
        <w:rPr>
          <w:sz w:val="16"/>
          <w:szCs w:val="16"/>
        </w:rPr>
      </w:pPr>
      <w:r w:rsidRPr="005A2771">
        <w:rPr>
          <w:rFonts w:ascii="Arial" w:hAnsi="Arial"/>
          <w:sz w:val="16"/>
          <w:szCs w:val="16"/>
        </w:rPr>
        <w:t xml:space="preserve">Copyright </w:t>
      </w:r>
      <w:r w:rsidRPr="005A2771">
        <w:rPr>
          <w:rFonts w:ascii="Arial" w:hAnsi="Arial"/>
          <w:sz w:val="16"/>
          <w:szCs w:val="16"/>
        </w:rPr>
        <w:sym w:font="Symbol" w:char="F0D3"/>
      </w:r>
      <w:r w:rsidRPr="005A2771">
        <w:rPr>
          <w:rFonts w:ascii="Arial" w:hAnsi="Arial"/>
          <w:sz w:val="16"/>
          <w:szCs w:val="16"/>
        </w:rPr>
        <w:t xml:space="preserve"> </w:t>
      </w:r>
      <w:r>
        <w:rPr>
          <w:rFonts w:ascii="Arial" w:hAnsi="Arial"/>
          <w:sz w:val="16"/>
          <w:szCs w:val="16"/>
        </w:rPr>
        <w:t>2011</w:t>
      </w:r>
      <w:r w:rsidRPr="005A2771">
        <w:rPr>
          <w:rFonts w:ascii="Arial" w:hAnsi="Arial"/>
          <w:sz w:val="16"/>
          <w:szCs w:val="16"/>
        </w:rPr>
        <w:t xml:space="preserve"> </w:t>
      </w:r>
      <w:r>
        <w:rPr>
          <w:rFonts w:ascii="Arial" w:hAnsi="Arial"/>
          <w:sz w:val="16"/>
          <w:szCs w:val="16"/>
        </w:rPr>
        <w:t>Merck sharp &amp; Dohme.Corp., a subsidiary of Merck &amp; Co., Inc., Whitehouse Station, NJ USA.  All rights reserved</w:t>
      </w:r>
      <w:r w:rsidRPr="005A2771">
        <w:rPr>
          <w:rFonts w:ascii="Arial" w:hAnsi="Arial"/>
          <w:sz w:val="16"/>
          <w:szCs w:val="16"/>
        </w:rPr>
        <w:t xml:space="preserve"> </w:t>
      </w:r>
    </w:p>
    <w:p w:rsidR="00F525CD" w:rsidRDefault="00F525CD" w:rsidP="000667E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5CD" w:rsidRPr="00DB4684" w:rsidRDefault="00F525CD" w:rsidP="007F2A2A">
    <w:pPr>
      <w:pBdr>
        <w:top w:val="single" w:sz="4" w:space="1" w:color="auto"/>
        <w:left w:val="single" w:sz="4" w:space="4" w:color="auto"/>
        <w:bottom w:val="single" w:sz="4" w:space="1" w:color="auto"/>
        <w:right w:val="single" w:sz="4" w:space="4" w:color="auto"/>
      </w:pBdr>
      <w:shd w:val="clear" w:color="auto" w:fill="E4F2E0"/>
      <w:rPr>
        <w:rFonts w:ascii="Cambria" w:hAnsi="Cambria" w:cs="Arial"/>
        <w:b/>
        <w:sz w:val="20"/>
      </w:rPr>
    </w:pPr>
    <w:r w:rsidRPr="00DB4684">
      <w:rPr>
        <w:rFonts w:ascii="Cambria" w:hAnsi="Cambria" w:cs="Arial"/>
        <w:b/>
        <w:sz w:val="20"/>
      </w:rPr>
      <w:t>Attatchment 1: Product information for AusPAR Isentress Raltegravir Merck Sharp and Dohme (Australia) Pty Limited PM-2011-03107-3-2 Final 3 June 2013. This Product Information was approved at the time this AusPAR was published.</w:t>
    </w:r>
  </w:p>
  <w:p w:rsidR="00F525CD" w:rsidRDefault="00F525CD">
    <w:pPr>
      <w:pStyle w:val="Header"/>
      <w:rPr>
        <w:rFonts w:ascii="Arial" w:hAnsi="Arial" w:cs="Arial"/>
      </w:rPr>
    </w:pPr>
  </w:p>
  <w:p w:rsidR="00F525CD" w:rsidRPr="003F5126" w:rsidRDefault="00F525CD">
    <w:pPr>
      <w:pStyle w:val="Header"/>
      <w:rPr>
        <w:rFonts w:ascii="Arial" w:hAnsi="Arial" w:cs="Arial"/>
      </w:rPr>
    </w:pPr>
    <w:r w:rsidRPr="003F5126">
      <w:rPr>
        <w:rFonts w:ascii="Arial" w:hAnsi="Arial" w:cs="Arial"/>
      </w:rPr>
      <w:t>RTG-T-</w:t>
    </w:r>
    <w:r>
      <w:rPr>
        <w:rFonts w:ascii="Arial" w:hAnsi="Arial" w:cs="Arial"/>
      </w:rPr>
      <w:t>052012 v2</w:t>
    </w:r>
  </w:p>
  <w:p w:rsidR="00F525CD" w:rsidRDefault="00F525C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BA2506"/>
    <w:lvl w:ilvl="0">
      <w:start w:val="1"/>
      <w:numFmt w:val="decimal"/>
      <w:lvlText w:val="%1."/>
      <w:lvlJc w:val="left"/>
      <w:pPr>
        <w:tabs>
          <w:tab w:val="num" w:pos="1492"/>
        </w:tabs>
        <w:ind w:left="1492" w:hanging="360"/>
      </w:pPr>
    </w:lvl>
  </w:abstractNum>
  <w:abstractNum w:abstractNumId="1">
    <w:nsid w:val="FFFFFF7D"/>
    <w:multiLevelType w:val="singleLevel"/>
    <w:tmpl w:val="79DEB09E"/>
    <w:lvl w:ilvl="0">
      <w:start w:val="1"/>
      <w:numFmt w:val="decimal"/>
      <w:lvlText w:val="%1."/>
      <w:lvlJc w:val="left"/>
      <w:pPr>
        <w:tabs>
          <w:tab w:val="num" w:pos="1209"/>
        </w:tabs>
        <w:ind w:left="1209" w:hanging="360"/>
      </w:pPr>
    </w:lvl>
  </w:abstractNum>
  <w:abstractNum w:abstractNumId="2">
    <w:nsid w:val="FFFFFF7E"/>
    <w:multiLevelType w:val="singleLevel"/>
    <w:tmpl w:val="AB509160"/>
    <w:lvl w:ilvl="0">
      <w:start w:val="1"/>
      <w:numFmt w:val="decimal"/>
      <w:lvlText w:val="%1."/>
      <w:lvlJc w:val="left"/>
      <w:pPr>
        <w:tabs>
          <w:tab w:val="num" w:pos="926"/>
        </w:tabs>
        <w:ind w:left="926" w:hanging="360"/>
      </w:pPr>
    </w:lvl>
  </w:abstractNum>
  <w:abstractNum w:abstractNumId="3">
    <w:nsid w:val="FFFFFF7F"/>
    <w:multiLevelType w:val="singleLevel"/>
    <w:tmpl w:val="B31A9062"/>
    <w:lvl w:ilvl="0">
      <w:start w:val="1"/>
      <w:numFmt w:val="decimal"/>
      <w:lvlText w:val="%1."/>
      <w:lvlJc w:val="left"/>
      <w:pPr>
        <w:tabs>
          <w:tab w:val="num" w:pos="643"/>
        </w:tabs>
        <w:ind w:left="643" w:hanging="360"/>
      </w:pPr>
    </w:lvl>
  </w:abstractNum>
  <w:abstractNum w:abstractNumId="4">
    <w:nsid w:val="FFFFFF80"/>
    <w:multiLevelType w:val="singleLevel"/>
    <w:tmpl w:val="DF262F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B149B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F266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B0F0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80855C"/>
    <w:lvl w:ilvl="0">
      <w:start w:val="1"/>
      <w:numFmt w:val="decimal"/>
      <w:lvlText w:val="%1."/>
      <w:lvlJc w:val="left"/>
      <w:pPr>
        <w:tabs>
          <w:tab w:val="num" w:pos="360"/>
        </w:tabs>
        <w:ind w:left="360" w:hanging="360"/>
      </w:pPr>
    </w:lvl>
  </w:abstractNum>
  <w:abstractNum w:abstractNumId="9">
    <w:nsid w:val="FFFFFF89"/>
    <w:multiLevelType w:val="singleLevel"/>
    <w:tmpl w:val="4DA8B654"/>
    <w:lvl w:ilvl="0">
      <w:start w:val="1"/>
      <w:numFmt w:val="bullet"/>
      <w:lvlText w:val=""/>
      <w:lvlJc w:val="left"/>
      <w:pPr>
        <w:tabs>
          <w:tab w:val="num" w:pos="360"/>
        </w:tabs>
        <w:ind w:left="360" w:hanging="360"/>
      </w:pPr>
      <w:rPr>
        <w:rFonts w:ascii="Symbol" w:hAnsi="Symbol" w:hint="default"/>
      </w:rPr>
    </w:lvl>
  </w:abstractNum>
  <w:abstractNum w:abstractNumId="10">
    <w:nsid w:val="02CD2F4E"/>
    <w:multiLevelType w:val="hybridMultilevel"/>
    <w:tmpl w:val="CC404CF0"/>
    <w:lvl w:ilvl="0" w:tplc="BC12B71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0D423DB7"/>
    <w:multiLevelType w:val="hybridMultilevel"/>
    <w:tmpl w:val="C5B660B0"/>
    <w:lvl w:ilvl="0" w:tplc="BC12B7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87209A"/>
    <w:multiLevelType w:val="hybridMultilevel"/>
    <w:tmpl w:val="FCB42B84"/>
    <w:lvl w:ilvl="0" w:tplc="BC12B71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s-MX" w:vendorID="64" w:dllVersion="131078" w:nlCheck="1" w:checkStyle="1"/>
  <w:activeWritingStyle w:appName="MSWord" w:lang="fr-FR" w:vendorID="64" w:dllVersion="131078" w:nlCheck="1" w:checkStyle="1"/>
  <w:stylePaneFormatFilter w:val="3808"/>
  <w:stylePaneSortMethod w:val="0000"/>
  <w:defaultTabStop w:val="720"/>
  <w:characterSpacingControl w:val="doNotCompress"/>
  <w:footnotePr>
    <w:footnote w:id="-1"/>
    <w:footnote w:id="0"/>
  </w:footnotePr>
  <w:endnotePr>
    <w:endnote w:id="-1"/>
    <w:endnote w:id="0"/>
  </w:endnotePr>
  <w:compat/>
  <w:rsids>
    <w:rsidRoot w:val="003F5126"/>
    <w:rsid w:val="0000496B"/>
    <w:rsid w:val="00005761"/>
    <w:rsid w:val="000065EE"/>
    <w:rsid w:val="0001003D"/>
    <w:rsid w:val="000124B1"/>
    <w:rsid w:val="00013F21"/>
    <w:rsid w:val="000155BB"/>
    <w:rsid w:val="00016C5E"/>
    <w:rsid w:val="00017B34"/>
    <w:rsid w:val="000212FD"/>
    <w:rsid w:val="00022E65"/>
    <w:rsid w:val="00022FEC"/>
    <w:rsid w:val="00025C16"/>
    <w:rsid w:val="00026D3D"/>
    <w:rsid w:val="0003156A"/>
    <w:rsid w:val="000325B2"/>
    <w:rsid w:val="00033F57"/>
    <w:rsid w:val="000376B0"/>
    <w:rsid w:val="00040507"/>
    <w:rsid w:val="00043480"/>
    <w:rsid w:val="000435C1"/>
    <w:rsid w:val="00044B30"/>
    <w:rsid w:val="0005081A"/>
    <w:rsid w:val="000524E9"/>
    <w:rsid w:val="00052ED8"/>
    <w:rsid w:val="00054E33"/>
    <w:rsid w:val="00055A10"/>
    <w:rsid w:val="000562A3"/>
    <w:rsid w:val="0005775E"/>
    <w:rsid w:val="00060345"/>
    <w:rsid w:val="000660A1"/>
    <w:rsid w:val="000667EC"/>
    <w:rsid w:val="00067C48"/>
    <w:rsid w:val="00073032"/>
    <w:rsid w:val="000801DA"/>
    <w:rsid w:val="00082B7C"/>
    <w:rsid w:val="0008688B"/>
    <w:rsid w:val="00087205"/>
    <w:rsid w:val="000875D6"/>
    <w:rsid w:val="00090377"/>
    <w:rsid w:val="000954A4"/>
    <w:rsid w:val="000A5028"/>
    <w:rsid w:val="000A5FDF"/>
    <w:rsid w:val="000A774C"/>
    <w:rsid w:val="000B4D98"/>
    <w:rsid w:val="000B4F37"/>
    <w:rsid w:val="000C114D"/>
    <w:rsid w:val="000C230A"/>
    <w:rsid w:val="000C2BF5"/>
    <w:rsid w:val="000C3CB2"/>
    <w:rsid w:val="000C495F"/>
    <w:rsid w:val="000C5932"/>
    <w:rsid w:val="000C5CA0"/>
    <w:rsid w:val="000C7C80"/>
    <w:rsid w:val="000D0744"/>
    <w:rsid w:val="000D15BC"/>
    <w:rsid w:val="000D17AB"/>
    <w:rsid w:val="000D272C"/>
    <w:rsid w:val="000D3E3E"/>
    <w:rsid w:val="000D4029"/>
    <w:rsid w:val="000D6D01"/>
    <w:rsid w:val="000D6EDF"/>
    <w:rsid w:val="000E2F19"/>
    <w:rsid w:val="000E300D"/>
    <w:rsid w:val="000E5985"/>
    <w:rsid w:val="000E68AD"/>
    <w:rsid w:val="000F2E23"/>
    <w:rsid w:val="000F58C5"/>
    <w:rsid w:val="000F6082"/>
    <w:rsid w:val="00101156"/>
    <w:rsid w:val="0010115E"/>
    <w:rsid w:val="0010627D"/>
    <w:rsid w:val="0011131D"/>
    <w:rsid w:val="00111A30"/>
    <w:rsid w:val="0011360B"/>
    <w:rsid w:val="0012090F"/>
    <w:rsid w:val="0012157A"/>
    <w:rsid w:val="00122604"/>
    <w:rsid w:val="00124BB8"/>
    <w:rsid w:val="00126E62"/>
    <w:rsid w:val="00130521"/>
    <w:rsid w:val="0013085F"/>
    <w:rsid w:val="001312C2"/>
    <w:rsid w:val="00131D36"/>
    <w:rsid w:val="00132509"/>
    <w:rsid w:val="00133341"/>
    <w:rsid w:val="00136748"/>
    <w:rsid w:val="00142EE7"/>
    <w:rsid w:val="001434A6"/>
    <w:rsid w:val="00144B66"/>
    <w:rsid w:val="0014793A"/>
    <w:rsid w:val="001506E4"/>
    <w:rsid w:val="00151119"/>
    <w:rsid w:val="00155260"/>
    <w:rsid w:val="00156E4B"/>
    <w:rsid w:val="00162129"/>
    <w:rsid w:val="00162673"/>
    <w:rsid w:val="00164609"/>
    <w:rsid w:val="00164BFB"/>
    <w:rsid w:val="00164E4C"/>
    <w:rsid w:val="00166AC6"/>
    <w:rsid w:val="00167423"/>
    <w:rsid w:val="00167CBB"/>
    <w:rsid w:val="00171E5A"/>
    <w:rsid w:val="00171FE8"/>
    <w:rsid w:val="0017325B"/>
    <w:rsid w:val="00175386"/>
    <w:rsid w:val="0018318F"/>
    <w:rsid w:val="00184551"/>
    <w:rsid w:val="0018579C"/>
    <w:rsid w:val="00186263"/>
    <w:rsid w:val="001946EA"/>
    <w:rsid w:val="00195C79"/>
    <w:rsid w:val="00196A01"/>
    <w:rsid w:val="00196ADA"/>
    <w:rsid w:val="00197805"/>
    <w:rsid w:val="001A0789"/>
    <w:rsid w:val="001A0C22"/>
    <w:rsid w:val="001A1185"/>
    <w:rsid w:val="001A192D"/>
    <w:rsid w:val="001A2B38"/>
    <w:rsid w:val="001A2C93"/>
    <w:rsid w:val="001A2EB7"/>
    <w:rsid w:val="001A3E05"/>
    <w:rsid w:val="001A4F18"/>
    <w:rsid w:val="001A6170"/>
    <w:rsid w:val="001A67FF"/>
    <w:rsid w:val="001A7BF9"/>
    <w:rsid w:val="001B3030"/>
    <w:rsid w:val="001B68CB"/>
    <w:rsid w:val="001B7D19"/>
    <w:rsid w:val="001C2E56"/>
    <w:rsid w:val="001C3E25"/>
    <w:rsid w:val="001C5681"/>
    <w:rsid w:val="001D39FB"/>
    <w:rsid w:val="001D54AB"/>
    <w:rsid w:val="001D6A6E"/>
    <w:rsid w:val="001D7EE7"/>
    <w:rsid w:val="001E291F"/>
    <w:rsid w:val="001E2AE7"/>
    <w:rsid w:val="001E4B72"/>
    <w:rsid w:val="001E5174"/>
    <w:rsid w:val="001E78C2"/>
    <w:rsid w:val="001F11A5"/>
    <w:rsid w:val="001F517F"/>
    <w:rsid w:val="001F5A20"/>
    <w:rsid w:val="00201801"/>
    <w:rsid w:val="002028A3"/>
    <w:rsid w:val="002044A6"/>
    <w:rsid w:val="002059B2"/>
    <w:rsid w:val="00212418"/>
    <w:rsid w:val="00215ADE"/>
    <w:rsid w:val="00216078"/>
    <w:rsid w:val="002233ED"/>
    <w:rsid w:val="00230FD1"/>
    <w:rsid w:val="00233CDA"/>
    <w:rsid w:val="00234DA7"/>
    <w:rsid w:val="00235172"/>
    <w:rsid w:val="0024097D"/>
    <w:rsid w:val="00243835"/>
    <w:rsid w:val="00245874"/>
    <w:rsid w:val="00246003"/>
    <w:rsid w:val="002501FE"/>
    <w:rsid w:val="00254DF1"/>
    <w:rsid w:val="00255AF7"/>
    <w:rsid w:val="00255D17"/>
    <w:rsid w:val="00256F93"/>
    <w:rsid w:val="00261FE6"/>
    <w:rsid w:val="00264043"/>
    <w:rsid w:val="0026434A"/>
    <w:rsid w:val="002643D2"/>
    <w:rsid w:val="00265105"/>
    <w:rsid w:val="002657C3"/>
    <w:rsid w:val="002659EF"/>
    <w:rsid w:val="00266807"/>
    <w:rsid w:val="0026785A"/>
    <w:rsid w:val="00270FBF"/>
    <w:rsid w:val="00273443"/>
    <w:rsid w:val="002837D3"/>
    <w:rsid w:val="002840AC"/>
    <w:rsid w:val="00286AB4"/>
    <w:rsid w:val="002872BA"/>
    <w:rsid w:val="00287542"/>
    <w:rsid w:val="00287823"/>
    <w:rsid w:val="002917DF"/>
    <w:rsid w:val="00293474"/>
    <w:rsid w:val="00294CB8"/>
    <w:rsid w:val="00295BD7"/>
    <w:rsid w:val="002963F9"/>
    <w:rsid w:val="00296CB6"/>
    <w:rsid w:val="002A0439"/>
    <w:rsid w:val="002A6C7A"/>
    <w:rsid w:val="002B140F"/>
    <w:rsid w:val="002B288B"/>
    <w:rsid w:val="002B2E84"/>
    <w:rsid w:val="002B5BE8"/>
    <w:rsid w:val="002C00EC"/>
    <w:rsid w:val="002C0A8F"/>
    <w:rsid w:val="002C2C40"/>
    <w:rsid w:val="002C581F"/>
    <w:rsid w:val="002C6438"/>
    <w:rsid w:val="002D1C0D"/>
    <w:rsid w:val="002D4140"/>
    <w:rsid w:val="002D5665"/>
    <w:rsid w:val="002D5FA2"/>
    <w:rsid w:val="002E668E"/>
    <w:rsid w:val="002E699D"/>
    <w:rsid w:val="002E6AD9"/>
    <w:rsid w:val="002F23C5"/>
    <w:rsid w:val="002F29D8"/>
    <w:rsid w:val="002F2A70"/>
    <w:rsid w:val="002F4514"/>
    <w:rsid w:val="002F5E33"/>
    <w:rsid w:val="002F60F6"/>
    <w:rsid w:val="002F7487"/>
    <w:rsid w:val="00306607"/>
    <w:rsid w:val="003070D4"/>
    <w:rsid w:val="00310052"/>
    <w:rsid w:val="00310F6A"/>
    <w:rsid w:val="00311BF3"/>
    <w:rsid w:val="003148BF"/>
    <w:rsid w:val="00314B2B"/>
    <w:rsid w:val="00316705"/>
    <w:rsid w:val="00327270"/>
    <w:rsid w:val="003311CB"/>
    <w:rsid w:val="00333300"/>
    <w:rsid w:val="00334C66"/>
    <w:rsid w:val="003371A3"/>
    <w:rsid w:val="00340D5F"/>
    <w:rsid w:val="003410DB"/>
    <w:rsid w:val="00341EBA"/>
    <w:rsid w:val="00342CE1"/>
    <w:rsid w:val="00343522"/>
    <w:rsid w:val="003456FB"/>
    <w:rsid w:val="003461FC"/>
    <w:rsid w:val="003463CD"/>
    <w:rsid w:val="00355EB7"/>
    <w:rsid w:val="0035663F"/>
    <w:rsid w:val="00360D2F"/>
    <w:rsid w:val="0036626E"/>
    <w:rsid w:val="00366AC7"/>
    <w:rsid w:val="0037036C"/>
    <w:rsid w:val="003715A4"/>
    <w:rsid w:val="00376019"/>
    <w:rsid w:val="0037798B"/>
    <w:rsid w:val="00382316"/>
    <w:rsid w:val="00383D2A"/>
    <w:rsid w:val="003855CA"/>
    <w:rsid w:val="00386C3C"/>
    <w:rsid w:val="00393CD7"/>
    <w:rsid w:val="00397FCC"/>
    <w:rsid w:val="003A0FFF"/>
    <w:rsid w:val="003A1A8C"/>
    <w:rsid w:val="003A226F"/>
    <w:rsid w:val="003A26E8"/>
    <w:rsid w:val="003A2C32"/>
    <w:rsid w:val="003A3F47"/>
    <w:rsid w:val="003A428E"/>
    <w:rsid w:val="003A5E3C"/>
    <w:rsid w:val="003B025B"/>
    <w:rsid w:val="003B45A4"/>
    <w:rsid w:val="003B7652"/>
    <w:rsid w:val="003C1EB5"/>
    <w:rsid w:val="003C28F5"/>
    <w:rsid w:val="003C41D1"/>
    <w:rsid w:val="003C4D99"/>
    <w:rsid w:val="003C532D"/>
    <w:rsid w:val="003C55A8"/>
    <w:rsid w:val="003D098F"/>
    <w:rsid w:val="003D1BC7"/>
    <w:rsid w:val="003D4923"/>
    <w:rsid w:val="003E0437"/>
    <w:rsid w:val="003E0967"/>
    <w:rsid w:val="003E6190"/>
    <w:rsid w:val="003E6916"/>
    <w:rsid w:val="003E751E"/>
    <w:rsid w:val="003E7801"/>
    <w:rsid w:val="003F03FF"/>
    <w:rsid w:val="003F0781"/>
    <w:rsid w:val="003F0FE5"/>
    <w:rsid w:val="003F2ECF"/>
    <w:rsid w:val="003F4545"/>
    <w:rsid w:val="003F5126"/>
    <w:rsid w:val="003F55E9"/>
    <w:rsid w:val="003F77BA"/>
    <w:rsid w:val="00401911"/>
    <w:rsid w:val="00403393"/>
    <w:rsid w:val="0040447C"/>
    <w:rsid w:val="00405216"/>
    <w:rsid w:val="00412C19"/>
    <w:rsid w:val="0041308D"/>
    <w:rsid w:val="004135D6"/>
    <w:rsid w:val="004219AF"/>
    <w:rsid w:val="00422400"/>
    <w:rsid w:val="00422B5B"/>
    <w:rsid w:val="004300E8"/>
    <w:rsid w:val="00433F89"/>
    <w:rsid w:val="00435C2D"/>
    <w:rsid w:val="00440B44"/>
    <w:rsid w:val="004428E4"/>
    <w:rsid w:val="00443CA7"/>
    <w:rsid w:val="00447F98"/>
    <w:rsid w:val="00450AA1"/>
    <w:rsid w:val="0045154E"/>
    <w:rsid w:val="004619A3"/>
    <w:rsid w:val="00464339"/>
    <w:rsid w:val="004669F7"/>
    <w:rsid w:val="00466CCD"/>
    <w:rsid w:val="00474BCE"/>
    <w:rsid w:val="00475870"/>
    <w:rsid w:val="00480168"/>
    <w:rsid w:val="00481F14"/>
    <w:rsid w:val="00482B74"/>
    <w:rsid w:val="00483C14"/>
    <w:rsid w:val="00484468"/>
    <w:rsid w:val="004849D4"/>
    <w:rsid w:val="004873B1"/>
    <w:rsid w:val="00490276"/>
    <w:rsid w:val="00491F01"/>
    <w:rsid w:val="004949AE"/>
    <w:rsid w:val="004978F4"/>
    <w:rsid w:val="004A0B60"/>
    <w:rsid w:val="004A14F0"/>
    <w:rsid w:val="004A1E9A"/>
    <w:rsid w:val="004A2882"/>
    <w:rsid w:val="004A31E4"/>
    <w:rsid w:val="004A4116"/>
    <w:rsid w:val="004A4932"/>
    <w:rsid w:val="004A53D3"/>
    <w:rsid w:val="004B0158"/>
    <w:rsid w:val="004B1E52"/>
    <w:rsid w:val="004B3F0A"/>
    <w:rsid w:val="004B74C8"/>
    <w:rsid w:val="004C1FC8"/>
    <w:rsid w:val="004C5E4E"/>
    <w:rsid w:val="004C5EBB"/>
    <w:rsid w:val="004D11F0"/>
    <w:rsid w:val="004E41DE"/>
    <w:rsid w:val="004E6622"/>
    <w:rsid w:val="004F0AA7"/>
    <w:rsid w:val="004F2E0E"/>
    <w:rsid w:val="004F37B9"/>
    <w:rsid w:val="004F4498"/>
    <w:rsid w:val="004F4CC2"/>
    <w:rsid w:val="004F7ED0"/>
    <w:rsid w:val="0050227E"/>
    <w:rsid w:val="00502E6A"/>
    <w:rsid w:val="0050352B"/>
    <w:rsid w:val="00504E99"/>
    <w:rsid w:val="0051097F"/>
    <w:rsid w:val="00511B35"/>
    <w:rsid w:val="0051581A"/>
    <w:rsid w:val="00515E3D"/>
    <w:rsid w:val="00516638"/>
    <w:rsid w:val="0051738D"/>
    <w:rsid w:val="0052205F"/>
    <w:rsid w:val="00523432"/>
    <w:rsid w:val="005243DB"/>
    <w:rsid w:val="00525A34"/>
    <w:rsid w:val="005261AC"/>
    <w:rsid w:val="0052639B"/>
    <w:rsid w:val="00530859"/>
    <w:rsid w:val="00532E5F"/>
    <w:rsid w:val="0053471E"/>
    <w:rsid w:val="00535B24"/>
    <w:rsid w:val="00535C56"/>
    <w:rsid w:val="005379C3"/>
    <w:rsid w:val="00541A6D"/>
    <w:rsid w:val="00544ECF"/>
    <w:rsid w:val="005473E2"/>
    <w:rsid w:val="00553D78"/>
    <w:rsid w:val="00554531"/>
    <w:rsid w:val="00554CE5"/>
    <w:rsid w:val="0056219E"/>
    <w:rsid w:val="00564565"/>
    <w:rsid w:val="0056551E"/>
    <w:rsid w:val="00566963"/>
    <w:rsid w:val="005673D8"/>
    <w:rsid w:val="00571EE4"/>
    <w:rsid w:val="005734CC"/>
    <w:rsid w:val="0057718A"/>
    <w:rsid w:val="00584D50"/>
    <w:rsid w:val="00584E54"/>
    <w:rsid w:val="005853CB"/>
    <w:rsid w:val="0059213C"/>
    <w:rsid w:val="00592FB2"/>
    <w:rsid w:val="005A0C5A"/>
    <w:rsid w:val="005A2771"/>
    <w:rsid w:val="005A42E0"/>
    <w:rsid w:val="005A531B"/>
    <w:rsid w:val="005A7D10"/>
    <w:rsid w:val="005B0436"/>
    <w:rsid w:val="005B2045"/>
    <w:rsid w:val="005B2E1C"/>
    <w:rsid w:val="005B2F2E"/>
    <w:rsid w:val="005B33AB"/>
    <w:rsid w:val="005B3D5C"/>
    <w:rsid w:val="005B3F33"/>
    <w:rsid w:val="005B414B"/>
    <w:rsid w:val="005B46CA"/>
    <w:rsid w:val="005B66F3"/>
    <w:rsid w:val="005B705E"/>
    <w:rsid w:val="005C06EC"/>
    <w:rsid w:val="005C1D76"/>
    <w:rsid w:val="005D2AA0"/>
    <w:rsid w:val="005D3446"/>
    <w:rsid w:val="005D39A6"/>
    <w:rsid w:val="005D530E"/>
    <w:rsid w:val="005E0330"/>
    <w:rsid w:val="005E4829"/>
    <w:rsid w:val="005E4DEA"/>
    <w:rsid w:val="005E4E9C"/>
    <w:rsid w:val="005E5CBD"/>
    <w:rsid w:val="005E744B"/>
    <w:rsid w:val="005F13C8"/>
    <w:rsid w:val="005F1734"/>
    <w:rsid w:val="005F187C"/>
    <w:rsid w:val="005F37E7"/>
    <w:rsid w:val="005F5A6B"/>
    <w:rsid w:val="006034B4"/>
    <w:rsid w:val="00606034"/>
    <w:rsid w:val="006067CA"/>
    <w:rsid w:val="00606F1A"/>
    <w:rsid w:val="00613426"/>
    <w:rsid w:val="00614DDA"/>
    <w:rsid w:val="006158EE"/>
    <w:rsid w:val="00625A7F"/>
    <w:rsid w:val="00625DA0"/>
    <w:rsid w:val="00625F1C"/>
    <w:rsid w:val="00626912"/>
    <w:rsid w:val="00627258"/>
    <w:rsid w:val="00630656"/>
    <w:rsid w:val="006333F9"/>
    <w:rsid w:val="00651935"/>
    <w:rsid w:val="00655092"/>
    <w:rsid w:val="0065612B"/>
    <w:rsid w:val="006616F6"/>
    <w:rsid w:val="00661E7A"/>
    <w:rsid w:val="006629D6"/>
    <w:rsid w:val="00665B41"/>
    <w:rsid w:val="0067064C"/>
    <w:rsid w:val="00673AC6"/>
    <w:rsid w:val="00674559"/>
    <w:rsid w:val="006752B2"/>
    <w:rsid w:val="00675EE8"/>
    <w:rsid w:val="00680020"/>
    <w:rsid w:val="006835B0"/>
    <w:rsid w:val="0068403C"/>
    <w:rsid w:val="006840AC"/>
    <w:rsid w:val="00686B7C"/>
    <w:rsid w:val="00691D38"/>
    <w:rsid w:val="006927BF"/>
    <w:rsid w:val="00692CD2"/>
    <w:rsid w:val="00693900"/>
    <w:rsid w:val="006963CD"/>
    <w:rsid w:val="00697E95"/>
    <w:rsid w:val="006A05D0"/>
    <w:rsid w:val="006A0D8C"/>
    <w:rsid w:val="006A14A9"/>
    <w:rsid w:val="006A3658"/>
    <w:rsid w:val="006A3F48"/>
    <w:rsid w:val="006A4592"/>
    <w:rsid w:val="006A53FA"/>
    <w:rsid w:val="006B2623"/>
    <w:rsid w:val="006B56C2"/>
    <w:rsid w:val="006B7DFA"/>
    <w:rsid w:val="006C0496"/>
    <w:rsid w:val="006C2546"/>
    <w:rsid w:val="006C534B"/>
    <w:rsid w:val="006C65DB"/>
    <w:rsid w:val="006C7120"/>
    <w:rsid w:val="006C73FA"/>
    <w:rsid w:val="006D0AE8"/>
    <w:rsid w:val="006D395B"/>
    <w:rsid w:val="006D3DE5"/>
    <w:rsid w:val="006D43FF"/>
    <w:rsid w:val="006D6B65"/>
    <w:rsid w:val="006D783E"/>
    <w:rsid w:val="006E0D7C"/>
    <w:rsid w:val="006E1144"/>
    <w:rsid w:val="006E17D4"/>
    <w:rsid w:val="006E2C10"/>
    <w:rsid w:val="006E3320"/>
    <w:rsid w:val="006E3CF4"/>
    <w:rsid w:val="006E45DD"/>
    <w:rsid w:val="006E59E6"/>
    <w:rsid w:val="006E6D2E"/>
    <w:rsid w:val="006F1A7E"/>
    <w:rsid w:val="006F2D14"/>
    <w:rsid w:val="006F30CA"/>
    <w:rsid w:val="006F502C"/>
    <w:rsid w:val="006F706F"/>
    <w:rsid w:val="00700DB7"/>
    <w:rsid w:val="00703100"/>
    <w:rsid w:val="007034AD"/>
    <w:rsid w:val="00704DD0"/>
    <w:rsid w:val="00705B78"/>
    <w:rsid w:val="0070753F"/>
    <w:rsid w:val="00707CD2"/>
    <w:rsid w:val="00711BF5"/>
    <w:rsid w:val="00717D15"/>
    <w:rsid w:val="00725A74"/>
    <w:rsid w:val="00727D71"/>
    <w:rsid w:val="007424C0"/>
    <w:rsid w:val="0074323B"/>
    <w:rsid w:val="00745262"/>
    <w:rsid w:val="00746F1E"/>
    <w:rsid w:val="00750C62"/>
    <w:rsid w:val="00750FB1"/>
    <w:rsid w:val="007536AD"/>
    <w:rsid w:val="00753A79"/>
    <w:rsid w:val="00754CFE"/>
    <w:rsid w:val="00755AD8"/>
    <w:rsid w:val="00756125"/>
    <w:rsid w:val="00756AE1"/>
    <w:rsid w:val="00760373"/>
    <w:rsid w:val="00761CEC"/>
    <w:rsid w:val="007636DD"/>
    <w:rsid w:val="00763D4D"/>
    <w:rsid w:val="00764279"/>
    <w:rsid w:val="007645B0"/>
    <w:rsid w:val="00765566"/>
    <w:rsid w:val="00765E10"/>
    <w:rsid w:val="00766952"/>
    <w:rsid w:val="007703C4"/>
    <w:rsid w:val="00770FB2"/>
    <w:rsid w:val="00777D6D"/>
    <w:rsid w:val="00781AB9"/>
    <w:rsid w:val="00781EC8"/>
    <w:rsid w:val="00786717"/>
    <w:rsid w:val="007875D3"/>
    <w:rsid w:val="0079042D"/>
    <w:rsid w:val="00791F7F"/>
    <w:rsid w:val="00792A1B"/>
    <w:rsid w:val="00792AB3"/>
    <w:rsid w:val="0079728B"/>
    <w:rsid w:val="007A1443"/>
    <w:rsid w:val="007A2744"/>
    <w:rsid w:val="007A3229"/>
    <w:rsid w:val="007A359B"/>
    <w:rsid w:val="007A3991"/>
    <w:rsid w:val="007A40D1"/>
    <w:rsid w:val="007A7B3B"/>
    <w:rsid w:val="007B01A3"/>
    <w:rsid w:val="007B132F"/>
    <w:rsid w:val="007B4121"/>
    <w:rsid w:val="007B564B"/>
    <w:rsid w:val="007B65C7"/>
    <w:rsid w:val="007C27C9"/>
    <w:rsid w:val="007C285F"/>
    <w:rsid w:val="007C3E3E"/>
    <w:rsid w:val="007C5E7D"/>
    <w:rsid w:val="007C7918"/>
    <w:rsid w:val="007D15BE"/>
    <w:rsid w:val="007D36E1"/>
    <w:rsid w:val="007D5E50"/>
    <w:rsid w:val="007D7790"/>
    <w:rsid w:val="007E27CA"/>
    <w:rsid w:val="007E2DFB"/>
    <w:rsid w:val="007E54F2"/>
    <w:rsid w:val="007F2A2A"/>
    <w:rsid w:val="007F317A"/>
    <w:rsid w:val="007F3808"/>
    <w:rsid w:val="007F44B0"/>
    <w:rsid w:val="007F7BD7"/>
    <w:rsid w:val="00802C94"/>
    <w:rsid w:val="008032D6"/>
    <w:rsid w:val="0080470C"/>
    <w:rsid w:val="00805B7D"/>
    <w:rsid w:val="008065E7"/>
    <w:rsid w:val="008119E3"/>
    <w:rsid w:val="00811C89"/>
    <w:rsid w:val="00812B0F"/>
    <w:rsid w:val="00817632"/>
    <w:rsid w:val="00817693"/>
    <w:rsid w:val="00821B0F"/>
    <w:rsid w:val="00823817"/>
    <w:rsid w:val="00824660"/>
    <w:rsid w:val="00824EFD"/>
    <w:rsid w:val="008260CF"/>
    <w:rsid w:val="00831021"/>
    <w:rsid w:val="00831E3D"/>
    <w:rsid w:val="00832135"/>
    <w:rsid w:val="00837EC9"/>
    <w:rsid w:val="00846EEF"/>
    <w:rsid w:val="008471D1"/>
    <w:rsid w:val="00847896"/>
    <w:rsid w:val="00847ACE"/>
    <w:rsid w:val="00853004"/>
    <w:rsid w:val="00853953"/>
    <w:rsid w:val="00853B90"/>
    <w:rsid w:val="0085499C"/>
    <w:rsid w:val="00862922"/>
    <w:rsid w:val="00864681"/>
    <w:rsid w:val="008651D4"/>
    <w:rsid w:val="0086540F"/>
    <w:rsid w:val="00865909"/>
    <w:rsid w:val="00870A47"/>
    <w:rsid w:val="0087153C"/>
    <w:rsid w:val="00874162"/>
    <w:rsid w:val="008747C6"/>
    <w:rsid w:val="00875DB0"/>
    <w:rsid w:val="0087615E"/>
    <w:rsid w:val="0087686A"/>
    <w:rsid w:val="00876A9F"/>
    <w:rsid w:val="00877939"/>
    <w:rsid w:val="00881363"/>
    <w:rsid w:val="00882F64"/>
    <w:rsid w:val="0088479C"/>
    <w:rsid w:val="00892861"/>
    <w:rsid w:val="00894099"/>
    <w:rsid w:val="00897DA4"/>
    <w:rsid w:val="008A0DA2"/>
    <w:rsid w:val="008A18E0"/>
    <w:rsid w:val="008A396C"/>
    <w:rsid w:val="008B0892"/>
    <w:rsid w:val="008B4D27"/>
    <w:rsid w:val="008C0C27"/>
    <w:rsid w:val="008C1906"/>
    <w:rsid w:val="008C3BA6"/>
    <w:rsid w:val="008C5C1B"/>
    <w:rsid w:val="008D5A64"/>
    <w:rsid w:val="008E0255"/>
    <w:rsid w:val="008E02F7"/>
    <w:rsid w:val="008E113A"/>
    <w:rsid w:val="008E1AC3"/>
    <w:rsid w:val="008E24FC"/>
    <w:rsid w:val="008E3AD7"/>
    <w:rsid w:val="008E3C51"/>
    <w:rsid w:val="008E60D5"/>
    <w:rsid w:val="008E6A87"/>
    <w:rsid w:val="008F2EAF"/>
    <w:rsid w:val="008F43FA"/>
    <w:rsid w:val="008F7885"/>
    <w:rsid w:val="0090039C"/>
    <w:rsid w:val="00903F5C"/>
    <w:rsid w:val="00907471"/>
    <w:rsid w:val="00921899"/>
    <w:rsid w:val="00922F76"/>
    <w:rsid w:val="009242CD"/>
    <w:rsid w:val="0092433C"/>
    <w:rsid w:val="00924B08"/>
    <w:rsid w:val="009300F2"/>
    <w:rsid w:val="009343F9"/>
    <w:rsid w:val="00934B3F"/>
    <w:rsid w:val="009358B7"/>
    <w:rsid w:val="00936494"/>
    <w:rsid w:val="00940A8A"/>
    <w:rsid w:val="0094466A"/>
    <w:rsid w:val="009451B7"/>
    <w:rsid w:val="0094557F"/>
    <w:rsid w:val="0094691B"/>
    <w:rsid w:val="00947A5B"/>
    <w:rsid w:val="009504C8"/>
    <w:rsid w:val="00951027"/>
    <w:rsid w:val="009512D9"/>
    <w:rsid w:val="00952668"/>
    <w:rsid w:val="00953B7A"/>
    <w:rsid w:val="00953E8A"/>
    <w:rsid w:val="00956616"/>
    <w:rsid w:val="00962820"/>
    <w:rsid w:val="00963781"/>
    <w:rsid w:val="00963E0C"/>
    <w:rsid w:val="00964410"/>
    <w:rsid w:val="009659C9"/>
    <w:rsid w:val="0097027B"/>
    <w:rsid w:val="00971D43"/>
    <w:rsid w:val="00973765"/>
    <w:rsid w:val="0097629D"/>
    <w:rsid w:val="00976329"/>
    <w:rsid w:val="0097788E"/>
    <w:rsid w:val="0098508E"/>
    <w:rsid w:val="0098596A"/>
    <w:rsid w:val="00993087"/>
    <w:rsid w:val="00993DA1"/>
    <w:rsid w:val="00996946"/>
    <w:rsid w:val="00996E54"/>
    <w:rsid w:val="009A01C7"/>
    <w:rsid w:val="009A03BB"/>
    <w:rsid w:val="009A0637"/>
    <w:rsid w:val="009A3D35"/>
    <w:rsid w:val="009A7A3E"/>
    <w:rsid w:val="009B0866"/>
    <w:rsid w:val="009B212B"/>
    <w:rsid w:val="009B25AB"/>
    <w:rsid w:val="009B2F19"/>
    <w:rsid w:val="009B518F"/>
    <w:rsid w:val="009C0715"/>
    <w:rsid w:val="009C0BD9"/>
    <w:rsid w:val="009C0C41"/>
    <w:rsid w:val="009C1A01"/>
    <w:rsid w:val="009C3814"/>
    <w:rsid w:val="009C3CEC"/>
    <w:rsid w:val="009C614F"/>
    <w:rsid w:val="009C74DD"/>
    <w:rsid w:val="009D05ED"/>
    <w:rsid w:val="009D7832"/>
    <w:rsid w:val="009E225E"/>
    <w:rsid w:val="009E3A00"/>
    <w:rsid w:val="009E5131"/>
    <w:rsid w:val="009E5749"/>
    <w:rsid w:val="009E6E39"/>
    <w:rsid w:val="009F2328"/>
    <w:rsid w:val="009F3D48"/>
    <w:rsid w:val="009F44C1"/>
    <w:rsid w:val="009F6DA8"/>
    <w:rsid w:val="009F6F70"/>
    <w:rsid w:val="009F798D"/>
    <w:rsid w:val="00A00701"/>
    <w:rsid w:val="00A01E18"/>
    <w:rsid w:val="00A0255A"/>
    <w:rsid w:val="00A02B17"/>
    <w:rsid w:val="00A06E1D"/>
    <w:rsid w:val="00A12394"/>
    <w:rsid w:val="00A151C3"/>
    <w:rsid w:val="00A169BC"/>
    <w:rsid w:val="00A1706A"/>
    <w:rsid w:val="00A20525"/>
    <w:rsid w:val="00A21BF5"/>
    <w:rsid w:val="00A235B3"/>
    <w:rsid w:val="00A2509B"/>
    <w:rsid w:val="00A25400"/>
    <w:rsid w:val="00A25B15"/>
    <w:rsid w:val="00A26EE0"/>
    <w:rsid w:val="00A27102"/>
    <w:rsid w:val="00A3282B"/>
    <w:rsid w:val="00A35656"/>
    <w:rsid w:val="00A356DE"/>
    <w:rsid w:val="00A379CB"/>
    <w:rsid w:val="00A409C6"/>
    <w:rsid w:val="00A410DB"/>
    <w:rsid w:val="00A41965"/>
    <w:rsid w:val="00A454F1"/>
    <w:rsid w:val="00A45F45"/>
    <w:rsid w:val="00A46C1C"/>
    <w:rsid w:val="00A47FBC"/>
    <w:rsid w:val="00A50FEA"/>
    <w:rsid w:val="00A52A5A"/>
    <w:rsid w:val="00A57ACB"/>
    <w:rsid w:val="00A60D59"/>
    <w:rsid w:val="00A6131D"/>
    <w:rsid w:val="00A636D8"/>
    <w:rsid w:val="00A6385A"/>
    <w:rsid w:val="00A63D09"/>
    <w:rsid w:val="00A64E88"/>
    <w:rsid w:val="00A6562C"/>
    <w:rsid w:val="00A67602"/>
    <w:rsid w:val="00A717C6"/>
    <w:rsid w:val="00A731FA"/>
    <w:rsid w:val="00A75121"/>
    <w:rsid w:val="00A8071C"/>
    <w:rsid w:val="00A8500B"/>
    <w:rsid w:val="00A8555C"/>
    <w:rsid w:val="00A85C64"/>
    <w:rsid w:val="00A9223F"/>
    <w:rsid w:val="00A9305F"/>
    <w:rsid w:val="00AA03D4"/>
    <w:rsid w:val="00AA1580"/>
    <w:rsid w:val="00AA23B3"/>
    <w:rsid w:val="00AA6414"/>
    <w:rsid w:val="00AB0820"/>
    <w:rsid w:val="00AB3A47"/>
    <w:rsid w:val="00AB4714"/>
    <w:rsid w:val="00AB6389"/>
    <w:rsid w:val="00AB7167"/>
    <w:rsid w:val="00AC1C29"/>
    <w:rsid w:val="00AC318F"/>
    <w:rsid w:val="00AC4719"/>
    <w:rsid w:val="00AC5279"/>
    <w:rsid w:val="00AC594D"/>
    <w:rsid w:val="00AD4C42"/>
    <w:rsid w:val="00AD51A0"/>
    <w:rsid w:val="00AD56DE"/>
    <w:rsid w:val="00AD6355"/>
    <w:rsid w:val="00AE52EF"/>
    <w:rsid w:val="00AE5888"/>
    <w:rsid w:val="00AE5ACB"/>
    <w:rsid w:val="00AE62A8"/>
    <w:rsid w:val="00AE7858"/>
    <w:rsid w:val="00AE7E5E"/>
    <w:rsid w:val="00AF4960"/>
    <w:rsid w:val="00AF78B8"/>
    <w:rsid w:val="00AF7F8E"/>
    <w:rsid w:val="00B0475F"/>
    <w:rsid w:val="00B06D55"/>
    <w:rsid w:val="00B11EE8"/>
    <w:rsid w:val="00B12F2B"/>
    <w:rsid w:val="00B136D9"/>
    <w:rsid w:val="00B14D6D"/>
    <w:rsid w:val="00B15624"/>
    <w:rsid w:val="00B168B4"/>
    <w:rsid w:val="00B16D91"/>
    <w:rsid w:val="00B16EA3"/>
    <w:rsid w:val="00B171EE"/>
    <w:rsid w:val="00B17E33"/>
    <w:rsid w:val="00B2349B"/>
    <w:rsid w:val="00B23C9F"/>
    <w:rsid w:val="00B30222"/>
    <w:rsid w:val="00B30829"/>
    <w:rsid w:val="00B3534F"/>
    <w:rsid w:val="00B370CC"/>
    <w:rsid w:val="00B456BF"/>
    <w:rsid w:val="00B46988"/>
    <w:rsid w:val="00B50110"/>
    <w:rsid w:val="00B50904"/>
    <w:rsid w:val="00B50DB2"/>
    <w:rsid w:val="00B547B9"/>
    <w:rsid w:val="00B557E5"/>
    <w:rsid w:val="00B55FFA"/>
    <w:rsid w:val="00B57E0A"/>
    <w:rsid w:val="00B57FB4"/>
    <w:rsid w:val="00B616FE"/>
    <w:rsid w:val="00B62647"/>
    <w:rsid w:val="00B6359E"/>
    <w:rsid w:val="00B65256"/>
    <w:rsid w:val="00B660B2"/>
    <w:rsid w:val="00B7088E"/>
    <w:rsid w:val="00B728A5"/>
    <w:rsid w:val="00B73E29"/>
    <w:rsid w:val="00B73FC0"/>
    <w:rsid w:val="00B82222"/>
    <w:rsid w:val="00B903C7"/>
    <w:rsid w:val="00B908FD"/>
    <w:rsid w:val="00B91663"/>
    <w:rsid w:val="00B92F20"/>
    <w:rsid w:val="00B945CB"/>
    <w:rsid w:val="00BA0151"/>
    <w:rsid w:val="00BA1F1B"/>
    <w:rsid w:val="00BA2E42"/>
    <w:rsid w:val="00BA3D83"/>
    <w:rsid w:val="00BA61F5"/>
    <w:rsid w:val="00BB255B"/>
    <w:rsid w:val="00BB367B"/>
    <w:rsid w:val="00BB3DAA"/>
    <w:rsid w:val="00BB3E9F"/>
    <w:rsid w:val="00BB4E51"/>
    <w:rsid w:val="00BB662B"/>
    <w:rsid w:val="00BB6C4E"/>
    <w:rsid w:val="00BB7867"/>
    <w:rsid w:val="00BC2470"/>
    <w:rsid w:val="00BC3937"/>
    <w:rsid w:val="00BC39B0"/>
    <w:rsid w:val="00BC62AD"/>
    <w:rsid w:val="00BD18F9"/>
    <w:rsid w:val="00BD28A8"/>
    <w:rsid w:val="00BD3ECB"/>
    <w:rsid w:val="00BD6549"/>
    <w:rsid w:val="00BE0337"/>
    <w:rsid w:val="00BE50AA"/>
    <w:rsid w:val="00BE76DD"/>
    <w:rsid w:val="00BE7FD3"/>
    <w:rsid w:val="00BF01EE"/>
    <w:rsid w:val="00BF08D9"/>
    <w:rsid w:val="00BF2730"/>
    <w:rsid w:val="00BF2AEF"/>
    <w:rsid w:val="00BF49B5"/>
    <w:rsid w:val="00BF5329"/>
    <w:rsid w:val="00BF5C18"/>
    <w:rsid w:val="00BF5FCC"/>
    <w:rsid w:val="00BF77A6"/>
    <w:rsid w:val="00C078F1"/>
    <w:rsid w:val="00C11AD3"/>
    <w:rsid w:val="00C13FC3"/>
    <w:rsid w:val="00C15CE7"/>
    <w:rsid w:val="00C16B0A"/>
    <w:rsid w:val="00C24699"/>
    <w:rsid w:val="00C24E26"/>
    <w:rsid w:val="00C26684"/>
    <w:rsid w:val="00C3643B"/>
    <w:rsid w:val="00C37BBD"/>
    <w:rsid w:val="00C40884"/>
    <w:rsid w:val="00C43F02"/>
    <w:rsid w:val="00C46214"/>
    <w:rsid w:val="00C55DCA"/>
    <w:rsid w:val="00C57075"/>
    <w:rsid w:val="00C5785A"/>
    <w:rsid w:val="00C61160"/>
    <w:rsid w:val="00C61C91"/>
    <w:rsid w:val="00C633A8"/>
    <w:rsid w:val="00C639ED"/>
    <w:rsid w:val="00C646FC"/>
    <w:rsid w:val="00C65F02"/>
    <w:rsid w:val="00C66268"/>
    <w:rsid w:val="00C66667"/>
    <w:rsid w:val="00C711D3"/>
    <w:rsid w:val="00C7463D"/>
    <w:rsid w:val="00C762C1"/>
    <w:rsid w:val="00C806CB"/>
    <w:rsid w:val="00C8324C"/>
    <w:rsid w:val="00C91C4B"/>
    <w:rsid w:val="00C92262"/>
    <w:rsid w:val="00C93E02"/>
    <w:rsid w:val="00C94465"/>
    <w:rsid w:val="00C94470"/>
    <w:rsid w:val="00C95678"/>
    <w:rsid w:val="00C97DC3"/>
    <w:rsid w:val="00C97E9E"/>
    <w:rsid w:val="00CA1D80"/>
    <w:rsid w:val="00CA5C90"/>
    <w:rsid w:val="00CA7140"/>
    <w:rsid w:val="00CB397B"/>
    <w:rsid w:val="00CB4595"/>
    <w:rsid w:val="00CB532E"/>
    <w:rsid w:val="00CB747B"/>
    <w:rsid w:val="00CB7ABB"/>
    <w:rsid w:val="00CC06EF"/>
    <w:rsid w:val="00CC33E9"/>
    <w:rsid w:val="00CC3DF3"/>
    <w:rsid w:val="00CD111B"/>
    <w:rsid w:val="00CD2E49"/>
    <w:rsid w:val="00CD61B7"/>
    <w:rsid w:val="00CD6D0B"/>
    <w:rsid w:val="00CE34A1"/>
    <w:rsid w:val="00CE41BE"/>
    <w:rsid w:val="00CE6E0E"/>
    <w:rsid w:val="00CF0CD9"/>
    <w:rsid w:val="00CF1123"/>
    <w:rsid w:val="00CF1784"/>
    <w:rsid w:val="00CF2502"/>
    <w:rsid w:val="00CF26DD"/>
    <w:rsid w:val="00CF57DA"/>
    <w:rsid w:val="00CF604B"/>
    <w:rsid w:val="00CF6534"/>
    <w:rsid w:val="00D04FA4"/>
    <w:rsid w:val="00D05761"/>
    <w:rsid w:val="00D07170"/>
    <w:rsid w:val="00D10D1E"/>
    <w:rsid w:val="00D11CA7"/>
    <w:rsid w:val="00D121E4"/>
    <w:rsid w:val="00D123FF"/>
    <w:rsid w:val="00D13AD3"/>
    <w:rsid w:val="00D15DAB"/>
    <w:rsid w:val="00D16B74"/>
    <w:rsid w:val="00D21005"/>
    <w:rsid w:val="00D2264F"/>
    <w:rsid w:val="00D23AB4"/>
    <w:rsid w:val="00D23B53"/>
    <w:rsid w:val="00D23CAF"/>
    <w:rsid w:val="00D245AA"/>
    <w:rsid w:val="00D27E75"/>
    <w:rsid w:val="00D3279A"/>
    <w:rsid w:val="00D35282"/>
    <w:rsid w:val="00D35701"/>
    <w:rsid w:val="00D35980"/>
    <w:rsid w:val="00D35A54"/>
    <w:rsid w:val="00D35F06"/>
    <w:rsid w:val="00D453E7"/>
    <w:rsid w:val="00D464FA"/>
    <w:rsid w:val="00D478B7"/>
    <w:rsid w:val="00D508F3"/>
    <w:rsid w:val="00D54117"/>
    <w:rsid w:val="00D54DC6"/>
    <w:rsid w:val="00D56410"/>
    <w:rsid w:val="00D61B78"/>
    <w:rsid w:val="00D66CD0"/>
    <w:rsid w:val="00D67F3A"/>
    <w:rsid w:val="00D70101"/>
    <w:rsid w:val="00D71400"/>
    <w:rsid w:val="00D717E8"/>
    <w:rsid w:val="00D71939"/>
    <w:rsid w:val="00D73ECE"/>
    <w:rsid w:val="00D7512B"/>
    <w:rsid w:val="00D751D7"/>
    <w:rsid w:val="00D76696"/>
    <w:rsid w:val="00D85B1D"/>
    <w:rsid w:val="00D86644"/>
    <w:rsid w:val="00D87754"/>
    <w:rsid w:val="00D87D15"/>
    <w:rsid w:val="00D92226"/>
    <w:rsid w:val="00D941DE"/>
    <w:rsid w:val="00D96271"/>
    <w:rsid w:val="00D97006"/>
    <w:rsid w:val="00DA77C5"/>
    <w:rsid w:val="00DB0D02"/>
    <w:rsid w:val="00DB3D24"/>
    <w:rsid w:val="00DB4684"/>
    <w:rsid w:val="00DB7312"/>
    <w:rsid w:val="00DB73FD"/>
    <w:rsid w:val="00DB7C4B"/>
    <w:rsid w:val="00DC382B"/>
    <w:rsid w:val="00DC5901"/>
    <w:rsid w:val="00DC6D25"/>
    <w:rsid w:val="00DD18C4"/>
    <w:rsid w:val="00DD503C"/>
    <w:rsid w:val="00DD5948"/>
    <w:rsid w:val="00DD6979"/>
    <w:rsid w:val="00DE2381"/>
    <w:rsid w:val="00DE40AD"/>
    <w:rsid w:val="00DE64A6"/>
    <w:rsid w:val="00DE7ADC"/>
    <w:rsid w:val="00DF2114"/>
    <w:rsid w:val="00DF55AF"/>
    <w:rsid w:val="00DF5671"/>
    <w:rsid w:val="00E0098B"/>
    <w:rsid w:val="00E00D6D"/>
    <w:rsid w:val="00E00F81"/>
    <w:rsid w:val="00E022A9"/>
    <w:rsid w:val="00E04034"/>
    <w:rsid w:val="00E14691"/>
    <w:rsid w:val="00E14B8F"/>
    <w:rsid w:val="00E2376C"/>
    <w:rsid w:val="00E23AFD"/>
    <w:rsid w:val="00E2440E"/>
    <w:rsid w:val="00E262C8"/>
    <w:rsid w:val="00E30C9A"/>
    <w:rsid w:val="00E30E11"/>
    <w:rsid w:val="00E31919"/>
    <w:rsid w:val="00E3697F"/>
    <w:rsid w:val="00E40A9E"/>
    <w:rsid w:val="00E441B9"/>
    <w:rsid w:val="00E4507F"/>
    <w:rsid w:val="00E46296"/>
    <w:rsid w:val="00E57FF5"/>
    <w:rsid w:val="00E600DC"/>
    <w:rsid w:val="00E65101"/>
    <w:rsid w:val="00E70C87"/>
    <w:rsid w:val="00E70ED6"/>
    <w:rsid w:val="00E71269"/>
    <w:rsid w:val="00E7541D"/>
    <w:rsid w:val="00E81224"/>
    <w:rsid w:val="00E82B96"/>
    <w:rsid w:val="00E84FAE"/>
    <w:rsid w:val="00E85C3C"/>
    <w:rsid w:val="00E86FF7"/>
    <w:rsid w:val="00E9599E"/>
    <w:rsid w:val="00E96E94"/>
    <w:rsid w:val="00E97396"/>
    <w:rsid w:val="00EA0B58"/>
    <w:rsid w:val="00EA322F"/>
    <w:rsid w:val="00EA3A76"/>
    <w:rsid w:val="00EA49F3"/>
    <w:rsid w:val="00EA5B5F"/>
    <w:rsid w:val="00EB4261"/>
    <w:rsid w:val="00EB5B33"/>
    <w:rsid w:val="00EB6227"/>
    <w:rsid w:val="00EB7736"/>
    <w:rsid w:val="00EC48A9"/>
    <w:rsid w:val="00ED65DF"/>
    <w:rsid w:val="00ED69B2"/>
    <w:rsid w:val="00EE02BF"/>
    <w:rsid w:val="00EE5F92"/>
    <w:rsid w:val="00EF2E0B"/>
    <w:rsid w:val="00EF3D81"/>
    <w:rsid w:val="00EF546D"/>
    <w:rsid w:val="00EF670B"/>
    <w:rsid w:val="00F00015"/>
    <w:rsid w:val="00F009CE"/>
    <w:rsid w:val="00F009E6"/>
    <w:rsid w:val="00F02B4D"/>
    <w:rsid w:val="00F11691"/>
    <w:rsid w:val="00F13728"/>
    <w:rsid w:val="00F15794"/>
    <w:rsid w:val="00F16C33"/>
    <w:rsid w:val="00F23381"/>
    <w:rsid w:val="00F24F96"/>
    <w:rsid w:val="00F25427"/>
    <w:rsid w:val="00F27A8A"/>
    <w:rsid w:val="00F31120"/>
    <w:rsid w:val="00F31DD8"/>
    <w:rsid w:val="00F356C3"/>
    <w:rsid w:val="00F36C36"/>
    <w:rsid w:val="00F402B1"/>
    <w:rsid w:val="00F40CDC"/>
    <w:rsid w:val="00F445B2"/>
    <w:rsid w:val="00F44A37"/>
    <w:rsid w:val="00F525CD"/>
    <w:rsid w:val="00F53EDD"/>
    <w:rsid w:val="00F543EE"/>
    <w:rsid w:val="00F55EFB"/>
    <w:rsid w:val="00F5702E"/>
    <w:rsid w:val="00F61288"/>
    <w:rsid w:val="00F6484B"/>
    <w:rsid w:val="00F649A1"/>
    <w:rsid w:val="00F64AAD"/>
    <w:rsid w:val="00F65F7F"/>
    <w:rsid w:val="00F66342"/>
    <w:rsid w:val="00F66527"/>
    <w:rsid w:val="00F730CF"/>
    <w:rsid w:val="00F804CA"/>
    <w:rsid w:val="00F9063B"/>
    <w:rsid w:val="00F934FC"/>
    <w:rsid w:val="00F939F1"/>
    <w:rsid w:val="00F948FE"/>
    <w:rsid w:val="00FA1E18"/>
    <w:rsid w:val="00FA39CD"/>
    <w:rsid w:val="00FA5E46"/>
    <w:rsid w:val="00FB0EA0"/>
    <w:rsid w:val="00FB1312"/>
    <w:rsid w:val="00FB1D94"/>
    <w:rsid w:val="00FB408B"/>
    <w:rsid w:val="00FB43BE"/>
    <w:rsid w:val="00FB75DB"/>
    <w:rsid w:val="00FC1900"/>
    <w:rsid w:val="00FC3447"/>
    <w:rsid w:val="00FC4CC9"/>
    <w:rsid w:val="00FC5EE3"/>
    <w:rsid w:val="00FC7838"/>
    <w:rsid w:val="00FD0B79"/>
    <w:rsid w:val="00FD0EE5"/>
    <w:rsid w:val="00FD2CEB"/>
    <w:rsid w:val="00FD35A9"/>
    <w:rsid w:val="00FD3A27"/>
    <w:rsid w:val="00FD69A2"/>
    <w:rsid w:val="00FD75D8"/>
    <w:rsid w:val="00FE1216"/>
    <w:rsid w:val="00FE20AF"/>
    <w:rsid w:val="00FE307B"/>
    <w:rsid w:val="00FE549E"/>
    <w:rsid w:val="00FE6AF3"/>
    <w:rsid w:val="00FF1C0B"/>
    <w:rsid w:val="00FF736F"/>
    <w:rsid w:val="00FF7B86"/>
    <w:rsid w:val="00FF7CC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F7F"/>
    <w:pPr>
      <w:spacing w:after="120"/>
      <w:textboxTightWrap w:val="allLines"/>
    </w:pPr>
    <w:rPr>
      <w:sz w:val="24"/>
      <w:lang w:val="en-US" w:eastAsia="en-US"/>
    </w:rPr>
  </w:style>
  <w:style w:type="paragraph" w:styleId="Heading1">
    <w:name w:val="heading 1"/>
    <w:basedOn w:val="Normal"/>
    <w:next w:val="Normal"/>
    <w:link w:val="Heading1Char"/>
    <w:qFormat/>
    <w:rsid w:val="00D35A54"/>
    <w:pPr>
      <w:tabs>
        <w:tab w:val="left" w:pos="360"/>
      </w:tabs>
      <w:spacing w:after="360"/>
      <w:ind w:right="232"/>
      <w:jc w:val="center"/>
      <w:outlineLvl w:val="0"/>
    </w:pPr>
    <w:rPr>
      <w:rFonts w:ascii="Arial" w:hAnsi="Arial" w:cs="Arial"/>
      <w:b/>
      <w:szCs w:val="24"/>
    </w:rPr>
  </w:style>
  <w:style w:type="paragraph" w:styleId="Heading2">
    <w:name w:val="heading 2"/>
    <w:basedOn w:val="Normal"/>
    <w:next w:val="Normal"/>
    <w:link w:val="Heading2Char"/>
    <w:qFormat/>
    <w:rsid w:val="00D35A54"/>
    <w:pPr>
      <w:tabs>
        <w:tab w:val="left" w:pos="360"/>
      </w:tabs>
      <w:spacing w:before="240" w:after="240"/>
      <w:ind w:right="232"/>
      <w:jc w:val="center"/>
      <w:outlineLvl w:val="1"/>
    </w:pPr>
    <w:rPr>
      <w:rFonts w:ascii="Arial" w:hAnsi="Arial" w:cs="Arial"/>
      <w:b/>
      <w:szCs w:val="24"/>
    </w:rPr>
  </w:style>
  <w:style w:type="paragraph" w:styleId="Heading3">
    <w:name w:val="heading 3"/>
    <w:basedOn w:val="Normal"/>
    <w:next w:val="Normal"/>
    <w:link w:val="Heading3Char"/>
    <w:qFormat/>
    <w:rsid w:val="00D35A54"/>
    <w:pPr>
      <w:keepNext/>
      <w:tabs>
        <w:tab w:val="left" w:pos="360"/>
      </w:tabs>
      <w:spacing w:before="240" w:after="240"/>
      <w:ind w:right="232"/>
      <w:jc w:val="center"/>
      <w:outlineLvl w:val="2"/>
    </w:pPr>
    <w:rPr>
      <w:rFonts w:ascii="Arial" w:hAnsi="Arial" w:cs="Arial"/>
      <w:b/>
      <w:sz w:val="22"/>
      <w:szCs w:val="22"/>
    </w:rPr>
  </w:style>
  <w:style w:type="paragraph" w:styleId="Heading4">
    <w:name w:val="heading 4"/>
    <w:basedOn w:val="Normal"/>
    <w:next w:val="Normal"/>
    <w:link w:val="Heading4Char"/>
    <w:qFormat/>
    <w:rsid w:val="00A3282B"/>
    <w:pPr>
      <w:keepNext/>
      <w:tabs>
        <w:tab w:val="left" w:pos="360"/>
      </w:tabs>
      <w:spacing w:before="240"/>
      <w:ind w:right="232"/>
      <w:outlineLvl w:val="3"/>
    </w:pPr>
    <w:rPr>
      <w:rFonts w:ascii="Arial" w:hAnsi="Arial" w:cs="Arial"/>
      <w:caps/>
      <w:sz w:val="22"/>
      <w:szCs w:val="22"/>
    </w:rPr>
  </w:style>
  <w:style w:type="paragraph" w:styleId="Heading5">
    <w:name w:val="heading 5"/>
    <w:basedOn w:val="Normal"/>
    <w:next w:val="Normal"/>
    <w:link w:val="Heading5Char"/>
    <w:qFormat/>
    <w:rsid w:val="00D35A54"/>
    <w:pPr>
      <w:keepNext/>
      <w:keepLines/>
      <w:spacing w:before="240"/>
      <w:jc w:val="both"/>
      <w:outlineLvl w:val="4"/>
    </w:pPr>
    <w:rPr>
      <w:rFonts w:ascii="Arial" w:hAnsi="Arial"/>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71D1"/>
    <w:rPr>
      <w:rFonts w:ascii="Tahoma" w:hAnsi="Tahoma" w:cs="Tahoma"/>
      <w:sz w:val="16"/>
      <w:szCs w:val="16"/>
    </w:rPr>
  </w:style>
  <w:style w:type="paragraph" w:styleId="Header">
    <w:name w:val="header"/>
    <w:basedOn w:val="Normal"/>
    <w:rsid w:val="003F5126"/>
    <w:pPr>
      <w:tabs>
        <w:tab w:val="center" w:pos="4153"/>
        <w:tab w:val="right" w:pos="8306"/>
      </w:tabs>
    </w:pPr>
    <w:rPr>
      <w:szCs w:val="24"/>
      <w:lang w:val="en-AU" w:eastAsia="en-AU"/>
    </w:rPr>
  </w:style>
  <w:style w:type="paragraph" w:styleId="Footer">
    <w:name w:val="footer"/>
    <w:basedOn w:val="Normal"/>
    <w:link w:val="FooterChar"/>
    <w:uiPriority w:val="99"/>
    <w:rsid w:val="003F5126"/>
    <w:pPr>
      <w:tabs>
        <w:tab w:val="center" w:pos="4153"/>
        <w:tab w:val="right" w:pos="8306"/>
      </w:tabs>
    </w:pPr>
    <w:rPr>
      <w:szCs w:val="24"/>
      <w:lang w:val="en-AU" w:eastAsia="en-AU"/>
    </w:rPr>
  </w:style>
  <w:style w:type="paragraph" w:styleId="FootnoteText">
    <w:name w:val="footnote text"/>
    <w:basedOn w:val="Normal"/>
    <w:semiHidden/>
    <w:rsid w:val="000667EC"/>
    <w:rPr>
      <w:sz w:val="20"/>
    </w:rPr>
  </w:style>
  <w:style w:type="character" w:styleId="FootnoteReference">
    <w:name w:val="footnote reference"/>
    <w:semiHidden/>
    <w:rsid w:val="000667EC"/>
    <w:rPr>
      <w:rFonts w:cs="Times New Roman"/>
      <w:vertAlign w:val="superscript"/>
    </w:rPr>
  </w:style>
  <w:style w:type="paragraph" w:customStyle="1" w:styleId="AllText">
    <w:name w:val="AllText"/>
    <w:link w:val="AllTextChar"/>
    <w:rsid w:val="0094691B"/>
    <w:pPr>
      <w:spacing w:before="120"/>
      <w:jc w:val="both"/>
    </w:pPr>
    <w:rPr>
      <w:sz w:val="24"/>
      <w:lang w:val="en-US" w:eastAsia="en-US"/>
    </w:rPr>
  </w:style>
  <w:style w:type="character" w:customStyle="1" w:styleId="AllTextChar">
    <w:name w:val="AllText Char"/>
    <w:link w:val="AllText"/>
    <w:locked/>
    <w:rsid w:val="0094691B"/>
    <w:rPr>
      <w:sz w:val="24"/>
      <w:lang w:val="en-US" w:eastAsia="en-US" w:bidi="ar-SA"/>
    </w:rPr>
  </w:style>
  <w:style w:type="paragraph" w:customStyle="1" w:styleId="Body">
    <w:name w:val="Body"/>
    <w:basedOn w:val="Normal"/>
    <w:link w:val="BodyChar"/>
    <w:rsid w:val="0094691B"/>
    <w:pPr>
      <w:ind w:firstLine="288"/>
      <w:jc w:val="both"/>
    </w:pPr>
    <w:rPr>
      <w:rFonts w:ascii="Arial" w:hAnsi="Arial"/>
      <w:sz w:val="20"/>
    </w:rPr>
  </w:style>
  <w:style w:type="character" w:customStyle="1" w:styleId="BodyChar">
    <w:name w:val="Body Char"/>
    <w:link w:val="Body"/>
    <w:locked/>
    <w:rsid w:val="0094691B"/>
    <w:rPr>
      <w:rFonts w:ascii="Arial" w:hAnsi="Arial" w:cs="Times New Roman"/>
      <w:lang w:val="en-US" w:eastAsia="en-US" w:bidi="ar-SA"/>
    </w:rPr>
  </w:style>
  <w:style w:type="table" w:styleId="TableGrid">
    <w:name w:val="Table Grid"/>
    <w:basedOn w:val="TableNormal"/>
    <w:rsid w:val="004A0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4A0B60"/>
  </w:style>
  <w:style w:type="paragraph" w:customStyle="1" w:styleId="SubSectionHeadings">
    <w:name w:val="Sub Section Headings"/>
    <w:basedOn w:val="Normal"/>
    <w:next w:val="Body"/>
    <w:link w:val="SubSectionHeadingsChar"/>
    <w:rsid w:val="004A0B60"/>
    <w:pPr>
      <w:keepNext/>
      <w:keepLines/>
    </w:pPr>
    <w:rPr>
      <w:rFonts w:ascii="Arial" w:hAnsi="Arial"/>
      <w:i/>
      <w:sz w:val="20"/>
    </w:rPr>
  </w:style>
  <w:style w:type="character" w:customStyle="1" w:styleId="SubSectionHeadingsChar">
    <w:name w:val="Sub Section Headings Char"/>
    <w:link w:val="SubSectionHeadings"/>
    <w:locked/>
    <w:rsid w:val="004A0B60"/>
    <w:rPr>
      <w:rFonts w:ascii="Arial" w:hAnsi="Arial" w:cs="Times New Roman"/>
      <w:i/>
      <w:lang w:val="en-US" w:eastAsia="en-US" w:bidi="ar-SA"/>
    </w:rPr>
  </w:style>
  <w:style w:type="paragraph" w:customStyle="1" w:styleId="Default">
    <w:name w:val="Default"/>
    <w:rsid w:val="00C24699"/>
    <w:pPr>
      <w:autoSpaceDE w:val="0"/>
      <w:autoSpaceDN w:val="0"/>
      <w:adjustRightInd w:val="0"/>
    </w:pPr>
    <w:rPr>
      <w:color w:val="000000"/>
      <w:sz w:val="24"/>
      <w:szCs w:val="24"/>
      <w:lang w:val="en-US" w:eastAsia="en-US"/>
    </w:rPr>
  </w:style>
  <w:style w:type="character" w:styleId="CommentReference">
    <w:name w:val="annotation reference"/>
    <w:semiHidden/>
    <w:rsid w:val="000376B0"/>
    <w:rPr>
      <w:rFonts w:cs="Times New Roman"/>
      <w:sz w:val="16"/>
      <w:szCs w:val="16"/>
    </w:rPr>
  </w:style>
  <w:style w:type="paragraph" w:styleId="CommentText">
    <w:name w:val="annotation text"/>
    <w:basedOn w:val="Normal"/>
    <w:semiHidden/>
    <w:rsid w:val="000376B0"/>
    <w:rPr>
      <w:sz w:val="20"/>
    </w:rPr>
  </w:style>
  <w:style w:type="paragraph" w:styleId="CommentSubject">
    <w:name w:val="annotation subject"/>
    <w:basedOn w:val="CommentText"/>
    <w:next w:val="CommentText"/>
    <w:semiHidden/>
    <w:rsid w:val="000376B0"/>
    <w:rPr>
      <w:b/>
      <w:bCs/>
    </w:rPr>
  </w:style>
  <w:style w:type="paragraph" w:styleId="Caption">
    <w:name w:val="caption"/>
    <w:next w:val="Normal"/>
    <w:link w:val="CaptionChar"/>
    <w:qFormat/>
    <w:rsid w:val="006A3F48"/>
    <w:pPr>
      <w:jc w:val="center"/>
    </w:pPr>
    <w:rPr>
      <w:sz w:val="24"/>
      <w:lang w:val="en-US" w:eastAsia="en-US"/>
    </w:rPr>
  </w:style>
  <w:style w:type="character" w:customStyle="1" w:styleId="CaptionChar">
    <w:name w:val="Caption Char"/>
    <w:link w:val="Caption"/>
    <w:rsid w:val="006A3F48"/>
    <w:rPr>
      <w:sz w:val="24"/>
      <w:lang w:val="en-US" w:eastAsia="en-US" w:bidi="ar-SA"/>
    </w:rPr>
  </w:style>
  <w:style w:type="paragraph" w:customStyle="1" w:styleId="Footnote">
    <w:name w:val="Footnote"/>
    <w:basedOn w:val="Normal"/>
    <w:next w:val="Body"/>
    <w:link w:val="FootnoteChar"/>
    <w:rsid w:val="00AB6389"/>
    <w:pPr>
      <w:keepLines/>
      <w:tabs>
        <w:tab w:val="right" w:pos="317"/>
        <w:tab w:val="left" w:pos="346"/>
      </w:tabs>
      <w:ind w:left="346" w:hanging="346"/>
    </w:pPr>
    <w:rPr>
      <w:rFonts w:ascii="Arial" w:hAnsi="Arial"/>
      <w:sz w:val="20"/>
    </w:rPr>
  </w:style>
  <w:style w:type="character" w:customStyle="1" w:styleId="FootnoteChar">
    <w:name w:val="Footnote Char"/>
    <w:link w:val="Footnote"/>
    <w:rsid w:val="00AB6389"/>
    <w:rPr>
      <w:rFonts w:ascii="Arial" w:hAnsi="Arial"/>
      <w:lang w:val="en-US" w:eastAsia="en-US" w:bidi="ar-SA"/>
    </w:rPr>
  </w:style>
  <w:style w:type="paragraph" w:customStyle="1" w:styleId="Bodynotabindent">
    <w:name w:val="Body: no tab. indent"/>
    <w:basedOn w:val="Body"/>
    <w:next w:val="Body"/>
    <w:rsid w:val="006D6B65"/>
    <w:pPr>
      <w:ind w:left="288" w:firstLine="0"/>
    </w:pPr>
    <w:rPr>
      <w:lang w:eastAsia="ja-JP"/>
    </w:rPr>
  </w:style>
  <w:style w:type="character" w:customStyle="1" w:styleId="FooterChar">
    <w:name w:val="Footer Char"/>
    <w:basedOn w:val="DefaultParagraphFont"/>
    <w:link w:val="Footer"/>
    <w:uiPriority w:val="99"/>
    <w:rsid w:val="007F2A2A"/>
    <w:rPr>
      <w:sz w:val="24"/>
      <w:szCs w:val="24"/>
    </w:rPr>
  </w:style>
  <w:style w:type="character" w:customStyle="1" w:styleId="Heading1Char">
    <w:name w:val="Heading 1 Char"/>
    <w:basedOn w:val="DefaultParagraphFont"/>
    <w:link w:val="Heading1"/>
    <w:rsid w:val="00D35A54"/>
    <w:rPr>
      <w:rFonts w:ascii="Arial" w:hAnsi="Arial" w:cs="Arial"/>
      <w:b/>
      <w:sz w:val="24"/>
      <w:szCs w:val="24"/>
      <w:lang w:val="en-US" w:eastAsia="en-US"/>
    </w:rPr>
  </w:style>
  <w:style w:type="character" w:customStyle="1" w:styleId="Heading2Char">
    <w:name w:val="Heading 2 Char"/>
    <w:basedOn w:val="DefaultParagraphFont"/>
    <w:link w:val="Heading2"/>
    <w:rsid w:val="00D35A54"/>
    <w:rPr>
      <w:rFonts w:ascii="Arial" w:hAnsi="Arial" w:cs="Arial"/>
      <w:b/>
      <w:sz w:val="24"/>
      <w:szCs w:val="24"/>
      <w:lang w:val="en-US" w:eastAsia="en-US"/>
    </w:rPr>
  </w:style>
  <w:style w:type="character" w:customStyle="1" w:styleId="Heading3Char">
    <w:name w:val="Heading 3 Char"/>
    <w:basedOn w:val="DefaultParagraphFont"/>
    <w:link w:val="Heading3"/>
    <w:rsid w:val="00D35A54"/>
    <w:rPr>
      <w:rFonts w:ascii="Arial" w:hAnsi="Arial" w:cs="Arial"/>
      <w:b/>
      <w:sz w:val="22"/>
      <w:szCs w:val="22"/>
      <w:lang w:val="en-US" w:eastAsia="en-US"/>
    </w:rPr>
  </w:style>
  <w:style w:type="character" w:customStyle="1" w:styleId="Heading4Char">
    <w:name w:val="Heading 4 Char"/>
    <w:basedOn w:val="DefaultParagraphFont"/>
    <w:link w:val="Heading4"/>
    <w:rsid w:val="00A3282B"/>
    <w:rPr>
      <w:rFonts w:ascii="Arial" w:hAnsi="Arial" w:cs="Arial"/>
      <w:caps/>
      <w:sz w:val="22"/>
      <w:szCs w:val="22"/>
      <w:lang w:val="en-US" w:eastAsia="en-US"/>
    </w:rPr>
  </w:style>
  <w:style w:type="character" w:customStyle="1" w:styleId="Heading5Char">
    <w:name w:val="Heading 5 Char"/>
    <w:basedOn w:val="DefaultParagraphFont"/>
    <w:link w:val="Heading5"/>
    <w:rsid w:val="00A3282B"/>
    <w:rPr>
      <w:rFonts w:ascii="Arial" w:hAnsi="Arial"/>
      <w:i/>
      <w:sz w:val="22"/>
      <w:szCs w:val="22"/>
      <w:lang w:val="en-US" w:eastAsia="en-US"/>
    </w:rPr>
  </w:style>
  <w:style w:type="paragraph" w:customStyle="1" w:styleId="Tabletitle">
    <w:name w:val="Table title"/>
    <w:basedOn w:val="Normal"/>
    <w:qFormat/>
    <w:rsid w:val="00245874"/>
    <w:pPr>
      <w:keepNext/>
      <w:spacing w:before="360"/>
      <w:jc w:val="center"/>
    </w:pPr>
    <w:rPr>
      <w:rFonts w:ascii="Arial" w:hAnsi="Arial" w:cs="Arial"/>
      <w:b/>
      <w:sz w:val="22"/>
      <w:szCs w:val="22"/>
    </w:rPr>
  </w:style>
</w:styles>
</file>

<file path=word/webSettings.xml><?xml version="1.0" encoding="utf-8"?>
<w:webSettings xmlns:r="http://schemas.openxmlformats.org/officeDocument/2006/relationships" xmlns:w="http://schemas.openxmlformats.org/wordprocessingml/2006/main">
  <w:divs>
    <w:div w:id="284892212">
      <w:bodyDiv w:val="1"/>
      <w:marLeft w:val="0"/>
      <w:marRight w:val="0"/>
      <w:marTop w:val="0"/>
      <w:marBottom w:val="0"/>
      <w:divBdr>
        <w:top w:val="none" w:sz="0" w:space="0" w:color="auto"/>
        <w:left w:val="none" w:sz="0" w:space="0" w:color="auto"/>
        <w:bottom w:val="none" w:sz="0" w:space="0" w:color="auto"/>
        <w:right w:val="none" w:sz="0" w:space="0" w:color="auto"/>
      </w:divBdr>
    </w:div>
    <w:div w:id="347877656">
      <w:bodyDiv w:val="1"/>
      <w:marLeft w:val="0"/>
      <w:marRight w:val="0"/>
      <w:marTop w:val="0"/>
      <w:marBottom w:val="0"/>
      <w:divBdr>
        <w:top w:val="none" w:sz="0" w:space="0" w:color="auto"/>
        <w:left w:val="none" w:sz="0" w:space="0" w:color="auto"/>
        <w:bottom w:val="none" w:sz="0" w:space="0" w:color="auto"/>
        <w:right w:val="none" w:sz="0" w:space="0" w:color="auto"/>
      </w:divBdr>
    </w:div>
    <w:div w:id="448166210">
      <w:bodyDiv w:val="1"/>
      <w:marLeft w:val="0"/>
      <w:marRight w:val="0"/>
      <w:marTop w:val="0"/>
      <w:marBottom w:val="0"/>
      <w:divBdr>
        <w:top w:val="none" w:sz="0" w:space="0" w:color="auto"/>
        <w:left w:val="none" w:sz="0" w:space="0" w:color="auto"/>
        <w:bottom w:val="none" w:sz="0" w:space="0" w:color="auto"/>
        <w:right w:val="none" w:sz="0" w:space="0" w:color="auto"/>
      </w:divBdr>
    </w:div>
    <w:div w:id="629827989">
      <w:bodyDiv w:val="1"/>
      <w:marLeft w:val="0"/>
      <w:marRight w:val="0"/>
      <w:marTop w:val="0"/>
      <w:marBottom w:val="0"/>
      <w:divBdr>
        <w:top w:val="none" w:sz="0" w:space="0" w:color="auto"/>
        <w:left w:val="none" w:sz="0" w:space="0" w:color="auto"/>
        <w:bottom w:val="none" w:sz="0" w:space="0" w:color="auto"/>
        <w:right w:val="none" w:sz="0" w:space="0" w:color="auto"/>
      </w:divBdr>
    </w:div>
    <w:div w:id="676462926">
      <w:bodyDiv w:val="1"/>
      <w:marLeft w:val="0"/>
      <w:marRight w:val="0"/>
      <w:marTop w:val="0"/>
      <w:marBottom w:val="0"/>
      <w:divBdr>
        <w:top w:val="none" w:sz="0" w:space="0" w:color="auto"/>
        <w:left w:val="none" w:sz="0" w:space="0" w:color="auto"/>
        <w:bottom w:val="none" w:sz="0" w:space="0" w:color="auto"/>
        <w:right w:val="none" w:sz="0" w:space="0" w:color="auto"/>
      </w:divBdr>
    </w:div>
    <w:div w:id="1017465920">
      <w:bodyDiv w:val="1"/>
      <w:marLeft w:val="0"/>
      <w:marRight w:val="0"/>
      <w:marTop w:val="0"/>
      <w:marBottom w:val="0"/>
      <w:divBdr>
        <w:top w:val="none" w:sz="0" w:space="0" w:color="auto"/>
        <w:left w:val="none" w:sz="0" w:space="0" w:color="auto"/>
        <w:bottom w:val="none" w:sz="0" w:space="0" w:color="auto"/>
        <w:right w:val="none" w:sz="0" w:space="0" w:color="auto"/>
      </w:divBdr>
    </w:div>
    <w:div w:id="1312640608">
      <w:bodyDiv w:val="1"/>
      <w:marLeft w:val="0"/>
      <w:marRight w:val="0"/>
      <w:marTop w:val="0"/>
      <w:marBottom w:val="0"/>
      <w:divBdr>
        <w:top w:val="none" w:sz="0" w:space="0" w:color="auto"/>
        <w:left w:val="none" w:sz="0" w:space="0" w:color="auto"/>
        <w:bottom w:val="none" w:sz="0" w:space="0" w:color="auto"/>
        <w:right w:val="none" w:sz="0" w:space="0" w:color="auto"/>
      </w:divBdr>
    </w:div>
    <w:div w:id="1316643444">
      <w:bodyDiv w:val="1"/>
      <w:marLeft w:val="0"/>
      <w:marRight w:val="0"/>
      <w:marTop w:val="0"/>
      <w:marBottom w:val="0"/>
      <w:divBdr>
        <w:top w:val="none" w:sz="0" w:space="0" w:color="auto"/>
        <w:left w:val="none" w:sz="0" w:space="0" w:color="auto"/>
        <w:bottom w:val="none" w:sz="0" w:space="0" w:color="auto"/>
        <w:right w:val="none" w:sz="0" w:space="0" w:color="auto"/>
      </w:divBdr>
    </w:div>
    <w:div w:id="1323392510">
      <w:bodyDiv w:val="1"/>
      <w:marLeft w:val="0"/>
      <w:marRight w:val="0"/>
      <w:marTop w:val="0"/>
      <w:marBottom w:val="0"/>
      <w:divBdr>
        <w:top w:val="none" w:sz="0" w:space="0" w:color="auto"/>
        <w:left w:val="none" w:sz="0" w:space="0" w:color="auto"/>
        <w:bottom w:val="none" w:sz="0" w:space="0" w:color="auto"/>
        <w:right w:val="none" w:sz="0" w:space="0" w:color="auto"/>
      </w:divBdr>
    </w:div>
    <w:div w:id="1554343584">
      <w:bodyDiv w:val="1"/>
      <w:marLeft w:val="0"/>
      <w:marRight w:val="0"/>
      <w:marTop w:val="0"/>
      <w:marBottom w:val="0"/>
      <w:divBdr>
        <w:top w:val="none" w:sz="0" w:space="0" w:color="auto"/>
        <w:left w:val="none" w:sz="0" w:space="0" w:color="auto"/>
        <w:bottom w:val="none" w:sz="0" w:space="0" w:color="auto"/>
        <w:right w:val="none" w:sz="0" w:space="0" w:color="auto"/>
      </w:divBdr>
    </w:div>
    <w:div w:id="1930962705">
      <w:bodyDiv w:val="1"/>
      <w:marLeft w:val="0"/>
      <w:marRight w:val="0"/>
      <w:marTop w:val="0"/>
      <w:marBottom w:val="0"/>
      <w:divBdr>
        <w:top w:val="none" w:sz="0" w:space="0" w:color="auto"/>
        <w:left w:val="none" w:sz="0" w:space="0" w:color="auto"/>
        <w:bottom w:val="none" w:sz="0" w:space="0" w:color="auto"/>
        <w:right w:val="none" w:sz="0" w:space="0" w:color="auto"/>
      </w:divBdr>
    </w:div>
    <w:div w:id="1996914016">
      <w:bodyDiv w:val="1"/>
      <w:marLeft w:val="0"/>
      <w:marRight w:val="0"/>
      <w:marTop w:val="0"/>
      <w:marBottom w:val="0"/>
      <w:divBdr>
        <w:top w:val="none" w:sz="0" w:space="0" w:color="auto"/>
        <w:left w:val="none" w:sz="0" w:space="0" w:color="auto"/>
        <w:bottom w:val="none" w:sz="0" w:space="0" w:color="auto"/>
        <w:right w:val="none" w:sz="0" w:space="0" w:color="auto"/>
      </w:divBdr>
    </w:div>
    <w:div w:id="206120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03C7F-0847-4259-8AE7-6E51E417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35</Pages>
  <Words>10900</Words>
  <Characters>72172</Characters>
  <Application>Microsoft Office Word</Application>
  <DocSecurity>0</DocSecurity>
  <Lines>2673</Lines>
  <Paragraphs>1931</Paragraphs>
  <ScaleCrop>false</ScaleCrop>
  <HeadingPairs>
    <vt:vector size="2" baseType="variant">
      <vt:variant>
        <vt:lpstr>Title</vt:lpstr>
      </vt:variant>
      <vt:variant>
        <vt:i4>1</vt:i4>
      </vt:variant>
    </vt:vector>
  </HeadingPairs>
  <TitlesOfParts>
    <vt:vector size="1" baseType="lpstr">
      <vt:lpstr>AusPAR Attachment 1: Product information for Isentress</vt:lpstr>
    </vt:vector>
  </TitlesOfParts>
  <Company>TGA</Company>
  <LinksUpToDate>false</LinksUpToDate>
  <CharactersWithSpaces>81141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Isentress</dc:title>
  <dc:subject>prescription medicine regulation</dc:subject>
  <dc:creator>Merck Sharp &amp; Dohme (Australia) Pty Ltd</dc:creator>
  <cp:keywords>product, information, prescription, medicine, regulation, isentress, raltegravir, merck, sharp, dohme, merck sharp and dohme</cp:keywords>
  <cp:lastModifiedBy>Fletcher, Tim</cp:lastModifiedBy>
  <cp:revision>4</cp:revision>
  <cp:lastPrinted>2013-01-31T03:53:00Z</cp:lastPrinted>
  <dcterms:created xsi:type="dcterms:W3CDTF">2013-08-07T07:09:00Z</dcterms:created>
  <dcterms:modified xsi:type="dcterms:W3CDTF">2013-08-26T03:55:00Z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-552226400</vt:i4>
  </property>
  <property fmtid="{D5CDD505-2E9C-101B-9397-08002B2CF9AE}" pid="4" name="_EmailSubject">
    <vt:lpwstr>Draft AusPAR for Isentress [SEC=UNCLASSIFIED]</vt:lpwstr>
  </property>
  <property fmtid="{D5CDD505-2E9C-101B-9397-08002B2CF9AE}" pid="5" name="_AuthorEmail">
    <vt:lpwstr>robert.martini@merck.com</vt:lpwstr>
  </property>
  <property fmtid="{D5CDD505-2E9C-101B-9397-08002B2CF9AE}" pid="6" name="_AuthorEmailDisplayName">
    <vt:lpwstr>Martini, Robert</vt:lpwstr>
  </property>
  <property fmtid="{D5CDD505-2E9C-101B-9397-08002B2CF9AE}" pid="7" name="_PreviousAdHocReviewCycleID">
    <vt:i4>-674885130</vt:i4>
  </property>
  <property fmtid="{D5CDD505-2E9C-101B-9397-08002B2CF9AE}" pid="8" name="_ReviewingToolsShownOnce">
    <vt:lpwstr/>
  </property>
</Properties>
</file>