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621EF" w:rsidP="00096AA7">
            <w:pPr>
              <w:rPr>
                <w:rFonts w:ascii="Arial" w:hAnsi="Arial" w:cs="Arial"/>
                <w:b/>
                <w:color w:val="002C47"/>
                <w:sz w:val="36"/>
                <w:szCs w:val="36"/>
              </w:rPr>
            </w:pPr>
            <w:r>
              <w:rPr>
                <w:rFonts w:ascii="Arial" w:hAnsi="Arial" w:cs="Arial"/>
                <w:b/>
                <w:color w:val="002C47"/>
                <w:sz w:val="36"/>
                <w:szCs w:val="36"/>
              </w:rPr>
              <w:t>July</w:t>
            </w:r>
            <w:r w:rsidR="00B1153A">
              <w:rPr>
                <w:rFonts w:ascii="Arial" w:hAnsi="Arial" w:cs="Arial"/>
                <w:b/>
                <w:color w:val="002C47"/>
                <w:sz w:val="36"/>
                <w:szCs w:val="36"/>
              </w:rPr>
              <w:t xml:space="preserve"> 2014</w:t>
            </w:r>
          </w:p>
        </w:tc>
      </w:tr>
    </w:tbl>
    <w:p w:rsidR="00AC305C" w:rsidRPr="00AC305C" w:rsidRDefault="00AC305C" w:rsidP="00AC305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C305C" w:rsidRDefault="0032583B" w:rsidP="00BC3093">
            <w:pPr>
              <w:pStyle w:val="Title"/>
              <w:rPr>
                <w:color w:val="FFFFFF"/>
              </w:rPr>
            </w:pPr>
            <w:r w:rsidRPr="00AC305C">
              <w:rPr>
                <w:color w:val="FFFFFF"/>
              </w:rPr>
              <w:t>Australian Pu</w:t>
            </w:r>
            <w:r w:rsidR="00BC2582">
              <w:rPr>
                <w:color w:val="FFFFFF"/>
              </w:rPr>
              <w:t xml:space="preserve">blic Assessment Report for </w:t>
            </w:r>
            <w:r w:rsidR="00BC2582" w:rsidRPr="00BC2582">
              <w:rPr>
                <w:color w:val="FFFFFF"/>
              </w:rPr>
              <w:t>radium (</w:t>
            </w:r>
            <w:r w:rsidR="00BC2582" w:rsidRPr="000427FD">
              <w:rPr>
                <w:color w:val="FFFFFF"/>
                <w:vertAlign w:val="superscript"/>
              </w:rPr>
              <w:t>2</w:t>
            </w:r>
            <w:r w:rsidR="00BC3093">
              <w:rPr>
                <w:color w:val="FFFFFF"/>
                <w:vertAlign w:val="superscript"/>
              </w:rPr>
              <w:t>2</w:t>
            </w:r>
            <w:r w:rsidR="00BC2582" w:rsidRPr="000427FD">
              <w:rPr>
                <w:color w:val="FFFFFF"/>
                <w:vertAlign w:val="superscript"/>
              </w:rPr>
              <w:t>3</w:t>
            </w:r>
            <w:r w:rsidR="00BC2582" w:rsidRPr="00BC2582">
              <w:rPr>
                <w:color w:val="FFFFFF"/>
              </w:rPr>
              <w:t>Ra) dichloride</w:t>
            </w:r>
          </w:p>
        </w:tc>
      </w:tr>
      <w:tr w:rsidR="0032583B" w:rsidRPr="00B64760" w:rsidTr="0032583B">
        <w:tc>
          <w:tcPr>
            <w:tcW w:w="9079" w:type="dxa"/>
          </w:tcPr>
          <w:p w:rsidR="0032583B" w:rsidRPr="00AC305C" w:rsidRDefault="006448CA" w:rsidP="0071325D">
            <w:pPr>
              <w:pStyle w:val="Subtitle"/>
              <w:rPr>
                <w:color w:val="FFFFFF"/>
              </w:rPr>
            </w:pPr>
            <w:r>
              <w:rPr>
                <w:color w:val="FFFFFF"/>
              </w:rPr>
              <w:t>Pr</w:t>
            </w:r>
            <w:r w:rsidR="0071325D">
              <w:rPr>
                <w:color w:val="FFFFFF"/>
              </w:rPr>
              <w:t xml:space="preserve">oprietary Product Name: </w:t>
            </w:r>
            <w:proofErr w:type="spellStart"/>
            <w:r w:rsidR="0071325D">
              <w:rPr>
                <w:color w:val="FFFFFF"/>
              </w:rPr>
              <w:t>Xofigo</w:t>
            </w:r>
            <w:proofErr w:type="spellEnd"/>
          </w:p>
        </w:tc>
      </w:tr>
      <w:tr w:rsidR="0032583B" w:rsidRPr="00B64760" w:rsidTr="0032583B">
        <w:trPr>
          <w:trHeight w:val="486"/>
        </w:trPr>
        <w:tc>
          <w:tcPr>
            <w:tcW w:w="9079" w:type="dxa"/>
          </w:tcPr>
          <w:p w:rsidR="0032583B" w:rsidRPr="00AC305C" w:rsidRDefault="006448CA" w:rsidP="0032583B">
            <w:pPr>
              <w:pStyle w:val="Subtitle"/>
              <w:rPr>
                <w:color w:val="FFFFFF"/>
              </w:rPr>
            </w:pPr>
            <w:r>
              <w:rPr>
                <w:color w:val="FFFFFF"/>
              </w:rPr>
              <w:t>Sponsor: Bayer Australia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395BB0">
        <w:rPr>
          <w:rFonts w:cs="Arial"/>
          <w:lang w:val="en-GB"/>
        </w:rPr>
        <w:t>onwealth of Austr</w:t>
      </w:r>
      <w:r>
        <w:rPr>
          <w:rFonts w:cs="Arial"/>
          <w:lang w:val="en-GB"/>
        </w:rPr>
        <w:t>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bookmarkStart w:id="2" w:name="_GoBack"/>
    <w:bookmarkEnd w:id="2"/>
    <w:p w:rsidR="004968D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4316784" w:history="1">
        <w:r w:rsidR="004968D7" w:rsidRPr="003A3ABF">
          <w:rPr>
            <w:rStyle w:val="Hyperlink"/>
            <w:noProof/>
          </w:rPr>
          <w:t>List of abbreviations</w:t>
        </w:r>
        <w:r w:rsidR="004968D7">
          <w:rPr>
            <w:noProof/>
            <w:webHidden/>
          </w:rPr>
          <w:tab/>
        </w:r>
        <w:r w:rsidR="004968D7">
          <w:rPr>
            <w:noProof/>
            <w:webHidden/>
          </w:rPr>
          <w:fldChar w:fldCharType="begin"/>
        </w:r>
        <w:r w:rsidR="004968D7">
          <w:rPr>
            <w:noProof/>
            <w:webHidden/>
          </w:rPr>
          <w:instrText xml:space="preserve"> PAGEREF _Toc394316784 \h </w:instrText>
        </w:r>
        <w:r w:rsidR="004968D7">
          <w:rPr>
            <w:noProof/>
            <w:webHidden/>
          </w:rPr>
        </w:r>
        <w:r w:rsidR="004968D7">
          <w:rPr>
            <w:noProof/>
            <w:webHidden/>
          </w:rPr>
          <w:fldChar w:fldCharType="separate"/>
        </w:r>
        <w:r w:rsidR="004968D7">
          <w:rPr>
            <w:noProof/>
            <w:webHidden/>
          </w:rPr>
          <w:t>5</w:t>
        </w:r>
        <w:r w:rsidR="004968D7">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785" w:history="1">
        <w:r w:rsidRPr="003A3ABF">
          <w:rPr>
            <w:rStyle w:val="Hyperlink"/>
            <w:noProof/>
          </w:rPr>
          <w:t>I. Introduction to product submission</w:t>
        </w:r>
        <w:r>
          <w:rPr>
            <w:noProof/>
            <w:webHidden/>
          </w:rPr>
          <w:tab/>
        </w:r>
        <w:r>
          <w:rPr>
            <w:noProof/>
            <w:webHidden/>
          </w:rPr>
          <w:fldChar w:fldCharType="begin"/>
        </w:r>
        <w:r>
          <w:rPr>
            <w:noProof/>
            <w:webHidden/>
          </w:rPr>
          <w:instrText xml:space="preserve"> PAGEREF _Toc394316785 \h </w:instrText>
        </w:r>
        <w:r>
          <w:rPr>
            <w:noProof/>
            <w:webHidden/>
          </w:rPr>
        </w:r>
        <w:r>
          <w:rPr>
            <w:noProof/>
            <w:webHidden/>
          </w:rPr>
          <w:fldChar w:fldCharType="separate"/>
        </w:r>
        <w:r>
          <w:rPr>
            <w:noProof/>
            <w:webHidden/>
          </w:rPr>
          <w:t>8</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86" w:history="1">
        <w:r w:rsidRPr="003A3ABF">
          <w:rPr>
            <w:rStyle w:val="Hyperlink"/>
            <w:noProof/>
            <w:lang w:eastAsia="en-AU"/>
          </w:rPr>
          <w:t xml:space="preserve">Submission </w:t>
        </w:r>
        <w:r w:rsidRPr="003A3ABF">
          <w:rPr>
            <w:rStyle w:val="Hyperlink"/>
            <w:noProof/>
          </w:rPr>
          <w:t>details</w:t>
        </w:r>
        <w:r>
          <w:rPr>
            <w:noProof/>
            <w:webHidden/>
          </w:rPr>
          <w:tab/>
        </w:r>
        <w:r>
          <w:rPr>
            <w:noProof/>
            <w:webHidden/>
          </w:rPr>
          <w:fldChar w:fldCharType="begin"/>
        </w:r>
        <w:r>
          <w:rPr>
            <w:noProof/>
            <w:webHidden/>
          </w:rPr>
          <w:instrText xml:space="preserve"> PAGEREF _Toc394316786 \h </w:instrText>
        </w:r>
        <w:r>
          <w:rPr>
            <w:noProof/>
            <w:webHidden/>
          </w:rPr>
        </w:r>
        <w:r>
          <w:rPr>
            <w:noProof/>
            <w:webHidden/>
          </w:rPr>
          <w:fldChar w:fldCharType="separate"/>
        </w:r>
        <w:r>
          <w:rPr>
            <w:noProof/>
            <w:webHidden/>
          </w:rPr>
          <w:t>8</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87" w:history="1">
        <w:r w:rsidRPr="003A3ABF">
          <w:rPr>
            <w:rStyle w:val="Hyperlink"/>
            <w:noProof/>
          </w:rPr>
          <w:t>Product background</w:t>
        </w:r>
        <w:r>
          <w:rPr>
            <w:noProof/>
            <w:webHidden/>
          </w:rPr>
          <w:tab/>
        </w:r>
        <w:r>
          <w:rPr>
            <w:noProof/>
            <w:webHidden/>
          </w:rPr>
          <w:fldChar w:fldCharType="begin"/>
        </w:r>
        <w:r>
          <w:rPr>
            <w:noProof/>
            <w:webHidden/>
          </w:rPr>
          <w:instrText xml:space="preserve"> PAGEREF _Toc394316787 \h </w:instrText>
        </w:r>
        <w:r>
          <w:rPr>
            <w:noProof/>
            <w:webHidden/>
          </w:rPr>
        </w:r>
        <w:r>
          <w:rPr>
            <w:noProof/>
            <w:webHidden/>
          </w:rPr>
          <w:fldChar w:fldCharType="separate"/>
        </w:r>
        <w:r>
          <w:rPr>
            <w:noProof/>
            <w:webHidden/>
          </w:rPr>
          <w:t>8</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88" w:history="1">
        <w:r w:rsidRPr="003A3ABF">
          <w:rPr>
            <w:rStyle w:val="Hyperlink"/>
            <w:noProof/>
          </w:rPr>
          <w:t>Regulatory status</w:t>
        </w:r>
        <w:r>
          <w:rPr>
            <w:noProof/>
            <w:webHidden/>
          </w:rPr>
          <w:tab/>
        </w:r>
        <w:r>
          <w:rPr>
            <w:noProof/>
            <w:webHidden/>
          </w:rPr>
          <w:fldChar w:fldCharType="begin"/>
        </w:r>
        <w:r>
          <w:rPr>
            <w:noProof/>
            <w:webHidden/>
          </w:rPr>
          <w:instrText xml:space="preserve"> PAGEREF _Toc394316788 \h </w:instrText>
        </w:r>
        <w:r>
          <w:rPr>
            <w:noProof/>
            <w:webHidden/>
          </w:rPr>
        </w:r>
        <w:r>
          <w:rPr>
            <w:noProof/>
            <w:webHidden/>
          </w:rPr>
          <w:fldChar w:fldCharType="separate"/>
        </w:r>
        <w:r>
          <w:rPr>
            <w:noProof/>
            <w:webHidden/>
          </w:rPr>
          <w:t>10</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89" w:history="1">
        <w:r w:rsidRPr="003A3ABF">
          <w:rPr>
            <w:rStyle w:val="Hyperlink"/>
            <w:noProof/>
          </w:rPr>
          <w:t>Product information</w:t>
        </w:r>
        <w:r>
          <w:rPr>
            <w:noProof/>
            <w:webHidden/>
          </w:rPr>
          <w:tab/>
        </w:r>
        <w:r>
          <w:rPr>
            <w:noProof/>
            <w:webHidden/>
          </w:rPr>
          <w:fldChar w:fldCharType="begin"/>
        </w:r>
        <w:r>
          <w:rPr>
            <w:noProof/>
            <w:webHidden/>
          </w:rPr>
          <w:instrText xml:space="preserve"> PAGEREF _Toc394316789 \h </w:instrText>
        </w:r>
        <w:r>
          <w:rPr>
            <w:noProof/>
            <w:webHidden/>
          </w:rPr>
        </w:r>
        <w:r>
          <w:rPr>
            <w:noProof/>
            <w:webHidden/>
          </w:rPr>
          <w:fldChar w:fldCharType="separate"/>
        </w:r>
        <w:r>
          <w:rPr>
            <w:noProof/>
            <w:webHidden/>
          </w:rPr>
          <w:t>10</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790" w:history="1">
        <w:r w:rsidRPr="003A3ABF">
          <w:rPr>
            <w:rStyle w:val="Hyperlink"/>
            <w:noProof/>
          </w:rPr>
          <w:t>II. Quality findings</w:t>
        </w:r>
        <w:r>
          <w:rPr>
            <w:noProof/>
            <w:webHidden/>
          </w:rPr>
          <w:tab/>
        </w:r>
        <w:r>
          <w:rPr>
            <w:noProof/>
            <w:webHidden/>
          </w:rPr>
          <w:fldChar w:fldCharType="begin"/>
        </w:r>
        <w:r>
          <w:rPr>
            <w:noProof/>
            <w:webHidden/>
          </w:rPr>
          <w:instrText xml:space="preserve"> PAGEREF _Toc394316790 \h </w:instrText>
        </w:r>
        <w:r>
          <w:rPr>
            <w:noProof/>
            <w:webHidden/>
          </w:rPr>
        </w:r>
        <w:r>
          <w:rPr>
            <w:noProof/>
            <w:webHidden/>
          </w:rPr>
          <w:fldChar w:fldCharType="separate"/>
        </w:r>
        <w:r>
          <w:rPr>
            <w:noProof/>
            <w:webHidden/>
          </w:rPr>
          <w:t>10</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1" w:history="1">
        <w:r w:rsidRPr="003A3ABF">
          <w:rPr>
            <w:rStyle w:val="Hyperlink"/>
            <w:noProof/>
          </w:rPr>
          <w:t>Introduction</w:t>
        </w:r>
        <w:r>
          <w:rPr>
            <w:noProof/>
            <w:webHidden/>
          </w:rPr>
          <w:tab/>
        </w:r>
        <w:r>
          <w:rPr>
            <w:noProof/>
            <w:webHidden/>
          </w:rPr>
          <w:fldChar w:fldCharType="begin"/>
        </w:r>
        <w:r>
          <w:rPr>
            <w:noProof/>
            <w:webHidden/>
          </w:rPr>
          <w:instrText xml:space="preserve"> PAGEREF _Toc394316791 \h </w:instrText>
        </w:r>
        <w:r>
          <w:rPr>
            <w:noProof/>
            <w:webHidden/>
          </w:rPr>
        </w:r>
        <w:r>
          <w:rPr>
            <w:noProof/>
            <w:webHidden/>
          </w:rPr>
          <w:fldChar w:fldCharType="separate"/>
        </w:r>
        <w:r>
          <w:rPr>
            <w:noProof/>
            <w:webHidden/>
          </w:rPr>
          <w:t>10</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2" w:history="1">
        <w:r w:rsidRPr="003A3ABF">
          <w:rPr>
            <w:rStyle w:val="Hyperlink"/>
            <w:noProof/>
          </w:rPr>
          <w:t>Drug substance (active ingredient)</w:t>
        </w:r>
        <w:r>
          <w:rPr>
            <w:noProof/>
            <w:webHidden/>
          </w:rPr>
          <w:tab/>
        </w:r>
        <w:r>
          <w:rPr>
            <w:noProof/>
            <w:webHidden/>
          </w:rPr>
          <w:fldChar w:fldCharType="begin"/>
        </w:r>
        <w:r>
          <w:rPr>
            <w:noProof/>
            <w:webHidden/>
          </w:rPr>
          <w:instrText xml:space="preserve"> PAGEREF _Toc394316792 \h </w:instrText>
        </w:r>
        <w:r>
          <w:rPr>
            <w:noProof/>
            <w:webHidden/>
          </w:rPr>
        </w:r>
        <w:r>
          <w:rPr>
            <w:noProof/>
            <w:webHidden/>
          </w:rPr>
          <w:fldChar w:fldCharType="separate"/>
        </w:r>
        <w:r>
          <w:rPr>
            <w:noProof/>
            <w:webHidden/>
          </w:rPr>
          <w:t>11</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3" w:history="1">
        <w:r w:rsidRPr="003A3ABF">
          <w:rPr>
            <w:rStyle w:val="Hyperlink"/>
            <w:noProof/>
          </w:rPr>
          <w:t>Drug product</w:t>
        </w:r>
        <w:r>
          <w:rPr>
            <w:noProof/>
            <w:webHidden/>
          </w:rPr>
          <w:tab/>
        </w:r>
        <w:r>
          <w:rPr>
            <w:noProof/>
            <w:webHidden/>
          </w:rPr>
          <w:fldChar w:fldCharType="begin"/>
        </w:r>
        <w:r>
          <w:rPr>
            <w:noProof/>
            <w:webHidden/>
          </w:rPr>
          <w:instrText xml:space="preserve"> PAGEREF _Toc394316793 \h </w:instrText>
        </w:r>
        <w:r>
          <w:rPr>
            <w:noProof/>
            <w:webHidden/>
          </w:rPr>
        </w:r>
        <w:r>
          <w:rPr>
            <w:noProof/>
            <w:webHidden/>
          </w:rPr>
          <w:fldChar w:fldCharType="separate"/>
        </w:r>
        <w:r>
          <w:rPr>
            <w:noProof/>
            <w:webHidden/>
          </w:rPr>
          <w:t>11</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4" w:history="1">
        <w:r w:rsidRPr="003A3ABF">
          <w:rPr>
            <w:rStyle w:val="Hyperlink"/>
            <w:noProof/>
          </w:rPr>
          <w:t>Quality summary and conclusions</w:t>
        </w:r>
        <w:r>
          <w:rPr>
            <w:noProof/>
            <w:webHidden/>
          </w:rPr>
          <w:tab/>
        </w:r>
        <w:r>
          <w:rPr>
            <w:noProof/>
            <w:webHidden/>
          </w:rPr>
          <w:fldChar w:fldCharType="begin"/>
        </w:r>
        <w:r>
          <w:rPr>
            <w:noProof/>
            <w:webHidden/>
          </w:rPr>
          <w:instrText xml:space="preserve"> PAGEREF _Toc394316794 \h </w:instrText>
        </w:r>
        <w:r>
          <w:rPr>
            <w:noProof/>
            <w:webHidden/>
          </w:rPr>
        </w:r>
        <w:r>
          <w:rPr>
            <w:noProof/>
            <w:webHidden/>
          </w:rPr>
          <w:fldChar w:fldCharType="separate"/>
        </w:r>
        <w:r>
          <w:rPr>
            <w:noProof/>
            <w:webHidden/>
          </w:rPr>
          <w:t>13</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795" w:history="1">
        <w:r w:rsidRPr="003A3ABF">
          <w:rPr>
            <w:rStyle w:val="Hyperlink"/>
            <w:noProof/>
          </w:rPr>
          <w:t>III. Nonclinical findings</w:t>
        </w:r>
        <w:r>
          <w:rPr>
            <w:noProof/>
            <w:webHidden/>
          </w:rPr>
          <w:tab/>
        </w:r>
        <w:r>
          <w:rPr>
            <w:noProof/>
            <w:webHidden/>
          </w:rPr>
          <w:fldChar w:fldCharType="begin"/>
        </w:r>
        <w:r>
          <w:rPr>
            <w:noProof/>
            <w:webHidden/>
          </w:rPr>
          <w:instrText xml:space="preserve"> PAGEREF _Toc394316795 \h </w:instrText>
        </w:r>
        <w:r>
          <w:rPr>
            <w:noProof/>
            <w:webHidden/>
          </w:rPr>
        </w:r>
        <w:r>
          <w:rPr>
            <w:noProof/>
            <w:webHidden/>
          </w:rPr>
          <w:fldChar w:fldCharType="separate"/>
        </w:r>
        <w:r>
          <w:rPr>
            <w:noProof/>
            <w:webHidden/>
          </w:rPr>
          <w:t>13</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6" w:history="1">
        <w:r w:rsidRPr="003A3ABF">
          <w:rPr>
            <w:rStyle w:val="Hyperlink"/>
            <w:noProof/>
          </w:rPr>
          <w:t>Introduction</w:t>
        </w:r>
        <w:r>
          <w:rPr>
            <w:noProof/>
            <w:webHidden/>
          </w:rPr>
          <w:tab/>
        </w:r>
        <w:r>
          <w:rPr>
            <w:noProof/>
            <w:webHidden/>
          </w:rPr>
          <w:fldChar w:fldCharType="begin"/>
        </w:r>
        <w:r>
          <w:rPr>
            <w:noProof/>
            <w:webHidden/>
          </w:rPr>
          <w:instrText xml:space="preserve"> PAGEREF _Toc394316796 \h </w:instrText>
        </w:r>
        <w:r>
          <w:rPr>
            <w:noProof/>
            <w:webHidden/>
          </w:rPr>
        </w:r>
        <w:r>
          <w:rPr>
            <w:noProof/>
            <w:webHidden/>
          </w:rPr>
          <w:fldChar w:fldCharType="separate"/>
        </w:r>
        <w:r>
          <w:rPr>
            <w:noProof/>
            <w:webHidden/>
          </w:rPr>
          <w:t>13</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7" w:history="1">
        <w:r w:rsidRPr="003A3ABF">
          <w:rPr>
            <w:rStyle w:val="Hyperlink"/>
            <w:noProof/>
          </w:rPr>
          <w:t>Pharmacology</w:t>
        </w:r>
        <w:r>
          <w:rPr>
            <w:noProof/>
            <w:webHidden/>
          </w:rPr>
          <w:tab/>
        </w:r>
        <w:r>
          <w:rPr>
            <w:noProof/>
            <w:webHidden/>
          </w:rPr>
          <w:fldChar w:fldCharType="begin"/>
        </w:r>
        <w:r>
          <w:rPr>
            <w:noProof/>
            <w:webHidden/>
          </w:rPr>
          <w:instrText xml:space="preserve"> PAGEREF _Toc394316797 \h </w:instrText>
        </w:r>
        <w:r>
          <w:rPr>
            <w:noProof/>
            <w:webHidden/>
          </w:rPr>
        </w:r>
        <w:r>
          <w:rPr>
            <w:noProof/>
            <w:webHidden/>
          </w:rPr>
          <w:fldChar w:fldCharType="separate"/>
        </w:r>
        <w:r>
          <w:rPr>
            <w:noProof/>
            <w:webHidden/>
          </w:rPr>
          <w:t>13</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8" w:history="1">
        <w:r w:rsidRPr="003A3ABF">
          <w:rPr>
            <w:rStyle w:val="Hyperlink"/>
            <w:noProof/>
          </w:rPr>
          <w:t>Pharmacokinetics</w:t>
        </w:r>
        <w:r>
          <w:rPr>
            <w:noProof/>
            <w:webHidden/>
          </w:rPr>
          <w:tab/>
        </w:r>
        <w:r>
          <w:rPr>
            <w:noProof/>
            <w:webHidden/>
          </w:rPr>
          <w:fldChar w:fldCharType="begin"/>
        </w:r>
        <w:r>
          <w:rPr>
            <w:noProof/>
            <w:webHidden/>
          </w:rPr>
          <w:instrText xml:space="preserve"> PAGEREF _Toc394316798 \h </w:instrText>
        </w:r>
        <w:r>
          <w:rPr>
            <w:noProof/>
            <w:webHidden/>
          </w:rPr>
        </w:r>
        <w:r>
          <w:rPr>
            <w:noProof/>
            <w:webHidden/>
          </w:rPr>
          <w:fldChar w:fldCharType="separate"/>
        </w:r>
        <w:r>
          <w:rPr>
            <w:noProof/>
            <w:webHidden/>
          </w:rPr>
          <w:t>15</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799" w:history="1">
        <w:r w:rsidRPr="003A3ABF">
          <w:rPr>
            <w:rStyle w:val="Hyperlink"/>
            <w:noProof/>
          </w:rPr>
          <w:t>Toxicology</w:t>
        </w:r>
        <w:r>
          <w:rPr>
            <w:noProof/>
            <w:webHidden/>
          </w:rPr>
          <w:tab/>
        </w:r>
        <w:r>
          <w:rPr>
            <w:noProof/>
            <w:webHidden/>
          </w:rPr>
          <w:fldChar w:fldCharType="begin"/>
        </w:r>
        <w:r>
          <w:rPr>
            <w:noProof/>
            <w:webHidden/>
          </w:rPr>
          <w:instrText xml:space="preserve"> PAGEREF _Toc394316799 \h </w:instrText>
        </w:r>
        <w:r>
          <w:rPr>
            <w:noProof/>
            <w:webHidden/>
          </w:rPr>
        </w:r>
        <w:r>
          <w:rPr>
            <w:noProof/>
            <w:webHidden/>
          </w:rPr>
          <w:fldChar w:fldCharType="separate"/>
        </w:r>
        <w:r>
          <w:rPr>
            <w:noProof/>
            <w:webHidden/>
          </w:rPr>
          <w:t>16</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0" w:history="1">
        <w:r w:rsidRPr="003A3ABF">
          <w:rPr>
            <w:rStyle w:val="Hyperlink"/>
            <w:noProof/>
          </w:rPr>
          <w:t>Nonclinical summary and conclusions</w:t>
        </w:r>
        <w:r>
          <w:rPr>
            <w:noProof/>
            <w:webHidden/>
          </w:rPr>
          <w:tab/>
        </w:r>
        <w:r>
          <w:rPr>
            <w:noProof/>
            <w:webHidden/>
          </w:rPr>
          <w:fldChar w:fldCharType="begin"/>
        </w:r>
        <w:r>
          <w:rPr>
            <w:noProof/>
            <w:webHidden/>
          </w:rPr>
          <w:instrText xml:space="preserve"> PAGEREF _Toc394316800 \h </w:instrText>
        </w:r>
        <w:r>
          <w:rPr>
            <w:noProof/>
            <w:webHidden/>
          </w:rPr>
        </w:r>
        <w:r>
          <w:rPr>
            <w:noProof/>
            <w:webHidden/>
          </w:rPr>
          <w:fldChar w:fldCharType="separate"/>
        </w:r>
        <w:r>
          <w:rPr>
            <w:noProof/>
            <w:webHidden/>
          </w:rPr>
          <w:t>21</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801" w:history="1">
        <w:r w:rsidRPr="003A3ABF">
          <w:rPr>
            <w:rStyle w:val="Hyperlink"/>
            <w:noProof/>
          </w:rPr>
          <w:t>IV. Clinical findings</w:t>
        </w:r>
        <w:r>
          <w:rPr>
            <w:noProof/>
            <w:webHidden/>
          </w:rPr>
          <w:tab/>
        </w:r>
        <w:r>
          <w:rPr>
            <w:noProof/>
            <w:webHidden/>
          </w:rPr>
          <w:fldChar w:fldCharType="begin"/>
        </w:r>
        <w:r>
          <w:rPr>
            <w:noProof/>
            <w:webHidden/>
          </w:rPr>
          <w:instrText xml:space="preserve"> PAGEREF _Toc394316801 \h </w:instrText>
        </w:r>
        <w:r>
          <w:rPr>
            <w:noProof/>
            <w:webHidden/>
          </w:rPr>
        </w:r>
        <w:r>
          <w:rPr>
            <w:noProof/>
            <w:webHidden/>
          </w:rPr>
          <w:fldChar w:fldCharType="separate"/>
        </w:r>
        <w:r>
          <w:rPr>
            <w:noProof/>
            <w:webHidden/>
          </w:rPr>
          <w:t>22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2" w:history="1">
        <w:r w:rsidRPr="003A3ABF">
          <w:rPr>
            <w:rStyle w:val="Hyperlink"/>
            <w:noProof/>
          </w:rPr>
          <w:t>Introduction</w:t>
        </w:r>
        <w:r>
          <w:rPr>
            <w:noProof/>
            <w:webHidden/>
          </w:rPr>
          <w:tab/>
        </w:r>
        <w:r>
          <w:rPr>
            <w:noProof/>
            <w:webHidden/>
          </w:rPr>
          <w:fldChar w:fldCharType="begin"/>
        </w:r>
        <w:r>
          <w:rPr>
            <w:noProof/>
            <w:webHidden/>
          </w:rPr>
          <w:instrText xml:space="preserve"> PAGEREF _Toc394316802 \h </w:instrText>
        </w:r>
        <w:r>
          <w:rPr>
            <w:noProof/>
            <w:webHidden/>
          </w:rPr>
        </w:r>
        <w:r>
          <w:rPr>
            <w:noProof/>
            <w:webHidden/>
          </w:rPr>
          <w:fldChar w:fldCharType="separate"/>
        </w:r>
        <w:r>
          <w:rPr>
            <w:noProof/>
            <w:webHidden/>
          </w:rPr>
          <w:t>22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3" w:history="1">
        <w:r w:rsidRPr="003A3ABF">
          <w:rPr>
            <w:rStyle w:val="Hyperlink"/>
            <w:noProof/>
          </w:rPr>
          <w:t>Pharmacokinetics</w:t>
        </w:r>
        <w:r>
          <w:rPr>
            <w:noProof/>
            <w:webHidden/>
          </w:rPr>
          <w:tab/>
        </w:r>
        <w:r>
          <w:rPr>
            <w:noProof/>
            <w:webHidden/>
          </w:rPr>
          <w:fldChar w:fldCharType="begin"/>
        </w:r>
        <w:r>
          <w:rPr>
            <w:noProof/>
            <w:webHidden/>
          </w:rPr>
          <w:instrText xml:space="preserve"> PAGEREF _Toc394316803 \h </w:instrText>
        </w:r>
        <w:r>
          <w:rPr>
            <w:noProof/>
            <w:webHidden/>
          </w:rPr>
        </w:r>
        <w:r>
          <w:rPr>
            <w:noProof/>
            <w:webHidden/>
          </w:rPr>
          <w:fldChar w:fldCharType="separate"/>
        </w:r>
        <w:r>
          <w:rPr>
            <w:noProof/>
            <w:webHidden/>
          </w:rPr>
          <w:t>23</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4" w:history="1">
        <w:r w:rsidRPr="003A3ABF">
          <w:rPr>
            <w:rStyle w:val="Hyperlink"/>
            <w:noProof/>
          </w:rPr>
          <w:t>Pharmacodynamics</w:t>
        </w:r>
        <w:r>
          <w:rPr>
            <w:noProof/>
            <w:webHidden/>
          </w:rPr>
          <w:tab/>
        </w:r>
        <w:r>
          <w:rPr>
            <w:noProof/>
            <w:webHidden/>
          </w:rPr>
          <w:fldChar w:fldCharType="begin"/>
        </w:r>
        <w:r>
          <w:rPr>
            <w:noProof/>
            <w:webHidden/>
          </w:rPr>
          <w:instrText xml:space="preserve"> PAGEREF _Toc394316804 \h </w:instrText>
        </w:r>
        <w:r>
          <w:rPr>
            <w:noProof/>
            <w:webHidden/>
          </w:rPr>
        </w:r>
        <w:r>
          <w:rPr>
            <w:noProof/>
            <w:webHidden/>
          </w:rPr>
          <w:fldChar w:fldCharType="separate"/>
        </w:r>
        <w:r>
          <w:rPr>
            <w:noProof/>
            <w:webHidden/>
          </w:rPr>
          <w:t>24</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5" w:history="1">
        <w:r w:rsidRPr="003A3ABF">
          <w:rPr>
            <w:rStyle w:val="Hyperlink"/>
            <w:noProof/>
          </w:rPr>
          <w:t>Dosage selection for the pivotal studies</w:t>
        </w:r>
        <w:r>
          <w:rPr>
            <w:noProof/>
            <w:webHidden/>
          </w:rPr>
          <w:tab/>
        </w:r>
        <w:r>
          <w:rPr>
            <w:noProof/>
            <w:webHidden/>
          </w:rPr>
          <w:fldChar w:fldCharType="begin"/>
        </w:r>
        <w:r>
          <w:rPr>
            <w:noProof/>
            <w:webHidden/>
          </w:rPr>
          <w:instrText xml:space="preserve"> PAGEREF _Toc394316805 \h </w:instrText>
        </w:r>
        <w:r>
          <w:rPr>
            <w:noProof/>
            <w:webHidden/>
          </w:rPr>
        </w:r>
        <w:r>
          <w:rPr>
            <w:noProof/>
            <w:webHidden/>
          </w:rPr>
          <w:fldChar w:fldCharType="separate"/>
        </w:r>
        <w:r>
          <w:rPr>
            <w:noProof/>
            <w:webHidden/>
          </w:rPr>
          <w:t>25</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6" w:history="1">
        <w:r w:rsidRPr="003A3ABF">
          <w:rPr>
            <w:rStyle w:val="Hyperlink"/>
            <w:noProof/>
          </w:rPr>
          <w:t>Efficacy</w:t>
        </w:r>
        <w:r>
          <w:rPr>
            <w:noProof/>
            <w:webHidden/>
          </w:rPr>
          <w:tab/>
        </w:r>
        <w:r>
          <w:rPr>
            <w:noProof/>
            <w:webHidden/>
          </w:rPr>
          <w:fldChar w:fldCharType="begin"/>
        </w:r>
        <w:r>
          <w:rPr>
            <w:noProof/>
            <w:webHidden/>
          </w:rPr>
          <w:instrText xml:space="preserve"> PAGEREF _Toc394316806 \h </w:instrText>
        </w:r>
        <w:r>
          <w:rPr>
            <w:noProof/>
            <w:webHidden/>
          </w:rPr>
        </w:r>
        <w:r>
          <w:rPr>
            <w:noProof/>
            <w:webHidden/>
          </w:rPr>
          <w:fldChar w:fldCharType="separate"/>
        </w:r>
        <w:r>
          <w:rPr>
            <w:noProof/>
            <w:webHidden/>
          </w:rPr>
          <w:t>25</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7" w:history="1">
        <w:r w:rsidRPr="003A3ABF">
          <w:rPr>
            <w:rStyle w:val="Hyperlink"/>
            <w:noProof/>
          </w:rPr>
          <w:t>Safety</w:t>
        </w:r>
        <w:r>
          <w:rPr>
            <w:noProof/>
            <w:webHidden/>
          </w:rPr>
          <w:tab/>
        </w:r>
        <w:r>
          <w:rPr>
            <w:noProof/>
            <w:webHidden/>
          </w:rPr>
          <w:fldChar w:fldCharType="begin"/>
        </w:r>
        <w:r>
          <w:rPr>
            <w:noProof/>
            <w:webHidden/>
          </w:rPr>
          <w:instrText xml:space="preserve"> PAGEREF _Toc394316807 \h </w:instrText>
        </w:r>
        <w:r>
          <w:rPr>
            <w:noProof/>
            <w:webHidden/>
          </w:rPr>
        </w:r>
        <w:r>
          <w:rPr>
            <w:noProof/>
            <w:webHidden/>
          </w:rPr>
          <w:fldChar w:fldCharType="separate"/>
        </w:r>
        <w:r>
          <w:rPr>
            <w:noProof/>
            <w:webHidden/>
          </w:rPr>
          <w:t>26</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8" w:history="1">
        <w:r w:rsidRPr="003A3ABF">
          <w:rPr>
            <w:rStyle w:val="Hyperlink"/>
            <w:noProof/>
          </w:rPr>
          <w:t>First round benefit-risk assessment</w:t>
        </w:r>
        <w:r>
          <w:rPr>
            <w:noProof/>
            <w:webHidden/>
          </w:rPr>
          <w:tab/>
        </w:r>
        <w:r>
          <w:rPr>
            <w:noProof/>
            <w:webHidden/>
          </w:rPr>
          <w:fldChar w:fldCharType="begin"/>
        </w:r>
        <w:r>
          <w:rPr>
            <w:noProof/>
            <w:webHidden/>
          </w:rPr>
          <w:instrText xml:space="preserve"> PAGEREF _Toc394316808 \h </w:instrText>
        </w:r>
        <w:r>
          <w:rPr>
            <w:noProof/>
            <w:webHidden/>
          </w:rPr>
        </w:r>
        <w:r>
          <w:rPr>
            <w:noProof/>
            <w:webHidden/>
          </w:rPr>
          <w:fldChar w:fldCharType="separate"/>
        </w:r>
        <w:r>
          <w:rPr>
            <w:noProof/>
            <w:webHidden/>
          </w:rPr>
          <w:t>30</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09" w:history="1">
        <w:r w:rsidRPr="003A3ABF">
          <w:rPr>
            <w:rStyle w:val="Hyperlink"/>
            <w:noProof/>
          </w:rPr>
          <w:t>First round recommendation regarding authorisation</w:t>
        </w:r>
        <w:r>
          <w:rPr>
            <w:noProof/>
            <w:webHidden/>
          </w:rPr>
          <w:tab/>
        </w:r>
        <w:r>
          <w:rPr>
            <w:noProof/>
            <w:webHidden/>
          </w:rPr>
          <w:fldChar w:fldCharType="begin"/>
        </w:r>
        <w:r>
          <w:rPr>
            <w:noProof/>
            <w:webHidden/>
          </w:rPr>
          <w:instrText xml:space="preserve"> PAGEREF _Toc394316809 \h </w:instrText>
        </w:r>
        <w:r>
          <w:rPr>
            <w:noProof/>
            <w:webHidden/>
          </w:rPr>
        </w:r>
        <w:r>
          <w:rPr>
            <w:noProof/>
            <w:webHidden/>
          </w:rPr>
          <w:fldChar w:fldCharType="separate"/>
        </w:r>
        <w:r>
          <w:rPr>
            <w:noProof/>
            <w:webHidden/>
          </w:rPr>
          <w:t>31</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0" w:history="1">
        <w:r w:rsidRPr="003A3ABF">
          <w:rPr>
            <w:rStyle w:val="Hyperlink"/>
            <w:noProof/>
          </w:rPr>
          <w:t>Clinical questions</w:t>
        </w:r>
        <w:r>
          <w:rPr>
            <w:noProof/>
            <w:webHidden/>
          </w:rPr>
          <w:tab/>
        </w:r>
        <w:r>
          <w:rPr>
            <w:noProof/>
            <w:webHidden/>
          </w:rPr>
          <w:fldChar w:fldCharType="begin"/>
        </w:r>
        <w:r>
          <w:rPr>
            <w:noProof/>
            <w:webHidden/>
          </w:rPr>
          <w:instrText xml:space="preserve"> PAGEREF _Toc394316810 \h </w:instrText>
        </w:r>
        <w:r>
          <w:rPr>
            <w:noProof/>
            <w:webHidden/>
          </w:rPr>
        </w:r>
        <w:r>
          <w:rPr>
            <w:noProof/>
            <w:webHidden/>
          </w:rPr>
          <w:fldChar w:fldCharType="separate"/>
        </w:r>
        <w:r>
          <w:rPr>
            <w:noProof/>
            <w:webHidden/>
          </w:rPr>
          <w:t>31</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1" w:history="1">
        <w:r w:rsidRPr="003A3ABF">
          <w:rPr>
            <w:rStyle w:val="Hyperlink"/>
            <w:noProof/>
          </w:rPr>
          <w:t>Second round evaluation of clinical data in response to questions</w:t>
        </w:r>
        <w:r>
          <w:rPr>
            <w:noProof/>
            <w:webHidden/>
          </w:rPr>
          <w:tab/>
        </w:r>
        <w:r>
          <w:rPr>
            <w:noProof/>
            <w:webHidden/>
          </w:rPr>
          <w:fldChar w:fldCharType="begin"/>
        </w:r>
        <w:r>
          <w:rPr>
            <w:noProof/>
            <w:webHidden/>
          </w:rPr>
          <w:instrText xml:space="preserve"> PAGEREF _Toc394316811 \h </w:instrText>
        </w:r>
        <w:r>
          <w:rPr>
            <w:noProof/>
            <w:webHidden/>
          </w:rPr>
        </w:r>
        <w:r>
          <w:rPr>
            <w:noProof/>
            <w:webHidden/>
          </w:rPr>
          <w:fldChar w:fldCharType="separate"/>
        </w:r>
        <w:r>
          <w:rPr>
            <w:noProof/>
            <w:webHidden/>
          </w:rPr>
          <w:t>31</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2" w:history="1">
        <w:r w:rsidRPr="003A3ABF">
          <w:rPr>
            <w:rStyle w:val="Hyperlink"/>
            <w:noProof/>
          </w:rPr>
          <w:t>Second round benefit-risk assessment</w:t>
        </w:r>
        <w:r>
          <w:rPr>
            <w:noProof/>
            <w:webHidden/>
          </w:rPr>
          <w:tab/>
        </w:r>
        <w:r>
          <w:rPr>
            <w:noProof/>
            <w:webHidden/>
          </w:rPr>
          <w:fldChar w:fldCharType="begin"/>
        </w:r>
        <w:r>
          <w:rPr>
            <w:noProof/>
            <w:webHidden/>
          </w:rPr>
          <w:instrText xml:space="preserve"> PAGEREF _Toc394316812 \h </w:instrText>
        </w:r>
        <w:r>
          <w:rPr>
            <w:noProof/>
            <w:webHidden/>
          </w:rPr>
        </w:r>
        <w:r>
          <w:rPr>
            <w:noProof/>
            <w:webHidden/>
          </w:rPr>
          <w:fldChar w:fldCharType="separate"/>
        </w:r>
        <w:r>
          <w:rPr>
            <w:noProof/>
            <w:webHidden/>
          </w:rPr>
          <w:t>31</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3" w:history="1">
        <w:r w:rsidRPr="003A3ABF">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_Toc394316813 \h </w:instrText>
        </w:r>
        <w:r>
          <w:rPr>
            <w:noProof/>
            <w:webHidden/>
          </w:rPr>
        </w:r>
        <w:r>
          <w:rPr>
            <w:noProof/>
            <w:webHidden/>
          </w:rPr>
          <w:fldChar w:fldCharType="separate"/>
        </w:r>
        <w:r>
          <w:rPr>
            <w:noProof/>
            <w:webHidden/>
          </w:rPr>
          <w:t>31</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814" w:history="1">
        <w:r w:rsidRPr="003A3ABF">
          <w:rPr>
            <w:rStyle w:val="Hyperlink"/>
            <w:noProof/>
          </w:rPr>
          <w:t>V. Pharmacovigilance findings</w:t>
        </w:r>
        <w:r>
          <w:rPr>
            <w:noProof/>
            <w:webHidden/>
          </w:rPr>
          <w:tab/>
        </w:r>
        <w:r>
          <w:rPr>
            <w:noProof/>
            <w:webHidden/>
          </w:rPr>
          <w:fldChar w:fldCharType="begin"/>
        </w:r>
        <w:r>
          <w:rPr>
            <w:noProof/>
            <w:webHidden/>
          </w:rPr>
          <w:instrText xml:space="preserve"> PAGEREF _Toc394316814 \h </w:instrText>
        </w:r>
        <w:r>
          <w:rPr>
            <w:noProof/>
            <w:webHidden/>
          </w:rPr>
        </w:r>
        <w:r>
          <w:rPr>
            <w:noProof/>
            <w:webHidden/>
          </w:rPr>
          <w:fldChar w:fldCharType="separate"/>
        </w:r>
        <w:r>
          <w:rPr>
            <w:noProof/>
            <w:webHidden/>
          </w:rPr>
          <w:t>32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5" w:history="1">
        <w:r w:rsidRPr="003A3ABF">
          <w:rPr>
            <w:rStyle w:val="Hyperlink"/>
            <w:noProof/>
            <w:lang w:eastAsia="en-AU"/>
          </w:rPr>
          <w:t>Risk management plan</w:t>
        </w:r>
        <w:r>
          <w:rPr>
            <w:noProof/>
            <w:webHidden/>
          </w:rPr>
          <w:tab/>
        </w:r>
        <w:r>
          <w:rPr>
            <w:noProof/>
            <w:webHidden/>
          </w:rPr>
          <w:fldChar w:fldCharType="begin"/>
        </w:r>
        <w:r>
          <w:rPr>
            <w:noProof/>
            <w:webHidden/>
          </w:rPr>
          <w:instrText xml:space="preserve"> PAGEREF _Toc394316815 \h </w:instrText>
        </w:r>
        <w:r>
          <w:rPr>
            <w:noProof/>
            <w:webHidden/>
          </w:rPr>
        </w:r>
        <w:r>
          <w:rPr>
            <w:noProof/>
            <w:webHidden/>
          </w:rPr>
          <w:fldChar w:fldCharType="separate"/>
        </w:r>
        <w:r>
          <w:rPr>
            <w:noProof/>
            <w:webHidden/>
          </w:rPr>
          <w:t>32</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816" w:history="1">
        <w:r w:rsidRPr="003A3ABF">
          <w:rPr>
            <w:rStyle w:val="Hyperlink"/>
            <w:noProof/>
          </w:rPr>
          <w:t>VI. Overall conclusion and risk/benefit assessment</w:t>
        </w:r>
        <w:r>
          <w:rPr>
            <w:noProof/>
            <w:webHidden/>
          </w:rPr>
          <w:tab/>
        </w:r>
        <w:r>
          <w:rPr>
            <w:noProof/>
            <w:webHidden/>
          </w:rPr>
          <w:fldChar w:fldCharType="begin"/>
        </w:r>
        <w:r>
          <w:rPr>
            <w:noProof/>
            <w:webHidden/>
          </w:rPr>
          <w:instrText xml:space="preserve"> PAGEREF _Toc394316816 \h </w:instrText>
        </w:r>
        <w:r>
          <w:rPr>
            <w:noProof/>
            <w:webHidden/>
          </w:rPr>
        </w:r>
        <w:r>
          <w:rPr>
            <w:noProof/>
            <w:webHidden/>
          </w:rPr>
          <w:fldChar w:fldCharType="separate"/>
        </w:r>
        <w:r>
          <w:rPr>
            <w:noProof/>
            <w:webHidden/>
          </w:rPr>
          <w:t>32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7" w:history="1">
        <w:r w:rsidRPr="003A3ABF">
          <w:rPr>
            <w:rStyle w:val="Hyperlink"/>
            <w:noProof/>
          </w:rPr>
          <w:t>Quality</w:t>
        </w:r>
        <w:r>
          <w:rPr>
            <w:noProof/>
            <w:webHidden/>
          </w:rPr>
          <w:tab/>
        </w:r>
        <w:r>
          <w:rPr>
            <w:noProof/>
            <w:webHidden/>
          </w:rPr>
          <w:fldChar w:fldCharType="begin"/>
        </w:r>
        <w:r>
          <w:rPr>
            <w:noProof/>
            <w:webHidden/>
          </w:rPr>
          <w:instrText xml:space="preserve"> PAGEREF _Toc394316817 \h </w:instrText>
        </w:r>
        <w:r>
          <w:rPr>
            <w:noProof/>
            <w:webHidden/>
          </w:rPr>
        </w:r>
        <w:r>
          <w:rPr>
            <w:noProof/>
            <w:webHidden/>
          </w:rPr>
          <w:fldChar w:fldCharType="separate"/>
        </w:r>
        <w:r>
          <w:rPr>
            <w:noProof/>
            <w:webHidden/>
          </w:rPr>
          <w:t>32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8" w:history="1">
        <w:r w:rsidRPr="003A3ABF">
          <w:rPr>
            <w:rStyle w:val="Hyperlink"/>
            <w:noProof/>
          </w:rPr>
          <w:t>Nonclinical</w:t>
        </w:r>
        <w:r>
          <w:rPr>
            <w:noProof/>
            <w:webHidden/>
          </w:rPr>
          <w:tab/>
        </w:r>
        <w:r>
          <w:rPr>
            <w:noProof/>
            <w:webHidden/>
          </w:rPr>
          <w:fldChar w:fldCharType="begin"/>
        </w:r>
        <w:r>
          <w:rPr>
            <w:noProof/>
            <w:webHidden/>
          </w:rPr>
          <w:instrText xml:space="preserve"> PAGEREF _Toc394316818 \h </w:instrText>
        </w:r>
        <w:r>
          <w:rPr>
            <w:noProof/>
            <w:webHidden/>
          </w:rPr>
        </w:r>
        <w:r>
          <w:rPr>
            <w:noProof/>
            <w:webHidden/>
          </w:rPr>
          <w:fldChar w:fldCharType="separate"/>
        </w:r>
        <w:r>
          <w:rPr>
            <w:noProof/>
            <w:webHidden/>
          </w:rPr>
          <w:t>33</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19" w:history="1">
        <w:r w:rsidRPr="003A3ABF">
          <w:rPr>
            <w:rStyle w:val="Hyperlink"/>
            <w:noProof/>
          </w:rPr>
          <w:t>Clinical</w:t>
        </w:r>
        <w:r>
          <w:rPr>
            <w:noProof/>
            <w:webHidden/>
          </w:rPr>
          <w:tab/>
        </w:r>
        <w:r>
          <w:rPr>
            <w:noProof/>
            <w:webHidden/>
          </w:rPr>
          <w:fldChar w:fldCharType="begin"/>
        </w:r>
        <w:r>
          <w:rPr>
            <w:noProof/>
            <w:webHidden/>
          </w:rPr>
          <w:instrText xml:space="preserve"> PAGEREF _Toc394316819 \h </w:instrText>
        </w:r>
        <w:r>
          <w:rPr>
            <w:noProof/>
            <w:webHidden/>
          </w:rPr>
        </w:r>
        <w:r>
          <w:rPr>
            <w:noProof/>
            <w:webHidden/>
          </w:rPr>
          <w:fldChar w:fldCharType="separate"/>
        </w:r>
        <w:r>
          <w:rPr>
            <w:noProof/>
            <w:webHidden/>
          </w:rPr>
          <w:t>33</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20" w:history="1">
        <w:r w:rsidRPr="003A3ABF">
          <w:rPr>
            <w:rStyle w:val="Hyperlink"/>
            <w:noProof/>
            <w:lang w:eastAsia="en-AU"/>
          </w:rPr>
          <w:t>Risk management plan</w:t>
        </w:r>
        <w:r>
          <w:rPr>
            <w:noProof/>
            <w:webHidden/>
          </w:rPr>
          <w:tab/>
        </w:r>
        <w:r>
          <w:rPr>
            <w:noProof/>
            <w:webHidden/>
          </w:rPr>
          <w:fldChar w:fldCharType="begin"/>
        </w:r>
        <w:r>
          <w:rPr>
            <w:noProof/>
            <w:webHidden/>
          </w:rPr>
          <w:instrText xml:space="preserve"> PAGEREF _Toc394316820 \h </w:instrText>
        </w:r>
        <w:r>
          <w:rPr>
            <w:noProof/>
            <w:webHidden/>
          </w:rPr>
        </w:r>
        <w:r>
          <w:rPr>
            <w:noProof/>
            <w:webHidden/>
          </w:rPr>
          <w:fldChar w:fldCharType="separate"/>
        </w:r>
        <w:r>
          <w:rPr>
            <w:noProof/>
            <w:webHidden/>
          </w:rPr>
          <w:t>42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21" w:history="1">
        <w:r w:rsidRPr="003A3ABF">
          <w:rPr>
            <w:rStyle w:val="Hyperlink"/>
            <w:noProof/>
          </w:rPr>
          <w:t>Risk-benefit analysis</w:t>
        </w:r>
        <w:r>
          <w:rPr>
            <w:noProof/>
            <w:webHidden/>
          </w:rPr>
          <w:tab/>
        </w:r>
        <w:r>
          <w:rPr>
            <w:noProof/>
            <w:webHidden/>
          </w:rPr>
          <w:fldChar w:fldCharType="begin"/>
        </w:r>
        <w:r>
          <w:rPr>
            <w:noProof/>
            <w:webHidden/>
          </w:rPr>
          <w:instrText xml:space="preserve"> PAGEREF _Toc394316821 \h </w:instrText>
        </w:r>
        <w:r>
          <w:rPr>
            <w:noProof/>
            <w:webHidden/>
          </w:rPr>
        </w:r>
        <w:r>
          <w:rPr>
            <w:noProof/>
            <w:webHidden/>
          </w:rPr>
          <w:fldChar w:fldCharType="separate"/>
        </w:r>
        <w:r>
          <w:rPr>
            <w:noProof/>
            <w:webHidden/>
          </w:rPr>
          <w:t>42</w:t>
        </w:r>
        <w:r>
          <w:rPr>
            <w:noProof/>
            <w:webHidden/>
          </w:rPr>
          <w:fldChar w:fldCharType="end"/>
        </w:r>
      </w:hyperlink>
    </w:p>
    <w:p w:rsidR="004968D7" w:rsidRDefault="004968D7">
      <w:pPr>
        <w:pStyle w:val="TOC3"/>
        <w:rPr>
          <w:rFonts w:asciiTheme="minorHAnsi" w:eastAsiaTheme="minorEastAsia" w:hAnsiTheme="minorHAnsi" w:cstheme="minorBidi"/>
          <w:noProof/>
          <w:lang w:eastAsia="en-AU"/>
        </w:rPr>
      </w:pPr>
      <w:hyperlink w:anchor="_Toc394316822" w:history="1">
        <w:r w:rsidRPr="003A3ABF">
          <w:rPr>
            <w:rStyle w:val="Hyperlink"/>
            <w:noProof/>
          </w:rPr>
          <w:t>Outcome</w:t>
        </w:r>
        <w:r>
          <w:rPr>
            <w:noProof/>
            <w:webHidden/>
          </w:rPr>
          <w:tab/>
        </w:r>
        <w:r>
          <w:rPr>
            <w:noProof/>
            <w:webHidden/>
          </w:rPr>
          <w:fldChar w:fldCharType="begin"/>
        </w:r>
        <w:r>
          <w:rPr>
            <w:noProof/>
            <w:webHidden/>
          </w:rPr>
          <w:instrText xml:space="preserve"> PAGEREF _Toc394316822 \h </w:instrText>
        </w:r>
        <w:r>
          <w:rPr>
            <w:noProof/>
            <w:webHidden/>
          </w:rPr>
        </w:r>
        <w:r>
          <w:rPr>
            <w:noProof/>
            <w:webHidden/>
          </w:rPr>
          <w:fldChar w:fldCharType="separate"/>
        </w:r>
        <w:r>
          <w:rPr>
            <w:noProof/>
            <w:webHidden/>
          </w:rPr>
          <w:t>51</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823" w:history="1">
        <w:r w:rsidRPr="003A3ABF">
          <w:rPr>
            <w:rStyle w:val="Hyperlink"/>
            <w:noProof/>
          </w:rPr>
          <w:t>Attachment 1. Product Information</w:t>
        </w:r>
        <w:r>
          <w:rPr>
            <w:noProof/>
            <w:webHidden/>
          </w:rPr>
          <w:tab/>
        </w:r>
        <w:r>
          <w:rPr>
            <w:noProof/>
            <w:webHidden/>
          </w:rPr>
          <w:fldChar w:fldCharType="begin"/>
        </w:r>
        <w:r>
          <w:rPr>
            <w:noProof/>
            <w:webHidden/>
          </w:rPr>
          <w:instrText xml:space="preserve"> PAGEREF _Toc394316823 \h </w:instrText>
        </w:r>
        <w:r>
          <w:rPr>
            <w:noProof/>
            <w:webHidden/>
          </w:rPr>
        </w:r>
        <w:r>
          <w:rPr>
            <w:noProof/>
            <w:webHidden/>
          </w:rPr>
          <w:fldChar w:fldCharType="separate"/>
        </w:r>
        <w:r>
          <w:rPr>
            <w:noProof/>
            <w:webHidden/>
          </w:rPr>
          <w:t>51</w:t>
        </w:r>
        <w:r>
          <w:rPr>
            <w:noProof/>
            <w:webHidden/>
          </w:rPr>
          <w:fldChar w:fldCharType="end"/>
        </w:r>
      </w:hyperlink>
    </w:p>
    <w:p w:rsidR="004968D7" w:rsidRDefault="004968D7">
      <w:pPr>
        <w:pStyle w:val="TOC2"/>
        <w:rPr>
          <w:rFonts w:asciiTheme="minorHAnsi" w:eastAsiaTheme="minorEastAsia" w:hAnsiTheme="minorHAnsi" w:cstheme="minorBidi"/>
          <w:b w:val="0"/>
          <w:noProof/>
          <w:sz w:val="22"/>
          <w:lang w:eastAsia="en-AU"/>
        </w:rPr>
      </w:pPr>
      <w:hyperlink w:anchor="_Toc394316824" w:history="1">
        <w:r w:rsidRPr="003A3AB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_Toc394316824 \h </w:instrText>
        </w:r>
        <w:r>
          <w:rPr>
            <w:noProof/>
            <w:webHidden/>
          </w:rPr>
        </w:r>
        <w:r>
          <w:rPr>
            <w:noProof/>
            <w:webHidden/>
          </w:rPr>
          <w:fldChar w:fldCharType="separate"/>
        </w:r>
        <w:r>
          <w:rPr>
            <w:noProof/>
            <w:webHidden/>
          </w:rPr>
          <w:t>51</w:t>
        </w:r>
        <w:r>
          <w:rPr>
            <w:noProof/>
            <w:webHidden/>
          </w:rPr>
          <w:fldChar w:fldCharType="end"/>
        </w:r>
      </w:hyperlink>
    </w:p>
    <w:p w:rsidR="003A7F6C" w:rsidRPr="00B811C6" w:rsidRDefault="00DB6124" w:rsidP="00B811C6">
      <w:pPr>
        <w:pStyle w:val="TOC2"/>
      </w:pPr>
      <w:r>
        <w:fldChar w:fldCharType="end"/>
      </w:r>
      <w:bookmarkStart w:id="3" w:name="_Toc314842482"/>
    </w:p>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394316784"/>
      <w:r w:rsidRPr="00FD119B">
        <w:lastRenderedPageBreak/>
        <w:t xml:space="preserve">List </w:t>
      </w:r>
      <w:r w:rsidR="004425AA">
        <w:t xml:space="preserve">of </w:t>
      </w:r>
      <w:r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057435">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AC305C" w:rsidRDefault="00FD119B" w:rsidP="00057435">
            <w:pPr>
              <w:rPr>
                <w:b w:val="0"/>
              </w:rPr>
            </w:pPr>
            <w:r w:rsidRPr="00AC305C">
              <w:t>Abbreviation</w:t>
            </w:r>
          </w:p>
        </w:tc>
        <w:tc>
          <w:tcPr>
            <w:tcW w:w="6911" w:type="dxa"/>
          </w:tcPr>
          <w:p w:rsidR="00FD119B" w:rsidRPr="00AC305C" w:rsidRDefault="00FD119B" w:rsidP="00057435">
            <w:pPr>
              <w:rPr>
                <w:b w:val="0"/>
              </w:rPr>
            </w:pPr>
            <w:r w:rsidRPr="00AC305C">
              <w:t>Meaning</w:t>
            </w:r>
          </w:p>
        </w:tc>
      </w:tr>
      <w:tr w:rsidR="00A5032F" w:rsidRPr="00FD119B" w:rsidTr="00057435">
        <w:tc>
          <w:tcPr>
            <w:tcW w:w="1809" w:type="dxa"/>
          </w:tcPr>
          <w:p w:rsidR="00A5032F" w:rsidRPr="00FD119B" w:rsidRDefault="00A5032F" w:rsidP="00057435">
            <w:r w:rsidRPr="00AE4CD7">
              <w:rPr>
                <w:vertAlign w:val="superscript"/>
              </w:rPr>
              <w:t>223</w:t>
            </w:r>
            <w:r>
              <w:t>Ra</w:t>
            </w:r>
          </w:p>
        </w:tc>
        <w:tc>
          <w:tcPr>
            <w:tcW w:w="6911" w:type="dxa"/>
          </w:tcPr>
          <w:p w:rsidR="00A5032F" w:rsidRPr="00FD119B" w:rsidRDefault="00A5032F" w:rsidP="00057435">
            <w:r>
              <w:t>radium</w:t>
            </w:r>
          </w:p>
        </w:tc>
      </w:tr>
      <w:tr w:rsidR="00C90F70" w:rsidRPr="00FD119B" w:rsidTr="00057435">
        <w:tc>
          <w:tcPr>
            <w:tcW w:w="1809" w:type="dxa"/>
          </w:tcPr>
          <w:p w:rsidR="00C90F70" w:rsidRPr="00FD119B" w:rsidRDefault="00C90F70" w:rsidP="00057435">
            <w:r>
              <w:t>ACPM</w:t>
            </w:r>
          </w:p>
        </w:tc>
        <w:tc>
          <w:tcPr>
            <w:tcW w:w="6911" w:type="dxa"/>
          </w:tcPr>
          <w:p w:rsidR="00C90F70" w:rsidRPr="00FD119B" w:rsidRDefault="00C90F70" w:rsidP="00057435">
            <w:r w:rsidRPr="006061E7">
              <w:t>Advisory Committee on Prescription Medicines</w:t>
            </w:r>
          </w:p>
        </w:tc>
      </w:tr>
      <w:tr w:rsidR="008358E8" w:rsidRPr="00FD119B" w:rsidTr="00057435">
        <w:tc>
          <w:tcPr>
            <w:tcW w:w="1809" w:type="dxa"/>
          </w:tcPr>
          <w:p w:rsidR="008358E8" w:rsidRPr="00FD119B" w:rsidRDefault="008358E8" w:rsidP="00057435">
            <w:r>
              <w:t>ADR</w:t>
            </w:r>
          </w:p>
        </w:tc>
        <w:tc>
          <w:tcPr>
            <w:tcW w:w="6911" w:type="dxa"/>
          </w:tcPr>
          <w:p w:rsidR="008358E8" w:rsidRPr="00FD119B" w:rsidRDefault="008358E8" w:rsidP="00057435">
            <w:r>
              <w:t>adverse drug reaction</w:t>
            </w:r>
          </w:p>
        </w:tc>
      </w:tr>
      <w:tr w:rsidR="00A5032F" w:rsidRPr="00FD119B" w:rsidTr="00057435">
        <w:tc>
          <w:tcPr>
            <w:tcW w:w="1809" w:type="dxa"/>
          </w:tcPr>
          <w:p w:rsidR="00A5032F" w:rsidRPr="00FD119B" w:rsidRDefault="00A5032F" w:rsidP="00057435">
            <w:r>
              <w:t>ADT</w:t>
            </w:r>
          </w:p>
        </w:tc>
        <w:tc>
          <w:tcPr>
            <w:tcW w:w="6911" w:type="dxa"/>
          </w:tcPr>
          <w:p w:rsidR="00A5032F" w:rsidRPr="00FD119B" w:rsidRDefault="00A5032F" w:rsidP="00057435">
            <w:r w:rsidRPr="00AE4CD7">
              <w:t>androgen deprivation therapy</w:t>
            </w:r>
          </w:p>
        </w:tc>
      </w:tr>
      <w:tr w:rsidR="00F516A6" w:rsidRPr="00FD119B" w:rsidTr="00057435">
        <w:tc>
          <w:tcPr>
            <w:tcW w:w="1809" w:type="dxa"/>
          </w:tcPr>
          <w:p w:rsidR="00F516A6" w:rsidRPr="00FD119B" w:rsidRDefault="00F516A6" w:rsidP="00057435">
            <w:r>
              <w:t>AE</w:t>
            </w:r>
          </w:p>
        </w:tc>
        <w:tc>
          <w:tcPr>
            <w:tcW w:w="6911" w:type="dxa"/>
          </w:tcPr>
          <w:p w:rsidR="00F516A6" w:rsidRPr="00FD119B" w:rsidRDefault="00F516A6" w:rsidP="00057435">
            <w:r>
              <w:t>adverse event</w:t>
            </w:r>
          </w:p>
        </w:tc>
      </w:tr>
      <w:tr w:rsidR="00F516A6" w:rsidRPr="00FD119B" w:rsidTr="00057435">
        <w:tc>
          <w:tcPr>
            <w:tcW w:w="1809" w:type="dxa"/>
          </w:tcPr>
          <w:p w:rsidR="00F516A6" w:rsidRPr="00FD119B" w:rsidRDefault="00F516A6" w:rsidP="00057435">
            <w:r>
              <w:t>ALP</w:t>
            </w:r>
          </w:p>
        </w:tc>
        <w:tc>
          <w:tcPr>
            <w:tcW w:w="6911" w:type="dxa"/>
          </w:tcPr>
          <w:p w:rsidR="00F516A6" w:rsidRPr="00FD119B" w:rsidRDefault="00F516A6" w:rsidP="00057435">
            <w:r w:rsidRPr="006D1302">
              <w:t>alkaline phosphatase</w:t>
            </w:r>
          </w:p>
        </w:tc>
      </w:tr>
      <w:tr w:rsidR="00F516A6" w:rsidRPr="00FD119B" w:rsidTr="00057435">
        <w:tc>
          <w:tcPr>
            <w:tcW w:w="1809" w:type="dxa"/>
          </w:tcPr>
          <w:p w:rsidR="00F516A6" w:rsidRPr="00FD119B" w:rsidRDefault="00F516A6" w:rsidP="00057435">
            <w:r>
              <w:t>AML</w:t>
            </w:r>
          </w:p>
        </w:tc>
        <w:tc>
          <w:tcPr>
            <w:tcW w:w="6911" w:type="dxa"/>
          </w:tcPr>
          <w:p w:rsidR="00F516A6" w:rsidRPr="00FD119B" w:rsidRDefault="00F516A6" w:rsidP="00057435">
            <w:r w:rsidRPr="00E9477D">
              <w:t xml:space="preserve">acute </w:t>
            </w:r>
            <w:proofErr w:type="spellStart"/>
            <w:r w:rsidRPr="00E9477D">
              <w:t>myelogenous</w:t>
            </w:r>
            <w:proofErr w:type="spellEnd"/>
            <w:r w:rsidRPr="00E9477D">
              <w:t xml:space="preserve"> leukaemia</w:t>
            </w:r>
          </w:p>
        </w:tc>
      </w:tr>
      <w:tr w:rsidR="008358E8" w:rsidRPr="00FD119B" w:rsidTr="00057435">
        <w:tc>
          <w:tcPr>
            <w:tcW w:w="1809" w:type="dxa"/>
          </w:tcPr>
          <w:p w:rsidR="008358E8" w:rsidRPr="00FD119B" w:rsidRDefault="008358E8" w:rsidP="00057435">
            <w:r>
              <w:t>ASA</w:t>
            </w:r>
          </w:p>
        </w:tc>
        <w:tc>
          <w:tcPr>
            <w:tcW w:w="6911" w:type="dxa"/>
          </w:tcPr>
          <w:p w:rsidR="008358E8" w:rsidRPr="00FD119B" w:rsidRDefault="008358E8" w:rsidP="00057435">
            <w:r w:rsidRPr="00654E6A">
              <w:t>Australian Specific Annex</w:t>
            </w:r>
          </w:p>
        </w:tc>
      </w:tr>
      <w:tr w:rsidR="00E8167D" w:rsidRPr="00FD119B" w:rsidTr="00057435">
        <w:tc>
          <w:tcPr>
            <w:tcW w:w="1809" w:type="dxa"/>
          </w:tcPr>
          <w:p w:rsidR="00E8167D" w:rsidRPr="00FD119B" w:rsidRDefault="00E8167D" w:rsidP="00057435">
            <w:r>
              <w:t>AUC</w:t>
            </w:r>
          </w:p>
        </w:tc>
        <w:tc>
          <w:tcPr>
            <w:tcW w:w="6911" w:type="dxa"/>
          </w:tcPr>
          <w:p w:rsidR="00E8167D" w:rsidRPr="00FD119B" w:rsidRDefault="00E8167D" w:rsidP="00057435">
            <w:r>
              <w:t>a</w:t>
            </w:r>
            <w:r w:rsidRPr="00D303C0">
              <w:t>rea under the plasma concentration-time curve</w:t>
            </w:r>
          </w:p>
        </w:tc>
      </w:tr>
      <w:tr w:rsidR="00E8167D" w:rsidRPr="00FD119B" w:rsidTr="00057435">
        <w:tc>
          <w:tcPr>
            <w:tcW w:w="1809" w:type="dxa"/>
          </w:tcPr>
          <w:p w:rsidR="00E8167D" w:rsidRPr="00FD119B" w:rsidRDefault="00E8167D" w:rsidP="00057435">
            <w:r>
              <w:t>BSA</w:t>
            </w:r>
          </w:p>
        </w:tc>
        <w:tc>
          <w:tcPr>
            <w:tcW w:w="6911" w:type="dxa"/>
          </w:tcPr>
          <w:p w:rsidR="00E8167D" w:rsidRPr="00FD119B" w:rsidRDefault="00E8167D" w:rsidP="00057435">
            <w:r w:rsidRPr="007D47EE">
              <w:t>Broad Spectrum Activities</w:t>
            </w:r>
          </w:p>
        </w:tc>
      </w:tr>
      <w:tr w:rsidR="00E8167D" w:rsidRPr="00FD119B" w:rsidTr="00057435">
        <w:tc>
          <w:tcPr>
            <w:tcW w:w="1809" w:type="dxa"/>
          </w:tcPr>
          <w:p w:rsidR="00E8167D" w:rsidRPr="00FD119B" w:rsidRDefault="00E8167D" w:rsidP="00057435">
            <w:proofErr w:type="spellStart"/>
            <w:r w:rsidRPr="00AF28C2">
              <w:t>Bq</w:t>
            </w:r>
            <w:proofErr w:type="spellEnd"/>
          </w:p>
        </w:tc>
        <w:tc>
          <w:tcPr>
            <w:tcW w:w="6911" w:type="dxa"/>
          </w:tcPr>
          <w:p w:rsidR="00E8167D" w:rsidRPr="00FD119B" w:rsidRDefault="00E8167D" w:rsidP="00057435">
            <w:proofErr w:type="spellStart"/>
            <w:r w:rsidRPr="00AF28C2">
              <w:t>becquerel</w:t>
            </w:r>
            <w:proofErr w:type="spellEnd"/>
          </w:p>
        </w:tc>
      </w:tr>
      <w:tr w:rsidR="00E8167D" w:rsidRPr="00FD119B" w:rsidTr="00057435">
        <w:tc>
          <w:tcPr>
            <w:tcW w:w="1809" w:type="dxa"/>
          </w:tcPr>
          <w:p w:rsidR="00E8167D" w:rsidRPr="00FD119B" w:rsidRDefault="00E8167D" w:rsidP="00057435">
            <w:proofErr w:type="spellStart"/>
            <w:r w:rsidRPr="005D461D">
              <w:t>BSoC</w:t>
            </w:r>
            <w:proofErr w:type="spellEnd"/>
          </w:p>
        </w:tc>
        <w:tc>
          <w:tcPr>
            <w:tcW w:w="6911" w:type="dxa"/>
          </w:tcPr>
          <w:p w:rsidR="00E8167D" w:rsidRPr="00FD119B" w:rsidRDefault="00E8167D" w:rsidP="00057435">
            <w:r>
              <w:t>best standard of care</w:t>
            </w:r>
          </w:p>
        </w:tc>
      </w:tr>
      <w:tr w:rsidR="00C90F70" w:rsidRPr="00FD119B" w:rsidTr="00057435">
        <w:tc>
          <w:tcPr>
            <w:tcW w:w="1809" w:type="dxa"/>
          </w:tcPr>
          <w:p w:rsidR="00C90F70" w:rsidRPr="00FD119B" w:rsidRDefault="00C90F70" w:rsidP="00057435">
            <w:r>
              <w:t>CHMP</w:t>
            </w:r>
          </w:p>
        </w:tc>
        <w:tc>
          <w:tcPr>
            <w:tcW w:w="6911" w:type="dxa"/>
          </w:tcPr>
          <w:p w:rsidR="00C90F70" w:rsidRPr="00FD119B" w:rsidRDefault="00C90F70" w:rsidP="00057435">
            <w:r w:rsidRPr="00B05996">
              <w:t>Committee for Medicinal Products for Human Use</w:t>
            </w:r>
          </w:p>
        </w:tc>
      </w:tr>
      <w:tr w:rsidR="00E8167D" w:rsidRPr="00FD119B" w:rsidTr="00057435">
        <w:tc>
          <w:tcPr>
            <w:tcW w:w="1809" w:type="dxa"/>
          </w:tcPr>
          <w:p w:rsidR="00E8167D" w:rsidRPr="00FD119B" w:rsidRDefault="00E8167D" w:rsidP="00057435">
            <w:proofErr w:type="spellStart"/>
            <w:r>
              <w:t>Cmax</w:t>
            </w:r>
            <w:proofErr w:type="spellEnd"/>
          </w:p>
        </w:tc>
        <w:tc>
          <w:tcPr>
            <w:tcW w:w="6911" w:type="dxa"/>
          </w:tcPr>
          <w:p w:rsidR="00E8167D" w:rsidRPr="00FD119B" w:rsidRDefault="00E8167D" w:rsidP="00057435">
            <w:r>
              <w:t>maximum</w:t>
            </w:r>
            <w:r w:rsidRPr="000E13D0">
              <w:t xml:space="preserve"> plasma drug concentration</w:t>
            </w:r>
          </w:p>
        </w:tc>
      </w:tr>
      <w:tr w:rsidR="0013263D" w:rsidRPr="00FD119B" w:rsidTr="00057435">
        <w:tc>
          <w:tcPr>
            <w:tcW w:w="1809" w:type="dxa"/>
          </w:tcPr>
          <w:p w:rsidR="0013263D" w:rsidRPr="00FD119B" w:rsidRDefault="0013263D" w:rsidP="00057435">
            <w:r>
              <w:t>CNS</w:t>
            </w:r>
          </w:p>
        </w:tc>
        <w:tc>
          <w:tcPr>
            <w:tcW w:w="6911" w:type="dxa"/>
          </w:tcPr>
          <w:p w:rsidR="0013263D" w:rsidRPr="00FD119B" w:rsidRDefault="0013263D" w:rsidP="00057435">
            <w:r>
              <w:t>central nervous system</w:t>
            </w:r>
          </w:p>
        </w:tc>
      </w:tr>
      <w:tr w:rsidR="00A5032F" w:rsidRPr="00FD119B" w:rsidTr="00057435">
        <w:tc>
          <w:tcPr>
            <w:tcW w:w="1809" w:type="dxa"/>
          </w:tcPr>
          <w:p w:rsidR="00A5032F" w:rsidRPr="00FD119B" w:rsidRDefault="00A5032F" w:rsidP="00057435">
            <w:r>
              <w:t>CRPC</w:t>
            </w:r>
          </w:p>
        </w:tc>
        <w:tc>
          <w:tcPr>
            <w:tcW w:w="6911" w:type="dxa"/>
          </w:tcPr>
          <w:p w:rsidR="00A5032F" w:rsidRPr="00FD119B" w:rsidRDefault="00A5032F" w:rsidP="00057435">
            <w:r w:rsidRPr="00AE4CD7">
              <w:t>castration</w:t>
            </w:r>
            <w:r>
              <w:t xml:space="preserve"> </w:t>
            </w:r>
            <w:r w:rsidRPr="00AE4CD7">
              <w:t>resistant prostate cancer</w:t>
            </w:r>
          </w:p>
        </w:tc>
      </w:tr>
      <w:tr w:rsidR="00E8167D" w:rsidRPr="00FD119B" w:rsidTr="00057435">
        <w:tc>
          <w:tcPr>
            <w:tcW w:w="1809" w:type="dxa"/>
          </w:tcPr>
          <w:p w:rsidR="00E8167D" w:rsidRPr="00FD119B" w:rsidRDefault="00E8167D" w:rsidP="00057435">
            <w:r>
              <w:t>CTCAE</w:t>
            </w:r>
          </w:p>
        </w:tc>
        <w:tc>
          <w:tcPr>
            <w:tcW w:w="6911" w:type="dxa"/>
          </w:tcPr>
          <w:p w:rsidR="00E8167D" w:rsidRPr="00FD119B" w:rsidRDefault="00E8167D" w:rsidP="00057435">
            <w:r w:rsidRPr="001331B6">
              <w:t>Common Terminology Criteria for Adverse Events</w:t>
            </w:r>
          </w:p>
        </w:tc>
      </w:tr>
      <w:tr w:rsidR="0013263D" w:rsidRPr="00FD119B" w:rsidTr="00057435">
        <w:tc>
          <w:tcPr>
            <w:tcW w:w="1809" w:type="dxa"/>
          </w:tcPr>
          <w:p w:rsidR="0013263D" w:rsidRPr="00FD119B" w:rsidRDefault="0013263D" w:rsidP="00057435">
            <w:r>
              <w:t>DK</w:t>
            </w:r>
          </w:p>
        </w:tc>
        <w:tc>
          <w:tcPr>
            <w:tcW w:w="6911" w:type="dxa"/>
          </w:tcPr>
          <w:p w:rsidR="0013263D" w:rsidRPr="00FD119B" w:rsidRDefault="0013263D" w:rsidP="00057435">
            <w:r>
              <w:t>d</w:t>
            </w:r>
            <w:r w:rsidRPr="00AF28C2">
              <w:t>ecay correction</w:t>
            </w:r>
          </w:p>
        </w:tc>
      </w:tr>
      <w:tr w:rsidR="00E8167D" w:rsidRPr="00FD119B" w:rsidTr="00057435">
        <w:tc>
          <w:tcPr>
            <w:tcW w:w="1809" w:type="dxa"/>
          </w:tcPr>
          <w:p w:rsidR="00E8167D" w:rsidRPr="00FD119B" w:rsidRDefault="00E8167D" w:rsidP="00057435">
            <w:r>
              <w:t>EAIR</w:t>
            </w:r>
          </w:p>
        </w:tc>
        <w:tc>
          <w:tcPr>
            <w:tcW w:w="6911" w:type="dxa"/>
          </w:tcPr>
          <w:p w:rsidR="00E8167D" w:rsidRPr="00FD119B" w:rsidRDefault="00E8167D" w:rsidP="00057435">
            <w:r w:rsidRPr="00F76141">
              <w:t>e</w:t>
            </w:r>
            <w:r>
              <w:t>xposure adjusted incidence rate</w:t>
            </w:r>
          </w:p>
        </w:tc>
      </w:tr>
      <w:tr w:rsidR="0013263D" w:rsidRPr="00FD119B" w:rsidTr="00057435">
        <w:tc>
          <w:tcPr>
            <w:tcW w:w="1809" w:type="dxa"/>
          </w:tcPr>
          <w:p w:rsidR="0013263D" w:rsidRPr="00FD119B" w:rsidRDefault="0013263D" w:rsidP="00057435">
            <w:r>
              <w:t>EBRT</w:t>
            </w:r>
          </w:p>
        </w:tc>
        <w:tc>
          <w:tcPr>
            <w:tcW w:w="6911" w:type="dxa"/>
          </w:tcPr>
          <w:p w:rsidR="0013263D" w:rsidRPr="00FD119B" w:rsidRDefault="00B977B3" w:rsidP="00057435">
            <w:r>
              <w:t>e</w:t>
            </w:r>
            <w:r w:rsidRPr="00595C2D">
              <w:t xml:space="preserve">xternal </w:t>
            </w:r>
            <w:r>
              <w:t>b</w:t>
            </w:r>
            <w:r w:rsidRPr="00595C2D">
              <w:t xml:space="preserve">eam </w:t>
            </w:r>
            <w:r>
              <w:t>r</w:t>
            </w:r>
            <w:r w:rsidRPr="00595C2D">
              <w:t>adiotherapy</w:t>
            </w:r>
          </w:p>
        </w:tc>
      </w:tr>
      <w:tr w:rsidR="008358E8" w:rsidRPr="00FD119B" w:rsidTr="00057435">
        <w:tc>
          <w:tcPr>
            <w:tcW w:w="1809" w:type="dxa"/>
          </w:tcPr>
          <w:p w:rsidR="008358E8" w:rsidRPr="00FD119B" w:rsidRDefault="008358E8" w:rsidP="00057435">
            <w:r>
              <w:t>ECG</w:t>
            </w:r>
          </w:p>
        </w:tc>
        <w:tc>
          <w:tcPr>
            <w:tcW w:w="6911" w:type="dxa"/>
          </w:tcPr>
          <w:p w:rsidR="008358E8" w:rsidRPr="00FD119B" w:rsidRDefault="008358E8" w:rsidP="00057435">
            <w:r>
              <w:t>electrocardiogram</w:t>
            </w:r>
          </w:p>
        </w:tc>
      </w:tr>
      <w:tr w:rsidR="00F516A6" w:rsidRPr="00FD119B" w:rsidTr="00057435">
        <w:tc>
          <w:tcPr>
            <w:tcW w:w="1809" w:type="dxa"/>
          </w:tcPr>
          <w:p w:rsidR="00F516A6" w:rsidRPr="00FD119B" w:rsidRDefault="00F516A6" w:rsidP="00057435">
            <w:r>
              <w:t>EMA</w:t>
            </w:r>
          </w:p>
        </w:tc>
        <w:tc>
          <w:tcPr>
            <w:tcW w:w="6911" w:type="dxa"/>
          </w:tcPr>
          <w:p w:rsidR="00F516A6" w:rsidRPr="00FD119B" w:rsidRDefault="00F516A6" w:rsidP="00057435">
            <w:r>
              <w:t>European Medicines Agency</w:t>
            </w:r>
          </w:p>
        </w:tc>
      </w:tr>
      <w:tr w:rsidR="0013263D" w:rsidRPr="00FD119B" w:rsidTr="00057435">
        <w:tc>
          <w:tcPr>
            <w:tcW w:w="1809" w:type="dxa"/>
          </w:tcPr>
          <w:p w:rsidR="0013263D" w:rsidRPr="00FD119B" w:rsidRDefault="0013263D" w:rsidP="00057435">
            <w:r>
              <w:t>ESMO</w:t>
            </w:r>
          </w:p>
        </w:tc>
        <w:tc>
          <w:tcPr>
            <w:tcW w:w="6911" w:type="dxa"/>
          </w:tcPr>
          <w:p w:rsidR="0013263D" w:rsidRPr="00FD119B" w:rsidRDefault="0013263D" w:rsidP="00057435">
            <w:r>
              <w:t xml:space="preserve">EU </w:t>
            </w:r>
            <w:r w:rsidRPr="002F0259">
              <w:t>European Society for Medical Oncology</w:t>
            </w:r>
          </w:p>
        </w:tc>
      </w:tr>
      <w:tr w:rsidR="00F516A6" w:rsidRPr="00FD119B" w:rsidTr="00057435">
        <w:tc>
          <w:tcPr>
            <w:tcW w:w="1809" w:type="dxa"/>
          </w:tcPr>
          <w:p w:rsidR="00F516A6" w:rsidRPr="00FD119B" w:rsidRDefault="00F516A6" w:rsidP="00057435">
            <w:r>
              <w:t>FDA</w:t>
            </w:r>
          </w:p>
        </w:tc>
        <w:tc>
          <w:tcPr>
            <w:tcW w:w="6911" w:type="dxa"/>
          </w:tcPr>
          <w:p w:rsidR="00F516A6" w:rsidRPr="00FD119B" w:rsidRDefault="00F516A6" w:rsidP="00057435">
            <w:r>
              <w:t>Food and Drug Administration (US)</w:t>
            </w:r>
          </w:p>
        </w:tc>
      </w:tr>
      <w:tr w:rsidR="00E8167D" w:rsidRPr="00FD119B" w:rsidTr="00057435">
        <w:tc>
          <w:tcPr>
            <w:tcW w:w="1809" w:type="dxa"/>
          </w:tcPr>
          <w:p w:rsidR="00E8167D" w:rsidRPr="00FD119B" w:rsidRDefault="00E8167D" w:rsidP="00057435">
            <w:r>
              <w:t>GI</w:t>
            </w:r>
          </w:p>
        </w:tc>
        <w:tc>
          <w:tcPr>
            <w:tcW w:w="6911" w:type="dxa"/>
          </w:tcPr>
          <w:p w:rsidR="00E8167D" w:rsidRPr="00FD119B" w:rsidRDefault="00E8167D" w:rsidP="00057435">
            <w:r>
              <w:t>gastrointestinal</w:t>
            </w:r>
          </w:p>
        </w:tc>
      </w:tr>
      <w:tr w:rsidR="0013263D" w:rsidRPr="00FD119B" w:rsidTr="00057435">
        <w:tc>
          <w:tcPr>
            <w:tcW w:w="1809" w:type="dxa"/>
          </w:tcPr>
          <w:p w:rsidR="0013263D" w:rsidRPr="00FD119B" w:rsidRDefault="0013263D" w:rsidP="00057435">
            <w:r>
              <w:lastRenderedPageBreak/>
              <w:t>GLP</w:t>
            </w:r>
          </w:p>
        </w:tc>
        <w:tc>
          <w:tcPr>
            <w:tcW w:w="6911" w:type="dxa"/>
          </w:tcPr>
          <w:p w:rsidR="0013263D" w:rsidRPr="00FD119B" w:rsidRDefault="0013263D" w:rsidP="00057435">
            <w:r>
              <w:t>Good Laboratory Practice</w:t>
            </w:r>
          </w:p>
        </w:tc>
      </w:tr>
      <w:tr w:rsidR="0013263D" w:rsidRPr="00FD119B" w:rsidTr="00057435">
        <w:tc>
          <w:tcPr>
            <w:tcW w:w="1809" w:type="dxa"/>
          </w:tcPr>
          <w:p w:rsidR="0013263D" w:rsidRPr="00FD119B" w:rsidRDefault="0013263D" w:rsidP="00057435">
            <w:proofErr w:type="spellStart"/>
            <w:r>
              <w:t>Gy</w:t>
            </w:r>
            <w:proofErr w:type="spellEnd"/>
          </w:p>
        </w:tc>
        <w:tc>
          <w:tcPr>
            <w:tcW w:w="6911" w:type="dxa"/>
          </w:tcPr>
          <w:p w:rsidR="0013263D" w:rsidRPr="00FD119B" w:rsidRDefault="0013263D" w:rsidP="00057435">
            <w:proofErr w:type="spellStart"/>
            <w:r>
              <w:t>Gray</w:t>
            </w:r>
            <w:proofErr w:type="spellEnd"/>
          </w:p>
        </w:tc>
      </w:tr>
      <w:tr w:rsidR="008E48B5" w:rsidRPr="00FD119B" w:rsidTr="00057435">
        <w:tc>
          <w:tcPr>
            <w:tcW w:w="1809" w:type="dxa"/>
          </w:tcPr>
          <w:p w:rsidR="008E48B5" w:rsidRPr="00FD119B" w:rsidRDefault="008E48B5" w:rsidP="00057435">
            <w:r>
              <w:t>HR</w:t>
            </w:r>
          </w:p>
        </w:tc>
        <w:tc>
          <w:tcPr>
            <w:tcW w:w="6911" w:type="dxa"/>
          </w:tcPr>
          <w:p w:rsidR="008E48B5" w:rsidRPr="00FD119B" w:rsidRDefault="008E48B5" w:rsidP="00057435">
            <w:r>
              <w:t>hazard ratio</w:t>
            </w:r>
          </w:p>
        </w:tc>
      </w:tr>
      <w:tr w:rsidR="008E48B5" w:rsidRPr="00FD119B" w:rsidTr="00057435">
        <w:tc>
          <w:tcPr>
            <w:tcW w:w="1809" w:type="dxa"/>
          </w:tcPr>
          <w:p w:rsidR="008E48B5" w:rsidRPr="00FD119B" w:rsidRDefault="008E48B5" w:rsidP="00057435">
            <w:proofErr w:type="spellStart"/>
            <w:r w:rsidRPr="00053F17">
              <w:t>HRQoL</w:t>
            </w:r>
            <w:proofErr w:type="spellEnd"/>
          </w:p>
        </w:tc>
        <w:tc>
          <w:tcPr>
            <w:tcW w:w="6911" w:type="dxa"/>
          </w:tcPr>
          <w:p w:rsidR="008E48B5" w:rsidRPr="00FD119B" w:rsidRDefault="008E48B5" w:rsidP="00057435">
            <w:r w:rsidRPr="00053F17">
              <w:t>health related quality of life</w:t>
            </w:r>
          </w:p>
        </w:tc>
      </w:tr>
      <w:tr w:rsidR="00A5032F" w:rsidRPr="00FD119B" w:rsidTr="00057435">
        <w:tc>
          <w:tcPr>
            <w:tcW w:w="1809" w:type="dxa"/>
          </w:tcPr>
          <w:p w:rsidR="00A5032F" w:rsidRPr="00FD119B" w:rsidRDefault="00A5032F" w:rsidP="00057435">
            <w:r>
              <w:t>HRPC</w:t>
            </w:r>
          </w:p>
        </w:tc>
        <w:tc>
          <w:tcPr>
            <w:tcW w:w="6911" w:type="dxa"/>
          </w:tcPr>
          <w:p w:rsidR="00A5032F" w:rsidRPr="00FD119B" w:rsidRDefault="00A5032F" w:rsidP="00057435">
            <w:r w:rsidRPr="00AE4CD7">
              <w:t>hormone</w:t>
            </w:r>
            <w:r>
              <w:t xml:space="preserve"> </w:t>
            </w:r>
            <w:r w:rsidRPr="00AE4CD7">
              <w:t>refractory prostate cancer</w:t>
            </w:r>
          </w:p>
        </w:tc>
      </w:tr>
      <w:tr w:rsidR="00F516A6" w:rsidRPr="00FD119B" w:rsidTr="00057435">
        <w:tc>
          <w:tcPr>
            <w:tcW w:w="1809" w:type="dxa"/>
          </w:tcPr>
          <w:p w:rsidR="00F516A6" w:rsidRPr="00FD119B" w:rsidRDefault="00F516A6" w:rsidP="00057435">
            <w:r>
              <w:t>ICH</w:t>
            </w:r>
          </w:p>
        </w:tc>
        <w:tc>
          <w:tcPr>
            <w:tcW w:w="6911" w:type="dxa"/>
          </w:tcPr>
          <w:p w:rsidR="00F516A6" w:rsidRPr="00FD119B" w:rsidRDefault="00F516A6" w:rsidP="00057435">
            <w:r w:rsidRPr="0025476C">
              <w:t>International Conference on Harmonisation</w:t>
            </w:r>
          </w:p>
        </w:tc>
      </w:tr>
      <w:tr w:rsidR="00F516A6" w:rsidRPr="00FD119B" w:rsidTr="00057435">
        <w:tc>
          <w:tcPr>
            <w:tcW w:w="1809" w:type="dxa"/>
          </w:tcPr>
          <w:p w:rsidR="00F516A6" w:rsidRPr="00FD119B" w:rsidRDefault="00F516A6" w:rsidP="00057435">
            <w:r>
              <w:t>ITT</w:t>
            </w:r>
          </w:p>
        </w:tc>
        <w:tc>
          <w:tcPr>
            <w:tcW w:w="6911" w:type="dxa"/>
          </w:tcPr>
          <w:p w:rsidR="00F516A6" w:rsidRPr="00FD119B" w:rsidRDefault="00F516A6" w:rsidP="00057435">
            <w:r>
              <w:t>i</w:t>
            </w:r>
            <w:r w:rsidRPr="007946F4">
              <w:t>ntention-to-treat</w:t>
            </w:r>
          </w:p>
        </w:tc>
      </w:tr>
      <w:tr w:rsidR="00A5032F" w:rsidRPr="00FD119B" w:rsidTr="00057435">
        <w:tc>
          <w:tcPr>
            <w:tcW w:w="1809" w:type="dxa"/>
          </w:tcPr>
          <w:p w:rsidR="00A5032F" w:rsidRPr="00FD119B" w:rsidRDefault="00A5032F" w:rsidP="00057435">
            <w:r>
              <w:t>IV</w:t>
            </w:r>
          </w:p>
        </w:tc>
        <w:tc>
          <w:tcPr>
            <w:tcW w:w="6911" w:type="dxa"/>
          </w:tcPr>
          <w:p w:rsidR="00A5032F" w:rsidRPr="00FD119B" w:rsidRDefault="00A5032F" w:rsidP="00057435">
            <w:r>
              <w:t>intravenous</w:t>
            </w:r>
          </w:p>
        </w:tc>
      </w:tr>
      <w:tr w:rsidR="004425AA" w:rsidRPr="00FD119B" w:rsidTr="00057435">
        <w:tc>
          <w:tcPr>
            <w:tcW w:w="1809" w:type="dxa"/>
          </w:tcPr>
          <w:p w:rsidR="004425AA" w:rsidRPr="00FD119B" w:rsidRDefault="006D407B" w:rsidP="00057435">
            <w:proofErr w:type="spellStart"/>
            <w:r>
              <w:t>kBq</w:t>
            </w:r>
            <w:proofErr w:type="spellEnd"/>
          </w:p>
        </w:tc>
        <w:tc>
          <w:tcPr>
            <w:tcW w:w="6911" w:type="dxa"/>
          </w:tcPr>
          <w:p w:rsidR="004425AA" w:rsidRPr="00FD119B" w:rsidRDefault="006D407B" w:rsidP="00057435">
            <w:proofErr w:type="spellStart"/>
            <w:r w:rsidRPr="00AF28C2">
              <w:t>kilobecquerel</w:t>
            </w:r>
            <w:proofErr w:type="spellEnd"/>
          </w:p>
        </w:tc>
      </w:tr>
      <w:tr w:rsidR="008E48B5" w:rsidRPr="00FD119B" w:rsidTr="00057435">
        <w:tc>
          <w:tcPr>
            <w:tcW w:w="1809" w:type="dxa"/>
          </w:tcPr>
          <w:p w:rsidR="008E48B5" w:rsidRPr="00FD119B" w:rsidRDefault="008E48B5" w:rsidP="00057435">
            <w:r w:rsidRPr="00053F17">
              <w:t>LDH</w:t>
            </w:r>
          </w:p>
        </w:tc>
        <w:tc>
          <w:tcPr>
            <w:tcW w:w="6911" w:type="dxa"/>
          </w:tcPr>
          <w:p w:rsidR="008E48B5" w:rsidRPr="00FD119B" w:rsidRDefault="008E48B5" w:rsidP="00057435">
            <w:r>
              <w:t>l</w:t>
            </w:r>
            <w:r w:rsidRPr="00D33508">
              <w:t>actate dehydrogenase</w:t>
            </w:r>
          </w:p>
        </w:tc>
      </w:tr>
      <w:tr w:rsidR="0013263D" w:rsidRPr="00FD119B" w:rsidTr="00057435">
        <w:tc>
          <w:tcPr>
            <w:tcW w:w="1809" w:type="dxa"/>
          </w:tcPr>
          <w:p w:rsidR="0013263D" w:rsidRPr="00FD119B" w:rsidRDefault="0013263D" w:rsidP="00057435">
            <w:r>
              <w:t>LET</w:t>
            </w:r>
          </w:p>
        </w:tc>
        <w:tc>
          <w:tcPr>
            <w:tcW w:w="6911" w:type="dxa"/>
          </w:tcPr>
          <w:p w:rsidR="0013263D" w:rsidRPr="00FD119B" w:rsidRDefault="0013263D" w:rsidP="00057435">
            <w:r w:rsidRPr="006F25F7">
              <w:t>Linear Energy Transfer</w:t>
            </w:r>
          </w:p>
        </w:tc>
      </w:tr>
      <w:tr w:rsidR="00F516A6" w:rsidRPr="00FD119B" w:rsidTr="00057435">
        <w:tc>
          <w:tcPr>
            <w:tcW w:w="1809" w:type="dxa"/>
          </w:tcPr>
          <w:p w:rsidR="00F516A6" w:rsidRPr="00FD119B" w:rsidRDefault="00F516A6" w:rsidP="00057435">
            <w:r>
              <w:t>LLQ</w:t>
            </w:r>
          </w:p>
        </w:tc>
        <w:tc>
          <w:tcPr>
            <w:tcW w:w="6911" w:type="dxa"/>
          </w:tcPr>
          <w:p w:rsidR="00F516A6" w:rsidRPr="00FD119B" w:rsidRDefault="00F516A6" w:rsidP="00057435">
            <w:r w:rsidRPr="00E67F52">
              <w:t>lowest level of quantification</w:t>
            </w:r>
          </w:p>
        </w:tc>
      </w:tr>
      <w:tr w:rsidR="004425AA" w:rsidRPr="00FD119B" w:rsidTr="00057435">
        <w:tc>
          <w:tcPr>
            <w:tcW w:w="1809" w:type="dxa"/>
          </w:tcPr>
          <w:p w:rsidR="004425AA" w:rsidRPr="00FD119B" w:rsidRDefault="006D407B" w:rsidP="00057435">
            <w:proofErr w:type="spellStart"/>
            <w:r>
              <w:t>mBq</w:t>
            </w:r>
            <w:proofErr w:type="spellEnd"/>
          </w:p>
        </w:tc>
        <w:tc>
          <w:tcPr>
            <w:tcW w:w="6911" w:type="dxa"/>
          </w:tcPr>
          <w:p w:rsidR="004425AA" w:rsidRPr="00FD119B" w:rsidRDefault="006D407B" w:rsidP="00057435">
            <w:proofErr w:type="spellStart"/>
            <w:r w:rsidRPr="006D407B">
              <w:t>megabecquerel</w:t>
            </w:r>
            <w:proofErr w:type="spellEnd"/>
          </w:p>
        </w:tc>
      </w:tr>
      <w:tr w:rsidR="008358E8" w:rsidRPr="00FD119B" w:rsidTr="00057435">
        <w:tc>
          <w:tcPr>
            <w:tcW w:w="1809" w:type="dxa"/>
          </w:tcPr>
          <w:p w:rsidR="008358E8" w:rsidRPr="00FD119B" w:rsidRDefault="008358E8" w:rsidP="00057435">
            <w:r>
              <w:t>MDS</w:t>
            </w:r>
          </w:p>
        </w:tc>
        <w:tc>
          <w:tcPr>
            <w:tcW w:w="6911" w:type="dxa"/>
          </w:tcPr>
          <w:p w:rsidR="008358E8" w:rsidRPr="00FD119B" w:rsidRDefault="008358E8" w:rsidP="00057435">
            <w:proofErr w:type="spellStart"/>
            <w:r w:rsidRPr="00E9477D">
              <w:t>myeloblastic</w:t>
            </w:r>
            <w:proofErr w:type="spellEnd"/>
            <w:r w:rsidRPr="00E9477D">
              <w:t xml:space="preserve"> syndrome</w:t>
            </w:r>
          </w:p>
        </w:tc>
      </w:tr>
      <w:tr w:rsidR="00F516A6" w:rsidRPr="00FD119B" w:rsidTr="00057435">
        <w:tc>
          <w:tcPr>
            <w:tcW w:w="1809" w:type="dxa"/>
          </w:tcPr>
          <w:p w:rsidR="00F516A6" w:rsidRPr="00FD119B" w:rsidRDefault="00F516A6" w:rsidP="00057435">
            <w:r>
              <w:t>MTD</w:t>
            </w:r>
          </w:p>
        </w:tc>
        <w:tc>
          <w:tcPr>
            <w:tcW w:w="6911" w:type="dxa"/>
          </w:tcPr>
          <w:p w:rsidR="00F516A6" w:rsidRPr="00FD119B" w:rsidRDefault="00F516A6" w:rsidP="00057435">
            <w:r>
              <w:t>maximum tolerated dose</w:t>
            </w:r>
          </w:p>
        </w:tc>
      </w:tr>
      <w:tr w:rsidR="0013263D" w:rsidRPr="00FD119B" w:rsidTr="00057435">
        <w:tc>
          <w:tcPr>
            <w:tcW w:w="1809" w:type="dxa"/>
          </w:tcPr>
          <w:p w:rsidR="0013263D" w:rsidRPr="00FD119B" w:rsidRDefault="0013263D" w:rsidP="00057435">
            <w:r>
              <w:t>NCCN</w:t>
            </w:r>
          </w:p>
        </w:tc>
        <w:tc>
          <w:tcPr>
            <w:tcW w:w="6911" w:type="dxa"/>
          </w:tcPr>
          <w:p w:rsidR="0013263D" w:rsidRPr="00FD119B" w:rsidRDefault="0013263D" w:rsidP="00057435">
            <w:r w:rsidRPr="00596C01">
              <w:t>National Comp</w:t>
            </w:r>
            <w:r>
              <w:t>rehensive Cancer Network</w:t>
            </w:r>
            <w:r w:rsidR="005329E5">
              <w:t xml:space="preserve"> (US)</w:t>
            </w:r>
          </w:p>
        </w:tc>
      </w:tr>
      <w:tr w:rsidR="0013263D" w:rsidRPr="00FD119B" w:rsidTr="00057435">
        <w:tc>
          <w:tcPr>
            <w:tcW w:w="1809" w:type="dxa"/>
          </w:tcPr>
          <w:p w:rsidR="0013263D" w:rsidRPr="00FD119B" w:rsidRDefault="0013263D" w:rsidP="00057435">
            <w:r>
              <w:t>NMT</w:t>
            </w:r>
          </w:p>
        </w:tc>
        <w:tc>
          <w:tcPr>
            <w:tcW w:w="6911" w:type="dxa"/>
          </w:tcPr>
          <w:p w:rsidR="0013263D" w:rsidRPr="00FD119B" w:rsidRDefault="0013263D" w:rsidP="00057435">
            <w:r>
              <w:t>not more than</w:t>
            </w:r>
          </w:p>
        </w:tc>
      </w:tr>
      <w:tr w:rsidR="00C90F70" w:rsidRPr="00FD119B" w:rsidTr="00057435">
        <w:tc>
          <w:tcPr>
            <w:tcW w:w="1809" w:type="dxa"/>
          </w:tcPr>
          <w:p w:rsidR="00C90F70" w:rsidRPr="00FD119B" w:rsidRDefault="00C90F70" w:rsidP="00057435">
            <w:r w:rsidRPr="00781313">
              <w:t>ONJ</w:t>
            </w:r>
          </w:p>
        </w:tc>
        <w:tc>
          <w:tcPr>
            <w:tcW w:w="6911" w:type="dxa"/>
          </w:tcPr>
          <w:p w:rsidR="00C90F70" w:rsidRPr="00FD119B" w:rsidRDefault="00C90F70" w:rsidP="00057435">
            <w:r>
              <w:t>osteonecrosis of jaw</w:t>
            </w:r>
          </w:p>
        </w:tc>
      </w:tr>
      <w:tr w:rsidR="008E48B5" w:rsidRPr="00FD119B" w:rsidTr="00057435">
        <w:tc>
          <w:tcPr>
            <w:tcW w:w="1809" w:type="dxa"/>
          </w:tcPr>
          <w:p w:rsidR="008E48B5" w:rsidRPr="00FD119B" w:rsidRDefault="008E48B5" w:rsidP="00057435">
            <w:r>
              <w:t>OS</w:t>
            </w:r>
          </w:p>
        </w:tc>
        <w:tc>
          <w:tcPr>
            <w:tcW w:w="6911" w:type="dxa"/>
          </w:tcPr>
          <w:p w:rsidR="008E48B5" w:rsidRPr="00FD119B" w:rsidRDefault="008E48B5" w:rsidP="00057435">
            <w:r>
              <w:t>overall survival</w:t>
            </w:r>
          </w:p>
        </w:tc>
      </w:tr>
      <w:tr w:rsidR="00F516A6" w:rsidRPr="00FD119B" w:rsidTr="00057435">
        <w:tc>
          <w:tcPr>
            <w:tcW w:w="1809" w:type="dxa"/>
          </w:tcPr>
          <w:p w:rsidR="00F516A6" w:rsidRPr="00FD119B" w:rsidRDefault="00F516A6" w:rsidP="00057435">
            <w:r>
              <w:t>PP</w:t>
            </w:r>
          </w:p>
        </w:tc>
        <w:tc>
          <w:tcPr>
            <w:tcW w:w="6911" w:type="dxa"/>
          </w:tcPr>
          <w:p w:rsidR="00F516A6" w:rsidRPr="00FD119B" w:rsidRDefault="00F516A6" w:rsidP="00057435">
            <w:r>
              <w:t>per protocol</w:t>
            </w:r>
          </w:p>
        </w:tc>
      </w:tr>
      <w:tr w:rsidR="003E68A7" w:rsidRPr="00FD119B" w:rsidTr="00057435">
        <w:tc>
          <w:tcPr>
            <w:tcW w:w="1809" w:type="dxa"/>
          </w:tcPr>
          <w:p w:rsidR="003E68A7" w:rsidRPr="00FD119B" w:rsidRDefault="003E68A7" w:rsidP="00057435">
            <w:r>
              <w:t>PSA</w:t>
            </w:r>
          </w:p>
        </w:tc>
        <w:tc>
          <w:tcPr>
            <w:tcW w:w="6911" w:type="dxa"/>
          </w:tcPr>
          <w:p w:rsidR="003E68A7" w:rsidRPr="00FD119B" w:rsidRDefault="003E68A7" w:rsidP="00057435">
            <w:r>
              <w:t>prostate specific antigen</w:t>
            </w:r>
          </w:p>
        </w:tc>
      </w:tr>
      <w:tr w:rsidR="00C90F70" w:rsidRPr="00FD119B" w:rsidTr="00057435">
        <w:tc>
          <w:tcPr>
            <w:tcW w:w="1809" w:type="dxa"/>
          </w:tcPr>
          <w:p w:rsidR="00C90F70" w:rsidRPr="00FD119B" w:rsidRDefault="00C90F70" w:rsidP="00057435">
            <w:proofErr w:type="spellStart"/>
            <w:r w:rsidRPr="00702B5F">
              <w:t>QoL</w:t>
            </w:r>
            <w:proofErr w:type="spellEnd"/>
          </w:p>
        </w:tc>
        <w:tc>
          <w:tcPr>
            <w:tcW w:w="6911" w:type="dxa"/>
          </w:tcPr>
          <w:p w:rsidR="00C90F70" w:rsidRPr="00FD119B" w:rsidRDefault="00C90F70" w:rsidP="00057435">
            <w:r w:rsidRPr="00702B5F">
              <w:t>quality of life</w:t>
            </w:r>
          </w:p>
        </w:tc>
      </w:tr>
      <w:tr w:rsidR="0013263D" w:rsidRPr="00FD119B" w:rsidTr="00057435">
        <w:tc>
          <w:tcPr>
            <w:tcW w:w="1809" w:type="dxa"/>
          </w:tcPr>
          <w:p w:rsidR="0013263D" w:rsidRPr="00FD119B" w:rsidRDefault="0013263D" w:rsidP="00057435">
            <w:r>
              <w:t>RBE</w:t>
            </w:r>
          </w:p>
        </w:tc>
        <w:tc>
          <w:tcPr>
            <w:tcW w:w="6911" w:type="dxa"/>
          </w:tcPr>
          <w:p w:rsidR="0013263D" w:rsidRPr="00FD119B" w:rsidRDefault="0013263D" w:rsidP="00057435">
            <w:r w:rsidRPr="001C291B">
              <w:t>relative biological effectiveness</w:t>
            </w:r>
          </w:p>
        </w:tc>
      </w:tr>
      <w:tr w:rsidR="008358E8" w:rsidRPr="00FD119B" w:rsidTr="00057435">
        <w:tc>
          <w:tcPr>
            <w:tcW w:w="1809" w:type="dxa"/>
          </w:tcPr>
          <w:p w:rsidR="008358E8" w:rsidRPr="00FD119B" w:rsidRDefault="008358E8" w:rsidP="00057435">
            <w:r>
              <w:t>RMP</w:t>
            </w:r>
          </w:p>
        </w:tc>
        <w:tc>
          <w:tcPr>
            <w:tcW w:w="6911" w:type="dxa"/>
          </w:tcPr>
          <w:p w:rsidR="008358E8" w:rsidRPr="00FD119B" w:rsidRDefault="008358E8" w:rsidP="00057435">
            <w:r w:rsidRPr="00654E6A">
              <w:t>Risk Management Plan</w:t>
            </w:r>
          </w:p>
        </w:tc>
      </w:tr>
      <w:tr w:rsidR="00E8167D" w:rsidRPr="00FD119B" w:rsidTr="00057435">
        <w:tc>
          <w:tcPr>
            <w:tcW w:w="1809" w:type="dxa"/>
          </w:tcPr>
          <w:p w:rsidR="00E8167D" w:rsidRPr="00FD119B" w:rsidRDefault="00E8167D" w:rsidP="00057435">
            <w:r>
              <w:t>SRE</w:t>
            </w:r>
          </w:p>
        </w:tc>
        <w:tc>
          <w:tcPr>
            <w:tcW w:w="6911" w:type="dxa"/>
          </w:tcPr>
          <w:p w:rsidR="00E8167D" w:rsidRPr="00FD119B" w:rsidRDefault="00E8167D" w:rsidP="00057435">
            <w:r>
              <w:t>s</w:t>
            </w:r>
            <w:r w:rsidRPr="004870EB">
              <w:t>keletal related event</w:t>
            </w:r>
          </w:p>
        </w:tc>
      </w:tr>
      <w:tr w:rsidR="003E68A7" w:rsidRPr="00FD119B" w:rsidTr="00057435">
        <w:tc>
          <w:tcPr>
            <w:tcW w:w="1809" w:type="dxa"/>
          </w:tcPr>
          <w:p w:rsidR="003E68A7" w:rsidRPr="00FD119B" w:rsidRDefault="00D46414" w:rsidP="00057435">
            <w:r>
              <w:t>t</w:t>
            </w:r>
            <w:r w:rsidRPr="00705ECE">
              <w:rPr>
                <w:vertAlign w:val="subscript"/>
              </w:rPr>
              <w:t>1/2</w:t>
            </w:r>
          </w:p>
        </w:tc>
        <w:tc>
          <w:tcPr>
            <w:tcW w:w="6911" w:type="dxa"/>
          </w:tcPr>
          <w:p w:rsidR="003E68A7" w:rsidRPr="00FD119B" w:rsidRDefault="00D46414" w:rsidP="00057435">
            <w:r>
              <w:t>half life</w:t>
            </w:r>
          </w:p>
        </w:tc>
      </w:tr>
      <w:tr w:rsidR="00E8167D" w:rsidRPr="00FD119B" w:rsidTr="00057435">
        <w:tc>
          <w:tcPr>
            <w:tcW w:w="1809" w:type="dxa"/>
          </w:tcPr>
          <w:p w:rsidR="00E8167D" w:rsidRPr="00FD119B" w:rsidRDefault="00E8167D" w:rsidP="00057435">
            <w:r>
              <w:lastRenderedPageBreak/>
              <w:t>TEAE</w:t>
            </w:r>
          </w:p>
        </w:tc>
        <w:tc>
          <w:tcPr>
            <w:tcW w:w="6911" w:type="dxa"/>
          </w:tcPr>
          <w:p w:rsidR="00E8167D" w:rsidRPr="00FD119B" w:rsidRDefault="00E8167D" w:rsidP="00057435">
            <w:r>
              <w:t>treatment emergent adverse event</w:t>
            </w:r>
          </w:p>
        </w:tc>
      </w:tr>
      <w:tr w:rsidR="0013263D" w:rsidRPr="00FD119B" w:rsidTr="00057435">
        <w:tc>
          <w:tcPr>
            <w:tcW w:w="1809" w:type="dxa"/>
          </w:tcPr>
          <w:p w:rsidR="0013263D" w:rsidRPr="00FD119B" w:rsidRDefault="0013263D" w:rsidP="00057435">
            <w:r>
              <w:t>TGO</w:t>
            </w:r>
          </w:p>
        </w:tc>
        <w:tc>
          <w:tcPr>
            <w:tcW w:w="6911" w:type="dxa"/>
          </w:tcPr>
          <w:p w:rsidR="0013263D" w:rsidRPr="00FD119B" w:rsidRDefault="0013263D" w:rsidP="00057435">
            <w:r>
              <w:t>Therapeutic Goods Order</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057435">
      <w:pPr>
        <w:pStyle w:val="Heading2"/>
      </w:pPr>
      <w:bookmarkStart w:id="9" w:name="_Toc394316785"/>
      <w:r>
        <w:lastRenderedPageBreak/>
        <w:t>I.</w:t>
      </w:r>
      <w:r w:rsidR="008E7846">
        <w:t xml:space="preserve"> Introduction to </w:t>
      </w:r>
      <w:r w:rsidR="008E7846" w:rsidRPr="00057435">
        <w:t>product</w:t>
      </w:r>
      <w:r w:rsidR="008E7846">
        <w:t xml:space="preserve"> submission</w:t>
      </w:r>
      <w:bookmarkEnd w:id="0"/>
      <w:bookmarkEnd w:id="3"/>
      <w:bookmarkEnd w:id="9"/>
    </w:p>
    <w:p w:rsidR="008E7846" w:rsidRPr="00057435" w:rsidRDefault="008E7846" w:rsidP="00057435">
      <w:pPr>
        <w:pStyle w:val="Heading3"/>
      </w:pPr>
      <w:bookmarkStart w:id="10" w:name="_Toc247691502"/>
      <w:bookmarkStart w:id="11" w:name="_Toc314842483"/>
      <w:bookmarkStart w:id="12" w:name="_Toc394316786"/>
      <w:r>
        <w:rPr>
          <w:lang w:eastAsia="en-AU"/>
        </w:rPr>
        <w:t xml:space="preserve">Submission </w:t>
      </w:r>
      <w:r w:rsidR="00057435" w:rsidRPr="00057435">
        <w:t>d</w:t>
      </w:r>
      <w:r w:rsidRPr="00057435">
        <w:t>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7B7CD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BC2582">
            <w:r w:rsidRPr="003D1E62">
              <w:t xml:space="preserve">New </w:t>
            </w:r>
            <w:r w:rsidR="001B5C90">
              <w:t>c</w:t>
            </w:r>
            <w:r w:rsidRPr="003D1E62">
              <w:t xml:space="preserve">hemical </w:t>
            </w:r>
            <w:r w:rsidR="001B5C90">
              <w:t>e</w:t>
            </w:r>
            <w:r w:rsidR="00BC2582">
              <w:t>ntity</w:t>
            </w:r>
          </w:p>
        </w:tc>
      </w:tr>
      <w:tr w:rsidR="008E7846" w:rsidRPr="003D1E62" w:rsidTr="007B7CDF">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BC2582" w:rsidP="00BC2582">
            <w:r>
              <w:t>Approved</w:t>
            </w:r>
          </w:p>
        </w:tc>
      </w:tr>
      <w:tr w:rsidR="008E7846" w:rsidRPr="003D1E62" w:rsidTr="007B7CD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F64B52" w:rsidP="001B5C90">
            <w:r>
              <w:t>13 May 2014</w:t>
            </w:r>
          </w:p>
        </w:tc>
      </w:tr>
      <w:tr w:rsidR="008E7846" w:rsidRPr="00487162" w:rsidTr="007B7CDF">
        <w:trPr>
          <w:gridAfter w:val="1"/>
          <w:wAfter w:w="283" w:type="dxa"/>
        </w:trPr>
        <w:tc>
          <w:tcPr>
            <w:tcW w:w="2907" w:type="dxa"/>
          </w:tcPr>
          <w:p w:rsidR="008E7846" w:rsidRPr="00487162" w:rsidRDefault="004425AA" w:rsidP="00E45619">
            <w:pPr>
              <w:rPr>
                <w:i/>
              </w:rPr>
            </w:pPr>
            <w:r>
              <w:rPr>
                <w:i/>
              </w:rPr>
              <w:t>Active ingredient</w:t>
            </w:r>
            <w:r w:rsidR="001B5C90">
              <w:rPr>
                <w:i/>
              </w:rPr>
              <w:t>:</w:t>
            </w:r>
          </w:p>
        </w:tc>
        <w:tc>
          <w:tcPr>
            <w:tcW w:w="6307" w:type="dxa"/>
          </w:tcPr>
          <w:p w:rsidR="008E7846" w:rsidRPr="00487162" w:rsidRDefault="004425AA" w:rsidP="004425AA">
            <w:r>
              <w:t>R</w:t>
            </w:r>
            <w:r w:rsidRPr="004425AA">
              <w:t>adium (</w:t>
            </w:r>
            <w:r w:rsidR="00BC3093">
              <w:rPr>
                <w:vertAlign w:val="superscript"/>
              </w:rPr>
              <w:t>223</w:t>
            </w:r>
            <w:r w:rsidRPr="004425AA">
              <w:t>Ra) dichloride</w:t>
            </w:r>
          </w:p>
        </w:tc>
      </w:tr>
      <w:tr w:rsidR="008E7846" w:rsidRPr="00487162" w:rsidTr="007B7CDF">
        <w:trPr>
          <w:gridAfter w:val="1"/>
          <w:wAfter w:w="283" w:type="dxa"/>
        </w:trPr>
        <w:tc>
          <w:tcPr>
            <w:tcW w:w="2907" w:type="dxa"/>
          </w:tcPr>
          <w:p w:rsidR="008E7846" w:rsidRPr="00487162" w:rsidRDefault="008E7846" w:rsidP="007B7CDF">
            <w:pPr>
              <w:rPr>
                <w:i/>
              </w:rPr>
            </w:pPr>
            <w:r w:rsidRPr="00487162">
              <w:rPr>
                <w:i/>
              </w:rPr>
              <w:t>Product</w:t>
            </w:r>
            <w:r w:rsidR="004425AA">
              <w:rPr>
                <w:i/>
              </w:rPr>
              <w:t xml:space="preserve"> name</w:t>
            </w:r>
            <w:r w:rsidR="001B5C90">
              <w:rPr>
                <w:i/>
              </w:rPr>
              <w:t>:</w:t>
            </w:r>
          </w:p>
        </w:tc>
        <w:tc>
          <w:tcPr>
            <w:tcW w:w="6307" w:type="dxa"/>
          </w:tcPr>
          <w:p w:rsidR="008E7846" w:rsidRPr="00487162" w:rsidRDefault="0071325D" w:rsidP="0071325D">
            <w:proofErr w:type="spellStart"/>
            <w:r>
              <w:t>Xofigo</w:t>
            </w:r>
            <w:proofErr w:type="spellEnd"/>
          </w:p>
        </w:tc>
      </w:tr>
      <w:tr w:rsidR="008E7846" w:rsidRPr="00487162" w:rsidTr="007B7CDF">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6448CA" w:rsidP="007B7CDF">
            <w:r>
              <w:t>Bayer Australia Ltd</w:t>
            </w:r>
            <w:r w:rsidR="007B7CDF">
              <w:br/>
            </w:r>
            <w:r>
              <w:t>PO Box 903</w:t>
            </w:r>
            <w:r w:rsidR="007B7CDF">
              <w:br/>
            </w:r>
            <w:r>
              <w:t xml:space="preserve">875 </w:t>
            </w:r>
            <w:r w:rsidRPr="006448CA">
              <w:t>P</w:t>
            </w:r>
            <w:r>
              <w:t>acific Highway</w:t>
            </w:r>
            <w:r w:rsidR="007B7CDF">
              <w:br/>
            </w:r>
            <w:r>
              <w:t xml:space="preserve">Pymble </w:t>
            </w:r>
            <w:r w:rsidR="007B7CDF">
              <w:t xml:space="preserve"> </w:t>
            </w:r>
            <w:r>
              <w:t>NSW</w:t>
            </w:r>
            <w:r w:rsidR="007B7CDF">
              <w:t xml:space="preserve"> </w:t>
            </w:r>
            <w:r>
              <w:t xml:space="preserve"> 2073</w:t>
            </w:r>
          </w:p>
        </w:tc>
      </w:tr>
      <w:tr w:rsidR="008E7846" w:rsidRPr="00487162" w:rsidTr="007B7CDF">
        <w:trPr>
          <w:gridAfter w:val="1"/>
          <w:wAfter w:w="283" w:type="dxa"/>
        </w:trPr>
        <w:tc>
          <w:tcPr>
            <w:tcW w:w="2907" w:type="dxa"/>
          </w:tcPr>
          <w:p w:rsidR="008E7846" w:rsidRPr="00487162" w:rsidRDefault="00E820DD" w:rsidP="00E820DD">
            <w:pPr>
              <w:rPr>
                <w:i/>
              </w:rPr>
            </w:pPr>
            <w:r>
              <w:rPr>
                <w:i/>
              </w:rPr>
              <w:t>Dose form</w:t>
            </w:r>
            <w:r w:rsidR="001B5C90">
              <w:rPr>
                <w:i/>
              </w:rPr>
              <w:t>:</w:t>
            </w:r>
          </w:p>
        </w:tc>
        <w:tc>
          <w:tcPr>
            <w:tcW w:w="6307" w:type="dxa"/>
          </w:tcPr>
          <w:p w:rsidR="008E7846" w:rsidRPr="00487162" w:rsidRDefault="00E820DD" w:rsidP="00E45619">
            <w:r>
              <w:t>I</w:t>
            </w:r>
            <w:r w:rsidRPr="00E820DD">
              <w:t>njection solution</w:t>
            </w:r>
          </w:p>
        </w:tc>
      </w:tr>
      <w:tr w:rsidR="008E7846" w:rsidRPr="00487162" w:rsidTr="007B7CDF">
        <w:trPr>
          <w:gridAfter w:val="1"/>
          <w:wAfter w:w="283" w:type="dxa"/>
        </w:trPr>
        <w:tc>
          <w:tcPr>
            <w:tcW w:w="2907" w:type="dxa"/>
          </w:tcPr>
          <w:p w:rsidR="008E7846" w:rsidRPr="00487162" w:rsidRDefault="00E820DD" w:rsidP="00E45619">
            <w:pPr>
              <w:rPr>
                <w:i/>
              </w:rPr>
            </w:pPr>
            <w:r>
              <w:rPr>
                <w:i/>
              </w:rPr>
              <w:t>Strength</w:t>
            </w:r>
            <w:r w:rsidR="00057435">
              <w:rPr>
                <w:i/>
              </w:rPr>
              <w:t>:</w:t>
            </w:r>
          </w:p>
        </w:tc>
        <w:tc>
          <w:tcPr>
            <w:tcW w:w="6307" w:type="dxa"/>
          </w:tcPr>
          <w:p w:rsidR="008E7846" w:rsidRPr="00487162" w:rsidRDefault="00E820DD" w:rsidP="00E45619">
            <w:r w:rsidRPr="00E820DD">
              <w:t xml:space="preserve">6.0 </w:t>
            </w:r>
            <w:proofErr w:type="spellStart"/>
            <w:r w:rsidRPr="00E820DD">
              <w:t>MBq</w:t>
            </w:r>
            <w:proofErr w:type="spellEnd"/>
            <w:r w:rsidRPr="00E820DD">
              <w:t xml:space="preserve"> / 6</w:t>
            </w:r>
            <w:r w:rsidR="00B43555">
              <w:t xml:space="preserve"> </w:t>
            </w:r>
            <w:r w:rsidRPr="00E820DD">
              <w:t>mL vial</w:t>
            </w:r>
          </w:p>
        </w:tc>
      </w:tr>
      <w:tr w:rsidR="008E7846" w:rsidRPr="00487162" w:rsidTr="007B7CDF">
        <w:trPr>
          <w:gridAfter w:val="1"/>
          <w:wAfter w:w="283" w:type="dxa"/>
        </w:trPr>
        <w:tc>
          <w:tcPr>
            <w:tcW w:w="2907" w:type="dxa"/>
          </w:tcPr>
          <w:p w:rsidR="008E7846" w:rsidRPr="00487162" w:rsidRDefault="00E820DD" w:rsidP="00E45619">
            <w:pPr>
              <w:rPr>
                <w:i/>
              </w:rPr>
            </w:pPr>
            <w:r>
              <w:rPr>
                <w:i/>
              </w:rPr>
              <w:t>Container</w:t>
            </w:r>
            <w:r w:rsidR="008E7846" w:rsidRPr="00487162">
              <w:rPr>
                <w:i/>
              </w:rPr>
              <w:t>:</w:t>
            </w:r>
          </w:p>
        </w:tc>
        <w:tc>
          <w:tcPr>
            <w:tcW w:w="6307" w:type="dxa"/>
          </w:tcPr>
          <w:p w:rsidR="008E7846" w:rsidRPr="00487162" w:rsidRDefault="00E820DD" w:rsidP="00E45619">
            <w:r>
              <w:t>Vial</w:t>
            </w:r>
          </w:p>
        </w:tc>
      </w:tr>
      <w:tr w:rsidR="008E7846" w:rsidRPr="00487162" w:rsidTr="007B7CDF">
        <w:trPr>
          <w:gridAfter w:val="1"/>
          <w:wAfter w:w="283" w:type="dxa"/>
        </w:trPr>
        <w:tc>
          <w:tcPr>
            <w:tcW w:w="2907" w:type="dxa"/>
          </w:tcPr>
          <w:p w:rsidR="008E7846" w:rsidRPr="00487162" w:rsidRDefault="00E820DD" w:rsidP="00E820DD">
            <w:pPr>
              <w:rPr>
                <w:i/>
              </w:rPr>
            </w:pPr>
            <w:r>
              <w:rPr>
                <w:i/>
              </w:rPr>
              <w:t>Pack size</w:t>
            </w:r>
            <w:r w:rsidR="008E7846" w:rsidRPr="00487162">
              <w:rPr>
                <w:i/>
              </w:rPr>
              <w:t>:</w:t>
            </w:r>
          </w:p>
        </w:tc>
        <w:tc>
          <w:tcPr>
            <w:tcW w:w="6307" w:type="dxa"/>
          </w:tcPr>
          <w:p w:rsidR="008E7846" w:rsidRPr="00487162" w:rsidRDefault="00E820DD" w:rsidP="00E45619">
            <w:r>
              <w:t>1 vial</w:t>
            </w:r>
          </w:p>
        </w:tc>
      </w:tr>
      <w:tr w:rsidR="008E7846" w:rsidRPr="00487162" w:rsidTr="007B7CDF">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7E4605" w:rsidP="00764FD5">
            <w:pPr>
              <w:rPr>
                <w:rFonts w:eastAsia="MS Mincho"/>
                <w:lang w:eastAsia="ja-JP"/>
              </w:rPr>
            </w:pPr>
            <w:r>
              <w:t>For</w:t>
            </w:r>
            <w:r w:rsidR="00764FD5" w:rsidRPr="00764FD5">
              <w:rPr>
                <w:rFonts w:eastAsia="MS Mincho"/>
                <w:lang w:eastAsia="ja-JP"/>
              </w:rPr>
              <w:t xml:space="preserve"> the treatment of castration-resistant prostate cancer patients with symptomatic bone metastases and no known visceral metastatic disease</w:t>
            </w:r>
          </w:p>
        </w:tc>
      </w:tr>
      <w:tr w:rsidR="008E7846" w:rsidRPr="00487162" w:rsidTr="007B7CDF">
        <w:trPr>
          <w:gridAfter w:val="1"/>
          <w:wAfter w:w="283" w:type="dxa"/>
        </w:trPr>
        <w:tc>
          <w:tcPr>
            <w:tcW w:w="2907" w:type="dxa"/>
          </w:tcPr>
          <w:p w:rsidR="008E7846" w:rsidRPr="00487162" w:rsidRDefault="00154BBB" w:rsidP="00154BBB">
            <w:pPr>
              <w:rPr>
                <w:i/>
              </w:rPr>
            </w:pPr>
            <w:r>
              <w:rPr>
                <w:i/>
              </w:rPr>
              <w:t>Route</w:t>
            </w:r>
            <w:r w:rsidR="008E7846" w:rsidRPr="00487162">
              <w:rPr>
                <w:i/>
              </w:rPr>
              <w:t xml:space="preserve"> of administration:</w:t>
            </w:r>
          </w:p>
        </w:tc>
        <w:tc>
          <w:tcPr>
            <w:tcW w:w="6307" w:type="dxa"/>
          </w:tcPr>
          <w:p w:rsidR="008E7846" w:rsidRPr="00487162" w:rsidRDefault="00154BBB" w:rsidP="00E45619">
            <w:r>
              <w:t>Intravenous</w:t>
            </w:r>
          </w:p>
        </w:tc>
      </w:tr>
      <w:tr w:rsidR="008E7846" w:rsidRPr="00487162" w:rsidTr="007B7CD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54BBB" w:rsidP="00246699">
            <w:r>
              <w:t>S</w:t>
            </w:r>
            <w:r w:rsidRPr="00154BBB">
              <w:t xml:space="preserve">low intravenous injection at a dose of 50 </w:t>
            </w:r>
            <w:proofErr w:type="spellStart"/>
            <w:r w:rsidRPr="00154BBB">
              <w:t>kBq</w:t>
            </w:r>
            <w:proofErr w:type="spellEnd"/>
            <w:r w:rsidRPr="00154BBB">
              <w:t xml:space="preserve"> per kg body weight, given as a course of 6 injections at 4 week intervals</w:t>
            </w:r>
          </w:p>
        </w:tc>
      </w:tr>
      <w:tr w:rsidR="008E7846" w:rsidRPr="00487162" w:rsidTr="007B7CDF">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DE2AF0">
              <w:rPr>
                <w:i/>
              </w:rPr>
              <w:t>umber</w:t>
            </w:r>
            <w:r w:rsidR="001B5C90">
              <w:rPr>
                <w:i/>
              </w:rPr>
              <w:t>:</w:t>
            </w:r>
          </w:p>
        </w:tc>
        <w:tc>
          <w:tcPr>
            <w:tcW w:w="6307" w:type="dxa"/>
          </w:tcPr>
          <w:p w:rsidR="008E7846" w:rsidRPr="00487162" w:rsidRDefault="00DE2AF0" w:rsidP="00E45619">
            <w:r w:rsidRPr="00DE2AF0">
              <w:t>208905</w:t>
            </w:r>
          </w:p>
        </w:tc>
      </w:tr>
    </w:tbl>
    <w:p w:rsidR="008E7846" w:rsidRDefault="008E7846" w:rsidP="008E7846">
      <w:pPr>
        <w:pStyle w:val="Heading3"/>
      </w:pPr>
      <w:bookmarkStart w:id="13" w:name="_Toc247691503"/>
      <w:bookmarkStart w:id="14" w:name="_Toc314842484"/>
      <w:bookmarkStart w:id="15" w:name="_Toc394316787"/>
      <w:r>
        <w:t xml:space="preserve">Product </w:t>
      </w:r>
      <w:r w:rsidR="00057435">
        <w:t>b</w:t>
      </w:r>
      <w:r>
        <w:t>ackground</w:t>
      </w:r>
      <w:bookmarkEnd w:id="13"/>
      <w:bookmarkEnd w:id="14"/>
      <w:bookmarkEnd w:id="15"/>
    </w:p>
    <w:p w:rsidR="008E7846" w:rsidRDefault="00940A89" w:rsidP="007B7CDF">
      <w:r w:rsidRPr="00940A89">
        <w:t xml:space="preserve">This </w:t>
      </w:r>
      <w:proofErr w:type="spellStart"/>
      <w:r w:rsidRPr="00940A89">
        <w:t>AusPAR</w:t>
      </w:r>
      <w:proofErr w:type="spellEnd"/>
      <w:r w:rsidRPr="00940A89">
        <w:t xml:space="preserve"> describes the application by </w:t>
      </w:r>
      <w:r w:rsidR="00300F89">
        <w:t xml:space="preserve">Bayer Australia Ltd </w:t>
      </w:r>
      <w:r w:rsidRPr="00940A89">
        <w:t xml:space="preserve">to register </w:t>
      </w:r>
      <w:r w:rsidR="00300F89">
        <w:t>r</w:t>
      </w:r>
      <w:r w:rsidR="00300F89" w:rsidRPr="004425AA">
        <w:t>adium dichloride</w:t>
      </w:r>
      <w:r w:rsidR="00025AEB">
        <w:t xml:space="preserve"> </w:t>
      </w:r>
      <w:r w:rsidR="009C3E08">
        <w:t>(</w:t>
      </w:r>
      <w:r w:rsidR="00BC3093">
        <w:rPr>
          <w:vertAlign w:val="superscript"/>
        </w:rPr>
        <w:t>223</w:t>
      </w:r>
      <w:r w:rsidR="009C3E08" w:rsidRPr="004425AA">
        <w:t>Ra</w:t>
      </w:r>
      <w:r w:rsidR="009C3E08">
        <w:t>Cl</w:t>
      </w:r>
      <w:r w:rsidR="009C3E08" w:rsidRPr="009C3E08">
        <w:rPr>
          <w:vertAlign w:val="subscript"/>
        </w:rPr>
        <w:t>2</w:t>
      </w:r>
      <w:r w:rsidR="009C3E08">
        <w:t xml:space="preserve">) </w:t>
      </w:r>
      <w:r w:rsidR="00025AEB">
        <w:t xml:space="preserve">(trade name: </w:t>
      </w:r>
      <w:proofErr w:type="spellStart"/>
      <w:r w:rsidR="00025AEB">
        <w:t>Xofigo</w:t>
      </w:r>
      <w:proofErr w:type="spellEnd"/>
      <w:r w:rsidR="00025AEB">
        <w:t>)</w:t>
      </w:r>
      <w:r w:rsidRPr="00940A89">
        <w:t xml:space="preserve"> for the followi</w:t>
      </w:r>
      <w:r w:rsidR="006D6A1E">
        <w:t xml:space="preserve">ng </w:t>
      </w:r>
      <w:r w:rsidR="009D44EC">
        <w:t xml:space="preserve">proposed </w:t>
      </w:r>
      <w:r w:rsidR="006D6A1E">
        <w:t>indication</w:t>
      </w:r>
      <w:r w:rsidR="00025AEB">
        <w:t>:</w:t>
      </w:r>
    </w:p>
    <w:p w:rsidR="00025AEB" w:rsidRPr="007B7CDF" w:rsidRDefault="00D102DF" w:rsidP="007B7CDF">
      <w:pPr>
        <w:ind w:left="720"/>
        <w:rPr>
          <w:i/>
        </w:rPr>
      </w:pPr>
      <w:proofErr w:type="spellStart"/>
      <w:r w:rsidRPr="007B7CDF">
        <w:rPr>
          <w:i/>
        </w:rPr>
        <w:t>Xofigo</w:t>
      </w:r>
      <w:proofErr w:type="spellEnd"/>
      <w:r w:rsidRPr="007B7CDF">
        <w:rPr>
          <w:i/>
        </w:rPr>
        <w:t xml:space="preserve"> is indicated for the treatment of castration-resistant prostate cancer patients with bone metastases.</w:t>
      </w:r>
    </w:p>
    <w:p w:rsidR="00AE4CD7" w:rsidRPr="00AE4CD7" w:rsidRDefault="009C3E08" w:rsidP="007B7CDF">
      <w:r>
        <w:t xml:space="preserve">The active ingredient, </w:t>
      </w:r>
      <w:r w:rsidR="00BC3093">
        <w:rPr>
          <w:vertAlign w:val="superscript"/>
        </w:rPr>
        <w:t>223</w:t>
      </w:r>
      <w:r w:rsidRPr="004425AA">
        <w:t>Ra</w:t>
      </w:r>
      <w:r>
        <w:t>Cl</w:t>
      </w:r>
      <w:r w:rsidRPr="009C3E08">
        <w:rPr>
          <w:vertAlign w:val="subscript"/>
        </w:rPr>
        <w:t>2</w:t>
      </w:r>
      <w:r>
        <w:t>, i</w:t>
      </w:r>
      <w:r w:rsidR="00AE4CD7" w:rsidRPr="00AE4CD7">
        <w:t>s a therapeutic alpha particle</w:t>
      </w:r>
      <w:r w:rsidR="0030144F">
        <w:t xml:space="preserve"> </w:t>
      </w:r>
      <w:r w:rsidR="00AE4CD7" w:rsidRPr="00AE4CD7">
        <w:t>emitting radio</w:t>
      </w:r>
      <w:r w:rsidR="00137EB2">
        <w:t>-</w:t>
      </w:r>
      <w:r w:rsidR="00AE4CD7" w:rsidRPr="00AE4CD7">
        <w:t>phar</w:t>
      </w:r>
      <w:r w:rsidR="0030144F">
        <w:t>maceutical.</w:t>
      </w:r>
    </w:p>
    <w:p w:rsidR="00137EB2" w:rsidRDefault="00AE4CD7" w:rsidP="007B7CDF">
      <w:r w:rsidRPr="00AE4CD7">
        <w:t>Prostate cancer cells are stimulated by androgens, in particular testosterone. Conventional androgen deprivation therapy (ADT) in patients with bone metastases aims to reach castration levels of testosterone</w:t>
      </w:r>
      <w:r w:rsidR="00533DE7">
        <w:t>,</w:t>
      </w:r>
      <w:r w:rsidRPr="00AE4CD7">
        <w:t xml:space="preserve"> which can be effective initially to control the metastases in the bone. However, the majority of patients soon become castration</w:t>
      </w:r>
      <w:r w:rsidR="00533DE7">
        <w:t xml:space="preserve"> </w:t>
      </w:r>
      <w:r w:rsidRPr="00AE4CD7">
        <w:t>resistant prostate cancer (CRPC) or the older term hormone</w:t>
      </w:r>
      <w:r w:rsidR="00533DE7">
        <w:t xml:space="preserve"> </w:t>
      </w:r>
      <w:r w:rsidRPr="00AE4CD7">
        <w:t>refractory prostate cancer (HRPC). Early stages of CRPC with bone metastases are associated with substantial</w:t>
      </w:r>
      <w:r w:rsidR="00533DE7">
        <w:t xml:space="preserve"> pain and with</w:t>
      </w:r>
      <w:r w:rsidR="003E68A7">
        <w:t xml:space="preserve"> rising levels of prostate specific</w:t>
      </w:r>
      <w:r w:rsidR="00533DE7">
        <w:t xml:space="preserve"> antigen (</w:t>
      </w:r>
      <w:r w:rsidRPr="00AE4CD7">
        <w:t>PSA</w:t>
      </w:r>
      <w:r w:rsidR="00533DE7">
        <w:t>)</w:t>
      </w:r>
      <w:r w:rsidRPr="00AE4CD7">
        <w:t xml:space="preserve">. The extent of PSA control after initial ADT affects </w:t>
      </w:r>
      <w:r w:rsidRPr="00AE4CD7">
        <w:lastRenderedPageBreak/>
        <w:t>prognosis. After 7 months of ADT, patients with PSA &lt;0.2 ng/mL (undetectable) have a better prognosis than pat</w:t>
      </w:r>
      <w:r w:rsidR="00137EB2">
        <w:t>ients with PSA ≥4 ng/</w:t>
      </w:r>
      <w:proofErr w:type="spellStart"/>
      <w:r w:rsidR="00137EB2">
        <w:t>mL.</w:t>
      </w:r>
      <w:proofErr w:type="spellEnd"/>
    </w:p>
    <w:p w:rsidR="00AE4CD7" w:rsidRPr="00AE4CD7" w:rsidRDefault="00AE4CD7" w:rsidP="007B7CDF">
      <w:r w:rsidRPr="00AE4CD7">
        <w:t xml:space="preserve">For a long time, CRPC was regarded as largely resistant to chemotherapy. Consequently, the traditional role of chemotherapy in metastatic CRPC had been for palliative care without </w:t>
      </w:r>
      <w:r w:rsidR="00137EB2">
        <w:t>any survival benefit. S</w:t>
      </w:r>
      <w:r w:rsidRPr="00AE4CD7">
        <w:t xml:space="preserve">ince the finding that </w:t>
      </w:r>
      <w:proofErr w:type="spellStart"/>
      <w:r w:rsidRPr="00AE4CD7">
        <w:t>docetaxel</w:t>
      </w:r>
      <w:proofErr w:type="spellEnd"/>
      <w:r w:rsidRPr="00AE4CD7">
        <w:t xml:space="preserve"> in combination with prednisone improved survival in studies compared to </w:t>
      </w:r>
      <w:proofErr w:type="spellStart"/>
      <w:r w:rsidRPr="00AE4CD7">
        <w:t>mitoxantrone</w:t>
      </w:r>
      <w:proofErr w:type="spellEnd"/>
      <w:r w:rsidRPr="00AE4CD7">
        <w:t xml:space="preserve"> plus prednisone, </w:t>
      </w:r>
      <w:proofErr w:type="spellStart"/>
      <w:r w:rsidRPr="00AE4CD7">
        <w:t>docetaxel</w:t>
      </w:r>
      <w:proofErr w:type="spellEnd"/>
      <w:r w:rsidRPr="00AE4CD7">
        <w:t xml:space="preserve"> has been considered standard first line chemotherapeutic therapy for patients with CRPC. However, most patients receiving </w:t>
      </w:r>
      <w:proofErr w:type="spellStart"/>
      <w:r w:rsidRPr="00AE4CD7">
        <w:t>docetaxel</w:t>
      </w:r>
      <w:proofErr w:type="spellEnd"/>
      <w:r w:rsidRPr="00AE4CD7">
        <w:t xml:space="preserve"> relapse within the first year of treatment. Both the </w:t>
      </w:r>
      <w:r w:rsidR="00596C01">
        <w:t xml:space="preserve">US </w:t>
      </w:r>
      <w:r w:rsidR="00596C01" w:rsidRPr="00596C01">
        <w:t>National Comp</w:t>
      </w:r>
      <w:r w:rsidR="00596C01">
        <w:t xml:space="preserve">rehensive Cancer Network (NCCN) </w:t>
      </w:r>
      <w:r w:rsidRPr="00AE4CD7">
        <w:t xml:space="preserve">and </w:t>
      </w:r>
      <w:r w:rsidR="002F0259">
        <w:t xml:space="preserve">EU </w:t>
      </w:r>
      <w:r w:rsidR="002F0259" w:rsidRPr="002F0259">
        <w:t>European Society for Medical Oncology</w:t>
      </w:r>
      <w:r w:rsidR="002F0259">
        <w:t xml:space="preserve"> (ESMO)</w:t>
      </w:r>
      <w:r w:rsidRPr="00AE4CD7">
        <w:t xml:space="preserve"> treatment guidelines recommend </w:t>
      </w:r>
      <w:proofErr w:type="spellStart"/>
      <w:r w:rsidRPr="00AE4CD7">
        <w:t>docetaxel</w:t>
      </w:r>
      <w:proofErr w:type="spellEnd"/>
      <w:r w:rsidRPr="00AE4CD7">
        <w:t xml:space="preserve"> once every 3 weeks and steroid regimen for the treatment of CRPC patients who are symptomatic, rapidly progressive or who have developed</w:t>
      </w:r>
      <w:r w:rsidR="00856D12">
        <w:t xml:space="preserve"> visceral metastases. I</w:t>
      </w:r>
      <w:r w:rsidRPr="00AE4CD7">
        <w:t xml:space="preserve">t has been found that treatment with </w:t>
      </w:r>
      <w:proofErr w:type="spellStart"/>
      <w:r w:rsidRPr="00AE4CD7">
        <w:t>docetaxel</w:t>
      </w:r>
      <w:proofErr w:type="spellEnd"/>
      <w:r w:rsidRPr="00AE4CD7">
        <w:t xml:space="preserve"> is commonly delayed or not administered at all in clinical practice. This is generally due to the known toxicities of </w:t>
      </w:r>
      <w:proofErr w:type="spellStart"/>
      <w:r w:rsidRPr="00AE4CD7">
        <w:t>docetaxel</w:t>
      </w:r>
      <w:proofErr w:type="spellEnd"/>
      <w:r w:rsidRPr="00AE4CD7">
        <w:t xml:space="preserve"> as well the clinical status of patients, such as older age, more co-morbidities and lower Gleason scores.</w:t>
      </w:r>
    </w:p>
    <w:p w:rsidR="00AE4CD7" w:rsidRPr="00AE4CD7" w:rsidRDefault="009339AE" w:rsidP="007B7CDF">
      <w:r>
        <w:t xml:space="preserve">Newer anticancer </w:t>
      </w:r>
      <w:r w:rsidR="00AE4CD7" w:rsidRPr="00AE4CD7">
        <w:t>agents (</w:t>
      </w:r>
      <w:proofErr w:type="spellStart"/>
      <w:r w:rsidR="00AE4CD7" w:rsidRPr="00AE4CD7">
        <w:t>sipuleucel</w:t>
      </w:r>
      <w:proofErr w:type="spellEnd"/>
      <w:r w:rsidR="00AE4CD7" w:rsidRPr="00AE4CD7">
        <w:t xml:space="preserve">-T, </w:t>
      </w:r>
      <w:proofErr w:type="spellStart"/>
      <w:r w:rsidR="00AE4CD7" w:rsidRPr="00AE4CD7">
        <w:t>cabazitaxel</w:t>
      </w:r>
      <w:proofErr w:type="spellEnd"/>
      <w:r w:rsidR="00AE4CD7" w:rsidRPr="00AE4CD7">
        <w:t xml:space="preserve">, </w:t>
      </w:r>
      <w:proofErr w:type="spellStart"/>
      <w:r w:rsidR="00AE4CD7" w:rsidRPr="00AE4CD7">
        <w:t>abiraterone</w:t>
      </w:r>
      <w:proofErr w:type="spellEnd"/>
      <w:r w:rsidR="00AE4CD7" w:rsidRPr="00AE4CD7">
        <w:t xml:space="preserve"> and </w:t>
      </w:r>
      <w:proofErr w:type="spellStart"/>
      <w:r w:rsidR="00AE4CD7" w:rsidRPr="00AE4CD7">
        <w:t>enzalu</w:t>
      </w:r>
      <w:r w:rsidR="00487797">
        <w:t>tamide</w:t>
      </w:r>
      <w:proofErr w:type="spellEnd"/>
      <w:r w:rsidR="00487797">
        <w:t xml:space="preserve">) are available overseas; at the time of this submission, </w:t>
      </w:r>
      <w:proofErr w:type="spellStart"/>
      <w:r w:rsidR="00AE4CD7" w:rsidRPr="00AE4CD7">
        <w:t>cabazitaxel</w:t>
      </w:r>
      <w:proofErr w:type="spellEnd"/>
      <w:r w:rsidR="00AE4CD7" w:rsidRPr="00AE4CD7">
        <w:t xml:space="preserve"> and </w:t>
      </w:r>
      <w:proofErr w:type="spellStart"/>
      <w:r w:rsidR="00AE4CD7" w:rsidRPr="00AE4CD7">
        <w:t>abiraterone</w:t>
      </w:r>
      <w:proofErr w:type="spellEnd"/>
      <w:r w:rsidR="00AE4CD7" w:rsidRPr="00AE4CD7">
        <w:t xml:space="preserve"> </w:t>
      </w:r>
      <w:r w:rsidR="00487797">
        <w:t xml:space="preserve">were </w:t>
      </w:r>
      <w:r w:rsidR="00AE4CD7" w:rsidRPr="00AE4CD7">
        <w:t>registere</w:t>
      </w:r>
      <w:r w:rsidR="00397D2E">
        <w:t>d in Australia. T</w:t>
      </w:r>
      <w:r w:rsidR="00487797">
        <w:t xml:space="preserve">hese </w:t>
      </w:r>
      <w:r w:rsidR="00AE4CD7" w:rsidRPr="00AE4CD7">
        <w:t xml:space="preserve">are only indicated in patients who have been previously treated with </w:t>
      </w:r>
      <w:proofErr w:type="spellStart"/>
      <w:r w:rsidR="00AE4CD7" w:rsidRPr="00AE4CD7">
        <w:t>docetaxel</w:t>
      </w:r>
      <w:proofErr w:type="spellEnd"/>
      <w:r w:rsidR="00AE4CD7" w:rsidRPr="00AE4CD7">
        <w:t xml:space="preserve">. Other treatments options for patients not receiving </w:t>
      </w:r>
      <w:proofErr w:type="spellStart"/>
      <w:r w:rsidR="00AE4CD7" w:rsidRPr="00AE4CD7">
        <w:t>docetaxel</w:t>
      </w:r>
      <w:proofErr w:type="spellEnd"/>
      <w:r w:rsidR="00AE4CD7" w:rsidRPr="00AE4CD7">
        <w:t xml:space="preserve"> are </w:t>
      </w:r>
      <w:proofErr w:type="spellStart"/>
      <w:r w:rsidR="00AE4CD7" w:rsidRPr="00AE4CD7">
        <w:t>mitoxantrone</w:t>
      </w:r>
      <w:proofErr w:type="spellEnd"/>
      <w:r w:rsidR="00AE4CD7" w:rsidRPr="00AE4CD7">
        <w:t xml:space="preserve"> as well as the traditional options of glucocorticoids and external beam </w:t>
      </w:r>
      <w:proofErr w:type="spellStart"/>
      <w:r w:rsidR="00AE4CD7" w:rsidRPr="00AE4CD7">
        <w:t>radia</w:t>
      </w:r>
      <w:r w:rsidR="00B977B3">
        <w:t>therapy</w:t>
      </w:r>
      <w:proofErr w:type="spellEnd"/>
      <w:r w:rsidR="00CA1A8B">
        <w:t xml:space="preserve"> (EBRT), </w:t>
      </w:r>
      <w:r w:rsidR="00AE4CD7" w:rsidRPr="00AE4CD7">
        <w:t xml:space="preserve">which can provide palliative benefit for patients with bone metastases who cannot tolerate </w:t>
      </w:r>
      <w:proofErr w:type="spellStart"/>
      <w:r w:rsidR="00AE4CD7" w:rsidRPr="00AE4CD7">
        <w:t>docetaxel</w:t>
      </w:r>
      <w:proofErr w:type="spellEnd"/>
      <w:r w:rsidR="00AE4CD7" w:rsidRPr="00AE4CD7">
        <w:t xml:space="preserve">. Neither of these alternative options has demonstrated a statistically significant survival benefit in patients who do not receive </w:t>
      </w:r>
      <w:proofErr w:type="spellStart"/>
      <w:r w:rsidR="00AE4CD7" w:rsidRPr="00AE4CD7">
        <w:t>docetaxel</w:t>
      </w:r>
      <w:proofErr w:type="spellEnd"/>
      <w:r w:rsidR="00D36926">
        <w:t xml:space="preserve"> for any reason. Thus, there are </w:t>
      </w:r>
      <w:r w:rsidR="00AE4CD7" w:rsidRPr="00AE4CD7">
        <w:t>limited treatment options</w:t>
      </w:r>
      <w:r w:rsidR="00D36926">
        <w:t xml:space="preserve"> for </w:t>
      </w:r>
      <w:proofErr w:type="spellStart"/>
      <w:r w:rsidR="00D36926">
        <w:t>docetaxel</w:t>
      </w:r>
      <w:proofErr w:type="spellEnd"/>
      <w:r w:rsidR="00D36926">
        <w:t xml:space="preserve"> unsuitable (CRPC</w:t>
      </w:r>
      <w:r w:rsidR="00AE4CD7" w:rsidRPr="00AE4CD7">
        <w:t xml:space="preserve">) patients with bone metastases. </w:t>
      </w:r>
      <w:r w:rsidR="0030144F" w:rsidRPr="0030144F">
        <w:rPr>
          <w:vertAlign w:val="superscript"/>
        </w:rPr>
        <w:t>223</w:t>
      </w:r>
      <w:r w:rsidR="0030144F">
        <w:t>Ra</w:t>
      </w:r>
      <w:r w:rsidR="00AE4CD7" w:rsidRPr="00AE4CD7">
        <w:t xml:space="preserve"> is neither anti</w:t>
      </w:r>
      <w:r w:rsidR="0030144F">
        <w:t xml:space="preserve"> </w:t>
      </w:r>
      <w:r w:rsidR="00AE4CD7" w:rsidRPr="00AE4CD7">
        <w:t>hormonal nor chemotherapeutic, is considered to be an alternative option to address the medical need in CRPC patients with bone metastases.</w:t>
      </w:r>
    </w:p>
    <w:p w:rsidR="00AF28C2" w:rsidRPr="00AF28C2" w:rsidRDefault="00AF28C2" w:rsidP="007B7CDF">
      <w:r w:rsidRPr="00AF28C2">
        <w:t>The submission proposes registration of the following dosage form and strength</w:t>
      </w:r>
      <w:r w:rsidR="00CA1A8B">
        <w:t xml:space="preserve"> of </w:t>
      </w:r>
      <w:proofErr w:type="spellStart"/>
      <w:r w:rsidR="00AD6BAE">
        <w:t>Xofigo</w:t>
      </w:r>
      <w:proofErr w:type="spellEnd"/>
      <w:r w:rsidRPr="00AF28C2">
        <w:t>:</w:t>
      </w:r>
    </w:p>
    <w:p w:rsidR="00AF28C2" w:rsidRPr="00AF28C2" w:rsidRDefault="00AD6BAE" w:rsidP="007B7CDF">
      <w:pPr>
        <w:pStyle w:val="ListBullet"/>
      </w:pPr>
      <w:r>
        <w:t xml:space="preserve">Solution for injection: </w:t>
      </w:r>
      <w:r w:rsidR="00AF28C2" w:rsidRPr="00AF28C2">
        <w:t xml:space="preserve">6 mL glass vial closed with a rubber stopper, with an activity concentration of 1,000 </w:t>
      </w:r>
      <w:proofErr w:type="spellStart"/>
      <w:r w:rsidR="00AF28C2" w:rsidRPr="00AF28C2">
        <w:t>kBq</w:t>
      </w:r>
      <w:proofErr w:type="spellEnd"/>
      <w:r w:rsidR="00AF28C2" w:rsidRPr="00AF28C2">
        <w:t xml:space="preserve"> </w:t>
      </w:r>
      <w:r w:rsidR="00AF28C2">
        <w:t>(</w:t>
      </w:r>
      <w:proofErr w:type="spellStart"/>
      <w:r w:rsidR="00AF28C2" w:rsidRPr="00AF28C2">
        <w:t>kilobecquerel</w:t>
      </w:r>
      <w:proofErr w:type="spellEnd"/>
      <w:r w:rsidR="00AF28C2" w:rsidRPr="00AF28C2">
        <w:t>, 10</w:t>
      </w:r>
      <w:r w:rsidR="00AF28C2" w:rsidRPr="00AF28C2">
        <w:rPr>
          <w:vertAlign w:val="superscript"/>
        </w:rPr>
        <w:t>3</w:t>
      </w:r>
      <w:r w:rsidR="00AF28C2" w:rsidRPr="00AF28C2">
        <w:t xml:space="preserve"> </w:t>
      </w:r>
      <w:proofErr w:type="spellStart"/>
      <w:r w:rsidR="00AF28C2" w:rsidRPr="00AF28C2">
        <w:t>Bq</w:t>
      </w:r>
      <w:proofErr w:type="spellEnd"/>
      <w:r w:rsidR="00AF28C2">
        <w:t xml:space="preserve">) </w:t>
      </w:r>
      <w:r w:rsidR="00AF28C2" w:rsidRPr="00AF28C2">
        <w:t xml:space="preserve">per mL (corresponding to a total activity of 6.0 </w:t>
      </w:r>
      <w:proofErr w:type="spellStart"/>
      <w:r w:rsidR="00AF28C2" w:rsidRPr="00AF28C2">
        <w:t>MBq</w:t>
      </w:r>
      <w:proofErr w:type="spellEnd"/>
      <w:r w:rsidR="00AF28C2" w:rsidRPr="00AF28C2">
        <w:t xml:space="preserve"> </w:t>
      </w:r>
      <w:r w:rsidR="006D407B">
        <w:t>[</w:t>
      </w:r>
      <w:proofErr w:type="spellStart"/>
      <w:r w:rsidR="006D407B" w:rsidRPr="006D407B">
        <w:t>megabecquerel</w:t>
      </w:r>
      <w:proofErr w:type="spellEnd"/>
      <w:r w:rsidR="006D407B">
        <w:t xml:space="preserve">] </w:t>
      </w:r>
      <w:r w:rsidR="00AF28C2" w:rsidRPr="00AF28C2">
        <w:t>per vial) at the reference date. The vial is wrapped with an adhesive transparent film and stored in a lead container.</w:t>
      </w:r>
    </w:p>
    <w:p w:rsidR="00AF28C2" w:rsidRPr="00AF28C2" w:rsidRDefault="00AF28C2" w:rsidP="00AF28C2">
      <w:r w:rsidRPr="00AF28C2">
        <w:t xml:space="preserve">The dose regimen of </w:t>
      </w:r>
      <w:proofErr w:type="spellStart"/>
      <w:r>
        <w:t>Xofigo</w:t>
      </w:r>
      <w:proofErr w:type="spellEnd"/>
      <w:r w:rsidRPr="00AF28C2">
        <w:t xml:space="preserve"> is 50 </w:t>
      </w:r>
      <w:proofErr w:type="spellStart"/>
      <w:r w:rsidRPr="00AF28C2">
        <w:t>kBq</w:t>
      </w:r>
      <w:proofErr w:type="spellEnd"/>
      <w:r w:rsidRPr="00AF28C2">
        <w:t xml:space="preserve"> per kg body weight, given at 4 week intervals for 6 injections.</w:t>
      </w:r>
      <w:r w:rsidR="00D72C8E">
        <w:t xml:space="preserve"> </w:t>
      </w:r>
      <w:r w:rsidRPr="00AF28C2">
        <w:t>Safety and efficacy beyond 6 injections have not been studied.</w:t>
      </w:r>
    </w:p>
    <w:p w:rsidR="00AF28C2" w:rsidRPr="00AF28C2" w:rsidRDefault="00AF28C2" w:rsidP="00AF28C2">
      <w:proofErr w:type="spellStart"/>
      <w:r>
        <w:t>Xofigo</w:t>
      </w:r>
      <w:proofErr w:type="spellEnd"/>
      <w:r w:rsidRPr="00AF28C2">
        <w:t xml:space="preserve"> is to be administered by slow intravenous </w:t>
      </w:r>
      <w:r w:rsidR="00D72C8E">
        <w:t xml:space="preserve">(IV) </w:t>
      </w:r>
      <w:r w:rsidRPr="00AF28C2">
        <w:t xml:space="preserve">injection (generally up to 1 minute). The </w:t>
      </w:r>
      <w:r w:rsidR="00D72C8E">
        <w:t>IV</w:t>
      </w:r>
      <w:r w:rsidRPr="00AF28C2">
        <w:t xml:space="preserve"> access line or cannula must be flushed with isotonic saline before and after injection.</w:t>
      </w:r>
      <w:r w:rsidR="00D72C8E">
        <w:t xml:space="preserve"> </w:t>
      </w:r>
      <w:proofErr w:type="spellStart"/>
      <w:r>
        <w:t>Xofigo</w:t>
      </w:r>
      <w:proofErr w:type="spellEnd"/>
      <w:r w:rsidRPr="00AF28C2">
        <w:t xml:space="preserve"> is a ready to use solution and should not be diluted or mixed with any solutions. In the absence of compatibility studies, </w:t>
      </w:r>
      <w:proofErr w:type="spellStart"/>
      <w:r>
        <w:t>Xofigo</w:t>
      </w:r>
      <w:proofErr w:type="spellEnd"/>
      <w:r w:rsidRPr="00AF28C2">
        <w:t xml:space="preserve"> must not be mixed with other medicinal products.</w:t>
      </w:r>
      <w:r w:rsidR="00D72C8E">
        <w:t xml:space="preserve"> </w:t>
      </w:r>
      <w:r w:rsidRPr="00AF28C2">
        <w:t xml:space="preserve">Each vial is for </w:t>
      </w:r>
      <w:r w:rsidR="00D72C8E">
        <w:t>single use in one patient only.</w:t>
      </w:r>
    </w:p>
    <w:p w:rsidR="00AF28C2" w:rsidRPr="00AF28C2" w:rsidRDefault="00AF28C2" w:rsidP="00AF28C2">
      <w:r w:rsidRPr="00AF28C2">
        <w:t>The volume to be administered to a given patient should be calculated using the:</w:t>
      </w:r>
    </w:p>
    <w:p w:rsidR="00AF28C2" w:rsidRPr="00AF28C2" w:rsidRDefault="00AF28C2" w:rsidP="00D72C8E">
      <w:pPr>
        <w:pStyle w:val="ListBullet"/>
      </w:pPr>
      <w:r w:rsidRPr="00AF28C2">
        <w:t>Patient’s body weight (kg)</w:t>
      </w:r>
      <w:r w:rsidR="0059039F">
        <w:t>;</w:t>
      </w:r>
    </w:p>
    <w:p w:rsidR="00AF28C2" w:rsidRPr="00AF28C2" w:rsidRDefault="00AF28C2" w:rsidP="00D72C8E">
      <w:pPr>
        <w:pStyle w:val="ListBullet"/>
      </w:pPr>
      <w:r w:rsidRPr="00AF28C2">
        <w:t xml:space="preserve">Dose (50 </w:t>
      </w:r>
      <w:proofErr w:type="spellStart"/>
      <w:r w:rsidRPr="00AF28C2">
        <w:t>kBq</w:t>
      </w:r>
      <w:proofErr w:type="spellEnd"/>
      <w:r w:rsidRPr="00AF28C2">
        <w:t>/kg body weight)</w:t>
      </w:r>
      <w:r w:rsidR="0059039F">
        <w:t>;</w:t>
      </w:r>
    </w:p>
    <w:p w:rsidR="00AF28C2" w:rsidRPr="00AF28C2" w:rsidRDefault="00AF28C2" w:rsidP="00D72C8E">
      <w:pPr>
        <w:pStyle w:val="ListBullet"/>
      </w:pPr>
      <w:r w:rsidRPr="00AF28C2">
        <w:t xml:space="preserve">Radioactivity concentration of the product </w:t>
      </w:r>
      <w:proofErr w:type="gramStart"/>
      <w:r w:rsidRPr="00AF28C2">
        <w:t xml:space="preserve">(1,000 </w:t>
      </w:r>
      <w:proofErr w:type="spellStart"/>
      <w:r w:rsidRPr="00AF28C2">
        <w:t>kBq</w:t>
      </w:r>
      <w:proofErr w:type="spellEnd"/>
      <w:r w:rsidRPr="00AF28C2">
        <w:t>/mL)</w:t>
      </w:r>
      <w:proofErr w:type="gramEnd"/>
      <w:r w:rsidRPr="00AF28C2">
        <w:t xml:space="preserve"> at reference date. The reference date is stated on the vial and lead container label</w:t>
      </w:r>
      <w:r w:rsidR="0059039F">
        <w:t>; and</w:t>
      </w:r>
    </w:p>
    <w:p w:rsidR="00AF28C2" w:rsidRPr="00AF28C2" w:rsidRDefault="00AF28C2" w:rsidP="00D72C8E">
      <w:pPr>
        <w:pStyle w:val="ListBullet"/>
      </w:pPr>
      <w:r w:rsidRPr="00AF28C2">
        <w:t xml:space="preserve">Decay correction (DK) factor to correct for physical decay of </w:t>
      </w:r>
      <w:r w:rsidR="00890789" w:rsidRPr="00AE4CD7">
        <w:rPr>
          <w:vertAlign w:val="superscript"/>
        </w:rPr>
        <w:t>223</w:t>
      </w:r>
      <w:r w:rsidR="00890789">
        <w:t>Ra</w:t>
      </w:r>
      <w:r w:rsidRPr="00AF28C2">
        <w:t>. The table of DK factors is provided with each vial</w:t>
      </w:r>
      <w:r w:rsidR="0059039F">
        <w:t>.</w:t>
      </w:r>
    </w:p>
    <w:p w:rsidR="00AF28C2" w:rsidRPr="00AF28C2" w:rsidRDefault="00AF28C2" w:rsidP="007B7CDF">
      <w:r w:rsidRPr="00AF28C2">
        <w:t>The total volume to be administered to a patient is calculated as follows:</w:t>
      </w:r>
    </w:p>
    <w:p w:rsidR="00517A66" w:rsidRDefault="003201C5" w:rsidP="007B7CDF">
      <w:r>
        <w:rPr>
          <w:noProof/>
          <w:lang w:eastAsia="en-AU"/>
        </w:rPr>
        <w:lastRenderedPageBreak/>
        <w:drawing>
          <wp:inline distT="0" distB="0" distL="0" distR="0">
            <wp:extent cx="4545965" cy="344805"/>
            <wp:effectExtent l="0" t="0" r="6985" b="0"/>
            <wp:docPr id="16" name="Picture 2" descr="total volume to be administered to a patient calculation = Body weight (kg) x dose (50kBq/kg body weight)/DK factor x 1,000 kBq/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al volume to be administered to a patient calcul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965" cy="344805"/>
                    </a:xfrm>
                    <a:prstGeom prst="rect">
                      <a:avLst/>
                    </a:prstGeom>
                    <a:noFill/>
                    <a:ln>
                      <a:noFill/>
                    </a:ln>
                  </pic:spPr>
                </pic:pic>
              </a:graphicData>
            </a:graphic>
          </wp:inline>
        </w:drawing>
      </w:r>
    </w:p>
    <w:p w:rsidR="008E7846" w:rsidRPr="003F31A2" w:rsidRDefault="00386150" w:rsidP="008E7846">
      <w:pPr>
        <w:pStyle w:val="Heading3"/>
      </w:pPr>
      <w:bookmarkStart w:id="16" w:name="_Toc314842485"/>
      <w:bookmarkStart w:id="17" w:name="_Toc247691504"/>
      <w:bookmarkStart w:id="18" w:name="_Toc394316788"/>
      <w:r>
        <w:t xml:space="preserve">Regulatory </w:t>
      </w:r>
      <w:r w:rsidR="007B7CDF">
        <w:t>s</w:t>
      </w:r>
      <w:r w:rsidR="008E7846">
        <w:t>tatus</w:t>
      </w:r>
      <w:bookmarkEnd w:id="16"/>
      <w:bookmarkEnd w:id="17"/>
      <w:bookmarkEnd w:id="18"/>
    </w:p>
    <w:p w:rsidR="006D2ADE" w:rsidRPr="00AE4CD7" w:rsidRDefault="009339AE" w:rsidP="006D2ADE">
      <w:bookmarkStart w:id="19" w:name="_Toc247691505"/>
      <w:bookmarkStart w:id="20" w:name="_Toc314842486"/>
      <w:r>
        <w:t xml:space="preserve">The international regulatory status for </w:t>
      </w:r>
      <w:r w:rsidRPr="000427FD">
        <w:rPr>
          <w:vertAlign w:val="superscript"/>
        </w:rPr>
        <w:t>2</w:t>
      </w:r>
      <w:r>
        <w:rPr>
          <w:vertAlign w:val="superscript"/>
        </w:rPr>
        <w:t>2</w:t>
      </w:r>
      <w:r w:rsidRPr="000427FD">
        <w:rPr>
          <w:vertAlign w:val="superscript"/>
        </w:rPr>
        <w:t>3</w:t>
      </w:r>
      <w:r w:rsidRPr="004425AA">
        <w:t>Ra</w:t>
      </w:r>
      <w:r>
        <w:t>Cl</w:t>
      </w:r>
      <w:r w:rsidRPr="009C3E08">
        <w:rPr>
          <w:vertAlign w:val="subscript"/>
        </w:rPr>
        <w:t>2</w:t>
      </w:r>
      <w:r>
        <w:t xml:space="preserve"> in major jurisdictions as at March 2014</w:t>
      </w:r>
      <w:r w:rsidRPr="00091AF7">
        <w:t xml:space="preserve"> i</w:t>
      </w:r>
      <w:r>
        <w:t>s shown in Table 1.</w:t>
      </w:r>
      <w:r w:rsidRPr="006D2ADE">
        <w:t xml:space="preserve"> </w:t>
      </w:r>
      <w:r w:rsidRPr="00AE4CD7">
        <w:t>The application has not been rejected, deferred</w:t>
      </w:r>
      <w:r>
        <w:t>,</w:t>
      </w:r>
      <w:r w:rsidRPr="00AE4CD7">
        <w:t xml:space="preserve"> or withdrawn in any country</w:t>
      </w:r>
      <w:r w:rsidR="006D2ADE" w:rsidRPr="00AE4CD7">
        <w:t>.</w:t>
      </w:r>
    </w:p>
    <w:p w:rsidR="00FD47D7" w:rsidRDefault="00FD47D7" w:rsidP="00FD47D7">
      <w:pPr>
        <w:pStyle w:val="TableTitle"/>
      </w:pPr>
      <w:proofErr w:type="gramStart"/>
      <w:r>
        <w:t>Table 1:</w:t>
      </w:r>
      <w:r w:rsidRPr="004C5C28">
        <w:t xml:space="preserve"> </w:t>
      </w:r>
      <w:r w:rsidRPr="006C6277">
        <w:t xml:space="preserve">International </w:t>
      </w:r>
      <w:r>
        <w:t>r</w:t>
      </w:r>
      <w:r w:rsidRPr="006C6277">
        <w:t xml:space="preserve">egulatory </w:t>
      </w:r>
      <w:r>
        <w:t>status for</w:t>
      </w:r>
      <w:r w:rsidRPr="006C6277">
        <w:t xml:space="preserve"> </w:t>
      </w:r>
      <w:proofErr w:type="spellStart"/>
      <w:r w:rsidR="00AB7412">
        <w:t>Xofigo</w:t>
      </w:r>
      <w:proofErr w:type="spellEnd"/>
      <w:r w:rsidR="00AB7412">
        <w:t xml:space="preserve"> (</w:t>
      </w:r>
      <w:r w:rsidR="00BC3093">
        <w:rPr>
          <w:vertAlign w:val="superscript"/>
        </w:rPr>
        <w:t>223</w:t>
      </w:r>
      <w:r w:rsidR="0001393A" w:rsidRPr="004425AA">
        <w:t>Ra</w:t>
      </w:r>
      <w:r w:rsidR="0001393A">
        <w:t>Cl</w:t>
      </w:r>
      <w:r w:rsidR="0001393A" w:rsidRPr="009C3E08">
        <w:rPr>
          <w:vertAlign w:val="subscript"/>
        </w:rPr>
        <w:t>2</w:t>
      </w:r>
      <w:r w:rsidR="00AB7412">
        <w:t>).</w:t>
      </w:r>
      <w:proofErr w:type="gramEnd"/>
    </w:p>
    <w:p w:rsidR="00FD47D7" w:rsidRDefault="003201C5" w:rsidP="007B7CDF">
      <w:r>
        <w:rPr>
          <w:noProof/>
          <w:lang w:eastAsia="en-AU"/>
        </w:rPr>
        <w:drawing>
          <wp:inline distT="0" distB="0" distL="0" distR="0">
            <wp:extent cx="4891405" cy="3347085"/>
            <wp:effectExtent l="0" t="0" r="4445" b="5715"/>
            <wp:docPr id="3" name="Picture 3" descr="Table 1: International regulatory status for Xofigo (223RaC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1: International regulatory status for Xofigo (223RaC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405" cy="3347085"/>
                    </a:xfrm>
                    <a:prstGeom prst="rect">
                      <a:avLst/>
                    </a:prstGeom>
                    <a:noFill/>
                    <a:ln>
                      <a:noFill/>
                    </a:ln>
                  </pic:spPr>
                </pic:pic>
              </a:graphicData>
            </a:graphic>
          </wp:inline>
        </w:drawing>
      </w:r>
    </w:p>
    <w:p w:rsidR="008E7846" w:rsidRDefault="008E7846" w:rsidP="00940A89">
      <w:pPr>
        <w:pStyle w:val="Heading3"/>
      </w:pPr>
      <w:bookmarkStart w:id="21" w:name="_Toc394316789"/>
      <w:r>
        <w:t xml:space="preserve">Product </w:t>
      </w:r>
      <w:r w:rsidR="007B7CDF">
        <w:t>i</w:t>
      </w:r>
      <w:r>
        <w:t>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Product Information please refer to the TGA website at &lt;</w:t>
      </w:r>
      <w:hyperlink r:id="rId16" w:history="1">
        <w:r w:rsidRPr="00940A89">
          <w:rPr>
            <w:rStyle w:val="Hyperlink"/>
          </w:rPr>
          <w:t>http://www.tga.gov.au/hp/information-medicines-pi.htm</w:t>
        </w:r>
      </w:hyperlink>
      <w:r w:rsidRPr="00940A89">
        <w:t>&gt;.</w:t>
      </w:r>
    </w:p>
    <w:p w:rsidR="008E7846" w:rsidRPr="003602A9" w:rsidRDefault="008E7846" w:rsidP="008E7846">
      <w:pPr>
        <w:pStyle w:val="Heading2"/>
        <w:ind w:left="-11"/>
      </w:pPr>
      <w:bookmarkStart w:id="24" w:name="_Toc394316790"/>
      <w:r>
        <w:t>II. Quality</w:t>
      </w:r>
      <w:bookmarkEnd w:id="1"/>
      <w:r>
        <w:t xml:space="preserve"> findings</w:t>
      </w:r>
      <w:bookmarkEnd w:id="22"/>
      <w:bookmarkEnd w:id="23"/>
      <w:bookmarkEnd w:id="24"/>
    </w:p>
    <w:p w:rsidR="00940A89" w:rsidRPr="00282E63" w:rsidRDefault="006D6A1E" w:rsidP="00940A89">
      <w:pPr>
        <w:pStyle w:val="Heading3"/>
        <w:rPr>
          <w:rFonts w:eastAsia="Cambria"/>
        </w:rPr>
      </w:pPr>
      <w:bookmarkStart w:id="25" w:name="_Toc247691507"/>
      <w:bookmarkStart w:id="26" w:name="_Toc314842488"/>
      <w:bookmarkStart w:id="27" w:name="_Toc394316791"/>
      <w:r>
        <w:t>Introduction</w:t>
      </w:r>
      <w:bookmarkEnd w:id="27"/>
    </w:p>
    <w:p w:rsidR="00A93B01" w:rsidRPr="0074419B" w:rsidRDefault="00A93B01" w:rsidP="00A93B01">
      <w:r w:rsidRPr="0074419B">
        <w:t>Radium (</w:t>
      </w:r>
      <w:r w:rsidR="00BC3093">
        <w:rPr>
          <w:vertAlign w:val="superscript"/>
        </w:rPr>
        <w:t>223</w:t>
      </w:r>
      <w:r w:rsidRPr="0074419B">
        <w:t>Ra) dichloride is a therapeutic alpha</w:t>
      </w:r>
      <w:r w:rsidR="008C648A">
        <w:t xml:space="preserve"> </w:t>
      </w:r>
      <w:r w:rsidRPr="0074419B">
        <w:t>particle emitting radio pharmaceutical for use in the treatment of bone metast</w:t>
      </w:r>
      <w:r>
        <w:t>a</w:t>
      </w:r>
      <w:r w:rsidRPr="0074419B">
        <w:t xml:space="preserve">ses </w:t>
      </w:r>
      <w:r w:rsidR="007B7CDF">
        <w:t>resulting from prostate cancer.</w:t>
      </w:r>
    </w:p>
    <w:p w:rsidR="00A93B01" w:rsidRPr="00A93B01" w:rsidRDefault="00A93B01" w:rsidP="007B7CDF">
      <w:r w:rsidRPr="00A93B01">
        <w:t>The product contains radium (</w:t>
      </w:r>
      <w:r w:rsidRPr="00A93B01">
        <w:rPr>
          <w:vertAlign w:val="superscript"/>
        </w:rPr>
        <w:t>223</w:t>
      </w:r>
      <w:r w:rsidRPr="00A93B01">
        <w:t xml:space="preserve">Ra) ions which mimic calcium ions </w:t>
      </w:r>
      <w:r w:rsidR="00CD40EF">
        <w:t xml:space="preserve">to selectively target bone. </w:t>
      </w:r>
      <w:r w:rsidRPr="00A93B01">
        <w:rPr>
          <w:vertAlign w:val="superscript"/>
        </w:rPr>
        <w:t>223</w:t>
      </w:r>
      <w:r w:rsidRPr="00A93B01">
        <w:t xml:space="preserve">Ra complexes with the bone mineral hydroxyapatite specifically at areas of increased bone turnover </w:t>
      </w:r>
      <w:r w:rsidR="00397D2E">
        <w:t>associated with</w:t>
      </w:r>
      <w:r w:rsidRPr="00A93B01">
        <w:t xml:space="preserve"> bone metastases. The high linear energy transfer of alpha particle emitters such as </w:t>
      </w:r>
      <w:r w:rsidRPr="00A93B01">
        <w:rPr>
          <w:vertAlign w:val="superscript"/>
        </w:rPr>
        <w:t>223</w:t>
      </w:r>
      <w:r w:rsidRPr="00A93B01">
        <w:t>Ra leads to a high frequency of double</w:t>
      </w:r>
      <w:r w:rsidR="00CD40EF">
        <w:t xml:space="preserve"> </w:t>
      </w:r>
      <w:r w:rsidRPr="00A93B01">
        <w:t>strand DNA breaks in adjacent cells, resulting in a targeted anti</w:t>
      </w:r>
      <w:r w:rsidR="00144480">
        <w:t xml:space="preserve">cancer </w:t>
      </w:r>
      <w:r w:rsidRPr="00A93B01">
        <w:t xml:space="preserve">effect. The alpha particle range from </w:t>
      </w:r>
      <w:r w:rsidRPr="00A93B01">
        <w:rPr>
          <w:vertAlign w:val="superscript"/>
        </w:rPr>
        <w:t>223</w:t>
      </w:r>
      <w:r w:rsidRPr="00A93B01">
        <w:t xml:space="preserve">Ra is less than 100 </w:t>
      </w:r>
      <w:r w:rsidR="00BB1498">
        <w:t>µm</w:t>
      </w:r>
      <w:r w:rsidRPr="00A93B01">
        <w:t xml:space="preserve"> (less than 10 cell diameters)</w:t>
      </w:r>
      <w:r w:rsidR="00BB1498">
        <w:t>,</w:t>
      </w:r>
      <w:r w:rsidRPr="00A93B01">
        <w:t xml:space="preserve"> which minimi</w:t>
      </w:r>
      <w:r w:rsidR="00BB1498">
        <w:t>s</w:t>
      </w:r>
      <w:r w:rsidRPr="00A93B01">
        <w:t>es damage to the surrounding normal tissue.</w:t>
      </w:r>
    </w:p>
    <w:p w:rsidR="00A93B01" w:rsidRPr="00A93B01" w:rsidRDefault="00A93B01" w:rsidP="00A93B01">
      <w:pPr>
        <w:rPr>
          <w:color w:val="000000"/>
        </w:rPr>
      </w:pPr>
      <w:r w:rsidRPr="00A93B01">
        <w:rPr>
          <w:color w:val="000000"/>
        </w:rPr>
        <w:lastRenderedPageBreak/>
        <w:t xml:space="preserve">The drug product is supplied as a ready-to-use, clear, colourless, sterile, isotonic solution for </w:t>
      </w:r>
      <w:r w:rsidR="00BB1498">
        <w:rPr>
          <w:color w:val="000000"/>
        </w:rPr>
        <w:t>IV</w:t>
      </w:r>
      <w:r w:rsidRPr="00A93B01">
        <w:rPr>
          <w:color w:val="000000"/>
        </w:rPr>
        <w:t xml:space="preserve"> injection in type 1 glass vials in packs of one inside a lead</w:t>
      </w:r>
      <w:r w:rsidR="00CD40EF">
        <w:rPr>
          <w:color w:val="000000"/>
        </w:rPr>
        <w:t xml:space="preserve"> </w:t>
      </w:r>
      <w:r w:rsidR="007B7CDF">
        <w:rPr>
          <w:color w:val="000000"/>
        </w:rPr>
        <w:t>shielded carton.</w:t>
      </w:r>
    </w:p>
    <w:p w:rsidR="00A93B01" w:rsidRPr="00A93B01" w:rsidRDefault="00A93B01" w:rsidP="00A93B01">
      <w:pPr>
        <w:rPr>
          <w:color w:val="000000"/>
        </w:rPr>
      </w:pPr>
      <w:r w:rsidRPr="00A93B01">
        <w:rPr>
          <w:color w:val="000000"/>
        </w:rPr>
        <w:t>No other registered products contain radium (</w:t>
      </w:r>
      <w:r w:rsidRPr="00A93B01">
        <w:rPr>
          <w:color w:val="000000"/>
          <w:vertAlign w:val="superscript"/>
        </w:rPr>
        <w:t>223</w:t>
      </w:r>
      <w:r w:rsidR="006F284B">
        <w:rPr>
          <w:color w:val="000000"/>
        </w:rPr>
        <w:t>Ra) dichloride. There are o</w:t>
      </w:r>
      <w:r w:rsidRPr="00A93B01">
        <w:rPr>
          <w:color w:val="000000"/>
        </w:rPr>
        <w:t>ther radiopharmaceuticals registered which also utilise a calcium</w:t>
      </w:r>
      <w:r w:rsidR="00CD40EF">
        <w:rPr>
          <w:color w:val="000000"/>
        </w:rPr>
        <w:t xml:space="preserve"> </w:t>
      </w:r>
      <w:r w:rsidRPr="00A93B01">
        <w:rPr>
          <w:color w:val="000000"/>
        </w:rPr>
        <w:t>mimicking mode of action to selecti</w:t>
      </w:r>
      <w:r w:rsidR="00162B8C">
        <w:rPr>
          <w:color w:val="000000"/>
        </w:rPr>
        <w:t>vely target bone</w:t>
      </w:r>
      <w:r w:rsidR="006F284B">
        <w:rPr>
          <w:color w:val="000000"/>
        </w:rPr>
        <w:t xml:space="preserve"> metastases: </w:t>
      </w:r>
      <w:r w:rsidR="00162B8C">
        <w:rPr>
          <w:color w:val="000000"/>
        </w:rPr>
        <w:t xml:space="preserve">strontium </w:t>
      </w:r>
      <w:r w:rsidR="006F284B">
        <w:rPr>
          <w:color w:val="000000"/>
        </w:rPr>
        <w:t>(</w:t>
      </w:r>
      <w:r w:rsidRPr="00A93B01">
        <w:rPr>
          <w:color w:val="000000"/>
          <w:vertAlign w:val="superscript"/>
        </w:rPr>
        <w:t>89</w:t>
      </w:r>
      <w:r w:rsidR="00162B8C">
        <w:rPr>
          <w:color w:val="000000"/>
        </w:rPr>
        <w:t>Sr</w:t>
      </w:r>
      <w:r w:rsidR="006F284B">
        <w:rPr>
          <w:color w:val="000000"/>
        </w:rPr>
        <w:t>)</w:t>
      </w:r>
      <w:r w:rsidR="00503BA1">
        <w:rPr>
          <w:color w:val="000000"/>
        </w:rPr>
        <w:t xml:space="preserve"> chloride </w:t>
      </w:r>
      <w:r w:rsidR="00CD40EF">
        <w:rPr>
          <w:color w:val="000000"/>
        </w:rPr>
        <w:t>injection</w:t>
      </w:r>
      <w:r w:rsidR="006F284B">
        <w:rPr>
          <w:color w:val="000000"/>
        </w:rPr>
        <w:t xml:space="preserve"> (</w:t>
      </w:r>
      <w:r w:rsidR="00162B8C">
        <w:rPr>
          <w:color w:val="000000"/>
        </w:rPr>
        <w:t xml:space="preserve">trade name </w:t>
      </w:r>
      <w:proofErr w:type="spellStart"/>
      <w:r w:rsidR="00162B8C">
        <w:rPr>
          <w:color w:val="000000"/>
        </w:rPr>
        <w:t>Metastron</w:t>
      </w:r>
      <w:proofErr w:type="spellEnd"/>
      <w:r w:rsidR="006F284B">
        <w:rPr>
          <w:color w:val="000000"/>
        </w:rPr>
        <w:t xml:space="preserve">), and </w:t>
      </w:r>
      <w:r w:rsidR="00162B8C">
        <w:rPr>
          <w:color w:val="000000"/>
        </w:rPr>
        <w:t xml:space="preserve">samarium </w:t>
      </w:r>
      <w:r w:rsidR="006F284B">
        <w:rPr>
          <w:color w:val="000000"/>
        </w:rPr>
        <w:t>(</w:t>
      </w:r>
      <w:r w:rsidRPr="00A93B01">
        <w:rPr>
          <w:color w:val="000000"/>
          <w:vertAlign w:val="superscript"/>
        </w:rPr>
        <w:t>153</w:t>
      </w:r>
      <w:r w:rsidR="00162B8C">
        <w:rPr>
          <w:color w:val="000000"/>
        </w:rPr>
        <w:t>Sm</w:t>
      </w:r>
      <w:r w:rsidR="006F284B">
        <w:rPr>
          <w:color w:val="000000"/>
        </w:rPr>
        <w:t>)</w:t>
      </w:r>
      <w:r w:rsidR="00162B8C">
        <w:rPr>
          <w:color w:val="000000"/>
        </w:rPr>
        <w:t xml:space="preserve"> </w:t>
      </w:r>
      <w:proofErr w:type="spellStart"/>
      <w:r w:rsidRPr="00A93B01">
        <w:rPr>
          <w:color w:val="000000"/>
        </w:rPr>
        <w:t>l</w:t>
      </w:r>
      <w:r w:rsidR="00CD40EF">
        <w:rPr>
          <w:color w:val="000000"/>
        </w:rPr>
        <w:t>exidronam</w:t>
      </w:r>
      <w:proofErr w:type="spellEnd"/>
      <w:r w:rsidR="00CD40EF">
        <w:rPr>
          <w:color w:val="000000"/>
        </w:rPr>
        <w:t xml:space="preserve"> </w:t>
      </w:r>
      <w:proofErr w:type="spellStart"/>
      <w:r w:rsidR="00CD40EF">
        <w:rPr>
          <w:color w:val="000000"/>
        </w:rPr>
        <w:t>pentasodium</w:t>
      </w:r>
      <w:proofErr w:type="spellEnd"/>
      <w:r w:rsidR="00CD40EF">
        <w:rPr>
          <w:color w:val="000000"/>
        </w:rPr>
        <w:t xml:space="preserve"> </w:t>
      </w:r>
      <w:r w:rsidRPr="00A93B01">
        <w:rPr>
          <w:color w:val="000000"/>
        </w:rPr>
        <w:t>injection</w:t>
      </w:r>
      <w:r w:rsidR="00162B8C">
        <w:rPr>
          <w:color w:val="000000"/>
        </w:rPr>
        <w:t xml:space="preserve"> </w:t>
      </w:r>
      <w:r w:rsidR="006F284B">
        <w:rPr>
          <w:color w:val="000000"/>
        </w:rPr>
        <w:t>(</w:t>
      </w:r>
      <w:r w:rsidR="00162B8C">
        <w:rPr>
          <w:color w:val="000000"/>
        </w:rPr>
        <w:t xml:space="preserve">trade name </w:t>
      </w:r>
      <w:proofErr w:type="spellStart"/>
      <w:r w:rsidR="00162B8C">
        <w:rPr>
          <w:color w:val="000000"/>
        </w:rPr>
        <w:t>Quadramet</w:t>
      </w:r>
      <w:proofErr w:type="spellEnd"/>
      <w:r w:rsidR="00162B8C">
        <w:rPr>
          <w:color w:val="000000"/>
        </w:rPr>
        <w:t>)</w:t>
      </w:r>
      <w:r w:rsidR="00397D2E">
        <w:rPr>
          <w:color w:val="000000"/>
        </w:rPr>
        <w:t>. I</w:t>
      </w:r>
      <w:r w:rsidRPr="00A93B01">
        <w:rPr>
          <w:color w:val="000000"/>
        </w:rPr>
        <w:t>n these cases the radioisotopes are beta</w:t>
      </w:r>
      <w:r w:rsidR="00162B8C">
        <w:rPr>
          <w:color w:val="000000"/>
        </w:rPr>
        <w:t xml:space="preserve"> </w:t>
      </w:r>
      <w:r w:rsidRPr="00A93B01">
        <w:rPr>
          <w:color w:val="000000"/>
        </w:rPr>
        <w:t>emitters and the products are indicated only for palliation of pain associated with the bone metastases, rather than for treatment.</w:t>
      </w:r>
    </w:p>
    <w:p w:rsidR="008E7846" w:rsidRDefault="008E7846" w:rsidP="00940A89">
      <w:pPr>
        <w:pStyle w:val="Heading3"/>
      </w:pPr>
      <w:bookmarkStart w:id="28" w:name="_Toc394316792"/>
      <w:r w:rsidRPr="008751DC">
        <w:t xml:space="preserve">Drug </w:t>
      </w:r>
      <w:r w:rsidR="007B7CDF">
        <w:t>s</w:t>
      </w:r>
      <w:r w:rsidRPr="008751DC">
        <w:t>ubstance</w:t>
      </w:r>
      <w:r>
        <w:t xml:space="preserve"> (</w:t>
      </w:r>
      <w:r w:rsidR="00282E63">
        <w:t>a</w:t>
      </w:r>
      <w:r>
        <w:t xml:space="preserve">ctive </w:t>
      </w:r>
      <w:r w:rsidR="00282E63">
        <w:t>i</w:t>
      </w:r>
      <w:r>
        <w:t>ngredient)</w:t>
      </w:r>
      <w:bookmarkEnd w:id="25"/>
      <w:bookmarkEnd w:id="26"/>
      <w:bookmarkEnd w:id="28"/>
    </w:p>
    <w:p w:rsidR="00C97F0F" w:rsidRDefault="00C97F0F" w:rsidP="00503BA1">
      <w:pPr>
        <w:rPr>
          <w:szCs w:val="24"/>
        </w:rPr>
      </w:pPr>
      <w:r>
        <w:rPr>
          <w:szCs w:val="24"/>
        </w:rPr>
        <w:t>The active moiety of the radium dichloride drug substance exists as free divalent radium ions (</w:t>
      </w:r>
      <w:r w:rsidRPr="0041177C">
        <w:rPr>
          <w:szCs w:val="24"/>
          <w:vertAlign w:val="superscript"/>
        </w:rPr>
        <w:t>223</w:t>
      </w:r>
      <w:r>
        <w:rPr>
          <w:szCs w:val="24"/>
        </w:rPr>
        <w:t>Ra</w:t>
      </w:r>
      <w:r w:rsidRPr="00627778">
        <w:rPr>
          <w:szCs w:val="24"/>
          <w:vertAlign w:val="superscript"/>
        </w:rPr>
        <w:t>2+</w:t>
      </w:r>
      <w:r>
        <w:rPr>
          <w:szCs w:val="24"/>
        </w:rPr>
        <w:t xml:space="preserve">). </w:t>
      </w:r>
      <w:r w:rsidRPr="004B1E88">
        <w:rPr>
          <w:szCs w:val="24"/>
        </w:rPr>
        <w:t xml:space="preserve">The molecular formula of </w:t>
      </w:r>
      <w:r>
        <w:rPr>
          <w:szCs w:val="24"/>
        </w:rPr>
        <w:t xml:space="preserve">radium dichloride is </w:t>
      </w:r>
      <w:r w:rsidRPr="004B1E88">
        <w:rPr>
          <w:szCs w:val="24"/>
          <w:vertAlign w:val="superscript"/>
        </w:rPr>
        <w:t>223</w:t>
      </w:r>
      <w:r>
        <w:rPr>
          <w:szCs w:val="24"/>
        </w:rPr>
        <w:t>RaCl</w:t>
      </w:r>
      <w:r w:rsidRPr="004B1E88">
        <w:rPr>
          <w:szCs w:val="24"/>
          <w:vertAlign w:val="subscript"/>
        </w:rPr>
        <w:t>2</w:t>
      </w:r>
      <w:r w:rsidRPr="004B1E88">
        <w:rPr>
          <w:szCs w:val="24"/>
        </w:rPr>
        <w:t xml:space="preserve"> and it has a molecular weight of </w:t>
      </w:r>
      <w:r>
        <w:rPr>
          <w:szCs w:val="24"/>
        </w:rPr>
        <w:t>293.9 g/mol.</w:t>
      </w:r>
    </w:p>
    <w:p w:rsidR="00503BA1" w:rsidRDefault="00503BA1" w:rsidP="00503BA1">
      <w:pPr>
        <w:rPr>
          <w:szCs w:val="24"/>
        </w:rPr>
      </w:pPr>
      <w:r>
        <w:t>The six</w:t>
      </w:r>
      <w:r w:rsidR="00782A06">
        <w:t xml:space="preserve"> </w:t>
      </w:r>
      <w:r>
        <w:t>stage</w:t>
      </w:r>
      <w:r w:rsidR="00782A06">
        <w:t xml:space="preserve"> </w:t>
      </w:r>
      <w:r>
        <w:t xml:space="preserve">decay of </w:t>
      </w:r>
      <w:r w:rsidR="00623D8A" w:rsidRPr="0002197A">
        <w:rPr>
          <w:szCs w:val="24"/>
          <w:vertAlign w:val="superscript"/>
        </w:rPr>
        <w:t>223</w:t>
      </w:r>
      <w:r w:rsidR="00623D8A" w:rsidRPr="0002197A">
        <w:rPr>
          <w:szCs w:val="24"/>
        </w:rPr>
        <w:t>Ra</w:t>
      </w:r>
      <w:r w:rsidR="00623D8A">
        <w:t xml:space="preserve"> </w:t>
      </w:r>
      <w:r>
        <w:t xml:space="preserve">to </w:t>
      </w:r>
      <w:r w:rsidR="00D677A7">
        <w:t>lead-207 (</w:t>
      </w:r>
      <w:r w:rsidR="00623D8A">
        <w:rPr>
          <w:szCs w:val="24"/>
          <w:vertAlign w:val="superscript"/>
        </w:rPr>
        <w:t>207</w:t>
      </w:r>
      <w:r w:rsidR="00623D8A">
        <w:rPr>
          <w:szCs w:val="24"/>
        </w:rPr>
        <w:t>Pb</w:t>
      </w:r>
      <w:r w:rsidR="00D677A7">
        <w:rPr>
          <w:szCs w:val="24"/>
        </w:rPr>
        <w:t>)</w:t>
      </w:r>
      <w:r w:rsidR="00623D8A">
        <w:rPr>
          <w:szCs w:val="24"/>
        </w:rPr>
        <w:t xml:space="preserve"> </w:t>
      </w:r>
      <w:r w:rsidRPr="008206A4">
        <w:t>occurs via short</w:t>
      </w:r>
      <w:r w:rsidR="008206A4">
        <w:t xml:space="preserve"> </w:t>
      </w:r>
      <w:r>
        <w:t xml:space="preserve">lived daughters (longest </w:t>
      </w:r>
      <w:proofErr w:type="spellStart"/>
      <w:r>
        <w:t>half</w:t>
      </w:r>
      <w:r w:rsidR="008206A4">
        <w:t xml:space="preserve"> </w:t>
      </w:r>
      <w:r>
        <w:t>life</w:t>
      </w:r>
      <w:proofErr w:type="spellEnd"/>
      <w:r>
        <w:t xml:space="preserve"> 36.1 min), and is accompanied by four alpha, two beta and some gamma emissions, as shown in the decay chain diagram </w:t>
      </w:r>
      <w:r w:rsidR="008206A4">
        <w:t>in Figure 1</w:t>
      </w:r>
      <w:r>
        <w:t xml:space="preserve">. The energy emitted from </w:t>
      </w:r>
      <w:r w:rsidR="00667B7B" w:rsidRPr="0002197A">
        <w:rPr>
          <w:szCs w:val="24"/>
          <w:vertAlign w:val="superscript"/>
        </w:rPr>
        <w:t>223</w:t>
      </w:r>
      <w:r w:rsidR="00667B7B" w:rsidRPr="0002197A">
        <w:rPr>
          <w:szCs w:val="24"/>
        </w:rPr>
        <w:t>Ra</w:t>
      </w:r>
      <w:r w:rsidR="00667B7B">
        <w:t xml:space="preserve"> </w:t>
      </w:r>
      <w:r>
        <w:t>and its daughters is dominated by that carried by alpha</w:t>
      </w:r>
      <w:r w:rsidR="00D46414">
        <w:t xml:space="preserve"> </w:t>
      </w:r>
      <w:r>
        <w:t>particles (95.3</w:t>
      </w:r>
      <w:r w:rsidR="00D46414">
        <w:t xml:space="preserve"> %) with a small amount as beta </w:t>
      </w:r>
      <w:r>
        <w:t>particles (3.6 %) and as gamma</w:t>
      </w:r>
      <w:r w:rsidR="00D46414">
        <w:t xml:space="preserve"> </w:t>
      </w:r>
      <w:r>
        <w:t>radiation (1.1 %).</w:t>
      </w:r>
    </w:p>
    <w:p w:rsidR="00A45265" w:rsidRDefault="00A45265" w:rsidP="007B7CDF">
      <w:pPr>
        <w:pStyle w:val="FigureTitle"/>
      </w:pPr>
      <w:r>
        <w:t>Figure 1:</w:t>
      </w:r>
      <w:r w:rsidRPr="004C5C28">
        <w:t xml:space="preserve"> </w:t>
      </w:r>
      <w:r w:rsidR="00BC3093">
        <w:rPr>
          <w:vertAlign w:val="superscript"/>
        </w:rPr>
        <w:t>223</w:t>
      </w:r>
      <w:r w:rsidR="00A8314F">
        <w:t xml:space="preserve">Ra decay chain with daughter nuclides and </w:t>
      </w:r>
      <w:proofErr w:type="spellStart"/>
      <w:r w:rsidR="00A8314F">
        <w:t>half</w:t>
      </w:r>
      <w:r w:rsidR="00D46414">
        <w:t xml:space="preserve"> </w:t>
      </w:r>
      <w:r w:rsidR="00A8314F">
        <w:t>lives</w:t>
      </w:r>
      <w:proofErr w:type="spellEnd"/>
      <w:r w:rsidR="00A8314F">
        <w:t>. Energies listed are average energies</w:t>
      </w:r>
      <w:r>
        <w:t>.</w:t>
      </w:r>
    </w:p>
    <w:p w:rsidR="008E7846" w:rsidRDefault="003201C5" w:rsidP="007B7CDF">
      <w:r>
        <w:rPr>
          <w:noProof/>
          <w:lang w:eastAsia="en-AU"/>
        </w:rPr>
        <w:drawing>
          <wp:inline distT="0" distB="0" distL="0" distR="0">
            <wp:extent cx="2605405" cy="3347085"/>
            <wp:effectExtent l="0" t="0" r="4445" b="5715"/>
            <wp:docPr id="4" name="Picture 4" descr="Figure 1: 223Ra decay chain with daughter nuclides and half lives. Energies listed are average en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223Ra decay chain with daughter nuclides and half lives. Energies listed are average energ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405" cy="3347085"/>
                    </a:xfrm>
                    <a:prstGeom prst="rect">
                      <a:avLst/>
                    </a:prstGeom>
                    <a:noFill/>
                    <a:ln>
                      <a:noFill/>
                    </a:ln>
                  </pic:spPr>
                </pic:pic>
              </a:graphicData>
            </a:graphic>
          </wp:inline>
        </w:drawing>
      </w:r>
    </w:p>
    <w:p w:rsidR="00787CEE" w:rsidRDefault="00787CEE" w:rsidP="008A7237">
      <w:r w:rsidRPr="00DA1977">
        <w:t xml:space="preserve">The drug substance solution is tested for appearance, </w:t>
      </w:r>
      <w:proofErr w:type="spellStart"/>
      <w:r w:rsidRPr="00DA1977">
        <w:t>radionuclidic</w:t>
      </w:r>
      <w:proofErr w:type="spellEnd"/>
      <w:r w:rsidRPr="00DA1977">
        <w:t xml:space="preserve"> identity, pH (6.0-7.0), </w:t>
      </w:r>
      <w:proofErr w:type="spellStart"/>
      <w:r w:rsidRPr="00DA1977">
        <w:t>osmolarity</w:t>
      </w:r>
      <w:proofErr w:type="spellEnd"/>
      <w:r w:rsidRPr="00DA1977">
        <w:t xml:space="preserve">, citrate, </w:t>
      </w:r>
      <w:proofErr w:type="spellStart"/>
      <w:r w:rsidRPr="00DA1977">
        <w:t>radionuclidic</w:t>
      </w:r>
      <w:proofErr w:type="spellEnd"/>
      <w:r w:rsidRPr="00DA1977">
        <w:t xml:space="preserve"> purity, methanol, nitrate and radioactive concentration</w:t>
      </w:r>
      <w:proofErr w:type="gramStart"/>
      <w:r w:rsidRPr="00DA1977">
        <w:t>..</w:t>
      </w:r>
      <w:proofErr w:type="gramEnd"/>
      <w:r w:rsidRPr="00DA1977">
        <w:t xml:space="preserve"> Limits for</w:t>
      </w:r>
      <w:r>
        <w:t xml:space="preserve"> the </w:t>
      </w:r>
      <w:proofErr w:type="spellStart"/>
      <w:r>
        <w:t>radionuclidic</w:t>
      </w:r>
      <w:proofErr w:type="spellEnd"/>
      <w:r>
        <w:t xml:space="preserve"> purity</w:t>
      </w:r>
      <w:r w:rsidRPr="00DA1977">
        <w:t xml:space="preserve"> are adequately justified based on calculated maximum organ doses, integrated over 20 years</w:t>
      </w:r>
      <w:r>
        <w:t>.</w:t>
      </w:r>
    </w:p>
    <w:p w:rsidR="008E7846" w:rsidRDefault="008E7846" w:rsidP="007B7CDF">
      <w:pPr>
        <w:pStyle w:val="Heading3"/>
      </w:pPr>
      <w:bookmarkStart w:id="29" w:name="_Toc247691508"/>
      <w:bookmarkStart w:id="30" w:name="_Toc314842490"/>
      <w:bookmarkStart w:id="31" w:name="_Toc394316793"/>
      <w:r w:rsidRPr="008751DC">
        <w:t xml:space="preserve">Drug </w:t>
      </w:r>
      <w:r w:rsidR="007B7CDF">
        <w:t>p</w:t>
      </w:r>
      <w:r w:rsidRPr="008751DC">
        <w:t>roduct</w:t>
      </w:r>
      <w:bookmarkEnd w:id="29"/>
      <w:bookmarkEnd w:id="30"/>
      <w:bookmarkEnd w:id="31"/>
    </w:p>
    <w:p w:rsidR="00787CEE" w:rsidRDefault="00787CEE" w:rsidP="007B7CDF">
      <w:r w:rsidRPr="00A2693E">
        <w:rPr>
          <w:color w:val="000000"/>
        </w:rPr>
        <w:t>The manufacturing process for the finished product involv</w:t>
      </w:r>
      <w:r>
        <w:rPr>
          <w:color w:val="000000"/>
        </w:rPr>
        <w:t>es</w:t>
      </w:r>
      <w:r w:rsidRPr="00A2693E">
        <w:rPr>
          <w:color w:val="000000"/>
        </w:rPr>
        <w:t xml:space="preserve"> combining batches of the drug substance solution and dilution </w:t>
      </w:r>
      <w:r w:rsidRPr="00A2693E">
        <w:t xml:space="preserve">with a premixed excipient solution to achieve the </w:t>
      </w:r>
      <w:r w:rsidRPr="00A2693E">
        <w:lastRenderedPageBreak/>
        <w:t xml:space="preserve">claimed </w:t>
      </w:r>
      <w:r w:rsidRPr="00A2693E">
        <w:rPr>
          <w:szCs w:val="24"/>
          <w:vertAlign w:val="superscript"/>
        </w:rPr>
        <w:t>223</w:t>
      </w:r>
      <w:r w:rsidRPr="00A2693E">
        <w:rPr>
          <w:szCs w:val="24"/>
        </w:rPr>
        <w:t>Ra</w:t>
      </w:r>
      <w:r w:rsidRPr="00A2693E">
        <w:t xml:space="preserve"> radioactivity concentration and maintaining </w:t>
      </w:r>
      <w:proofErr w:type="spellStart"/>
      <w:r w:rsidRPr="00A2693E">
        <w:t>isotonicity</w:t>
      </w:r>
      <w:proofErr w:type="spellEnd"/>
      <w:r w:rsidRPr="00A2693E">
        <w:t xml:space="preserve"> and physiological pH (6.0-7.0) and filling into vials with terminal sterilisation</w:t>
      </w:r>
      <w:r>
        <w:t>.</w:t>
      </w:r>
    </w:p>
    <w:p w:rsidR="001C291B" w:rsidRPr="001C291B" w:rsidRDefault="001C291B" w:rsidP="007B7CDF">
      <w:r w:rsidRPr="001C291B">
        <w:t xml:space="preserve">The drug product is supplied as a ready-to-use, clear, colourless, sterile, isotonic solution for intravenous injection in type 1 glass vials with </w:t>
      </w:r>
      <w:proofErr w:type="spellStart"/>
      <w:r w:rsidRPr="001C291B">
        <w:t>siliconi</w:t>
      </w:r>
      <w:r w:rsidR="006D3815">
        <w:t>s</w:t>
      </w:r>
      <w:r w:rsidRPr="001C291B">
        <w:t>ed</w:t>
      </w:r>
      <w:proofErr w:type="spellEnd"/>
      <w:r w:rsidRPr="001C291B">
        <w:t xml:space="preserve"> </w:t>
      </w:r>
      <w:proofErr w:type="spellStart"/>
      <w:r w:rsidRPr="001C291B">
        <w:t>chlorobutyl</w:t>
      </w:r>
      <w:proofErr w:type="spellEnd"/>
      <w:r w:rsidRPr="001C291B">
        <w:t xml:space="preserve"> rubber stoppers. Each sealed vial is wrapped with an adhesive transparent film and inserted in a lead shielded container inside a cardboard box.</w:t>
      </w:r>
    </w:p>
    <w:p w:rsidR="001C291B" w:rsidRPr="001C291B" w:rsidRDefault="001C291B" w:rsidP="001C291B">
      <w:r w:rsidRPr="001C291B">
        <w:t>The solution has a pH of 6.0-8.0, and the proposed shelf life is 28 days</w:t>
      </w:r>
      <w:r>
        <w:rPr>
          <w:rStyle w:val="FootnoteReference"/>
        </w:rPr>
        <w:footnoteReference w:id="1"/>
      </w:r>
      <w:r w:rsidR="00103E55">
        <w:t xml:space="preserve"> stored below 40</w:t>
      </w:r>
      <w:r w:rsidR="00787CEE">
        <w:t>°</w:t>
      </w:r>
      <w:r w:rsidRPr="001C291B">
        <w:t xml:space="preserve">C. The declared radioactivity concentration is 1000 </w:t>
      </w:r>
      <w:proofErr w:type="spellStart"/>
      <w:r w:rsidRPr="001C291B">
        <w:t>kBq</w:t>
      </w:r>
      <w:proofErr w:type="spellEnd"/>
      <w:r w:rsidRPr="001C291B">
        <w:t xml:space="preserve">/mL (6.0 </w:t>
      </w:r>
      <w:proofErr w:type="spellStart"/>
      <w:r w:rsidRPr="001C291B">
        <w:t>MBq</w:t>
      </w:r>
      <w:proofErr w:type="spellEnd"/>
      <w:r w:rsidRPr="001C291B">
        <w:t xml:space="preserve"> per 6</w:t>
      </w:r>
      <w:r w:rsidR="00103E55">
        <w:t xml:space="preserve"> </w:t>
      </w:r>
      <w:r w:rsidRPr="001C291B">
        <w:t>mL vial</w:t>
      </w:r>
      <w:r>
        <w:t>) at the reference date.</w:t>
      </w:r>
      <w:r>
        <w:rPr>
          <w:rStyle w:val="FootnoteReference"/>
        </w:rPr>
        <w:footnoteReference w:id="2"/>
      </w:r>
    </w:p>
    <w:p w:rsidR="001C291B" w:rsidRPr="001C291B" w:rsidRDefault="001C291B" w:rsidP="001C291B">
      <w:r w:rsidRPr="001C291B">
        <w:t>The same solution formulation has bee</w:t>
      </w:r>
      <w:r w:rsidR="007B7CDF">
        <w:t>n used in all clinical studies.</w:t>
      </w:r>
    </w:p>
    <w:p w:rsidR="001C291B" w:rsidRPr="001C291B" w:rsidRDefault="001C291B" w:rsidP="001C291B">
      <w:r w:rsidRPr="001C291B">
        <w:t>Sterility and en</w:t>
      </w:r>
      <w:r w:rsidR="007B7CDF">
        <w:t>dotoxin aspects are acceptable.</w:t>
      </w:r>
    </w:p>
    <w:p w:rsidR="001C291B" w:rsidRPr="001C291B" w:rsidRDefault="001C291B" w:rsidP="007B7CDF">
      <w:r w:rsidRPr="001C291B">
        <w:t xml:space="preserve">The product is administered as a slow intravenous injection at a typical dose of 50 </w:t>
      </w:r>
      <w:proofErr w:type="spellStart"/>
      <w:r w:rsidRPr="001C291B">
        <w:t>kBq</w:t>
      </w:r>
      <w:proofErr w:type="spellEnd"/>
      <w:r w:rsidRPr="001C291B">
        <w:t xml:space="preserve"> per kg body weight, given as a course of 6 injections at 4 week intervals. The total volume to be administered to a patient is calculated</w:t>
      </w:r>
      <w:r w:rsidR="00515544">
        <w:t xml:space="preserve"> at the time of administration </w:t>
      </w:r>
      <w:r w:rsidRPr="001C291B">
        <w:t xml:space="preserve">based on </w:t>
      </w:r>
      <w:r w:rsidR="00103E55">
        <w:t>the applicable DK</w:t>
      </w:r>
      <w:r>
        <w:rPr>
          <w:rStyle w:val="FootnoteReference"/>
        </w:rPr>
        <w:footnoteReference w:id="3"/>
      </w:r>
      <w:r w:rsidR="00515544">
        <w:t xml:space="preserve"> factor. This </w:t>
      </w:r>
      <w:r w:rsidRPr="001C291B">
        <w:t>makes allowance for the radioactive decay which has occurred since product manufacture. Near the end of the shelf</w:t>
      </w:r>
      <w:r w:rsidR="0057019E">
        <w:t xml:space="preserve"> </w:t>
      </w:r>
      <w:r w:rsidRPr="001C291B">
        <w:t>life, more than one vial may be needed to achieve the required dose.</w:t>
      </w:r>
    </w:p>
    <w:p w:rsidR="001C291B" w:rsidRPr="00336B67" w:rsidRDefault="001C291B" w:rsidP="007B7CDF">
      <w:pPr>
        <w:pStyle w:val="Heading4"/>
      </w:pPr>
      <w:proofErr w:type="spellStart"/>
      <w:r w:rsidRPr="00336B67">
        <w:t>Dosimetry</w:t>
      </w:r>
      <w:proofErr w:type="spellEnd"/>
    </w:p>
    <w:p w:rsidR="001C291B" w:rsidRPr="001C291B" w:rsidRDefault="001C291B" w:rsidP="007B7CDF">
      <w:r w:rsidRPr="001C291B">
        <w:t>The company successfully argued that ‘equivalent dose’ and ‘effective dose’ information in the PI (as usually supplied for radiopharmaceuticals) is not appropriate or informative in this unusual case which involves highly localised alpha radiation used for therapeutic purposes. A more useful measure would be the calculated absorbed dose for each organ or tissue, weighted with an appropriate relative biological effectiveness (RBE)</w:t>
      </w:r>
      <w:r w:rsidR="00565390">
        <w:t xml:space="preserve"> of the alpha radiation. T</w:t>
      </w:r>
      <w:r w:rsidR="0066114F">
        <w:t>he sponsor</w:t>
      </w:r>
      <w:r w:rsidRPr="001C291B">
        <w:t xml:space="preserve"> argues that appropriate RBE values are not available with the current state of knowledge. Application of typical literature values (RBE = 5) to the dose absorbed by red marrow predicts toxic effects which are not observed i</w:t>
      </w:r>
      <w:r w:rsidR="0066114F">
        <w:t xml:space="preserve">n clinical trials. </w:t>
      </w:r>
      <w:r w:rsidR="00787CEE">
        <w:t xml:space="preserve">Consequently, </w:t>
      </w:r>
      <w:r w:rsidR="00787CEE" w:rsidRPr="001C291B">
        <w:t xml:space="preserve">only a table of calculated absorbed radiation doses for the various organs and for the various radiation types are included in the PI, based on clinical </w:t>
      </w:r>
      <w:proofErr w:type="spellStart"/>
      <w:r w:rsidR="00787CEE" w:rsidRPr="001C291B">
        <w:t>biodistribution</w:t>
      </w:r>
      <w:proofErr w:type="spellEnd"/>
      <w:r w:rsidR="00787CEE" w:rsidRPr="001C291B">
        <w:t xml:space="preserve"> data </w:t>
      </w:r>
      <w:r w:rsidR="00787CEE">
        <w:t xml:space="preserve">and </w:t>
      </w:r>
      <w:r w:rsidR="00787CEE" w:rsidRPr="001C291B">
        <w:t>us</w:t>
      </w:r>
      <w:r w:rsidR="00787CEE">
        <w:t>ing OLINDA/EXM software plus additional assumptions/calculations for intestine, red marrow and bone/</w:t>
      </w:r>
      <w:proofErr w:type="spellStart"/>
      <w:r w:rsidR="00787CEE">
        <w:t>osteogenic</w:t>
      </w:r>
      <w:proofErr w:type="spellEnd"/>
      <w:r w:rsidR="00787CEE">
        <w:t xml:space="preserve"> cells</w:t>
      </w:r>
      <w:r w:rsidR="0066114F">
        <w:t>.</w:t>
      </w:r>
      <w:r w:rsidR="0066114F">
        <w:rPr>
          <w:rStyle w:val="FootnoteReference"/>
        </w:rPr>
        <w:footnoteReference w:id="4"/>
      </w:r>
    </w:p>
    <w:p w:rsidR="001C291B" w:rsidRPr="0003201A" w:rsidRDefault="001C291B" w:rsidP="001C291B">
      <w:pPr>
        <w:pStyle w:val="Heading4"/>
      </w:pPr>
      <w:r w:rsidRPr="0003201A">
        <w:t>Labelling</w:t>
      </w:r>
    </w:p>
    <w:p w:rsidR="001C291B" w:rsidRPr="001C291B" w:rsidRDefault="001C291B" w:rsidP="001C291B">
      <w:r w:rsidRPr="001C291B">
        <w:t xml:space="preserve">The provided vial and lead container labels include the radioactive concentration in term of the total activity per vial at the reference date </w:t>
      </w:r>
      <w:r w:rsidR="00205B22">
        <w:t>(</w:t>
      </w:r>
      <w:r w:rsidRPr="001C291B">
        <w:t xml:space="preserve">6.0 </w:t>
      </w:r>
      <w:proofErr w:type="spellStart"/>
      <w:r w:rsidR="009D54CC">
        <w:t>MBq</w:t>
      </w:r>
      <w:proofErr w:type="spellEnd"/>
      <w:r w:rsidR="009D54CC">
        <w:t>/6mL vial) as required by Ther</w:t>
      </w:r>
      <w:r w:rsidR="002B0AF1">
        <w:t>a</w:t>
      </w:r>
      <w:r w:rsidR="009D54CC">
        <w:t>peutic Goods Order (TGO)</w:t>
      </w:r>
      <w:r w:rsidRPr="001C291B">
        <w:t xml:space="preserve"> 69. The company has also requested an ongoing S</w:t>
      </w:r>
      <w:r w:rsidR="00305514">
        <w:t xml:space="preserve">ection </w:t>
      </w:r>
      <w:r w:rsidRPr="001C291B">
        <w:t xml:space="preserve">14 exemption from the requirements of TGO 69 to include the statement of activity ‘1000 </w:t>
      </w:r>
      <w:proofErr w:type="spellStart"/>
      <w:r w:rsidRPr="001C291B">
        <w:t>kBq</w:t>
      </w:r>
      <w:proofErr w:type="spellEnd"/>
      <w:r w:rsidRPr="001C291B">
        <w:t>/mL solution for injection’.</w:t>
      </w:r>
    </w:p>
    <w:p w:rsidR="001C291B" w:rsidRPr="001C291B" w:rsidRDefault="001C291B" w:rsidP="001C291B">
      <w:r w:rsidRPr="001C291B">
        <w:t>The labels are acceptable from a pharma</w:t>
      </w:r>
      <w:r w:rsidR="007B7CDF">
        <w:t>ceutical chemistry perspective.</w:t>
      </w:r>
    </w:p>
    <w:p w:rsidR="008E7846" w:rsidRPr="008751DC" w:rsidRDefault="008E7846" w:rsidP="008E7846">
      <w:pPr>
        <w:pStyle w:val="Heading3"/>
      </w:pPr>
      <w:bookmarkStart w:id="32" w:name="_Toc247691509"/>
      <w:bookmarkStart w:id="33" w:name="_Toc314842493"/>
      <w:bookmarkStart w:id="34" w:name="_Toc394316794"/>
      <w:r>
        <w:lastRenderedPageBreak/>
        <w:t xml:space="preserve">Quality </w:t>
      </w:r>
      <w:r w:rsidR="004665CC">
        <w:t>s</w:t>
      </w:r>
      <w:r w:rsidRPr="008751DC">
        <w:t>ummary</w:t>
      </w:r>
      <w:r>
        <w:t xml:space="preserve"> and </w:t>
      </w:r>
      <w:r w:rsidR="004665CC">
        <w:t>c</w:t>
      </w:r>
      <w:r>
        <w:t>onclusions</w:t>
      </w:r>
      <w:bookmarkEnd w:id="32"/>
      <w:bookmarkEnd w:id="33"/>
      <w:bookmarkEnd w:id="34"/>
    </w:p>
    <w:p w:rsidR="006B44F6" w:rsidRPr="001C3809" w:rsidRDefault="006B44F6" w:rsidP="001C3809">
      <w:r w:rsidRPr="001C3809">
        <w:t xml:space="preserve">There is no objection to the registration of the proposed radium dichloride </w:t>
      </w:r>
      <w:r w:rsidR="00A357C2" w:rsidRPr="001C3809">
        <w:t>(</w:t>
      </w:r>
      <w:proofErr w:type="spellStart"/>
      <w:r w:rsidR="00A357C2" w:rsidRPr="001C3809">
        <w:t>Xofigo</w:t>
      </w:r>
      <w:proofErr w:type="spellEnd"/>
      <w:r w:rsidR="00A357C2" w:rsidRPr="001C3809">
        <w:t>)</w:t>
      </w:r>
      <w:r w:rsidRPr="001C3809">
        <w:t xml:space="preserve"> 6.0 </w:t>
      </w:r>
      <w:proofErr w:type="spellStart"/>
      <w:r w:rsidRPr="001C3809">
        <w:t>MBq</w:t>
      </w:r>
      <w:proofErr w:type="spellEnd"/>
      <w:r w:rsidRPr="001C3809">
        <w:t xml:space="preserve"> per 6</w:t>
      </w:r>
      <w:r w:rsidR="00305514">
        <w:t xml:space="preserve"> </w:t>
      </w:r>
      <w:r w:rsidRPr="001C3809">
        <w:t>mL solution for injection in vials, with respect to chemist</w:t>
      </w:r>
      <w:r w:rsidR="004665CC">
        <w:t>ry and quality control aspects.</w:t>
      </w:r>
    </w:p>
    <w:p w:rsidR="008E7846" w:rsidRPr="004665CC" w:rsidRDefault="008E7846" w:rsidP="004665CC">
      <w:pPr>
        <w:pStyle w:val="Heading2"/>
      </w:pPr>
      <w:bookmarkStart w:id="35" w:name="_Toc196046439"/>
      <w:bookmarkStart w:id="36" w:name="_Toc247691510"/>
      <w:bookmarkStart w:id="37" w:name="_Toc314842494"/>
      <w:bookmarkStart w:id="38" w:name="_Toc394316795"/>
      <w:r w:rsidRPr="004665CC">
        <w:t>III. Nonclinical</w:t>
      </w:r>
      <w:bookmarkEnd w:id="35"/>
      <w:r w:rsidRPr="004665CC">
        <w:t xml:space="preserve"> findings</w:t>
      </w:r>
      <w:bookmarkEnd w:id="36"/>
      <w:bookmarkEnd w:id="37"/>
      <w:bookmarkEnd w:id="38"/>
    </w:p>
    <w:p w:rsidR="008E7846" w:rsidRDefault="008E7846" w:rsidP="00940A89">
      <w:pPr>
        <w:pStyle w:val="Heading3"/>
      </w:pPr>
      <w:bookmarkStart w:id="39" w:name="_Toc247691511"/>
      <w:bookmarkStart w:id="40" w:name="_Toc314842495"/>
      <w:bookmarkStart w:id="41" w:name="_Toc394316796"/>
      <w:r>
        <w:t>Introduction</w:t>
      </w:r>
      <w:bookmarkEnd w:id="39"/>
      <w:bookmarkEnd w:id="40"/>
      <w:bookmarkEnd w:id="41"/>
    </w:p>
    <w:p w:rsidR="0016149A" w:rsidRPr="0016149A" w:rsidRDefault="0016149A" w:rsidP="004665CC">
      <w:r w:rsidRPr="0016149A">
        <w:t xml:space="preserve">The nonclinical dossier submitted by the sponsor included data for primary pharmacology, secondary pharmacodynamics, safety pharmacology, pharmacokinetics and toxicity. Pivotal toxicity studies were </w:t>
      </w:r>
      <w:r w:rsidR="0040002D">
        <w:t>Good Laboratory Practice (</w:t>
      </w:r>
      <w:r w:rsidRPr="0016149A">
        <w:t>GLP</w:t>
      </w:r>
      <w:r w:rsidR="0040002D">
        <w:t xml:space="preserve">) </w:t>
      </w:r>
      <w:r w:rsidRPr="0016149A">
        <w:t xml:space="preserve">compliant and </w:t>
      </w:r>
      <w:proofErr w:type="spellStart"/>
      <w:r w:rsidRPr="0016149A">
        <w:t>toxicokinetic</w:t>
      </w:r>
      <w:proofErr w:type="spellEnd"/>
      <w:r w:rsidRPr="0016149A">
        <w:t xml:space="preserve"> data were provided for relevant studies. An appropriat</w:t>
      </w:r>
      <w:r w:rsidR="004665CC">
        <w:t>e Risk Assessment was provided.</w:t>
      </w:r>
    </w:p>
    <w:p w:rsidR="008E7846" w:rsidRDefault="008E7846" w:rsidP="008E7846">
      <w:pPr>
        <w:pStyle w:val="Heading3"/>
      </w:pPr>
      <w:bookmarkStart w:id="42" w:name="_Toc247691512"/>
      <w:bookmarkStart w:id="43" w:name="_Toc314842496"/>
      <w:bookmarkStart w:id="44" w:name="_Toc394316797"/>
      <w:r w:rsidRPr="00020030">
        <w:t>Pharmacology</w:t>
      </w:r>
      <w:bookmarkEnd w:id="42"/>
      <w:bookmarkEnd w:id="43"/>
      <w:bookmarkEnd w:id="44"/>
    </w:p>
    <w:p w:rsidR="006F25F7" w:rsidRDefault="006F25F7" w:rsidP="006F25F7">
      <w:pPr>
        <w:pStyle w:val="Heading4"/>
      </w:pPr>
      <w:r>
        <w:t>Primary pharmacology</w:t>
      </w:r>
    </w:p>
    <w:p w:rsidR="006F25F7" w:rsidRPr="006F25F7" w:rsidRDefault="006F25F7" w:rsidP="006F25F7">
      <w:r w:rsidRPr="000925B5">
        <w:rPr>
          <w:vertAlign w:val="superscript"/>
        </w:rPr>
        <w:t>223</w:t>
      </w:r>
      <w:r w:rsidR="00B41CE6">
        <w:t>RaCl</w:t>
      </w:r>
      <w:r w:rsidR="00B41CE6" w:rsidRPr="00B41CE6">
        <w:rPr>
          <w:vertAlign w:val="subscript"/>
        </w:rPr>
        <w:t>2</w:t>
      </w:r>
      <w:r w:rsidRPr="006F25F7">
        <w:t xml:space="preserve"> is a radiopharmaceut</w:t>
      </w:r>
      <w:r w:rsidR="00B41CE6">
        <w:t xml:space="preserve">ical with a </w:t>
      </w:r>
      <w:r w:rsidRPr="000925B5">
        <w:rPr>
          <w:vertAlign w:val="superscript"/>
        </w:rPr>
        <w:t>223</w:t>
      </w:r>
      <w:r w:rsidRPr="006F25F7">
        <w:t>Ra</w:t>
      </w:r>
      <w:r w:rsidRPr="000925B5">
        <w:rPr>
          <w:vertAlign w:val="superscript"/>
        </w:rPr>
        <w:t>2+</w:t>
      </w:r>
      <w:r w:rsidRPr="006F25F7">
        <w:t xml:space="preserve"> </w:t>
      </w:r>
      <w:r w:rsidR="00B41CE6">
        <w:t xml:space="preserve">isotope </w:t>
      </w:r>
      <w:r w:rsidRPr="006F25F7">
        <w:t xml:space="preserve">as the active moiety (as </w:t>
      </w:r>
      <w:r w:rsidRPr="000925B5">
        <w:rPr>
          <w:vertAlign w:val="superscript"/>
        </w:rPr>
        <w:t>223</w:t>
      </w:r>
      <w:r w:rsidRPr="006F25F7">
        <w:t>RaCl</w:t>
      </w:r>
      <w:r w:rsidRPr="000925B5">
        <w:rPr>
          <w:vertAlign w:val="subscript"/>
        </w:rPr>
        <w:t>2</w:t>
      </w:r>
      <w:r w:rsidRPr="006F25F7">
        <w:t xml:space="preserve">). The sponsor presented a number of published studies which collectively highlight the utility of </w:t>
      </w:r>
      <w:r w:rsidR="000925B5" w:rsidRPr="000925B5">
        <w:rPr>
          <w:vertAlign w:val="superscript"/>
        </w:rPr>
        <w:t>223</w:t>
      </w:r>
      <w:r w:rsidR="000925B5" w:rsidRPr="006F25F7">
        <w:t>Ra</w:t>
      </w:r>
      <w:r w:rsidR="000925B5" w:rsidRPr="000925B5">
        <w:rPr>
          <w:vertAlign w:val="superscript"/>
        </w:rPr>
        <w:t>2+</w:t>
      </w:r>
      <w:r w:rsidR="000925B5">
        <w:rPr>
          <w:vertAlign w:val="superscript"/>
        </w:rPr>
        <w:t xml:space="preserve"> </w:t>
      </w:r>
      <w:r w:rsidRPr="006F25F7">
        <w:t>in attenu</w:t>
      </w:r>
      <w:r w:rsidR="002D37E7">
        <w:t>ating bone metastases</w:t>
      </w:r>
      <w:r w:rsidR="004665CC">
        <w:t>.</w:t>
      </w:r>
    </w:p>
    <w:p w:rsidR="006F25F7" w:rsidRPr="006F25F7" w:rsidRDefault="006F25F7" w:rsidP="006F25F7">
      <w:r w:rsidRPr="006F25F7">
        <w:t xml:space="preserve">Owing to intrinsic bone targeting properties of </w:t>
      </w:r>
      <w:r w:rsidRPr="006F25F7">
        <w:rPr>
          <w:vertAlign w:val="superscript"/>
        </w:rPr>
        <w:t>223</w:t>
      </w:r>
      <w:r w:rsidRPr="006F25F7">
        <w:t>Ra</w:t>
      </w:r>
      <w:r w:rsidRPr="006F25F7">
        <w:rPr>
          <w:vertAlign w:val="superscript"/>
        </w:rPr>
        <w:t>2+</w:t>
      </w:r>
      <w:r w:rsidRPr="006F25F7">
        <w:t xml:space="preserve"> (similar to calcium)</w:t>
      </w:r>
      <w:r w:rsidR="002D37E7">
        <w:t>,</w:t>
      </w:r>
      <w:r w:rsidRPr="006F25F7">
        <w:t xml:space="preserve"> it is proposed to target and accumulate within regions of high bone turnover in metastases, by forming a complex with hydroxyapatite. Hydroxyapatite constitutes </w:t>
      </w:r>
      <w:r w:rsidR="00872593">
        <w:t>~</w:t>
      </w:r>
      <w:r w:rsidR="002107A9">
        <w:t>50% of the bone structure.</w:t>
      </w:r>
      <w:r w:rsidR="00DA7C52">
        <w:rPr>
          <w:rStyle w:val="FootnoteReference"/>
        </w:rPr>
        <w:footnoteReference w:id="5"/>
      </w:r>
      <w:r w:rsidR="002107A9">
        <w:t xml:space="preserve"> </w:t>
      </w:r>
      <w:r w:rsidRPr="006F25F7">
        <w:t xml:space="preserve">Previous studies have demonstrated comparable tracer radium isotope uptake levels in bone between humans </w:t>
      </w:r>
      <w:r w:rsidR="00BB545A">
        <w:t>and animals</w:t>
      </w:r>
      <w:r w:rsidRPr="006F25F7">
        <w:t>.</w:t>
      </w:r>
      <w:r w:rsidR="00BB545A">
        <w:rPr>
          <w:rStyle w:val="FootnoteReference"/>
        </w:rPr>
        <w:footnoteReference w:id="6"/>
      </w:r>
    </w:p>
    <w:p w:rsidR="006F25F7" w:rsidRPr="006F25F7" w:rsidRDefault="006F25F7" w:rsidP="006F25F7">
      <w:r w:rsidRPr="006F25F7">
        <w:t xml:space="preserve">The localised antitumor effects in target tissues is due </w:t>
      </w:r>
      <w:r w:rsidR="0057019E">
        <w:t xml:space="preserve">to the high frequency of double </w:t>
      </w:r>
      <w:r w:rsidRPr="006F25F7">
        <w:t xml:space="preserve">strand DNA breaks resulting from high Linear Energy Transfer (LET) alpha particle radiation (~ 80 </w:t>
      </w:r>
      <w:proofErr w:type="spellStart"/>
      <w:r w:rsidRPr="006F25F7">
        <w:t>keV</w:t>
      </w:r>
      <w:proofErr w:type="spellEnd"/>
      <w:r w:rsidRPr="006F25F7">
        <w:t>/</w:t>
      </w:r>
      <w:proofErr w:type="spellStart"/>
      <w:r w:rsidRPr="006F25F7">
        <w:t>μm</w:t>
      </w:r>
      <w:proofErr w:type="spellEnd"/>
      <w:r w:rsidRPr="006F25F7">
        <w:t>)</w:t>
      </w:r>
      <w:r w:rsidR="00B82104">
        <w:t>.</w:t>
      </w:r>
      <w:r w:rsidR="006C1895">
        <w:rPr>
          <w:rStyle w:val="FootnoteReference"/>
        </w:rPr>
        <w:footnoteReference w:id="7"/>
      </w:r>
      <w:r w:rsidRPr="006F25F7">
        <w:t xml:space="preserve"> Collateral damage to adjacent healthy tissue is hypothesised to be minimal due to the short pat</w:t>
      </w:r>
      <w:r w:rsidR="00A7647A">
        <w:t xml:space="preserve">h length (&lt; 100 µm) alpha </w:t>
      </w:r>
      <w:r w:rsidR="006473A6">
        <w:t>particles.</w:t>
      </w:r>
      <w:r w:rsidR="006473A6">
        <w:rPr>
          <w:rStyle w:val="FootnoteReference"/>
        </w:rPr>
        <w:footnoteReference w:id="8"/>
      </w:r>
    </w:p>
    <w:p w:rsidR="006F25F7" w:rsidRDefault="00C43CAF" w:rsidP="00E038CF">
      <w:r w:rsidRPr="00E038CF">
        <w:t xml:space="preserve">The sponsor conducted </w:t>
      </w:r>
      <w:r w:rsidRPr="001D0E76">
        <w:rPr>
          <w:i/>
        </w:rPr>
        <w:t>in vitro</w:t>
      </w:r>
      <w:r w:rsidRPr="00E038CF">
        <w:t xml:space="preserve"> studies to assess the impact of </w:t>
      </w:r>
      <w:r>
        <w:t xml:space="preserve">alpha </w:t>
      </w:r>
      <w:r w:rsidRPr="00E038CF">
        <w:t>particles on cellular survival (Studies R-8687, R-8688, R-8689 and R-8692), DNA damage and double stranded breaks (Study R-8689), cell cycle effects (Study R-8690), age response (Study R-8691) and differentiation</w:t>
      </w:r>
      <w:r>
        <w:t xml:space="preserve"> and activity</w:t>
      </w:r>
      <w:r w:rsidRPr="00E038CF">
        <w:t xml:space="preserve"> of osteoclasts</w:t>
      </w:r>
      <w:r>
        <w:t xml:space="preserve"> and osteoblasts </w:t>
      </w:r>
      <w:r w:rsidRPr="00E038CF">
        <w:t>(Studies R8693 and R8694). Survival analysis on NHIK 3025</w:t>
      </w:r>
      <w:proofErr w:type="gramStart"/>
      <w:r w:rsidRPr="00E038CF">
        <w:rPr>
          <w:vertAlign w:val="superscript"/>
        </w:rPr>
        <w:t>±(</w:t>
      </w:r>
      <w:proofErr w:type="spellStart"/>
      <w:proofErr w:type="gramEnd"/>
      <w:r w:rsidRPr="00E038CF">
        <w:rPr>
          <w:vertAlign w:val="superscript"/>
        </w:rPr>
        <w:t>dox</w:t>
      </w:r>
      <w:proofErr w:type="spellEnd"/>
      <w:r w:rsidRPr="00E038CF">
        <w:rPr>
          <w:vertAlign w:val="superscript"/>
        </w:rPr>
        <w:t>)</w:t>
      </w:r>
      <w:r w:rsidRPr="00E038CF">
        <w:t xml:space="preserve"> (cervical carcinoma) and A549</w:t>
      </w:r>
      <w:r w:rsidRPr="00E038CF">
        <w:rPr>
          <w:vertAlign w:val="superscript"/>
        </w:rPr>
        <w:t>±(</w:t>
      </w:r>
      <w:proofErr w:type="spellStart"/>
      <w:r w:rsidRPr="00E038CF">
        <w:rPr>
          <w:vertAlign w:val="superscript"/>
        </w:rPr>
        <w:t>dox</w:t>
      </w:r>
      <w:proofErr w:type="spellEnd"/>
      <w:r w:rsidRPr="00E038CF">
        <w:rPr>
          <w:vertAlign w:val="superscript"/>
        </w:rPr>
        <w:t>)</w:t>
      </w:r>
      <w:r w:rsidRPr="00E038CF">
        <w:t xml:space="preserve"> (lung epithelial) cell lines revealed reductions in survival fractions at dose rates from 0.008-0.196 </w:t>
      </w:r>
      <w:proofErr w:type="spellStart"/>
      <w:r w:rsidRPr="00E038CF">
        <w:t>Gy</w:t>
      </w:r>
      <w:proofErr w:type="spellEnd"/>
      <w:r w:rsidRPr="00E038CF">
        <w:t>/h</w:t>
      </w:r>
      <w:r>
        <w:t xml:space="preserve"> (R-8687 and R-8688)</w:t>
      </w:r>
      <w:r w:rsidRPr="00E038CF">
        <w:t xml:space="preserve">. Minimal impact from growth characteristics and cellular lineage to </w:t>
      </w:r>
      <w:r w:rsidRPr="00E038CF">
        <w:rPr>
          <w:vertAlign w:val="superscript"/>
        </w:rPr>
        <w:t>223</w:t>
      </w:r>
      <w:r w:rsidRPr="00E038CF">
        <w:t>Ra</w:t>
      </w:r>
      <w:r w:rsidRPr="00E038CF">
        <w:rPr>
          <w:vertAlign w:val="superscript"/>
        </w:rPr>
        <w:t>2+</w:t>
      </w:r>
      <w:r>
        <w:t xml:space="preserve"> </w:t>
      </w:r>
      <w:r w:rsidRPr="00E038CF">
        <w:t xml:space="preserve">mediated cell death is indicated based on analysis of these two cancer cell lines </w:t>
      </w:r>
      <w:r w:rsidRPr="001E35D3">
        <w:rPr>
          <w:i/>
        </w:rPr>
        <w:t xml:space="preserve">in </w:t>
      </w:r>
      <w:r w:rsidRPr="001E35D3">
        <w:rPr>
          <w:i/>
        </w:rPr>
        <w:lastRenderedPageBreak/>
        <w:t>vitro</w:t>
      </w:r>
      <w:r>
        <w:t xml:space="preserve">. Study R-8689 showed alpha </w:t>
      </w:r>
      <w:r w:rsidRPr="00E038CF">
        <w:t>particle emissions mediate cell death by introducing double stranded breaks to the DNA in</w:t>
      </w:r>
      <w:r>
        <w:t xml:space="preserve"> NHIK 3025 cells (compared with increased γH2AX signals (~</w:t>
      </w:r>
      <w:r w:rsidRPr="00E038CF">
        <w:t>15</w:t>
      </w:r>
      <w:r>
        <w:t xml:space="preserve"> </w:t>
      </w:r>
      <w:r w:rsidRPr="00E038CF">
        <w:t xml:space="preserve">fold) compared to controls with doses up to 3 </w:t>
      </w:r>
      <w:proofErr w:type="spellStart"/>
      <w:r w:rsidRPr="00E038CF">
        <w:t>Gy</w:t>
      </w:r>
      <w:proofErr w:type="spellEnd"/>
      <w:r w:rsidRPr="00E038CF">
        <w:t xml:space="preserve">). The sponsor also refers to a study by </w:t>
      </w:r>
      <w:proofErr w:type="spellStart"/>
      <w:r w:rsidRPr="00E038CF">
        <w:t>Kataoka</w:t>
      </w:r>
      <w:proofErr w:type="spellEnd"/>
      <w:r w:rsidRPr="00E038CF">
        <w:t xml:space="preserve"> </w:t>
      </w:r>
      <w:r>
        <w:t>and colleagues</w:t>
      </w:r>
      <w:r>
        <w:rPr>
          <w:rStyle w:val="FootnoteReference"/>
        </w:rPr>
        <w:footnoteReference w:id="9"/>
      </w:r>
      <w:r>
        <w:t xml:space="preserve"> where X-</w:t>
      </w:r>
      <w:r w:rsidRPr="00E038CF">
        <w:t>rays induced double stranded breaks in endothelia</w:t>
      </w:r>
      <w:r>
        <w:t>l cells from the human dermis. A c</w:t>
      </w:r>
      <w:r w:rsidRPr="00E038CF">
        <w:t>ell cycle analysis</w:t>
      </w:r>
      <w:r>
        <w:t xml:space="preserve"> conducted as part of S</w:t>
      </w:r>
      <w:r w:rsidRPr="00E038CF">
        <w:t xml:space="preserve">tudy R-8690 </w:t>
      </w:r>
      <w:r>
        <w:t>showed an</w:t>
      </w:r>
      <w:r w:rsidRPr="00E038CF">
        <w:t xml:space="preserve"> accumulation of NHIK</w:t>
      </w:r>
      <w:r w:rsidRPr="009036A3">
        <w:rPr>
          <w:vertAlign w:val="superscript"/>
        </w:rPr>
        <w:t>-/-p53, -/-</w:t>
      </w:r>
      <w:proofErr w:type="spellStart"/>
      <w:r w:rsidRPr="009036A3">
        <w:rPr>
          <w:vertAlign w:val="superscript"/>
        </w:rPr>
        <w:t>pRb</w:t>
      </w:r>
      <w:proofErr w:type="spellEnd"/>
      <w:r w:rsidRPr="00E038CF">
        <w:t xml:space="preserve"> cells in G2</w:t>
      </w:r>
      <w:r>
        <w:t xml:space="preserve"> phase (compared with </w:t>
      </w:r>
      <w:r w:rsidRPr="00E038CF">
        <w:t>91%) post irradiation following a 24</w:t>
      </w:r>
      <w:r>
        <w:t xml:space="preserve"> </w:t>
      </w:r>
      <w:r w:rsidRPr="00E038CF">
        <w:t>h 0.94</w:t>
      </w:r>
      <w:r w:rsidR="00562679">
        <w:t xml:space="preserve"> </w:t>
      </w:r>
      <w:proofErr w:type="spellStart"/>
      <w:r w:rsidR="00562679">
        <w:t>Gy</w:t>
      </w:r>
      <w:proofErr w:type="spellEnd"/>
      <w:r w:rsidR="00562679">
        <w:t xml:space="preserve"> exposure regimen. N</w:t>
      </w:r>
      <w:r w:rsidRPr="00E038CF">
        <w:t>o clear mechanistic explanation was provided for the accumulation of cells in G2</w:t>
      </w:r>
      <w:r>
        <w:t xml:space="preserve"> </w:t>
      </w:r>
      <w:r w:rsidRPr="00E038CF">
        <w:t xml:space="preserve">phase. Furthermore, </w:t>
      </w:r>
      <w:r>
        <w:t>S</w:t>
      </w:r>
      <w:r w:rsidRPr="00E038CF">
        <w:t xml:space="preserve">tudy R-8691 suggests cell survival after </w:t>
      </w:r>
      <w:r w:rsidRPr="009036A3">
        <w:rPr>
          <w:vertAlign w:val="superscript"/>
        </w:rPr>
        <w:t>223</w:t>
      </w:r>
      <w:r w:rsidRPr="00E038CF">
        <w:t>RaCl</w:t>
      </w:r>
      <w:r w:rsidRPr="009036A3">
        <w:rPr>
          <w:vertAlign w:val="subscript"/>
        </w:rPr>
        <w:t>2</w:t>
      </w:r>
      <w:r w:rsidRPr="00E038CF">
        <w:t xml:space="preserve"> treatment is independent of cell cycle phase.</w:t>
      </w:r>
      <w:r>
        <w:rPr>
          <w:rStyle w:val="FootnoteReference"/>
        </w:rPr>
        <w:footnoteReference w:id="10"/>
      </w:r>
      <w:r w:rsidRPr="00E038CF">
        <w:t xml:space="preserve"> The effect of </w:t>
      </w:r>
      <w:r w:rsidRPr="009036A3">
        <w:rPr>
          <w:vertAlign w:val="superscript"/>
        </w:rPr>
        <w:t>223</w:t>
      </w:r>
      <w:r w:rsidRPr="00E038CF">
        <w:t>RaCl</w:t>
      </w:r>
      <w:r w:rsidRPr="009036A3">
        <w:rPr>
          <w:vertAlign w:val="subscript"/>
        </w:rPr>
        <w:t>2</w:t>
      </w:r>
      <w:r w:rsidRPr="00E038CF">
        <w:t xml:space="preserve"> on differentiation and activity of human </w:t>
      </w:r>
      <w:r w:rsidRPr="004B4BBA">
        <w:t>osteoclasts (study R-8693) and mouse osteoblasts (study R-8694)</w:t>
      </w:r>
      <w:r>
        <w:t xml:space="preserve"> were examined</w:t>
      </w:r>
      <w:r w:rsidRPr="00E038CF">
        <w:t xml:space="preserve">. At concentrations between 50-1600 </w:t>
      </w:r>
      <w:proofErr w:type="spellStart"/>
      <w:r w:rsidRPr="00E038CF">
        <w:t>Bq</w:t>
      </w:r>
      <w:proofErr w:type="spellEnd"/>
      <w:r w:rsidRPr="00E038CF">
        <w:t>/ml, statistically</w:t>
      </w:r>
      <w:r>
        <w:t xml:space="preserve"> </w:t>
      </w:r>
      <w:r w:rsidRPr="00E038CF">
        <w:t>significant and dose</w:t>
      </w:r>
      <w:r>
        <w:t xml:space="preserve"> </w:t>
      </w:r>
      <w:r w:rsidRPr="00E038CF">
        <w:t>dependent inhibition of human osteo</w:t>
      </w:r>
      <w:r>
        <w:t>c</w:t>
      </w:r>
      <w:r w:rsidRPr="00E038CF">
        <w:t>last differentiation was noted. However, no impact on osteo</w:t>
      </w:r>
      <w:r>
        <w:t>c</w:t>
      </w:r>
      <w:r w:rsidRPr="00E038CF">
        <w:t>last activity was observed</w:t>
      </w:r>
      <w:r>
        <w:t xml:space="preserve">. </w:t>
      </w:r>
      <w:r w:rsidRPr="00E038CF">
        <w:t>Similarly, in mouse osteoblast differentiation studies statistically</w:t>
      </w:r>
      <w:r>
        <w:t xml:space="preserve"> </w:t>
      </w:r>
      <w:r w:rsidRPr="00E038CF">
        <w:t>significant and dose</w:t>
      </w:r>
      <w:r>
        <w:t xml:space="preserve"> </w:t>
      </w:r>
      <w:r w:rsidRPr="00E038CF">
        <w:t xml:space="preserve">dependent inhibition of differentiation was noted at doses ≥ 400 </w:t>
      </w:r>
      <w:proofErr w:type="spellStart"/>
      <w:r w:rsidRPr="00E038CF">
        <w:t>Bq</w:t>
      </w:r>
      <w:proofErr w:type="spellEnd"/>
      <w:r w:rsidRPr="00E038CF">
        <w:t xml:space="preserve">/ml. Doses &lt; 400 </w:t>
      </w:r>
      <w:proofErr w:type="spellStart"/>
      <w:r w:rsidRPr="00E038CF">
        <w:t>Bq</w:t>
      </w:r>
      <w:proofErr w:type="spellEnd"/>
      <w:r w:rsidRPr="00E038CF">
        <w:t xml:space="preserve">/ml was comparable to base line. The activity of mouse osteoblasts were significantly impacted at doses ≥ </w:t>
      </w:r>
      <w:r>
        <w:t xml:space="preserve">800 </w:t>
      </w:r>
      <w:proofErr w:type="spellStart"/>
      <w:r>
        <w:t>Bq</w:t>
      </w:r>
      <w:proofErr w:type="spellEnd"/>
      <w:r>
        <w:t xml:space="preserve">/ml; at doses &lt; 800 </w:t>
      </w:r>
      <w:proofErr w:type="spellStart"/>
      <w:r>
        <w:t>Bq</w:t>
      </w:r>
      <w:proofErr w:type="spellEnd"/>
      <w:r>
        <w:t xml:space="preserve">/ml, </w:t>
      </w:r>
      <w:r w:rsidRPr="00E038CF">
        <w:t>activity was comparable to baseline</w:t>
      </w:r>
      <w:r w:rsidRPr="00D933AA">
        <w:t>.</w:t>
      </w:r>
      <w:r>
        <w:t xml:space="preserve"> In summary, pronounced effects on osteoclasts were observed at lower concentrations</w:t>
      </w:r>
      <w:r w:rsidR="006F25F7" w:rsidRPr="00E038CF">
        <w:t>.</w:t>
      </w:r>
    </w:p>
    <w:p w:rsidR="004510E6" w:rsidRPr="00E038CF" w:rsidRDefault="004510E6" w:rsidP="00E038CF">
      <w:r w:rsidRPr="00CD69A4">
        <w:rPr>
          <w:i/>
        </w:rPr>
        <w:t>In vivo</w:t>
      </w:r>
      <w:r w:rsidRPr="006F25F7">
        <w:t xml:space="preserve"> </w:t>
      </w:r>
      <w:proofErr w:type="spellStart"/>
      <w:r w:rsidRPr="006F25F7">
        <w:t>pharmacodynamic</w:t>
      </w:r>
      <w:proofErr w:type="spellEnd"/>
      <w:r w:rsidRPr="006F25F7">
        <w:t xml:space="preserve"> data were provided from three mouse studies (Studies R-8695, R-8696 and R-8697) and one published r</w:t>
      </w:r>
      <w:r>
        <w:t>at study</w:t>
      </w:r>
      <w:r w:rsidRPr="006F25F7">
        <w:t>.</w:t>
      </w:r>
      <w:r>
        <w:rPr>
          <w:rStyle w:val="FootnoteReference"/>
        </w:rPr>
        <w:footnoteReference w:id="11"/>
      </w:r>
      <w:r w:rsidRPr="006F25F7">
        <w:t xml:space="preserve"> </w:t>
      </w:r>
      <w:r w:rsidRPr="00D933AA">
        <w:t>In</w:t>
      </w:r>
      <w:r>
        <w:t xml:space="preserve"> a dose finding study performed in a</w:t>
      </w:r>
      <w:r w:rsidRPr="00D933AA">
        <w:t xml:space="preserve"> breast cancer bone metastasis </w:t>
      </w:r>
      <w:proofErr w:type="spellStart"/>
      <w:r w:rsidRPr="00D933AA">
        <w:t>athymic</w:t>
      </w:r>
      <w:proofErr w:type="spellEnd"/>
      <w:r w:rsidRPr="00D933AA">
        <w:t xml:space="preserve"> nude mouse (female) model (Studies R-8695),</w:t>
      </w:r>
      <w:r>
        <w:t xml:space="preserve"> 300 </w:t>
      </w:r>
      <w:proofErr w:type="spellStart"/>
      <w:r>
        <w:t>kBq</w:t>
      </w:r>
      <w:proofErr w:type="spellEnd"/>
      <w:r>
        <w:t>/kg IV</w:t>
      </w:r>
      <w:r w:rsidRPr="006F25F7">
        <w:t xml:space="preserve"> (single dose) emerged as the optimal dose for inhibition of </w:t>
      </w:r>
      <w:proofErr w:type="spellStart"/>
      <w:r w:rsidRPr="006F25F7">
        <w:t>osteolytic</w:t>
      </w:r>
      <w:proofErr w:type="spellEnd"/>
      <w:r w:rsidRPr="006F25F7">
        <w:t xml:space="preserve"> lesions and whole body tumour burden while maintaining serum TRACP 5b activity and better body weight maintenance (except hind</w:t>
      </w:r>
      <w:r>
        <w:t>/</w:t>
      </w:r>
      <w:r w:rsidRPr="006F25F7">
        <w:t>limb tumour burden, which did not decrease).</w:t>
      </w:r>
      <w:r w:rsidRPr="00D933AA">
        <w:t xml:space="preserve"> </w:t>
      </w:r>
      <w:r>
        <w:t xml:space="preserve"> </w:t>
      </w:r>
      <w:r w:rsidRPr="00D933AA">
        <w:t>This dose was able to prolong the survival in an additional experiment in this model (Study R-8697).</w:t>
      </w:r>
      <w:r w:rsidRPr="006F25F7">
        <w:t xml:space="preserve"> Survival was also significantly increased in a breast cancer metastasis model in nude rats</w:t>
      </w:r>
      <w:r>
        <w:t xml:space="preserve"> by treatment </w:t>
      </w:r>
      <w:proofErr w:type="gramStart"/>
      <w:r>
        <w:t xml:space="preserve">with ~110 </w:t>
      </w:r>
      <w:proofErr w:type="spellStart"/>
      <w:r>
        <w:t>kBq</w:t>
      </w:r>
      <w:proofErr w:type="spellEnd"/>
      <w:r>
        <w:t>/kg</w:t>
      </w:r>
      <w:proofErr w:type="gramEnd"/>
      <w:r>
        <w:t xml:space="preserve">. </w:t>
      </w:r>
      <w:r w:rsidRPr="006F25F7">
        <w:t xml:space="preserve">The </w:t>
      </w:r>
      <w:r>
        <w:t>s</w:t>
      </w:r>
      <w:r w:rsidRPr="006F25F7">
        <w:t xml:space="preserve">ponsor stated that there were no commercially available </w:t>
      </w:r>
      <w:proofErr w:type="spellStart"/>
      <w:r w:rsidRPr="006F25F7">
        <w:t>osteoblastic</w:t>
      </w:r>
      <w:proofErr w:type="spellEnd"/>
      <w:r w:rsidRPr="006F25F7">
        <w:t xml:space="preserve"> prostate bone metastasis preclinical mode</w:t>
      </w:r>
      <w:r>
        <w:t>ls.</w:t>
      </w:r>
    </w:p>
    <w:p w:rsidR="006F25F7" w:rsidRDefault="006F25F7" w:rsidP="004665CC">
      <w:pPr>
        <w:pStyle w:val="Heading4"/>
      </w:pPr>
      <w:r>
        <w:t>Secondary pharmacodynamics and safety pharmacology</w:t>
      </w:r>
    </w:p>
    <w:p w:rsidR="006F25F7" w:rsidRDefault="006F25F7" w:rsidP="006F25F7">
      <w:r w:rsidRPr="006F25F7">
        <w:t xml:space="preserve">The sponsor conducted three safety pharmacology studies to investigate the effect of </w:t>
      </w:r>
      <w:r w:rsidRPr="006F25F7">
        <w:rPr>
          <w:vertAlign w:val="superscript"/>
        </w:rPr>
        <w:t>223</w:t>
      </w:r>
      <w:r w:rsidRPr="006F25F7">
        <w:t>RaCl</w:t>
      </w:r>
      <w:r w:rsidRPr="006F25F7">
        <w:rPr>
          <w:vertAlign w:val="subscript"/>
        </w:rPr>
        <w:t>2</w:t>
      </w:r>
      <w:r w:rsidRPr="006F25F7">
        <w:t xml:space="preserve"> in </w:t>
      </w:r>
      <w:r w:rsidR="007408A5">
        <w:t>the respiratory, cardiac and central nervous system (CNS)</w:t>
      </w:r>
      <w:r w:rsidRPr="006F25F7">
        <w:t xml:space="preserve"> functions (Studies R-8657, R-8658and R-8659).</w:t>
      </w:r>
    </w:p>
    <w:p w:rsidR="00707B9B" w:rsidRPr="006F25F7" w:rsidRDefault="00707B9B" w:rsidP="006F25F7">
      <w:r w:rsidRPr="006F25F7">
        <w:t xml:space="preserve">In </w:t>
      </w:r>
      <w:r>
        <w:t xml:space="preserve">Study R-8657, </w:t>
      </w:r>
      <w:r w:rsidRPr="006F25F7">
        <w:t xml:space="preserve">the pharmacological effects of </w:t>
      </w:r>
      <w:r w:rsidRPr="006F25F7">
        <w:rPr>
          <w:vertAlign w:val="superscript"/>
        </w:rPr>
        <w:t>223</w:t>
      </w:r>
      <w:r w:rsidRPr="006F25F7">
        <w:t>RaCl</w:t>
      </w:r>
      <w:r w:rsidRPr="006F25F7">
        <w:rPr>
          <w:vertAlign w:val="subscript"/>
        </w:rPr>
        <w:t>2</w:t>
      </w:r>
      <w:r w:rsidRPr="006F25F7">
        <w:t xml:space="preserve"> </w:t>
      </w:r>
      <w:r w:rsidR="0074671E">
        <w:t>on</w:t>
      </w:r>
      <w:r w:rsidRPr="006F25F7">
        <w:t xml:space="preserve"> respiratory function </w:t>
      </w:r>
      <w:r w:rsidR="0074671E">
        <w:t>were</w:t>
      </w:r>
      <w:r w:rsidRPr="006F25F7">
        <w:t xml:space="preserve"> investigated fo</w:t>
      </w:r>
      <w:r>
        <w:t xml:space="preserve">llowing a single IV </w:t>
      </w:r>
      <w:r w:rsidRPr="006F25F7">
        <w:t xml:space="preserve">dose at 50, 250 and 1000 </w:t>
      </w:r>
      <w:proofErr w:type="spellStart"/>
      <w:r w:rsidRPr="006F25F7">
        <w:t>kBq</w:t>
      </w:r>
      <w:proofErr w:type="spellEnd"/>
      <w:r w:rsidRPr="006F25F7">
        <w:t>/kg in rats. No test article related effects on the body weights, bodyweight</w:t>
      </w:r>
      <w:r>
        <w:t xml:space="preserve"> </w:t>
      </w:r>
      <w:r w:rsidRPr="006F25F7">
        <w:t>gains, respiratory rate, tidal volume and minute volume were no</w:t>
      </w:r>
      <w:r>
        <w:t xml:space="preserve">ted, when compared to controls. </w:t>
      </w:r>
      <w:r w:rsidRPr="006F25F7">
        <w:t>While baseline adjusted pulmonary physiology parameters</w:t>
      </w:r>
      <w:r>
        <w:t xml:space="preserve"> of respiratory rate and minute volume</w:t>
      </w:r>
      <w:r w:rsidRPr="006F25F7">
        <w:t xml:space="preserve"> showed </w:t>
      </w:r>
      <w:r w:rsidRPr="00D933AA">
        <w:t xml:space="preserve">isolated statistically significant </w:t>
      </w:r>
      <w:r w:rsidRPr="006F25F7">
        <w:t>changes compared to controls, no dose</w:t>
      </w:r>
      <w:r>
        <w:t xml:space="preserve"> or </w:t>
      </w:r>
      <w:proofErr w:type="spellStart"/>
      <w:r>
        <w:t>timepoint</w:t>
      </w:r>
      <w:proofErr w:type="spellEnd"/>
      <w:r>
        <w:t xml:space="preserve"> relationship were observed. V</w:t>
      </w:r>
      <w:r w:rsidRPr="006F25F7">
        <w:t>ariability</w:t>
      </w:r>
      <w:r>
        <w:t xml:space="preserve"> was high.</w:t>
      </w:r>
    </w:p>
    <w:p w:rsidR="006F25F7" w:rsidRPr="006F25F7" w:rsidRDefault="006F25F7" w:rsidP="006F25F7">
      <w:r w:rsidRPr="006F25F7">
        <w:t xml:space="preserve">Study R-8658 investigated the pharmacological effects of </w:t>
      </w:r>
      <w:r w:rsidRPr="006F25F7">
        <w:rPr>
          <w:vertAlign w:val="superscript"/>
        </w:rPr>
        <w:t>223</w:t>
      </w:r>
      <w:r w:rsidRPr="006F25F7">
        <w:t>RaCl</w:t>
      </w:r>
      <w:r w:rsidRPr="006F25F7">
        <w:rPr>
          <w:vertAlign w:val="subscript"/>
        </w:rPr>
        <w:t>2</w:t>
      </w:r>
      <w:r w:rsidRPr="006F25F7">
        <w:t xml:space="preserve"> in the cardiovascular system in 4 beagle dogs at 50, 150 and 450 </w:t>
      </w:r>
      <w:proofErr w:type="spellStart"/>
      <w:r w:rsidRPr="006F25F7">
        <w:t>kBq</w:t>
      </w:r>
      <w:proofErr w:type="spellEnd"/>
      <w:r w:rsidRPr="006F25F7">
        <w:t>/kg. No test</w:t>
      </w:r>
      <w:r w:rsidR="00D915D7">
        <w:t xml:space="preserve"> </w:t>
      </w:r>
      <w:r w:rsidRPr="006F25F7">
        <w:t>article related mortalities, clinical observations</w:t>
      </w:r>
      <w:r w:rsidR="00D915D7">
        <w:t>,</w:t>
      </w:r>
      <w:r w:rsidRPr="006F25F7">
        <w:t xml:space="preserve"> or body weights or weight gains were noted in the treatment group. No test article related change was noted in heart rate, QRS Co</w:t>
      </w:r>
      <w:r w:rsidR="00D915D7">
        <w:t xml:space="preserve">mplex, PR Duration, RR Duration, </w:t>
      </w:r>
      <w:r w:rsidRPr="006F25F7">
        <w:t xml:space="preserve">or </w:t>
      </w:r>
      <w:proofErr w:type="spellStart"/>
      <w:r w:rsidRPr="006F25F7">
        <w:t>QTc</w:t>
      </w:r>
      <w:proofErr w:type="spellEnd"/>
      <w:r w:rsidRPr="006F25F7">
        <w:t xml:space="preserve"> Duration. Reduction in blood pressure was noted in all three treatment </w:t>
      </w:r>
      <w:r w:rsidRPr="006F25F7">
        <w:lastRenderedPageBreak/>
        <w:t xml:space="preserve">groups. In the absence of change in other cardiovascular parameters in response to the test-article, the significance of the reduced blood pressure is uncertain. Test article related changes in white blood cells, platelets, </w:t>
      </w:r>
      <w:proofErr w:type="spellStart"/>
      <w:r w:rsidRPr="006F25F7">
        <w:t>eosinophils</w:t>
      </w:r>
      <w:proofErr w:type="spellEnd"/>
      <w:r w:rsidRPr="006F25F7">
        <w:t xml:space="preserve">, reticulocytes, monocytes and lymphocytes were also noted. While mild inflammation in </w:t>
      </w:r>
      <w:r w:rsidR="00D915D7">
        <w:t xml:space="preserve">the liver was observed, no dose </w:t>
      </w:r>
      <w:r w:rsidRPr="006F25F7">
        <w:t>relat</w:t>
      </w:r>
      <w:r w:rsidR="004665CC">
        <w:t>ed histopathology was observed.</w:t>
      </w:r>
    </w:p>
    <w:p w:rsidR="006F25F7" w:rsidRPr="006F25F7" w:rsidRDefault="006F25F7" w:rsidP="006F25F7">
      <w:r w:rsidRPr="006F25F7">
        <w:t xml:space="preserve">The effect of </w:t>
      </w:r>
      <w:r w:rsidRPr="006F25F7">
        <w:rPr>
          <w:vertAlign w:val="superscript"/>
        </w:rPr>
        <w:t>223</w:t>
      </w:r>
      <w:r w:rsidRPr="006F25F7">
        <w:t>RaCl</w:t>
      </w:r>
      <w:r w:rsidRPr="006F25F7">
        <w:rPr>
          <w:vertAlign w:val="subscript"/>
        </w:rPr>
        <w:t>2</w:t>
      </w:r>
      <w:r w:rsidR="00D915D7">
        <w:t xml:space="preserve"> on CNS function in </w:t>
      </w:r>
      <w:r w:rsidR="00D915D7" w:rsidRPr="00D915D7">
        <w:t xml:space="preserve">Sprague </w:t>
      </w:r>
      <w:proofErr w:type="spellStart"/>
      <w:r w:rsidR="00D915D7" w:rsidRPr="00D915D7">
        <w:t>Dawley</w:t>
      </w:r>
      <w:proofErr w:type="spellEnd"/>
      <w:r w:rsidR="00D915D7" w:rsidRPr="00D915D7">
        <w:t xml:space="preserve"> </w:t>
      </w:r>
      <w:r w:rsidR="00D915D7">
        <w:t xml:space="preserve">(SD) </w:t>
      </w:r>
      <w:r w:rsidRPr="006F25F7">
        <w:t xml:space="preserve">rats was investigated in </w:t>
      </w:r>
      <w:r w:rsidR="00A93CC7">
        <w:t>S</w:t>
      </w:r>
      <w:r w:rsidRPr="006F25F7">
        <w:t xml:space="preserve">tudy R-8659 at 50, 250 and 1000 </w:t>
      </w:r>
      <w:proofErr w:type="spellStart"/>
      <w:r w:rsidRPr="006F25F7">
        <w:t>kBq</w:t>
      </w:r>
      <w:proofErr w:type="spellEnd"/>
      <w:r w:rsidRPr="006F25F7">
        <w:t xml:space="preserve">/kg doses. No mortalities were recorded. Functional observations revealed decreases in forelimb and </w:t>
      </w:r>
      <w:proofErr w:type="spellStart"/>
      <w:r w:rsidRPr="006F25F7">
        <w:t>hindlimb</w:t>
      </w:r>
      <w:proofErr w:type="spellEnd"/>
      <w:r w:rsidRPr="006F25F7">
        <w:t xml:space="preserve"> grip strength and foot splay up to 24</w:t>
      </w:r>
      <w:r w:rsidR="00A93CC7">
        <w:t xml:space="preserve"> h post </w:t>
      </w:r>
      <w:r w:rsidRPr="006F25F7">
        <w:t xml:space="preserve">dose. Body weights in the </w:t>
      </w:r>
      <w:r w:rsidR="00A93CC7">
        <w:t>F</w:t>
      </w:r>
      <w:r w:rsidR="00A93CC7" w:rsidRPr="00A93CC7">
        <w:t xml:space="preserve">unctional Observational Battery </w:t>
      </w:r>
      <w:r w:rsidR="001E5245">
        <w:t xml:space="preserve">(FOB) </w:t>
      </w:r>
      <w:r w:rsidRPr="006F25F7">
        <w:t xml:space="preserve">were also reduced 24 </w:t>
      </w:r>
      <w:r w:rsidR="00A93CC7">
        <w:t xml:space="preserve">h </w:t>
      </w:r>
      <w:r w:rsidRPr="006F25F7">
        <w:t>post dose. While variations were observed, no consistent test</w:t>
      </w:r>
      <w:r w:rsidR="007D47EE">
        <w:t xml:space="preserve"> </w:t>
      </w:r>
      <w:r w:rsidRPr="006F25F7">
        <w:t xml:space="preserve">article related changes to </w:t>
      </w:r>
      <w:proofErr w:type="spellStart"/>
      <w:r w:rsidRPr="006F25F7">
        <w:t>locomotor</w:t>
      </w:r>
      <w:proofErr w:type="spellEnd"/>
      <w:r w:rsidRPr="006F25F7">
        <w:t xml:space="preserve"> activity were observed.</w:t>
      </w:r>
    </w:p>
    <w:p w:rsidR="006F25F7" w:rsidRPr="006F25F7" w:rsidRDefault="006F25F7" w:rsidP="006F25F7">
      <w:r w:rsidRPr="006F25F7">
        <w:t xml:space="preserve">The doses at which the safety pharmacological studies were conducted yielded, based on </w:t>
      </w:r>
      <w:r w:rsidR="007D47EE" w:rsidRPr="007D47EE">
        <w:t>Broad Spectrum Activities</w:t>
      </w:r>
      <w:r w:rsidR="007D47EE">
        <w:t xml:space="preserve"> (BSA)</w:t>
      </w:r>
      <w:r w:rsidRPr="006F25F7">
        <w:t>,</w:t>
      </w:r>
      <w:r>
        <w:rPr>
          <w:rStyle w:val="FootnoteReference"/>
        </w:rPr>
        <w:footnoteReference w:id="12"/>
      </w:r>
      <w:r w:rsidRPr="006F25F7">
        <w:t xml:space="preserve"> </w:t>
      </w:r>
      <w:proofErr w:type="spellStart"/>
      <w:r w:rsidRPr="006F25F7">
        <w:t>animal</w:t>
      </w:r>
      <w:proofErr w:type="gramStart"/>
      <w:r w:rsidRPr="006F25F7">
        <w:t>:human</w:t>
      </w:r>
      <w:proofErr w:type="spellEnd"/>
      <w:proofErr w:type="gramEnd"/>
      <w:r w:rsidRPr="006F25F7">
        <w:t xml:space="preserve"> low safety ratios of </w:t>
      </w:r>
      <w:r w:rsidR="00716E52">
        <w:t>~</w:t>
      </w:r>
      <w:r w:rsidRPr="006F25F7">
        <w:t>3 and 5</w:t>
      </w:r>
      <w:r w:rsidR="004920AB">
        <w:t xml:space="preserve"> </w:t>
      </w:r>
      <w:r w:rsidR="004665CC">
        <w:t>in rats and dogs, respectively.</w:t>
      </w:r>
    </w:p>
    <w:p w:rsidR="008E7846" w:rsidRDefault="008E7846" w:rsidP="008E7846">
      <w:pPr>
        <w:pStyle w:val="Heading3"/>
      </w:pPr>
      <w:bookmarkStart w:id="45" w:name="_Toc247691513"/>
      <w:bookmarkStart w:id="46" w:name="_Toc314842497"/>
      <w:bookmarkStart w:id="47" w:name="_Toc394316798"/>
      <w:r>
        <w:t>Pharmacokinetics</w:t>
      </w:r>
      <w:bookmarkEnd w:id="45"/>
      <w:bookmarkEnd w:id="46"/>
      <w:bookmarkEnd w:id="47"/>
    </w:p>
    <w:p w:rsidR="004257BB" w:rsidRPr="004257BB" w:rsidRDefault="004257BB" w:rsidP="004257BB">
      <w:bookmarkStart w:id="48" w:name="_Toc247691514"/>
      <w:bookmarkStart w:id="49" w:name="_Toc314842498"/>
      <w:r w:rsidRPr="004257BB">
        <w:t>The sponsor conduced three pharmacokinetic and distribution studies in mice (Studies R-8646, R-8648 and R-8649).</w:t>
      </w:r>
    </w:p>
    <w:p w:rsidR="004257BB" w:rsidRDefault="004257BB" w:rsidP="004257BB">
      <w:pPr>
        <w:pStyle w:val="Heading4"/>
      </w:pPr>
      <w:proofErr w:type="spellStart"/>
      <w:r>
        <w:t>Biodistribution</w:t>
      </w:r>
      <w:proofErr w:type="spellEnd"/>
    </w:p>
    <w:p w:rsidR="004257BB" w:rsidRPr="004257BB" w:rsidRDefault="004257BB" w:rsidP="004257BB">
      <w:r w:rsidRPr="004257BB">
        <w:t>No test</w:t>
      </w:r>
      <w:r w:rsidR="004920AB">
        <w:t xml:space="preserve"> </w:t>
      </w:r>
      <w:r w:rsidRPr="004257BB">
        <w:t>article</w:t>
      </w:r>
      <w:r w:rsidR="004920AB">
        <w:t xml:space="preserve"> </w:t>
      </w:r>
      <w:r w:rsidRPr="004257BB">
        <w:t xml:space="preserve">related clinical signs or body weight changes were noted after a single 625kBq/kg </w:t>
      </w:r>
      <w:r w:rsidR="004920AB">
        <w:t xml:space="preserve">IV </w:t>
      </w:r>
      <w:r w:rsidRPr="004257BB">
        <w:t>dose for up to, either 14 or 56 days post</w:t>
      </w:r>
      <w:r w:rsidR="000F36F3">
        <w:t xml:space="preserve"> </w:t>
      </w:r>
      <w:r w:rsidRPr="004257BB">
        <w:t>dose (Studies R-8646, R-8648 and R-8649). Radioactivity was low or absent in blood in all studies from 24</w:t>
      </w:r>
      <w:r w:rsidR="000F36F3">
        <w:t xml:space="preserve"> </w:t>
      </w:r>
      <w:r w:rsidRPr="004257BB">
        <w:t>h post</w:t>
      </w:r>
      <w:r w:rsidR="000F36F3">
        <w:t xml:space="preserve"> </w:t>
      </w:r>
      <w:r w:rsidRPr="004257BB">
        <w:t xml:space="preserve">dose, indicating rapid tissue uptake. Clearance of </w:t>
      </w:r>
      <w:r w:rsidRPr="006F25F7">
        <w:rPr>
          <w:vertAlign w:val="superscript"/>
        </w:rPr>
        <w:t>223</w:t>
      </w:r>
      <w:r w:rsidRPr="006F25F7">
        <w:t>RaCl</w:t>
      </w:r>
      <w:r w:rsidRPr="006F25F7">
        <w:rPr>
          <w:vertAlign w:val="subscript"/>
        </w:rPr>
        <w:t>2</w:t>
      </w:r>
      <w:r w:rsidRPr="006F25F7">
        <w:t xml:space="preserve"> </w:t>
      </w:r>
      <w:r w:rsidRPr="004257BB">
        <w:t>was rapid with a biphasic pat</w:t>
      </w:r>
      <w:r w:rsidR="000F36F3">
        <w:t>tern. An initial t</w:t>
      </w:r>
      <w:r w:rsidR="000F36F3" w:rsidRPr="00705ECE">
        <w:rPr>
          <w:vertAlign w:val="subscript"/>
        </w:rPr>
        <w:t>1/2</w:t>
      </w:r>
      <w:r w:rsidR="000F36F3">
        <w:rPr>
          <w:vertAlign w:val="subscript"/>
        </w:rPr>
        <w:t xml:space="preserve"> </w:t>
      </w:r>
      <w:r w:rsidR="000F36F3">
        <w:t>of 5-</w:t>
      </w:r>
      <w:r w:rsidRPr="004257BB">
        <w:t xml:space="preserve">10 minutes and a terminal </w:t>
      </w:r>
      <w:r w:rsidR="00442A4C">
        <w:t>t</w:t>
      </w:r>
      <w:r w:rsidR="00442A4C" w:rsidRPr="00705ECE">
        <w:rPr>
          <w:vertAlign w:val="subscript"/>
        </w:rPr>
        <w:t>1/2</w:t>
      </w:r>
      <w:r w:rsidR="00442A4C">
        <w:rPr>
          <w:vertAlign w:val="subscript"/>
        </w:rPr>
        <w:t xml:space="preserve"> </w:t>
      </w:r>
      <w:r w:rsidRPr="004257BB">
        <w:t xml:space="preserve">of </w:t>
      </w:r>
      <w:r w:rsidR="00384F35">
        <w:t>~</w:t>
      </w:r>
      <w:r w:rsidRPr="004257BB">
        <w:t>12</w:t>
      </w:r>
      <w:r w:rsidR="00384F35">
        <w:t xml:space="preserve"> </w:t>
      </w:r>
      <w:r w:rsidRPr="004257BB">
        <w:t xml:space="preserve">h were determined. </w:t>
      </w:r>
      <w:proofErr w:type="spellStart"/>
      <w:r w:rsidRPr="004257BB">
        <w:t>Biodistribution</w:t>
      </w:r>
      <w:proofErr w:type="spellEnd"/>
      <w:r w:rsidRPr="004257BB">
        <w:t xml:space="preserve"> data indicated consistent hard tissue distribution up to 14 (</w:t>
      </w:r>
      <w:r w:rsidR="00384F35">
        <w:t xml:space="preserve">Studies </w:t>
      </w:r>
      <w:r w:rsidRPr="004257BB">
        <w:t xml:space="preserve">R-8646 and R-8649) or 56 days (R-8648). With the exception of the spleen, minimal distribution of </w:t>
      </w:r>
      <w:r w:rsidRPr="006F25F7">
        <w:rPr>
          <w:vertAlign w:val="superscript"/>
        </w:rPr>
        <w:t>223</w:t>
      </w:r>
      <w:r w:rsidRPr="006F25F7">
        <w:t>RaCl</w:t>
      </w:r>
      <w:r w:rsidRPr="006F25F7">
        <w:rPr>
          <w:vertAlign w:val="subscript"/>
        </w:rPr>
        <w:t>2</w:t>
      </w:r>
      <w:r w:rsidRPr="004257BB">
        <w:t xml:space="preserve"> was detected in soft tissue at 14 and 56 days (R-8646, R-8648 and R-8649). Of the soft tissues, high radioactivity was noted in the kidney and large and small intestine tissues up to 1</w:t>
      </w:r>
      <w:r w:rsidR="00384F35">
        <w:t xml:space="preserve"> </w:t>
      </w:r>
      <w:r w:rsidRPr="004257BB">
        <w:t>h post</w:t>
      </w:r>
      <w:r w:rsidR="00384F35">
        <w:t xml:space="preserve"> </w:t>
      </w:r>
      <w:r w:rsidRPr="004257BB">
        <w:t>dose (R-8646 and R-8649); most likely due to excretion through urine and f</w:t>
      </w:r>
      <w:r w:rsidR="00384F35">
        <w:t>aeces</w:t>
      </w:r>
      <w:r w:rsidRPr="004257BB">
        <w:t>. Intestinal radioactivity was not detected at 56</w:t>
      </w:r>
      <w:r w:rsidR="00384F35">
        <w:t xml:space="preserve"> </w:t>
      </w:r>
      <w:r w:rsidRPr="004257BB">
        <w:t>days post</w:t>
      </w:r>
      <w:r w:rsidR="00384F35">
        <w:t xml:space="preserve"> </w:t>
      </w:r>
      <w:r w:rsidRPr="004257BB">
        <w:t xml:space="preserve">dose. To this end, in </w:t>
      </w:r>
      <w:r w:rsidR="00384F35">
        <w:t>S</w:t>
      </w:r>
      <w:r w:rsidRPr="004257BB">
        <w:t>tudy R-8648 radioactivity was detected in urine and f</w:t>
      </w:r>
      <w:r w:rsidR="00384F35">
        <w:t>a</w:t>
      </w:r>
      <w:r w:rsidRPr="004257BB">
        <w:t>eces up to 56</w:t>
      </w:r>
      <w:r w:rsidR="00384F35">
        <w:t xml:space="preserve"> h</w:t>
      </w:r>
      <w:r w:rsidRPr="004257BB">
        <w:t xml:space="preserve"> (a ~3 and 2 fold decrease in radioactivity was noted in urine and f</w:t>
      </w:r>
      <w:r w:rsidR="00384F35">
        <w:t>a</w:t>
      </w:r>
      <w:r w:rsidRPr="004257BB">
        <w:t xml:space="preserve">eces, respectively, at </w:t>
      </w:r>
      <w:r w:rsidR="00384F35">
        <w:t>D</w:t>
      </w:r>
      <w:r w:rsidRPr="004257BB">
        <w:t>ay 14). Study R-8649 was also conducted to evaluate bioequivalence between two different production process (</w:t>
      </w:r>
      <w:r w:rsidR="00384F35">
        <w:t>P</w:t>
      </w:r>
      <w:r w:rsidRPr="004257BB">
        <w:t>rocess I and Process II). No statistical difference was noted between the two production methods.</w:t>
      </w:r>
    </w:p>
    <w:p w:rsidR="004257BB" w:rsidRPr="004257BB" w:rsidRDefault="004257BB" w:rsidP="004257BB">
      <w:proofErr w:type="spellStart"/>
      <w:r w:rsidRPr="004257BB">
        <w:t>Biodistribution</w:t>
      </w:r>
      <w:proofErr w:type="spellEnd"/>
      <w:r w:rsidRPr="004257BB">
        <w:t xml:space="preserve"> in repeat dose toxicity studies in dog also indicated selective distribution to bone tissue (at 50 </w:t>
      </w:r>
      <w:proofErr w:type="spellStart"/>
      <w:r w:rsidRPr="004257BB">
        <w:t>Kbq</w:t>
      </w:r>
      <w:proofErr w:type="spellEnd"/>
      <w:r w:rsidRPr="004257BB">
        <w:t>/kg) and minimal accumulation in soft tissue (</w:t>
      </w:r>
      <w:r w:rsidR="0055134B">
        <w:t>St</w:t>
      </w:r>
      <w:r w:rsidR="004665CC">
        <w:t>udy R-8670).</w:t>
      </w:r>
    </w:p>
    <w:p w:rsidR="004257BB" w:rsidRPr="004257BB" w:rsidRDefault="004257BB" w:rsidP="004257BB">
      <w:pPr>
        <w:pStyle w:val="Heading4"/>
      </w:pPr>
      <w:r w:rsidRPr="004257BB">
        <w:t>Excretion</w:t>
      </w:r>
    </w:p>
    <w:p w:rsidR="004257BB" w:rsidRPr="004257BB" w:rsidRDefault="004257BB" w:rsidP="004257BB">
      <w:r w:rsidRPr="004257BB">
        <w:t xml:space="preserve">The sponsor submitted two excretion studies in mice for </w:t>
      </w:r>
      <w:r w:rsidR="0055134B" w:rsidRPr="006F25F7">
        <w:rPr>
          <w:vertAlign w:val="superscript"/>
        </w:rPr>
        <w:t>223</w:t>
      </w:r>
      <w:r w:rsidR="0055134B" w:rsidRPr="006F25F7">
        <w:t>RaCl</w:t>
      </w:r>
      <w:r w:rsidR="0055134B" w:rsidRPr="006F25F7">
        <w:rPr>
          <w:vertAlign w:val="subscript"/>
        </w:rPr>
        <w:t>2</w:t>
      </w:r>
      <w:r w:rsidR="0055134B" w:rsidRPr="006F25F7">
        <w:t xml:space="preserve"> </w:t>
      </w:r>
      <w:r w:rsidRPr="004257BB">
        <w:t xml:space="preserve">(Study R-8647 and R-8650). The studies tested excretion of </w:t>
      </w:r>
      <w:r w:rsidRPr="006F25F7">
        <w:rPr>
          <w:vertAlign w:val="superscript"/>
        </w:rPr>
        <w:t>223</w:t>
      </w:r>
      <w:r w:rsidRPr="006F25F7">
        <w:t>RaCl</w:t>
      </w:r>
      <w:r w:rsidRPr="006F25F7">
        <w:rPr>
          <w:vertAlign w:val="subscript"/>
        </w:rPr>
        <w:t>2</w:t>
      </w:r>
      <w:r w:rsidRPr="006F25F7">
        <w:t xml:space="preserve"> </w:t>
      </w:r>
      <w:r w:rsidRPr="004257BB">
        <w:t xml:space="preserve">generated by the two productions processes. In </w:t>
      </w:r>
      <w:r w:rsidR="002E7422">
        <w:t>S</w:t>
      </w:r>
      <w:r w:rsidRPr="004257BB">
        <w:t xml:space="preserve">tudy R-8647 (Production </w:t>
      </w:r>
      <w:r w:rsidR="002E7422">
        <w:t>P</w:t>
      </w:r>
      <w:r w:rsidRPr="004257BB">
        <w:t>rocess I), 625</w:t>
      </w:r>
      <w:r w:rsidR="002E7422">
        <w:t xml:space="preserve"> </w:t>
      </w:r>
      <w:proofErr w:type="spellStart"/>
      <w:r w:rsidR="002E7422">
        <w:t>kBq</w:t>
      </w:r>
      <w:proofErr w:type="spellEnd"/>
      <w:r w:rsidR="002E7422">
        <w:t>/kg IV</w:t>
      </w:r>
      <w:r w:rsidRPr="004257BB">
        <w:t xml:space="preserve"> was administered to female mice and samples taken up to 120</w:t>
      </w:r>
      <w:r w:rsidR="002C2AD1">
        <w:t xml:space="preserve"> </w:t>
      </w:r>
      <w:r w:rsidRPr="004257BB">
        <w:t>h post</w:t>
      </w:r>
      <w:r w:rsidR="002C2AD1">
        <w:t xml:space="preserve"> </w:t>
      </w:r>
      <w:r w:rsidRPr="004257BB">
        <w:t>dose. Based on corrected values</w:t>
      </w:r>
      <w:r w:rsidR="002C2AD1">
        <w:t>,</w:t>
      </w:r>
      <w:r w:rsidR="002C2AD1">
        <w:rPr>
          <w:rStyle w:val="FootnoteReference"/>
        </w:rPr>
        <w:footnoteReference w:id="13"/>
      </w:r>
      <w:r w:rsidR="002C2AD1">
        <w:t xml:space="preserve"> </w:t>
      </w:r>
      <w:r w:rsidRPr="004257BB">
        <w:t>radiation was detected in the urine and f</w:t>
      </w:r>
      <w:r>
        <w:t>a</w:t>
      </w:r>
      <w:r w:rsidRPr="004257BB">
        <w:t>eces as early as 1</w:t>
      </w:r>
      <w:r w:rsidR="00416455">
        <w:t xml:space="preserve"> </w:t>
      </w:r>
      <w:r w:rsidRPr="004257BB">
        <w:t>h post</w:t>
      </w:r>
      <w:r w:rsidR="00416455">
        <w:t xml:space="preserve"> </w:t>
      </w:r>
      <w:r w:rsidRPr="004257BB">
        <w:t>dose with maximal excretion at 6</w:t>
      </w:r>
      <w:r w:rsidR="00416455">
        <w:t xml:space="preserve"> </w:t>
      </w:r>
      <w:r w:rsidRPr="004257BB">
        <w:t>h post dose (</w:t>
      </w:r>
      <w:proofErr w:type="spellStart"/>
      <w:r w:rsidRPr="004257BB">
        <w:t>urine:f</w:t>
      </w:r>
      <w:r w:rsidR="00B807E6">
        <w:t>a</w:t>
      </w:r>
      <w:r w:rsidRPr="004257BB">
        <w:t>ecal</w:t>
      </w:r>
      <w:proofErr w:type="spellEnd"/>
      <w:r w:rsidRPr="004257BB">
        <w:t xml:space="preserve"> excretion ratio 1:1.35). Study R-8650 investigated excretion of </w:t>
      </w:r>
      <w:r w:rsidRPr="006F25F7">
        <w:rPr>
          <w:vertAlign w:val="superscript"/>
        </w:rPr>
        <w:t>223</w:t>
      </w:r>
      <w:r w:rsidRPr="006F25F7">
        <w:t>RaCl</w:t>
      </w:r>
      <w:r w:rsidRPr="006F25F7">
        <w:rPr>
          <w:vertAlign w:val="subscript"/>
        </w:rPr>
        <w:t>2</w:t>
      </w:r>
      <w:r w:rsidRPr="006F25F7">
        <w:t xml:space="preserve"> </w:t>
      </w:r>
      <w:r w:rsidRPr="004257BB">
        <w:t xml:space="preserve">(Production </w:t>
      </w:r>
      <w:r w:rsidR="00B807E6">
        <w:t>P</w:t>
      </w:r>
      <w:r w:rsidRPr="004257BB">
        <w:t>rocess II) following a 625</w:t>
      </w:r>
      <w:r w:rsidR="00B807E6">
        <w:t xml:space="preserve"> </w:t>
      </w:r>
      <w:proofErr w:type="spellStart"/>
      <w:r w:rsidRPr="004257BB">
        <w:t>kBq</w:t>
      </w:r>
      <w:proofErr w:type="spellEnd"/>
      <w:r w:rsidRPr="004257BB">
        <w:t xml:space="preserve">/kg </w:t>
      </w:r>
      <w:r w:rsidR="00B807E6">
        <w:t>IV</w:t>
      </w:r>
      <w:r w:rsidRPr="004257BB">
        <w:t xml:space="preserve"> administration to </w:t>
      </w:r>
      <w:r w:rsidRPr="004257BB">
        <w:lastRenderedPageBreak/>
        <w:t>female mice. Radiation was detected in the urine and f</w:t>
      </w:r>
      <w:r>
        <w:t>a</w:t>
      </w:r>
      <w:r w:rsidRPr="004257BB">
        <w:t>eces as early as 1</w:t>
      </w:r>
      <w:r w:rsidR="00B807E6">
        <w:t xml:space="preserve"> </w:t>
      </w:r>
      <w:r w:rsidRPr="004257BB">
        <w:t>h post</w:t>
      </w:r>
      <w:r w:rsidR="00B807E6">
        <w:t xml:space="preserve"> </w:t>
      </w:r>
      <w:r w:rsidRPr="004257BB">
        <w:t>d</w:t>
      </w:r>
      <w:r w:rsidR="00416455">
        <w:t>ose with maximal excretion at 6</w:t>
      </w:r>
      <w:r w:rsidRPr="004257BB">
        <w:t>-12h post dose (</w:t>
      </w:r>
      <w:proofErr w:type="spellStart"/>
      <w:r w:rsidRPr="004257BB">
        <w:t>urine:f</w:t>
      </w:r>
      <w:r w:rsidR="00416455">
        <w:t>a</w:t>
      </w:r>
      <w:r w:rsidRPr="004257BB">
        <w:t>ecal</w:t>
      </w:r>
      <w:proofErr w:type="spellEnd"/>
      <w:r w:rsidRPr="004257BB">
        <w:t xml:space="preserve"> excretion ratio 1:1.35). The excretion profiles of the two production processes appeared comparable with no significant difference in the excretory profiles.</w:t>
      </w:r>
    </w:p>
    <w:p w:rsidR="004257BB" w:rsidRDefault="004257BB" w:rsidP="004257BB">
      <w:pPr>
        <w:pStyle w:val="Heading4"/>
      </w:pPr>
      <w:r>
        <w:t>Metabolism</w:t>
      </w:r>
    </w:p>
    <w:p w:rsidR="004257BB" w:rsidRPr="004257BB" w:rsidRDefault="004257BB" w:rsidP="004257BB">
      <w:r w:rsidRPr="004257BB">
        <w:t xml:space="preserve">As no metabolic pathways are present for, no metabolic data was </w:t>
      </w:r>
      <w:r w:rsidR="004665CC">
        <w:t>presented, which is acceptable.</w:t>
      </w:r>
    </w:p>
    <w:p w:rsidR="004257BB" w:rsidRPr="004257BB" w:rsidRDefault="004257BB" w:rsidP="004257BB">
      <w:r w:rsidRPr="004257BB">
        <w:t>Collectively, the submitted data and peer</w:t>
      </w:r>
      <w:r w:rsidR="00416455">
        <w:t xml:space="preserve"> </w:t>
      </w:r>
      <w:r w:rsidR="00A545B8">
        <w:t>review</w:t>
      </w:r>
      <w:r w:rsidRPr="004257BB">
        <w:t>ed article collective indicate that the pharmacokinetic profiles in the laboratory animal species (particularly those used in the pivotal repeat</w:t>
      </w:r>
      <w:r w:rsidR="00416455">
        <w:t xml:space="preserve"> </w:t>
      </w:r>
      <w:r w:rsidRPr="004257BB">
        <w:t xml:space="preserve">dose toxicity studies) were sufficiently similar to allow them to serve as appropriate models for the assessment of </w:t>
      </w:r>
      <w:r w:rsidRPr="006F25F7">
        <w:rPr>
          <w:vertAlign w:val="superscript"/>
        </w:rPr>
        <w:t>223</w:t>
      </w:r>
      <w:r w:rsidRPr="006F25F7">
        <w:t>RaCl</w:t>
      </w:r>
      <w:r w:rsidRPr="006F25F7">
        <w:rPr>
          <w:vertAlign w:val="subscript"/>
        </w:rPr>
        <w:t>2</w:t>
      </w:r>
      <w:r w:rsidRPr="006F25F7">
        <w:t xml:space="preserve"> </w:t>
      </w:r>
      <w:r w:rsidR="004665CC">
        <w:t>toxicity in humans.</w:t>
      </w:r>
    </w:p>
    <w:p w:rsidR="004257BB" w:rsidRPr="004257BB" w:rsidRDefault="004257BB" w:rsidP="004257BB">
      <w:pPr>
        <w:pStyle w:val="Heading4"/>
        <w:rPr>
          <w:color w:val="000000"/>
        </w:rPr>
      </w:pPr>
      <w:bookmarkStart w:id="50" w:name="_Toc294861725"/>
      <w:r w:rsidRPr="001258AE">
        <w:t>Pharmacokinetic drug interactions</w:t>
      </w:r>
      <w:bookmarkEnd w:id="50"/>
    </w:p>
    <w:p w:rsidR="004257BB" w:rsidRPr="004257BB" w:rsidRDefault="004257BB" w:rsidP="004257BB">
      <w:r w:rsidRPr="004257BB">
        <w:t xml:space="preserve">Study R-8698 investigated the </w:t>
      </w:r>
      <w:proofErr w:type="spellStart"/>
      <w:r w:rsidRPr="004257BB">
        <w:t>pharmacodynamic</w:t>
      </w:r>
      <w:proofErr w:type="spellEnd"/>
      <w:r w:rsidRPr="004257BB">
        <w:t xml:space="preserve"> interaction of </w:t>
      </w:r>
      <w:r w:rsidRPr="006F25F7">
        <w:rPr>
          <w:vertAlign w:val="superscript"/>
        </w:rPr>
        <w:t>223</w:t>
      </w:r>
      <w:r w:rsidRPr="006F25F7">
        <w:t>RaCl</w:t>
      </w:r>
      <w:r w:rsidRPr="006F25F7">
        <w:rPr>
          <w:vertAlign w:val="subscript"/>
        </w:rPr>
        <w:t>2</w:t>
      </w:r>
      <w:r w:rsidRPr="006F25F7">
        <w:t xml:space="preserve"> </w:t>
      </w:r>
      <w:r w:rsidRPr="004257BB">
        <w:t xml:space="preserve">when co-administered with doxorubicin or </w:t>
      </w:r>
      <w:proofErr w:type="spellStart"/>
      <w:r w:rsidRPr="004257BB">
        <w:t>zoledronic</w:t>
      </w:r>
      <w:proofErr w:type="spellEnd"/>
      <w:r w:rsidRPr="004257BB">
        <w:t xml:space="preserve"> acid in breast cancer bone metastases in </w:t>
      </w:r>
      <w:proofErr w:type="spellStart"/>
      <w:r w:rsidRPr="004257BB">
        <w:t>athymic</w:t>
      </w:r>
      <w:proofErr w:type="spellEnd"/>
      <w:r w:rsidRPr="004257BB">
        <w:t xml:space="preserve"> nude mice. </w:t>
      </w:r>
      <w:r w:rsidRPr="006F25F7">
        <w:rPr>
          <w:vertAlign w:val="superscript"/>
        </w:rPr>
        <w:t>223</w:t>
      </w:r>
      <w:r w:rsidRPr="006F25F7">
        <w:t>RaCl</w:t>
      </w:r>
      <w:r w:rsidRPr="006F25F7">
        <w:rPr>
          <w:vertAlign w:val="subscript"/>
        </w:rPr>
        <w:t>2</w:t>
      </w:r>
      <w:r w:rsidRPr="006F25F7">
        <w:t xml:space="preserve"> </w:t>
      </w:r>
      <w:proofErr w:type="gramStart"/>
      <w:r w:rsidRPr="004257BB">
        <w:t xml:space="preserve">up to 300 </w:t>
      </w:r>
      <w:proofErr w:type="spellStart"/>
      <w:r w:rsidRPr="004257BB">
        <w:t>kBq</w:t>
      </w:r>
      <w:proofErr w:type="spellEnd"/>
      <w:r w:rsidRPr="004257BB">
        <w:t xml:space="preserve">/kg </w:t>
      </w:r>
      <w:r w:rsidR="00416455">
        <w:t>(IV</w:t>
      </w:r>
      <w:r w:rsidRPr="004257BB">
        <w:t>, single dose)</w:t>
      </w:r>
      <w:proofErr w:type="gramEnd"/>
      <w:r w:rsidR="000416E8">
        <w:t>, doxorubicin up to 5 mg/kg (</w:t>
      </w:r>
      <w:r w:rsidRPr="004257BB">
        <w:t>weekly) an</w:t>
      </w:r>
      <w:r w:rsidR="00416455">
        <w:t xml:space="preserve">d </w:t>
      </w:r>
      <w:proofErr w:type="spellStart"/>
      <w:r w:rsidR="00416455">
        <w:t>zoledronic</w:t>
      </w:r>
      <w:proofErr w:type="spellEnd"/>
      <w:r w:rsidR="00416455">
        <w:t xml:space="preserve"> acid 4 mg/kg (subcutaneous, </w:t>
      </w:r>
      <w:r w:rsidRPr="004257BB">
        <w:t>single dose) were administered alone or in combination. Based on observations such as delayed onset of weight loss (</w:t>
      </w:r>
      <w:r w:rsidRPr="006F25F7">
        <w:rPr>
          <w:vertAlign w:val="superscript"/>
        </w:rPr>
        <w:t>223</w:t>
      </w:r>
      <w:r w:rsidRPr="006F25F7">
        <w:t>RaCl</w:t>
      </w:r>
      <w:r w:rsidRPr="006F25F7">
        <w:rPr>
          <w:vertAlign w:val="subscript"/>
        </w:rPr>
        <w:t>2</w:t>
      </w:r>
      <w:r w:rsidRPr="006F25F7">
        <w:t xml:space="preserve"> </w:t>
      </w:r>
      <w:r w:rsidRPr="004257BB">
        <w:t xml:space="preserve">and </w:t>
      </w:r>
      <w:proofErr w:type="spellStart"/>
      <w:r w:rsidRPr="004257BB">
        <w:t>zoledronic</w:t>
      </w:r>
      <w:proofErr w:type="spellEnd"/>
      <w:r w:rsidRPr="004257BB">
        <w:t xml:space="preserve"> acid), increased time to sacrifice (combination groups), decreased </w:t>
      </w:r>
      <w:proofErr w:type="spellStart"/>
      <w:r w:rsidRPr="004257BB">
        <w:t>osteolytic</w:t>
      </w:r>
      <w:proofErr w:type="spellEnd"/>
      <w:r w:rsidRPr="004257BB">
        <w:t xml:space="preserve"> lesion areas (</w:t>
      </w:r>
      <w:r w:rsidRPr="006F25F7">
        <w:rPr>
          <w:vertAlign w:val="superscript"/>
        </w:rPr>
        <w:t>223</w:t>
      </w:r>
      <w:r w:rsidRPr="006F25F7">
        <w:t>RaCl</w:t>
      </w:r>
      <w:r w:rsidRPr="006F25F7">
        <w:rPr>
          <w:vertAlign w:val="subscript"/>
        </w:rPr>
        <w:t>2</w:t>
      </w:r>
      <w:r w:rsidRPr="006F25F7">
        <w:t xml:space="preserve"> </w:t>
      </w:r>
      <w:r w:rsidRPr="004257BB">
        <w:t xml:space="preserve">and </w:t>
      </w:r>
      <w:proofErr w:type="spellStart"/>
      <w:r w:rsidRPr="004257BB">
        <w:t>zoledronic</w:t>
      </w:r>
      <w:proofErr w:type="spellEnd"/>
      <w:r w:rsidRPr="004257BB">
        <w:t xml:space="preserve"> acid) and reduced TRACP 5b activity (combination groups), combination therapy appears to impart better outcomes compared to single treatment or vehicle control in the mouse model of breast cancer bone metastases. In </w:t>
      </w:r>
      <w:r w:rsidR="006D2FAD">
        <w:t>S</w:t>
      </w:r>
      <w:r w:rsidRPr="004257BB">
        <w:t xml:space="preserve">tudy R-8651, the pharmacokinetics and </w:t>
      </w:r>
      <w:proofErr w:type="spellStart"/>
      <w:r w:rsidRPr="004257BB">
        <w:t>biod</w:t>
      </w:r>
      <w:r w:rsidR="006D2FAD">
        <w:t>istribution</w:t>
      </w:r>
      <w:proofErr w:type="spellEnd"/>
      <w:r w:rsidR="006D2FAD">
        <w:t xml:space="preserve"> </w:t>
      </w:r>
      <w:proofErr w:type="gramStart"/>
      <w:r w:rsidR="006D2FAD">
        <w:t xml:space="preserve">of 625 </w:t>
      </w:r>
      <w:proofErr w:type="spellStart"/>
      <w:r w:rsidR="006D2FAD">
        <w:t>kBq</w:t>
      </w:r>
      <w:proofErr w:type="spellEnd"/>
      <w:r w:rsidR="006D2FAD">
        <w:t xml:space="preserve">/kg (IV </w:t>
      </w:r>
      <w:r w:rsidRPr="004257BB">
        <w:t>single dose)</w:t>
      </w:r>
      <w:proofErr w:type="gramEnd"/>
      <w:r w:rsidRPr="004257BB">
        <w:t xml:space="preserve"> </w:t>
      </w:r>
      <w:r w:rsidRPr="006F25F7">
        <w:rPr>
          <w:vertAlign w:val="superscript"/>
        </w:rPr>
        <w:t>223</w:t>
      </w:r>
      <w:r w:rsidRPr="006F25F7">
        <w:t>RaCl</w:t>
      </w:r>
      <w:r w:rsidRPr="006F25F7">
        <w:rPr>
          <w:vertAlign w:val="subscript"/>
        </w:rPr>
        <w:t>2</w:t>
      </w:r>
      <w:r w:rsidRPr="006F25F7">
        <w:t xml:space="preserve"> </w:t>
      </w:r>
      <w:r w:rsidRPr="004257BB">
        <w:t>was assessed following co-treatmen</w:t>
      </w:r>
      <w:r w:rsidR="000416E8">
        <w:t xml:space="preserve">t with </w:t>
      </w:r>
      <w:proofErr w:type="spellStart"/>
      <w:r w:rsidR="000416E8">
        <w:t>zoledronic</w:t>
      </w:r>
      <w:proofErr w:type="spellEnd"/>
      <w:r w:rsidR="000416E8">
        <w:t xml:space="preserve"> acid up to 14 </w:t>
      </w:r>
      <w:r>
        <w:t>d</w:t>
      </w:r>
      <w:r w:rsidRPr="004257BB">
        <w:t>ays post dose. Radioactivity was low in blood in by 24</w:t>
      </w:r>
      <w:r w:rsidR="000416E8">
        <w:t xml:space="preserve"> h post </w:t>
      </w:r>
      <w:r w:rsidRPr="004257BB">
        <w:t xml:space="preserve">dose (a level of </w:t>
      </w:r>
      <w:proofErr w:type="spellStart"/>
      <w:r w:rsidRPr="004257BB">
        <w:t>zoledronic</w:t>
      </w:r>
      <w:proofErr w:type="spellEnd"/>
      <w:r w:rsidRPr="004257BB">
        <w:t xml:space="preserve"> acid was also comparable to the test article at 24</w:t>
      </w:r>
      <w:r w:rsidR="000416E8">
        <w:t xml:space="preserve"> </w:t>
      </w:r>
      <w:r w:rsidRPr="004257BB">
        <w:t xml:space="preserve">h). Clearance of </w:t>
      </w:r>
      <w:r w:rsidRPr="006F25F7">
        <w:rPr>
          <w:vertAlign w:val="superscript"/>
        </w:rPr>
        <w:t>223</w:t>
      </w:r>
      <w:r w:rsidRPr="006F25F7">
        <w:t>RaCl</w:t>
      </w:r>
      <w:r w:rsidRPr="006F25F7">
        <w:rPr>
          <w:vertAlign w:val="subscript"/>
        </w:rPr>
        <w:t>2</w:t>
      </w:r>
      <w:r w:rsidRPr="006F25F7">
        <w:t xml:space="preserve"> </w:t>
      </w:r>
      <w:r w:rsidRPr="004257BB">
        <w:t xml:space="preserve">was rapid with a biphasic pattern in the presence or absence of </w:t>
      </w:r>
      <w:proofErr w:type="spellStart"/>
      <w:r w:rsidRPr="004257BB">
        <w:t>zoledronic</w:t>
      </w:r>
      <w:proofErr w:type="spellEnd"/>
      <w:r w:rsidRPr="004257BB">
        <w:t xml:space="preserve"> acid. The </w:t>
      </w:r>
      <w:proofErr w:type="spellStart"/>
      <w:r w:rsidRPr="004257BB">
        <w:t>biodistribution</w:t>
      </w:r>
      <w:proofErr w:type="spellEnd"/>
      <w:r w:rsidRPr="004257BB">
        <w:t xml:space="preserve"> data indicated consistent hard tissue distribution up to 14</w:t>
      </w:r>
      <w:r w:rsidR="000416E8">
        <w:t xml:space="preserve"> </w:t>
      </w:r>
      <w:r w:rsidRPr="004257BB">
        <w:t xml:space="preserve">days; with the exception of the spleen, minimal distribution of </w:t>
      </w:r>
      <w:r w:rsidRPr="006F25F7">
        <w:rPr>
          <w:vertAlign w:val="superscript"/>
        </w:rPr>
        <w:t>223</w:t>
      </w:r>
      <w:r w:rsidRPr="006F25F7">
        <w:t>RaCl</w:t>
      </w:r>
      <w:r w:rsidRPr="006F25F7">
        <w:rPr>
          <w:vertAlign w:val="subscript"/>
        </w:rPr>
        <w:t>2</w:t>
      </w:r>
      <w:r w:rsidRPr="006F25F7">
        <w:t xml:space="preserve"> </w:t>
      </w:r>
      <w:r w:rsidRPr="004257BB">
        <w:t>was detected in soft tissue at 336</w:t>
      </w:r>
      <w:r w:rsidR="008C16AC">
        <w:t xml:space="preserve"> </w:t>
      </w:r>
      <w:r w:rsidRPr="004257BB">
        <w:t>h. Of the soft tissues, high radioactivity was noted in the kidney and large and small intestine tissues up to 1</w:t>
      </w:r>
      <w:r w:rsidR="008C16AC">
        <w:t xml:space="preserve"> </w:t>
      </w:r>
      <w:r w:rsidRPr="004257BB">
        <w:t>h post</w:t>
      </w:r>
      <w:r w:rsidR="008C16AC">
        <w:t xml:space="preserve"> </w:t>
      </w:r>
      <w:r w:rsidRPr="004257BB">
        <w:t xml:space="preserve">dose. No significant difference in </w:t>
      </w:r>
      <w:r w:rsidRPr="006F25F7">
        <w:rPr>
          <w:vertAlign w:val="superscript"/>
        </w:rPr>
        <w:t>223</w:t>
      </w:r>
      <w:r w:rsidRPr="006F25F7">
        <w:t>RaCl</w:t>
      </w:r>
      <w:r w:rsidRPr="006F25F7">
        <w:rPr>
          <w:vertAlign w:val="subscript"/>
        </w:rPr>
        <w:t>2</w:t>
      </w:r>
      <w:r w:rsidRPr="006F25F7">
        <w:t xml:space="preserve"> </w:t>
      </w:r>
      <w:proofErr w:type="spellStart"/>
      <w:r w:rsidRPr="004257BB">
        <w:t>biodistribution</w:t>
      </w:r>
      <w:proofErr w:type="spellEnd"/>
      <w:r w:rsidRPr="004257BB">
        <w:t xml:space="preserve"> was noted in the presence or absence of </w:t>
      </w:r>
      <w:proofErr w:type="spellStart"/>
      <w:r w:rsidRPr="004257BB">
        <w:t>zoledronic</w:t>
      </w:r>
      <w:proofErr w:type="spellEnd"/>
      <w:r w:rsidRPr="004257BB">
        <w:t xml:space="preserve"> acid.</w:t>
      </w:r>
    </w:p>
    <w:p w:rsidR="001B5C90" w:rsidRDefault="008E7846" w:rsidP="001B5C90">
      <w:pPr>
        <w:pStyle w:val="Heading3"/>
      </w:pPr>
      <w:bookmarkStart w:id="51" w:name="_Toc394316799"/>
      <w:r>
        <w:t>Toxicology</w:t>
      </w:r>
      <w:bookmarkEnd w:id="48"/>
      <w:bookmarkEnd w:id="49"/>
      <w:bookmarkEnd w:id="51"/>
    </w:p>
    <w:p w:rsidR="00630A89" w:rsidRPr="00630A89" w:rsidRDefault="00630A89" w:rsidP="00630A89">
      <w:pPr>
        <w:pStyle w:val="Heading4"/>
      </w:pPr>
      <w:bookmarkStart w:id="52" w:name="_Toc294861727"/>
      <w:r w:rsidRPr="00630A89">
        <w:t>Acute toxicity</w:t>
      </w:r>
      <w:bookmarkEnd w:id="52"/>
    </w:p>
    <w:p w:rsidR="001F3EF7" w:rsidRDefault="00E7272E" w:rsidP="00383254">
      <w:r w:rsidRPr="00383254">
        <w:t>The sponsor submitted four acute toxicity studies in mice, rats and dogs (Studies R-8660, R-8661, R-8662, R-8668-msra1, 8668a-msra1 and R8669-msra1). Study R-8660 administere</w:t>
      </w:r>
      <w:r>
        <w:t>d 223RaCl2 at doses from 1250-</w:t>
      </w:r>
      <w:r w:rsidRPr="00383254">
        <w:t xml:space="preserve">3750 </w:t>
      </w:r>
      <w:proofErr w:type="spellStart"/>
      <w:r w:rsidRPr="00383254">
        <w:t>kBq</w:t>
      </w:r>
      <w:proofErr w:type="spellEnd"/>
      <w:r w:rsidRPr="00383254">
        <w:t xml:space="preserve">/kg (single </w:t>
      </w:r>
      <w:r>
        <w:t>IV</w:t>
      </w:r>
      <w:r w:rsidRPr="00383254">
        <w:t xml:space="preserve"> bolus) to mice and </w:t>
      </w:r>
      <w:r>
        <w:t>S</w:t>
      </w:r>
      <w:r w:rsidRPr="00383254">
        <w:t xml:space="preserve">tudy R-8661 administered </w:t>
      </w:r>
      <w:r w:rsidRPr="006F25F7">
        <w:rPr>
          <w:vertAlign w:val="superscript"/>
        </w:rPr>
        <w:t>223</w:t>
      </w:r>
      <w:r w:rsidRPr="006F25F7">
        <w:t>RaCl</w:t>
      </w:r>
      <w:r w:rsidRPr="006F25F7">
        <w:rPr>
          <w:vertAlign w:val="subscript"/>
        </w:rPr>
        <w:t>2</w:t>
      </w:r>
      <w:r w:rsidRPr="00383254">
        <w:t xml:space="preserve"> at doses fr</w:t>
      </w:r>
      <w:r>
        <w:t>om 1027-</w:t>
      </w:r>
      <w:r w:rsidRPr="00383254">
        <w:t xml:space="preserve">3081 </w:t>
      </w:r>
      <w:proofErr w:type="spellStart"/>
      <w:r w:rsidRPr="00383254">
        <w:t>kBq</w:t>
      </w:r>
      <w:proofErr w:type="spellEnd"/>
      <w:r w:rsidRPr="00383254">
        <w:t xml:space="preserve">/kg (single </w:t>
      </w:r>
      <w:r>
        <w:t>IV</w:t>
      </w:r>
      <w:r w:rsidRPr="00383254">
        <w:t xml:space="preserve"> bolus) to rats. Study R8662 administered </w:t>
      </w:r>
      <w:r w:rsidRPr="006F25F7">
        <w:rPr>
          <w:vertAlign w:val="superscript"/>
        </w:rPr>
        <w:t>223</w:t>
      </w:r>
      <w:r w:rsidRPr="006F25F7">
        <w:t>RaCl</w:t>
      </w:r>
      <w:r w:rsidRPr="006F25F7">
        <w:rPr>
          <w:vertAlign w:val="subscript"/>
        </w:rPr>
        <w:t>2</w:t>
      </w:r>
      <w:r>
        <w:t xml:space="preserve"> at doses from 20-</w:t>
      </w:r>
      <w:r w:rsidRPr="00383254">
        <w:t xml:space="preserve">1300 </w:t>
      </w:r>
      <w:proofErr w:type="spellStart"/>
      <w:r w:rsidRPr="00383254">
        <w:t>kBq</w:t>
      </w:r>
      <w:proofErr w:type="spellEnd"/>
      <w:r w:rsidRPr="00383254">
        <w:t>/kg to male and female rats</w:t>
      </w:r>
      <w:r>
        <w:t xml:space="preserve"> </w:t>
      </w:r>
      <w:r w:rsidRPr="00F65AB5">
        <w:t>followed by 12</w:t>
      </w:r>
      <w:r>
        <w:t xml:space="preserve"> </w:t>
      </w:r>
      <w:r w:rsidRPr="00F65AB5">
        <w:t>month observation period</w:t>
      </w:r>
      <w:r w:rsidRPr="00383254">
        <w:t xml:space="preserve">. Three deaths were reported in the mouse study: one from mid dose and two from high dose. No deaths were reported in the rat </w:t>
      </w:r>
      <w:r>
        <w:t>S</w:t>
      </w:r>
      <w:r w:rsidRPr="00383254">
        <w:t xml:space="preserve">tudy R-8661. In mice, clinical signs consisting of </w:t>
      </w:r>
      <w:proofErr w:type="spellStart"/>
      <w:r w:rsidRPr="00383254">
        <w:t>piloerection</w:t>
      </w:r>
      <w:proofErr w:type="spellEnd"/>
      <w:r w:rsidRPr="00383254">
        <w:t>, hunched posture and a passive beha</w:t>
      </w:r>
      <w:r w:rsidR="001F3EF7">
        <w:t>viour were noted in all groups.</w:t>
      </w:r>
    </w:p>
    <w:p w:rsidR="00630A89" w:rsidRPr="00383254" w:rsidRDefault="00E7272E" w:rsidP="00383254">
      <w:r w:rsidRPr="00383254">
        <w:t xml:space="preserve">In </w:t>
      </w:r>
      <w:r>
        <w:t>S</w:t>
      </w:r>
      <w:r w:rsidRPr="00383254">
        <w:t>tudy R</w:t>
      </w:r>
      <w:r>
        <w:t>-</w:t>
      </w:r>
      <w:r w:rsidRPr="00383254">
        <w:t xml:space="preserve">8662, clinical signs in the high dose groups (325 and 1300 </w:t>
      </w:r>
      <w:proofErr w:type="spellStart"/>
      <w:r w:rsidRPr="00383254">
        <w:t>kBq</w:t>
      </w:r>
      <w:proofErr w:type="spellEnd"/>
      <w:r w:rsidRPr="00383254">
        <w:t>/kg) included w</w:t>
      </w:r>
      <w:r>
        <w:t>o</w:t>
      </w:r>
      <w:r w:rsidRPr="00383254">
        <w:t>rn</w:t>
      </w:r>
      <w:r>
        <w:t xml:space="preserve"> </w:t>
      </w:r>
      <w:r w:rsidRPr="00383254">
        <w:t xml:space="preserve">down teeth, partial paralytic hind limbs, </w:t>
      </w:r>
      <w:proofErr w:type="spellStart"/>
      <w:proofErr w:type="gramStart"/>
      <w:r w:rsidRPr="00383254">
        <w:t>piloerection</w:t>
      </w:r>
      <w:proofErr w:type="spellEnd"/>
      <w:proofErr w:type="gramEnd"/>
      <w:r w:rsidRPr="00383254">
        <w:t xml:space="preserve"> and red secretions were the most common observations in rats. Weight loss and reduced food consumption was noted in all dose groups up to 30 days post</w:t>
      </w:r>
      <w:r>
        <w:t xml:space="preserve"> </w:t>
      </w:r>
      <w:r w:rsidRPr="00383254">
        <w:t xml:space="preserve">dose in both rats and mice. Furthermore, </w:t>
      </w:r>
      <w:r>
        <w:t xml:space="preserve">test article </w:t>
      </w:r>
      <w:r>
        <w:lastRenderedPageBreak/>
        <w:t>related reduced red blood cells</w:t>
      </w:r>
      <w:r w:rsidRPr="00383254">
        <w:t xml:space="preserve">, </w:t>
      </w:r>
      <w:r>
        <w:t>white blood cells</w:t>
      </w:r>
      <w:r w:rsidRPr="00383254">
        <w:t xml:space="preserve">, lymphocyte and eosinophil counts were also noted in both species; likely related to depletion of haematopoietic cells in the bone marrow. In both species, reduced alkaline phosphatase activity was observed in all dose groups which were attributed to depletion of osteoblasts. Increased activity of </w:t>
      </w:r>
      <w:proofErr w:type="spellStart"/>
      <w:r w:rsidRPr="00383254">
        <w:t>extramedullary</w:t>
      </w:r>
      <w:proofErr w:type="spellEnd"/>
      <w:r w:rsidRPr="00383254">
        <w:t xml:space="preserve"> haematopoiesis was implicated in the increased spleen weight in both mice and rats. In mice, observed microscopic changes included, dose</w:t>
      </w:r>
      <w:r>
        <w:t xml:space="preserve"> </w:t>
      </w:r>
      <w:r w:rsidRPr="00383254">
        <w:t xml:space="preserve">related minimal to moderate depletion of osteocytes and osteoblasts, minimal to marked depletion of the haematopoietic cells (in bone) and </w:t>
      </w:r>
      <w:proofErr w:type="spellStart"/>
      <w:r w:rsidRPr="00383254">
        <w:t>extramedullary</w:t>
      </w:r>
      <w:proofErr w:type="spellEnd"/>
      <w:r w:rsidRPr="00383254">
        <w:t xml:space="preserve"> haematopoiesis in the spleen, mandibular and mesenteric lymph nodes</w:t>
      </w:r>
      <w:r w:rsidR="004665CC">
        <w:t>.</w:t>
      </w:r>
    </w:p>
    <w:p w:rsidR="00630A89" w:rsidRPr="007915FA" w:rsidRDefault="00630A89" w:rsidP="007915FA">
      <w:r w:rsidRPr="007915FA">
        <w:t xml:space="preserve">Study R-8668-MSRA1 and R-8668a-MSRA1 investigated the effects of single </w:t>
      </w:r>
      <w:r w:rsidR="00EE4946">
        <w:t>IV</w:t>
      </w:r>
      <w:r w:rsidRPr="007915FA">
        <w:t xml:space="preserve"> doses (50 </w:t>
      </w:r>
      <w:proofErr w:type="spellStart"/>
      <w:r w:rsidRPr="007915FA">
        <w:t>kBq</w:t>
      </w:r>
      <w:proofErr w:type="spellEnd"/>
      <w:r w:rsidRPr="007915FA">
        <w:t xml:space="preserve">/kg, </w:t>
      </w:r>
      <w:proofErr w:type="gramStart"/>
      <w:r w:rsidRPr="007915FA">
        <w:t xml:space="preserve">150 </w:t>
      </w:r>
      <w:proofErr w:type="spellStart"/>
      <w:r w:rsidRPr="007915FA">
        <w:t>kBq</w:t>
      </w:r>
      <w:proofErr w:type="spellEnd"/>
      <w:r w:rsidRPr="007915FA">
        <w:t>/kg</w:t>
      </w:r>
      <w:proofErr w:type="gramEnd"/>
      <w:r w:rsidRPr="007915FA">
        <w:t xml:space="preserve"> and 450 </w:t>
      </w:r>
      <w:proofErr w:type="spellStart"/>
      <w:r w:rsidRPr="007915FA">
        <w:t>kBq</w:t>
      </w:r>
      <w:proofErr w:type="spellEnd"/>
      <w:r w:rsidRPr="007915FA">
        <w:t xml:space="preserve">/kg) of </w:t>
      </w:r>
      <w:r w:rsidR="007915FA" w:rsidRPr="006F25F7">
        <w:rPr>
          <w:vertAlign w:val="superscript"/>
        </w:rPr>
        <w:t>223</w:t>
      </w:r>
      <w:r w:rsidR="007915FA" w:rsidRPr="006F25F7">
        <w:t>RaCl</w:t>
      </w:r>
      <w:r w:rsidR="007915FA" w:rsidRPr="006F25F7">
        <w:rPr>
          <w:vertAlign w:val="subscript"/>
        </w:rPr>
        <w:t>2</w:t>
      </w:r>
      <w:r w:rsidRPr="007915FA">
        <w:t xml:space="preserve"> on dogs. One death due to pneumonia was reported in the study. No test</w:t>
      </w:r>
      <w:r w:rsidR="00284BA8">
        <w:t xml:space="preserve"> </w:t>
      </w:r>
      <w:r w:rsidRPr="007915FA">
        <w:t xml:space="preserve">article related clinical signs were noted. A dose dependent decrease in total </w:t>
      </w:r>
      <w:r w:rsidR="00284BA8">
        <w:t>white blood cells</w:t>
      </w:r>
      <w:r w:rsidRPr="007915FA">
        <w:t>, granulocyte</w:t>
      </w:r>
      <w:r w:rsidR="00B248AC">
        <w:t>,</w:t>
      </w:r>
      <w:r w:rsidRPr="007915FA">
        <w:t xml:space="preserve"> and platelet count</w:t>
      </w:r>
      <w:r w:rsidR="00B248AC">
        <w:t>s</w:t>
      </w:r>
      <w:r w:rsidRPr="007915FA">
        <w:t xml:space="preserve"> was noted </w:t>
      </w:r>
      <w:r w:rsidR="00BB6ABC">
        <w:t xml:space="preserve">with nadir </w:t>
      </w:r>
      <w:r w:rsidRPr="007915FA">
        <w:t xml:space="preserve">at 10-14 days. These observations were correlated with a dose dependent reduction in marrow elements. In the low dose group, the haematology parameters returned to reference range by </w:t>
      </w:r>
      <w:r w:rsidR="003623EA">
        <w:t>D</w:t>
      </w:r>
      <w:r w:rsidRPr="007915FA">
        <w:t>ay 30 post</w:t>
      </w:r>
      <w:r w:rsidR="003623EA">
        <w:t xml:space="preserve"> </w:t>
      </w:r>
      <w:r w:rsidRPr="007915FA">
        <w:t>dose. A light reduction in f</w:t>
      </w:r>
      <w:r w:rsidR="00181F67" w:rsidRPr="007915FA">
        <w:t>a</w:t>
      </w:r>
      <w:r w:rsidRPr="007915FA">
        <w:t xml:space="preserve">ecal production was noted in mid and high dose groups. </w:t>
      </w:r>
      <w:r w:rsidR="007915FA" w:rsidRPr="006F25F7">
        <w:rPr>
          <w:vertAlign w:val="superscript"/>
        </w:rPr>
        <w:t>223</w:t>
      </w:r>
      <w:r w:rsidR="007915FA" w:rsidRPr="006F25F7">
        <w:t>RaCl</w:t>
      </w:r>
      <w:r w:rsidR="007915FA" w:rsidRPr="006F25F7">
        <w:rPr>
          <w:vertAlign w:val="subscript"/>
        </w:rPr>
        <w:t>2</w:t>
      </w:r>
      <w:r w:rsidRPr="007915FA">
        <w:t xml:space="preserve"> was rapidly cleared from blood (1-2% of injected dose present 24</w:t>
      </w:r>
      <w:r w:rsidR="003623EA">
        <w:t xml:space="preserve"> </w:t>
      </w:r>
      <w:r w:rsidRPr="007915FA">
        <w:t xml:space="preserve">h post dose for all groups; the mean alpha </w:t>
      </w:r>
      <w:proofErr w:type="spellStart"/>
      <w:r w:rsidRPr="007915FA">
        <w:t>half lives</w:t>
      </w:r>
      <w:proofErr w:type="spellEnd"/>
      <w:r w:rsidRPr="007915FA">
        <w:t xml:space="preserve"> of the 50, 150 and 450 </w:t>
      </w:r>
      <w:proofErr w:type="spellStart"/>
      <w:r w:rsidRPr="007915FA">
        <w:t>kBq</w:t>
      </w:r>
      <w:proofErr w:type="spellEnd"/>
      <w:r w:rsidRPr="007915FA">
        <w:t>/kg dose groups were 10.9, 5.9 and 11.0 minutes, respectively). A dose</w:t>
      </w:r>
      <w:r w:rsidR="003623EA">
        <w:t xml:space="preserve"> </w:t>
      </w:r>
      <w:r w:rsidRPr="007915FA">
        <w:t xml:space="preserve">dependent increase in radioactivity of bone tissue with increasing dose of </w:t>
      </w:r>
      <w:r w:rsidR="007915FA" w:rsidRPr="006F25F7">
        <w:rPr>
          <w:vertAlign w:val="superscript"/>
        </w:rPr>
        <w:t>223</w:t>
      </w:r>
      <w:r w:rsidR="007915FA" w:rsidRPr="006F25F7">
        <w:t>RaCl</w:t>
      </w:r>
      <w:r w:rsidR="007915FA" w:rsidRPr="006F25F7">
        <w:rPr>
          <w:vertAlign w:val="subscript"/>
        </w:rPr>
        <w:t>2</w:t>
      </w:r>
      <w:r w:rsidRPr="007915FA">
        <w:t xml:space="preserve"> was noted. Minimal radioactivity was noted in soft tissue (liver and spleen recording the highest levels) in comparison to bone. These observations were consistent with the rodent studies. Bilateral, segmental retinal detachment was noted in 3/3 surviving dogs in the high dose (450 </w:t>
      </w:r>
      <w:proofErr w:type="spellStart"/>
      <w:r w:rsidRPr="007915FA">
        <w:t>kBq</w:t>
      </w:r>
      <w:proofErr w:type="spellEnd"/>
      <w:r w:rsidRPr="007915FA">
        <w:t xml:space="preserve">/kg) treatment group (Amendment, R-8669), and in 1/4 dogs in the 150 </w:t>
      </w:r>
      <w:proofErr w:type="spellStart"/>
      <w:r w:rsidRPr="007915FA">
        <w:t>kBq</w:t>
      </w:r>
      <w:proofErr w:type="spellEnd"/>
      <w:r w:rsidRPr="007915FA">
        <w:t>/kg group, 30 days post</w:t>
      </w:r>
      <w:r w:rsidR="003623EA">
        <w:t xml:space="preserve"> </w:t>
      </w:r>
      <w:r w:rsidRPr="007915FA">
        <w:t xml:space="preserve">dose. It was not observed </w:t>
      </w:r>
      <w:proofErr w:type="gramStart"/>
      <w:r w:rsidRPr="007915FA">
        <w:t xml:space="preserve">at 50 </w:t>
      </w:r>
      <w:proofErr w:type="spellStart"/>
      <w:r w:rsidRPr="007915FA">
        <w:t>kBq</w:t>
      </w:r>
      <w:proofErr w:type="spellEnd"/>
      <w:r w:rsidRPr="007915FA">
        <w:t>/kg</w:t>
      </w:r>
      <w:proofErr w:type="gramEnd"/>
      <w:r w:rsidRPr="007915FA">
        <w:t xml:space="preserve">. Retinal detachment appeared to be secondary to </w:t>
      </w:r>
      <w:proofErr w:type="spellStart"/>
      <w:r w:rsidRPr="007915FA">
        <w:t>choroidal</w:t>
      </w:r>
      <w:proofErr w:type="spellEnd"/>
      <w:r w:rsidRPr="007915FA">
        <w:t xml:space="preserve"> haemorrhage with </w:t>
      </w:r>
      <w:proofErr w:type="spellStart"/>
      <w:r w:rsidRPr="007915FA">
        <w:t>subretinal</w:t>
      </w:r>
      <w:proofErr w:type="spellEnd"/>
      <w:r w:rsidRPr="007915FA">
        <w:t xml:space="preserve"> effusion. While selective accumulation of </w:t>
      </w:r>
      <w:r w:rsidR="003623EA">
        <w:rPr>
          <w:vertAlign w:val="superscript"/>
        </w:rPr>
        <w:t>226</w:t>
      </w:r>
      <w:r w:rsidR="003623EA" w:rsidRPr="006F25F7">
        <w:t>Ra</w:t>
      </w:r>
      <w:r w:rsidR="003623EA" w:rsidRPr="007915FA">
        <w:t xml:space="preserve"> </w:t>
      </w:r>
      <w:r w:rsidRPr="007915FA">
        <w:t>in beagles has been previously</w:t>
      </w:r>
      <w:r w:rsidR="003623EA">
        <w:t xml:space="preserve"> documented</w:t>
      </w:r>
      <w:r w:rsidRPr="007915FA">
        <w:t>,</w:t>
      </w:r>
      <w:r w:rsidR="003623EA">
        <w:rPr>
          <w:rStyle w:val="FootnoteReference"/>
        </w:rPr>
        <w:footnoteReference w:id="14"/>
      </w:r>
      <w:r w:rsidRPr="007915FA">
        <w:t xml:space="preserve"> with highest concentrations in the melanin granules of the </w:t>
      </w:r>
      <w:proofErr w:type="spellStart"/>
      <w:r w:rsidRPr="003F6C17">
        <w:rPr>
          <w:i/>
        </w:rPr>
        <w:t>tapetum</w:t>
      </w:r>
      <w:proofErr w:type="spellEnd"/>
      <w:r w:rsidRPr="003F6C17">
        <w:rPr>
          <w:i/>
        </w:rPr>
        <w:t xml:space="preserve"> </w:t>
      </w:r>
      <w:proofErr w:type="spellStart"/>
      <w:r w:rsidRPr="003F6C17">
        <w:rPr>
          <w:i/>
        </w:rPr>
        <w:t>lucidum</w:t>
      </w:r>
      <w:proofErr w:type="spellEnd"/>
      <w:r w:rsidRPr="007915FA">
        <w:t xml:space="preserve"> (a structure absent in the human eye), and subsequent melanoma formation, the clinical implications of these findings remain uncertain. Retinal detachment was not observed in the repeat</w:t>
      </w:r>
      <w:r w:rsidR="0024280F">
        <w:t xml:space="preserve"> </w:t>
      </w:r>
      <w:r w:rsidRPr="007915FA">
        <w:t xml:space="preserve">dose toxicity study in dogs at a dose level </w:t>
      </w:r>
      <w:proofErr w:type="gramStart"/>
      <w:r w:rsidRPr="007915FA">
        <w:t xml:space="preserve">of 50 </w:t>
      </w:r>
      <w:proofErr w:type="spellStart"/>
      <w:r w:rsidRPr="007915FA">
        <w:t>kBq</w:t>
      </w:r>
      <w:proofErr w:type="spellEnd"/>
      <w:r w:rsidRPr="007915FA">
        <w:t>/kg,</w:t>
      </w:r>
      <w:proofErr w:type="gramEnd"/>
      <w:r w:rsidRPr="007915FA">
        <w:t xml:space="preserve"> nor was it observed in clinical t</w:t>
      </w:r>
      <w:r w:rsidR="00BF3E99">
        <w:t>rials</w:t>
      </w:r>
      <w:r w:rsidRPr="007915FA">
        <w:t>.</w:t>
      </w:r>
    </w:p>
    <w:p w:rsidR="00630A89" w:rsidRPr="007915FA" w:rsidRDefault="00630A89" w:rsidP="007915FA">
      <w:r w:rsidRPr="007915FA">
        <w:t>Overall, a moderate order of acute toxicity was observed in rodents, consistent to the intended activity of the test article. Low toxicity was observed in the dog studies, with the e</w:t>
      </w:r>
      <w:r w:rsidR="004665CC">
        <w:t>xception of retinal detachment.</w:t>
      </w:r>
    </w:p>
    <w:p w:rsidR="00630A89" w:rsidRPr="00630A89" w:rsidRDefault="00630A89" w:rsidP="00383254">
      <w:pPr>
        <w:pStyle w:val="Heading4"/>
      </w:pPr>
      <w:bookmarkStart w:id="53" w:name="_Toc294861728"/>
      <w:r w:rsidRPr="00630A89">
        <w:t>Repeat</w:t>
      </w:r>
      <w:r w:rsidR="00805274">
        <w:t xml:space="preserve"> </w:t>
      </w:r>
      <w:r w:rsidRPr="00630A89">
        <w:t>dose toxicity</w:t>
      </w:r>
      <w:bookmarkEnd w:id="53"/>
    </w:p>
    <w:p w:rsidR="001F3EF7" w:rsidRDefault="000A1F17" w:rsidP="007915FA">
      <w:r w:rsidRPr="007915FA">
        <w:t xml:space="preserve">The sponsor submitted 3 repeat dose toxicity studies in rat and dog models (Studies R-8662, R-8663 and R-8670). Study R-8662 administered x4 doses of 20, 325 or 650 </w:t>
      </w:r>
      <w:proofErr w:type="spellStart"/>
      <w:r w:rsidRPr="007915FA">
        <w:t>kBq</w:t>
      </w:r>
      <w:proofErr w:type="spellEnd"/>
      <w:r w:rsidRPr="007915FA">
        <w:t xml:space="preserve">/kg </w:t>
      </w:r>
      <w:r w:rsidRPr="006F25F7">
        <w:rPr>
          <w:vertAlign w:val="superscript"/>
        </w:rPr>
        <w:t>223</w:t>
      </w:r>
      <w:r w:rsidRPr="006F25F7">
        <w:t>RaCl</w:t>
      </w:r>
      <w:r w:rsidRPr="006F25F7">
        <w:rPr>
          <w:vertAlign w:val="subscript"/>
        </w:rPr>
        <w:t>2</w:t>
      </w:r>
      <w:r w:rsidRPr="007915FA">
        <w:t xml:space="preserve"> to rats once every 4 weeks followed by 12</w:t>
      </w:r>
      <w:r>
        <w:t xml:space="preserve"> </w:t>
      </w:r>
      <w:r w:rsidRPr="007915FA">
        <w:t xml:space="preserve">month observation period. Up to 6 animals/sex in the high dose group (75%) and 5 animals/sex in the mid dose group (64%) were terminated or reported dead prior to study end. Some of the common clinical signs observed included, short teeth (with elongated lower jaw teeth), weight loss (secondary to shortened teeth), </w:t>
      </w:r>
      <w:proofErr w:type="gramStart"/>
      <w:r w:rsidRPr="007915FA">
        <w:t>red</w:t>
      </w:r>
      <w:proofErr w:type="gramEnd"/>
      <w:r w:rsidRPr="007915FA">
        <w:t xml:space="preserve"> secretions around eyes, </w:t>
      </w:r>
      <w:proofErr w:type="spellStart"/>
      <w:r w:rsidRPr="007915FA">
        <w:t>piloerection</w:t>
      </w:r>
      <w:proofErr w:type="spellEnd"/>
      <w:r w:rsidRPr="007915FA">
        <w:t>, limping (hind/forelimbs), reduced reflexes, noisy laboured respiration an</w:t>
      </w:r>
      <w:r w:rsidR="001F3EF7">
        <w:t>d passive responses.</w:t>
      </w:r>
    </w:p>
    <w:p w:rsidR="001F3EF7" w:rsidRDefault="000A1F17" w:rsidP="007915FA">
      <w:r w:rsidRPr="007915FA">
        <w:t>The clinical signs, which oc</w:t>
      </w:r>
      <w:r>
        <w:t xml:space="preserve">curred approximately at the 6 </w:t>
      </w:r>
      <w:r w:rsidRPr="007915FA">
        <w:t>month time point were more prominent in the mid and high dose groups. In both the mid and high dose groups, dose</w:t>
      </w:r>
      <w:r>
        <w:t xml:space="preserve"> </w:t>
      </w:r>
      <w:r w:rsidRPr="007915FA">
        <w:t xml:space="preserve">related and statistically significant reductions in body weight gain were noted. The reduced weight gain trended towards a slight recovery by experiment termination. Transient reductions in food consumption was also noted; likely </w:t>
      </w:r>
      <w:r w:rsidR="001F3EF7">
        <w:t>related to shortening of teeth.</w:t>
      </w:r>
    </w:p>
    <w:p w:rsidR="001F3EF7" w:rsidRDefault="000A1F17" w:rsidP="007915FA">
      <w:r w:rsidRPr="007915FA">
        <w:lastRenderedPageBreak/>
        <w:t>Fourteen</w:t>
      </w:r>
      <w:r>
        <w:t xml:space="preserve"> </w:t>
      </w:r>
      <w:r w:rsidRPr="007915FA">
        <w:t xml:space="preserve">days following </w:t>
      </w:r>
      <w:r>
        <w:t xml:space="preserve">the </w:t>
      </w:r>
      <w:r w:rsidRPr="007915FA">
        <w:t>final dose, statistically significant changes in haemoglobin</w:t>
      </w:r>
      <w:r>
        <w:t xml:space="preserve"> (reduced), red blood cells (reduced)</w:t>
      </w:r>
      <w:r w:rsidRPr="007915FA">
        <w:t>, haematocrit</w:t>
      </w:r>
      <w:r>
        <w:t xml:space="preserve"> (reduced)</w:t>
      </w:r>
      <w:r w:rsidRPr="007915FA">
        <w:t>, white blood cells</w:t>
      </w:r>
      <w:r>
        <w:t xml:space="preserve"> (reduced)</w:t>
      </w:r>
      <w:r w:rsidRPr="007915FA">
        <w:t>, neutrophils</w:t>
      </w:r>
      <w:r>
        <w:t xml:space="preserve"> (reduced)</w:t>
      </w:r>
      <w:r w:rsidRPr="007915FA">
        <w:t>, absolute lymphocytes</w:t>
      </w:r>
      <w:r>
        <w:t xml:space="preserve"> (reduced)</w:t>
      </w:r>
      <w:r w:rsidRPr="007915FA">
        <w:t xml:space="preserve">, </w:t>
      </w:r>
      <w:proofErr w:type="spellStart"/>
      <w:r w:rsidRPr="007915FA">
        <w:t>eosinophils</w:t>
      </w:r>
      <w:proofErr w:type="spellEnd"/>
      <w:r>
        <w:t xml:space="preserve"> (reduced)</w:t>
      </w:r>
      <w:r w:rsidRPr="007915FA">
        <w:t xml:space="preserve">, </w:t>
      </w:r>
      <w:r w:rsidRPr="00C246BB">
        <w:t xml:space="preserve"> mean cell volume (increased), mean cell haemoglobin concentration (increased) and mean cell haemoglobin (increased) were observed. By 52 weeks post dose only, mean c</w:t>
      </w:r>
      <w:r w:rsidRPr="007915FA">
        <w:t>ell volume</w:t>
      </w:r>
      <w:r>
        <w:t xml:space="preserve"> (increased)</w:t>
      </w:r>
      <w:r w:rsidRPr="007915FA">
        <w:t>, and mean cell haemoglobin concentration</w:t>
      </w:r>
      <w:r>
        <w:t xml:space="preserve"> (increased)</w:t>
      </w:r>
      <w:r w:rsidRPr="007915FA">
        <w:t xml:space="preserve"> remained statistically different in medium and high dose groups. This suggests a recovery trend for most haematology parameters.</w:t>
      </w:r>
    </w:p>
    <w:p w:rsidR="001F3EF7" w:rsidRDefault="000A1F17" w:rsidP="007915FA">
      <w:r w:rsidRPr="007915FA">
        <w:t>The following chemistry parameters showed significant differences up to experimental termination; alanin</w:t>
      </w:r>
      <w:r>
        <w:t>e</w:t>
      </w:r>
      <w:r w:rsidRPr="007915FA">
        <w:t xml:space="preserve"> aminotransferase</w:t>
      </w:r>
      <w:r>
        <w:t xml:space="preserve"> (increased)</w:t>
      </w:r>
      <w:r w:rsidRPr="007915FA">
        <w:t xml:space="preserve">, </w:t>
      </w:r>
      <w:proofErr w:type="spellStart"/>
      <w:r w:rsidRPr="007915FA">
        <w:t>aspartase</w:t>
      </w:r>
      <w:proofErr w:type="spellEnd"/>
      <w:r w:rsidRPr="007915FA">
        <w:t xml:space="preserve"> </w:t>
      </w:r>
      <w:r>
        <w:t>aminotransferase (increased)</w:t>
      </w:r>
      <w:r w:rsidRPr="007915FA">
        <w:t>, triglycerides</w:t>
      </w:r>
      <w:r>
        <w:t xml:space="preserve"> (reduced)</w:t>
      </w:r>
      <w:r w:rsidRPr="007915FA">
        <w:t>, creatinine</w:t>
      </w:r>
      <w:r>
        <w:t xml:space="preserve"> (increased)</w:t>
      </w:r>
      <w:r w:rsidRPr="007915FA">
        <w:t>, phosphate</w:t>
      </w:r>
      <w:r>
        <w:t xml:space="preserve"> (increased),</w:t>
      </w:r>
      <w:r w:rsidRPr="007915FA">
        <w:t xml:space="preserve"> and chloride</w:t>
      </w:r>
      <w:r>
        <w:t xml:space="preserve"> (reduced)</w:t>
      </w:r>
      <w:r w:rsidRPr="007915FA">
        <w:t>. Given the significant changes in other clinical chemistry parameters 14 days post</w:t>
      </w:r>
      <w:r>
        <w:t xml:space="preserve"> </w:t>
      </w:r>
      <w:r w:rsidRPr="007915FA">
        <w:t>dose, a slight trend towards normalisation is indicated. Changes in urinary parameters such as γ-</w:t>
      </w:r>
      <w:proofErr w:type="spellStart"/>
      <w:r w:rsidRPr="007915FA">
        <w:t>glutamyl</w:t>
      </w:r>
      <w:proofErr w:type="spellEnd"/>
      <w:r w:rsidRPr="007915FA">
        <w:t xml:space="preserve"> </w:t>
      </w:r>
      <w:proofErr w:type="spellStart"/>
      <w:r w:rsidRPr="007915FA">
        <w:t>transferase</w:t>
      </w:r>
      <w:proofErr w:type="spellEnd"/>
      <w:r w:rsidRPr="007915FA">
        <w:t>, sodium, potassium, calcium, chloride, and pH (with the exception of creatinine) returned to less than significant levels by study termination; the changes in urinary parameters appear to related to kidney and liver pathologies indicative of radiation toxicity.</w:t>
      </w:r>
    </w:p>
    <w:p w:rsidR="00630A89" w:rsidRPr="007915FA" w:rsidRDefault="000A1F17" w:rsidP="007915FA">
      <w:proofErr w:type="spellStart"/>
      <w:r w:rsidRPr="007915FA">
        <w:t>Histopathological</w:t>
      </w:r>
      <w:proofErr w:type="spellEnd"/>
      <w:r w:rsidRPr="007915FA">
        <w:t xml:space="preserve"> examination revealed treatment related changes in the bone socket of the teeth, in the liver, kidneys, uterus, spleen and bone which included</w:t>
      </w:r>
      <w:r>
        <w:t>:</w:t>
      </w:r>
      <w:r w:rsidRPr="007915FA">
        <w:t xml:space="preserve"> lost or fractured teeth, </w:t>
      </w:r>
      <w:proofErr w:type="spellStart"/>
      <w:r w:rsidRPr="007915FA">
        <w:t>karyomegaly</w:t>
      </w:r>
      <w:proofErr w:type="spellEnd"/>
      <w:r w:rsidRPr="007915FA">
        <w:t xml:space="preserve"> in liver and kidneys and bile duct hyperplasia. The study also reported incidents of osteosarcoma, often with metastasis, and non</w:t>
      </w:r>
      <w:r>
        <w:t xml:space="preserve"> </w:t>
      </w:r>
      <w:r w:rsidRPr="007915FA">
        <w:t>bon</w:t>
      </w:r>
      <w:r>
        <w:t>e</w:t>
      </w:r>
      <w:r w:rsidRPr="007915FA">
        <w:t xml:space="preserve"> neoplasms across different treatment groups (mammary gland carcinoma in one treated female, lymphoma in multiple organs in one treated male).</w:t>
      </w:r>
      <w:r>
        <w:t xml:space="preserve"> </w:t>
      </w:r>
      <w:r w:rsidRPr="007915FA">
        <w:t xml:space="preserve">There are published reports of radium inducing osteosarcomas in mice, rats and dogs. The </w:t>
      </w:r>
      <w:r w:rsidRPr="00BD70EF">
        <w:t xml:space="preserve">No Observed Adverse Effect Level </w:t>
      </w:r>
      <w:r>
        <w:t>(</w:t>
      </w:r>
      <w:r w:rsidRPr="007915FA">
        <w:t>NOAEL</w:t>
      </w:r>
      <w:r>
        <w:t>)</w:t>
      </w:r>
      <w:r w:rsidRPr="007915FA">
        <w:t xml:space="preserve"> was deemed to be below the 20 </w:t>
      </w:r>
      <w:proofErr w:type="spellStart"/>
      <w:r w:rsidRPr="007915FA">
        <w:t>kBq</w:t>
      </w:r>
      <w:proofErr w:type="spellEnd"/>
      <w:r w:rsidRPr="007915FA">
        <w:t xml:space="preserve">/kg low dose threshold. At the time of each low dose, the </w:t>
      </w:r>
      <w:proofErr w:type="spellStart"/>
      <w:r w:rsidRPr="007915FA">
        <w:t>animal</w:t>
      </w:r>
      <w:proofErr w:type="gramStart"/>
      <w:r w:rsidRPr="007915FA">
        <w:t>:human</w:t>
      </w:r>
      <w:proofErr w:type="spellEnd"/>
      <w:proofErr w:type="gramEnd"/>
      <w:r w:rsidRPr="007915FA">
        <w:t xml:space="preserve"> safety ratio is &lt; 0.5 based on BSA</w:t>
      </w:r>
      <w:r w:rsidR="006B177F">
        <w:t>.</w:t>
      </w:r>
      <w:r w:rsidR="006B177F">
        <w:rPr>
          <w:rStyle w:val="FootnoteReference"/>
        </w:rPr>
        <w:footnoteReference w:id="15"/>
      </w:r>
    </w:p>
    <w:p w:rsidR="001F3EF7" w:rsidRDefault="00960325" w:rsidP="007915FA">
      <w:r w:rsidRPr="007915FA">
        <w:t>Study R-8663 was a 12</w:t>
      </w:r>
      <w:r>
        <w:t xml:space="preserve"> </w:t>
      </w:r>
      <w:r w:rsidRPr="007915FA">
        <w:t>month repeat dose toxicity study in rats (</w:t>
      </w:r>
      <w:r w:rsidRPr="006F25F7">
        <w:rPr>
          <w:vertAlign w:val="superscript"/>
        </w:rPr>
        <w:t>223</w:t>
      </w:r>
      <w:r w:rsidRPr="006F25F7">
        <w:t>RaCl</w:t>
      </w:r>
      <w:r w:rsidRPr="006F25F7">
        <w:rPr>
          <w:vertAlign w:val="subscript"/>
        </w:rPr>
        <w:t>2</w:t>
      </w:r>
      <w:r w:rsidRPr="007915FA">
        <w:t xml:space="preserve"> dose; 25, 50 or 100 </w:t>
      </w:r>
      <w:proofErr w:type="spellStart"/>
      <w:r w:rsidRPr="007915FA">
        <w:t>kBq</w:t>
      </w:r>
      <w:proofErr w:type="spellEnd"/>
      <w:r w:rsidRPr="007915FA">
        <w:t xml:space="preserve">/kg </w:t>
      </w:r>
      <w:r>
        <w:t>IV</w:t>
      </w:r>
      <w:r w:rsidRPr="007915FA">
        <w:t xml:space="preserve"> at 4 a week interval). Notable clinical signs included, loss of teeth (high prevalence in males), lameness in limbs (likely osteosarcoma</w:t>
      </w:r>
      <w:r>
        <w:t xml:space="preserve"> </w:t>
      </w:r>
      <w:r w:rsidRPr="007915FA">
        <w:t xml:space="preserve">related), reduced body weight and reduced food consumption, compared to controls. The signs were prominent in the medium and high dose groups and less </w:t>
      </w:r>
      <w:r w:rsidR="001F3EF7">
        <w:t>frequent in the low dose group.</w:t>
      </w:r>
    </w:p>
    <w:p w:rsidR="001F3EF7" w:rsidRDefault="00960325" w:rsidP="007915FA">
      <w:r w:rsidRPr="006241EA">
        <w:t xml:space="preserve">Changes to haematology parameters included decrease in red blood cell, white blood cell,  neutrophil, lymphocyte and </w:t>
      </w:r>
      <w:proofErr w:type="spellStart"/>
      <w:r w:rsidRPr="006241EA">
        <w:t>eosinophils</w:t>
      </w:r>
      <w:proofErr w:type="spellEnd"/>
      <w:r w:rsidRPr="006241EA">
        <w:t xml:space="preserve"> counts, increased reticulocyte counts, as well as reduced platelets pre</w:t>
      </w:r>
      <w:r>
        <w:t>-</w:t>
      </w:r>
      <w:r w:rsidRPr="006241EA">
        <w:t>thrombin time, haemoglobin and haematocrit. Increases in mean cell</w:t>
      </w:r>
      <w:r>
        <w:t xml:space="preserve"> </w:t>
      </w:r>
      <w:r w:rsidRPr="006241EA">
        <w:t xml:space="preserve">haemoglobin and mean </w:t>
      </w:r>
      <w:r w:rsidR="001F3EF7">
        <w:t>cell volume were also reported.</w:t>
      </w:r>
    </w:p>
    <w:p w:rsidR="001F3EF7" w:rsidRDefault="00960325" w:rsidP="007915FA">
      <w:r w:rsidRPr="006241EA">
        <w:t xml:space="preserve">Clinical chemistry parameters showed reduced alkaline phosphatase activity, albumin, </w:t>
      </w:r>
      <w:proofErr w:type="spellStart"/>
      <w:r w:rsidRPr="006241EA">
        <w:t>albuminglobulin</w:t>
      </w:r>
      <w:proofErr w:type="spellEnd"/>
      <w:r w:rsidRPr="006241EA">
        <w:t xml:space="preserve"> ratio, chloride and sodium levels and increased alanine amino </w:t>
      </w:r>
      <w:proofErr w:type="spellStart"/>
      <w:r w:rsidRPr="006241EA">
        <w:t>transferase</w:t>
      </w:r>
      <w:proofErr w:type="spellEnd"/>
      <w:r w:rsidRPr="006241EA">
        <w:t xml:space="preserve"> and phosphate levels. W</w:t>
      </w:r>
      <w:r w:rsidRPr="007915FA">
        <w:t xml:space="preserve">hile increased spleen weight was noted in all treatment groups, other organs recorded </w:t>
      </w:r>
      <w:r w:rsidRPr="001D0B6F">
        <w:t>reduced absolute weight, reflecting lower body weights</w:t>
      </w:r>
      <w:r w:rsidR="001F3EF7">
        <w:t xml:space="preserve"> compared to controls.</w:t>
      </w:r>
    </w:p>
    <w:p w:rsidR="00630A89" w:rsidRPr="007915FA" w:rsidRDefault="00960325" w:rsidP="007915FA">
      <w:proofErr w:type="spellStart"/>
      <w:r w:rsidRPr="007915FA">
        <w:t>Histopathological</w:t>
      </w:r>
      <w:proofErr w:type="spellEnd"/>
      <w:r w:rsidRPr="007915FA">
        <w:t xml:space="preserve"> examinations revealed increased osteosarcomas in bone tissue in treatment groups and metastasis of osteosarcomas in muscle and lungs some animals. Based on observed toxicity, no NOAEL was established.</w:t>
      </w:r>
      <w:r>
        <w:t xml:space="preserve"> </w:t>
      </w:r>
      <w:r w:rsidRPr="007915FA">
        <w:t xml:space="preserve">Based on the lowest dose, the </w:t>
      </w:r>
      <w:proofErr w:type="spellStart"/>
      <w:r w:rsidRPr="007915FA">
        <w:t>animal</w:t>
      </w:r>
      <w:proofErr w:type="gramStart"/>
      <w:r w:rsidRPr="007915FA">
        <w:t>:human</w:t>
      </w:r>
      <w:proofErr w:type="spellEnd"/>
      <w:proofErr w:type="gramEnd"/>
      <w:r w:rsidRPr="007915FA">
        <w:t xml:space="preserve"> safety ratio is &lt; 0.5 based on BSA</w:t>
      </w:r>
      <w:r w:rsidR="006B177F">
        <w:t>.</w:t>
      </w:r>
      <w:r w:rsidR="006B177F">
        <w:rPr>
          <w:rStyle w:val="FootnoteReference"/>
        </w:rPr>
        <w:footnoteReference w:id="16"/>
      </w:r>
    </w:p>
    <w:p w:rsidR="00630A89" w:rsidRPr="00C43A4A" w:rsidRDefault="00630A89" w:rsidP="00C43A4A">
      <w:r w:rsidRPr="00C43A4A">
        <w:t xml:space="preserve">In </w:t>
      </w:r>
      <w:r w:rsidR="002C4BB8">
        <w:t>S</w:t>
      </w:r>
      <w:r w:rsidRPr="00C43A4A">
        <w:t>tudy R-8670</w:t>
      </w:r>
      <w:r w:rsidR="00C43A4A">
        <w:t xml:space="preserve">, </w:t>
      </w:r>
      <w:r w:rsidR="00C43A4A" w:rsidRPr="006F25F7">
        <w:rPr>
          <w:vertAlign w:val="superscript"/>
        </w:rPr>
        <w:t>223</w:t>
      </w:r>
      <w:r w:rsidR="00C43A4A" w:rsidRPr="006F25F7">
        <w:t>RaCl</w:t>
      </w:r>
      <w:r w:rsidR="00C43A4A" w:rsidRPr="006F25F7">
        <w:rPr>
          <w:vertAlign w:val="subscript"/>
        </w:rPr>
        <w:t>2</w:t>
      </w:r>
      <w:r w:rsidR="00C43A4A">
        <w:t xml:space="preserve"> </w:t>
      </w:r>
      <w:r w:rsidRPr="00C43A4A">
        <w:t xml:space="preserve">was administered to dogs </w:t>
      </w:r>
      <w:proofErr w:type="gramStart"/>
      <w:r w:rsidRPr="00C43A4A">
        <w:t xml:space="preserve">at 50 </w:t>
      </w:r>
      <w:proofErr w:type="spellStart"/>
      <w:r w:rsidRPr="00C43A4A">
        <w:t>kBq</w:t>
      </w:r>
      <w:proofErr w:type="spellEnd"/>
      <w:r w:rsidRPr="00C43A4A">
        <w:t>/kg</w:t>
      </w:r>
      <w:proofErr w:type="gramEnd"/>
      <w:r w:rsidRPr="00C43A4A">
        <w:t xml:space="preserve"> at monthly intervals for six months. No mortalities were reported. No test</w:t>
      </w:r>
      <w:r w:rsidR="0009738D">
        <w:t xml:space="preserve"> </w:t>
      </w:r>
      <w:r w:rsidRPr="00C43A4A">
        <w:t xml:space="preserve">article related clinical signs were noted. Pharmacokinetic parameters revealed rapid clearance from blood and excretion into the urinary and gastrointestinal pathways. Selective accumulation was noted in bone with </w:t>
      </w:r>
      <w:r w:rsidRPr="00C43A4A">
        <w:lastRenderedPageBreak/>
        <w:t xml:space="preserve">minimal accumulation in observed in soft tissues. Changes in body weight of the treatment group were restricted to ±10% of baseline body weight. Haematology parameters revealed a decrease in granulocyte and platelet counts (with maximal at third injection and gradual recovery thereafter). In addition, decreases in white blood cells, red blood cells (slight) haemoglobin counts and </w:t>
      </w:r>
      <w:proofErr w:type="spellStart"/>
      <w:r w:rsidRPr="00C43A4A">
        <w:t>myeloid:erythroid</w:t>
      </w:r>
      <w:proofErr w:type="spellEnd"/>
      <w:r w:rsidRPr="00C43A4A">
        <w:t xml:space="preserve"> (M:E) ratio of bone marrow were also noted by the third dose, which returned to levels comparable with that of the control group by dose six. Bone</w:t>
      </w:r>
      <w:r w:rsidR="0009738D">
        <w:t xml:space="preserve"> </w:t>
      </w:r>
      <w:r w:rsidRPr="00C43A4A">
        <w:t>specific alkaline phosphatase and N-</w:t>
      </w:r>
      <w:proofErr w:type="spellStart"/>
      <w:r w:rsidRPr="00C43A4A">
        <w:t>telopeptide</w:t>
      </w:r>
      <w:proofErr w:type="spellEnd"/>
      <w:r w:rsidRPr="00C43A4A">
        <w:t xml:space="preserve"> increases were noted in the clinical chemistry analysis. No test</w:t>
      </w:r>
      <w:r w:rsidR="0009738D">
        <w:t xml:space="preserve"> </w:t>
      </w:r>
      <w:r w:rsidRPr="00C43A4A">
        <w:t xml:space="preserve">article related changes were observed in the urinalysis. While no major macroscopic or </w:t>
      </w:r>
      <w:proofErr w:type="spellStart"/>
      <w:r w:rsidRPr="00C43A4A">
        <w:t>histopathological</w:t>
      </w:r>
      <w:proofErr w:type="spellEnd"/>
      <w:r w:rsidRPr="00C43A4A">
        <w:t xml:space="preserve"> findings were noted a general reduction in the sternal and/or vertebral bone marrow hematopoietic cellularity was noted in the treatment group. Bone mineral density was unaffected. The observed bone/bone marrow phenotypes are consistent with the anticipated target and physiological effect of </w:t>
      </w:r>
      <w:r w:rsidR="00C43A4A" w:rsidRPr="006F25F7">
        <w:rPr>
          <w:vertAlign w:val="superscript"/>
        </w:rPr>
        <w:t>223</w:t>
      </w:r>
      <w:r w:rsidR="00C43A4A" w:rsidRPr="006F25F7">
        <w:t>RaCl</w:t>
      </w:r>
      <w:r w:rsidR="00C43A4A" w:rsidRPr="006F25F7">
        <w:rPr>
          <w:vertAlign w:val="subscript"/>
        </w:rPr>
        <w:t>2</w:t>
      </w:r>
      <w:r w:rsidRPr="00C43A4A">
        <w:t>.</w:t>
      </w:r>
    </w:p>
    <w:p w:rsidR="00630A89" w:rsidRPr="00C43A4A" w:rsidRDefault="00630A89" w:rsidP="00C43A4A">
      <w:r w:rsidRPr="00C43A4A">
        <w:t>Given the rapid clearan</w:t>
      </w:r>
      <w:r w:rsidR="00E67F52">
        <w:t>ce from blood (&lt;24 h to reach</w:t>
      </w:r>
      <w:r w:rsidR="001D76A4">
        <w:t xml:space="preserve"> the</w:t>
      </w:r>
      <w:r w:rsidR="00E67F52">
        <w:t xml:space="preserve"> </w:t>
      </w:r>
      <w:r w:rsidR="00E67F52" w:rsidRPr="00E67F52">
        <w:t>lowest level of quantification</w:t>
      </w:r>
      <w:r w:rsidR="00E67F52">
        <w:t xml:space="preserve"> [LLQ]</w:t>
      </w:r>
      <w:r w:rsidRPr="00C43A4A">
        <w:t xml:space="preserve">), safety margins were determined based on BSA. Due to the inherent radioactivity of the test article, exposure ratios were low in rodent studies. While the toxicity effects were minimal in the dog study, only a single dose </w:t>
      </w:r>
      <w:proofErr w:type="gramStart"/>
      <w:r w:rsidRPr="00C43A4A">
        <w:t xml:space="preserve">at 50 </w:t>
      </w:r>
      <w:proofErr w:type="spellStart"/>
      <w:r w:rsidRPr="00C43A4A">
        <w:t>kBq</w:t>
      </w:r>
      <w:proofErr w:type="spellEnd"/>
      <w:r w:rsidRPr="00C43A4A">
        <w:t>/kg</w:t>
      </w:r>
      <w:proofErr w:type="gramEnd"/>
      <w:r w:rsidRPr="00C43A4A">
        <w:t xml:space="preserve"> was utilised at an exposure ratio of approximately 0.6.</w:t>
      </w:r>
      <w:r w:rsidR="00FC3A93">
        <w:rPr>
          <w:rStyle w:val="FootnoteReference"/>
        </w:rPr>
        <w:footnoteReference w:id="17"/>
      </w:r>
      <w:r w:rsidRPr="00C43A4A">
        <w:t xml:space="preserve"> The dose utilised appears to less than the </w:t>
      </w:r>
      <w:r w:rsidR="00117613">
        <w:t>maximum tolerated dose (</w:t>
      </w:r>
      <w:r w:rsidRPr="00C43A4A">
        <w:t>MTD</w:t>
      </w:r>
      <w:r w:rsidR="00117613">
        <w:t>)</w:t>
      </w:r>
      <w:r w:rsidRPr="00C43A4A">
        <w:t xml:space="preserve"> for dogs; based on the cardiovascular study, R-8658.</w:t>
      </w:r>
      <w:r w:rsidR="001F505A">
        <w:t xml:space="preserve"> </w:t>
      </w:r>
      <w:r w:rsidRPr="00C43A4A">
        <w:t xml:space="preserve">In the cardiovascular study, where single doses up to 450 </w:t>
      </w:r>
      <w:proofErr w:type="spellStart"/>
      <w:r w:rsidRPr="00C43A4A">
        <w:t>kBq</w:t>
      </w:r>
      <w:proofErr w:type="spellEnd"/>
      <w:r w:rsidR="0011076B">
        <w:t xml:space="preserve">/kg were utilised in dogs (wash </w:t>
      </w:r>
      <w:r w:rsidRPr="00C43A4A">
        <w:t>out study), no clinical signs were noted; however, this study was not a repeat dose toxicity study. Thus, the repeat dose toxicity study in dogs would likely have benefited from inclusion of additional (higher) doses approaching the MTD. The toxicity studies utilised the clinical rout of administration and with the exception of mouse studies, included the appropriate number (</w:t>
      </w:r>
      <w:r w:rsidR="004665CC">
        <w:t>or more) of the clinical doses.</w:t>
      </w:r>
    </w:p>
    <w:p w:rsidR="00630A89" w:rsidRPr="00630A89" w:rsidRDefault="00630A89" w:rsidP="00383254">
      <w:pPr>
        <w:pStyle w:val="Heading5"/>
      </w:pPr>
      <w:r w:rsidRPr="00630A89">
        <w:t>Major toxicities</w:t>
      </w:r>
    </w:p>
    <w:p w:rsidR="00630A89" w:rsidRPr="00BC1347" w:rsidRDefault="00630A89" w:rsidP="00BC1347">
      <w:r w:rsidRPr="00BC1347">
        <w:t xml:space="preserve">The major target tissue for </w:t>
      </w:r>
      <w:r w:rsidRPr="00BC1347">
        <w:rPr>
          <w:vertAlign w:val="superscript"/>
        </w:rPr>
        <w:t>223</w:t>
      </w:r>
      <w:r w:rsidRPr="00BC1347">
        <w:t xml:space="preserve">RaCl was bone. The most common bone associated </w:t>
      </w:r>
      <w:r w:rsidRPr="00BC1347">
        <w:rPr>
          <w:vertAlign w:val="superscript"/>
        </w:rPr>
        <w:t>223</w:t>
      </w:r>
      <w:r w:rsidRPr="00BC1347">
        <w:t>RaCl</w:t>
      </w:r>
      <w:r w:rsidR="00C7004E">
        <w:t xml:space="preserve"> </w:t>
      </w:r>
      <w:r w:rsidRPr="00BC1347">
        <w:t xml:space="preserve">related toxicity was the presence of osteosarcomas in rodents. Though not observed in dogs in the data submitted for current dossier, osteosarcomas have also been identified in canine models dosed with </w:t>
      </w:r>
      <w:r w:rsidR="007C147C">
        <w:rPr>
          <w:vertAlign w:val="superscript"/>
        </w:rPr>
        <w:t>224</w:t>
      </w:r>
      <w:r w:rsidR="007C147C" w:rsidRPr="00BC1347">
        <w:t xml:space="preserve">Ra </w:t>
      </w:r>
      <w:r w:rsidRPr="00BC1347">
        <w:t xml:space="preserve">and </w:t>
      </w:r>
      <w:r w:rsidR="007C147C">
        <w:rPr>
          <w:vertAlign w:val="superscript"/>
        </w:rPr>
        <w:t>226</w:t>
      </w:r>
      <w:r w:rsidR="007C147C" w:rsidRPr="00BC1347">
        <w:t>Ra</w:t>
      </w:r>
      <w:r w:rsidR="00AF756B">
        <w:t>.</w:t>
      </w:r>
      <w:r w:rsidR="009F5B18">
        <w:rPr>
          <w:rStyle w:val="FootnoteReference"/>
        </w:rPr>
        <w:footnoteReference w:id="18"/>
      </w:r>
      <w:r w:rsidR="00AF756B">
        <w:t xml:space="preserve"> </w:t>
      </w:r>
      <w:proofErr w:type="gramStart"/>
      <w:r w:rsidRPr="00BC1347">
        <w:t>The</w:t>
      </w:r>
      <w:proofErr w:type="gramEnd"/>
      <w:r w:rsidRPr="00BC1347">
        <w:t xml:space="preserve"> haematological abnormalities consequent to </w:t>
      </w:r>
      <w:proofErr w:type="spellStart"/>
      <w:r w:rsidRPr="00BC1347">
        <w:t>myelotoxicity</w:t>
      </w:r>
      <w:proofErr w:type="spellEnd"/>
      <w:r w:rsidRPr="00BC1347">
        <w:t xml:space="preserve"> observed in animals were als</w:t>
      </w:r>
      <w:r w:rsidR="00282E63">
        <w:t>o observed in clinical studies.</w:t>
      </w:r>
    </w:p>
    <w:p w:rsidR="00630A89" w:rsidRPr="00CA34E5" w:rsidRDefault="00630A89" w:rsidP="00383254">
      <w:pPr>
        <w:pStyle w:val="Heading4"/>
      </w:pPr>
      <w:bookmarkStart w:id="54" w:name="_Toc294861729"/>
      <w:proofErr w:type="spellStart"/>
      <w:r w:rsidRPr="001258AE">
        <w:t>Genotoxicity</w:t>
      </w:r>
      <w:bookmarkEnd w:id="54"/>
      <w:proofErr w:type="spellEnd"/>
      <w:r>
        <w:t xml:space="preserve">, </w:t>
      </w:r>
      <w:r w:rsidR="00AD0622">
        <w:t>c</w:t>
      </w:r>
      <w:r w:rsidRPr="00CA34E5">
        <w:t xml:space="preserve">arcinogenicity and </w:t>
      </w:r>
      <w:r w:rsidR="00AD0622">
        <w:t>r</w:t>
      </w:r>
      <w:r w:rsidRPr="00CA34E5">
        <w:t>eproductive toxicity studies</w:t>
      </w:r>
    </w:p>
    <w:p w:rsidR="00630A89" w:rsidRPr="00AD0622" w:rsidRDefault="00630A89" w:rsidP="00AD0622">
      <w:r w:rsidRPr="00AD0622">
        <w:t xml:space="preserve">No </w:t>
      </w:r>
      <w:proofErr w:type="spellStart"/>
      <w:r w:rsidRPr="00AD0622">
        <w:t>genotoxicity</w:t>
      </w:r>
      <w:proofErr w:type="spellEnd"/>
      <w:r w:rsidRPr="00AD0622">
        <w:t>, carcinogenicity or reproductive toxicity studies were performed due to mechanisms of actions of alpha particle radiation from the test article, which is acceptable.</w:t>
      </w:r>
    </w:p>
    <w:p w:rsidR="00630A89" w:rsidRPr="005B2872" w:rsidRDefault="00630A89" w:rsidP="005B2872">
      <w:r w:rsidRPr="005B2872">
        <w:t>Osteosarcomas were observed in rats at clinical exposures 7-12 months after star</w:t>
      </w:r>
      <w:r w:rsidR="001D2A5E">
        <w:t>t of treatment, and other neopla</w:t>
      </w:r>
      <w:r w:rsidRPr="005B2872">
        <w:t xml:space="preserve">stic changes were observed in rats after single or repeated doses. Given the radioactive properties of </w:t>
      </w:r>
      <w:r w:rsidRPr="005B2872">
        <w:rPr>
          <w:vertAlign w:val="superscript"/>
        </w:rPr>
        <w:t>223</w:t>
      </w:r>
      <w:r w:rsidRPr="005B2872">
        <w:t>Ra, it has the potential to elicit secondary malignancies. Although osteosarcomas were not observed in clinical trials, the maximum follow</w:t>
      </w:r>
      <w:r w:rsidR="00531F7D">
        <w:t xml:space="preserve"> </w:t>
      </w:r>
      <w:r w:rsidRPr="005B2872">
        <w:t xml:space="preserve">up of about </w:t>
      </w:r>
      <w:r w:rsidR="00AD0622">
        <w:t>3 years</w:t>
      </w:r>
      <w:r w:rsidRPr="005B2872">
        <w:t xml:space="preserve"> is not sufficient to fully assess the </w:t>
      </w:r>
      <w:proofErr w:type="spellStart"/>
      <w:r w:rsidRPr="005B2872">
        <w:t>tumourigenic</w:t>
      </w:r>
      <w:proofErr w:type="spellEnd"/>
      <w:r w:rsidRPr="005B2872">
        <w:t xml:space="preserve"> risk.</w:t>
      </w:r>
      <w:r w:rsidR="001F505A">
        <w:t xml:space="preserve"> </w:t>
      </w:r>
      <w:r w:rsidRPr="005B2872">
        <w:t>The latency period for development of osteosarcomas may exceed the median life expectancy of treated patients.</w:t>
      </w:r>
    </w:p>
    <w:p w:rsidR="00630A89" w:rsidRPr="005B2872" w:rsidRDefault="00630A89" w:rsidP="005B2872">
      <w:r w:rsidRPr="005B2872">
        <w:t>Based on potential effects of radiation on spermatogenesis, effective contraception methods during and up to 6 months after treatment are recommended. The 6</w:t>
      </w:r>
      <w:r w:rsidR="00531F7D">
        <w:t xml:space="preserve"> </w:t>
      </w:r>
      <w:r w:rsidRPr="005B2872">
        <w:t xml:space="preserve">month period is based on 5 </w:t>
      </w:r>
      <w:proofErr w:type="spellStart"/>
      <w:r w:rsidRPr="005B2872">
        <w:t>half</w:t>
      </w:r>
      <w:r w:rsidR="00531F7D">
        <w:t xml:space="preserve"> </w:t>
      </w:r>
      <w:r w:rsidRPr="005B2872">
        <w:t>lives</w:t>
      </w:r>
      <w:proofErr w:type="spellEnd"/>
      <w:r w:rsidRPr="005B2872">
        <w:t xml:space="preserve"> for </w:t>
      </w:r>
      <w:r w:rsidRPr="005B2872">
        <w:rPr>
          <w:vertAlign w:val="superscript"/>
        </w:rPr>
        <w:t>223</w:t>
      </w:r>
      <w:r w:rsidRPr="005B2872">
        <w:t>Ra plus one complete cycle of spermatoge</w:t>
      </w:r>
      <w:r w:rsidR="00AD0622">
        <w:t>nesis</w:t>
      </w:r>
      <w:r w:rsidRPr="005B2872">
        <w:t>.</w:t>
      </w:r>
    </w:p>
    <w:p w:rsidR="00630A89" w:rsidRPr="005B2872" w:rsidRDefault="00630A89" w:rsidP="005B2872">
      <w:r w:rsidRPr="005B2872">
        <w:lastRenderedPageBreak/>
        <w:t>An Australian medicines in pregnancy category of D was proposed, category X is recommended.</w:t>
      </w:r>
      <w:r w:rsidR="005B2872">
        <w:rPr>
          <w:rStyle w:val="FootnoteReference"/>
        </w:rPr>
        <w:footnoteReference w:id="19"/>
      </w:r>
    </w:p>
    <w:p w:rsidR="00630A89" w:rsidRPr="00630A89" w:rsidRDefault="00630A89" w:rsidP="00383254">
      <w:pPr>
        <w:pStyle w:val="Heading5"/>
      </w:pPr>
      <w:r w:rsidRPr="00630A89">
        <w:t>Local toleran</w:t>
      </w:r>
      <w:r w:rsidR="00AD0622">
        <w:t>ce</w:t>
      </w:r>
    </w:p>
    <w:p w:rsidR="00630A89" w:rsidRPr="005B2872" w:rsidRDefault="00630A89" w:rsidP="005B2872">
      <w:r w:rsidRPr="005B2872">
        <w:t xml:space="preserve">Study R-8667 investigated the local tolerance of 750 </w:t>
      </w:r>
      <w:proofErr w:type="spellStart"/>
      <w:r w:rsidRPr="005B2872">
        <w:t>kBq</w:t>
      </w:r>
      <w:proofErr w:type="spellEnd"/>
      <w:r w:rsidRPr="005B2872">
        <w:t xml:space="preserve">/animal of </w:t>
      </w:r>
      <w:r w:rsidRPr="005B2872">
        <w:rPr>
          <w:vertAlign w:val="superscript"/>
        </w:rPr>
        <w:t>223</w:t>
      </w:r>
      <w:r w:rsidRPr="005B2872">
        <w:t>RaCl</w:t>
      </w:r>
      <w:r w:rsidRPr="005B2872">
        <w:rPr>
          <w:vertAlign w:val="subscript"/>
        </w:rPr>
        <w:t>2</w:t>
      </w:r>
      <w:r w:rsidRPr="005B2872">
        <w:t xml:space="preserve"> administered to rabbits peri-venously. Local erythema was noted with gradual lessoning of irritation up to 7</w:t>
      </w:r>
      <w:r w:rsidR="00686F28">
        <w:t xml:space="preserve"> </w:t>
      </w:r>
      <w:r w:rsidRPr="005B2872">
        <w:t xml:space="preserve">days post dose. No </w:t>
      </w:r>
      <w:r w:rsidR="00686F28">
        <w:t>o</w:t>
      </w:r>
      <w:r w:rsidRPr="005B2872">
        <w:t>edema, h</w:t>
      </w:r>
      <w:r w:rsidR="00686F28">
        <w:t>a</w:t>
      </w:r>
      <w:r w:rsidRPr="005B2872">
        <w:t>emorrhage, or histological change of the injection site was noted up to 7 days post dose.</w:t>
      </w:r>
    </w:p>
    <w:p w:rsidR="00630A89" w:rsidRPr="00CA34E5" w:rsidRDefault="00282E63" w:rsidP="00383254">
      <w:pPr>
        <w:pStyle w:val="Heading5"/>
      </w:pPr>
      <w:r>
        <w:t>Other studies</w:t>
      </w:r>
    </w:p>
    <w:p w:rsidR="00A2005B" w:rsidRPr="006E2758" w:rsidRDefault="00A2005B" w:rsidP="00282E63">
      <w:r w:rsidRPr="005B2872">
        <w:t xml:space="preserve">Studies R-8664, R-8665 and R-8666 investigated the toxicity impact of dual administration of </w:t>
      </w:r>
      <w:proofErr w:type="spellStart"/>
      <w:r w:rsidRPr="005B2872">
        <w:t>docetaxel</w:t>
      </w:r>
      <w:proofErr w:type="spellEnd"/>
      <w:r w:rsidRPr="005B2872">
        <w:t xml:space="preserve"> and </w:t>
      </w:r>
      <w:r w:rsidRPr="005B2872">
        <w:rPr>
          <w:vertAlign w:val="superscript"/>
        </w:rPr>
        <w:t>223</w:t>
      </w:r>
      <w:r w:rsidRPr="005B2872">
        <w:t>RaCl</w:t>
      </w:r>
      <w:r w:rsidRPr="005B2872">
        <w:rPr>
          <w:vertAlign w:val="subscript"/>
        </w:rPr>
        <w:t>2</w:t>
      </w:r>
      <w:r w:rsidRPr="005B2872">
        <w:t xml:space="preserve">. In the initial dose ranging </w:t>
      </w:r>
      <w:r>
        <w:t>S</w:t>
      </w:r>
      <w:r w:rsidRPr="005B2872">
        <w:t>tudy R-8664 no test</w:t>
      </w:r>
      <w:r>
        <w:t xml:space="preserve"> </w:t>
      </w:r>
      <w:r w:rsidRPr="005B2872">
        <w:t xml:space="preserve">article related deaths were noted. Clinical signs observed, such as mild local reactions, red secretions around mouth and nostrils, hyperventilation and </w:t>
      </w:r>
      <w:proofErr w:type="spellStart"/>
      <w:r w:rsidRPr="005B2872">
        <w:t>piloerection</w:t>
      </w:r>
      <w:proofErr w:type="spellEnd"/>
      <w:r w:rsidRPr="005B2872">
        <w:t xml:space="preserve"> appeared to be transient. The loss of weight gain was also noted in </w:t>
      </w:r>
      <w:proofErr w:type="spellStart"/>
      <w:r>
        <w:t>docetaxel</w:t>
      </w:r>
      <w:proofErr w:type="spellEnd"/>
      <w:r w:rsidRPr="005B2872">
        <w:t xml:space="preserve"> treated groups alone or in dual treatment groups. Test groups administered both </w:t>
      </w:r>
      <w:proofErr w:type="spellStart"/>
      <w:r>
        <w:t>docetaxel</w:t>
      </w:r>
      <w:proofErr w:type="spellEnd"/>
      <w:r w:rsidRPr="005B2872">
        <w:t xml:space="preserve"> and </w:t>
      </w:r>
      <w:r w:rsidRPr="005B2872">
        <w:rPr>
          <w:vertAlign w:val="superscript"/>
        </w:rPr>
        <w:t>223</w:t>
      </w:r>
      <w:r w:rsidRPr="005B2872">
        <w:t>RaCl</w:t>
      </w:r>
      <w:r w:rsidRPr="005B2872">
        <w:rPr>
          <w:vertAlign w:val="subscript"/>
        </w:rPr>
        <w:t>2</w:t>
      </w:r>
      <w:r w:rsidRPr="005B2872">
        <w:t xml:space="preserve"> were found to be sufficient to induce significant reductions in leukocyte counts; no impact on leukocyte counts were noted when </w:t>
      </w:r>
      <w:proofErr w:type="spellStart"/>
      <w:r>
        <w:t>docetaxel</w:t>
      </w:r>
      <w:proofErr w:type="spellEnd"/>
      <w:r w:rsidRPr="005B2872">
        <w:t xml:space="preserve"> alone (≤5 mg/kg). Combined administrat</w:t>
      </w:r>
      <w:r>
        <w:t>ion also resulted in reduced red blood cell</w:t>
      </w:r>
      <w:r w:rsidRPr="005B2872">
        <w:t xml:space="preserve"> counts (compensated for by increased erythropoiesis by 2</w:t>
      </w:r>
      <w:r>
        <w:t xml:space="preserve"> </w:t>
      </w:r>
      <w:r w:rsidRPr="005B2872">
        <w:t xml:space="preserve">weeks post dose). Notable </w:t>
      </w:r>
      <w:r w:rsidRPr="001D0B6F">
        <w:t>clinical chemistry changes</w:t>
      </w:r>
      <w:r w:rsidRPr="005B2872" w:rsidDel="001D0B6F">
        <w:t xml:space="preserve"> </w:t>
      </w:r>
      <w:r w:rsidRPr="005B2872">
        <w:t>included increased creatinine and urea levels, and decreased alkaline phosphatase activity. No significant macroscopic findings were observed</w:t>
      </w:r>
      <w:r>
        <w:t>. N</w:t>
      </w:r>
      <w:r w:rsidRPr="006E2758">
        <w:t xml:space="preserve">o microscopic findings </w:t>
      </w:r>
      <w:r>
        <w:t>were performed</w:t>
      </w:r>
      <w:r w:rsidRPr="006E2758">
        <w:t>.</w:t>
      </w:r>
    </w:p>
    <w:p w:rsidR="00630A89" w:rsidRPr="005B2872" w:rsidRDefault="00A2005B" w:rsidP="00282E63">
      <w:r w:rsidRPr="005B2872">
        <w:t>Studies R-8665 and R-8666 were 12 and 22</w:t>
      </w:r>
      <w:r>
        <w:t xml:space="preserve"> </w:t>
      </w:r>
      <w:r w:rsidRPr="005B2872">
        <w:t xml:space="preserve">week repeat dose studies </w:t>
      </w:r>
      <w:proofErr w:type="gramStart"/>
      <w:r w:rsidRPr="005B2872">
        <w:t xml:space="preserve">involving </w:t>
      </w:r>
      <w:r>
        <w:t xml:space="preserve"> </w:t>
      </w:r>
      <w:proofErr w:type="spellStart"/>
      <w:r>
        <w:t>docetaxel</w:t>
      </w:r>
      <w:proofErr w:type="spellEnd"/>
      <w:proofErr w:type="gramEnd"/>
      <w:r w:rsidRPr="005B2872">
        <w:t xml:space="preserve"> and </w:t>
      </w:r>
      <w:r w:rsidRPr="005B2872">
        <w:rPr>
          <w:vertAlign w:val="superscript"/>
        </w:rPr>
        <w:t>223</w:t>
      </w:r>
      <w:r w:rsidRPr="005B2872">
        <w:t>RaCl</w:t>
      </w:r>
      <w:r w:rsidRPr="005B2872">
        <w:rPr>
          <w:vertAlign w:val="subscript"/>
        </w:rPr>
        <w:t>2</w:t>
      </w:r>
      <w:r w:rsidRPr="005B2872">
        <w:t xml:space="preserve"> dual administration (4 mg/kg and 50 </w:t>
      </w:r>
      <w:proofErr w:type="spellStart"/>
      <w:r w:rsidRPr="005B2872">
        <w:t>kBq</w:t>
      </w:r>
      <w:proofErr w:type="spellEnd"/>
      <w:r w:rsidRPr="005B2872">
        <w:t xml:space="preserve">/kg, respectively). Two deaths in treatment groups were reported in </w:t>
      </w:r>
      <w:r>
        <w:t>S</w:t>
      </w:r>
      <w:r w:rsidRPr="005B2872">
        <w:t>tudy R-8665; however</w:t>
      </w:r>
      <w:r>
        <w:t>,</w:t>
      </w:r>
      <w:r w:rsidRPr="005B2872">
        <w:t xml:space="preserve"> causality was not established. No test</w:t>
      </w:r>
      <w:r>
        <w:t xml:space="preserve"> </w:t>
      </w:r>
      <w:r w:rsidRPr="005B2872">
        <w:t xml:space="preserve">article related clinical signs were noted in either study. Reduced body weights compared to controls were noted in both studies in groups treated with </w:t>
      </w:r>
      <w:proofErr w:type="spellStart"/>
      <w:r>
        <w:t>docetaxel</w:t>
      </w:r>
      <w:proofErr w:type="spellEnd"/>
      <w:r w:rsidRPr="005B2872">
        <w:t xml:space="preserve"> or </w:t>
      </w:r>
      <w:proofErr w:type="spellStart"/>
      <w:r>
        <w:t>docetaxel</w:t>
      </w:r>
      <w:proofErr w:type="spellEnd"/>
      <w:r w:rsidRPr="005B2872">
        <w:t xml:space="preserve"> and </w:t>
      </w:r>
      <w:r w:rsidRPr="005B2872">
        <w:rPr>
          <w:vertAlign w:val="superscript"/>
        </w:rPr>
        <w:t>223</w:t>
      </w:r>
      <w:r w:rsidRPr="005B2872">
        <w:t>RaCl</w:t>
      </w:r>
      <w:r w:rsidRPr="005B2872">
        <w:rPr>
          <w:vertAlign w:val="subscript"/>
        </w:rPr>
        <w:t>2</w:t>
      </w:r>
      <w:r w:rsidRPr="005B2872">
        <w:t xml:space="preserve"> combined; corresponding reductions in food intake was also noted in the same test groups. Haematology ana</w:t>
      </w:r>
      <w:r>
        <w:t>lysis revealed reductions in red blood cells</w:t>
      </w:r>
      <w:r w:rsidRPr="005B2872">
        <w:t>, haemoglobin and haematocrit</w:t>
      </w:r>
      <w:r>
        <w:t>,</w:t>
      </w:r>
      <w:r w:rsidRPr="005B2872">
        <w:t xml:space="preserve"> and increase</w:t>
      </w:r>
      <w:r>
        <w:t>s</w:t>
      </w:r>
      <w:r w:rsidRPr="005B2872">
        <w:t xml:space="preserve"> in absolute and relative reticulocytes in </w:t>
      </w:r>
      <w:proofErr w:type="spellStart"/>
      <w:r>
        <w:t>docetaxel</w:t>
      </w:r>
      <w:proofErr w:type="spellEnd"/>
      <w:r w:rsidRPr="005B2872">
        <w:t xml:space="preserve"> or </w:t>
      </w:r>
      <w:proofErr w:type="spellStart"/>
      <w:r>
        <w:t>docetaxel</w:t>
      </w:r>
      <w:proofErr w:type="spellEnd"/>
      <w:r w:rsidRPr="005B2872">
        <w:t xml:space="preserve"> and </w:t>
      </w:r>
      <w:r w:rsidRPr="005B2872">
        <w:rPr>
          <w:vertAlign w:val="superscript"/>
        </w:rPr>
        <w:t>223</w:t>
      </w:r>
      <w:r w:rsidRPr="005B2872">
        <w:t>RaCl</w:t>
      </w:r>
      <w:r w:rsidRPr="005B2872">
        <w:rPr>
          <w:vertAlign w:val="subscript"/>
        </w:rPr>
        <w:t>2</w:t>
      </w:r>
      <w:r w:rsidRPr="005B2872">
        <w:t xml:space="preserve"> combined in both studies. Mean corpuscular volume increased in most treatment groups in both studies with a trend towards normalisa</w:t>
      </w:r>
      <w:r>
        <w:t>tion with time. Neutrophils, white blood cells</w:t>
      </w:r>
      <w:r w:rsidRPr="005B2872">
        <w:t xml:space="preserve">, and </w:t>
      </w:r>
      <w:proofErr w:type="spellStart"/>
      <w:r w:rsidRPr="005B2872">
        <w:t>eosinophils</w:t>
      </w:r>
      <w:proofErr w:type="spellEnd"/>
      <w:r w:rsidRPr="005B2872">
        <w:t xml:space="preserve"> showe</w:t>
      </w:r>
      <w:r>
        <w:t xml:space="preserve">d a treatment </w:t>
      </w:r>
      <w:r w:rsidRPr="005B2872">
        <w:t xml:space="preserve">related reduction in both studies, particularly in the </w:t>
      </w:r>
      <w:proofErr w:type="spellStart"/>
      <w:r>
        <w:t>docetaxel</w:t>
      </w:r>
      <w:proofErr w:type="spellEnd"/>
      <w:r w:rsidRPr="005B2872">
        <w:t xml:space="preserve"> and </w:t>
      </w:r>
      <w:r w:rsidRPr="005B2872">
        <w:rPr>
          <w:vertAlign w:val="superscript"/>
        </w:rPr>
        <w:t>223</w:t>
      </w:r>
      <w:r w:rsidRPr="005B2872">
        <w:t>RaCl</w:t>
      </w:r>
      <w:r w:rsidRPr="005B2872">
        <w:rPr>
          <w:vertAlign w:val="subscript"/>
        </w:rPr>
        <w:t>2</w:t>
      </w:r>
      <w:r w:rsidRPr="005B2872">
        <w:t xml:space="preserve"> combined groups. Increases in platelet counts were noted in both studies with either </w:t>
      </w:r>
      <w:proofErr w:type="spellStart"/>
      <w:r>
        <w:t>docetaxel</w:t>
      </w:r>
      <w:proofErr w:type="spellEnd"/>
      <w:r w:rsidRPr="005B2872">
        <w:t xml:space="preserve"> or </w:t>
      </w:r>
      <w:proofErr w:type="spellStart"/>
      <w:r>
        <w:t>docetaxel</w:t>
      </w:r>
      <w:proofErr w:type="spellEnd"/>
      <w:r w:rsidRPr="005B2872">
        <w:t xml:space="preserve"> and </w:t>
      </w:r>
      <w:r w:rsidRPr="005B2872">
        <w:rPr>
          <w:vertAlign w:val="superscript"/>
        </w:rPr>
        <w:t>223</w:t>
      </w:r>
      <w:r w:rsidRPr="005B2872">
        <w:t>RaCl</w:t>
      </w:r>
      <w:r w:rsidRPr="005B2872">
        <w:rPr>
          <w:vertAlign w:val="subscript"/>
        </w:rPr>
        <w:t>2</w:t>
      </w:r>
      <w:r w:rsidRPr="005B2872">
        <w:t xml:space="preserve"> combined. Single or dual test article effect was variable in the two difference studies. In </w:t>
      </w:r>
      <w:r>
        <w:t>S</w:t>
      </w:r>
      <w:r w:rsidRPr="005B2872">
        <w:t>tudy R-8666, reductions in urea</w:t>
      </w:r>
      <w:r>
        <w:t>,</w:t>
      </w:r>
      <w:r w:rsidRPr="005B2872">
        <w:t xml:space="preserve"> creatinine</w:t>
      </w:r>
      <w:r w:rsidRPr="001D0B6F">
        <w:t xml:space="preserve">, </w:t>
      </w:r>
      <w:proofErr w:type="spellStart"/>
      <w:r w:rsidRPr="001D0B6F">
        <w:t>trigylcerides</w:t>
      </w:r>
      <w:proofErr w:type="spellEnd"/>
      <w:r w:rsidRPr="005B2872">
        <w:t xml:space="preserve"> and protein were also reported. The relative and absolute heart, kidney, liver, thymus and testes weights were also reduced in dual treatment group in </w:t>
      </w:r>
      <w:r>
        <w:t>S</w:t>
      </w:r>
      <w:r w:rsidRPr="005B2872">
        <w:t>tudy R-8666</w:t>
      </w:r>
      <w:r w:rsidR="00630A89" w:rsidRPr="005B2872">
        <w:t>.</w:t>
      </w:r>
    </w:p>
    <w:p w:rsidR="00630A89" w:rsidRPr="00630A89" w:rsidRDefault="00630A89" w:rsidP="00383254">
      <w:pPr>
        <w:pStyle w:val="Heading5"/>
      </w:pPr>
      <w:r w:rsidRPr="00630A89">
        <w:t>Paediatric use</w:t>
      </w:r>
    </w:p>
    <w:p w:rsidR="00630A89" w:rsidRPr="00BC5091" w:rsidRDefault="00EA785A" w:rsidP="00BC5091">
      <w:r w:rsidRPr="005B2872">
        <w:rPr>
          <w:vertAlign w:val="superscript"/>
        </w:rPr>
        <w:t>223</w:t>
      </w:r>
      <w:r w:rsidRPr="005B2872">
        <w:t>RaCl</w:t>
      </w:r>
      <w:r w:rsidRPr="005B2872">
        <w:rPr>
          <w:vertAlign w:val="subscript"/>
        </w:rPr>
        <w:t>2</w:t>
      </w:r>
      <w:r w:rsidRPr="005B2872">
        <w:t xml:space="preserve"> </w:t>
      </w:r>
      <w:r w:rsidR="00630A89" w:rsidRPr="00BC5091">
        <w:t>is not proposed for paediatric use and no specific studies in juvenile animals were submitted. Radiation effects might be more severe in developing bone.</w:t>
      </w:r>
    </w:p>
    <w:p w:rsidR="00630A89" w:rsidRPr="00630A89" w:rsidRDefault="00630A89" w:rsidP="004665CC">
      <w:pPr>
        <w:pStyle w:val="Heading5"/>
      </w:pPr>
      <w:r w:rsidRPr="00630A89">
        <w:t>Impurities</w:t>
      </w:r>
    </w:p>
    <w:p w:rsidR="00630A89" w:rsidRPr="00DF68B1" w:rsidRDefault="00630A89" w:rsidP="00DF68B1">
      <w:r w:rsidRPr="00DF68B1">
        <w:t>Radiolysis of water may give rise to small amounts of H</w:t>
      </w:r>
      <w:r w:rsidRPr="00ED18FC">
        <w:rPr>
          <w:vertAlign w:val="subscript"/>
        </w:rPr>
        <w:t>2</w:t>
      </w:r>
      <w:r w:rsidRPr="00DF68B1">
        <w:t>O</w:t>
      </w:r>
      <w:r w:rsidRPr="00ED18FC">
        <w:rPr>
          <w:vertAlign w:val="subscript"/>
        </w:rPr>
        <w:t>2</w:t>
      </w:r>
      <w:r w:rsidRPr="00DF68B1">
        <w:t xml:space="preserve">, on a worst case basis the solution for injection will contain an amount of 0.0084 </w:t>
      </w:r>
      <w:proofErr w:type="spellStart"/>
      <w:r w:rsidRPr="00DF68B1">
        <w:t>mmol</w:t>
      </w:r>
      <w:proofErr w:type="spellEnd"/>
      <w:r w:rsidRPr="00DF68B1">
        <w:t xml:space="preserve"> </w:t>
      </w:r>
      <w:r w:rsidR="00ED18FC" w:rsidRPr="00DF68B1">
        <w:t>H</w:t>
      </w:r>
      <w:r w:rsidR="00ED18FC" w:rsidRPr="00ED18FC">
        <w:rPr>
          <w:vertAlign w:val="subscript"/>
        </w:rPr>
        <w:t>2</w:t>
      </w:r>
      <w:r w:rsidR="00ED18FC" w:rsidRPr="00DF68B1">
        <w:t>O</w:t>
      </w:r>
      <w:r w:rsidR="00ED18FC" w:rsidRPr="00ED18FC">
        <w:rPr>
          <w:vertAlign w:val="subscript"/>
        </w:rPr>
        <w:t>2</w:t>
      </w:r>
      <w:r w:rsidRPr="00DF68B1">
        <w:t>, corresponding to 0.08 µ</w:t>
      </w:r>
      <w:proofErr w:type="spellStart"/>
      <w:r w:rsidRPr="00DF68B1">
        <w:t>mol</w:t>
      </w:r>
      <w:proofErr w:type="spellEnd"/>
      <w:r w:rsidRPr="00DF68B1">
        <w:t xml:space="preserve">/kg in a 100 kg patient. </w:t>
      </w:r>
      <w:r w:rsidR="00ED18FC" w:rsidRPr="00DF68B1">
        <w:t>H</w:t>
      </w:r>
      <w:r w:rsidR="00ED18FC" w:rsidRPr="00ED18FC">
        <w:rPr>
          <w:vertAlign w:val="subscript"/>
        </w:rPr>
        <w:t>2</w:t>
      </w:r>
      <w:r w:rsidR="00ED18FC" w:rsidRPr="00DF68B1">
        <w:t>O</w:t>
      </w:r>
      <w:r w:rsidR="00ED18FC" w:rsidRPr="00ED18FC">
        <w:rPr>
          <w:vertAlign w:val="subscript"/>
        </w:rPr>
        <w:t>2</w:t>
      </w:r>
      <w:r w:rsidRPr="00DF68B1">
        <w:t xml:space="preserve"> is likely to be enzym</w:t>
      </w:r>
      <w:r w:rsidR="00213FC6">
        <w:t>atically degraded in blood, and</w:t>
      </w:r>
      <w:r w:rsidRPr="00DF68B1">
        <w:t xml:space="preserve"> the small amounts are toxicologically qualif</w:t>
      </w:r>
      <w:r w:rsidR="00213FC6">
        <w:t>ied</w:t>
      </w:r>
      <w:r w:rsidRPr="00DF68B1">
        <w:t xml:space="preserve">. Potential radioactive impurities are </w:t>
      </w:r>
      <w:r w:rsidR="00AC38F1">
        <w:rPr>
          <w:vertAlign w:val="superscript"/>
        </w:rPr>
        <w:t>227</w:t>
      </w:r>
      <w:r w:rsidR="00AC38F1">
        <w:t>Th</w:t>
      </w:r>
      <w:r w:rsidR="00AC38F1" w:rsidRPr="00DF68B1">
        <w:t xml:space="preserve"> </w:t>
      </w:r>
      <w:r w:rsidRPr="00DF68B1">
        <w:t xml:space="preserve">and </w:t>
      </w:r>
      <w:r w:rsidR="00AC38F1">
        <w:rPr>
          <w:vertAlign w:val="superscript"/>
        </w:rPr>
        <w:t>227</w:t>
      </w:r>
      <w:r w:rsidR="00AC38F1">
        <w:t>Ac</w:t>
      </w:r>
      <w:r w:rsidR="00AC38F1" w:rsidRPr="00DF68B1">
        <w:t xml:space="preserve"> </w:t>
      </w:r>
      <w:r w:rsidRPr="00DF68B1">
        <w:t>(raw material), with respective limits (shelf</w:t>
      </w:r>
      <w:r w:rsidR="001935CC">
        <w:t xml:space="preserve"> </w:t>
      </w:r>
      <w:r w:rsidRPr="00DF68B1">
        <w:t xml:space="preserve">life) of NMT 0.5% and NMT 0.004% </w:t>
      </w:r>
      <w:r w:rsidRPr="00DF68B1">
        <w:lastRenderedPageBreak/>
        <w:t>relativ</w:t>
      </w:r>
      <w:r w:rsidR="00B2699E">
        <w:t xml:space="preserve">e to </w:t>
      </w:r>
      <w:r w:rsidR="001935CC" w:rsidRPr="005B2872">
        <w:rPr>
          <w:vertAlign w:val="superscript"/>
        </w:rPr>
        <w:t>223</w:t>
      </w:r>
      <w:r w:rsidR="001935CC" w:rsidRPr="005B2872">
        <w:t>Ra</w:t>
      </w:r>
      <w:r w:rsidRPr="00DF68B1">
        <w:t xml:space="preserve">. The product decays through multiple daughter radionuclides to the stable isotope </w:t>
      </w:r>
      <w:r w:rsidR="001935CC">
        <w:rPr>
          <w:vertAlign w:val="superscript"/>
        </w:rPr>
        <w:t>207</w:t>
      </w:r>
      <w:r w:rsidR="001935CC">
        <w:t>Pb</w:t>
      </w:r>
      <w:r w:rsidRPr="00DF68B1">
        <w:t>.</w:t>
      </w:r>
    </w:p>
    <w:p w:rsidR="008E7846" w:rsidRDefault="008E7846" w:rsidP="008E7846">
      <w:pPr>
        <w:pStyle w:val="Heading3"/>
      </w:pPr>
      <w:bookmarkStart w:id="55" w:name="_Toc247691515"/>
      <w:bookmarkStart w:id="56" w:name="_Toc314842499"/>
      <w:bookmarkStart w:id="57" w:name="_Toc394316800"/>
      <w:r>
        <w:t xml:space="preserve">Nonclinical </w:t>
      </w:r>
      <w:r w:rsidR="004665CC">
        <w:t>s</w:t>
      </w:r>
      <w:r>
        <w:t xml:space="preserve">ummary and </w:t>
      </w:r>
      <w:r w:rsidR="004665CC">
        <w:t>c</w:t>
      </w:r>
      <w:r>
        <w:t>onclusions</w:t>
      </w:r>
      <w:bookmarkEnd w:id="55"/>
      <w:bookmarkEnd w:id="56"/>
      <w:bookmarkEnd w:id="57"/>
    </w:p>
    <w:p w:rsidR="008E7846" w:rsidRPr="001A0107" w:rsidRDefault="001A0107" w:rsidP="004665CC">
      <w:pPr>
        <w:pStyle w:val="Heading4"/>
      </w:pPr>
      <w:r w:rsidRPr="001A0107">
        <w:t>Summary</w:t>
      </w:r>
    </w:p>
    <w:p w:rsidR="001A0107" w:rsidRPr="001A0107" w:rsidRDefault="001A0107" w:rsidP="00A14730">
      <w:pPr>
        <w:pStyle w:val="ListBullet"/>
      </w:pPr>
      <w:r>
        <w:t xml:space="preserve">The nonclinical </w:t>
      </w:r>
      <w:r w:rsidR="0016149A">
        <w:t>dossier</w:t>
      </w:r>
      <w:r w:rsidRPr="001A0107">
        <w:t xml:space="preserve"> comprised of data encompassing pharmacology, pharmacodynamics, safety pharmacology and toxicology for radium (</w:t>
      </w:r>
      <w:r w:rsidRPr="00C36AF3">
        <w:rPr>
          <w:vertAlign w:val="superscript"/>
        </w:rPr>
        <w:t>223</w:t>
      </w:r>
      <w:r w:rsidRPr="001A0107">
        <w:t xml:space="preserve">Ra) dichloride. Pivotal studies were GLP compliant and met necessary </w:t>
      </w:r>
      <w:r w:rsidR="00A14730" w:rsidRPr="00A14730">
        <w:t xml:space="preserve">International Conference on Harmonisation </w:t>
      </w:r>
      <w:r w:rsidR="00A14730">
        <w:t>(</w:t>
      </w:r>
      <w:r w:rsidRPr="001A0107">
        <w:t>ICH</w:t>
      </w:r>
      <w:r w:rsidR="00A14730">
        <w:t>)</w:t>
      </w:r>
      <w:r w:rsidR="003B4D53">
        <w:t xml:space="preserve"> guidelines. However, t</w:t>
      </w:r>
      <w:r w:rsidRPr="001A0107">
        <w:t xml:space="preserve">he repeat toxicity study in dog was only conducted with a single dose level </w:t>
      </w:r>
      <w:proofErr w:type="gramStart"/>
      <w:r w:rsidRPr="001A0107">
        <w:t xml:space="preserve">(50 </w:t>
      </w:r>
      <w:proofErr w:type="spellStart"/>
      <w:r w:rsidRPr="001A0107">
        <w:t>kBq</w:t>
      </w:r>
      <w:proofErr w:type="spellEnd"/>
      <w:r w:rsidRPr="001A0107">
        <w:t>/kg)</w:t>
      </w:r>
      <w:proofErr w:type="gramEnd"/>
      <w:r w:rsidRPr="001A0107">
        <w:t xml:space="preserve">, a higher dose appeared feasible. Given the radioactive nature of the test article, no </w:t>
      </w:r>
      <w:proofErr w:type="spellStart"/>
      <w:r w:rsidRPr="001A0107">
        <w:t>genotoxicity</w:t>
      </w:r>
      <w:proofErr w:type="spellEnd"/>
      <w:r w:rsidRPr="001A0107">
        <w:t>, carcinogenicity or reproductive toxicity studies were performed, which is acceptable.</w:t>
      </w:r>
    </w:p>
    <w:p w:rsidR="001A0107" w:rsidRPr="001A0107" w:rsidRDefault="001A0107" w:rsidP="00616DCA">
      <w:pPr>
        <w:pStyle w:val="ListBullet"/>
      </w:pPr>
      <w:r w:rsidRPr="003B4D53">
        <w:rPr>
          <w:i/>
        </w:rPr>
        <w:t>In vivo</w:t>
      </w:r>
      <w:r w:rsidRPr="001A0107">
        <w:t xml:space="preserve"> and </w:t>
      </w:r>
      <w:r w:rsidRPr="003B4D53">
        <w:rPr>
          <w:i/>
        </w:rPr>
        <w:t>in vitro</w:t>
      </w:r>
      <w:r w:rsidRPr="001A0107">
        <w:t xml:space="preserve"> pharmacology data demonstrated satisfactory localisation to bone in long term studies, </w:t>
      </w:r>
      <w:r w:rsidR="00C87702" w:rsidRPr="001A0107">
        <w:t>DNA damage, and attenuation of cell cycle on cancer cell lines and reduction in osteoclast differentiation and</w:t>
      </w:r>
      <w:r w:rsidR="00C87702" w:rsidRPr="00CC2C18">
        <w:t xml:space="preserve"> </w:t>
      </w:r>
      <w:r w:rsidR="00C87702">
        <w:t xml:space="preserve">osteoblast </w:t>
      </w:r>
      <w:r w:rsidR="00C87702" w:rsidRPr="001A0107">
        <w:t xml:space="preserve">activity. </w:t>
      </w:r>
      <w:r w:rsidR="00C87702" w:rsidRPr="00F06388">
        <w:rPr>
          <w:i/>
        </w:rPr>
        <w:t>In vivo</w:t>
      </w:r>
      <w:r w:rsidR="00C87702" w:rsidRPr="001A0107">
        <w:t xml:space="preserve"> efficacy in bone metastasis in </w:t>
      </w:r>
      <w:proofErr w:type="spellStart"/>
      <w:r w:rsidR="00C87702" w:rsidRPr="001A0107">
        <w:t>athymic</w:t>
      </w:r>
      <w:proofErr w:type="spellEnd"/>
      <w:r w:rsidR="00C87702" w:rsidRPr="001A0107">
        <w:t xml:space="preserve"> nude mouse models was demonstrated, with increased survival times and reduced </w:t>
      </w:r>
      <w:proofErr w:type="spellStart"/>
      <w:r w:rsidR="00C87702" w:rsidRPr="001A0107">
        <w:t>osteolytic</w:t>
      </w:r>
      <w:proofErr w:type="spellEnd"/>
      <w:r w:rsidR="00C87702" w:rsidRPr="001A0107">
        <w:t xml:space="preserve"> area</w:t>
      </w:r>
      <w:r w:rsidRPr="001A0107">
        <w:t>.</w:t>
      </w:r>
    </w:p>
    <w:p w:rsidR="001A0107" w:rsidRPr="001A0107" w:rsidRDefault="001A0107" w:rsidP="00616DCA">
      <w:pPr>
        <w:pStyle w:val="ListBullet"/>
      </w:pPr>
      <w:r w:rsidRPr="001A0107">
        <w:t>No safety pharmacology issues were noted in respiratory, ca</w:t>
      </w:r>
      <w:r w:rsidR="004665CC">
        <w:t xml:space="preserve">rdiac and CNS </w:t>
      </w:r>
      <w:proofErr w:type="gramStart"/>
      <w:r w:rsidR="004665CC">
        <w:t>function</w:t>
      </w:r>
      <w:proofErr w:type="gramEnd"/>
      <w:r w:rsidR="004665CC">
        <w:t xml:space="preserve"> studies.</w:t>
      </w:r>
    </w:p>
    <w:p w:rsidR="001A0107" w:rsidRPr="001A0107" w:rsidRDefault="00F06388" w:rsidP="00616DCA">
      <w:pPr>
        <w:pStyle w:val="ListBullet"/>
      </w:pPr>
      <w:r w:rsidRPr="005B2872">
        <w:rPr>
          <w:vertAlign w:val="superscript"/>
        </w:rPr>
        <w:t>223</w:t>
      </w:r>
      <w:r w:rsidRPr="005B2872">
        <w:t>RaCl</w:t>
      </w:r>
      <w:r w:rsidRPr="005B2872">
        <w:rPr>
          <w:vertAlign w:val="subscript"/>
        </w:rPr>
        <w:t>2</w:t>
      </w:r>
      <w:r w:rsidRPr="005B2872">
        <w:t xml:space="preserve"> </w:t>
      </w:r>
      <w:r w:rsidR="001A0107" w:rsidRPr="001A0107">
        <w:t>is rapidly cleared from blood and demonstrates minimal accumul</w:t>
      </w:r>
      <w:r w:rsidR="004665CC">
        <w:t>ation in soft tissue long term.</w:t>
      </w:r>
    </w:p>
    <w:p w:rsidR="001A0107" w:rsidRPr="001A0107" w:rsidRDefault="001A0107" w:rsidP="00616DCA">
      <w:pPr>
        <w:pStyle w:val="ListBullet"/>
      </w:pPr>
      <w:r w:rsidRPr="001A0107">
        <w:t>Single dose toxicity studies in mouse, rat and dog revealed test article related changes in haematology parameters in all species; likely due to loss of haematopoietic cells. A compensatory increase in spleen haematopoiesis was noted in the rodent species. In addition, dose</w:t>
      </w:r>
      <w:r w:rsidR="008C75F1">
        <w:t xml:space="preserve"> </w:t>
      </w:r>
      <w:r w:rsidRPr="001A0107">
        <w:t>related weight loss, reduced food consumption and dose related depletion of osteoblasts and osteocytes were noted in mice and rats.</w:t>
      </w:r>
    </w:p>
    <w:p w:rsidR="001A0107" w:rsidRPr="001A0107" w:rsidRDefault="001A0107" w:rsidP="00616DCA">
      <w:pPr>
        <w:pStyle w:val="ListBullet"/>
      </w:pPr>
      <w:r w:rsidRPr="001A0107">
        <w:t>Retinal detachment was seen in dogs after a single i</w:t>
      </w:r>
      <w:r w:rsidR="008C75F1">
        <w:t xml:space="preserve">njection of 150 or 450 </w:t>
      </w:r>
      <w:proofErr w:type="spellStart"/>
      <w:r w:rsidR="008C75F1">
        <w:t>kBq</w:t>
      </w:r>
      <w:proofErr w:type="spellEnd"/>
      <w:r w:rsidR="008C75F1">
        <w:t>/kg body weight</w:t>
      </w:r>
      <w:r w:rsidRPr="001A0107">
        <w:t xml:space="preserve"> (3 and 9x clinical dose), but not af</w:t>
      </w:r>
      <w:r w:rsidR="008C75F1">
        <w:t xml:space="preserve">ter repeat doses of 50 </w:t>
      </w:r>
      <w:proofErr w:type="spellStart"/>
      <w:r w:rsidR="008C75F1">
        <w:t>kBq</w:t>
      </w:r>
      <w:proofErr w:type="spellEnd"/>
      <w:r w:rsidR="008C75F1">
        <w:t>/kg body weight</w:t>
      </w:r>
      <w:r w:rsidRPr="001A0107">
        <w:t xml:space="preserve">, nor was it observed in rats. The literature reports high uptake of radium in the </w:t>
      </w:r>
      <w:proofErr w:type="spellStart"/>
      <w:r w:rsidRPr="008D1E8E">
        <w:rPr>
          <w:i/>
        </w:rPr>
        <w:t>tapetum</w:t>
      </w:r>
      <w:proofErr w:type="spellEnd"/>
      <w:r w:rsidRPr="008D1E8E">
        <w:rPr>
          <w:i/>
        </w:rPr>
        <w:t xml:space="preserve"> </w:t>
      </w:r>
      <w:proofErr w:type="spellStart"/>
      <w:r w:rsidRPr="008D1E8E">
        <w:rPr>
          <w:i/>
        </w:rPr>
        <w:t>lucidum</w:t>
      </w:r>
      <w:proofErr w:type="spellEnd"/>
      <w:r w:rsidRPr="001A0107">
        <w:t xml:space="preserve"> of the canine eye, a structure which humans do not possess.</w:t>
      </w:r>
    </w:p>
    <w:p w:rsidR="001A0107" w:rsidRPr="001A0107" w:rsidRDefault="001A0107" w:rsidP="00616DCA">
      <w:pPr>
        <w:pStyle w:val="ListBullet"/>
      </w:pPr>
      <w:r w:rsidRPr="001A0107">
        <w:t>Repeat</w:t>
      </w:r>
      <w:r w:rsidR="008C75F1">
        <w:t xml:space="preserve"> </w:t>
      </w:r>
      <w:r w:rsidRPr="001A0107">
        <w:t>dose toxicity studies were conducted in rats and dogs. Both species recorded reduction in body weights, food consumption and haematology parameters (</w:t>
      </w:r>
      <w:r w:rsidR="008C75F1">
        <w:t>r</w:t>
      </w:r>
      <w:r w:rsidRPr="001A0107">
        <w:t>ed blood cells, white blood cells</w:t>
      </w:r>
      <w:r w:rsidR="00B34BA3">
        <w:t>,</w:t>
      </w:r>
      <w:r w:rsidRPr="001A0107">
        <w:t xml:space="preserve"> and platelet counts). Concurrent increase of haematopoiesis in the spleen was reported. Osteosarcomas (with metastasis) were ob</w:t>
      </w:r>
      <w:r w:rsidR="0095130E">
        <w:t xml:space="preserve">served in rodent studies only. </w:t>
      </w:r>
      <w:r w:rsidRPr="001A0107">
        <w:t>Based on BSA,</w:t>
      </w:r>
      <w:r w:rsidR="00616DCA">
        <w:rPr>
          <w:rStyle w:val="FootnoteReference"/>
        </w:rPr>
        <w:footnoteReference w:id="20"/>
      </w:r>
      <w:r w:rsidRPr="001A0107">
        <w:t xml:space="preserve"> the animal to human safety ratios were &lt;1.</w:t>
      </w:r>
    </w:p>
    <w:p w:rsidR="001A0107" w:rsidRPr="001A0107" w:rsidRDefault="001A0107" w:rsidP="001A0107">
      <w:pPr>
        <w:pStyle w:val="Heading4"/>
      </w:pPr>
      <w:r w:rsidRPr="001A0107">
        <w:t>Conclusions and recommendation</w:t>
      </w:r>
    </w:p>
    <w:p w:rsidR="001A0107" w:rsidRPr="001A0107" w:rsidRDefault="001A0107" w:rsidP="00616DCA">
      <w:pPr>
        <w:pStyle w:val="ListBullet"/>
      </w:pPr>
      <w:r w:rsidRPr="001A0107">
        <w:t>No</w:t>
      </w:r>
      <w:r w:rsidR="004665CC">
        <w:t xml:space="preserve"> major deficiencies were noted.</w:t>
      </w:r>
    </w:p>
    <w:p w:rsidR="001A0107" w:rsidRPr="001A0107" w:rsidRDefault="00A529F8" w:rsidP="00616DCA">
      <w:pPr>
        <w:pStyle w:val="ListBullet"/>
      </w:pPr>
      <w:r w:rsidRPr="001A0107">
        <w:t xml:space="preserve">Submitted data, in the form of published articles and in-house data satisfactorily demonstrated an ability of </w:t>
      </w:r>
      <w:r w:rsidRPr="005B2872">
        <w:rPr>
          <w:vertAlign w:val="superscript"/>
        </w:rPr>
        <w:t>223</w:t>
      </w:r>
      <w:r w:rsidRPr="005B2872">
        <w:t>RaCl</w:t>
      </w:r>
      <w:r w:rsidRPr="005B2872">
        <w:rPr>
          <w:vertAlign w:val="subscript"/>
        </w:rPr>
        <w:t>2</w:t>
      </w:r>
      <w:r w:rsidRPr="005B2872">
        <w:t xml:space="preserve"> </w:t>
      </w:r>
      <w:r w:rsidRPr="001A0107">
        <w:t>to (a) accumulate in bone tissue (b) cause double stranded DNA breaks and cell cycle arrest in at least two cancer cell lines and (c) inhibit differentiation of osteoclast</w:t>
      </w:r>
      <w:r>
        <w:t>s</w:t>
      </w:r>
      <w:r w:rsidRPr="001A0107">
        <w:t xml:space="preserve"> and activity of osteoblast</w:t>
      </w:r>
      <w:r>
        <w:t>s</w:t>
      </w:r>
      <w:r w:rsidRPr="001A0107">
        <w:t xml:space="preserve"> </w:t>
      </w:r>
      <w:r w:rsidRPr="00BF3E99">
        <w:rPr>
          <w:i/>
        </w:rPr>
        <w:t>in vitro</w:t>
      </w:r>
      <w:r w:rsidRPr="001A0107">
        <w:t xml:space="preserve">. In an </w:t>
      </w:r>
      <w:r w:rsidRPr="00BF3E99">
        <w:rPr>
          <w:i/>
        </w:rPr>
        <w:t>in vivo</w:t>
      </w:r>
      <w:r w:rsidRPr="001A0107">
        <w:t xml:space="preserve"> mouse model, prolonged survival, </w:t>
      </w:r>
      <w:r>
        <w:t xml:space="preserve">and </w:t>
      </w:r>
      <w:r w:rsidRPr="001A0107">
        <w:t xml:space="preserve">reduced </w:t>
      </w:r>
      <w:proofErr w:type="spellStart"/>
      <w:r w:rsidRPr="001A0107">
        <w:t>osteolytic</w:t>
      </w:r>
      <w:proofErr w:type="spellEnd"/>
      <w:r w:rsidRPr="001A0107">
        <w:t xml:space="preserve"> area was also noted</w:t>
      </w:r>
      <w:r w:rsidR="001A0107" w:rsidRPr="001A0107">
        <w:t>.</w:t>
      </w:r>
    </w:p>
    <w:p w:rsidR="001A0107" w:rsidRPr="001A0107" w:rsidRDefault="001A0107" w:rsidP="00616DCA">
      <w:pPr>
        <w:pStyle w:val="ListBullet"/>
      </w:pPr>
      <w:r w:rsidRPr="001A0107">
        <w:lastRenderedPageBreak/>
        <w:t xml:space="preserve">Respiratory, cardiac and CNS functions were not adversely affected by a single dose of </w:t>
      </w:r>
      <w:r w:rsidR="0083168C" w:rsidRPr="005B2872">
        <w:rPr>
          <w:vertAlign w:val="superscript"/>
        </w:rPr>
        <w:t>223</w:t>
      </w:r>
      <w:r w:rsidR="0083168C" w:rsidRPr="005B2872">
        <w:t>RaCl</w:t>
      </w:r>
      <w:r w:rsidR="0083168C" w:rsidRPr="005B2872">
        <w:rPr>
          <w:vertAlign w:val="subscript"/>
        </w:rPr>
        <w:t>2</w:t>
      </w:r>
      <w:r w:rsidR="0083168C" w:rsidRPr="005B2872">
        <w:t xml:space="preserve"> </w:t>
      </w:r>
      <w:r w:rsidRPr="001A0107">
        <w:t xml:space="preserve">in rats and dogs (1000 </w:t>
      </w:r>
      <w:proofErr w:type="spellStart"/>
      <w:r w:rsidRPr="001A0107">
        <w:t>Bq</w:t>
      </w:r>
      <w:proofErr w:type="spellEnd"/>
      <w:r w:rsidRPr="001A0107">
        <w:t xml:space="preserve">/kg in rats and 450 </w:t>
      </w:r>
      <w:proofErr w:type="spellStart"/>
      <w:r w:rsidRPr="001A0107">
        <w:t>Bq</w:t>
      </w:r>
      <w:proofErr w:type="spellEnd"/>
      <w:r w:rsidRPr="001A0107">
        <w:t>/kg in dogs).</w:t>
      </w:r>
    </w:p>
    <w:p w:rsidR="001A0107" w:rsidRPr="001A0107" w:rsidRDefault="0083168C" w:rsidP="00616DCA">
      <w:pPr>
        <w:pStyle w:val="ListBullet"/>
      </w:pPr>
      <w:r w:rsidRPr="005B2872">
        <w:rPr>
          <w:vertAlign w:val="superscript"/>
        </w:rPr>
        <w:t>223</w:t>
      </w:r>
      <w:r w:rsidRPr="005B2872">
        <w:t>RaCl</w:t>
      </w:r>
      <w:r w:rsidRPr="005B2872">
        <w:rPr>
          <w:vertAlign w:val="subscript"/>
        </w:rPr>
        <w:t>2</w:t>
      </w:r>
      <w:r w:rsidRPr="005B2872">
        <w:t xml:space="preserve"> </w:t>
      </w:r>
      <w:r w:rsidR="001A0107" w:rsidRPr="001A0107">
        <w:t xml:space="preserve">demonstrated rapid clearance from the blood with only long term significant accumulation (up to 56 days) detected in bone tissue. Compared to single treatment, co-administration of </w:t>
      </w:r>
      <w:r w:rsidRPr="005B2872">
        <w:rPr>
          <w:vertAlign w:val="superscript"/>
        </w:rPr>
        <w:t>223</w:t>
      </w:r>
      <w:r w:rsidRPr="005B2872">
        <w:t>RaCl</w:t>
      </w:r>
      <w:r w:rsidRPr="005B2872">
        <w:rPr>
          <w:vertAlign w:val="subscript"/>
        </w:rPr>
        <w:t>2</w:t>
      </w:r>
      <w:r w:rsidRPr="005B2872">
        <w:t xml:space="preserve"> </w:t>
      </w:r>
      <w:r w:rsidR="001A0107" w:rsidRPr="001A0107">
        <w:t xml:space="preserve">with doxorubicin or </w:t>
      </w:r>
      <w:proofErr w:type="spellStart"/>
      <w:r w:rsidR="001A0107" w:rsidRPr="001A0107">
        <w:t>zoledronic</w:t>
      </w:r>
      <w:proofErr w:type="spellEnd"/>
      <w:r w:rsidR="001A0107" w:rsidRPr="001A0107">
        <w:t xml:space="preserve"> acid in breast cancer bone metastases in </w:t>
      </w:r>
      <w:proofErr w:type="spellStart"/>
      <w:r w:rsidR="001A0107" w:rsidRPr="001A0107">
        <w:t>athymic</w:t>
      </w:r>
      <w:proofErr w:type="spellEnd"/>
      <w:r w:rsidR="001A0107" w:rsidRPr="001A0107">
        <w:t xml:space="preserve"> nude mice appears to impart better outcomes, such as</w:t>
      </w:r>
      <w:r w:rsidR="001F505A">
        <w:t xml:space="preserve"> </w:t>
      </w:r>
      <w:r w:rsidR="001A0107" w:rsidRPr="001A0107">
        <w:t xml:space="preserve">delayed onset of weight loss, increased time to sacrifice, decreased </w:t>
      </w:r>
      <w:proofErr w:type="spellStart"/>
      <w:r w:rsidR="001A0107" w:rsidRPr="001A0107">
        <w:t>osteolytic</w:t>
      </w:r>
      <w:proofErr w:type="spellEnd"/>
      <w:r w:rsidR="001A0107" w:rsidRPr="001A0107">
        <w:t xml:space="preserve"> lesion areas and reduced TRACP 5b activity.</w:t>
      </w:r>
    </w:p>
    <w:p w:rsidR="001A0107" w:rsidRPr="001A0107" w:rsidRDefault="001A0107" w:rsidP="00616DCA">
      <w:pPr>
        <w:pStyle w:val="ListBullet"/>
      </w:pPr>
      <w:r w:rsidRPr="001A0107">
        <w:t>Repeat dose toxicity studies conducted in rats and dogs showed reduced body weights, food consumption, white blood cells, platelets</w:t>
      </w:r>
      <w:r w:rsidR="0083168C">
        <w:t>,</w:t>
      </w:r>
      <w:r w:rsidRPr="001A0107">
        <w:t xml:space="preserve"> and red blood cells. Concomitant increases in reticulocyte and </w:t>
      </w:r>
      <w:proofErr w:type="spellStart"/>
      <w:r w:rsidRPr="001A0107">
        <w:t>extramedullary</w:t>
      </w:r>
      <w:proofErr w:type="spellEnd"/>
      <w:r w:rsidRPr="001A0107">
        <w:t xml:space="preserve"> haematopoiesis (spleen) were also observed. </w:t>
      </w:r>
      <w:r w:rsidR="0083168C" w:rsidRPr="005B2872">
        <w:rPr>
          <w:vertAlign w:val="superscript"/>
        </w:rPr>
        <w:t>223</w:t>
      </w:r>
      <w:r w:rsidR="0083168C" w:rsidRPr="005B2872">
        <w:t>RaCl</w:t>
      </w:r>
      <w:r w:rsidR="0083168C" w:rsidRPr="005B2872">
        <w:rPr>
          <w:vertAlign w:val="subscript"/>
        </w:rPr>
        <w:t>2</w:t>
      </w:r>
      <w:r w:rsidR="0083168C" w:rsidRPr="005B2872">
        <w:t xml:space="preserve"> </w:t>
      </w:r>
      <w:r w:rsidRPr="001A0107">
        <w:t>was targeted to the bone and detectable up to 56</w:t>
      </w:r>
      <w:r w:rsidR="0083168C">
        <w:t xml:space="preserve"> </w:t>
      </w:r>
      <w:r w:rsidRPr="001A0107">
        <w:t>days post dose. Osteosarcomas (often with metastasis) were seen in rat studies from 6</w:t>
      </w:r>
      <w:r w:rsidR="0083168C">
        <w:t xml:space="preserve"> </w:t>
      </w:r>
      <w:r w:rsidRPr="001A0107">
        <w:t>months post dose, and one incidence each of mammary carcinoma and lymphoma. Based on BSA</w:t>
      </w:r>
      <w:r w:rsidRPr="001A0107">
        <w:footnoteReference w:id="21"/>
      </w:r>
      <w:r w:rsidRPr="001A0107">
        <w:t xml:space="preserve">, the animal to human safety ratios were &lt;1. However, the toxicity effects observed are direct effects anticipated to be associated with the pharmacology of </w:t>
      </w:r>
      <w:r w:rsidR="0083168C" w:rsidRPr="005B2872">
        <w:rPr>
          <w:vertAlign w:val="superscript"/>
        </w:rPr>
        <w:t>223</w:t>
      </w:r>
      <w:r w:rsidR="0083168C" w:rsidRPr="005B2872">
        <w:t>RaCl</w:t>
      </w:r>
      <w:r w:rsidR="0083168C" w:rsidRPr="005B2872">
        <w:rPr>
          <w:vertAlign w:val="subscript"/>
        </w:rPr>
        <w:t>2</w:t>
      </w:r>
      <w:r w:rsidRPr="001A0107">
        <w:t>.</w:t>
      </w:r>
    </w:p>
    <w:p w:rsidR="001A0107" w:rsidRPr="001A0107" w:rsidRDefault="001A0107" w:rsidP="00616DCA">
      <w:pPr>
        <w:pStyle w:val="ListBullet"/>
      </w:pPr>
      <w:r w:rsidRPr="001A0107">
        <w:t xml:space="preserve">Retinal detachment was seen in dogs after a single injection of 150 or 450 </w:t>
      </w:r>
      <w:proofErr w:type="spellStart"/>
      <w:r w:rsidRPr="001A0107">
        <w:t>kBq</w:t>
      </w:r>
      <w:proofErr w:type="spellEnd"/>
      <w:r w:rsidRPr="001A0107">
        <w:t xml:space="preserve">/kg </w:t>
      </w:r>
      <w:r w:rsidR="00C61472">
        <w:t>body weight</w:t>
      </w:r>
      <w:r w:rsidRPr="001A0107">
        <w:t xml:space="preserve"> (3 and 9x clinical dose), but not after repeat doses of 50 </w:t>
      </w:r>
      <w:proofErr w:type="spellStart"/>
      <w:r w:rsidRPr="001A0107">
        <w:t>kBq</w:t>
      </w:r>
      <w:proofErr w:type="spellEnd"/>
      <w:r w:rsidRPr="001A0107">
        <w:t xml:space="preserve">/kg </w:t>
      </w:r>
      <w:r w:rsidR="00C61472">
        <w:t>body weight</w:t>
      </w:r>
      <w:r w:rsidRPr="001A0107">
        <w:t xml:space="preserve">, nor was it observed in rats. The literature reports high uptake of radium in the </w:t>
      </w:r>
      <w:proofErr w:type="spellStart"/>
      <w:r w:rsidRPr="00A529F8">
        <w:rPr>
          <w:i/>
        </w:rPr>
        <w:t>tapetum</w:t>
      </w:r>
      <w:proofErr w:type="spellEnd"/>
      <w:r w:rsidRPr="00A529F8">
        <w:rPr>
          <w:i/>
        </w:rPr>
        <w:t xml:space="preserve"> </w:t>
      </w:r>
      <w:proofErr w:type="spellStart"/>
      <w:r w:rsidRPr="00A529F8">
        <w:rPr>
          <w:i/>
        </w:rPr>
        <w:t>lucidum</w:t>
      </w:r>
      <w:proofErr w:type="spellEnd"/>
      <w:r w:rsidRPr="001A0107">
        <w:t xml:space="preserve"> of the canine eye, a structure which humans do not possess.</w:t>
      </w:r>
    </w:p>
    <w:p w:rsidR="001A0107" w:rsidRPr="001A0107" w:rsidRDefault="001A0107" w:rsidP="00616DCA">
      <w:pPr>
        <w:pStyle w:val="ListBullet"/>
      </w:pPr>
      <w:r w:rsidRPr="001A0107">
        <w:t xml:space="preserve">No </w:t>
      </w:r>
      <w:proofErr w:type="spellStart"/>
      <w:r w:rsidRPr="001A0107">
        <w:t>genotoxicity</w:t>
      </w:r>
      <w:proofErr w:type="spellEnd"/>
      <w:r w:rsidRPr="001A0107">
        <w:t>, carcinogenicity or reproductive toxicity studies were performed due to mechanisms of actions of alpha particle radiation from the test article, which is acceptable.</w:t>
      </w:r>
    </w:p>
    <w:p w:rsidR="001A0107" w:rsidRPr="001A0107" w:rsidRDefault="001A0107" w:rsidP="00616DCA">
      <w:pPr>
        <w:pStyle w:val="ListBullet"/>
      </w:pPr>
      <w:r w:rsidRPr="001A0107">
        <w:t xml:space="preserve">While the safety exposure ratios are low, and a high level of toxicity was observed in rodent repeat dose studies (such as osteosarcomas), there are no nonclinical objections to registration on the grounds that (a) toxicity associated with repeat dosing in dogs was minimal (though with exposure margins &lt;1) and (b) the indicated human </w:t>
      </w:r>
      <w:r w:rsidR="004665CC">
        <w:t>population has advanced cancer.</w:t>
      </w:r>
    </w:p>
    <w:p w:rsidR="001A0107" w:rsidRPr="001A0107" w:rsidRDefault="001A0107" w:rsidP="00616DCA">
      <w:pPr>
        <w:pStyle w:val="ListBullet"/>
      </w:pPr>
      <w:r w:rsidRPr="001A0107">
        <w:t>The nonclinical evaluation does not cover the radiation protection aspects of the submission.</w:t>
      </w:r>
    </w:p>
    <w:p w:rsidR="008E7846" w:rsidRPr="00254787" w:rsidRDefault="008E7846" w:rsidP="008E7846">
      <w:pPr>
        <w:pStyle w:val="Heading2"/>
      </w:pPr>
      <w:bookmarkStart w:id="58" w:name="_Toc196046462"/>
      <w:bookmarkStart w:id="59" w:name="_Toc247691516"/>
      <w:bookmarkStart w:id="60" w:name="_Toc314842500"/>
      <w:bookmarkStart w:id="61" w:name="_Toc163441353"/>
      <w:bookmarkStart w:id="62" w:name="_Toc163441348"/>
      <w:bookmarkStart w:id="63" w:name="_Toc394316801"/>
      <w:r>
        <w:t xml:space="preserve">IV. </w:t>
      </w:r>
      <w:r w:rsidRPr="00254787">
        <w:t>Clinical</w:t>
      </w:r>
      <w:bookmarkEnd w:id="58"/>
      <w:r>
        <w:t xml:space="preserve"> </w:t>
      </w:r>
      <w:r w:rsidR="003A7F6C">
        <w:t>f</w:t>
      </w:r>
      <w:r>
        <w:t>indings</w:t>
      </w:r>
      <w:bookmarkEnd w:id="59"/>
      <w:bookmarkEnd w:id="60"/>
      <w:bookmarkEnd w:id="63"/>
    </w:p>
    <w:p w:rsidR="00C80137" w:rsidRDefault="00C80137" w:rsidP="00D425BB">
      <w:bookmarkStart w:id="6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5" w:name="_Toc247691517"/>
      <w:bookmarkStart w:id="66" w:name="_Toc314842501"/>
      <w:bookmarkStart w:id="67" w:name="_Toc394316802"/>
      <w:r w:rsidRPr="00254787">
        <w:t>Introduction</w:t>
      </w:r>
      <w:bookmarkEnd w:id="64"/>
      <w:bookmarkEnd w:id="65"/>
      <w:bookmarkEnd w:id="66"/>
      <w:bookmarkEnd w:id="67"/>
    </w:p>
    <w:p w:rsidR="00605AD4" w:rsidRPr="00605AD4" w:rsidRDefault="00605AD4" w:rsidP="00605AD4">
      <w:pPr>
        <w:pStyle w:val="Heading4"/>
      </w:pPr>
      <w:bookmarkStart w:id="68" w:name="_Toc196046464"/>
      <w:bookmarkStart w:id="69" w:name="_Toc247691518"/>
      <w:bookmarkStart w:id="70" w:name="_Toc314842502"/>
      <w:r w:rsidRPr="00605AD4">
        <w:t>Contents of the clinical dossier</w:t>
      </w:r>
    </w:p>
    <w:p w:rsidR="006C6D47" w:rsidRPr="006C6D47" w:rsidRDefault="006C6D47" w:rsidP="006C6D47">
      <w:r w:rsidRPr="006C6D47">
        <w:t>The submission contained the following clinical information:</w:t>
      </w:r>
    </w:p>
    <w:p w:rsidR="006C6D47" w:rsidRPr="006C6D47" w:rsidRDefault="006C6D47" w:rsidP="006C6D47">
      <w:pPr>
        <w:pStyle w:val="ListBullet"/>
      </w:pPr>
      <w:r w:rsidRPr="006C6D47">
        <w:t xml:space="preserve">4 clinical pharmacology studies providing data on pharmacokinetics, </w:t>
      </w:r>
      <w:proofErr w:type="spellStart"/>
      <w:r w:rsidRPr="006C6D47">
        <w:t>biodistribution</w:t>
      </w:r>
      <w:proofErr w:type="spellEnd"/>
      <w:r w:rsidRPr="006C6D47">
        <w:t xml:space="preserve"> and </w:t>
      </w:r>
      <w:proofErr w:type="spellStart"/>
      <w:r w:rsidRPr="006C6D47">
        <w:t>dosimetry</w:t>
      </w:r>
      <w:proofErr w:type="spellEnd"/>
      <w:r>
        <w:t>;</w:t>
      </w:r>
    </w:p>
    <w:p w:rsidR="006C6D47" w:rsidRPr="006C6D47" w:rsidRDefault="006C6D47" w:rsidP="006C6D47">
      <w:pPr>
        <w:pStyle w:val="ListBullet"/>
      </w:pPr>
      <w:r w:rsidRPr="006C6D47">
        <w:t>1 pivotal efficacy/safety studies</w:t>
      </w:r>
      <w:r>
        <w:t>; and</w:t>
      </w:r>
    </w:p>
    <w:p w:rsidR="006C6D47" w:rsidRPr="006C6D47" w:rsidRDefault="006C6D47" w:rsidP="006C6D47">
      <w:pPr>
        <w:pStyle w:val="ListBullet"/>
      </w:pPr>
      <w:r w:rsidRPr="006C6D47">
        <w:t>2 other efficacy/safety studies</w:t>
      </w:r>
      <w:r>
        <w:t>.</w:t>
      </w:r>
    </w:p>
    <w:p w:rsidR="002353D2" w:rsidRPr="00605AD4" w:rsidRDefault="002353D2" w:rsidP="002353D2">
      <w:pPr>
        <w:pStyle w:val="Heading4"/>
      </w:pPr>
      <w:r w:rsidRPr="00605AD4">
        <w:lastRenderedPageBreak/>
        <w:t>Guidance</w:t>
      </w:r>
    </w:p>
    <w:p w:rsidR="002353D2" w:rsidRPr="000C20CF" w:rsidRDefault="002353D2" w:rsidP="002353D2">
      <w:r w:rsidRPr="000C20CF">
        <w:t xml:space="preserve">There are no adopted guidelines for radiopharmaceuticals. The TGA has adopted the </w:t>
      </w:r>
      <w:r>
        <w:t xml:space="preserve">EU </w:t>
      </w:r>
      <w:r w:rsidRPr="000C20CF">
        <w:t>guidelin</w:t>
      </w:r>
      <w:r>
        <w:t>e relating to anticancer agents.</w:t>
      </w:r>
      <w:r>
        <w:rPr>
          <w:rStyle w:val="FootnoteReference"/>
        </w:rPr>
        <w:footnoteReference w:id="22"/>
      </w:r>
      <w:r>
        <w:t xml:space="preserve"> </w:t>
      </w:r>
      <w:r w:rsidRPr="000C20CF">
        <w:t>This guideline allows for a single efficacy study and for interim analysis and stopping a trial where benefit has been demonstration.</w:t>
      </w:r>
    </w:p>
    <w:p w:rsidR="00605AD4" w:rsidRPr="00605AD4" w:rsidRDefault="00605AD4" w:rsidP="00605AD4">
      <w:pPr>
        <w:pStyle w:val="Heading4"/>
      </w:pPr>
      <w:r w:rsidRPr="00605AD4">
        <w:t>Paediatric data</w:t>
      </w:r>
    </w:p>
    <w:p w:rsidR="003B73C2" w:rsidRPr="003B73C2" w:rsidRDefault="003B73C2" w:rsidP="003B73C2">
      <w:r w:rsidRPr="003B73C2">
        <w:t>The submission did not include paediatric data. This is appropriate given the indication being sought.</w:t>
      </w:r>
    </w:p>
    <w:p w:rsidR="00605AD4" w:rsidRDefault="00605AD4" w:rsidP="00605AD4">
      <w:pPr>
        <w:pStyle w:val="Heading4"/>
      </w:pPr>
      <w:r w:rsidRPr="00605AD4">
        <w:t>Good clinical practice</w:t>
      </w:r>
    </w:p>
    <w:p w:rsidR="003B73C2" w:rsidRPr="003B73C2" w:rsidRDefault="003B73C2" w:rsidP="004665CC">
      <w:r w:rsidRPr="003B73C2">
        <w:t xml:space="preserve">The clinical study reports state that the conduct of the clinical studies met all local legal and regulatory requirements and that all studies were conducted in accordance with the ethical principles that have their origin in the Declaration of Helsinki and the </w:t>
      </w:r>
      <w:r w:rsidR="00A37157">
        <w:t>ICH guidelines</w:t>
      </w:r>
      <w:r w:rsidRPr="003B73C2">
        <w:t>. The protocols were reviewed by the appropriate ethics committees and all patients gave written informed consent prior to their participation in the studies.</w:t>
      </w:r>
    </w:p>
    <w:p w:rsidR="008E7846" w:rsidRPr="00254787" w:rsidRDefault="008E7846" w:rsidP="00605AD4">
      <w:pPr>
        <w:pStyle w:val="Heading3"/>
      </w:pPr>
      <w:bookmarkStart w:id="71" w:name="_Toc394316803"/>
      <w:r w:rsidRPr="00254787">
        <w:t>Pharmacokinetics</w:t>
      </w:r>
      <w:bookmarkEnd w:id="61"/>
      <w:bookmarkEnd w:id="68"/>
      <w:bookmarkEnd w:id="69"/>
      <w:bookmarkEnd w:id="70"/>
      <w:bookmarkEnd w:id="71"/>
    </w:p>
    <w:p w:rsidR="00AC4E14" w:rsidRDefault="00AC4E14" w:rsidP="00AC4E14">
      <w:pPr>
        <w:pStyle w:val="Heading4"/>
      </w:pPr>
      <w:r>
        <w:t>Studies providing pharmacokinetic dat</w:t>
      </w:r>
      <w:r w:rsidR="004665CC">
        <w:t>a</w:t>
      </w:r>
    </w:p>
    <w:p w:rsidR="00AC4E14" w:rsidRPr="00AC4E14" w:rsidRDefault="00AC4E14" w:rsidP="00AC4E14">
      <w:r>
        <w:t xml:space="preserve">Table </w:t>
      </w:r>
      <w:r w:rsidR="00C804B2">
        <w:t>2</w:t>
      </w:r>
      <w:r>
        <w:t xml:space="preserve"> </w:t>
      </w:r>
      <w:r w:rsidRPr="00AC4E14">
        <w:t>shows the studies relating to each pharmacokinetic topic and the location of each study summary.</w:t>
      </w:r>
    </w:p>
    <w:p w:rsidR="00AC4E14" w:rsidRDefault="00AC4E14" w:rsidP="004665CC">
      <w:pPr>
        <w:pStyle w:val="TableTitle"/>
      </w:pPr>
      <w:proofErr w:type="gramStart"/>
      <w:r>
        <w:t xml:space="preserve">Table </w:t>
      </w:r>
      <w:r w:rsidR="00C804B2">
        <w:t>2</w:t>
      </w:r>
      <w:r>
        <w:t>:</w:t>
      </w:r>
      <w:r w:rsidRPr="004C5C28">
        <w:t xml:space="preserve"> </w:t>
      </w:r>
      <w:r w:rsidRPr="00AC4E14">
        <w:t>Submitted pharmacokinetic studies</w:t>
      </w:r>
      <w:r>
        <w:t>.</w:t>
      </w:r>
      <w:proofErr w:type="gramEnd"/>
    </w:p>
    <w:p w:rsidR="00AC4E14" w:rsidRDefault="003201C5" w:rsidP="004665CC">
      <w:r>
        <w:rPr>
          <w:noProof/>
          <w:lang w:eastAsia="en-AU"/>
        </w:rPr>
        <w:drawing>
          <wp:inline distT="0" distB="0" distL="0" distR="0">
            <wp:extent cx="4123690" cy="3674745"/>
            <wp:effectExtent l="0" t="0" r="0" b="1905"/>
            <wp:docPr id="5" name="Picture 5" descr="Table 2: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Submitted pharmacokinetic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3690" cy="3674745"/>
                    </a:xfrm>
                    <a:prstGeom prst="rect">
                      <a:avLst/>
                    </a:prstGeom>
                    <a:noFill/>
                    <a:ln>
                      <a:noFill/>
                    </a:ln>
                  </pic:spPr>
                </pic:pic>
              </a:graphicData>
            </a:graphic>
          </wp:inline>
        </w:drawing>
      </w:r>
    </w:p>
    <w:p w:rsidR="00AC4E14" w:rsidRDefault="00AC4E14" w:rsidP="004665CC">
      <w:pPr>
        <w:pStyle w:val="TableDescription"/>
      </w:pPr>
      <w:r w:rsidRPr="00AF6927">
        <w:t>†</w:t>
      </w:r>
      <w:r>
        <w:t xml:space="preserve"> Bioequivalence of different formulations.</w:t>
      </w:r>
    </w:p>
    <w:p w:rsidR="00AC4E14" w:rsidRDefault="00AC4E14" w:rsidP="004665CC">
      <w:pPr>
        <w:pStyle w:val="TableDescription"/>
        <w:rPr>
          <w:szCs w:val="20"/>
        </w:rPr>
      </w:pPr>
      <w:r w:rsidRPr="00BF3808">
        <w:t>§</w:t>
      </w:r>
      <w:r>
        <w:rPr>
          <w:szCs w:val="20"/>
        </w:rPr>
        <w:t xml:space="preserve"> Subjects who would be eligible to receive the drug if approved for the proposed indication.</w:t>
      </w:r>
    </w:p>
    <w:p w:rsidR="00AC4E14" w:rsidRPr="00A37157" w:rsidRDefault="00AC4E14" w:rsidP="00A37157">
      <w:r w:rsidRPr="00A37157">
        <w:lastRenderedPageBreak/>
        <w:t>None of the pharmacokinetic studies had deficiencies that excluded their results from consideration.</w:t>
      </w:r>
    </w:p>
    <w:p w:rsidR="00605AD4" w:rsidRDefault="00605AD4" w:rsidP="00605AD4">
      <w:pPr>
        <w:pStyle w:val="Heading4"/>
      </w:pPr>
      <w:r>
        <w:t>Evaluator’s conclusions on pharmacokinetics</w:t>
      </w:r>
    </w:p>
    <w:p w:rsidR="00AC4E14" w:rsidRPr="00AC4E14" w:rsidRDefault="00AC4E14" w:rsidP="00AC4E14">
      <w:r w:rsidRPr="00AC4E14">
        <w:t xml:space="preserve">The pharmacokinetic data has </w:t>
      </w:r>
      <w:r w:rsidR="00A37157">
        <w:t>been obtained from three Phase I</w:t>
      </w:r>
      <w:r w:rsidRPr="00AC4E14">
        <w:t xml:space="preserve"> studies including a total of 47 patients. Due to the mechanism of action of </w:t>
      </w:r>
      <w:r w:rsidRPr="00AC4E14">
        <w:rPr>
          <w:vertAlign w:val="superscript"/>
        </w:rPr>
        <w:t>223</w:t>
      </w:r>
      <w:r>
        <w:t>RaCl</w:t>
      </w:r>
      <w:r w:rsidRPr="00AC4E14">
        <w:rPr>
          <w:vertAlign w:val="subscript"/>
        </w:rPr>
        <w:t>2</w:t>
      </w:r>
      <w:r w:rsidRPr="00AC4E14">
        <w:t xml:space="preserve"> as an alpha emitting radiopharmaceutical which may cause chromosomal damage, all clinical studies were conducted in cancer patients (prostate and breast). This is in accordance with the EU guideline on anticancer medicinal products.</w:t>
      </w:r>
      <w:r w:rsidR="003F461E">
        <w:rPr>
          <w:rStyle w:val="FootnoteReference"/>
        </w:rPr>
        <w:footnoteReference w:id="23"/>
      </w:r>
    </w:p>
    <w:p w:rsidR="00AC4E14" w:rsidRPr="00AC4E14" w:rsidRDefault="00AC4E14" w:rsidP="00AC4E14">
      <w:r w:rsidRPr="00AC4E14">
        <w:t xml:space="preserve">There were no pharmacokinetic studies performed in special populations. The information for these populations was obtained via subgroup analysis from the pivotal efficacy </w:t>
      </w:r>
      <w:r w:rsidR="003F461E">
        <w:t>S</w:t>
      </w:r>
      <w:r w:rsidRPr="00AC4E14">
        <w:t>tudy BCI-06.</w:t>
      </w:r>
    </w:p>
    <w:p w:rsidR="00AC4E14" w:rsidRPr="00AC4E14" w:rsidRDefault="00AC4E14" w:rsidP="00AC4E14">
      <w:r w:rsidRPr="00AC4E14">
        <w:t xml:space="preserve">The data from the single and multiple dose studies indicated close to but not exact dose proportionality. The </w:t>
      </w:r>
      <w:r w:rsidR="00DF0B48" w:rsidRPr="00AC4E14">
        <w:t>pharmacokinetic</w:t>
      </w:r>
      <w:r w:rsidRPr="00AC4E14">
        <w:t xml:space="preserve"> studies support the dose and dose timing used in the efficacy studies.</w:t>
      </w:r>
    </w:p>
    <w:p w:rsidR="008E7846" w:rsidRDefault="008E7846" w:rsidP="008E7846">
      <w:pPr>
        <w:pStyle w:val="Heading3"/>
      </w:pPr>
      <w:bookmarkStart w:id="72" w:name="_Toc196046481"/>
      <w:bookmarkStart w:id="73" w:name="_Toc247691520"/>
      <w:bookmarkStart w:id="74" w:name="_Toc314842503"/>
      <w:bookmarkStart w:id="75" w:name="_Toc394316804"/>
      <w:r w:rsidRPr="00254787">
        <w:t>Pharmacodynamics</w:t>
      </w:r>
      <w:bookmarkEnd w:id="62"/>
      <w:bookmarkEnd w:id="72"/>
      <w:bookmarkEnd w:id="73"/>
      <w:bookmarkEnd w:id="74"/>
      <w:bookmarkEnd w:id="75"/>
    </w:p>
    <w:p w:rsidR="00605AD4" w:rsidRDefault="00605AD4" w:rsidP="00605AD4">
      <w:pPr>
        <w:pStyle w:val="Heading4"/>
      </w:pPr>
      <w:r>
        <w:t xml:space="preserve">Studies providing </w:t>
      </w:r>
      <w:proofErr w:type="spellStart"/>
      <w:r>
        <w:t>pharmacodynamic</w:t>
      </w:r>
      <w:proofErr w:type="spellEnd"/>
      <w:r>
        <w:t xml:space="preserve"> data</w:t>
      </w:r>
    </w:p>
    <w:p w:rsidR="009E3F7C" w:rsidRDefault="002B0997" w:rsidP="009E3F7C">
      <w:r>
        <w:t xml:space="preserve">Table </w:t>
      </w:r>
      <w:r w:rsidR="00C804B2">
        <w:t>3</w:t>
      </w:r>
      <w:r w:rsidRPr="002B0997">
        <w:t xml:space="preserve"> shows the studies relating to each </w:t>
      </w:r>
      <w:proofErr w:type="spellStart"/>
      <w:r w:rsidRPr="002B0997">
        <w:t>pharmacodynamic</w:t>
      </w:r>
      <w:proofErr w:type="spellEnd"/>
      <w:r w:rsidRPr="002B0997">
        <w:t xml:space="preserve"> topic and the location of each study summary</w:t>
      </w:r>
      <w:r w:rsidR="007356B1">
        <w:t>.</w:t>
      </w:r>
    </w:p>
    <w:p w:rsidR="001526DB" w:rsidRDefault="001526DB" w:rsidP="004665CC">
      <w:pPr>
        <w:pStyle w:val="TableTitle"/>
      </w:pPr>
      <w:proofErr w:type="gramStart"/>
      <w:r>
        <w:t xml:space="preserve">Table </w:t>
      </w:r>
      <w:r w:rsidR="00C804B2">
        <w:t>3</w:t>
      </w:r>
      <w:r>
        <w:t>:</w:t>
      </w:r>
      <w:r w:rsidRPr="004C5C28">
        <w:t xml:space="preserve"> </w:t>
      </w:r>
      <w:r w:rsidRPr="00AC4E14">
        <w:t xml:space="preserve">Submitted </w:t>
      </w:r>
      <w:proofErr w:type="spellStart"/>
      <w:r w:rsidRPr="00AC4E14">
        <w:t>pharmaco</w:t>
      </w:r>
      <w:r w:rsidR="002B0997">
        <w:t>dynamic</w:t>
      </w:r>
      <w:proofErr w:type="spellEnd"/>
      <w:r w:rsidRPr="00AC4E14">
        <w:t xml:space="preserve"> studies</w:t>
      </w:r>
      <w:r>
        <w:t>.</w:t>
      </w:r>
      <w:proofErr w:type="gramEnd"/>
    </w:p>
    <w:p w:rsidR="001526DB" w:rsidRDefault="003201C5" w:rsidP="004665CC">
      <w:r>
        <w:rPr>
          <w:noProof/>
          <w:lang w:eastAsia="en-AU"/>
        </w:rPr>
        <w:drawing>
          <wp:inline distT="0" distB="0" distL="0" distR="0">
            <wp:extent cx="4105910" cy="1768475"/>
            <wp:effectExtent l="0" t="0" r="8890" b="3175"/>
            <wp:docPr id="6" name="Picture 6" descr="Table 3: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Submitted pharmacodynamic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910" cy="1768475"/>
                    </a:xfrm>
                    <a:prstGeom prst="rect">
                      <a:avLst/>
                    </a:prstGeom>
                    <a:noFill/>
                    <a:ln>
                      <a:noFill/>
                    </a:ln>
                  </pic:spPr>
                </pic:pic>
              </a:graphicData>
            </a:graphic>
          </wp:inline>
        </w:drawing>
      </w:r>
    </w:p>
    <w:p w:rsidR="00AA02FA" w:rsidRPr="00C52AD4" w:rsidRDefault="00AA02FA" w:rsidP="00C52AD4">
      <w:r w:rsidRPr="00C52AD4">
        <w:t xml:space="preserve">None of the </w:t>
      </w:r>
      <w:proofErr w:type="spellStart"/>
      <w:r w:rsidRPr="00C52AD4">
        <w:t>pharmacodynamic</w:t>
      </w:r>
      <w:proofErr w:type="spellEnd"/>
      <w:r w:rsidRPr="00C52AD4">
        <w:t xml:space="preserve"> studies had deficiencies that excluded their results from consideration.</w:t>
      </w:r>
    </w:p>
    <w:p w:rsidR="00605AD4" w:rsidRDefault="00605AD4" w:rsidP="00605AD4">
      <w:pPr>
        <w:pStyle w:val="Heading4"/>
      </w:pPr>
      <w:r>
        <w:t>Evaluator’s conclusions on pharmacodynamics</w:t>
      </w:r>
    </w:p>
    <w:p w:rsidR="00C52AD4" w:rsidRPr="00C52AD4" w:rsidRDefault="00493CBB" w:rsidP="00C52AD4">
      <w:r>
        <w:t xml:space="preserve">Very little </w:t>
      </w:r>
      <w:proofErr w:type="spellStart"/>
      <w:r>
        <w:t>pharmacodynamic</w:t>
      </w:r>
      <w:proofErr w:type="spellEnd"/>
      <w:r w:rsidR="00C52AD4" w:rsidRPr="00C52AD4">
        <w:t xml:space="preserve"> evaluation was done as the mechanism of action of radiopharmaceuticals is well known. The dose response to the single dose in the one study conducted demonstrated the dose response over the range examined for the response of pain as measured by the pain index and the secondary endpoints of pain relief, analgesic consumption and change in function interference.</w:t>
      </w:r>
    </w:p>
    <w:p w:rsidR="00C52AD4" w:rsidRPr="00C52AD4" w:rsidRDefault="00C52AD4" w:rsidP="00C52AD4">
      <w:r w:rsidRPr="00C52AD4">
        <w:t>The results of this study justify the dose selected for the pivotal studies.</w:t>
      </w:r>
    </w:p>
    <w:p w:rsidR="008E7846" w:rsidRDefault="00605AD4" w:rsidP="00605AD4">
      <w:pPr>
        <w:pStyle w:val="Heading3"/>
      </w:pPr>
      <w:bookmarkStart w:id="76" w:name="_Toc394316805"/>
      <w:r>
        <w:lastRenderedPageBreak/>
        <w:t xml:space="preserve">Dosage </w:t>
      </w:r>
      <w:r w:rsidR="004665CC">
        <w:t>s</w:t>
      </w:r>
      <w:r>
        <w:t xml:space="preserve">election for the </w:t>
      </w:r>
      <w:r w:rsidR="004665CC">
        <w:t>p</w:t>
      </w:r>
      <w:r>
        <w:t xml:space="preserve">ivotal </w:t>
      </w:r>
      <w:r w:rsidR="004665CC">
        <w:t>s</w:t>
      </w:r>
      <w:r>
        <w:t>tudies</w:t>
      </w:r>
      <w:bookmarkEnd w:id="76"/>
    </w:p>
    <w:p w:rsidR="00C52AD4" w:rsidRDefault="00C52AD4" w:rsidP="00C52AD4">
      <w:r w:rsidRPr="00C52AD4">
        <w:t xml:space="preserve">During the clinical development program, </w:t>
      </w:r>
      <w:r w:rsidR="00871E00" w:rsidRPr="00871E00">
        <w:rPr>
          <w:vertAlign w:val="superscript"/>
        </w:rPr>
        <w:t>223</w:t>
      </w:r>
      <w:r w:rsidR="00871E00">
        <w:t>Ra</w:t>
      </w:r>
      <w:r w:rsidRPr="00C52AD4">
        <w:t xml:space="preserve"> was studied as a single dose up to 250 </w:t>
      </w:r>
      <w:proofErr w:type="spellStart"/>
      <w:r w:rsidRPr="00C52AD4">
        <w:t>kBq</w:t>
      </w:r>
      <w:proofErr w:type="spellEnd"/>
      <w:r w:rsidRPr="00C52AD4">
        <w:t xml:space="preserve">/kg </w:t>
      </w:r>
      <w:r w:rsidR="00871E00">
        <w:t>body weight</w:t>
      </w:r>
      <w:r w:rsidRPr="00C52AD4">
        <w:t xml:space="preserve">, and as repeated doses up to 240 </w:t>
      </w:r>
      <w:proofErr w:type="spellStart"/>
      <w:r w:rsidRPr="00C52AD4">
        <w:t>kBq</w:t>
      </w:r>
      <w:proofErr w:type="spellEnd"/>
      <w:r w:rsidRPr="00C52AD4">
        <w:t xml:space="preserve">/kg </w:t>
      </w:r>
      <w:r w:rsidR="00871E00">
        <w:t>body weight</w:t>
      </w:r>
      <w:r w:rsidRPr="00C52AD4">
        <w:t xml:space="preserve">. The proposed dosing regimen of 50 </w:t>
      </w:r>
      <w:proofErr w:type="spellStart"/>
      <w:r w:rsidRPr="00C52AD4">
        <w:t>kBq</w:t>
      </w:r>
      <w:proofErr w:type="spellEnd"/>
      <w:r w:rsidRPr="00C52AD4">
        <w:t xml:space="preserve">/kg </w:t>
      </w:r>
      <w:r w:rsidR="00871E00">
        <w:t>body weight</w:t>
      </w:r>
      <w:r w:rsidRPr="00C52AD4">
        <w:t xml:space="preserve"> every 4 weeks for a total of 6 injections was based on the </w:t>
      </w:r>
      <w:r>
        <w:t>following.</w:t>
      </w:r>
    </w:p>
    <w:p w:rsidR="00C52AD4" w:rsidRPr="00075BD5" w:rsidRDefault="00C52AD4" w:rsidP="004665CC">
      <w:pPr>
        <w:pStyle w:val="Heading4"/>
      </w:pPr>
      <w:r w:rsidRPr="00075BD5">
        <w:t>Dose</w:t>
      </w:r>
    </w:p>
    <w:p w:rsidR="00C52AD4" w:rsidRPr="00C52AD4" w:rsidRDefault="00C52AD4" w:rsidP="00C52AD4">
      <w:r w:rsidRPr="00C52AD4">
        <w:t xml:space="preserve">Throughout the dose range tested during the initial </w:t>
      </w:r>
      <w:r w:rsidR="002D3B39">
        <w:t>P</w:t>
      </w:r>
      <w:r w:rsidR="00EF37BC">
        <w:t>hase I study (ATC-BCI) (</w:t>
      </w:r>
      <w:r w:rsidRPr="00C52AD4">
        <w:t>single d</w:t>
      </w:r>
      <w:r w:rsidR="007C5FB4">
        <w:t xml:space="preserve">oses up to 250 </w:t>
      </w:r>
      <w:proofErr w:type="spellStart"/>
      <w:r w:rsidR="007C5FB4">
        <w:t>kBq</w:t>
      </w:r>
      <w:proofErr w:type="spellEnd"/>
      <w:r w:rsidR="007C5FB4">
        <w:t>/kg body weight)</w:t>
      </w:r>
      <w:r w:rsidRPr="00C52AD4">
        <w:t>, no dose limiting toxicities were recorded and there was no gradient of risk acro</w:t>
      </w:r>
      <w:r w:rsidR="00CA74AB">
        <w:t xml:space="preserve">ss the doses up to 100 </w:t>
      </w:r>
      <w:proofErr w:type="spellStart"/>
      <w:r w:rsidR="00CA74AB">
        <w:t>kBq</w:t>
      </w:r>
      <w:proofErr w:type="spellEnd"/>
      <w:r w:rsidR="00CA74AB">
        <w:t>/kg body weight</w:t>
      </w:r>
      <w:r w:rsidR="00741148">
        <w:t xml:space="preserve"> in the Phase II</w:t>
      </w:r>
      <w:r w:rsidRPr="00C52AD4">
        <w:t xml:space="preserve"> studies (Studies BCI-02, BCI-03, and BCI-04).</w:t>
      </w:r>
    </w:p>
    <w:p w:rsidR="00C52AD4" w:rsidRPr="00C52AD4" w:rsidRDefault="00C52AD4" w:rsidP="00C52AD4">
      <w:r w:rsidRPr="00C52AD4">
        <w:t>In Study BCI-04</w:t>
      </w:r>
      <w:r>
        <w:t>,</w:t>
      </w:r>
      <w:r w:rsidRPr="00C52AD4">
        <w:t xml:space="preserve"> the two hi</w:t>
      </w:r>
      <w:r w:rsidR="00C61472">
        <w:t xml:space="preserve">ghest doses (50 and 80 </w:t>
      </w:r>
      <w:proofErr w:type="spellStart"/>
      <w:r w:rsidR="00C61472">
        <w:t>kBq</w:t>
      </w:r>
      <w:proofErr w:type="spellEnd"/>
      <w:r w:rsidR="00C61472">
        <w:t>/kg body weight</w:t>
      </w:r>
      <w:r w:rsidRPr="00C52AD4">
        <w:t>) demonstrated a greater effect on the PSA and bone</w:t>
      </w:r>
      <w:r w:rsidR="006D1302">
        <w:t xml:space="preserve"> </w:t>
      </w:r>
      <w:r w:rsidR="006D1302" w:rsidRPr="006D1302">
        <w:t>alkaline phosphatase</w:t>
      </w:r>
      <w:r w:rsidR="006D1302">
        <w:t xml:space="preserve"> (ALP) </w:t>
      </w:r>
      <w:r w:rsidRPr="00C52AD4">
        <w:t xml:space="preserve">as compared to the lowest dose level. The 50 </w:t>
      </w:r>
      <w:proofErr w:type="spellStart"/>
      <w:r w:rsidRPr="00C52AD4">
        <w:t>kBq</w:t>
      </w:r>
      <w:proofErr w:type="spellEnd"/>
      <w:r w:rsidRPr="00C52AD4">
        <w:t xml:space="preserve">/kg </w:t>
      </w:r>
      <w:r w:rsidR="00C61472">
        <w:t>body weight</w:t>
      </w:r>
      <w:r w:rsidRPr="00C52AD4">
        <w:t xml:space="preserve"> dose was not significantly different from the 80 </w:t>
      </w:r>
      <w:proofErr w:type="spellStart"/>
      <w:r w:rsidRPr="00C52AD4">
        <w:t>kBq</w:t>
      </w:r>
      <w:proofErr w:type="spellEnd"/>
      <w:r w:rsidRPr="00C52AD4">
        <w:t>/kg dose in ter</w:t>
      </w:r>
      <w:r w:rsidR="00594A9A">
        <w:t xml:space="preserve">ms of response for PSA and bone </w:t>
      </w:r>
      <w:r w:rsidRPr="00C52AD4">
        <w:t>ALP.</w:t>
      </w:r>
      <w:r w:rsidR="00594A9A">
        <w:t xml:space="preserve"> Therefore, </w:t>
      </w:r>
      <w:r w:rsidRPr="00C52AD4">
        <w:t xml:space="preserve">a dose of 50 </w:t>
      </w:r>
      <w:proofErr w:type="spellStart"/>
      <w:r w:rsidRPr="00C52AD4">
        <w:t>kBq</w:t>
      </w:r>
      <w:proofErr w:type="spellEnd"/>
      <w:r w:rsidRPr="00C52AD4">
        <w:t xml:space="preserve">/kg </w:t>
      </w:r>
      <w:r w:rsidR="00594A9A">
        <w:t>body weight</w:t>
      </w:r>
      <w:r w:rsidRPr="00C52AD4">
        <w:t xml:space="preserve"> was considered to be a biologically effective dose.</w:t>
      </w:r>
    </w:p>
    <w:p w:rsidR="00C52AD4" w:rsidRPr="00DD7D34" w:rsidRDefault="00C52AD4" w:rsidP="00C52AD4">
      <w:pPr>
        <w:pStyle w:val="Heading4"/>
      </w:pPr>
      <w:r w:rsidRPr="00DD7D34">
        <w:t>Injection duration (up to 1 minute)</w:t>
      </w:r>
    </w:p>
    <w:p w:rsidR="00C52AD4" w:rsidRPr="00C52AD4" w:rsidRDefault="00C52AD4" w:rsidP="00C52AD4">
      <w:r w:rsidRPr="00C52AD4">
        <w:t>The</w:t>
      </w:r>
      <w:r w:rsidR="00C61472">
        <w:t xml:space="preserve"> protocol of the pivotal Phase III</w:t>
      </w:r>
      <w:r w:rsidRPr="00C52AD4">
        <w:t xml:space="preserve"> study (BCI-06) specified a “slow bolus” injection. This led to a low frequency (&lt;0.5%) and intensity (≤ Grade 2) of injection site reactions. This proposed timing took into consideration avoidance of injection site reactions and radiation protection for the clini</w:t>
      </w:r>
      <w:r w:rsidR="00B3637A">
        <w:t>cal personnel (ALARA principal:</w:t>
      </w:r>
      <w:r w:rsidRPr="00C52AD4">
        <w:t xml:space="preserve"> as low as reasonably </w:t>
      </w:r>
      <w:r w:rsidR="004E01CD">
        <w:t>achievable</w:t>
      </w:r>
      <w:r w:rsidRPr="00C52AD4">
        <w:t>).</w:t>
      </w:r>
    </w:p>
    <w:p w:rsidR="00C52AD4" w:rsidRPr="00DD7D34" w:rsidRDefault="00C52AD4" w:rsidP="00C52AD4">
      <w:pPr>
        <w:pStyle w:val="Heading4"/>
      </w:pPr>
      <w:r w:rsidRPr="00DD7D34">
        <w:t>Injection interval</w:t>
      </w:r>
    </w:p>
    <w:p w:rsidR="00C52AD4" w:rsidRPr="00C52AD4" w:rsidRDefault="00C52AD4" w:rsidP="00C52AD4">
      <w:r w:rsidRPr="00C52AD4">
        <w:t>Based on the nadir count of neutropenia seen in Study ATI-BCI</w:t>
      </w:r>
      <w:r>
        <w:t xml:space="preserve"> </w:t>
      </w:r>
      <w:r w:rsidRPr="00C52AD4">
        <w:t>between Day 15 and 20</w:t>
      </w:r>
      <w:r>
        <w:t>,</w:t>
      </w:r>
      <w:r w:rsidRPr="00C52AD4">
        <w:t xml:space="preserve"> the interval between injections was selected to be 4 weeks.</w:t>
      </w:r>
    </w:p>
    <w:p w:rsidR="00C52AD4" w:rsidRPr="00DD7D34" w:rsidRDefault="00C52AD4" w:rsidP="00C52AD4">
      <w:pPr>
        <w:pStyle w:val="Heading4"/>
      </w:pPr>
      <w:r w:rsidRPr="00DD7D34">
        <w:t>Number of injections</w:t>
      </w:r>
    </w:p>
    <w:p w:rsidR="00C52AD4" w:rsidRPr="00C52AD4" w:rsidRDefault="00C52AD4" w:rsidP="00C52AD4">
      <w:r w:rsidRPr="00C52AD4">
        <w:t>The results of the Study BCI-02, conducted with 4 injections suggested a relationship between benefit and duration of treatment. In addition, the maximum singl</w:t>
      </w:r>
      <w:r w:rsidR="00AE0BA3">
        <w:t>e dose applied during Phase I</w:t>
      </w:r>
      <w:r w:rsidRPr="00C52AD4">
        <w:t xml:space="preserve"> did not lead to dose limiting toxicities. The findings led to the 6 injections used in the pivotal efficacy study (Study BCI-06).</w:t>
      </w:r>
    </w:p>
    <w:p w:rsidR="008E7846" w:rsidRPr="00254787" w:rsidRDefault="008E7846" w:rsidP="008E7846">
      <w:pPr>
        <w:pStyle w:val="Heading3"/>
      </w:pPr>
      <w:bookmarkStart w:id="77" w:name="_Toc163441372"/>
      <w:bookmarkStart w:id="78" w:name="_Toc196046485"/>
      <w:bookmarkStart w:id="79" w:name="_Toc247691521"/>
      <w:bookmarkStart w:id="80" w:name="_Toc314842504"/>
      <w:bookmarkStart w:id="81" w:name="_Toc394316806"/>
      <w:r w:rsidRPr="00254787">
        <w:t>Efficacy</w:t>
      </w:r>
      <w:bookmarkEnd w:id="77"/>
      <w:bookmarkEnd w:id="78"/>
      <w:bookmarkEnd w:id="79"/>
      <w:bookmarkEnd w:id="80"/>
      <w:bookmarkEnd w:id="81"/>
    </w:p>
    <w:p w:rsidR="008E7846" w:rsidRDefault="00605AD4" w:rsidP="00605AD4">
      <w:pPr>
        <w:pStyle w:val="Heading4"/>
      </w:pPr>
      <w:bookmarkStart w:id="82" w:name="_Toc184439992"/>
      <w:bookmarkStart w:id="83" w:name="_Toc184440279"/>
      <w:bookmarkStart w:id="84" w:name="_Toc184444657"/>
      <w:bookmarkStart w:id="85" w:name="_Toc196046487"/>
      <w:r>
        <w:t>Evaluator’s conclusions on efficacy</w:t>
      </w:r>
    </w:p>
    <w:p w:rsidR="007E40C3" w:rsidRPr="007E40C3" w:rsidRDefault="007E40C3" w:rsidP="007E40C3">
      <w:r w:rsidRPr="007E40C3">
        <w:t xml:space="preserve">The pivotal study, which was appropriately terminated early, demonstrated a 3.6 month survival benefit to patients with castration resistant prostate cancer when treated with </w:t>
      </w:r>
      <w:r w:rsidR="00753C89" w:rsidRPr="00871E00">
        <w:rPr>
          <w:vertAlign w:val="superscript"/>
        </w:rPr>
        <w:t>223</w:t>
      </w:r>
      <w:r w:rsidR="00753C89">
        <w:t>Ra</w:t>
      </w:r>
      <w:r w:rsidRPr="007E40C3">
        <w:t>. The study numbers are high and the survival benefit is supported by a suggestion of a survival advantage in the supportive study and related benefits on skeletal related events and pain relief and also on the surrogate markers of effect on bone ALP and PSA</w:t>
      </w:r>
      <w:r>
        <w:t>.</w:t>
      </w:r>
    </w:p>
    <w:p w:rsidR="007E40C3" w:rsidRPr="007E40C3" w:rsidRDefault="007E40C3" w:rsidP="007E40C3">
      <w:r w:rsidRPr="007E40C3">
        <w:t xml:space="preserve">The supportive studies did not use the same dose regimen as the pivotal study. Study BCI-06 applied the proposed recommended dose of 50 </w:t>
      </w:r>
      <w:proofErr w:type="spellStart"/>
      <w:r w:rsidRPr="007E40C3">
        <w:t>kBq</w:t>
      </w:r>
      <w:proofErr w:type="spellEnd"/>
      <w:r w:rsidRPr="007E40C3">
        <w:t xml:space="preserve">/kg </w:t>
      </w:r>
      <w:r w:rsidR="00C61472">
        <w:t>body weight</w:t>
      </w:r>
      <w:r w:rsidRPr="007E40C3">
        <w:t xml:space="preserve"> every 4 weeks for 6 cycles. Study BCI-02 assessed 50 </w:t>
      </w:r>
      <w:proofErr w:type="spellStart"/>
      <w:r w:rsidRPr="007E40C3">
        <w:t>kBq</w:t>
      </w:r>
      <w:proofErr w:type="spellEnd"/>
      <w:r w:rsidRPr="007E40C3">
        <w:t xml:space="preserve">/kg </w:t>
      </w:r>
      <w:r w:rsidR="00C61472">
        <w:t xml:space="preserve">body </w:t>
      </w:r>
      <w:proofErr w:type="gramStart"/>
      <w:r w:rsidR="00C61472">
        <w:t>weight</w:t>
      </w:r>
      <w:proofErr w:type="gramEnd"/>
      <w:r w:rsidRPr="007E40C3">
        <w:t xml:space="preserve"> every 4 weeks for 4 cycles. The study showed a survival benefit for </w:t>
      </w:r>
      <w:r w:rsidR="0056172E" w:rsidRPr="00871E00">
        <w:rPr>
          <w:vertAlign w:val="superscript"/>
        </w:rPr>
        <w:t>223</w:t>
      </w:r>
      <w:r w:rsidR="0056172E">
        <w:t>Ra</w:t>
      </w:r>
      <w:r w:rsidR="0056172E" w:rsidRPr="007E40C3">
        <w:t xml:space="preserve"> </w:t>
      </w:r>
      <w:r w:rsidR="0056172E">
        <w:t>in the per protocol (PP)</w:t>
      </w:r>
      <w:r w:rsidRPr="007E40C3">
        <w:t xml:space="preserve"> population but not in the </w:t>
      </w:r>
      <w:r w:rsidR="007946F4">
        <w:t>i</w:t>
      </w:r>
      <w:r w:rsidR="007946F4" w:rsidRPr="007946F4">
        <w:t xml:space="preserve">ntention-to-treat </w:t>
      </w:r>
      <w:r w:rsidR="007946F4">
        <w:t>(</w:t>
      </w:r>
      <w:r w:rsidRPr="007E40C3">
        <w:t>ITT</w:t>
      </w:r>
      <w:r w:rsidR="007946F4">
        <w:t>)</w:t>
      </w:r>
      <w:r w:rsidRPr="007E40C3">
        <w:t xml:space="preserve"> population.</w:t>
      </w:r>
    </w:p>
    <w:p w:rsidR="007E40C3" w:rsidRPr="007E40C3" w:rsidRDefault="007E40C3" w:rsidP="007E40C3">
      <w:r w:rsidRPr="007E40C3">
        <w:lastRenderedPageBreak/>
        <w:t xml:space="preserve">The pivotal clinical study excluded patients with visceral metastases. This has been noted by the FDA in their approved indication which accurately reflects the patients who were included in the single pivotal study. The sponsor in the Clinical Overview comments that while patients with visceral metastases were </w:t>
      </w:r>
      <w:r w:rsidR="005715D0">
        <w:t xml:space="preserve">excluded from the pivotal trial, </w:t>
      </w:r>
      <w:r w:rsidRPr="007E40C3">
        <w:t>these patients should not be excluded from the approved indication. They base this assertion on the fact that in prostate cancer in patients with both bone and visceral disease, bone disease is often dominant and the visceral lesions may be clinically inconsequential and that in these patients the bone disease determines</w:t>
      </w:r>
      <w:r w:rsidR="005715D0">
        <w:t xml:space="preserve"> clinical outcome, and therefore</w:t>
      </w:r>
      <w:r w:rsidR="005715D0" w:rsidRPr="007E40C3">
        <w:t xml:space="preserve"> </w:t>
      </w:r>
      <w:r w:rsidR="005715D0" w:rsidRPr="00871E00">
        <w:rPr>
          <w:vertAlign w:val="superscript"/>
        </w:rPr>
        <w:t>223</w:t>
      </w:r>
      <w:r w:rsidR="005715D0">
        <w:t>Ra</w:t>
      </w:r>
      <w:r w:rsidR="005715D0" w:rsidRPr="007E40C3">
        <w:t xml:space="preserve"> </w:t>
      </w:r>
      <w:r w:rsidRPr="007E40C3">
        <w:t>is likely to be of benefit. Wh</w:t>
      </w:r>
      <w:r w:rsidR="005715D0">
        <w:t xml:space="preserve">ile this may be true, </w:t>
      </w:r>
      <w:r w:rsidRPr="007E40C3">
        <w:t xml:space="preserve">it has not been proven and the </w:t>
      </w:r>
      <w:r w:rsidR="005715D0">
        <w:t>sponsor</w:t>
      </w:r>
      <w:r w:rsidRPr="007E40C3">
        <w:t xml:space="preserve"> still chose to exclude these patients from the studies. It is therefore recommended that the indication be changed to accurately reflect the patients in w</w:t>
      </w:r>
      <w:r w:rsidR="005715D0">
        <w:t>hom benefit has been proven, that is, CRPC</w:t>
      </w:r>
      <w:r w:rsidR="005715D0" w:rsidRPr="007E40C3">
        <w:t xml:space="preserve"> </w:t>
      </w:r>
      <w:r w:rsidR="005715D0">
        <w:t xml:space="preserve">patients </w:t>
      </w:r>
      <w:r w:rsidRPr="007E40C3">
        <w:t>with symptomatic bone metastases with no visceral metastases.</w:t>
      </w:r>
    </w:p>
    <w:p w:rsidR="008E7846" w:rsidRPr="002E238E" w:rsidRDefault="008E7846" w:rsidP="008E7846">
      <w:pPr>
        <w:pStyle w:val="Heading3"/>
      </w:pPr>
      <w:bookmarkStart w:id="86" w:name="_Toc163441378"/>
      <w:bookmarkStart w:id="87" w:name="_Toc196046495"/>
      <w:bookmarkStart w:id="88" w:name="_Toc247691522"/>
      <w:bookmarkStart w:id="89" w:name="_Toc314842505"/>
      <w:bookmarkStart w:id="90" w:name="_Toc394316807"/>
      <w:bookmarkEnd w:id="82"/>
      <w:bookmarkEnd w:id="83"/>
      <w:bookmarkEnd w:id="84"/>
      <w:bookmarkEnd w:id="85"/>
      <w:r w:rsidRPr="002E238E">
        <w:t>Safety</w:t>
      </w:r>
      <w:bookmarkEnd w:id="86"/>
      <w:bookmarkEnd w:id="87"/>
      <w:bookmarkEnd w:id="88"/>
      <w:bookmarkEnd w:id="89"/>
      <w:bookmarkEnd w:id="90"/>
    </w:p>
    <w:p w:rsidR="00605AD4" w:rsidRDefault="00605AD4" w:rsidP="00605AD4">
      <w:pPr>
        <w:pStyle w:val="Heading4"/>
      </w:pPr>
      <w:bookmarkStart w:id="91" w:name="_Toc247691524"/>
      <w:bookmarkStart w:id="92" w:name="_Toc314842508"/>
      <w:bookmarkStart w:id="93" w:name="_Toc196046504"/>
      <w:bookmarkStart w:id="94" w:name="_Toc163441390"/>
      <w:r w:rsidRPr="00605AD4">
        <w:t>Studies providing safety data</w:t>
      </w:r>
    </w:p>
    <w:p w:rsidR="007E40C3" w:rsidRPr="007E40C3" w:rsidRDefault="007E40C3" w:rsidP="007E40C3">
      <w:bookmarkStart w:id="95" w:name="_Ref268776745"/>
      <w:r w:rsidRPr="007E40C3">
        <w:t xml:space="preserve">The following studies provided evaluable </w:t>
      </w:r>
      <w:r>
        <w:t>safety data.</w:t>
      </w:r>
    </w:p>
    <w:p w:rsidR="007E40C3" w:rsidRPr="00027276" w:rsidRDefault="007E40C3" w:rsidP="00E9477D">
      <w:pPr>
        <w:pStyle w:val="Heading5"/>
      </w:pPr>
      <w:r w:rsidRPr="00027276">
        <w:t>Pivotal efficacy stud</w:t>
      </w:r>
      <w:bookmarkEnd w:id="95"/>
      <w:r>
        <w:t>y</w:t>
      </w:r>
    </w:p>
    <w:p w:rsidR="007E40C3" w:rsidRPr="00E9477D" w:rsidRDefault="007E40C3" w:rsidP="00E9477D">
      <w:r w:rsidRPr="00E9477D">
        <w:t>In the pivotal efficacy study, (Study BCI-06)</w:t>
      </w:r>
      <w:r w:rsidR="006B4F43">
        <w:t>,</w:t>
      </w:r>
      <w:r w:rsidRPr="00E9477D">
        <w:t xml:space="preserve"> the following safety data were collected:</w:t>
      </w:r>
    </w:p>
    <w:p w:rsidR="007E40C3" w:rsidRPr="00E9477D" w:rsidRDefault="007E40C3" w:rsidP="00E9477D">
      <w:pPr>
        <w:pStyle w:val="ListBullet"/>
      </w:pPr>
      <w:r w:rsidRPr="00E9477D">
        <w:t xml:space="preserve">General adverse events (AEs) were assessed by collecting all </w:t>
      </w:r>
      <w:r w:rsidR="002E7B76">
        <w:t>AEs</w:t>
      </w:r>
      <w:r w:rsidRPr="00E9477D">
        <w:t xml:space="preserve"> that may have been reported spontaneously by the subject or elicited through open (non</w:t>
      </w:r>
      <w:r w:rsidR="00A45E3F">
        <w:t xml:space="preserve"> </w:t>
      </w:r>
      <w:r w:rsidRPr="00E9477D">
        <w:t>leading) questioning during each visit and at the end of the AE follow up period. Any AEs that occurred after randomisation and within 12 weeks after last injection of study drug were reported, whether or not considered related to the study drug.</w:t>
      </w:r>
    </w:p>
    <w:p w:rsidR="007E40C3" w:rsidRPr="00E9477D" w:rsidRDefault="007E40C3" w:rsidP="00E9477D">
      <w:pPr>
        <w:pStyle w:val="ListBullet"/>
      </w:pPr>
      <w:r w:rsidRPr="00E9477D">
        <w:t xml:space="preserve">AEs of particular interest, indicating long term toxicity, were assessed by recording the presence of any of the following diseases: acute </w:t>
      </w:r>
      <w:proofErr w:type="spellStart"/>
      <w:r w:rsidRPr="00E9477D">
        <w:t>myelogenous</w:t>
      </w:r>
      <w:proofErr w:type="spellEnd"/>
      <w:r w:rsidRPr="00E9477D">
        <w:t xml:space="preserve"> leukaemia (AML), </w:t>
      </w:r>
      <w:proofErr w:type="spellStart"/>
      <w:r w:rsidRPr="00E9477D">
        <w:t>myeloblastic</w:t>
      </w:r>
      <w:proofErr w:type="spellEnd"/>
      <w:r w:rsidRPr="00E9477D">
        <w:t xml:space="preserve"> syndrome (MDS), aplastic anaemia, and primary sarcomas of the bone or new primary cancer in other organs. During the follow up period patients were evaluated every 2 months for 6 months then every 4 months for 3 years.</w:t>
      </w:r>
    </w:p>
    <w:p w:rsidR="007E40C3" w:rsidRPr="00E9477D" w:rsidRDefault="007E40C3" w:rsidP="00E9477D">
      <w:pPr>
        <w:pStyle w:val="ListBullet"/>
      </w:pPr>
      <w:r w:rsidRPr="00E9477D">
        <w:t>Laboratory tests, including haematology and clinical chemistry, were performed at baseline and at weeks 4, 8, 12, 16, 20, 24 and then every 2 months for 6 months and then every 4 months for 3 years.</w:t>
      </w:r>
    </w:p>
    <w:p w:rsidR="007E40C3" w:rsidRPr="00E9477D" w:rsidRDefault="00493405" w:rsidP="00E9477D">
      <w:pPr>
        <w:pStyle w:val="ListBullet"/>
      </w:pPr>
      <w:r>
        <w:t xml:space="preserve">A standard 12 </w:t>
      </w:r>
      <w:r w:rsidR="007E40C3" w:rsidRPr="00E9477D">
        <w:t xml:space="preserve">lead electrocardiogram </w:t>
      </w:r>
      <w:r w:rsidR="004F4FF0">
        <w:t>(</w:t>
      </w:r>
      <w:r w:rsidR="007E40C3" w:rsidRPr="00E9477D">
        <w:t>ECG</w:t>
      </w:r>
      <w:r w:rsidR="004F4FF0">
        <w:t>)</w:t>
      </w:r>
      <w:r w:rsidR="007E40C3" w:rsidRPr="00E9477D">
        <w:t xml:space="preserve"> was performed at screening, 4 and 24 weeks after first study drug administration, and at treatment discontinuation if relevant. Results were recorded as normal or abnormal. The ECG was evaluated by the local investigator.</w:t>
      </w:r>
    </w:p>
    <w:p w:rsidR="007E40C3" w:rsidRPr="00E9477D" w:rsidRDefault="007E40C3" w:rsidP="00E9477D">
      <w:pPr>
        <w:pStyle w:val="ListBullet"/>
      </w:pPr>
      <w:r w:rsidRPr="00E9477D">
        <w:t>An abbreviated physical examination consisting of general appearance, lungs, cardiovascular system</w:t>
      </w:r>
      <w:r w:rsidR="002A6D8E">
        <w:t xml:space="preserve"> and abdomen, </w:t>
      </w:r>
      <w:r w:rsidRPr="00E9477D">
        <w:t>and other physical findings was done at each hospital visit.</w:t>
      </w:r>
    </w:p>
    <w:p w:rsidR="007E40C3" w:rsidRPr="00840122" w:rsidRDefault="007E40C3" w:rsidP="00E9477D">
      <w:pPr>
        <w:pStyle w:val="Heading5"/>
      </w:pPr>
      <w:r w:rsidRPr="00027276">
        <w:t xml:space="preserve">Pivotal studies that assessed </w:t>
      </w:r>
      <w:r>
        <w:t>safety as a primary outcome</w:t>
      </w:r>
    </w:p>
    <w:p w:rsidR="007E40C3" w:rsidRPr="00E9477D" w:rsidRDefault="007E40C3" w:rsidP="00E9477D">
      <w:r w:rsidRPr="00E9477D">
        <w:t>Not applicable</w:t>
      </w:r>
      <w:r w:rsidR="00E9477D">
        <w:t>.</w:t>
      </w:r>
    </w:p>
    <w:p w:rsidR="007E40C3" w:rsidRDefault="007E40C3" w:rsidP="00E9477D">
      <w:pPr>
        <w:pStyle w:val="Heading5"/>
      </w:pPr>
      <w:r>
        <w:t>Dose-response and non-pivotal efficacy studies</w:t>
      </w:r>
    </w:p>
    <w:p w:rsidR="007E40C3" w:rsidRPr="00E9477D" w:rsidRDefault="007E40C3" w:rsidP="00E9477D">
      <w:r w:rsidRPr="00E9477D">
        <w:t>The dose</w:t>
      </w:r>
      <w:r w:rsidR="002A6D8E">
        <w:t xml:space="preserve"> </w:t>
      </w:r>
      <w:r w:rsidRPr="00E9477D">
        <w:t>response and non</w:t>
      </w:r>
      <w:r w:rsidR="002A6D8E">
        <w:t xml:space="preserve"> </w:t>
      </w:r>
      <w:r w:rsidRPr="00E9477D">
        <w:t>pivotal efficacy studies provided safety data, as follows:</w:t>
      </w:r>
    </w:p>
    <w:p w:rsidR="007E40C3" w:rsidRPr="00E9477D" w:rsidRDefault="007E40C3" w:rsidP="00E9477D">
      <w:pPr>
        <w:pStyle w:val="ListBullet"/>
      </w:pPr>
      <w:r w:rsidRPr="00E9477D">
        <w:t>Study BCI-02 provided data on AEs, haematology and clinical chemistry and an abbreviated physical examination.</w:t>
      </w:r>
    </w:p>
    <w:p w:rsidR="007E40C3" w:rsidRPr="00E9477D" w:rsidRDefault="007E40C3" w:rsidP="00E9477D">
      <w:pPr>
        <w:pStyle w:val="ListBullet"/>
      </w:pPr>
      <w:r w:rsidRPr="00E9477D">
        <w:lastRenderedPageBreak/>
        <w:t>Study BCI-04 provided data on AEs, concomitant medications, physical examination, ECOG and clinical laboratory tests.</w:t>
      </w:r>
    </w:p>
    <w:p w:rsidR="007E40C3" w:rsidRPr="00B50592" w:rsidRDefault="007E40C3" w:rsidP="00E9477D">
      <w:pPr>
        <w:pStyle w:val="Heading5"/>
      </w:pPr>
      <w:r w:rsidRPr="00B50592">
        <w:t>Clinical pharmacology studies</w:t>
      </w:r>
    </w:p>
    <w:p w:rsidR="007E40C3" w:rsidRPr="00E9477D" w:rsidRDefault="007E40C3" w:rsidP="00E9477D">
      <w:pPr>
        <w:pStyle w:val="ListBullet"/>
      </w:pPr>
      <w:r w:rsidRPr="00E9477D">
        <w:t>Study ATI-BCI provided data on AEs, haematology and serum biochemistry, urinalysis and occurrence of AEs. Safety was assessed for 8 weeks after the single injection.</w:t>
      </w:r>
    </w:p>
    <w:p w:rsidR="007E40C3" w:rsidRPr="00E9477D" w:rsidRDefault="007E40C3" w:rsidP="00E9477D">
      <w:pPr>
        <w:pStyle w:val="ListBullet"/>
      </w:pPr>
      <w:r w:rsidRPr="00E9477D">
        <w:t>Study BCI-03 provided data on AEs, change in clinical laboratory values including bone</w:t>
      </w:r>
      <w:r w:rsidR="001F3258">
        <w:t xml:space="preserve"> </w:t>
      </w:r>
      <w:r w:rsidRPr="00E9477D">
        <w:t>ALP and PSA and changes in abbreviated physical examination</w:t>
      </w:r>
      <w:r w:rsidR="001F3258">
        <w:t xml:space="preserve">. During the 24 month follow up, </w:t>
      </w:r>
      <w:r w:rsidRPr="00E9477D">
        <w:t>AEs considered drug related and long term toxicities (such as AML, MDS, aplastic anaemia and primary sarcomas of the bone) were recorded.</w:t>
      </w:r>
    </w:p>
    <w:p w:rsidR="007E40C3" w:rsidRPr="00E9477D" w:rsidRDefault="007E40C3" w:rsidP="00E9477D">
      <w:pPr>
        <w:pStyle w:val="ListBullet"/>
      </w:pPr>
      <w:r w:rsidRPr="00E9477D">
        <w:t>Study BCI-05 provided data on AEs changes in vital signs, ECG parameters, physical examination and changes in haematology and blood chemistry. Long term toxicity was collected for up to 12 months after the first injection.</w:t>
      </w:r>
    </w:p>
    <w:p w:rsidR="007E40C3" w:rsidRPr="00E9477D" w:rsidRDefault="007E40C3" w:rsidP="00E9477D">
      <w:pPr>
        <w:pStyle w:val="ListBullet"/>
      </w:pPr>
      <w:r w:rsidRPr="00E9477D">
        <w:t xml:space="preserve">Study BCI-08 provided data on AEs, concomitant medication, physical examination, </w:t>
      </w:r>
      <w:proofErr w:type="spellStart"/>
      <w:r w:rsidRPr="00E9477D">
        <w:t>Karnofsky</w:t>
      </w:r>
      <w:proofErr w:type="spellEnd"/>
      <w:r w:rsidRPr="00E9477D">
        <w:t xml:space="preserve"> performance status, vital signs, 12 lead ECG, clinical laboratory tests, patient status (survival) and long term toxicities and bone marrow biopsy. Follow up was for 12 months after treatment.</w:t>
      </w:r>
    </w:p>
    <w:p w:rsidR="00605AD4" w:rsidRDefault="00605AD4" w:rsidP="00605AD4">
      <w:pPr>
        <w:pStyle w:val="Heading4"/>
      </w:pPr>
      <w:r w:rsidRPr="00605AD4">
        <w:t>Patient exposure</w:t>
      </w:r>
    </w:p>
    <w:p w:rsidR="00B12F29" w:rsidRPr="00B12F29" w:rsidRDefault="00B12F29" w:rsidP="00B12F29">
      <w:r w:rsidRPr="00B12F29">
        <w:t xml:space="preserve">For the safety analysis the sponsor has used 3 data pools (Pool 2, 4 and 5) as shown in </w:t>
      </w:r>
      <w:r>
        <w:t>Table</w:t>
      </w:r>
      <w:r w:rsidR="006B2BDF">
        <w:t>s</w:t>
      </w:r>
      <w:r>
        <w:t xml:space="preserve"> </w:t>
      </w:r>
      <w:r w:rsidR="00C804B2">
        <w:t>4</w:t>
      </w:r>
      <w:r w:rsidR="006B2BDF">
        <w:t xml:space="preserve"> and </w:t>
      </w:r>
      <w:r w:rsidR="00C804B2">
        <w:t>5</w:t>
      </w:r>
      <w:r w:rsidR="006B2BDF">
        <w:t>.</w:t>
      </w:r>
    </w:p>
    <w:p w:rsidR="00B12F29" w:rsidRDefault="00B12F29" w:rsidP="004665CC">
      <w:pPr>
        <w:pStyle w:val="TableTitle"/>
      </w:pPr>
      <w:proofErr w:type="gramStart"/>
      <w:r>
        <w:t xml:space="preserve">Table </w:t>
      </w:r>
      <w:r w:rsidR="00C804B2">
        <w:t>4</w:t>
      </w:r>
      <w:r>
        <w:t>:</w:t>
      </w:r>
      <w:r w:rsidRPr="004C5C28">
        <w:t xml:space="preserve"> </w:t>
      </w:r>
      <w:r w:rsidR="00F45DF9" w:rsidRPr="00F45DF9">
        <w:t xml:space="preserve">Exposure to </w:t>
      </w:r>
      <w:r w:rsidR="00F45DF9" w:rsidRPr="00F45DF9">
        <w:rPr>
          <w:vertAlign w:val="superscript"/>
        </w:rPr>
        <w:t>223</w:t>
      </w:r>
      <w:r w:rsidR="00F45DF9" w:rsidRPr="00F45DF9">
        <w:t>Ra</w:t>
      </w:r>
      <w:r w:rsidR="00F45DF9">
        <w:t xml:space="preserve"> </w:t>
      </w:r>
      <w:r w:rsidR="00F45DF9" w:rsidRPr="00F45DF9">
        <w:t>in clinical studies</w:t>
      </w:r>
      <w:r>
        <w:t>.</w:t>
      </w:r>
      <w:proofErr w:type="gramEnd"/>
    </w:p>
    <w:p w:rsidR="009E3F7C" w:rsidRDefault="003201C5" w:rsidP="004665CC">
      <w:r>
        <w:rPr>
          <w:noProof/>
          <w:lang w:eastAsia="en-AU"/>
        </w:rPr>
        <w:drawing>
          <wp:inline distT="0" distB="0" distL="0" distR="0">
            <wp:extent cx="4735830" cy="2484120"/>
            <wp:effectExtent l="0" t="0" r="7620" b="0"/>
            <wp:docPr id="7" name="Picture 7" descr="Table 4: Exposure to 223Ra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Exposure to 223Ra in clinical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830" cy="2484120"/>
                    </a:xfrm>
                    <a:prstGeom prst="rect">
                      <a:avLst/>
                    </a:prstGeom>
                    <a:noFill/>
                    <a:ln>
                      <a:noFill/>
                    </a:ln>
                  </pic:spPr>
                </pic:pic>
              </a:graphicData>
            </a:graphic>
          </wp:inline>
        </w:drawing>
      </w:r>
    </w:p>
    <w:p w:rsidR="006B2BDF" w:rsidRPr="006B2BDF" w:rsidRDefault="006B2BDF" w:rsidP="004665CC">
      <w:pPr>
        <w:pStyle w:val="TableDescription"/>
      </w:pPr>
      <w:r>
        <w:t xml:space="preserve">a. </w:t>
      </w:r>
      <w:r w:rsidRPr="006B2BDF">
        <w:t>2 patients in Study ATI-BC1 were treated twice during the study and were re-numbered for the second injection. Data from both the original injection and re-injection are summarised separately, thereby double counting these patients.</w:t>
      </w:r>
    </w:p>
    <w:p w:rsidR="00376B08" w:rsidRDefault="00376B08" w:rsidP="00376B08">
      <w:pPr>
        <w:pStyle w:val="TableTitle"/>
      </w:pPr>
      <w:proofErr w:type="gramStart"/>
      <w:r>
        <w:lastRenderedPageBreak/>
        <w:t xml:space="preserve">Table </w:t>
      </w:r>
      <w:r w:rsidR="00C804B2">
        <w:t>5</w:t>
      </w:r>
      <w:r>
        <w:t>:</w:t>
      </w:r>
      <w:r w:rsidRPr="004C5C28">
        <w:t xml:space="preserve"> </w:t>
      </w:r>
      <w:r w:rsidRPr="00F45DF9">
        <w:t xml:space="preserve">Exposure to </w:t>
      </w:r>
      <w:r w:rsidRPr="00F45DF9">
        <w:rPr>
          <w:vertAlign w:val="superscript"/>
        </w:rPr>
        <w:t>223</w:t>
      </w:r>
      <w:r w:rsidRPr="00F45DF9">
        <w:t>Ra</w:t>
      </w:r>
      <w:r>
        <w:t xml:space="preserve"> </w:t>
      </w:r>
      <w:r w:rsidRPr="00F45DF9">
        <w:t>in clinical studies</w:t>
      </w:r>
      <w:r w:rsidRPr="00376B08">
        <w:t xml:space="preserve"> according to exposure and number of injections</w:t>
      </w:r>
      <w:r>
        <w:t>.</w:t>
      </w:r>
      <w:proofErr w:type="gramEnd"/>
    </w:p>
    <w:p w:rsidR="006B2BDF" w:rsidRDefault="003201C5" w:rsidP="00C97E6B">
      <w:r>
        <w:rPr>
          <w:noProof/>
          <w:lang w:eastAsia="en-AU"/>
        </w:rPr>
        <w:drawing>
          <wp:inline distT="0" distB="0" distL="0" distR="0">
            <wp:extent cx="4761865" cy="3295015"/>
            <wp:effectExtent l="0" t="0" r="635" b="635"/>
            <wp:docPr id="8" name="Picture 8" descr="Table 5: Exposure to 223Ra in clinical studies according to exposure and number of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5: Exposure to 223Ra in clinical studies according to exposure and number of injec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3295015"/>
                    </a:xfrm>
                    <a:prstGeom prst="rect">
                      <a:avLst/>
                    </a:prstGeom>
                    <a:noFill/>
                    <a:ln>
                      <a:noFill/>
                    </a:ln>
                  </pic:spPr>
                </pic:pic>
              </a:graphicData>
            </a:graphic>
          </wp:inline>
        </w:drawing>
      </w:r>
    </w:p>
    <w:p w:rsidR="00A02AA5" w:rsidRPr="00A02AA5" w:rsidRDefault="00A02AA5" w:rsidP="00C97E6B">
      <w:pPr>
        <w:pStyle w:val="TableDescription"/>
      </w:pPr>
      <w:proofErr w:type="gramStart"/>
      <w:r w:rsidRPr="00A02AA5">
        <w:t>a</w:t>
      </w:r>
      <w:proofErr w:type="gramEnd"/>
      <w:r w:rsidRPr="00A02AA5">
        <w:t xml:space="preserve"> Safety data from the randomised, double-blind, placebo-controlled study BC1-06 (cycle length of 4 weeks).</w:t>
      </w:r>
    </w:p>
    <w:p w:rsidR="00A02AA5" w:rsidRPr="00A02AA5" w:rsidRDefault="00A02AA5" w:rsidP="00C97E6B">
      <w:pPr>
        <w:pStyle w:val="TableDescription"/>
      </w:pPr>
      <w:proofErr w:type="gramStart"/>
      <w:r w:rsidRPr="00A02AA5">
        <w:t>b</w:t>
      </w:r>
      <w:proofErr w:type="gramEnd"/>
      <w:r w:rsidRPr="00A02AA5">
        <w:t xml:space="preserve"> Safety data from (50 </w:t>
      </w:r>
      <w:proofErr w:type="spellStart"/>
      <w:r w:rsidRPr="00A02AA5">
        <w:t>kBq</w:t>
      </w:r>
      <w:proofErr w:type="spellEnd"/>
      <w:r w:rsidRPr="00A02AA5">
        <w:t>/kg data only) from phase 1/2 studies: ATI-BC-1 (n</w:t>
      </w:r>
      <w:r w:rsidR="00ED609B">
        <w:t xml:space="preserve"> </w:t>
      </w:r>
      <w:r w:rsidRPr="00A02AA5">
        <w:t>=</w:t>
      </w:r>
      <w:r w:rsidR="00ED609B">
        <w:t xml:space="preserve"> </w:t>
      </w:r>
      <w:r w:rsidRPr="00A02AA5">
        <w:t>3), BC1-02 (n</w:t>
      </w:r>
      <w:r w:rsidR="00ED609B">
        <w:t xml:space="preserve"> </w:t>
      </w:r>
      <w:r w:rsidRPr="00A02AA5">
        <w:t>=</w:t>
      </w:r>
      <w:r w:rsidR="00ED609B">
        <w:t xml:space="preserve"> </w:t>
      </w:r>
      <w:r w:rsidRPr="00A02AA5">
        <w:t>33), BC1-03 (n</w:t>
      </w:r>
      <w:r w:rsidR="00ED609B">
        <w:t xml:space="preserve"> </w:t>
      </w:r>
      <w:r w:rsidRPr="00A02AA5">
        <w:t>=</w:t>
      </w:r>
      <w:r w:rsidR="00ED609B">
        <w:t xml:space="preserve"> </w:t>
      </w:r>
      <w:r w:rsidRPr="00A02AA5">
        <w:t>25), BC1-04 (n</w:t>
      </w:r>
      <w:r w:rsidR="00ED609B">
        <w:t xml:space="preserve"> </w:t>
      </w:r>
      <w:r w:rsidRPr="00A02AA5">
        <w:t>=</w:t>
      </w:r>
      <w:r w:rsidR="00ED609B">
        <w:t xml:space="preserve"> </w:t>
      </w:r>
      <w:r w:rsidRPr="00A02AA5">
        <w:t>39), BC1-08 (n</w:t>
      </w:r>
      <w:r w:rsidR="00ED609B">
        <w:t xml:space="preserve"> </w:t>
      </w:r>
      <w:r w:rsidRPr="00A02AA5">
        <w:t>=</w:t>
      </w:r>
      <w:r w:rsidR="00ED609B">
        <w:t xml:space="preserve"> </w:t>
      </w:r>
      <w:r w:rsidRPr="00A02AA5">
        <w:t>3)</w:t>
      </w:r>
    </w:p>
    <w:p w:rsidR="00A02AA5" w:rsidRPr="00A02AA5" w:rsidRDefault="00A02AA5" w:rsidP="00C97E6B">
      <w:pPr>
        <w:pStyle w:val="TableDescription"/>
      </w:pPr>
      <w:proofErr w:type="gramStart"/>
      <w:r w:rsidRPr="00A02AA5">
        <w:t>c</w:t>
      </w:r>
      <w:proofErr w:type="gramEnd"/>
      <w:r w:rsidRPr="00A02AA5">
        <w:t xml:space="preserve"> Safety data (50 </w:t>
      </w:r>
      <w:proofErr w:type="spellStart"/>
      <w:r w:rsidRPr="00A02AA5">
        <w:t>kBq</w:t>
      </w:r>
      <w:proofErr w:type="spellEnd"/>
      <w:r w:rsidRPr="00A02AA5">
        <w:t>/kg data only) from studies: ATI-BC-1 (n</w:t>
      </w:r>
      <w:r w:rsidR="00ED609B">
        <w:t xml:space="preserve"> </w:t>
      </w:r>
      <w:r w:rsidRPr="00A02AA5">
        <w:t>=</w:t>
      </w:r>
      <w:r w:rsidR="00ED609B">
        <w:t xml:space="preserve"> </w:t>
      </w:r>
      <w:r w:rsidRPr="00A02AA5">
        <w:t>3), BC1-02 (n</w:t>
      </w:r>
      <w:r w:rsidR="00ED609B">
        <w:t xml:space="preserve"> </w:t>
      </w:r>
      <w:r w:rsidRPr="00A02AA5">
        <w:t>=</w:t>
      </w:r>
      <w:r w:rsidR="00ED609B">
        <w:t xml:space="preserve"> </w:t>
      </w:r>
      <w:r w:rsidRPr="00A02AA5">
        <w:t>33), BC1-03 (n</w:t>
      </w:r>
      <w:r w:rsidR="00ED609B">
        <w:t xml:space="preserve"> </w:t>
      </w:r>
      <w:r w:rsidRPr="00A02AA5">
        <w:t>=</w:t>
      </w:r>
      <w:r w:rsidR="00ED609B">
        <w:t xml:space="preserve"> </w:t>
      </w:r>
      <w:r w:rsidRPr="00A02AA5">
        <w:t>25), BC1-04 (n</w:t>
      </w:r>
      <w:r w:rsidR="00ED609B">
        <w:t xml:space="preserve"> </w:t>
      </w:r>
      <w:r w:rsidRPr="00A02AA5">
        <w:t>=</w:t>
      </w:r>
      <w:r w:rsidR="00ED609B">
        <w:t xml:space="preserve"> </w:t>
      </w:r>
      <w:r w:rsidRPr="00A02AA5">
        <w:t>39), BC1-08 (n</w:t>
      </w:r>
      <w:r w:rsidR="00ED609B">
        <w:t xml:space="preserve"> </w:t>
      </w:r>
      <w:r w:rsidRPr="00A02AA5">
        <w:t>=</w:t>
      </w:r>
      <w:r w:rsidR="00ED609B">
        <w:t xml:space="preserve"> </w:t>
      </w:r>
      <w:r w:rsidRPr="00A02AA5">
        <w:t>3), BC1-06 (n</w:t>
      </w:r>
      <w:r w:rsidR="00ED609B">
        <w:t xml:space="preserve"> </w:t>
      </w:r>
      <w:r w:rsidRPr="00A02AA5">
        <w:t>=</w:t>
      </w:r>
      <w:r w:rsidR="00ED609B">
        <w:t xml:space="preserve"> </w:t>
      </w:r>
      <w:r w:rsidRPr="00A02AA5">
        <w:t>600)</w:t>
      </w:r>
    </w:p>
    <w:p w:rsidR="00A02AA5" w:rsidRPr="00A02AA5" w:rsidRDefault="00A02AA5" w:rsidP="00C97E6B">
      <w:pPr>
        <w:pStyle w:val="TableDescription"/>
      </w:pPr>
      <w:r w:rsidRPr="00A02AA5">
        <w:t>N/A = Not available</w:t>
      </w:r>
    </w:p>
    <w:p w:rsidR="00A02AA5" w:rsidRPr="00A02AA5" w:rsidRDefault="00A02AA5" w:rsidP="00C97E6B">
      <w:pPr>
        <w:pStyle w:val="TableDescription"/>
      </w:pPr>
      <w:r w:rsidRPr="00A02AA5">
        <w:t>Person Time for each patient is calculated as the date of the last injection of study treatment - date of the first injection + 1.</w:t>
      </w:r>
    </w:p>
    <w:p w:rsidR="00A02AA5" w:rsidRPr="00A02AA5" w:rsidRDefault="00A02AA5" w:rsidP="00C97E6B">
      <w:pPr>
        <w:pStyle w:val="TableDescription"/>
      </w:pPr>
      <w:r w:rsidRPr="00A02AA5">
        <w:t>Total is t</w:t>
      </w:r>
      <w:r>
        <w:t>he sum of person-time in months.</w:t>
      </w:r>
    </w:p>
    <w:p w:rsidR="00605AD4" w:rsidRDefault="00605AD4" w:rsidP="00605AD4">
      <w:pPr>
        <w:pStyle w:val="Heading4"/>
      </w:pPr>
      <w:r w:rsidRPr="00605AD4">
        <w:t>Safety issues with the potential for major regulatory impact</w:t>
      </w:r>
    </w:p>
    <w:p w:rsidR="000C13C1" w:rsidRPr="008D25CA" w:rsidRDefault="000C13C1" w:rsidP="008D25CA">
      <w:pPr>
        <w:pStyle w:val="Heading5"/>
      </w:pPr>
      <w:bookmarkStart w:id="96" w:name="_Toc272414681"/>
      <w:bookmarkStart w:id="97" w:name="_Toc290846319"/>
      <w:bookmarkStart w:id="98" w:name="_Toc376154464"/>
      <w:r w:rsidRPr="008D25CA">
        <w:t>Liver toxicity</w:t>
      </w:r>
      <w:bookmarkEnd w:id="96"/>
      <w:bookmarkEnd w:id="97"/>
      <w:bookmarkEnd w:id="98"/>
    </w:p>
    <w:p w:rsidR="000C13C1" w:rsidRPr="000C13C1" w:rsidRDefault="000C13C1" w:rsidP="000C13C1">
      <w:r w:rsidRPr="000C13C1">
        <w:t xml:space="preserve">Safety and efficacy of </w:t>
      </w:r>
      <w:r w:rsidRPr="000C13C1">
        <w:rPr>
          <w:vertAlign w:val="superscript"/>
        </w:rPr>
        <w:t>223</w:t>
      </w:r>
      <w:r>
        <w:t xml:space="preserve">Ra </w:t>
      </w:r>
      <w:r w:rsidRPr="000C13C1">
        <w:t xml:space="preserve">has not been studied in patients with hepatic impairment. Since </w:t>
      </w:r>
      <w:r w:rsidRPr="000C13C1">
        <w:rPr>
          <w:vertAlign w:val="superscript"/>
        </w:rPr>
        <w:t>223</w:t>
      </w:r>
      <w:r>
        <w:t xml:space="preserve">Ra </w:t>
      </w:r>
      <w:r w:rsidRPr="000C13C1">
        <w:t xml:space="preserve">is neither metabolised by the liver nor eliminated via the bile, hepatic impairment is not expected to affect the PK of </w:t>
      </w:r>
      <w:r w:rsidR="008D25CA" w:rsidRPr="000C13C1">
        <w:rPr>
          <w:vertAlign w:val="superscript"/>
        </w:rPr>
        <w:t>223</w:t>
      </w:r>
      <w:r w:rsidR="008D25CA">
        <w:t>Ra</w:t>
      </w:r>
      <w:r w:rsidRPr="000C13C1">
        <w:t>. No dose adjustment is considered necessary in patients with hepatic impairment.</w:t>
      </w:r>
    </w:p>
    <w:p w:rsidR="008D25CA" w:rsidRPr="009206D0" w:rsidRDefault="008D25CA" w:rsidP="008D25CA">
      <w:pPr>
        <w:pStyle w:val="Heading5"/>
      </w:pPr>
      <w:r w:rsidRPr="009206D0">
        <w:t>Haematological toxicity</w:t>
      </w:r>
    </w:p>
    <w:p w:rsidR="008D25CA" w:rsidRPr="00203972" w:rsidRDefault="003F012B" w:rsidP="00203972">
      <w:r w:rsidRPr="00203972">
        <w:t xml:space="preserve">Table </w:t>
      </w:r>
      <w:r w:rsidR="00C804B2">
        <w:t>6</w:t>
      </w:r>
      <w:r w:rsidRPr="00203972">
        <w:t xml:space="preserve"> shows </w:t>
      </w:r>
      <w:proofErr w:type="spellStart"/>
      <w:r w:rsidR="00D06E8C">
        <w:t>haematologic</w:t>
      </w:r>
      <w:proofErr w:type="spellEnd"/>
      <w:r w:rsidR="00D06E8C">
        <w:t xml:space="preserve"> treatment emergent adverse events</w:t>
      </w:r>
      <w:r w:rsidR="00996C9C">
        <w:t xml:space="preserve"> (TEAEs)</w:t>
      </w:r>
      <w:r w:rsidR="00D06E8C">
        <w:t>.</w:t>
      </w:r>
    </w:p>
    <w:p w:rsidR="008D25CA" w:rsidRDefault="008D25CA" w:rsidP="008D25CA">
      <w:pPr>
        <w:pStyle w:val="TableTitle"/>
      </w:pPr>
      <w:r>
        <w:lastRenderedPageBreak/>
        <w:t xml:space="preserve">Table </w:t>
      </w:r>
      <w:r w:rsidR="00C804B2">
        <w:t>6</w:t>
      </w:r>
      <w:r>
        <w:t>:</w:t>
      </w:r>
      <w:r w:rsidRPr="004C5C28">
        <w:t xml:space="preserve"> </w:t>
      </w:r>
      <w:r w:rsidRPr="008D25CA">
        <w:t xml:space="preserve">50 </w:t>
      </w:r>
      <w:proofErr w:type="spellStart"/>
      <w:r w:rsidRPr="008D25CA">
        <w:t>kBq</w:t>
      </w:r>
      <w:proofErr w:type="spellEnd"/>
      <w:r w:rsidRPr="008D25CA">
        <w:t xml:space="preserve">/kg pool: </w:t>
      </w:r>
      <w:proofErr w:type="spellStart"/>
      <w:r w:rsidRPr="008D25CA">
        <w:t>Haematologic</w:t>
      </w:r>
      <w:proofErr w:type="spellEnd"/>
      <w:r w:rsidRPr="008D25CA">
        <w:t xml:space="preserve"> TEAEs using MEDRA term grouping</w:t>
      </w:r>
      <w:r>
        <w:t>.</w:t>
      </w:r>
    </w:p>
    <w:p w:rsidR="000C13C1" w:rsidRDefault="003201C5" w:rsidP="00C97E6B">
      <w:r>
        <w:rPr>
          <w:noProof/>
          <w:lang w:eastAsia="en-AU"/>
        </w:rPr>
        <w:drawing>
          <wp:inline distT="0" distB="0" distL="0" distR="0">
            <wp:extent cx="4149090" cy="3907790"/>
            <wp:effectExtent l="0" t="0" r="3810" b="0"/>
            <wp:docPr id="9" name="Picture 9" descr="Table 6: 50 kBq/kg pool: Haematologic TEAEs using MEDRA term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6: 50 kBq/kg pool: Haematologic TEAEs using MEDRA term grou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9090" cy="3907790"/>
                    </a:xfrm>
                    <a:prstGeom prst="rect">
                      <a:avLst/>
                    </a:prstGeom>
                    <a:noFill/>
                    <a:ln>
                      <a:noFill/>
                    </a:ln>
                  </pic:spPr>
                </pic:pic>
              </a:graphicData>
            </a:graphic>
          </wp:inline>
        </w:drawing>
      </w:r>
    </w:p>
    <w:p w:rsidR="003F012B" w:rsidRPr="003F012B" w:rsidRDefault="00DA1B79" w:rsidP="00C97E6B">
      <w:pPr>
        <w:pStyle w:val="TableDescription"/>
      </w:pPr>
      <w:r>
        <w:t xml:space="preserve">a. </w:t>
      </w:r>
      <w:r w:rsidR="003F012B" w:rsidRPr="003F012B">
        <w:t xml:space="preserve">Safety data (50 </w:t>
      </w:r>
      <w:proofErr w:type="spellStart"/>
      <w:r w:rsidR="003F012B" w:rsidRPr="003F012B">
        <w:t>kBq</w:t>
      </w:r>
      <w:proofErr w:type="spellEnd"/>
      <w:r w:rsidR="003F012B" w:rsidRPr="003F012B">
        <w:t>/kg data only) from studies: ATI-BC-1 (n</w:t>
      </w:r>
      <w:r>
        <w:t xml:space="preserve"> </w:t>
      </w:r>
      <w:r w:rsidR="003F012B" w:rsidRPr="003F012B">
        <w:t>=</w:t>
      </w:r>
      <w:r>
        <w:t xml:space="preserve"> </w:t>
      </w:r>
      <w:r w:rsidR="003F012B" w:rsidRPr="003F012B">
        <w:t>3), BC1-02 (n</w:t>
      </w:r>
      <w:r>
        <w:t xml:space="preserve"> </w:t>
      </w:r>
      <w:r w:rsidR="003F012B" w:rsidRPr="003F012B">
        <w:t>=</w:t>
      </w:r>
      <w:r>
        <w:t xml:space="preserve"> </w:t>
      </w:r>
      <w:r w:rsidR="003F012B" w:rsidRPr="003F012B">
        <w:t>33), BC1-03 (n</w:t>
      </w:r>
      <w:r>
        <w:t xml:space="preserve"> </w:t>
      </w:r>
      <w:r w:rsidR="003F012B" w:rsidRPr="003F012B">
        <w:t>=</w:t>
      </w:r>
      <w:r>
        <w:t xml:space="preserve"> </w:t>
      </w:r>
      <w:r w:rsidR="003F012B" w:rsidRPr="003F012B">
        <w:t>25), BC1-04 (n</w:t>
      </w:r>
      <w:r>
        <w:t xml:space="preserve"> </w:t>
      </w:r>
      <w:r w:rsidR="003F012B" w:rsidRPr="003F012B">
        <w:t>=</w:t>
      </w:r>
      <w:r>
        <w:t xml:space="preserve"> </w:t>
      </w:r>
      <w:r w:rsidR="003F012B" w:rsidRPr="003F012B">
        <w:t>39), BC1-08 (n</w:t>
      </w:r>
      <w:r>
        <w:t xml:space="preserve"> </w:t>
      </w:r>
      <w:r w:rsidR="003F012B" w:rsidRPr="003F012B">
        <w:t>=</w:t>
      </w:r>
      <w:r>
        <w:t xml:space="preserve"> </w:t>
      </w:r>
      <w:r w:rsidR="003F012B" w:rsidRPr="003F012B">
        <w:t>3), BC1-06 (n</w:t>
      </w:r>
      <w:r>
        <w:t xml:space="preserve"> </w:t>
      </w:r>
      <w:r w:rsidR="003F012B" w:rsidRPr="003F012B">
        <w:t>=</w:t>
      </w:r>
      <w:r>
        <w:t xml:space="preserve"> </w:t>
      </w:r>
      <w:r w:rsidR="003F012B" w:rsidRPr="003F012B">
        <w:t>600)</w:t>
      </w:r>
    </w:p>
    <w:p w:rsidR="003F012B" w:rsidRPr="003F012B" w:rsidRDefault="003F012B" w:rsidP="00C97E6B">
      <w:pPr>
        <w:pStyle w:val="TableDescription"/>
      </w:pPr>
      <w:r w:rsidRPr="003F012B">
        <w:t>This table contains counts of patients. If a patient experienced more than one episode of an adverse event (AE), the patient is counted only once within a</w:t>
      </w:r>
      <w:r w:rsidR="00A03CD9">
        <w:t xml:space="preserve"> Preferred Term</w:t>
      </w:r>
      <w:r w:rsidRPr="003F012B">
        <w:t xml:space="preserve"> </w:t>
      </w:r>
      <w:r w:rsidR="004E498C">
        <w:t xml:space="preserve">(PT) </w:t>
      </w:r>
      <w:r w:rsidRPr="003F012B">
        <w:t>and for the episode with the maximum intensity. If a patient experienc</w:t>
      </w:r>
      <w:r w:rsidR="000336F2">
        <w:t>ed more than one AE within a System Organ Class (SOC)</w:t>
      </w:r>
      <w:r w:rsidRPr="003F012B">
        <w:t>, the patient is counted once for each PT and once for the SOC. The denominator for percentages is the number of patients in the Safety Analysis Set.</w:t>
      </w:r>
    </w:p>
    <w:p w:rsidR="003F012B" w:rsidRPr="003F012B" w:rsidRDefault="003F012B" w:rsidP="00C97E6B">
      <w:pPr>
        <w:pStyle w:val="TableDescription"/>
      </w:pPr>
      <w:proofErr w:type="spellStart"/>
      <w:r w:rsidRPr="003F012B">
        <w:t>MedDRA</w:t>
      </w:r>
      <w:proofErr w:type="spellEnd"/>
      <w:r w:rsidRPr="003F012B">
        <w:t xml:space="preserve"> Dictionary Version 14.1 was used for coding. CTCAE Version 3 was used for severity grading.</w:t>
      </w:r>
    </w:p>
    <w:p w:rsidR="00605AD4" w:rsidRPr="00605AD4" w:rsidRDefault="00605AD4" w:rsidP="00605AD4">
      <w:pPr>
        <w:pStyle w:val="Heading4"/>
      </w:pPr>
      <w:r w:rsidRPr="00605AD4">
        <w:t>Evaluator’s conclusions on safety</w:t>
      </w:r>
    </w:p>
    <w:p w:rsidR="00920012" w:rsidRPr="00920012" w:rsidRDefault="00920012" w:rsidP="00920012">
      <w:r w:rsidRPr="00920012">
        <w:t>The safety is based largely on the large patient numbers in the pivotal clinical study (BCI-06).</w:t>
      </w:r>
      <w:r w:rsidR="00C2122A">
        <w:t xml:space="preserve"> A total of 600</w:t>
      </w:r>
      <w:r w:rsidRPr="00920012">
        <w:t xml:space="preserve"> patients received </w:t>
      </w:r>
      <w:r w:rsidR="00BF5F06" w:rsidRPr="00CA54C9">
        <w:rPr>
          <w:vertAlign w:val="superscript"/>
        </w:rPr>
        <w:t>2</w:t>
      </w:r>
      <w:r w:rsidR="006E37E7" w:rsidRPr="00CA54C9">
        <w:rPr>
          <w:vertAlign w:val="superscript"/>
        </w:rPr>
        <w:t>23</w:t>
      </w:r>
      <w:r w:rsidR="00BF5F06">
        <w:t>Ra</w:t>
      </w:r>
      <w:r w:rsidRPr="00920012">
        <w:t>. This large patient population mean</w:t>
      </w:r>
      <w:r w:rsidR="00DF0D5A">
        <w:t xml:space="preserve">s the upper limit of the 95% confidence interval (CI) </w:t>
      </w:r>
      <w:r w:rsidRPr="00920012">
        <w:t xml:space="preserve">of an undetected </w:t>
      </w:r>
      <w:r w:rsidR="00DF0D5A">
        <w:t>AE</w:t>
      </w:r>
      <w:r w:rsidRPr="00920012">
        <w:t xml:space="preserve"> is not higher than 3/904 (0.3%).</w:t>
      </w:r>
    </w:p>
    <w:p w:rsidR="00920012" w:rsidRPr="00920012" w:rsidRDefault="00920012" w:rsidP="00920012">
      <w:r w:rsidRPr="00920012">
        <w:t xml:space="preserve">While </w:t>
      </w:r>
      <w:r w:rsidR="004F795C">
        <w:t xml:space="preserve">almost </w:t>
      </w:r>
      <w:r w:rsidRPr="00920012">
        <w:t xml:space="preserve">all patients reported at least one </w:t>
      </w:r>
      <w:r w:rsidR="001542B5">
        <w:t>AE</w:t>
      </w:r>
      <w:r w:rsidRPr="00920012">
        <w:t xml:space="preserve">, this is to be expected from the patient population. In the randomised pivotal efficacy study (BCI-06), the AE rate was lower in the </w:t>
      </w:r>
      <w:r w:rsidR="005009EE" w:rsidRPr="00CA54C9">
        <w:rPr>
          <w:vertAlign w:val="superscript"/>
        </w:rPr>
        <w:t>223</w:t>
      </w:r>
      <w:r w:rsidR="005009EE">
        <w:t>Ra</w:t>
      </w:r>
      <w:r w:rsidR="005009EE" w:rsidRPr="00920012">
        <w:t xml:space="preserve"> </w:t>
      </w:r>
      <w:r w:rsidRPr="00920012">
        <w:t>group compared to placebo.</w:t>
      </w:r>
    </w:p>
    <w:p w:rsidR="00920012" w:rsidRPr="00920012" w:rsidRDefault="00920012" w:rsidP="00920012">
      <w:r w:rsidRPr="00920012">
        <w:t xml:space="preserve">As expected for a radiopharmaceutical excreted by the gut, the most frequent AEs were gastrointestinal and bone marrow suppression. The </w:t>
      </w:r>
      <w:r w:rsidR="00446502">
        <w:t>gastrointestinal</w:t>
      </w:r>
      <w:r w:rsidR="00446502" w:rsidRPr="00920012">
        <w:t xml:space="preserve"> </w:t>
      </w:r>
      <w:r w:rsidR="00446502">
        <w:t>(</w:t>
      </w:r>
      <w:r w:rsidRPr="00920012">
        <w:t>GI</w:t>
      </w:r>
      <w:r w:rsidR="00446502">
        <w:t>)</w:t>
      </w:r>
      <w:r w:rsidRPr="00920012">
        <w:t xml:space="preserve"> events were diarrhoea, nausea and vomiting but most were primarily Grade 1 or 2. The bone marrow suppression, thrombocytopenia and leucopoenia were mostly Grade 1 or 2 but higher grade events were also observed. Of note</w:t>
      </w:r>
      <w:r w:rsidR="00F2525A">
        <w:t>,</w:t>
      </w:r>
      <w:r w:rsidRPr="00920012">
        <w:t xml:space="preserve"> the higher frequencies of thrombocytopenia, neutropenia and </w:t>
      </w:r>
      <w:proofErr w:type="spellStart"/>
      <w:r w:rsidRPr="00920012">
        <w:t>lymphopenia</w:t>
      </w:r>
      <w:proofErr w:type="spellEnd"/>
      <w:r w:rsidRPr="00920012">
        <w:t xml:space="preserve"> did not result in an increased rate of haemorrhages or infections.</w:t>
      </w:r>
    </w:p>
    <w:p w:rsidR="00920012" w:rsidRPr="00920012" w:rsidRDefault="00920012" w:rsidP="00920012">
      <w:r w:rsidRPr="00920012">
        <w:t xml:space="preserve">There were isolated reports of second primary malignancies following treatment with </w:t>
      </w:r>
      <w:r w:rsidR="00F2525A" w:rsidRPr="00CA54C9">
        <w:rPr>
          <w:vertAlign w:val="superscript"/>
        </w:rPr>
        <w:t>223</w:t>
      </w:r>
      <w:r w:rsidR="00F2525A">
        <w:t>RaCl</w:t>
      </w:r>
      <w:r w:rsidR="00F2525A" w:rsidRPr="00C914B8">
        <w:rPr>
          <w:vertAlign w:val="subscript"/>
        </w:rPr>
        <w:t>2</w:t>
      </w:r>
      <w:r w:rsidRPr="00920012">
        <w:t xml:space="preserve">. However, a reasonable causal relationship to </w:t>
      </w:r>
      <w:r w:rsidR="00C914B8" w:rsidRPr="00CA54C9">
        <w:rPr>
          <w:vertAlign w:val="superscript"/>
        </w:rPr>
        <w:t>223</w:t>
      </w:r>
      <w:r w:rsidR="00C914B8">
        <w:t xml:space="preserve">Ra </w:t>
      </w:r>
      <w:r w:rsidRPr="00920012">
        <w:t xml:space="preserve">cannot be established in the cases, mainly due to the short time after injection of the drug. Nevertheless, secondary </w:t>
      </w:r>
      <w:r w:rsidRPr="00920012">
        <w:lastRenderedPageBreak/>
        <w:t>malignancies including AML, MDS and sarcomas of the bone are a potential risk based on the known carcinogenic effect of radiation. As the latency of radiation induced malignancies is long, the studies were not really long enough to demonstrate these but the impact on the target patient population which has a reduced life expectancy is most likely limited.</w:t>
      </w:r>
    </w:p>
    <w:p w:rsidR="00605AD4" w:rsidRPr="00605AD4" w:rsidRDefault="00605AD4" w:rsidP="00605AD4">
      <w:pPr>
        <w:pStyle w:val="Heading3"/>
        <w:rPr>
          <w:rFonts w:eastAsia="Cambria"/>
        </w:rPr>
      </w:pPr>
      <w:bookmarkStart w:id="99" w:name="_Toc394316808"/>
      <w:r w:rsidRPr="00605AD4">
        <w:rPr>
          <w:rFonts w:eastAsia="Cambria"/>
        </w:rPr>
        <w:t xml:space="preserve">First </w:t>
      </w:r>
      <w:r w:rsidR="00C97E6B">
        <w:rPr>
          <w:rFonts w:eastAsia="Cambria"/>
        </w:rPr>
        <w:t>r</w:t>
      </w:r>
      <w:r w:rsidRPr="00605AD4">
        <w:rPr>
          <w:rFonts w:eastAsia="Cambria"/>
        </w:rPr>
        <w:t xml:space="preserve">ound </w:t>
      </w:r>
      <w:r w:rsidR="00C97E6B">
        <w:rPr>
          <w:rFonts w:eastAsia="Cambria"/>
        </w:rPr>
        <w:t>b</w:t>
      </w:r>
      <w:r w:rsidRPr="00605AD4">
        <w:rPr>
          <w:rFonts w:eastAsia="Cambria"/>
        </w:rPr>
        <w:t>enefit-</w:t>
      </w:r>
      <w:r w:rsidR="00C97E6B">
        <w:rPr>
          <w:rFonts w:eastAsia="Cambria"/>
        </w:rPr>
        <w:t>r</w:t>
      </w:r>
      <w:r w:rsidRPr="00605AD4">
        <w:rPr>
          <w:rFonts w:eastAsia="Cambria"/>
        </w:rPr>
        <w:t xml:space="preserve">isk </w:t>
      </w:r>
      <w:r w:rsidR="00C97E6B">
        <w:rPr>
          <w:rFonts w:eastAsia="Cambria"/>
        </w:rPr>
        <w:t>a</w:t>
      </w:r>
      <w:r w:rsidRPr="00605AD4">
        <w:rPr>
          <w:rFonts w:eastAsia="Cambria"/>
        </w:rPr>
        <w:t>ssessment</w:t>
      </w:r>
      <w:bookmarkEnd w:id="99"/>
    </w:p>
    <w:p w:rsidR="00605AD4" w:rsidRDefault="00605AD4" w:rsidP="00605AD4">
      <w:pPr>
        <w:pStyle w:val="Heading4"/>
      </w:pPr>
      <w:r w:rsidRPr="00605AD4">
        <w:t>First round assessment of benefits</w:t>
      </w:r>
    </w:p>
    <w:p w:rsidR="00E33ABC" w:rsidRPr="00E33ABC" w:rsidRDefault="00E33ABC" w:rsidP="00E33ABC">
      <w:r w:rsidRPr="00E33ABC">
        <w:t xml:space="preserve">The benefits of </w:t>
      </w:r>
      <w:r w:rsidR="005E6219" w:rsidRPr="00CA54C9">
        <w:rPr>
          <w:vertAlign w:val="superscript"/>
        </w:rPr>
        <w:t>223</w:t>
      </w:r>
      <w:r w:rsidR="005E6219">
        <w:t>Ra</w:t>
      </w:r>
      <w:r w:rsidR="005E6219" w:rsidRPr="00E33ABC">
        <w:t xml:space="preserve"> </w:t>
      </w:r>
      <w:r w:rsidRPr="00E33ABC">
        <w:t>in the proposed usage are:</w:t>
      </w:r>
    </w:p>
    <w:p w:rsidR="00E33ABC" w:rsidRPr="00E33ABC" w:rsidRDefault="00E33ABC" w:rsidP="00E33ABC">
      <w:pPr>
        <w:pStyle w:val="ListBullet"/>
      </w:pPr>
      <w:r w:rsidRPr="00E33ABC">
        <w:t xml:space="preserve">Prolonged survival seen in the pivotal efficacy study (BCI-06). The patients treated with </w:t>
      </w:r>
      <w:r w:rsidR="005E6219" w:rsidRPr="00CA54C9">
        <w:rPr>
          <w:vertAlign w:val="superscript"/>
        </w:rPr>
        <w:t>223</w:t>
      </w:r>
      <w:r w:rsidR="005E6219">
        <w:t>Ra</w:t>
      </w:r>
      <w:r w:rsidR="005E6219" w:rsidRPr="00E33ABC">
        <w:t xml:space="preserve"> </w:t>
      </w:r>
      <w:r w:rsidRPr="00E33ABC">
        <w:t>had a statistically significant and clinically meaningful (3.6 months) increased survival compared to placebo treated patients</w:t>
      </w:r>
      <w:r w:rsidR="005E6219">
        <w:t>;</w:t>
      </w:r>
    </w:p>
    <w:p w:rsidR="00E33ABC" w:rsidRPr="00E33ABC" w:rsidRDefault="00E33ABC" w:rsidP="00E33ABC">
      <w:pPr>
        <w:pStyle w:val="ListBullet"/>
      </w:pPr>
      <w:r w:rsidRPr="00E33ABC">
        <w:t>A survival benefit was also suggested in th</w:t>
      </w:r>
      <w:r w:rsidR="005E6219">
        <w:t xml:space="preserve">e supporting study BCI-02 where </w:t>
      </w:r>
      <w:r w:rsidRPr="00E33ABC">
        <w:t>a statistically significant improvement in survival was seen</w:t>
      </w:r>
      <w:r w:rsidR="005E6219" w:rsidRPr="005E6219">
        <w:t xml:space="preserve"> </w:t>
      </w:r>
      <w:r w:rsidR="005E6219" w:rsidRPr="00E33ABC">
        <w:t xml:space="preserve">in the </w:t>
      </w:r>
      <w:r w:rsidR="005E6219">
        <w:t xml:space="preserve">PP </w:t>
      </w:r>
      <w:r w:rsidR="005E6219" w:rsidRPr="00E33ABC">
        <w:t>analysis set</w:t>
      </w:r>
      <w:r w:rsidR="005E6219">
        <w:t>;</w:t>
      </w:r>
    </w:p>
    <w:p w:rsidR="00E33ABC" w:rsidRPr="00E33ABC" w:rsidRDefault="00E33ABC" w:rsidP="004870EB">
      <w:pPr>
        <w:pStyle w:val="ListBullet"/>
      </w:pPr>
      <w:r w:rsidRPr="00E33ABC">
        <w:t xml:space="preserve">In both studies assessing </w:t>
      </w:r>
      <w:r w:rsidR="004870EB">
        <w:t>s</w:t>
      </w:r>
      <w:r w:rsidR="004870EB" w:rsidRPr="004870EB">
        <w:t>keletal related event</w:t>
      </w:r>
      <w:r w:rsidR="004870EB">
        <w:t>s (</w:t>
      </w:r>
      <w:r w:rsidRPr="00E33ABC">
        <w:t>SREs</w:t>
      </w:r>
      <w:r w:rsidR="004870EB">
        <w:t>)</w:t>
      </w:r>
      <w:r w:rsidRPr="00E33ABC">
        <w:t xml:space="preserve"> (Studies BCI-06 and BCI-02)</w:t>
      </w:r>
      <w:proofErr w:type="gramStart"/>
      <w:r w:rsidRPr="00E33ABC">
        <w:t>,</w:t>
      </w:r>
      <w:proofErr w:type="gramEnd"/>
      <w:r w:rsidRPr="00E33ABC">
        <w:t xml:space="preserve"> </w:t>
      </w:r>
      <w:r w:rsidR="00D234EB" w:rsidRPr="00CA54C9">
        <w:rPr>
          <w:vertAlign w:val="superscript"/>
        </w:rPr>
        <w:t>223</w:t>
      </w:r>
      <w:r w:rsidR="00D234EB">
        <w:t>Ra</w:t>
      </w:r>
      <w:r w:rsidR="00D234EB" w:rsidRPr="00E33ABC">
        <w:t xml:space="preserve"> </w:t>
      </w:r>
      <w:r w:rsidRPr="00E33ABC">
        <w:t>reduced the incidence of SREs and delayed the onset of SREs. It also delayed the onset and reduced the incidence of the individual components of SREs, especially spinal cord compression and EBRT, which are both of particular clinical relevance</w:t>
      </w:r>
      <w:r w:rsidR="005E6219">
        <w:t>;</w:t>
      </w:r>
    </w:p>
    <w:p w:rsidR="00E33ABC" w:rsidRPr="00E33ABC" w:rsidRDefault="00E33ABC" w:rsidP="00E33ABC">
      <w:pPr>
        <w:pStyle w:val="ListBullet"/>
      </w:pPr>
      <w:r w:rsidRPr="00E33ABC">
        <w:t>In the pivotal efficacy Study BCI-06, pain was reported as an adverse event for fewer patients in the</w:t>
      </w:r>
      <w:r w:rsidR="002527AF">
        <w:t xml:space="preserve"> </w:t>
      </w:r>
      <w:r w:rsidR="00D234EB" w:rsidRPr="00CA54C9">
        <w:rPr>
          <w:vertAlign w:val="superscript"/>
        </w:rPr>
        <w:t>223</w:t>
      </w:r>
      <w:r w:rsidR="00D234EB">
        <w:t>Ra</w:t>
      </w:r>
      <w:r w:rsidR="00D234EB" w:rsidRPr="00E33ABC">
        <w:t xml:space="preserve"> </w:t>
      </w:r>
      <w:r w:rsidRPr="00E33ABC">
        <w:t>group compared to placebo. This was supported by the favourable results for time to EBRT for pain relief and for time to analgesic use</w:t>
      </w:r>
      <w:r w:rsidR="005E6219">
        <w:t>;</w:t>
      </w:r>
    </w:p>
    <w:p w:rsidR="00E33ABC" w:rsidRPr="00E33ABC" w:rsidRDefault="00E33ABC" w:rsidP="00E33ABC">
      <w:pPr>
        <w:pStyle w:val="ListBullet"/>
      </w:pPr>
      <w:r w:rsidRPr="00E33ABC">
        <w:t>The results for the surrogate markers bone</w:t>
      </w:r>
      <w:r w:rsidR="00356A97">
        <w:t xml:space="preserve"> </w:t>
      </w:r>
      <w:r w:rsidRPr="00E33ABC">
        <w:t xml:space="preserve">ALP and PSA were favourable to </w:t>
      </w:r>
      <w:r w:rsidR="00D234EB" w:rsidRPr="00CA54C9">
        <w:rPr>
          <w:vertAlign w:val="superscript"/>
        </w:rPr>
        <w:t>223</w:t>
      </w:r>
      <w:r w:rsidR="00D234EB">
        <w:t>Ra</w:t>
      </w:r>
      <w:r w:rsidR="005E6219">
        <w:t>; and</w:t>
      </w:r>
    </w:p>
    <w:p w:rsidR="00E33ABC" w:rsidRPr="00E33ABC" w:rsidRDefault="00E33ABC" w:rsidP="00E33ABC">
      <w:pPr>
        <w:pStyle w:val="ListBullet"/>
      </w:pPr>
      <w:r w:rsidRPr="00E33ABC">
        <w:t>Results from all studies are consistent</w:t>
      </w:r>
      <w:r w:rsidR="004B28AE">
        <w:t>.</w:t>
      </w:r>
    </w:p>
    <w:p w:rsidR="00605AD4" w:rsidRDefault="00605AD4" w:rsidP="00605AD4">
      <w:pPr>
        <w:pStyle w:val="Heading4"/>
      </w:pPr>
      <w:r w:rsidRPr="00605AD4">
        <w:t>First round assessment of risks</w:t>
      </w:r>
    </w:p>
    <w:p w:rsidR="00E33ABC" w:rsidRPr="00E33ABC" w:rsidRDefault="00E33ABC" w:rsidP="00E33ABC">
      <w:r w:rsidRPr="00E33ABC">
        <w:t xml:space="preserve">The risks of </w:t>
      </w:r>
      <w:r w:rsidR="002527AF" w:rsidRPr="00CA54C9">
        <w:rPr>
          <w:vertAlign w:val="superscript"/>
        </w:rPr>
        <w:t>223</w:t>
      </w:r>
      <w:r w:rsidR="002527AF">
        <w:t>Ra</w:t>
      </w:r>
      <w:r w:rsidR="002527AF" w:rsidRPr="00E33ABC">
        <w:t xml:space="preserve"> </w:t>
      </w:r>
      <w:r w:rsidRPr="00E33ABC">
        <w:t>in the proposed usage are:</w:t>
      </w:r>
    </w:p>
    <w:p w:rsidR="00E33ABC" w:rsidRPr="00E33ABC" w:rsidRDefault="00E33ABC" w:rsidP="00E33ABC">
      <w:pPr>
        <w:pStyle w:val="ListBullet"/>
      </w:pPr>
      <w:r w:rsidRPr="00E33ABC">
        <w:t>Adverse events were observed in almost all patients, most frequent AEs were gastrointestinal (diarrhoea, nausea and vomiting)</w:t>
      </w:r>
      <w:r w:rsidR="004B28AE">
        <w:t>;</w:t>
      </w:r>
    </w:p>
    <w:p w:rsidR="00E33ABC" w:rsidRPr="00E33ABC" w:rsidRDefault="00E33ABC" w:rsidP="00E33ABC">
      <w:pPr>
        <w:pStyle w:val="ListBullet"/>
      </w:pPr>
      <w:r w:rsidRPr="00E33ABC">
        <w:t xml:space="preserve">Moderate bone marrow suppression particularly thrombocytopenia, neutropenia and </w:t>
      </w:r>
      <w:proofErr w:type="spellStart"/>
      <w:r w:rsidRPr="00E33ABC">
        <w:t>lymphopaenia</w:t>
      </w:r>
      <w:proofErr w:type="spellEnd"/>
      <w:r w:rsidRPr="00E33ABC">
        <w:t xml:space="preserve"> but not associated with increased rates of haemorrhage and infection</w:t>
      </w:r>
      <w:r w:rsidR="004B28AE">
        <w:t>;</w:t>
      </w:r>
    </w:p>
    <w:p w:rsidR="00E33ABC" w:rsidRPr="00E33ABC" w:rsidRDefault="00E33ABC" w:rsidP="00E33ABC">
      <w:pPr>
        <w:pStyle w:val="ListBullet"/>
      </w:pPr>
      <w:r w:rsidRPr="00E33ABC">
        <w:t xml:space="preserve">Bone marrow suppression is greater in patients who have received prior </w:t>
      </w:r>
      <w:proofErr w:type="spellStart"/>
      <w:r w:rsidRPr="00E33ABC">
        <w:t>docetaxel</w:t>
      </w:r>
      <w:proofErr w:type="spellEnd"/>
      <w:r w:rsidRPr="00E33ABC">
        <w:t xml:space="preserve"> therapy</w:t>
      </w:r>
      <w:r w:rsidR="004B28AE">
        <w:t>;</w:t>
      </w:r>
    </w:p>
    <w:p w:rsidR="00E33ABC" w:rsidRPr="00E33ABC" w:rsidRDefault="00E33ABC" w:rsidP="00E33ABC">
      <w:pPr>
        <w:pStyle w:val="ListBullet"/>
      </w:pPr>
      <w:r w:rsidRPr="00E33ABC">
        <w:t>Injection site reactions of erythema, pain and swelling were observed in small number of patients</w:t>
      </w:r>
      <w:r w:rsidR="004B28AE">
        <w:t>;</w:t>
      </w:r>
    </w:p>
    <w:p w:rsidR="00E33ABC" w:rsidRPr="00E33ABC" w:rsidRDefault="00E33ABC" w:rsidP="00E33ABC">
      <w:pPr>
        <w:pStyle w:val="ListBullet"/>
      </w:pPr>
      <w:r w:rsidRPr="00E33ABC">
        <w:t>Isolated reports of second primary malignancies following treatment, however causal relationship is not established due to short time to onset of new malignancy</w:t>
      </w:r>
      <w:r w:rsidR="004B28AE">
        <w:t>; and</w:t>
      </w:r>
    </w:p>
    <w:p w:rsidR="00E33ABC" w:rsidRPr="00E33ABC" w:rsidRDefault="00E33ABC" w:rsidP="00E33ABC">
      <w:pPr>
        <w:pStyle w:val="ListBullet"/>
      </w:pPr>
      <w:r w:rsidRPr="00E33ABC">
        <w:t>Risk of secondary malignancies of AML, MDS and sarcoma of bone could not be excluded due to long latency of these tumours and short duration of the trials</w:t>
      </w:r>
    </w:p>
    <w:p w:rsidR="00605AD4" w:rsidRPr="00605AD4" w:rsidRDefault="00605AD4" w:rsidP="00605AD4">
      <w:pPr>
        <w:pStyle w:val="Heading4"/>
      </w:pPr>
      <w:r w:rsidRPr="00605AD4">
        <w:t>First round assessment of benefit-risk balance</w:t>
      </w:r>
    </w:p>
    <w:p w:rsidR="00E33ABC" w:rsidRPr="00E33ABC" w:rsidRDefault="00E33ABC" w:rsidP="00E33ABC">
      <w:r w:rsidRPr="00E33ABC">
        <w:t xml:space="preserve">The benefit-risk balance of </w:t>
      </w:r>
      <w:r w:rsidR="002527AF" w:rsidRPr="00CA54C9">
        <w:rPr>
          <w:vertAlign w:val="superscript"/>
        </w:rPr>
        <w:t>223</w:t>
      </w:r>
      <w:r w:rsidR="002527AF">
        <w:t>Ra</w:t>
      </w:r>
      <w:r w:rsidRPr="00E33ABC">
        <w:t>, given the proposed usage, is favourable.</w:t>
      </w:r>
    </w:p>
    <w:p w:rsidR="00605AD4" w:rsidRPr="00605AD4" w:rsidRDefault="00605AD4" w:rsidP="00605AD4">
      <w:pPr>
        <w:pStyle w:val="Heading3"/>
        <w:rPr>
          <w:rFonts w:eastAsia="Cambria"/>
        </w:rPr>
      </w:pPr>
      <w:bookmarkStart w:id="100" w:name="_Toc394316809"/>
      <w:r w:rsidRPr="00605AD4">
        <w:rPr>
          <w:rFonts w:eastAsia="Cambria"/>
        </w:rPr>
        <w:lastRenderedPageBreak/>
        <w:t xml:space="preserve">First </w:t>
      </w:r>
      <w:r w:rsidR="00C97E6B">
        <w:rPr>
          <w:rFonts w:eastAsia="Cambria"/>
        </w:rPr>
        <w:t>r</w:t>
      </w:r>
      <w:r w:rsidRPr="00605AD4">
        <w:rPr>
          <w:rFonts w:eastAsia="Cambria"/>
        </w:rPr>
        <w:t xml:space="preserve">ound </w:t>
      </w:r>
      <w:r w:rsidR="00C97E6B">
        <w:rPr>
          <w:rFonts w:eastAsia="Cambria"/>
        </w:rPr>
        <w:t>r</w:t>
      </w:r>
      <w:r w:rsidRPr="00605AD4">
        <w:rPr>
          <w:rFonts w:eastAsia="Cambria"/>
        </w:rPr>
        <w:t xml:space="preserve">ecommendation </w:t>
      </w:r>
      <w:r w:rsidR="00C97E6B">
        <w:rPr>
          <w:rFonts w:eastAsia="Cambria"/>
        </w:rPr>
        <w:t>r</w:t>
      </w:r>
      <w:r w:rsidRPr="00605AD4">
        <w:rPr>
          <w:rFonts w:eastAsia="Cambria"/>
        </w:rPr>
        <w:t xml:space="preserve">egarding </w:t>
      </w:r>
      <w:r w:rsidR="00C97E6B">
        <w:rPr>
          <w:rFonts w:eastAsia="Cambria"/>
        </w:rPr>
        <w:t>a</w:t>
      </w:r>
      <w:r w:rsidRPr="00605AD4">
        <w:rPr>
          <w:rFonts w:eastAsia="Cambria"/>
        </w:rPr>
        <w:t>uthorisation</w:t>
      </w:r>
      <w:bookmarkEnd w:id="100"/>
    </w:p>
    <w:p w:rsidR="00605AD4" w:rsidRPr="00605AD4" w:rsidRDefault="00E33ABC" w:rsidP="00605AD4">
      <w:r w:rsidRPr="00E33ABC">
        <w:t>Based</w:t>
      </w:r>
      <w:r w:rsidR="00CE0D49">
        <w:t xml:space="preserve"> on the clinical data submitted, </w:t>
      </w:r>
      <w:r w:rsidRPr="00E33ABC">
        <w:t>it is recommended that the application be approved</w:t>
      </w:r>
      <w:r>
        <w:t>.</w:t>
      </w:r>
    </w:p>
    <w:p w:rsidR="00605AD4" w:rsidRPr="00605AD4" w:rsidRDefault="00605AD4" w:rsidP="00605AD4">
      <w:pPr>
        <w:pStyle w:val="Heading3"/>
        <w:rPr>
          <w:rFonts w:eastAsia="Cambria"/>
        </w:rPr>
      </w:pPr>
      <w:bookmarkStart w:id="101" w:name="_Toc394316810"/>
      <w:r w:rsidRPr="00605AD4">
        <w:rPr>
          <w:rFonts w:eastAsia="Cambria"/>
        </w:rPr>
        <w:t xml:space="preserve">Clinical </w:t>
      </w:r>
      <w:r w:rsidR="00C97E6B">
        <w:rPr>
          <w:rFonts w:eastAsia="Cambria"/>
        </w:rPr>
        <w:t>q</w:t>
      </w:r>
      <w:r w:rsidRPr="00605AD4">
        <w:rPr>
          <w:rFonts w:eastAsia="Cambria"/>
        </w:rPr>
        <w:t>uestions</w:t>
      </w:r>
      <w:bookmarkEnd w:id="101"/>
    </w:p>
    <w:p w:rsidR="0066020F" w:rsidRPr="0066020F" w:rsidRDefault="0066020F" w:rsidP="0066020F">
      <w:r w:rsidRPr="0066020F">
        <w:t>The sponsor should be asked to clarify the discrepancy between the formulation of the product in the Application Form and that described in Module 2.7.1.1.</w:t>
      </w:r>
    </w:p>
    <w:p w:rsidR="00605AD4" w:rsidRPr="00605AD4" w:rsidRDefault="00605AD4" w:rsidP="00605AD4">
      <w:pPr>
        <w:pStyle w:val="Heading3"/>
        <w:rPr>
          <w:rFonts w:eastAsia="Cambria"/>
        </w:rPr>
      </w:pPr>
      <w:bookmarkStart w:id="102" w:name="_Toc394316811"/>
      <w:r w:rsidRPr="00605AD4">
        <w:rPr>
          <w:rFonts w:eastAsia="Cambria"/>
        </w:rPr>
        <w:t xml:space="preserve">Second </w:t>
      </w:r>
      <w:r w:rsidR="00C97E6B">
        <w:rPr>
          <w:rFonts w:eastAsia="Cambria"/>
        </w:rPr>
        <w:t>r</w:t>
      </w:r>
      <w:r w:rsidRPr="00605AD4">
        <w:rPr>
          <w:rFonts w:eastAsia="Cambria"/>
        </w:rPr>
        <w:t xml:space="preserve">ound </w:t>
      </w:r>
      <w:r w:rsidR="00C97E6B">
        <w:rPr>
          <w:rFonts w:eastAsia="Cambria"/>
        </w:rPr>
        <w:t>e</w:t>
      </w:r>
      <w:r w:rsidRPr="00605AD4">
        <w:rPr>
          <w:rFonts w:eastAsia="Cambria"/>
        </w:rPr>
        <w:t xml:space="preserve">valuation of </w:t>
      </w:r>
      <w:r w:rsidR="00C97E6B">
        <w:rPr>
          <w:rFonts w:eastAsia="Cambria"/>
        </w:rPr>
        <w:t>c</w:t>
      </w:r>
      <w:r w:rsidRPr="00605AD4">
        <w:rPr>
          <w:rFonts w:eastAsia="Cambria"/>
        </w:rPr>
        <w:t xml:space="preserve">linical </w:t>
      </w:r>
      <w:r w:rsidR="00C97E6B">
        <w:rPr>
          <w:rFonts w:eastAsia="Cambria"/>
        </w:rPr>
        <w:t>d</w:t>
      </w:r>
      <w:r w:rsidRPr="00605AD4">
        <w:rPr>
          <w:rFonts w:eastAsia="Cambria"/>
        </w:rPr>
        <w:t xml:space="preserve">ata in </w:t>
      </w:r>
      <w:r w:rsidR="00C97E6B">
        <w:rPr>
          <w:rFonts w:eastAsia="Cambria"/>
        </w:rPr>
        <w:t>r</w:t>
      </w:r>
      <w:r w:rsidRPr="00605AD4">
        <w:rPr>
          <w:rFonts w:eastAsia="Cambria"/>
        </w:rPr>
        <w:t xml:space="preserve">esponse to </w:t>
      </w:r>
      <w:r w:rsidR="00C97E6B">
        <w:rPr>
          <w:rFonts w:eastAsia="Cambria"/>
        </w:rPr>
        <w:t>q</w:t>
      </w:r>
      <w:r w:rsidRPr="00605AD4">
        <w:rPr>
          <w:rFonts w:eastAsia="Cambria"/>
        </w:rPr>
        <w:t>uestions</w:t>
      </w:r>
      <w:bookmarkEnd w:id="102"/>
    </w:p>
    <w:p w:rsidR="0066020F" w:rsidRPr="0085123D" w:rsidRDefault="0066020F" w:rsidP="0066020F">
      <w:pPr>
        <w:pStyle w:val="Heading4"/>
      </w:pPr>
      <w:r w:rsidRPr="0085123D">
        <w:t xml:space="preserve">Clinical </w:t>
      </w:r>
      <w:r w:rsidR="00C97E6B">
        <w:t>q</w:t>
      </w:r>
      <w:r w:rsidRPr="0085123D">
        <w:t>uestion</w:t>
      </w:r>
    </w:p>
    <w:p w:rsidR="0066020F" w:rsidRPr="0066020F" w:rsidRDefault="0066020F" w:rsidP="0066020F">
      <w:pPr>
        <w:rPr>
          <w:i/>
        </w:rPr>
      </w:pPr>
      <w:r w:rsidRPr="0066020F">
        <w:rPr>
          <w:i/>
        </w:rPr>
        <w:t>The sponsor should be asked to clarify the discrepancy between the formulation of the product in the Application Form and that described in Module 2.7.1.1.</w:t>
      </w:r>
    </w:p>
    <w:p w:rsidR="003A33D6" w:rsidRPr="0066020F" w:rsidRDefault="003A33D6" w:rsidP="003A33D6">
      <w:r w:rsidRPr="0066020F">
        <w:t>The sponsor has clarified that the formulation in Module 2.7.1.1 refers to the drug substance solution in which calcium is declared and the application form</w:t>
      </w:r>
      <w:r w:rsidR="00C83B5D">
        <w:t xml:space="preserve"> </w:t>
      </w:r>
      <w:r>
        <w:t>re</w:t>
      </w:r>
      <w:r w:rsidRPr="0066020F">
        <w:t>presents the drug product formulation.</w:t>
      </w:r>
      <w:r w:rsidR="00C83B5D">
        <w:t xml:space="preserve"> </w:t>
      </w:r>
      <w:r>
        <w:t>A justification was provided by the sponsor for the discrepancy.</w:t>
      </w:r>
    </w:p>
    <w:p w:rsidR="003A33D6" w:rsidRPr="0066020F" w:rsidRDefault="003A33D6" w:rsidP="003A33D6">
      <w:r w:rsidRPr="0066020F">
        <w:t xml:space="preserve">It is noted that this question was also raised by the </w:t>
      </w:r>
      <w:r>
        <w:t>Chemistry and Quality</w:t>
      </w:r>
      <w:r w:rsidRPr="0066020F">
        <w:t xml:space="preserve"> evaluator and a response to their question was provided</w:t>
      </w:r>
      <w:r>
        <w:t xml:space="preserve"> and accepted by</w:t>
      </w:r>
      <w:r w:rsidRPr="0066020F">
        <w:t xml:space="preserve"> the </w:t>
      </w:r>
      <w:r>
        <w:t>Chemistry and Quality</w:t>
      </w:r>
      <w:r w:rsidRPr="0066020F">
        <w:t xml:space="preserve"> evaluator.</w:t>
      </w:r>
    </w:p>
    <w:p w:rsidR="0066020F" w:rsidRPr="0066020F" w:rsidRDefault="003A33D6" w:rsidP="003A33D6">
      <w:r w:rsidRPr="0066020F">
        <w:t>From a clinical perspective</w:t>
      </w:r>
      <w:r>
        <w:t>,</w:t>
      </w:r>
      <w:r w:rsidRPr="0066020F">
        <w:t xml:space="preserve"> it is accepted that the formulation used in the clinical studies is the same as that proposed for marketing</w:t>
      </w:r>
      <w:r w:rsidR="0066020F" w:rsidRPr="0066020F">
        <w:t>.</w:t>
      </w:r>
    </w:p>
    <w:p w:rsidR="00605AD4" w:rsidRPr="00605AD4" w:rsidRDefault="00605AD4" w:rsidP="00546154">
      <w:pPr>
        <w:pStyle w:val="Heading3"/>
        <w:rPr>
          <w:rFonts w:eastAsia="Cambria"/>
        </w:rPr>
      </w:pPr>
      <w:bookmarkStart w:id="103" w:name="_Toc394316812"/>
      <w:r w:rsidRPr="00605AD4">
        <w:rPr>
          <w:rFonts w:eastAsia="Cambria"/>
        </w:rPr>
        <w:t xml:space="preserve">Second </w:t>
      </w:r>
      <w:r w:rsidR="00C97E6B">
        <w:rPr>
          <w:rFonts w:eastAsia="Cambria"/>
        </w:rPr>
        <w:t>r</w:t>
      </w:r>
      <w:r w:rsidRPr="00605AD4">
        <w:rPr>
          <w:rFonts w:eastAsia="Cambria"/>
        </w:rPr>
        <w:t xml:space="preserve">ound </w:t>
      </w:r>
      <w:r w:rsidR="00C97E6B">
        <w:rPr>
          <w:rFonts w:eastAsia="Cambria"/>
        </w:rPr>
        <w:t>b</w:t>
      </w:r>
      <w:r w:rsidRPr="00605AD4">
        <w:rPr>
          <w:rFonts w:eastAsia="Cambria"/>
        </w:rPr>
        <w:t>enefit-</w:t>
      </w:r>
      <w:r w:rsidR="00C97E6B">
        <w:rPr>
          <w:rFonts w:eastAsia="Cambria"/>
        </w:rPr>
        <w:t>r</w:t>
      </w:r>
      <w:r w:rsidRPr="00605AD4">
        <w:rPr>
          <w:rFonts w:eastAsia="Cambria"/>
        </w:rPr>
        <w:t xml:space="preserve">isk </w:t>
      </w:r>
      <w:r w:rsidR="00C97E6B">
        <w:rPr>
          <w:rFonts w:eastAsia="Cambria"/>
        </w:rPr>
        <w:t>a</w:t>
      </w:r>
      <w:r w:rsidRPr="00605AD4">
        <w:rPr>
          <w:rFonts w:eastAsia="Cambria"/>
        </w:rPr>
        <w:t>ssessment</w:t>
      </w:r>
      <w:bookmarkEnd w:id="103"/>
    </w:p>
    <w:p w:rsidR="00D76741" w:rsidRDefault="00D76741" w:rsidP="00D76741">
      <w:pPr>
        <w:pStyle w:val="Heading4"/>
      </w:pPr>
      <w:bookmarkStart w:id="104" w:name="_Toc272414709"/>
      <w:bookmarkStart w:id="105" w:name="_Toc290846349"/>
      <w:bookmarkStart w:id="106" w:name="_Toc376154486"/>
      <w:r>
        <w:t>Second round assessment of benefits</w:t>
      </w:r>
      <w:bookmarkEnd w:id="104"/>
      <w:bookmarkEnd w:id="105"/>
      <w:bookmarkEnd w:id="106"/>
    </w:p>
    <w:p w:rsidR="00D76741" w:rsidRPr="00D76741" w:rsidRDefault="00D76741" w:rsidP="00D76741">
      <w:r w:rsidRPr="00D76741">
        <w:t xml:space="preserve">No new clinical information was submitted in response to questions. Accordingly, the risks of </w:t>
      </w:r>
      <w:r w:rsidR="00F24699" w:rsidRPr="00CA54C9">
        <w:rPr>
          <w:vertAlign w:val="superscript"/>
        </w:rPr>
        <w:t>223</w:t>
      </w:r>
      <w:r w:rsidR="00F24699">
        <w:t>Ra</w:t>
      </w:r>
      <w:r w:rsidR="00F24699" w:rsidRPr="00D76741">
        <w:t xml:space="preserve"> </w:t>
      </w:r>
      <w:r w:rsidRPr="00D76741">
        <w:t xml:space="preserve">are unchanged </w:t>
      </w:r>
      <w:r>
        <w:t>from those identified in the first round</w:t>
      </w:r>
      <w:r w:rsidRPr="00D76741">
        <w:t>.</w:t>
      </w:r>
    </w:p>
    <w:p w:rsidR="00D76741" w:rsidRDefault="00D76741" w:rsidP="00D76741">
      <w:pPr>
        <w:pStyle w:val="Heading4"/>
      </w:pPr>
      <w:bookmarkStart w:id="107" w:name="_Toc272414710"/>
      <w:bookmarkStart w:id="108" w:name="_Toc290846350"/>
      <w:bookmarkStart w:id="109" w:name="_Toc376154487"/>
      <w:r>
        <w:t>Second round assessment of risks</w:t>
      </w:r>
      <w:bookmarkEnd w:id="107"/>
      <w:bookmarkEnd w:id="108"/>
      <w:bookmarkEnd w:id="109"/>
    </w:p>
    <w:p w:rsidR="00D76741" w:rsidRPr="00D76741" w:rsidRDefault="00D76741" w:rsidP="00D76741">
      <w:r w:rsidRPr="00D76741">
        <w:t xml:space="preserve">No new clinical information was submitted in response to questions. Accordingly, the risks of </w:t>
      </w:r>
      <w:r w:rsidR="00AF7C12" w:rsidRPr="00CA54C9">
        <w:rPr>
          <w:vertAlign w:val="superscript"/>
        </w:rPr>
        <w:t>223</w:t>
      </w:r>
      <w:r w:rsidR="00AF7C12">
        <w:t>Ra</w:t>
      </w:r>
      <w:r w:rsidR="00AF7C12" w:rsidRPr="00D76741">
        <w:t xml:space="preserve"> </w:t>
      </w:r>
      <w:r w:rsidRPr="00D76741">
        <w:t xml:space="preserve">are unchanged from those </w:t>
      </w:r>
      <w:r>
        <w:t>identified in the first round</w:t>
      </w:r>
      <w:r w:rsidRPr="00D76741">
        <w:t>.</w:t>
      </w:r>
    </w:p>
    <w:p w:rsidR="00D76741" w:rsidRDefault="00D76741" w:rsidP="00D76741">
      <w:pPr>
        <w:pStyle w:val="Heading4"/>
      </w:pPr>
      <w:bookmarkStart w:id="110" w:name="_Toc272414711"/>
      <w:bookmarkStart w:id="111" w:name="_Toc290846351"/>
      <w:bookmarkStart w:id="112" w:name="_Toc376154488"/>
      <w:r>
        <w:t>Second round assessment of benefit-risk balance</w:t>
      </w:r>
      <w:bookmarkEnd w:id="110"/>
      <w:bookmarkEnd w:id="111"/>
      <w:bookmarkEnd w:id="112"/>
    </w:p>
    <w:p w:rsidR="00D76741" w:rsidRPr="00D76741" w:rsidRDefault="00D76741" w:rsidP="00D76741">
      <w:r w:rsidRPr="00D76741">
        <w:t xml:space="preserve">The benefit-risk balance of </w:t>
      </w:r>
      <w:r w:rsidR="00AF7C12" w:rsidRPr="00CA54C9">
        <w:rPr>
          <w:vertAlign w:val="superscript"/>
        </w:rPr>
        <w:t>223</w:t>
      </w:r>
      <w:r w:rsidR="00AF7C12">
        <w:t>Ra</w:t>
      </w:r>
      <w:r w:rsidRPr="00D76741">
        <w:t>, given the proposed usage, is favourable.</w:t>
      </w:r>
    </w:p>
    <w:p w:rsidR="006E38DE" w:rsidRPr="00605AD4" w:rsidRDefault="006E38DE" w:rsidP="006E38DE">
      <w:pPr>
        <w:pStyle w:val="Heading3"/>
        <w:rPr>
          <w:rFonts w:eastAsia="Cambria"/>
        </w:rPr>
      </w:pPr>
      <w:bookmarkStart w:id="113" w:name="_Toc394316813"/>
      <w:r>
        <w:rPr>
          <w:rFonts w:eastAsia="Cambria"/>
        </w:rPr>
        <w:t>Second</w:t>
      </w:r>
      <w:r w:rsidRPr="00605AD4">
        <w:rPr>
          <w:rFonts w:eastAsia="Cambria"/>
        </w:rPr>
        <w:t xml:space="preserve"> </w:t>
      </w:r>
      <w:r w:rsidR="00AE4B44">
        <w:rPr>
          <w:rFonts w:eastAsia="Cambria"/>
        </w:rPr>
        <w:t>r</w:t>
      </w:r>
      <w:r w:rsidRPr="00605AD4">
        <w:rPr>
          <w:rFonts w:eastAsia="Cambria"/>
        </w:rPr>
        <w:t xml:space="preserve">ound </w:t>
      </w:r>
      <w:r w:rsidR="00AE4B44">
        <w:rPr>
          <w:rFonts w:eastAsia="Cambria"/>
        </w:rPr>
        <w:t>r</w:t>
      </w:r>
      <w:r w:rsidRPr="00605AD4">
        <w:rPr>
          <w:rFonts w:eastAsia="Cambria"/>
        </w:rPr>
        <w:t xml:space="preserve">ecommendation </w:t>
      </w:r>
      <w:r w:rsidR="00AE4B44">
        <w:rPr>
          <w:rFonts w:eastAsia="Cambria"/>
        </w:rPr>
        <w:t>r</w:t>
      </w:r>
      <w:r w:rsidRPr="00605AD4">
        <w:rPr>
          <w:rFonts w:eastAsia="Cambria"/>
        </w:rPr>
        <w:t xml:space="preserve">egarding </w:t>
      </w:r>
      <w:r w:rsidR="00AE4B44">
        <w:rPr>
          <w:rFonts w:eastAsia="Cambria"/>
        </w:rPr>
        <w:t>a</w:t>
      </w:r>
      <w:r w:rsidRPr="00605AD4">
        <w:rPr>
          <w:rFonts w:eastAsia="Cambria"/>
        </w:rPr>
        <w:t>uthorisation</w:t>
      </w:r>
      <w:bookmarkEnd w:id="113"/>
    </w:p>
    <w:p w:rsidR="00D76741" w:rsidRPr="005B4939" w:rsidRDefault="00D76741" w:rsidP="005B4939">
      <w:r w:rsidRPr="005B4939">
        <w:t>Based on the clinical data submitted, it is recommended that the application be approved.</w:t>
      </w:r>
    </w:p>
    <w:p w:rsidR="008E7846" w:rsidRPr="00E41208" w:rsidRDefault="008E7846" w:rsidP="00546154">
      <w:pPr>
        <w:pStyle w:val="Heading2"/>
      </w:pPr>
      <w:bookmarkStart w:id="114" w:name="_Toc394316814"/>
      <w:r w:rsidRPr="00E41208">
        <w:lastRenderedPageBreak/>
        <w:t xml:space="preserve">V. </w:t>
      </w:r>
      <w:proofErr w:type="spellStart"/>
      <w:r w:rsidRPr="00E41208">
        <w:t>Pharmacovigilance</w:t>
      </w:r>
      <w:proofErr w:type="spellEnd"/>
      <w:r w:rsidRPr="00E41208">
        <w:t xml:space="preserve"> </w:t>
      </w:r>
      <w:r>
        <w:t>f</w:t>
      </w:r>
      <w:r w:rsidRPr="00E41208">
        <w:t>indings</w:t>
      </w:r>
      <w:bookmarkEnd w:id="91"/>
      <w:bookmarkEnd w:id="92"/>
      <w:bookmarkEnd w:id="114"/>
    </w:p>
    <w:p w:rsidR="008E7846" w:rsidRDefault="000E55BF" w:rsidP="008E7846">
      <w:pPr>
        <w:pStyle w:val="Heading3"/>
        <w:rPr>
          <w:lang w:eastAsia="en-AU"/>
        </w:rPr>
      </w:pPr>
      <w:bookmarkStart w:id="115" w:name="_Toc247691526"/>
      <w:bookmarkStart w:id="116" w:name="_Toc314842509"/>
      <w:bookmarkStart w:id="117" w:name="_Toc394316815"/>
      <w:r>
        <w:rPr>
          <w:lang w:eastAsia="en-AU"/>
        </w:rPr>
        <w:t xml:space="preserve">Risk </w:t>
      </w:r>
      <w:r w:rsidR="00C97E6B">
        <w:rPr>
          <w:lang w:eastAsia="en-AU"/>
        </w:rPr>
        <w:t>m</w:t>
      </w:r>
      <w:r w:rsidR="008E7846">
        <w:rPr>
          <w:lang w:eastAsia="en-AU"/>
        </w:rPr>
        <w:t xml:space="preserve">anagement </w:t>
      </w:r>
      <w:r w:rsidR="00C97E6B">
        <w:rPr>
          <w:lang w:eastAsia="en-AU"/>
        </w:rPr>
        <w:t>p</w:t>
      </w:r>
      <w:r w:rsidR="008E7846">
        <w:rPr>
          <w:lang w:eastAsia="en-AU"/>
        </w:rPr>
        <w:t>lan</w:t>
      </w:r>
      <w:bookmarkEnd w:id="115"/>
      <w:bookmarkEnd w:id="116"/>
      <w:bookmarkEnd w:id="117"/>
    </w:p>
    <w:p w:rsidR="002A7F72" w:rsidRDefault="002A7F72" w:rsidP="002A7F72">
      <w:pPr>
        <w:pStyle w:val="Heading4"/>
        <w:rPr>
          <w:lang w:eastAsia="en-AU"/>
        </w:rPr>
      </w:pPr>
      <w:r>
        <w:rPr>
          <w:lang w:eastAsia="en-AU"/>
        </w:rPr>
        <w:t>Contents of the submission</w:t>
      </w:r>
    </w:p>
    <w:p w:rsidR="00A076EC" w:rsidRDefault="00654E6A" w:rsidP="00654E6A">
      <w:r w:rsidRPr="00654E6A">
        <w:t xml:space="preserve">The sponsor submitted a Risk Management Plan </w:t>
      </w:r>
      <w:r w:rsidR="00C82086">
        <w:t xml:space="preserve">(RMP) </w:t>
      </w:r>
      <w:r w:rsidR="00A076EC">
        <w:t xml:space="preserve">for </w:t>
      </w:r>
      <w:proofErr w:type="spellStart"/>
      <w:r w:rsidR="00A076EC">
        <w:t>Xofigo</w:t>
      </w:r>
      <w:proofErr w:type="spellEnd"/>
      <w:r w:rsidR="00A076EC">
        <w:t>:</w:t>
      </w:r>
    </w:p>
    <w:p w:rsidR="00A076EC" w:rsidRDefault="00654E6A" w:rsidP="00A076EC">
      <w:pPr>
        <w:pStyle w:val="ListBullet"/>
      </w:pPr>
      <w:r w:rsidRPr="00654E6A">
        <w:t xml:space="preserve">EU-RMP version 1.0 dated 12 November 2012 (data lock point 12 November 2012) + Australian Specific Annex </w:t>
      </w:r>
      <w:r w:rsidR="00754E29">
        <w:t xml:space="preserve">(ASA) </w:t>
      </w:r>
      <w:r w:rsidRPr="00654E6A">
        <w:t>version 1 dated 12 April 2013</w:t>
      </w:r>
      <w:r w:rsidR="00A076EC">
        <w:t>;</w:t>
      </w:r>
    </w:p>
    <w:p w:rsidR="00654E6A" w:rsidRPr="00654E6A" w:rsidRDefault="00654E6A" w:rsidP="00654E6A">
      <w:pPr>
        <w:pStyle w:val="ListBullet"/>
      </w:pPr>
      <w:r w:rsidRPr="00654E6A">
        <w:t>EU-RMP version 1.3 dated 12 August 2013 (data lock point 12 November 2012) + Australian Specific Annex version 1.1 dated November 2013</w:t>
      </w:r>
      <w:r w:rsidR="00C97E6B">
        <w:t xml:space="preserve"> </w:t>
      </w:r>
      <w:r w:rsidRPr="00654E6A">
        <w:t>which was reviewed by the TGA’s Office of Product Review (OPR).</w:t>
      </w:r>
    </w:p>
    <w:p w:rsidR="008E7846" w:rsidRDefault="002A7F72" w:rsidP="008E7846">
      <w:pPr>
        <w:pStyle w:val="Heading4"/>
        <w:rPr>
          <w:lang w:eastAsia="en-AU"/>
        </w:rPr>
      </w:pPr>
      <w:r>
        <w:rPr>
          <w:lang w:eastAsia="en-AU"/>
        </w:rPr>
        <w:t>Ongoing safety concerns</w:t>
      </w:r>
    </w:p>
    <w:p w:rsidR="006525E8" w:rsidRDefault="006525E8" w:rsidP="006525E8">
      <w:pPr>
        <w:rPr>
          <w:lang w:eastAsia="en-AU"/>
        </w:rPr>
      </w:pPr>
      <w:r>
        <w:rPr>
          <w:lang w:eastAsia="en-AU"/>
        </w:rPr>
        <w:t xml:space="preserve">The sponsor provided a summary of ongoing safety concerns </w:t>
      </w:r>
      <w:r w:rsidR="004E0EA1">
        <w:rPr>
          <w:lang w:eastAsia="en-AU"/>
        </w:rPr>
        <w:t xml:space="preserve">in the </w:t>
      </w:r>
      <w:r w:rsidR="004E0EA1" w:rsidRPr="00654E6A">
        <w:t xml:space="preserve">Australian Specific Annex </w:t>
      </w:r>
      <w:r w:rsidR="004E0EA1">
        <w:t xml:space="preserve">(ASA) </w:t>
      </w:r>
      <w:r w:rsidR="004E0EA1" w:rsidRPr="00654E6A">
        <w:t xml:space="preserve">version 1 </w:t>
      </w:r>
      <w:r>
        <w:rPr>
          <w:lang w:eastAsia="en-AU"/>
        </w:rPr>
        <w:t xml:space="preserve">which are shown at Table </w:t>
      </w:r>
      <w:r w:rsidR="00C804B2">
        <w:rPr>
          <w:lang w:eastAsia="en-AU"/>
        </w:rPr>
        <w:t>7</w:t>
      </w:r>
      <w:r>
        <w:rPr>
          <w:lang w:eastAsia="en-AU"/>
        </w:rPr>
        <w:t>.</w:t>
      </w:r>
    </w:p>
    <w:p w:rsidR="007906CB" w:rsidRDefault="007906CB" w:rsidP="007906CB">
      <w:pPr>
        <w:pStyle w:val="TableTitle"/>
      </w:pPr>
      <w:proofErr w:type="gramStart"/>
      <w:r>
        <w:t xml:space="preserve">Table </w:t>
      </w:r>
      <w:r w:rsidR="00C804B2">
        <w:t>7</w:t>
      </w:r>
      <w:r>
        <w:t>:</w:t>
      </w:r>
      <w:r w:rsidRPr="004C5C28">
        <w:t xml:space="preserve"> </w:t>
      </w:r>
      <w:r w:rsidR="00975A39">
        <w:t xml:space="preserve">Ongoing safety concerns for </w:t>
      </w:r>
      <w:proofErr w:type="spellStart"/>
      <w:r w:rsidR="00D75C65">
        <w:t>Xofigo</w:t>
      </w:r>
      <w:proofErr w:type="spellEnd"/>
      <w:r>
        <w:t>.</w:t>
      </w:r>
      <w:proofErr w:type="gramEnd"/>
    </w:p>
    <w:p w:rsidR="007906CB" w:rsidRDefault="003201C5" w:rsidP="00C97E6B">
      <w:pPr>
        <w:rPr>
          <w:lang w:eastAsia="en-AU"/>
        </w:rPr>
      </w:pPr>
      <w:r>
        <w:rPr>
          <w:noProof/>
          <w:lang w:eastAsia="en-AU"/>
        </w:rPr>
        <w:drawing>
          <wp:inline distT="0" distB="0" distL="0" distR="0">
            <wp:extent cx="4692650" cy="1544320"/>
            <wp:effectExtent l="0" t="0" r="0" b="0"/>
            <wp:docPr id="10" name="Picture 10" descr="Table 7: Ongoing safety concerns for Xof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Ongoing safety concerns for Xofi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2650" cy="1544320"/>
                    </a:xfrm>
                    <a:prstGeom prst="rect">
                      <a:avLst/>
                    </a:prstGeom>
                    <a:noFill/>
                    <a:ln>
                      <a:noFill/>
                    </a:ln>
                  </pic:spPr>
                </pic:pic>
              </a:graphicData>
            </a:graphic>
          </wp:inline>
        </w:drawing>
      </w:r>
    </w:p>
    <w:p w:rsidR="001A5669" w:rsidRDefault="001A5669" w:rsidP="001A5669">
      <w:pPr>
        <w:pStyle w:val="Heading4"/>
        <w:rPr>
          <w:lang w:eastAsia="en-AU"/>
        </w:rPr>
      </w:pPr>
      <w:r w:rsidRPr="006F25B8">
        <w:rPr>
          <w:lang w:eastAsia="en-AU"/>
        </w:rPr>
        <w:t xml:space="preserve">Reconciliation of issues outlined in the RMP report </w:t>
      </w:r>
    </w:p>
    <w:p w:rsidR="001606E0" w:rsidRDefault="001606E0" w:rsidP="001A5669">
      <w:pPr>
        <w:pStyle w:val="ListBullet"/>
        <w:numPr>
          <w:ilvl w:val="0"/>
          <w:numId w:val="0"/>
        </w:numPr>
      </w:pPr>
      <w:r w:rsidRPr="001606E0">
        <w:t xml:space="preserve">Matters raised </w:t>
      </w:r>
      <w:r>
        <w:t>in the RMP</w:t>
      </w:r>
      <w:r w:rsidRPr="001606E0">
        <w:t xml:space="preserve"> were resolved to the satisfaction of the OPR prior to a final decision on this application.</w:t>
      </w:r>
    </w:p>
    <w:p w:rsidR="008E7846" w:rsidRPr="00792A32" w:rsidRDefault="008E7846" w:rsidP="008E7846">
      <w:pPr>
        <w:pStyle w:val="Heading2"/>
      </w:pPr>
      <w:bookmarkStart w:id="118" w:name="_Toc247691527"/>
      <w:bookmarkStart w:id="119" w:name="_Toc314842510"/>
      <w:bookmarkStart w:id="120" w:name="_Toc39431681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3"/>
      <w:bookmarkEnd w:id="118"/>
      <w:bookmarkEnd w:id="119"/>
      <w:bookmarkEnd w:id="120"/>
    </w:p>
    <w:p w:rsidR="008E7846" w:rsidRDefault="008E7846" w:rsidP="008E7846">
      <w:bookmarkStart w:id="12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22" w:name="_Toc314842511"/>
      <w:bookmarkStart w:id="123" w:name="_Toc394316817"/>
      <w:r>
        <w:t>Quality</w:t>
      </w:r>
      <w:bookmarkEnd w:id="121"/>
      <w:bookmarkEnd w:id="122"/>
      <w:bookmarkEnd w:id="123"/>
    </w:p>
    <w:p w:rsidR="00055E45" w:rsidRPr="00055E45" w:rsidRDefault="00055E45" w:rsidP="00055E45">
      <w:r w:rsidRPr="00055E45">
        <w:t xml:space="preserve">The application and the supporting data relating to the composition, development, manufacture, quality control and stability of the product have been assessed and checked for compliance, as applicable, with Australian legislation and requirements for new medicines and in accordance with </w:t>
      </w:r>
      <w:proofErr w:type="spellStart"/>
      <w:r w:rsidRPr="00055E45">
        <w:t>pharmacopoeial</w:t>
      </w:r>
      <w:proofErr w:type="spellEnd"/>
      <w:r w:rsidRPr="00055E45">
        <w:t xml:space="preserve"> standards and the technical guidelines adopted by the TGA.</w:t>
      </w:r>
      <w:bookmarkStart w:id="124" w:name="_Toc95624484"/>
      <w:bookmarkStart w:id="125" w:name="_Toc95630850"/>
      <w:bookmarkStart w:id="126" w:name="_Toc96307546"/>
      <w:bookmarkStart w:id="127" w:name="_Toc96334242"/>
      <w:r w:rsidRPr="00055E45">
        <w:t xml:space="preserve"> Sterility and endotoxin aspects of the submission have been evaluated and are considered acceptable. This submission has not been considered by the PSC.</w:t>
      </w:r>
    </w:p>
    <w:bookmarkEnd w:id="124"/>
    <w:bookmarkEnd w:id="125"/>
    <w:bookmarkEnd w:id="126"/>
    <w:bookmarkEnd w:id="127"/>
    <w:p w:rsidR="00055E45" w:rsidRPr="00055E45" w:rsidRDefault="00055E45" w:rsidP="00055E45">
      <w:r w:rsidRPr="00055E45">
        <w:t xml:space="preserve">The </w:t>
      </w:r>
      <w:r w:rsidR="00AD0262">
        <w:t>chemistry</w:t>
      </w:r>
      <w:r w:rsidRPr="00055E45">
        <w:t xml:space="preserve"> evaluator has no objection to the registration of the proposed </w:t>
      </w:r>
      <w:r w:rsidR="002E33A3" w:rsidRPr="001D76D7">
        <w:rPr>
          <w:vertAlign w:val="superscript"/>
        </w:rPr>
        <w:t>223</w:t>
      </w:r>
      <w:r w:rsidR="002E33A3">
        <w:t>RaCl</w:t>
      </w:r>
      <w:r w:rsidR="002E33A3" w:rsidRPr="001D76D7">
        <w:rPr>
          <w:vertAlign w:val="subscript"/>
        </w:rPr>
        <w:t>2</w:t>
      </w:r>
      <w:r w:rsidR="002E33A3" w:rsidRPr="00F76141">
        <w:t xml:space="preserve"> </w:t>
      </w:r>
      <w:proofErr w:type="spellStart"/>
      <w:r w:rsidRPr="00055E45">
        <w:t>X</w:t>
      </w:r>
      <w:r w:rsidR="002E33A3">
        <w:t>ofigo</w:t>
      </w:r>
      <w:proofErr w:type="spellEnd"/>
      <w:r w:rsidRPr="00055E45">
        <w:t xml:space="preserve"> 6.0 </w:t>
      </w:r>
      <w:proofErr w:type="spellStart"/>
      <w:r w:rsidRPr="00055E45">
        <w:t>MBq</w:t>
      </w:r>
      <w:proofErr w:type="spellEnd"/>
      <w:r w:rsidRPr="00055E45">
        <w:t xml:space="preserve"> per 6</w:t>
      </w:r>
      <w:r w:rsidR="00CE6011">
        <w:t xml:space="preserve"> </w:t>
      </w:r>
      <w:r w:rsidRPr="00055E45">
        <w:t>mL solution for injection in vials, with respect to chemistry and quality control aspects.</w:t>
      </w:r>
    </w:p>
    <w:p w:rsidR="008E7846" w:rsidRDefault="008E7846" w:rsidP="008E7846">
      <w:pPr>
        <w:pStyle w:val="Heading3"/>
      </w:pPr>
      <w:bookmarkStart w:id="128" w:name="_Toc314842512"/>
      <w:bookmarkStart w:id="129" w:name="_Toc394316818"/>
      <w:r>
        <w:lastRenderedPageBreak/>
        <w:t>Nonclinical</w:t>
      </w:r>
      <w:bookmarkEnd w:id="128"/>
      <w:bookmarkEnd w:id="129"/>
    </w:p>
    <w:p w:rsidR="00721D4F" w:rsidRPr="00721D4F" w:rsidRDefault="00721D4F" w:rsidP="00721D4F">
      <w:pPr>
        <w:pStyle w:val="ListBullet"/>
      </w:pPr>
      <w:r w:rsidRPr="00721D4F">
        <w:t>The evaluator did n</w:t>
      </w:r>
      <w:r w:rsidR="00C97E6B">
        <w:t>ot identify major deficiencies.</w:t>
      </w:r>
    </w:p>
    <w:p w:rsidR="00721D4F" w:rsidRPr="00721D4F" w:rsidRDefault="00A25EE5" w:rsidP="00721D4F">
      <w:pPr>
        <w:pStyle w:val="ListBullet"/>
      </w:pPr>
      <w:r w:rsidRPr="00721D4F">
        <w:t xml:space="preserve">Submitted data, in the form of published articles and in-house data satisfactorily demonstrated an ability of </w:t>
      </w:r>
      <w:r w:rsidRPr="001D76D7">
        <w:rPr>
          <w:vertAlign w:val="superscript"/>
        </w:rPr>
        <w:t>223</w:t>
      </w:r>
      <w:r>
        <w:t>RaCl</w:t>
      </w:r>
      <w:r w:rsidRPr="001D76D7">
        <w:rPr>
          <w:vertAlign w:val="subscript"/>
        </w:rPr>
        <w:t>2</w:t>
      </w:r>
      <w:r w:rsidRPr="00F76141">
        <w:t xml:space="preserve"> </w:t>
      </w:r>
      <w:r w:rsidRPr="00721D4F">
        <w:t xml:space="preserve">to (a) accumulate in bone tissue (b) cause double stranded DNA breaks and cell cycle arrest in at least two cancer cell lines and (c) inhibit differentiation of osteoclast and activity of osteoblast </w:t>
      </w:r>
      <w:r w:rsidRPr="00D76BF7">
        <w:rPr>
          <w:i/>
        </w:rPr>
        <w:t>in vitro</w:t>
      </w:r>
      <w:r w:rsidRPr="00721D4F">
        <w:t xml:space="preserve">. In an </w:t>
      </w:r>
      <w:r w:rsidRPr="00D76BF7">
        <w:rPr>
          <w:i/>
        </w:rPr>
        <w:t>in vivo</w:t>
      </w:r>
      <w:r w:rsidRPr="00721D4F">
        <w:t xml:space="preserve"> mouse model, prolonged survival</w:t>
      </w:r>
      <w:r>
        <w:t xml:space="preserve"> and</w:t>
      </w:r>
      <w:r w:rsidRPr="00721D4F">
        <w:t xml:space="preserve"> reduced </w:t>
      </w:r>
      <w:proofErr w:type="spellStart"/>
      <w:r w:rsidRPr="00721D4F">
        <w:t>osteolytic</w:t>
      </w:r>
      <w:proofErr w:type="spellEnd"/>
      <w:r w:rsidRPr="00721D4F">
        <w:t xml:space="preserve"> area was also noted</w:t>
      </w:r>
      <w:r w:rsidR="00721D4F" w:rsidRPr="00721D4F">
        <w:t>.</w:t>
      </w:r>
    </w:p>
    <w:p w:rsidR="00721D4F" w:rsidRPr="00721D4F" w:rsidRDefault="00721D4F" w:rsidP="00721D4F">
      <w:pPr>
        <w:pStyle w:val="ListBullet"/>
      </w:pPr>
      <w:r w:rsidRPr="00721D4F">
        <w:t xml:space="preserve">Respiratory, cardiac and CNS functions were not adversely affected by a single dose of </w:t>
      </w:r>
      <w:r w:rsidR="00D76BF7" w:rsidRPr="001D76D7">
        <w:rPr>
          <w:vertAlign w:val="superscript"/>
        </w:rPr>
        <w:t>223</w:t>
      </w:r>
      <w:r w:rsidR="00D76BF7">
        <w:t>RaCl</w:t>
      </w:r>
      <w:r w:rsidR="00D76BF7" w:rsidRPr="001D76D7">
        <w:rPr>
          <w:vertAlign w:val="subscript"/>
        </w:rPr>
        <w:t>2</w:t>
      </w:r>
      <w:r w:rsidR="00D76BF7">
        <w:rPr>
          <w:vertAlign w:val="subscript"/>
        </w:rPr>
        <w:t xml:space="preserve"> </w:t>
      </w:r>
      <w:r w:rsidRPr="00721D4F">
        <w:t xml:space="preserve">in rats and dogs (1000 </w:t>
      </w:r>
      <w:proofErr w:type="spellStart"/>
      <w:r w:rsidRPr="00721D4F">
        <w:t>Bq</w:t>
      </w:r>
      <w:proofErr w:type="spellEnd"/>
      <w:r w:rsidRPr="00721D4F">
        <w:t xml:space="preserve">/kg in rats and 450 </w:t>
      </w:r>
      <w:proofErr w:type="spellStart"/>
      <w:r w:rsidRPr="00721D4F">
        <w:t>Bq</w:t>
      </w:r>
      <w:proofErr w:type="spellEnd"/>
      <w:r w:rsidRPr="00721D4F">
        <w:t>/kg in dogs).</w:t>
      </w:r>
    </w:p>
    <w:p w:rsidR="00721D4F" w:rsidRPr="00721D4F" w:rsidRDefault="00D76BF7" w:rsidP="00721D4F">
      <w:pPr>
        <w:pStyle w:val="ListBullet"/>
      </w:pPr>
      <w:r w:rsidRPr="001D76D7">
        <w:rPr>
          <w:vertAlign w:val="superscript"/>
        </w:rPr>
        <w:t>223</w:t>
      </w:r>
      <w:r>
        <w:t>RaCl</w:t>
      </w:r>
      <w:r w:rsidRPr="001D76D7">
        <w:rPr>
          <w:vertAlign w:val="subscript"/>
        </w:rPr>
        <w:t>2</w:t>
      </w:r>
      <w:r>
        <w:rPr>
          <w:vertAlign w:val="subscript"/>
        </w:rPr>
        <w:t xml:space="preserve"> </w:t>
      </w:r>
      <w:r w:rsidR="00721D4F" w:rsidRPr="00721D4F">
        <w:t xml:space="preserve">demonstrated rapid clearance from the blood with only long term significant accumulation (up to 56 days) detected in bone tissue. Compared to single treatment, co-administration of </w:t>
      </w:r>
      <w:r w:rsidR="00456803" w:rsidRPr="001D76D7">
        <w:rPr>
          <w:vertAlign w:val="superscript"/>
        </w:rPr>
        <w:t>223</w:t>
      </w:r>
      <w:r w:rsidR="00456803">
        <w:t>RaCl</w:t>
      </w:r>
      <w:r w:rsidR="00456803" w:rsidRPr="001D76D7">
        <w:rPr>
          <w:vertAlign w:val="subscript"/>
        </w:rPr>
        <w:t>2</w:t>
      </w:r>
      <w:r w:rsidR="00456803">
        <w:rPr>
          <w:vertAlign w:val="subscript"/>
        </w:rPr>
        <w:t xml:space="preserve"> </w:t>
      </w:r>
      <w:r w:rsidR="00721D4F" w:rsidRPr="00721D4F">
        <w:t xml:space="preserve">with doxorubicin or </w:t>
      </w:r>
      <w:proofErr w:type="spellStart"/>
      <w:r w:rsidR="00721D4F" w:rsidRPr="00721D4F">
        <w:t>zoledronic</w:t>
      </w:r>
      <w:proofErr w:type="spellEnd"/>
      <w:r w:rsidR="00721D4F" w:rsidRPr="00721D4F">
        <w:t xml:space="preserve"> acid in breast cancer bone metastases in </w:t>
      </w:r>
      <w:proofErr w:type="spellStart"/>
      <w:r w:rsidR="00721D4F" w:rsidRPr="00721D4F">
        <w:t>athymic</w:t>
      </w:r>
      <w:proofErr w:type="spellEnd"/>
      <w:r w:rsidR="00721D4F" w:rsidRPr="00721D4F">
        <w:t xml:space="preserve"> nude mice appears to impart better outcomes, such as</w:t>
      </w:r>
      <w:r w:rsidR="001F505A">
        <w:t xml:space="preserve"> </w:t>
      </w:r>
      <w:r w:rsidR="00721D4F" w:rsidRPr="00721D4F">
        <w:t xml:space="preserve">delayed onset of weight loss, increased time to sacrifice, decreased </w:t>
      </w:r>
      <w:proofErr w:type="spellStart"/>
      <w:r w:rsidR="00721D4F" w:rsidRPr="00721D4F">
        <w:t>osteolytic</w:t>
      </w:r>
      <w:proofErr w:type="spellEnd"/>
      <w:r w:rsidR="00721D4F" w:rsidRPr="00721D4F">
        <w:t xml:space="preserve"> lesion areas and reduced TRACP 5b activity.</w:t>
      </w:r>
    </w:p>
    <w:p w:rsidR="00721D4F" w:rsidRPr="00721D4F" w:rsidRDefault="00721D4F" w:rsidP="00721D4F">
      <w:pPr>
        <w:pStyle w:val="ListBullet"/>
      </w:pPr>
      <w:r w:rsidRPr="00721D4F">
        <w:t xml:space="preserve">Repeat dose toxicity studies conducted in rats and dogs showed reduced body weights, food consumption, white blood cells, platelets and red blood cells. Concomitant increases in reticulocyte and </w:t>
      </w:r>
      <w:proofErr w:type="spellStart"/>
      <w:r w:rsidRPr="00721D4F">
        <w:t>extramedullary</w:t>
      </w:r>
      <w:proofErr w:type="spellEnd"/>
      <w:r w:rsidRPr="00721D4F">
        <w:t xml:space="preserve"> haematopoiesis (spleen) were also observed. </w:t>
      </w:r>
      <w:r w:rsidR="00E04F3E" w:rsidRPr="001D76D7">
        <w:rPr>
          <w:vertAlign w:val="superscript"/>
        </w:rPr>
        <w:t>223</w:t>
      </w:r>
      <w:r w:rsidR="00E04F3E">
        <w:t>RaCl</w:t>
      </w:r>
      <w:r w:rsidR="00E04F3E" w:rsidRPr="001D76D7">
        <w:rPr>
          <w:vertAlign w:val="subscript"/>
        </w:rPr>
        <w:t>2</w:t>
      </w:r>
      <w:r w:rsidR="00E04F3E">
        <w:rPr>
          <w:vertAlign w:val="subscript"/>
        </w:rPr>
        <w:t xml:space="preserve"> </w:t>
      </w:r>
      <w:r w:rsidRPr="00721D4F">
        <w:t>was targeted to the bone and detectable up to 56</w:t>
      </w:r>
      <w:r w:rsidR="00E04F3E">
        <w:t xml:space="preserve"> </w:t>
      </w:r>
      <w:r w:rsidRPr="00721D4F">
        <w:t>days post dose. Osteosarcomas (often with metastasis) were seen in rat studies from 6</w:t>
      </w:r>
      <w:r w:rsidR="00E04F3E">
        <w:t xml:space="preserve"> </w:t>
      </w:r>
      <w:r w:rsidRPr="00721D4F">
        <w:t>months post dose, and one incidence each of mammary carcinoma and lymphoma. Based on BSA (assumes 70</w:t>
      </w:r>
      <w:r w:rsidR="00E04F3E">
        <w:t xml:space="preserve"> </w:t>
      </w:r>
      <w:r w:rsidRPr="00721D4F">
        <w:t>kg individual 50</w:t>
      </w:r>
      <w:r w:rsidR="00E04F3E">
        <w:t xml:space="preserve"> </w:t>
      </w:r>
      <w:proofErr w:type="spellStart"/>
      <w:r w:rsidRPr="00721D4F">
        <w:t>kBq</w:t>
      </w:r>
      <w:proofErr w:type="spellEnd"/>
      <w:r w:rsidRPr="00721D4F">
        <w:t xml:space="preserve">/kg maximal single dose), the animal to human safety ratios were &lt;1. However, the toxicity effects observed are direct effects anticipated to be associated with the pharmacology of </w:t>
      </w:r>
      <w:r w:rsidR="00B31B72" w:rsidRPr="001D76D7">
        <w:rPr>
          <w:vertAlign w:val="superscript"/>
        </w:rPr>
        <w:t>223</w:t>
      </w:r>
      <w:r w:rsidR="00B31B72">
        <w:t>RaCl</w:t>
      </w:r>
      <w:r w:rsidR="00B31B72" w:rsidRPr="001D76D7">
        <w:rPr>
          <w:vertAlign w:val="subscript"/>
        </w:rPr>
        <w:t>2</w:t>
      </w:r>
      <w:r w:rsidRPr="00721D4F">
        <w:t>.</w:t>
      </w:r>
    </w:p>
    <w:p w:rsidR="00721D4F" w:rsidRPr="00721D4F" w:rsidRDefault="00721D4F" w:rsidP="00721D4F">
      <w:pPr>
        <w:pStyle w:val="ListBullet"/>
      </w:pPr>
      <w:r w:rsidRPr="00721D4F">
        <w:t xml:space="preserve">Retinal detachment was seen in dogs after a single injection of 150 or 450 </w:t>
      </w:r>
      <w:proofErr w:type="spellStart"/>
      <w:r w:rsidRPr="00721D4F">
        <w:t>kBq</w:t>
      </w:r>
      <w:proofErr w:type="spellEnd"/>
      <w:r w:rsidRPr="00721D4F">
        <w:t xml:space="preserve">/kg </w:t>
      </w:r>
      <w:r w:rsidR="00C61472">
        <w:t>body weight</w:t>
      </w:r>
      <w:r w:rsidRPr="00721D4F">
        <w:t xml:space="preserve"> (3 and 9x clinical dose), but not after repeat doses of 50 </w:t>
      </w:r>
      <w:proofErr w:type="spellStart"/>
      <w:r w:rsidRPr="00721D4F">
        <w:t>kBq</w:t>
      </w:r>
      <w:proofErr w:type="spellEnd"/>
      <w:r w:rsidRPr="00721D4F">
        <w:t xml:space="preserve">/kg </w:t>
      </w:r>
      <w:r w:rsidR="00C61472">
        <w:t>body weight</w:t>
      </w:r>
      <w:r w:rsidRPr="00721D4F">
        <w:t xml:space="preserve">, nor was it observed in rats. The literature reports high uptake of radium in the </w:t>
      </w:r>
      <w:proofErr w:type="spellStart"/>
      <w:r w:rsidRPr="00174DB6">
        <w:rPr>
          <w:i/>
        </w:rPr>
        <w:t>tapetum</w:t>
      </w:r>
      <w:proofErr w:type="spellEnd"/>
      <w:r w:rsidRPr="00174DB6">
        <w:rPr>
          <w:i/>
        </w:rPr>
        <w:t xml:space="preserve"> </w:t>
      </w:r>
      <w:proofErr w:type="spellStart"/>
      <w:r w:rsidRPr="00174DB6">
        <w:rPr>
          <w:i/>
        </w:rPr>
        <w:t>lucidum</w:t>
      </w:r>
      <w:proofErr w:type="spellEnd"/>
      <w:r w:rsidRPr="00721D4F">
        <w:t xml:space="preserve"> of the canine eye, a structure which humans do not possess.</w:t>
      </w:r>
    </w:p>
    <w:p w:rsidR="00721D4F" w:rsidRPr="00721D4F" w:rsidRDefault="00721D4F" w:rsidP="00721D4F">
      <w:pPr>
        <w:pStyle w:val="ListBullet"/>
      </w:pPr>
      <w:r w:rsidRPr="00721D4F">
        <w:t xml:space="preserve">No </w:t>
      </w:r>
      <w:proofErr w:type="spellStart"/>
      <w:r w:rsidRPr="00721D4F">
        <w:t>genotoxicity</w:t>
      </w:r>
      <w:proofErr w:type="spellEnd"/>
      <w:r w:rsidRPr="00721D4F">
        <w:t>, carcinogenicity or reproductive toxicity studies were performed due to mechanisms of actions of alpha particle radiation from the test article, which is acceptable.</w:t>
      </w:r>
    </w:p>
    <w:p w:rsidR="00721D4F" w:rsidRPr="00721D4F" w:rsidRDefault="00721D4F" w:rsidP="00721D4F">
      <w:pPr>
        <w:pStyle w:val="ListBullet"/>
      </w:pPr>
      <w:r w:rsidRPr="00721D4F">
        <w:t xml:space="preserve">While the safety exposure ratios are low, and a high level of toxicity was observed in rodent repeat dose studies (such as osteosarcomas), there are no nonclinical objections to registration on the grounds that (a) toxicity associated with repeat dosing in dogs was minimal (though with exposure margins &lt;1) and (b) the indicated human </w:t>
      </w:r>
      <w:r w:rsidR="00C97E6B">
        <w:t>population has advanced cancer.</w:t>
      </w:r>
    </w:p>
    <w:p w:rsidR="00721D4F" w:rsidRPr="00721D4F" w:rsidRDefault="00721D4F" w:rsidP="00721D4F">
      <w:pPr>
        <w:pStyle w:val="ListBullet"/>
      </w:pPr>
      <w:r w:rsidRPr="00721D4F">
        <w:t>The nonclinical evaluation does not cover the radiation protection aspects of the submission.</w:t>
      </w:r>
    </w:p>
    <w:p w:rsidR="008E7846" w:rsidRDefault="008E7846" w:rsidP="008E7846">
      <w:pPr>
        <w:pStyle w:val="Heading3"/>
      </w:pPr>
      <w:bookmarkStart w:id="130" w:name="_Toc247691530"/>
      <w:bookmarkStart w:id="131" w:name="_Toc314842513"/>
      <w:bookmarkStart w:id="132" w:name="_Toc394316819"/>
      <w:r>
        <w:t>Clinical</w:t>
      </w:r>
      <w:bookmarkEnd w:id="130"/>
      <w:bookmarkEnd w:id="131"/>
      <w:bookmarkEnd w:id="132"/>
    </w:p>
    <w:p w:rsidR="005D461D" w:rsidRPr="005D461D" w:rsidRDefault="005D461D" w:rsidP="005D461D">
      <w:bookmarkStart w:id="133" w:name="_Toc314842514"/>
      <w:r w:rsidRPr="005D461D">
        <w:t>The s</w:t>
      </w:r>
      <w:r w:rsidR="004A51F5">
        <w:t>ubmitted clinical data include one</w:t>
      </w:r>
      <w:r w:rsidRPr="005D461D">
        <w:t xml:space="preserve"> pivotal Phase </w:t>
      </w:r>
      <w:r w:rsidR="004A51F5">
        <w:t>III study (BCI-06), three</w:t>
      </w:r>
      <w:r w:rsidRPr="005D461D">
        <w:t xml:space="preserve"> Phase </w:t>
      </w:r>
      <w:r w:rsidR="004A51F5">
        <w:t>I</w:t>
      </w:r>
      <w:r w:rsidRPr="005D461D">
        <w:t xml:space="preserve"> studies (ATI</w:t>
      </w:r>
      <w:r w:rsidR="004A51F5">
        <w:t>-BCI, BCI-05, and BCI-08), and three</w:t>
      </w:r>
      <w:r w:rsidRPr="005D461D">
        <w:t xml:space="preserve"> Phase </w:t>
      </w:r>
      <w:r w:rsidR="004A51F5">
        <w:t>II</w:t>
      </w:r>
      <w:r w:rsidRPr="005D461D">
        <w:t xml:space="preserve"> (BCI 02, 03 and 04) studies.</w:t>
      </w:r>
    </w:p>
    <w:p w:rsidR="005D461D" w:rsidRPr="005D461D" w:rsidRDefault="00F12475" w:rsidP="005D461D">
      <w:pPr>
        <w:pStyle w:val="Heading4"/>
      </w:pPr>
      <w:r>
        <w:t>Pharmacokinetics</w:t>
      </w:r>
    </w:p>
    <w:p w:rsidR="005D461D" w:rsidRPr="005D461D" w:rsidRDefault="005D461D" w:rsidP="005D461D">
      <w:r w:rsidRPr="005D461D">
        <w:t xml:space="preserve">The </w:t>
      </w:r>
      <w:r w:rsidR="00F12475">
        <w:t>pharmacokinetic data has been obtained from three Phase I</w:t>
      </w:r>
      <w:r w:rsidRPr="005D461D">
        <w:t xml:space="preserve"> studies in</w:t>
      </w:r>
      <w:r w:rsidR="00C97E6B">
        <w:t>cluding a total of 47 patients.</w:t>
      </w:r>
    </w:p>
    <w:p w:rsidR="005D461D" w:rsidRPr="005D461D" w:rsidRDefault="005D461D" w:rsidP="005D461D">
      <w:pPr>
        <w:pStyle w:val="ListBullet"/>
      </w:pPr>
      <w:r w:rsidRPr="005D461D">
        <w:lastRenderedPageBreak/>
        <w:t xml:space="preserve">Study ATI-BCI was an open label, multicentre, dose escalation study conducted in 31 patients with skeletal metastases from breast or prostate cancer and the study assessed the use of </w:t>
      </w:r>
      <w:r w:rsidR="00B4527A" w:rsidRPr="001D76D7">
        <w:rPr>
          <w:vertAlign w:val="superscript"/>
        </w:rPr>
        <w:t>223</w:t>
      </w:r>
      <w:r w:rsidR="00B4527A">
        <w:t>Ra</w:t>
      </w:r>
      <w:r w:rsidR="00B4527A" w:rsidRPr="005D461D">
        <w:t xml:space="preserve"> </w:t>
      </w:r>
      <w:r w:rsidRPr="005D461D">
        <w:t xml:space="preserve">in single doses from 46 to 250 </w:t>
      </w:r>
      <w:proofErr w:type="spellStart"/>
      <w:r w:rsidRPr="005D461D">
        <w:t>kBq</w:t>
      </w:r>
      <w:proofErr w:type="spellEnd"/>
      <w:r w:rsidRPr="005D461D">
        <w:t xml:space="preserve">/kg </w:t>
      </w:r>
      <w:r w:rsidR="00C61472">
        <w:t>body weight</w:t>
      </w:r>
      <w:r w:rsidR="00C97E6B">
        <w:t>.</w:t>
      </w:r>
    </w:p>
    <w:p w:rsidR="005D461D" w:rsidRPr="005D461D" w:rsidRDefault="005D461D" w:rsidP="005D461D">
      <w:pPr>
        <w:pStyle w:val="ListBullet"/>
      </w:pPr>
      <w:r w:rsidRPr="005D461D">
        <w:t xml:space="preserve">Study BCI-05 was an open label study in 6 </w:t>
      </w:r>
      <w:r w:rsidR="00C273AA">
        <w:t>CRPC</w:t>
      </w:r>
      <w:r w:rsidRPr="005D461D">
        <w:t xml:space="preserve"> patients to investigate the safety, </w:t>
      </w:r>
      <w:proofErr w:type="spellStart"/>
      <w:r w:rsidRPr="005D461D">
        <w:t>biodistribution</w:t>
      </w:r>
      <w:proofErr w:type="spellEnd"/>
      <w:r w:rsidRPr="005D461D">
        <w:t xml:space="preserve">, radiation </w:t>
      </w:r>
      <w:proofErr w:type="spellStart"/>
      <w:r w:rsidRPr="005D461D">
        <w:t>dosimetry</w:t>
      </w:r>
      <w:proofErr w:type="spellEnd"/>
      <w:r w:rsidRPr="005D461D">
        <w:t xml:space="preserve"> and PK of t</w:t>
      </w:r>
      <w:r w:rsidR="00346988">
        <w:t xml:space="preserve">wo separate IV injections of </w:t>
      </w:r>
      <w:r w:rsidR="00346988" w:rsidRPr="001D76D7">
        <w:rPr>
          <w:vertAlign w:val="superscript"/>
        </w:rPr>
        <w:t>223</w:t>
      </w:r>
      <w:r w:rsidR="00346988">
        <w:t>Ra</w:t>
      </w:r>
      <w:r w:rsidR="00105574">
        <w:t xml:space="preserve"> 100 </w:t>
      </w:r>
      <w:proofErr w:type="spellStart"/>
      <w:r w:rsidR="00105574">
        <w:t>kBq</w:t>
      </w:r>
      <w:proofErr w:type="spellEnd"/>
      <w:r w:rsidR="00105574">
        <w:t xml:space="preserve">/kg body </w:t>
      </w:r>
      <w:proofErr w:type="gramStart"/>
      <w:r w:rsidR="00105574">
        <w:t>weight</w:t>
      </w:r>
      <w:proofErr w:type="gramEnd"/>
      <w:r w:rsidR="00105574">
        <w:t xml:space="preserve"> </w:t>
      </w:r>
      <w:r w:rsidRPr="005D461D">
        <w:t>for each injection at 6 week intervals.</w:t>
      </w:r>
    </w:p>
    <w:p w:rsidR="005D461D" w:rsidRPr="005D461D" w:rsidRDefault="005D461D" w:rsidP="005D461D">
      <w:pPr>
        <w:pStyle w:val="ListBullet"/>
      </w:pPr>
      <w:r w:rsidRPr="005D461D">
        <w:t xml:space="preserve">Study BCI-08 was an open label, ascending dose study conducted in 10 CRPC patients with skeletal metastases to evaluate the safety, PK, distribution and radiation </w:t>
      </w:r>
      <w:proofErr w:type="spellStart"/>
      <w:r w:rsidRPr="005D461D">
        <w:t>dosimetry</w:t>
      </w:r>
      <w:proofErr w:type="spellEnd"/>
      <w:r w:rsidRPr="005D461D">
        <w:t xml:space="preserve"> of </w:t>
      </w:r>
      <w:r w:rsidR="00105574" w:rsidRPr="001D76D7">
        <w:rPr>
          <w:vertAlign w:val="superscript"/>
        </w:rPr>
        <w:t>223</w:t>
      </w:r>
      <w:r w:rsidR="00105574">
        <w:t>Ra</w:t>
      </w:r>
      <w:r w:rsidR="00105574" w:rsidRPr="005D461D">
        <w:t xml:space="preserve"> </w:t>
      </w:r>
      <w:r w:rsidRPr="005D461D">
        <w:t xml:space="preserve">at doses of 50, 100, and 200 </w:t>
      </w:r>
      <w:proofErr w:type="spellStart"/>
      <w:r w:rsidRPr="005D461D">
        <w:t>kBq</w:t>
      </w:r>
      <w:proofErr w:type="spellEnd"/>
      <w:r w:rsidRPr="005D461D">
        <w:t xml:space="preserve">/kg </w:t>
      </w:r>
      <w:r w:rsidR="00C61472">
        <w:t>body weight</w:t>
      </w:r>
      <w:r w:rsidRPr="005D461D">
        <w:t>.</w:t>
      </w:r>
    </w:p>
    <w:p w:rsidR="005D461D" w:rsidRPr="005D461D" w:rsidRDefault="005D461D" w:rsidP="005D461D">
      <w:r w:rsidRPr="005D461D">
        <w:t>At 15 minutes post injection, about 20% of the injected activity r</w:t>
      </w:r>
      <w:r w:rsidR="007A59E8">
        <w:t>emained in the blood. At 4 h</w:t>
      </w:r>
      <w:r w:rsidRPr="005D461D">
        <w:t>, about 4% of the injected activity remained in the blood, decrea</w:t>
      </w:r>
      <w:r w:rsidR="007A59E8">
        <w:t>sing to less than 1% at 24 h</w:t>
      </w:r>
      <w:r w:rsidRPr="005D461D">
        <w:t xml:space="preserve"> after the injection. The volume of distribution was higher than the blood volume indicating distribution to peripheral compartments.</w:t>
      </w:r>
    </w:p>
    <w:p w:rsidR="005D461D" w:rsidRPr="005D461D" w:rsidRDefault="007A59E8" w:rsidP="005D461D">
      <w:r w:rsidRPr="001D76D7">
        <w:rPr>
          <w:vertAlign w:val="superscript"/>
        </w:rPr>
        <w:t>223</w:t>
      </w:r>
      <w:r>
        <w:t>Ra</w:t>
      </w:r>
      <w:r w:rsidRPr="005D461D">
        <w:t xml:space="preserve"> </w:t>
      </w:r>
      <w:r w:rsidR="005D461D" w:rsidRPr="005D461D">
        <w:t>is incorporated primarily into bone or is excreted into the intestine. In Study BCI-05</w:t>
      </w:r>
      <w:r w:rsidR="003F2ADD">
        <w:t>,</w:t>
      </w:r>
      <w:r w:rsidR="005D461D" w:rsidRPr="005D461D">
        <w:t xml:space="preserve"> the level of activity in bone was determined to be in the range 44% to 77% of the administered activity at 4 h post injection. In Study BCI-08</w:t>
      </w:r>
      <w:r w:rsidR="003F2ADD">
        <w:t>,</w:t>
      </w:r>
      <w:r w:rsidR="005D461D" w:rsidRPr="005D461D">
        <w:t xml:space="preserve"> activity in the intestine was observed 10 minutes post injection. No significant uptake was seen in other organs such as heart, liver, kidneys, urinar</w:t>
      </w:r>
      <w:r w:rsidR="003F2ADD">
        <w:t>y bladder, and spleen at 4 h</w:t>
      </w:r>
      <w:r w:rsidR="005D461D" w:rsidRPr="005D461D">
        <w:t xml:space="preserve"> post injection (Study BCI-05).</w:t>
      </w:r>
    </w:p>
    <w:p w:rsidR="005D461D" w:rsidRPr="005D461D" w:rsidRDefault="005D461D" w:rsidP="005D461D">
      <w:r w:rsidRPr="005D461D">
        <w:t>Faecal excretion is the major route of elimination from the body. There was high variability in gut transit rates across the population with one daily to up to once weekly bowel evacuation. In Study BCI-05 faecal excretion was determined by direct measurement of radioactivity in the faecal</w:t>
      </w:r>
      <w:r w:rsidR="00A82C43">
        <w:t xml:space="preserve"> samples collected over 48 h</w:t>
      </w:r>
      <w:r w:rsidRPr="005D461D">
        <w:t>. In this study faecal excretion post injection at 24</w:t>
      </w:r>
      <w:r w:rsidR="00003077">
        <w:t xml:space="preserve"> h</w:t>
      </w:r>
      <w:r w:rsidRPr="005D461D">
        <w:t xml:space="preserve"> was 2%</w:t>
      </w:r>
      <w:r w:rsidR="00A82C43">
        <w:t xml:space="preserve"> (range 1-13%) and at ~48 h</w:t>
      </w:r>
      <w:r w:rsidRPr="005D461D">
        <w:t xml:space="preserve"> cumulative faecal excretion was 13% (range &lt;1% to 34%). Imaging data from Studies BCI-05 and BCI-08 allowed for an estimate of the amount of radioactivity in the different region</w:t>
      </w:r>
      <w:r w:rsidR="00A82C43">
        <w:t>s of the GI tract</w:t>
      </w:r>
      <w:r w:rsidRPr="005D461D">
        <w:t xml:space="preserve">. Once </w:t>
      </w:r>
      <w:r w:rsidR="00C73658" w:rsidRPr="001D76D7">
        <w:rPr>
          <w:vertAlign w:val="superscript"/>
        </w:rPr>
        <w:t>223</w:t>
      </w:r>
      <w:r w:rsidR="00C73658">
        <w:t>Ra</w:t>
      </w:r>
      <w:r w:rsidR="00C73658" w:rsidRPr="005D461D">
        <w:t xml:space="preserve"> </w:t>
      </w:r>
      <w:r w:rsidR="00C73658">
        <w:t>is excreted into the GI tract</w:t>
      </w:r>
      <w:r w:rsidRPr="005D461D">
        <w:t xml:space="preserve">, it is excreted via the faecal route. Based on the % </w:t>
      </w:r>
      <w:r w:rsidR="00C73658">
        <w:t>of injected activity at 24 h in the GI tract</w:t>
      </w:r>
      <w:r w:rsidRPr="005D461D">
        <w:t xml:space="preserve">, it is estimated that at least about 50-60% of injected </w:t>
      </w:r>
      <w:r w:rsidR="00C73658" w:rsidRPr="001D76D7">
        <w:rPr>
          <w:vertAlign w:val="superscript"/>
        </w:rPr>
        <w:t>223</w:t>
      </w:r>
      <w:r w:rsidR="00C73658">
        <w:t>Ra</w:t>
      </w:r>
      <w:r w:rsidR="00C73658" w:rsidRPr="005D461D">
        <w:t xml:space="preserve"> </w:t>
      </w:r>
      <w:r w:rsidRPr="005D461D">
        <w:t>will be excreted via the faecal route.</w:t>
      </w:r>
    </w:p>
    <w:p w:rsidR="005D461D" w:rsidRPr="005D461D" w:rsidRDefault="005D461D" w:rsidP="005D461D">
      <w:r w:rsidRPr="005D461D">
        <w:t>Studies BCI-05 and BCI-08 also collected information on the amount of radioactivity excreted in urine. In Study BCI-05 urine samp</w:t>
      </w:r>
      <w:r w:rsidR="00F146D8">
        <w:t>les were collected over 48 h</w:t>
      </w:r>
      <w:r w:rsidRPr="005D461D">
        <w:t xml:space="preserve"> and measured for t</w:t>
      </w:r>
      <w:r w:rsidR="00B24213">
        <w:t>otal radioactivity. At ~48 h</w:t>
      </w:r>
      <w:r w:rsidRPr="005D461D">
        <w:t xml:space="preserve"> cumulative urine excretion was 2% (range &lt;1% to 5%) of injected radioactivity. In Study BCI-08</w:t>
      </w:r>
      <w:r w:rsidR="00B24213">
        <w:t>,</w:t>
      </w:r>
      <w:r w:rsidRPr="005D461D">
        <w:t xml:space="preserve"> the urine concentrations were measured indirectly by comparing the data from the whole body count before the first void and after the first void post injection. It is estimated that </w:t>
      </w:r>
      <w:r w:rsidR="00875B14">
        <w:t>~</w:t>
      </w:r>
      <w:r w:rsidRPr="005D461D">
        <w:t xml:space="preserve">5% </w:t>
      </w:r>
      <w:r w:rsidR="00B24213" w:rsidRPr="001D76D7">
        <w:rPr>
          <w:vertAlign w:val="superscript"/>
        </w:rPr>
        <w:t>223</w:t>
      </w:r>
      <w:r w:rsidR="00B24213">
        <w:t>Ra</w:t>
      </w:r>
      <w:r w:rsidR="00B24213" w:rsidRPr="005D461D">
        <w:t xml:space="preserve"> </w:t>
      </w:r>
      <w:r w:rsidRPr="005D461D">
        <w:t>was excreted through urine in th</w:t>
      </w:r>
      <w:r w:rsidR="00AA49AB">
        <w:t>e first void, a mean of 2.4 h</w:t>
      </w:r>
      <w:r w:rsidRPr="005D461D">
        <w:t xml:space="preserve"> after injection. Both studies concluded that urine excretion is a small component of the overall excretion of </w:t>
      </w:r>
      <w:r w:rsidR="00AA49AB" w:rsidRPr="001D76D7">
        <w:rPr>
          <w:vertAlign w:val="superscript"/>
        </w:rPr>
        <w:t>223</w:t>
      </w:r>
      <w:r w:rsidR="00AA49AB">
        <w:t>Ra</w:t>
      </w:r>
      <w:r w:rsidRPr="005D461D">
        <w:t>. Whole body measurements at 7 days after injection indicate</w:t>
      </w:r>
      <w:r w:rsidR="000D1DD0">
        <w:t>s</w:t>
      </w:r>
      <w:r w:rsidRPr="005D461D">
        <w:t xml:space="preserve"> that a median of 76% of administered activity was excreted from the body (Study BCI-08). The rate of elimin</w:t>
      </w:r>
      <w:r w:rsidR="00F146D8">
        <w:t xml:space="preserve">ation of </w:t>
      </w:r>
      <w:r w:rsidR="00F146D8" w:rsidRPr="001D76D7">
        <w:rPr>
          <w:vertAlign w:val="superscript"/>
        </w:rPr>
        <w:t>223</w:t>
      </w:r>
      <w:r w:rsidR="00F146D8">
        <w:t>Ra from the GI tract</w:t>
      </w:r>
      <w:r w:rsidRPr="005D461D">
        <w:t xml:space="preserve"> is influenced by the high variability of intestinal transit rates across the population, with one daily to once weekly bowel evacuation.</w:t>
      </w:r>
    </w:p>
    <w:p w:rsidR="005D461D" w:rsidRPr="005D461D" w:rsidRDefault="005D461D" w:rsidP="005D461D">
      <w:r w:rsidRPr="005D461D">
        <w:t>Results from S</w:t>
      </w:r>
      <w:r w:rsidR="00D303C0">
        <w:t xml:space="preserve">tudy ATI-BCI showed that the </w:t>
      </w:r>
      <w:r w:rsidR="000E13D0">
        <w:t>a</w:t>
      </w:r>
      <w:r w:rsidR="00D303C0" w:rsidRPr="00D303C0">
        <w:t>rea under the plasma concentration-time curve</w:t>
      </w:r>
      <w:r w:rsidR="00D303C0">
        <w:t xml:space="preserve"> (AUC)</w:t>
      </w:r>
      <w:r w:rsidRPr="005D461D">
        <w:t xml:space="preserve"> and </w:t>
      </w:r>
      <w:r w:rsidR="000E13D0">
        <w:t>maximum</w:t>
      </w:r>
      <w:r w:rsidR="000E13D0" w:rsidRPr="000E13D0">
        <w:t xml:space="preserve"> plasma drug concentration</w:t>
      </w:r>
      <w:r w:rsidR="000E13D0">
        <w:t xml:space="preserve"> (</w:t>
      </w:r>
      <w:proofErr w:type="spellStart"/>
      <w:r w:rsidRPr="005D461D">
        <w:t>Cmax</w:t>
      </w:r>
      <w:proofErr w:type="spellEnd"/>
      <w:r w:rsidR="000E13D0">
        <w:t>)</w:t>
      </w:r>
      <w:r w:rsidRPr="005D461D">
        <w:t xml:space="preserve"> values increased with increasing dos</w:t>
      </w:r>
      <w:r w:rsidR="00F32F30">
        <w:t>e and there were very similar pharmacokinetic</w:t>
      </w:r>
      <w:r w:rsidRPr="005D461D">
        <w:t xml:space="preserve"> characteristics for all 5 dose groups. The two higher doses indicated a slightly more than dose proportional increase but overall the rage of doses suggested a close to linear dose relationship.</w:t>
      </w:r>
    </w:p>
    <w:p w:rsidR="005D461D" w:rsidRPr="005D461D" w:rsidRDefault="005D461D" w:rsidP="005D461D">
      <w:r w:rsidRPr="005D461D">
        <w:t xml:space="preserve">No </w:t>
      </w:r>
      <w:r w:rsidR="0049239D">
        <w:t>pharmacokinetic</w:t>
      </w:r>
      <w:r w:rsidRPr="005D461D">
        <w:t xml:space="preserve"> studies were conducted in patients with hepatic impairment. It is not expected that hepatic impairment will affect the </w:t>
      </w:r>
      <w:r w:rsidR="0049239D">
        <w:t>pharmacokinetics</w:t>
      </w:r>
      <w:r w:rsidRPr="005D461D">
        <w:t xml:space="preserve"> of </w:t>
      </w:r>
      <w:r w:rsidR="00EB2696" w:rsidRPr="001D76D7">
        <w:rPr>
          <w:vertAlign w:val="superscript"/>
        </w:rPr>
        <w:t>223</w:t>
      </w:r>
      <w:r w:rsidR="00EB2696">
        <w:t>RaCl</w:t>
      </w:r>
      <w:r w:rsidR="00EB2696" w:rsidRPr="00EB2696">
        <w:rPr>
          <w:vertAlign w:val="subscript"/>
        </w:rPr>
        <w:t>2</w:t>
      </w:r>
      <w:r w:rsidRPr="005D461D">
        <w:t xml:space="preserve"> since </w:t>
      </w:r>
      <w:r w:rsidR="00EB2696" w:rsidRPr="001D76D7">
        <w:rPr>
          <w:vertAlign w:val="superscript"/>
        </w:rPr>
        <w:t>223</w:t>
      </w:r>
      <w:r w:rsidR="00EB2696">
        <w:t xml:space="preserve">Ra </w:t>
      </w:r>
      <w:r w:rsidRPr="005D461D">
        <w:t xml:space="preserve">is a divalent </w:t>
      </w:r>
      <w:proofErr w:type="spellStart"/>
      <w:r w:rsidRPr="005D461D">
        <w:t>cation</w:t>
      </w:r>
      <w:proofErr w:type="spellEnd"/>
      <w:r w:rsidRPr="005D461D">
        <w:t xml:space="preserve">, it is not metabolised and </w:t>
      </w:r>
      <w:r w:rsidR="00EB2696">
        <w:t xml:space="preserve">there is no evidence of hepatic </w:t>
      </w:r>
      <w:r w:rsidRPr="005D461D">
        <w:t xml:space="preserve">biliary excretion. No </w:t>
      </w:r>
      <w:r w:rsidR="0049239D">
        <w:t>pharmacokinetic</w:t>
      </w:r>
      <w:r w:rsidRPr="005D461D">
        <w:t xml:space="preserve"> studies in patients with renal impairment. However, since excretion </w:t>
      </w:r>
      <w:r w:rsidRPr="005D461D">
        <w:lastRenderedPageBreak/>
        <w:t>in ur</w:t>
      </w:r>
      <w:r w:rsidR="0049239D">
        <w:t>ine is minimal (1-5% in 48 h</w:t>
      </w:r>
      <w:r w:rsidRPr="005D461D">
        <w:t xml:space="preserve">) and since the major route of elimination is via the faeces, it is not expected that renal impairment will affect the </w:t>
      </w:r>
      <w:r w:rsidR="00EB2696">
        <w:t>pharmacokinetics</w:t>
      </w:r>
      <w:r w:rsidRPr="005D461D">
        <w:t xml:space="preserve"> of </w:t>
      </w:r>
      <w:r w:rsidR="00EB2696" w:rsidRPr="001D76D7">
        <w:rPr>
          <w:vertAlign w:val="superscript"/>
        </w:rPr>
        <w:t>223</w:t>
      </w:r>
      <w:r w:rsidR="00EB2696">
        <w:t>RaCl</w:t>
      </w:r>
      <w:r w:rsidR="00EB2696" w:rsidRPr="00EB2696">
        <w:rPr>
          <w:vertAlign w:val="subscript"/>
        </w:rPr>
        <w:t>2</w:t>
      </w:r>
      <w:r w:rsidRPr="005D461D">
        <w:t>.</w:t>
      </w:r>
    </w:p>
    <w:p w:rsidR="005D461D" w:rsidRPr="0060493D" w:rsidRDefault="008F61BC" w:rsidP="005D461D">
      <w:pPr>
        <w:pStyle w:val="Heading4"/>
      </w:pPr>
      <w:r>
        <w:t>Pharmacodynamics</w:t>
      </w:r>
      <w:r w:rsidR="005D461D">
        <w:t xml:space="preserve"> and s</w:t>
      </w:r>
      <w:r w:rsidR="005D461D" w:rsidRPr="0060493D">
        <w:t>election of dose</w:t>
      </w:r>
      <w:r w:rsidR="005D461D">
        <w:t xml:space="preserve"> regimen</w:t>
      </w:r>
    </w:p>
    <w:p w:rsidR="005D461D" w:rsidRPr="005D461D" w:rsidRDefault="00FC04D8" w:rsidP="005D461D">
      <w:r>
        <w:t>Three</w:t>
      </w:r>
      <w:r w:rsidR="008F61BC">
        <w:t xml:space="preserve"> Phase II</w:t>
      </w:r>
      <w:r w:rsidR="005D461D" w:rsidRPr="005D461D">
        <w:t xml:space="preserve"> studies were submitted and these studies assessed the PD effect of </w:t>
      </w:r>
      <w:r w:rsidR="006A7BC0" w:rsidRPr="001D76D7">
        <w:rPr>
          <w:vertAlign w:val="superscript"/>
        </w:rPr>
        <w:t>223</w:t>
      </w:r>
      <w:r w:rsidR="006A7BC0">
        <w:t>RaCl</w:t>
      </w:r>
      <w:r w:rsidR="006A7BC0" w:rsidRPr="00EB2696">
        <w:rPr>
          <w:vertAlign w:val="subscript"/>
        </w:rPr>
        <w:t>2</w:t>
      </w:r>
      <w:r w:rsidR="005D461D" w:rsidRPr="005D461D">
        <w:t xml:space="preserve">. Selection of the final dose regimen for the Phase </w:t>
      </w:r>
      <w:r w:rsidR="006A7BC0">
        <w:t>III</w:t>
      </w:r>
      <w:r w:rsidR="005D461D" w:rsidRPr="005D461D">
        <w:t xml:space="preserve"> study was based on these Phase </w:t>
      </w:r>
      <w:r w:rsidR="006A7BC0">
        <w:t>I</w:t>
      </w:r>
      <w:r w:rsidR="005D461D" w:rsidRPr="005D461D">
        <w:t xml:space="preserve"> and </w:t>
      </w:r>
      <w:r w:rsidR="006A7BC0">
        <w:t>II</w:t>
      </w:r>
      <w:r w:rsidR="005D461D" w:rsidRPr="005D461D">
        <w:t xml:space="preserve"> studies. Phase </w:t>
      </w:r>
      <w:r w:rsidR="006A7BC0">
        <w:t>II</w:t>
      </w:r>
      <w:r w:rsidR="005D461D" w:rsidRPr="005D461D">
        <w:t xml:space="preserve"> studies are discussed further under </w:t>
      </w:r>
      <w:r w:rsidR="00317689">
        <w:t>‘</w:t>
      </w:r>
      <w:r w:rsidR="005D461D" w:rsidRPr="005D461D">
        <w:t>Efficacy</w:t>
      </w:r>
      <w:r w:rsidR="00317689">
        <w:t xml:space="preserve">’ section of this </w:t>
      </w:r>
      <w:r w:rsidR="00646079">
        <w:t>o</w:t>
      </w:r>
      <w:r w:rsidR="005D461D" w:rsidRPr="005D461D">
        <w:t>verview.</w:t>
      </w:r>
    </w:p>
    <w:p w:rsidR="005D461D" w:rsidRPr="005D461D" w:rsidRDefault="005D461D" w:rsidP="005D461D">
      <w:pPr>
        <w:pStyle w:val="ListBullet"/>
      </w:pPr>
      <w:r w:rsidRPr="005D461D">
        <w:t>Study BC1-02 was a placebo</w:t>
      </w:r>
      <w:r w:rsidR="008C5F95">
        <w:t xml:space="preserve"> </w:t>
      </w:r>
      <w:r w:rsidRPr="005D461D">
        <w:t>controlled, randomi</w:t>
      </w:r>
      <w:r w:rsidR="00D31E77">
        <w:t>s</w:t>
      </w:r>
      <w:r w:rsidRPr="005D461D">
        <w:t>ed, double</w:t>
      </w:r>
      <w:r w:rsidR="00D31E77">
        <w:t xml:space="preserve"> </w:t>
      </w:r>
      <w:r w:rsidRPr="005D461D">
        <w:t xml:space="preserve">blind trial and the study assessed the effect of </w:t>
      </w:r>
      <w:r w:rsidR="005828D3" w:rsidRPr="001D76D7">
        <w:rPr>
          <w:vertAlign w:val="superscript"/>
        </w:rPr>
        <w:t>223</w:t>
      </w:r>
      <w:r w:rsidR="005828D3">
        <w:t>RaCl</w:t>
      </w:r>
      <w:r w:rsidR="005828D3" w:rsidRPr="00EB2696">
        <w:rPr>
          <w:vertAlign w:val="subscript"/>
        </w:rPr>
        <w:t>2</w:t>
      </w:r>
      <w:r w:rsidR="005828D3" w:rsidRPr="005D461D">
        <w:t xml:space="preserve"> </w:t>
      </w:r>
      <w:r w:rsidRPr="005D461D">
        <w:t>as measured by time to occurrence of SRE and the change in bone</w:t>
      </w:r>
      <w:r w:rsidR="005828D3">
        <w:t xml:space="preserve"> </w:t>
      </w:r>
      <w:r w:rsidRPr="005D461D">
        <w:t>specific bone</w:t>
      </w:r>
      <w:r w:rsidR="00273569">
        <w:t xml:space="preserve"> </w:t>
      </w:r>
      <w:r w:rsidRPr="005D461D">
        <w:t xml:space="preserve">ALP levels. A total of 33 patients received 4 doses of 50 </w:t>
      </w:r>
      <w:proofErr w:type="spellStart"/>
      <w:r w:rsidRPr="005D461D">
        <w:t>kBq</w:t>
      </w:r>
      <w:proofErr w:type="spellEnd"/>
      <w:r w:rsidRPr="005D461D">
        <w:t xml:space="preserve">/kg </w:t>
      </w:r>
      <w:r w:rsidR="005828D3">
        <w:t>body weight</w:t>
      </w:r>
      <w:r w:rsidRPr="005D461D">
        <w:t xml:space="preserve"> at 4</w:t>
      </w:r>
      <w:r w:rsidR="005828D3">
        <w:t xml:space="preserve"> week</w:t>
      </w:r>
      <w:r w:rsidRPr="005D461D">
        <w:t xml:space="preserve"> intervals an</w:t>
      </w:r>
      <w:r w:rsidR="00C97E6B">
        <w:t>d 31 patients received placebo.</w:t>
      </w:r>
    </w:p>
    <w:p w:rsidR="005D461D" w:rsidRPr="005D461D" w:rsidRDefault="005D461D" w:rsidP="005D461D">
      <w:pPr>
        <w:pStyle w:val="ListBullet"/>
      </w:pPr>
      <w:r w:rsidRPr="005D461D">
        <w:t>Study BC1-03 was a randomi</w:t>
      </w:r>
      <w:r w:rsidR="005828D3">
        <w:t>s</w:t>
      </w:r>
      <w:r w:rsidRPr="005D461D">
        <w:t>ed, double</w:t>
      </w:r>
      <w:r w:rsidR="005828D3">
        <w:t xml:space="preserve"> </w:t>
      </w:r>
      <w:r w:rsidRPr="005D461D">
        <w:t>blind, dose</w:t>
      </w:r>
      <w:r w:rsidR="005828D3">
        <w:t xml:space="preserve"> </w:t>
      </w:r>
      <w:r w:rsidRPr="005D461D">
        <w:t xml:space="preserve">ranging study conducted in patients suffering from bone pain due to multiple bone metastases secondary to prostate cancer. The study assessed the palliative effect of 4 single dose levels (5, 25, 50 and 100 </w:t>
      </w:r>
      <w:proofErr w:type="spellStart"/>
      <w:r w:rsidRPr="005D461D">
        <w:t>kBq</w:t>
      </w:r>
      <w:proofErr w:type="spellEnd"/>
      <w:r w:rsidRPr="005D461D">
        <w:t xml:space="preserve">/kg </w:t>
      </w:r>
      <w:r w:rsidR="005828D3">
        <w:t>body weight</w:t>
      </w:r>
      <w:r w:rsidR="005828D3" w:rsidRPr="005D461D">
        <w:t xml:space="preserve"> </w:t>
      </w:r>
      <w:r w:rsidR="005828D3" w:rsidRPr="001D76D7">
        <w:rPr>
          <w:vertAlign w:val="superscript"/>
        </w:rPr>
        <w:t>223</w:t>
      </w:r>
      <w:r w:rsidR="005828D3">
        <w:t>RaCl</w:t>
      </w:r>
      <w:r w:rsidR="005828D3" w:rsidRPr="00EB2696">
        <w:rPr>
          <w:vertAlign w:val="subscript"/>
        </w:rPr>
        <w:t>2</w:t>
      </w:r>
      <w:r w:rsidRPr="005D461D">
        <w:t>) on painful bony metastases.</w:t>
      </w:r>
    </w:p>
    <w:p w:rsidR="005D461D" w:rsidRPr="005D461D" w:rsidRDefault="005D461D" w:rsidP="005D461D">
      <w:pPr>
        <w:pStyle w:val="ListBullet"/>
      </w:pPr>
      <w:r w:rsidRPr="005D461D">
        <w:t>Study BC1-04 was a randomi</w:t>
      </w:r>
      <w:r w:rsidR="00C55970">
        <w:t>s</w:t>
      </w:r>
      <w:r w:rsidRPr="005D461D">
        <w:t>ed, double</w:t>
      </w:r>
      <w:r w:rsidR="00C55970">
        <w:t xml:space="preserve"> </w:t>
      </w:r>
      <w:r w:rsidRPr="005D461D">
        <w:t>blind, repeat</w:t>
      </w:r>
      <w:r w:rsidR="00C55970">
        <w:t xml:space="preserve"> </w:t>
      </w:r>
      <w:r w:rsidRPr="005D461D">
        <w:t>dose, dose</w:t>
      </w:r>
      <w:r w:rsidR="00C55970">
        <w:t xml:space="preserve"> </w:t>
      </w:r>
      <w:r w:rsidRPr="005D461D">
        <w:t xml:space="preserve">response study conducted in subjects with asymptomatic or symptomatic CRPC. The study explored the effect of different doses of </w:t>
      </w:r>
      <w:r w:rsidR="003C3052" w:rsidRPr="001D76D7">
        <w:rPr>
          <w:vertAlign w:val="superscript"/>
        </w:rPr>
        <w:t>223</w:t>
      </w:r>
      <w:r w:rsidR="003C3052">
        <w:t>RaCl</w:t>
      </w:r>
      <w:r w:rsidR="003C3052" w:rsidRPr="00EB2696">
        <w:rPr>
          <w:vertAlign w:val="subscript"/>
        </w:rPr>
        <w:t>2</w:t>
      </w:r>
      <w:r w:rsidR="003C3052">
        <w:rPr>
          <w:vertAlign w:val="subscript"/>
        </w:rPr>
        <w:t xml:space="preserve"> </w:t>
      </w:r>
      <w:r w:rsidRPr="005D461D">
        <w:t xml:space="preserve">on the proportion of patients with a confirmed PSA response. A total of 122 subjects were randomised to 3 different dose groups (25, 50 and 80 </w:t>
      </w:r>
      <w:proofErr w:type="spellStart"/>
      <w:r w:rsidRPr="005D461D">
        <w:t>kBq</w:t>
      </w:r>
      <w:proofErr w:type="spellEnd"/>
      <w:r w:rsidRPr="005D461D">
        <w:t xml:space="preserve">/kg </w:t>
      </w:r>
      <w:r w:rsidR="003C3052">
        <w:t>body weight</w:t>
      </w:r>
      <w:r w:rsidRPr="005D461D">
        <w:t>). In each grou</w:t>
      </w:r>
      <w:r w:rsidR="008C5F95">
        <w:t xml:space="preserve">p, 3 injections were given at 6 </w:t>
      </w:r>
      <w:r w:rsidR="00C97E6B">
        <w:t>week intervals.</w:t>
      </w:r>
    </w:p>
    <w:p w:rsidR="005D461D" w:rsidRPr="005D461D" w:rsidRDefault="005D461D" w:rsidP="005D461D">
      <w:r w:rsidRPr="005D461D">
        <w:t xml:space="preserve">At the initial Phase I study (ATC-BCI), </w:t>
      </w:r>
      <w:r w:rsidR="00D303C0" w:rsidRPr="001D76D7">
        <w:rPr>
          <w:vertAlign w:val="superscript"/>
        </w:rPr>
        <w:t>223</w:t>
      </w:r>
      <w:r w:rsidR="00D303C0">
        <w:t xml:space="preserve">Ra </w:t>
      </w:r>
      <w:r w:rsidRPr="005D461D">
        <w:t xml:space="preserve">was studied as a single dose up to 250 </w:t>
      </w:r>
      <w:proofErr w:type="spellStart"/>
      <w:r w:rsidRPr="005D461D">
        <w:t>kBq</w:t>
      </w:r>
      <w:proofErr w:type="spellEnd"/>
      <w:r w:rsidRPr="005D461D">
        <w:t xml:space="preserve">/kg </w:t>
      </w:r>
      <w:r w:rsidR="00C61472">
        <w:t>body weight</w:t>
      </w:r>
      <w:r w:rsidRPr="005D461D">
        <w:t xml:space="preserve"> and no dose limiting toxicities were recorded. There was no gradient of risk across the doses up to 100 </w:t>
      </w:r>
      <w:proofErr w:type="spellStart"/>
      <w:r w:rsidRPr="005D461D">
        <w:t>kBq</w:t>
      </w:r>
      <w:proofErr w:type="spellEnd"/>
      <w:r w:rsidRPr="005D461D">
        <w:t xml:space="preserve">/kg </w:t>
      </w:r>
      <w:r w:rsidR="00C61472">
        <w:t>body weight</w:t>
      </w:r>
      <w:r w:rsidR="003C3052">
        <w:t xml:space="preserve"> in the Phase II</w:t>
      </w:r>
      <w:r w:rsidRPr="005D461D">
        <w:t xml:space="preserve"> studies (BCI-02, BCI-03, and BCI-04). In Study BCI-04, the two highest doses (50 and 80 </w:t>
      </w:r>
      <w:proofErr w:type="spellStart"/>
      <w:r w:rsidRPr="005D461D">
        <w:t>kBq</w:t>
      </w:r>
      <w:proofErr w:type="spellEnd"/>
      <w:r w:rsidRPr="005D461D">
        <w:t xml:space="preserve">/kg </w:t>
      </w:r>
      <w:r w:rsidR="00C61472">
        <w:t>body weight</w:t>
      </w:r>
      <w:r w:rsidRPr="005D461D">
        <w:t>) demonstrated a greater effect on the PSA and bone</w:t>
      </w:r>
      <w:r w:rsidR="00D303C0">
        <w:t xml:space="preserve"> </w:t>
      </w:r>
      <w:r w:rsidRPr="005D461D">
        <w:t xml:space="preserve">ALP as compared to the lowest dose level. The 50 </w:t>
      </w:r>
      <w:proofErr w:type="spellStart"/>
      <w:r w:rsidRPr="005D461D">
        <w:t>kBq</w:t>
      </w:r>
      <w:proofErr w:type="spellEnd"/>
      <w:r w:rsidRPr="005D461D">
        <w:t xml:space="preserve">/kg </w:t>
      </w:r>
      <w:r w:rsidR="00C61472">
        <w:t>body weight</w:t>
      </w:r>
      <w:r w:rsidRPr="005D461D">
        <w:t xml:space="preserve"> dose was not significantly different from the 80 </w:t>
      </w:r>
      <w:proofErr w:type="spellStart"/>
      <w:r w:rsidRPr="005D461D">
        <w:t>kBq</w:t>
      </w:r>
      <w:proofErr w:type="spellEnd"/>
      <w:r w:rsidRPr="005D461D">
        <w:t>/kg dose in terms of response for PSA and bone</w:t>
      </w:r>
      <w:r w:rsidR="00D303C0">
        <w:t xml:space="preserve"> </w:t>
      </w:r>
      <w:r w:rsidRPr="005D461D">
        <w:t>ALP. Therefore</w:t>
      </w:r>
      <w:r w:rsidR="00045AE2">
        <w:t>,</w:t>
      </w:r>
      <w:r w:rsidRPr="005D461D">
        <w:t xml:space="preserve"> a dose of 50 </w:t>
      </w:r>
      <w:proofErr w:type="spellStart"/>
      <w:r w:rsidRPr="005D461D">
        <w:t>kBq</w:t>
      </w:r>
      <w:proofErr w:type="spellEnd"/>
      <w:r w:rsidRPr="005D461D">
        <w:t xml:space="preserve">/kg </w:t>
      </w:r>
      <w:r w:rsidR="00C61472">
        <w:t>body weight</w:t>
      </w:r>
      <w:r w:rsidRPr="005D461D">
        <w:t xml:space="preserve"> was considered to be a biologically effective dose.</w:t>
      </w:r>
    </w:p>
    <w:p w:rsidR="005D461D" w:rsidRPr="005D461D" w:rsidRDefault="005D461D" w:rsidP="005D461D">
      <w:r w:rsidRPr="005D461D">
        <w:t xml:space="preserve">The Study BCI-02 assessed the 4 injections of </w:t>
      </w:r>
      <w:r w:rsidR="00D303C0" w:rsidRPr="001D76D7">
        <w:rPr>
          <w:vertAlign w:val="superscript"/>
        </w:rPr>
        <w:t>223</w:t>
      </w:r>
      <w:r w:rsidR="00D303C0">
        <w:t>Ra at 4 week</w:t>
      </w:r>
      <w:r w:rsidRPr="005D461D">
        <w:t xml:space="preserve"> intervals and the results suggested a relationship between beneficial effect and duration of treatment. In view of the results from Phase </w:t>
      </w:r>
      <w:r w:rsidR="00045AE2">
        <w:t>I</w:t>
      </w:r>
      <w:r w:rsidRPr="005D461D">
        <w:t xml:space="preserve"> studies showing the maximum single dose did not lead to dose limiting toxicities, the 6 injections was selected for the pivotal Phase </w:t>
      </w:r>
      <w:r w:rsidR="00045AE2">
        <w:t>III</w:t>
      </w:r>
      <w:r w:rsidRPr="005D461D">
        <w:t xml:space="preserve"> study. Based on the nadir count of neutropenia seen in Study ATI-BCI between Day 15 and Day 20, the interval between injecti</w:t>
      </w:r>
      <w:r w:rsidR="00C97E6B">
        <w:t>ons was selected to be 4 weeks.</w:t>
      </w:r>
    </w:p>
    <w:p w:rsidR="005D461D" w:rsidRPr="005D461D" w:rsidRDefault="005D461D" w:rsidP="005D461D">
      <w:r w:rsidRPr="005D461D">
        <w:t xml:space="preserve">In term of injection duration (up to 1 minute): the protocol of the Phase </w:t>
      </w:r>
      <w:r w:rsidR="00045AE2">
        <w:t>III study (BCI-06) specified a ‘slow bolus’</w:t>
      </w:r>
      <w:r w:rsidRPr="005D461D">
        <w:t xml:space="preserve"> injection. This led to a low frequency (&lt;0.5%) and intensity (≤ Grade 2) of injection site reactions. This proposed timing took into consideration avoidance of injection site reactions and radiation protection for the clinical personnel (ALARA principal – as low as reasonably possible).</w:t>
      </w:r>
    </w:p>
    <w:p w:rsidR="005D461D" w:rsidRPr="00813395" w:rsidRDefault="005D461D" w:rsidP="005D461D">
      <w:pPr>
        <w:pStyle w:val="Heading4"/>
      </w:pPr>
      <w:r w:rsidRPr="00813395">
        <w:t xml:space="preserve">Clinical </w:t>
      </w:r>
      <w:r w:rsidR="00C97E6B">
        <w:t>e</w:t>
      </w:r>
      <w:r w:rsidRPr="00813395">
        <w:t>fficacy</w:t>
      </w:r>
    </w:p>
    <w:p w:rsidR="005D461D" w:rsidRPr="0060493D" w:rsidRDefault="005D461D" w:rsidP="005D461D">
      <w:pPr>
        <w:pStyle w:val="Heading5"/>
      </w:pPr>
      <w:r w:rsidRPr="0060493D">
        <w:t>Pivotal study: Study BCI-06</w:t>
      </w:r>
    </w:p>
    <w:p w:rsidR="005D461D" w:rsidRPr="005D461D" w:rsidRDefault="005D461D" w:rsidP="005D461D">
      <w:r w:rsidRPr="005D461D">
        <w:t xml:space="preserve">This was a double blind, randomised, multiple dose, placebo controlled study conducted at 128 sites worldwide from June 2008 until the trial was stopped prematurely in October 2011. The primary objective was to compare, in subjects with </w:t>
      </w:r>
      <w:r w:rsidRPr="005D461D">
        <w:rPr>
          <w:b/>
        </w:rPr>
        <w:t>symptomatic</w:t>
      </w:r>
      <w:r w:rsidR="002B7163">
        <w:t xml:space="preserve"> HRPC</w:t>
      </w:r>
      <w:r w:rsidRPr="005D461D">
        <w:t xml:space="preserve"> and skeletal metastases, the efficacy of best standard of care (</w:t>
      </w:r>
      <w:proofErr w:type="spellStart"/>
      <w:r w:rsidRPr="005D461D">
        <w:t>BSoC</w:t>
      </w:r>
      <w:proofErr w:type="spellEnd"/>
      <w:r w:rsidRPr="005D461D">
        <w:t xml:space="preserve">) plus </w:t>
      </w:r>
      <w:r w:rsidR="002B7163" w:rsidRPr="001D76D7">
        <w:rPr>
          <w:vertAlign w:val="superscript"/>
        </w:rPr>
        <w:t>223</w:t>
      </w:r>
      <w:r w:rsidR="002B7163">
        <w:t xml:space="preserve">Ra </w:t>
      </w:r>
      <w:r w:rsidRPr="005D461D">
        <w:t xml:space="preserve">versus </w:t>
      </w:r>
      <w:proofErr w:type="spellStart"/>
      <w:r w:rsidRPr="005D461D">
        <w:t>BSoC</w:t>
      </w:r>
      <w:proofErr w:type="spellEnd"/>
      <w:r w:rsidRPr="005D461D">
        <w:t xml:space="preserve"> plus placebo. The treatment regimen consisted of 6 slow bolus IV injections of </w:t>
      </w:r>
      <w:r w:rsidR="002B7163" w:rsidRPr="001D76D7">
        <w:rPr>
          <w:vertAlign w:val="superscript"/>
        </w:rPr>
        <w:t>223</w:t>
      </w:r>
      <w:r w:rsidR="002B7163">
        <w:t xml:space="preserve">Ra </w:t>
      </w:r>
      <w:r w:rsidRPr="005D461D">
        <w:t xml:space="preserve">(50 </w:t>
      </w:r>
      <w:proofErr w:type="spellStart"/>
      <w:r w:rsidRPr="005D461D">
        <w:t>kBq</w:t>
      </w:r>
      <w:proofErr w:type="spellEnd"/>
      <w:r w:rsidRPr="005D461D">
        <w:t xml:space="preserve">/kg </w:t>
      </w:r>
      <w:r w:rsidR="00C61472">
        <w:t>body weight</w:t>
      </w:r>
      <w:r w:rsidRPr="005D461D">
        <w:t xml:space="preserve">) or placebo (normal saline) each separated by an interval of 4 weeks. </w:t>
      </w:r>
      <w:r w:rsidR="00AD61F8">
        <w:lastRenderedPageBreak/>
        <w:t>‘</w:t>
      </w:r>
      <w:r w:rsidRPr="005D461D">
        <w:t>Best standard of care</w:t>
      </w:r>
      <w:r w:rsidR="00AD61F8">
        <w:t>’</w:t>
      </w:r>
      <w:r w:rsidRPr="005D461D">
        <w:t xml:space="preserve"> was regarded as the routine stan</w:t>
      </w:r>
      <w:r w:rsidR="00AD61F8">
        <w:t xml:space="preserve">dard of care at each centre, for example, </w:t>
      </w:r>
      <w:r w:rsidRPr="005D461D">
        <w:t xml:space="preserve">local </w:t>
      </w:r>
      <w:r w:rsidR="00AD61F8">
        <w:t>EBRT</w:t>
      </w:r>
      <w:r w:rsidRPr="005D461D">
        <w:t>, corticosteroid</w:t>
      </w:r>
      <w:r w:rsidR="00AD61F8">
        <w:t xml:space="preserve">s, </w:t>
      </w:r>
      <w:proofErr w:type="spellStart"/>
      <w:r w:rsidR="00AD61F8">
        <w:t>antiandrogens</w:t>
      </w:r>
      <w:proofErr w:type="spellEnd"/>
      <w:r w:rsidR="00AD61F8">
        <w:t>, oestrogens (for example,</w:t>
      </w:r>
      <w:r w:rsidRPr="005D461D">
        <w:t xml:space="preserve"> stilboestrol), </w:t>
      </w:r>
      <w:proofErr w:type="spellStart"/>
      <w:r w:rsidRPr="005D461D">
        <w:t>estramustine</w:t>
      </w:r>
      <w:proofErr w:type="spellEnd"/>
      <w:r w:rsidRPr="005D461D">
        <w:t xml:space="preserve"> or ketoconazole. If cytotoxic chemotherapy, other systemic radioisotopes or </w:t>
      </w:r>
      <w:proofErr w:type="spellStart"/>
      <w:r w:rsidRPr="005D461D">
        <w:t>hemibody</w:t>
      </w:r>
      <w:proofErr w:type="spellEnd"/>
      <w:r w:rsidRPr="005D461D">
        <w:t xml:space="preserve"> external radiotherapy treatments were considered as the </w:t>
      </w:r>
      <w:proofErr w:type="spellStart"/>
      <w:r w:rsidRPr="005D461D">
        <w:t>BSoC</w:t>
      </w:r>
      <w:proofErr w:type="spellEnd"/>
      <w:r w:rsidRPr="005D461D">
        <w:t xml:space="preserve"> to be given during the treatment period, further study drug had to be discontinued. The target population was subjects with progressive symptomatic HRPC, treated with </w:t>
      </w:r>
      <w:proofErr w:type="spellStart"/>
      <w:r w:rsidRPr="005D461D">
        <w:t>BSoC</w:t>
      </w:r>
      <w:proofErr w:type="spellEnd"/>
      <w:r w:rsidRPr="005D461D">
        <w:t xml:space="preserve"> with at least 2 skeletal metastases on bone scan and no known visceral metastases. Patients with </w:t>
      </w:r>
      <w:proofErr w:type="spellStart"/>
      <w:r w:rsidRPr="005D461D">
        <w:t>Crohn’s</w:t>
      </w:r>
      <w:proofErr w:type="spellEnd"/>
      <w:r w:rsidRPr="005D461D">
        <w:t xml:space="preserve"> disease, ulcerative colitis, visceral metastases, prior </w:t>
      </w:r>
      <w:proofErr w:type="spellStart"/>
      <w:r w:rsidRPr="005D461D">
        <w:t>hemibody</w:t>
      </w:r>
      <w:proofErr w:type="spellEnd"/>
      <w:r w:rsidRPr="005D461D">
        <w:t xml:space="preserve"> radiation and untreated imminent or established spinal cord compression were exclu</w:t>
      </w:r>
      <w:r w:rsidR="00990484">
        <w:t>ded</w:t>
      </w:r>
      <w:r w:rsidR="00C97E6B">
        <w:t>.</w:t>
      </w:r>
    </w:p>
    <w:p w:rsidR="005D461D" w:rsidRPr="005D461D" w:rsidRDefault="005D461D" w:rsidP="005D461D">
      <w:r w:rsidRPr="005D461D">
        <w:t>The primary efficacy outcome was overall survival (OS) which was defined as the time from date of randomisation to the date of death. There was a list of s</w:t>
      </w:r>
      <w:r w:rsidR="00566888">
        <w:t>econdary endpoints</w:t>
      </w:r>
      <w:r w:rsidRPr="005D461D">
        <w:t>, including the five main seco</w:t>
      </w:r>
      <w:r w:rsidR="00566888">
        <w:t xml:space="preserve">ndary endpoints (time to total </w:t>
      </w:r>
      <w:r w:rsidRPr="005D461D">
        <w:t>ALP progression, total ALP response, time to occurrence of first SRE, total ALP normalisation</w:t>
      </w:r>
      <w:r w:rsidR="00C97E6B">
        <w:t>, and time to PSA progression).</w:t>
      </w:r>
    </w:p>
    <w:p w:rsidR="005D461D" w:rsidRPr="005D461D" w:rsidRDefault="005D461D" w:rsidP="005D461D">
      <w:r w:rsidRPr="005D461D">
        <w:t xml:space="preserve">The study subjects were randomised in a ratio of 2:1 to </w:t>
      </w:r>
      <w:r w:rsidR="00566888" w:rsidRPr="001D76D7">
        <w:rPr>
          <w:vertAlign w:val="superscript"/>
        </w:rPr>
        <w:t>223</w:t>
      </w:r>
      <w:r w:rsidR="00566888">
        <w:t xml:space="preserve">Ra </w:t>
      </w:r>
      <w:r w:rsidRPr="005D461D">
        <w:t>or placebo, taking into account the following stratification factors:</w:t>
      </w:r>
    </w:p>
    <w:p w:rsidR="005D461D" w:rsidRPr="005D461D" w:rsidRDefault="005D461D" w:rsidP="005D461D">
      <w:pPr>
        <w:pStyle w:val="ListBullet"/>
      </w:pPr>
      <w:r w:rsidRPr="005D461D">
        <w:t xml:space="preserve">Total ALP &lt; 220 U/L versus total ALP </w:t>
      </w:r>
      <w:r w:rsidR="00FF4ACD">
        <w:t>≥</w:t>
      </w:r>
      <w:r w:rsidRPr="005D461D">
        <w:t xml:space="preserve"> 220 U/L</w:t>
      </w:r>
    </w:p>
    <w:p w:rsidR="005D461D" w:rsidRPr="005D461D" w:rsidRDefault="005D461D" w:rsidP="005D461D">
      <w:pPr>
        <w:pStyle w:val="ListBullet"/>
      </w:pPr>
      <w:r w:rsidRPr="005D461D">
        <w:t>Current use of bisphosphonates: yes versus no</w:t>
      </w:r>
    </w:p>
    <w:p w:rsidR="005D461D" w:rsidRPr="005D461D" w:rsidRDefault="005D461D" w:rsidP="005D461D">
      <w:pPr>
        <w:pStyle w:val="ListBullet"/>
      </w:pPr>
      <w:r w:rsidRPr="005D461D">
        <w:t xml:space="preserve">Any prior use of </w:t>
      </w:r>
      <w:proofErr w:type="spellStart"/>
      <w:r w:rsidRPr="005D461D">
        <w:t>docetaxel</w:t>
      </w:r>
      <w:proofErr w:type="spellEnd"/>
      <w:r w:rsidRPr="005D461D">
        <w:t>: yes versus no</w:t>
      </w:r>
    </w:p>
    <w:p w:rsidR="005D461D" w:rsidRPr="005D461D" w:rsidRDefault="005D461D" w:rsidP="005D461D">
      <w:r w:rsidRPr="005D461D">
        <w:t>The planned sample size was 900 patients with the final analysis to be conducted after 640 events had been observed</w:t>
      </w:r>
      <w:r w:rsidR="00606881">
        <w:t xml:space="preserve"> (Table </w:t>
      </w:r>
      <w:r w:rsidR="001606E0">
        <w:t>8</w:t>
      </w:r>
      <w:r w:rsidR="00606881">
        <w:t>)</w:t>
      </w:r>
      <w:r w:rsidRPr="005D461D">
        <w:t xml:space="preserve">. However, the sample size was increased due to an increase in statistical power from 80% to 90%. A protocol planned interim analysis was to be conducted when </w:t>
      </w:r>
      <w:r w:rsidR="00606881">
        <w:t>~</w:t>
      </w:r>
      <w:r w:rsidRPr="005D461D">
        <w:t>320 events had occurred. A total of 809 patients had been randomised at the time of interim analysis data cut</w:t>
      </w:r>
      <w:r w:rsidR="00CE08A9">
        <w:t xml:space="preserve"> </w:t>
      </w:r>
      <w:r w:rsidRPr="005D461D">
        <w:t>off (14 October 2010) and 314 events had occurred. At the time of the updated analysis (July 2011), a total of 92</w:t>
      </w:r>
      <w:r w:rsidR="00CD7197">
        <w:t>1 patients had been randomised.</w:t>
      </w:r>
    </w:p>
    <w:p w:rsidR="006F1973" w:rsidRDefault="00C804B2" w:rsidP="006F1973">
      <w:pPr>
        <w:pStyle w:val="TableTitle"/>
      </w:pPr>
      <w:proofErr w:type="gramStart"/>
      <w:r>
        <w:t xml:space="preserve">Table </w:t>
      </w:r>
      <w:r w:rsidR="001606E0">
        <w:t>8</w:t>
      </w:r>
      <w:r w:rsidR="006F1973">
        <w:t>:</w:t>
      </w:r>
      <w:r w:rsidR="006F1973" w:rsidRPr="004C5C28">
        <w:t xml:space="preserve"> </w:t>
      </w:r>
      <w:r w:rsidR="00343AC4" w:rsidRPr="00343AC4">
        <w:t>Patients’ disposition (Study BCI-06)</w:t>
      </w:r>
      <w:r w:rsidR="006F1973">
        <w:t>.</w:t>
      </w:r>
      <w:proofErr w:type="gramEnd"/>
    </w:p>
    <w:p w:rsidR="007B6132" w:rsidRDefault="003201C5" w:rsidP="005D461D">
      <w:r>
        <w:rPr>
          <w:noProof/>
          <w:lang w:eastAsia="en-AU"/>
        </w:rPr>
        <w:drawing>
          <wp:inline distT="0" distB="0" distL="0" distR="0">
            <wp:extent cx="5400040" cy="1915160"/>
            <wp:effectExtent l="0" t="0" r="0" b="8890"/>
            <wp:docPr id="11" name="Picture 11" descr="Table 8: Patients’ disposition (Study BCI-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Patients’ disposition (Study BCI-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915160"/>
                    </a:xfrm>
                    <a:prstGeom prst="rect">
                      <a:avLst/>
                    </a:prstGeom>
                    <a:noFill/>
                    <a:ln>
                      <a:noFill/>
                    </a:ln>
                  </pic:spPr>
                </pic:pic>
              </a:graphicData>
            </a:graphic>
          </wp:inline>
        </w:drawing>
      </w:r>
    </w:p>
    <w:p w:rsidR="00343AC4" w:rsidRPr="00343AC4" w:rsidRDefault="00343AC4" w:rsidP="00343AC4">
      <w:r w:rsidRPr="00343AC4">
        <w:t>Of the 921 patients, 47% were aged between 65 and 75 years and 94% were Caucasian. Demographic and baseline disease characteristics (interim analysis population) were generally comparable between the treatme</w:t>
      </w:r>
      <w:r w:rsidR="000B01D5">
        <w:t>nt and the placebo groups</w:t>
      </w:r>
      <w:r w:rsidRPr="00343AC4">
        <w:t xml:space="preserve">. For baseline median PSA, there was a somewhat higher value </w:t>
      </w:r>
      <w:r w:rsidR="00F40B83">
        <w:t>in the placebo group patients versus</w:t>
      </w:r>
      <w:r w:rsidRPr="00343AC4">
        <w:t xml:space="preserve"> the </w:t>
      </w:r>
      <w:r w:rsidR="00090C6E" w:rsidRPr="001D76D7">
        <w:rPr>
          <w:vertAlign w:val="superscript"/>
        </w:rPr>
        <w:t>223</w:t>
      </w:r>
      <w:r w:rsidR="00090C6E">
        <w:t>RaCl</w:t>
      </w:r>
      <w:r w:rsidR="00090C6E" w:rsidRPr="00090C6E">
        <w:rPr>
          <w:vertAlign w:val="subscript"/>
        </w:rPr>
        <w:t>2</w:t>
      </w:r>
      <w:r w:rsidR="00090C6E">
        <w:t xml:space="preserve"> group</w:t>
      </w:r>
      <w:r w:rsidRPr="00343AC4">
        <w:t xml:space="preserve">. Approximately half of the subjects in each treatment group had a Combined Gleason Score of 8 or more (47.2%, 223/472 </w:t>
      </w:r>
      <w:r w:rsidR="00090C6E" w:rsidRPr="001D76D7">
        <w:rPr>
          <w:vertAlign w:val="superscript"/>
        </w:rPr>
        <w:t>223</w:t>
      </w:r>
      <w:r w:rsidR="00090C6E">
        <w:t>Ra</w:t>
      </w:r>
      <w:r w:rsidR="00090C6E" w:rsidRPr="00343AC4">
        <w:t xml:space="preserve"> </w:t>
      </w:r>
      <w:r w:rsidRPr="00343AC4">
        <w:t>and 56.2%, 132/235 placebo) at the time of prostate cancer di</w:t>
      </w:r>
      <w:r w:rsidR="000B01D5">
        <w:t>agnosis</w:t>
      </w:r>
      <w:r w:rsidRPr="00343AC4">
        <w:t>.</w:t>
      </w:r>
    </w:p>
    <w:p w:rsidR="00343AC4" w:rsidRPr="00343AC4" w:rsidRDefault="00343AC4" w:rsidP="00343AC4">
      <w:pPr>
        <w:pStyle w:val="Heading5"/>
      </w:pPr>
      <w:r w:rsidRPr="00343AC4">
        <w:t>Analysis of primary efficacy endpoint: Overall Su</w:t>
      </w:r>
      <w:r w:rsidR="00C97E6B">
        <w:t>rvival (OS)</w:t>
      </w:r>
    </w:p>
    <w:p w:rsidR="00343AC4" w:rsidRPr="00343AC4" w:rsidRDefault="00343AC4" w:rsidP="00343AC4">
      <w:r w:rsidRPr="00343AC4">
        <w:t xml:space="preserve">The primary (interim) analysis show that treatment with </w:t>
      </w:r>
      <w:r w:rsidR="000B01D5" w:rsidRPr="001D76D7">
        <w:rPr>
          <w:vertAlign w:val="superscript"/>
        </w:rPr>
        <w:t>223</w:t>
      </w:r>
      <w:r w:rsidR="000B01D5">
        <w:t>Ra</w:t>
      </w:r>
      <w:r w:rsidR="000B01D5" w:rsidRPr="00343AC4">
        <w:t xml:space="preserve"> </w:t>
      </w:r>
      <w:r w:rsidRPr="00343AC4">
        <w:t xml:space="preserve">has a statistically significant and positive effect on OS (HR = 0.695, 95% CI 0.552 </w:t>
      </w:r>
      <w:r w:rsidRPr="00343AC4">
        <w:rPr>
          <w:rFonts w:hint="eastAsia"/>
        </w:rPr>
        <w:t>–</w:t>
      </w:r>
      <w:r w:rsidRPr="00343AC4">
        <w:t xml:space="preserve"> 0.875; 2-sided p = </w:t>
      </w:r>
      <w:r w:rsidRPr="00343AC4">
        <w:lastRenderedPageBreak/>
        <w:t xml:space="preserve">0.00185). Median OS was prolonged to 14.0 months (425.0 days) with radium-223 treatment compared to 11.2 months (340.0 days) with placebo. The results were similar in the updated </w:t>
      </w:r>
      <w:r w:rsidR="00D6639D">
        <w:t>analysis</w:t>
      </w:r>
      <w:r w:rsidR="001606E0">
        <w:t xml:space="preserve"> (cut off at July 2011) (Table 9</w:t>
      </w:r>
      <w:r w:rsidR="00D6639D">
        <w:t>).</w:t>
      </w:r>
    </w:p>
    <w:p w:rsidR="00BD2DBD" w:rsidRDefault="001606E0" w:rsidP="00BD2DBD">
      <w:pPr>
        <w:pStyle w:val="TableTitle"/>
      </w:pPr>
      <w:r>
        <w:t>Table 9</w:t>
      </w:r>
      <w:r w:rsidR="00BD2DBD">
        <w:t>:</w:t>
      </w:r>
      <w:r w:rsidR="00BD2DBD" w:rsidRPr="004C5C28">
        <w:t xml:space="preserve"> </w:t>
      </w:r>
      <w:r w:rsidR="003C6CD4" w:rsidRPr="003C6CD4">
        <w:t xml:space="preserve">Study BCI-06: </w:t>
      </w:r>
      <w:r w:rsidR="00D6639D">
        <w:t>OS</w:t>
      </w:r>
      <w:r w:rsidR="003C6CD4" w:rsidRPr="003C6CD4">
        <w:t xml:space="preserve"> - Interim and updated analysis (months), ITT population</w:t>
      </w:r>
      <w:r w:rsidR="00BD2DBD">
        <w:t>.</w:t>
      </w:r>
    </w:p>
    <w:p w:rsidR="006F1973" w:rsidRDefault="003201C5" w:rsidP="005D461D">
      <w:r>
        <w:rPr>
          <w:noProof/>
          <w:lang w:eastAsia="en-AU"/>
        </w:rPr>
        <w:drawing>
          <wp:inline distT="0" distB="0" distL="0" distR="0">
            <wp:extent cx="5391785" cy="2458720"/>
            <wp:effectExtent l="0" t="0" r="0" b="0"/>
            <wp:docPr id="12" name="Picture 12" descr="Table 9: Study BCI-06: OS - Interim and updated analysis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tudy BCI-06: OS - Interim and updated analysis (months), ITT popul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85" cy="2458720"/>
                    </a:xfrm>
                    <a:prstGeom prst="rect">
                      <a:avLst/>
                    </a:prstGeom>
                    <a:noFill/>
                    <a:ln>
                      <a:noFill/>
                    </a:ln>
                  </pic:spPr>
                </pic:pic>
              </a:graphicData>
            </a:graphic>
          </wp:inline>
        </w:drawing>
      </w:r>
    </w:p>
    <w:p w:rsidR="00053F17" w:rsidRPr="00053F17" w:rsidRDefault="00053F17" w:rsidP="00053F17">
      <w:r w:rsidRPr="00053F17">
        <w:t xml:space="preserve">Covariate analyses of OS were carried out as a sensitivity analysis. The following baseline variables were assessed for their prognostic effect </w:t>
      </w:r>
      <w:r w:rsidR="00615F89">
        <w:t>on overall survival: albumin, h</w:t>
      </w:r>
      <w:r w:rsidR="00AA723B">
        <w:t>a</w:t>
      </w:r>
      <w:r w:rsidR="00615F89">
        <w:t>emoglobin</w:t>
      </w:r>
      <w:r w:rsidRPr="00053F17">
        <w:t xml:space="preserve">, </w:t>
      </w:r>
      <w:r w:rsidR="00D33508">
        <w:t>l</w:t>
      </w:r>
      <w:r w:rsidR="00D33508" w:rsidRPr="00D33508">
        <w:t xml:space="preserve">actate dehydrogenase </w:t>
      </w:r>
      <w:r w:rsidR="00D33508">
        <w:t>(</w:t>
      </w:r>
      <w:r w:rsidRPr="00053F17">
        <w:t>LDH</w:t>
      </w:r>
      <w:r w:rsidR="00D33508">
        <w:t>)</w:t>
      </w:r>
      <w:r w:rsidRPr="00053F17">
        <w:t xml:space="preserve">, </w:t>
      </w:r>
      <w:r w:rsidR="00BE4AE6" w:rsidRPr="00BE4AE6">
        <w:t xml:space="preserve">Eastern Cooperative Oncology Group </w:t>
      </w:r>
      <w:r w:rsidR="00BE4AE6">
        <w:t xml:space="preserve">Performance Status </w:t>
      </w:r>
      <w:r w:rsidR="00921F8D">
        <w:t>(</w:t>
      </w:r>
      <w:r w:rsidRPr="00053F17">
        <w:t>ECOG PS</w:t>
      </w:r>
      <w:r w:rsidR="00921F8D">
        <w:t>)</w:t>
      </w:r>
      <w:r w:rsidRPr="00053F17">
        <w:t xml:space="preserve">, PSA, total ALP, and age. Subgroup survival analysis showed a consistent survival benefit for treatment with </w:t>
      </w:r>
      <w:proofErr w:type="spellStart"/>
      <w:r w:rsidR="00AA723B">
        <w:t>Xofigo</w:t>
      </w:r>
      <w:proofErr w:type="spellEnd"/>
      <w:r w:rsidR="007631E4">
        <w:t>, independent of total ALP</w:t>
      </w:r>
      <w:r w:rsidRPr="00053F17">
        <w:t xml:space="preserve">, current use of bisphosphonates and prior use of </w:t>
      </w:r>
      <w:proofErr w:type="spellStart"/>
      <w:r w:rsidRPr="00053F17">
        <w:t>docetaxel</w:t>
      </w:r>
      <w:proofErr w:type="spellEnd"/>
      <w:r w:rsidRPr="00053F17">
        <w:t>.</w:t>
      </w:r>
    </w:p>
    <w:p w:rsidR="00053F17" w:rsidRPr="00053F17" w:rsidRDefault="00053F17" w:rsidP="00053F17">
      <w:pPr>
        <w:pStyle w:val="Heading5"/>
        <w:rPr>
          <w:rFonts w:eastAsia="TimesNewRoman,Bold"/>
        </w:rPr>
      </w:pPr>
      <w:r w:rsidRPr="00053F17">
        <w:rPr>
          <w:rFonts w:eastAsia="TimesNewRoman,Bold"/>
        </w:rPr>
        <w:t>Analysis of the main secondary efficacy endpoints</w:t>
      </w:r>
    </w:p>
    <w:p w:rsidR="00053F17" w:rsidRPr="00053F17" w:rsidRDefault="00053F17" w:rsidP="00053F17">
      <w:r w:rsidRPr="00053F17">
        <w:t>Five endpoints were identified as main secondary endpoints: (1) time to total</w:t>
      </w:r>
      <w:r w:rsidR="007631E4">
        <w:t xml:space="preserve"> </w:t>
      </w:r>
      <w:r w:rsidRPr="00053F17">
        <w:t>ALP progression, (2) total</w:t>
      </w:r>
      <w:r w:rsidR="007631E4">
        <w:t xml:space="preserve"> </w:t>
      </w:r>
      <w:r w:rsidRPr="00053F17">
        <w:t>ALP response at Week 12, (3) time to occurrence of first SRE, (4) total</w:t>
      </w:r>
      <w:r w:rsidR="007631E4">
        <w:t xml:space="preserve"> </w:t>
      </w:r>
      <w:r w:rsidRPr="00053F17">
        <w:t>ALP normali</w:t>
      </w:r>
      <w:r w:rsidR="007631E4">
        <w:t>s</w:t>
      </w:r>
      <w:r w:rsidRPr="00053F17">
        <w:t>ation a</w:t>
      </w:r>
      <w:r w:rsidR="00C97E6B">
        <w:t>nd (5) time to PSA progression.</w:t>
      </w:r>
    </w:p>
    <w:p w:rsidR="00053F17" w:rsidRDefault="00053F17" w:rsidP="00053F17">
      <w:pPr>
        <w:pStyle w:val="Heading6"/>
      </w:pPr>
      <w:r w:rsidRPr="00053F17">
        <w:rPr>
          <w:rFonts w:eastAsia="TimesNewRoman,Bold"/>
        </w:rPr>
        <w:t>Time to total</w:t>
      </w:r>
      <w:r w:rsidR="007631E4">
        <w:rPr>
          <w:rFonts w:eastAsia="TimesNewRoman,Bold"/>
        </w:rPr>
        <w:t xml:space="preserve"> </w:t>
      </w:r>
      <w:r w:rsidRPr="00053F17">
        <w:rPr>
          <w:rFonts w:eastAsia="TimesNewRoman,Bold"/>
        </w:rPr>
        <w:t>ALP progression</w:t>
      </w:r>
    </w:p>
    <w:p w:rsidR="00053F17" w:rsidRPr="00053F17" w:rsidRDefault="00053F17" w:rsidP="00053F17">
      <w:r w:rsidRPr="00053F17">
        <w:t xml:space="preserve">For the interim analysis, fewer patients treated with </w:t>
      </w:r>
      <w:r w:rsidR="007631E4" w:rsidRPr="001D76D7">
        <w:rPr>
          <w:vertAlign w:val="superscript"/>
        </w:rPr>
        <w:t>223</w:t>
      </w:r>
      <w:r w:rsidR="007631E4">
        <w:t>RaCl</w:t>
      </w:r>
      <w:r w:rsidR="007631E4" w:rsidRPr="007631E4">
        <w:rPr>
          <w:vertAlign w:val="subscript"/>
        </w:rPr>
        <w:t>2</w:t>
      </w:r>
      <w:r w:rsidR="007631E4">
        <w:t xml:space="preserve"> </w:t>
      </w:r>
      <w:r w:rsidRPr="00053F17">
        <w:t xml:space="preserve">experienced total-ALP progression compared to patients treated with placebo. </w:t>
      </w:r>
      <w:r w:rsidR="007631E4" w:rsidRPr="001D76D7">
        <w:rPr>
          <w:vertAlign w:val="superscript"/>
        </w:rPr>
        <w:t>223</w:t>
      </w:r>
      <w:r w:rsidR="007631E4">
        <w:t>RaCl</w:t>
      </w:r>
      <w:r w:rsidR="007631E4" w:rsidRPr="007631E4">
        <w:rPr>
          <w:vertAlign w:val="subscript"/>
        </w:rPr>
        <w:t>2</w:t>
      </w:r>
      <w:r w:rsidR="007631E4">
        <w:rPr>
          <w:vertAlign w:val="subscript"/>
        </w:rPr>
        <w:t xml:space="preserve"> </w:t>
      </w:r>
      <w:r w:rsidRPr="00053F17">
        <w:t>was superior to placebo in delaying the time to total</w:t>
      </w:r>
      <w:r w:rsidR="007631E4">
        <w:t xml:space="preserve"> </w:t>
      </w:r>
      <w:r w:rsidRPr="00053F17">
        <w:t>ALP progression (HR = 0.162; P &lt;0.00001). Similar results were seen at the updated analyses.</w:t>
      </w:r>
    </w:p>
    <w:p w:rsidR="00053F17" w:rsidRDefault="00053F17" w:rsidP="00053F17">
      <w:pPr>
        <w:pStyle w:val="Heading6"/>
      </w:pPr>
      <w:r w:rsidRPr="00053F17">
        <w:rPr>
          <w:rFonts w:eastAsia="TimesNewRoman,Bold"/>
        </w:rPr>
        <w:t>Total</w:t>
      </w:r>
      <w:r w:rsidR="00F8425E">
        <w:rPr>
          <w:rFonts w:eastAsia="TimesNewRoman,Bold"/>
        </w:rPr>
        <w:t xml:space="preserve"> </w:t>
      </w:r>
      <w:r w:rsidRPr="00053F17">
        <w:rPr>
          <w:rFonts w:eastAsia="TimesNewRoman,Bold"/>
        </w:rPr>
        <w:t xml:space="preserve">ALP responses at </w:t>
      </w:r>
      <w:r w:rsidR="00CD7197">
        <w:rPr>
          <w:rFonts w:eastAsia="TimesNewRoman,Bold"/>
        </w:rPr>
        <w:t>w</w:t>
      </w:r>
      <w:r w:rsidRPr="00053F17">
        <w:rPr>
          <w:rFonts w:eastAsia="TimesNewRoman,Bold"/>
        </w:rPr>
        <w:t>eek 12</w:t>
      </w:r>
    </w:p>
    <w:p w:rsidR="00053F17" w:rsidRPr="00053F17" w:rsidRDefault="00053F17" w:rsidP="00053F17">
      <w:r w:rsidRPr="00053F17">
        <w:t xml:space="preserve">In the interim analyses, higher proportions of patients in the </w:t>
      </w:r>
      <w:r w:rsidR="00B008B7" w:rsidRPr="001D76D7">
        <w:rPr>
          <w:vertAlign w:val="superscript"/>
        </w:rPr>
        <w:t>223</w:t>
      </w:r>
      <w:r w:rsidR="00B008B7">
        <w:t>RaCl</w:t>
      </w:r>
      <w:r w:rsidR="00B008B7" w:rsidRPr="007631E4">
        <w:rPr>
          <w:vertAlign w:val="subscript"/>
        </w:rPr>
        <w:t>2</w:t>
      </w:r>
      <w:r w:rsidR="00B008B7">
        <w:t xml:space="preserve"> g</w:t>
      </w:r>
      <w:r w:rsidRPr="00053F17">
        <w:t>roup achieved either a ≥ 30% (60.1% subjects) or ≥ 50% (32.</w:t>
      </w:r>
      <w:r w:rsidR="00F8425E">
        <w:t xml:space="preserve">3% subjects) reduction in total </w:t>
      </w:r>
      <w:r w:rsidRPr="00053F17">
        <w:t>ALP levels at Week 12 compared to those in the placebo group (6.3% and 1.3%, respectively). Moreover, the confirmed total</w:t>
      </w:r>
      <w:r w:rsidR="00385B6A">
        <w:t xml:space="preserve"> </w:t>
      </w:r>
      <w:r w:rsidRPr="00053F17">
        <w:t>ALP responses with both ≥ 30% or ≥ 50% reduction showed statistically significant differences for patients treat</w:t>
      </w:r>
      <w:r w:rsidR="00F8425E">
        <w:t xml:space="preserve">ed with </w:t>
      </w:r>
      <w:r w:rsidR="00385B6A" w:rsidRPr="001D76D7">
        <w:rPr>
          <w:vertAlign w:val="superscript"/>
        </w:rPr>
        <w:t>223</w:t>
      </w:r>
      <w:r w:rsidR="00385B6A">
        <w:t>RaCl</w:t>
      </w:r>
      <w:r w:rsidR="00385B6A" w:rsidRPr="007631E4">
        <w:rPr>
          <w:vertAlign w:val="subscript"/>
        </w:rPr>
        <w:t>2</w:t>
      </w:r>
      <w:r w:rsidR="00F8425E">
        <w:t xml:space="preserve"> versus</w:t>
      </w:r>
      <w:r w:rsidRPr="00053F17">
        <w:t xml:space="preserve"> placebo (P &lt; 0.001). The difference in the percentage change from baseline at Week 12, as well as the maximum percentage decrease from baseline up to Week 12 in total</w:t>
      </w:r>
      <w:r w:rsidR="00FD5DA8">
        <w:t xml:space="preserve"> </w:t>
      </w:r>
      <w:r w:rsidRPr="00053F17">
        <w:t xml:space="preserve">ALP levels also reached statistical significance (P &lt; 0.001). At the updated analysis, treatment with </w:t>
      </w:r>
      <w:r w:rsidR="00FD5DA8" w:rsidRPr="001D76D7">
        <w:rPr>
          <w:vertAlign w:val="superscript"/>
        </w:rPr>
        <w:t>223</w:t>
      </w:r>
      <w:r w:rsidR="00FD5DA8">
        <w:t>RaCl</w:t>
      </w:r>
      <w:r w:rsidR="00FD5DA8" w:rsidRPr="007631E4">
        <w:rPr>
          <w:vertAlign w:val="subscript"/>
        </w:rPr>
        <w:t>2</w:t>
      </w:r>
      <w:r w:rsidR="00385B6A">
        <w:rPr>
          <w:vertAlign w:val="subscript"/>
        </w:rPr>
        <w:t xml:space="preserve"> </w:t>
      </w:r>
      <w:r w:rsidRPr="00053F17">
        <w:t>continued to demonstrate more favourable total</w:t>
      </w:r>
      <w:r w:rsidR="00FD5DA8">
        <w:t xml:space="preserve"> </w:t>
      </w:r>
      <w:r w:rsidRPr="00053F17">
        <w:t>ALP response at Week 12.</w:t>
      </w:r>
    </w:p>
    <w:p w:rsidR="00053F17" w:rsidRDefault="00053F17" w:rsidP="00053F17">
      <w:pPr>
        <w:pStyle w:val="Heading6"/>
      </w:pPr>
      <w:r w:rsidRPr="00053F17">
        <w:rPr>
          <w:rFonts w:eastAsia="TimesNewRoman,Bold"/>
        </w:rPr>
        <w:t xml:space="preserve">Time to occurrence of first </w:t>
      </w:r>
      <w:r w:rsidR="00D33508">
        <w:rPr>
          <w:rFonts w:eastAsia="TimesNewRoman,Bold"/>
        </w:rPr>
        <w:t>SRE</w:t>
      </w:r>
    </w:p>
    <w:p w:rsidR="00053F17" w:rsidRPr="00053F17" w:rsidRDefault="00053F17" w:rsidP="00053F17">
      <w:r w:rsidRPr="00053F17">
        <w:t>SRE was analysed as a composite endpoint comprising 4 variables: (</w:t>
      </w:r>
      <w:proofErr w:type="spellStart"/>
      <w:r w:rsidRPr="00053F17">
        <w:t>i</w:t>
      </w:r>
      <w:proofErr w:type="spellEnd"/>
      <w:r w:rsidRPr="00053F17">
        <w:t xml:space="preserve">) the use of EBRT (external beam radiotherapy) to relieve skeletal symptoms, (ii) the occurrence of new symptomatic pathological bone fractures, (iii) the occurrence of spinal cord compression, and </w:t>
      </w:r>
      <w:proofErr w:type="gramStart"/>
      <w:r w:rsidRPr="00053F17">
        <w:t>(iv) a</w:t>
      </w:r>
      <w:proofErr w:type="gramEnd"/>
      <w:r w:rsidRPr="00053F17">
        <w:t xml:space="preserve"> tumour</w:t>
      </w:r>
      <w:r w:rsidR="00B008B7">
        <w:t xml:space="preserve"> </w:t>
      </w:r>
      <w:r w:rsidRPr="00053F17">
        <w:t xml:space="preserve">related orthopaedic surgical intervention. For the interim analysis, a </w:t>
      </w:r>
      <w:r w:rsidRPr="00053F17">
        <w:lastRenderedPageBreak/>
        <w:t>smaller percentage of patients in th</w:t>
      </w:r>
      <w:r w:rsidR="00B008B7">
        <w:t xml:space="preserve">e </w:t>
      </w:r>
      <w:r w:rsidR="00646961" w:rsidRPr="001D76D7">
        <w:rPr>
          <w:vertAlign w:val="superscript"/>
        </w:rPr>
        <w:t>223</w:t>
      </w:r>
      <w:r w:rsidR="00646961">
        <w:t>RaCl</w:t>
      </w:r>
      <w:r w:rsidR="00646961" w:rsidRPr="007631E4">
        <w:rPr>
          <w:vertAlign w:val="subscript"/>
        </w:rPr>
        <w:t>2</w:t>
      </w:r>
      <w:r w:rsidR="00646961">
        <w:t xml:space="preserve"> </w:t>
      </w:r>
      <w:r w:rsidR="00B008B7">
        <w:t>group versus</w:t>
      </w:r>
      <w:r w:rsidRPr="00053F17">
        <w:t xml:space="preserve"> the placebo group (24.4% v</w:t>
      </w:r>
      <w:r w:rsidR="00B008B7">
        <w:t>ersus</w:t>
      </w:r>
      <w:r w:rsidRPr="00053F17">
        <w:t xml:space="preserve"> 30.6%) experienced a SRE. The median length of time to first SRE was 13.5 months for </w:t>
      </w:r>
      <w:r w:rsidR="00B008B7" w:rsidRPr="001D76D7">
        <w:rPr>
          <w:vertAlign w:val="superscript"/>
        </w:rPr>
        <w:t>223</w:t>
      </w:r>
      <w:r w:rsidR="00B008B7">
        <w:t>RaCl</w:t>
      </w:r>
      <w:r w:rsidR="00B008B7" w:rsidRPr="007631E4">
        <w:rPr>
          <w:vertAlign w:val="subscript"/>
        </w:rPr>
        <w:t>2</w:t>
      </w:r>
      <w:r w:rsidR="00B008B7">
        <w:t xml:space="preserve"> </w:t>
      </w:r>
      <w:r w:rsidRPr="00053F17">
        <w:t xml:space="preserve">group versus 8.4 months for placebo group. Occurrence of SRE was significantly delayed in patients receiving </w:t>
      </w:r>
      <w:r w:rsidR="00B008B7" w:rsidRPr="001D76D7">
        <w:rPr>
          <w:vertAlign w:val="superscript"/>
        </w:rPr>
        <w:t>223</w:t>
      </w:r>
      <w:r w:rsidR="00B008B7">
        <w:t>RaCl</w:t>
      </w:r>
      <w:r w:rsidR="00B008B7" w:rsidRPr="007631E4">
        <w:rPr>
          <w:vertAlign w:val="subscript"/>
        </w:rPr>
        <w:t>2</w:t>
      </w:r>
      <w:r w:rsidR="00B008B7">
        <w:t xml:space="preserve"> </w:t>
      </w:r>
      <w:r w:rsidRPr="00053F17">
        <w:t xml:space="preserve">(HR = 0.610, P = 0.00046). At the updated analysis, </w:t>
      </w:r>
      <w:r w:rsidR="00B008B7" w:rsidRPr="001D76D7">
        <w:rPr>
          <w:vertAlign w:val="superscript"/>
        </w:rPr>
        <w:t>223</w:t>
      </w:r>
      <w:r w:rsidR="00B008B7">
        <w:t>RaCl</w:t>
      </w:r>
      <w:r w:rsidR="00B008B7" w:rsidRPr="007631E4">
        <w:rPr>
          <w:vertAlign w:val="subscript"/>
        </w:rPr>
        <w:t>2</w:t>
      </w:r>
      <w:r w:rsidR="00B008B7">
        <w:t xml:space="preserve"> </w:t>
      </w:r>
      <w:r w:rsidRPr="00053F17">
        <w:t>demonstrated a significant and consistent prolongation in time to occurrence of first SRE compa</w:t>
      </w:r>
      <w:r w:rsidR="00F867F5">
        <w:t>red with placebo (15.6 months versus</w:t>
      </w:r>
      <w:r w:rsidR="008D7EA4">
        <w:t xml:space="preserve"> 9.8 months, HR = 0.658) (Table</w:t>
      </w:r>
      <w:r w:rsidR="006C55BD">
        <w:t>s</w:t>
      </w:r>
      <w:r w:rsidR="008D7EA4">
        <w:t xml:space="preserve"> </w:t>
      </w:r>
      <w:r w:rsidR="001606E0">
        <w:t>10-11</w:t>
      </w:r>
      <w:r w:rsidR="008D7EA4">
        <w:t>).</w:t>
      </w:r>
    </w:p>
    <w:p w:rsidR="00053F17" w:rsidRDefault="00053F17" w:rsidP="00053F17">
      <w:pPr>
        <w:pStyle w:val="TableTitle"/>
      </w:pPr>
      <w:r>
        <w:t>Table 1</w:t>
      </w:r>
      <w:r w:rsidR="001606E0">
        <w:t>0</w:t>
      </w:r>
      <w:r>
        <w:t>:</w:t>
      </w:r>
      <w:r w:rsidRPr="004C5C28">
        <w:t xml:space="preserve"> </w:t>
      </w:r>
      <w:r w:rsidR="008B3FD7" w:rsidRPr="008B3FD7">
        <w:t xml:space="preserve">Study BC1-06: </w:t>
      </w:r>
      <w:r w:rsidR="008D7EA4">
        <w:t>SREs</w:t>
      </w:r>
      <w:r>
        <w:t>.</w:t>
      </w:r>
    </w:p>
    <w:p w:rsidR="00BD2DBD" w:rsidRDefault="003201C5" w:rsidP="00053F17">
      <w:r>
        <w:rPr>
          <w:noProof/>
          <w:lang w:eastAsia="en-AU"/>
        </w:rPr>
        <w:drawing>
          <wp:inline distT="0" distB="0" distL="0" distR="0">
            <wp:extent cx="5400040" cy="2406650"/>
            <wp:effectExtent l="0" t="0" r="0" b="0"/>
            <wp:docPr id="13" name="Picture 13" descr="Table 10: Study BC1-06: S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0: Study BC1-06: SR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406650"/>
                    </a:xfrm>
                    <a:prstGeom prst="rect">
                      <a:avLst/>
                    </a:prstGeom>
                    <a:noFill/>
                    <a:ln>
                      <a:noFill/>
                    </a:ln>
                  </pic:spPr>
                </pic:pic>
              </a:graphicData>
            </a:graphic>
          </wp:inline>
        </w:drawing>
      </w:r>
    </w:p>
    <w:p w:rsidR="00053F17" w:rsidRDefault="00053F17" w:rsidP="00053F17">
      <w:pPr>
        <w:pStyle w:val="TableTitle"/>
      </w:pPr>
      <w:r>
        <w:t>Table 1</w:t>
      </w:r>
      <w:r w:rsidR="001606E0">
        <w:t>1</w:t>
      </w:r>
      <w:r>
        <w:t>:</w:t>
      </w:r>
      <w:r w:rsidRPr="004C5C28">
        <w:t xml:space="preserve"> </w:t>
      </w:r>
      <w:r w:rsidR="008B3FD7" w:rsidRPr="008B3FD7">
        <w:t>Study BC1-06: Disease</w:t>
      </w:r>
      <w:r w:rsidR="006C55BD">
        <w:t xml:space="preserve"> </w:t>
      </w:r>
      <w:r w:rsidR="008B3FD7" w:rsidRPr="008B3FD7">
        <w:t xml:space="preserve">related events associated with </w:t>
      </w:r>
      <w:r w:rsidR="006C55BD">
        <w:t>SREs</w:t>
      </w:r>
      <w:r>
        <w:t>.</w:t>
      </w:r>
    </w:p>
    <w:p w:rsidR="00053F17" w:rsidRDefault="003201C5" w:rsidP="00053F17">
      <w:r>
        <w:rPr>
          <w:noProof/>
          <w:lang w:eastAsia="en-AU"/>
        </w:rPr>
        <w:drawing>
          <wp:inline distT="0" distB="0" distL="0" distR="0">
            <wp:extent cx="5400040" cy="3036570"/>
            <wp:effectExtent l="0" t="0" r="0" b="0"/>
            <wp:docPr id="14" name="Picture 14" descr="Table 11: Study BC1-06: Disease related events associated with S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1: Study BC1-06: Disease related events associated with S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p>
    <w:p w:rsidR="00053F17" w:rsidRPr="00053F17" w:rsidRDefault="00053F17" w:rsidP="00053F17">
      <w:r w:rsidRPr="00053F17">
        <w:t xml:space="preserve">The delay of occurrence of SRE was mainly driven by the statistically significant delay in time to EBRT for pain relief. A greater proportion of patients in the placebo arm were deceased, resulting in fewer EBRT events in the placebo group, thus producing a biased longer median time to EBRT at the time of the updated analysis. A delay was also observed in patients receiving </w:t>
      </w:r>
      <w:r w:rsidR="006C55BD" w:rsidRPr="001D76D7">
        <w:rPr>
          <w:vertAlign w:val="superscript"/>
        </w:rPr>
        <w:t>223</w:t>
      </w:r>
      <w:r w:rsidR="006C55BD">
        <w:t>RaCl</w:t>
      </w:r>
      <w:r w:rsidR="006C55BD" w:rsidRPr="007631E4">
        <w:rPr>
          <w:vertAlign w:val="subscript"/>
        </w:rPr>
        <w:t>2</w:t>
      </w:r>
      <w:r w:rsidR="006C55BD">
        <w:t xml:space="preserve"> </w:t>
      </w:r>
      <w:r w:rsidRPr="00053F17">
        <w:t>compared to patients receiving placebo in time to spinal cord compression, time to surgical intervention, and time to bone fracture.</w:t>
      </w:r>
    </w:p>
    <w:p w:rsidR="00053F17" w:rsidRDefault="00053F17" w:rsidP="00053F17">
      <w:pPr>
        <w:pStyle w:val="Heading6"/>
      </w:pPr>
      <w:r w:rsidRPr="00053F17">
        <w:rPr>
          <w:rFonts w:eastAsia="TimesNewRoman,Bold"/>
        </w:rPr>
        <w:t>Total</w:t>
      </w:r>
      <w:r w:rsidR="00810279">
        <w:rPr>
          <w:rFonts w:eastAsia="TimesNewRoman,Bold"/>
        </w:rPr>
        <w:t xml:space="preserve"> </w:t>
      </w:r>
      <w:r w:rsidRPr="00053F17">
        <w:rPr>
          <w:rFonts w:eastAsia="TimesNewRoman,Bold"/>
        </w:rPr>
        <w:t>ALP normali</w:t>
      </w:r>
      <w:r w:rsidR="00810279">
        <w:rPr>
          <w:rFonts w:eastAsia="TimesNewRoman,Bold"/>
        </w:rPr>
        <w:t>s</w:t>
      </w:r>
      <w:r w:rsidRPr="00053F17">
        <w:rPr>
          <w:rFonts w:eastAsia="TimesNewRoman,Bold"/>
        </w:rPr>
        <w:t xml:space="preserve">ation at </w:t>
      </w:r>
      <w:r w:rsidR="00CD7197">
        <w:rPr>
          <w:rFonts w:eastAsia="TimesNewRoman,Bold"/>
        </w:rPr>
        <w:t>w</w:t>
      </w:r>
      <w:r w:rsidRPr="00053F17">
        <w:rPr>
          <w:rFonts w:eastAsia="TimesNewRoman,Bold"/>
        </w:rPr>
        <w:t>eek 12</w:t>
      </w:r>
    </w:p>
    <w:p w:rsidR="00053F17" w:rsidRPr="00053F17" w:rsidRDefault="00053F17" w:rsidP="00053F17">
      <w:r w:rsidRPr="00053F17">
        <w:t>At the interim analysis, total</w:t>
      </w:r>
      <w:r w:rsidR="00810279">
        <w:t xml:space="preserve"> </w:t>
      </w:r>
      <w:r w:rsidRPr="00053F17">
        <w:t>ALP normali</w:t>
      </w:r>
      <w:r w:rsidR="00810279">
        <w:t>s</w:t>
      </w:r>
      <w:r w:rsidRPr="00053F17">
        <w:t xml:space="preserve">ation was reached in 32.9% of patients with an elevated ALP at baseline in the </w:t>
      </w:r>
      <w:r w:rsidR="00810279" w:rsidRPr="001D76D7">
        <w:rPr>
          <w:vertAlign w:val="superscript"/>
        </w:rPr>
        <w:t>223</w:t>
      </w:r>
      <w:r w:rsidR="00810279">
        <w:t>RaCl</w:t>
      </w:r>
      <w:r w:rsidR="00810279" w:rsidRPr="007631E4">
        <w:rPr>
          <w:vertAlign w:val="subscript"/>
        </w:rPr>
        <w:t>2</w:t>
      </w:r>
      <w:r w:rsidR="00810279">
        <w:t xml:space="preserve"> </w:t>
      </w:r>
      <w:r w:rsidRPr="00053F17">
        <w:t>group v</w:t>
      </w:r>
      <w:r w:rsidR="00810279">
        <w:t>ersus</w:t>
      </w:r>
      <w:r w:rsidRPr="00053F17">
        <w:t xml:space="preserve"> only 0.9% of patients receiving </w:t>
      </w:r>
      <w:r w:rsidRPr="00053F17">
        <w:lastRenderedPageBreak/>
        <w:t xml:space="preserve">placebo (P &lt; 0.001). At the updated analysis, treatment with </w:t>
      </w:r>
      <w:r w:rsidR="00810279" w:rsidRPr="001D76D7">
        <w:rPr>
          <w:vertAlign w:val="superscript"/>
        </w:rPr>
        <w:t>223</w:t>
      </w:r>
      <w:r w:rsidR="00810279">
        <w:t>RaCl</w:t>
      </w:r>
      <w:r w:rsidR="00810279" w:rsidRPr="007631E4">
        <w:rPr>
          <w:vertAlign w:val="subscript"/>
        </w:rPr>
        <w:t>2</w:t>
      </w:r>
      <w:r w:rsidR="00810279">
        <w:t xml:space="preserve"> </w:t>
      </w:r>
      <w:r w:rsidRPr="00053F17">
        <w:t>continued to demonstrate favourable total</w:t>
      </w:r>
      <w:r w:rsidR="00810279">
        <w:t xml:space="preserve"> </w:t>
      </w:r>
      <w:r w:rsidRPr="00053F17">
        <w:t>ALP normali</w:t>
      </w:r>
      <w:r w:rsidR="00810279">
        <w:t>s</w:t>
      </w:r>
      <w:r w:rsidRPr="00053F17">
        <w:t>ation at Week 12 compared with placebo treatment.</w:t>
      </w:r>
    </w:p>
    <w:p w:rsidR="00053F17" w:rsidRDefault="00053F17" w:rsidP="00053F17">
      <w:pPr>
        <w:pStyle w:val="Heading6"/>
      </w:pPr>
      <w:r w:rsidRPr="00053F17">
        <w:rPr>
          <w:rFonts w:eastAsia="TimesNewRoman,Bold"/>
        </w:rPr>
        <w:t>Time to PSA progression</w:t>
      </w:r>
    </w:p>
    <w:p w:rsidR="00053F17" w:rsidRPr="00053F17" w:rsidRDefault="00053F17" w:rsidP="00053F17">
      <w:r>
        <w:t>A</w:t>
      </w:r>
      <w:r w:rsidRPr="00053F17">
        <w:t xml:space="preserve">t interim analysis, similar proportion of subjects in both groups experienced PSA progression (53.2% </w:t>
      </w:r>
      <w:r w:rsidR="00BF1319">
        <w:t>in the active treatment group versus</w:t>
      </w:r>
      <w:r w:rsidRPr="00053F17">
        <w:t xml:space="preserve"> 52.6% in the placebo group). Time to PSA progression was slightly longer in the </w:t>
      </w:r>
      <w:r w:rsidR="00BF1319" w:rsidRPr="001D76D7">
        <w:rPr>
          <w:vertAlign w:val="superscript"/>
        </w:rPr>
        <w:t>223</w:t>
      </w:r>
      <w:r w:rsidR="00BF1319">
        <w:t>RaCl</w:t>
      </w:r>
      <w:r w:rsidR="00BF1319" w:rsidRPr="007631E4">
        <w:rPr>
          <w:vertAlign w:val="subscript"/>
        </w:rPr>
        <w:t>2</w:t>
      </w:r>
      <w:r w:rsidR="00BF1319">
        <w:t xml:space="preserve"> </w:t>
      </w:r>
      <w:r w:rsidRPr="00053F17">
        <w:t>group compared to the placebo group (median 3.</w:t>
      </w:r>
      <w:r w:rsidR="00BF1319">
        <w:t>6 months versus</w:t>
      </w:r>
      <w:r w:rsidRPr="00053F17">
        <w:t xml:space="preserve"> 3.4 months, HR = 0.671; P = 0.00015). The results at the updated analysis were very similar to the interim analysis. While this endpoint (time to PSA progression) met the statistical significance, the magnitude of the effect was small.</w:t>
      </w:r>
    </w:p>
    <w:p w:rsidR="00053F17" w:rsidRPr="00053F17" w:rsidRDefault="00053F17" w:rsidP="00053F17">
      <w:pPr>
        <w:pStyle w:val="Heading5"/>
      </w:pPr>
      <w:r w:rsidRPr="00053F17">
        <w:t xml:space="preserve">Other endpoints: </w:t>
      </w:r>
      <w:r w:rsidR="00F74508">
        <w:t>q</w:t>
      </w:r>
      <w:r w:rsidRPr="00053F17">
        <w:t xml:space="preserve">uality of </w:t>
      </w:r>
      <w:r w:rsidR="00F74508">
        <w:t>l</w:t>
      </w:r>
      <w:r w:rsidRPr="00053F17">
        <w:t>ife</w:t>
      </w:r>
    </w:p>
    <w:p w:rsidR="00053F17" w:rsidRPr="00053F17" w:rsidRDefault="00053F17" w:rsidP="00053F17">
      <w:r w:rsidRPr="00053F17">
        <w:t>The patient’s health related quality of life (</w:t>
      </w:r>
      <w:proofErr w:type="spellStart"/>
      <w:r w:rsidRPr="00053F17">
        <w:t>HRQoL</w:t>
      </w:r>
      <w:proofErr w:type="spellEnd"/>
      <w:r w:rsidRPr="00053F17">
        <w:t xml:space="preserve">) was assessed through the use of two </w:t>
      </w:r>
      <w:proofErr w:type="spellStart"/>
      <w:r w:rsidRPr="00053F17">
        <w:t>HRQoL</w:t>
      </w:r>
      <w:proofErr w:type="spellEnd"/>
      <w:r w:rsidRPr="00053F17">
        <w:t xml:space="preserve"> instruments: the </w:t>
      </w:r>
      <w:proofErr w:type="spellStart"/>
      <w:r w:rsidRPr="00053F17">
        <w:t>EuroQoL</w:t>
      </w:r>
      <w:proofErr w:type="spellEnd"/>
      <w:r w:rsidRPr="00053F17">
        <w:t xml:space="preserve"> 5D (EQ-5D), which provides a generic assessment of health status, and the Functional Assessment of Cancer Therapy for Patients with Prostate Cancer (FACT-P Version 4), which is designed to assess the </w:t>
      </w:r>
      <w:proofErr w:type="spellStart"/>
      <w:r w:rsidRPr="00053F17">
        <w:t>HRQoL</w:t>
      </w:r>
      <w:proofErr w:type="spellEnd"/>
      <w:r w:rsidRPr="00053F17">
        <w:t xml:space="preserve"> of patients with prostate cancer. All quality of life data were analysed using the ITT population. The results of the primary </w:t>
      </w:r>
      <w:proofErr w:type="spellStart"/>
      <w:r w:rsidRPr="00053F17">
        <w:t>QoL</w:t>
      </w:r>
      <w:proofErr w:type="spellEnd"/>
      <w:r w:rsidRPr="00053F17">
        <w:t xml:space="preserve"> analysis showed that patients treated with </w:t>
      </w:r>
      <w:r w:rsidR="002C2C9A" w:rsidRPr="001D76D7">
        <w:rPr>
          <w:vertAlign w:val="superscript"/>
        </w:rPr>
        <w:t>223</w:t>
      </w:r>
      <w:r w:rsidR="002C2C9A">
        <w:t>Ra</w:t>
      </w:r>
      <w:r w:rsidR="002C2C9A" w:rsidRPr="00053F17">
        <w:t xml:space="preserve"> </w:t>
      </w:r>
      <w:r w:rsidRPr="00053F17">
        <w:t xml:space="preserve">had better </w:t>
      </w:r>
      <w:proofErr w:type="spellStart"/>
      <w:r w:rsidRPr="00053F17">
        <w:t>HRQoL</w:t>
      </w:r>
      <w:proofErr w:type="spellEnd"/>
      <w:r w:rsidRPr="00053F17">
        <w:t xml:space="preserve"> than patients with placebo. The mean decrease from baseline in the FACT-P total, EQ-5D utility index, the EQ-VAS </w:t>
      </w:r>
      <w:proofErr w:type="spellStart"/>
      <w:r w:rsidRPr="00053F17">
        <w:t>self</w:t>
      </w:r>
      <w:r w:rsidR="00BC7D8F">
        <w:t xml:space="preserve"> </w:t>
      </w:r>
      <w:r w:rsidRPr="00053F17">
        <w:t>reported</w:t>
      </w:r>
      <w:proofErr w:type="spellEnd"/>
      <w:r w:rsidRPr="00053F17">
        <w:t xml:space="preserve"> health status scores were all significantly less for </w:t>
      </w:r>
      <w:r w:rsidR="00D6294F" w:rsidRPr="001D76D7">
        <w:rPr>
          <w:vertAlign w:val="superscript"/>
        </w:rPr>
        <w:t>223</w:t>
      </w:r>
      <w:r w:rsidR="00D6294F">
        <w:t>Ra</w:t>
      </w:r>
      <w:r w:rsidR="00D6294F" w:rsidRPr="00053F17">
        <w:t xml:space="preserve"> </w:t>
      </w:r>
      <w:r w:rsidRPr="00053F17">
        <w:t xml:space="preserve">treated patients than for placebo treated patients. When assessing patients over the whole trial period, similar results were seen. This indicates that there was a trend toward some improvement in quality of life with </w:t>
      </w:r>
      <w:r w:rsidR="00BC7D8F" w:rsidRPr="001D76D7">
        <w:rPr>
          <w:vertAlign w:val="superscript"/>
        </w:rPr>
        <w:t>223</w:t>
      </w:r>
      <w:r w:rsidR="00BC7D8F">
        <w:t>Ra</w:t>
      </w:r>
      <w:r w:rsidR="00BC7D8F" w:rsidRPr="00053F17">
        <w:t xml:space="preserve"> </w:t>
      </w:r>
      <w:r w:rsidRPr="00053F17">
        <w:t>treatment.</w:t>
      </w:r>
    </w:p>
    <w:p w:rsidR="00053F17" w:rsidRPr="00053F17" w:rsidRDefault="00053F17" w:rsidP="00053F17">
      <w:pPr>
        <w:pStyle w:val="Heading6"/>
        <w:rPr>
          <w:rFonts w:eastAsia="Calibri"/>
        </w:rPr>
      </w:pPr>
      <w:r w:rsidRPr="00053F17">
        <w:rPr>
          <w:rFonts w:eastAsia="Calibri"/>
        </w:rPr>
        <w:t xml:space="preserve">Supportive </w:t>
      </w:r>
      <w:r w:rsidR="00F74508">
        <w:rPr>
          <w:rFonts w:eastAsia="Calibri"/>
        </w:rPr>
        <w:t>p</w:t>
      </w:r>
      <w:r w:rsidRPr="00053F17">
        <w:rPr>
          <w:rFonts w:eastAsia="Calibri"/>
        </w:rPr>
        <w:t xml:space="preserve">hase </w:t>
      </w:r>
      <w:r w:rsidR="00733273">
        <w:rPr>
          <w:rFonts w:eastAsia="Calibri"/>
        </w:rPr>
        <w:t>II</w:t>
      </w:r>
      <w:r w:rsidR="00CD7197">
        <w:rPr>
          <w:rFonts w:eastAsia="Calibri"/>
        </w:rPr>
        <w:t xml:space="preserve"> studies</w:t>
      </w:r>
    </w:p>
    <w:p w:rsidR="00053F17" w:rsidRPr="00053F17" w:rsidRDefault="00053F17" w:rsidP="00053F17">
      <w:r w:rsidRPr="00053F17">
        <w:t>Study BCI-02 was a randomised, double blind, placebo</w:t>
      </w:r>
      <w:r w:rsidR="00595C2D">
        <w:t xml:space="preserve"> </w:t>
      </w:r>
      <w:r w:rsidRPr="00053F17">
        <w:t xml:space="preserve">controlled study conducted in prostate cancer patients with painful bone metastases. Eligible patients had confirmed adenocarcinoma of the prostate with multiple bone metastases. The treatment period was 12 weeks, during which 4 injections of </w:t>
      </w:r>
      <w:r w:rsidR="00595C2D" w:rsidRPr="001D76D7">
        <w:rPr>
          <w:vertAlign w:val="superscript"/>
        </w:rPr>
        <w:t>223</w:t>
      </w:r>
      <w:r w:rsidR="00595C2D">
        <w:t>Ra</w:t>
      </w:r>
      <w:r w:rsidR="00595C2D" w:rsidRPr="00053F17">
        <w:t xml:space="preserve"> </w:t>
      </w:r>
      <w:r w:rsidRPr="00053F17">
        <w:t xml:space="preserve">(50 </w:t>
      </w:r>
      <w:proofErr w:type="spellStart"/>
      <w:r w:rsidRPr="00053F17">
        <w:t>kBq</w:t>
      </w:r>
      <w:proofErr w:type="spellEnd"/>
      <w:r w:rsidRPr="00053F17">
        <w:t>/</w:t>
      </w:r>
      <w:r w:rsidR="00595C2D">
        <w:t xml:space="preserve">kg body weight) were given at 4 </w:t>
      </w:r>
      <w:r w:rsidRPr="00053F17">
        <w:t>week intervals, follow up until 24 months. All subjects received a single treatment of EBR</w:t>
      </w:r>
      <w:r w:rsidR="00E34D3A">
        <w:t>T</w:t>
      </w:r>
      <w:r w:rsidRPr="00053F17">
        <w:t xml:space="preserve"> followed within 7 days by the first injection of study medication. The primary objective was to evaluate the effectiveness of </w:t>
      </w:r>
      <w:r w:rsidR="008D5305" w:rsidRPr="00C90F70">
        <w:rPr>
          <w:vertAlign w:val="superscript"/>
        </w:rPr>
        <w:t>223</w:t>
      </w:r>
      <w:r w:rsidR="008D5305">
        <w:t>Ra</w:t>
      </w:r>
      <w:r w:rsidRPr="00053F17">
        <w:t>. The primary endpoints were time to occurrence of SRE and the relative change (%) in bone</w:t>
      </w:r>
      <w:r w:rsidR="002B5498">
        <w:t xml:space="preserve"> </w:t>
      </w:r>
      <w:r w:rsidRPr="00053F17">
        <w:t>ALP levels from baseline to</w:t>
      </w:r>
      <w:r w:rsidR="00C50ECE">
        <w:t xml:space="preserve"> 4 weeks after last injection. </w:t>
      </w:r>
      <w:r w:rsidRPr="00053F17">
        <w:t xml:space="preserve">A total of 64 patients enrolled with 33 receiving </w:t>
      </w:r>
      <w:r w:rsidR="002B5498" w:rsidRPr="001D76D7">
        <w:rPr>
          <w:vertAlign w:val="superscript"/>
        </w:rPr>
        <w:t>223</w:t>
      </w:r>
      <w:r w:rsidR="002B5498">
        <w:t>Ra</w:t>
      </w:r>
      <w:r w:rsidR="002B5498" w:rsidRPr="00053F17">
        <w:t xml:space="preserve"> </w:t>
      </w:r>
      <w:r w:rsidRPr="00053F17">
        <w:t>and 31 receiving placebo. 31 patients completed 2 months and 13 completed 24 months. The ITT population included 64 patients while PP population included 58 patients. The statistical analysis was exploratory. Most analysis was done on the PP population rather than the ITT.</w:t>
      </w:r>
    </w:p>
    <w:p w:rsidR="00053F17" w:rsidRDefault="00053F17" w:rsidP="00053F17">
      <w:pPr>
        <w:pStyle w:val="Heading6"/>
      </w:pPr>
      <w:r w:rsidRPr="00053F17">
        <w:t>Time to first SRE</w:t>
      </w:r>
    </w:p>
    <w:p w:rsidR="00053F17" w:rsidRPr="00053F17" w:rsidRDefault="00053F17" w:rsidP="00053F17">
      <w:r>
        <w:t>I</w:t>
      </w:r>
      <w:r w:rsidRPr="00053F17">
        <w:t xml:space="preserve">n the PP population, the median time to first SRE was 16.0 weeks in the </w:t>
      </w:r>
      <w:r w:rsidR="00C50ECE" w:rsidRPr="001D76D7">
        <w:rPr>
          <w:vertAlign w:val="superscript"/>
        </w:rPr>
        <w:t>223</w:t>
      </w:r>
      <w:r w:rsidR="00C50ECE">
        <w:t>Ra</w:t>
      </w:r>
      <w:r w:rsidR="00C50ECE" w:rsidRPr="00053F17">
        <w:t xml:space="preserve"> </w:t>
      </w:r>
      <w:r w:rsidRPr="00053F17">
        <w:t>group and 11.0 weeks in the placebo group. The difference was not statistically significant (p</w:t>
      </w:r>
      <w:r w:rsidR="00C50ECE">
        <w:t xml:space="preserve"> </w:t>
      </w:r>
      <w:r w:rsidRPr="00053F17">
        <w:t>=</w:t>
      </w:r>
      <w:r w:rsidR="00C50ECE">
        <w:t xml:space="preserve"> </w:t>
      </w:r>
      <w:r w:rsidR="00CD7197">
        <w:t>0.2144).</w:t>
      </w:r>
    </w:p>
    <w:p w:rsidR="00053F17" w:rsidRDefault="00053F17" w:rsidP="00053F17">
      <w:pPr>
        <w:pStyle w:val="Heading6"/>
      </w:pPr>
      <w:r w:rsidRPr="00053F17">
        <w:t>Change in bone</w:t>
      </w:r>
      <w:r w:rsidR="006C589C">
        <w:t xml:space="preserve"> </w:t>
      </w:r>
      <w:r w:rsidRPr="00053F17">
        <w:t>ALP</w:t>
      </w:r>
    </w:p>
    <w:p w:rsidR="00053F17" w:rsidRPr="00053F17" w:rsidRDefault="00053F17" w:rsidP="00053F17">
      <w:r>
        <w:t>T</w:t>
      </w:r>
      <w:r w:rsidRPr="00053F17">
        <w:t>he median values for bone</w:t>
      </w:r>
      <w:r w:rsidR="006C589C">
        <w:t xml:space="preserve"> </w:t>
      </w:r>
      <w:r w:rsidRPr="00053F17">
        <w:t xml:space="preserve">ALP generally fell initially in the </w:t>
      </w:r>
      <w:r w:rsidR="006C589C" w:rsidRPr="001D76D7">
        <w:rPr>
          <w:vertAlign w:val="superscript"/>
        </w:rPr>
        <w:t>223</w:t>
      </w:r>
      <w:r w:rsidR="006C589C">
        <w:t>Ra</w:t>
      </w:r>
      <w:r w:rsidR="006C589C" w:rsidRPr="00053F17">
        <w:t xml:space="preserve"> </w:t>
      </w:r>
      <w:r w:rsidRPr="00053F17">
        <w:t xml:space="preserve">group and remained stable or increased in the placebo group. The median relative change from baseline to 4 weeks after the last treatment was -66% in the </w:t>
      </w:r>
      <w:r w:rsidR="006C589C" w:rsidRPr="001D76D7">
        <w:rPr>
          <w:vertAlign w:val="superscript"/>
        </w:rPr>
        <w:t>223</w:t>
      </w:r>
      <w:r w:rsidR="006C589C">
        <w:t>Ra</w:t>
      </w:r>
      <w:r w:rsidR="006C589C" w:rsidRPr="00053F17">
        <w:t xml:space="preserve"> </w:t>
      </w:r>
      <w:r w:rsidRPr="00053F17">
        <w:t>group and +9% in the placebo group for both the ITT and PP populations (p</w:t>
      </w:r>
      <w:r w:rsidR="0092791F">
        <w:t xml:space="preserve"> </w:t>
      </w:r>
      <w:r w:rsidRPr="00053F17">
        <w:t>&lt;0.001). Comparison of the time course of changes in bone</w:t>
      </w:r>
      <w:r w:rsidR="0092791F">
        <w:t xml:space="preserve"> </w:t>
      </w:r>
      <w:r w:rsidRPr="00053F17">
        <w:t>ALP shows that the relative change from baseline in the two treatment groups was statistically significantly different in all time points from 2 weeks after the first injection until Month 6.</w:t>
      </w:r>
    </w:p>
    <w:p w:rsidR="00053F17" w:rsidRDefault="00053F17" w:rsidP="00053F17">
      <w:pPr>
        <w:pStyle w:val="Heading6"/>
      </w:pPr>
      <w:r w:rsidRPr="00053F17">
        <w:lastRenderedPageBreak/>
        <w:t>Overall survival</w:t>
      </w:r>
    </w:p>
    <w:p w:rsidR="00053F17" w:rsidRPr="00053F17" w:rsidRDefault="00053F17" w:rsidP="00053F17">
      <w:r>
        <w:t>M</w:t>
      </w:r>
      <w:r w:rsidRPr="00053F17">
        <w:t xml:space="preserve">edian survival at the 24 month analysis was 71 weeks (16.3 months) in the </w:t>
      </w:r>
      <w:r w:rsidR="0092791F" w:rsidRPr="001D76D7">
        <w:rPr>
          <w:vertAlign w:val="superscript"/>
        </w:rPr>
        <w:t>223</w:t>
      </w:r>
      <w:r w:rsidR="0092791F">
        <w:t>RaCl</w:t>
      </w:r>
      <w:r w:rsidR="0092791F" w:rsidRPr="0092791F">
        <w:rPr>
          <w:vertAlign w:val="subscript"/>
        </w:rPr>
        <w:t>2</w:t>
      </w:r>
      <w:r w:rsidR="0092791F">
        <w:t xml:space="preserve"> </w:t>
      </w:r>
      <w:r w:rsidRPr="00053F17">
        <w:t xml:space="preserve">group compared to 46 weeks (10.5 months) in the placebo group (PP population; P = 0.0254, log rank). At 24 months, 10 patients (30%) in the </w:t>
      </w:r>
      <w:r w:rsidR="00CE07F2" w:rsidRPr="001D76D7">
        <w:rPr>
          <w:vertAlign w:val="superscript"/>
        </w:rPr>
        <w:t>223</w:t>
      </w:r>
      <w:r w:rsidR="00CE07F2">
        <w:t>RaCl</w:t>
      </w:r>
      <w:r w:rsidR="00CE07F2" w:rsidRPr="0092791F">
        <w:rPr>
          <w:vertAlign w:val="subscript"/>
        </w:rPr>
        <w:t>2</w:t>
      </w:r>
      <w:r w:rsidR="00CE07F2">
        <w:t xml:space="preserve"> </w:t>
      </w:r>
      <w:r w:rsidRPr="00053F17">
        <w:t xml:space="preserve">group were alive compared to 4 patients (13%) in the placebo group. This study showed a survival benefit of </w:t>
      </w:r>
      <w:r w:rsidR="0092791F" w:rsidRPr="001D76D7">
        <w:rPr>
          <w:vertAlign w:val="superscript"/>
        </w:rPr>
        <w:t>223</w:t>
      </w:r>
      <w:r w:rsidR="0092791F">
        <w:t>RaCl</w:t>
      </w:r>
      <w:r w:rsidR="0092791F" w:rsidRPr="0092791F">
        <w:rPr>
          <w:vertAlign w:val="subscript"/>
        </w:rPr>
        <w:t>2</w:t>
      </w:r>
      <w:r w:rsidR="0092791F">
        <w:t xml:space="preserve"> </w:t>
      </w:r>
      <w:r w:rsidRPr="00053F17">
        <w:t>despite the small sample size (HR = 0.476; p = 0.017).</w:t>
      </w:r>
    </w:p>
    <w:p w:rsidR="00053F17" w:rsidRPr="00053F17" w:rsidRDefault="00053F17" w:rsidP="00053F17">
      <w:r w:rsidRPr="00053F17">
        <w:t xml:space="preserve">The study showed that treatment with </w:t>
      </w:r>
      <w:r w:rsidR="00FB3306" w:rsidRPr="001D76D7">
        <w:rPr>
          <w:vertAlign w:val="superscript"/>
        </w:rPr>
        <w:t>223</w:t>
      </w:r>
      <w:r w:rsidR="00FB3306">
        <w:t xml:space="preserve">Ra </w:t>
      </w:r>
      <w:r w:rsidRPr="00053F17">
        <w:t>was associated with significant effects on a biochemical marker of bone turnover (bone</w:t>
      </w:r>
      <w:r w:rsidR="00FB3306">
        <w:t xml:space="preserve"> </w:t>
      </w:r>
      <w:r w:rsidRPr="00053F17">
        <w:t>ALP). A beneficial trend in the survival data also supported a treatment effect, although survival data in only 64 patients shou</w:t>
      </w:r>
      <w:r w:rsidR="00F74508">
        <w:t>ld be interpreted with caution.</w:t>
      </w:r>
    </w:p>
    <w:p w:rsidR="00053F17" w:rsidRPr="00053F17" w:rsidRDefault="00053F17" w:rsidP="00053F17">
      <w:r w:rsidRPr="00053F17">
        <w:t>Study BC1-03 was a double</w:t>
      </w:r>
      <w:r w:rsidR="00FB3306">
        <w:t xml:space="preserve"> </w:t>
      </w:r>
      <w:r w:rsidRPr="00053F17">
        <w:t>blind, dose</w:t>
      </w:r>
      <w:r w:rsidR="00FB3306">
        <w:t xml:space="preserve"> </w:t>
      </w:r>
      <w:r w:rsidRPr="00053F17">
        <w:t xml:space="preserve">response study of </w:t>
      </w:r>
      <w:r w:rsidR="00FB3306" w:rsidRPr="001D76D7">
        <w:rPr>
          <w:vertAlign w:val="superscript"/>
        </w:rPr>
        <w:t>223</w:t>
      </w:r>
      <w:r w:rsidR="00FB3306">
        <w:t xml:space="preserve">Ra </w:t>
      </w:r>
      <w:r w:rsidRPr="00053F17">
        <w:t>to assess whether there is a dose</w:t>
      </w:r>
      <w:r w:rsidR="00CA7628">
        <w:t xml:space="preserve"> </w:t>
      </w:r>
      <w:r w:rsidRPr="00053F17">
        <w:t xml:space="preserve">response relationship for </w:t>
      </w:r>
      <w:r w:rsidR="00FB3306" w:rsidRPr="001D76D7">
        <w:rPr>
          <w:vertAlign w:val="superscript"/>
        </w:rPr>
        <w:t>223</w:t>
      </w:r>
      <w:r w:rsidR="00FB3306">
        <w:t xml:space="preserve">Ra </w:t>
      </w:r>
      <w:r w:rsidRPr="00053F17">
        <w:t>in patients with painful bone metastases secondary to prostate cancer regarding the palliation of bone pain. The study assessed 4 dose leve</w:t>
      </w:r>
      <w:r w:rsidR="00FB3306">
        <w:t xml:space="preserve">ls (5, 25, 50 and 100 </w:t>
      </w:r>
      <w:proofErr w:type="spellStart"/>
      <w:r w:rsidR="00FB3306">
        <w:t>kBq</w:t>
      </w:r>
      <w:proofErr w:type="spellEnd"/>
      <w:r w:rsidR="00FB3306">
        <w:t>/kg body weight</w:t>
      </w:r>
      <w:r w:rsidRPr="00053F17">
        <w:t xml:space="preserve">) of </w:t>
      </w:r>
      <w:r w:rsidR="00FB3306" w:rsidRPr="001D76D7">
        <w:rPr>
          <w:vertAlign w:val="superscript"/>
        </w:rPr>
        <w:t>223</w:t>
      </w:r>
      <w:r w:rsidR="00FB3306">
        <w:t xml:space="preserve">Ra </w:t>
      </w:r>
      <w:r w:rsidRPr="00053F17">
        <w:t xml:space="preserve">in 100 </w:t>
      </w:r>
      <w:r w:rsidR="00FB3306">
        <w:t xml:space="preserve">HRPC </w:t>
      </w:r>
      <w:r w:rsidRPr="00053F17">
        <w:t xml:space="preserve">patients. The primary endpoint was the pain index (based on </w:t>
      </w:r>
      <w:proofErr w:type="spellStart"/>
      <w:r w:rsidRPr="00053F17">
        <w:t>self assessment</w:t>
      </w:r>
      <w:proofErr w:type="spellEnd"/>
      <w:r w:rsidRPr="00053F17">
        <w:t xml:space="preserve"> of pain on a visual </w:t>
      </w:r>
      <w:proofErr w:type="spellStart"/>
      <w:r w:rsidRPr="00053F17">
        <w:t>analog</w:t>
      </w:r>
      <w:proofErr w:type="spellEnd"/>
      <w:r w:rsidRPr="00053F17">
        <w:t xml:space="preserve"> scale and analgesic consumption) defined by a combination of the change in diary pain rating and the change in analgesic consumption. The stu</w:t>
      </w:r>
      <w:r w:rsidR="00CA7628">
        <w:t>dy patients received a single i</w:t>
      </w:r>
      <w:r w:rsidRPr="00053F17">
        <w:t xml:space="preserve">njection of </w:t>
      </w:r>
      <w:r w:rsidR="00D247A9" w:rsidRPr="001D76D7">
        <w:rPr>
          <w:vertAlign w:val="superscript"/>
        </w:rPr>
        <w:t>223</w:t>
      </w:r>
      <w:r w:rsidR="00D247A9">
        <w:t>RaCl</w:t>
      </w:r>
      <w:r w:rsidR="00D247A9" w:rsidRPr="0092791F">
        <w:rPr>
          <w:vertAlign w:val="subscript"/>
        </w:rPr>
        <w:t>2</w:t>
      </w:r>
      <w:r w:rsidR="00D247A9">
        <w:t xml:space="preserve"> </w:t>
      </w:r>
      <w:r w:rsidRPr="00053F17">
        <w:t xml:space="preserve">(at 5, 25, 50 or 100 </w:t>
      </w:r>
      <w:proofErr w:type="spellStart"/>
      <w:r w:rsidRPr="00053F17">
        <w:t>kBq</w:t>
      </w:r>
      <w:proofErr w:type="spellEnd"/>
      <w:r w:rsidRPr="00053F17">
        <w:t xml:space="preserve">/kg </w:t>
      </w:r>
      <w:r w:rsidR="00D247A9">
        <w:t>body weight</w:t>
      </w:r>
      <w:r w:rsidRPr="00053F17">
        <w:t>) followed by a 16</w:t>
      </w:r>
      <w:r w:rsidR="00D247A9">
        <w:t xml:space="preserve"> </w:t>
      </w:r>
      <w:r w:rsidRPr="00053F17">
        <w:t>week Post</w:t>
      </w:r>
      <w:r w:rsidR="00D247A9">
        <w:t xml:space="preserve"> </w:t>
      </w:r>
      <w:r w:rsidRPr="00053F17">
        <w:t xml:space="preserve">Treatment Period. At the end of this period the study was </w:t>
      </w:r>
      <w:proofErr w:type="spellStart"/>
      <w:r w:rsidRPr="00053F17">
        <w:t>unblinded</w:t>
      </w:r>
      <w:proofErr w:type="spellEnd"/>
      <w:r w:rsidRPr="00053F17">
        <w:t xml:space="preserve">. Follow-up visits were planned </w:t>
      </w:r>
      <w:r w:rsidR="00D247A9">
        <w:t>6, 9, 12, 18, and 24 months. A seco</w:t>
      </w:r>
      <w:r w:rsidRPr="00053F17">
        <w:t xml:space="preserve">nd injection of </w:t>
      </w:r>
      <w:r w:rsidR="00D247A9" w:rsidRPr="001D76D7">
        <w:rPr>
          <w:vertAlign w:val="superscript"/>
        </w:rPr>
        <w:t>223</w:t>
      </w:r>
      <w:r w:rsidR="00D247A9">
        <w:t>RaCl</w:t>
      </w:r>
      <w:r w:rsidR="00D247A9" w:rsidRPr="0092791F">
        <w:rPr>
          <w:vertAlign w:val="subscript"/>
        </w:rPr>
        <w:t>2</w:t>
      </w:r>
      <w:r w:rsidR="00D247A9">
        <w:t xml:space="preserve"> </w:t>
      </w:r>
      <w:r w:rsidRPr="00053F17">
        <w:t xml:space="preserve">(fixed dose of 50 </w:t>
      </w:r>
      <w:proofErr w:type="spellStart"/>
      <w:r w:rsidRPr="00053F17">
        <w:t>kBq</w:t>
      </w:r>
      <w:proofErr w:type="spellEnd"/>
      <w:r w:rsidRPr="00053F17">
        <w:t xml:space="preserve">/kg </w:t>
      </w:r>
      <w:r w:rsidR="00D247A9">
        <w:t>body weight</w:t>
      </w:r>
      <w:r w:rsidRPr="00053F17">
        <w:t>) could be offered to patien</w:t>
      </w:r>
      <w:r w:rsidR="00F74508">
        <w:t>ts during the Follow-up Period.</w:t>
      </w:r>
    </w:p>
    <w:p w:rsidR="00053F17" w:rsidRPr="00053F17" w:rsidRDefault="00053F17" w:rsidP="00053F17">
      <w:r w:rsidRPr="00053F17">
        <w:t>The results of the primary efficacy variable (a higher score reflects more pain) in four single</w:t>
      </w:r>
      <w:r w:rsidR="00CA7628">
        <w:t xml:space="preserve"> </w:t>
      </w:r>
      <w:r w:rsidRPr="00053F17">
        <w:t>dose leve</w:t>
      </w:r>
      <w:r w:rsidR="00CA7628">
        <w:t xml:space="preserve">ls (5, 25, 50 and 100 </w:t>
      </w:r>
      <w:proofErr w:type="spellStart"/>
      <w:r w:rsidR="00CA7628">
        <w:t>kBq</w:t>
      </w:r>
      <w:proofErr w:type="spellEnd"/>
      <w:r w:rsidR="00CA7628">
        <w:t>/kg body weight</w:t>
      </w:r>
      <w:r w:rsidRPr="00053F17">
        <w:t>) established a dose</w:t>
      </w:r>
      <w:r w:rsidR="00CA7628">
        <w:t xml:space="preserve"> </w:t>
      </w:r>
      <w:r w:rsidRPr="00053F17">
        <w:t xml:space="preserve">dependent beneficial effect of </w:t>
      </w:r>
      <w:r w:rsidR="00CA7628" w:rsidRPr="001D76D7">
        <w:rPr>
          <w:vertAlign w:val="superscript"/>
        </w:rPr>
        <w:t>223</w:t>
      </w:r>
      <w:r w:rsidR="00CA7628">
        <w:t>RaCl</w:t>
      </w:r>
      <w:r w:rsidR="00CA7628" w:rsidRPr="0092791F">
        <w:rPr>
          <w:vertAlign w:val="subscript"/>
        </w:rPr>
        <w:t>2</w:t>
      </w:r>
      <w:r w:rsidR="00CA7628">
        <w:t xml:space="preserve"> on the pain index. </w:t>
      </w:r>
      <w:r w:rsidRPr="00053F17">
        <w:t xml:space="preserve">At Week 2, the highest mean scores were in </w:t>
      </w:r>
      <w:r w:rsidR="00CA7628">
        <w:t xml:space="preserve">the 5 and 25 </w:t>
      </w:r>
      <w:proofErr w:type="spellStart"/>
      <w:r w:rsidR="00CA7628">
        <w:t>kBq</w:t>
      </w:r>
      <w:proofErr w:type="spellEnd"/>
      <w:r w:rsidR="00CA7628">
        <w:t>/kg body weight</w:t>
      </w:r>
      <w:r w:rsidRPr="00053F17">
        <w:t xml:space="preserve"> dose groups (4.8 and 4.1, respectively) compared with lower mean scores in the 50 and 100 </w:t>
      </w:r>
      <w:proofErr w:type="spellStart"/>
      <w:r w:rsidRPr="00053F17">
        <w:t>kBq</w:t>
      </w:r>
      <w:proofErr w:type="spellEnd"/>
      <w:r w:rsidRPr="00053F17">
        <w:t xml:space="preserve">/kg </w:t>
      </w:r>
      <w:r w:rsidR="00CA7628">
        <w:t>body weight</w:t>
      </w:r>
      <w:r w:rsidRPr="00053F17">
        <w:t xml:space="preserve"> dose groups (both 3.9) (p</w:t>
      </w:r>
      <w:r w:rsidR="00CA7628">
        <w:t xml:space="preserve"> </w:t>
      </w:r>
      <w:r w:rsidRPr="00053F17">
        <w:t>=</w:t>
      </w:r>
      <w:r w:rsidR="00CA7628">
        <w:t xml:space="preserve"> </w:t>
      </w:r>
      <w:r w:rsidRPr="00053F17">
        <w:t>0.035 [</w:t>
      </w:r>
      <w:proofErr w:type="spellStart"/>
      <w:r w:rsidRPr="00053F17">
        <w:t>Jonckheere-Terpstra</w:t>
      </w:r>
      <w:proofErr w:type="spellEnd"/>
      <w:r w:rsidRPr="00053F17">
        <w:t xml:space="preserve"> test for trends]). At Weeks 4 and 8, the best response was recorded in the 100 </w:t>
      </w:r>
      <w:proofErr w:type="spellStart"/>
      <w:r w:rsidRPr="00053F17">
        <w:t>kBq</w:t>
      </w:r>
      <w:proofErr w:type="spellEnd"/>
      <w:r w:rsidRPr="00053F17">
        <w:t xml:space="preserve">/kg </w:t>
      </w:r>
      <w:r w:rsidR="00CA7628">
        <w:t>body weight</w:t>
      </w:r>
      <w:r w:rsidRPr="00053F17">
        <w:t xml:space="preserve"> dose group. Likewise, the use of analgesics recorded in this study showed a similar beneficial effect of </w:t>
      </w:r>
      <w:r w:rsidR="00CA7628" w:rsidRPr="001D76D7">
        <w:rPr>
          <w:vertAlign w:val="superscript"/>
        </w:rPr>
        <w:t>223</w:t>
      </w:r>
      <w:r w:rsidR="00CA7628">
        <w:t>RaCl</w:t>
      </w:r>
      <w:r w:rsidR="00CA7628" w:rsidRPr="0092791F">
        <w:rPr>
          <w:vertAlign w:val="subscript"/>
        </w:rPr>
        <w:t>2</w:t>
      </w:r>
      <w:r w:rsidR="001D23C0">
        <w:t xml:space="preserve">. </w:t>
      </w:r>
      <w:r w:rsidRPr="00053F17">
        <w:t>In the two lowest dose groups, a higher percentage of patients had increased bone pain medication compared wi</w:t>
      </w:r>
      <w:r w:rsidR="001D23C0">
        <w:t xml:space="preserve">th the two highest dose groups </w:t>
      </w:r>
      <w:r w:rsidRPr="00053F17">
        <w:t>at Weeks 2, 4 and 8.</w:t>
      </w:r>
    </w:p>
    <w:p w:rsidR="00053F17" w:rsidRPr="00053F17" w:rsidRDefault="00053F17" w:rsidP="00053F17">
      <w:r w:rsidRPr="00053F17">
        <w:t xml:space="preserve">Study BCI-04 was a double blind, randomised, dose finding, repeat dose study of </w:t>
      </w:r>
      <w:r w:rsidR="003B0A1A" w:rsidRPr="001D76D7">
        <w:rPr>
          <w:vertAlign w:val="superscript"/>
        </w:rPr>
        <w:t>223</w:t>
      </w:r>
      <w:r w:rsidR="003B0A1A">
        <w:t xml:space="preserve">Ra </w:t>
      </w:r>
      <w:r w:rsidRPr="00053F17">
        <w:t xml:space="preserve">for the treatment of patients with </w:t>
      </w:r>
      <w:r w:rsidR="00FD073A">
        <w:t>HRPC</w:t>
      </w:r>
      <w:r w:rsidRPr="00053F17">
        <w:t xml:space="preserve"> and skeletal metastases. The primary objective was to compare the proportion of patients showing a PSA response (PSA decrease ≥ 50% from baseline, confirmed 3 weeks later) on 3 different repeat dose regimens of</w:t>
      </w:r>
      <w:r w:rsidR="00775003">
        <w:t xml:space="preserve"> </w:t>
      </w:r>
      <w:r w:rsidR="00775003" w:rsidRPr="001D76D7">
        <w:rPr>
          <w:vertAlign w:val="superscript"/>
        </w:rPr>
        <w:t>223</w:t>
      </w:r>
      <w:r w:rsidR="00775003">
        <w:t>Ra</w:t>
      </w:r>
      <w:r w:rsidRPr="00053F17">
        <w:t xml:space="preserve">. Eligible patients were randomised with equal probability to receive 25, 50 or 80 </w:t>
      </w:r>
      <w:proofErr w:type="spellStart"/>
      <w:r w:rsidRPr="00053F17">
        <w:t>kBq</w:t>
      </w:r>
      <w:proofErr w:type="spellEnd"/>
      <w:r w:rsidRPr="00053F17">
        <w:t xml:space="preserve">/kg body weight, the same dose being given on each dosing occasion (total doses of 75, 150 or 240 </w:t>
      </w:r>
      <w:proofErr w:type="spellStart"/>
      <w:r w:rsidRPr="00053F17">
        <w:t>kBq</w:t>
      </w:r>
      <w:proofErr w:type="spellEnd"/>
      <w:r w:rsidRPr="00053F17">
        <w:t xml:space="preserve">/kg). The treatment consisted of 3 injections of </w:t>
      </w:r>
      <w:r w:rsidR="00F6666E" w:rsidRPr="001D76D7">
        <w:rPr>
          <w:vertAlign w:val="superscript"/>
        </w:rPr>
        <w:t>223</w:t>
      </w:r>
      <w:r w:rsidR="00F6666E">
        <w:t xml:space="preserve">Ra </w:t>
      </w:r>
      <w:r w:rsidRPr="00053F17">
        <w:t>each separated by an interval of 6 weeks. The trea</w:t>
      </w:r>
      <w:r w:rsidR="00F6666E">
        <w:t xml:space="preserve">tment period was the 12 </w:t>
      </w:r>
      <w:r w:rsidR="00F74508">
        <w:t>week after the first injection.</w:t>
      </w:r>
    </w:p>
    <w:p w:rsidR="00053F17" w:rsidRDefault="00053F17" w:rsidP="00053F17">
      <w:r w:rsidRPr="00053F17">
        <w:t>The primary efficacy endpoint was the proportion of patients with a confirmed PSA response. Efficacy was assessed during the treatment and post</w:t>
      </w:r>
      <w:r w:rsidR="004C1FFB">
        <w:t xml:space="preserve"> </w:t>
      </w:r>
      <w:r w:rsidRPr="00053F17">
        <w:t>treatment periods (12 weeks after the last injection). Survival was assessed throughout the study. The study met the primary endpoint as a statistically significant dose</w:t>
      </w:r>
      <w:r w:rsidR="004C1FFB">
        <w:t xml:space="preserve"> </w:t>
      </w:r>
      <w:r w:rsidRPr="00053F17">
        <w:t xml:space="preserve">response relationship for confirmed 50% PSA response was demonstrated. In the </w:t>
      </w:r>
      <w:r w:rsidR="004C1FFB">
        <w:t>PP s</w:t>
      </w:r>
      <w:r w:rsidRPr="00053F17">
        <w:t xml:space="preserve">et, this occurred in 0 (0 %), 2 (5.6 %) and 5 (12.8 %) of subjects in the 25 </w:t>
      </w:r>
      <w:proofErr w:type="spellStart"/>
      <w:r w:rsidRPr="00053F17">
        <w:t>kBq</w:t>
      </w:r>
      <w:proofErr w:type="spellEnd"/>
      <w:r w:rsidRPr="00053F17">
        <w:t xml:space="preserve">/kg, 50 </w:t>
      </w:r>
      <w:proofErr w:type="spellStart"/>
      <w:r w:rsidRPr="00053F17">
        <w:t>kBq</w:t>
      </w:r>
      <w:proofErr w:type="spellEnd"/>
      <w:r w:rsidRPr="00053F17">
        <w:t xml:space="preserve">/kg and 80 </w:t>
      </w:r>
      <w:proofErr w:type="spellStart"/>
      <w:r w:rsidRPr="00053F17">
        <w:t>kBq</w:t>
      </w:r>
      <w:proofErr w:type="spellEnd"/>
      <w:r w:rsidRPr="00053F17">
        <w:t>/kg dose groups, respectively (p</w:t>
      </w:r>
      <w:r w:rsidR="004C1FFB">
        <w:t xml:space="preserve"> </w:t>
      </w:r>
      <w:r w:rsidRPr="00053F17">
        <w:t>=</w:t>
      </w:r>
      <w:r w:rsidR="004C1FFB">
        <w:t xml:space="preserve"> </w:t>
      </w:r>
      <w:r w:rsidRPr="00053F17">
        <w:t xml:space="preserve">0.0297). </w:t>
      </w:r>
      <w:r w:rsidR="003B0959">
        <w:t xml:space="preserve">There was a </w:t>
      </w:r>
      <w:proofErr w:type="spellStart"/>
      <w:r w:rsidRPr="00053F17">
        <w:t>Jonckheere-Terpstra</w:t>
      </w:r>
      <w:proofErr w:type="spellEnd"/>
      <w:r w:rsidRPr="00053F17">
        <w:t xml:space="preserve"> test for dose response; pair wise comparison between 25 </w:t>
      </w:r>
      <w:proofErr w:type="spellStart"/>
      <w:r w:rsidRPr="00053F17">
        <w:t>kBq</w:t>
      </w:r>
      <w:proofErr w:type="spellEnd"/>
      <w:r w:rsidRPr="00053F17">
        <w:t xml:space="preserve">/kg and 80 </w:t>
      </w:r>
      <w:proofErr w:type="spellStart"/>
      <w:r w:rsidRPr="00053F17">
        <w:t>kBq</w:t>
      </w:r>
      <w:proofErr w:type="spellEnd"/>
      <w:r w:rsidRPr="00053F17">
        <w:t>/kg dose groups was borderline significant (p</w:t>
      </w:r>
      <w:r w:rsidR="004C1FFB">
        <w:t xml:space="preserve"> </w:t>
      </w:r>
      <w:r w:rsidRPr="00053F17">
        <w:t>=</w:t>
      </w:r>
      <w:r w:rsidR="004C1FFB">
        <w:t xml:space="preserve"> </w:t>
      </w:r>
      <w:r w:rsidRPr="00053F17">
        <w:t xml:space="preserve">0.0548). Results in the ITT </w:t>
      </w:r>
      <w:r w:rsidR="004C1FFB">
        <w:t>s</w:t>
      </w:r>
      <w:r w:rsidRPr="00053F17">
        <w:t>et were similar (p</w:t>
      </w:r>
      <w:r w:rsidR="004C1FFB">
        <w:t xml:space="preserve"> </w:t>
      </w:r>
      <w:r w:rsidRPr="00053F17">
        <w:t>=</w:t>
      </w:r>
      <w:r w:rsidR="004C1FFB">
        <w:t xml:space="preserve"> </w:t>
      </w:r>
      <w:r w:rsidRPr="00053F17">
        <w:t>0.0290). This shows that there is a positive dose response relationship and the highest dose is more effective than the lowest dose.</w:t>
      </w:r>
    </w:p>
    <w:p w:rsidR="00F03287" w:rsidRPr="0060493D" w:rsidRDefault="00F03287" w:rsidP="00F03287">
      <w:pPr>
        <w:pStyle w:val="Heading5"/>
      </w:pPr>
      <w:r>
        <w:lastRenderedPageBreak/>
        <w:t xml:space="preserve">Clinical </w:t>
      </w:r>
      <w:r w:rsidR="00F74508">
        <w:t>s</w:t>
      </w:r>
      <w:r w:rsidRPr="0060493D">
        <w:t>afety</w:t>
      </w:r>
    </w:p>
    <w:p w:rsidR="00F03287" w:rsidRPr="00F03287" w:rsidRDefault="00F03287" w:rsidP="00F03287">
      <w:r w:rsidRPr="00F03287">
        <w:t>The safety is based largely on the analysis of the pivotal clinical study (BCI-06)</w:t>
      </w:r>
      <w:r w:rsidR="00C86859">
        <w:t xml:space="preserve"> (Table 1</w:t>
      </w:r>
      <w:r w:rsidR="001606E0">
        <w:t>2</w:t>
      </w:r>
      <w:r w:rsidR="00C86859">
        <w:t>)</w:t>
      </w:r>
      <w:r w:rsidRPr="00F03287">
        <w:t xml:space="preserve">. Safety population of Study BCI-06 included a total of 600 patients who were treated with </w:t>
      </w:r>
      <w:r w:rsidR="00624022" w:rsidRPr="001D76D7">
        <w:rPr>
          <w:vertAlign w:val="superscript"/>
        </w:rPr>
        <w:t>223</w:t>
      </w:r>
      <w:r w:rsidR="00624022">
        <w:t>Ra</w:t>
      </w:r>
      <w:r w:rsidRPr="00F03287">
        <w:t xml:space="preserve">. This patient population means the upper limit of the </w:t>
      </w:r>
      <w:r w:rsidR="00624022">
        <w:t xml:space="preserve">95% CI of an undetected AE </w:t>
      </w:r>
      <w:r w:rsidRPr="00F03287">
        <w:t xml:space="preserve">is not higher than 3/904 (0.3%). Almost all subjects reported at least one </w:t>
      </w:r>
      <w:r w:rsidR="00C86859">
        <w:t>AE</w:t>
      </w:r>
      <w:r w:rsidRPr="00F03287">
        <w:t xml:space="preserve">. The overall AE rate was lower in the </w:t>
      </w:r>
      <w:r w:rsidR="00113589" w:rsidRPr="001D76D7">
        <w:rPr>
          <w:vertAlign w:val="superscript"/>
        </w:rPr>
        <w:t>223</w:t>
      </w:r>
      <w:r w:rsidR="00113589">
        <w:t>Ra</w:t>
      </w:r>
      <w:r w:rsidR="00113589" w:rsidRPr="00F03287">
        <w:t xml:space="preserve"> </w:t>
      </w:r>
      <w:r w:rsidRPr="00F03287">
        <w:t xml:space="preserve">group compared to placebo. The most frequent AEs were </w:t>
      </w:r>
      <w:r w:rsidR="00C86859">
        <w:t>GI</w:t>
      </w:r>
      <w:r w:rsidRPr="00F03287">
        <w:t xml:space="preserve"> and bone marrow suppression. The AEs with a notably higher frequency in the </w:t>
      </w:r>
      <w:r w:rsidR="00113589" w:rsidRPr="001D76D7">
        <w:rPr>
          <w:vertAlign w:val="superscript"/>
        </w:rPr>
        <w:t>223</w:t>
      </w:r>
      <w:r w:rsidR="00113589">
        <w:t>Ra</w:t>
      </w:r>
      <w:r w:rsidR="00113589" w:rsidRPr="00F03287">
        <w:t xml:space="preserve"> </w:t>
      </w:r>
      <w:r w:rsidRPr="00F03287">
        <w:t xml:space="preserve">group than in the placebo group were diarrhoea (25.2% versus 15.0%), thrombocytopenia, (11.5% versus 5.6%), and neutropenia (5.0% versus 1.0%). Dehydration was also higher in the </w:t>
      </w:r>
      <w:r w:rsidR="00113589" w:rsidRPr="001D76D7">
        <w:rPr>
          <w:vertAlign w:val="superscript"/>
        </w:rPr>
        <w:t>223</w:t>
      </w:r>
      <w:r w:rsidR="00113589">
        <w:t>Ra</w:t>
      </w:r>
      <w:r w:rsidR="00113589" w:rsidRPr="00F03287">
        <w:t xml:space="preserve"> </w:t>
      </w:r>
      <w:r w:rsidRPr="00F03287">
        <w:t>group (3.3% versus 1.3%). Diarrhoea, nausea and vomiting were primarily Grade 1 or 2. The bone marrow suppression, thrombocytopenia and leu</w:t>
      </w:r>
      <w:r w:rsidR="00C86859">
        <w:t>kop</w:t>
      </w:r>
      <w:r w:rsidRPr="00F03287">
        <w:t>enia were mostly Grade 1 or 2 but higher grade events were also observed. Of note</w:t>
      </w:r>
      <w:r w:rsidR="00C86859">
        <w:t>,</w:t>
      </w:r>
      <w:r w:rsidRPr="00F03287">
        <w:t xml:space="preserve"> the higher frequencies of thrombocytopenia, neutropenia and </w:t>
      </w:r>
      <w:proofErr w:type="spellStart"/>
      <w:r w:rsidRPr="00F03287">
        <w:t>lymphopenia</w:t>
      </w:r>
      <w:proofErr w:type="spellEnd"/>
      <w:r w:rsidRPr="00F03287">
        <w:t xml:space="preserve"> did not result in an increased rate of haemorrhages or infections, which indicates that acute toxicity is manageable. Patients with </w:t>
      </w:r>
      <w:proofErr w:type="spellStart"/>
      <w:r w:rsidRPr="00F03287">
        <w:t>Crohn’s</w:t>
      </w:r>
      <w:proofErr w:type="spellEnd"/>
      <w:r w:rsidRPr="00F03287">
        <w:t xml:space="preserve"> disease or ulcerative colitis were excluded from the pivotal study. This is currently mentioned in a PRECAUTION section of the PI. Due to the local radiation during faecal excretion</w:t>
      </w:r>
      <w:r w:rsidR="00C86859">
        <w:t>,</w:t>
      </w:r>
      <w:r w:rsidRPr="00F03287">
        <w:t xml:space="preserve"> the risk for complication in i</w:t>
      </w:r>
      <w:r w:rsidR="00113589">
        <w:t>nflammatory bowel diseases (for example,</w:t>
      </w:r>
      <w:r w:rsidRPr="00F03287">
        <w:t xml:space="preserve"> toxic </w:t>
      </w:r>
      <w:proofErr w:type="spellStart"/>
      <w:r w:rsidRPr="00F03287">
        <w:t>me</w:t>
      </w:r>
      <w:r w:rsidR="00F74508">
        <w:t>gacolon</w:t>
      </w:r>
      <w:proofErr w:type="spellEnd"/>
      <w:r w:rsidR="00F74508">
        <w:t xml:space="preserve"> and sepsis) seems high.</w:t>
      </w:r>
    </w:p>
    <w:p w:rsidR="00F03287" w:rsidRDefault="00F03287" w:rsidP="00F03287">
      <w:pPr>
        <w:pStyle w:val="TableTitle"/>
      </w:pPr>
      <w:r>
        <w:t>Table 1</w:t>
      </w:r>
      <w:r w:rsidR="001606E0">
        <w:t>2</w:t>
      </w:r>
      <w:r>
        <w:t>:</w:t>
      </w:r>
      <w:r w:rsidRPr="004C5C28">
        <w:t xml:space="preserve"> </w:t>
      </w:r>
      <w:r w:rsidR="00DC343A" w:rsidRPr="00DC343A">
        <w:t>TEAE</w:t>
      </w:r>
      <w:r w:rsidR="00C86859">
        <w:t>s</w:t>
      </w:r>
      <w:r w:rsidR="00DC343A" w:rsidRPr="00DC343A">
        <w:t xml:space="preserve"> of Interest in Study BCI-06</w:t>
      </w:r>
      <w:r>
        <w:t>.</w:t>
      </w:r>
    </w:p>
    <w:p w:rsidR="00F03287" w:rsidRDefault="003201C5" w:rsidP="00F03287">
      <w:r>
        <w:rPr>
          <w:noProof/>
          <w:lang w:eastAsia="en-AU"/>
        </w:rPr>
        <w:drawing>
          <wp:inline distT="0" distB="0" distL="0" distR="0">
            <wp:extent cx="5398936" cy="5025224"/>
            <wp:effectExtent l="0" t="0" r="0" b="4445"/>
            <wp:docPr id="15" name="Picture 15" descr="Table 12: TEAEs of Interest in Study BCI-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2: TEAEs of Interest in Study BCI-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026252"/>
                    </a:xfrm>
                    <a:prstGeom prst="rect">
                      <a:avLst/>
                    </a:prstGeom>
                    <a:noFill/>
                    <a:ln>
                      <a:noFill/>
                    </a:ln>
                  </pic:spPr>
                </pic:pic>
              </a:graphicData>
            </a:graphic>
          </wp:inline>
        </w:drawing>
      </w:r>
    </w:p>
    <w:p w:rsidR="00DC343A" w:rsidRPr="00DC343A" w:rsidRDefault="00DC343A" w:rsidP="00DC343A">
      <w:r w:rsidRPr="00DC343A">
        <w:t xml:space="preserve">The mortality rate during treatment period was lower in the </w:t>
      </w:r>
      <w:r w:rsidR="0032143B" w:rsidRPr="001D76D7">
        <w:rPr>
          <w:vertAlign w:val="superscript"/>
        </w:rPr>
        <w:t>223</w:t>
      </w:r>
      <w:r w:rsidR="0032143B">
        <w:t>Ra</w:t>
      </w:r>
      <w:r w:rsidR="0032143B" w:rsidRPr="00F03287">
        <w:t xml:space="preserve"> </w:t>
      </w:r>
      <w:r w:rsidRPr="00DC343A">
        <w:t xml:space="preserve">group (4.3%, 26/600) compared to placebo group (7.3%, 22/301). Between 24 weeks (end of treatment) to &lt;1 year of initiating treatment, a slightly smaller percentage of patients in the </w:t>
      </w:r>
      <w:r w:rsidR="0085484B" w:rsidRPr="001D76D7">
        <w:rPr>
          <w:vertAlign w:val="superscript"/>
        </w:rPr>
        <w:t>223</w:t>
      </w:r>
      <w:r w:rsidR="0085484B">
        <w:t>Ra</w:t>
      </w:r>
      <w:r w:rsidR="0085484B" w:rsidRPr="00F03287">
        <w:t xml:space="preserve"> </w:t>
      </w:r>
      <w:r w:rsidRPr="00DC343A">
        <w:t xml:space="preserve">group </w:t>
      </w:r>
      <w:r w:rsidRPr="00DC343A">
        <w:lastRenderedPageBreak/>
        <w:t xml:space="preserve">(22.2%) died than in the placebo group (25.6%); deaths during the 3 year follow-up period were balanced between the treatment groups. The deaths were due to disease progression in 48.2% of patients in the </w:t>
      </w:r>
      <w:r w:rsidR="0085484B" w:rsidRPr="001D76D7">
        <w:rPr>
          <w:vertAlign w:val="superscript"/>
        </w:rPr>
        <w:t>223</w:t>
      </w:r>
      <w:r w:rsidR="0085484B">
        <w:t>Ra</w:t>
      </w:r>
      <w:r w:rsidR="0085484B" w:rsidRPr="00F03287">
        <w:t xml:space="preserve"> </w:t>
      </w:r>
      <w:r w:rsidRPr="00DC343A">
        <w:t xml:space="preserve">group and 49.5% in the placebo group. Most deaths in both groups were considered to be </w:t>
      </w:r>
      <w:r w:rsidR="00F74508">
        <w:t>unrelated to study drug.</w:t>
      </w:r>
    </w:p>
    <w:p w:rsidR="00DC343A" w:rsidRPr="00DC343A" w:rsidRDefault="00DC343A" w:rsidP="00DC343A">
      <w:r w:rsidRPr="00DC343A">
        <w:t xml:space="preserve">There were isolated reports of second primary malignancies following treatment with </w:t>
      </w:r>
      <w:r w:rsidR="0085484B" w:rsidRPr="001D76D7">
        <w:rPr>
          <w:vertAlign w:val="superscript"/>
        </w:rPr>
        <w:t>223</w:t>
      </w:r>
      <w:r w:rsidR="0085484B">
        <w:t>RaCl</w:t>
      </w:r>
      <w:r w:rsidR="0085484B" w:rsidRPr="00D22725">
        <w:rPr>
          <w:vertAlign w:val="subscript"/>
        </w:rPr>
        <w:t>2</w:t>
      </w:r>
      <w:r w:rsidRPr="00DC343A">
        <w:t xml:space="preserve">. However, a reasonable causal relationship to </w:t>
      </w:r>
      <w:r w:rsidR="0085484B" w:rsidRPr="001D76D7">
        <w:rPr>
          <w:vertAlign w:val="superscript"/>
        </w:rPr>
        <w:t>223</w:t>
      </w:r>
      <w:r w:rsidR="0085484B">
        <w:t>Ra</w:t>
      </w:r>
      <w:r w:rsidR="0085484B" w:rsidRPr="00F03287">
        <w:t xml:space="preserve"> </w:t>
      </w:r>
      <w:r w:rsidRPr="00DC343A">
        <w:t>cannot be established in the cases, mainly due to the short time after injection of the drug. Nevertheless, secondary malignancies including AML, MDS and sarcomas of the bone are a potential risk based on the known carcinogenic effect of radiation. As the latency of radiation induced malignancies is long, the studies were not really long enough to demonstrate these but the impact on the target patient population which has a reduced life expectancy is most likely limited.</w:t>
      </w:r>
    </w:p>
    <w:p w:rsidR="00DC343A" w:rsidRPr="00DC343A" w:rsidRDefault="00DC343A" w:rsidP="00DC343A">
      <w:r w:rsidRPr="00DC343A">
        <w:t xml:space="preserve">Across all studies included in the safety analyses for this submission, the highest proportion of subjects were treated with </w:t>
      </w:r>
      <w:r w:rsidR="00D22725" w:rsidRPr="001D76D7">
        <w:rPr>
          <w:vertAlign w:val="superscript"/>
        </w:rPr>
        <w:t>223</w:t>
      </w:r>
      <w:r w:rsidR="00D22725">
        <w:t>RaCl</w:t>
      </w:r>
      <w:r w:rsidR="00D22725" w:rsidRPr="00D22725">
        <w:rPr>
          <w:vertAlign w:val="subscript"/>
        </w:rPr>
        <w:t>2</w:t>
      </w:r>
      <w:r w:rsidR="00D22725">
        <w:t xml:space="preserve"> </w:t>
      </w:r>
      <w:r w:rsidR="00C440DD">
        <w:t>at any dose for &gt;</w:t>
      </w:r>
      <w:r w:rsidRPr="00DC343A">
        <w:t xml:space="preserve">12 to 24 weeks and received a total of 6 injections. Only a small proportion of subjects (21/904) had received </w:t>
      </w:r>
      <w:r w:rsidR="00352178" w:rsidRPr="001D76D7">
        <w:rPr>
          <w:vertAlign w:val="superscript"/>
        </w:rPr>
        <w:t>223</w:t>
      </w:r>
      <w:r w:rsidR="00352178">
        <w:t>RaCl</w:t>
      </w:r>
      <w:r w:rsidR="00352178" w:rsidRPr="00D22725">
        <w:rPr>
          <w:vertAlign w:val="subscript"/>
        </w:rPr>
        <w:t>2</w:t>
      </w:r>
      <w:r w:rsidR="00352178">
        <w:t xml:space="preserve"> f</w:t>
      </w:r>
      <w:r w:rsidRPr="00DC343A">
        <w:t>or more than 24 weeks; no subject was ever administered more than 6 injections. Patients were followed up fo</w:t>
      </w:r>
      <w:r w:rsidR="00235521">
        <w:t>r up to two years in the Phase II</w:t>
      </w:r>
      <w:r w:rsidRPr="00DC343A">
        <w:t xml:space="preserve"> studies, and will be followed up for </w:t>
      </w:r>
      <w:r w:rsidR="00235521">
        <w:t>up to three years in the Phase III</w:t>
      </w:r>
      <w:r w:rsidRPr="00DC343A">
        <w:t xml:space="preserve"> study. Therefore, the available database is rather limited to allow clear conclusions regarding the long</w:t>
      </w:r>
      <w:r w:rsidR="007F3512">
        <w:t xml:space="preserve"> </w:t>
      </w:r>
      <w:r w:rsidRPr="00DC343A">
        <w:t xml:space="preserve">term safety of </w:t>
      </w:r>
      <w:r w:rsidR="007F3512" w:rsidRPr="001D76D7">
        <w:rPr>
          <w:vertAlign w:val="superscript"/>
        </w:rPr>
        <w:t>223</w:t>
      </w:r>
      <w:r w:rsidR="007F3512">
        <w:t>RaCl</w:t>
      </w:r>
      <w:r w:rsidR="007F3512" w:rsidRPr="00D22725">
        <w:rPr>
          <w:vertAlign w:val="subscript"/>
        </w:rPr>
        <w:t>2</w:t>
      </w:r>
      <w:r w:rsidRPr="00DC343A">
        <w:t>. It s</w:t>
      </w:r>
      <w:r w:rsidR="00BA27D4">
        <w:t>hould be noted</w:t>
      </w:r>
      <w:r w:rsidRPr="00DC343A">
        <w:t xml:space="preserve"> that secondary malignancies may develo</w:t>
      </w:r>
      <w:r w:rsidR="00BA27D4">
        <w:t xml:space="preserve">p at a latency of several years; this </w:t>
      </w:r>
      <w:r w:rsidRPr="00DC343A">
        <w:t>should be seen in view of the reduced life expectancy of the patients.</w:t>
      </w:r>
    </w:p>
    <w:p w:rsidR="00DC343A" w:rsidRPr="00DC343A" w:rsidRDefault="00DC343A" w:rsidP="00DC343A">
      <w:r w:rsidRPr="00DC343A">
        <w:t xml:space="preserve">No clinical interaction studies have been conducted. Concomitant chemotherapy with </w:t>
      </w:r>
      <w:r w:rsidR="00C46013" w:rsidRPr="001D76D7">
        <w:rPr>
          <w:vertAlign w:val="superscript"/>
        </w:rPr>
        <w:t>223</w:t>
      </w:r>
      <w:r w:rsidR="00C46013">
        <w:t xml:space="preserve">Ra </w:t>
      </w:r>
      <w:r w:rsidRPr="00DC343A">
        <w:t xml:space="preserve">may have additive effects on bone marrow suppression. Safety and efficacy of concomitant chemotherapy with </w:t>
      </w:r>
      <w:r w:rsidR="00C46013" w:rsidRPr="001D76D7">
        <w:rPr>
          <w:vertAlign w:val="superscript"/>
        </w:rPr>
        <w:t>223</w:t>
      </w:r>
      <w:r w:rsidR="00C46013">
        <w:t>RaCl</w:t>
      </w:r>
      <w:r w:rsidR="00C46013" w:rsidRPr="00D22725">
        <w:rPr>
          <w:vertAlign w:val="subscript"/>
        </w:rPr>
        <w:t>2</w:t>
      </w:r>
      <w:r w:rsidR="00C46013">
        <w:rPr>
          <w:vertAlign w:val="subscript"/>
        </w:rPr>
        <w:t xml:space="preserve"> </w:t>
      </w:r>
      <w:r w:rsidRPr="00DC343A">
        <w:t>have not been established.</w:t>
      </w:r>
    </w:p>
    <w:p w:rsidR="008E7846" w:rsidRDefault="000E55BF" w:rsidP="007B6132">
      <w:pPr>
        <w:pStyle w:val="Heading3"/>
        <w:rPr>
          <w:lang w:eastAsia="en-AU"/>
        </w:rPr>
      </w:pPr>
      <w:bookmarkStart w:id="134" w:name="_Toc394316820"/>
      <w:r>
        <w:rPr>
          <w:lang w:eastAsia="en-AU"/>
        </w:rPr>
        <w:t xml:space="preserve">Risk </w:t>
      </w:r>
      <w:r w:rsidR="00F74508">
        <w:rPr>
          <w:lang w:eastAsia="en-AU"/>
        </w:rPr>
        <w:t>m</w:t>
      </w:r>
      <w:r w:rsidR="008E7846">
        <w:rPr>
          <w:lang w:eastAsia="en-AU"/>
        </w:rPr>
        <w:t xml:space="preserve">anagement </w:t>
      </w:r>
      <w:r w:rsidR="00F74508">
        <w:rPr>
          <w:lang w:eastAsia="en-AU"/>
        </w:rPr>
        <w:t>p</w:t>
      </w:r>
      <w:r w:rsidR="008E7846">
        <w:rPr>
          <w:lang w:eastAsia="en-AU"/>
        </w:rPr>
        <w:t>lan</w:t>
      </w:r>
      <w:bookmarkEnd w:id="133"/>
      <w:bookmarkEnd w:id="134"/>
    </w:p>
    <w:p w:rsidR="00DC343A" w:rsidRPr="00DC343A" w:rsidRDefault="00DC343A" w:rsidP="00DC343A">
      <w:r w:rsidRPr="00DC343A">
        <w:t xml:space="preserve">The submitted RMP has been evaluated by the OPR evaluator and the evaluation report is provided for </w:t>
      </w:r>
      <w:r w:rsidR="00B84175">
        <w:t xml:space="preserve">the </w:t>
      </w:r>
      <w:r w:rsidR="00B84175" w:rsidRPr="00B84175">
        <w:t>Advisory Committee on Prescription Medicines</w:t>
      </w:r>
      <w:r w:rsidR="00B84175">
        <w:t xml:space="preserve"> (</w:t>
      </w:r>
      <w:r w:rsidRPr="00DC343A">
        <w:t>ACPM</w:t>
      </w:r>
      <w:r w:rsidR="00B84175">
        <w:t>)</w:t>
      </w:r>
      <w:r w:rsidRPr="00DC343A">
        <w:t xml:space="preserve"> meeting. There are no outstanding RMP issues and the OPR evaluator has no objection to the changes in the EU-RMP and the ASA and recommends to the Delegate that the implementation of the updated version as the condition of registration:</w:t>
      </w:r>
    </w:p>
    <w:p w:rsidR="00DC343A" w:rsidRPr="00DC343A" w:rsidRDefault="00DC343A" w:rsidP="00DC343A">
      <w:pPr>
        <w:ind w:left="720"/>
        <w:rPr>
          <w:i/>
        </w:rPr>
      </w:pPr>
      <w:r w:rsidRPr="00DC343A">
        <w:rPr>
          <w:i/>
        </w:rPr>
        <w:t xml:space="preserve">Implement RMP EU-RMP version 1.3, dated 12 August 2013 (data lock point 12 November 2012) with Australian Specific Annex version 1.1, dated November 2013; and any future updates </w:t>
      </w:r>
      <w:r w:rsidR="00F74508">
        <w:rPr>
          <w:i/>
        </w:rPr>
        <w:t>as a condition of registration.</w:t>
      </w:r>
    </w:p>
    <w:p w:rsidR="00DC343A" w:rsidRPr="00DC343A" w:rsidRDefault="00DC343A" w:rsidP="00DC343A">
      <w:r w:rsidRPr="00DC343A">
        <w:t>The sponsor has agreed to communicate the findings from post</w:t>
      </w:r>
      <w:r w:rsidR="00C46690">
        <w:t xml:space="preserve"> </w:t>
      </w:r>
      <w:r w:rsidRPr="00DC343A">
        <w:t xml:space="preserve">marketing studies, including the ones in additional </w:t>
      </w:r>
      <w:proofErr w:type="spellStart"/>
      <w:r w:rsidRPr="00DC343A">
        <w:t>pharmacovigilance</w:t>
      </w:r>
      <w:proofErr w:type="spellEnd"/>
      <w:r w:rsidRPr="00DC343A">
        <w:t xml:space="preserve"> activities of the EU-RMP and required by the US FDA as part of the post</w:t>
      </w:r>
      <w:r w:rsidR="00C46690">
        <w:t xml:space="preserve"> </w:t>
      </w:r>
      <w:r w:rsidRPr="00DC343A">
        <w:t>marketing commitments, to the TGA at the same time as they are communicated to other regulatory agencies.</w:t>
      </w:r>
    </w:p>
    <w:p w:rsidR="00DC343A" w:rsidRDefault="00DC343A" w:rsidP="00DC343A">
      <w:r w:rsidRPr="00DC343A">
        <w:t>It is noted that FDA requested a post</w:t>
      </w:r>
      <w:r w:rsidR="00C46690">
        <w:t xml:space="preserve"> </w:t>
      </w:r>
      <w:r w:rsidRPr="00DC343A">
        <w:t xml:space="preserve">marketing </w:t>
      </w:r>
      <w:r w:rsidR="00C46690">
        <w:t>s</w:t>
      </w:r>
      <w:r w:rsidRPr="00DC343A">
        <w:t>tudy to explore optimal dose, as Study BCI-04 revealed dose dependent improvements in PSA declines and there did not appear to be an increase in toxicity between the 50 and 80</w:t>
      </w:r>
      <w:r w:rsidR="007A66FF">
        <w:t xml:space="preserve"> </w:t>
      </w:r>
      <w:proofErr w:type="spellStart"/>
      <w:r w:rsidRPr="00DC343A">
        <w:t>kBq</w:t>
      </w:r>
      <w:proofErr w:type="spellEnd"/>
      <w:r w:rsidRPr="00DC343A">
        <w:t xml:space="preserve">/kg cohorts. This result suggests that the optimal dose of </w:t>
      </w:r>
      <w:r w:rsidR="007A66FF" w:rsidRPr="001D76D7">
        <w:rPr>
          <w:vertAlign w:val="superscript"/>
        </w:rPr>
        <w:t>223</w:t>
      </w:r>
      <w:r w:rsidR="007A66FF">
        <w:t xml:space="preserve">Ra </w:t>
      </w:r>
      <w:r w:rsidRPr="00DC343A">
        <w:t xml:space="preserve">may be higher than the 50 </w:t>
      </w:r>
      <w:proofErr w:type="spellStart"/>
      <w:r w:rsidRPr="00DC343A">
        <w:t>kBq</w:t>
      </w:r>
      <w:proofErr w:type="spellEnd"/>
      <w:r w:rsidRPr="00DC343A">
        <w:t>/kg.</w:t>
      </w:r>
    </w:p>
    <w:p w:rsidR="008E7846" w:rsidRDefault="00AA0ED0" w:rsidP="008E7846">
      <w:pPr>
        <w:pStyle w:val="Heading3"/>
      </w:pPr>
      <w:bookmarkStart w:id="135" w:name="_Toc247691531"/>
      <w:bookmarkStart w:id="136" w:name="_Toc314842515"/>
      <w:bookmarkStart w:id="137" w:name="_Toc196046505"/>
      <w:bookmarkStart w:id="138" w:name="_Toc196046949"/>
      <w:bookmarkStart w:id="139" w:name="_Toc394316821"/>
      <w:r>
        <w:t>Risk-</w:t>
      </w:r>
      <w:r w:rsidR="00F74508">
        <w:t>b</w:t>
      </w:r>
      <w:r>
        <w:t xml:space="preserve">enefit </w:t>
      </w:r>
      <w:r w:rsidR="00F74508">
        <w:t>a</w:t>
      </w:r>
      <w:r w:rsidR="008E7846">
        <w:t>nalysis</w:t>
      </w:r>
      <w:bookmarkEnd w:id="135"/>
      <w:bookmarkEnd w:id="136"/>
      <w:bookmarkEnd w:id="139"/>
    </w:p>
    <w:p w:rsidR="00D23139" w:rsidRDefault="00CD7197" w:rsidP="00D23139">
      <w:pPr>
        <w:pStyle w:val="Heading4"/>
      </w:pPr>
      <w:r>
        <w:t>Delegate’s considerations</w:t>
      </w:r>
    </w:p>
    <w:p w:rsidR="00403347" w:rsidRPr="00781313" w:rsidRDefault="00403347" w:rsidP="00403347">
      <w:r w:rsidRPr="00781313">
        <w:t xml:space="preserve">The benefits of </w:t>
      </w:r>
      <w:r w:rsidR="00DF401D" w:rsidRPr="001D76D7">
        <w:rPr>
          <w:vertAlign w:val="superscript"/>
        </w:rPr>
        <w:t>223</w:t>
      </w:r>
      <w:r w:rsidR="00DF401D">
        <w:t xml:space="preserve">Ra </w:t>
      </w:r>
      <w:r w:rsidRPr="00781313">
        <w:t xml:space="preserve">in the proposed usage include prolonged survival as shown in the pivotal study (BCI-06). The patients treated with </w:t>
      </w:r>
      <w:r w:rsidR="00C874F7" w:rsidRPr="001D76D7">
        <w:rPr>
          <w:vertAlign w:val="superscript"/>
        </w:rPr>
        <w:t>223</w:t>
      </w:r>
      <w:r w:rsidR="00C874F7">
        <w:t xml:space="preserve">Ra </w:t>
      </w:r>
      <w:r w:rsidRPr="00781313">
        <w:t xml:space="preserve">had a statistically significant and </w:t>
      </w:r>
      <w:r w:rsidRPr="00781313">
        <w:lastRenderedPageBreak/>
        <w:t xml:space="preserve">clinically meaningful (3.6 months) increased survival compared to patients treated with placebo. A survival benefit was also suggested in the supporting study (BCI-02) where an improvement in survival was seen in the per protocol analysis set at Month 24. The pivotal study also showed that </w:t>
      </w:r>
      <w:r w:rsidR="00C874F7" w:rsidRPr="001D76D7">
        <w:rPr>
          <w:vertAlign w:val="superscript"/>
        </w:rPr>
        <w:t>223</w:t>
      </w:r>
      <w:r w:rsidR="00C874F7">
        <w:t xml:space="preserve">Ra </w:t>
      </w:r>
      <w:r w:rsidRPr="00781313">
        <w:t xml:space="preserve">reduced the incidence of SREs and delayed the onset of SREs. Therapy with </w:t>
      </w:r>
      <w:r w:rsidR="00C874F7" w:rsidRPr="001D76D7">
        <w:rPr>
          <w:vertAlign w:val="superscript"/>
        </w:rPr>
        <w:t>223</w:t>
      </w:r>
      <w:r w:rsidR="00C874F7">
        <w:t>Ra</w:t>
      </w:r>
      <w:r w:rsidR="00C874F7" w:rsidRPr="00620127">
        <w:t xml:space="preserve"> </w:t>
      </w:r>
      <w:r w:rsidRPr="00781313">
        <w:t xml:space="preserve">also delayed the onset and reduced the incidence of the individual components of SREs, especially spinal cord compression and EBRT. In the pivotal study, pain was reported as an </w:t>
      </w:r>
      <w:r w:rsidR="00620127">
        <w:t>AE</w:t>
      </w:r>
      <w:r w:rsidRPr="00781313">
        <w:t xml:space="preserve"> for fewer patients in the </w:t>
      </w:r>
      <w:r w:rsidR="00462934" w:rsidRPr="001D76D7">
        <w:rPr>
          <w:vertAlign w:val="superscript"/>
        </w:rPr>
        <w:t>223</w:t>
      </w:r>
      <w:r w:rsidR="00462934">
        <w:t xml:space="preserve">Ra </w:t>
      </w:r>
      <w:r w:rsidRPr="00781313">
        <w:t>group compared to placebo. This was supported by the favourable results for time to EBRT for pain relief and for time to analgesic use. The results for the surrogate markers of bone</w:t>
      </w:r>
      <w:r w:rsidR="00372084">
        <w:t xml:space="preserve"> </w:t>
      </w:r>
      <w:r w:rsidRPr="00781313">
        <w:t xml:space="preserve">ALP and PSA were also favourable for </w:t>
      </w:r>
      <w:r w:rsidR="00462934" w:rsidRPr="001D76D7">
        <w:rPr>
          <w:vertAlign w:val="superscript"/>
        </w:rPr>
        <w:t>223</w:t>
      </w:r>
      <w:r w:rsidR="00462934">
        <w:t>Ra</w:t>
      </w:r>
      <w:r w:rsidR="00F74508">
        <w:t>.</w:t>
      </w:r>
    </w:p>
    <w:p w:rsidR="00403347" w:rsidRPr="00781313" w:rsidRDefault="00403347" w:rsidP="00403347">
      <w:r w:rsidRPr="00781313">
        <w:t xml:space="preserve">The limitation is that there is no head to head comparison between </w:t>
      </w:r>
      <w:r w:rsidR="006E1A76" w:rsidRPr="001D76D7">
        <w:rPr>
          <w:vertAlign w:val="superscript"/>
        </w:rPr>
        <w:t>223</w:t>
      </w:r>
      <w:r w:rsidR="006E1A76">
        <w:t xml:space="preserve">Ra </w:t>
      </w:r>
      <w:r w:rsidRPr="00781313">
        <w:t xml:space="preserve">and other anticancer agents for systemic treatment of prostate cancer (such as </w:t>
      </w:r>
      <w:proofErr w:type="spellStart"/>
      <w:r w:rsidRPr="00781313">
        <w:t>cabazitaxel</w:t>
      </w:r>
      <w:proofErr w:type="spellEnd"/>
      <w:r w:rsidRPr="00781313">
        <w:t xml:space="preserve"> or </w:t>
      </w:r>
      <w:proofErr w:type="spellStart"/>
      <w:r w:rsidRPr="00781313">
        <w:t>abiraterone</w:t>
      </w:r>
      <w:proofErr w:type="spellEnd"/>
      <w:r w:rsidRPr="00781313">
        <w:t xml:space="preserve">) and there is no study conducted to compare the palliate bone effect of </w:t>
      </w:r>
      <w:r w:rsidR="008D6197" w:rsidRPr="001D76D7">
        <w:rPr>
          <w:vertAlign w:val="superscript"/>
        </w:rPr>
        <w:t>223</w:t>
      </w:r>
      <w:r w:rsidR="008D6197">
        <w:t xml:space="preserve">Ra </w:t>
      </w:r>
      <w:r w:rsidRPr="00781313">
        <w:t xml:space="preserve">in comparison to other radionuclides (such as </w:t>
      </w:r>
      <w:r w:rsidR="00620127">
        <w:rPr>
          <w:vertAlign w:val="superscript"/>
        </w:rPr>
        <w:t>15</w:t>
      </w:r>
      <w:r w:rsidR="00620127" w:rsidRPr="001D76D7">
        <w:rPr>
          <w:vertAlign w:val="superscript"/>
        </w:rPr>
        <w:t>3</w:t>
      </w:r>
      <w:r w:rsidR="00202683">
        <w:t>Sm</w:t>
      </w:r>
      <w:r w:rsidR="007F5612">
        <w:t xml:space="preserve"> or</w:t>
      </w:r>
      <w:r w:rsidR="00202683">
        <w:t xml:space="preserve"> </w:t>
      </w:r>
      <w:r w:rsidR="00202683">
        <w:rPr>
          <w:vertAlign w:val="superscript"/>
        </w:rPr>
        <w:t>89</w:t>
      </w:r>
      <w:r w:rsidR="00202683">
        <w:t>Sr</w:t>
      </w:r>
      <w:r w:rsidRPr="00781313">
        <w:t xml:space="preserve">). It is therefore difficult to put the beneficial survival effect of </w:t>
      </w:r>
      <w:r w:rsidR="007B1E43" w:rsidRPr="001D76D7">
        <w:rPr>
          <w:vertAlign w:val="superscript"/>
        </w:rPr>
        <w:t>223</w:t>
      </w:r>
      <w:r w:rsidR="007B1E43">
        <w:t xml:space="preserve">Ra </w:t>
      </w:r>
      <w:r w:rsidRPr="00781313">
        <w:t>into perspective among the currently available therapeutic options.</w:t>
      </w:r>
    </w:p>
    <w:p w:rsidR="00403347" w:rsidRPr="00781313" w:rsidRDefault="009D214E" w:rsidP="00403347">
      <w:r>
        <w:t>AEs</w:t>
      </w:r>
      <w:r w:rsidR="00403347" w:rsidRPr="00781313">
        <w:t xml:space="preserve"> associated with </w:t>
      </w:r>
      <w:r w:rsidR="007B1E43" w:rsidRPr="001D76D7">
        <w:rPr>
          <w:vertAlign w:val="superscript"/>
        </w:rPr>
        <w:t>223</w:t>
      </w:r>
      <w:r w:rsidR="007B1E43">
        <w:t xml:space="preserve">Ra </w:t>
      </w:r>
      <w:r w:rsidR="00403347" w:rsidRPr="00781313">
        <w:t xml:space="preserve">were observed in almost all patients, most frequent AEs were </w:t>
      </w:r>
      <w:r w:rsidR="00812C4B">
        <w:t xml:space="preserve">GI </w:t>
      </w:r>
      <w:r w:rsidR="00403347" w:rsidRPr="00781313">
        <w:t xml:space="preserve">(diarrhoea, nausea and vomiting). There were moderate bone marrow suppression particularly thrombocytopenia, neutropenia and </w:t>
      </w:r>
      <w:proofErr w:type="spellStart"/>
      <w:r w:rsidR="00403347" w:rsidRPr="00781313">
        <w:t>lymphopaenia</w:t>
      </w:r>
      <w:proofErr w:type="spellEnd"/>
      <w:r w:rsidR="00403347" w:rsidRPr="00781313">
        <w:t xml:space="preserve"> but not associated with increased rates of haemorrhage and infection. Bone marrow suppression is greater in patients who have received prior </w:t>
      </w:r>
      <w:proofErr w:type="spellStart"/>
      <w:r w:rsidR="00403347" w:rsidRPr="00781313">
        <w:t>docetaxel</w:t>
      </w:r>
      <w:proofErr w:type="spellEnd"/>
      <w:r w:rsidR="00403347" w:rsidRPr="00781313">
        <w:t xml:space="preserve"> therapy. Injection site reactions of erythema, pain and swelling were observed in small number of patients. There were isolated reports of second primary malignancies following treatment, however causal relationship is not established due to short time to onset of new malignancy. Risk of secondary malignancies of AML, MDS and sarcoma of bone could not be excluded due to long latency of these tumours and short duration of the trials. Bone radiation with </w:t>
      </w:r>
      <w:r w:rsidR="00812C4B" w:rsidRPr="001D76D7">
        <w:rPr>
          <w:vertAlign w:val="superscript"/>
        </w:rPr>
        <w:t>223</w:t>
      </w:r>
      <w:r w:rsidR="00812C4B">
        <w:t>Ra</w:t>
      </w:r>
      <w:r w:rsidR="00812C4B" w:rsidRPr="00781313">
        <w:t xml:space="preserve"> </w:t>
      </w:r>
      <w:r w:rsidR="00403347" w:rsidRPr="00781313">
        <w:t xml:space="preserve">may increase the general risk for osteonecrosis; in particular in combination with bisphosphonate treatment the risk for osteonecrosis of jaw (ONJ) the risk may increase. In Study BC1-06, the incidence rate of osteonecrosis was higher in the </w:t>
      </w:r>
      <w:r w:rsidR="00BD0F8E" w:rsidRPr="001D76D7">
        <w:rPr>
          <w:vertAlign w:val="superscript"/>
        </w:rPr>
        <w:t>223</w:t>
      </w:r>
      <w:r w:rsidR="00BD0F8E">
        <w:t>Ra</w:t>
      </w:r>
      <w:r w:rsidR="00BD0F8E" w:rsidRPr="00781313">
        <w:t xml:space="preserve"> </w:t>
      </w:r>
      <w:r w:rsidR="00403347" w:rsidRPr="00781313">
        <w:t xml:space="preserve">chloride group, (0.67%), compared to (0.33%) in the placebo group. However, data were considered inconclusive due to the overall limited low event rate and relatively small study population </w:t>
      </w:r>
      <w:r w:rsidR="00F74508">
        <w:t>for an event of such frequency.</w:t>
      </w:r>
    </w:p>
    <w:p w:rsidR="00403347" w:rsidRPr="00781313" w:rsidRDefault="00403347" w:rsidP="00403347">
      <w:r w:rsidRPr="00781313">
        <w:t xml:space="preserve">It should be noted that the enrolled target population in the pivotal study consisted of hormone refractory prostate cancer patients with symptomatic skeletal metastases and with no known visceral metastasis. Based on the evaluation of the submitted data, the delegate agrees with the clinical evaluator that the benefit-risk balance of </w:t>
      </w:r>
      <w:r w:rsidR="00BD0F8E" w:rsidRPr="001D76D7">
        <w:rPr>
          <w:vertAlign w:val="superscript"/>
        </w:rPr>
        <w:t>223</w:t>
      </w:r>
      <w:r w:rsidR="00BD0F8E">
        <w:t>Ra</w:t>
      </w:r>
      <w:r w:rsidR="00BD0F8E" w:rsidRPr="00781313">
        <w:t xml:space="preserve"> </w:t>
      </w:r>
      <w:r w:rsidRPr="00781313">
        <w:t>is considered favourable for the revised indication below:</w:t>
      </w:r>
    </w:p>
    <w:p w:rsidR="00403347" w:rsidRPr="00781313" w:rsidRDefault="00403347" w:rsidP="00403347">
      <w:pPr>
        <w:ind w:left="720"/>
        <w:rPr>
          <w:i/>
        </w:rPr>
      </w:pPr>
      <w:proofErr w:type="spellStart"/>
      <w:r>
        <w:rPr>
          <w:i/>
        </w:rPr>
        <w:t>Xofigo</w:t>
      </w:r>
      <w:proofErr w:type="spellEnd"/>
      <w:r w:rsidRPr="00781313">
        <w:rPr>
          <w:i/>
        </w:rPr>
        <w:t xml:space="preserve"> is indicated for the treatment of castration-resistant prostate cancer (CRPC) patients with symptomatic bone metastases and no known visceral metastatic disease</w:t>
      </w:r>
      <w:r>
        <w:rPr>
          <w:i/>
        </w:rPr>
        <w:t>.</w:t>
      </w:r>
    </w:p>
    <w:p w:rsidR="00403347" w:rsidRDefault="00403347" w:rsidP="00403347">
      <w:r w:rsidRPr="00781313">
        <w:t xml:space="preserve">Implementation of the RMP EU-RMP version 1.3, dated 12 August 2013 (data lock point 12 November 2012) with </w:t>
      </w:r>
      <w:r w:rsidR="00EE5A29">
        <w:t>ASA</w:t>
      </w:r>
      <w:r w:rsidRPr="00781313">
        <w:t xml:space="preserve"> version 1.1, dated November 2013; and any future updates should be</w:t>
      </w:r>
      <w:r w:rsidR="00F74508">
        <w:t xml:space="preserve"> the condition of registration.</w:t>
      </w:r>
    </w:p>
    <w:p w:rsidR="00B93676" w:rsidRDefault="00B93676" w:rsidP="00B93676">
      <w:pPr>
        <w:pStyle w:val="Heading4"/>
      </w:pPr>
      <w:r>
        <w:t>Summary of issues</w:t>
      </w:r>
    </w:p>
    <w:p w:rsidR="00B93676" w:rsidRPr="00B93676" w:rsidRDefault="00B93676" w:rsidP="00B93676">
      <w:r w:rsidRPr="00B93676">
        <w:t xml:space="preserve">Single pivotal study (Study BCI-06) was provided to support this application. Study BCI-06 was a double blind, randomised, and placebo controlled study conducted in </w:t>
      </w:r>
      <w:r w:rsidR="00EE5A29">
        <w:t>CRPC</w:t>
      </w:r>
      <w:r w:rsidRPr="00B93676">
        <w:t xml:space="preserve"> without visceral metastases. The study has met the primary endpoint by demonstrating a statistically significant longer (3.6 months longer) OS in subjects treated with </w:t>
      </w:r>
      <w:r w:rsidR="00B05AFA" w:rsidRPr="001D76D7">
        <w:rPr>
          <w:vertAlign w:val="superscript"/>
        </w:rPr>
        <w:t>223</w:t>
      </w:r>
      <w:r w:rsidR="00B05AFA">
        <w:t>Ra</w:t>
      </w:r>
      <w:r w:rsidR="00B05AFA" w:rsidRPr="00B93676">
        <w:t xml:space="preserve"> </w:t>
      </w:r>
      <w:r w:rsidRPr="00B93676">
        <w:t xml:space="preserve">plus standard care compared to the subjects treated with placebo plus standard care. The efficacy was also supported by a number of secondary endpoints relating to bone </w:t>
      </w:r>
      <w:r w:rsidRPr="00B93676">
        <w:lastRenderedPageBreak/>
        <w:t xml:space="preserve">metastasis </w:t>
      </w:r>
      <w:proofErr w:type="spellStart"/>
      <w:r w:rsidRPr="00B93676">
        <w:t>sequelae</w:t>
      </w:r>
      <w:proofErr w:type="spellEnd"/>
      <w:r w:rsidRPr="00B93676">
        <w:t xml:space="preserve"> and on bone makers. There is no head to head comparison with other products that are indicated for </w:t>
      </w:r>
      <w:r w:rsidR="00C440DD">
        <w:t>CRPC</w:t>
      </w:r>
      <w:r w:rsidR="00C440DD" w:rsidRPr="00B93676">
        <w:t xml:space="preserve"> </w:t>
      </w:r>
      <w:r w:rsidRPr="00B93676">
        <w:t xml:space="preserve">patients with bone metastases. It is therefore difficult to put the beneficial survival effect of </w:t>
      </w:r>
      <w:r w:rsidR="00C440DD" w:rsidRPr="001D76D7">
        <w:rPr>
          <w:vertAlign w:val="superscript"/>
        </w:rPr>
        <w:t>223</w:t>
      </w:r>
      <w:r w:rsidR="00C440DD">
        <w:t>Ra</w:t>
      </w:r>
      <w:r w:rsidR="00C440DD" w:rsidRPr="00B93676">
        <w:t xml:space="preserve"> </w:t>
      </w:r>
      <w:r w:rsidRPr="00B93676">
        <w:t>into perspective among the currently available therapeutic options.</w:t>
      </w:r>
    </w:p>
    <w:p w:rsidR="00B93676" w:rsidRPr="00B93676" w:rsidRDefault="00B93676" w:rsidP="00B93676">
      <w:r w:rsidRPr="00B93676">
        <w:t xml:space="preserve">The main adverse effects are mild to moderate </w:t>
      </w:r>
      <w:r w:rsidR="003C3AE8">
        <w:t xml:space="preserve">GI </w:t>
      </w:r>
      <w:r w:rsidRPr="00B93676">
        <w:t>toxicity and bone marrow suppression. There is also a concern of long term ri</w:t>
      </w:r>
      <w:r w:rsidR="00BA5871">
        <w:t>sk for secondary malignancies; h</w:t>
      </w:r>
      <w:r w:rsidRPr="00B93676">
        <w:t xml:space="preserve">owever, taking into account the life expectancy of the target population of advanced prostate cancer, this is not considered as </w:t>
      </w:r>
      <w:r w:rsidR="00BA7A12">
        <w:t xml:space="preserve">a </w:t>
      </w:r>
      <w:r w:rsidRPr="00B93676">
        <w:t>major concern</w:t>
      </w:r>
      <w:r w:rsidR="00BA7A12">
        <w:t>.</w:t>
      </w:r>
    </w:p>
    <w:p w:rsidR="00D23139" w:rsidRDefault="00D23139" w:rsidP="00D23139">
      <w:pPr>
        <w:pStyle w:val="Heading4"/>
      </w:pPr>
      <w:r w:rsidRPr="00D23139">
        <w:t>Proposed action</w:t>
      </w:r>
    </w:p>
    <w:p w:rsidR="00DA3331" w:rsidRPr="00DA3331" w:rsidRDefault="00BA5871" w:rsidP="00DA3331">
      <w:r>
        <w:t xml:space="preserve">The Delegate has </w:t>
      </w:r>
      <w:r w:rsidR="00DA3331" w:rsidRPr="00DA3331">
        <w:t>no reason to say, at this time, that the application should not be approved for the following revised indication:</w:t>
      </w:r>
    </w:p>
    <w:p w:rsidR="00DA3331" w:rsidRPr="00DA3331" w:rsidRDefault="00BB0FC9" w:rsidP="00DA3331">
      <w:pPr>
        <w:ind w:left="720"/>
        <w:rPr>
          <w:i/>
        </w:rPr>
      </w:pPr>
      <w:proofErr w:type="spellStart"/>
      <w:r>
        <w:rPr>
          <w:i/>
        </w:rPr>
        <w:t>Xofigo</w:t>
      </w:r>
      <w:proofErr w:type="spellEnd"/>
      <w:r w:rsidR="00DA3331" w:rsidRPr="00DA3331">
        <w:rPr>
          <w:i/>
        </w:rPr>
        <w:t xml:space="preserve"> is indicated for the treatment of castration-resistant prostate cancer </w:t>
      </w:r>
      <w:r w:rsidR="001806F9" w:rsidRPr="00781313">
        <w:rPr>
          <w:i/>
        </w:rPr>
        <w:t xml:space="preserve">(CRPC) </w:t>
      </w:r>
      <w:r w:rsidR="00DA3331" w:rsidRPr="00DA3331">
        <w:rPr>
          <w:i/>
        </w:rPr>
        <w:t>patients with symptomatic bone metastases and no known visceral metastatic disease.</w:t>
      </w:r>
    </w:p>
    <w:p w:rsidR="00D23139" w:rsidRDefault="00D23139" w:rsidP="00D23139">
      <w:pPr>
        <w:pStyle w:val="Heading4"/>
      </w:pPr>
      <w:r w:rsidRPr="00D23139">
        <w:t>Request for ACPM advice</w:t>
      </w:r>
    </w:p>
    <w:p w:rsidR="00B93676" w:rsidRPr="00DA3331" w:rsidRDefault="00B93676" w:rsidP="00DA3331">
      <w:r w:rsidRPr="00DA3331">
        <w:t xml:space="preserve">The </w:t>
      </w:r>
      <w:r w:rsidR="00704521">
        <w:t>ACPM</w:t>
      </w:r>
      <w:r w:rsidRPr="00DA3331">
        <w:t xml:space="preserve"> is requested to provide advice and comments on the following issues:</w:t>
      </w:r>
    </w:p>
    <w:p w:rsidR="00B93676" w:rsidRPr="00DA3331" w:rsidRDefault="00B93676" w:rsidP="00DA3331">
      <w:pPr>
        <w:pStyle w:val="ListBullet"/>
      </w:pPr>
      <w:r w:rsidRPr="00DA3331">
        <w:t>Does the committee consider the revised indication is acceptable given the population studied in Study BCI-06?</w:t>
      </w:r>
    </w:p>
    <w:p w:rsidR="005E2242" w:rsidRDefault="00B93676" w:rsidP="00DA3331">
      <w:pPr>
        <w:pStyle w:val="ListBullet"/>
      </w:pPr>
      <w:r w:rsidRPr="00DA3331">
        <w:t xml:space="preserve">What is the opinion of the committee regarding the risk/benefit balance of </w:t>
      </w:r>
      <w:proofErr w:type="spellStart"/>
      <w:r w:rsidRPr="00DA3331">
        <w:t>Xofigo</w:t>
      </w:r>
      <w:proofErr w:type="spellEnd"/>
      <w:r w:rsidRPr="00DA3331">
        <w:t xml:space="preserve"> for the revised indication?</w:t>
      </w:r>
    </w:p>
    <w:p w:rsidR="00B93676" w:rsidRPr="00DA3331" w:rsidRDefault="00B93676" w:rsidP="00DA3331">
      <w:pPr>
        <w:pStyle w:val="ListBullet"/>
      </w:pPr>
      <w:r w:rsidRPr="00DA3331">
        <w:t>Does the committee consider that the data from the single pivotal study is sufficient to support the revised indication?</w:t>
      </w:r>
    </w:p>
    <w:p w:rsidR="00B93676" w:rsidRPr="00DA3331" w:rsidRDefault="00B93676" w:rsidP="00DA3331">
      <w:pPr>
        <w:pStyle w:val="ListBullet"/>
      </w:pPr>
      <w:r w:rsidRPr="00DA3331">
        <w:t>Does the committee have any concern regarding the lack of comparative study?</w:t>
      </w:r>
    </w:p>
    <w:p w:rsidR="006D6A1E" w:rsidRPr="00DA3331" w:rsidRDefault="00B93676" w:rsidP="00DA3331">
      <w:r w:rsidRPr="00DA3331">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0E55BF">
        <w:t>s</w:t>
      </w:r>
      <w:r w:rsidR="00CD7197">
        <w:t>ponsor</w:t>
      </w:r>
    </w:p>
    <w:p w:rsidR="004113FE" w:rsidRDefault="004113FE" w:rsidP="00A76ACC">
      <w:r>
        <w:t>The sponsor’s comments on the issues for which the advice of the ACPM was sought, as outlined in the Delegate’s Overview, are presented below.</w:t>
      </w:r>
    </w:p>
    <w:p w:rsidR="00A76ACC" w:rsidRDefault="00A76ACC" w:rsidP="00A76ACC">
      <w:r w:rsidRPr="00A76ACC">
        <w:t>The initial proposed indication</w:t>
      </w:r>
      <w:r>
        <w:t xml:space="preserve"> at the time of submission was</w:t>
      </w:r>
      <w:r w:rsidR="00925A40">
        <w:t>:</w:t>
      </w:r>
    </w:p>
    <w:p w:rsidR="00A76ACC" w:rsidRPr="00A76ACC" w:rsidRDefault="00F53002" w:rsidP="00A76ACC">
      <w:pPr>
        <w:ind w:left="720"/>
        <w:rPr>
          <w:i/>
        </w:rPr>
      </w:pPr>
      <w:proofErr w:type="spellStart"/>
      <w:r>
        <w:rPr>
          <w:i/>
        </w:rPr>
        <w:t>Xofigo</w:t>
      </w:r>
      <w:proofErr w:type="spellEnd"/>
      <w:r w:rsidR="00A76ACC" w:rsidRPr="00A76ACC">
        <w:rPr>
          <w:i/>
        </w:rPr>
        <w:t xml:space="preserve"> is indicated </w:t>
      </w:r>
      <w:r w:rsidR="008536BE">
        <w:rPr>
          <w:i/>
        </w:rPr>
        <w:t>for the treatment of castration-</w:t>
      </w:r>
      <w:r w:rsidR="00A76ACC" w:rsidRPr="00A76ACC">
        <w:rPr>
          <w:i/>
        </w:rPr>
        <w:t>resistant prostate cancer patients with bone metastases.</w:t>
      </w:r>
    </w:p>
    <w:p w:rsidR="00A76ACC" w:rsidRDefault="00A76ACC" w:rsidP="00A76ACC">
      <w:r w:rsidRPr="00A76ACC">
        <w:t xml:space="preserve">On the basis of the recommendation following clinical evaluation, the </w:t>
      </w:r>
      <w:r w:rsidR="00DA706D">
        <w:t>s</w:t>
      </w:r>
      <w:r w:rsidRPr="00A76ACC">
        <w:t>ponsor agrees to revise the proposed indication wording to more accurately reflect the p</w:t>
      </w:r>
      <w:r>
        <w:t>opulation in the pivotal trial.</w:t>
      </w:r>
    </w:p>
    <w:p w:rsidR="00A76ACC" w:rsidRDefault="00A76ACC" w:rsidP="00A76ACC">
      <w:r w:rsidRPr="00A76ACC">
        <w:t xml:space="preserve">The </w:t>
      </w:r>
      <w:r w:rsidR="00DA706D">
        <w:t>s</w:t>
      </w:r>
      <w:r w:rsidRPr="00A76ACC">
        <w:t>ponsor concurs with the Delegate’s pre</w:t>
      </w:r>
      <w:r w:rsidR="00DA706D">
        <w:t xml:space="preserve"> </w:t>
      </w:r>
      <w:r w:rsidRPr="00A76ACC">
        <w:t>ACPM preliminary assessment that the application should be approved for th</w:t>
      </w:r>
      <w:r>
        <w:t>e following revised indication:</w:t>
      </w:r>
    </w:p>
    <w:p w:rsidR="00A76ACC" w:rsidRPr="00A76ACC" w:rsidRDefault="00FF1BF1" w:rsidP="00A76ACC">
      <w:pPr>
        <w:ind w:left="720"/>
        <w:rPr>
          <w:i/>
        </w:rPr>
      </w:pPr>
      <w:proofErr w:type="spellStart"/>
      <w:r>
        <w:rPr>
          <w:i/>
        </w:rPr>
        <w:t>Xofigo</w:t>
      </w:r>
      <w:proofErr w:type="spellEnd"/>
      <w:r w:rsidR="00A76ACC" w:rsidRPr="00A76ACC">
        <w:rPr>
          <w:i/>
        </w:rPr>
        <w:t xml:space="preserve"> is indicated for the treatment of castration-resistant prostate cancer patients with symptomatic bone metastases and no known visceral metastatic disease.</w:t>
      </w:r>
    </w:p>
    <w:p w:rsidR="00550590" w:rsidRPr="00550590" w:rsidRDefault="00A76ACC" w:rsidP="00550590">
      <w:r w:rsidRPr="00550590">
        <w:t>The propo</w:t>
      </w:r>
      <w:r w:rsidR="00550590" w:rsidRPr="00550590">
        <w:t xml:space="preserve">sed dose regimen of </w:t>
      </w:r>
      <w:proofErr w:type="spellStart"/>
      <w:r w:rsidR="00DA706D">
        <w:t>Xofigo</w:t>
      </w:r>
      <w:proofErr w:type="spellEnd"/>
      <w:r w:rsidR="00550590" w:rsidRPr="00550590">
        <w:t xml:space="preserve"> is:</w:t>
      </w:r>
    </w:p>
    <w:p w:rsidR="00D23139" w:rsidRPr="00550590" w:rsidRDefault="00A76ACC" w:rsidP="00550590">
      <w:pPr>
        <w:ind w:left="720"/>
        <w:rPr>
          <w:i/>
        </w:rPr>
      </w:pPr>
      <w:proofErr w:type="gramStart"/>
      <w:r w:rsidRPr="00550590">
        <w:rPr>
          <w:i/>
        </w:rPr>
        <w:t xml:space="preserve">50 </w:t>
      </w:r>
      <w:proofErr w:type="spellStart"/>
      <w:r w:rsidRPr="00550590">
        <w:rPr>
          <w:i/>
        </w:rPr>
        <w:t>kBq</w:t>
      </w:r>
      <w:proofErr w:type="spellEnd"/>
      <w:r w:rsidRPr="00550590">
        <w:rPr>
          <w:i/>
        </w:rPr>
        <w:t xml:space="preserve"> per kg body weight, given at 4 week intervals for 6 injections.</w:t>
      </w:r>
      <w:proofErr w:type="gramEnd"/>
      <w:r w:rsidRPr="00550590">
        <w:rPr>
          <w:i/>
        </w:rPr>
        <w:t xml:space="preserve"> Safety and efficacy beyond 6 injections have not been studied.</w:t>
      </w:r>
    </w:p>
    <w:p w:rsidR="00550590" w:rsidRDefault="00550590" w:rsidP="000B3113">
      <w:pPr>
        <w:pStyle w:val="Heading5"/>
        <w:rPr>
          <w:lang w:eastAsia="en-AU"/>
        </w:rPr>
      </w:pPr>
      <w:r>
        <w:rPr>
          <w:lang w:eastAsia="en-AU"/>
        </w:rPr>
        <w:lastRenderedPageBreak/>
        <w:t xml:space="preserve">Overview of clinical evidence to support registration of </w:t>
      </w:r>
      <w:proofErr w:type="spellStart"/>
      <w:r>
        <w:rPr>
          <w:lang w:eastAsia="en-AU"/>
        </w:rPr>
        <w:t>Xofigo</w:t>
      </w:r>
      <w:proofErr w:type="spellEnd"/>
    </w:p>
    <w:p w:rsidR="00550590" w:rsidRPr="00550590" w:rsidRDefault="00550590" w:rsidP="00550590">
      <w:r w:rsidRPr="00550590">
        <w:t>Prostate cancer is the most common non</w:t>
      </w:r>
      <w:r w:rsidR="004F5826">
        <w:t xml:space="preserve"> </w:t>
      </w:r>
      <w:r w:rsidRPr="00550590">
        <w:t xml:space="preserve">cutaneous malignancy in men worldwide. The clinical evidence to support the registration of </w:t>
      </w:r>
      <w:proofErr w:type="spellStart"/>
      <w:r w:rsidRPr="00550590">
        <w:t>X</w:t>
      </w:r>
      <w:r w:rsidR="004E7828">
        <w:t>ofigo</w:t>
      </w:r>
      <w:proofErr w:type="spellEnd"/>
      <w:r w:rsidRPr="00550590">
        <w:t xml:space="preserve"> for the treatment of </w:t>
      </w:r>
      <w:r w:rsidR="004E7828">
        <w:t>CRPC</w:t>
      </w:r>
      <w:r w:rsidRPr="00550590">
        <w:t xml:space="preserve"> patients with symptomatic bone metastases and no known visceral metastatic disease is based on the single pivotal Phase III study (BC1-06). The primary efficacy outcome was OS. The overall efficacy results from the pivotal Study BC1-06 demonstrated a statistically significant and clinically meaningful benefit in prolonging OS in CRPC patients with symptomatic bone metastases treated with </w:t>
      </w:r>
      <w:proofErr w:type="spellStart"/>
      <w:r w:rsidRPr="00550590">
        <w:t>X</w:t>
      </w:r>
      <w:r w:rsidR="001E45AE">
        <w:t>ofigo</w:t>
      </w:r>
      <w:proofErr w:type="spellEnd"/>
      <w:r w:rsidRPr="00550590">
        <w:t xml:space="preserve"> plus </w:t>
      </w:r>
      <w:proofErr w:type="spellStart"/>
      <w:r w:rsidR="001E45AE">
        <w:t>BSoC</w:t>
      </w:r>
      <w:proofErr w:type="spellEnd"/>
      <w:r w:rsidRPr="00550590">
        <w:t xml:space="preserve"> compared to placebo plus </w:t>
      </w:r>
      <w:proofErr w:type="spellStart"/>
      <w:r w:rsidRPr="00550590">
        <w:t>BSoC</w:t>
      </w:r>
      <w:proofErr w:type="spellEnd"/>
      <w:r w:rsidRPr="00550590">
        <w:t>. The study was terminated early as recommended by an independent data monitoring committee during a pre</w:t>
      </w:r>
      <w:r w:rsidR="00D64755">
        <w:t xml:space="preserve"> </w:t>
      </w:r>
      <w:r w:rsidRPr="00550590">
        <w:t>specified interim analysis in view of the statistically significant prolongation of OS with respect to the primary endpoint and its support from the secondary study endpoints.</w:t>
      </w:r>
    </w:p>
    <w:p w:rsidR="000B3113" w:rsidRPr="000B3113" w:rsidRDefault="00550590" w:rsidP="000B3113">
      <w:r w:rsidRPr="00550590">
        <w:t xml:space="preserve">At the interim (primary) analysis, the median OS was 14.0 months in the </w:t>
      </w:r>
      <w:proofErr w:type="spellStart"/>
      <w:r w:rsidR="00EE283D">
        <w:t>Xofigo</w:t>
      </w:r>
      <w:proofErr w:type="spellEnd"/>
      <w:r w:rsidR="00EE283D">
        <w:t xml:space="preserve"> </w:t>
      </w:r>
      <w:r w:rsidRPr="00550590">
        <w:t xml:space="preserve">treated group and 11.2 months in the placebo group. The observed increased in median OS of 2.8 months was both statistically significant and clinically meaningful, corresponding to a 30% reduction in the risk of death in patients treated with </w:t>
      </w:r>
      <w:proofErr w:type="spellStart"/>
      <w:r w:rsidR="00F4074D">
        <w:t>Xofigo</w:t>
      </w:r>
      <w:proofErr w:type="spellEnd"/>
      <w:r w:rsidRPr="00550590">
        <w:t xml:space="preserve"> as compa</w:t>
      </w:r>
      <w:r w:rsidR="00CD134C">
        <w:t>red with placebo (</w:t>
      </w:r>
      <w:r w:rsidRPr="00550590">
        <w:t xml:space="preserve">HR = </w:t>
      </w:r>
      <w:r w:rsidR="00F4074D">
        <w:t xml:space="preserve">0.695; 95% </w:t>
      </w:r>
      <w:r w:rsidRPr="00550590">
        <w:t>CI = 0.552 - 0.875; 2-sided p = 0.00185). Consistent results were observed in the updated analysis performed with a later cut</w:t>
      </w:r>
      <w:r w:rsidR="004E30AD">
        <w:t xml:space="preserve"> </w:t>
      </w:r>
      <w:r w:rsidRPr="00550590">
        <w:t xml:space="preserve">off. In the updated analysis, the difference in median OS benefit increased to 3.6 months (14.9 months in the </w:t>
      </w:r>
      <w:proofErr w:type="spellStart"/>
      <w:r w:rsidR="001D12A8">
        <w:t>Xofigo</w:t>
      </w:r>
      <w:proofErr w:type="spellEnd"/>
      <w:r w:rsidRPr="00550590">
        <w:t xml:space="preserve"> group</w:t>
      </w:r>
      <w:r w:rsidR="00812779">
        <w:t xml:space="preserve"> compared to 11.3 months in the placebo group</w:t>
      </w:r>
      <w:r w:rsidRPr="00550590">
        <w:t xml:space="preserve">; HR = </w:t>
      </w:r>
      <w:r w:rsidR="00812779">
        <w:t>0.695, 95% CI = 0.581-</w:t>
      </w:r>
      <w:r w:rsidRPr="00550590">
        <w:t>0.832). The treatment effect on OS was robust after adjustment for stratification factors and was consistently fa</w:t>
      </w:r>
      <w:r w:rsidR="001F505A">
        <w:t xml:space="preserve">vourable across all subgroups. </w:t>
      </w:r>
      <w:r w:rsidRPr="00550590">
        <w:t>The beneficial effect on survival was supported by the secondary</w:t>
      </w:r>
      <w:r w:rsidR="000B3113">
        <w:t xml:space="preserve"> </w:t>
      </w:r>
      <w:r w:rsidR="001F505A">
        <w:t xml:space="preserve">endpoints. </w:t>
      </w:r>
      <w:r w:rsidRPr="00550590">
        <w:t xml:space="preserve">Results from the secondary endpoints showed a positive effect of </w:t>
      </w:r>
      <w:proofErr w:type="spellStart"/>
      <w:r w:rsidR="00536EAC">
        <w:t>Xofigo</w:t>
      </w:r>
      <w:proofErr w:type="spellEnd"/>
      <w:r w:rsidRPr="00550590">
        <w:t xml:space="preserve"> treatment in</w:t>
      </w:r>
      <w:r w:rsidR="000B3113">
        <w:t xml:space="preserve"> </w:t>
      </w:r>
      <w:r w:rsidR="000B3113" w:rsidRPr="000B3113">
        <w:t>reducing and delaying the onset of clinica</w:t>
      </w:r>
      <w:r w:rsidR="001D12A8">
        <w:t xml:space="preserve">l bone metastases </w:t>
      </w:r>
      <w:proofErr w:type="spellStart"/>
      <w:r w:rsidR="001D12A8">
        <w:t>sequelae</w:t>
      </w:r>
      <w:proofErr w:type="spellEnd"/>
      <w:r w:rsidR="001D12A8">
        <w:t xml:space="preserve"> (</w:t>
      </w:r>
      <w:r w:rsidR="000B3113" w:rsidRPr="000B3113">
        <w:t>symptomatic skeletal</w:t>
      </w:r>
      <w:r w:rsidR="000B3113">
        <w:t xml:space="preserve"> </w:t>
      </w:r>
      <w:r w:rsidR="000B3113" w:rsidRPr="000B3113">
        <w:t>events</w:t>
      </w:r>
      <w:r w:rsidR="001D12A8">
        <w:t xml:space="preserve"> [SSE]</w:t>
      </w:r>
      <w:r w:rsidR="001D12A8">
        <w:rPr>
          <w:rStyle w:val="FootnoteReference"/>
        </w:rPr>
        <w:footnoteReference w:id="24"/>
      </w:r>
      <w:r w:rsidR="000B3113" w:rsidRPr="000B3113">
        <w:t xml:space="preserve">) and confirms the target efficacy of </w:t>
      </w:r>
      <w:proofErr w:type="spellStart"/>
      <w:r w:rsidR="004C5D3C">
        <w:t>Xofigo</w:t>
      </w:r>
      <w:proofErr w:type="spellEnd"/>
      <w:r w:rsidR="000B3113" w:rsidRPr="000B3113">
        <w:t xml:space="preserve"> on bone metastases, also evident by the favourable effects on bone markers and on pain relief. The overall incidence of adverse events reported in the study w</w:t>
      </w:r>
      <w:r w:rsidR="007C520B">
        <w:t>as</w:t>
      </w:r>
      <w:r w:rsidR="000B3113" w:rsidRPr="000B3113">
        <w:t xml:space="preserve"> consistently lower in the </w:t>
      </w:r>
      <w:proofErr w:type="spellStart"/>
      <w:r w:rsidR="0015263F">
        <w:t>Xofigo</w:t>
      </w:r>
      <w:proofErr w:type="spellEnd"/>
      <w:r w:rsidR="0015263F" w:rsidRPr="000B3113">
        <w:t xml:space="preserve"> </w:t>
      </w:r>
      <w:r w:rsidR="000B3113" w:rsidRPr="000B3113">
        <w:t>group than in the placebo</w:t>
      </w:r>
      <w:r w:rsidR="0015263F">
        <w:t xml:space="preserve"> </w:t>
      </w:r>
      <w:r w:rsidR="000B3113" w:rsidRPr="000B3113">
        <w:t xml:space="preserve">group. The most commonly reported AEs were primarily mild-to-moderate </w:t>
      </w:r>
      <w:r w:rsidR="0015263F">
        <w:t>GI</w:t>
      </w:r>
      <w:r w:rsidR="000B3113" w:rsidRPr="000B3113">
        <w:t xml:space="preserve"> (diarrhoea, nausea and vomiting) and </w:t>
      </w:r>
      <w:proofErr w:type="spellStart"/>
      <w:r w:rsidR="000B3113" w:rsidRPr="000B3113">
        <w:t>thrombocytopaenia</w:t>
      </w:r>
      <w:proofErr w:type="spellEnd"/>
      <w:r w:rsidR="000B3113" w:rsidRPr="000B3113">
        <w:t xml:space="preserve">. The drug-related </w:t>
      </w:r>
      <w:r w:rsidR="00D63BB1">
        <w:t>AEs</w:t>
      </w:r>
      <w:r w:rsidR="000B3113" w:rsidRPr="000B3113">
        <w:t xml:space="preserve"> reported were overall manageable during the study.</w:t>
      </w:r>
    </w:p>
    <w:p w:rsidR="000B3113" w:rsidRPr="000B3113" w:rsidRDefault="000B3113" w:rsidP="000B3113">
      <w:r w:rsidRPr="000B3113">
        <w:t xml:space="preserve">Based on the clinical data submitted, the </w:t>
      </w:r>
      <w:r w:rsidR="00C94275">
        <w:t>s</w:t>
      </w:r>
      <w:r w:rsidRPr="000B3113">
        <w:t xml:space="preserve">ponsor concurs with the Delegate that the benefit-risk balance of </w:t>
      </w:r>
      <w:proofErr w:type="spellStart"/>
      <w:r w:rsidR="00C94275">
        <w:t>Xofigo</w:t>
      </w:r>
      <w:proofErr w:type="spellEnd"/>
      <w:r w:rsidRPr="000B3113">
        <w:t xml:space="preserve"> is considered favourable for the proposed use.</w:t>
      </w:r>
    </w:p>
    <w:p w:rsidR="000B3113" w:rsidRPr="000B3113" w:rsidRDefault="000B3113" w:rsidP="000B3113">
      <w:pPr>
        <w:pStyle w:val="Heading6"/>
      </w:pPr>
      <w:r w:rsidRPr="000B3113">
        <w:t>Acceptability of the revised indication wording</w:t>
      </w:r>
    </w:p>
    <w:p w:rsidR="00C75E34" w:rsidRDefault="000B3113" w:rsidP="000B3113">
      <w:r w:rsidRPr="000B3113">
        <w:t xml:space="preserve">In Study BC1-06, the target population was </w:t>
      </w:r>
      <w:r w:rsidR="008B1B13">
        <w:t>CRPC</w:t>
      </w:r>
      <w:r w:rsidRPr="000B3113">
        <w:t xml:space="preserve"> patients with symptomatic bone metastases. Patients with history of or the presence of visceral metastases were excluded.</w:t>
      </w:r>
      <w:r w:rsidR="001F505A">
        <w:t xml:space="preserve"> </w:t>
      </w:r>
      <w:r w:rsidRPr="000B3113">
        <w:t>Thus, the propo</w:t>
      </w:r>
      <w:r w:rsidR="00C75E34">
        <w:t>sed revised indication wording:</w:t>
      </w:r>
    </w:p>
    <w:p w:rsidR="00C75E34" w:rsidRPr="00C75E34" w:rsidRDefault="00947C7A" w:rsidP="00C75E34">
      <w:pPr>
        <w:ind w:left="720"/>
        <w:rPr>
          <w:i/>
        </w:rPr>
      </w:pPr>
      <w:proofErr w:type="spellStart"/>
      <w:r>
        <w:rPr>
          <w:i/>
        </w:rPr>
        <w:t>Xofigo</w:t>
      </w:r>
      <w:proofErr w:type="spellEnd"/>
      <w:r w:rsidR="000B3113" w:rsidRPr="00C75E34">
        <w:rPr>
          <w:i/>
        </w:rPr>
        <w:t xml:space="preserve"> is indicated for the treatment of castration-resistant prostate cancer patients with symptomatic bone metastases and no known visceral metasta</w:t>
      </w:r>
      <w:r w:rsidR="00C75E34" w:rsidRPr="00C75E34">
        <w:rPr>
          <w:i/>
        </w:rPr>
        <w:t>tic disease</w:t>
      </w:r>
    </w:p>
    <w:p w:rsidR="000B3113" w:rsidRPr="000B3113" w:rsidRDefault="000B3113" w:rsidP="000B3113">
      <w:proofErr w:type="gramStart"/>
      <w:r w:rsidRPr="000B3113">
        <w:t>is</w:t>
      </w:r>
      <w:proofErr w:type="gramEnd"/>
      <w:r w:rsidRPr="000B3113">
        <w:t xml:space="preserve"> considered appropriate and is consistent with the patient </w:t>
      </w:r>
      <w:r>
        <w:t xml:space="preserve">population </w:t>
      </w:r>
      <w:r w:rsidRPr="000B3113">
        <w:t>assessed in Study BC1-06.</w:t>
      </w:r>
    </w:p>
    <w:p w:rsidR="009E20C5" w:rsidRPr="009E20C5" w:rsidRDefault="009E20C5" w:rsidP="009E20C5">
      <w:pPr>
        <w:pStyle w:val="Heading6"/>
      </w:pPr>
      <w:r w:rsidRPr="009E20C5">
        <w:t>Acceptability of the proposed dose regimen</w:t>
      </w:r>
    </w:p>
    <w:p w:rsidR="009E20C5" w:rsidRPr="009E20C5" w:rsidRDefault="009E20C5" w:rsidP="009E20C5">
      <w:r w:rsidRPr="009E20C5">
        <w:t xml:space="preserve">The proposed dosing regimen for </w:t>
      </w:r>
      <w:proofErr w:type="spellStart"/>
      <w:r w:rsidRPr="009E20C5">
        <w:t>X</w:t>
      </w:r>
      <w:r w:rsidR="003F4E8C">
        <w:t>ofigo</w:t>
      </w:r>
      <w:proofErr w:type="spellEnd"/>
      <w:r w:rsidRPr="009E20C5">
        <w:t xml:space="preserve"> (fixed</w:t>
      </w:r>
      <w:r w:rsidR="00D5738E">
        <w:t xml:space="preserve"> </w:t>
      </w:r>
      <w:r w:rsidRPr="009E20C5">
        <w:t xml:space="preserve">dose injections of 50 </w:t>
      </w:r>
      <w:proofErr w:type="spellStart"/>
      <w:r w:rsidRPr="009E20C5">
        <w:t>kBq</w:t>
      </w:r>
      <w:proofErr w:type="spellEnd"/>
      <w:r w:rsidRPr="009E20C5">
        <w:t>/kg body weight given at 4 weekly intervals for a total of 6 injections) as assessed in the pivotal study (BC1-06) is based on the results of the supportive BC1-02 and BC1-04 studies.</w:t>
      </w:r>
    </w:p>
    <w:p w:rsidR="009E20C5" w:rsidRPr="009E20C5" w:rsidRDefault="009E20C5" w:rsidP="009E20C5">
      <w:r w:rsidRPr="009E20C5">
        <w:t xml:space="preserve">In Study BC1-04, a dose of 50 </w:t>
      </w:r>
      <w:proofErr w:type="spellStart"/>
      <w:r w:rsidRPr="009E20C5">
        <w:t>kBq</w:t>
      </w:r>
      <w:proofErr w:type="spellEnd"/>
      <w:r w:rsidRPr="009E20C5">
        <w:t xml:space="preserve">/kg </w:t>
      </w:r>
      <w:r w:rsidR="005C21E8" w:rsidRPr="009E20C5">
        <w:t xml:space="preserve">body weight </w:t>
      </w:r>
      <w:r w:rsidRPr="009E20C5">
        <w:t xml:space="preserve">given three times every six weeks was statistically significantly superior to 25 </w:t>
      </w:r>
      <w:proofErr w:type="spellStart"/>
      <w:r w:rsidRPr="009E20C5">
        <w:t>kBq</w:t>
      </w:r>
      <w:proofErr w:type="spellEnd"/>
      <w:r w:rsidRPr="009E20C5">
        <w:t xml:space="preserve">/kg </w:t>
      </w:r>
      <w:r w:rsidR="005C21E8" w:rsidRPr="009E20C5">
        <w:t xml:space="preserve">body weight </w:t>
      </w:r>
      <w:r w:rsidRPr="009E20C5">
        <w:t xml:space="preserve">given in the same regimen </w:t>
      </w:r>
      <w:r w:rsidRPr="009E20C5">
        <w:lastRenderedPageBreak/>
        <w:t>with respect to the surrogate markers ALP and PSA.</w:t>
      </w:r>
      <w:r>
        <w:t xml:space="preserve"> </w:t>
      </w:r>
      <w:r w:rsidRPr="009E20C5">
        <w:t xml:space="preserve">However, no incremental efficacy was observed at the higher dose </w:t>
      </w:r>
      <w:proofErr w:type="gramStart"/>
      <w:r w:rsidRPr="009E20C5">
        <w:t xml:space="preserve">of 3 x 80 </w:t>
      </w:r>
      <w:proofErr w:type="spellStart"/>
      <w:r w:rsidRPr="009E20C5">
        <w:t>kBq</w:t>
      </w:r>
      <w:proofErr w:type="spellEnd"/>
      <w:r w:rsidRPr="009E20C5">
        <w:t>/kg</w:t>
      </w:r>
      <w:proofErr w:type="gramEnd"/>
      <w:r w:rsidRPr="009E20C5">
        <w:t xml:space="preserve"> every 6 weeks for the same markers. Throughout the dose range tested during the initia</w:t>
      </w:r>
      <w:r w:rsidR="00C03EB3">
        <w:t>l Phase I study (ATI-BC1), that is,</w:t>
      </w:r>
      <w:r w:rsidRPr="009E20C5">
        <w:t xml:space="preserve"> single doses up to 250 </w:t>
      </w:r>
      <w:proofErr w:type="spellStart"/>
      <w:r w:rsidRPr="009E20C5">
        <w:t>kBq</w:t>
      </w:r>
      <w:proofErr w:type="spellEnd"/>
      <w:r w:rsidRPr="009E20C5">
        <w:t xml:space="preserve">/kg </w:t>
      </w:r>
      <w:r w:rsidR="005C21E8" w:rsidRPr="009E20C5">
        <w:t xml:space="preserve">body </w:t>
      </w:r>
      <w:proofErr w:type="gramStart"/>
      <w:r w:rsidR="005C21E8" w:rsidRPr="009E20C5">
        <w:t>weight</w:t>
      </w:r>
      <w:proofErr w:type="gramEnd"/>
      <w:r w:rsidRPr="009E20C5">
        <w:t xml:space="preserve">, no dose limiting toxicities were recorded and there was no gradient of risk across the doses up to 100 </w:t>
      </w:r>
      <w:proofErr w:type="spellStart"/>
      <w:r w:rsidRPr="009E20C5">
        <w:t>kBq</w:t>
      </w:r>
      <w:proofErr w:type="spellEnd"/>
      <w:r w:rsidRPr="009E20C5">
        <w:t xml:space="preserve">/kg </w:t>
      </w:r>
      <w:r w:rsidR="005C21E8" w:rsidRPr="009E20C5">
        <w:t xml:space="preserve">body weight </w:t>
      </w:r>
      <w:r w:rsidRPr="009E20C5">
        <w:t xml:space="preserve">in the Phase II studies. Given the lack of dose limiting toxicities at single doses up to 250 </w:t>
      </w:r>
      <w:proofErr w:type="spellStart"/>
      <w:r w:rsidRPr="009E20C5">
        <w:t>kBq</w:t>
      </w:r>
      <w:proofErr w:type="spellEnd"/>
      <w:r w:rsidRPr="009E20C5">
        <w:t xml:space="preserve">/kg </w:t>
      </w:r>
      <w:r w:rsidR="005C21E8" w:rsidRPr="009E20C5">
        <w:t>body weight</w:t>
      </w:r>
      <w:r w:rsidRPr="009E20C5">
        <w:t xml:space="preserve">, this was investigated as an approximate total dose in a fractionated regimen by adopting the minimum effective dose of 50 </w:t>
      </w:r>
      <w:proofErr w:type="spellStart"/>
      <w:r w:rsidRPr="009E20C5">
        <w:t>kBq</w:t>
      </w:r>
      <w:proofErr w:type="spellEnd"/>
      <w:r w:rsidRPr="009E20C5">
        <w:t xml:space="preserve">/kg </w:t>
      </w:r>
      <w:r w:rsidR="005C21E8" w:rsidRPr="009E20C5">
        <w:t xml:space="preserve">body weight </w:t>
      </w:r>
      <w:r w:rsidRPr="009E20C5">
        <w:t xml:space="preserve">(50 x 6 fractions). The choice of 6 injections was also based on data from the Phase I and II studies. The Phase II </w:t>
      </w:r>
      <w:r w:rsidR="00644BFB">
        <w:t>S</w:t>
      </w:r>
      <w:r w:rsidRPr="009E20C5">
        <w:t>tudy BC1-02 was conducted with 4 injections, and the data suggested a relationship between benefit and duration of t</w:t>
      </w:r>
      <w:r w:rsidR="00644BFB">
        <w:t xml:space="preserve">reatment, so an increase to 6 </w:t>
      </w:r>
      <w:r w:rsidRPr="009E20C5">
        <w:t>injections from four was deemed reasonable.</w:t>
      </w:r>
    </w:p>
    <w:p w:rsidR="009E20C5" w:rsidRPr="009E20C5" w:rsidRDefault="009E20C5" w:rsidP="009E20C5">
      <w:r w:rsidRPr="009E20C5">
        <w:t xml:space="preserve">In the randomised Phase II Study BC1-02, the 50 </w:t>
      </w:r>
      <w:proofErr w:type="spellStart"/>
      <w:r w:rsidRPr="009E20C5">
        <w:t>kBq</w:t>
      </w:r>
      <w:proofErr w:type="spellEnd"/>
      <w:r w:rsidRPr="009E20C5">
        <w:t xml:space="preserve">/kg </w:t>
      </w:r>
      <w:r w:rsidR="005C21E8" w:rsidRPr="009E20C5">
        <w:t xml:space="preserve">body weight </w:t>
      </w:r>
      <w:r w:rsidRPr="009E20C5">
        <w:t xml:space="preserve">dose given every four weeks showed activity in the bone based on the primary endpoint of changes to bone ALP and on time to skeletal related events. This dose also showed a positive effect on the secondary endpoint of OS, and therefore supported the choice of OS as the primary endpoint for the Phase III study. The decision on the dose selection was based on the concept that given the two radiation doses have the same activity on bone markers of turnover, and similar safety profiles, the lower dose provides the lowest radiation risk and therefore should be chosen. Six doses of 50 </w:t>
      </w:r>
      <w:proofErr w:type="spellStart"/>
      <w:r w:rsidRPr="009E20C5">
        <w:t>kBq</w:t>
      </w:r>
      <w:proofErr w:type="spellEnd"/>
      <w:r w:rsidRPr="009E20C5">
        <w:t xml:space="preserve">/kg </w:t>
      </w:r>
      <w:r w:rsidR="005C21E8" w:rsidRPr="009E20C5">
        <w:t xml:space="preserve">body weight </w:t>
      </w:r>
      <w:r w:rsidRPr="009E20C5">
        <w:t xml:space="preserve">every four weeks was tested in Study BC1-06 and the results from Study BC1-06 demonstrated an OS advantage in CRPC patients with bone metastases as well as a highly tolerable safety profile, and supports the </w:t>
      </w:r>
      <w:r>
        <w:t xml:space="preserve">tested </w:t>
      </w:r>
      <w:r w:rsidRPr="009E20C5">
        <w:t>dosage regimen as the proposed dosage regimen for registration.</w:t>
      </w:r>
    </w:p>
    <w:p w:rsidR="009E20C5" w:rsidRPr="009E20C5" w:rsidRDefault="009E20C5" w:rsidP="009E20C5">
      <w:r w:rsidRPr="009E20C5">
        <w:t>In summary, the dosing regimen was selected based on the Phase I and II data.</w:t>
      </w:r>
      <w:r w:rsidR="001F505A">
        <w:t xml:space="preserve"> </w:t>
      </w:r>
      <w:r w:rsidRPr="009E20C5">
        <w:t>The results from the</w:t>
      </w:r>
      <w:r>
        <w:t xml:space="preserve"> </w:t>
      </w:r>
      <w:r w:rsidRPr="009E20C5">
        <w:t xml:space="preserve">Phase III </w:t>
      </w:r>
      <w:r w:rsidR="00644BFB">
        <w:t>S</w:t>
      </w:r>
      <w:r w:rsidRPr="009E20C5">
        <w:t>tudy BC1-06 clearly show that the dosing regimen chosen provided a significant clinical benefit in terms of the primary endpoint of OS and all of the secondary endpoints, and showed a very tolerable safety profile. Taken together, the current dosing regimen was deemed safe and effective. Nevertheless, the sponsor is currently exploring the possibility that higher doses and/or additional doses may be of further benefit.</w:t>
      </w:r>
    </w:p>
    <w:p w:rsidR="009E20C5" w:rsidRDefault="009E20C5" w:rsidP="00593446">
      <w:pPr>
        <w:pStyle w:val="Heading5"/>
      </w:pPr>
      <w:r>
        <w:t xml:space="preserve">Limitations/issues identified in the </w:t>
      </w:r>
      <w:r w:rsidR="00AA6B7B">
        <w:t>d</w:t>
      </w:r>
      <w:r>
        <w:t>elegate’s evaluation</w:t>
      </w:r>
    </w:p>
    <w:p w:rsidR="009E20C5" w:rsidRPr="009E20C5" w:rsidRDefault="009E20C5" w:rsidP="00593446">
      <w:pPr>
        <w:pStyle w:val="Heading6"/>
      </w:pPr>
      <w:r w:rsidRPr="009E20C5">
        <w:t xml:space="preserve">No head-to-head comparison with other products that are indicated for </w:t>
      </w:r>
      <w:r w:rsidR="00644BFB">
        <w:t>CRPC</w:t>
      </w:r>
      <w:r w:rsidRPr="009E20C5">
        <w:t xml:space="preserve"> patients with bone metastases</w:t>
      </w:r>
    </w:p>
    <w:p w:rsidR="009E20C5" w:rsidRPr="009E20C5" w:rsidRDefault="009E20C5" w:rsidP="009E20C5">
      <w:r w:rsidRPr="009E20C5">
        <w:t xml:space="preserve">At the time of initiation and conduct of </w:t>
      </w:r>
      <w:r w:rsidR="00644BFB">
        <w:t>S</w:t>
      </w:r>
      <w:r w:rsidRPr="009E20C5">
        <w:t xml:space="preserve">tudy BC1-06 (accrual between June 2008 and February 2011), </w:t>
      </w:r>
      <w:proofErr w:type="spellStart"/>
      <w:r w:rsidRPr="009E20C5">
        <w:t>docetaxel</w:t>
      </w:r>
      <w:proofErr w:type="spellEnd"/>
      <w:r w:rsidRPr="009E20C5">
        <w:t xml:space="preserve"> was the only treatment available for the treatment of CRPC patients with bone metastases with a confirmed survival benefit. Further treatment options available at that time included other chemotherapeutic agents (such as </w:t>
      </w:r>
      <w:proofErr w:type="spellStart"/>
      <w:r w:rsidRPr="009E20C5">
        <w:t>mitoxantrone</w:t>
      </w:r>
      <w:proofErr w:type="spellEnd"/>
      <w:r w:rsidRPr="009E20C5">
        <w:t xml:space="preserve"> or cyclophosphamide), hormonal treatments (such as ketoconazole or corticosteroids), or lo</w:t>
      </w:r>
      <w:r w:rsidR="003D28AB">
        <w:t>cal EBRT</w:t>
      </w:r>
      <w:r w:rsidRPr="009E20C5">
        <w:t>. While these therapies have been shown to induce some responses or palliation, none of these agents have demonstrated a survival benefit in clinical trials. In particular, there was</w:t>
      </w:r>
      <w:r w:rsidR="001F505A">
        <w:t xml:space="preserve"> </w:t>
      </w:r>
      <w:r w:rsidRPr="009E20C5">
        <w:t>no</w:t>
      </w:r>
      <w:r w:rsidR="001F505A">
        <w:t xml:space="preserve"> </w:t>
      </w:r>
      <w:r w:rsidRPr="009E20C5">
        <w:t xml:space="preserve">approved treatment available with a survival benefit in patients who had progressed on or after </w:t>
      </w:r>
      <w:proofErr w:type="spellStart"/>
      <w:r w:rsidRPr="009E20C5">
        <w:t>docetaxel</w:t>
      </w:r>
      <w:proofErr w:type="spellEnd"/>
      <w:r w:rsidRPr="009E20C5">
        <w:t xml:space="preserve">, </w:t>
      </w:r>
      <w:r w:rsidR="00593446">
        <w:t xml:space="preserve">or </w:t>
      </w:r>
      <w:r w:rsidRPr="009E20C5">
        <w:t xml:space="preserve">in patients who were unfit for or had refused </w:t>
      </w:r>
      <w:proofErr w:type="spellStart"/>
      <w:r w:rsidRPr="009E20C5">
        <w:t>docetaxel</w:t>
      </w:r>
      <w:proofErr w:type="spellEnd"/>
      <w:r w:rsidRPr="009E20C5">
        <w:t>.</w:t>
      </w:r>
    </w:p>
    <w:p w:rsidR="00883F02" w:rsidRPr="00883F02" w:rsidRDefault="003D28AB" w:rsidP="00883F02">
      <w:proofErr w:type="spellStart"/>
      <w:r>
        <w:t>BSoC</w:t>
      </w:r>
      <w:proofErr w:type="spellEnd"/>
      <w:r w:rsidR="00883F02" w:rsidRPr="00883F02">
        <w:t xml:space="preserve"> for metastatic CRPC patients in 2008 who were ineligible or not</w:t>
      </w:r>
      <w:r w:rsidR="00883F02">
        <w:t xml:space="preserve"> </w:t>
      </w:r>
      <w:r w:rsidR="00883F02" w:rsidRPr="00883F02">
        <w:t xml:space="preserve">willing to receive </w:t>
      </w:r>
      <w:proofErr w:type="spellStart"/>
      <w:r w:rsidR="00883F02" w:rsidRPr="00883F02">
        <w:t>docetaxel</w:t>
      </w:r>
      <w:proofErr w:type="spellEnd"/>
      <w:r w:rsidR="00883F02" w:rsidRPr="00883F02">
        <w:t xml:space="preserve"> and patients who had relapsed after </w:t>
      </w:r>
      <w:proofErr w:type="spellStart"/>
      <w:r w:rsidR="00883F02" w:rsidRPr="00883F02">
        <w:t>docetaxel</w:t>
      </w:r>
      <w:proofErr w:type="spellEnd"/>
      <w:r w:rsidR="00883F02" w:rsidRPr="00883F02">
        <w:t xml:space="preserve"> consisted of symptomatic palliative treatment such as </w:t>
      </w:r>
      <w:proofErr w:type="spellStart"/>
      <w:r w:rsidR="00883F02" w:rsidRPr="00883F02">
        <w:t>mitoxantrone</w:t>
      </w:r>
      <w:proofErr w:type="spellEnd"/>
      <w:r w:rsidR="00883F02" w:rsidRPr="00883F02">
        <w:t xml:space="preserve"> or EBRT, corticosteroids, </w:t>
      </w:r>
      <w:proofErr w:type="spellStart"/>
      <w:r w:rsidR="00883F02" w:rsidRPr="00883F02">
        <w:t>antiandrogens</w:t>
      </w:r>
      <w:proofErr w:type="spellEnd"/>
      <w:r w:rsidR="00883F02" w:rsidRPr="00883F02">
        <w:t xml:space="preserve">, </w:t>
      </w:r>
      <w:proofErr w:type="spellStart"/>
      <w:r w:rsidR="00883F02" w:rsidRPr="00883F02">
        <w:t>estrogens</w:t>
      </w:r>
      <w:proofErr w:type="spellEnd"/>
      <w:r w:rsidR="00883F02" w:rsidRPr="00883F02">
        <w:t xml:space="preserve">, </w:t>
      </w:r>
      <w:proofErr w:type="spellStart"/>
      <w:r w:rsidR="00883F02" w:rsidRPr="00883F02">
        <w:t>estramustine</w:t>
      </w:r>
      <w:proofErr w:type="spellEnd"/>
      <w:r w:rsidR="00883F02" w:rsidRPr="00883F02">
        <w:t xml:space="preserve">, ketoconazole or radionuclide therapy (other than </w:t>
      </w:r>
      <w:proofErr w:type="spellStart"/>
      <w:r w:rsidR="00883F02" w:rsidRPr="00883F02">
        <w:t>X</w:t>
      </w:r>
      <w:r>
        <w:t>ofigo</w:t>
      </w:r>
      <w:proofErr w:type="spellEnd"/>
      <w:r w:rsidR="00883F02" w:rsidRPr="00883F02">
        <w:t>).</w:t>
      </w:r>
    </w:p>
    <w:p w:rsidR="00883F02" w:rsidRPr="00883F02" w:rsidRDefault="00883F02" w:rsidP="00883F02">
      <w:r w:rsidRPr="00883F02">
        <w:t>In Study BC1-06, all patients were to r</w:t>
      </w:r>
      <w:r w:rsidR="000F679B">
        <w:t xml:space="preserve">eceive </w:t>
      </w:r>
      <w:proofErr w:type="spellStart"/>
      <w:r w:rsidR="000F679B">
        <w:t>BSoC</w:t>
      </w:r>
      <w:proofErr w:type="spellEnd"/>
      <w:r w:rsidRPr="00883F02">
        <w:t>. This allowed patients in the study to be treated with standard therapies chosen by the physician that were regarded as the routine</w:t>
      </w:r>
      <w:r w:rsidR="000F679B">
        <w:t xml:space="preserve"> standard of care at each centre</w:t>
      </w:r>
      <w:r w:rsidRPr="00883F02">
        <w:t>, for example EBRT, corticosteroids,</w:t>
      </w:r>
      <w:r w:rsidR="000F679B">
        <w:t xml:space="preserve"> </w:t>
      </w:r>
      <w:proofErr w:type="spellStart"/>
      <w:r w:rsidR="000F679B">
        <w:t>antiandrogens</w:t>
      </w:r>
      <w:proofErr w:type="spellEnd"/>
      <w:r w:rsidR="000F679B">
        <w:t xml:space="preserve">, </w:t>
      </w:r>
      <w:proofErr w:type="spellStart"/>
      <w:r w:rsidR="000F679B">
        <w:t>estrogens</w:t>
      </w:r>
      <w:proofErr w:type="spellEnd"/>
      <w:r w:rsidR="000F679B">
        <w:t xml:space="preserve"> (for example, </w:t>
      </w:r>
      <w:r w:rsidRPr="00883F02">
        <w:t xml:space="preserve">stilboestrol), </w:t>
      </w:r>
      <w:proofErr w:type="spellStart"/>
      <w:r w:rsidRPr="00883F02">
        <w:t>estramustine</w:t>
      </w:r>
      <w:proofErr w:type="spellEnd"/>
      <w:r w:rsidRPr="00883F02">
        <w:t xml:space="preserve"> or ketoconazole. Study BC1-06 enrolled only patients for which </w:t>
      </w:r>
      <w:proofErr w:type="spellStart"/>
      <w:r w:rsidRPr="00883F02">
        <w:t>docetaxel</w:t>
      </w:r>
      <w:proofErr w:type="spellEnd"/>
      <w:r w:rsidRPr="00883F02">
        <w:t xml:space="preserve"> treatment was not an option. Thus, a patient </w:t>
      </w:r>
      <w:r w:rsidRPr="00883F02">
        <w:lastRenderedPageBreak/>
        <w:t xml:space="preserve">randomised to placebo had also full access to all treatment options available at that time. Therefore, the comparison of </w:t>
      </w:r>
      <w:proofErr w:type="spellStart"/>
      <w:r w:rsidRPr="00883F02">
        <w:t>X</w:t>
      </w:r>
      <w:r w:rsidR="00B530E6">
        <w:t>ofigo</w:t>
      </w:r>
      <w:proofErr w:type="spellEnd"/>
      <w:r w:rsidRPr="00883F02">
        <w:t xml:space="preserve"> (plus </w:t>
      </w:r>
      <w:proofErr w:type="spellStart"/>
      <w:r w:rsidRPr="00883F02">
        <w:t>BSoC</w:t>
      </w:r>
      <w:proofErr w:type="spellEnd"/>
      <w:r w:rsidRPr="00883F02">
        <w:t xml:space="preserve">) against placebo (plus </w:t>
      </w:r>
      <w:proofErr w:type="spellStart"/>
      <w:r w:rsidRPr="00883F02">
        <w:t>BSoC</w:t>
      </w:r>
      <w:proofErr w:type="spellEnd"/>
      <w:r w:rsidRPr="00883F02">
        <w:t xml:space="preserve">) was appropriate in these patients. Upon scientific advice received in October 2007, the </w:t>
      </w:r>
      <w:r w:rsidR="00B05996" w:rsidRPr="00B05996">
        <w:t xml:space="preserve">Committee for Medicinal Products for Human Use </w:t>
      </w:r>
      <w:r w:rsidR="00B05996">
        <w:t>(</w:t>
      </w:r>
      <w:r w:rsidRPr="00883F02">
        <w:t>CHMP</w:t>
      </w:r>
      <w:r w:rsidR="00B05996">
        <w:t>)</w:t>
      </w:r>
      <w:r w:rsidRPr="00883F02">
        <w:t xml:space="preserve"> agreed to include a placebo control.</w:t>
      </w:r>
    </w:p>
    <w:p w:rsidR="00883F02" w:rsidRPr="00883F02" w:rsidRDefault="00883F02" w:rsidP="00883F02">
      <w:r w:rsidRPr="00883F02">
        <w:t>Bone</w:t>
      </w:r>
      <w:r w:rsidR="001D7DA5">
        <w:t xml:space="preserve"> </w:t>
      </w:r>
      <w:r w:rsidRPr="00883F02">
        <w:t xml:space="preserve">seeking radionuclides have been developed for palliation of bone pain from metastases: </w:t>
      </w:r>
      <w:proofErr w:type="spellStart"/>
      <w:r w:rsidRPr="00883F02">
        <w:t>Metastron</w:t>
      </w:r>
      <w:proofErr w:type="spellEnd"/>
      <w:r w:rsidRPr="00883F02">
        <w:t xml:space="preserve"> (</w:t>
      </w:r>
      <w:r w:rsidR="00D5738E">
        <w:rPr>
          <w:vertAlign w:val="superscript"/>
        </w:rPr>
        <w:t>89</w:t>
      </w:r>
      <w:r w:rsidR="00D5738E">
        <w:t>Sr</w:t>
      </w:r>
      <w:r w:rsidRPr="00883F02">
        <w:t xml:space="preserve">) and </w:t>
      </w:r>
      <w:proofErr w:type="spellStart"/>
      <w:r w:rsidRPr="00883F02">
        <w:t>Quadramet</w:t>
      </w:r>
      <w:proofErr w:type="spellEnd"/>
      <w:r w:rsidRPr="00883F02">
        <w:t xml:space="preserve"> (</w:t>
      </w:r>
      <w:r w:rsidR="00D5738E">
        <w:rPr>
          <w:vertAlign w:val="superscript"/>
        </w:rPr>
        <w:t>15</w:t>
      </w:r>
      <w:r w:rsidR="00D5738E" w:rsidRPr="001D76D7">
        <w:rPr>
          <w:vertAlign w:val="superscript"/>
        </w:rPr>
        <w:t>3</w:t>
      </w:r>
      <w:r w:rsidR="00D5738E">
        <w:t>Sm</w:t>
      </w:r>
      <w:r w:rsidRPr="00883F02">
        <w:t>) have been approved in several countries but are limited to bone pain control. The bone</w:t>
      </w:r>
      <w:r w:rsidR="008B1BA7">
        <w:t xml:space="preserve"> </w:t>
      </w:r>
      <w:r w:rsidRPr="00883F02">
        <w:t>seeking nature of these agents results in direct delivery of beta radiation to the sites of disease (metastases). Due to the long range of the beta particles originating from these radioisotopes,</w:t>
      </w:r>
      <w:r w:rsidR="00B83D66">
        <w:t xml:space="preserve"> the major dose </w:t>
      </w:r>
      <w:r w:rsidRPr="00883F02">
        <w:t xml:space="preserve">limiting factor with these treatments is toxicity to the bone marrow cells. This toxicity has limited the repeated use of </w:t>
      </w:r>
      <w:proofErr w:type="spellStart"/>
      <w:r w:rsidRPr="00883F02">
        <w:t>Quadramet</w:t>
      </w:r>
      <w:proofErr w:type="spellEnd"/>
      <w:r w:rsidRPr="00883F02">
        <w:t xml:space="preserve"> and </w:t>
      </w:r>
      <w:proofErr w:type="spellStart"/>
      <w:r w:rsidRPr="00883F02">
        <w:t>Metastron</w:t>
      </w:r>
      <w:proofErr w:type="spellEnd"/>
      <w:r w:rsidRPr="00883F02">
        <w:t xml:space="preserve"> in clinical practice beyond single applications and therefore prevented their use beyond pain palliation in the clinical setting. The significant toxicities of these two drugs would have made repeated dosing impossible for a head-to-head comparison with </w:t>
      </w:r>
      <w:proofErr w:type="spellStart"/>
      <w:r w:rsidR="008D030B">
        <w:t>Xofigo</w:t>
      </w:r>
      <w:proofErr w:type="spellEnd"/>
      <w:r w:rsidRPr="00883F02">
        <w:t xml:space="preserve">. Therefore, </w:t>
      </w:r>
      <w:proofErr w:type="spellStart"/>
      <w:r w:rsidRPr="00883F02">
        <w:t>Quadramet</w:t>
      </w:r>
      <w:proofErr w:type="spellEnd"/>
      <w:r w:rsidRPr="00883F02">
        <w:t xml:space="preserve"> and </w:t>
      </w:r>
      <w:proofErr w:type="spellStart"/>
      <w:r w:rsidRPr="00883F02">
        <w:t>Metastron</w:t>
      </w:r>
      <w:proofErr w:type="spellEnd"/>
      <w:r w:rsidRPr="00883F02">
        <w:t xml:space="preserve"> were not considered an adequate comparator. Neither of these radionuclides has been shown to improve survival of CRPC patients with bone metastases. In contrast to these agents, at the time the BC1-06 pivotal trial was designed, there was suggestive evidence from </w:t>
      </w:r>
      <w:r w:rsidR="008D030B">
        <w:t>S</w:t>
      </w:r>
      <w:r w:rsidRPr="00883F02">
        <w:t xml:space="preserve">tudy BC1-02 that </w:t>
      </w:r>
      <w:proofErr w:type="spellStart"/>
      <w:r w:rsidR="008D030B">
        <w:t>Xofigo</w:t>
      </w:r>
      <w:proofErr w:type="spellEnd"/>
      <w:r w:rsidRPr="00883F02">
        <w:t xml:space="preserve"> could improve survival in patients with bone </w:t>
      </w:r>
      <w:r>
        <w:t xml:space="preserve">metastases </w:t>
      </w:r>
      <w:r w:rsidRPr="00883F02">
        <w:t>and CRPC.</w:t>
      </w:r>
    </w:p>
    <w:p w:rsidR="00883F02" w:rsidRPr="00883F02" w:rsidRDefault="00883F02" w:rsidP="00883F02">
      <w:r w:rsidRPr="00883F02">
        <w:t>Furthermore, the recently FDA approved products in CRPC became available only after the BC1-06</w:t>
      </w:r>
      <w:r>
        <w:t xml:space="preserve"> </w:t>
      </w:r>
      <w:r w:rsidRPr="00883F02">
        <w:t xml:space="preserve">study had started accrual in June 2008. The currently available products for CRPC and their respective approval dates by the FDA are as follows: </w:t>
      </w:r>
      <w:proofErr w:type="spellStart"/>
      <w:r w:rsidRPr="00883F02">
        <w:t>cabazitaxel</w:t>
      </w:r>
      <w:proofErr w:type="spellEnd"/>
      <w:r w:rsidRPr="00883F02">
        <w:t xml:space="preserve"> in June 2010, </w:t>
      </w:r>
      <w:proofErr w:type="spellStart"/>
      <w:r w:rsidRPr="00883F02">
        <w:t>abiraterone</w:t>
      </w:r>
      <w:proofErr w:type="spellEnd"/>
      <w:r w:rsidRPr="00883F02">
        <w:t xml:space="preserve"> in April 2011</w:t>
      </w:r>
      <w:r w:rsidR="00953BE2">
        <w:t>,</w:t>
      </w:r>
      <w:r w:rsidRPr="00883F02">
        <w:t xml:space="preserve"> and </w:t>
      </w:r>
      <w:proofErr w:type="spellStart"/>
      <w:r w:rsidRPr="00883F02">
        <w:t>enzalutamide</w:t>
      </w:r>
      <w:proofErr w:type="spellEnd"/>
      <w:r w:rsidRPr="00883F02">
        <w:t xml:space="preserve"> in August 2012. All of these agents are indicated for the second line t</w:t>
      </w:r>
      <w:r w:rsidR="00953BE2">
        <w:t xml:space="preserve">reatment of CRPC patients, that is, </w:t>
      </w:r>
      <w:r w:rsidRPr="00883F02">
        <w:t xml:space="preserve">after </w:t>
      </w:r>
      <w:proofErr w:type="spellStart"/>
      <w:r w:rsidRPr="00883F02">
        <w:t>docetaxel</w:t>
      </w:r>
      <w:proofErr w:type="spellEnd"/>
      <w:r w:rsidRPr="00883F02">
        <w:t xml:space="preserve"> progression. Based on the OS superiority of </w:t>
      </w:r>
      <w:proofErr w:type="spellStart"/>
      <w:r w:rsidR="00953BE2">
        <w:t>Xofigo</w:t>
      </w:r>
      <w:proofErr w:type="spellEnd"/>
      <w:r w:rsidRPr="00883F02">
        <w:t xml:space="preserve"> demonstrated in BC1-06, the proposed usage for </w:t>
      </w:r>
      <w:proofErr w:type="spellStart"/>
      <w:r w:rsidR="00AE0BFA">
        <w:t>Xofigo</w:t>
      </w:r>
      <w:proofErr w:type="spellEnd"/>
      <w:r w:rsidRPr="00883F02">
        <w:t xml:space="preserve"> is for the treatment in CRPC patients with symptomatic bone metastases and no known vi</w:t>
      </w:r>
      <w:r w:rsidR="00E85AAD">
        <w:t xml:space="preserve">sceral metastatic disease (that is, </w:t>
      </w:r>
      <w:r w:rsidRPr="00883F02">
        <w:t xml:space="preserve">not restricted to second line treatment), and such proposed usage has already been approved by </w:t>
      </w:r>
      <w:r w:rsidR="00E85AAD">
        <w:t>the FDA, EMA and Health Canada. Thus, the s</w:t>
      </w:r>
      <w:r w:rsidRPr="00883F02">
        <w:t>ponsor is of the opinion that any direct or indirect h</w:t>
      </w:r>
      <w:r w:rsidR="00E85AAD">
        <w:t xml:space="preserve">ead-to-head comparison of </w:t>
      </w:r>
      <w:proofErr w:type="spellStart"/>
      <w:r w:rsidR="00E85AAD">
        <w:t>Xofigo</w:t>
      </w:r>
      <w:proofErr w:type="spellEnd"/>
      <w:r w:rsidRPr="00883F02">
        <w:t xml:space="preserve"> with other second line treatment agent (such as </w:t>
      </w:r>
      <w:proofErr w:type="spellStart"/>
      <w:r w:rsidRPr="00883F02">
        <w:t>cabazitaxel</w:t>
      </w:r>
      <w:proofErr w:type="spellEnd"/>
      <w:r w:rsidRPr="00883F02">
        <w:t xml:space="preserve"> or </w:t>
      </w:r>
      <w:proofErr w:type="spellStart"/>
      <w:r w:rsidRPr="00883F02">
        <w:t>abiraterone</w:t>
      </w:r>
      <w:proofErr w:type="spellEnd"/>
      <w:r w:rsidRPr="00883F02">
        <w:t>) would be deemed unjustified.</w:t>
      </w:r>
    </w:p>
    <w:p w:rsidR="00883F02" w:rsidRPr="00883F02" w:rsidRDefault="00883F02" w:rsidP="00883F02">
      <w:r w:rsidRPr="00883F02">
        <w:t xml:space="preserve">In conclusion, the conduct of BC1-06 comparing </w:t>
      </w:r>
      <w:proofErr w:type="spellStart"/>
      <w:r w:rsidR="00FC3F6C">
        <w:t>Xofigo</w:t>
      </w:r>
      <w:proofErr w:type="spellEnd"/>
      <w:r w:rsidRPr="00883F02">
        <w:t xml:space="preserve"> (plus </w:t>
      </w:r>
      <w:proofErr w:type="spellStart"/>
      <w:r w:rsidRPr="00883F02">
        <w:t>BSoC</w:t>
      </w:r>
      <w:proofErr w:type="spellEnd"/>
      <w:r w:rsidRPr="00883F02">
        <w:t xml:space="preserve">) against placebo (plus </w:t>
      </w:r>
      <w:proofErr w:type="spellStart"/>
      <w:r w:rsidRPr="00883F02">
        <w:t>BSoC</w:t>
      </w:r>
      <w:proofErr w:type="spellEnd"/>
      <w:r w:rsidRPr="00883F02">
        <w:t xml:space="preserve">) is considered appropriate since at the time of study start and conduct there were no products approved other than </w:t>
      </w:r>
      <w:proofErr w:type="spellStart"/>
      <w:r w:rsidRPr="00883F02">
        <w:t>docetaxel</w:t>
      </w:r>
      <w:proofErr w:type="spellEnd"/>
      <w:r w:rsidRPr="00883F02">
        <w:t xml:space="preserve"> for the treatment of CRPC patients with bone metastases. Notwithstanding the lack of head-to-head comparison with other products that are now indicated for CRPC patients with bone metastases, the results demonstrated in Study BC1-06 can be regarded as highly </w:t>
      </w:r>
      <w:proofErr w:type="spellStart"/>
      <w:r w:rsidRPr="00883F02">
        <w:t>generalisable</w:t>
      </w:r>
      <w:proofErr w:type="spellEnd"/>
      <w:r w:rsidRPr="00883F02">
        <w:t xml:space="preserve"> to clinical practice of metastatic CRPC.</w:t>
      </w:r>
    </w:p>
    <w:p w:rsidR="00883F02" w:rsidRPr="00883F02" w:rsidRDefault="00883F02" w:rsidP="00883F02">
      <w:pPr>
        <w:pStyle w:val="Heading6"/>
      </w:pPr>
      <w:r w:rsidRPr="00883F02">
        <w:t>Long-term risk for secondary malignancies</w:t>
      </w:r>
    </w:p>
    <w:p w:rsidR="00EA58D1" w:rsidRDefault="00883F02" w:rsidP="00883F02">
      <w:r w:rsidRPr="00883F02">
        <w:t xml:space="preserve">The </w:t>
      </w:r>
      <w:r w:rsidR="00027C90">
        <w:t>s</w:t>
      </w:r>
      <w:r w:rsidRPr="00883F02">
        <w:t xml:space="preserve">ponsor acknowledges that in the Study BC1-06, isolated incidences of second primary malignancies were reported following treatment. However, causal relationship could not be established due to short time of onset of new malignancy, and the long-term risk for secondary malignancies could not be excluded. But as acknowledged by the </w:t>
      </w:r>
      <w:r w:rsidR="00EA58D1">
        <w:t>Delegate:</w:t>
      </w:r>
    </w:p>
    <w:p w:rsidR="00883F02" w:rsidRPr="00EA58D1" w:rsidRDefault="00883F02" w:rsidP="00EA58D1">
      <w:pPr>
        <w:ind w:left="720"/>
        <w:rPr>
          <w:i/>
        </w:rPr>
      </w:pPr>
      <w:proofErr w:type="gramStart"/>
      <w:r w:rsidRPr="00EA58D1">
        <w:rPr>
          <w:i/>
        </w:rPr>
        <w:t>taking</w:t>
      </w:r>
      <w:proofErr w:type="gramEnd"/>
      <w:r w:rsidRPr="00EA58D1">
        <w:rPr>
          <w:i/>
        </w:rPr>
        <w:t xml:space="preserve"> into account the life expectancy of the target population of advanced prostate cancer, this is not considered as major concern</w:t>
      </w:r>
      <w:r w:rsidR="00EA58D1" w:rsidRPr="00EA58D1">
        <w:rPr>
          <w:i/>
        </w:rPr>
        <w:t>.</w:t>
      </w:r>
    </w:p>
    <w:p w:rsidR="00EA58D1" w:rsidRPr="00EA58D1" w:rsidRDefault="00EA58D1" w:rsidP="00EA58D1">
      <w:r w:rsidRPr="00EA58D1">
        <w:t xml:space="preserve">Based on </w:t>
      </w:r>
      <w:r w:rsidR="00027C90">
        <w:t>the recommendation from the nonc</w:t>
      </w:r>
      <w:r w:rsidRPr="00EA58D1">
        <w:t>linical Evaluation, a statement advising osteosarcomas</w:t>
      </w:r>
      <w:r>
        <w:t xml:space="preserve"> </w:t>
      </w:r>
      <w:r w:rsidR="00027C90">
        <w:t xml:space="preserve">as a known effect of bone </w:t>
      </w:r>
      <w:r w:rsidRPr="00EA58D1">
        <w:t xml:space="preserve">seeking radionuclides has been included in the Australian PI (under PRECAUTIONS, Carcinogenicity). Furthermore, the potential risk for secondary malignant neoplasms is adequately reflected in the Australian PI (under </w:t>
      </w:r>
      <w:r w:rsidRPr="00EA58D1">
        <w:lastRenderedPageBreak/>
        <w:t xml:space="preserve">ADVERSE EFFECTS) as well as included in the RMP (as an important potential risk). Routine and enhanced </w:t>
      </w:r>
      <w:proofErr w:type="spellStart"/>
      <w:r w:rsidRPr="00EA58D1">
        <w:t>pharmacovigilance</w:t>
      </w:r>
      <w:proofErr w:type="spellEnd"/>
      <w:r w:rsidRPr="00EA58D1">
        <w:t xml:space="preserve"> activities as well as active surveillance are being conducted. Patients from Study BC1-06 will be followed up to 36 months from date of first injection, and all occurrence</w:t>
      </w:r>
      <w:r w:rsidR="00027C90">
        <w:t>s</w:t>
      </w:r>
      <w:r w:rsidRPr="00EA58D1">
        <w:t xml:space="preserve"> of secondary malignancies would be collated regardless of the investigator’s causality </w:t>
      </w:r>
      <w:r w:rsidR="00027C90">
        <w:t>assignment. So far no cases of AML</w:t>
      </w:r>
      <w:r w:rsidRPr="00EA58D1">
        <w:t>, MDS</w:t>
      </w:r>
      <w:r w:rsidR="00027C90">
        <w:t>,</w:t>
      </w:r>
      <w:r w:rsidRPr="00EA58D1">
        <w:t xml:space="preserve"> or bone sarcoma have been reported in patients treated for 3 years. For additio</w:t>
      </w:r>
      <w:r w:rsidR="00C951E1">
        <w:t xml:space="preserve">nal safety surveillance, a long </w:t>
      </w:r>
      <w:r w:rsidRPr="00EA58D1">
        <w:t xml:space="preserve">term safety study (16913, as described in the RMP) is planned to assess the incidence of second primary malignancies among patients treated with </w:t>
      </w:r>
      <w:proofErr w:type="spellStart"/>
      <w:r w:rsidR="00C951E1">
        <w:t>Xofigo</w:t>
      </w:r>
      <w:proofErr w:type="spellEnd"/>
      <w:r w:rsidRPr="00EA58D1">
        <w:t>. Patients enrolled in this study will be followed for an observation period of up to 7 years from the start of therapy.</w:t>
      </w:r>
    </w:p>
    <w:p w:rsidR="00EA58D1" w:rsidRPr="00EA58D1" w:rsidRDefault="00EA58D1" w:rsidP="00EA58D1">
      <w:pPr>
        <w:pStyle w:val="Heading6"/>
      </w:pPr>
      <w:r w:rsidRPr="00EA58D1">
        <w:t>Increase risk for osteonecrosis</w:t>
      </w:r>
    </w:p>
    <w:p w:rsidR="00EA58D1" w:rsidRDefault="00EA58D1" w:rsidP="00EA58D1">
      <w:r w:rsidRPr="00EA58D1">
        <w:t xml:space="preserve">In the Delegate’s </w:t>
      </w:r>
      <w:r w:rsidR="00FE58D7">
        <w:t>r</w:t>
      </w:r>
      <w:r w:rsidRPr="00EA58D1">
        <w:t xml:space="preserve">equest for ACPM’s </w:t>
      </w:r>
      <w:r w:rsidR="00FE58D7">
        <w:t>advice</w:t>
      </w:r>
      <w:r w:rsidRPr="00EA58D1">
        <w:t>, the Delegate has raised the concern that</w:t>
      </w:r>
      <w:r>
        <w:t>:</w:t>
      </w:r>
    </w:p>
    <w:p w:rsidR="00EA58D1" w:rsidRPr="00EA58D1" w:rsidRDefault="00EA58D1" w:rsidP="00EA58D1">
      <w:pPr>
        <w:ind w:left="720"/>
        <w:rPr>
          <w:i/>
        </w:rPr>
      </w:pPr>
      <w:r w:rsidRPr="00EA58D1">
        <w:rPr>
          <w:i/>
        </w:rPr>
        <w:t xml:space="preserve">Bone radiation with </w:t>
      </w:r>
      <w:r w:rsidR="00FE58D7" w:rsidRPr="00FE58D7">
        <w:rPr>
          <w:i/>
          <w:vertAlign w:val="superscript"/>
        </w:rPr>
        <w:t>223</w:t>
      </w:r>
      <w:r w:rsidR="00FE58D7">
        <w:rPr>
          <w:i/>
        </w:rPr>
        <w:t>Ra</w:t>
      </w:r>
      <w:r w:rsidRPr="00EA58D1">
        <w:rPr>
          <w:i/>
        </w:rPr>
        <w:t xml:space="preserve"> may increase the general risk for osteonecrosis, in particular in</w:t>
      </w:r>
      <w:r w:rsidR="001F505A">
        <w:rPr>
          <w:i/>
        </w:rPr>
        <w:t xml:space="preserve"> </w:t>
      </w:r>
      <w:r w:rsidRPr="00EA58D1">
        <w:rPr>
          <w:i/>
        </w:rPr>
        <w:t>combination</w:t>
      </w:r>
      <w:r w:rsidR="001F505A">
        <w:rPr>
          <w:i/>
        </w:rPr>
        <w:t xml:space="preserve"> </w:t>
      </w:r>
      <w:r w:rsidRPr="00EA58D1">
        <w:rPr>
          <w:i/>
        </w:rPr>
        <w:t>with</w:t>
      </w:r>
      <w:r w:rsidR="001F505A">
        <w:rPr>
          <w:i/>
        </w:rPr>
        <w:t xml:space="preserve"> </w:t>
      </w:r>
      <w:r w:rsidRPr="00EA58D1">
        <w:rPr>
          <w:i/>
        </w:rPr>
        <w:t>bisphosphonate</w:t>
      </w:r>
      <w:r w:rsidR="001F505A">
        <w:rPr>
          <w:i/>
        </w:rPr>
        <w:t xml:space="preserve"> </w:t>
      </w:r>
      <w:r w:rsidRPr="00EA58D1">
        <w:rPr>
          <w:i/>
        </w:rPr>
        <w:t>treatment</w:t>
      </w:r>
      <w:r w:rsidR="001F505A">
        <w:rPr>
          <w:i/>
        </w:rPr>
        <w:t xml:space="preserve"> </w:t>
      </w:r>
      <w:r w:rsidRPr="00EA58D1">
        <w:rPr>
          <w:i/>
        </w:rPr>
        <w:t>the</w:t>
      </w:r>
      <w:r w:rsidR="001F505A">
        <w:rPr>
          <w:i/>
        </w:rPr>
        <w:t xml:space="preserve"> </w:t>
      </w:r>
      <w:r w:rsidRPr="00EA58D1">
        <w:rPr>
          <w:i/>
        </w:rPr>
        <w:t>risk</w:t>
      </w:r>
      <w:r w:rsidR="001F505A">
        <w:rPr>
          <w:i/>
        </w:rPr>
        <w:t xml:space="preserve"> </w:t>
      </w:r>
      <w:r w:rsidRPr="00EA58D1">
        <w:rPr>
          <w:i/>
        </w:rPr>
        <w:t>for</w:t>
      </w:r>
      <w:r w:rsidR="001F505A">
        <w:rPr>
          <w:i/>
        </w:rPr>
        <w:t xml:space="preserve"> </w:t>
      </w:r>
      <w:r w:rsidRPr="00EA58D1">
        <w:rPr>
          <w:i/>
        </w:rPr>
        <w:t>osteonecrosis</w:t>
      </w:r>
      <w:r w:rsidR="001F505A">
        <w:rPr>
          <w:i/>
        </w:rPr>
        <w:t xml:space="preserve"> </w:t>
      </w:r>
      <w:r w:rsidRPr="00EA58D1">
        <w:rPr>
          <w:i/>
        </w:rPr>
        <w:t>of</w:t>
      </w:r>
      <w:r w:rsidR="001F505A">
        <w:rPr>
          <w:i/>
        </w:rPr>
        <w:t xml:space="preserve"> </w:t>
      </w:r>
      <w:r w:rsidRPr="00EA58D1">
        <w:rPr>
          <w:i/>
        </w:rPr>
        <w:t>jaw</w:t>
      </w:r>
      <w:r w:rsidR="001F505A">
        <w:rPr>
          <w:i/>
        </w:rPr>
        <w:t xml:space="preserve"> </w:t>
      </w:r>
      <w:r w:rsidRPr="00EA58D1">
        <w:rPr>
          <w:i/>
        </w:rPr>
        <w:t>(ONJ)</w:t>
      </w:r>
      <w:r w:rsidR="001F505A">
        <w:rPr>
          <w:i/>
        </w:rPr>
        <w:t xml:space="preserve"> </w:t>
      </w:r>
      <w:r w:rsidRPr="00EA58D1">
        <w:rPr>
          <w:i/>
        </w:rPr>
        <w:t>may increase.</w:t>
      </w:r>
    </w:p>
    <w:p w:rsidR="006A4FB7" w:rsidRPr="006A4FB7" w:rsidRDefault="006A4FB7" w:rsidP="006A4FB7">
      <w:r w:rsidRPr="006A4FB7">
        <w:t xml:space="preserve">However, the </w:t>
      </w:r>
      <w:r w:rsidR="00AB40A3">
        <w:t>s</w:t>
      </w:r>
      <w:r w:rsidRPr="006A4FB7">
        <w:t>ponsor is of the opinion that the observed frequency of osteonecrosis jaw in the</w:t>
      </w:r>
      <w:r>
        <w:t xml:space="preserve"> </w:t>
      </w:r>
      <w:proofErr w:type="spellStart"/>
      <w:r w:rsidR="00AB40A3">
        <w:t>Xofigo</w:t>
      </w:r>
      <w:proofErr w:type="spellEnd"/>
      <w:r w:rsidR="00AB40A3">
        <w:t xml:space="preserve"> </w:t>
      </w:r>
      <w:r w:rsidRPr="006A4FB7">
        <w:t xml:space="preserve">treated patients does not indicate an increased risk compared to the known frequency of patients treated with </w:t>
      </w:r>
      <w:proofErr w:type="spellStart"/>
      <w:r w:rsidRPr="006A4FB7">
        <w:t>zoledronate</w:t>
      </w:r>
      <w:proofErr w:type="spellEnd"/>
      <w:r w:rsidRPr="006A4FB7">
        <w:t xml:space="preserve"> alone. As already acknowledged in the clinical evaluation, it is well known that </w:t>
      </w:r>
      <w:proofErr w:type="spellStart"/>
      <w:r w:rsidRPr="006A4FB7">
        <w:t>zoledronic</w:t>
      </w:r>
      <w:proofErr w:type="spellEnd"/>
      <w:r w:rsidRPr="006A4FB7">
        <w:t xml:space="preserve"> acid treatment and the newer therapies that inhibit bone </w:t>
      </w:r>
      <w:proofErr w:type="spellStart"/>
      <w:r w:rsidRPr="006A4FB7">
        <w:t>resorption</w:t>
      </w:r>
      <w:proofErr w:type="spellEnd"/>
      <w:r w:rsidRPr="006A4FB7">
        <w:t xml:space="preserve"> such as </w:t>
      </w:r>
      <w:proofErr w:type="spellStart"/>
      <w:r w:rsidRPr="006A4FB7">
        <w:t>denosumab</w:t>
      </w:r>
      <w:proofErr w:type="spellEnd"/>
      <w:r w:rsidRPr="006A4FB7">
        <w:t xml:space="preserve"> are associated with </w:t>
      </w:r>
      <w:r w:rsidR="002A21A3">
        <w:t>ONJ</w:t>
      </w:r>
      <w:r w:rsidRPr="006A4FB7">
        <w:t>.</w:t>
      </w:r>
      <w:r w:rsidR="00113B67">
        <w:rPr>
          <w:rStyle w:val="FootnoteReference"/>
        </w:rPr>
        <w:footnoteReference w:id="25"/>
      </w:r>
      <w:r w:rsidRPr="006A4FB7">
        <w:t xml:space="preserve"> In a Phase III clinical trial in a </w:t>
      </w:r>
      <w:r w:rsidR="0055476F">
        <w:t>HRPC</w:t>
      </w:r>
      <w:r w:rsidRPr="006A4FB7">
        <w:t xml:space="preserve"> population with bone metastases, </w:t>
      </w:r>
      <w:r w:rsidR="006E5F1E">
        <w:t>ONJ</w:t>
      </w:r>
      <w:r w:rsidRPr="006A4FB7">
        <w:t xml:space="preserve"> occurred in 1% of patients treated with </w:t>
      </w:r>
      <w:proofErr w:type="spellStart"/>
      <w:r w:rsidRPr="006A4FB7">
        <w:t>zoledronic</w:t>
      </w:r>
      <w:proofErr w:type="spellEnd"/>
      <w:r w:rsidRPr="006A4FB7">
        <w:t xml:space="preserve"> acid.</w:t>
      </w:r>
      <w:r w:rsidR="00E85351">
        <w:rPr>
          <w:rStyle w:val="FootnoteReference"/>
        </w:rPr>
        <w:footnoteReference w:id="26"/>
      </w:r>
    </w:p>
    <w:p w:rsidR="006A4FB7" w:rsidRPr="006A4FB7" w:rsidRDefault="006A4FB7" w:rsidP="006A4FB7">
      <w:r w:rsidRPr="006A4FB7">
        <w:t xml:space="preserve">In Study BC1-06, the incidence rate of osteonecrosis was 0.67% (4/600 patients) in the </w:t>
      </w:r>
      <w:proofErr w:type="spellStart"/>
      <w:r w:rsidR="003937EA">
        <w:t>Xofigo</w:t>
      </w:r>
      <w:proofErr w:type="spellEnd"/>
      <w:r w:rsidR="003937EA">
        <w:t xml:space="preserve"> </w:t>
      </w:r>
      <w:r w:rsidRPr="006A4FB7">
        <w:t>group compared to 0.33% (1/301 patients) in the placebo group. All</w:t>
      </w:r>
      <w:r w:rsidR="00AF2027">
        <w:t xml:space="preserve"> of the four cases (reported preferred terms</w:t>
      </w:r>
      <w:r w:rsidRPr="006A4FB7">
        <w:t>: 'osteonecrosis jaw', 'mandibular necrosis', 'osteonecrosis', '</w:t>
      </w:r>
      <w:proofErr w:type="spellStart"/>
      <w:r w:rsidRPr="006A4FB7">
        <w:t>osteolysis</w:t>
      </w:r>
      <w:proofErr w:type="spellEnd"/>
      <w:r w:rsidRPr="006A4FB7">
        <w:t xml:space="preserve">’) reported in the </w:t>
      </w:r>
      <w:proofErr w:type="spellStart"/>
      <w:r w:rsidR="00AF2027">
        <w:t>Xofigo</w:t>
      </w:r>
      <w:proofErr w:type="spellEnd"/>
      <w:r w:rsidR="00AF2027">
        <w:t xml:space="preserve"> </w:t>
      </w:r>
      <w:r w:rsidRPr="006A4FB7">
        <w:t xml:space="preserve">group occurred in patients exposed to </w:t>
      </w:r>
      <w:proofErr w:type="spellStart"/>
      <w:r w:rsidRPr="006A4FB7">
        <w:t>Zometa</w:t>
      </w:r>
      <w:proofErr w:type="spellEnd"/>
      <w:r w:rsidR="00410F28">
        <w:t xml:space="preserve"> </w:t>
      </w:r>
      <w:r w:rsidRPr="006A4FB7">
        <w:t>(</w:t>
      </w:r>
      <w:proofErr w:type="spellStart"/>
      <w:r w:rsidRPr="006A4FB7">
        <w:t>zoledronic</w:t>
      </w:r>
      <w:proofErr w:type="spellEnd"/>
      <w:r w:rsidRPr="006A4FB7">
        <w:t xml:space="preserve"> acid/</w:t>
      </w:r>
      <w:proofErr w:type="spellStart"/>
      <w:r w:rsidRPr="006A4FB7">
        <w:t>zoledronate</w:t>
      </w:r>
      <w:proofErr w:type="spellEnd"/>
      <w:r w:rsidRPr="006A4FB7">
        <w:t xml:space="preserve">) and prior chemotherapy. The one case in the placebo group was reported as </w:t>
      </w:r>
      <w:r w:rsidR="0068598E">
        <w:t>a</w:t>
      </w:r>
      <w:r w:rsidRPr="006A4FB7">
        <w:t>bscess jaw/osteonecrosis jaw and was reported as a treatment emergent SAE (grade 3). This patient also had exposu</w:t>
      </w:r>
      <w:r w:rsidR="0068598E">
        <w:t xml:space="preserve">re to </w:t>
      </w:r>
      <w:proofErr w:type="spellStart"/>
      <w:r w:rsidR="0068598E">
        <w:t>Zometa</w:t>
      </w:r>
      <w:proofErr w:type="spellEnd"/>
      <w:r w:rsidR="0068598E">
        <w:t xml:space="preserve"> (</w:t>
      </w:r>
      <w:proofErr w:type="spellStart"/>
      <w:r w:rsidR="0068598E">
        <w:t>zoledronic</w:t>
      </w:r>
      <w:proofErr w:type="spellEnd"/>
      <w:r w:rsidR="0068598E">
        <w:t xml:space="preserve"> acid/</w:t>
      </w:r>
      <w:proofErr w:type="spellStart"/>
      <w:r w:rsidRPr="006A4FB7">
        <w:t>zoledronate</w:t>
      </w:r>
      <w:proofErr w:type="spellEnd"/>
      <w:r w:rsidRPr="006A4FB7">
        <w:t xml:space="preserve">) and prior chemotherapy. The time to onset for the four cases in the </w:t>
      </w:r>
      <w:proofErr w:type="spellStart"/>
      <w:r w:rsidR="00CC0157">
        <w:t>Xofigo</w:t>
      </w:r>
      <w:proofErr w:type="spellEnd"/>
      <w:r w:rsidR="00CC0157">
        <w:t xml:space="preserve"> </w:t>
      </w:r>
      <w:r w:rsidRPr="006A4FB7">
        <w:t xml:space="preserve">group was 2 to 3 months after first injection of </w:t>
      </w:r>
      <w:proofErr w:type="spellStart"/>
      <w:r w:rsidR="009A39D9">
        <w:t>Xofigo</w:t>
      </w:r>
      <w:proofErr w:type="spellEnd"/>
      <w:r w:rsidR="009A39D9">
        <w:t xml:space="preserve">. All of these events were non </w:t>
      </w:r>
      <w:r w:rsidRPr="006A4FB7">
        <w:t xml:space="preserve">serious. The cases were confounded by prior chemotherapy, dental conditions such as gum infection or pre-planned tooth extraction and most importantly by prior or concomitant </w:t>
      </w:r>
      <w:proofErr w:type="spellStart"/>
      <w:r w:rsidRPr="006A4FB7">
        <w:t>zoledronate</w:t>
      </w:r>
      <w:proofErr w:type="spellEnd"/>
      <w:r w:rsidRPr="006A4FB7">
        <w:t xml:space="preserve"> treatment. Bisphosphonates have a long half-life in the bone</w:t>
      </w:r>
      <w:r w:rsidR="008E53C8">
        <w:rPr>
          <w:rStyle w:val="FootnoteReference"/>
        </w:rPr>
        <w:footnoteReference w:id="27"/>
      </w:r>
      <w:r w:rsidRPr="006A4FB7">
        <w:t xml:space="preserve"> and there are case reports of ONJ occurring one year or longer after stopping of </w:t>
      </w:r>
      <w:proofErr w:type="spellStart"/>
      <w:r w:rsidRPr="006A4FB7">
        <w:t>zoledronate</w:t>
      </w:r>
      <w:proofErr w:type="spellEnd"/>
      <w:r w:rsidRPr="006A4FB7">
        <w:t>.</w:t>
      </w:r>
      <w:r w:rsidR="00CD687A">
        <w:rPr>
          <w:rStyle w:val="FootnoteReference"/>
        </w:rPr>
        <w:footnoteReference w:id="28"/>
      </w:r>
      <w:r w:rsidRPr="006A4FB7">
        <w:t xml:space="preserve"> In </w:t>
      </w:r>
      <w:r w:rsidR="0067320D">
        <w:t>S</w:t>
      </w:r>
      <w:r w:rsidRPr="006A4FB7">
        <w:t xml:space="preserve">tudy BC1-06, there was no case of osteonecrosis of the jaw without </w:t>
      </w:r>
      <w:proofErr w:type="spellStart"/>
      <w:r w:rsidRPr="006A4FB7">
        <w:t>zo</w:t>
      </w:r>
      <w:r w:rsidR="004A0642">
        <w:t>ledronate</w:t>
      </w:r>
      <w:proofErr w:type="spellEnd"/>
      <w:r w:rsidR="004A0642">
        <w:t xml:space="preserve"> exposure. </w:t>
      </w:r>
      <w:r w:rsidRPr="006A4FB7">
        <w:t xml:space="preserve">No cases of </w:t>
      </w:r>
      <w:r w:rsidR="0067320D">
        <w:t>O</w:t>
      </w:r>
      <w:r w:rsidR="002F0919">
        <w:t>NJ</w:t>
      </w:r>
      <w:r w:rsidRPr="006A4FB7">
        <w:t xml:space="preserve"> were reported from the Phase I and II studies with </w:t>
      </w:r>
      <w:proofErr w:type="spellStart"/>
      <w:r w:rsidRPr="006A4FB7">
        <w:t>Xofigo</w:t>
      </w:r>
      <w:proofErr w:type="spellEnd"/>
      <w:r w:rsidRPr="006A4FB7">
        <w:t xml:space="preserve">. Thus, the data does not indicate an increased risk compared to the known frequency of patients treated with </w:t>
      </w:r>
      <w:proofErr w:type="spellStart"/>
      <w:r w:rsidRPr="006A4FB7">
        <w:t>zoledronate</w:t>
      </w:r>
      <w:proofErr w:type="spellEnd"/>
      <w:r w:rsidRPr="006A4FB7">
        <w:t xml:space="preserve"> alone.</w:t>
      </w:r>
    </w:p>
    <w:p w:rsidR="006A4FB7" w:rsidRDefault="006A4FB7" w:rsidP="006A4FB7">
      <w:r w:rsidRPr="006A4FB7">
        <w:t xml:space="preserve">In summary, the observed frequency of osteonecrosis jaw in the </w:t>
      </w:r>
      <w:proofErr w:type="spellStart"/>
      <w:r w:rsidR="00416915">
        <w:t>Xofigo</w:t>
      </w:r>
      <w:proofErr w:type="spellEnd"/>
      <w:r w:rsidR="00416915">
        <w:t xml:space="preserve"> </w:t>
      </w:r>
      <w:r w:rsidRPr="006A4FB7">
        <w:t xml:space="preserve">treated patients is low and could be attributable to the patients having prior exposure or concomitant </w:t>
      </w:r>
      <w:proofErr w:type="spellStart"/>
      <w:r w:rsidRPr="006A4FB7">
        <w:t>zoledronic</w:t>
      </w:r>
      <w:proofErr w:type="spellEnd"/>
      <w:r w:rsidRPr="006A4FB7">
        <w:t xml:space="preserve"> acid and</w:t>
      </w:r>
      <w:r w:rsidR="00416915">
        <w:t xml:space="preserve"> prior chemotherapy. While</w:t>
      </w:r>
      <w:r w:rsidRPr="006A4FB7">
        <w:t xml:space="preserve"> ‘osteonecrosis of jaw’ has been identified as an important potential safety risk by the EMA and a precautionary statement has been </w:t>
      </w:r>
      <w:r w:rsidRPr="006A4FB7">
        <w:lastRenderedPageBreak/>
        <w:t>included in the EU-</w:t>
      </w:r>
      <w:proofErr w:type="spellStart"/>
      <w:r w:rsidRPr="006A4FB7">
        <w:t>SmPC</w:t>
      </w:r>
      <w:proofErr w:type="spellEnd"/>
      <w:r w:rsidRPr="006A4FB7">
        <w:t xml:space="preserve">, the </w:t>
      </w:r>
      <w:r w:rsidR="00416915">
        <w:t>s</w:t>
      </w:r>
      <w:r w:rsidRPr="006A4FB7">
        <w:t xml:space="preserve">ponsor wishes to point out that ‘osteonecrosis of jaw’ has not been considered as a safety risk by the FDA or Canada and thus is not included in the US-PI and Canadian Product Monograph, respectively. For the labelling in Australia, the </w:t>
      </w:r>
      <w:r w:rsidR="00416915">
        <w:t>s</w:t>
      </w:r>
      <w:r w:rsidRPr="006A4FB7">
        <w:t xml:space="preserve">ponsor is of the opinion that a precaution or warning statement concerning osteonecrosis of the jaw is not warranted in the </w:t>
      </w:r>
      <w:proofErr w:type="spellStart"/>
      <w:r w:rsidRPr="006A4FB7">
        <w:t>X</w:t>
      </w:r>
      <w:r w:rsidR="00E46624">
        <w:t>ofigo</w:t>
      </w:r>
      <w:proofErr w:type="spellEnd"/>
      <w:r w:rsidRPr="006A4FB7">
        <w:t xml:space="preserve"> Australian PI.</w:t>
      </w:r>
      <w:r w:rsidR="001F505A">
        <w:t xml:space="preserve"> </w:t>
      </w:r>
      <w:r w:rsidRPr="006A4FB7">
        <w:t xml:space="preserve">Information on the risk of </w:t>
      </w:r>
      <w:r w:rsidR="006F78CC">
        <w:t>ONJ</w:t>
      </w:r>
      <w:r w:rsidRPr="006A4FB7">
        <w:t xml:space="preserve"> and appropriated treating guidelines are </w:t>
      </w:r>
      <w:r>
        <w:t xml:space="preserve">described </w:t>
      </w:r>
      <w:r w:rsidRPr="006A4FB7">
        <w:t>in the respective bisphosphonates labelling.</w:t>
      </w:r>
    </w:p>
    <w:p w:rsidR="006A4FB7" w:rsidRPr="006A4FB7" w:rsidRDefault="006A4FB7" w:rsidP="00EB7977">
      <w:pPr>
        <w:pStyle w:val="Heading5"/>
      </w:pPr>
      <w:r>
        <w:t xml:space="preserve">Specific questions sought by the </w:t>
      </w:r>
      <w:r w:rsidR="00AA6B7B">
        <w:t>d</w:t>
      </w:r>
      <w:r>
        <w:t>elegate for ACPM’s advice</w:t>
      </w:r>
    </w:p>
    <w:p w:rsidR="006A4FB7" w:rsidRPr="006A4FB7" w:rsidRDefault="006A4FB7" w:rsidP="00EB7977">
      <w:pPr>
        <w:pStyle w:val="Heading6"/>
      </w:pPr>
      <w:r w:rsidRPr="006A4FB7">
        <w:t xml:space="preserve">Does the committee consider the revised indication is acceptable given the population studied in </w:t>
      </w:r>
      <w:r w:rsidR="00AA6B7B">
        <w:t>s</w:t>
      </w:r>
      <w:r w:rsidRPr="006A4FB7">
        <w:t>tudy BC1-06?</w:t>
      </w:r>
    </w:p>
    <w:p w:rsidR="006A4FB7" w:rsidRPr="006A4FB7" w:rsidRDefault="006A4FB7" w:rsidP="006A4FB7">
      <w:r w:rsidRPr="006A4FB7">
        <w:t xml:space="preserve">For reasons indicated above, the </w:t>
      </w:r>
      <w:r w:rsidR="006F78CC">
        <w:t>s</w:t>
      </w:r>
      <w:r w:rsidRPr="006A4FB7">
        <w:t>ponsor is of the opinion that the revised indication is acceptable as it appropriately reflects the population studied in Study BC1-06.</w:t>
      </w:r>
    </w:p>
    <w:p w:rsidR="006A4FB7" w:rsidRPr="006A4FB7" w:rsidRDefault="006A4FB7" w:rsidP="00EB7977">
      <w:pPr>
        <w:pStyle w:val="Heading6"/>
      </w:pPr>
      <w:r w:rsidRPr="006A4FB7">
        <w:t>Does the committee consider that the data from the single pivotal study is sufficient to support the revised indication?</w:t>
      </w:r>
    </w:p>
    <w:p w:rsidR="00EB7977" w:rsidRPr="00EB7977" w:rsidRDefault="006A4FB7" w:rsidP="00EB7977">
      <w:r w:rsidRPr="006A4FB7">
        <w:t>The approach to include BC1-</w:t>
      </w:r>
      <w:r w:rsidR="00DA3A8E">
        <w:t>06 as the single pivotal Phase III</w:t>
      </w:r>
      <w:r w:rsidRPr="006A4FB7">
        <w:t xml:space="preserve"> study in the clinical development program had been thoroughly discussed with the FDA and the EMA,</w:t>
      </w:r>
      <w:r w:rsidR="00323751">
        <w:t xml:space="preserve"> </w:t>
      </w:r>
      <w:r w:rsidRPr="006A4FB7">
        <w:t>and is in line with the</w:t>
      </w:r>
      <w:r w:rsidR="00EB7977">
        <w:t xml:space="preserve"> </w:t>
      </w:r>
      <w:r w:rsidRPr="006A4FB7">
        <w:t>regulatory guidelines. The outcomes of Study BC1-06 meet the requirements for a clinical trial to</w:t>
      </w:r>
      <w:bookmarkStart w:id="140" w:name="bookmark5"/>
      <w:bookmarkStart w:id="141" w:name="bookmark4"/>
      <w:bookmarkStart w:id="142" w:name="bookmark3"/>
      <w:bookmarkStart w:id="143" w:name="bookmark2"/>
      <w:bookmarkStart w:id="144" w:name="bookmark1"/>
      <w:bookmarkStart w:id="145" w:name="bookmark0"/>
      <w:bookmarkEnd w:id="140"/>
      <w:bookmarkEnd w:id="141"/>
      <w:bookmarkEnd w:id="142"/>
      <w:bookmarkEnd w:id="143"/>
      <w:bookmarkEnd w:id="144"/>
      <w:bookmarkEnd w:id="145"/>
      <w:r w:rsidR="00EB7977">
        <w:t xml:space="preserve"> </w:t>
      </w:r>
      <w:r w:rsidR="00EB7977" w:rsidRPr="00EB7977">
        <w:t>support an application as a single pivotal study</w:t>
      </w:r>
      <w:r w:rsidR="00410F28">
        <w:rPr>
          <w:rStyle w:val="FootnoteReference"/>
        </w:rPr>
        <w:footnoteReference w:id="29"/>
      </w:r>
      <w:r w:rsidR="00EB7977" w:rsidRPr="00EB7977">
        <w:t xml:space="preserve"> as judged by the following </w:t>
      </w:r>
      <w:r w:rsidR="00EB7977">
        <w:t>criteria.</w:t>
      </w:r>
    </w:p>
    <w:p w:rsidR="00EB7977" w:rsidRPr="00EB7977" w:rsidRDefault="00EB7977" w:rsidP="00EB7977">
      <w:r w:rsidRPr="00EB7977">
        <w:t xml:space="preserve">Study BC1-06 was a large, </w:t>
      </w:r>
      <w:r>
        <w:t>multicentre</w:t>
      </w:r>
      <w:r w:rsidRPr="00EB7977">
        <w:t xml:space="preserve"> study (n</w:t>
      </w:r>
      <w:r w:rsidR="00481F34">
        <w:t xml:space="preserve"> </w:t>
      </w:r>
      <w:r w:rsidRPr="00EB7977">
        <w:t>=</w:t>
      </w:r>
      <w:r w:rsidR="00481F34">
        <w:t xml:space="preserve"> </w:t>
      </w:r>
      <w:r w:rsidRPr="00EB7977">
        <w:t>921 randomised patients) and the results from this study successfully demonstrated consistent survival and clinical benefit across a broad range of pre</w:t>
      </w:r>
      <w:r w:rsidR="0064190E">
        <w:t xml:space="preserve"> </w:t>
      </w:r>
      <w:r w:rsidRPr="00EB7977">
        <w:t>specified and post</w:t>
      </w:r>
      <w:r w:rsidR="0064190E">
        <w:t xml:space="preserve"> </w:t>
      </w:r>
      <w:r w:rsidRPr="00EB7977">
        <w:t>hoc subgroups based on baseline characteristics. The primary efficacy endpoint (</w:t>
      </w:r>
      <w:r w:rsidR="00E012CF">
        <w:t>OS</w:t>
      </w:r>
      <w:r w:rsidRPr="00EB7977">
        <w:t>) is considered a robust and well</w:t>
      </w:r>
      <w:r w:rsidR="00E273E1">
        <w:t xml:space="preserve"> </w:t>
      </w:r>
      <w:r w:rsidRPr="00EB7977">
        <w:t>accepted measure of clinical benefit. In addition to demonstrating a statistically significant and clinically meaningful benefit in prolonging OS, multiple secondary efficacy endpoints were assessed to provide supporting evidence of treatment benefit. The benefits observed in BC1-06 are supported by the results observed in the supportive studies (BC1-02, BC1-03 and BC1-04).</w:t>
      </w:r>
    </w:p>
    <w:p w:rsidR="00EB7977" w:rsidRPr="00EB7977" w:rsidRDefault="00EB7977" w:rsidP="00EB7977">
      <w:r w:rsidRPr="00EB7977">
        <w:t xml:space="preserve">Thus, given the statistically significant and clinically meaningful results, the </w:t>
      </w:r>
      <w:r w:rsidR="00B2306C">
        <w:t>s</w:t>
      </w:r>
      <w:r w:rsidRPr="00EB7977">
        <w:t xml:space="preserve">ponsor is of the opinion that BC1-06 provides sufficient clinical evidence to serve as the single pivotal study to support the registration for </w:t>
      </w:r>
      <w:proofErr w:type="spellStart"/>
      <w:r w:rsidRPr="00EB7977">
        <w:t>X</w:t>
      </w:r>
      <w:r w:rsidR="003F1BF4">
        <w:t>ofigo</w:t>
      </w:r>
      <w:proofErr w:type="spellEnd"/>
      <w:r w:rsidRPr="00EB7977">
        <w:t>.</w:t>
      </w:r>
    </w:p>
    <w:p w:rsidR="00EB7977" w:rsidRPr="00EB7977" w:rsidRDefault="00EB7977" w:rsidP="00323751">
      <w:pPr>
        <w:pStyle w:val="Heading6"/>
      </w:pPr>
      <w:r w:rsidRPr="00EB7977">
        <w:t>Does the committee have any concern regarding the lack of comparative study?</w:t>
      </w:r>
    </w:p>
    <w:p w:rsidR="00EB7977" w:rsidRPr="00EB7977" w:rsidRDefault="00EB7977" w:rsidP="00EB7977">
      <w:r w:rsidRPr="00EB7977">
        <w:t xml:space="preserve">Based on the arguments provided herewith, the </w:t>
      </w:r>
      <w:r w:rsidR="00B2306C">
        <w:t>s</w:t>
      </w:r>
      <w:r w:rsidRPr="00EB7977">
        <w:t xml:space="preserve">ponsor is of the opinion that notwithstanding the absence of an active comparator, the results from the Phase III Study BC1-06 are considered clinically meaningful to adequately demonstrate the efficacy and safety of </w:t>
      </w:r>
      <w:proofErr w:type="spellStart"/>
      <w:r w:rsidRPr="00EB7977">
        <w:t>X</w:t>
      </w:r>
      <w:r w:rsidR="00B2306C">
        <w:t>ofigo</w:t>
      </w:r>
      <w:proofErr w:type="spellEnd"/>
      <w:r w:rsidRPr="00EB7977">
        <w:t xml:space="preserve"> to support the</w:t>
      </w:r>
      <w:r w:rsidR="00E22C9D">
        <w:t xml:space="preserve"> </w:t>
      </w:r>
      <w:r w:rsidRPr="00EB7977">
        <w:t>use in the targeted population.</w:t>
      </w:r>
    </w:p>
    <w:p w:rsidR="00EB7977" w:rsidRDefault="00E22C9D" w:rsidP="00E22C9D">
      <w:pPr>
        <w:pStyle w:val="Heading5"/>
      </w:pPr>
      <w:r>
        <w:t>Conclusion</w:t>
      </w:r>
    </w:p>
    <w:p w:rsidR="00E22C9D" w:rsidRPr="00E22C9D" w:rsidRDefault="00E22C9D" w:rsidP="00E22C9D">
      <w:r w:rsidRPr="00E22C9D">
        <w:t xml:space="preserve">The robust results from the pivotal Phase III Study BC1-06 demonstrate a clear benefit of </w:t>
      </w:r>
      <w:proofErr w:type="spellStart"/>
      <w:r w:rsidRPr="00E22C9D">
        <w:t>X</w:t>
      </w:r>
      <w:r w:rsidR="00A01DEE">
        <w:t>ofigo</w:t>
      </w:r>
      <w:proofErr w:type="spellEnd"/>
      <w:r w:rsidRPr="00E22C9D">
        <w:t xml:space="preserve"> in prolonging OS in patients suffering from </w:t>
      </w:r>
      <w:r w:rsidR="006073C2">
        <w:t>CRPC</w:t>
      </w:r>
      <w:r w:rsidRPr="00E22C9D">
        <w:t xml:space="preserve"> and bone metastases. The magnitude of the survival benefit is regarded as statistically significant and clinically meaningful in this target patient population of advanced prostate cancer. The observed improvement in OS is supported by the positive results from all secondary endpoints on clinical bone metastasis </w:t>
      </w:r>
      <w:proofErr w:type="spellStart"/>
      <w:r w:rsidRPr="00E22C9D">
        <w:t>sequelae</w:t>
      </w:r>
      <w:proofErr w:type="spellEnd"/>
      <w:r w:rsidRPr="00E22C9D">
        <w:t xml:space="preserve"> and surrogate biomarkers, as well as the positive effects on palliation of bone pain. Taking into consideration the favourable acute toxicity profile observed with </w:t>
      </w:r>
      <w:proofErr w:type="spellStart"/>
      <w:r w:rsidRPr="00E22C9D">
        <w:t>X</w:t>
      </w:r>
      <w:r w:rsidR="009B7C09">
        <w:t>ofigo</w:t>
      </w:r>
      <w:proofErr w:type="spellEnd"/>
      <w:r w:rsidRPr="00E22C9D">
        <w:t xml:space="preserve">, the overall benefits clearly overweigh the risks in patients with </w:t>
      </w:r>
      <w:r w:rsidR="0021797E">
        <w:lastRenderedPageBreak/>
        <w:t>CRPC</w:t>
      </w:r>
      <w:r w:rsidRPr="00E22C9D">
        <w:t xml:space="preserve"> with symptomatic bone metastases. The </w:t>
      </w:r>
      <w:r w:rsidR="0021797E">
        <w:t>s</w:t>
      </w:r>
      <w:r w:rsidRPr="00E22C9D">
        <w:t xml:space="preserve">ponsor concludes that the benefit-risk balance for </w:t>
      </w:r>
      <w:proofErr w:type="spellStart"/>
      <w:r w:rsidR="0021797E" w:rsidRPr="00E22C9D">
        <w:t>X</w:t>
      </w:r>
      <w:r w:rsidR="0021797E">
        <w:t>ofigo</w:t>
      </w:r>
      <w:proofErr w:type="spellEnd"/>
      <w:r w:rsidRPr="00E22C9D">
        <w:t xml:space="preserve"> is favourable and supports the registration of </w:t>
      </w:r>
      <w:proofErr w:type="spellStart"/>
      <w:r w:rsidR="0021797E" w:rsidRPr="00E22C9D">
        <w:t>X</w:t>
      </w:r>
      <w:r w:rsidR="0021797E">
        <w:t>ofigo</w:t>
      </w:r>
      <w:proofErr w:type="spellEnd"/>
      <w:r w:rsidRPr="00E22C9D">
        <w:t xml:space="preserve"> for the revised indication.</w:t>
      </w:r>
    </w:p>
    <w:p w:rsidR="008E7846" w:rsidRDefault="008E7846" w:rsidP="008E7846">
      <w:pPr>
        <w:pStyle w:val="Heading4"/>
      </w:pPr>
      <w:r>
        <w:t xml:space="preserve">Advisory </w:t>
      </w:r>
      <w:r w:rsidR="00F74508">
        <w:t>c</w:t>
      </w:r>
      <w:r>
        <w:t xml:space="preserve">ommittee </w:t>
      </w:r>
      <w:r w:rsidR="00F74508">
        <w:t>c</w:t>
      </w:r>
      <w:r>
        <w:t>onsiderations</w:t>
      </w:r>
    </w:p>
    <w:p w:rsidR="0092762D" w:rsidRPr="0092762D" w:rsidRDefault="0092762D" w:rsidP="0092762D">
      <w:r w:rsidRPr="0092762D">
        <w:t xml:space="preserve">The </w:t>
      </w:r>
      <w:r w:rsidR="00975550">
        <w:t>ACPM</w:t>
      </w:r>
      <w:r w:rsidRPr="0092762D">
        <w:t xml:space="preserve">, taking into account the submitted evidence of efficacy, safety and quality, agreed with the </w:t>
      </w:r>
      <w:r w:rsidR="00F542FC">
        <w:t>D</w:t>
      </w:r>
      <w:r w:rsidRPr="0092762D">
        <w:t xml:space="preserve">elegate and considered </w:t>
      </w:r>
      <w:proofErr w:type="spellStart"/>
      <w:r w:rsidR="00C71598">
        <w:t>Xofigo</w:t>
      </w:r>
      <w:proofErr w:type="spellEnd"/>
      <w:r w:rsidRPr="0092762D">
        <w:t xml:space="preserve"> solution for injection containing 1000 </w:t>
      </w:r>
      <w:proofErr w:type="spellStart"/>
      <w:r w:rsidRPr="0092762D">
        <w:t>kBq</w:t>
      </w:r>
      <w:proofErr w:type="spellEnd"/>
      <w:r w:rsidRPr="0092762D">
        <w:t>/mL of radium (</w:t>
      </w:r>
      <w:r w:rsidRPr="00975550">
        <w:rPr>
          <w:vertAlign w:val="superscript"/>
        </w:rPr>
        <w:t>223</w:t>
      </w:r>
      <w:r w:rsidRPr="0092762D">
        <w:t>Ra) dichloride to h</w:t>
      </w:r>
      <w:r w:rsidR="00975550">
        <w:t>ave an overall positive benefit-</w:t>
      </w:r>
      <w:r w:rsidRPr="0092762D">
        <w:t>risk prof</w:t>
      </w:r>
      <w:r w:rsidR="00D61012">
        <w:t>ile for the amended indication:</w:t>
      </w:r>
    </w:p>
    <w:p w:rsidR="0092762D" w:rsidRPr="0092762D" w:rsidRDefault="0092762D" w:rsidP="0092762D">
      <w:pPr>
        <w:ind w:left="720"/>
        <w:rPr>
          <w:i/>
        </w:rPr>
      </w:pPr>
      <w:r w:rsidRPr="0092762D">
        <w:rPr>
          <w:i/>
        </w:rPr>
        <w:t>Treatment of CRPC patients with symptomatic bone metastases and no known visceral metastases</w:t>
      </w:r>
    </w:p>
    <w:p w:rsidR="0092762D" w:rsidRPr="005A4D5C" w:rsidRDefault="0092762D" w:rsidP="009C7F53">
      <w:pPr>
        <w:pStyle w:val="Heading5"/>
        <w:rPr>
          <w:rFonts w:eastAsia="MS Mincho"/>
          <w:lang w:eastAsia="ja-JP"/>
        </w:rPr>
      </w:pPr>
      <w:r w:rsidRPr="005A4D5C">
        <w:rPr>
          <w:rFonts w:eastAsia="MS Mincho"/>
          <w:lang w:eastAsia="ja-JP"/>
        </w:rPr>
        <w:t>Prop</w:t>
      </w:r>
      <w:r w:rsidR="009C7F53">
        <w:rPr>
          <w:rFonts w:eastAsia="MS Mincho"/>
          <w:lang w:eastAsia="ja-JP"/>
        </w:rPr>
        <w:t>osed conditions of registration</w:t>
      </w:r>
    </w:p>
    <w:p w:rsidR="0092762D" w:rsidRPr="009C7F53" w:rsidRDefault="0092762D" w:rsidP="009C7F53">
      <w:r w:rsidRPr="009C7F53">
        <w:t xml:space="preserve">The ACPM agreed with the </w:t>
      </w:r>
      <w:r w:rsidR="00F542FC">
        <w:t>D</w:t>
      </w:r>
      <w:r w:rsidRPr="009C7F53">
        <w:t>elegate on the propo</w:t>
      </w:r>
      <w:r w:rsidR="003D71EB">
        <w:t>sed conditions of registration.</w:t>
      </w:r>
    </w:p>
    <w:p w:rsidR="0092762D" w:rsidRPr="005A4D5C" w:rsidRDefault="0092762D" w:rsidP="009C7F53">
      <w:pPr>
        <w:pStyle w:val="Heading5"/>
        <w:rPr>
          <w:rFonts w:eastAsia="MS Mincho"/>
          <w:u w:val="single"/>
          <w:lang w:eastAsia="ja-JP"/>
        </w:rPr>
      </w:pPr>
      <w:r w:rsidRPr="005A4D5C">
        <w:rPr>
          <w:rFonts w:eastAsia="MS Mincho"/>
          <w:lang w:eastAsia="ja-JP"/>
        </w:rPr>
        <w:t>Proposed Product Information (PI)/Consumer Medici</w:t>
      </w:r>
      <w:r w:rsidR="009C7F53">
        <w:rPr>
          <w:rFonts w:eastAsia="MS Mincho"/>
          <w:lang w:eastAsia="ja-JP"/>
        </w:rPr>
        <w:t>ne Information (CMI) amendments</w:t>
      </w:r>
    </w:p>
    <w:p w:rsidR="0092762D" w:rsidRPr="009C7F53" w:rsidRDefault="0092762D" w:rsidP="009C7F53">
      <w:r w:rsidRPr="009C7F53">
        <w:t xml:space="preserve">The ACPM agreed with the </w:t>
      </w:r>
      <w:r w:rsidR="00F542FC">
        <w:t>D</w:t>
      </w:r>
      <w:r w:rsidRPr="009C7F53">
        <w:t>elegate to the proposed amendments to the Product Information (PI) and Consumer Medicine Information (CMI).</w:t>
      </w:r>
    </w:p>
    <w:p w:rsidR="0092762D" w:rsidRPr="009C7F53" w:rsidRDefault="0092762D" w:rsidP="009C7F53">
      <w:pPr>
        <w:pStyle w:val="Heading5"/>
        <w:rPr>
          <w:rFonts w:eastAsia="MS Mincho"/>
          <w:highlight w:val="yellow"/>
        </w:rPr>
      </w:pPr>
      <w:r w:rsidRPr="009C7F53">
        <w:rPr>
          <w:rFonts w:eastAsia="MS Mincho"/>
        </w:rPr>
        <w:t>Specific</w:t>
      </w:r>
      <w:r w:rsidR="009C7F53">
        <w:rPr>
          <w:rFonts w:eastAsia="MS Mincho"/>
        </w:rPr>
        <w:t xml:space="preserve"> a</w:t>
      </w:r>
      <w:r w:rsidR="009C7F53" w:rsidRPr="009C7F53">
        <w:rPr>
          <w:rFonts w:eastAsia="MS Mincho"/>
        </w:rPr>
        <w:t>dvice</w:t>
      </w:r>
    </w:p>
    <w:p w:rsidR="0092762D" w:rsidRPr="009C7F53" w:rsidRDefault="0092762D" w:rsidP="009C7F53">
      <w:r w:rsidRPr="009C7F53">
        <w:t xml:space="preserve">The ACPM advised the following in response to the specific </w:t>
      </w:r>
      <w:r w:rsidR="00702B5F">
        <w:t>D</w:t>
      </w:r>
      <w:r w:rsidRPr="009C7F53">
        <w:t>elegate</w:t>
      </w:r>
      <w:r w:rsidR="009C7F53">
        <w:t>’s questions on this submission.</w:t>
      </w:r>
    </w:p>
    <w:p w:rsidR="0092762D" w:rsidRPr="009C7F53" w:rsidRDefault="0092762D" w:rsidP="009C7F53">
      <w:pPr>
        <w:pStyle w:val="ListBullet"/>
      </w:pPr>
      <w:r w:rsidRPr="009C7F53">
        <w:t>Does the committee consider the revised indication is acceptable given the population studied in Study BCI-06?</w:t>
      </w:r>
    </w:p>
    <w:p w:rsidR="0092762D" w:rsidRPr="00702B5F" w:rsidRDefault="0092762D" w:rsidP="00702B5F">
      <w:r w:rsidRPr="00702B5F">
        <w:t>The ACPM advised that the revised indication is acceptable given the study population in BCI-06.</w:t>
      </w:r>
    </w:p>
    <w:p w:rsidR="0092762D" w:rsidRPr="00702B5F" w:rsidRDefault="0092762D" w:rsidP="00702B5F">
      <w:pPr>
        <w:pStyle w:val="ListBullet"/>
      </w:pPr>
      <w:r w:rsidRPr="00702B5F">
        <w:t xml:space="preserve">What is the opinion of the committee regarding the risk-benefit balance of </w:t>
      </w:r>
      <w:proofErr w:type="spellStart"/>
      <w:r w:rsidRPr="00702B5F">
        <w:t>Xofigo</w:t>
      </w:r>
      <w:proofErr w:type="spellEnd"/>
      <w:r w:rsidRPr="00702B5F">
        <w:t xml:space="preserve"> </w:t>
      </w:r>
      <w:r w:rsidR="00F74508">
        <w:t>for the revised indication?</w:t>
      </w:r>
    </w:p>
    <w:p w:rsidR="0092762D" w:rsidRPr="00702B5F" w:rsidRDefault="0092762D" w:rsidP="00702B5F">
      <w:r w:rsidRPr="00702B5F">
        <w:t xml:space="preserve">The benefit-risk balance of </w:t>
      </w:r>
      <w:proofErr w:type="spellStart"/>
      <w:r w:rsidR="004361B7">
        <w:t>Xofigo</w:t>
      </w:r>
      <w:proofErr w:type="spellEnd"/>
      <w:r w:rsidRPr="00702B5F">
        <w:t xml:space="preserve"> for the revised indication is acceptable based on a single pivotal study of extremely high quality. The single study submitted showed improved survival but equally as important is improved symptom control and quality of life (</w:t>
      </w:r>
      <w:proofErr w:type="spellStart"/>
      <w:r w:rsidRPr="00702B5F">
        <w:t>QoL</w:t>
      </w:r>
      <w:proofErr w:type="spellEnd"/>
      <w:r w:rsidRPr="00702B5F">
        <w:t xml:space="preserve">). This is often a frail elderly population where improving and maintaining </w:t>
      </w:r>
      <w:proofErr w:type="spellStart"/>
      <w:r w:rsidRPr="00702B5F">
        <w:t>QoL</w:t>
      </w:r>
      <w:proofErr w:type="spellEnd"/>
      <w:r w:rsidRPr="00702B5F">
        <w:t xml:space="preserve"> is the main goal. Treatment appears to be well tolerated overall.</w:t>
      </w:r>
    </w:p>
    <w:p w:rsidR="0092762D" w:rsidRPr="00702B5F" w:rsidRDefault="0092762D" w:rsidP="00702B5F">
      <w:pPr>
        <w:pStyle w:val="ListBullet"/>
      </w:pPr>
      <w:r w:rsidRPr="00702B5F">
        <w:t>Does the committee consider that the data from the single pivotal study is sufficient to support the revised indication?</w:t>
      </w:r>
    </w:p>
    <w:p w:rsidR="0092762D" w:rsidRPr="00702B5F" w:rsidRDefault="0092762D" w:rsidP="00702B5F">
      <w:r w:rsidRPr="00702B5F">
        <w:t>Survival is the most important outcome of cancer ther</w:t>
      </w:r>
      <w:r w:rsidR="00C60B8A">
        <w:t xml:space="preserve">apy. The evidence shows that </w:t>
      </w:r>
      <w:r w:rsidR="00C60B8A" w:rsidRPr="00710B1B">
        <w:rPr>
          <w:vertAlign w:val="superscript"/>
        </w:rPr>
        <w:t>223</w:t>
      </w:r>
      <w:r w:rsidR="00C60B8A">
        <w:t xml:space="preserve">Ra </w:t>
      </w:r>
      <w:r w:rsidRPr="00702B5F">
        <w:t xml:space="preserve">improves survival in CRPC, second line after </w:t>
      </w:r>
      <w:proofErr w:type="spellStart"/>
      <w:r w:rsidRPr="00702B5F">
        <w:t>docetaxel</w:t>
      </w:r>
      <w:proofErr w:type="spellEnd"/>
      <w:r w:rsidRPr="00702B5F">
        <w:t>. Currently availab</w:t>
      </w:r>
      <w:r w:rsidR="00F74508">
        <w:t>le radiopharmaceuticals do not.</w:t>
      </w:r>
    </w:p>
    <w:p w:rsidR="0092762D" w:rsidRPr="00702B5F" w:rsidRDefault="0092762D" w:rsidP="00702B5F">
      <w:pPr>
        <w:pStyle w:val="ListBullet"/>
      </w:pPr>
      <w:r w:rsidRPr="00702B5F">
        <w:t>Does the committee have any concern regarding the lack of comparative study?</w:t>
      </w:r>
    </w:p>
    <w:p w:rsidR="0092762D" w:rsidRPr="00702B5F" w:rsidRDefault="0092762D" w:rsidP="00702B5F">
      <w:r w:rsidRPr="00702B5F">
        <w:t>A head-to-head study would be informative but is not considered essential.</w:t>
      </w:r>
    </w:p>
    <w:p w:rsidR="0092762D" w:rsidRPr="00702B5F" w:rsidRDefault="0092762D" w:rsidP="00702B5F">
      <w:r w:rsidRPr="00702B5F">
        <w:t>The ACPM advised that the implementation by the sponsor of the recommendations outlined above to the satisfaction of the TGA, in addition to the evidence of efficacy and safety provided would support the safe and</w:t>
      </w:r>
      <w:r w:rsidR="00F74508">
        <w:t xml:space="preserve"> effective use of this product.</w:t>
      </w:r>
    </w:p>
    <w:p w:rsidR="008E7846" w:rsidRPr="002E238E" w:rsidRDefault="008E7846" w:rsidP="008E7846">
      <w:pPr>
        <w:pStyle w:val="Heading3"/>
      </w:pPr>
      <w:bookmarkStart w:id="146" w:name="_Toc247691532"/>
      <w:bookmarkStart w:id="147" w:name="_Toc314842516"/>
      <w:bookmarkStart w:id="148" w:name="_Toc394316822"/>
      <w:bookmarkEnd w:id="94"/>
      <w:bookmarkEnd w:id="137"/>
      <w:bookmarkEnd w:id="138"/>
      <w:r>
        <w:lastRenderedPageBreak/>
        <w:t>Outcome</w:t>
      </w:r>
      <w:bookmarkEnd w:id="146"/>
      <w:bookmarkEnd w:id="147"/>
      <w:bookmarkEnd w:id="148"/>
    </w:p>
    <w:p w:rsidR="00D23139" w:rsidRDefault="00D23139" w:rsidP="00D23139">
      <w:bookmarkStart w:id="149" w:name="_Toc247691533"/>
      <w:bookmarkStart w:id="150" w:name="_Toc314842517"/>
      <w:r w:rsidRPr="00D23139">
        <w:t xml:space="preserve">Based on a review of quality, safety and efficacy, TGA approved the registration </w:t>
      </w:r>
      <w:r w:rsidR="000875BB" w:rsidRPr="000875BB">
        <w:t>of</w:t>
      </w:r>
      <w:r w:rsidR="000875BB">
        <w:t xml:space="preserve"> </w:t>
      </w:r>
      <w:proofErr w:type="spellStart"/>
      <w:r w:rsidR="000875BB">
        <w:t>Xofigo</w:t>
      </w:r>
      <w:proofErr w:type="spellEnd"/>
      <w:r w:rsidR="000875BB" w:rsidRPr="000875BB">
        <w:t xml:space="preserve"> </w:t>
      </w:r>
      <w:r w:rsidR="005A18D6">
        <w:t>solution containing radium (</w:t>
      </w:r>
      <w:r w:rsidR="005A18D6" w:rsidRPr="005A18D6">
        <w:rPr>
          <w:vertAlign w:val="superscript"/>
        </w:rPr>
        <w:t>223</w:t>
      </w:r>
      <w:r w:rsidR="00584D08">
        <w:t xml:space="preserve">Ra) dichloride 6.0 </w:t>
      </w:r>
      <w:proofErr w:type="spellStart"/>
      <w:r w:rsidR="00584D08">
        <w:t>MBq</w:t>
      </w:r>
      <w:proofErr w:type="spellEnd"/>
      <w:r w:rsidR="00584D08">
        <w:t xml:space="preserve"> per 6 m</w:t>
      </w:r>
      <w:r w:rsidR="000875BB" w:rsidRPr="000875BB">
        <w:t>L solution for injection vial</w:t>
      </w:r>
      <w:r w:rsidR="00584D08">
        <w:t xml:space="preserve"> </w:t>
      </w:r>
      <w:r w:rsidRPr="00D23139">
        <w:t>indicated for:</w:t>
      </w:r>
    </w:p>
    <w:p w:rsidR="002A5596" w:rsidRPr="002A5596" w:rsidRDefault="002A5596" w:rsidP="002A5596">
      <w:pPr>
        <w:ind w:left="720"/>
        <w:rPr>
          <w:i/>
        </w:rPr>
      </w:pPr>
      <w:proofErr w:type="spellStart"/>
      <w:r w:rsidRPr="002A5596">
        <w:rPr>
          <w:i/>
        </w:rPr>
        <w:t>Xofigo</w:t>
      </w:r>
      <w:proofErr w:type="spellEnd"/>
      <w:r w:rsidRPr="002A5596">
        <w:rPr>
          <w:i/>
        </w:rPr>
        <w:t xml:space="preserve"> is indicated for </w:t>
      </w:r>
      <w:r w:rsidRPr="002A5596">
        <w:rPr>
          <w:rFonts w:eastAsia="MS Mincho"/>
          <w:i/>
          <w:lang w:eastAsia="ja-JP"/>
        </w:rPr>
        <w:t>the treatment of castration-resistant prostate cancer patients with symptomatic bone metastases and no known visceral metastatic disease</w:t>
      </w:r>
    </w:p>
    <w:p w:rsidR="00D23139" w:rsidRPr="00D23139" w:rsidRDefault="00D23139" w:rsidP="00D23139">
      <w:pPr>
        <w:pStyle w:val="Heading4"/>
      </w:pPr>
      <w:r w:rsidRPr="00D23139">
        <w:t>Specific conditions of registration applying to these goods</w:t>
      </w:r>
    </w:p>
    <w:p w:rsidR="006D030E" w:rsidRPr="006D030E" w:rsidRDefault="006D030E" w:rsidP="00460DA5">
      <w:pPr>
        <w:pStyle w:val="ListBullet"/>
      </w:pPr>
      <w:r w:rsidRPr="006D030E">
        <w:t xml:space="preserve">The </w:t>
      </w:r>
      <w:proofErr w:type="spellStart"/>
      <w:r w:rsidR="00460DA5">
        <w:t>Xofigo</w:t>
      </w:r>
      <w:proofErr w:type="spellEnd"/>
      <w:r w:rsidRPr="006D030E">
        <w:t xml:space="preserve"> (radium dichloride [</w:t>
      </w:r>
      <w:r w:rsidRPr="00460DA5">
        <w:rPr>
          <w:vertAlign w:val="superscript"/>
        </w:rPr>
        <w:t>223</w:t>
      </w:r>
      <w:r w:rsidRPr="006D030E">
        <w:t>RaCl</w:t>
      </w:r>
      <w:r w:rsidRPr="00460DA5">
        <w:rPr>
          <w:vertAlign w:val="subscript"/>
        </w:rPr>
        <w:t>2</w:t>
      </w:r>
      <w:r w:rsidRPr="006D030E">
        <w:t>]) EU-RMP version 1.0 dated 12 November 2012 (data lock point 12 November 2012) +</w:t>
      </w:r>
      <w:r w:rsidR="0020647F">
        <w:t xml:space="preserve"> </w:t>
      </w:r>
      <w:r w:rsidRPr="006D030E">
        <w:t xml:space="preserve">Australian Specific Annex version 1 dated 12 April 2013; EU-RMP version 1.3 dated 12 August 2013 (data lock point 12 November 2012) + Australian Specific Annex version 1.1 dated November 2013, included with </w:t>
      </w:r>
      <w:r w:rsidR="0020647F">
        <w:t xml:space="preserve">the </w:t>
      </w:r>
      <w:r w:rsidRPr="006D030E">
        <w:t>submission, and any subsequent revisions, as agreed with the TGA will be implemented in Australia</w:t>
      </w:r>
      <w:r>
        <w:t>.</w:t>
      </w:r>
    </w:p>
    <w:p w:rsidR="008E7846" w:rsidRDefault="008E7846" w:rsidP="00D23139">
      <w:pPr>
        <w:pStyle w:val="Heading2"/>
      </w:pPr>
      <w:bookmarkStart w:id="151" w:name="_Toc394316823"/>
      <w:proofErr w:type="gramStart"/>
      <w:r>
        <w:t>Attachment 1.</w:t>
      </w:r>
      <w:proofErr w:type="gramEnd"/>
      <w:r w:rsidR="003D71EB">
        <w:t xml:space="preserve"> </w:t>
      </w:r>
      <w:r>
        <w:t xml:space="preserve">Product </w:t>
      </w:r>
      <w:r w:rsidR="00AA0ED0">
        <w:t>I</w:t>
      </w:r>
      <w:r>
        <w:t>nformation</w:t>
      </w:r>
      <w:bookmarkEnd w:id="149"/>
      <w:bookmarkEnd w:id="150"/>
      <w:bookmarkEnd w:id="151"/>
    </w:p>
    <w:p w:rsidR="00C80137" w:rsidRDefault="002B3624" w:rsidP="00C80137">
      <w:pPr>
        <w:rPr>
          <w:color w:val="000000"/>
          <w:lang w:eastAsia="en-AU"/>
        </w:rPr>
      </w:pPr>
      <w:r w:rsidRPr="002B3624">
        <w:t>The Produc</w:t>
      </w:r>
      <w:r w:rsidR="00571B24">
        <w:t xml:space="preserve">t Information approved for </w:t>
      </w:r>
      <w:proofErr w:type="spellStart"/>
      <w:r w:rsidR="00571B24">
        <w:t>Xofigo</w:t>
      </w:r>
      <w:proofErr w:type="spellEnd"/>
      <w:r w:rsidRPr="002B3624">
        <w:t xml:space="preserve"> at the time this </w:t>
      </w:r>
      <w:proofErr w:type="spellStart"/>
      <w:r w:rsidRPr="002B3624">
        <w:t>AusPAR</w:t>
      </w:r>
      <w:proofErr w:type="spellEnd"/>
      <w:r w:rsidRPr="002B3624">
        <w:t xml:space="preserve"> was published is at Attachment 1. For the most recent Product Information please refer to the TGA website at &lt;</w:t>
      </w:r>
      <w:hyperlink r:id="rId29" w:history="1">
        <w:r w:rsidRPr="000734D8">
          <w:rPr>
            <w:rStyle w:val="Hyperlink"/>
          </w:rPr>
          <w:t>http://www.tga.gov.au/hp/information-medicines-pi.htm</w:t>
        </w:r>
      </w:hyperlink>
      <w:r w:rsidR="006D030E">
        <w:t>&gt;.</w:t>
      </w:r>
    </w:p>
    <w:p w:rsidR="000E55BF" w:rsidRDefault="00C80137" w:rsidP="003D71EB">
      <w:pPr>
        <w:pStyle w:val="Heading2"/>
        <w:rPr>
          <w:b w:val="0"/>
        </w:rPr>
      </w:pPr>
      <w:bookmarkStart w:id="152" w:name="_Toc394316824"/>
      <w:proofErr w:type="gramStart"/>
      <w:r>
        <w:rPr>
          <w:lang w:eastAsia="en-AU"/>
        </w:rPr>
        <w:t>Attachment 2.</w:t>
      </w:r>
      <w:proofErr w:type="gramEnd"/>
      <w:r>
        <w:rPr>
          <w:lang w:eastAsia="en-AU"/>
        </w:rPr>
        <w:t xml:space="preserve"> Extract from the Clinical Evaluation Report</w:t>
      </w:r>
      <w:bookmarkEnd w:id="152"/>
    </w:p>
    <w:p w:rsidR="00C80137" w:rsidRPr="001D043B" w:rsidRDefault="008E7846" w:rsidP="003A7F6C">
      <w:pPr>
        <w:pStyle w:val="TableTitle"/>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r w:rsidRPr="00C80137">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250F61">
        <w:trPr>
          <w:trHeight w:hRule="exact" w:val="704"/>
        </w:trPr>
        <w:tc>
          <w:tcPr>
            <w:tcW w:w="9175" w:type="dxa"/>
          </w:tcPr>
          <w:p w:rsidR="001C32CD" w:rsidRPr="00487162" w:rsidRDefault="001C32CD" w:rsidP="00250F61">
            <w:pPr>
              <w:pStyle w:val="TGASignoff"/>
            </w:pPr>
            <w:r w:rsidRPr="00487162">
              <w:lastRenderedPageBreak/>
              <w:t>Therapeutic Goods Administration</w:t>
            </w:r>
          </w:p>
        </w:tc>
      </w:tr>
      <w:tr w:rsidR="001C32CD" w:rsidRPr="004C239D" w:rsidTr="00250F61">
        <w:trPr>
          <w:trHeight w:val="1221"/>
        </w:trPr>
        <w:tc>
          <w:tcPr>
            <w:tcW w:w="9175" w:type="dxa"/>
            <w:tcMar>
              <w:top w:w="28" w:type="dxa"/>
            </w:tcMar>
          </w:tcPr>
          <w:p w:rsidR="001C32CD" w:rsidRPr="00487162" w:rsidRDefault="001C32CD" w:rsidP="00250F61">
            <w:pPr>
              <w:pStyle w:val="Address"/>
            </w:pPr>
            <w:r w:rsidRPr="00487162">
              <w:t>PO Box 100 Woden ACT 2606 Australia</w:t>
            </w:r>
          </w:p>
          <w:p w:rsidR="001C32CD" w:rsidRPr="00487162" w:rsidRDefault="001C32CD" w:rsidP="00250F61">
            <w:pPr>
              <w:pStyle w:val="Address"/>
            </w:pPr>
            <w:r w:rsidRPr="00487162">
              <w:t xml:space="preserve">Email: </w:t>
            </w:r>
            <w:hyperlink r:id="rId34" w:history="1">
              <w:r w:rsidRPr="004C239D">
                <w:rPr>
                  <w:rStyle w:val="Hyperlink"/>
                </w:rPr>
                <w:t>info@tga.gov.au</w:t>
              </w:r>
            </w:hyperlink>
            <w:r w:rsidR="001F505A">
              <w:t xml:space="preserve"> </w:t>
            </w:r>
            <w:r w:rsidRPr="00487162">
              <w:t>Phone: 1800 020 653</w:t>
            </w:r>
            <w:r w:rsidR="001F505A">
              <w:t xml:space="preserve"> </w:t>
            </w:r>
            <w:r w:rsidRPr="00487162">
              <w:t>Fax: 02 6232 8605</w:t>
            </w:r>
          </w:p>
          <w:p w:rsidR="001C32CD" w:rsidRPr="004C239D" w:rsidRDefault="004968D7" w:rsidP="00250F61">
            <w:pPr>
              <w:pStyle w:val="Address"/>
              <w:spacing w:line="260" w:lineRule="atLeast"/>
              <w:rPr>
                <w:b/>
                <w:color w:val="0000FF"/>
                <w:u w:val="single"/>
              </w:rPr>
            </w:pPr>
            <w:hyperlink r:id="rId35" w:history="1">
              <w:r w:rsidR="001C32CD" w:rsidRPr="00607888">
                <w:rPr>
                  <w:rStyle w:val="Hyperlink"/>
                  <w:b/>
                </w:rPr>
                <w:t>http://www.tga.gov.au</w:t>
              </w:r>
            </w:hyperlink>
          </w:p>
        </w:tc>
      </w:tr>
    </w:tbl>
    <w:p w:rsidR="00774E1D" w:rsidRPr="008A5E0B" w:rsidRDefault="00774E1D" w:rsidP="004C239D"/>
    <w:sectPr w:rsidR="00774E1D" w:rsidRPr="008A5E0B" w:rsidSect="000E55BF">
      <w:headerReference w:type="even" r:id="rId36"/>
      <w:headerReference w:type="default" r:id="rId37"/>
      <w:footerReference w:type="default" r:id="rId38"/>
      <w:headerReference w:type="first" r:id="rId39"/>
      <w:footerReference w:type="first" r:id="rId40"/>
      <w:pgSz w:w="11906" w:h="16838" w:code="9"/>
      <w:pgMar w:top="14005"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121" w:rsidRDefault="008A0121" w:rsidP="00C40A36">
      <w:pPr>
        <w:spacing w:after="0"/>
      </w:pPr>
      <w:r>
        <w:separator/>
      </w:r>
    </w:p>
  </w:endnote>
  <w:endnote w:type="continuationSeparator" w:id="0">
    <w:p w:rsidR="008A0121" w:rsidRDefault="008A01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Bold">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416E8" w:rsidRPr="00487162" w:rsidTr="00DB750B">
      <w:trPr>
        <w:trHeight w:val="269"/>
      </w:trPr>
      <w:tc>
        <w:tcPr>
          <w:tcW w:w="7371" w:type="dxa"/>
          <w:tcMar>
            <w:top w:w="142" w:type="dxa"/>
            <w:bottom w:w="0" w:type="dxa"/>
          </w:tcMar>
        </w:tcPr>
        <w:p w:rsidR="000416E8" w:rsidRPr="00487162" w:rsidRDefault="000416E8" w:rsidP="00580DE3">
          <w:pPr>
            <w:pStyle w:val="Footer"/>
          </w:pPr>
          <w:proofErr w:type="spellStart"/>
          <w:r w:rsidRPr="00487162">
            <w:t>AusPAR</w:t>
          </w:r>
          <w:proofErr w:type="spellEnd"/>
          <w:r w:rsidRPr="00487162">
            <w:t xml:space="preserve"> </w:t>
          </w:r>
          <w:proofErr w:type="spellStart"/>
          <w:r>
            <w:t>Xofigo</w:t>
          </w:r>
          <w:proofErr w:type="spellEnd"/>
          <w:r>
            <w:t xml:space="preserve"> </w:t>
          </w:r>
          <w:r w:rsidR="00057435" w:rsidRPr="00057435">
            <w:t>radium (</w:t>
          </w:r>
          <w:r w:rsidR="00057435" w:rsidRPr="00057435">
            <w:rPr>
              <w:vertAlign w:val="superscript"/>
            </w:rPr>
            <w:t>223</w:t>
          </w:r>
          <w:r w:rsidR="00057435" w:rsidRPr="00057435">
            <w:t xml:space="preserve">Ra) dichloride </w:t>
          </w:r>
          <w:r w:rsidRPr="00123632">
            <w:t>Bayer Australia Ltd PM-2013-00738-1-2</w:t>
          </w:r>
          <w:r>
            <w:br/>
          </w:r>
          <w:r w:rsidR="00915CD1">
            <w:t>Final</w:t>
          </w:r>
          <w:r>
            <w:t xml:space="preserve"> </w:t>
          </w:r>
          <w:r w:rsidR="00874328">
            <w:t>10</w:t>
          </w:r>
          <w:r w:rsidR="006621EF">
            <w:t xml:space="preserve"> July</w:t>
          </w:r>
          <w:r>
            <w:t xml:space="preserve"> 2014</w:t>
          </w:r>
        </w:p>
      </w:tc>
      <w:tc>
        <w:tcPr>
          <w:tcW w:w="1490" w:type="dxa"/>
          <w:tcMar>
            <w:top w:w="142" w:type="dxa"/>
            <w:bottom w:w="0" w:type="dxa"/>
          </w:tcMar>
        </w:tcPr>
        <w:p w:rsidR="000416E8" w:rsidRPr="00487162" w:rsidRDefault="000416E8" w:rsidP="00DB750B">
          <w:pPr>
            <w:pStyle w:val="Footer"/>
            <w:jc w:val="right"/>
          </w:pPr>
          <w:r w:rsidRPr="00487162">
            <w:t xml:space="preserve">Page </w:t>
          </w:r>
          <w:r>
            <w:fldChar w:fldCharType="begin"/>
          </w:r>
          <w:r>
            <w:instrText xml:space="preserve"> PAGE  \* Arabic </w:instrText>
          </w:r>
          <w:r>
            <w:fldChar w:fldCharType="separate"/>
          </w:r>
          <w:r w:rsidR="004968D7">
            <w:rPr>
              <w:noProof/>
            </w:rPr>
            <w:t>4</w:t>
          </w:r>
          <w:r>
            <w:fldChar w:fldCharType="end"/>
          </w:r>
          <w:r w:rsidRPr="00487162">
            <w:t xml:space="preserve"> of </w:t>
          </w:r>
          <w:r w:rsidR="004968D7">
            <w:fldChar w:fldCharType="begin"/>
          </w:r>
          <w:r w:rsidR="004968D7">
            <w:instrText xml:space="preserve"> NUMPAGES  \* Arabic </w:instrText>
          </w:r>
          <w:r w:rsidR="004968D7">
            <w:fldChar w:fldCharType="separate"/>
          </w:r>
          <w:r w:rsidR="004968D7">
            <w:rPr>
              <w:noProof/>
            </w:rPr>
            <w:t>52</w:t>
          </w:r>
          <w:r w:rsidR="004968D7">
            <w:rPr>
              <w:noProof/>
            </w:rPr>
            <w:fldChar w:fldCharType="end"/>
          </w:r>
        </w:p>
      </w:tc>
    </w:tr>
  </w:tbl>
  <w:p w:rsidR="000416E8" w:rsidRDefault="000416E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416E8" w:rsidRPr="00487162" w:rsidTr="00E45619">
      <w:trPr>
        <w:trHeight w:val="269"/>
      </w:trPr>
      <w:tc>
        <w:tcPr>
          <w:tcW w:w="4519" w:type="dxa"/>
          <w:tcBorders>
            <w:top w:val="single" w:sz="4" w:space="0" w:color="auto"/>
          </w:tcBorders>
          <w:tcMar>
            <w:top w:w="142" w:type="dxa"/>
            <w:bottom w:w="0" w:type="dxa"/>
          </w:tcMar>
        </w:tcPr>
        <w:p w:rsidR="000416E8" w:rsidRPr="00487162" w:rsidRDefault="000416E8" w:rsidP="00FE1DEE">
          <w:pPr>
            <w:pStyle w:val="Footer"/>
          </w:pPr>
          <w:r w:rsidRPr="00487162">
            <w:t>Document title, Part #, Section # - Section title</w:t>
          </w:r>
        </w:p>
        <w:p w:rsidR="000416E8" w:rsidRPr="00487162" w:rsidRDefault="000416E8" w:rsidP="00FE1DEE">
          <w:pPr>
            <w:pStyle w:val="Footer"/>
          </w:pPr>
          <w:r w:rsidRPr="00487162">
            <w:t>V1.0 October 2010</w:t>
          </w:r>
        </w:p>
      </w:tc>
      <w:tc>
        <w:tcPr>
          <w:tcW w:w="4342" w:type="dxa"/>
          <w:tcBorders>
            <w:top w:val="single" w:sz="4" w:space="0" w:color="auto"/>
          </w:tcBorders>
          <w:tcMar>
            <w:top w:w="142" w:type="dxa"/>
            <w:bottom w:w="0" w:type="dxa"/>
          </w:tcMar>
        </w:tcPr>
        <w:p w:rsidR="000416E8" w:rsidRPr="00487162" w:rsidRDefault="000416E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968D7">
            <w:fldChar w:fldCharType="begin"/>
          </w:r>
          <w:r w:rsidR="004968D7">
            <w:instrText xml:space="preserve"> NUMPAGES  </w:instrText>
          </w:r>
          <w:r w:rsidR="004968D7">
            <w:fldChar w:fldCharType="separate"/>
          </w:r>
          <w:r>
            <w:rPr>
              <w:noProof/>
            </w:rPr>
            <w:t>4</w:t>
          </w:r>
          <w:r w:rsidR="004968D7">
            <w:rPr>
              <w:noProof/>
            </w:rPr>
            <w:fldChar w:fldCharType="end"/>
          </w:r>
        </w:p>
      </w:tc>
    </w:tr>
  </w:tbl>
  <w:p w:rsidR="000416E8" w:rsidRDefault="000416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Pr="001C32CD" w:rsidRDefault="000416E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416E8" w:rsidTr="0010601F">
      <w:trPr>
        <w:trHeight w:val="108"/>
      </w:trPr>
      <w:tc>
        <w:tcPr>
          <w:tcW w:w="8875" w:type="dxa"/>
          <w:gridSpan w:val="2"/>
          <w:tcBorders>
            <w:bottom w:val="single" w:sz="4" w:space="0" w:color="auto"/>
          </w:tcBorders>
          <w:tcMar>
            <w:right w:w="284" w:type="dxa"/>
          </w:tcMar>
        </w:tcPr>
        <w:p w:rsidR="000416E8" w:rsidRDefault="000416E8" w:rsidP="006E08B3">
          <w:pPr>
            <w:pStyle w:val="Heading3"/>
          </w:pPr>
          <w:r>
            <w:t>Copyright</w:t>
          </w:r>
        </w:p>
        <w:p w:rsidR="000416E8" w:rsidRDefault="000416E8" w:rsidP="006E08B3">
          <w:r>
            <w:rPr>
              <w:rFonts w:cs="Arial"/>
            </w:rPr>
            <w:t>©</w:t>
          </w:r>
          <w:r>
            <w:t xml:space="preserve"> Commonwealth of Australia [add year]</w:t>
          </w:r>
        </w:p>
        <w:p w:rsidR="000416E8" w:rsidRDefault="000416E8" w:rsidP="006E08B3"/>
        <w:p w:rsidR="000416E8" w:rsidRDefault="000416E8"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001F505A">
            <w:t xml:space="preserve"> </w:t>
          </w:r>
          <w:r w:rsidRPr="006E08B3">
            <w:t>http://www.ag.gov.au/cca</w:t>
          </w:r>
        </w:p>
        <w:p w:rsidR="000416E8" w:rsidRDefault="000416E8" w:rsidP="006E08B3"/>
        <w:p w:rsidR="000416E8" w:rsidRDefault="000416E8" w:rsidP="006E08B3">
          <w:pPr>
            <w:pStyle w:val="Heading3"/>
          </w:pPr>
          <w:r>
            <w:t>Confidentiality</w:t>
          </w:r>
        </w:p>
        <w:p w:rsidR="000416E8" w:rsidRDefault="000416E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416E8" w:rsidRDefault="000416E8" w:rsidP="006E08B3"/>
        <w:p w:rsidR="000416E8" w:rsidRDefault="000416E8" w:rsidP="006E08B3">
          <w:r>
            <w:t>For submission made by individuals, all personal details, other than your name, will be removed from your submission before it is published on the TGA’s Internet site.</w:t>
          </w:r>
        </w:p>
        <w:p w:rsidR="000416E8" w:rsidRDefault="000416E8" w:rsidP="006E08B3"/>
        <w:p w:rsidR="000416E8" w:rsidRDefault="000416E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416E8" w:rsidTr="0010601F">
      <w:trPr>
        <w:trHeight w:val="417"/>
      </w:trPr>
      <w:tc>
        <w:tcPr>
          <w:tcW w:w="4519" w:type="dxa"/>
          <w:tcBorders>
            <w:top w:val="single" w:sz="4" w:space="0" w:color="auto"/>
          </w:tcBorders>
          <w:tcMar>
            <w:top w:w="142" w:type="dxa"/>
            <w:bottom w:w="0" w:type="dxa"/>
          </w:tcMar>
        </w:tcPr>
        <w:p w:rsidR="000416E8" w:rsidRDefault="000416E8" w:rsidP="006E08B3">
          <w:r>
            <w:t>Document title, Part #, Section # - Section title</w:t>
          </w:r>
        </w:p>
        <w:p w:rsidR="000416E8" w:rsidRDefault="000416E8" w:rsidP="006E08B3">
          <w:r>
            <w:t>V1.0 October 2010</w:t>
          </w:r>
        </w:p>
      </w:tc>
      <w:tc>
        <w:tcPr>
          <w:tcW w:w="4356" w:type="dxa"/>
          <w:tcBorders>
            <w:top w:val="single" w:sz="4" w:space="0" w:color="auto"/>
          </w:tcBorders>
          <w:tcMar>
            <w:top w:w="142" w:type="dxa"/>
            <w:bottom w:w="0" w:type="dxa"/>
          </w:tcMar>
        </w:tcPr>
        <w:p w:rsidR="000416E8" w:rsidRDefault="000416E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968D7">
            <w:fldChar w:fldCharType="begin"/>
          </w:r>
          <w:r w:rsidR="004968D7">
            <w:instrText xml:space="preserve"> NUMPAGES  \* Arabic </w:instrText>
          </w:r>
          <w:r w:rsidR="004968D7">
            <w:fldChar w:fldCharType="separate"/>
          </w:r>
          <w:r>
            <w:rPr>
              <w:noProof/>
            </w:rPr>
            <w:t>4</w:t>
          </w:r>
          <w:r w:rsidR="004968D7">
            <w:rPr>
              <w:noProof/>
            </w:rPr>
            <w:fldChar w:fldCharType="end"/>
          </w:r>
          <w:r w:rsidR="001F505A">
            <w:t xml:space="preserve"> </w:t>
          </w:r>
        </w:p>
      </w:tc>
    </w:tr>
  </w:tbl>
  <w:p w:rsidR="000416E8" w:rsidRDefault="000416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121" w:rsidRDefault="008A0121" w:rsidP="00C40A36">
      <w:pPr>
        <w:spacing w:after="0"/>
      </w:pPr>
      <w:r>
        <w:separator/>
      </w:r>
    </w:p>
  </w:footnote>
  <w:footnote w:type="continuationSeparator" w:id="0">
    <w:p w:rsidR="008A0121" w:rsidRDefault="008A0121" w:rsidP="00C40A36">
      <w:pPr>
        <w:spacing w:after="0"/>
      </w:pPr>
      <w:r>
        <w:continuationSeparator/>
      </w:r>
    </w:p>
  </w:footnote>
  <w:footnote w:id="1">
    <w:p w:rsidR="000416E8" w:rsidRDefault="000416E8" w:rsidP="00282E63">
      <w:pPr>
        <w:pStyle w:val="FootnoteText"/>
      </w:pPr>
      <w:r>
        <w:rPr>
          <w:rStyle w:val="FootnoteReference"/>
        </w:rPr>
        <w:footnoteRef/>
      </w:r>
      <w:r>
        <w:t xml:space="preserve"> </w:t>
      </w:r>
      <w:r w:rsidRPr="001C291B">
        <w:t xml:space="preserve">The start of shelf-life is </w:t>
      </w:r>
      <w:r w:rsidRPr="00282E63">
        <w:t>the</w:t>
      </w:r>
      <w:r w:rsidRPr="001C291B">
        <w:t xml:space="preserve"> ‘compounding date’, which is the time of dilution of the drug substance solution to form the finished product solution.</w:t>
      </w:r>
    </w:p>
  </w:footnote>
  <w:footnote w:id="2">
    <w:p w:rsidR="000416E8" w:rsidRDefault="000416E8">
      <w:pPr>
        <w:pStyle w:val="FootnoteText"/>
      </w:pPr>
      <w:r>
        <w:rPr>
          <w:rStyle w:val="FootnoteReference"/>
        </w:rPr>
        <w:footnoteRef/>
      </w:r>
      <w:r>
        <w:t xml:space="preserve"> </w:t>
      </w:r>
      <w:r w:rsidRPr="001C291B">
        <w:t>The reference date is defined as “day 14 after drug product compounding date at 12h Central European Time (CET)”</w:t>
      </w:r>
      <w:r>
        <w:t>.</w:t>
      </w:r>
    </w:p>
  </w:footnote>
  <w:footnote w:id="3">
    <w:p w:rsidR="000416E8" w:rsidRDefault="000416E8">
      <w:pPr>
        <w:pStyle w:val="FootnoteText"/>
      </w:pPr>
      <w:r>
        <w:rPr>
          <w:rStyle w:val="FootnoteReference"/>
        </w:rPr>
        <w:footnoteRef/>
      </w:r>
      <w:r>
        <w:t xml:space="preserve"> </w:t>
      </w:r>
      <w:r w:rsidRPr="001C291B">
        <w:t>The decay</w:t>
      </w:r>
      <w:r>
        <w:t xml:space="preserve"> correction (DK)</w:t>
      </w:r>
      <w:r w:rsidRPr="001C291B">
        <w:t xml:space="preserve"> factor is the proportion of radioactivity present compared to the amount present at the ‘reference date’. A table of DK factors is provided with each vial and in the PI</w:t>
      </w:r>
      <w:r>
        <w:t>.</w:t>
      </w:r>
    </w:p>
  </w:footnote>
  <w:footnote w:id="4">
    <w:p w:rsidR="000416E8" w:rsidRDefault="000416E8">
      <w:pPr>
        <w:pStyle w:val="FootnoteText"/>
      </w:pPr>
      <w:r>
        <w:rPr>
          <w:rStyle w:val="FootnoteReference"/>
        </w:rPr>
        <w:footnoteRef/>
      </w:r>
      <w:r>
        <w:t xml:space="preserve"> </w:t>
      </w:r>
      <w:proofErr w:type="spellStart"/>
      <w:r w:rsidRPr="0066114F">
        <w:t>Stabin</w:t>
      </w:r>
      <w:proofErr w:type="spellEnd"/>
      <w:r w:rsidRPr="0066114F">
        <w:t xml:space="preserve"> MG</w:t>
      </w:r>
      <w:r>
        <w:t xml:space="preserve">, et al. (2005) </w:t>
      </w:r>
      <w:r w:rsidRPr="0066114F">
        <w:t xml:space="preserve">OLINDA/EXM: the second-generation personal computer software for internal dose </w:t>
      </w:r>
      <w:r>
        <w:t xml:space="preserve">assessment in nuclear medicine. </w:t>
      </w:r>
      <w:r w:rsidRPr="0066114F">
        <w:rPr>
          <w:i/>
        </w:rPr>
        <w:t xml:space="preserve">J </w:t>
      </w:r>
      <w:proofErr w:type="spellStart"/>
      <w:r w:rsidRPr="0066114F">
        <w:rPr>
          <w:i/>
        </w:rPr>
        <w:t>Nucl</w:t>
      </w:r>
      <w:proofErr w:type="spellEnd"/>
      <w:r w:rsidRPr="0066114F">
        <w:rPr>
          <w:i/>
        </w:rPr>
        <w:t xml:space="preserve"> Med. </w:t>
      </w:r>
      <w:r>
        <w:t>46: 1023-1027.</w:t>
      </w:r>
    </w:p>
  </w:footnote>
  <w:footnote w:id="5">
    <w:p w:rsidR="000416E8" w:rsidRDefault="000416E8">
      <w:pPr>
        <w:pStyle w:val="FootnoteText"/>
      </w:pPr>
      <w:r>
        <w:rPr>
          <w:rStyle w:val="FootnoteReference"/>
        </w:rPr>
        <w:footnoteRef/>
      </w:r>
      <w:r>
        <w:t xml:space="preserve"> </w:t>
      </w:r>
      <w:proofErr w:type="spellStart"/>
      <w:r w:rsidRPr="00DA7C52">
        <w:t>Henriksen</w:t>
      </w:r>
      <w:proofErr w:type="spellEnd"/>
      <w:r w:rsidRPr="00DA7C52">
        <w:t xml:space="preserve"> G, </w:t>
      </w:r>
      <w:r>
        <w:t>et al</w:t>
      </w:r>
      <w:r w:rsidRPr="00DA7C52">
        <w:t xml:space="preserve">. </w:t>
      </w:r>
      <w:r>
        <w:t xml:space="preserve">(2002) </w:t>
      </w:r>
      <w:proofErr w:type="gramStart"/>
      <w:r w:rsidRPr="00DA7C52">
        <w:t>Significant</w:t>
      </w:r>
      <w:proofErr w:type="gramEnd"/>
      <w:r w:rsidRPr="00DA7C52">
        <w:t xml:space="preserve"> antitumor eff</w:t>
      </w:r>
      <w:r w:rsidR="00716E52">
        <w:t>ect of bone-seeking, α-particle-</w:t>
      </w:r>
      <w:r w:rsidRPr="00DA7C52">
        <w:t>emitting 223Ra demonstrated in an experimental skeletal met</w:t>
      </w:r>
      <w:r>
        <w:t xml:space="preserve">astases model. </w:t>
      </w:r>
      <w:r w:rsidRPr="00296E59">
        <w:rPr>
          <w:i/>
        </w:rPr>
        <w:t>Cancer Res.</w:t>
      </w:r>
      <w:r>
        <w:t xml:space="preserve"> </w:t>
      </w:r>
      <w:r w:rsidRPr="00DA7C52">
        <w:t>62:</w:t>
      </w:r>
      <w:r>
        <w:t xml:space="preserve"> </w:t>
      </w:r>
      <w:r w:rsidRPr="00DA7C52">
        <w:t>3120-3125</w:t>
      </w:r>
      <w:r>
        <w:t xml:space="preserve">; </w:t>
      </w:r>
      <w:proofErr w:type="spellStart"/>
      <w:r w:rsidRPr="005F4E83">
        <w:t>Br</w:t>
      </w:r>
      <w:r>
        <w:t>uland</w:t>
      </w:r>
      <w:proofErr w:type="spellEnd"/>
      <w:r>
        <w:t xml:space="preserve"> ØS, et al</w:t>
      </w:r>
      <w:r w:rsidRPr="005F4E83">
        <w:t>.</w:t>
      </w:r>
      <w:r>
        <w:t xml:space="preserve"> (2006) </w:t>
      </w:r>
      <w:r w:rsidRPr="005F4E83">
        <w:t xml:space="preserve">High-linear energy transfer irradiation targeted to skeletal metastases by the alpha-emitter 223Ra: adjuvant or alternative to conventional modalities? </w:t>
      </w:r>
      <w:proofErr w:type="spellStart"/>
      <w:r w:rsidRPr="00847110">
        <w:rPr>
          <w:i/>
        </w:rPr>
        <w:t>Clin</w:t>
      </w:r>
      <w:proofErr w:type="spellEnd"/>
      <w:r w:rsidRPr="00847110">
        <w:rPr>
          <w:i/>
        </w:rPr>
        <w:t xml:space="preserve"> Cancer Res. </w:t>
      </w:r>
      <w:r w:rsidRPr="005F4E83">
        <w:t>12(20 Pt 2):</w:t>
      </w:r>
      <w:r>
        <w:t xml:space="preserve"> </w:t>
      </w:r>
      <w:r w:rsidRPr="005F4E83">
        <w:t>6250s-6257s.</w:t>
      </w:r>
    </w:p>
  </w:footnote>
  <w:footnote w:id="6">
    <w:p w:rsidR="000416E8" w:rsidRDefault="000416E8">
      <w:pPr>
        <w:pStyle w:val="FootnoteText"/>
      </w:pPr>
      <w:r>
        <w:rPr>
          <w:rStyle w:val="FootnoteReference"/>
        </w:rPr>
        <w:footnoteRef/>
      </w:r>
      <w:r>
        <w:t xml:space="preserve"> </w:t>
      </w:r>
      <w:r w:rsidRPr="00BB545A">
        <w:t xml:space="preserve">Lloyd RD, </w:t>
      </w:r>
      <w:r>
        <w:t>et al</w:t>
      </w:r>
      <w:r w:rsidRPr="00BB545A">
        <w:t xml:space="preserve">. </w:t>
      </w:r>
      <w:r>
        <w:t xml:space="preserve">(1997) </w:t>
      </w:r>
      <w:r w:rsidRPr="00BB545A">
        <w:t>Comparison of internal emitter radiobiology in animals and</w:t>
      </w:r>
      <w:r>
        <w:t xml:space="preserve"> humans. </w:t>
      </w:r>
      <w:r w:rsidRPr="00BB545A">
        <w:rPr>
          <w:i/>
        </w:rPr>
        <w:t>Health Phys.</w:t>
      </w:r>
      <w:r>
        <w:t xml:space="preserve"> 72</w:t>
      </w:r>
      <w:r w:rsidRPr="00BB545A">
        <w:t>:</w:t>
      </w:r>
      <w:r>
        <w:t xml:space="preserve"> </w:t>
      </w:r>
      <w:r w:rsidRPr="00BB545A">
        <w:t>100-110</w:t>
      </w:r>
      <w:r>
        <w:t>.</w:t>
      </w:r>
    </w:p>
  </w:footnote>
  <w:footnote w:id="7">
    <w:p w:rsidR="000416E8" w:rsidRDefault="000416E8">
      <w:pPr>
        <w:pStyle w:val="FootnoteText"/>
      </w:pPr>
      <w:r>
        <w:rPr>
          <w:rStyle w:val="FootnoteReference"/>
        </w:rPr>
        <w:footnoteRef/>
      </w:r>
      <w:r>
        <w:t xml:space="preserve"> </w:t>
      </w:r>
      <w:r w:rsidRPr="006C1895">
        <w:t xml:space="preserve">Ritter MA, </w:t>
      </w:r>
      <w:r>
        <w:t>et al</w:t>
      </w:r>
      <w:r w:rsidRPr="006C1895">
        <w:t xml:space="preserve">. </w:t>
      </w:r>
      <w:r>
        <w:t xml:space="preserve">(1977) </w:t>
      </w:r>
      <w:r w:rsidRPr="006C1895">
        <w:t>High-LET radiations induce a large proportion of non-</w:t>
      </w:r>
      <w:proofErr w:type="spellStart"/>
      <w:r w:rsidRPr="006C1895">
        <w:t>rejoining</w:t>
      </w:r>
      <w:proofErr w:type="spellEnd"/>
      <w:r w:rsidRPr="006C1895">
        <w:t xml:space="preserve"> DNA breaks.</w:t>
      </w:r>
      <w:r>
        <w:t xml:space="preserve"> </w:t>
      </w:r>
      <w:r w:rsidRPr="006C1895">
        <w:rPr>
          <w:i/>
        </w:rPr>
        <w:t xml:space="preserve">Nature </w:t>
      </w:r>
      <w:r>
        <w:t xml:space="preserve">266: 653-655; </w:t>
      </w:r>
      <w:proofErr w:type="spellStart"/>
      <w:r>
        <w:t>Kassis</w:t>
      </w:r>
      <w:proofErr w:type="spellEnd"/>
      <w:r>
        <w:t xml:space="preserve"> AI, </w:t>
      </w:r>
      <w:proofErr w:type="spellStart"/>
      <w:r w:rsidRPr="006C1895">
        <w:t>Adelstein</w:t>
      </w:r>
      <w:proofErr w:type="spellEnd"/>
      <w:r w:rsidRPr="006C1895">
        <w:t xml:space="preserve"> SJ. </w:t>
      </w:r>
      <w:proofErr w:type="gramStart"/>
      <w:r>
        <w:t xml:space="preserve">(2005) </w:t>
      </w:r>
      <w:proofErr w:type="spellStart"/>
      <w:r w:rsidRPr="006C1895">
        <w:t>Radiobiologic</w:t>
      </w:r>
      <w:proofErr w:type="spellEnd"/>
      <w:r w:rsidRPr="006C1895">
        <w:t xml:space="preserve"> principles in radionu</w:t>
      </w:r>
      <w:r>
        <w:t>clide therapy.</w:t>
      </w:r>
      <w:proofErr w:type="gramEnd"/>
      <w:r>
        <w:t xml:space="preserve"> </w:t>
      </w:r>
      <w:r w:rsidRPr="006C1895">
        <w:rPr>
          <w:i/>
        </w:rPr>
        <w:t xml:space="preserve">J </w:t>
      </w:r>
      <w:proofErr w:type="spellStart"/>
      <w:r w:rsidRPr="006C1895">
        <w:rPr>
          <w:i/>
        </w:rPr>
        <w:t>Nucl</w:t>
      </w:r>
      <w:proofErr w:type="spellEnd"/>
      <w:r w:rsidRPr="006C1895">
        <w:rPr>
          <w:i/>
        </w:rPr>
        <w:t xml:space="preserve"> Med.</w:t>
      </w:r>
      <w:r>
        <w:t xml:space="preserve"> </w:t>
      </w:r>
      <w:r w:rsidRPr="006C1895">
        <w:t>46:</w:t>
      </w:r>
      <w:r>
        <w:t xml:space="preserve"> </w:t>
      </w:r>
      <w:r w:rsidRPr="006C1895">
        <w:t>4S-12S</w:t>
      </w:r>
      <w:r>
        <w:t>;</w:t>
      </w:r>
      <w:r w:rsidRPr="006C1895">
        <w:t xml:space="preserve"> </w:t>
      </w:r>
      <w:proofErr w:type="spellStart"/>
      <w:r w:rsidRPr="006C1895">
        <w:t>Sgouros</w:t>
      </w:r>
      <w:proofErr w:type="spellEnd"/>
      <w:r w:rsidRPr="006C1895">
        <w:t xml:space="preserve"> G. </w:t>
      </w:r>
      <w:r>
        <w:t xml:space="preserve">(2008) </w:t>
      </w:r>
      <w:r w:rsidRPr="006C1895">
        <w:t>Alpha-particles for targeted th</w:t>
      </w:r>
      <w:r>
        <w:t xml:space="preserve">erapy. </w:t>
      </w:r>
      <w:proofErr w:type="spellStart"/>
      <w:proofErr w:type="gramStart"/>
      <w:r w:rsidRPr="001660E1">
        <w:rPr>
          <w:i/>
        </w:rPr>
        <w:t>Adv</w:t>
      </w:r>
      <w:proofErr w:type="spellEnd"/>
      <w:r w:rsidRPr="001660E1">
        <w:rPr>
          <w:i/>
        </w:rPr>
        <w:t xml:space="preserve"> Drug </w:t>
      </w:r>
      <w:proofErr w:type="spellStart"/>
      <w:r w:rsidRPr="001660E1">
        <w:rPr>
          <w:i/>
        </w:rPr>
        <w:t>Deliv</w:t>
      </w:r>
      <w:proofErr w:type="spellEnd"/>
      <w:r w:rsidRPr="001660E1">
        <w:rPr>
          <w:i/>
        </w:rPr>
        <w:t xml:space="preserve"> Rev.</w:t>
      </w:r>
      <w:r>
        <w:t xml:space="preserve"> </w:t>
      </w:r>
      <w:r w:rsidRPr="006C1895">
        <w:t>60:</w:t>
      </w:r>
      <w:r>
        <w:t xml:space="preserve"> 1</w:t>
      </w:r>
      <w:r w:rsidRPr="006C1895">
        <w:t>402-</w:t>
      </w:r>
      <w:r>
        <w:t>1</w:t>
      </w:r>
      <w:r w:rsidRPr="006C1895">
        <w:t>406.</w:t>
      </w:r>
      <w:proofErr w:type="gramEnd"/>
    </w:p>
  </w:footnote>
  <w:footnote w:id="8">
    <w:p w:rsidR="000416E8" w:rsidRDefault="000416E8">
      <w:pPr>
        <w:pStyle w:val="FootnoteText"/>
      </w:pPr>
      <w:r>
        <w:rPr>
          <w:rStyle w:val="FootnoteReference"/>
        </w:rPr>
        <w:footnoteRef/>
      </w:r>
      <w:r>
        <w:t xml:space="preserve"> </w:t>
      </w:r>
      <w:r w:rsidRPr="006473A6">
        <w:t xml:space="preserve">Larsen RH, </w:t>
      </w:r>
      <w:r>
        <w:t>et al</w:t>
      </w:r>
      <w:r w:rsidRPr="006473A6">
        <w:t xml:space="preserve">. </w:t>
      </w:r>
      <w:r>
        <w:t xml:space="preserve">(1999) </w:t>
      </w:r>
      <w:r w:rsidRPr="0019309D">
        <w:rPr>
          <w:vertAlign w:val="superscript"/>
        </w:rPr>
        <w:t>211</w:t>
      </w:r>
      <w:r w:rsidRPr="006473A6">
        <w:t xml:space="preserve">At- and </w:t>
      </w:r>
      <w:r w:rsidRPr="0019309D">
        <w:rPr>
          <w:vertAlign w:val="superscript"/>
        </w:rPr>
        <w:t>131</w:t>
      </w:r>
      <w:r w:rsidRPr="006473A6">
        <w:t xml:space="preserve">I-labeled bisphosphonates with high in vivo stability and bone accumulation. </w:t>
      </w:r>
      <w:proofErr w:type="gramStart"/>
      <w:r w:rsidRPr="001653C1">
        <w:rPr>
          <w:i/>
        </w:rPr>
        <w:t xml:space="preserve">J </w:t>
      </w:r>
      <w:proofErr w:type="spellStart"/>
      <w:r w:rsidRPr="001653C1">
        <w:rPr>
          <w:i/>
        </w:rPr>
        <w:t>Nucl</w:t>
      </w:r>
      <w:proofErr w:type="spellEnd"/>
      <w:r w:rsidRPr="001653C1">
        <w:rPr>
          <w:i/>
        </w:rPr>
        <w:t xml:space="preserve"> Med.</w:t>
      </w:r>
      <w:r>
        <w:t xml:space="preserve"> 40: 1197-1203; </w:t>
      </w:r>
      <w:proofErr w:type="spellStart"/>
      <w:r>
        <w:t>Kassis</w:t>
      </w:r>
      <w:proofErr w:type="spellEnd"/>
      <w:r>
        <w:t xml:space="preserve"> AI, </w:t>
      </w:r>
      <w:proofErr w:type="spellStart"/>
      <w:r w:rsidRPr="006C1895">
        <w:t>Adelstein</w:t>
      </w:r>
      <w:proofErr w:type="spellEnd"/>
      <w:r w:rsidRPr="006C1895">
        <w:t xml:space="preserve"> SJ.</w:t>
      </w:r>
      <w:proofErr w:type="gramEnd"/>
      <w:r w:rsidRPr="006C1895">
        <w:t xml:space="preserve"> </w:t>
      </w:r>
      <w:proofErr w:type="gramStart"/>
      <w:r>
        <w:t xml:space="preserve">(2005) </w:t>
      </w:r>
      <w:proofErr w:type="spellStart"/>
      <w:r w:rsidRPr="006C1895">
        <w:t>Radiobiologic</w:t>
      </w:r>
      <w:proofErr w:type="spellEnd"/>
      <w:r w:rsidRPr="006C1895">
        <w:t xml:space="preserve"> principles in radionu</w:t>
      </w:r>
      <w:r>
        <w:t>clide therapy.</w:t>
      </w:r>
      <w:proofErr w:type="gramEnd"/>
      <w:r>
        <w:t xml:space="preserve"> </w:t>
      </w:r>
      <w:r w:rsidRPr="006C1895">
        <w:rPr>
          <w:i/>
        </w:rPr>
        <w:t xml:space="preserve">J </w:t>
      </w:r>
      <w:proofErr w:type="spellStart"/>
      <w:r w:rsidRPr="006C1895">
        <w:rPr>
          <w:i/>
        </w:rPr>
        <w:t>Nucl</w:t>
      </w:r>
      <w:proofErr w:type="spellEnd"/>
      <w:r w:rsidRPr="006C1895">
        <w:rPr>
          <w:i/>
        </w:rPr>
        <w:t xml:space="preserve"> Med.</w:t>
      </w:r>
      <w:r>
        <w:t xml:space="preserve"> </w:t>
      </w:r>
      <w:r w:rsidRPr="006C1895">
        <w:t>46:</w:t>
      </w:r>
      <w:r>
        <w:t xml:space="preserve"> </w:t>
      </w:r>
      <w:r w:rsidRPr="006C1895">
        <w:t>4S-12S</w:t>
      </w:r>
      <w:r>
        <w:t>.</w:t>
      </w:r>
    </w:p>
  </w:footnote>
  <w:footnote w:id="9">
    <w:p w:rsidR="00C43CAF" w:rsidRDefault="00C43CAF" w:rsidP="00C43CAF">
      <w:pPr>
        <w:pStyle w:val="FootnoteText"/>
      </w:pPr>
      <w:r>
        <w:rPr>
          <w:rStyle w:val="FootnoteReference"/>
        </w:rPr>
        <w:footnoteRef/>
      </w:r>
      <w:r>
        <w:t xml:space="preserve"> </w:t>
      </w:r>
      <w:proofErr w:type="spellStart"/>
      <w:r w:rsidRPr="00A1560E">
        <w:t>Kataoka</w:t>
      </w:r>
      <w:proofErr w:type="spellEnd"/>
      <w:r w:rsidRPr="00A1560E">
        <w:t xml:space="preserve"> Y, </w:t>
      </w:r>
      <w:r>
        <w:t>et al</w:t>
      </w:r>
      <w:r w:rsidRPr="00A1560E">
        <w:t xml:space="preserve">. </w:t>
      </w:r>
      <w:r>
        <w:t xml:space="preserve">(2006) </w:t>
      </w:r>
      <w:r w:rsidRPr="00A1560E">
        <w:t xml:space="preserve">Flow </w:t>
      </w:r>
      <w:proofErr w:type="spellStart"/>
      <w:r w:rsidRPr="00A1560E">
        <w:t>cytometric</w:t>
      </w:r>
      <w:proofErr w:type="spellEnd"/>
      <w:r w:rsidRPr="00A1560E">
        <w:t xml:space="preserve"> analysis of phosphorylated histone</w:t>
      </w:r>
      <w:r>
        <w:t xml:space="preserve"> H2AX following exposure to ion</w:t>
      </w:r>
      <w:r w:rsidRPr="00A1560E">
        <w:t>izing radiation in human microvascular endot</w:t>
      </w:r>
      <w:r>
        <w:t xml:space="preserve">helial cells. </w:t>
      </w:r>
      <w:r w:rsidRPr="00A1560E">
        <w:rPr>
          <w:i/>
        </w:rPr>
        <w:t xml:space="preserve">J </w:t>
      </w:r>
      <w:proofErr w:type="spellStart"/>
      <w:r w:rsidRPr="00A1560E">
        <w:rPr>
          <w:i/>
        </w:rPr>
        <w:t>Radiat</w:t>
      </w:r>
      <w:proofErr w:type="spellEnd"/>
      <w:r w:rsidRPr="00A1560E">
        <w:rPr>
          <w:i/>
        </w:rPr>
        <w:t xml:space="preserve"> Res.</w:t>
      </w:r>
      <w:r>
        <w:t xml:space="preserve"> </w:t>
      </w:r>
      <w:r w:rsidRPr="00A1560E">
        <w:t>47:</w:t>
      </w:r>
      <w:r>
        <w:t xml:space="preserve"> </w:t>
      </w:r>
      <w:r w:rsidRPr="00A1560E">
        <w:t>245-</w:t>
      </w:r>
      <w:r>
        <w:t>2</w:t>
      </w:r>
      <w:r w:rsidRPr="00A1560E">
        <w:t>57.</w:t>
      </w:r>
    </w:p>
  </w:footnote>
  <w:footnote w:id="10">
    <w:p w:rsidR="00C43CAF" w:rsidRDefault="00C43CAF" w:rsidP="00C43CAF">
      <w:pPr>
        <w:pStyle w:val="FootnoteText"/>
      </w:pPr>
      <w:r>
        <w:rPr>
          <w:rStyle w:val="FootnoteReference"/>
        </w:rPr>
        <w:footnoteRef/>
      </w:r>
      <w:r>
        <w:t xml:space="preserve"> </w:t>
      </w:r>
      <w:r w:rsidRPr="00A2480A">
        <w:t>Experiment performed in absence of incubator room; suspected impact on outcome minimal, yet undetermined</w:t>
      </w:r>
      <w:r>
        <w:t>.</w:t>
      </w:r>
    </w:p>
  </w:footnote>
  <w:footnote w:id="11">
    <w:p w:rsidR="004510E6" w:rsidRDefault="004510E6" w:rsidP="004510E6">
      <w:pPr>
        <w:pStyle w:val="FootnoteText"/>
      </w:pPr>
      <w:r>
        <w:rPr>
          <w:rStyle w:val="FootnoteReference"/>
        </w:rPr>
        <w:footnoteRef/>
      </w:r>
      <w:r>
        <w:t xml:space="preserve"> </w:t>
      </w:r>
      <w:proofErr w:type="spellStart"/>
      <w:r w:rsidRPr="00DA7C52">
        <w:t>Henriksen</w:t>
      </w:r>
      <w:proofErr w:type="spellEnd"/>
      <w:r w:rsidRPr="00DA7C52">
        <w:t xml:space="preserve"> G, </w:t>
      </w:r>
      <w:r>
        <w:t>et al</w:t>
      </w:r>
      <w:r w:rsidRPr="00DA7C52">
        <w:t xml:space="preserve">. </w:t>
      </w:r>
      <w:r>
        <w:t xml:space="preserve">(2002) </w:t>
      </w:r>
      <w:proofErr w:type="gramStart"/>
      <w:r w:rsidRPr="00DA7C52">
        <w:t>Significant</w:t>
      </w:r>
      <w:proofErr w:type="gramEnd"/>
      <w:r w:rsidRPr="00DA7C52">
        <w:t xml:space="preserve"> antitumor effect of bone-seeking, α-particle–emitting 223Ra demonstrated in an experimental skeletal met</w:t>
      </w:r>
      <w:r>
        <w:t xml:space="preserve">astases model. </w:t>
      </w:r>
      <w:r w:rsidRPr="00296E59">
        <w:rPr>
          <w:i/>
        </w:rPr>
        <w:t>Cancer Res.</w:t>
      </w:r>
      <w:r>
        <w:t xml:space="preserve"> </w:t>
      </w:r>
      <w:r w:rsidRPr="00DA7C52">
        <w:t>62:</w:t>
      </w:r>
      <w:r>
        <w:t xml:space="preserve"> </w:t>
      </w:r>
      <w:r w:rsidRPr="00DA7C52">
        <w:t>3120-3125</w:t>
      </w:r>
      <w:r>
        <w:t>.</w:t>
      </w:r>
    </w:p>
  </w:footnote>
  <w:footnote w:id="12">
    <w:p w:rsidR="000416E8" w:rsidRDefault="000416E8">
      <w:pPr>
        <w:pStyle w:val="FootnoteText"/>
      </w:pPr>
      <w:r>
        <w:rPr>
          <w:rStyle w:val="FootnoteReference"/>
        </w:rPr>
        <w:footnoteRef/>
      </w:r>
      <w:r>
        <w:t xml:space="preserve"> </w:t>
      </w:r>
      <w:proofErr w:type="gramStart"/>
      <w:r w:rsidR="009B02E3">
        <w:t xml:space="preserve">Assumes </w:t>
      </w:r>
      <w:r w:rsidR="000A1F17">
        <w:t>7</w:t>
      </w:r>
      <w:r w:rsidRPr="006F25F7">
        <w:t xml:space="preserve">0 kg individual, 50 </w:t>
      </w:r>
      <w:proofErr w:type="spellStart"/>
      <w:r w:rsidRPr="006F25F7">
        <w:t>kBq</w:t>
      </w:r>
      <w:proofErr w:type="spellEnd"/>
      <w:r w:rsidRPr="006F25F7">
        <w:t>/kg maximal single dose</w:t>
      </w:r>
      <w:r>
        <w:t>.</w:t>
      </w:r>
      <w:proofErr w:type="gramEnd"/>
    </w:p>
  </w:footnote>
  <w:footnote w:id="13">
    <w:p w:rsidR="000416E8" w:rsidRDefault="000416E8">
      <w:pPr>
        <w:pStyle w:val="FootnoteText"/>
      </w:pPr>
      <w:r>
        <w:rPr>
          <w:rStyle w:val="FootnoteReference"/>
        </w:rPr>
        <w:footnoteRef/>
      </w:r>
      <w:r>
        <w:t xml:space="preserve"> </w:t>
      </w:r>
      <w:proofErr w:type="gramStart"/>
      <w:r w:rsidRPr="002C2AD1">
        <w:t>Corrected for weight of the samples and for the radioactive decay to sampling time</w:t>
      </w:r>
      <w:r>
        <w:t>.</w:t>
      </w:r>
      <w:proofErr w:type="gramEnd"/>
    </w:p>
  </w:footnote>
  <w:footnote w:id="14">
    <w:p w:rsidR="003623EA" w:rsidRDefault="003623EA">
      <w:pPr>
        <w:pStyle w:val="FootnoteText"/>
      </w:pPr>
      <w:r>
        <w:rPr>
          <w:rStyle w:val="FootnoteReference"/>
        </w:rPr>
        <w:footnoteRef/>
      </w:r>
      <w:r>
        <w:t xml:space="preserve"> </w:t>
      </w:r>
      <w:r w:rsidRPr="003623EA">
        <w:t>Taylor GN</w:t>
      </w:r>
      <w:r>
        <w:t>,</w:t>
      </w:r>
      <w:r w:rsidRPr="003623EA">
        <w:t xml:space="preserve"> et al (2000). Radium induced melan</w:t>
      </w:r>
      <w:r>
        <w:t xml:space="preserve">omas in dogs. </w:t>
      </w:r>
      <w:r w:rsidRPr="003623EA">
        <w:rPr>
          <w:i/>
        </w:rPr>
        <w:t>Health Phys.</w:t>
      </w:r>
      <w:r>
        <w:t xml:space="preserve"> 79</w:t>
      </w:r>
      <w:r w:rsidRPr="003623EA">
        <w:t>: 196-198.</w:t>
      </w:r>
    </w:p>
  </w:footnote>
  <w:footnote w:id="15">
    <w:p w:rsidR="000416E8" w:rsidRDefault="000416E8">
      <w:pPr>
        <w:pStyle w:val="FootnoteText"/>
      </w:pPr>
      <w:r>
        <w:rPr>
          <w:rStyle w:val="FootnoteReference"/>
        </w:rPr>
        <w:footnoteRef/>
      </w:r>
      <w:r>
        <w:t xml:space="preserve"> </w:t>
      </w:r>
      <w:proofErr w:type="gramStart"/>
      <w:r w:rsidRPr="006B177F">
        <w:t xml:space="preserve">Assumes </w:t>
      </w:r>
      <w:r w:rsidR="000A1F17">
        <w:t>7</w:t>
      </w:r>
      <w:r w:rsidRPr="006B177F">
        <w:t xml:space="preserve">0 kg individual, 50 </w:t>
      </w:r>
      <w:proofErr w:type="spellStart"/>
      <w:r w:rsidRPr="006B177F">
        <w:t>kBq</w:t>
      </w:r>
      <w:proofErr w:type="spellEnd"/>
      <w:r w:rsidRPr="006B177F">
        <w:t>/kg maximal single dose</w:t>
      </w:r>
      <w:r>
        <w:t>.</w:t>
      </w:r>
      <w:proofErr w:type="gramEnd"/>
    </w:p>
  </w:footnote>
  <w:footnote w:id="16">
    <w:p w:rsidR="000416E8" w:rsidRDefault="000416E8">
      <w:pPr>
        <w:pStyle w:val="FootnoteText"/>
      </w:pPr>
      <w:r>
        <w:rPr>
          <w:rStyle w:val="FootnoteReference"/>
        </w:rPr>
        <w:footnoteRef/>
      </w:r>
      <w:r>
        <w:t xml:space="preserve"> </w:t>
      </w:r>
      <w:proofErr w:type="gramStart"/>
      <w:r w:rsidRPr="006B177F">
        <w:t xml:space="preserve">Assumes </w:t>
      </w:r>
      <w:r w:rsidR="000A1F17">
        <w:t>7</w:t>
      </w:r>
      <w:r w:rsidRPr="006B177F">
        <w:t xml:space="preserve">0 kg individual, 50 </w:t>
      </w:r>
      <w:proofErr w:type="spellStart"/>
      <w:r w:rsidRPr="006B177F">
        <w:t>kBq</w:t>
      </w:r>
      <w:proofErr w:type="spellEnd"/>
      <w:r w:rsidRPr="006B177F">
        <w:t>/kg maximal single dose</w:t>
      </w:r>
      <w:r>
        <w:t>.</w:t>
      </w:r>
      <w:proofErr w:type="gramEnd"/>
    </w:p>
  </w:footnote>
  <w:footnote w:id="17">
    <w:p w:rsidR="000416E8" w:rsidRDefault="000416E8">
      <w:pPr>
        <w:pStyle w:val="FootnoteText"/>
      </w:pPr>
      <w:r>
        <w:rPr>
          <w:rStyle w:val="FootnoteReference"/>
        </w:rPr>
        <w:footnoteRef/>
      </w:r>
      <w:r>
        <w:t xml:space="preserve"> </w:t>
      </w:r>
      <w:proofErr w:type="gramStart"/>
      <w:r w:rsidRPr="006B177F">
        <w:t xml:space="preserve">Assumes </w:t>
      </w:r>
      <w:r w:rsidR="000A1F17">
        <w:t>7</w:t>
      </w:r>
      <w:r w:rsidRPr="006B177F">
        <w:t xml:space="preserve">0 kg individual, 50 </w:t>
      </w:r>
      <w:proofErr w:type="spellStart"/>
      <w:r w:rsidRPr="006B177F">
        <w:t>kBq</w:t>
      </w:r>
      <w:proofErr w:type="spellEnd"/>
      <w:r w:rsidRPr="006B177F">
        <w:t>/kg maximal single dose</w:t>
      </w:r>
      <w:r>
        <w:t>.</w:t>
      </w:r>
      <w:proofErr w:type="gramEnd"/>
    </w:p>
  </w:footnote>
  <w:footnote w:id="18">
    <w:p w:rsidR="009F5B18" w:rsidRDefault="009F5B18">
      <w:pPr>
        <w:pStyle w:val="FootnoteText"/>
      </w:pPr>
      <w:r>
        <w:rPr>
          <w:rStyle w:val="FootnoteReference"/>
        </w:rPr>
        <w:footnoteRef/>
      </w:r>
      <w:r>
        <w:t xml:space="preserve"> </w:t>
      </w:r>
      <w:proofErr w:type="spellStart"/>
      <w:r w:rsidRPr="009F5B18">
        <w:t>Muggenburg</w:t>
      </w:r>
      <w:proofErr w:type="spellEnd"/>
      <w:r w:rsidRPr="009F5B18">
        <w:t xml:space="preserve"> BA, </w:t>
      </w:r>
      <w:r>
        <w:t>et al</w:t>
      </w:r>
      <w:r w:rsidRPr="009F5B18">
        <w:t xml:space="preserve">. </w:t>
      </w:r>
      <w:r>
        <w:t xml:space="preserve">(1996) </w:t>
      </w:r>
      <w:proofErr w:type="gramStart"/>
      <w:r w:rsidRPr="009F5B18">
        <w:t>The</w:t>
      </w:r>
      <w:proofErr w:type="gramEnd"/>
      <w:r w:rsidRPr="009F5B18">
        <w:t xml:space="preserve"> biological effects of radium-224 injected into dogs. </w:t>
      </w:r>
      <w:proofErr w:type="spellStart"/>
      <w:r w:rsidRPr="00B95725">
        <w:rPr>
          <w:i/>
        </w:rPr>
        <w:t>Radiat</w:t>
      </w:r>
      <w:proofErr w:type="spellEnd"/>
      <w:r w:rsidRPr="00B95725">
        <w:rPr>
          <w:i/>
        </w:rPr>
        <w:t xml:space="preserve"> Res. </w:t>
      </w:r>
      <w:r>
        <w:t xml:space="preserve">146:171-186; </w:t>
      </w:r>
      <w:proofErr w:type="spellStart"/>
      <w:r w:rsidR="00FE0EB0" w:rsidRPr="00FE0EB0">
        <w:t>Bijwaard</w:t>
      </w:r>
      <w:proofErr w:type="spellEnd"/>
      <w:r w:rsidR="00FE0EB0" w:rsidRPr="00FE0EB0">
        <w:t xml:space="preserve"> H, </w:t>
      </w:r>
      <w:r w:rsidR="00FE0EB0">
        <w:t>et al</w:t>
      </w:r>
      <w:r w:rsidR="00FE0EB0" w:rsidRPr="00FE0EB0">
        <w:t xml:space="preserve">. </w:t>
      </w:r>
      <w:r w:rsidR="00BC3011">
        <w:t xml:space="preserve">(2004) </w:t>
      </w:r>
      <w:r w:rsidR="00FE0EB0" w:rsidRPr="00FE0EB0">
        <w:t>Two-mutation models for bone cancer due to radium, strontium and plutoniu</w:t>
      </w:r>
      <w:r w:rsidR="00FF467A">
        <w:t xml:space="preserve">m. </w:t>
      </w:r>
      <w:proofErr w:type="spellStart"/>
      <w:r w:rsidR="00FF467A" w:rsidRPr="00E34EBA">
        <w:rPr>
          <w:i/>
        </w:rPr>
        <w:t>Radiat</w:t>
      </w:r>
      <w:proofErr w:type="spellEnd"/>
      <w:r w:rsidR="00FF467A" w:rsidRPr="00E34EBA">
        <w:rPr>
          <w:i/>
        </w:rPr>
        <w:t xml:space="preserve"> Res.</w:t>
      </w:r>
      <w:r w:rsidR="00FF467A">
        <w:t xml:space="preserve"> 162: 171-</w:t>
      </w:r>
      <w:r w:rsidR="00B95725">
        <w:t>184.</w:t>
      </w:r>
    </w:p>
  </w:footnote>
  <w:footnote w:id="19">
    <w:p w:rsidR="000416E8" w:rsidRDefault="000416E8">
      <w:pPr>
        <w:pStyle w:val="FootnoteText"/>
      </w:pPr>
      <w:r>
        <w:rPr>
          <w:rStyle w:val="FootnoteReference"/>
        </w:rPr>
        <w:footnoteRef/>
      </w:r>
      <w:r>
        <w:t xml:space="preserve"> Pregnancy Category X: </w:t>
      </w:r>
      <w:r w:rsidRPr="00C6222C">
        <w:t>Drugs which have such a high risk of causing permanent damage to the f</w:t>
      </w:r>
      <w:r>
        <w:t>o</w:t>
      </w:r>
      <w:r w:rsidRPr="00C6222C">
        <w:t>etus that they should not be used in pregnancy or when there is a possibility of pregnancy.</w:t>
      </w:r>
    </w:p>
  </w:footnote>
  <w:footnote w:id="20">
    <w:p w:rsidR="000416E8" w:rsidRDefault="000416E8">
      <w:pPr>
        <w:pStyle w:val="FootnoteText"/>
      </w:pPr>
      <w:r>
        <w:rPr>
          <w:rStyle w:val="FootnoteReference"/>
        </w:rPr>
        <w:footnoteRef/>
      </w:r>
      <w:r>
        <w:t xml:space="preserve"> </w:t>
      </w:r>
      <w:proofErr w:type="gramStart"/>
      <w:r w:rsidRPr="00616DCA">
        <w:t xml:space="preserve">Assumes 70 kg individual, 50 </w:t>
      </w:r>
      <w:proofErr w:type="spellStart"/>
      <w:r w:rsidRPr="00616DCA">
        <w:t>kBq</w:t>
      </w:r>
      <w:proofErr w:type="spellEnd"/>
      <w:r w:rsidRPr="00616DCA">
        <w:t>/kg maximal single dose</w:t>
      </w:r>
      <w:r>
        <w:t>.</w:t>
      </w:r>
      <w:proofErr w:type="gramEnd"/>
    </w:p>
  </w:footnote>
  <w:footnote w:id="21">
    <w:p w:rsidR="000416E8" w:rsidRDefault="000416E8" w:rsidP="001A0107">
      <w:pPr>
        <w:pStyle w:val="FootnoteText"/>
      </w:pPr>
      <w:r>
        <w:rPr>
          <w:rStyle w:val="FootnoteReference"/>
        </w:rPr>
        <w:footnoteRef/>
      </w:r>
      <w:r>
        <w:t xml:space="preserve"> </w:t>
      </w:r>
      <w:proofErr w:type="gramStart"/>
      <w:r w:rsidRPr="007311CB">
        <w:rPr>
          <w:sz w:val="16"/>
          <w:szCs w:val="16"/>
        </w:rPr>
        <w:t xml:space="preserve">Assumes 70 kg individual, 50 </w:t>
      </w:r>
      <w:proofErr w:type="spellStart"/>
      <w:r w:rsidRPr="007311CB">
        <w:rPr>
          <w:sz w:val="16"/>
          <w:szCs w:val="16"/>
        </w:rPr>
        <w:t>kBq</w:t>
      </w:r>
      <w:proofErr w:type="spellEnd"/>
      <w:r w:rsidRPr="007311CB">
        <w:rPr>
          <w:sz w:val="16"/>
          <w:szCs w:val="16"/>
        </w:rPr>
        <w:t>/kg maximal single dose.</w:t>
      </w:r>
      <w:proofErr w:type="gramEnd"/>
    </w:p>
  </w:footnote>
  <w:footnote w:id="22">
    <w:p w:rsidR="002353D2" w:rsidRDefault="002353D2" w:rsidP="002353D2">
      <w:pPr>
        <w:pStyle w:val="FootnoteText"/>
      </w:pPr>
      <w:r>
        <w:rPr>
          <w:rStyle w:val="FootnoteReference"/>
        </w:rPr>
        <w:footnoteRef/>
      </w:r>
      <w:r>
        <w:t xml:space="preserve"> </w:t>
      </w:r>
      <w:proofErr w:type="gramStart"/>
      <w:r w:rsidRPr="00264719">
        <w:t xml:space="preserve">European Medicines </w:t>
      </w:r>
      <w:r w:rsidRPr="00E86CA1">
        <w:t>Agency, “</w:t>
      </w:r>
      <w:r w:rsidRPr="00162B9B">
        <w:t xml:space="preserve">Guideline on the evaluation of anticancer medicinal products in man </w:t>
      </w:r>
      <w:r>
        <w:t>(</w:t>
      </w:r>
      <w:r w:rsidRPr="00162B9B">
        <w:t>EMA/CHMP/205/95</w:t>
      </w:r>
      <w:r>
        <w:t>)</w:t>
      </w:r>
      <w:r w:rsidRPr="00E86CA1">
        <w:t xml:space="preserve">”, </w:t>
      </w:r>
      <w:r w:rsidRPr="00162B9B">
        <w:t>13 December 2012</w:t>
      </w:r>
      <w:r>
        <w:t>.</w:t>
      </w:r>
      <w:proofErr w:type="gramEnd"/>
    </w:p>
  </w:footnote>
  <w:footnote w:id="23">
    <w:p w:rsidR="003F461E" w:rsidRDefault="003F461E">
      <w:pPr>
        <w:pStyle w:val="FootnoteText"/>
      </w:pPr>
      <w:r>
        <w:rPr>
          <w:rStyle w:val="FootnoteReference"/>
        </w:rPr>
        <w:footnoteRef/>
      </w:r>
      <w:r>
        <w:t xml:space="preserve"> </w:t>
      </w:r>
      <w:proofErr w:type="gramStart"/>
      <w:r w:rsidRPr="00264719">
        <w:t xml:space="preserve">European Medicines </w:t>
      </w:r>
      <w:r w:rsidRPr="00E86CA1">
        <w:t>Agency, “</w:t>
      </w:r>
      <w:r w:rsidRPr="00162B9B">
        <w:t xml:space="preserve">Guideline on the evaluation of anticancer medicinal products in man </w:t>
      </w:r>
      <w:r>
        <w:t>(</w:t>
      </w:r>
      <w:r w:rsidRPr="00162B9B">
        <w:t>EMA/CHMP/205/95</w:t>
      </w:r>
      <w:r>
        <w:t>)</w:t>
      </w:r>
      <w:r w:rsidRPr="00E86CA1">
        <w:t xml:space="preserve">”, </w:t>
      </w:r>
      <w:r w:rsidRPr="00162B9B">
        <w:t>13 December 2012</w:t>
      </w:r>
      <w:r>
        <w:t>.</w:t>
      </w:r>
      <w:proofErr w:type="gramEnd"/>
    </w:p>
  </w:footnote>
  <w:footnote w:id="24">
    <w:p w:rsidR="001D12A8" w:rsidRDefault="001D12A8">
      <w:pPr>
        <w:pStyle w:val="FootnoteText"/>
      </w:pPr>
      <w:r>
        <w:rPr>
          <w:rStyle w:val="FootnoteReference"/>
        </w:rPr>
        <w:footnoteRef/>
      </w:r>
      <w:r>
        <w:t xml:space="preserve"> </w:t>
      </w:r>
      <w:r w:rsidRPr="000B3113">
        <w:t>New terminology proposed to re</w:t>
      </w:r>
      <w:r>
        <w:t>place the former terminology “skeletal related event</w:t>
      </w:r>
      <w:r w:rsidRPr="000B3113">
        <w:t xml:space="preserve"> (SRE)”</w:t>
      </w:r>
      <w:r>
        <w:t>.</w:t>
      </w:r>
    </w:p>
  </w:footnote>
  <w:footnote w:id="25">
    <w:p w:rsidR="000416E8" w:rsidRDefault="000416E8">
      <w:pPr>
        <w:pStyle w:val="FootnoteText"/>
      </w:pPr>
      <w:r>
        <w:rPr>
          <w:rStyle w:val="FootnoteReference"/>
        </w:rPr>
        <w:footnoteRef/>
      </w:r>
      <w:r>
        <w:t xml:space="preserve"> </w:t>
      </w:r>
      <w:proofErr w:type="spellStart"/>
      <w:r w:rsidRPr="00113B67">
        <w:t>Fizazi</w:t>
      </w:r>
      <w:proofErr w:type="spellEnd"/>
      <w:r w:rsidRPr="00113B67">
        <w:t xml:space="preserve"> K, et al. </w:t>
      </w:r>
      <w:r>
        <w:t xml:space="preserve">(2011) </w:t>
      </w:r>
      <w:proofErr w:type="spellStart"/>
      <w:r w:rsidRPr="00113B67">
        <w:t>Denosumab</w:t>
      </w:r>
      <w:proofErr w:type="spellEnd"/>
      <w:r w:rsidRPr="00113B67">
        <w:t xml:space="preserve"> versus </w:t>
      </w:r>
      <w:proofErr w:type="spellStart"/>
      <w:r w:rsidRPr="00113B67">
        <w:t>zoledronic</w:t>
      </w:r>
      <w:proofErr w:type="spellEnd"/>
      <w:r w:rsidRPr="00113B67">
        <w:t xml:space="preserve"> acid for treatment of bone metastases in men with CRPC: a randomised, double-blin</w:t>
      </w:r>
      <w:r>
        <w:t xml:space="preserve">d study. </w:t>
      </w:r>
      <w:r w:rsidRPr="00113B67">
        <w:rPr>
          <w:i/>
        </w:rPr>
        <w:t xml:space="preserve">Lancet </w:t>
      </w:r>
      <w:r>
        <w:t>377</w:t>
      </w:r>
      <w:r w:rsidRPr="00113B67">
        <w:t>: 813-822</w:t>
      </w:r>
      <w:r>
        <w:t>.</w:t>
      </w:r>
    </w:p>
  </w:footnote>
  <w:footnote w:id="26">
    <w:p w:rsidR="000416E8" w:rsidRDefault="000416E8">
      <w:pPr>
        <w:pStyle w:val="FootnoteText"/>
      </w:pPr>
      <w:r>
        <w:rPr>
          <w:rStyle w:val="FootnoteReference"/>
        </w:rPr>
        <w:footnoteRef/>
      </w:r>
      <w:r>
        <w:t xml:space="preserve"> </w:t>
      </w:r>
      <w:proofErr w:type="spellStart"/>
      <w:r w:rsidRPr="00113B67">
        <w:t>Fizazi</w:t>
      </w:r>
      <w:proofErr w:type="spellEnd"/>
      <w:r w:rsidRPr="00113B67">
        <w:t xml:space="preserve"> K, et al. </w:t>
      </w:r>
      <w:r>
        <w:t xml:space="preserve">(2011) </w:t>
      </w:r>
      <w:proofErr w:type="spellStart"/>
      <w:r w:rsidRPr="00113B67">
        <w:t>Denosumab</w:t>
      </w:r>
      <w:proofErr w:type="spellEnd"/>
      <w:r w:rsidRPr="00113B67">
        <w:t xml:space="preserve"> versus </w:t>
      </w:r>
      <w:proofErr w:type="spellStart"/>
      <w:r w:rsidRPr="00113B67">
        <w:t>zoledronic</w:t>
      </w:r>
      <w:proofErr w:type="spellEnd"/>
      <w:r w:rsidRPr="00113B67">
        <w:t xml:space="preserve"> acid for treatment of bone metastases in men with CRPC: a randomised, double-blin</w:t>
      </w:r>
      <w:r>
        <w:t xml:space="preserve">d study. </w:t>
      </w:r>
      <w:r w:rsidRPr="00113B67">
        <w:rPr>
          <w:i/>
        </w:rPr>
        <w:t xml:space="preserve">Lancet </w:t>
      </w:r>
      <w:r>
        <w:t>377</w:t>
      </w:r>
      <w:r w:rsidRPr="00113B67">
        <w:t>: 813-822</w:t>
      </w:r>
      <w:r>
        <w:t>.</w:t>
      </w:r>
    </w:p>
  </w:footnote>
  <w:footnote w:id="27">
    <w:p w:rsidR="000416E8" w:rsidRDefault="000416E8">
      <w:pPr>
        <w:pStyle w:val="FootnoteText"/>
      </w:pPr>
      <w:r>
        <w:rPr>
          <w:rStyle w:val="FootnoteReference"/>
        </w:rPr>
        <w:footnoteRef/>
      </w:r>
      <w:r>
        <w:t xml:space="preserve"> Kimmel DB. </w:t>
      </w:r>
      <w:proofErr w:type="gramStart"/>
      <w:r w:rsidRPr="008E53C8">
        <w:t>(2007) Mechanism of action, pharmacokinetic and pharmacodynamics profile.</w:t>
      </w:r>
      <w:proofErr w:type="gramEnd"/>
      <w:r w:rsidRPr="008E53C8">
        <w:t xml:space="preserve"> </w:t>
      </w:r>
      <w:proofErr w:type="gramStart"/>
      <w:r w:rsidRPr="008E53C8">
        <w:t xml:space="preserve">And clinical applications of </w:t>
      </w:r>
      <w:proofErr w:type="spellStart"/>
      <w:r w:rsidRPr="008E53C8">
        <w:t>nitrogencontaining</w:t>
      </w:r>
      <w:proofErr w:type="spellEnd"/>
      <w:r w:rsidRPr="008E53C8">
        <w:t xml:space="preserve"> bisphosph</w:t>
      </w:r>
      <w:r>
        <w:t>onates.</w:t>
      </w:r>
      <w:proofErr w:type="gramEnd"/>
      <w:r>
        <w:t xml:space="preserve"> </w:t>
      </w:r>
      <w:r w:rsidRPr="008E53C8">
        <w:rPr>
          <w:i/>
        </w:rPr>
        <w:t xml:space="preserve">J Dent Res. </w:t>
      </w:r>
      <w:r>
        <w:t>86: 1022-10</w:t>
      </w:r>
      <w:r w:rsidRPr="008E53C8">
        <w:t>33</w:t>
      </w:r>
      <w:r>
        <w:t>.</w:t>
      </w:r>
    </w:p>
  </w:footnote>
  <w:footnote w:id="28">
    <w:p w:rsidR="000416E8" w:rsidRDefault="000416E8">
      <w:pPr>
        <w:pStyle w:val="FootnoteText"/>
      </w:pPr>
      <w:r>
        <w:rPr>
          <w:rStyle w:val="FootnoteReference"/>
        </w:rPr>
        <w:footnoteRef/>
      </w:r>
      <w:r>
        <w:t xml:space="preserve"> </w:t>
      </w:r>
      <w:proofErr w:type="spellStart"/>
      <w:r w:rsidRPr="00CD687A">
        <w:t>Borrás-Blasco</w:t>
      </w:r>
      <w:proofErr w:type="spellEnd"/>
      <w:r w:rsidRPr="00CD687A">
        <w:t xml:space="preserve"> J</w:t>
      </w:r>
      <w:r>
        <w:t xml:space="preserve">, et al. (2007) </w:t>
      </w:r>
      <w:r w:rsidRPr="00CD687A">
        <w:t>Possible delayed onset of osteonecrosis of the jaw in as</w:t>
      </w:r>
      <w:r>
        <w:t xml:space="preserve">sociation with </w:t>
      </w:r>
      <w:proofErr w:type="spellStart"/>
      <w:r>
        <w:t>zoledronic</w:t>
      </w:r>
      <w:proofErr w:type="spellEnd"/>
      <w:r>
        <w:t xml:space="preserve"> acid.</w:t>
      </w:r>
      <w:r w:rsidRPr="00CD687A">
        <w:t xml:space="preserve"> </w:t>
      </w:r>
      <w:proofErr w:type="gramStart"/>
      <w:r w:rsidRPr="00095522">
        <w:rPr>
          <w:i/>
        </w:rPr>
        <w:t xml:space="preserve">J </w:t>
      </w:r>
      <w:proofErr w:type="spellStart"/>
      <w:r w:rsidRPr="00095522">
        <w:rPr>
          <w:i/>
        </w:rPr>
        <w:t>Clin</w:t>
      </w:r>
      <w:proofErr w:type="spellEnd"/>
      <w:r w:rsidRPr="00095522">
        <w:rPr>
          <w:i/>
        </w:rPr>
        <w:t xml:space="preserve"> Pharm </w:t>
      </w:r>
      <w:proofErr w:type="spellStart"/>
      <w:r w:rsidRPr="00095522">
        <w:rPr>
          <w:i/>
        </w:rPr>
        <w:t>Ther</w:t>
      </w:r>
      <w:proofErr w:type="spellEnd"/>
      <w:r w:rsidRPr="00095522">
        <w:rPr>
          <w:i/>
        </w:rPr>
        <w:t>.</w:t>
      </w:r>
      <w:proofErr w:type="gramEnd"/>
      <w:r>
        <w:t xml:space="preserve"> 32</w:t>
      </w:r>
      <w:r w:rsidRPr="00CD687A">
        <w:t>:</w:t>
      </w:r>
      <w:r>
        <w:t xml:space="preserve"> </w:t>
      </w:r>
      <w:r w:rsidRPr="00CD687A">
        <w:t>651-</w:t>
      </w:r>
      <w:r>
        <w:t xml:space="preserve">654; </w:t>
      </w:r>
      <w:r w:rsidRPr="009A713C">
        <w:t>Del Conte A</w:t>
      </w:r>
      <w:r>
        <w:t xml:space="preserve">, et al. (2010) </w:t>
      </w:r>
      <w:r w:rsidRPr="009A713C">
        <w:t xml:space="preserve">Bisphosphonate-induced osteonecrosis of the jaw 32 months after interruption of </w:t>
      </w:r>
      <w:proofErr w:type="spellStart"/>
      <w:r w:rsidRPr="009A713C">
        <w:t>zoledronate</w:t>
      </w:r>
      <w:proofErr w:type="spellEnd"/>
      <w:r w:rsidRPr="009A713C">
        <w:t xml:space="preserve"> in a</w:t>
      </w:r>
      <w:r>
        <w:t xml:space="preserve"> patient with multiple myeloma.</w:t>
      </w:r>
      <w:r w:rsidRPr="009A713C">
        <w:t xml:space="preserve"> </w:t>
      </w:r>
      <w:r w:rsidRPr="00626B1B">
        <w:rPr>
          <w:i/>
        </w:rPr>
        <w:t xml:space="preserve">J Oral </w:t>
      </w:r>
      <w:proofErr w:type="spellStart"/>
      <w:r w:rsidRPr="00626B1B">
        <w:rPr>
          <w:i/>
        </w:rPr>
        <w:t>Maxillofac</w:t>
      </w:r>
      <w:proofErr w:type="spellEnd"/>
      <w:r w:rsidRPr="00626B1B">
        <w:rPr>
          <w:i/>
        </w:rPr>
        <w:t xml:space="preserve"> Surg. </w:t>
      </w:r>
      <w:r>
        <w:t>68: 1179-1182</w:t>
      </w:r>
      <w:r w:rsidRPr="009A713C">
        <w:t>.</w:t>
      </w:r>
    </w:p>
  </w:footnote>
  <w:footnote w:id="29">
    <w:p w:rsidR="000416E8" w:rsidRDefault="000416E8">
      <w:pPr>
        <w:pStyle w:val="FootnoteText"/>
      </w:pPr>
      <w:r>
        <w:rPr>
          <w:rStyle w:val="FootnoteReference"/>
        </w:rPr>
        <w:footnoteRef/>
      </w:r>
      <w:r>
        <w:t xml:space="preserve"> </w:t>
      </w:r>
      <w:r w:rsidRPr="00264719">
        <w:t xml:space="preserve">European Medicines </w:t>
      </w:r>
      <w:r w:rsidRPr="00E86CA1">
        <w:t>Agency, “</w:t>
      </w:r>
      <w:r>
        <w:t xml:space="preserve">Committee for Proprietary Medicinal Products (CPMP): Points to Consider on Application with 1. </w:t>
      </w:r>
      <w:proofErr w:type="gramStart"/>
      <w:r>
        <w:t>Meta-Analyses; 2.</w:t>
      </w:r>
      <w:proofErr w:type="gramEnd"/>
      <w:r>
        <w:t xml:space="preserve"> One Pivotal Study (</w:t>
      </w:r>
      <w:r w:rsidRPr="007418D7">
        <w:t>CPMP/EWP/2330/99</w:t>
      </w:r>
      <w:r>
        <w:t>)</w:t>
      </w:r>
      <w:r w:rsidRPr="00E86CA1">
        <w:t xml:space="preserve">”, </w:t>
      </w:r>
      <w:r>
        <w:t>31 May 2001; US Food and Drug Administration, “</w:t>
      </w:r>
      <w:r w:rsidRPr="00AD5538">
        <w:t>Guidance for Industry: Providing Clinical Evidence of Effectiveness for Huma</w:t>
      </w:r>
      <w:r>
        <w:t xml:space="preserve">n Drug and Biological Products”, </w:t>
      </w:r>
      <w:r w:rsidRPr="00AD5538">
        <w:t>May 1998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3201C5">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6E8" w:rsidRDefault="003201C5" w:rsidP="00593AD1">
    <w:pPr>
      <w:pStyle w:val="HeaderNoLine"/>
    </w:pPr>
    <w:r>
      <w:rPr>
        <w:noProof/>
        <w:lang w:eastAsia="en-AU"/>
      </w:rPr>
      <w:drawing>
        <wp:inline distT="0" distB="0" distL="0" distR="0">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8" w:rsidRDefault="000416E8" w:rsidP="006E08B3">
    <w:r>
      <w:t>Therapeutic Goods Administration</w:t>
    </w:r>
  </w:p>
  <w:p w:rsidR="000416E8" w:rsidRDefault="000416E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6488EE"/>
    <w:lvl w:ilvl="0">
      <w:start w:val="1"/>
      <w:numFmt w:val="decimal"/>
      <w:lvlText w:val="%1."/>
      <w:lvlJc w:val="left"/>
      <w:pPr>
        <w:tabs>
          <w:tab w:val="num" w:pos="1492"/>
        </w:tabs>
        <w:ind w:left="1492" w:hanging="360"/>
      </w:pPr>
    </w:lvl>
  </w:abstractNum>
  <w:abstractNum w:abstractNumId="1">
    <w:nsid w:val="FFFFFF7D"/>
    <w:multiLevelType w:val="singleLevel"/>
    <w:tmpl w:val="2D7C430A"/>
    <w:lvl w:ilvl="0">
      <w:start w:val="1"/>
      <w:numFmt w:val="decimal"/>
      <w:lvlText w:val="%1."/>
      <w:lvlJc w:val="left"/>
      <w:pPr>
        <w:tabs>
          <w:tab w:val="num" w:pos="1209"/>
        </w:tabs>
        <w:ind w:left="1209" w:hanging="360"/>
      </w:pPr>
    </w:lvl>
  </w:abstractNum>
  <w:abstractNum w:abstractNumId="2">
    <w:nsid w:val="FFFFFF7E"/>
    <w:multiLevelType w:val="singleLevel"/>
    <w:tmpl w:val="0D3E535A"/>
    <w:lvl w:ilvl="0">
      <w:start w:val="1"/>
      <w:numFmt w:val="decimal"/>
      <w:lvlText w:val="%1."/>
      <w:lvlJc w:val="left"/>
      <w:pPr>
        <w:tabs>
          <w:tab w:val="num" w:pos="926"/>
        </w:tabs>
        <w:ind w:left="926" w:hanging="360"/>
      </w:pPr>
    </w:lvl>
  </w:abstractNum>
  <w:abstractNum w:abstractNumId="3">
    <w:nsid w:val="FFFFFF7F"/>
    <w:multiLevelType w:val="singleLevel"/>
    <w:tmpl w:val="59EC290E"/>
    <w:lvl w:ilvl="0">
      <w:start w:val="1"/>
      <w:numFmt w:val="decimal"/>
      <w:lvlText w:val="%1."/>
      <w:lvlJc w:val="left"/>
      <w:pPr>
        <w:tabs>
          <w:tab w:val="num" w:pos="643"/>
        </w:tabs>
        <w:ind w:left="643" w:hanging="360"/>
      </w:pPr>
    </w:lvl>
  </w:abstractNum>
  <w:abstractNum w:abstractNumId="4">
    <w:nsid w:val="FFFFFF80"/>
    <w:multiLevelType w:val="singleLevel"/>
    <w:tmpl w:val="01CC31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226C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8B4EBC10"/>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4FC2EB0"/>
    <w:multiLevelType w:val="hybridMultilevel"/>
    <w:tmpl w:val="C116F6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FEE6772"/>
    <w:multiLevelType w:val="hybridMultilevel"/>
    <w:tmpl w:val="F8BC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4A85912"/>
    <w:multiLevelType w:val="hybridMultilevel"/>
    <w:tmpl w:val="3920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433D3C1F"/>
    <w:multiLevelType w:val="hybridMultilevel"/>
    <w:tmpl w:val="2068A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23921F5"/>
    <w:multiLevelType w:val="hybridMultilevel"/>
    <w:tmpl w:val="C01CAB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FA32CD"/>
    <w:multiLevelType w:val="hybridMultilevel"/>
    <w:tmpl w:val="6282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014DC3"/>
    <w:multiLevelType w:val="hybridMultilevel"/>
    <w:tmpl w:val="8632C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1534E19"/>
    <w:multiLevelType w:val="hybridMultilevel"/>
    <w:tmpl w:val="A69C25D4"/>
    <w:lvl w:ilvl="0" w:tplc="4F60A7C4">
      <w:numFmt w:val="bullet"/>
      <w:lvlText w:val="•"/>
      <w:lvlJc w:val="left"/>
      <w:pPr>
        <w:ind w:left="644" w:hanging="360"/>
      </w:pPr>
      <w:rPr>
        <w:rFonts w:ascii="Cambria" w:eastAsia="MS Mincho" w:hAnsi="Cambria" w:cs="Calibri"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1"/>
  </w:num>
  <w:num w:numId="17">
    <w:abstractNumId w:val="11"/>
  </w:num>
  <w:num w:numId="18">
    <w:abstractNumId w:val="11"/>
  </w:num>
  <w:num w:numId="19">
    <w:abstractNumId w:val="13"/>
  </w:num>
  <w:num w:numId="20">
    <w:abstractNumId w:val="13"/>
  </w:num>
  <w:num w:numId="21">
    <w:abstractNumId w:val="13"/>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22"/>
  </w:num>
  <w:num w:numId="29">
    <w:abstractNumId w:val="19"/>
  </w:num>
  <w:num w:numId="30">
    <w:abstractNumId w:val="16"/>
  </w:num>
  <w:num w:numId="31">
    <w:abstractNumId w:val="15"/>
  </w:num>
  <w:num w:numId="32">
    <w:abstractNumId w:val="17"/>
  </w:num>
  <w:num w:numId="33">
    <w:abstractNumId w:val="20"/>
  </w:num>
  <w:num w:numId="34">
    <w:abstractNumId w:val="14"/>
  </w:num>
  <w:num w:numId="35">
    <w:abstractNumId w:val="18"/>
  </w:num>
  <w:num w:numId="36">
    <w:abstractNumId w:val="21"/>
  </w:num>
  <w:num w:numId="37">
    <w:abstractNumId w:val="23"/>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5C"/>
    <w:rsid w:val="00002031"/>
    <w:rsid w:val="00003077"/>
    <w:rsid w:val="00004734"/>
    <w:rsid w:val="00006B22"/>
    <w:rsid w:val="0001276A"/>
    <w:rsid w:val="0001393A"/>
    <w:rsid w:val="000154E5"/>
    <w:rsid w:val="000246AE"/>
    <w:rsid w:val="00025AEB"/>
    <w:rsid w:val="00025C67"/>
    <w:rsid w:val="00027C90"/>
    <w:rsid w:val="00031DE8"/>
    <w:rsid w:val="000336F2"/>
    <w:rsid w:val="00037109"/>
    <w:rsid w:val="000416E8"/>
    <w:rsid w:val="000427FD"/>
    <w:rsid w:val="00044772"/>
    <w:rsid w:val="00045AE2"/>
    <w:rsid w:val="000501E1"/>
    <w:rsid w:val="00053F17"/>
    <w:rsid w:val="0005559E"/>
    <w:rsid w:val="00055AAC"/>
    <w:rsid w:val="00055E45"/>
    <w:rsid w:val="00057435"/>
    <w:rsid w:val="000604D6"/>
    <w:rsid w:val="00062862"/>
    <w:rsid w:val="00065664"/>
    <w:rsid w:val="000734D8"/>
    <w:rsid w:val="00077775"/>
    <w:rsid w:val="000875BB"/>
    <w:rsid w:val="00090471"/>
    <w:rsid w:val="00090C6E"/>
    <w:rsid w:val="000925B5"/>
    <w:rsid w:val="00092FEA"/>
    <w:rsid w:val="00093FF0"/>
    <w:rsid w:val="00095522"/>
    <w:rsid w:val="00095731"/>
    <w:rsid w:val="00096AA7"/>
    <w:rsid w:val="0009738D"/>
    <w:rsid w:val="000A1F17"/>
    <w:rsid w:val="000A3AED"/>
    <w:rsid w:val="000A7C5D"/>
    <w:rsid w:val="000B01D5"/>
    <w:rsid w:val="000B3113"/>
    <w:rsid w:val="000B3532"/>
    <w:rsid w:val="000B3A75"/>
    <w:rsid w:val="000C13C1"/>
    <w:rsid w:val="000C2016"/>
    <w:rsid w:val="000C20CF"/>
    <w:rsid w:val="000C2FDC"/>
    <w:rsid w:val="000C3542"/>
    <w:rsid w:val="000C690F"/>
    <w:rsid w:val="000D0E70"/>
    <w:rsid w:val="000D1295"/>
    <w:rsid w:val="000D1DD0"/>
    <w:rsid w:val="000D29F2"/>
    <w:rsid w:val="000D391B"/>
    <w:rsid w:val="000D3D6D"/>
    <w:rsid w:val="000D4FC7"/>
    <w:rsid w:val="000E13D0"/>
    <w:rsid w:val="000E418D"/>
    <w:rsid w:val="000E55BF"/>
    <w:rsid w:val="000F36F3"/>
    <w:rsid w:val="000F447C"/>
    <w:rsid w:val="000F4869"/>
    <w:rsid w:val="000F5B42"/>
    <w:rsid w:val="000F679B"/>
    <w:rsid w:val="000F6A40"/>
    <w:rsid w:val="000F6E6F"/>
    <w:rsid w:val="00103E55"/>
    <w:rsid w:val="00103E73"/>
    <w:rsid w:val="00105574"/>
    <w:rsid w:val="0010601F"/>
    <w:rsid w:val="0010788A"/>
    <w:rsid w:val="00107A31"/>
    <w:rsid w:val="0011076B"/>
    <w:rsid w:val="00110EA5"/>
    <w:rsid w:val="00112F56"/>
    <w:rsid w:val="00113589"/>
    <w:rsid w:val="00113B67"/>
    <w:rsid w:val="001148A5"/>
    <w:rsid w:val="00115E7C"/>
    <w:rsid w:val="00117613"/>
    <w:rsid w:val="00123632"/>
    <w:rsid w:val="00125318"/>
    <w:rsid w:val="001305A2"/>
    <w:rsid w:val="0013263D"/>
    <w:rsid w:val="001331B6"/>
    <w:rsid w:val="00133238"/>
    <w:rsid w:val="00137EB2"/>
    <w:rsid w:val="0014197B"/>
    <w:rsid w:val="00144480"/>
    <w:rsid w:val="001447CD"/>
    <w:rsid w:val="00146598"/>
    <w:rsid w:val="001516B1"/>
    <w:rsid w:val="0015263F"/>
    <w:rsid w:val="001526DB"/>
    <w:rsid w:val="001542B5"/>
    <w:rsid w:val="00154BBB"/>
    <w:rsid w:val="00154EBB"/>
    <w:rsid w:val="00156316"/>
    <w:rsid w:val="001606E0"/>
    <w:rsid w:val="0016149A"/>
    <w:rsid w:val="00161A92"/>
    <w:rsid w:val="00162B8C"/>
    <w:rsid w:val="00162B9B"/>
    <w:rsid w:val="00162D14"/>
    <w:rsid w:val="00165389"/>
    <w:rsid w:val="001653C1"/>
    <w:rsid w:val="001660E1"/>
    <w:rsid w:val="001675F2"/>
    <w:rsid w:val="00174537"/>
    <w:rsid w:val="00174DB6"/>
    <w:rsid w:val="0017693F"/>
    <w:rsid w:val="001773C5"/>
    <w:rsid w:val="001806F9"/>
    <w:rsid w:val="0018110E"/>
    <w:rsid w:val="00181684"/>
    <w:rsid w:val="00181F67"/>
    <w:rsid w:val="001843C6"/>
    <w:rsid w:val="001850E0"/>
    <w:rsid w:val="0019309D"/>
    <w:rsid w:val="001935CC"/>
    <w:rsid w:val="001A0107"/>
    <w:rsid w:val="001A2158"/>
    <w:rsid w:val="001A525F"/>
    <w:rsid w:val="001A5669"/>
    <w:rsid w:val="001A7470"/>
    <w:rsid w:val="001B09F9"/>
    <w:rsid w:val="001B1B96"/>
    <w:rsid w:val="001B5C90"/>
    <w:rsid w:val="001B6448"/>
    <w:rsid w:val="001C291B"/>
    <w:rsid w:val="001C32CD"/>
    <w:rsid w:val="001C3809"/>
    <w:rsid w:val="001C3EF1"/>
    <w:rsid w:val="001C5AE5"/>
    <w:rsid w:val="001C696E"/>
    <w:rsid w:val="001D0E76"/>
    <w:rsid w:val="001D12A8"/>
    <w:rsid w:val="001D23C0"/>
    <w:rsid w:val="001D2984"/>
    <w:rsid w:val="001D2A5E"/>
    <w:rsid w:val="001D4E0D"/>
    <w:rsid w:val="001D76A4"/>
    <w:rsid w:val="001D76D7"/>
    <w:rsid w:val="001D7DA5"/>
    <w:rsid w:val="001E07CF"/>
    <w:rsid w:val="001E35D3"/>
    <w:rsid w:val="001E45AE"/>
    <w:rsid w:val="001E5245"/>
    <w:rsid w:val="001E59F1"/>
    <w:rsid w:val="001F3258"/>
    <w:rsid w:val="001F3EF7"/>
    <w:rsid w:val="001F49EB"/>
    <w:rsid w:val="001F505A"/>
    <w:rsid w:val="001F6CBA"/>
    <w:rsid w:val="00201D4E"/>
    <w:rsid w:val="00202683"/>
    <w:rsid w:val="00203972"/>
    <w:rsid w:val="00205B22"/>
    <w:rsid w:val="0020647F"/>
    <w:rsid w:val="002076C9"/>
    <w:rsid w:val="002107A9"/>
    <w:rsid w:val="00213FC6"/>
    <w:rsid w:val="00214F1E"/>
    <w:rsid w:val="0021797E"/>
    <w:rsid w:val="00220B8A"/>
    <w:rsid w:val="002257F3"/>
    <w:rsid w:val="00227369"/>
    <w:rsid w:val="00233456"/>
    <w:rsid w:val="002339A5"/>
    <w:rsid w:val="002353D2"/>
    <w:rsid w:val="00235521"/>
    <w:rsid w:val="0024280F"/>
    <w:rsid w:val="00246699"/>
    <w:rsid w:val="00250F61"/>
    <w:rsid w:val="002527AF"/>
    <w:rsid w:val="0025476C"/>
    <w:rsid w:val="002561DE"/>
    <w:rsid w:val="00257848"/>
    <w:rsid w:val="0027084A"/>
    <w:rsid w:val="00273569"/>
    <w:rsid w:val="00282E63"/>
    <w:rsid w:val="00284BA8"/>
    <w:rsid w:val="00286434"/>
    <w:rsid w:val="00286C59"/>
    <w:rsid w:val="00291957"/>
    <w:rsid w:val="00292430"/>
    <w:rsid w:val="002942D1"/>
    <w:rsid w:val="0029501A"/>
    <w:rsid w:val="00296E59"/>
    <w:rsid w:val="002A21A3"/>
    <w:rsid w:val="002A4866"/>
    <w:rsid w:val="002A4E6C"/>
    <w:rsid w:val="002A5596"/>
    <w:rsid w:val="002A6D8E"/>
    <w:rsid w:val="002A7F72"/>
    <w:rsid w:val="002B0997"/>
    <w:rsid w:val="002B0AF1"/>
    <w:rsid w:val="002B1638"/>
    <w:rsid w:val="002B3624"/>
    <w:rsid w:val="002B5498"/>
    <w:rsid w:val="002B7163"/>
    <w:rsid w:val="002C2AD1"/>
    <w:rsid w:val="002C2C9A"/>
    <w:rsid w:val="002C4BB8"/>
    <w:rsid w:val="002D37E7"/>
    <w:rsid w:val="002D3B39"/>
    <w:rsid w:val="002D5275"/>
    <w:rsid w:val="002D65F2"/>
    <w:rsid w:val="002E33A3"/>
    <w:rsid w:val="002E4C9A"/>
    <w:rsid w:val="002E7422"/>
    <w:rsid w:val="002E7B76"/>
    <w:rsid w:val="002F0259"/>
    <w:rsid w:val="002F0919"/>
    <w:rsid w:val="002F11F8"/>
    <w:rsid w:val="002F39FB"/>
    <w:rsid w:val="002F3F56"/>
    <w:rsid w:val="002F44B5"/>
    <w:rsid w:val="0030068A"/>
    <w:rsid w:val="00300F89"/>
    <w:rsid w:val="0030144F"/>
    <w:rsid w:val="00305514"/>
    <w:rsid w:val="00311AC0"/>
    <w:rsid w:val="003151E6"/>
    <w:rsid w:val="00317689"/>
    <w:rsid w:val="003201C5"/>
    <w:rsid w:val="0032143B"/>
    <w:rsid w:val="00323751"/>
    <w:rsid w:val="0032583B"/>
    <w:rsid w:val="003270FD"/>
    <w:rsid w:val="00327883"/>
    <w:rsid w:val="00335504"/>
    <w:rsid w:val="003422AA"/>
    <w:rsid w:val="00343AC4"/>
    <w:rsid w:val="00346988"/>
    <w:rsid w:val="00347824"/>
    <w:rsid w:val="00350567"/>
    <w:rsid w:val="00352178"/>
    <w:rsid w:val="003521E8"/>
    <w:rsid w:val="00356A97"/>
    <w:rsid w:val="00361DF9"/>
    <w:rsid w:val="003623EA"/>
    <w:rsid w:val="00362C11"/>
    <w:rsid w:val="00372084"/>
    <w:rsid w:val="003728F3"/>
    <w:rsid w:val="0037496E"/>
    <w:rsid w:val="00376B08"/>
    <w:rsid w:val="00383254"/>
    <w:rsid w:val="00384F35"/>
    <w:rsid w:val="00385B6A"/>
    <w:rsid w:val="00386150"/>
    <w:rsid w:val="00386328"/>
    <w:rsid w:val="003874CE"/>
    <w:rsid w:val="00390900"/>
    <w:rsid w:val="003937EA"/>
    <w:rsid w:val="0039399B"/>
    <w:rsid w:val="00395BB0"/>
    <w:rsid w:val="00395D62"/>
    <w:rsid w:val="00397D2E"/>
    <w:rsid w:val="003A1913"/>
    <w:rsid w:val="003A26F3"/>
    <w:rsid w:val="003A33D6"/>
    <w:rsid w:val="003A4C11"/>
    <w:rsid w:val="003A7F6C"/>
    <w:rsid w:val="003B0959"/>
    <w:rsid w:val="003B0A1A"/>
    <w:rsid w:val="003B4D53"/>
    <w:rsid w:val="003B4D60"/>
    <w:rsid w:val="003B537E"/>
    <w:rsid w:val="003B73C2"/>
    <w:rsid w:val="003B7E39"/>
    <w:rsid w:val="003C3052"/>
    <w:rsid w:val="003C3AE8"/>
    <w:rsid w:val="003C42B8"/>
    <w:rsid w:val="003C58DC"/>
    <w:rsid w:val="003C6CD4"/>
    <w:rsid w:val="003C6D0C"/>
    <w:rsid w:val="003D1E62"/>
    <w:rsid w:val="003D28AB"/>
    <w:rsid w:val="003D71EB"/>
    <w:rsid w:val="003E2486"/>
    <w:rsid w:val="003E3208"/>
    <w:rsid w:val="003E4F62"/>
    <w:rsid w:val="003E68A7"/>
    <w:rsid w:val="003F012B"/>
    <w:rsid w:val="003F02B4"/>
    <w:rsid w:val="003F0B04"/>
    <w:rsid w:val="003F1BF4"/>
    <w:rsid w:val="003F2ADD"/>
    <w:rsid w:val="003F352A"/>
    <w:rsid w:val="003F43A9"/>
    <w:rsid w:val="003F461E"/>
    <w:rsid w:val="003F4E8C"/>
    <w:rsid w:val="003F6C17"/>
    <w:rsid w:val="0040002D"/>
    <w:rsid w:val="0040134E"/>
    <w:rsid w:val="00403347"/>
    <w:rsid w:val="00410209"/>
    <w:rsid w:val="00410F28"/>
    <w:rsid w:val="004113FE"/>
    <w:rsid w:val="00416455"/>
    <w:rsid w:val="00416915"/>
    <w:rsid w:val="004257BB"/>
    <w:rsid w:val="004334C7"/>
    <w:rsid w:val="004361B7"/>
    <w:rsid w:val="0043750F"/>
    <w:rsid w:val="00440A2D"/>
    <w:rsid w:val="004425AA"/>
    <w:rsid w:val="0044287D"/>
    <w:rsid w:val="00442A4C"/>
    <w:rsid w:val="00443C01"/>
    <w:rsid w:val="00446502"/>
    <w:rsid w:val="004510E6"/>
    <w:rsid w:val="004533FA"/>
    <w:rsid w:val="004564A7"/>
    <w:rsid w:val="00456803"/>
    <w:rsid w:val="00460DA5"/>
    <w:rsid w:val="004617BF"/>
    <w:rsid w:val="00462934"/>
    <w:rsid w:val="00463658"/>
    <w:rsid w:val="004665CC"/>
    <w:rsid w:val="004722CC"/>
    <w:rsid w:val="00481F34"/>
    <w:rsid w:val="004870A4"/>
    <w:rsid w:val="004870E8"/>
    <w:rsid w:val="004870EB"/>
    <w:rsid w:val="00487797"/>
    <w:rsid w:val="004920AB"/>
    <w:rsid w:val="0049239D"/>
    <w:rsid w:val="00493405"/>
    <w:rsid w:val="004936E4"/>
    <w:rsid w:val="00493CBB"/>
    <w:rsid w:val="00494E60"/>
    <w:rsid w:val="004968D7"/>
    <w:rsid w:val="00497487"/>
    <w:rsid w:val="004A0642"/>
    <w:rsid w:val="004A51F5"/>
    <w:rsid w:val="004B28AE"/>
    <w:rsid w:val="004B413B"/>
    <w:rsid w:val="004B7B76"/>
    <w:rsid w:val="004C1FFB"/>
    <w:rsid w:val="004C239D"/>
    <w:rsid w:val="004C2DCA"/>
    <w:rsid w:val="004C5D3C"/>
    <w:rsid w:val="004E01CD"/>
    <w:rsid w:val="004E0EA1"/>
    <w:rsid w:val="004E30AD"/>
    <w:rsid w:val="004E498C"/>
    <w:rsid w:val="004E7828"/>
    <w:rsid w:val="004F0C4A"/>
    <w:rsid w:val="004F0F38"/>
    <w:rsid w:val="004F3E5A"/>
    <w:rsid w:val="004F4FF0"/>
    <w:rsid w:val="004F5826"/>
    <w:rsid w:val="004F6B51"/>
    <w:rsid w:val="004F795C"/>
    <w:rsid w:val="004F7C2D"/>
    <w:rsid w:val="005009EE"/>
    <w:rsid w:val="00501921"/>
    <w:rsid w:val="00503BA1"/>
    <w:rsid w:val="005154F3"/>
    <w:rsid w:val="00515544"/>
    <w:rsid w:val="00517A66"/>
    <w:rsid w:val="00530354"/>
    <w:rsid w:val="00531F7D"/>
    <w:rsid w:val="005326C8"/>
    <w:rsid w:val="005329E5"/>
    <w:rsid w:val="00532A1D"/>
    <w:rsid w:val="00533DE7"/>
    <w:rsid w:val="0053625B"/>
    <w:rsid w:val="00536EAC"/>
    <w:rsid w:val="0054002B"/>
    <w:rsid w:val="005419DE"/>
    <w:rsid w:val="005434C6"/>
    <w:rsid w:val="00543B39"/>
    <w:rsid w:val="00546154"/>
    <w:rsid w:val="00550096"/>
    <w:rsid w:val="00550590"/>
    <w:rsid w:val="00550F92"/>
    <w:rsid w:val="0055134B"/>
    <w:rsid w:val="00551568"/>
    <w:rsid w:val="0055476F"/>
    <w:rsid w:val="00555280"/>
    <w:rsid w:val="005570F9"/>
    <w:rsid w:val="00557FF9"/>
    <w:rsid w:val="0056172E"/>
    <w:rsid w:val="00562679"/>
    <w:rsid w:val="00563A22"/>
    <w:rsid w:val="00564BBC"/>
    <w:rsid w:val="00565390"/>
    <w:rsid w:val="00566888"/>
    <w:rsid w:val="00570161"/>
    <w:rsid w:val="0057019E"/>
    <w:rsid w:val="005715D0"/>
    <w:rsid w:val="00571B24"/>
    <w:rsid w:val="00576378"/>
    <w:rsid w:val="00577130"/>
    <w:rsid w:val="00577945"/>
    <w:rsid w:val="00577E38"/>
    <w:rsid w:val="00580DE3"/>
    <w:rsid w:val="005828D3"/>
    <w:rsid w:val="0058295C"/>
    <w:rsid w:val="00582EA4"/>
    <w:rsid w:val="00583E54"/>
    <w:rsid w:val="00584D08"/>
    <w:rsid w:val="00585322"/>
    <w:rsid w:val="005857C6"/>
    <w:rsid w:val="0059039F"/>
    <w:rsid w:val="00592F6E"/>
    <w:rsid w:val="00593446"/>
    <w:rsid w:val="00593AD1"/>
    <w:rsid w:val="00594717"/>
    <w:rsid w:val="00594A9A"/>
    <w:rsid w:val="00595C2D"/>
    <w:rsid w:val="00596C01"/>
    <w:rsid w:val="005A18D6"/>
    <w:rsid w:val="005A68B6"/>
    <w:rsid w:val="005A76DA"/>
    <w:rsid w:val="005B2872"/>
    <w:rsid w:val="005B4939"/>
    <w:rsid w:val="005C21E8"/>
    <w:rsid w:val="005C5570"/>
    <w:rsid w:val="005C5C20"/>
    <w:rsid w:val="005C79A4"/>
    <w:rsid w:val="005D461D"/>
    <w:rsid w:val="005D5442"/>
    <w:rsid w:val="005E2242"/>
    <w:rsid w:val="005E6219"/>
    <w:rsid w:val="005F3B93"/>
    <w:rsid w:val="005F4E83"/>
    <w:rsid w:val="005F6901"/>
    <w:rsid w:val="00603F32"/>
    <w:rsid w:val="00605AD4"/>
    <w:rsid w:val="006061E7"/>
    <w:rsid w:val="00606881"/>
    <w:rsid w:val="006073C2"/>
    <w:rsid w:val="00615F89"/>
    <w:rsid w:val="00616DCA"/>
    <w:rsid w:val="00620127"/>
    <w:rsid w:val="00623D8A"/>
    <w:rsid w:val="00624022"/>
    <w:rsid w:val="00625A6E"/>
    <w:rsid w:val="00626B1B"/>
    <w:rsid w:val="00630A89"/>
    <w:rsid w:val="00632398"/>
    <w:rsid w:val="00632C17"/>
    <w:rsid w:val="00640FC3"/>
    <w:rsid w:val="0064190E"/>
    <w:rsid w:val="00642020"/>
    <w:rsid w:val="006448CA"/>
    <w:rsid w:val="00644BFB"/>
    <w:rsid w:val="00646079"/>
    <w:rsid w:val="00646961"/>
    <w:rsid w:val="006473A6"/>
    <w:rsid w:val="00650E28"/>
    <w:rsid w:val="006525E8"/>
    <w:rsid w:val="0065337B"/>
    <w:rsid w:val="0065419D"/>
    <w:rsid w:val="00654E6A"/>
    <w:rsid w:val="0066020F"/>
    <w:rsid w:val="006604D8"/>
    <w:rsid w:val="0066114F"/>
    <w:rsid w:val="006621EF"/>
    <w:rsid w:val="00664A5B"/>
    <w:rsid w:val="006671D7"/>
    <w:rsid w:val="00667B7B"/>
    <w:rsid w:val="0067320D"/>
    <w:rsid w:val="006763D2"/>
    <w:rsid w:val="00676DC5"/>
    <w:rsid w:val="00680C08"/>
    <w:rsid w:val="0068598E"/>
    <w:rsid w:val="00686F28"/>
    <w:rsid w:val="006931B1"/>
    <w:rsid w:val="006A15C0"/>
    <w:rsid w:val="006A2C95"/>
    <w:rsid w:val="006A4FB7"/>
    <w:rsid w:val="006A7BC0"/>
    <w:rsid w:val="006A7D03"/>
    <w:rsid w:val="006B177F"/>
    <w:rsid w:val="006B2BDF"/>
    <w:rsid w:val="006B44F6"/>
    <w:rsid w:val="006B4F43"/>
    <w:rsid w:val="006C1895"/>
    <w:rsid w:val="006C3E2A"/>
    <w:rsid w:val="006C55BD"/>
    <w:rsid w:val="006C589C"/>
    <w:rsid w:val="006C642F"/>
    <w:rsid w:val="006C6D47"/>
    <w:rsid w:val="006C6E92"/>
    <w:rsid w:val="006D030E"/>
    <w:rsid w:val="006D03E5"/>
    <w:rsid w:val="006D1302"/>
    <w:rsid w:val="006D2ADE"/>
    <w:rsid w:val="006D2FAD"/>
    <w:rsid w:val="006D3815"/>
    <w:rsid w:val="006D3FEC"/>
    <w:rsid w:val="006D407B"/>
    <w:rsid w:val="006D5D3E"/>
    <w:rsid w:val="006D6A1E"/>
    <w:rsid w:val="006E08B3"/>
    <w:rsid w:val="006E1A76"/>
    <w:rsid w:val="006E37E7"/>
    <w:rsid w:val="006E38DE"/>
    <w:rsid w:val="006E5F1E"/>
    <w:rsid w:val="006F17AC"/>
    <w:rsid w:val="006F1973"/>
    <w:rsid w:val="006F25B8"/>
    <w:rsid w:val="006F25F7"/>
    <w:rsid w:val="006F284B"/>
    <w:rsid w:val="006F572E"/>
    <w:rsid w:val="006F78CC"/>
    <w:rsid w:val="00702B5F"/>
    <w:rsid w:val="00704521"/>
    <w:rsid w:val="007046D6"/>
    <w:rsid w:val="00705DB0"/>
    <w:rsid w:val="00707B9B"/>
    <w:rsid w:val="00710B1A"/>
    <w:rsid w:val="00710B1B"/>
    <w:rsid w:val="0071325D"/>
    <w:rsid w:val="00715E63"/>
    <w:rsid w:val="00716E52"/>
    <w:rsid w:val="00721D4F"/>
    <w:rsid w:val="00722B57"/>
    <w:rsid w:val="00730F8A"/>
    <w:rsid w:val="00733273"/>
    <w:rsid w:val="0073383C"/>
    <w:rsid w:val="007356B1"/>
    <w:rsid w:val="007408A5"/>
    <w:rsid w:val="00741148"/>
    <w:rsid w:val="007418D7"/>
    <w:rsid w:val="0074253D"/>
    <w:rsid w:val="0074429B"/>
    <w:rsid w:val="00744B4F"/>
    <w:rsid w:val="0074671E"/>
    <w:rsid w:val="00747FDF"/>
    <w:rsid w:val="00753C89"/>
    <w:rsid w:val="00754E29"/>
    <w:rsid w:val="00755747"/>
    <w:rsid w:val="007615BC"/>
    <w:rsid w:val="00762F05"/>
    <w:rsid w:val="007631E4"/>
    <w:rsid w:val="00763A3F"/>
    <w:rsid w:val="00764FD5"/>
    <w:rsid w:val="007652FF"/>
    <w:rsid w:val="00770EF1"/>
    <w:rsid w:val="00773EF7"/>
    <w:rsid w:val="00774E1D"/>
    <w:rsid w:val="00775003"/>
    <w:rsid w:val="0077675A"/>
    <w:rsid w:val="00780355"/>
    <w:rsid w:val="00781313"/>
    <w:rsid w:val="007819FD"/>
    <w:rsid w:val="00782A06"/>
    <w:rsid w:val="00785721"/>
    <w:rsid w:val="00787CEE"/>
    <w:rsid w:val="007906CB"/>
    <w:rsid w:val="007915FA"/>
    <w:rsid w:val="00793A59"/>
    <w:rsid w:val="007946F4"/>
    <w:rsid w:val="007A4132"/>
    <w:rsid w:val="007A59E8"/>
    <w:rsid w:val="007A66FF"/>
    <w:rsid w:val="007B0547"/>
    <w:rsid w:val="007B1E43"/>
    <w:rsid w:val="007B6132"/>
    <w:rsid w:val="007B6E9F"/>
    <w:rsid w:val="007B7CDF"/>
    <w:rsid w:val="007C1216"/>
    <w:rsid w:val="007C147C"/>
    <w:rsid w:val="007C1AF7"/>
    <w:rsid w:val="007C520B"/>
    <w:rsid w:val="007C5FB4"/>
    <w:rsid w:val="007C6181"/>
    <w:rsid w:val="007C6ED9"/>
    <w:rsid w:val="007D47EE"/>
    <w:rsid w:val="007E40C3"/>
    <w:rsid w:val="007E4605"/>
    <w:rsid w:val="007E604B"/>
    <w:rsid w:val="007F3512"/>
    <w:rsid w:val="007F442F"/>
    <w:rsid w:val="007F4A6D"/>
    <w:rsid w:val="007F5612"/>
    <w:rsid w:val="00800DA4"/>
    <w:rsid w:val="00805274"/>
    <w:rsid w:val="00805D27"/>
    <w:rsid w:val="00810279"/>
    <w:rsid w:val="00812779"/>
    <w:rsid w:val="00812C4B"/>
    <w:rsid w:val="008146A9"/>
    <w:rsid w:val="0081702B"/>
    <w:rsid w:val="008206A4"/>
    <w:rsid w:val="00821776"/>
    <w:rsid w:val="0083168C"/>
    <w:rsid w:val="008321F5"/>
    <w:rsid w:val="00832369"/>
    <w:rsid w:val="00834660"/>
    <w:rsid w:val="008358E8"/>
    <w:rsid w:val="00836BC2"/>
    <w:rsid w:val="00837C00"/>
    <w:rsid w:val="00847110"/>
    <w:rsid w:val="008536BE"/>
    <w:rsid w:val="0085484B"/>
    <w:rsid w:val="0085641B"/>
    <w:rsid w:val="00856D12"/>
    <w:rsid w:val="00857136"/>
    <w:rsid w:val="00871E00"/>
    <w:rsid w:val="00872593"/>
    <w:rsid w:val="00874328"/>
    <w:rsid w:val="00875B14"/>
    <w:rsid w:val="0088092C"/>
    <w:rsid w:val="00883F02"/>
    <w:rsid w:val="00885B11"/>
    <w:rsid w:val="00886D15"/>
    <w:rsid w:val="00887DD8"/>
    <w:rsid w:val="0089006F"/>
    <w:rsid w:val="00890789"/>
    <w:rsid w:val="00896018"/>
    <w:rsid w:val="008960DD"/>
    <w:rsid w:val="0089635C"/>
    <w:rsid w:val="008A0121"/>
    <w:rsid w:val="008A2B9D"/>
    <w:rsid w:val="008A3D9F"/>
    <w:rsid w:val="008A5E0B"/>
    <w:rsid w:val="008A6D59"/>
    <w:rsid w:val="008A7237"/>
    <w:rsid w:val="008B092F"/>
    <w:rsid w:val="008B1B13"/>
    <w:rsid w:val="008B1BA7"/>
    <w:rsid w:val="008B3FD7"/>
    <w:rsid w:val="008B4B03"/>
    <w:rsid w:val="008B596F"/>
    <w:rsid w:val="008C0569"/>
    <w:rsid w:val="008C159F"/>
    <w:rsid w:val="008C1623"/>
    <w:rsid w:val="008C16AC"/>
    <w:rsid w:val="008C1850"/>
    <w:rsid w:val="008C51A9"/>
    <w:rsid w:val="008C5F95"/>
    <w:rsid w:val="008C648A"/>
    <w:rsid w:val="008C75F1"/>
    <w:rsid w:val="008D030B"/>
    <w:rsid w:val="008D0F8B"/>
    <w:rsid w:val="008D1E8E"/>
    <w:rsid w:val="008D25CA"/>
    <w:rsid w:val="008D33AC"/>
    <w:rsid w:val="008D5305"/>
    <w:rsid w:val="008D6197"/>
    <w:rsid w:val="008D7EA4"/>
    <w:rsid w:val="008E48B5"/>
    <w:rsid w:val="008E53C8"/>
    <w:rsid w:val="008E7846"/>
    <w:rsid w:val="008F1CCC"/>
    <w:rsid w:val="008F2967"/>
    <w:rsid w:val="008F61BC"/>
    <w:rsid w:val="008F6943"/>
    <w:rsid w:val="00902A1D"/>
    <w:rsid w:val="00902A21"/>
    <w:rsid w:val="009036A3"/>
    <w:rsid w:val="00915CD1"/>
    <w:rsid w:val="00916C1D"/>
    <w:rsid w:val="00920012"/>
    <w:rsid w:val="00920330"/>
    <w:rsid w:val="009215E7"/>
    <w:rsid w:val="009219D7"/>
    <w:rsid w:val="00921F8D"/>
    <w:rsid w:val="00922D53"/>
    <w:rsid w:val="00923B70"/>
    <w:rsid w:val="00924482"/>
    <w:rsid w:val="00925A40"/>
    <w:rsid w:val="0092762D"/>
    <w:rsid w:val="0092791F"/>
    <w:rsid w:val="00930237"/>
    <w:rsid w:val="009339AE"/>
    <w:rsid w:val="00940A89"/>
    <w:rsid w:val="00944C28"/>
    <w:rsid w:val="00946EA5"/>
    <w:rsid w:val="00947C7A"/>
    <w:rsid w:val="0095130E"/>
    <w:rsid w:val="00953BE2"/>
    <w:rsid w:val="009541B7"/>
    <w:rsid w:val="00960325"/>
    <w:rsid w:val="00962DA3"/>
    <w:rsid w:val="00963C08"/>
    <w:rsid w:val="00967185"/>
    <w:rsid w:val="00975550"/>
    <w:rsid w:val="00975A39"/>
    <w:rsid w:val="0098585A"/>
    <w:rsid w:val="00987A23"/>
    <w:rsid w:val="00990484"/>
    <w:rsid w:val="00996C9C"/>
    <w:rsid w:val="009A32E8"/>
    <w:rsid w:val="009A39D9"/>
    <w:rsid w:val="009A4CED"/>
    <w:rsid w:val="009A690D"/>
    <w:rsid w:val="009A713C"/>
    <w:rsid w:val="009B02E3"/>
    <w:rsid w:val="009B1D12"/>
    <w:rsid w:val="009B3FD6"/>
    <w:rsid w:val="009B416B"/>
    <w:rsid w:val="009B5E1C"/>
    <w:rsid w:val="009B7C09"/>
    <w:rsid w:val="009C3E08"/>
    <w:rsid w:val="009C4BD5"/>
    <w:rsid w:val="009C7F53"/>
    <w:rsid w:val="009D214E"/>
    <w:rsid w:val="009D44EC"/>
    <w:rsid w:val="009D54CC"/>
    <w:rsid w:val="009D7B77"/>
    <w:rsid w:val="009E0BB0"/>
    <w:rsid w:val="009E191F"/>
    <w:rsid w:val="009E20C5"/>
    <w:rsid w:val="009E2F0F"/>
    <w:rsid w:val="009E3F7C"/>
    <w:rsid w:val="009E3FBB"/>
    <w:rsid w:val="009F5B18"/>
    <w:rsid w:val="00A01DEE"/>
    <w:rsid w:val="00A02AA5"/>
    <w:rsid w:val="00A03CD9"/>
    <w:rsid w:val="00A076EC"/>
    <w:rsid w:val="00A102E4"/>
    <w:rsid w:val="00A12C42"/>
    <w:rsid w:val="00A14730"/>
    <w:rsid w:val="00A14DF7"/>
    <w:rsid w:val="00A1560E"/>
    <w:rsid w:val="00A2005B"/>
    <w:rsid w:val="00A2480A"/>
    <w:rsid w:val="00A25EE5"/>
    <w:rsid w:val="00A3246D"/>
    <w:rsid w:val="00A357C2"/>
    <w:rsid w:val="00A35926"/>
    <w:rsid w:val="00A36FA7"/>
    <w:rsid w:val="00A37157"/>
    <w:rsid w:val="00A4184E"/>
    <w:rsid w:val="00A4229D"/>
    <w:rsid w:val="00A43073"/>
    <w:rsid w:val="00A43F8A"/>
    <w:rsid w:val="00A44DDB"/>
    <w:rsid w:val="00A45265"/>
    <w:rsid w:val="00A45E3F"/>
    <w:rsid w:val="00A475B7"/>
    <w:rsid w:val="00A47AF7"/>
    <w:rsid w:val="00A47C3E"/>
    <w:rsid w:val="00A50226"/>
    <w:rsid w:val="00A5032F"/>
    <w:rsid w:val="00A529F8"/>
    <w:rsid w:val="00A545B8"/>
    <w:rsid w:val="00A54A86"/>
    <w:rsid w:val="00A60BAD"/>
    <w:rsid w:val="00A6746F"/>
    <w:rsid w:val="00A71F89"/>
    <w:rsid w:val="00A722F6"/>
    <w:rsid w:val="00A7647A"/>
    <w:rsid w:val="00A76ACC"/>
    <w:rsid w:val="00A82C43"/>
    <w:rsid w:val="00A8314F"/>
    <w:rsid w:val="00A84E36"/>
    <w:rsid w:val="00A93B01"/>
    <w:rsid w:val="00A93CC7"/>
    <w:rsid w:val="00A964D1"/>
    <w:rsid w:val="00AA02FA"/>
    <w:rsid w:val="00AA0ED0"/>
    <w:rsid w:val="00AA26A0"/>
    <w:rsid w:val="00AA3323"/>
    <w:rsid w:val="00AA49AB"/>
    <w:rsid w:val="00AA63E8"/>
    <w:rsid w:val="00AA6B7B"/>
    <w:rsid w:val="00AA723B"/>
    <w:rsid w:val="00AA7D8A"/>
    <w:rsid w:val="00AB198E"/>
    <w:rsid w:val="00AB40A3"/>
    <w:rsid w:val="00AB7412"/>
    <w:rsid w:val="00AC1CE8"/>
    <w:rsid w:val="00AC2B40"/>
    <w:rsid w:val="00AC2BB2"/>
    <w:rsid w:val="00AC2C3C"/>
    <w:rsid w:val="00AC305C"/>
    <w:rsid w:val="00AC38F1"/>
    <w:rsid w:val="00AC4E14"/>
    <w:rsid w:val="00AC512D"/>
    <w:rsid w:val="00AD006F"/>
    <w:rsid w:val="00AD0083"/>
    <w:rsid w:val="00AD0262"/>
    <w:rsid w:val="00AD0622"/>
    <w:rsid w:val="00AD327D"/>
    <w:rsid w:val="00AD3935"/>
    <w:rsid w:val="00AD3FB2"/>
    <w:rsid w:val="00AD5538"/>
    <w:rsid w:val="00AD61F8"/>
    <w:rsid w:val="00AD6BAE"/>
    <w:rsid w:val="00AE0BA3"/>
    <w:rsid w:val="00AE0BFA"/>
    <w:rsid w:val="00AE2E8F"/>
    <w:rsid w:val="00AE4B44"/>
    <w:rsid w:val="00AE4CD7"/>
    <w:rsid w:val="00AE5B1E"/>
    <w:rsid w:val="00AE65EB"/>
    <w:rsid w:val="00AE67A7"/>
    <w:rsid w:val="00AE76BD"/>
    <w:rsid w:val="00AF1D94"/>
    <w:rsid w:val="00AF2027"/>
    <w:rsid w:val="00AF28C2"/>
    <w:rsid w:val="00AF4335"/>
    <w:rsid w:val="00AF60C5"/>
    <w:rsid w:val="00AF756B"/>
    <w:rsid w:val="00AF7C12"/>
    <w:rsid w:val="00B008B7"/>
    <w:rsid w:val="00B009C6"/>
    <w:rsid w:val="00B01548"/>
    <w:rsid w:val="00B05996"/>
    <w:rsid w:val="00B05AFA"/>
    <w:rsid w:val="00B1153A"/>
    <w:rsid w:val="00B12F29"/>
    <w:rsid w:val="00B1409C"/>
    <w:rsid w:val="00B21D29"/>
    <w:rsid w:val="00B2306C"/>
    <w:rsid w:val="00B24213"/>
    <w:rsid w:val="00B248AC"/>
    <w:rsid w:val="00B25034"/>
    <w:rsid w:val="00B25866"/>
    <w:rsid w:val="00B2699E"/>
    <w:rsid w:val="00B27C8E"/>
    <w:rsid w:val="00B31B72"/>
    <w:rsid w:val="00B33149"/>
    <w:rsid w:val="00B33588"/>
    <w:rsid w:val="00B33863"/>
    <w:rsid w:val="00B34BA3"/>
    <w:rsid w:val="00B3637A"/>
    <w:rsid w:val="00B37D17"/>
    <w:rsid w:val="00B4175E"/>
    <w:rsid w:val="00B41CE6"/>
    <w:rsid w:val="00B43555"/>
    <w:rsid w:val="00B4527A"/>
    <w:rsid w:val="00B452CE"/>
    <w:rsid w:val="00B459E4"/>
    <w:rsid w:val="00B4688A"/>
    <w:rsid w:val="00B530E6"/>
    <w:rsid w:val="00B54C25"/>
    <w:rsid w:val="00B76B91"/>
    <w:rsid w:val="00B77EB1"/>
    <w:rsid w:val="00B807E6"/>
    <w:rsid w:val="00B811C6"/>
    <w:rsid w:val="00B82104"/>
    <w:rsid w:val="00B829EB"/>
    <w:rsid w:val="00B83D66"/>
    <w:rsid w:val="00B84175"/>
    <w:rsid w:val="00B855B0"/>
    <w:rsid w:val="00B92E08"/>
    <w:rsid w:val="00B93676"/>
    <w:rsid w:val="00B950AE"/>
    <w:rsid w:val="00B95725"/>
    <w:rsid w:val="00B977B3"/>
    <w:rsid w:val="00BA27D4"/>
    <w:rsid w:val="00BA5871"/>
    <w:rsid w:val="00BA7A12"/>
    <w:rsid w:val="00BB0FC9"/>
    <w:rsid w:val="00BB1498"/>
    <w:rsid w:val="00BB545A"/>
    <w:rsid w:val="00BB6ABC"/>
    <w:rsid w:val="00BC1347"/>
    <w:rsid w:val="00BC2582"/>
    <w:rsid w:val="00BC3011"/>
    <w:rsid w:val="00BC3093"/>
    <w:rsid w:val="00BC5091"/>
    <w:rsid w:val="00BC622A"/>
    <w:rsid w:val="00BC7D8F"/>
    <w:rsid w:val="00BD0F8E"/>
    <w:rsid w:val="00BD2DBD"/>
    <w:rsid w:val="00BD70EF"/>
    <w:rsid w:val="00BE0A78"/>
    <w:rsid w:val="00BE1C05"/>
    <w:rsid w:val="00BE3331"/>
    <w:rsid w:val="00BE4AE6"/>
    <w:rsid w:val="00BE5A45"/>
    <w:rsid w:val="00BE79F0"/>
    <w:rsid w:val="00BF046D"/>
    <w:rsid w:val="00BF1190"/>
    <w:rsid w:val="00BF1319"/>
    <w:rsid w:val="00BF3E99"/>
    <w:rsid w:val="00BF5D04"/>
    <w:rsid w:val="00BF5F06"/>
    <w:rsid w:val="00C03EB3"/>
    <w:rsid w:val="00C0637C"/>
    <w:rsid w:val="00C1164D"/>
    <w:rsid w:val="00C16861"/>
    <w:rsid w:val="00C2122A"/>
    <w:rsid w:val="00C23AD0"/>
    <w:rsid w:val="00C273AA"/>
    <w:rsid w:val="00C35DE0"/>
    <w:rsid w:val="00C36AF3"/>
    <w:rsid w:val="00C404A6"/>
    <w:rsid w:val="00C40A36"/>
    <w:rsid w:val="00C43A4A"/>
    <w:rsid w:val="00C43CAF"/>
    <w:rsid w:val="00C440DD"/>
    <w:rsid w:val="00C44419"/>
    <w:rsid w:val="00C45E7B"/>
    <w:rsid w:val="00C46013"/>
    <w:rsid w:val="00C46690"/>
    <w:rsid w:val="00C471B1"/>
    <w:rsid w:val="00C50ECE"/>
    <w:rsid w:val="00C52AA8"/>
    <w:rsid w:val="00C52AD4"/>
    <w:rsid w:val="00C55970"/>
    <w:rsid w:val="00C57601"/>
    <w:rsid w:val="00C60B8A"/>
    <w:rsid w:val="00C61472"/>
    <w:rsid w:val="00C6222C"/>
    <w:rsid w:val="00C6316B"/>
    <w:rsid w:val="00C634A9"/>
    <w:rsid w:val="00C64586"/>
    <w:rsid w:val="00C675D3"/>
    <w:rsid w:val="00C7004E"/>
    <w:rsid w:val="00C70D53"/>
    <w:rsid w:val="00C71598"/>
    <w:rsid w:val="00C73658"/>
    <w:rsid w:val="00C73D0B"/>
    <w:rsid w:val="00C75E34"/>
    <w:rsid w:val="00C772FF"/>
    <w:rsid w:val="00C80137"/>
    <w:rsid w:val="00C801AF"/>
    <w:rsid w:val="00C80256"/>
    <w:rsid w:val="00C804B2"/>
    <w:rsid w:val="00C807AF"/>
    <w:rsid w:val="00C82086"/>
    <w:rsid w:val="00C83B5D"/>
    <w:rsid w:val="00C86859"/>
    <w:rsid w:val="00C874F7"/>
    <w:rsid w:val="00C87702"/>
    <w:rsid w:val="00C90F70"/>
    <w:rsid w:val="00C914B8"/>
    <w:rsid w:val="00C94275"/>
    <w:rsid w:val="00C951E1"/>
    <w:rsid w:val="00C968F5"/>
    <w:rsid w:val="00C9747E"/>
    <w:rsid w:val="00C97E6B"/>
    <w:rsid w:val="00C97F0F"/>
    <w:rsid w:val="00CA1A8B"/>
    <w:rsid w:val="00CA54C9"/>
    <w:rsid w:val="00CA74AB"/>
    <w:rsid w:val="00CA7628"/>
    <w:rsid w:val="00CB3AA4"/>
    <w:rsid w:val="00CB6BC0"/>
    <w:rsid w:val="00CC0157"/>
    <w:rsid w:val="00CC1B7C"/>
    <w:rsid w:val="00CC727F"/>
    <w:rsid w:val="00CD134C"/>
    <w:rsid w:val="00CD1D55"/>
    <w:rsid w:val="00CD40EF"/>
    <w:rsid w:val="00CD6445"/>
    <w:rsid w:val="00CD687A"/>
    <w:rsid w:val="00CD69A4"/>
    <w:rsid w:val="00CD7197"/>
    <w:rsid w:val="00CE07F2"/>
    <w:rsid w:val="00CE08A9"/>
    <w:rsid w:val="00CE0D49"/>
    <w:rsid w:val="00CE457F"/>
    <w:rsid w:val="00CE6011"/>
    <w:rsid w:val="00CF15C3"/>
    <w:rsid w:val="00CF2B6F"/>
    <w:rsid w:val="00CF3065"/>
    <w:rsid w:val="00CF58B6"/>
    <w:rsid w:val="00D017ED"/>
    <w:rsid w:val="00D040D3"/>
    <w:rsid w:val="00D04C65"/>
    <w:rsid w:val="00D06E8C"/>
    <w:rsid w:val="00D102DF"/>
    <w:rsid w:val="00D1118D"/>
    <w:rsid w:val="00D134AA"/>
    <w:rsid w:val="00D201D2"/>
    <w:rsid w:val="00D224FE"/>
    <w:rsid w:val="00D22725"/>
    <w:rsid w:val="00D23139"/>
    <w:rsid w:val="00D234EB"/>
    <w:rsid w:val="00D247A9"/>
    <w:rsid w:val="00D303C0"/>
    <w:rsid w:val="00D31E77"/>
    <w:rsid w:val="00D33508"/>
    <w:rsid w:val="00D36926"/>
    <w:rsid w:val="00D425BB"/>
    <w:rsid w:val="00D46414"/>
    <w:rsid w:val="00D47ADC"/>
    <w:rsid w:val="00D53C99"/>
    <w:rsid w:val="00D5738E"/>
    <w:rsid w:val="00D61012"/>
    <w:rsid w:val="00D6294F"/>
    <w:rsid w:val="00D63BB1"/>
    <w:rsid w:val="00D64755"/>
    <w:rsid w:val="00D6493E"/>
    <w:rsid w:val="00D6639D"/>
    <w:rsid w:val="00D677A7"/>
    <w:rsid w:val="00D70D7D"/>
    <w:rsid w:val="00D7195D"/>
    <w:rsid w:val="00D72C8E"/>
    <w:rsid w:val="00D7301E"/>
    <w:rsid w:val="00D75846"/>
    <w:rsid w:val="00D75C65"/>
    <w:rsid w:val="00D76741"/>
    <w:rsid w:val="00D76BF7"/>
    <w:rsid w:val="00D83AE1"/>
    <w:rsid w:val="00D855D4"/>
    <w:rsid w:val="00D90F9C"/>
    <w:rsid w:val="00D915D7"/>
    <w:rsid w:val="00D93466"/>
    <w:rsid w:val="00D95BA2"/>
    <w:rsid w:val="00DA1124"/>
    <w:rsid w:val="00DA1977"/>
    <w:rsid w:val="00DA1B79"/>
    <w:rsid w:val="00DA3331"/>
    <w:rsid w:val="00DA3A8E"/>
    <w:rsid w:val="00DA6025"/>
    <w:rsid w:val="00DA706D"/>
    <w:rsid w:val="00DA7C52"/>
    <w:rsid w:val="00DB542D"/>
    <w:rsid w:val="00DB6124"/>
    <w:rsid w:val="00DB6516"/>
    <w:rsid w:val="00DB69E9"/>
    <w:rsid w:val="00DB750B"/>
    <w:rsid w:val="00DB75B7"/>
    <w:rsid w:val="00DC343A"/>
    <w:rsid w:val="00DC3447"/>
    <w:rsid w:val="00DC6E02"/>
    <w:rsid w:val="00DD2A02"/>
    <w:rsid w:val="00DD7813"/>
    <w:rsid w:val="00DE02AE"/>
    <w:rsid w:val="00DE2AF0"/>
    <w:rsid w:val="00DE2D15"/>
    <w:rsid w:val="00DE3443"/>
    <w:rsid w:val="00DE4773"/>
    <w:rsid w:val="00DF0B48"/>
    <w:rsid w:val="00DF0D5A"/>
    <w:rsid w:val="00DF1D7F"/>
    <w:rsid w:val="00DF401D"/>
    <w:rsid w:val="00DF4BE4"/>
    <w:rsid w:val="00DF6562"/>
    <w:rsid w:val="00DF68B1"/>
    <w:rsid w:val="00E00FF2"/>
    <w:rsid w:val="00E012CF"/>
    <w:rsid w:val="00E02FB4"/>
    <w:rsid w:val="00E038CF"/>
    <w:rsid w:val="00E04F3E"/>
    <w:rsid w:val="00E072AE"/>
    <w:rsid w:val="00E20571"/>
    <w:rsid w:val="00E22147"/>
    <w:rsid w:val="00E22C9D"/>
    <w:rsid w:val="00E235F7"/>
    <w:rsid w:val="00E23659"/>
    <w:rsid w:val="00E239D4"/>
    <w:rsid w:val="00E26130"/>
    <w:rsid w:val="00E273E1"/>
    <w:rsid w:val="00E33ABC"/>
    <w:rsid w:val="00E34D3A"/>
    <w:rsid w:val="00E34EBA"/>
    <w:rsid w:val="00E357CA"/>
    <w:rsid w:val="00E36841"/>
    <w:rsid w:val="00E370B9"/>
    <w:rsid w:val="00E40B22"/>
    <w:rsid w:val="00E42694"/>
    <w:rsid w:val="00E45619"/>
    <w:rsid w:val="00E4588F"/>
    <w:rsid w:val="00E46624"/>
    <w:rsid w:val="00E46DA3"/>
    <w:rsid w:val="00E50984"/>
    <w:rsid w:val="00E51BB1"/>
    <w:rsid w:val="00E53546"/>
    <w:rsid w:val="00E607A3"/>
    <w:rsid w:val="00E624A5"/>
    <w:rsid w:val="00E62AF2"/>
    <w:rsid w:val="00E67F52"/>
    <w:rsid w:val="00E7272E"/>
    <w:rsid w:val="00E7344E"/>
    <w:rsid w:val="00E74F53"/>
    <w:rsid w:val="00E750B1"/>
    <w:rsid w:val="00E756B4"/>
    <w:rsid w:val="00E8167D"/>
    <w:rsid w:val="00E820DD"/>
    <w:rsid w:val="00E8233F"/>
    <w:rsid w:val="00E85351"/>
    <w:rsid w:val="00E85AAD"/>
    <w:rsid w:val="00E85E01"/>
    <w:rsid w:val="00E918F6"/>
    <w:rsid w:val="00E9477D"/>
    <w:rsid w:val="00EA2D17"/>
    <w:rsid w:val="00EA58D1"/>
    <w:rsid w:val="00EA6DCE"/>
    <w:rsid w:val="00EA785A"/>
    <w:rsid w:val="00EB0798"/>
    <w:rsid w:val="00EB2696"/>
    <w:rsid w:val="00EB40AD"/>
    <w:rsid w:val="00EB586E"/>
    <w:rsid w:val="00EB5FC8"/>
    <w:rsid w:val="00EB7977"/>
    <w:rsid w:val="00EC3F55"/>
    <w:rsid w:val="00EC7A85"/>
    <w:rsid w:val="00ED18FC"/>
    <w:rsid w:val="00ED3CAD"/>
    <w:rsid w:val="00ED5A41"/>
    <w:rsid w:val="00ED609B"/>
    <w:rsid w:val="00EE1DE8"/>
    <w:rsid w:val="00EE283D"/>
    <w:rsid w:val="00EE39D6"/>
    <w:rsid w:val="00EE4946"/>
    <w:rsid w:val="00EE57D2"/>
    <w:rsid w:val="00EE5A29"/>
    <w:rsid w:val="00EE6943"/>
    <w:rsid w:val="00EF37BC"/>
    <w:rsid w:val="00F03287"/>
    <w:rsid w:val="00F033EC"/>
    <w:rsid w:val="00F04F68"/>
    <w:rsid w:val="00F06388"/>
    <w:rsid w:val="00F12475"/>
    <w:rsid w:val="00F12670"/>
    <w:rsid w:val="00F146D8"/>
    <w:rsid w:val="00F14B27"/>
    <w:rsid w:val="00F1687F"/>
    <w:rsid w:val="00F23235"/>
    <w:rsid w:val="00F23957"/>
    <w:rsid w:val="00F24699"/>
    <w:rsid w:val="00F2525A"/>
    <w:rsid w:val="00F27606"/>
    <w:rsid w:val="00F3148D"/>
    <w:rsid w:val="00F325C5"/>
    <w:rsid w:val="00F32F30"/>
    <w:rsid w:val="00F32FE0"/>
    <w:rsid w:val="00F34444"/>
    <w:rsid w:val="00F35298"/>
    <w:rsid w:val="00F4074D"/>
    <w:rsid w:val="00F40B83"/>
    <w:rsid w:val="00F4500D"/>
    <w:rsid w:val="00F45DF9"/>
    <w:rsid w:val="00F47333"/>
    <w:rsid w:val="00F47E37"/>
    <w:rsid w:val="00F516A6"/>
    <w:rsid w:val="00F53002"/>
    <w:rsid w:val="00F53C07"/>
    <w:rsid w:val="00F542FC"/>
    <w:rsid w:val="00F54B65"/>
    <w:rsid w:val="00F62AE8"/>
    <w:rsid w:val="00F639A6"/>
    <w:rsid w:val="00F640B6"/>
    <w:rsid w:val="00F64B52"/>
    <w:rsid w:val="00F65C0E"/>
    <w:rsid w:val="00F6666E"/>
    <w:rsid w:val="00F74508"/>
    <w:rsid w:val="00F76141"/>
    <w:rsid w:val="00F80E40"/>
    <w:rsid w:val="00F8425E"/>
    <w:rsid w:val="00F848D9"/>
    <w:rsid w:val="00F867F5"/>
    <w:rsid w:val="00FA5B82"/>
    <w:rsid w:val="00FA639E"/>
    <w:rsid w:val="00FB3306"/>
    <w:rsid w:val="00FC04D8"/>
    <w:rsid w:val="00FC25E4"/>
    <w:rsid w:val="00FC3A93"/>
    <w:rsid w:val="00FC3F6C"/>
    <w:rsid w:val="00FC4EF7"/>
    <w:rsid w:val="00FD073A"/>
    <w:rsid w:val="00FD0824"/>
    <w:rsid w:val="00FD119B"/>
    <w:rsid w:val="00FD3AF5"/>
    <w:rsid w:val="00FD47D7"/>
    <w:rsid w:val="00FD582C"/>
    <w:rsid w:val="00FD5DA8"/>
    <w:rsid w:val="00FD7138"/>
    <w:rsid w:val="00FE0EB0"/>
    <w:rsid w:val="00FE1DEE"/>
    <w:rsid w:val="00FE3E39"/>
    <w:rsid w:val="00FE58D7"/>
    <w:rsid w:val="00FF1346"/>
    <w:rsid w:val="00FF1BF1"/>
    <w:rsid w:val="00FF2126"/>
    <w:rsid w:val="00FF467A"/>
    <w:rsid w:val="00FF4ACD"/>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82E63"/>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E40C3"/>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7E40C3"/>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styleId="ListParagraph">
    <w:name w:val="List Paragraph"/>
    <w:basedOn w:val="Normal"/>
    <w:uiPriority w:val="34"/>
    <w:qFormat/>
    <w:rsid w:val="00AF28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A-Head2">
    <w:name w:val="A-Head 2"/>
    <w:basedOn w:val="Normal"/>
    <w:rsid w:val="001C291B"/>
    <w:pPr>
      <w:tabs>
        <w:tab w:val="left" w:pos="1134"/>
      </w:tabs>
      <w:spacing w:before="240" w:after="60" w:line="240" w:lineRule="auto"/>
      <w:ind w:right="-108"/>
    </w:pPr>
    <w:rPr>
      <w:rFonts w:ascii="Arial" w:eastAsia="Times New Roman" w:hAnsi="Arial"/>
      <w:b/>
      <w:sz w:val="32"/>
      <w:szCs w:val="20"/>
    </w:rPr>
  </w:style>
  <w:style w:type="paragraph" w:customStyle="1" w:styleId="Bulletpoint">
    <w:name w:val="Bullet point"/>
    <w:basedOn w:val="Normal"/>
    <w:rsid w:val="001A0107"/>
    <w:pPr>
      <w:numPr>
        <w:numId w:val="29"/>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6149A"/>
    <w:pPr>
      <w:spacing w:before="0" w:after="220" w:line="252" w:lineRule="auto"/>
    </w:pPr>
    <w:rPr>
      <w:rFonts w:eastAsia="Times New Roman"/>
      <w:snapToGrid w:val="0"/>
      <w:kern w:val="16"/>
      <w:szCs w:val="24"/>
    </w:rPr>
  </w:style>
  <w:style w:type="character" w:customStyle="1" w:styleId="StandardChar">
    <w:name w:val="Standard Char"/>
    <w:link w:val="Standard"/>
    <w:rsid w:val="0016149A"/>
    <w:rPr>
      <w:rFonts w:eastAsia="Times New Roman"/>
      <w:snapToGrid w:val="0"/>
      <w:kern w:val="16"/>
      <w:sz w:val="22"/>
      <w:szCs w:val="24"/>
      <w:lang w:eastAsia="en-US"/>
    </w:rPr>
  </w:style>
  <w:style w:type="paragraph" w:customStyle="1" w:styleId="AssessmentSubsection">
    <w:name w:val="Assessment Subsection"/>
    <w:basedOn w:val="Standard"/>
    <w:next w:val="Standard"/>
    <w:rsid w:val="006F25F7"/>
    <w:pPr>
      <w:keepNext/>
      <w:spacing w:after="110"/>
      <w:outlineLvl w:val="2"/>
    </w:pPr>
    <w:rPr>
      <w:b/>
      <w:i/>
    </w:rPr>
  </w:style>
  <w:style w:type="paragraph" w:customStyle="1" w:styleId="WhiteSpace">
    <w:name w:val="White Space"/>
    <w:basedOn w:val="Standard"/>
    <w:next w:val="Standard"/>
    <w:link w:val="WhiteSpaceChar"/>
    <w:rsid w:val="004257BB"/>
    <w:pPr>
      <w:spacing w:after="0"/>
    </w:pPr>
    <w:rPr>
      <w:sz w:val="16"/>
      <w:szCs w:val="16"/>
    </w:rPr>
  </w:style>
  <w:style w:type="character" w:customStyle="1" w:styleId="WhiteSpaceChar">
    <w:name w:val="White Space Char"/>
    <w:link w:val="WhiteSpace"/>
    <w:rsid w:val="004257BB"/>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630A89"/>
    <w:pPr>
      <w:outlineLvl w:val="3"/>
    </w:pPr>
    <w:rPr>
      <w:b w:val="0"/>
    </w:rPr>
  </w:style>
  <w:style w:type="paragraph" w:customStyle="1" w:styleId="Bullet1">
    <w:name w:val="Bullet 1"/>
    <w:basedOn w:val="Normal"/>
    <w:rsid w:val="006C6D47"/>
    <w:pPr>
      <w:numPr>
        <w:numId w:val="31"/>
      </w:numPr>
      <w:spacing w:after="0" w:line="240" w:lineRule="auto"/>
    </w:pPr>
    <w:rPr>
      <w:rFonts w:eastAsia="Times New Roman"/>
      <w:kern w:val="24"/>
      <w:szCs w:val="24"/>
      <w:lang w:eastAsia="en-AU"/>
    </w:rPr>
  </w:style>
  <w:style w:type="paragraph" w:customStyle="1" w:styleId="Bullet2">
    <w:name w:val="Bullet 2"/>
    <w:basedOn w:val="Bullet1"/>
    <w:rsid w:val="006C6D47"/>
    <w:pPr>
      <w:numPr>
        <w:numId w:val="32"/>
      </w:numPr>
    </w:pPr>
  </w:style>
  <w:style w:type="character" w:customStyle="1" w:styleId="Heading8Char">
    <w:name w:val="Heading 8 Char"/>
    <w:link w:val="Heading8"/>
    <w:uiPriority w:val="9"/>
    <w:semiHidden/>
    <w:rsid w:val="007E40C3"/>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7E40C3"/>
    <w:rPr>
      <w:rFonts w:ascii="Cambria" w:eastAsia="Times New Roman" w:hAnsi="Cambria" w:cs="Times New Roman"/>
      <w:sz w:val="22"/>
      <w:szCs w:val="22"/>
      <w:lang w:eastAsia="en-US"/>
    </w:rPr>
  </w:style>
  <w:style w:type="paragraph" w:styleId="BodyText">
    <w:name w:val="Body Text"/>
    <w:basedOn w:val="Normal"/>
    <w:link w:val="BodyTextChar"/>
    <w:uiPriority w:val="1"/>
    <w:qFormat/>
    <w:rsid w:val="00550590"/>
    <w:pPr>
      <w:autoSpaceDE w:val="0"/>
      <w:autoSpaceDN w:val="0"/>
      <w:adjustRightInd w:val="0"/>
      <w:spacing w:before="0" w:after="0" w:line="240" w:lineRule="auto"/>
      <w:ind w:left="40"/>
    </w:pPr>
    <w:rPr>
      <w:rFonts w:ascii="Times New Roman" w:hAnsi="Times New Roman"/>
      <w:sz w:val="24"/>
      <w:szCs w:val="24"/>
      <w:lang w:eastAsia="en-AU"/>
    </w:rPr>
  </w:style>
  <w:style w:type="character" w:customStyle="1" w:styleId="BodyTextChar">
    <w:name w:val="Body Text Char"/>
    <w:link w:val="BodyText"/>
    <w:uiPriority w:val="1"/>
    <w:rsid w:val="00550590"/>
    <w:rPr>
      <w:rFonts w:ascii="Times New Roman" w:hAnsi="Times New Roman"/>
      <w:sz w:val="24"/>
      <w:szCs w:val="24"/>
    </w:rPr>
  </w:style>
  <w:style w:type="character" w:styleId="CommentReference">
    <w:name w:val="annotation reference"/>
    <w:uiPriority w:val="99"/>
    <w:semiHidden/>
    <w:unhideWhenUsed/>
    <w:rsid w:val="009339AE"/>
    <w:rPr>
      <w:sz w:val="16"/>
      <w:szCs w:val="16"/>
    </w:rPr>
  </w:style>
  <w:style w:type="paragraph" w:styleId="CommentText">
    <w:name w:val="annotation text"/>
    <w:basedOn w:val="Normal"/>
    <w:link w:val="CommentTextChar"/>
    <w:uiPriority w:val="99"/>
    <w:semiHidden/>
    <w:unhideWhenUsed/>
    <w:rsid w:val="009339AE"/>
    <w:rPr>
      <w:sz w:val="20"/>
      <w:szCs w:val="20"/>
    </w:rPr>
  </w:style>
  <w:style w:type="character" w:customStyle="1" w:styleId="CommentTextChar">
    <w:name w:val="Comment Text Char"/>
    <w:link w:val="CommentText"/>
    <w:uiPriority w:val="99"/>
    <w:semiHidden/>
    <w:rsid w:val="009339A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82E63"/>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E40C3"/>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7E40C3"/>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styleId="ListParagraph">
    <w:name w:val="List Paragraph"/>
    <w:basedOn w:val="Normal"/>
    <w:uiPriority w:val="34"/>
    <w:qFormat/>
    <w:rsid w:val="00AF28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A-Head2">
    <w:name w:val="A-Head 2"/>
    <w:basedOn w:val="Normal"/>
    <w:rsid w:val="001C291B"/>
    <w:pPr>
      <w:tabs>
        <w:tab w:val="left" w:pos="1134"/>
      </w:tabs>
      <w:spacing w:before="240" w:after="60" w:line="240" w:lineRule="auto"/>
      <w:ind w:right="-108"/>
    </w:pPr>
    <w:rPr>
      <w:rFonts w:ascii="Arial" w:eastAsia="Times New Roman" w:hAnsi="Arial"/>
      <w:b/>
      <w:sz w:val="32"/>
      <w:szCs w:val="20"/>
    </w:rPr>
  </w:style>
  <w:style w:type="paragraph" w:customStyle="1" w:styleId="Bulletpoint">
    <w:name w:val="Bullet point"/>
    <w:basedOn w:val="Normal"/>
    <w:rsid w:val="001A0107"/>
    <w:pPr>
      <w:numPr>
        <w:numId w:val="29"/>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6149A"/>
    <w:pPr>
      <w:spacing w:before="0" w:after="220" w:line="252" w:lineRule="auto"/>
    </w:pPr>
    <w:rPr>
      <w:rFonts w:eastAsia="Times New Roman"/>
      <w:snapToGrid w:val="0"/>
      <w:kern w:val="16"/>
      <w:szCs w:val="24"/>
    </w:rPr>
  </w:style>
  <w:style w:type="character" w:customStyle="1" w:styleId="StandardChar">
    <w:name w:val="Standard Char"/>
    <w:link w:val="Standard"/>
    <w:rsid w:val="0016149A"/>
    <w:rPr>
      <w:rFonts w:eastAsia="Times New Roman"/>
      <w:snapToGrid w:val="0"/>
      <w:kern w:val="16"/>
      <w:sz w:val="22"/>
      <w:szCs w:val="24"/>
      <w:lang w:eastAsia="en-US"/>
    </w:rPr>
  </w:style>
  <w:style w:type="paragraph" w:customStyle="1" w:styleId="AssessmentSubsection">
    <w:name w:val="Assessment Subsection"/>
    <w:basedOn w:val="Standard"/>
    <w:next w:val="Standard"/>
    <w:rsid w:val="006F25F7"/>
    <w:pPr>
      <w:keepNext/>
      <w:spacing w:after="110"/>
      <w:outlineLvl w:val="2"/>
    </w:pPr>
    <w:rPr>
      <w:b/>
      <w:i/>
    </w:rPr>
  </w:style>
  <w:style w:type="paragraph" w:customStyle="1" w:styleId="WhiteSpace">
    <w:name w:val="White Space"/>
    <w:basedOn w:val="Standard"/>
    <w:next w:val="Standard"/>
    <w:link w:val="WhiteSpaceChar"/>
    <w:rsid w:val="004257BB"/>
    <w:pPr>
      <w:spacing w:after="0"/>
    </w:pPr>
    <w:rPr>
      <w:sz w:val="16"/>
      <w:szCs w:val="16"/>
    </w:rPr>
  </w:style>
  <w:style w:type="character" w:customStyle="1" w:styleId="WhiteSpaceChar">
    <w:name w:val="White Space Char"/>
    <w:link w:val="WhiteSpace"/>
    <w:rsid w:val="004257BB"/>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630A89"/>
    <w:pPr>
      <w:outlineLvl w:val="3"/>
    </w:pPr>
    <w:rPr>
      <w:b w:val="0"/>
    </w:rPr>
  </w:style>
  <w:style w:type="paragraph" w:customStyle="1" w:styleId="Bullet1">
    <w:name w:val="Bullet 1"/>
    <w:basedOn w:val="Normal"/>
    <w:rsid w:val="006C6D47"/>
    <w:pPr>
      <w:numPr>
        <w:numId w:val="31"/>
      </w:numPr>
      <w:spacing w:after="0" w:line="240" w:lineRule="auto"/>
    </w:pPr>
    <w:rPr>
      <w:rFonts w:eastAsia="Times New Roman"/>
      <w:kern w:val="24"/>
      <w:szCs w:val="24"/>
      <w:lang w:eastAsia="en-AU"/>
    </w:rPr>
  </w:style>
  <w:style w:type="paragraph" w:customStyle="1" w:styleId="Bullet2">
    <w:name w:val="Bullet 2"/>
    <w:basedOn w:val="Bullet1"/>
    <w:rsid w:val="006C6D47"/>
    <w:pPr>
      <w:numPr>
        <w:numId w:val="32"/>
      </w:numPr>
    </w:pPr>
  </w:style>
  <w:style w:type="character" w:customStyle="1" w:styleId="Heading8Char">
    <w:name w:val="Heading 8 Char"/>
    <w:link w:val="Heading8"/>
    <w:uiPriority w:val="9"/>
    <w:semiHidden/>
    <w:rsid w:val="007E40C3"/>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7E40C3"/>
    <w:rPr>
      <w:rFonts w:ascii="Cambria" w:eastAsia="Times New Roman" w:hAnsi="Cambria" w:cs="Times New Roman"/>
      <w:sz w:val="22"/>
      <w:szCs w:val="22"/>
      <w:lang w:eastAsia="en-US"/>
    </w:rPr>
  </w:style>
  <w:style w:type="paragraph" w:styleId="BodyText">
    <w:name w:val="Body Text"/>
    <w:basedOn w:val="Normal"/>
    <w:link w:val="BodyTextChar"/>
    <w:uiPriority w:val="1"/>
    <w:qFormat/>
    <w:rsid w:val="00550590"/>
    <w:pPr>
      <w:autoSpaceDE w:val="0"/>
      <w:autoSpaceDN w:val="0"/>
      <w:adjustRightInd w:val="0"/>
      <w:spacing w:before="0" w:after="0" w:line="240" w:lineRule="auto"/>
      <w:ind w:left="40"/>
    </w:pPr>
    <w:rPr>
      <w:rFonts w:ascii="Times New Roman" w:hAnsi="Times New Roman"/>
      <w:sz w:val="24"/>
      <w:szCs w:val="24"/>
      <w:lang w:eastAsia="en-AU"/>
    </w:rPr>
  </w:style>
  <w:style w:type="character" w:customStyle="1" w:styleId="BodyTextChar">
    <w:name w:val="Body Text Char"/>
    <w:link w:val="BodyText"/>
    <w:uiPriority w:val="1"/>
    <w:rsid w:val="00550590"/>
    <w:rPr>
      <w:rFonts w:ascii="Times New Roman" w:hAnsi="Times New Roman"/>
      <w:sz w:val="24"/>
      <w:szCs w:val="24"/>
    </w:rPr>
  </w:style>
  <w:style w:type="character" w:styleId="CommentReference">
    <w:name w:val="annotation reference"/>
    <w:uiPriority w:val="99"/>
    <w:semiHidden/>
    <w:unhideWhenUsed/>
    <w:rsid w:val="009339AE"/>
    <w:rPr>
      <w:sz w:val="16"/>
      <w:szCs w:val="16"/>
    </w:rPr>
  </w:style>
  <w:style w:type="paragraph" w:styleId="CommentText">
    <w:name w:val="annotation text"/>
    <w:basedOn w:val="Normal"/>
    <w:link w:val="CommentTextChar"/>
    <w:uiPriority w:val="99"/>
    <w:semiHidden/>
    <w:unhideWhenUsed/>
    <w:rsid w:val="009339AE"/>
    <w:rPr>
      <w:sz w:val="20"/>
      <w:szCs w:val="20"/>
    </w:rPr>
  </w:style>
  <w:style w:type="character" w:customStyle="1" w:styleId="CommentTextChar">
    <w:name w:val="Comment Text Char"/>
    <w:link w:val="CommentText"/>
    <w:uiPriority w:val="99"/>
    <w:semiHidden/>
    <w:rsid w:val="009339A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ga.gov.au/hp/information-medicines-pi.htm" TargetMode="External"/><Relationship Id="rId20" Type="http://schemas.openxmlformats.org/officeDocument/2006/relationships/image" Target="media/image8.jpeg"/><Relationship Id="rId29" Type="http://schemas.openxmlformats.org/officeDocument/2006/relationships/hyperlink" Target="http://www.tga.gov.au/hp/information-medicines-pi.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23048\t0NT5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ACEB3-3693-49EB-B707-5DC2F6EA2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t0NT5RCM.DOTX</Template>
  <TotalTime>67</TotalTime>
  <Pages>52</Pages>
  <Words>20458</Words>
  <Characters>112113</Characters>
  <Application>Microsoft Office Word</Application>
  <DocSecurity>0</DocSecurity>
  <Lines>1966</Lines>
  <Paragraphs>803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131768</CharactersWithSpaces>
  <SharedDoc>false</SharedDoc>
  <HLinks>
    <vt:vector size="282" baseType="variant">
      <vt:variant>
        <vt:i4>6357037</vt:i4>
      </vt:variant>
      <vt:variant>
        <vt:i4>264</vt:i4>
      </vt:variant>
      <vt:variant>
        <vt:i4>0</vt:i4>
      </vt:variant>
      <vt:variant>
        <vt:i4>5</vt:i4>
      </vt:variant>
      <vt:variant>
        <vt:lpwstr>http://www.tga.gov.au/</vt:lpwstr>
      </vt:variant>
      <vt:variant>
        <vt:lpwstr/>
      </vt:variant>
      <vt:variant>
        <vt:i4>5242926</vt:i4>
      </vt:variant>
      <vt:variant>
        <vt:i4>261</vt:i4>
      </vt:variant>
      <vt:variant>
        <vt:i4>0</vt:i4>
      </vt:variant>
      <vt:variant>
        <vt:i4>5</vt:i4>
      </vt:variant>
      <vt:variant>
        <vt:lpwstr>mailto:info@tga.gov.au</vt:lpwstr>
      </vt:variant>
      <vt:variant>
        <vt:lpwstr/>
      </vt:variant>
      <vt:variant>
        <vt:i4>5701660</vt:i4>
      </vt:variant>
      <vt:variant>
        <vt:i4>258</vt:i4>
      </vt:variant>
      <vt:variant>
        <vt:i4>0</vt:i4>
      </vt:variant>
      <vt:variant>
        <vt:i4>5</vt:i4>
      </vt:variant>
      <vt:variant>
        <vt:lpwstr>http://www.tga.gov.au/hp/information-medicines-pi.htm</vt:lpwstr>
      </vt:variant>
      <vt:variant>
        <vt:lpwstr/>
      </vt:variant>
      <vt:variant>
        <vt:i4>5701660</vt:i4>
      </vt:variant>
      <vt:variant>
        <vt:i4>255</vt:i4>
      </vt:variant>
      <vt:variant>
        <vt:i4>0</vt:i4>
      </vt:variant>
      <vt:variant>
        <vt:i4>5</vt:i4>
      </vt:variant>
      <vt:variant>
        <vt:lpwstr>http://www.tga.gov.au/hp/information-medicines-pi.htm</vt:lpwstr>
      </vt:variant>
      <vt:variant>
        <vt:lpwstr/>
      </vt:variant>
      <vt:variant>
        <vt:i4>1835057</vt:i4>
      </vt:variant>
      <vt:variant>
        <vt:i4>248</vt:i4>
      </vt:variant>
      <vt:variant>
        <vt:i4>0</vt:i4>
      </vt:variant>
      <vt:variant>
        <vt:i4>5</vt:i4>
      </vt:variant>
      <vt:variant>
        <vt:lpwstr/>
      </vt:variant>
      <vt:variant>
        <vt:lpwstr>_Toc392690942</vt:lpwstr>
      </vt:variant>
      <vt:variant>
        <vt:i4>1835057</vt:i4>
      </vt:variant>
      <vt:variant>
        <vt:i4>242</vt:i4>
      </vt:variant>
      <vt:variant>
        <vt:i4>0</vt:i4>
      </vt:variant>
      <vt:variant>
        <vt:i4>5</vt:i4>
      </vt:variant>
      <vt:variant>
        <vt:lpwstr/>
      </vt:variant>
      <vt:variant>
        <vt:lpwstr>_Toc392690941</vt:lpwstr>
      </vt:variant>
      <vt:variant>
        <vt:i4>1835057</vt:i4>
      </vt:variant>
      <vt:variant>
        <vt:i4>236</vt:i4>
      </vt:variant>
      <vt:variant>
        <vt:i4>0</vt:i4>
      </vt:variant>
      <vt:variant>
        <vt:i4>5</vt:i4>
      </vt:variant>
      <vt:variant>
        <vt:lpwstr/>
      </vt:variant>
      <vt:variant>
        <vt:lpwstr>_Toc392690940</vt:lpwstr>
      </vt:variant>
      <vt:variant>
        <vt:i4>1769521</vt:i4>
      </vt:variant>
      <vt:variant>
        <vt:i4>230</vt:i4>
      </vt:variant>
      <vt:variant>
        <vt:i4>0</vt:i4>
      </vt:variant>
      <vt:variant>
        <vt:i4>5</vt:i4>
      </vt:variant>
      <vt:variant>
        <vt:lpwstr/>
      </vt:variant>
      <vt:variant>
        <vt:lpwstr>_Toc392690939</vt:lpwstr>
      </vt:variant>
      <vt:variant>
        <vt:i4>1769521</vt:i4>
      </vt:variant>
      <vt:variant>
        <vt:i4>224</vt:i4>
      </vt:variant>
      <vt:variant>
        <vt:i4>0</vt:i4>
      </vt:variant>
      <vt:variant>
        <vt:i4>5</vt:i4>
      </vt:variant>
      <vt:variant>
        <vt:lpwstr/>
      </vt:variant>
      <vt:variant>
        <vt:lpwstr>_Toc392690938</vt:lpwstr>
      </vt:variant>
      <vt:variant>
        <vt:i4>1769521</vt:i4>
      </vt:variant>
      <vt:variant>
        <vt:i4>218</vt:i4>
      </vt:variant>
      <vt:variant>
        <vt:i4>0</vt:i4>
      </vt:variant>
      <vt:variant>
        <vt:i4>5</vt:i4>
      </vt:variant>
      <vt:variant>
        <vt:lpwstr/>
      </vt:variant>
      <vt:variant>
        <vt:lpwstr>_Toc392690937</vt:lpwstr>
      </vt:variant>
      <vt:variant>
        <vt:i4>1769521</vt:i4>
      </vt:variant>
      <vt:variant>
        <vt:i4>212</vt:i4>
      </vt:variant>
      <vt:variant>
        <vt:i4>0</vt:i4>
      </vt:variant>
      <vt:variant>
        <vt:i4>5</vt:i4>
      </vt:variant>
      <vt:variant>
        <vt:lpwstr/>
      </vt:variant>
      <vt:variant>
        <vt:lpwstr>_Toc392690936</vt:lpwstr>
      </vt:variant>
      <vt:variant>
        <vt:i4>1769521</vt:i4>
      </vt:variant>
      <vt:variant>
        <vt:i4>206</vt:i4>
      </vt:variant>
      <vt:variant>
        <vt:i4>0</vt:i4>
      </vt:variant>
      <vt:variant>
        <vt:i4>5</vt:i4>
      </vt:variant>
      <vt:variant>
        <vt:lpwstr/>
      </vt:variant>
      <vt:variant>
        <vt:lpwstr>_Toc392690935</vt:lpwstr>
      </vt:variant>
      <vt:variant>
        <vt:i4>1769521</vt:i4>
      </vt:variant>
      <vt:variant>
        <vt:i4>200</vt:i4>
      </vt:variant>
      <vt:variant>
        <vt:i4>0</vt:i4>
      </vt:variant>
      <vt:variant>
        <vt:i4>5</vt:i4>
      </vt:variant>
      <vt:variant>
        <vt:lpwstr/>
      </vt:variant>
      <vt:variant>
        <vt:lpwstr>_Toc392690934</vt:lpwstr>
      </vt:variant>
      <vt:variant>
        <vt:i4>1769521</vt:i4>
      </vt:variant>
      <vt:variant>
        <vt:i4>194</vt:i4>
      </vt:variant>
      <vt:variant>
        <vt:i4>0</vt:i4>
      </vt:variant>
      <vt:variant>
        <vt:i4>5</vt:i4>
      </vt:variant>
      <vt:variant>
        <vt:lpwstr/>
      </vt:variant>
      <vt:variant>
        <vt:lpwstr>_Toc392690933</vt:lpwstr>
      </vt:variant>
      <vt:variant>
        <vt:i4>1769521</vt:i4>
      </vt:variant>
      <vt:variant>
        <vt:i4>188</vt:i4>
      </vt:variant>
      <vt:variant>
        <vt:i4>0</vt:i4>
      </vt:variant>
      <vt:variant>
        <vt:i4>5</vt:i4>
      </vt:variant>
      <vt:variant>
        <vt:lpwstr/>
      </vt:variant>
      <vt:variant>
        <vt:lpwstr>_Toc392690932</vt:lpwstr>
      </vt:variant>
      <vt:variant>
        <vt:i4>1769521</vt:i4>
      </vt:variant>
      <vt:variant>
        <vt:i4>182</vt:i4>
      </vt:variant>
      <vt:variant>
        <vt:i4>0</vt:i4>
      </vt:variant>
      <vt:variant>
        <vt:i4>5</vt:i4>
      </vt:variant>
      <vt:variant>
        <vt:lpwstr/>
      </vt:variant>
      <vt:variant>
        <vt:lpwstr>_Toc392690931</vt:lpwstr>
      </vt:variant>
      <vt:variant>
        <vt:i4>1769521</vt:i4>
      </vt:variant>
      <vt:variant>
        <vt:i4>176</vt:i4>
      </vt:variant>
      <vt:variant>
        <vt:i4>0</vt:i4>
      </vt:variant>
      <vt:variant>
        <vt:i4>5</vt:i4>
      </vt:variant>
      <vt:variant>
        <vt:lpwstr/>
      </vt:variant>
      <vt:variant>
        <vt:lpwstr>_Toc392690930</vt:lpwstr>
      </vt:variant>
      <vt:variant>
        <vt:i4>1703985</vt:i4>
      </vt:variant>
      <vt:variant>
        <vt:i4>170</vt:i4>
      </vt:variant>
      <vt:variant>
        <vt:i4>0</vt:i4>
      </vt:variant>
      <vt:variant>
        <vt:i4>5</vt:i4>
      </vt:variant>
      <vt:variant>
        <vt:lpwstr/>
      </vt:variant>
      <vt:variant>
        <vt:lpwstr>_Toc392690929</vt:lpwstr>
      </vt:variant>
      <vt:variant>
        <vt:i4>1703985</vt:i4>
      </vt:variant>
      <vt:variant>
        <vt:i4>164</vt:i4>
      </vt:variant>
      <vt:variant>
        <vt:i4>0</vt:i4>
      </vt:variant>
      <vt:variant>
        <vt:i4>5</vt:i4>
      </vt:variant>
      <vt:variant>
        <vt:lpwstr/>
      </vt:variant>
      <vt:variant>
        <vt:lpwstr>_Toc392690928</vt:lpwstr>
      </vt:variant>
      <vt:variant>
        <vt:i4>1703985</vt:i4>
      </vt:variant>
      <vt:variant>
        <vt:i4>158</vt:i4>
      </vt:variant>
      <vt:variant>
        <vt:i4>0</vt:i4>
      </vt:variant>
      <vt:variant>
        <vt:i4>5</vt:i4>
      </vt:variant>
      <vt:variant>
        <vt:lpwstr/>
      </vt:variant>
      <vt:variant>
        <vt:lpwstr>_Toc392690927</vt:lpwstr>
      </vt:variant>
      <vt:variant>
        <vt:i4>1703985</vt:i4>
      </vt:variant>
      <vt:variant>
        <vt:i4>152</vt:i4>
      </vt:variant>
      <vt:variant>
        <vt:i4>0</vt:i4>
      </vt:variant>
      <vt:variant>
        <vt:i4>5</vt:i4>
      </vt:variant>
      <vt:variant>
        <vt:lpwstr/>
      </vt:variant>
      <vt:variant>
        <vt:lpwstr>_Toc392690926</vt:lpwstr>
      </vt:variant>
      <vt:variant>
        <vt:i4>1703985</vt:i4>
      </vt:variant>
      <vt:variant>
        <vt:i4>146</vt:i4>
      </vt:variant>
      <vt:variant>
        <vt:i4>0</vt:i4>
      </vt:variant>
      <vt:variant>
        <vt:i4>5</vt:i4>
      </vt:variant>
      <vt:variant>
        <vt:lpwstr/>
      </vt:variant>
      <vt:variant>
        <vt:lpwstr>_Toc392690925</vt:lpwstr>
      </vt:variant>
      <vt:variant>
        <vt:i4>1703985</vt:i4>
      </vt:variant>
      <vt:variant>
        <vt:i4>140</vt:i4>
      </vt:variant>
      <vt:variant>
        <vt:i4>0</vt:i4>
      </vt:variant>
      <vt:variant>
        <vt:i4>5</vt:i4>
      </vt:variant>
      <vt:variant>
        <vt:lpwstr/>
      </vt:variant>
      <vt:variant>
        <vt:lpwstr>_Toc392690924</vt:lpwstr>
      </vt:variant>
      <vt:variant>
        <vt:i4>1703985</vt:i4>
      </vt:variant>
      <vt:variant>
        <vt:i4>134</vt:i4>
      </vt:variant>
      <vt:variant>
        <vt:i4>0</vt:i4>
      </vt:variant>
      <vt:variant>
        <vt:i4>5</vt:i4>
      </vt:variant>
      <vt:variant>
        <vt:lpwstr/>
      </vt:variant>
      <vt:variant>
        <vt:lpwstr>_Toc392690923</vt:lpwstr>
      </vt:variant>
      <vt:variant>
        <vt:i4>1703985</vt:i4>
      </vt:variant>
      <vt:variant>
        <vt:i4>128</vt:i4>
      </vt:variant>
      <vt:variant>
        <vt:i4>0</vt:i4>
      </vt:variant>
      <vt:variant>
        <vt:i4>5</vt:i4>
      </vt:variant>
      <vt:variant>
        <vt:lpwstr/>
      </vt:variant>
      <vt:variant>
        <vt:lpwstr>_Toc392690922</vt:lpwstr>
      </vt:variant>
      <vt:variant>
        <vt:i4>1703985</vt:i4>
      </vt:variant>
      <vt:variant>
        <vt:i4>122</vt:i4>
      </vt:variant>
      <vt:variant>
        <vt:i4>0</vt:i4>
      </vt:variant>
      <vt:variant>
        <vt:i4>5</vt:i4>
      </vt:variant>
      <vt:variant>
        <vt:lpwstr/>
      </vt:variant>
      <vt:variant>
        <vt:lpwstr>_Toc392690921</vt:lpwstr>
      </vt:variant>
      <vt:variant>
        <vt:i4>1703985</vt:i4>
      </vt:variant>
      <vt:variant>
        <vt:i4>116</vt:i4>
      </vt:variant>
      <vt:variant>
        <vt:i4>0</vt:i4>
      </vt:variant>
      <vt:variant>
        <vt:i4>5</vt:i4>
      </vt:variant>
      <vt:variant>
        <vt:lpwstr/>
      </vt:variant>
      <vt:variant>
        <vt:lpwstr>_Toc392690920</vt:lpwstr>
      </vt:variant>
      <vt:variant>
        <vt:i4>1638449</vt:i4>
      </vt:variant>
      <vt:variant>
        <vt:i4>110</vt:i4>
      </vt:variant>
      <vt:variant>
        <vt:i4>0</vt:i4>
      </vt:variant>
      <vt:variant>
        <vt:i4>5</vt:i4>
      </vt:variant>
      <vt:variant>
        <vt:lpwstr/>
      </vt:variant>
      <vt:variant>
        <vt:lpwstr>_Toc392690919</vt:lpwstr>
      </vt:variant>
      <vt:variant>
        <vt:i4>1638449</vt:i4>
      </vt:variant>
      <vt:variant>
        <vt:i4>104</vt:i4>
      </vt:variant>
      <vt:variant>
        <vt:i4>0</vt:i4>
      </vt:variant>
      <vt:variant>
        <vt:i4>5</vt:i4>
      </vt:variant>
      <vt:variant>
        <vt:lpwstr/>
      </vt:variant>
      <vt:variant>
        <vt:lpwstr>_Toc392690918</vt:lpwstr>
      </vt:variant>
      <vt:variant>
        <vt:i4>1638449</vt:i4>
      </vt:variant>
      <vt:variant>
        <vt:i4>98</vt:i4>
      </vt:variant>
      <vt:variant>
        <vt:i4>0</vt:i4>
      </vt:variant>
      <vt:variant>
        <vt:i4>5</vt:i4>
      </vt:variant>
      <vt:variant>
        <vt:lpwstr/>
      </vt:variant>
      <vt:variant>
        <vt:lpwstr>_Toc392690917</vt:lpwstr>
      </vt:variant>
      <vt:variant>
        <vt:i4>1638449</vt:i4>
      </vt:variant>
      <vt:variant>
        <vt:i4>92</vt:i4>
      </vt:variant>
      <vt:variant>
        <vt:i4>0</vt:i4>
      </vt:variant>
      <vt:variant>
        <vt:i4>5</vt:i4>
      </vt:variant>
      <vt:variant>
        <vt:lpwstr/>
      </vt:variant>
      <vt:variant>
        <vt:lpwstr>_Toc392690916</vt:lpwstr>
      </vt:variant>
      <vt:variant>
        <vt:i4>1638449</vt:i4>
      </vt:variant>
      <vt:variant>
        <vt:i4>86</vt:i4>
      </vt:variant>
      <vt:variant>
        <vt:i4>0</vt:i4>
      </vt:variant>
      <vt:variant>
        <vt:i4>5</vt:i4>
      </vt:variant>
      <vt:variant>
        <vt:lpwstr/>
      </vt:variant>
      <vt:variant>
        <vt:lpwstr>_Toc392690915</vt:lpwstr>
      </vt:variant>
      <vt:variant>
        <vt:i4>1638449</vt:i4>
      </vt:variant>
      <vt:variant>
        <vt:i4>80</vt:i4>
      </vt:variant>
      <vt:variant>
        <vt:i4>0</vt:i4>
      </vt:variant>
      <vt:variant>
        <vt:i4>5</vt:i4>
      </vt:variant>
      <vt:variant>
        <vt:lpwstr/>
      </vt:variant>
      <vt:variant>
        <vt:lpwstr>_Toc392690914</vt:lpwstr>
      </vt:variant>
      <vt:variant>
        <vt:i4>1638449</vt:i4>
      </vt:variant>
      <vt:variant>
        <vt:i4>74</vt:i4>
      </vt:variant>
      <vt:variant>
        <vt:i4>0</vt:i4>
      </vt:variant>
      <vt:variant>
        <vt:i4>5</vt:i4>
      </vt:variant>
      <vt:variant>
        <vt:lpwstr/>
      </vt:variant>
      <vt:variant>
        <vt:lpwstr>_Toc392690913</vt:lpwstr>
      </vt:variant>
      <vt:variant>
        <vt:i4>1638449</vt:i4>
      </vt:variant>
      <vt:variant>
        <vt:i4>68</vt:i4>
      </vt:variant>
      <vt:variant>
        <vt:i4>0</vt:i4>
      </vt:variant>
      <vt:variant>
        <vt:i4>5</vt:i4>
      </vt:variant>
      <vt:variant>
        <vt:lpwstr/>
      </vt:variant>
      <vt:variant>
        <vt:lpwstr>_Toc392690912</vt:lpwstr>
      </vt:variant>
      <vt:variant>
        <vt:i4>1638449</vt:i4>
      </vt:variant>
      <vt:variant>
        <vt:i4>62</vt:i4>
      </vt:variant>
      <vt:variant>
        <vt:i4>0</vt:i4>
      </vt:variant>
      <vt:variant>
        <vt:i4>5</vt:i4>
      </vt:variant>
      <vt:variant>
        <vt:lpwstr/>
      </vt:variant>
      <vt:variant>
        <vt:lpwstr>_Toc392690911</vt:lpwstr>
      </vt:variant>
      <vt:variant>
        <vt:i4>1638449</vt:i4>
      </vt:variant>
      <vt:variant>
        <vt:i4>56</vt:i4>
      </vt:variant>
      <vt:variant>
        <vt:i4>0</vt:i4>
      </vt:variant>
      <vt:variant>
        <vt:i4>5</vt:i4>
      </vt:variant>
      <vt:variant>
        <vt:lpwstr/>
      </vt:variant>
      <vt:variant>
        <vt:lpwstr>_Toc392690910</vt:lpwstr>
      </vt:variant>
      <vt:variant>
        <vt:i4>1572913</vt:i4>
      </vt:variant>
      <vt:variant>
        <vt:i4>50</vt:i4>
      </vt:variant>
      <vt:variant>
        <vt:i4>0</vt:i4>
      </vt:variant>
      <vt:variant>
        <vt:i4>5</vt:i4>
      </vt:variant>
      <vt:variant>
        <vt:lpwstr/>
      </vt:variant>
      <vt:variant>
        <vt:lpwstr>_Toc392690909</vt:lpwstr>
      </vt:variant>
      <vt:variant>
        <vt:i4>1572913</vt:i4>
      </vt:variant>
      <vt:variant>
        <vt:i4>44</vt:i4>
      </vt:variant>
      <vt:variant>
        <vt:i4>0</vt:i4>
      </vt:variant>
      <vt:variant>
        <vt:i4>5</vt:i4>
      </vt:variant>
      <vt:variant>
        <vt:lpwstr/>
      </vt:variant>
      <vt:variant>
        <vt:lpwstr>_Toc392690908</vt:lpwstr>
      </vt:variant>
      <vt:variant>
        <vt:i4>1572913</vt:i4>
      </vt:variant>
      <vt:variant>
        <vt:i4>38</vt:i4>
      </vt:variant>
      <vt:variant>
        <vt:i4>0</vt:i4>
      </vt:variant>
      <vt:variant>
        <vt:i4>5</vt:i4>
      </vt:variant>
      <vt:variant>
        <vt:lpwstr/>
      </vt:variant>
      <vt:variant>
        <vt:lpwstr>_Toc392690907</vt:lpwstr>
      </vt:variant>
      <vt:variant>
        <vt:i4>1572913</vt:i4>
      </vt:variant>
      <vt:variant>
        <vt:i4>32</vt:i4>
      </vt:variant>
      <vt:variant>
        <vt:i4>0</vt:i4>
      </vt:variant>
      <vt:variant>
        <vt:i4>5</vt:i4>
      </vt:variant>
      <vt:variant>
        <vt:lpwstr/>
      </vt:variant>
      <vt:variant>
        <vt:lpwstr>_Toc392690906</vt:lpwstr>
      </vt:variant>
      <vt:variant>
        <vt:i4>1572913</vt:i4>
      </vt:variant>
      <vt:variant>
        <vt:i4>26</vt:i4>
      </vt:variant>
      <vt:variant>
        <vt:i4>0</vt:i4>
      </vt:variant>
      <vt:variant>
        <vt:i4>5</vt:i4>
      </vt:variant>
      <vt:variant>
        <vt:lpwstr/>
      </vt:variant>
      <vt:variant>
        <vt:lpwstr>_Toc392690905</vt:lpwstr>
      </vt:variant>
      <vt:variant>
        <vt:i4>1572913</vt:i4>
      </vt:variant>
      <vt:variant>
        <vt:i4>20</vt:i4>
      </vt:variant>
      <vt:variant>
        <vt:i4>0</vt:i4>
      </vt:variant>
      <vt:variant>
        <vt:i4>5</vt:i4>
      </vt:variant>
      <vt:variant>
        <vt:lpwstr/>
      </vt:variant>
      <vt:variant>
        <vt:lpwstr>_Toc392690904</vt:lpwstr>
      </vt:variant>
      <vt:variant>
        <vt:i4>1572913</vt:i4>
      </vt:variant>
      <vt:variant>
        <vt:i4>14</vt:i4>
      </vt:variant>
      <vt:variant>
        <vt:i4>0</vt:i4>
      </vt:variant>
      <vt:variant>
        <vt:i4>5</vt:i4>
      </vt:variant>
      <vt:variant>
        <vt:lpwstr/>
      </vt:variant>
      <vt:variant>
        <vt:lpwstr>_Toc392690903</vt:lpwstr>
      </vt:variant>
      <vt:variant>
        <vt:i4>1572913</vt:i4>
      </vt:variant>
      <vt:variant>
        <vt:i4>8</vt:i4>
      </vt:variant>
      <vt:variant>
        <vt:i4>0</vt:i4>
      </vt:variant>
      <vt:variant>
        <vt:i4>5</vt:i4>
      </vt:variant>
      <vt:variant>
        <vt:lpwstr/>
      </vt:variant>
      <vt:variant>
        <vt:lpwstr>_Toc392690902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radium (223Ra) dichloride</dc:title>
  <dc:subject>prescription medicine regulation</dc:subject>
  <dc:creator>Therapeutic Goods Administration</dc:creator>
  <cp:keywords>auspar, prescription, medicine, assessment, regulation, australia, radium, dichloride, xofigo, bayer, australia</cp:keywords>
  <cp:lastModifiedBy>dixonj</cp:lastModifiedBy>
  <cp:revision>10</cp:revision>
  <cp:lastPrinted>2010-12-20T22:59:00Z</cp:lastPrinted>
  <dcterms:created xsi:type="dcterms:W3CDTF">2014-07-28T02:10:00Z</dcterms:created>
  <dcterms:modified xsi:type="dcterms:W3CDTF">2014-07-28T03:17:00Z</dcterms:modified>
  <cp:category>external publication</cp:category>
</cp:coreProperties>
</file>